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418D8" w14:textId="77777777" w:rsidR="00A668EF" w:rsidRPr="002E5DBC" w:rsidRDefault="00A668EF" w:rsidP="00EF5414">
      <w:pPr>
        <w:spacing w:after="120"/>
        <w:contextualSpacing/>
        <w:jc w:val="center"/>
        <w:rPr>
          <w:rFonts w:ascii="Times New Roman" w:hAnsi="Times New Roman"/>
          <w:sz w:val="24"/>
          <w:szCs w:val="24"/>
        </w:rPr>
      </w:pPr>
      <w:r w:rsidRPr="002E5DBC">
        <w:rPr>
          <w:rFonts w:ascii="Times New Roman" w:hAnsi="Times New Roman"/>
          <w:b/>
          <w:sz w:val="24"/>
          <w:szCs w:val="24"/>
          <w:u w:val="single"/>
        </w:rPr>
        <w:t>EXPLANATORY STATEMENT</w:t>
      </w:r>
    </w:p>
    <w:p w14:paraId="2B8A0417" w14:textId="77777777" w:rsidR="00A668EF" w:rsidRPr="002E5DBC" w:rsidRDefault="00A668EF" w:rsidP="00EF5414">
      <w:pPr>
        <w:spacing w:after="120"/>
        <w:contextualSpacing/>
        <w:rPr>
          <w:rFonts w:ascii="Times New Roman" w:hAnsi="Times New Roman"/>
          <w:b/>
          <w:color w:val="000000" w:themeColor="text1"/>
          <w:sz w:val="24"/>
          <w:szCs w:val="24"/>
        </w:rPr>
      </w:pPr>
    </w:p>
    <w:p w14:paraId="68CBB64D" w14:textId="77777777" w:rsidR="00A668EF" w:rsidRPr="002E5DBC" w:rsidRDefault="00A668EF" w:rsidP="00EF5414">
      <w:pPr>
        <w:spacing w:after="120"/>
        <w:contextualSpacing/>
        <w:jc w:val="center"/>
        <w:rPr>
          <w:rFonts w:ascii="Times New Roman" w:hAnsi="Times New Roman"/>
          <w:b/>
          <w:color w:val="000000" w:themeColor="text1"/>
          <w:sz w:val="24"/>
          <w:szCs w:val="24"/>
        </w:rPr>
      </w:pPr>
      <w:r w:rsidRPr="002E5DBC">
        <w:rPr>
          <w:rFonts w:ascii="Times New Roman" w:hAnsi="Times New Roman"/>
          <w:b/>
          <w:color w:val="000000" w:themeColor="text1"/>
          <w:sz w:val="24"/>
          <w:szCs w:val="24"/>
        </w:rPr>
        <w:t>Issued by the Authority of the Minister for Finance</w:t>
      </w:r>
    </w:p>
    <w:p w14:paraId="6A1DA0E8" w14:textId="77777777" w:rsidR="00A668EF" w:rsidRPr="002E5DBC" w:rsidRDefault="00A668EF" w:rsidP="00EF5414">
      <w:pPr>
        <w:tabs>
          <w:tab w:val="left" w:pos="1701"/>
        </w:tabs>
        <w:spacing w:after="120"/>
        <w:contextualSpacing/>
        <w:jc w:val="center"/>
        <w:rPr>
          <w:rFonts w:ascii="Times New Roman" w:hAnsi="Times New Roman"/>
          <w:sz w:val="24"/>
          <w:szCs w:val="24"/>
        </w:rPr>
      </w:pPr>
    </w:p>
    <w:p w14:paraId="0DB2C491" w14:textId="77777777" w:rsidR="00A668EF" w:rsidRPr="002E5DBC" w:rsidRDefault="00A668EF" w:rsidP="00EF5414">
      <w:pPr>
        <w:spacing w:after="120"/>
        <w:contextualSpacing/>
        <w:jc w:val="center"/>
        <w:rPr>
          <w:rFonts w:ascii="Times New Roman" w:hAnsi="Times New Roman"/>
          <w:i/>
          <w:sz w:val="24"/>
          <w:szCs w:val="24"/>
        </w:rPr>
      </w:pPr>
      <w:r w:rsidRPr="002E5DBC">
        <w:rPr>
          <w:rFonts w:ascii="Times New Roman" w:hAnsi="Times New Roman"/>
          <w:i/>
          <w:sz w:val="24"/>
          <w:szCs w:val="24"/>
        </w:rPr>
        <w:t>Financial Framework (Supplementary Powers) Act 1997</w:t>
      </w:r>
    </w:p>
    <w:p w14:paraId="1E2BB1D0" w14:textId="77777777" w:rsidR="00A668EF" w:rsidRPr="002E5DBC" w:rsidRDefault="00A668EF" w:rsidP="00EF5414">
      <w:pPr>
        <w:tabs>
          <w:tab w:val="left" w:pos="1701"/>
        </w:tabs>
        <w:spacing w:after="120"/>
        <w:contextualSpacing/>
        <w:jc w:val="center"/>
        <w:rPr>
          <w:rFonts w:ascii="Times New Roman" w:hAnsi="Times New Roman"/>
          <w:sz w:val="24"/>
          <w:szCs w:val="24"/>
        </w:rPr>
      </w:pPr>
    </w:p>
    <w:p w14:paraId="7F505FED" w14:textId="77777777" w:rsidR="006014BD" w:rsidRPr="00FD63F5" w:rsidRDefault="006014BD" w:rsidP="006014BD">
      <w:pPr>
        <w:tabs>
          <w:tab w:val="left" w:pos="1701"/>
        </w:tabs>
        <w:contextualSpacing/>
        <w:jc w:val="center"/>
        <w:rPr>
          <w:rFonts w:ascii="Times New Roman" w:hAnsi="Times New Roman"/>
          <w:i/>
          <w:sz w:val="24"/>
          <w:szCs w:val="24"/>
        </w:rPr>
      </w:pPr>
      <w:r w:rsidRPr="00FD63F5">
        <w:rPr>
          <w:rFonts w:ascii="Times New Roman" w:hAnsi="Times New Roman"/>
          <w:i/>
          <w:sz w:val="24"/>
          <w:szCs w:val="24"/>
        </w:rPr>
        <w:t xml:space="preserve">Financial Framework (Supplementary Powers) Amendment </w:t>
      </w:r>
    </w:p>
    <w:p w14:paraId="497CF637" w14:textId="77777777" w:rsidR="006014BD" w:rsidRPr="00A70506" w:rsidRDefault="006014BD" w:rsidP="006014BD">
      <w:pPr>
        <w:tabs>
          <w:tab w:val="left" w:pos="1701"/>
        </w:tabs>
        <w:contextualSpacing/>
        <w:jc w:val="center"/>
        <w:rPr>
          <w:rFonts w:ascii="Times New Roman" w:hAnsi="Times New Roman"/>
          <w:i/>
          <w:sz w:val="24"/>
          <w:szCs w:val="24"/>
        </w:rPr>
      </w:pPr>
      <w:r w:rsidRPr="00A70506">
        <w:rPr>
          <w:rFonts w:ascii="Times New Roman" w:hAnsi="Times New Roman"/>
          <w:i/>
          <w:sz w:val="24"/>
          <w:szCs w:val="24"/>
        </w:rPr>
        <w:t>(</w:t>
      </w:r>
      <w:r>
        <w:rPr>
          <w:rFonts w:ascii="Times New Roman" w:hAnsi="Times New Roman"/>
          <w:i/>
          <w:sz w:val="24"/>
          <w:szCs w:val="24"/>
        </w:rPr>
        <w:t>Education, Skills and Employment</w:t>
      </w:r>
      <w:r w:rsidRPr="00A70506">
        <w:rPr>
          <w:rFonts w:ascii="Times New Roman" w:hAnsi="Times New Roman"/>
          <w:i/>
          <w:sz w:val="24"/>
          <w:szCs w:val="24"/>
        </w:rPr>
        <w:t xml:space="preserve"> Measures No. </w:t>
      </w:r>
      <w:r>
        <w:rPr>
          <w:rFonts w:ascii="Times New Roman" w:hAnsi="Times New Roman"/>
          <w:i/>
          <w:sz w:val="24"/>
          <w:szCs w:val="24"/>
        </w:rPr>
        <w:t>8</w:t>
      </w:r>
      <w:r w:rsidRPr="00A70506">
        <w:rPr>
          <w:rFonts w:ascii="Times New Roman" w:hAnsi="Times New Roman"/>
          <w:i/>
          <w:sz w:val="24"/>
          <w:szCs w:val="24"/>
        </w:rPr>
        <w:t>) Regulations 2020</w:t>
      </w:r>
    </w:p>
    <w:p w14:paraId="59FE8434" w14:textId="77777777" w:rsidR="006014BD" w:rsidRPr="00FD63F5" w:rsidRDefault="006014BD" w:rsidP="006014BD">
      <w:pPr>
        <w:contextualSpacing/>
        <w:rPr>
          <w:rFonts w:ascii="Times New Roman" w:hAnsi="Times New Roman"/>
          <w:sz w:val="24"/>
          <w:szCs w:val="24"/>
        </w:rPr>
      </w:pPr>
    </w:p>
    <w:p w14:paraId="1422B222" w14:textId="77777777" w:rsidR="006014BD" w:rsidRPr="00FD63F5" w:rsidRDefault="006014BD" w:rsidP="006014BD">
      <w:pPr>
        <w:contextualSpacing/>
        <w:rPr>
          <w:rFonts w:ascii="Times New Roman" w:hAnsi="Times New Roman"/>
          <w:sz w:val="24"/>
          <w:szCs w:val="24"/>
        </w:rPr>
      </w:pPr>
      <w:r w:rsidRPr="00FD63F5">
        <w:rPr>
          <w:rFonts w:ascii="Times New Roman" w:hAnsi="Times New Roman"/>
          <w:sz w:val="24"/>
          <w:szCs w:val="24"/>
        </w:rPr>
        <w:t xml:space="preserve">The </w:t>
      </w:r>
      <w:r w:rsidRPr="00FD63F5">
        <w:rPr>
          <w:rFonts w:ascii="Times New Roman" w:hAnsi="Times New Roman"/>
          <w:i/>
          <w:sz w:val="24"/>
          <w:szCs w:val="24"/>
        </w:rPr>
        <w:t>Financial Framework (Supplementary Powers) Act 1997</w:t>
      </w:r>
      <w:r w:rsidRPr="00FD63F5">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FD63F5">
        <w:rPr>
          <w:rFonts w:ascii="Times New Roman" w:hAnsi="Times New Roman"/>
          <w:i/>
          <w:sz w:val="24"/>
          <w:szCs w:val="24"/>
        </w:rPr>
        <w:t xml:space="preserve">Financial Framework (Supplementary Powers) Regulations 1997 </w:t>
      </w:r>
      <w:r w:rsidRPr="00FD63F5">
        <w:rPr>
          <w:rFonts w:ascii="Times New Roman" w:hAnsi="Times New Roman"/>
          <w:sz w:val="24"/>
          <w:szCs w:val="24"/>
        </w:rPr>
        <w:t xml:space="preserve">(the Principal Regulations). </w:t>
      </w:r>
      <w:r w:rsidRPr="0000391D">
        <w:rPr>
          <w:rFonts w:ascii="Times New Roman" w:hAnsi="Times New Roman"/>
          <w:sz w:val="24"/>
          <w:szCs w:val="24"/>
        </w:rPr>
        <w:t>The powers in the FF(SP) Act to make, vary or administer arrangements or grants may be exercised on behalf of the Commonwealth by</w:t>
      </w:r>
      <w:r w:rsidRPr="00FD63F5">
        <w:rPr>
          <w:rFonts w:ascii="Times New Roman" w:hAnsi="Times New Roman"/>
          <w:sz w:val="24"/>
          <w:szCs w:val="24"/>
        </w:rPr>
        <w:t xml:space="preserve"> Ministers and the accountable authorities of </w:t>
      </w:r>
      <w:r w:rsidRPr="3E488AD6">
        <w:rPr>
          <w:rFonts w:ascii="Times New Roman" w:hAnsi="Times New Roman"/>
          <w:sz w:val="24"/>
          <w:szCs w:val="24"/>
        </w:rPr>
        <w:t>noncorporate</w:t>
      </w:r>
      <w:r w:rsidRPr="00FD63F5">
        <w:rPr>
          <w:rFonts w:ascii="Times New Roman" w:hAnsi="Times New Roman"/>
          <w:sz w:val="24"/>
          <w:szCs w:val="24"/>
        </w:rPr>
        <w:t xml:space="preserve"> Commonwealth entities, as defined under section 12 of the </w:t>
      </w:r>
      <w:r w:rsidRPr="00FD63F5">
        <w:rPr>
          <w:rFonts w:ascii="Times New Roman" w:hAnsi="Times New Roman"/>
          <w:i/>
          <w:sz w:val="24"/>
          <w:szCs w:val="24"/>
        </w:rPr>
        <w:t>Public Governance, Performance and Accountability Act 2013</w:t>
      </w:r>
      <w:r w:rsidRPr="00FD63F5">
        <w:rPr>
          <w:rFonts w:ascii="Times New Roman" w:hAnsi="Times New Roman"/>
          <w:sz w:val="24"/>
          <w:szCs w:val="24"/>
        </w:rPr>
        <w:t xml:space="preserve">.  </w:t>
      </w:r>
    </w:p>
    <w:p w14:paraId="121883C4" w14:textId="77777777" w:rsidR="006014BD" w:rsidRPr="00FD63F5" w:rsidRDefault="006014BD" w:rsidP="006014BD">
      <w:pPr>
        <w:contextualSpacing/>
        <w:rPr>
          <w:rFonts w:ascii="Times New Roman" w:hAnsi="Times New Roman"/>
          <w:sz w:val="24"/>
          <w:szCs w:val="24"/>
        </w:rPr>
      </w:pPr>
    </w:p>
    <w:p w14:paraId="5183BFA2" w14:textId="77777777" w:rsidR="006014BD" w:rsidRPr="00FD63F5" w:rsidRDefault="006014BD" w:rsidP="006014BD">
      <w:pPr>
        <w:pStyle w:val="ParaNumbering"/>
        <w:tabs>
          <w:tab w:val="clear" w:pos="360"/>
          <w:tab w:val="clear" w:pos="567"/>
        </w:tabs>
        <w:spacing w:after="0" w:line="240" w:lineRule="auto"/>
        <w:contextualSpacing/>
        <w:rPr>
          <w:szCs w:val="24"/>
        </w:rPr>
      </w:pPr>
      <w:r>
        <w:t>Section 65 of the FF(SP) Act provides that the Governor-General may make regulations prescribing matters required or permitted by the Act to be prescribed, or necessary or convenient to be prescribed for carrying out or giving effect to the Act.</w:t>
      </w:r>
    </w:p>
    <w:p w14:paraId="465B83FE" w14:textId="77777777" w:rsidR="006014BD" w:rsidRPr="00FD63F5" w:rsidRDefault="006014BD" w:rsidP="006014BD">
      <w:pPr>
        <w:contextualSpacing/>
        <w:rPr>
          <w:rFonts w:ascii="Times New Roman" w:hAnsi="Times New Roman"/>
          <w:sz w:val="24"/>
          <w:szCs w:val="24"/>
        </w:rPr>
      </w:pPr>
    </w:p>
    <w:p w14:paraId="3FE36E75" w14:textId="77777777" w:rsidR="006014BD" w:rsidRPr="00FD63F5" w:rsidRDefault="006014BD" w:rsidP="006014BD">
      <w:pPr>
        <w:ind w:right="-45"/>
        <w:rPr>
          <w:rFonts w:ascii="Times New Roman" w:hAnsi="Times New Roman"/>
          <w:sz w:val="24"/>
          <w:szCs w:val="24"/>
        </w:rPr>
      </w:pPr>
      <w:r w:rsidRPr="00FD63F5">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w:t>
      </w:r>
      <w:r>
        <w:rPr>
          <w:rFonts w:ascii="Times New Roman" w:hAnsi="Times New Roman"/>
          <w:sz w:val="24"/>
          <w:szCs w:val="24"/>
        </w:rPr>
        <w:t>ngements, grants and programs.</w:t>
      </w:r>
    </w:p>
    <w:p w14:paraId="1311476A" w14:textId="77777777" w:rsidR="006014BD" w:rsidRPr="00FD63F5" w:rsidRDefault="006014BD" w:rsidP="006014BD">
      <w:pPr>
        <w:ind w:right="-46"/>
        <w:rPr>
          <w:rFonts w:ascii="Times New Roman" w:hAnsi="Times New Roman"/>
          <w:sz w:val="24"/>
          <w:szCs w:val="24"/>
        </w:rPr>
      </w:pPr>
    </w:p>
    <w:p w14:paraId="18ED56DF" w14:textId="0A7803D3" w:rsidR="006014BD" w:rsidRDefault="006014BD" w:rsidP="006014BD">
      <w:pPr>
        <w:rPr>
          <w:rFonts w:ascii="Times New Roman" w:hAnsi="Times New Roman"/>
          <w:sz w:val="24"/>
          <w:szCs w:val="24"/>
        </w:rPr>
      </w:pPr>
      <w:r w:rsidRPr="00A70506">
        <w:rPr>
          <w:rFonts w:ascii="Times New Roman" w:hAnsi="Times New Roman"/>
          <w:sz w:val="24"/>
          <w:szCs w:val="24"/>
        </w:rPr>
        <w:t xml:space="preserve">The </w:t>
      </w:r>
      <w:r w:rsidRPr="00A70506">
        <w:rPr>
          <w:rFonts w:ascii="Times New Roman" w:hAnsi="Times New Roman"/>
          <w:i/>
          <w:sz w:val="24"/>
          <w:szCs w:val="24"/>
        </w:rPr>
        <w:t>Financial Framework (Supplementary Powers) Amendment (</w:t>
      </w:r>
      <w:r>
        <w:rPr>
          <w:rFonts w:ascii="Times New Roman" w:hAnsi="Times New Roman"/>
          <w:i/>
          <w:sz w:val="24"/>
          <w:szCs w:val="24"/>
        </w:rPr>
        <w:t>Education, Skills and Employment Measures No. 8</w:t>
      </w:r>
      <w:r w:rsidRPr="00A70506">
        <w:rPr>
          <w:rFonts w:ascii="Times New Roman" w:hAnsi="Times New Roman"/>
          <w:i/>
          <w:sz w:val="24"/>
          <w:szCs w:val="24"/>
        </w:rPr>
        <w:t xml:space="preserve">) Regulations 2020 </w:t>
      </w:r>
      <w:r w:rsidRPr="00A70506">
        <w:rPr>
          <w:rFonts w:ascii="Times New Roman" w:hAnsi="Times New Roman"/>
          <w:sz w:val="24"/>
          <w:szCs w:val="24"/>
        </w:rPr>
        <w:t>(the Regulations) amend Schedule 1AB to the Principal Regulations to establish legislative authority for government spending</w:t>
      </w:r>
      <w:r>
        <w:rPr>
          <w:rFonts w:ascii="Times New Roman" w:hAnsi="Times New Roman"/>
          <w:sz w:val="24"/>
          <w:szCs w:val="24"/>
        </w:rPr>
        <w:t xml:space="preserve"> on certain activities that will be administered by the Department of Education, Skills and Employment.</w:t>
      </w:r>
    </w:p>
    <w:p w14:paraId="1293CAB8" w14:textId="77777777" w:rsidR="00A668EF" w:rsidRPr="002E5DBC" w:rsidRDefault="00A668EF" w:rsidP="00EF5414">
      <w:pPr>
        <w:rPr>
          <w:rFonts w:ascii="Times New Roman" w:hAnsi="Times New Roman"/>
          <w:sz w:val="24"/>
          <w:szCs w:val="24"/>
        </w:rPr>
      </w:pPr>
    </w:p>
    <w:p w14:paraId="4AD4A805" w14:textId="3DA55C4F" w:rsidR="00A668EF" w:rsidRPr="002E5DBC" w:rsidRDefault="00A668EF" w:rsidP="00EF5414">
      <w:pPr>
        <w:rPr>
          <w:rFonts w:ascii="Times New Roman" w:hAnsi="Times New Roman"/>
          <w:sz w:val="24"/>
          <w:szCs w:val="24"/>
        </w:rPr>
      </w:pPr>
      <w:r w:rsidRPr="002E5DBC">
        <w:rPr>
          <w:rFonts w:ascii="Times New Roman" w:hAnsi="Times New Roman"/>
          <w:sz w:val="24"/>
          <w:szCs w:val="24"/>
        </w:rPr>
        <w:t xml:space="preserve">Funding </w:t>
      </w:r>
      <w:r w:rsidR="006014BD">
        <w:rPr>
          <w:rFonts w:ascii="Times New Roman" w:hAnsi="Times New Roman"/>
          <w:sz w:val="24"/>
          <w:szCs w:val="24"/>
        </w:rPr>
        <w:t>will be</w:t>
      </w:r>
      <w:r w:rsidRPr="002E5DBC">
        <w:rPr>
          <w:rFonts w:ascii="Times New Roman" w:hAnsi="Times New Roman"/>
          <w:sz w:val="24"/>
          <w:szCs w:val="24"/>
        </w:rPr>
        <w:t xml:space="preserve"> provided for:</w:t>
      </w:r>
    </w:p>
    <w:p w14:paraId="0E0B5BBD" w14:textId="115A684B" w:rsidR="00E06343" w:rsidRPr="00EC397A" w:rsidRDefault="006014BD" w:rsidP="00EF5414">
      <w:pPr>
        <w:pStyle w:val="ListParagraph"/>
        <w:numPr>
          <w:ilvl w:val="0"/>
          <w:numId w:val="12"/>
        </w:numPr>
        <w:ind w:right="-46"/>
        <w:contextualSpacing w:val="0"/>
        <w:rPr>
          <w:szCs w:val="24"/>
        </w:rPr>
      </w:pPr>
      <w:r>
        <w:rPr>
          <w:iCs/>
          <w:szCs w:val="24"/>
        </w:rPr>
        <w:t>the establishment and operation of the National Microcredentials Marketplace, a nationally consistent online platform for students to compare short courses against higher education provider offerings and credit point value, which will strengthen credit recognition, industry relevance of qualifications and lifelong learning ($4.3 million over three years from 2020-21);</w:t>
      </w:r>
      <w:r w:rsidR="00E06343" w:rsidRPr="00EC397A">
        <w:rPr>
          <w:szCs w:val="24"/>
        </w:rPr>
        <w:t xml:space="preserve"> </w:t>
      </w:r>
    </w:p>
    <w:p w14:paraId="071AE2FE" w14:textId="46E60B66" w:rsidR="00525929" w:rsidRDefault="00CB44AB" w:rsidP="00EF5414">
      <w:pPr>
        <w:pStyle w:val="ListParagraph"/>
        <w:numPr>
          <w:ilvl w:val="0"/>
          <w:numId w:val="12"/>
        </w:numPr>
        <w:rPr>
          <w:szCs w:val="24"/>
          <w:lang w:val="en-GB"/>
        </w:rPr>
      </w:pPr>
      <w:r>
        <w:rPr>
          <w:szCs w:val="24"/>
          <w:lang w:val="en-GB"/>
        </w:rPr>
        <w:t xml:space="preserve">one-off, non-indexed, means tested payments (Tertiary Access Payment) of up to $5,000 to eligible school leavers from outer regional or remote areas who relocate to undertake full-time, higher-level tertiary education, in order to encourage and assist these students to access tertiary education immediately following their completion of the final year of secondary school ($177.8 million over four years from 2020-21, including $31.3 million for payments to students </w:t>
      </w:r>
      <w:r w:rsidRPr="00332701">
        <w:rPr>
          <w:szCs w:val="24"/>
        </w:rPr>
        <w:t xml:space="preserve">relocating to study </w:t>
      </w:r>
      <w:r>
        <w:rPr>
          <w:szCs w:val="24"/>
          <w:lang w:val="en-GB"/>
        </w:rPr>
        <w:t>at non-university higher education providers and vocational education and training providers and associated administration costs); and</w:t>
      </w:r>
    </w:p>
    <w:p w14:paraId="02501F0D" w14:textId="3EF4E1B2" w:rsidR="00CB44AB" w:rsidRPr="002E5DBC" w:rsidRDefault="00860C3F" w:rsidP="00EF5414">
      <w:pPr>
        <w:pStyle w:val="ListParagraph"/>
        <w:numPr>
          <w:ilvl w:val="0"/>
          <w:numId w:val="12"/>
        </w:numPr>
        <w:rPr>
          <w:szCs w:val="24"/>
          <w:lang w:val="en-GB"/>
        </w:rPr>
      </w:pPr>
      <w:r>
        <w:rPr>
          <w:rFonts w:cs="Times New Roman"/>
          <w:iCs/>
          <w:szCs w:val="24"/>
        </w:rPr>
        <w:lastRenderedPageBreak/>
        <w:t>the Pacific Labour Mobility: Safeguarding Welfare of Workers (Community Connections) project, which will support the welfare of participants in the Seasonal Worker Program by building connections between the program participants and their local Australian communities ($1 million over three years from 2020-21).</w:t>
      </w:r>
    </w:p>
    <w:p w14:paraId="0D2597B3" w14:textId="77777777" w:rsidR="00A668EF" w:rsidRPr="002E5DBC" w:rsidRDefault="00A668EF" w:rsidP="00EF5414">
      <w:pPr>
        <w:rPr>
          <w:rFonts w:ascii="Times New Roman" w:hAnsi="Times New Roman"/>
          <w:sz w:val="24"/>
          <w:szCs w:val="24"/>
        </w:rPr>
      </w:pPr>
    </w:p>
    <w:p w14:paraId="76395463" w14:textId="5211B3BB" w:rsidR="00A668EF" w:rsidRPr="002E5DBC" w:rsidRDefault="00A668EF" w:rsidP="00EF5414">
      <w:pPr>
        <w:pStyle w:val="ParaNumbering"/>
        <w:tabs>
          <w:tab w:val="clear" w:pos="360"/>
          <w:tab w:val="clear" w:pos="567"/>
        </w:tabs>
        <w:spacing w:after="0" w:line="240" w:lineRule="auto"/>
        <w:contextualSpacing/>
        <w:rPr>
          <w:bCs/>
          <w:color w:val="000000" w:themeColor="text1"/>
          <w:szCs w:val="24"/>
        </w:rPr>
      </w:pPr>
      <w:r w:rsidRPr="002E5DBC">
        <w:rPr>
          <w:color w:val="000000" w:themeColor="text1"/>
          <w:szCs w:val="24"/>
        </w:rPr>
        <w:t xml:space="preserve">Details of the Regulations are set out at </w:t>
      </w:r>
      <w:r w:rsidRPr="002E5DBC">
        <w:rPr>
          <w:color w:val="000000" w:themeColor="text1"/>
          <w:szCs w:val="24"/>
          <w:u w:val="single"/>
        </w:rPr>
        <w:t>Attachment A</w:t>
      </w:r>
      <w:r w:rsidRPr="002E5DBC">
        <w:rPr>
          <w:color w:val="000000" w:themeColor="text1"/>
          <w:szCs w:val="24"/>
        </w:rPr>
        <w:t xml:space="preserve">. A </w:t>
      </w:r>
      <w:r w:rsidRPr="002E5DBC">
        <w:rPr>
          <w:bCs/>
          <w:color w:val="000000" w:themeColor="text1"/>
          <w:szCs w:val="24"/>
        </w:rPr>
        <w:t xml:space="preserve">Statement of Compatibility with Human Rights is at </w:t>
      </w:r>
      <w:r w:rsidRPr="002E5DBC">
        <w:rPr>
          <w:bCs/>
          <w:color w:val="000000" w:themeColor="text1"/>
          <w:szCs w:val="24"/>
          <w:u w:val="single"/>
        </w:rPr>
        <w:t>Attachment B</w:t>
      </w:r>
      <w:r w:rsidRPr="002E5DBC">
        <w:rPr>
          <w:bCs/>
          <w:color w:val="000000" w:themeColor="text1"/>
          <w:szCs w:val="24"/>
        </w:rPr>
        <w:t xml:space="preserve">. </w:t>
      </w:r>
    </w:p>
    <w:p w14:paraId="10675A2C" w14:textId="77777777" w:rsidR="00A668EF" w:rsidRPr="002E5DBC" w:rsidRDefault="00A668EF" w:rsidP="00EF5414">
      <w:pPr>
        <w:pStyle w:val="ParaNumbering"/>
        <w:tabs>
          <w:tab w:val="clear" w:pos="360"/>
          <w:tab w:val="clear" w:pos="567"/>
        </w:tabs>
        <w:spacing w:after="120" w:line="240" w:lineRule="auto"/>
        <w:contextualSpacing/>
        <w:rPr>
          <w:bCs/>
          <w:color w:val="000000" w:themeColor="text1"/>
          <w:szCs w:val="24"/>
        </w:rPr>
      </w:pPr>
    </w:p>
    <w:p w14:paraId="67FAF55E" w14:textId="77777777" w:rsidR="00A668EF" w:rsidRPr="002E5DBC" w:rsidRDefault="00A668EF" w:rsidP="00EF5414">
      <w:pPr>
        <w:pStyle w:val="ParaNumbering"/>
        <w:tabs>
          <w:tab w:val="clear" w:pos="360"/>
          <w:tab w:val="clear" w:pos="567"/>
        </w:tabs>
        <w:spacing w:after="0" w:line="240" w:lineRule="auto"/>
        <w:contextualSpacing/>
        <w:rPr>
          <w:color w:val="000000" w:themeColor="text1"/>
          <w:szCs w:val="24"/>
        </w:rPr>
      </w:pPr>
      <w:r w:rsidRPr="002E5DBC">
        <w:rPr>
          <w:color w:val="000000" w:themeColor="text1"/>
          <w:szCs w:val="24"/>
        </w:rPr>
        <w:t>The Regulations are a legislative instrument for the purposes of the</w:t>
      </w:r>
      <w:r w:rsidRPr="002E5DBC">
        <w:rPr>
          <w:i/>
          <w:color w:val="000000" w:themeColor="text1"/>
          <w:szCs w:val="24"/>
        </w:rPr>
        <w:t xml:space="preserve"> Legislation Act 2003. </w:t>
      </w:r>
      <w:r w:rsidRPr="002E5DBC">
        <w:rPr>
          <w:color w:val="000000" w:themeColor="text1"/>
          <w:szCs w:val="24"/>
        </w:rPr>
        <w:t xml:space="preserve">The Regulations commence on the day after the instrument is registered on the Federal Register of Legislation. </w:t>
      </w:r>
    </w:p>
    <w:p w14:paraId="21A3F782" w14:textId="77777777" w:rsidR="00A668EF" w:rsidRPr="002E5DBC" w:rsidRDefault="00A668EF" w:rsidP="00EF5414">
      <w:pPr>
        <w:spacing w:after="120"/>
        <w:contextualSpacing/>
        <w:rPr>
          <w:rFonts w:ascii="Times New Roman" w:hAnsi="Times New Roman"/>
          <w:b/>
          <w:bCs/>
          <w:sz w:val="24"/>
          <w:szCs w:val="24"/>
        </w:rPr>
      </w:pPr>
    </w:p>
    <w:p w14:paraId="2A5B0055" w14:textId="77777777" w:rsidR="00A668EF" w:rsidRPr="002E5DBC" w:rsidRDefault="00A668EF" w:rsidP="00EF5414">
      <w:pPr>
        <w:spacing w:after="200" w:line="276" w:lineRule="auto"/>
        <w:rPr>
          <w:rFonts w:ascii="Times New Roman" w:hAnsi="Times New Roman"/>
          <w:b/>
          <w:bCs/>
          <w:sz w:val="24"/>
          <w:szCs w:val="24"/>
        </w:rPr>
      </w:pPr>
      <w:r w:rsidRPr="002E5DBC">
        <w:rPr>
          <w:rFonts w:ascii="Times New Roman" w:hAnsi="Times New Roman"/>
          <w:b/>
          <w:bCs/>
          <w:sz w:val="24"/>
          <w:szCs w:val="24"/>
        </w:rPr>
        <w:t>Consultation</w:t>
      </w:r>
    </w:p>
    <w:p w14:paraId="00288903" w14:textId="77777777" w:rsidR="00A668EF" w:rsidRPr="002E5DBC" w:rsidRDefault="00A668EF" w:rsidP="00EF5414">
      <w:pPr>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In accordance with section 17 of the </w:t>
      </w:r>
      <w:r w:rsidRPr="002E5DBC">
        <w:rPr>
          <w:rFonts w:ascii="Times New Roman" w:hAnsi="Times New Roman"/>
          <w:i/>
          <w:iCs/>
          <w:color w:val="000000" w:themeColor="text1"/>
          <w:sz w:val="24"/>
          <w:szCs w:val="24"/>
        </w:rPr>
        <w:t>Legislation Act 2003</w:t>
      </w:r>
      <w:r w:rsidRPr="002E5DBC">
        <w:rPr>
          <w:rFonts w:ascii="Times New Roman" w:hAnsi="Times New Roman"/>
          <w:color w:val="000000" w:themeColor="text1"/>
          <w:sz w:val="24"/>
          <w:szCs w:val="24"/>
        </w:rPr>
        <w:t xml:space="preserve">, consultation has taken place with the Department of </w:t>
      </w:r>
      <w:r w:rsidRPr="002E5DBC">
        <w:rPr>
          <w:rFonts w:ascii="Times New Roman" w:hAnsi="Times New Roman"/>
          <w:sz w:val="24"/>
          <w:szCs w:val="24"/>
        </w:rPr>
        <w:t>Education, Skills and Employment</w:t>
      </w:r>
      <w:r w:rsidRPr="002E5DBC">
        <w:rPr>
          <w:rFonts w:ascii="Times New Roman" w:hAnsi="Times New Roman"/>
          <w:color w:val="000000" w:themeColor="text1"/>
          <w:sz w:val="24"/>
          <w:szCs w:val="24"/>
        </w:rPr>
        <w:t>.</w:t>
      </w:r>
    </w:p>
    <w:p w14:paraId="2E1CDA2F" w14:textId="77777777" w:rsidR="00A668EF" w:rsidRPr="002E5DBC" w:rsidRDefault="00A668EF" w:rsidP="00EF5414">
      <w:pPr>
        <w:contextualSpacing/>
        <w:rPr>
          <w:rFonts w:ascii="Times New Roman" w:hAnsi="Times New Roman"/>
          <w:color w:val="000000" w:themeColor="text1"/>
          <w:sz w:val="24"/>
          <w:szCs w:val="24"/>
        </w:rPr>
      </w:pPr>
    </w:p>
    <w:p w14:paraId="23EB095B" w14:textId="77777777" w:rsidR="00A668EF" w:rsidRPr="002E5DBC" w:rsidRDefault="00A668EF" w:rsidP="00EF5414">
      <w:pPr>
        <w:spacing w:after="120"/>
        <w:contextualSpacing/>
        <w:rPr>
          <w:rFonts w:ascii="Times New Roman" w:hAnsi="Times New Roman"/>
          <w:iCs/>
          <w:sz w:val="24"/>
          <w:szCs w:val="24"/>
        </w:rPr>
      </w:pPr>
      <w:r w:rsidRPr="002E5DBC">
        <w:rPr>
          <w:rFonts w:ascii="Times New Roman" w:hAnsi="Times New Roman"/>
          <w:iCs/>
          <w:sz w:val="24"/>
          <w:szCs w:val="24"/>
        </w:rPr>
        <w:t>A regulation impact statement is not required as the Regulations only apply to non</w:t>
      </w:r>
      <w:r w:rsidRPr="002E5DBC">
        <w:rPr>
          <w:rFonts w:ascii="Times New Roman" w:hAnsi="Times New Roman"/>
          <w:iCs/>
          <w:sz w:val="24"/>
          <w:szCs w:val="24"/>
        </w:rPr>
        <w:noBreakHyphen/>
        <w:t xml:space="preserve">corporate Commonwealth entities and do not adversely affect the private sector. </w:t>
      </w:r>
    </w:p>
    <w:p w14:paraId="4E72AF0D" w14:textId="3952CD74" w:rsidR="00B044BA" w:rsidRPr="002E5DBC" w:rsidRDefault="00A668EF" w:rsidP="00EF5414">
      <w:pPr>
        <w:spacing w:after="160" w:line="259" w:lineRule="auto"/>
        <w:rPr>
          <w:rFonts w:ascii="Times New Roman" w:hAnsi="Times New Roman"/>
          <w:iCs/>
          <w:sz w:val="24"/>
          <w:szCs w:val="24"/>
        </w:rPr>
      </w:pPr>
      <w:r w:rsidRPr="002E5DBC">
        <w:rPr>
          <w:rFonts w:ascii="Times New Roman" w:hAnsi="Times New Roman"/>
          <w:iCs/>
          <w:sz w:val="24"/>
          <w:szCs w:val="24"/>
        </w:rPr>
        <w:br w:type="page"/>
      </w:r>
    </w:p>
    <w:p w14:paraId="20B25F57" w14:textId="05D997D9" w:rsidR="006818C0" w:rsidRPr="002E5DBC" w:rsidRDefault="006818C0" w:rsidP="00EF5414">
      <w:pPr>
        <w:spacing w:after="120"/>
        <w:contextualSpacing/>
        <w:rPr>
          <w:rFonts w:ascii="Times New Roman" w:hAnsi="Times New Roman"/>
          <w:color w:val="000000" w:themeColor="text1"/>
          <w:sz w:val="24"/>
          <w:szCs w:val="24"/>
        </w:rPr>
        <w:sectPr w:rsidR="006818C0" w:rsidRPr="002E5DBC" w:rsidSect="004D676F">
          <w:headerReference w:type="default" r:id="rId13"/>
          <w:headerReference w:type="first" r:id="rId14"/>
          <w:pgSz w:w="11906" w:h="16838"/>
          <w:pgMar w:top="1418" w:right="1440" w:bottom="1332" w:left="1440" w:header="709" w:footer="709" w:gutter="0"/>
          <w:pgNumType w:start="1"/>
          <w:cols w:space="708"/>
          <w:titlePg/>
          <w:docGrid w:linePitch="360"/>
        </w:sectPr>
      </w:pPr>
    </w:p>
    <w:p w14:paraId="47A0F082" w14:textId="4DF4A66E" w:rsidR="00AC5AD9" w:rsidRPr="002E5DBC" w:rsidRDefault="00AC5AD9" w:rsidP="00EF5414">
      <w:pPr>
        <w:spacing w:after="120"/>
        <w:contextualSpacing/>
        <w:rPr>
          <w:rFonts w:ascii="Times New Roman" w:hAnsi="Times New Roman"/>
          <w:b/>
          <w:bCs/>
          <w:i/>
          <w:color w:val="000000" w:themeColor="text1"/>
          <w:sz w:val="24"/>
          <w:szCs w:val="24"/>
          <w:u w:val="single"/>
        </w:rPr>
      </w:pPr>
      <w:r w:rsidRPr="002E5DBC">
        <w:rPr>
          <w:rFonts w:ascii="Times New Roman" w:hAnsi="Times New Roman"/>
          <w:b/>
          <w:bCs/>
          <w:color w:val="000000" w:themeColor="text1"/>
          <w:sz w:val="24"/>
          <w:szCs w:val="24"/>
          <w:u w:val="single"/>
        </w:rPr>
        <w:lastRenderedPageBreak/>
        <w:t xml:space="preserve">Details of the </w:t>
      </w:r>
      <w:r w:rsidRPr="002E5DBC">
        <w:rPr>
          <w:rFonts w:ascii="Times New Roman" w:hAnsi="Times New Roman"/>
          <w:b/>
          <w:bCs/>
          <w:i/>
          <w:color w:val="000000" w:themeColor="text1"/>
          <w:sz w:val="24"/>
          <w:szCs w:val="24"/>
          <w:u w:val="single"/>
        </w:rPr>
        <w:t xml:space="preserve">Financial Framework (Supplementary Powers) Amendment </w:t>
      </w:r>
      <w:r w:rsidRPr="002E5DBC">
        <w:rPr>
          <w:rFonts w:ascii="Times New Roman" w:hAnsi="Times New Roman"/>
          <w:b/>
          <w:bCs/>
          <w:i/>
          <w:color w:val="000000" w:themeColor="text1"/>
          <w:sz w:val="24"/>
          <w:szCs w:val="24"/>
          <w:u w:val="single"/>
        </w:rPr>
        <w:br/>
        <w:t xml:space="preserve">(Education, Skills and Employment Measures </w:t>
      </w:r>
      <w:r w:rsidR="00603DE4" w:rsidRPr="002E5DBC">
        <w:rPr>
          <w:rFonts w:ascii="Times New Roman" w:hAnsi="Times New Roman"/>
          <w:b/>
          <w:bCs/>
          <w:i/>
          <w:color w:val="000000" w:themeColor="text1"/>
          <w:sz w:val="24"/>
          <w:szCs w:val="24"/>
          <w:u w:val="single"/>
        </w:rPr>
        <w:t xml:space="preserve">No. </w:t>
      </w:r>
      <w:r w:rsidR="00D75A9F">
        <w:rPr>
          <w:rFonts w:ascii="Times New Roman" w:hAnsi="Times New Roman"/>
          <w:b/>
          <w:bCs/>
          <w:i/>
          <w:color w:val="000000" w:themeColor="text1"/>
          <w:sz w:val="24"/>
          <w:szCs w:val="24"/>
          <w:u w:val="single"/>
        </w:rPr>
        <w:t>8</w:t>
      </w:r>
      <w:r w:rsidRPr="002E5DBC">
        <w:rPr>
          <w:rFonts w:ascii="Times New Roman" w:hAnsi="Times New Roman"/>
          <w:b/>
          <w:bCs/>
          <w:i/>
          <w:color w:val="000000" w:themeColor="text1"/>
          <w:sz w:val="24"/>
          <w:szCs w:val="24"/>
          <w:u w:val="single"/>
        </w:rPr>
        <w:t>) Regulations 2020</w:t>
      </w:r>
    </w:p>
    <w:p w14:paraId="04378166" w14:textId="77777777" w:rsidR="00AC5AD9" w:rsidRPr="002E5DBC" w:rsidRDefault="00AC5AD9" w:rsidP="00EF5414">
      <w:pPr>
        <w:spacing w:after="120"/>
        <w:contextualSpacing/>
        <w:rPr>
          <w:rFonts w:ascii="Times New Roman" w:hAnsi="Times New Roman"/>
          <w:color w:val="000000" w:themeColor="text1"/>
          <w:sz w:val="24"/>
          <w:szCs w:val="24"/>
          <w:u w:val="single"/>
        </w:rPr>
      </w:pPr>
    </w:p>
    <w:p w14:paraId="606BD52F" w14:textId="77777777" w:rsidR="00AC5AD9" w:rsidRPr="002E5DBC" w:rsidRDefault="00AC5AD9" w:rsidP="00EF5414">
      <w:pPr>
        <w:spacing w:after="120"/>
        <w:contextualSpacing/>
        <w:rPr>
          <w:rFonts w:ascii="Times New Roman" w:hAnsi="Times New Roman"/>
          <w:b/>
          <w:color w:val="000000" w:themeColor="text1"/>
          <w:sz w:val="24"/>
          <w:szCs w:val="24"/>
        </w:rPr>
      </w:pPr>
      <w:r w:rsidRPr="002E5DBC">
        <w:rPr>
          <w:rFonts w:ascii="Times New Roman" w:hAnsi="Times New Roman"/>
          <w:b/>
          <w:color w:val="000000" w:themeColor="text1"/>
          <w:sz w:val="24"/>
          <w:szCs w:val="24"/>
        </w:rPr>
        <w:t xml:space="preserve">Section 1 – Name </w:t>
      </w:r>
    </w:p>
    <w:p w14:paraId="23DE4F95" w14:textId="77777777" w:rsidR="00AC5AD9" w:rsidRPr="002E5DBC" w:rsidRDefault="00AC5AD9" w:rsidP="00EF5414">
      <w:pPr>
        <w:spacing w:after="120"/>
        <w:contextualSpacing/>
        <w:rPr>
          <w:rFonts w:ascii="Times New Roman" w:hAnsi="Times New Roman"/>
          <w:color w:val="000000" w:themeColor="text1"/>
          <w:sz w:val="24"/>
          <w:szCs w:val="24"/>
        </w:rPr>
      </w:pPr>
    </w:p>
    <w:p w14:paraId="229FC300" w14:textId="3EFF6B5D" w:rsidR="00AC5AD9" w:rsidRPr="002E5DBC" w:rsidRDefault="00AC5AD9" w:rsidP="00EF5414">
      <w:pPr>
        <w:spacing w:after="120"/>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This section provides that the title of the Regulations </w:t>
      </w:r>
      <w:r w:rsidRPr="002E5DBC">
        <w:rPr>
          <w:rFonts w:ascii="Times New Roman" w:hAnsi="Times New Roman"/>
          <w:sz w:val="24"/>
          <w:szCs w:val="24"/>
        </w:rPr>
        <w:t>is</w:t>
      </w:r>
      <w:r w:rsidRPr="002E5DBC">
        <w:rPr>
          <w:rFonts w:ascii="Times New Roman" w:hAnsi="Times New Roman"/>
          <w:color w:val="000000" w:themeColor="text1"/>
          <w:sz w:val="24"/>
          <w:szCs w:val="24"/>
        </w:rPr>
        <w:t xml:space="preserve"> the </w:t>
      </w:r>
      <w:r w:rsidRPr="002E5DBC">
        <w:rPr>
          <w:rFonts w:ascii="Times New Roman" w:hAnsi="Times New Roman"/>
          <w:bCs/>
          <w:i/>
          <w:sz w:val="24"/>
          <w:szCs w:val="24"/>
        </w:rPr>
        <w:t xml:space="preserve">Financial Framework (Supplementary Powers) Amendment (Education, Skills and Employment Measures </w:t>
      </w:r>
      <w:r w:rsidR="00603DE4" w:rsidRPr="002E5DBC">
        <w:rPr>
          <w:rFonts w:ascii="Times New Roman" w:hAnsi="Times New Roman"/>
          <w:bCs/>
          <w:i/>
          <w:sz w:val="24"/>
          <w:szCs w:val="24"/>
        </w:rPr>
        <w:t xml:space="preserve">No. </w:t>
      </w:r>
      <w:r w:rsidR="00D75A9F">
        <w:rPr>
          <w:rFonts w:ascii="Times New Roman" w:hAnsi="Times New Roman"/>
          <w:bCs/>
          <w:i/>
          <w:sz w:val="24"/>
          <w:szCs w:val="24"/>
        </w:rPr>
        <w:t>8</w:t>
      </w:r>
      <w:r w:rsidRPr="002E5DBC">
        <w:rPr>
          <w:rFonts w:ascii="Times New Roman" w:hAnsi="Times New Roman"/>
          <w:bCs/>
          <w:i/>
          <w:sz w:val="24"/>
          <w:szCs w:val="24"/>
        </w:rPr>
        <w:t>) Regulations 2020</w:t>
      </w:r>
      <w:r w:rsidRPr="002E5DBC">
        <w:rPr>
          <w:rFonts w:ascii="Times New Roman" w:hAnsi="Times New Roman"/>
          <w:bCs/>
          <w:sz w:val="24"/>
          <w:szCs w:val="24"/>
        </w:rPr>
        <w:t>.</w:t>
      </w:r>
    </w:p>
    <w:p w14:paraId="66088F7E" w14:textId="77777777" w:rsidR="00AC5AD9" w:rsidRPr="002E5DBC" w:rsidRDefault="00AC5AD9" w:rsidP="00EF5414">
      <w:pPr>
        <w:spacing w:after="120"/>
        <w:contextualSpacing/>
        <w:rPr>
          <w:rFonts w:ascii="Times New Roman" w:hAnsi="Times New Roman"/>
          <w:color w:val="000000" w:themeColor="text1"/>
          <w:sz w:val="24"/>
          <w:szCs w:val="24"/>
        </w:rPr>
      </w:pPr>
    </w:p>
    <w:p w14:paraId="7175D353" w14:textId="77777777" w:rsidR="00AC5AD9" w:rsidRPr="002E5DBC" w:rsidRDefault="00AC5AD9" w:rsidP="00EF5414">
      <w:pPr>
        <w:spacing w:after="120"/>
        <w:contextualSpacing/>
        <w:rPr>
          <w:rFonts w:ascii="Times New Roman" w:hAnsi="Times New Roman"/>
          <w:b/>
          <w:color w:val="000000" w:themeColor="text1"/>
          <w:sz w:val="24"/>
          <w:szCs w:val="24"/>
        </w:rPr>
      </w:pPr>
      <w:r w:rsidRPr="002E5DBC">
        <w:rPr>
          <w:rFonts w:ascii="Times New Roman" w:hAnsi="Times New Roman"/>
          <w:b/>
          <w:color w:val="000000" w:themeColor="text1"/>
          <w:sz w:val="24"/>
          <w:szCs w:val="24"/>
        </w:rPr>
        <w:t xml:space="preserve">Section 2 – Commencement </w:t>
      </w:r>
    </w:p>
    <w:p w14:paraId="50390F56" w14:textId="77777777" w:rsidR="00AC5AD9" w:rsidRPr="002E5DBC" w:rsidRDefault="00AC5AD9" w:rsidP="00EF5414">
      <w:pPr>
        <w:spacing w:after="120"/>
        <w:contextualSpacing/>
        <w:rPr>
          <w:rFonts w:ascii="Times New Roman" w:hAnsi="Times New Roman"/>
          <w:color w:val="000000" w:themeColor="text1"/>
          <w:sz w:val="24"/>
          <w:szCs w:val="24"/>
        </w:rPr>
      </w:pPr>
    </w:p>
    <w:p w14:paraId="380E3D92" w14:textId="77777777" w:rsidR="00AC5AD9" w:rsidRPr="002E5DBC" w:rsidRDefault="00AC5AD9" w:rsidP="00EF5414">
      <w:pPr>
        <w:spacing w:after="120"/>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This section provides that the Regulations commence on the day after the instrument is registered on the Federal Register of Legislation. </w:t>
      </w:r>
    </w:p>
    <w:p w14:paraId="155CD006" w14:textId="77777777" w:rsidR="00AC5AD9" w:rsidRPr="002E5DBC" w:rsidRDefault="00AC5AD9" w:rsidP="00EF5414">
      <w:pPr>
        <w:spacing w:after="120"/>
        <w:contextualSpacing/>
        <w:rPr>
          <w:rFonts w:ascii="Times New Roman" w:hAnsi="Times New Roman"/>
          <w:color w:val="000000" w:themeColor="text1"/>
          <w:sz w:val="24"/>
          <w:szCs w:val="24"/>
        </w:rPr>
      </w:pPr>
    </w:p>
    <w:p w14:paraId="24A542AF" w14:textId="77777777" w:rsidR="00AC5AD9" w:rsidRPr="002E5DBC" w:rsidRDefault="00AC5AD9" w:rsidP="00EF5414">
      <w:pPr>
        <w:spacing w:after="120"/>
        <w:contextualSpacing/>
        <w:rPr>
          <w:rFonts w:ascii="Times New Roman" w:hAnsi="Times New Roman"/>
          <w:b/>
          <w:i/>
          <w:color w:val="000000" w:themeColor="text1"/>
          <w:sz w:val="24"/>
          <w:szCs w:val="24"/>
        </w:rPr>
      </w:pPr>
      <w:r w:rsidRPr="002E5DBC">
        <w:rPr>
          <w:rFonts w:ascii="Times New Roman" w:hAnsi="Times New Roman"/>
          <w:b/>
          <w:color w:val="000000" w:themeColor="text1"/>
          <w:sz w:val="24"/>
          <w:szCs w:val="24"/>
        </w:rPr>
        <w:t>Section 3 – Authority</w:t>
      </w:r>
      <w:r w:rsidRPr="002E5DBC">
        <w:rPr>
          <w:rFonts w:ascii="Times New Roman" w:hAnsi="Times New Roman"/>
          <w:b/>
          <w:i/>
          <w:color w:val="000000" w:themeColor="text1"/>
          <w:sz w:val="24"/>
          <w:szCs w:val="24"/>
        </w:rPr>
        <w:t xml:space="preserve"> </w:t>
      </w:r>
    </w:p>
    <w:p w14:paraId="72FBF881" w14:textId="77777777" w:rsidR="00AC5AD9" w:rsidRPr="002E5DBC" w:rsidRDefault="00AC5AD9" w:rsidP="00EF5414">
      <w:pPr>
        <w:spacing w:after="120"/>
        <w:contextualSpacing/>
        <w:rPr>
          <w:rFonts w:ascii="Times New Roman" w:hAnsi="Times New Roman"/>
          <w:color w:val="000000" w:themeColor="text1"/>
          <w:sz w:val="24"/>
          <w:szCs w:val="24"/>
        </w:rPr>
      </w:pPr>
    </w:p>
    <w:p w14:paraId="47797143" w14:textId="77777777" w:rsidR="00AC5AD9" w:rsidRPr="002E5DBC" w:rsidRDefault="00AC5AD9" w:rsidP="00EF5414">
      <w:pPr>
        <w:spacing w:after="120"/>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This section provides that the Regulations are made under the </w:t>
      </w:r>
      <w:r w:rsidRPr="002E5DBC">
        <w:rPr>
          <w:rFonts w:ascii="Times New Roman" w:hAnsi="Times New Roman"/>
          <w:i/>
          <w:color w:val="000000" w:themeColor="text1"/>
          <w:sz w:val="24"/>
          <w:szCs w:val="24"/>
        </w:rPr>
        <w:t xml:space="preserve">Financial </w:t>
      </w:r>
      <w:r w:rsidRPr="002E5DBC">
        <w:rPr>
          <w:rFonts w:ascii="Times New Roman" w:hAnsi="Times New Roman"/>
          <w:bCs/>
          <w:i/>
          <w:sz w:val="24"/>
          <w:szCs w:val="24"/>
        </w:rPr>
        <w:t xml:space="preserve">Framework (Supplementary Powers) </w:t>
      </w:r>
      <w:r w:rsidRPr="002E5DBC">
        <w:rPr>
          <w:rFonts w:ascii="Times New Roman" w:hAnsi="Times New Roman"/>
          <w:i/>
          <w:color w:val="000000" w:themeColor="text1"/>
          <w:sz w:val="24"/>
          <w:szCs w:val="24"/>
        </w:rPr>
        <w:t>Act 1997</w:t>
      </w:r>
      <w:r w:rsidRPr="002E5DBC">
        <w:rPr>
          <w:rFonts w:ascii="Times New Roman" w:hAnsi="Times New Roman"/>
          <w:color w:val="000000" w:themeColor="text1"/>
          <w:sz w:val="24"/>
          <w:szCs w:val="24"/>
        </w:rPr>
        <w:t>.</w:t>
      </w:r>
    </w:p>
    <w:p w14:paraId="18FAEFAF" w14:textId="77777777" w:rsidR="00AC5AD9" w:rsidRPr="002E5DBC" w:rsidRDefault="00AC5AD9" w:rsidP="00EF5414">
      <w:pPr>
        <w:spacing w:after="120"/>
        <w:contextualSpacing/>
        <w:rPr>
          <w:rFonts w:ascii="Times New Roman" w:hAnsi="Times New Roman"/>
          <w:color w:val="000000" w:themeColor="text1"/>
          <w:sz w:val="24"/>
          <w:szCs w:val="24"/>
        </w:rPr>
      </w:pPr>
    </w:p>
    <w:p w14:paraId="6DC9C5F8" w14:textId="77777777" w:rsidR="00AC5AD9" w:rsidRPr="002E5DBC" w:rsidRDefault="00AC5AD9" w:rsidP="00EF5414">
      <w:pPr>
        <w:spacing w:after="120"/>
        <w:contextualSpacing/>
        <w:rPr>
          <w:rFonts w:ascii="Times New Roman" w:hAnsi="Times New Roman"/>
          <w:b/>
          <w:i/>
          <w:color w:val="000000" w:themeColor="text1"/>
          <w:sz w:val="24"/>
          <w:szCs w:val="24"/>
        </w:rPr>
      </w:pPr>
      <w:r w:rsidRPr="002E5DBC">
        <w:rPr>
          <w:rFonts w:ascii="Times New Roman" w:hAnsi="Times New Roman"/>
          <w:b/>
          <w:color w:val="000000" w:themeColor="text1"/>
          <w:sz w:val="24"/>
          <w:szCs w:val="24"/>
        </w:rPr>
        <w:t>Section 4 – Schedules</w:t>
      </w:r>
      <w:r w:rsidRPr="002E5DBC">
        <w:rPr>
          <w:rFonts w:ascii="Times New Roman" w:hAnsi="Times New Roman"/>
          <w:b/>
          <w:i/>
          <w:color w:val="000000" w:themeColor="text1"/>
          <w:sz w:val="24"/>
          <w:szCs w:val="24"/>
        </w:rPr>
        <w:t xml:space="preserve"> </w:t>
      </w:r>
    </w:p>
    <w:p w14:paraId="70BC9A2D" w14:textId="77777777" w:rsidR="00AC5AD9" w:rsidRPr="002E5DBC" w:rsidRDefault="00AC5AD9" w:rsidP="00EF5414">
      <w:pPr>
        <w:spacing w:after="120"/>
        <w:contextualSpacing/>
        <w:rPr>
          <w:rFonts w:ascii="Times New Roman" w:hAnsi="Times New Roman"/>
          <w:color w:val="000000" w:themeColor="text1"/>
          <w:sz w:val="24"/>
          <w:szCs w:val="24"/>
        </w:rPr>
      </w:pPr>
    </w:p>
    <w:p w14:paraId="0E739D86" w14:textId="77777777" w:rsidR="00AC5AD9" w:rsidRPr="002E5DBC" w:rsidRDefault="00AC5AD9" w:rsidP="00EF5414">
      <w:pPr>
        <w:spacing w:after="120"/>
        <w:contextualSpacing/>
        <w:rPr>
          <w:rFonts w:ascii="Times New Roman" w:hAnsi="Times New Roman"/>
          <w:color w:val="000000" w:themeColor="text1"/>
          <w:sz w:val="24"/>
          <w:szCs w:val="24"/>
        </w:rPr>
      </w:pPr>
      <w:r w:rsidRPr="002E5DBC">
        <w:rPr>
          <w:rFonts w:ascii="Times New Roman" w:hAnsi="Times New Roman"/>
          <w:color w:val="000000" w:themeColor="text1"/>
          <w:sz w:val="24"/>
          <w:szCs w:val="24"/>
        </w:rPr>
        <w:t xml:space="preserve">This section provides that the </w:t>
      </w:r>
      <w:r w:rsidRPr="002E5DBC">
        <w:rPr>
          <w:rFonts w:ascii="Times New Roman" w:hAnsi="Times New Roman"/>
          <w:i/>
          <w:color w:val="000000" w:themeColor="text1"/>
          <w:sz w:val="24"/>
          <w:szCs w:val="24"/>
        </w:rPr>
        <w:t xml:space="preserve">Financial </w:t>
      </w:r>
      <w:r w:rsidRPr="002E5DBC">
        <w:rPr>
          <w:rFonts w:ascii="Times New Roman" w:hAnsi="Times New Roman"/>
          <w:bCs/>
          <w:i/>
          <w:sz w:val="24"/>
          <w:szCs w:val="24"/>
        </w:rPr>
        <w:t xml:space="preserve">Framework (Supplementary Powers) </w:t>
      </w:r>
      <w:r w:rsidRPr="002E5DBC">
        <w:rPr>
          <w:rFonts w:ascii="Times New Roman" w:hAnsi="Times New Roman"/>
          <w:i/>
          <w:color w:val="000000" w:themeColor="text1"/>
          <w:sz w:val="24"/>
          <w:szCs w:val="24"/>
        </w:rPr>
        <w:t>Regulations 1997</w:t>
      </w:r>
      <w:r w:rsidRPr="002E5DBC">
        <w:rPr>
          <w:rFonts w:ascii="Times New Roman" w:hAnsi="Times New Roman"/>
          <w:color w:val="000000" w:themeColor="text1"/>
          <w:sz w:val="24"/>
          <w:szCs w:val="24"/>
        </w:rPr>
        <w:t xml:space="preserve"> are amended as set out in the Schedule to the Regulations. </w:t>
      </w:r>
    </w:p>
    <w:p w14:paraId="046EC3D2" w14:textId="77777777" w:rsidR="00AC5AD9" w:rsidRPr="002E5DBC" w:rsidRDefault="00AC5AD9" w:rsidP="00EF5414">
      <w:pPr>
        <w:spacing w:after="120"/>
        <w:contextualSpacing/>
        <w:rPr>
          <w:rFonts w:ascii="Times New Roman" w:hAnsi="Times New Roman"/>
          <w:color w:val="000000" w:themeColor="text1"/>
          <w:sz w:val="24"/>
          <w:szCs w:val="24"/>
        </w:rPr>
      </w:pPr>
    </w:p>
    <w:p w14:paraId="285B143A" w14:textId="77777777" w:rsidR="00AC5AD9" w:rsidRPr="002E5DBC" w:rsidRDefault="00AC5AD9" w:rsidP="00EF5414">
      <w:pPr>
        <w:spacing w:after="120"/>
        <w:contextualSpacing/>
        <w:rPr>
          <w:rFonts w:ascii="Times New Roman" w:hAnsi="Times New Roman"/>
          <w:b/>
          <w:color w:val="000000" w:themeColor="text1"/>
          <w:sz w:val="24"/>
          <w:szCs w:val="24"/>
        </w:rPr>
      </w:pPr>
      <w:r w:rsidRPr="002E5DBC">
        <w:rPr>
          <w:rFonts w:ascii="Times New Roman" w:hAnsi="Times New Roman"/>
          <w:b/>
          <w:color w:val="000000" w:themeColor="text1"/>
          <w:sz w:val="24"/>
          <w:szCs w:val="24"/>
        </w:rPr>
        <w:t>Schedule 1 – Amendments</w:t>
      </w:r>
    </w:p>
    <w:p w14:paraId="4923ACBE" w14:textId="77777777" w:rsidR="00AC5AD9" w:rsidRPr="002E5DBC" w:rsidRDefault="00AC5AD9" w:rsidP="00EF5414">
      <w:pPr>
        <w:rPr>
          <w:rFonts w:ascii="Times New Roman" w:hAnsi="Times New Roman"/>
          <w:color w:val="000000" w:themeColor="text1"/>
          <w:sz w:val="24"/>
          <w:szCs w:val="24"/>
        </w:rPr>
      </w:pPr>
    </w:p>
    <w:p w14:paraId="3E501F68" w14:textId="013C2C9D" w:rsidR="00BA6F0D" w:rsidRPr="002E5DBC" w:rsidRDefault="00BA6F0D" w:rsidP="00EF5414">
      <w:pPr>
        <w:tabs>
          <w:tab w:val="left" w:pos="936"/>
        </w:tabs>
        <w:rPr>
          <w:rFonts w:ascii="Times New Roman" w:hAnsi="Times New Roman"/>
          <w:b/>
          <w:i/>
          <w:color w:val="000000" w:themeColor="text1"/>
          <w:sz w:val="24"/>
          <w:szCs w:val="24"/>
        </w:rPr>
      </w:pPr>
      <w:r w:rsidRPr="002E5DBC">
        <w:rPr>
          <w:rFonts w:ascii="Times New Roman" w:hAnsi="Times New Roman"/>
          <w:b/>
          <w:i/>
          <w:color w:val="000000" w:themeColor="text1"/>
          <w:sz w:val="24"/>
          <w:szCs w:val="24"/>
        </w:rPr>
        <w:t>Financial Framework (Supplementary Powers) Regulations 1997</w:t>
      </w:r>
    </w:p>
    <w:p w14:paraId="185DDFEA" w14:textId="77777777" w:rsidR="00BA6F0D" w:rsidRPr="002E5DBC" w:rsidRDefault="00BA6F0D" w:rsidP="00EF5414">
      <w:pPr>
        <w:tabs>
          <w:tab w:val="left" w:pos="936"/>
        </w:tabs>
        <w:rPr>
          <w:rFonts w:ascii="Times New Roman" w:hAnsi="Times New Roman"/>
          <w:b/>
          <w:color w:val="000000" w:themeColor="text1"/>
          <w:sz w:val="24"/>
          <w:szCs w:val="24"/>
        </w:rPr>
      </w:pPr>
    </w:p>
    <w:p w14:paraId="4C9E647D" w14:textId="5D4FF232" w:rsidR="00F95BFF" w:rsidRPr="002E5DBC" w:rsidRDefault="00F95BFF" w:rsidP="00EF5414">
      <w:pPr>
        <w:tabs>
          <w:tab w:val="left" w:pos="936"/>
        </w:tabs>
        <w:rPr>
          <w:rFonts w:ascii="Times New Roman" w:hAnsi="Times New Roman"/>
          <w:b/>
          <w:color w:val="000000" w:themeColor="text1"/>
          <w:sz w:val="24"/>
          <w:szCs w:val="24"/>
        </w:rPr>
      </w:pPr>
      <w:r w:rsidRPr="002E5DBC">
        <w:rPr>
          <w:rFonts w:ascii="Times New Roman" w:hAnsi="Times New Roman"/>
          <w:b/>
          <w:color w:val="000000" w:themeColor="text1"/>
          <w:sz w:val="24"/>
          <w:szCs w:val="24"/>
        </w:rPr>
        <w:t xml:space="preserve">Item </w:t>
      </w:r>
      <w:r w:rsidR="00705B73">
        <w:rPr>
          <w:rFonts w:ascii="Times New Roman" w:hAnsi="Times New Roman"/>
          <w:b/>
          <w:color w:val="000000" w:themeColor="text1"/>
          <w:sz w:val="24"/>
          <w:szCs w:val="24"/>
        </w:rPr>
        <w:t>1</w:t>
      </w:r>
      <w:r w:rsidRPr="002E5DBC">
        <w:rPr>
          <w:rFonts w:ascii="Times New Roman" w:hAnsi="Times New Roman"/>
          <w:b/>
          <w:color w:val="000000" w:themeColor="text1"/>
          <w:sz w:val="24"/>
          <w:szCs w:val="24"/>
        </w:rPr>
        <w:t xml:space="preserve"> – In the appropriate position in Part 4 of Schedule 1AB (table)</w:t>
      </w:r>
    </w:p>
    <w:p w14:paraId="7381DED5" w14:textId="77777777" w:rsidR="00F95BFF" w:rsidRPr="002E5DBC" w:rsidRDefault="00F95BFF" w:rsidP="00EF5414">
      <w:pPr>
        <w:tabs>
          <w:tab w:val="left" w:pos="936"/>
        </w:tabs>
        <w:rPr>
          <w:rFonts w:ascii="Times New Roman" w:hAnsi="Times New Roman"/>
          <w:color w:val="000000" w:themeColor="text1"/>
          <w:sz w:val="24"/>
          <w:szCs w:val="24"/>
        </w:rPr>
      </w:pPr>
    </w:p>
    <w:p w14:paraId="584E7FE6" w14:textId="106C6850" w:rsidR="00F95BFF" w:rsidRPr="002E5DBC" w:rsidRDefault="00F95BFF" w:rsidP="00EF5414">
      <w:pPr>
        <w:tabs>
          <w:tab w:val="left" w:pos="936"/>
        </w:tabs>
        <w:rPr>
          <w:rFonts w:ascii="Times New Roman" w:hAnsi="Times New Roman"/>
          <w:color w:val="000000" w:themeColor="text1"/>
          <w:sz w:val="24"/>
          <w:szCs w:val="24"/>
          <w:u w:val="single"/>
        </w:rPr>
      </w:pPr>
      <w:r w:rsidRPr="002E5DBC">
        <w:rPr>
          <w:rFonts w:ascii="Times New Roman" w:hAnsi="Times New Roman"/>
          <w:color w:val="000000" w:themeColor="text1"/>
          <w:sz w:val="24"/>
          <w:szCs w:val="24"/>
        </w:rPr>
        <w:t xml:space="preserve">This item adds </w:t>
      </w:r>
      <w:r w:rsidR="00D75A9F">
        <w:rPr>
          <w:rFonts w:ascii="Times New Roman" w:hAnsi="Times New Roman"/>
          <w:color w:val="000000" w:themeColor="text1"/>
          <w:sz w:val="24"/>
          <w:szCs w:val="24"/>
        </w:rPr>
        <w:t>three</w:t>
      </w:r>
      <w:r w:rsidRPr="002E5DBC">
        <w:rPr>
          <w:rFonts w:ascii="Times New Roman" w:hAnsi="Times New Roman"/>
          <w:color w:val="000000" w:themeColor="text1"/>
          <w:sz w:val="24"/>
          <w:szCs w:val="24"/>
        </w:rPr>
        <w:t xml:space="preserve"> new table items to Part 4 of Schedule 1AB to establish legislative authority for government spending on certain activities </w:t>
      </w:r>
      <w:r w:rsidR="00D75A9F">
        <w:rPr>
          <w:rFonts w:ascii="Times New Roman" w:hAnsi="Times New Roman"/>
          <w:color w:val="000000" w:themeColor="text1"/>
          <w:sz w:val="24"/>
          <w:szCs w:val="24"/>
        </w:rPr>
        <w:t xml:space="preserve">that will be </w:t>
      </w:r>
      <w:r w:rsidRPr="002E5DBC">
        <w:rPr>
          <w:rFonts w:ascii="Times New Roman" w:hAnsi="Times New Roman"/>
          <w:color w:val="000000" w:themeColor="text1"/>
          <w:sz w:val="24"/>
          <w:szCs w:val="24"/>
        </w:rPr>
        <w:t xml:space="preserve">administered by </w:t>
      </w:r>
      <w:r w:rsidR="002F4AEB">
        <w:rPr>
          <w:rFonts w:ascii="Times New Roman" w:hAnsi="Times New Roman"/>
          <w:color w:val="000000" w:themeColor="text1"/>
          <w:sz w:val="24"/>
          <w:szCs w:val="24"/>
        </w:rPr>
        <w:t>the Department of Education, Skills and Employment (</w:t>
      </w:r>
      <w:r w:rsidRPr="002E5DBC">
        <w:rPr>
          <w:rFonts w:ascii="Times New Roman" w:hAnsi="Times New Roman"/>
          <w:color w:val="000000" w:themeColor="text1"/>
          <w:sz w:val="24"/>
          <w:szCs w:val="24"/>
        </w:rPr>
        <w:t>the department</w:t>
      </w:r>
      <w:r w:rsidR="002F4AEB">
        <w:rPr>
          <w:rFonts w:ascii="Times New Roman" w:hAnsi="Times New Roman"/>
          <w:color w:val="000000" w:themeColor="text1"/>
          <w:sz w:val="24"/>
          <w:szCs w:val="24"/>
        </w:rPr>
        <w:t>)</w:t>
      </w:r>
      <w:r w:rsidRPr="002E5DBC">
        <w:rPr>
          <w:rFonts w:ascii="Times New Roman" w:hAnsi="Times New Roman"/>
          <w:color w:val="000000" w:themeColor="text1"/>
          <w:sz w:val="24"/>
          <w:szCs w:val="24"/>
        </w:rPr>
        <w:t>.</w:t>
      </w:r>
    </w:p>
    <w:p w14:paraId="203262F1" w14:textId="77777777" w:rsidR="00F95BFF" w:rsidRPr="002E5DBC" w:rsidRDefault="00F95BFF" w:rsidP="00EF5414">
      <w:pPr>
        <w:rPr>
          <w:rFonts w:ascii="Times New Roman" w:hAnsi="Times New Roman"/>
          <w:sz w:val="24"/>
          <w:szCs w:val="24"/>
        </w:rPr>
      </w:pPr>
    </w:p>
    <w:p w14:paraId="6BF9C68E" w14:textId="5186B71F" w:rsidR="00D75A9F" w:rsidRDefault="00D75A9F" w:rsidP="00D75A9F">
      <w:pPr>
        <w:rPr>
          <w:rFonts w:ascii="Times New Roman" w:hAnsi="Times New Roman"/>
          <w:sz w:val="24"/>
          <w:szCs w:val="24"/>
        </w:rPr>
      </w:pPr>
      <w:r w:rsidRPr="00C01092">
        <w:rPr>
          <w:rFonts w:ascii="Times New Roman" w:hAnsi="Times New Roman"/>
          <w:iCs/>
          <w:sz w:val="24"/>
          <w:szCs w:val="24"/>
        </w:rPr>
        <w:t xml:space="preserve">New </w:t>
      </w:r>
      <w:r w:rsidRPr="00C01092">
        <w:rPr>
          <w:rFonts w:ascii="Times New Roman" w:hAnsi="Times New Roman"/>
          <w:b/>
          <w:iCs/>
          <w:sz w:val="24"/>
          <w:szCs w:val="24"/>
        </w:rPr>
        <w:t xml:space="preserve">table item </w:t>
      </w:r>
      <w:r w:rsidR="005E1C7F">
        <w:rPr>
          <w:rFonts w:ascii="Times New Roman" w:hAnsi="Times New Roman"/>
          <w:b/>
          <w:iCs/>
          <w:sz w:val="24"/>
          <w:szCs w:val="24"/>
        </w:rPr>
        <w:t>459</w:t>
      </w:r>
      <w:r w:rsidRPr="00C01092">
        <w:rPr>
          <w:rFonts w:ascii="Times New Roman" w:hAnsi="Times New Roman"/>
          <w:iCs/>
          <w:sz w:val="24"/>
          <w:szCs w:val="24"/>
        </w:rPr>
        <w:t xml:space="preserve"> establishes legislative authority for government spending </w:t>
      </w:r>
      <w:r>
        <w:rPr>
          <w:rFonts w:ascii="Times New Roman" w:hAnsi="Times New Roman"/>
          <w:iCs/>
          <w:sz w:val="24"/>
          <w:szCs w:val="24"/>
        </w:rPr>
        <w:t xml:space="preserve">on the </w:t>
      </w:r>
      <w:r w:rsidRPr="00C01092">
        <w:rPr>
          <w:rFonts w:ascii="Times New Roman" w:hAnsi="Times New Roman"/>
          <w:iCs/>
          <w:sz w:val="24"/>
          <w:szCs w:val="24"/>
        </w:rPr>
        <w:t>establish</w:t>
      </w:r>
      <w:r>
        <w:rPr>
          <w:rFonts w:ascii="Times New Roman" w:hAnsi="Times New Roman"/>
          <w:iCs/>
          <w:sz w:val="24"/>
          <w:szCs w:val="24"/>
        </w:rPr>
        <w:t>ment and operation of</w:t>
      </w:r>
      <w:r w:rsidRPr="00C01092">
        <w:rPr>
          <w:rFonts w:ascii="Times New Roman" w:hAnsi="Times New Roman"/>
          <w:iCs/>
          <w:sz w:val="24"/>
          <w:szCs w:val="24"/>
        </w:rPr>
        <w:t xml:space="preserve"> the National Microcredentials Marketplace (the Marketplace), which will be a nationally consistent </w:t>
      </w:r>
      <w:r>
        <w:rPr>
          <w:rFonts w:ascii="Times New Roman" w:hAnsi="Times New Roman"/>
          <w:iCs/>
          <w:sz w:val="24"/>
          <w:szCs w:val="24"/>
        </w:rPr>
        <w:t xml:space="preserve">online </w:t>
      </w:r>
      <w:r w:rsidRPr="00C01092">
        <w:rPr>
          <w:rFonts w:ascii="Times New Roman" w:hAnsi="Times New Roman"/>
          <w:iCs/>
          <w:sz w:val="24"/>
          <w:szCs w:val="24"/>
        </w:rPr>
        <w:t>platform for students to compare short courses against higher education provider offerings and credit point value</w:t>
      </w:r>
      <w:r w:rsidRPr="00C01092">
        <w:rPr>
          <w:rFonts w:ascii="Times New Roman" w:hAnsi="Times New Roman"/>
          <w:sz w:val="24"/>
          <w:szCs w:val="24"/>
        </w:rPr>
        <w:t>. The Marketplace will facilitate credit recognition across the sector, support industry needs and encourage ongoing engagement in lifetime learning.</w:t>
      </w:r>
    </w:p>
    <w:p w14:paraId="68431A70" w14:textId="77777777" w:rsidR="00D75A9F" w:rsidRDefault="00D75A9F" w:rsidP="00D75A9F">
      <w:pPr>
        <w:rPr>
          <w:rFonts w:ascii="Times New Roman" w:hAnsi="Times New Roman"/>
          <w:sz w:val="24"/>
          <w:szCs w:val="24"/>
        </w:rPr>
      </w:pPr>
    </w:p>
    <w:p w14:paraId="715A2768" w14:textId="157B10B5" w:rsidR="00D75A9F" w:rsidRPr="00C01092" w:rsidRDefault="00D75A9F" w:rsidP="00D75A9F">
      <w:pPr>
        <w:rPr>
          <w:rFonts w:ascii="Times New Roman" w:hAnsi="Times New Roman"/>
          <w:sz w:val="24"/>
          <w:szCs w:val="24"/>
        </w:rPr>
      </w:pPr>
      <w:r>
        <w:rPr>
          <w:rFonts w:ascii="Times New Roman" w:hAnsi="Times New Roman"/>
          <w:sz w:val="24"/>
          <w:szCs w:val="24"/>
        </w:rPr>
        <w:t xml:space="preserve">The term ‘microcredentials’ has been utilised over the years to refer to a variety of </w:t>
      </w:r>
      <w:r w:rsidRPr="3E488AD6">
        <w:rPr>
          <w:rFonts w:ascii="Times New Roman" w:hAnsi="Times New Roman"/>
          <w:sz w:val="24"/>
          <w:szCs w:val="24"/>
        </w:rPr>
        <w:t>non</w:t>
      </w:r>
      <w:r>
        <w:rPr>
          <w:rFonts w:ascii="Times New Roman" w:hAnsi="Times New Roman"/>
          <w:sz w:val="24"/>
          <w:szCs w:val="24"/>
        </w:rPr>
        <w:noBreakHyphen/>
      </w:r>
      <w:r w:rsidRPr="3E488AD6">
        <w:rPr>
          <w:rFonts w:ascii="Times New Roman" w:hAnsi="Times New Roman"/>
          <w:sz w:val="24"/>
          <w:szCs w:val="24"/>
        </w:rPr>
        <w:t>traditional</w:t>
      </w:r>
      <w:r>
        <w:rPr>
          <w:rFonts w:ascii="Times New Roman" w:hAnsi="Times New Roman"/>
          <w:sz w:val="24"/>
          <w:szCs w:val="24"/>
        </w:rPr>
        <w:t xml:space="preserve"> short-form courses from digital badges, short courses, single-unit studies, and nano-degrees up to workshops on skills such as empathy and teamwork. Microcredentials can have a recognised credit from an institution, meaning they can be studied and used towards a qualification, such as a diploma or a degree. Some microcredentials are non-credit bearing, and they may be used more as skill badges or proof of knowledge about a topic. Some employers accept microcredentials as evidence of knowledge, skill or competency whereas others do not. This is due in part to the variation in scope and the saturation in the market of available microcredentials.</w:t>
      </w:r>
    </w:p>
    <w:p w14:paraId="2AA6B020" w14:textId="77777777" w:rsidR="00D75A9F" w:rsidRPr="00C01092" w:rsidRDefault="00D75A9F" w:rsidP="00D75A9F">
      <w:pPr>
        <w:rPr>
          <w:rFonts w:ascii="Times New Roman" w:hAnsi="Times New Roman"/>
          <w:sz w:val="24"/>
          <w:szCs w:val="24"/>
        </w:rPr>
      </w:pPr>
    </w:p>
    <w:p w14:paraId="57BF9277" w14:textId="77777777" w:rsidR="00D75A9F" w:rsidRDefault="00D75A9F" w:rsidP="00D75A9F">
      <w:pPr>
        <w:rPr>
          <w:rFonts w:ascii="Times New Roman" w:hAnsi="Times New Roman"/>
          <w:sz w:val="24"/>
          <w:szCs w:val="24"/>
        </w:rPr>
      </w:pPr>
      <w:r w:rsidRPr="00D4474D">
        <w:rPr>
          <w:rFonts w:ascii="Times New Roman" w:hAnsi="Times New Roman"/>
          <w:sz w:val="24"/>
          <w:szCs w:val="24"/>
        </w:rPr>
        <w:t xml:space="preserve">There is currently no consensus, or easily understood approach to verifying or recognising microcredentials, which in turn makes it difficult </w:t>
      </w:r>
      <w:r>
        <w:rPr>
          <w:rFonts w:ascii="Times New Roman" w:hAnsi="Times New Roman"/>
          <w:sz w:val="24"/>
          <w:szCs w:val="24"/>
        </w:rPr>
        <w:t>for</w:t>
      </w:r>
      <w:r w:rsidRPr="00D4474D">
        <w:rPr>
          <w:rFonts w:ascii="Times New Roman" w:hAnsi="Times New Roman"/>
          <w:sz w:val="24"/>
          <w:szCs w:val="24"/>
        </w:rPr>
        <w:t xml:space="preserve"> employers to quantify or attribute value and validity of learning towards microcredentials.</w:t>
      </w:r>
      <w:r>
        <w:rPr>
          <w:rFonts w:ascii="Times New Roman" w:hAnsi="Times New Roman"/>
          <w:sz w:val="24"/>
          <w:szCs w:val="24"/>
        </w:rPr>
        <w:t xml:space="preserve"> </w:t>
      </w:r>
    </w:p>
    <w:p w14:paraId="6B62CD13" w14:textId="77777777" w:rsidR="00D75A9F" w:rsidRDefault="00D75A9F" w:rsidP="00D75A9F">
      <w:pPr>
        <w:rPr>
          <w:rFonts w:ascii="Times New Roman" w:hAnsi="Times New Roman"/>
          <w:sz w:val="24"/>
          <w:szCs w:val="24"/>
        </w:rPr>
      </w:pPr>
    </w:p>
    <w:p w14:paraId="486236AE" w14:textId="46F39BC6" w:rsidR="00D75A9F" w:rsidRDefault="00D75A9F" w:rsidP="00D75A9F">
      <w:pPr>
        <w:rPr>
          <w:rFonts w:ascii="Times New Roman" w:hAnsi="Times New Roman"/>
          <w:sz w:val="24"/>
          <w:szCs w:val="24"/>
        </w:rPr>
      </w:pPr>
      <w:r>
        <w:rPr>
          <w:rFonts w:ascii="Times New Roman" w:hAnsi="Times New Roman"/>
          <w:iCs/>
          <w:sz w:val="24"/>
          <w:szCs w:val="24"/>
        </w:rPr>
        <w:t>T</w:t>
      </w:r>
      <w:r w:rsidRPr="00C01092">
        <w:rPr>
          <w:rFonts w:ascii="Times New Roman" w:hAnsi="Times New Roman"/>
          <w:iCs/>
          <w:sz w:val="24"/>
          <w:szCs w:val="24"/>
        </w:rPr>
        <w:t xml:space="preserve">he </w:t>
      </w:r>
      <w:r w:rsidRPr="00E636FC">
        <w:rPr>
          <w:rFonts w:ascii="Times New Roman" w:hAnsi="Times New Roman"/>
          <w:i/>
          <w:iCs/>
          <w:sz w:val="24"/>
          <w:szCs w:val="24"/>
        </w:rPr>
        <w:t>Review of the Australian Qualifications Framework Final Report 2019</w:t>
      </w:r>
      <w:r>
        <w:rPr>
          <w:rFonts w:ascii="Times New Roman" w:hAnsi="Times New Roman"/>
          <w:iCs/>
          <w:sz w:val="24"/>
          <w:szCs w:val="24"/>
        </w:rPr>
        <w:t xml:space="preserve"> (the AQF Review) has defined a</w:t>
      </w:r>
      <w:r w:rsidRPr="00C01092">
        <w:rPr>
          <w:rFonts w:ascii="Times New Roman" w:hAnsi="Times New Roman"/>
          <w:iCs/>
          <w:sz w:val="24"/>
          <w:szCs w:val="24"/>
        </w:rPr>
        <w:t xml:space="preserve"> microcredential as </w:t>
      </w:r>
      <w:r>
        <w:rPr>
          <w:rFonts w:ascii="Times New Roman" w:hAnsi="Times New Roman"/>
          <w:iCs/>
          <w:sz w:val="24"/>
          <w:szCs w:val="24"/>
        </w:rPr>
        <w:t>‘</w:t>
      </w:r>
      <w:r w:rsidRPr="00C01092">
        <w:rPr>
          <w:rFonts w:ascii="Times New Roman" w:hAnsi="Times New Roman"/>
          <w:iCs/>
          <w:sz w:val="24"/>
          <w:szCs w:val="24"/>
        </w:rPr>
        <w:t>a certification of assessed learning that is additional, alternative, complementary to or a component part of a formal qualification</w:t>
      </w:r>
      <w:r>
        <w:rPr>
          <w:rFonts w:ascii="Times New Roman" w:hAnsi="Times New Roman"/>
          <w:iCs/>
          <w:sz w:val="24"/>
          <w:szCs w:val="24"/>
        </w:rPr>
        <w:t>’. The</w:t>
      </w:r>
      <w:r w:rsidR="00E636FC">
        <w:rPr>
          <w:rFonts w:ascii="Times New Roman" w:hAnsi="Times New Roman"/>
          <w:iCs/>
          <w:sz w:val="24"/>
          <w:szCs w:val="24"/>
        </w:rPr>
        <w:t> </w:t>
      </w:r>
      <w:r>
        <w:rPr>
          <w:rFonts w:ascii="Times New Roman" w:hAnsi="Times New Roman"/>
          <w:iCs/>
          <w:sz w:val="24"/>
          <w:szCs w:val="24"/>
        </w:rPr>
        <w:t xml:space="preserve">AQF Review </w:t>
      </w:r>
      <w:r w:rsidRPr="00066AC1">
        <w:rPr>
          <w:rFonts w:ascii="Times New Roman" w:hAnsi="Times New Roman"/>
          <w:sz w:val="24"/>
          <w:szCs w:val="24"/>
        </w:rPr>
        <w:t xml:space="preserve">(available at </w:t>
      </w:r>
      <w:r w:rsidRPr="006817DD">
        <w:rPr>
          <w:rFonts w:ascii="Times New Roman" w:hAnsi="Times New Roman"/>
          <w:sz w:val="24"/>
          <w:szCs w:val="24"/>
          <w:u w:val="single"/>
        </w:rPr>
        <w:t>www.education.gov.au/australian-qualifications-framework-review-0</w:t>
      </w:r>
      <w:r w:rsidRPr="00066AC1">
        <w:rPr>
          <w:rFonts w:ascii="Times New Roman" w:hAnsi="Times New Roman"/>
          <w:sz w:val="24"/>
          <w:szCs w:val="24"/>
        </w:rPr>
        <w:t>)</w:t>
      </w:r>
      <w:r>
        <w:rPr>
          <w:rFonts w:ascii="Times New Roman" w:hAnsi="Times New Roman"/>
          <w:sz w:val="24"/>
          <w:szCs w:val="24"/>
        </w:rPr>
        <w:t xml:space="preserve"> found that microcredentials are an emerging credential with the possibility to provide businesses with job ready skills in both the vocational education and training and higher education sectors. The AQF Review recommended the development of guidelines to facilitate the recognition of shorter form credentials (including microcredentials) for credit to allow education providers to offer short, highly targeted courses. </w:t>
      </w:r>
    </w:p>
    <w:p w14:paraId="7AD896E3" w14:textId="77777777" w:rsidR="00D75A9F" w:rsidRDefault="00D75A9F" w:rsidP="00D75A9F">
      <w:pPr>
        <w:rPr>
          <w:rFonts w:ascii="Times New Roman" w:hAnsi="Times New Roman"/>
          <w:sz w:val="24"/>
          <w:szCs w:val="24"/>
        </w:rPr>
      </w:pPr>
    </w:p>
    <w:p w14:paraId="62216EF6" w14:textId="77777777" w:rsidR="00D75A9F" w:rsidRDefault="00D75A9F" w:rsidP="00D75A9F">
      <w:pPr>
        <w:rPr>
          <w:rFonts w:ascii="Times New Roman" w:hAnsi="Times New Roman"/>
          <w:iCs/>
          <w:sz w:val="24"/>
          <w:szCs w:val="24"/>
        </w:rPr>
      </w:pPr>
      <w:r>
        <w:rPr>
          <w:rFonts w:ascii="Times New Roman" w:hAnsi="Times New Roman"/>
          <w:sz w:val="24"/>
          <w:szCs w:val="24"/>
        </w:rPr>
        <w:t>The Government response to the AQF Review will ensure that guidelines on credit recognition for microcredentials are developed with industry, sector and state/territory support. On 9 December 2019, the Government accepted all the recommendations of the AQF Review in relation to higher education and accepted the aims of the recommendations of the review in relation to vocational education and training, contingent on further discussions with state and territory governments.</w:t>
      </w:r>
    </w:p>
    <w:p w14:paraId="37AAADCE" w14:textId="77777777" w:rsidR="00D75A9F" w:rsidRDefault="00D75A9F" w:rsidP="00D75A9F">
      <w:pPr>
        <w:rPr>
          <w:rFonts w:ascii="Times New Roman" w:hAnsi="Times New Roman"/>
          <w:iCs/>
          <w:sz w:val="24"/>
          <w:szCs w:val="24"/>
        </w:rPr>
      </w:pPr>
    </w:p>
    <w:p w14:paraId="29DA9AE5" w14:textId="202A6DDA" w:rsidR="00D75A9F" w:rsidRPr="00AB51B7" w:rsidRDefault="00D75A9F" w:rsidP="00D75A9F">
      <w:pPr>
        <w:rPr>
          <w:rFonts w:ascii="Times New Roman" w:hAnsi="Times New Roman"/>
          <w:sz w:val="24"/>
          <w:szCs w:val="24"/>
        </w:rPr>
      </w:pPr>
      <w:r>
        <w:rPr>
          <w:rFonts w:ascii="Times New Roman" w:hAnsi="Times New Roman"/>
          <w:sz w:val="24"/>
          <w:szCs w:val="24"/>
        </w:rPr>
        <w:t xml:space="preserve">The Minister for Education, the Hon Dan Tehan MP, and the Minister for Employment, Skills, Small and Family Business, Senator the Hon Michaelia Cash, announced the </w:t>
      </w:r>
      <w:r w:rsidRPr="00C01092">
        <w:rPr>
          <w:rFonts w:ascii="Times New Roman" w:hAnsi="Times New Roman"/>
          <w:sz w:val="24"/>
          <w:szCs w:val="24"/>
        </w:rPr>
        <w:t>Marketpl</w:t>
      </w:r>
      <w:r>
        <w:rPr>
          <w:rFonts w:ascii="Times New Roman" w:hAnsi="Times New Roman"/>
          <w:sz w:val="24"/>
          <w:szCs w:val="24"/>
        </w:rPr>
        <w:t xml:space="preserve">ace on 22 June 2020, </w:t>
      </w:r>
      <w:r w:rsidRPr="00C01092">
        <w:rPr>
          <w:rFonts w:ascii="Times New Roman" w:hAnsi="Times New Roman"/>
          <w:sz w:val="24"/>
          <w:szCs w:val="24"/>
        </w:rPr>
        <w:t>as part of the Government’s Job-</w:t>
      </w:r>
      <w:r>
        <w:rPr>
          <w:rFonts w:ascii="Times New Roman" w:hAnsi="Times New Roman"/>
          <w:sz w:val="24"/>
          <w:szCs w:val="24"/>
        </w:rPr>
        <w:t>r</w:t>
      </w:r>
      <w:r w:rsidRPr="00C01092">
        <w:rPr>
          <w:rFonts w:ascii="Times New Roman" w:hAnsi="Times New Roman"/>
          <w:sz w:val="24"/>
          <w:szCs w:val="24"/>
        </w:rPr>
        <w:t>eady Graduates Package w</w:t>
      </w:r>
      <w:r>
        <w:rPr>
          <w:rFonts w:ascii="Times New Roman" w:hAnsi="Times New Roman"/>
          <w:sz w:val="24"/>
          <w:szCs w:val="24"/>
        </w:rPr>
        <w:t>hich aims to</w:t>
      </w:r>
      <w:bookmarkStart w:id="0" w:name="_GoBack"/>
      <w:bookmarkEnd w:id="0"/>
      <w:r w:rsidRPr="00C01092">
        <w:rPr>
          <w:rFonts w:ascii="Times New Roman" w:hAnsi="Times New Roman"/>
          <w:sz w:val="24"/>
          <w:szCs w:val="24"/>
        </w:rPr>
        <w:t xml:space="preserve"> develop an educated and highly</w:t>
      </w:r>
      <w:r w:rsidR="00E636FC">
        <w:rPr>
          <w:rFonts w:ascii="Times New Roman" w:hAnsi="Times New Roman"/>
          <w:sz w:val="24"/>
          <w:szCs w:val="24"/>
        </w:rPr>
        <w:t xml:space="preserve"> </w:t>
      </w:r>
      <w:r w:rsidRPr="00C01092">
        <w:rPr>
          <w:rFonts w:ascii="Times New Roman" w:hAnsi="Times New Roman"/>
          <w:sz w:val="24"/>
          <w:szCs w:val="24"/>
        </w:rPr>
        <w:t>skilled workforce that would help facilitate Australia’s</w:t>
      </w:r>
      <w:r>
        <w:rPr>
          <w:rFonts w:ascii="Times New Roman" w:hAnsi="Times New Roman"/>
          <w:sz w:val="24"/>
          <w:szCs w:val="24"/>
        </w:rPr>
        <w:t xml:space="preserve"> economic recovery from the </w:t>
      </w:r>
      <w:r w:rsidRPr="00C01092">
        <w:rPr>
          <w:rFonts w:ascii="Times New Roman" w:hAnsi="Times New Roman"/>
          <w:sz w:val="24"/>
          <w:szCs w:val="24"/>
        </w:rPr>
        <w:t xml:space="preserve">COVID-19 </w:t>
      </w:r>
      <w:r>
        <w:rPr>
          <w:rFonts w:ascii="Times New Roman" w:hAnsi="Times New Roman"/>
          <w:sz w:val="24"/>
          <w:szCs w:val="24"/>
        </w:rPr>
        <w:t>pandemic</w:t>
      </w:r>
      <w:r w:rsidRPr="00C01092">
        <w:rPr>
          <w:rFonts w:ascii="Times New Roman" w:hAnsi="Times New Roman"/>
          <w:sz w:val="24"/>
          <w:szCs w:val="24"/>
        </w:rPr>
        <w:t xml:space="preserve">. </w:t>
      </w:r>
      <w:r>
        <w:rPr>
          <w:rFonts w:ascii="Times New Roman" w:hAnsi="Times New Roman"/>
          <w:sz w:val="24"/>
          <w:szCs w:val="24"/>
        </w:rPr>
        <w:t xml:space="preserve">Details of the ministerial announcement are available at </w:t>
      </w:r>
      <w:r w:rsidRPr="00FA74DE">
        <w:rPr>
          <w:rFonts w:ascii="Times New Roman" w:hAnsi="Times New Roman"/>
          <w:sz w:val="24"/>
          <w:szCs w:val="24"/>
          <w:u w:val="single"/>
        </w:rPr>
        <w:t>ministers.dese.gov.au/tehan/marketplace-online-microcredentials</w:t>
      </w:r>
      <w:r w:rsidRPr="00E636FC">
        <w:t>.</w:t>
      </w:r>
    </w:p>
    <w:p w14:paraId="4274FB9D" w14:textId="77777777" w:rsidR="00D75A9F" w:rsidRDefault="00D75A9F" w:rsidP="00D75A9F">
      <w:pPr>
        <w:rPr>
          <w:rFonts w:ascii="Times New Roman" w:hAnsi="Times New Roman"/>
          <w:sz w:val="24"/>
          <w:szCs w:val="24"/>
        </w:rPr>
      </w:pPr>
    </w:p>
    <w:p w14:paraId="1CE58743" w14:textId="77777777" w:rsidR="00D75A9F" w:rsidRDefault="00D75A9F" w:rsidP="00D75A9F">
      <w:pPr>
        <w:rPr>
          <w:rFonts w:ascii="Times New Roman" w:hAnsi="Times New Roman"/>
          <w:sz w:val="24"/>
          <w:szCs w:val="24"/>
        </w:rPr>
      </w:pPr>
      <w:r w:rsidRPr="00066AC1">
        <w:rPr>
          <w:rFonts w:ascii="Times New Roman" w:hAnsi="Times New Roman"/>
          <w:sz w:val="24"/>
          <w:szCs w:val="24"/>
        </w:rPr>
        <w:t xml:space="preserve">The Marketplace will </w:t>
      </w:r>
      <w:r>
        <w:rPr>
          <w:rFonts w:ascii="Times New Roman" w:hAnsi="Times New Roman"/>
          <w:sz w:val="24"/>
          <w:szCs w:val="24"/>
        </w:rPr>
        <w:t>be incorporated into development of</w:t>
      </w:r>
      <w:r w:rsidRPr="00066AC1">
        <w:rPr>
          <w:rFonts w:ascii="Times New Roman" w:hAnsi="Times New Roman"/>
          <w:sz w:val="24"/>
          <w:szCs w:val="24"/>
        </w:rPr>
        <w:t xml:space="preserve"> the Tertiary Learning Repository (TLR), an online platform for students and graduates to access, compile and display their tertiary learning achievements and wider credentials. The TLR aims to build on and complement other </w:t>
      </w:r>
      <w:r>
        <w:rPr>
          <w:rFonts w:ascii="Times New Roman" w:hAnsi="Times New Roman"/>
          <w:sz w:val="24"/>
          <w:szCs w:val="24"/>
        </w:rPr>
        <w:t xml:space="preserve">digital </w:t>
      </w:r>
      <w:r w:rsidRPr="00066AC1">
        <w:rPr>
          <w:rFonts w:ascii="Times New Roman" w:hAnsi="Times New Roman"/>
          <w:sz w:val="24"/>
          <w:szCs w:val="24"/>
        </w:rPr>
        <w:t>initiatives such as Course Seeker</w:t>
      </w:r>
      <w:r>
        <w:rPr>
          <w:rFonts w:ascii="Times New Roman" w:hAnsi="Times New Roman"/>
          <w:sz w:val="24"/>
          <w:szCs w:val="24"/>
        </w:rPr>
        <w:t xml:space="preserve"> </w:t>
      </w:r>
      <w:r w:rsidRPr="00066AC1">
        <w:rPr>
          <w:rFonts w:ascii="Times New Roman" w:hAnsi="Times New Roman"/>
          <w:sz w:val="24"/>
          <w:szCs w:val="24"/>
        </w:rPr>
        <w:t>(</w:t>
      </w:r>
      <w:r>
        <w:rPr>
          <w:rFonts w:ascii="Times New Roman" w:hAnsi="Times New Roman"/>
          <w:sz w:val="24"/>
          <w:szCs w:val="24"/>
          <w:u w:val="single"/>
        </w:rPr>
        <w:t>www.courseseeker.edu.au</w:t>
      </w:r>
      <w:r w:rsidRPr="00066AC1">
        <w:rPr>
          <w:rFonts w:ascii="Times New Roman" w:hAnsi="Times New Roman"/>
          <w:sz w:val="24"/>
          <w:szCs w:val="24"/>
        </w:rPr>
        <w:t>)</w:t>
      </w:r>
      <w:r>
        <w:rPr>
          <w:rFonts w:ascii="Times New Roman" w:hAnsi="Times New Roman"/>
          <w:sz w:val="24"/>
          <w:szCs w:val="24"/>
        </w:rPr>
        <w:t xml:space="preserve"> and</w:t>
      </w:r>
      <w:r w:rsidRPr="00066AC1">
        <w:rPr>
          <w:rFonts w:ascii="Times New Roman" w:hAnsi="Times New Roman"/>
          <w:sz w:val="24"/>
          <w:szCs w:val="24"/>
        </w:rPr>
        <w:t xml:space="preserve"> the </w:t>
      </w:r>
      <w:r>
        <w:rPr>
          <w:rFonts w:ascii="Times New Roman" w:hAnsi="Times New Roman"/>
          <w:sz w:val="24"/>
          <w:szCs w:val="24"/>
        </w:rPr>
        <w:t>National Careers Institute’s</w:t>
      </w:r>
      <w:r w:rsidRPr="00066AC1">
        <w:rPr>
          <w:rFonts w:ascii="Times New Roman" w:hAnsi="Times New Roman"/>
          <w:sz w:val="24"/>
          <w:szCs w:val="24"/>
        </w:rPr>
        <w:t xml:space="preserve"> digital platform </w:t>
      </w:r>
      <w:r>
        <w:rPr>
          <w:rFonts w:ascii="Times New Roman" w:hAnsi="Times New Roman"/>
          <w:sz w:val="24"/>
          <w:szCs w:val="24"/>
        </w:rPr>
        <w:t>(</w:t>
      </w:r>
      <w:r w:rsidRPr="00066AC1">
        <w:rPr>
          <w:rFonts w:ascii="Times New Roman" w:hAnsi="Times New Roman"/>
          <w:sz w:val="24"/>
          <w:szCs w:val="24"/>
        </w:rPr>
        <w:t xml:space="preserve">development </w:t>
      </w:r>
      <w:r>
        <w:rPr>
          <w:rFonts w:ascii="Times New Roman" w:hAnsi="Times New Roman"/>
          <w:sz w:val="24"/>
          <w:szCs w:val="24"/>
        </w:rPr>
        <w:t xml:space="preserve">is </w:t>
      </w:r>
      <w:r w:rsidRPr="00066AC1">
        <w:rPr>
          <w:rFonts w:ascii="Times New Roman" w:hAnsi="Times New Roman"/>
          <w:sz w:val="24"/>
          <w:szCs w:val="24"/>
        </w:rPr>
        <w:t>currently underway</w:t>
      </w:r>
      <w:r>
        <w:rPr>
          <w:rFonts w:ascii="Times New Roman" w:hAnsi="Times New Roman"/>
          <w:sz w:val="24"/>
          <w:szCs w:val="24"/>
        </w:rPr>
        <w:t>)</w:t>
      </w:r>
      <w:r w:rsidRPr="00066AC1">
        <w:rPr>
          <w:rFonts w:ascii="Times New Roman" w:hAnsi="Times New Roman"/>
          <w:sz w:val="24"/>
          <w:szCs w:val="24"/>
        </w:rPr>
        <w:t xml:space="preserve">. </w:t>
      </w:r>
    </w:p>
    <w:p w14:paraId="2C82C4EC" w14:textId="77777777" w:rsidR="00D75A9F" w:rsidRDefault="00D75A9F" w:rsidP="00D75A9F">
      <w:pPr>
        <w:rPr>
          <w:rFonts w:ascii="Times New Roman" w:hAnsi="Times New Roman"/>
          <w:sz w:val="24"/>
          <w:szCs w:val="24"/>
        </w:rPr>
      </w:pPr>
    </w:p>
    <w:p w14:paraId="2FC95253" w14:textId="77777777" w:rsidR="00D75A9F" w:rsidRDefault="00D75A9F" w:rsidP="00D75A9F">
      <w:pPr>
        <w:rPr>
          <w:rFonts w:ascii="Times New Roman" w:hAnsi="Times New Roman"/>
          <w:sz w:val="24"/>
          <w:szCs w:val="24"/>
        </w:rPr>
      </w:pPr>
      <w:r w:rsidRPr="00066AC1">
        <w:rPr>
          <w:rFonts w:ascii="Times New Roman" w:hAnsi="Times New Roman"/>
          <w:sz w:val="24"/>
          <w:szCs w:val="24"/>
        </w:rPr>
        <w:t>The TLR will be delivered through the development of the National Credentials Platform (NCP). The NCP is a joint initiative between the department, Universities Australia, Universities Admissions Centre, and Higher Ed Services</w:t>
      </w:r>
      <w:r>
        <w:rPr>
          <w:rFonts w:ascii="Times New Roman" w:hAnsi="Times New Roman"/>
          <w:sz w:val="24"/>
          <w:szCs w:val="24"/>
        </w:rPr>
        <w:t>. It will</w:t>
      </w:r>
      <w:r w:rsidRPr="00066AC1">
        <w:rPr>
          <w:rFonts w:ascii="Times New Roman" w:hAnsi="Times New Roman"/>
          <w:sz w:val="24"/>
          <w:szCs w:val="24"/>
        </w:rPr>
        <w:t xml:space="preserve"> provid</w:t>
      </w:r>
      <w:r>
        <w:rPr>
          <w:rFonts w:ascii="Times New Roman" w:hAnsi="Times New Roman"/>
          <w:sz w:val="24"/>
          <w:szCs w:val="24"/>
        </w:rPr>
        <w:t>e</w:t>
      </w:r>
      <w:r w:rsidRPr="00066AC1">
        <w:rPr>
          <w:rFonts w:ascii="Times New Roman" w:hAnsi="Times New Roman"/>
          <w:sz w:val="24"/>
          <w:szCs w:val="24"/>
        </w:rPr>
        <w:t xml:space="preserve"> learners with visibility of their academic history, including AQF and non-AQF qualifications, through a secure online platform. The Marketplace </w:t>
      </w:r>
      <w:r>
        <w:rPr>
          <w:rFonts w:ascii="Times New Roman" w:hAnsi="Times New Roman"/>
          <w:sz w:val="24"/>
          <w:szCs w:val="24"/>
        </w:rPr>
        <w:t xml:space="preserve">aims to incorporate a microcredentials framework that ends up being integrated into the AQF, providing consistency and longevity of microcredential study as part of the wider qualification network in Australia.  </w:t>
      </w:r>
    </w:p>
    <w:p w14:paraId="596803A8" w14:textId="77777777" w:rsidR="00D75A9F" w:rsidRDefault="00D75A9F" w:rsidP="00D75A9F">
      <w:pPr>
        <w:rPr>
          <w:rFonts w:ascii="Times New Roman" w:hAnsi="Times New Roman"/>
          <w:sz w:val="24"/>
          <w:szCs w:val="24"/>
        </w:rPr>
      </w:pPr>
    </w:p>
    <w:p w14:paraId="06612524" w14:textId="7F147E8D" w:rsidR="00D75A9F" w:rsidRDefault="00D75A9F" w:rsidP="00D75A9F">
      <w:pPr>
        <w:rPr>
          <w:rFonts w:ascii="Times New Roman" w:hAnsi="Times New Roman"/>
          <w:sz w:val="24"/>
          <w:szCs w:val="24"/>
        </w:rPr>
      </w:pPr>
      <w:r w:rsidRPr="00066AC1">
        <w:rPr>
          <w:rFonts w:ascii="Times New Roman" w:hAnsi="Times New Roman"/>
          <w:sz w:val="24"/>
          <w:szCs w:val="24"/>
        </w:rPr>
        <w:t xml:space="preserve">The NCP is currently in </w:t>
      </w:r>
      <w:r w:rsidRPr="00D41443">
        <w:rPr>
          <w:rFonts w:ascii="Times New Roman" w:hAnsi="Times New Roman"/>
          <w:sz w:val="24"/>
          <w:szCs w:val="24"/>
        </w:rPr>
        <w:t>development, with the project expected to be completed by January</w:t>
      </w:r>
      <w:r w:rsidR="00E636FC">
        <w:rPr>
          <w:rFonts w:ascii="Times New Roman" w:hAnsi="Times New Roman"/>
          <w:sz w:val="24"/>
          <w:szCs w:val="24"/>
        </w:rPr>
        <w:t> </w:t>
      </w:r>
      <w:r w:rsidRPr="00D41443">
        <w:rPr>
          <w:rFonts w:ascii="Times New Roman" w:hAnsi="Times New Roman"/>
          <w:sz w:val="24"/>
          <w:szCs w:val="24"/>
        </w:rPr>
        <w:t>2022. The Marketplace will allow stud</w:t>
      </w:r>
      <w:r w:rsidRPr="00066AC1">
        <w:rPr>
          <w:rFonts w:ascii="Times New Roman" w:hAnsi="Times New Roman"/>
          <w:sz w:val="24"/>
          <w:szCs w:val="24"/>
        </w:rPr>
        <w:t>ents to view microcredential courses from various providers across Australia, and compare which courses are recognised by other education institutions and can be used as credit towards larger qualifications.</w:t>
      </w:r>
      <w:r>
        <w:rPr>
          <w:rFonts w:ascii="Times New Roman" w:hAnsi="Times New Roman"/>
          <w:sz w:val="24"/>
          <w:szCs w:val="24"/>
        </w:rPr>
        <w:t xml:space="preserve"> Through this tool, students will be able to consider microcredential study and how choosing to study various courses can contribute to a larger qualification, or build a particular skill set.</w:t>
      </w:r>
    </w:p>
    <w:p w14:paraId="57DA9923" w14:textId="77777777" w:rsidR="00D75A9F" w:rsidRPr="00066AC1" w:rsidRDefault="00D75A9F" w:rsidP="00D75A9F">
      <w:pPr>
        <w:rPr>
          <w:rFonts w:ascii="Times New Roman" w:hAnsi="Times New Roman"/>
          <w:sz w:val="24"/>
          <w:szCs w:val="24"/>
        </w:rPr>
      </w:pPr>
    </w:p>
    <w:p w14:paraId="7831C35B" w14:textId="77777777" w:rsidR="00D75A9F" w:rsidRDefault="00D75A9F" w:rsidP="00D75A9F">
      <w:pPr>
        <w:rPr>
          <w:rFonts w:ascii="Times New Roman" w:hAnsi="Times New Roman"/>
          <w:sz w:val="24"/>
          <w:szCs w:val="24"/>
        </w:rPr>
      </w:pPr>
      <w:r w:rsidRPr="00066AC1">
        <w:rPr>
          <w:rFonts w:ascii="Times New Roman" w:hAnsi="Times New Roman"/>
          <w:sz w:val="24"/>
          <w:szCs w:val="24"/>
        </w:rPr>
        <w:t>The Marketplace will complement the NCP</w:t>
      </w:r>
      <w:r>
        <w:rPr>
          <w:rFonts w:ascii="Times New Roman" w:hAnsi="Times New Roman"/>
          <w:sz w:val="24"/>
          <w:szCs w:val="24"/>
        </w:rPr>
        <w:t xml:space="preserve"> by</w:t>
      </w:r>
      <w:r w:rsidRPr="00066AC1">
        <w:rPr>
          <w:rFonts w:ascii="Times New Roman" w:hAnsi="Times New Roman"/>
          <w:sz w:val="24"/>
          <w:szCs w:val="24"/>
        </w:rPr>
        <w:t xml:space="preserve"> offering students, graduates and job seekers the ability to find microcredentials that supplement </w:t>
      </w:r>
      <w:r>
        <w:rPr>
          <w:rFonts w:ascii="Times New Roman" w:hAnsi="Times New Roman"/>
          <w:sz w:val="24"/>
          <w:szCs w:val="24"/>
        </w:rPr>
        <w:t xml:space="preserve">their education and experience. </w:t>
      </w:r>
      <w:r w:rsidRPr="00066AC1">
        <w:rPr>
          <w:rFonts w:ascii="Times New Roman" w:hAnsi="Times New Roman"/>
          <w:sz w:val="24"/>
          <w:szCs w:val="24"/>
        </w:rPr>
        <w:t xml:space="preserve">With the </w:t>
      </w:r>
      <w:r w:rsidRPr="00DB04E2">
        <w:rPr>
          <w:rFonts w:ascii="Times New Roman" w:hAnsi="Times New Roman"/>
          <w:sz w:val="24"/>
          <w:szCs w:val="24"/>
        </w:rPr>
        <w:t>NCP providing a single source for a learner’s tertiary education credentials, integrating the Marketplace will provide a seamless connection to short-course study options, enabling credit recognition and supporting engagement in lifelong learning.</w:t>
      </w:r>
      <w:r>
        <w:rPr>
          <w:rFonts w:ascii="Times New Roman" w:hAnsi="Times New Roman"/>
          <w:sz w:val="24"/>
          <w:szCs w:val="24"/>
        </w:rPr>
        <w:t xml:space="preserve"> </w:t>
      </w:r>
      <w:r w:rsidRPr="00066AC1">
        <w:rPr>
          <w:rFonts w:ascii="Times New Roman" w:hAnsi="Times New Roman"/>
          <w:sz w:val="24"/>
          <w:szCs w:val="24"/>
        </w:rPr>
        <w:t xml:space="preserve">By working alongside and leveraging </w:t>
      </w:r>
      <w:r>
        <w:rPr>
          <w:rFonts w:ascii="Times New Roman" w:hAnsi="Times New Roman"/>
          <w:sz w:val="24"/>
          <w:szCs w:val="24"/>
        </w:rPr>
        <w:t xml:space="preserve">existing and developing Commonwealth </w:t>
      </w:r>
      <w:r w:rsidRPr="00066AC1">
        <w:rPr>
          <w:rFonts w:ascii="Times New Roman" w:hAnsi="Times New Roman"/>
          <w:sz w:val="24"/>
          <w:szCs w:val="24"/>
        </w:rPr>
        <w:t>platforms, the Marketplace will support ongoing engagement in lifelong learning by helping individuals</w:t>
      </w:r>
      <w:r>
        <w:rPr>
          <w:rFonts w:ascii="Times New Roman" w:hAnsi="Times New Roman"/>
          <w:sz w:val="24"/>
          <w:szCs w:val="24"/>
        </w:rPr>
        <w:t xml:space="preserve"> (such as students, graduates and job seekers)</w:t>
      </w:r>
      <w:r w:rsidRPr="00066AC1">
        <w:rPr>
          <w:rFonts w:ascii="Times New Roman" w:hAnsi="Times New Roman"/>
          <w:sz w:val="24"/>
          <w:szCs w:val="24"/>
        </w:rPr>
        <w:t xml:space="preserve"> identify opportunities</w:t>
      </w:r>
      <w:r w:rsidRPr="00F970AC">
        <w:rPr>
          <w:rFonts w:ascii="Times New Roman" w:hAnsi="Times New Roman"/>
          <w:sz w:val="24"/>
          <w:szCs w:val="24"/>
        </w:rPr>
        <w:t xml:space="preserve"> for skill</w:t>
      </w:r>
      <w:r>
        <w:rPr>
          <w:rFonts w:ascii="Times New Roman" w:hAnsi="Times New Roman"/>
          <w:sz w:val="24"/>
          <w:szCs w:val="24"/>
        </w:rPr>
        <w:t>s</w:t>
      </w:r>
      <w:r w:rsidRPr="00F970AC">
        <w:rPr>
          <w:rFonts w:ascii="Times New Roman" w:hAnsi="Times New Roman"/>
          <w:sz w:val="24"/>
          <w:szCs w:val="24"/>
        </w:rPr>
        <w:t xml:space="preserve"> development, and provide verified recognition of prior learning to help streamline the transition between education and employment. The Marketplace will also enable and encourage industry to develop short</w:t>
      </w:r>
      <w:r>
        <w:rPr>
          <w:rFonts w:ascii="Times New Roman" w:hAnsi="Times New Roman"/>
          <w:sz w:val="24"/>
          <w:szCs w:val="24"/>
        </w:rPr>
        <w:noBreakHyphen/>
      </w:r>
      <w:r w:rsidRPr="00F970AC">
        <w:rPr>
          <w:rFonts w:ascii="Times New Roman" w:hAnsi="Times New Roman"/>
          <w:sz w:val="24"/>
          <w:szCs w:val="24"/>
        </w:rPr>
        <w:t>course programs to deliver ‘real-time’ skill</w:t>
      </w:r>
      <w:r>
        <w:rPr>
          <w:rFonts w:ascii="Times New Roman" w:hAnsi="Times New Roman"/>
          <w:sz w:val="24"/>
          <w:szCs w:val="24"/>
        </w:rPr>
        <w:t xml:space="preserve"> </w:t>
      </w:r>
      <w:r w:rsidRPr="00F970AC">
        <w:rPr>
          <w:rFonts w:ascii="Times New Roman" w:hAnsi="Times New Roman"/>
          <w:sz w:val="24"/>
          <w:szCs w:val="24"/>
        </w:rPr>
        <w:t>sets based on labour market needs.</w:t>
      </w:r>
      <w:r>
        <w:rPr>
          <w:rFonts w:ascii="Times New Roman" w:hAnsi="Times New Roman"/>
          <w:sz w:val="24"/>
          <w:szCs w:val="24"/>
        </w:rPr>
        <w:t xml:space="preserve"> More information on the Marketplace is available at </w:t>
      </w:r>
      <w:r w:rsidRPr="00797F14">
        <w:rPr>
          <w:rFonts w:ascii="Times New Roman" w:hAnsi="Times New Roman"/>
          <w:sz w:val="24"/>
          <w:szCs w:val="24"/>
          <w:u w:val="single"/>
        </w:rPr>
        <w:t>www.dese.gov.au/document/better-integrated-tertiary-system-national-microcredentials-marketplace</w:t>
      </w:r>
      <w:r w:rsidRPr="00E636FC">
        <w:t>.</w:t>
      </w:r>
    </w:p>
    <w:p w14:paraId="28206CA0" w14:textId="77777777" w:rsidR="00D75A9F" w:rsidRDefault="00D75A9F" w:rsidP="00D75A9F">
      <w:pPr>
        <w:rPr>
          <w:rFonts w:ascii="Times New Roman" w:hAnsi="Times New Roman"/>
          <w:sz w:val="24"/>
          <w:szCs w:val="24"/>
        </w:rPr>
      </w:pPr>
    </w:p>
    <w:p w14:paraId="7EF4059F" w14:textId="77777777" w:rsidR="00D75A9F" w:rsidRDefault="00D75A9F" w:rsidP="00D75A9F">
      <w:pPr>
        <w:rPr>
          <w:rFonts w:ascii="Times New Roman" w:hAnsi="Times New Roman"/>
          <w:sz w:val="24"/>
          <w:szCs w:val="24"/>
        </w:rPr>
      </w:pPr>
      <w:r w:rsidRPr="00DB04E2">
        <w:rPr>
          <w:rFonts w:ascii="Times New Roman" w:hAnsi="Times New Roman"/>
          <w:sz w:val="24"/>
          <w:szCs w:val="24"/>
        </w:rPr>
        <w:t xml:space="preserve">The Government will provide funding for the Marketplace </w:t>
      </w:r>
      <w:r>
        <w:rPr>
          <w:rFonts w:ascii="Times New Roman" w:hAnsi="Times New Roman"/>
          <w:sz w:val="24"/>
          <w:szCs w:val="24"/>
        </w:rPr>
        <w:t>through</w:t>
      </w:r>
      <w:r w:rsidRPr="00DB04E2">
        <w:rPr>
          <w:rFonts w:ascii="Times New Roman" w:hAnsi="Times New Roman"/>
          <w:sz w:val="24"/>
          <w:szCs w:val="24"/>
        </w:rPr>
        <w:t xml:space="preserve"> an open tender procurement for user research, </w:t>
      </w:r>
      <w:r w:rsidRPr="006817DD">
        <w:rPr>
          <w:rFonts w:ascii="Times New Roman" w:hAnsi="Times New Roman"/>
          <w:sz w:val="24"/>
          <w:szCs w:val="24"/>
        </w:rPr>
        <w:t xml:space="preserve">followed by a </w:t>
      </w:r>
      <w:r>
        <w:rPr>
          <w:rFonts w:ascii="Times New Roman" w:hAnsi="Times New Roman"/>
          <w:sz w:val="24"/>
          <w:szCs w:val="24"/>
        </w:rPr>
        <w:t>closed</w:t>
      </w:r>
      <w:r w:rsidRPr="006817DD">
        <w:rPr>
          <w:rFonts w:ascii="Times New Roman" w:hAnsi="Times New Roman"/>
          <w:sz w:val="24"/>
          <w:szCs w:val="24"/>
        </w:rPr>
        <w:t xml:space="preserve"> </w:t>
      </w:r>
      <w:r w:rsidRPr="3E488AD6">
        <w:rPr>
          <w:rFonts w:ascii="Times New Roman" w:hAnsi="Times New Roman"/>
          <w:sz w:val="24"/>
          <w:szCs w:val="24"/>
        </w:rPr>
        <w:t>non</w:t>
      </w:r>
      <w:r>
        <w:rPr>
          <w:rFonts w:ascii="Times New Roman" w:hAnsi="Times New Roman"/>
          <w:sz w:val="24"/>
          <w:szCs w:val="24"/>
        </w:rPr>
        <w:noBreakHyphen/>
      </w:r>
      <w:r w:rsidRPr="3E488AD6">
        <w:rPr>
          <w:rFonts w:ascii="Times New Roman" w:hAnsi="Times New Roman"/>
          <w:sz w:val="24"/>
          <w:szCs w:val="24"/>
        </w:rPr>
        <w:t>competitive</w:t>
      </w:r>
      <w:r w:rsidRPr="006817DD">
        <w:rPr>
          <w:rFonts w:ascii="Times New Roman" w:hAnsi="Times New Roman"/>
          <w:sz w:val="24"/>
          <w:szCs w:val="24"/>
        </w:rPr>
        <w:t xml:space="preserve"> grant for ICT system development.</w:t>
      </w:r>
      <w:r w:rsidRPr="00DB04E2">
        <w:rPr>
          <w:rFonts w:ascii="Times New Roman" w:hAnsi="Times New Roman"/>
          <w:sz w:val="24"/>
          <w:szCs w:val="24"/>
        </w:rPr>
        <w:t xml:space="preserve"> </w:t>
      </w:r>
    </w:p>
    <w:p w14:paraId="72889A3F" w14:textId="77777777" w:rsidR="00D75A9F" w:rsidRDefault="00D75A9F" w:rsidP="00D75A9F">
      <w:pPr>
        <w:rPr>
          <w:rFonts w:ascii="Times New Roman" w:hAnsi="Times New Roman"/>
          <w:sz w:val="24"/>
          <w:szCs w:val="24"/>
        </w:rPr>
      </w:pPr>
    </w:p>
    <w:p w14:paraId="7D925BE4" w14:textId="77777777" w:rsidR="00D75A9F" w:rsidRPr="00D41443" w:rsidRDefault="00D75A9F" w:rsidP="00D75A9F">
      <w:pPr>
        <w:rPr>
          <w:rFonts w:ascii="Times New Roman" w:hAnsi="Times New Roman"/>
          <w:sz w:val="24"/>
          <w:szCs w:val="24"/>
        </w:rPr>
      </w:pPr>
      <w:r w:rsidRPr="00DB04E2">
        <w:rPr>
          <w:rFonts w:ascii="Times New Roman" w:hAnsi="Times New Roman"/>
          <w:sz w:val="24"/>
          <w:szCs w:val="24"/>
        </w:rPr>
        <w:t>Procurement activities will be conducted cons</w:t>
      </w:r>
      <w:r w:rsidRPr="00D41443">
        <w:rPr>
          <w:rFonts w:ascii="Times New Roman" w:hAnsi="Times New Roman"/>
          <w:sz w:val="24"/>
          <w:szCs w:val="24"/>
        </w:rPr>
        <w:t xml:space="preserve">istent with the </w:t>
      </w:r>
      <w:r w:rsidRPr="00D41443">
        <w:rPr>
          <w:rFonts w:ascii="Times New Roman" w:hAnsi="Times New Roman"/>
          <w:i/>
          <w:sz w:val="24"/>
          <w:szCs w:val="24"/>
        </w:rPr>
        <w:t>Commonwealth Procurement Rules</w:t>
      </w:r>
      <w:r w:rsidRPr="00D41443">
        <w:rPr>
          <w:rFonts w:ascii="Times New Roman" w:hAnsi="Times New Roman"/>
          <w:sz w:val="24"/>
          <w:szCs w:val="24"/>
        </w:rPr>
        <w:t xml:space="preserve">, including publishing information on AusTender at </w:t>
      </w:r>
      <w:r w:rsidRPr="00D41443">
        <w:rPr>
          <w:rFonts w:ascii="Times New Roman" w:hAnsi="Times New Roman"/>
          <w:sz w:val="24"/>
          <w:szCs w:val="24"/>
          <w:u w:val="single"/>
        </w:rPr>
        <w:t>www.tenders.gov.au</w:t>
      </w:r>
      <w:r w:rsidRPr="00D41443">
        <w:rPr>
          <w:rFonts w:ascii="Times New Roman" w:hAnsi="Times New Roman"/>
          <w:sz w:val="24"/>
          <w:szCs w:val="24"/>
        </w:rPr>
        <w:t xml:space="preserve"> as required. </w:t>
      </w:r>
    </w:p>
    <w:p w14:paraId="72DC4784" w14:textId="77777777" w:rsidR="00D75A9F" w:rsidRPr="00D41443" w:rsidRDefault="00D75A9F" w:rsidP="00D75A9F">
      <w:pPr>
        <w:rPr>
          <w:rFonts w:ascii="Times New Roman" w:hAnsi="Times New Roman"/>
          <w:sz w:val="24"/>
          <w:szCs w:val="24"/>
        </w:rPr>
      </w:pPr>
    </w:p>
    <w:p w14:paraId="07B07F61" w14:textId="77777777" w:rsidR="00D75A9F" w:rsidRDefault="00D75A9F" w:rsidP="00D75A9F">
      <w:pPr>
        <w:rPr>
          <w:rFonts w:ascii="Times New Roman" w:hAnsi="Times New Roman"/>
          <w:sz w:val="24"/>
          <w:szCs w:val="24"/>
        </w:rPr>
      </w:pPr>
      <w:r w:rsidRPr="00D41443">
        <w:rPr>
          <w:rFonts w:ascii="Times New Roman" w:hAnsi="Times New Roman"/>
          <w:sz w:val="24"/>
          <w:szCs w:val="24"/>
        </w:rPr>
        <w:t xml:space="preserve">The grant will be administered in accordance with the Commonwealth grants policy framework, including the </w:t>
      </w:r>
      <w:r w:rsidRPr="00D41443">
        <w:rPr>
          <w:rFonts w:ascii="Times New Roman" w:hAnsi="Times New Roman"/>
          <w:i/>
          <w:sz w:val="24"/>
          <w:szCs w:val="24"/>
        </w:rPr>
        <w:t>Commonwealth Grants Rules and Guidelines 2017</w:t>
      </w:r>
      <w:r w:rsidRPr="00D41443">
        <w:rPr>
          <w:rFonts w:ascii="Times New Roman" w:hAnsi="Times New Roman"/>
          <w:sz w:val="24"/>
          <w:szCs w:val="24"/>
        </w:rPr>
        <w:t xml:space="preserve">. The grant opportunity guidelines and information on the award of the grant will be made publicly available on GrantConnect at </w:t>
      </w:r>
      <w:r w:rsidRPr="00D41443">
        <w:rPr>
          <w:rFonts w:ascii="Times New Roman" w:hAnsi="Times New Roman"/>
          <w:sz w:val="24"/>
          <w:szCs w:val="24"/>
          <w:u w:val="single"/>
        </w:rPr>
        <w:t>www.grants.gov.au</w:t>
      </w:r>
      <w:r w:rsidRPr="00D41443">
        <w:rPr>
          <w:rFonts w:ascii="Times New Roman" w:hAnsi="Times New Roman"/>
          <w:sz w:val="24"/>
          <w:szCs w:val="24"/>
        </w:rPr>
        <w:t>. The gra</w:t>
      </w:r>
      <w:r w:rsidRPr="00DB04E2">
        <w:rPr>
          <w:rFonts w:ascii="Times New Roman" w:hAnsi="Times New Roman"/>
          <w:sz w:val="24"/>
          <w:szCs w:val="24"/>
        </w:rPr>
        <w:t>nt will be administered by the Community Grants Hub</w:t>
      </w:r>
      <w:r>
        <w:rPr>
          <w:rFonts w:ascii="Times New Roman" w:hAnsi="Times New Roman"/>
          <w:sz w:val="24"/>
          <w:szCs w:val="24"/>
        </w:rPr>
        <w:t xml:space="preserve"> which is part of</w:t>
      </w:r>
      <w:r w:rsidRPr="00DB04E2">
        <w:rPr>
          <w:rFonts w:ascii="Times New Roman" w:hAnsi="Times New Roman"/>
          <w:sz w:val="24"/>
          <w:szCs w:val="24"/>
        </w:rPr>
        <w:t xml:space="preserve"> the Department of Social Services.</w:t>
      </w:r>
    </w:p>
    <w:p w14:paraId="1913596C" w14:textId="77777777" w:rsidR="00D75A9F" w:rsidRPr="00DB04E2" w:rsidRDefault="00D75A9F" w:rsidP="00D75A9F">
      <w:pPr>
        <w:rPr>
          <w:rFonts w:ascii="Times New Roman" w:hAnsi="Times New Roman"/>
          <w:sz w:val="24"/>
          <w:szCs w:val="24"/>
        </w:rPr>
      </w:pPr>
    </w:p>
    <w:p w14:paraId="165A4C05" w14:textId="77777777" w:rsidR="00D75A9F" w:rsidRDefault="00D75A9F" w:rsidP="00D75A9F">
      <w:pPr>
        <w:rPr>
          <w:rFonts w:ascii="Times New Roman" w:hAnsi="Times New Roman"/>
          <w:sz w:val="24"/>
          <w:szCs w:val="24"/>
        </w:rPr>
      </w:pPr>
      <w:r w:rsidRPr="00DB04E2">
        <w:rPr>
          <w:rFonts w:ascii="Times New Roman" w:hAnsi="Times New Roman"/>
          <w:sz w:val="24"/>
          <w:szCs w:val="24"/>
        </w:rPr>
        <w:t xml:space="preserve">Decisions as to the awarding of the procurement and grant </w:t>
      </w:r>
      <w:r>
        <w:rPr>
          <w:rFonts w:ascii="Times New Roman" w:hAnsi="Times New Roman"/>
          <w:sz w:val="24"/>
          <w:szCs w:val="24"/>
        </w:rPr>
        <w:t xml:space="preserve">funding </w:t>
      </w:r>
      <w:r w:rsidRPr="00DB04E2">
        <w:rPr>
          <w:rFonts w:ascii="Times New Roman" w:hAnsi="Times New Roman"/>
          <w:sz w:val="24"/>
          <w:szCs w:val="24"/>
        </w:rPr>
        <w:t>will be made by a delegate of the Secretary of the department. The providers will be determined based on their ability to meet the specific needs of the pro</w:t>
      </w:r>
      <w:r>
        <w:rPr>
          <w:rFonts w:ascii="Times New Roman" w:hAnsi="Times New Roman"/>
          <w:sz w:val="24"/>
          <w:szCs w:val="24"/>
        </w:rPr>
        <w:t>ject</w:t>
      </w:r>
      <w:r w:rsidRPr="00DB04E2">
        <w:rPr>
          <w:rFonts w:ascii="Times New Roman" w:hAnsi="Times New Roman"/>
          <w:sz w:val="24"/>
          <w:szCs w:val="24"/>
        </w:rPr>
        <w:t xml:space="preserve"> within the designated budget. The department will be responsible for the ongoing operation of the </w:t>
      </w:r>
      <w:r>
        <w:rPr>
          <w:rFonts w:ascii="Times New Roman" w:hAnsi="Times New Roman"/>
          <w:sz w:val="24"/>
          <w:szCs w:val="24"/>
        </w:rPr>
        <w:t>M</w:t>
      </w:r>
      <w:r w:rsidRPr="00DB04E2">
        <w:rPr>
          <w:rFonts w:ascii="Times New Roman" w:hAnsi="Times New Roman"/>
          <w:sz w:val="24"/>
          <w:szCs w:val="24"/>
        </w:rPr>
        <w:t>arketplace.</w:t>
      </w:r>
      <w:r>
        <w:rPr>
          <w:rFonts w:ascii="Times New Roman" w:hAnsi="Times New Roman"/>
          <w:sz w:val="24"/>
          <w:szCs w:val="24"/>
        </w:rPr>
        <w:t xml:space="preserve"> </w:t>
      </w:r>
    </w:p>
    <w:p w14:paraId="21230FBE" w14:textId="77777777" w:rsidR="00D75A9F" w:rsidRPr="00DB04E2" w:rsidRDefault="00D75A9F" w:rsidP="00D75A9F">
      <w:pPr>
        <w:rPr>
          <w:rFonts w:ascii="Times New Roman" w:hAnsi="Times New Roman"/>
          <w:sz w:val="24"/>
          <w:szCs w:val="24"/>
        </w:rPr>
      </w:pPr>
    </w:p>
    <w:p w14:paraId="591FC124" w14:textId="77777777" w:rsidR="00D75A9F" w:rsidRDefault="00D75A9F" w:rsidP="00D75A9F">
      <w:pPr>
        <w:rPr>
          <w:rFonts w:ascii="Times New Roman" w:hAnsi="Times New Roman"/>
          <w:sz w:val="24"/>
          <w:szCs w:val="24"/>
        </w:rPr>
      </w:pPr>
      <w:r w:rsidRPr="00254109">
        <w:rPr>
          <w:rFonts w:ascii="Times New Roman" w:hAnsi="Times New Roman"/>
          <w:sz w:val="24"/>
          <w:szCs w:val="24"/>
        </w:rPr>
        <w:t xml:space="preserve">Funding decisions made </w:t>
      </w:r>
      <w:r>
        <w:rPr>
          <w:rFonts w:ascii="Times New Roman" w:hAnsi="Times New Roman"/>
          <w:sz w:val="24"/>
          <w:szCs w:val="24"/>
        </w:rPr>
        <w:t xml:space="preserve">in connection with the procurement are not considered appropriate for merits review, as they relate </w:t>
      </w:r>
      <w:r w:rsidRPr="00254109">
        <w:rPr>
          <w:rFonts w:ascii="Times New Roman" w:hAnsi="Times New Roman"/>
          <w:sz w:val="24"/>
          <w:szCs w:val="24"/>
        </w:rPr>
        <w:t xml:space="preserve">to the allocation of finite resources between competing applicants and an allocation that has already been made to another party would be affected by overturning the original decision. The Administrative Review Council has recognised that it is justifiable to exclude merits review in relation to decisions of this nature (see </w:t>
      </w:r>
      <w:r>
        <w:rPr>
          <w:rFonts w:ascii="Times New Roman" w:hAnsi="Times New Roman"/>
          <w:sz w:val="24"/>
          <w:szCs w:val="24"/>
        </w:rPr>
        <w:t>paragraphs</w:t>
      </w:r>
      <w:r w:rsidRPr="00254109">
        <w:rPr>
          <w:rFonts w:ascii="Times New Roman" w:hAnsi="Times New Roman"/>
          <w:sz w:val="24"/>
          <w:szCs w:val="24"/>
        </w:rPr>
        <w:t xml:space="preserve"> 4.11 to 4.14 of the </w:t>
      </w:r>
      <w:r>
        <w:rPr>
          <w:rFonts w:ascii="Times New Roman" w:hAnsi="Times New Roman"/>
          <w:sz w:val="24"/>
          <w:szCs w:val="24"/>
        </w:rPr>
        <w:t>guide,</w:t>
      </w:r>
      <w:r w:rsidRPr="00254109">
        <w:rPr>
          <w:rFonts w:ascii="Times New Roman" w:hAnsi="Times New Roman"/>
          <w:sz w:val="24"/>
          <w:szCs w:val="24"/>
        </w:rPr>
        <w:t xml:space="preserve"> </w:t>
      </w:r>
      <w:r w:rsidRPr="00254109">
        <w:rPr>
          <w:rFonts w:ascii="Times New Roman" w:hAnsi="Times New Roman"/>
          <w:i/>
          <w:sz w:val="24"/>
          <w:szCs w:val="24"/>
        </w:rPr>
        <w:t>What decisions should be subject to merit review?</w:t>
      </w:r>
      <w:r w:rsidRPr="00254109">
        <w:rPr>
          <w:rFonts w:ascii="Times New Roman" w:hAnsi="Times New Roman"/>
          <w:sz w:val="24"/>
          <w:szCs w:val="24"/>
        </w:rPr>
        <w:t xml:space="preserve">). </w:t>
      </w:r>
    </w:p>
    <w:p w14:paraId="3241691B" w14:textId="77777777" w:rsidR="00D75A9F" w:rsidRPr="00254109" w:rsidRDefault="00D75A9F" w:rsidP="00D75A9F">
      <w:pPr>
        <w:rPr>
          <w:rFonts w:ascii="Times New Roman" w:hAnsi="Times New Roman"/>
          <w:sz w:val="24"/>
          <w:szCs w:val="24"/>
        </w:rPr>
      </w:pPr>
    </w:p>
    <w:p w14:paraId="126A0149" w14:textId="77777777" w:rsidR="00D75A9F" w:rsidRPr="00254109" w:rsidRDefault="00D75A9F" w:rsidP="00D75A9F">
      <w:pPr>
        <w:rPr>
          <w:rFonts w:ascii="Times New Roman" w:hAnsi="Times New Roman"/>
          <w:sz w:val="24"/>
          <w:szCs w:val="24"/>
        </w:rPr>
      </w:pPr>
      <w:r>
        <w:rPr>
          <w:rFonts w:ascii="Times New Roman" w:hAnsi="Times New Roman"/>
          <w:sz w:val="24"/>
          <w:szCs w:val="24"/>
        </w:rPr>
        <w:t>Funding decision</w:t>
      </w:r>
      <w:r w:rsidRPr="00254109">
        <w:rPr>
          <w:rFonts w:ascii="Times New Roman" w:hAnsi="Times New Roman"/>
          <w:sz w:val="24"/>
          <w:szCs w:val="24"/>
        </w:rPr>
        <w:t xml:space="preserve"> made </w:t>
      </w:r>
      <w:r>
        <w:rPr>
          <w:rFonts w:ascii="Times New Roman" w:hAnsi="Times New Roman"/>
          <w:sz w:val="24"/>
          <w:szCs w:val="24"/>
        </w:rPr>
        <w:t>in connection with the awarding of the grant is not considered appropriate for merits review,</w:t>
      </w:r>
      <w:r w:rsidRPr="00254109">
        <w:rPr>
          <w:rFonts w:ascii="Times New Roman" w:hAnsi="Times New Roman"/>
          <w:sz w:val="24"/>
          <w:szCs w:val="24"/>
        </w:rPr>
        <w:t xml:space="preserve"> as this is a decision to provide a one-off payment to a certain service provider, over other service providers. The Administrative Review Council has recognised that it is justifiable to exclude merits review in relation to decisions of this nature (see </w:t>
      </w:r>
      <w:r>
        <w:rPr>
          <w:rFonts w:ascii="Times New Roman" w:hAnsi="Times New Roman"/>
          <w:sz w:val="24"/>
          <w:szCs w:val="24"/>
        </w:rPr>
        <w:t>paragraph</w:t>
      </w:r>
      <w:r w:rsidRPr="00254109">
        <w:rPr>
          <w:rFonts w:ascii="Times New Roman" w:hAnsi="Times New Roman"/>
          <w:sz w:val="24"/>
          <w:szCs w:val="24"/>
        </w:rPr>
        <w:t xml:space="preserve"> 4.16 of the </w:t>
      </w:r>
      <w:r>
        <w:rPr>
          <w:rFonts w:ascii="Times New Roman" w:hAnsi="Times New Roman"/>
          <w:sz w:val="24"/>
          <w:szCs w:val="24"/>
        </w:rPr>
        <w:t>guide,</w:t>
      </w:r>
      <w:r w:rsidRPr="00254109">
        <w:rPr>
          <w:rFonts w:ascii="Times New Roman" w:hAnsi="Times New Roman"/>
          <w:sz w:val="24"/>
          <w:szCs w:val="24"/>
        </w:rPr>
        <w:t xml:space="preserve"> </w:t>
      </w:r>
      <w:r w:rsidRPr="00254109">
        <w:rPr>
          <w:rFonts w:ascii="Times New Roman" w:hAnsi="Times New Roman"/>
          <w:i/>
          <w:sz w:val="24"/>
          <w:szCs w:val="24"/>
        </w:rPr>
        <w:t>What decisions should be subject to merit review?</w:t>
      </w:r>
      <w:r w:rsidRPr="00254109">
        <w:rPr>
          <w:rFonts w:ascii="Times New Roman" w:hAnsi="Times New Roman"/>
          <w:sz w:val="24"/>
          <w:szCs w:val="24"/>
        </w:rPr>
        <w:t xml:space="preserve">). </w:t>
      </w:r>
    </w:p>
    <w:p w14:paraId="07C00425" w14:textId="77777777" w:rsidR="00D75A9F" w:rsidRDefault="00D75A9F" w:rsidP="00D75A9F">
      <w:pPr>
        <w:pStyle w:val="CABNETParagraph"/>
        <w:spacing w:before="0" w:after="0"/>
        <w:rPr>
          <w:rFonts w:ascii="Times New Roman" w:hAnsi="Times New Roman" w:cs="Times New Roman"/>
          <w:sz w:val="24"/>
          <w:szCs w:val="24"/>
        </w:rPr>
      </w:pPr>
    </w:p>
    <w:p w14:paraId="6C6BC2E0" w14:textId="77777777" w:rsidR="00D75A9F" w:rsidRPr="00D41443" w:rsidRDefault="00D75A9F" w:rsidP="00D75A9F">
      <w:pPr>
        <w:pStyle w:val="CABNETParagraph"/>
        <w:spacing w:before="0" w:after="0"/>
        <w:rPr>
          <w:rFonts w:ascii="Times New Roman" w:hAnsi="Times New Roman" w:cs="Times New Roman"/>
          <w:sz w:val="24"/>
          <w:szCs w:val="24"/>
        </w:rPr>
      </w:pPr>
      <w:r>
        <w:rPr>
          <w:rFonts w:ascii="Times New Roman" w:hAnsi="Times New Roman" w:cs="Times New Roman"/>
          <w:sz w:val="24"/>
          <w:szCs w:val="24"/>
        </w:rPr>
        <w:t>In addition</w:t>
      </w:r>
      <w:r w:rsidRPr="00D41443">
        <w:rPr>
          <w:rFonts w:ascii="Times New Roman" w:hAnsi="Times New Roman" w:cs="Times New Roman"/>
          <w:sz w:val="24"/>
          <w:szCs w:val="24"/>
        </w:rPr>
        <w:t>, re-making a funding decision after entry into contractual arrangements or a grant agreement with a recipient is legally complex, impractical, and would result in delays to the implementation of the Marketplace.</w:t>
      </w:r>
    </w:p>
    <w:p w14:paraId="7D1FF77E" w14:textId="77777777" w:rsidR="00D75A9F" w:rsidRPr="00D41443" w:rsidRDefault="00D75A9F" w:rsidP="00D75A9F">
      <w:pPr>
        <w:pStyle w:val="CABNETParagraph"/>
        <w:spacing w:before="0" w:after="0"/>
        <w:rPr>
          <w:rFonts w:ascii="Times New Roman" w:hAnsi="Times New Roman" w:cs="Times New Roman"/>
          <w:sz w:val="24"/>
          <w:szCs w:val="24"/>
        </w:rPr>
      </w:pPr>
    </w:p>
    <w:p w14:paraId="4E66A12C" w14:textId="77777777" w:rsidR="00D75A9F" w:rsidRPr="00D41443" w:rsidRDefault="00D75A9F" w:rsidP="00D75A9F">
      <w:pPr>
        <w:pStyle w:val="CABNETParagraph"/>
        <w:spacing w:before="0" w:after="0"/>
        <w:rPr>
          <w:rFonts w:ascii="Times New Roman" w:hAnsi="Times New Roman" w:cs="Times New Roman"/>
          <w:sz w:val="24"/>
          <w:szCs w:val="24"/>
        </w:rPr>
      </w:pPr>
      <w:r w:rsidRPr="00D41443">
        <w:rPr>
          <w:rFonts w:ascii="Times New Roman" w:hAnsi="Times New Roman" w:cs="Times New Roman"/>
          <w:sz w:val="24"/>
          <w:szCs w:val="24"/>
        </w:rPr>
        <w:lastRenderedPageBreak/>
        <w:t xml:space="preserve">The </w:t>
      </w:r>
      <w:r w:rsidRPr="00D41443">
        <w:rPr>
          <w:rFonts w:ascii="Times New Roman" w:hAnsi="Times New Roman" w:cs="Times New Roman"/>
          <w:i/>
          <w:sz w:val="24"/>
          <w:szCs w:val="24"/>
        </w:rPr>
        <w:t>Government Procurement (Judicial Review) Act 2018</w:t>
      </w:r>
      <w:r w:rsidRPr="00D41443">
        <w:rPr>
          <w:rFonts w:ascii="Times New Roman" w:hAnsi="Times New Roman" w:cs="Times New Roman"/>
          <w:sz w:val="24"/>
          <w:szCs w:val="24"/>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5241ED53" w14:textId="77777777" w:rsidR="00D75A9F" w:rsidRPr="00D41443" w:rsidRDefault="00D75A9F" w:rsidP="00D75A9F">
      <w:pPr>
        <w:pStyle w:val="CABNETParagraph"/>
        <w:spacing w:before="0" w:after="0"/>
        <w:rPr>
          <w:rFonts w:ascii="Times New Roman" w:hAnsi="Times New Roman" w:cs="Times New Roman"/>
          <w:sz w:val="24"/>
          <w:szCs w:val="24"/>
        </w:rPr>
      </w:pPr>
    </w:p>
    <w:p w14:paraId="463A68E9" w14:textId="77777777" w:rsidR="00D75A9F" w:rsidRPr="00D41443" w:rsidRDefault="00D75A9F" w:rsidP="00D75A9F">
      <w:pPr>
        <w:rPr>
          <w:rFonts w:ascii="Times New Roman" w:hAnsi="Times New Roman"/>
          <w:sz w:val="24"/>
          <w:szCs w:val="24"/>
        </w:rPr>
      </w:pPr>
      <w:r w:rsidRPr="00D41443">
        <w:rPr>
          <w:rFonts w:ascii="Times New Roman" w:hAnsi="Times New Roman"/>
          <w:sz w:val="24"/>
          <w:szCs w:val="24"/>
        </w:rPr>
        <w:t xml:space="preserve">The department will collaborate with education providers and the Digital Transformation Agency to create the online marketplace for mutually recognised microcredentials. This project will also be developed to align with other existing and developing government platforms, including but not limited to the Jobs and Education Data Integration project, Transforming the Collection of Student Information, Course Seeker website and the National Careers Institute’s digital platform. </w:t>
      </w:r>
    </w:p>
    <w:p w14:paraId="49D791BA" w14:textId="77777777" w:rsidR="00D75A9F" w:rsidRPr="00D41443" w:rsidRDefault="00D75A9F" w:rsidP="00D75A9F">
      <w:pPr>
        <w:rPr>
          <w:rFonts w:ascii="Times New Roman" w:hAnsi="Times New Roman"/>
          <w:sz w:val="24"/>
          <w:szCs w:val="24"/>
        </w:rPr>
      </w:pPr>
    </w:p>
    <w:p w14:paraId="6DFE79AA" w14:textId="77777777" w:rsidR="00D75A9F" w:rsidRDefault="00D75A9F" w:rsidP="00D75A9F">
      <w:pPr>
        <w:rPr>
          <w:rFonts w:ascii="Times New Roman" w:hAnsi="Times New Roman"/>
          <w:sz w:val="24"/>
          <w:szCs w:val="24"/>
        </w:rPr>
      </w:pPr>
      <w:r w:rsidRPr="00D41443">
        <w:rPr>
          <w:rFonts w:ascii="Times New Roman" w:hAnsi="Times New Roman"/>
          <w:sz w:val="24"/>
          <w:szCs w:val="24"/>
        </w:rPr>
        <w:t>Funding of $4.3 million was included in the July Economic and Fiscal Update</w:t>
      </w:r>
      <w:r w:rsidRPr="00D41443" w:rsidDel="00177EC7">
        <w:rPr>
          <w:rFonts w:ascii="Times New Roman" w:hAnsi="Times New Roman"/>
          <w:sz w:val="24"/>
          <w:szCs w:val="24"/>
        </w:rPr>
        <w:t xml:space="preserve"> </w:t>
      </w:r>
      <w:r w:rsidRPr="00D41443">
        <w:rPr>
          <w:rFonts w:ascii="Times New Roman" w:hAnsi="Times New Roman"/>
          <w:sz w:val="24"/>
          <w:szCs w:val="24"/>
        </w:rPr>
        <w:t>under the measure ‘Higher Education Reform – more job ready</w:t>
      </w:r>
      <w:r>
        <w:rPr>
          <w:rFonts w:ascii="Times New Roman" w:hAnsi="Times New Roman"/>
          <w:sz w:val="24"/>
          <w:szCs w:val="24"/>
        </w:rPr>
        <w:t xml:space="preserve"> graduates’ for a period of three</w:t>
      </w:r>
      <w:r w:rsidRPr="00017558">
        <w:rPr>
          <w:rFonts w:ascii="Times New Roman" w:hAnsi="Times New Roman"/>
          <w:sz w:val="24"/>
          <w:szCs w:val="24"/>
        </w:rPr>
        <w:t xml:space="preserve"> years </w:t>
      </w:r>
      <w:r>
        <w:rPr>
          <w:rFonts w:ascii="Times New Roman" w:hAnsi="Times New Roman"/>
          <w:sz w:val="24"/>
          <w:szCs w:val="24"/>
        </w:rPr>
        <w:t>commencing in</w:t>
      </w:r>
      <w:r w:rsidRPr="00017558">
        <w:rPr>
          <w:rFonts w:ascii="Times New Roman" w:hAnsi="Times New Roman"/>
          <w:sz w:val="24"/>
          <w:szCs w:val="24"/>
        </w:rPr>
        <w:t xml:space="preserve"> 2020-21</w:t>
      </w:r>
      <w:r>
        <w:rPr>
          <w:rFonts w:ascii="Times New Roman" w:hAnsi="Times New Roman"/>
          <w:sz w:val="24"/>
          <w:szCs w:val="24"/>
        </w:rPr>
        <w:t xml:space="preserve">. Details are set out in </w:t>
      </w:r>
      <w:r w:rsidRPr="002E5DBC">
        <w:rPr>
          <w:rFonts w:ascii="Times New Roman" w:hAnsi="Times New Roman"/>
          <w:i/>
          <w:sz w:val="24"/>
          <w:szCs w:val="24"/>
        </w:rPr>
        <w:t>Economic and Fiscal Update July 2020</w:t>
      </w:r>
      <w:r w:rsidRPr="002E5DBC">
        <w:rPr>
          <w:rFonts w:ascii="Times New Roman" w:hAnsi="Times New Roman"/>
          <w:sz w:val="24"/>
          <w:szCs w:val="24"/>
        </w:rPr>
        <w:t>, Appendix A: Policy decisions taken since the 2019-20 MYEFO</w:t>
      </w:r>
      <w:r>
        <w:rPr>
          <w:rFonts w:ascii="Times New Roman" w:hAnsi="Times New Roman"/>
          <w:i/>
          <w:sz w:val="24"/>
          <w:szCs w:val="24"/>
        </w:rPr>
        <w:t xml:space="preserve"> </w:t>
      </w:r>
      <w:r>
        <w:rPr>
          <w:rFonts w:ascii="Times New Roman" w:hAnsi="Times New Roman"/>
          <w:sz w:val="24"/>
          <w:szCs w:val="24"/>
        </w:rPr>
        <w:t xml:space="preserve">at </w:t>
      </w:r>
      <w:r w:rsidRPr="00C04D2E">
        <w:rPr>
          <w:rFonts w:ascii="Times New Roman" w:hAnsi="Times New Roman"/>
          <w:sz w:val="24"/>
          <w:szCs w:val="24"/>
        </w:rPr>
        <w:t>pages 123 to 124.</w:t>
      </w:r>
      <w:r w:rsidRPr="00D53D75">
        <w:rPr>
          <w:rFonts w:ascii="Times New Roman" w:hAnsi="Times New Roman"/>
          <w:sz w:val="24"/>
          <w:szCs w:val="24"/>
        </w:rPr>
        <w:t xml:space="preserve"> </w:t>
      </w:r>
    </w:p>
    <w:p w14:paraId="568E5A94" w14:textId="77777777" w:rsidR="00D75A9F" w:rsidRDefault="00D75A9F" w:rsidP="00D75A9F">
      <w:pPr>
        <w:rPr>
          <w:rFonts w:ascii="Times New Roman" w:hAnsi="Times New Roman"/>
          <w:sz w:val="24"/>
          <w:szCs w:val="24"/>
        </w:rPr>
      </w:pPr>
    </w:p>
    <w:p w14:paraId="2E35C84B" w14:textId="77777777" w:rsidR="00D75A9F" w:rsidRDefault="00D75A9F" w:rsidP="00D75A9F">
      <w:pPr>
        <w:rPr>
          <w:rFonts w:ascii="Times New Roman" w:hAnsi="Times New Roman"/>
          <w:sz w:val="24"/>
          <w:szCs w:val="24"/>
        </w:rPr>
      </w:pPr>
      <w:r w:rsidRPr="00017558">
        <w:rPr>
          <w:rFonts w:ascii="Times New Roman" w:hAnsi="Times New Roman"/>
          <w:sz w:val="24"/>
          <w:szCs w:val="24"/>
        </w:rPr>
        <w:t xml:space="preserve">Funding </w:t>
      </w:r>
      <w:r>
        <w:rPr>
          <w:rFonts w:ascii="Times New Roman" w:hAnsi="Times New Roman"/>
          <w:sz w:val="24"/>
          <w:szCs w:val="24"/>
        </w:rPr>
        <w:t xml:space="preserve">for this item </w:t>
      </w:r>
      <w:r w:rsidRPr="00017558">
        <w:rPr>
          <w:rFonts w:ascii="Times New Roman" w:hAnsi="Times New Roman"/>
          <w:sz w:val="24"/>
          <w:szCs w:val="24"/>
        </w:rPr>
        <w:t xml:space="preserve">will come from Program </w:t>
      </w:r>
      <w:r>
        <w:rPr>
          <w:rFonts w:ascii="Times New Roman" w:hAnsi="Times New Roman"/>
          <w:sz w:val="24"/>
          <w:szCs w:val="24"/>
        </w:rPr>
        <w:t>2.3</w:t>
      </w:r>
      <w:r w:rsidRPr="00017558">
        <w:rPr>
          <w:rFonts w:ascii="Times New Roman" w:hAnsi="Times New Roman"/>
          <w:sz w:val="24"/>
          <w:szCs w:val="24"/>
        </w:rPr>
        <w:t xml:space="preserve">: </w:t>
      </w:r>
      <w:r>
        <w:rPr>
          <w:rFonts w:ascii="Times New Roman" w:hAnsi="Times New Roman"/>
          <w:sz w:val="24"/>
          <w:szCs w:val="24"/>
        </w:rPr>
        <w:t>High</w:t>
      </w:r>
      <w:r w:rsidRPr="00C04D2E">
        <w:rPr>
          <w:rFonts w:ascii="Times New Roman" w:hAnsi="Times New Roman"/>
          <w:sz w:val="24"/>
          <w:szCs w:val="24"/>
        </w:rPr>
        <w:t xml:space="preserve">er Education Support, which is part of Outcome 2. Details are set out in the </w:t>
      </w:r>
      <w:r w:rsidRPr="00C04D2E">
        <w:rPr>
          <w:rFonts w:ascii="Times New Roman" w:hAnsi="Times New Roman"/>
          <w:i/>
          <w:sz w:val="24"/>
          <w:szCs w:val="24"/>
        </w:rPr>
        <w:t>Portfolio Budget Statements 2020-21, Budget Related Paper No. 1.4, Education, Skills and Employment Portfolio</w:t>
      </w:r>
      <w:r w:rsidRPr="00C04D2E">
        <w:rPr>
          <w:rFonts w:ascii="Times New Roman" w:hAnsi="Times New Roman"/>
          <w:sz w:val="24"/>
          <w:szCs w:val="24"/>
        </w:rPr>
        <w:t xml:space="preserve"> at page 54.</w:t>
      </w:r>
      <w:r w:rsidRPr="00017558">
        <w:rPr>
          <w:rFonts w:ascii="Times New Roman" w:hAnsi="Times New Roman"/>
          <w:sz w:val="24"/>
          <w:szCs w:val="24"/>
        </w:rPr>
        <w:t xml:space="preserve"> </w:t>
      </w:r>
    </w:p>
    <w:p w14:paraId="6051A7A2" w14:textId="77777777" w:rsidR="00D75A9F" w:rsidRDefault="00D75A9F" w:rsidP="00D75A9F">
      <w:pPr>
        <w:rPr>
          <w:rFonts w:ascii="Times New Roman" w:hAnsi="Times New Roman"/>
          <w:sz w:val="24"/>
          <w:szCs w:val="24"/>
        </w:rPr>
      </w:pPr>
    </w:p>
    <w:p w14:paraId="3798C925" w14:textId="77777777" w:rsidR="00D75A9F" w:rsidRDefault="00D75A9F" w:rsidP="00D75A9F">
      <w:pPr>
        <w:rPr>
          <w:rFonts w:ascii="Times New Roman" w:hAnsi="Times New Roman"/>
          <w:sz w:val="24"/>
          <w:szCs w:val="24"/>
        </w:rPr>
      </w:pPr>
      <w:r w:rsidRPr="00F65B5A">
        <w:rPr>
          <w:rFonts w:ascii="Times New Roman" w:hAnsi="Times New Roman"/>
          <w:sz w:val="24"/>
          <w:szCs w:val="24"/>
        </w:rPr>
        <w:t>Noting that it is not a comprehensive statement of relevant constitutional considerations, the objective of th</w:t>
      </w:r>
      <w:r>
        <w:rPr>
          <w:rFonts w:ascii="Times New Roman" w:hAnsi="Times New Roman"/>
          <w:sz w:val="24"/>
          <w:szCs w:val="24"/>
        </w:rPr>
        <w:t>e</w:t>
      </w:r>
      <w:r w:rsidRPr="00F65B5A">
        <w:rPr>
          <w:rFonts w:ascii="Times New Roman" w:hAnsi="Times New Roman"/>
          <w:sz w:val="24"/>
          <w:szCs w:val="24"/>
        </w:rPr>
        <w:t xml:space="preserve"> item references the communications power </w:t>
      </w:r>
      <w:r>
        <w:rPr>
          <w:rFonts w:ascii="Times New Roman" w:hAnsi="Times New Roman"/>
          <w:sz w:val="24"/>
          <w:szCs w:val="24"/>
        </w:rPr>
        <w:t>(</w:t>
      </w:r>
      <w:r w:rsidRPr="00F65B5A">
        <w:rPr>
          <w:rFonts w:ascii="Times New Roman" w:hAnsi="Times New Roman"/>
          <w:sz w:val="24"/>
          <w:szCs w:val="24"/>
        </w:rPr>
        <w:t>section 51(v)</w:t>
      </w:r>
      <w:r>
        <w:rPr>
          <w:rFonts w:ascii="Times New Roman" w:hAnsi="Times New Roman"/>
          <w:sz w:val="24"/>
          <w:szCs w:val="24"/>
        </w:rPr>
        <w:t>)</w:t>
      </w:r>
      <w:r w:rsidRPr="00F65B5A">
        <w:rPr>
          <w:rFonts w:ascii="Times New Roman" w:hAnsi="Times New Roman"/>
          <w:sz w:val="24"/>
          <w:szCs w:val="24"/>
        </w:rPr>
        <w:t xml:space="preserve"> of the Constitution.</w:t>
      </w:r>
    </w:p>
    <w:p w14:paraId="7B695B5E" w14:textId="77777777" w:rsidR="00D75A9F" w:rsidRDefault="00D75A9F" w:rsidP="00D75A9F">
      <w:pPr>
        <w:rPr>
          <w:rFonts w:ascii="Times New Roman" w:hAnsi="Times New Roman"/>
          <w:sz w:val="24"/>
          <w:szCs w:val="24"/>
        </w:rPr>
      </w:pPr>
    </w:p>
    <w:p w14:paraId="13E31791" w14:textId="77777777" w:rsidR="00D75A9F" w:rsidRDefault="00D75A9F" w:rsidP="00D75A9F">
      <w:pPr>
        <w:rPr>
          <w:rFonts w:ascii="Times New Roman" w:hAnsi="Times New Roman"/>
          <w:i/>
          <w:sz w:val="24"/>
          <w:szCs w:val="24"/>
          <w:u w:val="single"/>
        </w:rPr>
      </w:pPr>
      <w:r w:rsidRPr="00F65B5A">
        <w:rPr>
          <w:rFonts w:ascii="Times New Roman" w:hAnsi="Times New Roman"/>
          <w:i/>
          <w:sz w:val="24"/>
          <w:szCs w:val="24"/>
          <w:u w:val="single"/>
        </w:rPr>
        <w:t>Communications power</w:t>
      </w:r>
    </w:p>
    <w:p w14:paraId="0A0BD73E" w14:textId="77777777" w:rsidR="00D75A9F" w:rsidRPr="00F65B5A" w:rsidRDefault="00D75A9F" w:rsidP="00D75A9F">
      <w:pPr>
        <w:rPr>
          <w:rFonts w:ascii="Times New Roman" w:hAnsi="Times New Roman"/>
          <w:i/>
          <w:sz w:val="24"/>
          <w:szCs w:val="24"/>
          <w:u w:val="single"/>
        </w:rPr>
      </w:pPr>
    </w:p>
    <w:p w14:paraId="034D1688" w14:textId="77777777" w:rsidR="00D75A9F" w:rsidRDefault="00D75A9F" w:rsidP="00D75A9F">
      <w:pPr>
        <w:rPr>
          <w:rFonts w:ascii="Times New Roman" w:hAnsi="Times New Roman"/>
          <w:sz w:val="24"/>
          <w:szCs w:val="24"/>
        </w:rPr>
      </w:pPr>
      <w:r w:rsidRPr="00F65B5A">
        <w:rPr>
          <w:rFonts w:ascii="Times New Roman" w:hAnsi="Times New Roman"/>
          <w:sz w:val="24"/>
          <w:szCs w:val="24"/>
        </w:rPr>
        <w:t>Section 51(</w:t>
      </w:r>
      <w:r>
        <w:rPr>
          <w:rFonts w:ascii="Times New Roman" w:hAnsi="Times New Roman"/>
          <w:sz w:val="24"/>
          <w:szCs w:val="24"/>
        </w:rPr>
        <w:t>v</w:t>
      </w:r>
      <w:r w:rsidRPr="00F65B5A">
        <w:rPr>
          <w:rFonts w:ascii="Times New Roman" w:hAnsi="Times New Roman"/>
          <w:sz w:val="24"/>
          <w:szCs w:val="24"/>
        </w:rPr>
        <w:t xml:space="preserve">) of the Constitution empowers the Parliament to make laws with respect to postal, telegraphic, telephonic and other like services. </w:t>
      </w:r>
    </w:p>
    <w:p w14:paraId="3F660AF1" w14:textId="77777777" w:rsidR="00D75A9F" w:rsidRDefault="00D75A9F" w:rsidP="00D75A9F">
      <w:pPr>
        <w:rPr>
          <w:rFonts w:ascii="Times New Roman" w:hAnsi="Times New Roman"/>
          <w:sz w:val="24"/>
          <w:szCs w:val="24"/>
        </w:rPr>
      </w:pPr>
    </w:p>
    <w:p w14:paraId="1E3B25C1" w14:textId="77777777" w:rsidR="00D75A9F" w:rsidRDefault="00D75A9F" w:rsidP="00D75A9F">
      <w:pPr>
        <w:rPr>
          <w:rFonts w:ascii="Times New Roman" w:hAnsi="Times New Roman"/>
          <w:sz w:val="24"/>
          <w:szCs w:val="24"/>
        </w:rPr>
      </w:pPr>
      <w:r w:rsidRPr="00F65B5A">
        <w:rPr>
          <w:rFonts w:ascii="Times New Roman" w:hAnsi="Times New Roman"/>
          <w:sz w:val="24"/>
          <w:szCs w:val="24"/>
        </w:rPr>
        <w:t>The Marketplace will be an internet based service allowing students to view</w:t>
      </w:r>
      <w:r>
        <w:rPr>
          <w:rFonts w:ascii="Times New Roman" w:hAnsi="Times New Roman"/>
          <w:sz w:val="24"/>
          <w:szCs w:val="24"/>
        </w:rPr>
        <w:t xml:space="preserve"> </w:t>
      </w:r>
      <w:r w:rsidRPr="00F65B5A">
        <w:rPr>
          <w:rFonts w:ascii="Times New Roman" w:hAnsi="Times New Roman"/>
          <w:sz w:val="24"/>
          <w:szCs w:val="24"/>
        </w:rPr>
        <w:t>microcredential qualifications at Australian providers.</w:t>
      </w:r>
    </w:p>
    <w:p w14:paraId="5060AA82" w14:textId="51405B54" w:rsidR="00020AFB" w:rsidRDefault="00020AFB" w:rsidP="00EF5414">
      <w:pPr>
        <w:rPr>
          <w:rFonts w:ascii="Times New Roman" w:hAnsi="Times New Roman"/>
          <w:sz w:val="24"/>
          <w:szCs w:val="24"/>
        </w:rPr>
      </w:pPr>
    </w:p>
    <w:p w14:paraId="12894E59" w14:textId="7E439094" w:rsidR="00CB44AB" w:rsidRPr="00D5375B" w:rsidRDefault="00CB44AB" w:rsidP="00CB44AB">
      <w:pPr>
        <w:rPr>
          <w:rFonts w:ascii="Times New Roman" w:hAnsi="Times New Roman"/>
          <w:sz w:val="24"/>
          <w:szCs w:val="24"/>
        </w:rPr>
      </w:pPr>
      <w:r w:rsidRPr="00DC5E86">
        <w:rPr>
          <w:rFonts w:ascii="Times New Roman" w:hAnsi="Times New Roman"/>
          <w:iCs/>
          <w:sz w:val="24"/>
          <w:szCs w:val="24"/>
        </w:rPr>
        <w:t xml:space="preserve">New </w:t>
      </w:r>
      <w:r w:rsidRPr="00DC5E86">
        <w:rPr>
          <w:rFonts w:ascii="Times New Roman" w:hAnsi="Times New Roman"/>
          <w:b/>
          <w:iCs/>
          <w:sz w:val="24"/>
          <w:szCs w:val="24"/>
        </w:rPr>
        <w:t xml:space="preserve">table item </w:t>
      </w:r>
      <w:r w:rsidR="005E1C7F">
        <w:rPr>
          <w:rFonts w:ascii="Times New Roman" w:hAnsi="Times New Roman"/>
          <w:b/>
          <w:iCs/>
          <w:sz w:val="24"/>
          <w:szCs w:val="24"/>
        </w:rPr>
        <w:t>460</w:t>
      </w:r>
      <w:r w:rsidRPr="00DC5E86">
        <w:rPr>
          <w:rFonts w:ascii="Times New Roman" w:hAnsi="Times New Roman"/>
          <w:iCs/>
          <w:sz w:val="24"/>
          <w:szCs w:val="24"/>
        </w:rPr>
        <w:t xml:space="preserve"> establishes legislative authority for </w:t>
      </w:r>
      <w:r w:rsidRPr="00D5375B">
        <w:rPr>
          <w:rFonts w:ascii="Times New Roman" w:hAnsi="Times New Roman"/>
          <w:sz w:val="24"/>
          <w:szCs w:val="24"/>
        </w:rPr>
        <w:t>the</w:t>
      </w:r>
      <w:r>
        <w:rPr>
          <w:rFonts w:ascii="Times New Roman" w:hAnsi="Times New Roman"/>
          <w:sz w:val="24"/>
          <w:szCs w:val="24"/>
        </w:rPr>
        <w:t xml:space="preserve"> Government to </w:t>
      </w:r>
      <w:r w:rsidRPr="00D5375B">
        <w:rPr>
          <w:rFonts w:ascii="Times New Roman" w:hAnsi="Times New Roman"/>
          <w:sz w:val="24"/>
          <w:szCs w:val="24"/>
        </w:rPr>
        <w:t>provide one-off, non-indexed, means tested payments</w:t>
      </w:r>
      <w:r>
        <w:rPr>
          <w:rFonts w:ascii="Times New Roman" w:hAnsi="Times New Roman"/>
          <w:sz w:val="24"/>
          <w:szCs w:val="24"/>
        </w:rPr>
        <w:t xml:space="preserve"> (Tertiary Access Payment)</w:t>
      </w:r>
      <w:r w:rsidRPr="00D5375B">
        <w:rPr>
          <w:rFonts w:ascii="Times New Roman" w:hAnsi="Times New Roman"/>
          <w:sz w:val="24"/>
          <w:szCs w:val="24"/>
        </w:rPr>
        <w:t xml:space="preserve"> of up to $5</w:t>
      </w:r>
      <w:r>
        <w:rPr>
          <w:rFonts w:ascii="Times New Roman" w:hAnsi="Times New Roman"/>
          <w:sz w:val="24"/>
          <w:szCs w:val="24"/>
        </w:rPr>
        <w:t>,</w:t>
      </w:r>
      <w:r w:rsidRPr="00D5375B">
        <w:rPr>
          <w:rFonts w:ascii="Times New Roman" w:hAnsi="Times New Roman"/>
          <w:sz w:val="24"/>
          <w:szCs w:val="24"/>
        </w:rPr>
        <w:t xml:space="preserve">000 to </w:t>
      </w:r>
      <w:r>
        <w:rPr>
          <w:rFonts w:ascii="Times New Roman" w:hAnsi="Times New Roman"/>
          <w:sz w:val="24"/>
          <w:szCs w:val="24"/>
        </w:rPr>
        <w:t xml:space="preserve">eligible </w:t>
      </w:r>
      <w:r w:rsidRPr="00D5375B">
        <w:rPr>
          <w:rFonts w:ascii="Times New Roman" w:hAnsi="Times New Roman"/>
          <w:sz w:val="24"/>
          <w:szCs w:val="24"/>
        </w:rPr>
        <w:t>school leavers from outer regional or remote areas who relocate to undertake full</w:t>
      </w:r>
      <w:r>
        <w:rPr>
          <w:rFonts w:ascii="Times New Roman" w:hAnsi="Times New Roman"/>
          <w:sz w:val="24"/>
          <w:szCs w:val="24"/>
        </w:rPr>
        <w:noBreakHyphen/>
      </w:r>
      <w:r w:rsidRPr="00D5375B">
        <w:rPr>
          <w:rFonts w:ascii="Times New Roman" w:hAnsi="Times New Roman"/>
          <w:sz w:val="24"/>
          <w:szCs w:val="24"/>
        </w:rPr>
        <w:t>time, higher-level tertiary education.</w:t>
      </w:r>
      <w:r>
        <w:rPr>
          <w:rFonts w:ascii="Times New Roman" w:hAnsi="Times New Roman"/>
          <w:sz w:val="24"/>
          <w:szCs w:val="24"/>
        </w:rPr>
        <w:t xml:space="preserve"> The Tertiary Access Payment is intended to encourage and assist outer regional and remote students to access tertiary study immediately following </w:t>
      </w:r>
      <w:r w:rsidRPr="0060287D">
        <w:rPr>
          <w:rFonts w:ascii="Times New Roman" w:hAnsi="Times New Roman"/>
          <w:sz w:val="24"/>
          <w:szCs w:val="24"/>
        </w:rPr>
        <w:t>their completion of the final year of secondary school</w:t>
      </w:r>
      <w:r>
        <w:rPr>
          <w:rFonts w:ascii="Times New Roman" w:hAnsi="Times New Roman"/>
          <w:sz w:val="24"/>
          <w:szCs w:val="24"/>
        </w:rPr>
        <w:t>. An estimated 8,160 tertiary students will be eligible for this payment in the 2021 academic year.</w:t>
      </w:r>
    </w:p>
    <w:p w14:paraId="388F58EA" w14:textId="77777777" w:rsidR="00CB44AB" w:rsidRDefault="00CB44AB" w:rsidP="00CB44AB">
      <w:pPr>
        <w:tabs>
          <w:tab w:val="left" w:pos="936"/>
        </w:tabs>
        <w:rPr>
          <w:rFonts w:ascii="Times New Roman" w:hAnsi="Times New Roman"/>
          <w:sz w:val="24"/>
          <w:szCs w:val="24"/>
        </w:rPr>
      </w:pPr>
    </w:p>
    <w:p w14:paraId="6E52E5C4" w14:textId="1E04C3A2" w:rsidR="00CB44AB" w:rsidRDefault="00CB44AB" w:rsidP="00CB44AB">
      <w:pPr>
        <w:rPr>
          <w:rFonts w:ascii="Times New Roman" w:hAnsi="Times New Roman"/>
          <w:sz w:val="24"/>
          <w:szCs w:val="24"/>
          <w:shd w:val="clear" w:color="auto" w:fill="FFFFFF"/>
        </w:rPr>
      </w:pPr>
      <w:r w:rsidRPr="00D5375B">
        <w:rPr>
          <w:rFonts w:ascii="Times New Roman" w:hAnsi="Times New Roman"/>
          <w:color w:val="000000" w:themeColor="text1"/>
          <w:sz w:val="24"/>
          <w:szCs w:val="24"/>
        </w:rPr>
        <w:t xml:space="preserve">The </w:t>
      </w:r>
      <w:r>
        <w:rPr>
          <w:rFonts w:ascii="Times New Roman" w:hAnsi="Times New Roman"/>
          <w:color w:val="000000" w:themeColor="text1"/>
          <w:sz w:val="24"/>
          <w:szCs w:val="24"/>
        </w:rPr>
        <w:t>Tertiary Access Payment</w:t>
      </w:r>
      <w:r w:rsidRPr="00D5375B">
        <w:rPr>
          <w:rFonts w:ascii="Times New Roman" w:hAnsi="Times New Roman"/>
          <w:color w:val="000000" w:themeColor="text1"/>
          <w:sz w:val="24"/>
          <w:szCs w:val="24"/>
        </w:rPr>
        <w:t xml:space="preserve"> has been developed </w:t>
      </w:r>
      <w:r>
        <w:rPr>
          <w:rFonts w:ascii="Times New Roman" w:hAnsi="Times New Roman"/>
          <w:color w:val="000000" w:themeColor="text1"/>
          <w:sz w:val="24"/>
          <w:szCs w:val="24"/>
        </w:rPr>
        <w:t>in</w:t>
      </w:r>
      <w:r w:rsidRPr="00D5375B">
        <w:rPr>
          <w:rFonts w:ascii="Times New Roman" w:hAnsi="Times New Roman"/>
          <w:color w:val="000000" w:themeColor="text1"/>
          <w:sz w:val="24"/>
          <w:szCs w:val="24"/>
        </w:rPr>
        <w:t xml:space="preserve"> response to </w:t>
      </w:r>
      <w:r w:rsidRPr="00D5375B">
        <w:rPr>
          <w:rFonts w:ascii="Times New Roman" w:hAnsi="Times New Roman"/>
          <w:sz w:val="24"/>
          <w:szCs w:val="24"/>
        </w:rPr>
        <w:t xml:space="preserve">Recommendation 2, proposed action 7 of the </w:t>
      </w:r>
      <w:r w:rsidRPr="00BF6092">
        <w:rPr>
          <w:rFonts w:ascii="Times New Roman" w:hAnsi="Times New Roman"/>
          <w:i/>
          <w:sz w:val="24"/>
          <w:szCs w:val="24"/>
        </w:rPr>
        <w:t>National Regional, Rural and Remote Tertiary Education Strategy</w:t>
      </w:r>
      <w:r w:rsidRPr="00D5375B">
        <w:rPr>
          <w:rFonts w:ascii="Times New Roman" w:hAnsi="Times New Roman"/>
          <w:sz w:val="24"/>
          <w:szCs w:val="24"/>
        </w:rPr>
        <w:t xml:space="preserve"> final report (Napthine Review)</w:t>
      </w:r>
      <w:r>
        <w:rPr>
          <w:rFonts w:ascii="Times New Roman" w:hAnsi="Times New Roman"/>
          <w:sz w:val="24"/>
          <w:szCs w:val="24"/>
        </w:rPr>
        <w:t xml:space="preserve">. The Napthine Review </w:t>
      </w:r>
      <w:r w:rsidRPr="00D5375B">
        <w:rPr>
          <w:rFonts w:ascii="Times New Roman" w:hAnsi="Times New Roman"/>
          <w:sz w:val="24"/>
          <w:szCs w:val="24"/>
        </w:rPr>
        <w:t>highlight</w:t>
      </w:r>
      <w:r>
        <w:rPr>
          <w:rFonts w:ascii="Times New Roman" w:hAnsi="Times New Roman"/>
          <w:sz w:val="24"/>
          <w:szCs w:val="24"/>
        </w:rPr>
        <w:t>s that regional and remote students who relocate to undertake tertiary study face costs of up to $30,000 a year, and the current income support system does not adequately address these</w:t>
      </w:r>
      <w:r w:rsidRPr="00D5375B">
        <w:rPr>
          <w:rFonts w:ascii="Times New Roman" w:hAnsi="Times New Roman"/>
          <w:sz w:val="24"/>
          <w:szCs w:val="24"/>
        </w:rPr>
        <w:t xml:space="preserve"> financial barriers.</w:t>
      </w:r>
      <w:r>
        <w:rPr>
          <w:rFonts w:ascii="Times New Roman" w:hAnsi="Times New Roman"/>
          <w:sz w:val="24"/>
          <w:szCs w:val="24"/>
        </w:rPr>
        <w:t xml:space="preserve"> The Napthine Review also found that regional and remote students are twice as likely as those in major cities to take a gap year or years before commencing higher education, which increases their likelihood of not completing, or not returning to, further study. The Napthine Review was publicly released on 28 August 2019. It made seven recommendations and proposed </w:t>
      </w:r>
      <w:r>
        <w:rPr>
          <w:rFonts w:ascii="Times New Roman" w:hAnsi="Times New Roman"/>
          <w:sz w:val="24"/>
          <w:szCs w:val="24"/>
        </w:rPr>
        <w:lastRenderedPageBreak/>
        <w:t>33</w:t>
      </w:r>
      <w:r w:rsidR="005D0032">
        <w:rPr>
          <w:rFonts w:ascii="Times New Roman" w:hAnsi="Times New Roman"/>
          <w:sz w:val="24"/>
          <w:szCs w:val="24"/>
        </w:rPr>
        <w:t> </w:t>
      </w:r>
      <w:r>
        <w:rPr>
          <w:rFonts w:ascii="Times New Roman" w:hAnsi="Times New Roman"/>
          <w:sz w:val="24"/>
          <w:szCs w:val="24"/>
        </w:rPr>
        <w:t xml:space="preserve">individual key actions aimed at improving regional and remote tertiary education outcomes. The Napthine Review is available at </w:t>
      </w:r>
      <w:r w:rsidRPr="00CD5BB9">
        <w:rPr>
          <w:rFonts w:ascii="Times New Roman" w:hAnsi="Times New Roman"/>
          <w:sz w:val="24"/>
          <w:szCs w:val="24"/>
          <w:u w:val="single"/>
        </w:rPr>
        <w:t>https://docs.education.gov.au/node/53035</w:t>
      </w:r>
      <w:r>
        <w:rPr>
          <w:rFonts w:ascii="Times New Roman" w:hAnsi="Times New Roman"/>
          <w:sz w:val="24"/>
          <w:szCs w:val="24"/>
          <w:u w:val="single"/>
        </w:rPr>
        <w:t>.</w:t>
      </w:r>
      <w:r w:rsidRPr="00D5375B">
        <w:rPr>
          <w:rFonts w:ascii="Times New Roman" w:hAnsi="Times New Roman"/>
          <w:sz w:val="24"/>
          <w:szCs w:val="24"/>
        </w:rPr>
        <w:t xml:space="preserve"> </w:t>
      </w:r>
      <w:r w:rsidRPr="009C78F9">
        <w:rPr>
          <w:rFonts w:ascii="Times New Roman" w:hAnsi="Times New Roman"/>
          <w:sz w:val="24"/>
          <w:szCs w:val="24"/>
          <w:shd w:val="clear" w:color="auto" w:fill="FFFFFF"/>
        </w:rPr>
        <w:cr/>
      </w:r>
    </w:p>
    <w:p w14:paraId="7D458B75" w14:textId="77777777" w:rsidR="00CB44AB" w:rsidRDefault="00CB44AB" w:rsidP="00CB44AB">
      <w:pPr>
        <w:rPr>
          <w:rFonts w:ascii="Times New Roman" w:hAnsi="Times New Roman"/>
          <w:sz w:val="24"/>
          <w:szCs w:val="24"/>
          <w:shd w:val="clear" w:color="auto" w:fill="FFFFFF"/>
        </w:rPr>
      </w:pPr>
      <w:r>
        <w:rPr>
          <w:rFonts w:ascii="Times New Roman" w:hAnsi="Times New Roman"/>
          <w:sz w:val="24"/>
          <w:szCs w:val="24"/>
          <w:shd w:val="clear" w:color="auto" w:fill="FFFFFF"/>
        </w:rPr>
        <w:t>On 19 June 2020, the Minister for Education, the Hon Dan Tehan MP, announced a number of measures to support regional and remote tertiary education, including the Tertiary Access Payment, in response to the recommendations of the Napthine Review (</w:t>
      </w:r>
      <w:r w:rsidRPr="00E55B47">
        <w:rPr>
          <w:rFonts w:ascii="Times New Roman" w:hAnsi="Times New Roman"/>
          <w:sz w:val="24"/>
          <w:szCs w:val="24"/>
          <w:u w:val="single"/>
          <w:shd w:val="clear" w:color="auto" w:fill="FFFFFF"/>
        </w:rPr>
        <w:t>https://ministers.dese.gov.au/tehan/tertiary-reforms-unleash-potential-regional-australia</w:t>
      </w:r>
      <w:r>
        <w:rPr>
          <w:rFonts w:ascii="Times New Roman" w:hAnsi="Times New Roman"/>
          <w:sz w:val="24"/>
          <w:szCs w:val="24"/>
          <w:shd w:val="clear" w:color="auto" w:fill="FFFFFF"/>
        </w:rPr>
        <w:t xml:space="preserve">). </w:t>
      </w:r>
    </w:p>
    <w:p w14:paraId="70040010" w14:textId="77777777" w:rsidR="00CB44AB" w:rsidRDefault="00CB44AB" w:rsidP="00CB44AB">
      <w:pPr>
        <w:rPr>
          <w:rFonts w:ascii="Times New Roman" w:hAnsi="Times New Roman"/>
          <w:sz w:val="24"/>
          <w:szCs w:val="24"/>
          <w:shd w:val="clear" w:color="auto" w:fill="FFFFFF"/>
        </w:rPr>
      </w:pPr>
    </w:p>
    <w:p w14:paraId="648349B1" w14:textId="77777777" w:rsidR="00CB44AB" w:rsidRDefault="00CB44AB" w:rsidP="00CB44AB">
      <w:pPr>
        <w:rPr>
          <w:rFonts w:ascii="Times New Roman" w:eastAsia="Arial" w:hAnsi="Times New Roman"/>
          <w:sz w:val="24"/>
          <w:szCs w:val="24"/>
        </w:rPr>
      </w:pPr>
      <w:r w:rsidRPr="00D5375B">
        <w:rPr>
          <w:rFonts w:ascii="Times New Roman" w:eastAsia="Arial" w:hAnsi="Times New Roman"/>
          <w:sz w:val="24"/>
          <w:szCs w:val="24"/>
        </w:rPr>
        <w:t xml:space="preserve">The </w:t>
      </w:r>
      <w:r>
        <w:rPr>
          <w:rFonts w:ascii="Times New Roman" w:eastAsia="Arial" w:hAnsi="Times New Roman"/>
          <w:sz w:val="24"/>
          <w:szCs w:val="24"/>
        </w:rPr>
        <w:t>Tertiary Access Payment</w:t>
      </w:r>
      <w:r w:rsidRPr="00D5375B">
        <w:rPr>
          <w:rFonts w:ascii="Times New Roman" w:eastAsia="Arial" w:hAnsi="Times New Roman"/>
          <w:sz w:val="24"/>
          <w:szCs w:val="24"/>
        </w:rPr>
        <w:t xml:space="preserve"> is also expected to contribute to the Government’s </w:t>
      </w:r>
      <w:r w:rsidRPr="00D5375B">
        <w:rPr>
          <w:rFonts w:ascii="Times New Roman" w:eastAsia="Arial" w:hAnsi="Times New Roman"/>
          <w:i/>
          <w:sz w:val="24"/>
          <w:szCs w:val="24"/>
        </w:rPr>
        <w:t xml:space="preserve">Closing the Gap </w:t>
      </w:r>
      <w:r w:rsidRPr="00D5375B">
        <w:rPr>
          <w:rFonts w:ascii="Times New Roman" w:eastAsia="Arial" w:hAnsi="Times New Roman"/>
          <w:sz w:val="24"/>
          <w:szCs w:val="24"/>
        </w:rPr>
        <w:t xml:space="preserve">targets, by improving participation rates of Indigenous students from outer regional and remote areas </w:t>
      </w:r>
      <w:r>
        <w:rPr>
          <w:rFonts w:ascii="Times New Roman" w:eastAsia="Arial" w:hAnsi="Times New Roman"/>
          <w:sz w:val="24"/>
          <w:szCs w:val="24"/>
        </w:rPr>
        <w:t>by</w:t>
      </w:r>
      <w:r w:rsidRPr="00D5375B">
        <w:rPr>
          <w:rFonts w:ascii="Times New Roman" w:eastAsia="Arial" w:hAnsi="Times New Roman"/>
          <w:sz w:val="24"/>
          <w:szCs w:val="24"/>
        </w:rPr>
        <w:t xml:space="preserve"> providing improved financial support f</w:t>
      </w:r>
      <w:r>
        <w:rPr>
          <w:rFonts w:ascii="Times New Roman" w:eastAsia="Arial" w:hAnsi="Times New Roman"/>
          <w:sz w:val="24"/>
          <w:szCs w:val="24"/>
        </w:rPr>
        <w:t>or further study.</w:t>
      </w:r>
    </w:p>
    <w:p w14:paraId="1BAEEA16" w14:textId="77777777" w:rsidR="00CB44AB" w:rsidRDefault="00CB44AB" w:rsidP="00CB44AB">
      <w:pPr>
        <w:rPr>
          <w:rFonts w:ascii="Times New Roman" w:eastAsia="Arial" w:hAnsi="Times New Roman"/>
          <w:sz w:val="24"/>
          <w:szCs w:val="24"/>
        </w:rPr>
      </w:pPr>
    </w:p>
    <w:p w14:paraId="20571F37" w14:textId="77777777" w:rsidR="00CB44AB" w:rsidRPr="00861715" w:rsidRDefault="00CB44AB" w:rsidP="00CB44AB">
      <w:pPr>
        <w:rPr>
          <w:rFonts w:ascii="Times New Roman" w:eastAsia="Arial" w:hAnsi="Times New Roman"/>
          <w:sz w:val="24"/>
          <w:szCs w:val="24"/>
        </w:rPr>
      </w:pPr>
      <w:r w:rsidRPr="00E55B47">
        <w:rPr>
          <w:rFonts w:ascii="Times New Roman" w:eastAsia="Arial" w:hAnsi="Times New Roman"/>
          <w:sz w:val="24"/>
          <w:szCs w:val="24"/>
        </w:rPr>
        <w:t xml:space="preserve">On 25 August 2020, the Government announced </w:t>
      </w:r>
      <w:r>
        <w:rPr>
          <w:rFonts w:ascii="Times New Roman" w:eastAsia="Arial" w:hAnsi="Times New Roman"/>
          <w:sz w:val="24"/>
          <w:szCs w:val="24"/>
        </w:rPr>
        <w:t xml:space="preserve">that </w:t>
      </w:r>
      <w:r w:rsidRPr="00861715">
        <w:rPr>
          <w:rFonts w:ascii="Times New Roman" w:eastAsia="Arial" w:hAnsi="Times New Roman"/>
          <w:sz w:val="24"/>
          <w:szCs w:val="24"/>
        </w:rPr>
        <w:t xml:space="preserve">more than 7,000 payments for university students will be distributed </w:t>
      </w:r>
      <w:r>
        <w:rPr>
          <w:rFonts w:ascii="Times New Roman" w:hAnsi="Times New Roman"/>
          <w:sz w:val="24"/>
          <w:szCs w:val="24"/>
        </w:rPr>
        <w:t>in the 2021 academic year</w:t>
      </w:r>
      <w:r w:rsidRPr="00861715">
        <w:rPr>
          <w:rFonts w:ascii="Times New Roman" w:eastAsia="Arial" w:hAnsi="Times New Roman"/>
          <w:sz w:val="24"/>
          <w:szCs w:val="24"/>
        </w:rPr>
        <w:t xml:space="preserve"> as a scholarship by their university </w:t>
      </w:r>
      <w:r w:rsidRPr="00E55B47">
        <w:rPr>
          <w:rFonts w:ascii="Times New Roman" w:eastAsia="Arial" w:hAnsi="Times New Roman"/>
          <w:sz w:val="24"/>
          <w:szCs w:val="24"/>
        </w:rPr>
        <w:t>(Table A and Table</w:t>
      </w:r>
      <w:r>
        <w:rPr>
          <w:rFonts w:ascii="Times New Roman" w:eastAsia="Arial" w:hAnsi="Times New Roman"/>
          <w:sz w:val="24"/>
          <w:szCs w:val="24"/>
        </w:rPr>
        <w:t> </w:t>
      </w:r>
      <w:r w:rsidRPr="00E55B47">
        <w:rPr>
          <w:rFonts w:ascii="Times New Roman" w:eastAsia="Arial" w:hAnsi="Times New Roman"/>
          <w:sz w:val="24"/>
          <w:szCs w:val="24"/>
        </w:rPr>
        <w:t xml:space="preserve">B providers under the </w:t>
      </w:r>
      <w:r w:rsidRPr="00B171C1">
        <w:rPr>
          <w:rFonts w:ascii="Times New Roman" w:eastAsia="Arial" w:hAnsi="Times New Roman"/>
          <w:i/>
          <w:iCs/>
          <w:sz w:val="24"/>
          <w:szCs w:val="24"/>
        </w:rPr>
        <w:t>Higher Education Support Act 2003</w:t>
      </w:r>
      <w:r w:rsidRPr="00E55B47">
        <w:rPr>
          <w:rFonts w:ascii="Times New Roman" w:eastAsia="Arial" w:hAnsi="Times New Roman"/>
          <w:sz w:val="24"/>
          <w:szCs w:val="24"/>
        </w:rPr>
        <w:t>)</w:t>
      </w:r>
      <w:r w:rsidRPr="00861715">
        <w:rPr>
          <w:rFonts w:ascii="Times New Roman" w:eastAsia="Arial" w:hAnsi="Times New Roman"/>
          <w:sz w:val="24"/>
          <w:szCs w:val="24"/>
        </w:rPr>
        <w:t xml:space="preserve">. </w:t>
      </w:r>
      <w:hyperlink r:id="rId15" w:history="1">
        <w:r w:rsidRPr="00861715">
          <w:rPr>
            <w:rFonts w:ascii="Times New Roman" w:eastAsia="Arial" w:hAnsi="Times New Roman"/>
            <w:sz w:val="24"/>
            <w:szCs w:val="24"/>
          </w:rPr>
          <w:t>Universities</w:t>
        </w:r>
      </w:hyperlink>
      <w:r w:rsidRPr="00861715">
        <w:rPr>
          <w:rFonts w:ascii="Times New Roman" w:eastAsia="Arial" w:hAnsi="Times New Roman" w:hint="eastAsia"/>
          <w:sz w:val="24"/>
          <w:szCs w:val="24"/>
        </w:rPr>
        <w:t> </w:t>
      </w:r>
      <w:r w:rsidRPr="00861715">
        <w:rPr>
          <w:rFonts w:ascii="Times New Roman" w:eastAsia="Arial" w:hAnsi="Times New Roman"/>
          <w:sz w:val="24"/>
          <w:szCs w:val="24"/>
        </w:rPr>
        <w:t>will receive payments</w:t>
      </w:r>
      <w:r>
        <w:rPr>
          <w:rFonts w:ascii="Times New Roman" w:eastAsia="Arial" w:hAnsi="Times New Roman"/>
          <w:sz w:val="24"/>
          <w:szCs w:val="24"/>
        </w:rPr>
        <w:t xml:space="preserve"> as grants under the </w:t>
      </w:r>
      <w:r w:rsidRPr="005F6AF7">
        <w:rPr>
          <w:rFonts w:ascii="Times New Roman" w:eastAsia="Arial" w:hAnsi="Times New Roman"/>
          <w:i/>
          <w:iCs/>
          <w:sz w:val="24"/>
          <w:szCs w:val="24"/>
        </w:rPr>
        <w:t>Higher Education Support Act 2003</w:t>
      </w:r>
      <w:r w:rsidRPr="00861715">
        <w:rPr>
          <w:rFonts w:ascii="Times New Roman" w:eastAsia="Arial" w:hAnsi="Times New Roman"/>
          <w:sz w:val="24"/>
          <w:szCs w:val="24"/>
        </w:rPr>
        <w:t xml:space="preserve"> based on</w:t>
      </w:r>
      <w:r>
        <w:rPr>
          <w:rFonts w:ascii="Times New Roman" w:eastAsia="Arial" w:hAnsi="Times New Roman"/>
          <w:sz w:val="24"/>
          <w:szCs w:val="24"/>
        </w:rPr>
        <w:t xml:space="preserve"> their</w:t>
      </w:r>
      <w:r w:rsidRPr="00861715">
        <w:rPr>
          <w:rFonts w:ascii="Times New Roman" w:eastAsia="Arial" w:hAnsi="Times New Roman"/>
          <w:sz w:val="24"/>
          <w:szCs w:val="24"/>
        </w:rPr>
        <w:t xml:space="preserve"> historical enrolment of outer regional and remote students. Services Australia will administer up to 1,000 payments to eligible students at </w:t>
      </w:r>
      <w:r w:rsidRPr="00AA6207">
        <w:rPr>
          <w:rFonts w:ascii="Times New Roman" w:eastAsia="Arial" w:hAnsi="Times New Roman"/>
          <w:sz w:val="24"/>
          <w:szCs w:val="24"/>
        </w:rPr>
        <w:t xml:space="preserve">non-university higher education providers </w:t>
      </w:r>
      <w:r>
        <w:rPr>
          <w:rFonts w:ascii="Times New Roman" w:eastAsia="Arial" w:hAnsi="Times New Roman"/>
          <w:sz w:val="24"/>
          <w:szCs w:val="24"/>
        </w:rPr>
        <w:t>(NUHEP</w:t>
      </w:r>
      <w:r w:rsidRPr="00861715">
        <w:rPr>
          <w:rFonts w:ascii="Times New Roman" w:eastAsia="Arial" w:hAnsi="Times New Roman"/>
          <w:sz w:val="24"/>
          <w:szCs w:val="24"/>
        </w:rPr>
        <w:t>s</w:t>
      </w:r>
      <w:r>
        <w:rPr>
          <w:rFonts w:ascii="Times New Roman" w:eastAsia="Arial" w:hAnsi="Times New Roman"/>
          <w:sz w:val="24"/>
          <w:szCs w:val="24"/>
        </w:rPr>
        <w:t>)</w:t>
      </w:r>
      <w:r w:rsidRPr="00861715">
        <w:rPr>
          <w:rFonts w:ascii="Times New Roman" w:eastAsia="Arial" w:hAnsi="Times New Roman"/>
          <w:sz w:val="24"/>
          <w:szCs w:val="24"/>
        </w:rPr>
        <w:t xml:space="preserve"> </w:t>
      </w:r>
      <w:r w:rsidRPr="00AA6207">
        <w:rPr>
          <w:rFonts w:ascii="Times New Roman" w:eastAsia="Arial" w:hAnsi="Times New Roman"/>
          <w:sz w:val="24"/>
          <w:szCs w:val="24"/>
        </w:rPr>
        <w:t xml:space="preserve">and vocational education and training </w:t>
      </w:r>
      <w:r>
        <w:rPr>
          <w:rFonts w:ascii="Times New Roman" w:eastAsia="Arial" w:hAnsi="Times New Roman"/>
          <w:sz w:val="24"/>
          <w:szCs w:val="24"/>
        </w:rPr>
        <w:t>(VET)</w:t>
      </w:r>
      <w:r w:rsidRPr="00AA6207">
        <w:rPr>
          <w:rFonts w:ascii="Times New Roman" w:eastAsia="Arial" w:hAnsi="Times New Roman"/>
          <w:sz w:val="24"/>
          <w:szCs w:val="24"/>
        </w:rPr>
        <w:t xml:space="preserve"> </w:t>
      </w:r>
      <w:r w:rsidRPr="00861715">
        <w:rPr>
          <w:rFonts w:ascii="Times New Roman" w:eastAsia="Arial" w:hAnsi="Times New Roman"/>
          <w:sz w:val="24"/>
          <w:szCs w:val="24"/>
        </w:rPr>
        <w:t>providers.</w:t>
      </w:r>
    </w:p>
    <w:p w14:paraId="495556EC" w14:textId="77777777" w:rsidR="00CB44AB" w:rsidRDefault="00CB44AB" w:rsidP="00CB44AB">
      <w:pPr>
        <w:rPr>
          <w:rFonts w:ascii="Lato" w:hAnsi="Lato" w:cs="Arial"/>
          <w:color w:val="002D3F"/>
          <w:sz w:val="19"/>
          <w:szCs w:val="19"/>
          <w:lang w:val="en"/>
        </w:rPr>
      </w:pPr>
    </w:p>
    <w:p w14:paraId="69F482AF" w14:textId="4DC2A9CF" w:rsidR="00CB44AB" w:rsidRPr="00E55B47" w:rsidRDefault="00CB44AB" w:rsidP="00CB44AB">
      <w:pPr>
        <w:rPr>
          <w:rFonts w:ascii="Times New Roman" w:eastAsia="Arial" w:hAnsi="Times New Roman"/>
          <w:sz w:val="24"/>
          <w:szCs w:val="24"/>
        </w:rPr>
      </w:pPr>
      <w:r>
        <w:rPr>
          <w:rFonts w:ascii="Times New Roman" w:eastAsia="Arial" w:hAnsi="Times New Roman"/>
          <w:sz w:val="24"/>
          <w:szCs w:val="24"/>
        </w:rPr>
        <w:t xml:space="preserve">New table item </w:t>
      </w:r>
      <w:r w:rsidR="005E1C7F">
        <w:rPr>
          <w:rFonts w:ascii="Times New Roman" w:eastAsia="Arial" w:hAnsi="Times New Roman"/>
          <w:sz w:val="24"/>
          <w:szCs w:val="24"/>
        </w:rPr>
        <w:t>460</w:t>
      </w:r>
      <w:r>
        <w:rPr>
          <w:rFonts w:ascii="Times New Roman" w:eastAsia="Arial" w:hAnsi="Times New Roman"/>
          <w:sz w:val="24"/>
          <w:szCs w:val="24"/>
        </w:rPr>
        <w:t xml:space="preserve"> will provide legislative authority for the Tertiary Access Payment to eligible students a</w:t>
      </w:r>
      <w:r w:rsidRPr="00E55B47">
        <w:rPr>
          <w:rFonts w:ascii="Times New Roman" w:eastAsia="Arial" w:hAnsi="Times New Roman"/>
          <w:sz w:val="24"/>
          <w:szCs w:val="24"/>
        </w:rPr>
        <w:t>t</w:t>
      </w:r>
      <w:r>
        <w:rPr>
          <w:rFonts w:ascii="Times New Roman" w:eastAsia="Arial" w:hAnsi="Times New Roman"/>
          <w:sz w:val="24"/>
          <w:szCs w:val="24"/>
        </w:rPr>
        <w:t xml:space="preserve"> NUHEPs and VET providers</w:t>
      </w:r>
      <w:r w:rsidRPr="00E55B47">
        <w:rPr>
          <w:rFonts w:ascii="Times New Roman" w:eastAsia="Arial" w:hAnsi="Times New Roman"/>
          <w:sz w:val="24"/>
          <w:szCs w:val="24"/>
        </w:rPr>
        <w:t xml:space="preserve">. </w:t>
      </w:r>
      <w:r>
        <w:rPr>
          <w:rFonts w:ascii="Times New Roman" w:eastAsia="Arial" w:hAnsi="Times New Roman"/>
          <w:sz w:val="24"/>
          <w:szCs w:val="24"/>
        </w:rPr>
        <w:t>T</w:t>
      </w:r>
      <w:r w:rsidRPr="00E55B47">
        <w:rPr>
          <w:rFonts w:ascii="Times New Roman" w:eastAsia="Arial" w:hAnsi="Times New Roman"/>
          <w:sz w:val="24"/>
          <w:szCs w:val="24"/>
        </w:rPr>
        <w:t xml:space="preserve">he </w:t>
      </w:r>
      <w:r w:rsidRPr="00802E43">
        <w:rPr>
          <w:rFonts w:ascii="Times New Roman" w:eastAsia="Arial" w:hAnsi="Times New Roman"/>
          <w:i/>
          <w:sz w:val="24"/>
          <w:szCs w:val="24"/>
        </w:rPr>
        <w:t>Higher Education Support Act 2003</w:t>
      </w:r>
      <w:r w:rsidRPr="00E55B47">
        <w:rPr>
          <w:rFonts w:ascii="Times New Roman" w:eastAsia="Arial" w:hAnsi="Times New Roman"/>
          <w:sz w:val="24"/>
          <w:szCs w:val="24"/>
        </w:rPr>
        <w:t xml:space="preserve"> will provide legislative authority for payments made to universities</w:t>
      </w:r>
      <w:r>
        <w:rPr>
          <w:rFonts w:ascii="Times New Roman" w:eastAsia="Arial" w:hAnsi="Times New Roman"/>
          <w:sz w:val="24"/>
          <w:szCs w:val="24"/>
        </w:rPr>
        <w:t>,</w:t>
      </w:r>
      <w:r w:rsidRPr="00E55B47">
        <w:rPr>
          <w:rFonts w:ascii="Times New Roman" w:eastAsia="Arial" w:hAnsi="Times New Roman"/>
          <w:sz w:val="24"/>
          <w:szCs w:val="24"/>
        </w:rPr>
        <w:t xml:space="preserve"> which </w:t>
      </w:r>
      <w:r>
        <w:rPr>
          <w:rFonts w:ascii="Times New Roman" w:eastAsia="Arial" w:hAnsi="Times New Roman"/>
          <w:sz w:val="24"/>
          <w:szCs w:val="24"/>
        </w:rPr>
        <w:t>they</w:t>
      </w:r>
      <w:r w:rsidRPr="00E55B47">
        <w:rPr>
          <w:rFonts w:ascii="Times New Roman" w:eastAsia="Arial" w:hAnsi="Times New Roman"/>
          <w:sz w:val="24"/>
          <w:szCs w:val="24"/>
        </w:rPr>
        <w:t xml:space="preserve"> will be required to distribute directly to eligible students. </w:t>
      </w:r>
    </w:p>
    <w:p w14:paraId="64466371" w14:textId="77777777" w:rsidR="00CB44AB" w:rsidRDefault="00CB44AB" w:rsidP="00CB44AB">
      <w:pPr>
        <w:rPr>
          <w:rFonts w:ascii="Times New Roman" w:eastAsia="Arial" w:hAnsi="Times New Roman"/>
          <w:sz w:val="24"/>
          <w:szCs w:val="24"/>
        </w:rPr>
      </w:pPr>
    </w:p>
    <w:p w14:paraId="7B61C728" w14:textId="77777777" w:rsidR="00CB44AB" w:rsidRPr="005F6AF7" w:rsidRDefault="00CB44AB" w:rsidP="00CB44AB">
      <w:pPr>
        <w:rPr>
          <w:rFonts w:ascii="Times New Roman" w:hAnsi="Times New Roman"/>
          <w:sz w:val="24"/>
          <w:shd w:val="clear" w:color="auto" w:fill="FFFFFF"/>
        </w:rPr>
      </w:pPr>
      <w:r>
        <w:rPr>
          <w:rFonts w:ascii="Times New Roman" w:hAnsi="Times New Roman"/>
          <w:color w:val="000000" w:themeColor="text1"/>
          <w:sz w:val="24"/>
          <w:szCs w:val="24"/>
        </w:rPr>
        <w:t xml:space="preserve">The Tertiary Access Payment will be made in </w:t>
      </w:r>
      <w:r>
        <w:rPr>
          <w:rFonts w:ascii="Times New Roman" w:hAnsi="Times New Roman"/>
          <w:sz w:val="24"/>
          <w:szCs w:val="24"/>
        </w:rPr>
        <w:t>two instalments and at different times depending on whether the student is a higher education student or a VET student</w:t>
      </w:r>
      <w:r w:rsidRPr="00184A79">
        <w:rPr>
          <w:rFonts w:ascii="Times New Roman" w:hAnsi="Times New Roman"/>
          <w:sz w:val="24"/>
          <w:szCs w:val="24"/>
        </w:rPr>
        <w:t xml:space="preserve">. </w:t>
      </w:r>
      <w:r>
        <w:rPr>
          <w:rFonts w:ascii="Times New Roman" w:hAnsi="Times New Roman"/>
          <w:sz w:val="24"/>
          <w:shd w:val="clear" w:color="auto" w:fill="FFFFFF"/>
        </w:rPr>
        <w:t xml:space="preserve">For higher education students, the </w:t>
      </w:r>
      <w:r w:rsidRPr="005F6AF7">
        <w:rPr>
          <w:rFonts w:ascii="Times New Roman" w:hAnsi="Times New Roman"/>
          <w:sz w:val="24"/>
        </w:rPr>
        <w:t>instalments</w:t>
      </w:r>
      <w:r>
        <w:rPr>
          <w:rFonts w:ascii="Times New Roman" w:hAnsi="Times New Roman"/>
          <w:sz w:val="24"/>
          <w:shd w:val="clear" w:color="auto" w:fill="FFFFFF"/>
        </w:rPr>
        <w:t xml:space="preserve"> will be: an initial $3,000 payment to be made after the first census date in the calendar year for units of study the student is enrolled in at a registered higher education provider; and a $2,000 payment after the final census date within the same calendar year.</w:t>
      </w:r>
    </w:p>
    <w:p w14:paraId="712232F4" w14:textId="77777777" w:rsidR="00CB44AB" w:rsidRPr="00426669" w:rsidRDefault="00CB44AB" w:rsidP="00CB44AB">
      <w:pPr>
        <w:rPr>
          <w:rFonts w:ascii="Times New Roman" w:eastAsia="Arial" w:hAnsi="Times New Roman"/>
          <w:sz w:val="24"/>
          <w:szCs w:val="24"/>
        </w:rPr>
      </w:pPr>
    </w:p>
    <w:p w14:paraId="4809AA5C" w14:textId="77777777" w:rsidR="00CB44AB" w:rsidRPr="005F6AF7" w:rsidRDefault="00CB44AB" w:rsidP="00CB44AB">
      <w:pPr>
        <w:rPr>
          <w:rFonts w:ascii="Times New Roman" w:hAnsi="Times New Roman"/>
          <w:sz w:val="24"/>
          <w:shd w:val="clear" w:color="auto" w:fill="FFFFFF"/>
        </w:rPr>
      </w:pPr>
      <w:bookmarkStart w:id="1" w:name="_Hlk55468414"/>
      <w:r>
        <w:rPr>
          <w:rFonts w:ascii="Times New Roman" w:hAnsi="Times New Roman"/>
          <w:sz w:val="24"/>
          <w:shd w:val="clear" w:color="auto" w:fill="FFFFFF"/>
        </w:rPr>
        <w:t xml:space="preserve">For VET students, where VET providers do not have set census dates, the instalments will be: an initial $3,000 payment to be made after confirmation of the student’s continued enrolment, at least four weeks after the course commencement date; and a $2,000 payment following provision of an </w:t>
      </w:r>
      <w:r w:rsidRPr="005F6AF7">
        <w:rPr>
          <w:rFonts w:ascii="Times New Roman" w:hAnsi="Times New Roman"/>
          <w:sz w:val="24"/>
        </w:rPr>
        <w:t>academic</w:t>
      </w:r>
      <w:r>
        <w:rPr>
          <w:rFonts w:ascii="Times New Roman" w:hAnsi="Times New Roman"/>
          <w:sz w:val="24"/>
          <w:shd w:val="clear" w:color="auto" w:fill="FFFFFF"/>
        </w:rPr>
        <w:t xml:space="preserve"> transcript of units attempted, at least six months following the initial payment.</w:t>
      </w:r>
    </w:p>
    <w:p w14:paraId="35D95EAB" w14:textId="77777777" w:rsidR="00CB44AB" w:rsidRPr="00184A79" w:rsidRDefault="00CB44AB" w:rsidP="00CB44AB">
      <w:pPr>
        <w:rPr>
          <w:rFonts w:ascii="Times New Roman" w:hAnsi="Times New Roman"/>
          <w:sz w:val="24"/>
          <w:szCs w:val="24"/>
        </w:rPr>
      </w:pPr>
    </w:p>
    <w:bookmarkEnd w:id="1"/>
    <w:p w14:paraId="6F119864" w14:textId="77777777" w:rsidR="00CB44AB" w:rsidRPr="00184A79" w:rsidRDefault="00CB44AB" w:rsidP="00CB44AB">
      <w:pPr>
        <w:keepNext/>
        <w:rPr>
          <w:rFonts w:ascii="Times New Roman" w:hAnsi="Times New Roman"/>
          <w:sz w:val="24"/>
          <w:szCs w:val="24"/>
        </w:rPr>
      </w:pPr>
      <w:r w:rsidRPr="00184A79">
        <w:rPr>
          <w:rFonts w:ascii="Times New Roman" w:hAnsi="Times New Roman"/>
          <w:sz w:val="24"/>
          <w:szCs w:val="24"/>
        </w:rPr>
        <w:t>Payments will be available for students who are:</w:t>
      </w:r>
    </w:p>
    <w:p w14:paraId="11101F1B" w14:textId="77777777" w:rsidR="00CB44AB" w:rsidRPr="00184A79" w:rsidRDefault="00CB44AB" w:rsidP="00CB44AB">
      <w:pPr>
        <w:numPr>
          <w:ilvl w:val="0"/>
          <w:numId w:val="29"/>
        </w:numPr>
        <w:ind w:left="714" w:hanging="357"/>
        <w:rPr>
          <w:rFonts w:ascii="Times New Roman" w:hAnsi="Times New Roman"/>
          <w:sz w:val="24"/>
          <w:szCs w:val="24"/>
        </w:rPr>
      </w:pPr>
      <w:r w:rsidRPr="00184A79">
        <w:rPr>
          <w:rFonts w:ascii="Times New Roman" w:hAnsi="Times New Roman"/>
          <w:sz w:val="24"/>
          <w:szCs w:val="24"/>
        </w:rPr>
        <w:t xml:space="preserve">from an </w:t>
      </w:r>
      <w:r>
        <w:rPr>
          <w:rFonts w:ascii="Times New Roman" w:hAnsi="Times New Roman"/>
          <w:sz w:val="24"/>
          <w:szCs w:val="24"/>
        </w:rPr>
        <w:t xml:space="preserve">outer </w:t>
      </w:r>
      <w:r w:rsidRPr="00184A79">
        <w:rPr>
          <w:rFonts w:ascii="Times New Roman" w:hAnsi="Times New Roman"/>
          <w:sz w:val="24"/>
          <w:szCs w:val="24"/>
        </w:rPr>
        <w:t>regional, remote or very remote area (as per the Australian Statistical Geography Standard</w:t>
      </w:r>
      <w:r>
        <w:rPr>
          <w:rFonts w:ascii="Times New Roman" w:hAnsi="Times New Roman"/>
          <w:sz w:val="24"/>
          <w:szCs w:val="24"/>
        </w:rPr>
        <w:t xml:space="preserve"> (ASGS) remote classifications);</w:t>
      </w:r>
    </w:p>
    <w:p w14:paraId="3285FC24" w14:textId="77777777" w:rsidR="00CB44AB" w:rsidRPr="00184A79" w:rsidRDefault="00CB44AB" w:rsidP="00CB44AB">
      <w:pPr>
        <w:numPr>
          <w:ilvl w:val="0"/>
          <w:numId w:val="29"/>
        </w:numPr>
        <w:ind w:left="714" w:hanging="357"/>
        <w:rPr>
          <w:rFonts w:ascii="Times New Roman" w:hAnsi="Times New Roman"/>
          <w:sz w:val="24"/>
          <w:szCs w:val="24"/>
        </w:rPr>
      </w:pPr>
      <w:r w:rsidRPr="00184A79">
        <w:rPr>
          <w:rFonts w:ascii="Times New Roman" w:hAnsi="Times New Roman"/>
          <w:sz w:val="24"/>
          <w:szCs w:val="24"/>
        </w:rPr>
        <w:t xml:space="preserve">enrolled in a Certificate IV or above qualification at a registered higher education provider or </w:t>
      </w:r>
      <w:r>
        <w:rPr>
          <w:rFonts w:ascii="Times New Roman" w:hAnsi="Times New Roman"/>
          <w:sz w:val="24"/>
          <w:szCs w:val="24"/>
        </w:rPr>
        <w:t>VET</w:t>
      </w:r>
      <w:r w:rsidRPr="00184A79">
        <w:rPr>
          <w:rFonts w:ascii="Times New Roman" w:hAnsi="Times New Roman"/>
          <w:sz w:val="24"/>
          <w:szCs w:val="24"/>
        </w:rPr>
        <w:t xml:space="preserve"> provider, wit</w:t>
      </w:r>
      <w:r>
        <w:rPr>
          <w:rFonts w:ascii="Times New Roman" w:hAnsi="Times New Roman"/>
          <w:sz w:val="24"/>
          <w:szCs w:val="24"/>
        </w:rPr>
        <w:t>h duration of at least one year;</w:t>
      </w:r>
    </w:p>
    <w:p w14:paraId="5926C6CB" w14:textId="77777777" w:rsidR="00CB44AB" w:rsidRPr="00184A79" w:rsidRDefault="00CB44AB" w:rsidP="00CB44AB">
      <w:pPr>
        <w:numPr>
          <w:ilvl w:val="0"/>
          <w:numId w:val="29"/>
        </w:numPr>
        <w:ind w:left="714" w:hanging="357"/>
        <w:rPr>
          <w:rFonts w:ascii="Times New Roman" w:hAnsi="Times New Roman"/>
          <w:sz w:val="24"/>
          <w:szCs w:val="24"/>
        </w:rPr>
      </w:pPr>
      <w:r w:rsidRPr="00184A79">
        <w:rPr>
          <w:rFonts w:ascii="Times New Roman" w:hAnsi="Times New Roman"/>
          <w:sz w:val="24"/>
          <w:szCs w:val="24"/>
        </w:rPr>
        <w:t>relocating to study at a registered higher education provider or VET provider at least 90 minutes by public transport from their home (either in another regional location or a metropolitan location)</w:t>
      </w:r>
      <w:r>
        <w:rPr>
          <w:rFonts w:ascii="Times New Roman" w:hAnsi="Times New Roman"/>
          <w:sz w:val="24"/>
          <w:szCs w:val="24"/>
        </w:rPr>
        <w:t>;</w:t>
      </w:r>
      <w:r w:rsidRPr="00184A79">
        <w:rPr>
          <w:rFonts w:ascii="Times New Roman" w:hAnsi="Times New Roman"/>
          <w:sz w:val="24"/>
          <w:szCs w:val="24"/>
        </w:rPr>
        <w:t xml:space="preserve">  </w:t>
      </w:r>
    </w:p>
    <w:p w14:paraId="3FA55228" w14:textId="77777777" w:rsidR="00CB44AB" w:rsidRPr="00184A79" w:rsidRDefault="00CB44AB" w:rsidP="00CB44AB">
      <w:pPr>
        <w:numPr>
          <w:ilvl w:val="0"/>
          <w:numId w:val="29"/>
        </w:numPr>
        <w:ind w:left="714" w:hanging="357"/>
        <w:rPr>
          <w:rFonts w:ascii="Times New Roman" w:hAnsi="Times New Roman"/>
          <w:sz w:val="24"/>
          <w:szCs w:val="24"/>
        </w:rPr>
      </w:pPr>
      <w:r w:rsidRPr="00184A79">
        <w:rPr>
          <w:rFonts w:ascii="Times New Roman" w:hAnsi="Times New Roman"/>
          <w:sz w:val="24"/>
          <w:szCs w:val="24"/>
        </w:rPr>
        <w:t>enrolled in at least 75 per cent of a fulltime study load over a 12 month period</w:t>
      </w:r>
      <w:r>
        <w:rPr>
          <w:rFonts w:ascii="Times New Roman" w:hAnsi="Times New Roman"/>
          <w:sz w:val="24"/>
          <w:szCs w:val="24"/>
        </w:rPr>
        <w:t>;</w:t>
      </w:r>
    </w:p>
    <w:p w14:paraId="444D9E66" w14:textId="77777777" w:rsidR="00CB44AB" w:rsidRDefault="00CB44AB" w:rsidP="00CB44AB">
      <w:pPr>
        <w:numPr>
          <w:ilvl w:val="0"/>
          <w:numId w:val="29"/>
        </w:numPr>
        <w:ind w:left="714" w:hanging="357"/>
        <w:rPr>
          <w:rFonts w:ascii="Times New Roman" w:hAnsi="Times New Roman"/>
          <w:sz w:val="24"/>
          <w:szCs w:val="24"/>
        </w:rPr>
      </w:pPr>
      <w:r w:rsidRPr="00184A79">
        <w:rPr>
          <w:rFonts w:ascii="Times New Roman" w:hAnsi="Times New Roman"/>
          <w:sz w:val="24"/>
          <w:szCs w:val="24"/>
        </w:rPr>
        <w:t>accessing tertiary study in the year immediately following their completion of Year 12 or equivalent (or the first available semester of their chosen course if t</w:t>
      </w:r>
      <w:r>
        <w:rPr>
          <w:rFonts w:ascii="Times New Roman" w:hAnsi="Times New Roman"/>
          <w:sz w:val="24"/>
          <w:szCs w:val="24"/>
        </w:rPr>
        <w:t>he course has a mid-year start); and</w:t>
      </w:r>
    </w:p>
    <w:p w14:paraId="70C28F09" w14:textId="77777777" w:rsidR="00CB44AB" w:rsidRPr="00935AD2" w:rsidRDefault="00CB44AB" w:rsidP="00CB44AB">
      <w:pPr>
        <w:numPr>
          <w:ilvl w:val="0"/>
          <w:numId w:val="29"/>
        </w:numPr>
        <w:ind w:left="714" w:hanging="357"/>
        <w:rPr>
          <w:rFonts w:ascii="Times New Roman" w:hAnsi="Times New Roman"/>
          <w:sz w:val="24"/>
          <w:szCs w:val="24"/>
        </w:rPr>
      </w:pPr>
      <w:r w:rsidRPr="00935AD2">
        <w:rPr>
          <w:rFonts w:ascii="Times New Roman" w:hAnsi="Times New Roman"/>
          <w:sz w:val="24"/>
          <w:szCs w:val="24"/>
        </w:rPr>
        <w:lastRenderedPageBreak/>
        <w:t xml:space="preserve">from a household with a parental income below the threshold amount of $250,000.  </w:t>
      </w:r>
    </w:p>
    <w:p w14:paraId="72F64041" w14:textId="77777777" w:rsidR="00CB44AB" w:rsidRDefault="00CB44AB" w:rsidP="00CB44AB">
      <w:pPr>
        <w:rPr>
          <w:rFonts w:ascii="Times New Roman" w:hAnsi="Times New Roman"/>
          <w:sz w:val="24"/>
          <w:szCs w:val="24"/>
        </w:rPr>
      </w:pPr>
    </w:p>
    <w:p w14:paraId="6C0C04B5" w14:textId="77777777" w:rsidR="00CB44AB" w:rsidRDefault="00CB44AB" w:rsidP="00CB44AB">
      <w:pPr>
        <w:rPr>
          <w:rFonts w:ascii="Times New Roman" w:hAnsi="Times New Roman"/>
          <w:sz w:val="24"/>
          <w:szCs w:val="24"/>
        </w:rPr>
      </w:pPr>
      <w:r w:rsidRPr="00DE4AF1">
        <w:rPr>
          <w:rFonts w:ascii="Times New Roman" w:hAnsi="Times New Roman"/>
          <w:color w:val="000000" w:themeColor="text1"/>
          <w:sz w:val="24"/>
          <w:szCs w:val="24"/>
        </w:rPr>
        <w:t xml:space="preserve">As the payments are intended to encourage the uptake of tertiary study immediately following the completion of secondary school, students who leave school before the end of Year 12 to pursue an apprenticeship or other vocational education will </w:t>
      </w:r>
      <w:r>
        <w:rPr>
          <w:rFonts w:ascii="Times New Roman" w:hAnsi="Times New Roman"/>
          <w:color w:val="000000" w:themeColor="text1"/>
          <w:sz w:val="24"/>
          <w:szCs w:val="24"/>
        </w:rPr>
        <w:t>not be eligible for the Tertiary Access Payment, given the range of other supports available to apprentices</w:t>
      </w:r>
      <w:r w:rsidRPr="00DE4AF1">
        <w:rPr>
          <w:rFonts w:ascii="Times New Roman" w:hAnsi="Times New Roman"/>
          <w:color w:val="000000" w:themeColor="text1"/>
          <w:sz w:val="24"/>
          <w:szCs w:val="24"/>
        </w:rPr>
        <w:t xml:space="preserve">. </w:t>
      </w:r>
      <w:r w:rsidRPr="00DE4AF1">
        <w:rPr>
          <w:rFonts w:ascii="Times New Roman" w:hAnsi="Times New Roman"/>
          <w:sz w:val="24"/>
          <w:szCs w:val="24"/>
        </w:rPr>
        <w:t>Further, the payment will only be available in a</w:t>
      </w:r>
      <w:r>
        <w:rPr>
          <w:rFonts w:ascii="Times New Roman" w:hAnsi="Times New Roman"/>
          <w:sz w:val="24"/>
          <w:szCs w:val="24"/>
        </w:rPr>
        <w:t xml:space="preserve"> student’s first year of study, with</w:t>
      </w:r>
      <w:r w:rsidRPr="00DE4AF1">
        <w:rPr>
          <w:rFonts w:ascii="Times New Roman" w:hAnsi="Times New Roman"/>
          <w:sz w:val="24"/>
          <w:szCs w:val="24"/>
        </w:rPr>
        <w:t xml:space="preserve"> no further payments made in the second year of study or beyond. </w:t>
      </w:r>
    </w:p>
    <w:p w14:paraId="241D80C7" w14:textId="77777777" w:rsidR="00CB44AB" w:rsidRPr="00DE4AF1" w:rsidRDefault="00CB44AB" w:rsidP="00CB44AB">
      <w:pPr>
        <w:rPr>
          <w:rFonts w:ascii="Times New Roman" w:hAnsi="Times New Roman"/>
          <w:sz w:val="24"/>
          <w:szCs w:val="24"/>
        </w:rPr>
      </w:pPr>
    </w:p>
    <w:p w14:paraId="1AE210DC" w14:textId="77777777" w:rsidR="00CB44AB" w:rsidRDefault="00CB44AB" w:rsidP="00CB44AB">
      <w:pPr>
        <w:rPr>
          <w:rFonts w:ascii="Times New Roman" w:hAnsi="Times New Roman"/>
          <w:sz w:val="24"/>
          <w:szCs w:val="24"/>
        </w:rPr>
      </w:pPr>
      <w:r w:rsidRPr="00DE4AF1">
        <w:rPr>
          <w:rFonts w:ascii="Times New Roman" w:hAnsi="Times New Roman"/>
          <w:sz w:val="24"/>
          <w:szCs w:val="24"/>
        </w:rPr>
        <w:t xml:space="preserve">The </w:t>
      </w:r>
      <w:r>
        <w:rPr>
          <w:rFonts w:ascii="Times New Roman" w:hAnsi="Times New Roman"/>
          <w:sz w:val="24"/>
          <w:szCs w:val="24"/>
        </w:rPr>
        <w:t>Tertiary Access P</w:t>
      </w:r>
      <w:r w:rsidRPr="00DE4AF1">
        <w:rPr>
          <w:rFonts w:ascii="Times New Roman" w:hAnsi="Times New Roman"/>
          <w:sz w:val="24"/>
          <w:szCs w:val="24"/>
        </w:rPr>
        <w:t xml:space="preserve">ayment targets participation in Certificate IV and higher qualifications, which the Napthine Review identified as the point at which </w:t>
      </w:r>
      <w:r>
        <w:rPr>
          <w:rFonts w:ascii="Times New Roman" w:hAnsi="Times New Roman"/>
          <w:sz w:val="24"/>
          <w:szCs w:val="24"/>
        </w:rPr>
        <w:t>effort</w:t>
      </w:r>
      <w:r w:rsidRPr="00DE4AF1">
        <w:rPr>
          <w:rFonts w:ascii="Times New Roman" w:hAnsi="Times New Roman"/>
          <w:sz w:val="24"/>
          <w:szCs w:val="24"/>
        </w:rPr>
        <w:t xml:space="preserve"> is needed to bridge the </w:t>
      </w:r>
      <w:r>
        <w:rPr>
          <w:rFonts w:ascii="Times New Roman" w:hAnsi="Times New Roman"/>
          <w:sz w:val="24"/>
          <w:szCs w:val="24"/>
        </w:rPr>
        <w:t>gap</w:t>
      </w:r>
      <w:r w:rsidRPr="00DE4AF1">
        <w:rPr>
          <w:rFonts w:ascii="Times New Roman" w:hAnsi="Times New Roman"/>
          <w:sz w:val="24"/>
          <w:szCs w:val="24"/>
        </w:rPr>
        <w:t xml:space="preserve"> between metropolitan and regional/remote attainment.    </w:t>
      </w:r>
    </w:p>
    <w:p w14:paraId="6DAD9518" w14:textId="77777777" w:rsidR="00CB44AB" w:rsidRPr="00DE4AF1" w:rsidRDefault="00CB44AB" w:rsidP="00CB44AB">
      <w:pPr>
        <w:rPr>
          <w:rFonts w:ascii="Times New Roman" w:hAnsi="Times New Roman"/>
          <w:sz w:val="24"/>
          <w:szCs w:val="24"/>
        </w:rPr>
      </w:pPr>
    </w:p>
    <w:p w14:paraId="373DBD5E" w14:textId="74BCA909" w:rsidR="00CB44AB" w:rsidRPr="005F6AF7" w:rsidRDefault="00CB44AB" w:rsidP="00CB44AB">
      <w:pPr>
        <w:rPr>
          <w:rFonts w:ascii="Times New Roman" w:hAnsi="Times New Roman"/>
          <w:sz w:val="24"/>
        </w:rPr>
      </w:pPr>
      <w:r>
        <w:rPr>
          <w:rFonts w:ascii="Times New Roman" w:hAnsi="Times New Roman"/>
          <w:sz w:val="24"/>
          <w:szCs w:val="24"/>
        </w:rPr>
        <w:t>For e</w:t>
      </w:r>
      <w:r w:rsidRPr="00D41B75">
        <w:rPr>
          <w:rFonts w:ascii="Times New Roman" w:hAnsi="Times New Roman"/>
          <w:sz w:val="24"/>
          <w:szCs w:val="24"/>
        </w:rPr>
        <w:t>ligible students also receiving dependent Youth Allowance or ABSTUDY, the payment will provide additional support to recognise the extra challenges faced by those from low</w:t>
      </w:r>
      <w:r>
        <w:rPr>
          <w:rFonts w:ascii="Times New Roman" w:hAnsi="Times New Roman"/>
          <w:sz w:val="24"/>
          <w:szCs w:val="24"/>
        </w:rPr>
        <w:t xml:space="preserve"> </w:t>
      </w:r>
      <w:r w:rsidRPr="00D41B75">
        <w:rPr>
          <w:rFonts w:ascii="Times New Roman" w:hAnsi="Times New Roman"/>
          <w:sz w:val="24"/>
          <w:szCs w:val="24"/>
        </w:rPr>
        <w:t>income families. Students who are eligible for the Relocation Scholarship linked to Youth Allowance/ABSTUDY payments, will also be ab</w:t>
      </w:r>
      <w:r>
        <w:rPr>
          <w:rFonts w:ascii="Times New Roman" w:hAnsi="Times New Roman"/>
          <w:sz w:val="24"/>
          <w:szCs w:val="24"/>
        </w:rPr>
        <w:t>le to receive the Tertiary Access Payment</w:t>
      </w:r>
      <w:r w:rsidRPr="00D41B75">
        <w:rPr>
          <w:rFonts w:ascii="Times New Roman" w:hAnsi="Times New Roman"/>
          <w:sz w:val="24"/>
          <w:szCs w:val="24"/>
        </w:rPr>
        <w:t>.</w:t>
      </w:r>
      <w:r>
        <w:rPr>
          <w:rFonts w:ascii="Times New Roman" w:hAnsi="Times New Roman"/>
          <w:sz w:val="24"/>
          <w:szCs w:val="24"/>
        </w:rPr>
        <w:t xml:space="preserve"> For first year students, the Relocation Scholarship is a lump sum payment of $4,626 paid at the start of the year. For these students, lump sum payments would total $9,626 in the first 12</w:t>
      </w:r>
      <w:r w:rsidR="005D0032">
        <w:rPr>
          <w:rFonts w:ascii="Times New Roman" w:hAnsi="Times New Roman"/>
          <w:sz w:val="24"/>
          <w:szCs w:val="24"/>
        </w:rPr>
        <w:t> </w:t>
      </w:r>
      <w:r>
        <w:rPr>
          <w:rFonts w:ascii="Times New Roman" w:hAnsi="Times New Roman"/>
          <w:sz w:val="24"/>
          <w:szCs w:val="24"/>
        </w:rPr>
        <w:t>months of study.</w:t>
      </w:r>
    </w:p>
    <w:p w14:paraId="56969E88" w14:textId="77777777" w:rsidR="00CB44AB" w:rsidRDefault="00CB44AB" w:rsidP="00CB44AB">
      <w:pPr>
        <w:rPr>
          <w:rFonts w:ascii="Times New Roman" w:hAnsi="Times New Roman"/>
          <w:color w:val="000000" w:themeColor="text1"/>
          <w:sz w:val="24"/>
          <w:szCs w:val="24"/>
        </w:rPr>
      </w:pPr>
    </w:p>
    <w:p w14:paraId="6B4CAA02" w14:textId="77777777" w:rsidR="00CB44AB" w:rsidRDefault="00CB44AB" w:rsidP="00CB44AB">
      <w:pPr>
        <w:rPr>
          <w:rFonts w:ascii="Times New Roman" w:hAnsi="Times New Roman"/>
          <w:sz w:val="24"/>
          <w:szCs w:val="24"/>
        </w:rPr>
      </w:pPr>
      <w:r w:rsidRPr="00D41B75">
        <w:rPr>
          <w:rFonts w:ascii="Times New Roman" w:hAnsi="Times New Roman"/>
          <w:sz w:val="24"/>
          <w:szCs w:val="24"/>
        </w:rPr>
        <w:t xml:space="preserve">The payment will not be considered </w:t>
      </w:r>
      <w:r>
        <w:rPr>
          <w:rFonts w:ascii="Times New Roman" w:hAnsi="Times New Roman"/>
          <w:sz w:val="24"/>
          <w:szCs w:val="24"/>
        </w:rPr>
        <w:t>‘</w:t>
      </w:r>
      <w:r w:rsidRPr="00D41B75">
        <w:rPr>
          <w:rFonts w:ascii="Times New Roman" w:hAnsi="Times New Roman"/>
          <w:sz w:val="24"/>
          <w:szCs w:val="24"/>
        </w:rPr>
        <w:t>income for social security purposes</w:t>
      </w:r>
      <w:r>
        <w:rPr>
          <w:rFonts w:ascii="Times New Roman" w:hAnsi="Times New Roman"/>
          <w:sz w:val="24"/>
          <w:szCs w:val="24"/>
        </w:rPr>
        <w:t>’</w:t>
      </w:r>
      <w:r w:rsidRPr="00D41B75">
        <w:rPr>
          <w:rFonts w:ascii="Times New Roman" w:hAnsi="Times New Roman"/>
          <w:sz w:val="24"/>
          <w:szCs w:val="24"/>
        </w:rPr>
        <w:t xml:space="preserve"> and will not affect student’s eligibility for other income support payments, as long as the payment, combined with other equity or merit based scholarships paid to the student, does not equal an amount greater than the annual threshold as set out in </w:t>
      </w:r>
      <w:r w:rsidRPr="00D41B75">
        <w:rPr>
          <w:rFonts w:ascii="Times New Roman" w:hAnsi="Times New Roman"/>
          <w:color w:val="000000" w:themeColor="text1"/>
          <w:sz w:val="24"/>
        </w:rPr>
        <w:t xml:space="preserve">Section 8(8)(zjd) of the </w:t>
      </w:r>
      <w:r w:rsidRPr="00D41B75">
        <w:rPr>
          <w:rFonts w:ascii="Times New Roman" w:hAnsi="Times New Roman"/>
          <w:i/>
          <w:iCs/>
          <w:color w:val="000000" w:themeColor="text1"/>
          <w:sz w:val="24"/>
        </w:rPr>
        <w:t>Social Security Act</w:t>
      </w:r>
      <w:r>
        <w:rPr>
          <w:rFonts w:ascii="Times New Roman" w:hAnsi="Times New Roman"/>
          <w:i/>
          <w:iCs/>
          <w:color w:val="000000" w:themeColor="text1"/>
          <w:sz w:val="24"/>
        </w:rPr>
        <w:t> </w:t>
      </w:r>
      <w:r w:rsidRPr="00D41B75">
        <w:rPr>
          <w:rFonts w:ascii="Times New Roman" w:hAnsi="Times New Roman"/>
          <w:i/>
          <w:iCs/>
          <w:color w:val="000000" w:themeColor="text1"/>
          <w:sz w:val="24"/>
        </w:rPr>
        <w:t>1991</w:t>
      </w:r>
      <w:r w:rsidRPr="00D41B75">
        <w:rPr>
          <w:rFonts w:ascii="Times New Roman" w:hAnsi="Times New Roman"/>
          <w:color w:val="000000" w:themeColor="text1"/>
          <w:sz w:val="24"/>
        </w:rPr>
        <w:t xml:space="preserve"> </w:t>
      </w:r>
      <w:r w:rsidRPr="00D41B75">
        <w:rPr>
          <w:rFonts w:ascii="Times New Roman" w:hAnsi="Times New Roman"/>
          <w:color w:val="000000" w:themeColor="text1"/>
          <w:sz w:val="24"/>
          <w:szCs w:val="24"/>
        </w:rPr>
        <w:t>($</w:t>
      </w:r>
      <w:r w:rsidRPr="00D41B75">
        <w:rPr>
          <w:rFonts w:ascii="Times New Roman" w:hAnsi="Times New Roman"/>
          <w:sz w:val="24"/>
          <w:szCs w:val="24"/>
        </w:rPr>
        <w:t>8,355 in 2020, indexed 1 January each year). Commonwealth scholarships and Relocation Scholarships are not included within this threshold.</w:t>
      </w:r>
    </w:p>
    <w:p w14:paraId="7723106D" w14:textId="77777777" w:rsidR="00CB44AB" w:rsidRDefault="00CB44AB" w:rsidP="00CB44AB">
      <w:pPr>
        <w:rPr>
          <w:rFonts w:ascii="Times New Roman" w:hAnsi="Times New Roman"/>
          <w:sz w:val="24"/>
          <w:szCs w:val="24"/>
        </w:rPr>
      </w:pPr>
    </w:p>
    <w:p w14:paraId="173A0FA0" w14:textId="77777777" w:rsidR="00CB44AB" w:rsidRDefault="00CB44AB" w:rsidP="00CB44AB">
      <w:pPr>
        <w:rPr>
          <w:rFonts w:ascii="Times New Roman" w:hAnsi="Times New Roman"/>
          <w:sz w:val="24"/>
          <w:szCs w:val="24"/>
        </w:rPr>
      </w:pPr>
      <w:r w:rsidRPr="00D41B75">
        <w:rPr>
          <w:rFonts w:ascii="Times New Roman" w:hAnsi="Times New Roman"/>
          <w:sz w:val="24"/>
          <w:szCs w:val="24"/>
        </w:rPr>
        <w:t>For students whose parental income means they are not eligible for any Youth Allowance/ABSTUDY</w:t>
      </w:r>
      <w:r>
        <w:rPr>
          <w:rFonts w:ascii="Times New Roman" w:hAnsi="Times New Roman"/>
          <w:sz w:val="24"/>
          <w:szCs w:val="24"/>
        </w:rPr>
        <w:t xml:space="preserve"> payments</w:t>
      </w:r>
      <w:r w:rsidRPr="00D41B75">
        <w:rPr>
          <w:rFonts w:ascii="Times New Roman" w:hAnsi="Times New Roman"/>
          <w:sz w:val="24"/>
          <w:szCs w:val="24"/>
        </w:rPr>
        <w:t xml:space="preserve">, or the Relocation Scholarship, </w:t>
      </w:r>
      <w:r>
        <w:rPr>
          <w:rFonts w:ascii="Times New Roman" w:hAnsi="Times New Roman"/>
          <w:sz w:val="24"/>
          <w:szCs w:val="24"/>
        </w:rPr>
        <w:t>the Tertiary Access Payment</w:t>
      </w:r>
      <w:r w:rsidRPr="00D41B75">
        <w:rPr>
          <w:rFonts w:ascii="Times New Roman" w:hAnsi="Times New Roman"/>
          <w:sz w:val="24"/>
          <w:szCs w:val="24"/>
        </w:rPr>
        <w:t xml:space="preserve"> will assist with the increased costs associated with relocating to a new city or town to undertake tertiary study, providing support to </w:t>
      </w:r>
      <w:r>
        <w:rPr>
          <w:rFonts w:ascii="Times New Roman" w:hAnsi="Times New Roman"/>
          <w:sz w:val="24"/>
          <w:szCs w:val="24"/>
        </w:rPr>
        <w:t>these students during their first year in a new location. This is in recognition of the Napthine Review finding that it costs as much as $30,000 a year for regional and remote students to relocate for further study. In addition, the Napthine Review highlighted that higher education outcomes are lower for regional and remote students at all income levels. University attrition (drop-out) rates for high socioeconomic status (SES) regional and remote students are comparable to low SES metropolitan students. The Tertiary Access Payment aims to address this disparity and improve outcomes for all outer regional and remote students.</w:t>
      </w:r>
    </w:p>
    <w:p w14:paraId="29762180" w14:textId="77777777" w:rsidR="00CB44AB" w:rsidRDefault="00CB44AB" w:rsidP="00CB44AB">
      <w:pPr>
        <w:rPr>
          <w:rFonts w:ascii="Times New Roman" w:hAnsi="Times New Roman"/>
          <w:sz w:val="24"/>
          <w:szCs w:val="24"/>
        </w:rPr>
      </w:pPr>
    </w:p>
    <w:p w14:paraId="33F00411" w14:textId="77777777" w:rsidR="00CB44AB" w:rsidRPr="00C15DE8" w:rsidRDefault="00CB44AB" w:rsidP="00CB44AB">
      <w:pPr>
        <w:rPr>
          <w:rFonts w:ascii="Times New Roman" w:hAnsi="Times New Roman"/>
          <w:sz w:val="24"/>
          <w:szCs w:val="24"/>
        </w:rPr>
      </w:pPr>
      <w:r w:rsidRPr="00D41B75">
        <w:rPr>
          <w:rFonts w:ascii="Times New Roman" w:hAnsi="Times New Roman"/>
          <w:sz w:val="24"/>
          <w:szCs w:val="24"/>
        </w:rPr>
        <w:t xml:space="preserve">While this payment is not intended to cover all costs associated with relocation, it is designed to be a contribution toward these costs, and act as an incentive to students who may be deterred from tertiary study due to the upfront costs they incur. </w:t>
      </w:r>
      <w:r>
        <w:rPr>
          <w:rFonts w:ascii="Times New Roman" w:hAnsi="Times New Roman"/>
          <w:sz w:val="24"/>
          <w:szCs w:val="24"/>
        </w:rPr>
        <w:t>The payments could be used to cover costs including, but not restricted to</w:t>
      </w:r>
      <w:r w:rsidRPr="00C15DE8">
        <w:rPr>
          <w:rFonts w:ascii="Times New Roman" w:hAnsi="Times New Roman"/>
          <w:sz w:val="24"/>
          <w:szCs w:val="24"/>
        </w:rPr>
        <w:t>:</w:t>
      </w:r>
    </w:p>
    <w:p w14:paraId="19D8CE7A" w14:textId="77777777" w:rsidR="00CB44AB" w:rsidRPr="00CC41AF" w:rsidRDefault="00CB44AB" w:rsidP="00CB44AB">
      <w:pPr>
        <w:pStyle w:val="ListParagraph"/>
        <w:numPr>
          <w:ilvl w:val="0"/>
          <w:numId w:val="28"/>
        </w:numPr>
        <w:ind w:left="720" w:right="-46"/>
        <w:rPr>
          <w:szCs w:val="24"/>
        </w:rPr>
      </w:pPr>
      <w:r>
        <w:rPr>
          <w:szCs w:val="24"/>
        </w:rPr>
        <w:t>a bond for accommodation;</w:t>
      </w:r>
    </w:p>
    <w:p w14:paraId="2D75F10B" w14:textId="77777777" w:rsidR="00CB44AB" w:rsidRPr="00CC41AF" w:rsidRDefault="00CB44AB" w:rsidP="00CB44AB">
      <w:pPr>
        <w:pStyle w:val="ListParagraph"/>
        <w:numPr>
          <w:ilvl w:val="0"/>
          <w:numId w:val="28"/>
        </w:numPr>
        <w:ind w:left="720" w:right="-46"/>
        <w:rPr>
          <w:szCs w:val="24"/>
        </w:rPr>
      </w:pPr>
      <w:r>
        <w:rPr>
          <w:szCs w:val="24"/>
        </w:rPr>
        <w:t>assistance with rent and other household bills;</w:t>
      </w:r>
    </w:p>
    <w:p w14:paraId="20ACFADB" w14:textId="77777777" w:rsidR="00CB44AB" w:rsidRDefault="00CB44AB" w:rsidP="00CB44AB">
      <w:pPr>
        <w:pStyle w:val="ListParagraph"/>
        <w:numPr>
          <w:ilvl w:val="0"/>
          <w:numId w:val="28"/>
        </w:numPr>
        <w:ind w:left="720" w:right="-46"/>
        <w:rPr>
          <w:szCs w:val="24"/>
        </w:rPr>
      </w:pPr>
      <w:r>
        <w:rPr>
          <w:szCs w:val="24"/>
        </w:rPr>
        <w:t>groceries; and</w:t>
      </w:r>
    </w:p>
    <w:p w14:paraId="27205E74" w14:textId="77777777" w:rsidR="00CB44AB" w:rsidRPr="00D41B75" w:rsidRDefault="00CB44AB" w:rsidP="00CB44AB">
      <w:pPr>
        <w:pStyle w:val="ListParagraph"/>
        <w:numPr>
          <w:ilvl w:val="0"/>
          <w:numId w:val="28"/>
        </w:numPr>
        <w:ind w:left="720" w:right="-46"/>
        <w:rPr>
          <w:szCs w:val="24"/>
        </w:rPr>
      </w:pPr>
      <w:r>
        <w:rPr>
          <w:szCs w:val="24"/>
        </w:rPr>
        <w:t>textbooks and other study supplies.</w:t>
      </w:r>
    </w:p>
    <w:p w14:paraId="1FD45924" w14:textId="77777777" w:rsidR="00CB44AB" w:rsidRPr="00377D71" w:rsidRDefault="00CB44AB" w:rsidP="00CB44AB">
      <w:pPr>
        <w:rPr>
          <w:rFonts w:ascii="Times New Roman" w:hAnsi="Times New Roman"/>
          <w:sz w:val="24"/>
          <w:szCs w:val="24"/>
        </w:rPr>
      </w:pPr>
    </w:p>
    <w:p w14:paraId="306C7B1E" w14:textId="77777777" w:rsidR="00CB44AB" w:rsidRDefault="00CB44AB" w:rsidP="00CB44AB">
      <w:pPr>
        <w:rPr>
          <w:rFonts w:ascii="Times New Roman" w:hAnsi="Times New Roman"/>
          <w:sz w:val="24"/>
          <w:szCs w:val="24"/>
        </w:rPr>
      </w:pPr>
      <w:r w:rsidRPr="00377D71">
        <w:rPr>
          <w:rFonts w:ascii="Times New Roman" w:hAnsi="Times New Roman"/>
          <w:sz w:val="24"/>
          <w:szCs w:val="24"/>
        </w:rPr>
        <w:lastRenderedPageBreak/>
        <w:t xml:space="preserve">Payments to </w:t>
      </w:r>
      <w:r>
        <w:rPr>
          <w:rFonts w:ascii="Times New Roman" w:hAnsi="Times New Roman"/>
          <w:sz w:val="24"/>
          <w:szCs w:val="24"/>
        </w:rPr>
        <w:t xml:space="preserve">eligible </w:t>
      </w:r>
      <w:r w:rsidRPr="00377D71">
        <w:rPr>
          <w:rFonts w:ascii="Times New Roman" w:hAnsi="Times New Roman"/>
          <w:sz w:val="24"/>
          <w:szCs w:val="24"/>
        </w:rPr>
        <w:t xml:space="preserve">students </w:t>
      </w:r>
      <w:r>
        <w:rPr>
          <w:rFonts w:ascii="Times New Roman" w:hAnsi="Times New Roman"/>
          <w:sz w:val="24"/>
          <w:szCs w:val="24"/>
        </w:rPr>
        <w:t xml:space="preserve">relocating to study at NUHEPs and VET providers </w:t>
      </w:r>
      <w:r w:rsidRPr="00377D71">
        <w:rPr>
          <w:rFonts w:ascii="Times New Roman" w:hAnsi="Times New Roman"/>
          <w:sz w:val="24"/>
          <w:szCs w:val="24"/>
        </w:rPr>
        <w:t xml:space="preserve">will be administered by Services Australia as </w:t>
      </w:r>
      <w:r w:rsidRPr="00A93C58">
        <w:rPr>
          <w:rFonts w:ascii="Times New Roman" w:hAnsi="Times New Roman"/>
          <w:sz w:val="24"/>
          <w:szCs w:val="24"/>
        </w:rPr>
        <w:t>demand driven grants subject to the</w:t>
      </w:r>
      <w:r w:rsidRPr="00377D71">
        <w:rPr>
          <w:rFonts w:ascii="Times New Roman" w:hAnsi="Times New Roman"/>
          <w:sz w:val="24"/>
          <w:szCs w:val="24"/>
        </w:rPr>
        <w:t xml:space="preserve"> </w:t>
      </w:r>
      <w:r w:rsidRPr="00377D71">
        <w:rPr>
          <w:rFonts w:ascii="Times New Roman" w:hAnsi="Times New Roman"/>
          <w:i/>
          <w:sz w:val="24"/>
          <w:szCs w:val="24"/>
        </w:rPr>
        <w:t>Public Governance, Performance and Accountability Act 2013</w:t>
      </w:r>
      <w:r w:rsidRPr="00377D71">
        <w:rPr>
          <w:rFonts w:ascii="Times New Roman" w:hAnsi="Times New Roman"/>
          <w:sz w:val="24"/>
          <w:szCs w:val="24"/>
        </w:rPr>
        <w:t xml:space="preserve"> and the </w:t>
      </w:r>
      <w:r w:rsidRPr="00377D71">
        <w:rPr>
          <w:rFonts w:ascii="Times New Roman" w:hAnsi="Times New Roman"/>
          <w:i/>
          <w:sz w:val="24"/>
          <w:szCs w:val="24"/>
        </w:rPr>
        <w:t>Commonwealth Grants Rules and Guidelines 2017</w:t>
      </w:r>
      <w:r w:rsidRPr="00377D71">
        <w:rPr>
          <w:rFonts w:ascii="Times New Roman" w:hAnsi="Times New Roman"/>
          <w:sz w:val="24"/>
          <w:szCs w:val="24"/>
        </w:rPr>
        <w:t xml:space="preserve">. </w:t>
      </w:r>
      <w:r>
        <w:rPr>
          <w:rFonts w:ascii="Times New Roman" w:hAnsi="Times New Roman"/>
          <w:sz w:val="24"/>
          <w:szCs w:val="24"/>
        </w:rPr>
        <w:t>W</w:t>
      </w:r>
      <w:r w:rsidRPr="00377D71">
        <w:rPr>
          <w:rFonts w:ascii="Times New Roman" w:hAnsi="Times New Roman"/>
          <w:sz w:val="24"/>
          <w:szCs w:val="24"/>
        </w:rPr>
        <w:t>here possible and appropriate, Services Australia will use decision</w:t>
      </w:r>
      <w:r>
        <w:rPr>
          <w:rFonts w:ascii="Times New Roman" w:hAnsi="Times New Roman"/>
          <w:sz w:val="24"/>
          <w:szCs w:val="24"/>
        </w:rPr>
        <w:t xml:space="preserve"> </w:t>
      </w:r>
      <w:r w:rsidRPr="00377D71">
        <w:rPr>
          <w:rFonts w:ascii="Times New Roman" w:hAnsi="Times New Roman"/>
          <w:sz w:val="24"/>
          <w:szCs w:val="24"/>
        </w:rPr>
        <w:t xml:space="preserve">making processes similar to those currently in place for income support payments to students such as Youth Allowance and ABSTUDY. Final decisions about Commonwealth expenditure on the </w:t>
      </w:r>
      <w:r>
        <w:rPr>
          <w:rFonts w:ascii="Times New Roman" w:hAnsi="Times New Roman"/>
          <w:sz w:val="24"/>
          <w:szCs w:val="24"/>
        </w:rPr>
        <w:t xml:space="preserve">Tertiary Access Payment to be administered by Services Australia </w:t>
      </w:r>
      <w:r w:rsidRPr="00377D71">
        <w:rPr>
          <w:rFonts w:ascii="Times New Roman" w:hAnsi="Times New Roman"/>
          <w:sz w:val="24"/>
          <w:szCs w:val="24"/>
        </w:rPr>
        <w:t>will be made by a delegate of the Secretary</w:t>
      </w:r>
      <w:r>
        <w:rPr>
          <w:rFonts w:ascii="Times New Roman" w:hAnsi="Times New Roman"/>
          <w:sz w:val="24"/>
          <w:szCs w:val="24"/>
        </w:rPr>
        <w:t xml:space="preserve"> of the department</w:t>
      </w:r>
      <w:r w:rsidRPr="00377D71">
        <w:rPr>
          <w:rFonts w:ascii="Times New Roman" w:hAnsi="Times New Roman"/>
          <w:sz w:val="24"/>
          <w:szCs w:val="24"/>
        </w:rPr>
        <w:t xml:space="preserve">.  </w:t>
      </w:r>
    </w:p>
    <w:p w14:paraId="4CBBFAD9" w14:textId="77777777" w:rsidR="00CB44AB" w:rsidRPr="00377D71" w:rsidRDefault="00CB44AB" w:rsidP="00CB44AB">
      <w:pPr>
        <w:rPr>
          <w:rFonts w:ascii="Times New Roman" w:hAnsi="Times New Roman"/>
          <w:sz w:val="24"/>
          <w:szCs w:val="24"/>
        </w:rPr>
      </w:pPr>
    </w:p>
    <w:p w14:paraId="62934593" w14:textId="77777777" w:rsidR="00CB44AB" w:rsidRPr="00377D71" w:rsidRDefault="00CB44AB" w:rsidP="00CB44AB">
      <w:pPr>
        <w:rPr>
          <w:rFonts w:ascii="Times New Roman" w:hAnsi="Times New Roman"/>
          <w:sz w:val="24"/>
          <w:szCs w:val="24"/>
        </w:rPr>
      </w:pPr>
      <w:r w:rsidRPr="00184A79">
        <w:rPr>
          <w:rFonts w:ascii="Times New Roman" w:hAnsi="Times New Roman"/>
          <w:sz w:val="24"/>
          <w:szCs w:val="24"/>
        </w:rPr>
        <w:t xml:space="preserve">Program </w:t>
      </w:r>
      <w:r>
        <w:rPr>
          <w:rFonts w:ascii="Times New Roman" w:hAnsi="Times New Roman"/>
          <w:sz w:val="24"/>
          <w:szCs w:val="24"/>
        </w:rPr>
        <w:t>g</w:t>
      </w:r>
      <w:r w:rsidRPr="00184A79">
        <w:rPr>
          <w:rFonts w:ascii="Times New Roman" w:hAnsi="Times New Roman"/>
          <w:sz w:val="24"/>
          <w:szCs w:val="24"/>
        </w:rPr>
        <w:t xml:space="preserve">uidelines outlining full eligibility criteria and application process </w:t>
      </w:r>
      <w:r>
        <w:rPr>
          <w:rFonts w:ascii="Times New Roman" w:hAnsi="Times New Roman"/>
          <w:sz w:val="24"/>
          <w:szCs w:val="24"/>
        </w:rPr>
        <w:t xml:space="preserve">for the Tertiary Access Payment </w:t>
      </w:r>
      <w:r w:rsidRPr="00184A79">
        <w:rPr>
          <w:rFonts w:ascii="Times New Roman" w:hAnsi="Times New Roman"/>
          <w:sz w:val="24"/>
          <w:szCs w:val="24"/>
        </w:rPr>
        <w:t xml:space="preserve">will be made </w:t>
      </w:r>
      <w:r>
        <w:rPr>
          <w:rFonts w:ascii="Times New Roman" w:hAnsi="Times New Roman"/>
          <w:sz w:val="24"/>
          <w:szCs w:val="24"/>
        </w:rPr>
        <w:t xml:space="preserve">publicly </w:t>
      </w:r>
      <w:r w:rsidRPr="00184A79">
        <w:rPr>
          <w:rFonts w:ascii="Times New Roman" w:hAnsi="Times New Roman"/>
          <w:sz w:val="24"/>
          <w:szCs w:val="24"/>
        </w:rPr>
        <w:t>available later in 2020</w:t>
      </w:r>
      <w:r w:rsidRPr="00332701">
        <w:rPr>
          <w:rFonts w:ascii="Times New Roman" w:hAnsi="Times New Roman"/>
          <w:sz w:val="24"/>
          <w:szCs w:val="24"/>
        </w:rPr>
        <w:t xml:space="preserve"> </w:t>
      </w:r>
      <w:r w:rsidRPr="00377D71">
        <w:rPr>
          <w:rFonts w:ascii="Times New Roman" w:hAnsi="Times New Roman"/>
          <w:sz w:val="24"/>
          <w:szCs w:val="24"/>
        </w:rPr>
        <w:t>on the department</w:t>
      </w:r>
      <w:r>
        <w:rPr>
          <w:rFonts w:ascii="Times New Roman" w:hAnsi="Times New Roman"/>
          <w:sz w:val="24"/>
          <w:szCs w:val="24"/>
        </w:rPr>
        <w:t>al</w:t>
      </w:r>
      <w:r w:rsidRPr="00377D71">
        <w:rPr>
          <w:rFonts w:ascii="Times New Roman" w:hAnsi="Times New Roman"/>
          <w:sz w:val="24"/>
          <w:szCs w:val="24"/>
        </w:rPr>
        <w:t xml:space="preserve"> website </w:t>
      </w:r>
      <w:r>
        <w:rPr>
          <w:rFonts w:ascii="Times New Roman" w:hAnsi="Times New Roman"/>
          <w:sz w:val="24"/>
          <w:szCs w:val="24"/>
        </w:rPr>
        <w:t>at</w:t>
      </w:r>
      <w:r w:rsidRPr="00377D71">
        <w:rPr>
          <w:rFonts w:ascii="Times New Roman" w:hAnsi="Times New Roman"/>
          <w:sz w:val="24"/>
          <w:szCs w:val="24"/>
        </w:rPr>
        <w:t xml:space="preserve"> </w:t>
      </w:r>
      <w:hyperlink r:id="rId16" w:history="1">
        <w:r w:rsidRPr="00332701">
          <w:rPr>
            <w:rFonts w:ascii="Times New Roman" w:hAnsi="Times New Roman"/>
            <w:sz w:val="24"/>
            <w:u w:val="single"/>
          </w:rPr>
          <w:t>www.dese.gov.au</w:t>
        </w:r>
      </w:hyperlink>
      <w:r w:rsidRPr="00377D71">
        <w:rPr>
          <w:rFonts w:ascii="Times New Roman" w:hAnsi="Times New Roman"/>
          <w:sz w:val="24"/>
        </w:rPr>
        <w:t xml:space="preserve"> and </w:t>
      </w:r>
      <w:r>
        <w:rPr>
          <w:rFonts w:ascii="Times New Roman" w:hAnsi="Times New Roman"/>
          <w:sz w:val="24"/>
        </w:rPr>
        <w:t xml:space="preserve">on </w:t>
      </w:r>
      <w:r w:rsidRPr="00377D71">
        <w:rPr>
          <w:rFonts w:ascii="Times New Roman" w:hAnsi="Times New Roman"/>
          <w:sz w:val="24"/>
        </w:rPr>
        <w:t>GrantConnect</w:t>
      </w:r>
      <w:r>
        <w:rPr>
          <w:rFonts w:ascii="Times New Roman" w:hAnsi="Times New Roman"/>
          <w:sz w:val="24"/>
        </w:rPr>
        <w:t xml:space="preserve"> at </w:t>
      </w:r>
      <w:r w:rsidRPr="00332701">
        <w:rPr>
          <w:rFonts w:ascii="Times New Roman" w:hAnsi="Times New Roman"/>
          <w:sz w:val="24"/>
          <w:u w:val="single"/>
        </w:rPr>
        <w:t>www.grants.gov.au</w:t>
      </w:r>
      <w:r w:rsidRPr="00184A79">
        <w:rPr>
          <w:rFonts w:ascii="Times New Roman" w:hAnsi="Times New Roman"/>
          <w:sz w:val="24"/>
          <w:szCs w:val="24"/>
        </w:rPr>
        <w:t xml:space="preserve">, with payments to commence in 2021. </w:t>
      </w:r>
      <w:r w:rsidRPr="00377D71">
        <w:rPr>
          <w:rFonts w:ascii="Times New Roman" w:hAnsi="Times New Roman"/>
          <w:sz w:val="24"/>
          <w:szCs w:val="24"/>
        </w:rPr>
        <w:t xml:space="preserve">Information about payment recipients will not be publicly available due to privacy constraints. </w:t>
      </w:r>
    </w:p>
    <w:p w14:paraId="46E10413" w14:textId="77777777" w:rsidR="00CB44AB" w:rsidRDefault="00CB44AB" w:rsidP="00CB44AB">
      <w:pPr>
        <w:rPr>
          <w:rFonts w:ascii="Times New Roman" w:hAnsi="Times New Roman"/>
          <w:sz w:val="24"/>
          <w:szCs w:val="24"/>
        </w:rPr>
      </w:pPr>
    </w:p>
    <w:p w14:paraId="4166276A" w14:textId="77777777" w:rsidR="00CB44AB" w:rsidRDefault="00CB44AB" w:rsidP="00CB44AB">
      <w:pPr>
        <w:rPr>
          <w:rFonts w:ascii="Times New Roman" w:hAnsi="Times New Roman"/>
          <w:sz w:val="24"/>
          <w:szCs w:val="24"/>
        </w:rPr>
      </w:pPr>
      <w:r w:rsidRPr="00332701">
        <w:rPr>
          <w:rFonts w:ascii="Times New Roman" w:hAnsi="Times New Roman"/>
          <w:sz w:val="24"/>
          <w:szCs w:val="24"/>
        </w:rPr>
        <w:t xml:space="preserve">Payments will be made to students relocating to study at NUHEPs and VET providers subject to </w:t>
      </w:r>
      <w:r>
        <w:rPr>
          <w:rFonts w:ascii="Times New Roman" w:hAnsi="Times New Roman"/>
          <w:sz w:val="24"/>
          <w:szCs w:val="24"/>
        </w:rPr>
        <w:t xml:space="preserve">them </w:t>
      </w:r>
      <w:r w:rsidRPr="00332701">
        <w:rPr>
          <w:rFonts w:ascii="Times New Roman" w:hAnsi="Times New Roman"/>
          <w:sz w:val="24"/>
          <w:szCs w:val="24"/>
        </w:rPr>
        <w:t>meeting eligibility requirements within the capped amount of payments available.</w:t>
      </w:r>
      <w:r>
        <w:rPr>
          <w:rFonts w:ascii="Times New Roman" w:hAnsi="Times New Roman"/>
          <w:sz w:val="24"/>
          <w:szCs w:val="24"/>
        </w:rPr>
        <w:t xml:space="preserve"> </w:t>
      </w:r>
      <w:r w:rsidRPr="005518ED">
        <w:rPr>
          <w:rFonts w:ascii="Times New Roman" w:hAnsi="Times New Roman"/>
          <w:sz w:val="24"/>
          <w:szCs w:val="24"/>
        </w:rPr>
        <w:t xml:space="preserve">It is not appropriate for such decisions to be subject to independent merits review as these decisions are automatic decisions which apply to each eligible student; that is, the decisions are based on the factual determination of whether an applicant meets the objective eligibility criteria </w:t>
      </w:r>
      <w:r>
        <w:rPr>
          <w:rFonts w:ascii="Times New Roman" w:hAnsi="Times New Roman"/>
          <w:sz w:val="24"/>
          <w:szCs w:val="24"/>
        </w:rPr>
        <w:t xml:space="preserve">to be </w:t>
      </w:r>
      <w:r w:rsidRPr="005518ED">
        <w:rPr>
          <w:rFonts w:ascii="Times New Roman" w:hAnsi="Times New Roman"/>
          <w:sz w:val="24"/>
          <w:szCs w:val="24"/>
        </w:rPr>
        <w:t xml:space="preserve">set out in the </w:t>
      </w:r>
      <w:r>
        <w:rPr>
          <w:rFonts w:ascii="Times New Roman" w:hAnsi="Times New Roman"/>
          <w:sz w:val="24"/>
          <w:szCs w:val="24"/>
        </w:rPr>
        <w:t>p</w:t>
      </w:r>
      <w:r w:rsidRPr="005518ED">
        <w:rPr>
          <w:rFonts w:ascii="Times New Roman" w:hAnsi="Times New Roman"/>
          <w:sz w:val="24"/>
          <w:szCs w:val="24"/>
        </w:rPr>
        <w:t xml:space="preserve">rogram </w:t>
      </w:r>
      <w:r>
        <w:rPr>
          <w:rFonts w:ascii="Times New Roman" w:hAnsi="Times New Roman"/>
          <w:sz w:val="24"/>
          <w:szCs w:val="24"/>
        </w:rPr>
        <w:t>g</w:t>
      </w:r>
      <w:r w:rsidRPr="005518ED">
        <w:rPr>
          <w:rFonts w:ascii="Times New Roman" w:hAnsi="Times New Roman"/>
          <w:sz w:val="24"/>
          <w:szCs w:val="24"/>
        </w:rPr>
        <w:t>uidelines</w:t>
      </w:r>
      <w:r>
        <w:rPr>
          <w:rFonts w:ascii="Times New Roman" w:hAnsi="Times New Roman"/>
          <w:sz w:val="24"/>
          <w:szCs w:val="24"/>
        </w:rPr>
        <w:t>. If the applicant meets these criteria, the making of a payment is mandatory</w:t>
      </w:r>
      <w:r w:rsidRPr="00332701">
        <w:rPr>
          <w:rFonts w:ascii="Times New Roman" w:hAnsi="Times New Roman"/>
          <w:sz w:val="24"/>
          <w:szCs w:val="24"/>
        </w:rPr>
        <w:t xml:space="preserve">, </w:t>
      </w:r>
      <w:r>
        <w:rPr>
          <w:rFonts w:ascii="Times New Roman" w:hAnsi="Times New Roman"/>
          <w:sz w:val="24"/>
          <w:szCs w:val="24"/>
        </w:rPr>
        <w:t>so</w:t>
      </w:r>
      <w:r w:rsidRPr="00332701">
        <w:rPr>
          <w:rFonts w:ascii="Times New Roman" w:hAnsi="Times New Roman"/>
          <w:sz w:val="24"/>
          <w:szCs w:val="24"/>
        </w:rPr>
        <w:t xml:space="preserve"> long as the </w:t>
      </w:r>
      <w:r>
        <w:rPr>
          <w:rFonts w:ascii="Times New Roman" w:hAnsi="Times New Roman"/>
          <w:sz w:val="24"/>
          <w:szCs w:val="24"/>
        </w:rPr>
        <w:t xml:space="preserve">funding for payments available for administration by </w:t>
      </w:r>
      <w:r w:rsidRPr="00332701">
        <w:rPr>
          <w:rFonts w:ascii="Times New Roman" w:hAnsi="Times New Roman"/>
          <w:sz w:val="24"/>
          <w:szCs w:val="24"/>
        </w:rPr>
        <w:t>Services Australia has not been exhausted</w:t>
      </w:r>
      <w:r>
        <w:rPr>
          <w:rFonts w:ascii="Times New Roman" w:hAnsi="Times New Roman"/>
          <w:sz w:val="24"/>
          <w:szCs w:val="24"/>
        </w:rPr>
        <w:t>. As such, there are no grounds on which merits review can operate. The Administrative Review Council has recognised that it is justifiable to exclude merits review in relation to automatic or mandatory decisions of this nature</w:t>
      </w:r>
      <w:r w:rsidRPr="005518ED">
        <w:rPr>
          <w:rFonts w:ascii="Times New Roman" w:hAnsi="Times New Roman"/>
          <w:sz w:val="24"/>
          <w:szCs w:val="24"/>
        </w:rPr>
        <w:t xml:space="preserve"> (</w:t>
      </w:r>
      <w:r w:rsidRPr="005518ED">
        <w:rPr>
          <w:rFonts w:ascii="Times New Roman" w:hAnsi="Times New Roman"/>
          <w:bCs/>
          <w:sz w:val="24"/>
          <w:szCs w:val="24"/>
        </w:rPr>
        <w:t xml:space="preserve">see paragraphs 3.8 to 3.12 of the </w:t>
      </w:r>
      <w:r>
        <w:rPr>
          <w:rFonts w:ascii="Times New Roman" w:hAnsi="Times New Roman"/>
          <w:bCs/>
          <w:sz w:val="24"/>
          <w:szCs w:val="24"/>
        </w:rPr>
        <w:t xml:space="preserve">guide, </w:t>
      </w:r>
      <w:r w:rsidRPr="00B7655B">
        <w:rPr>
          <w:rFonts w:ascii="Times New Roman" w:hAnsi="Times New Roman"/>
          <w:i/>
          <w:color w:val="000000" w:themeColor="text1"/>
          <w:sz w:val="24"/>
          <w:szCs w:val="24"/>
        </w:rPr>
        <w:t>What decisions should be subject to merit review?</w:t>
      </w:r>
      <w:r>
        <w:rPr>
          <w:rFonts w:ascii="Times New Roman" w:hAnsi="Times New Roman"/>
          <w:sz w:val="24"/>
          <w:szCs w:val="24"/>
        </w:rPr>
        <w:t>).</w:t>
      </w:r>
      <w:r w:rsidRPr="005518ED">
        <w:rPr>
          <w:rFonts w:ascii="Times New Roman" w:hAnsi="Times New Roman"/>
          <w:sz w:val="24"/>
          <w:szCs w:val="24"/>
        </w:rPr>
        <w:t xml:space="preserve"> </w:t>
      </w:r>
    </w:p>
    <w:p w14:paraId="0702F789" w14:textId="77777777" w:rsidR="00CB44AB" w:rsidRDefault="00CB44AB" w:rsidP="00CB44AB">
      <w:pPr>
        <w:rPr>
          <w:rFonts w:ascii="Times New Roman" w:hAnsi="Times New Roman"/>
          <w:sz w:val="24"/>
          <w:szCs w:val="24"/>
        </w:rPr>
      </w:pPr>
    </w:p>
    <w:p w14:paraId="17DEF712" w14:textId="77777777" w:rsidR="00CB44AB" w:rsidRDefault="00CB44AB" w:rsidP="00CB44AB">
      <w:pPr>
        <w:rPr>
          <w:rFonts w:ascii="Times New Roman" w:hAnsi="Times New Roman"/>
          <w:sz w:val="24"/>
          <w:szCs w:val="24"/>
        </w:rPr>
      </w:pPr>
      <w:r w:rsidRPr="00332701">
        <w:rPr>
          <w:rFonts w:ascii="Times New Roman" w:hAnsi="Times New Roman"/>
          <w:sz w:val="24"/>
          <w:szCs w:val="24"/>
        </w:rPr>
        <w:t>Further, decision</w:t>
      </w:r>
      <w:r>
        <w:rPr>
          <w:rFonts w:ascii="Times New Roman" w:hAnsi="Times New Roman"/>
          <w:sz w:val="24"/>
          <w:szCs w:val="24"/>
        </w:rPr>
        <w:t>s</w:t>
      </w:r>
      <w:r w:rsidRPr="00332701">
        <w:rPr>
          <w:rFonts w:ascii="Times New Roman" w:hAnsi="Times New Roman"/>
          <w:sz w:val="24"/>
          <w:szCs w:val="24"/>
        </w:rPr>
        <w:t xml:space="preserve"> </w:t>
      </w:r>
      <w:r>
        <w:rPr>
          <w:rFonts w:ascii="Times New Roman" w:hAnsi="Times New Roman"/>
          <w:sz w:val="24"/>
          <w:szCs w:val="24"/>
        </w:rPr>
        <w:t xml:space="preserve">made in connection with the Tertiary Access Payment </w:t>
      </w:r>
      <w:r w:rsidRPr="00332701">
        <w:rPr>
          <w:rFonts w:ascii="Times New Roman" w:hAnsi="Times New Roman"/>
          <w:sz w:val="24"/>
          <w:szCs w:val="24"/>
        </w:rPr>
        <w:t xml:space="preserve">to eligible students relocating to study at NUHEPs and VET providers relate to the allocation of a finite resource, noting </w:t>
      </w:r>
      <w:r>
        <w:rPr>
          <w:rFonts w:ascii="Times New Roman" w:hAnsi="Times New Roman"/>
          <w:sz w:val="24"/>
          <w:szCs w:val="24"/>
        </w:rPr>
        <w:t>a cap on the</w:t>
      </w:r>
      <w:r w:rsidRPr="00332701">
        <w:rPr>
          <w:rFonts w:ascii="Times New Roman" w:hAnsi="Times New Roman"/>
          <w:sz w:val="24"/>
          <w:szCs w:val="24"/>
        </w:rPr>
        <w:t xml:space="preserve"> amount of funding </w:t>
      </w:r>
      <w:r>
        <w:rPr>
          <w:rFonts w:ascii="Times New Roman" w:hAnsi="Times New Roman"/>
          <w:sz w:val="24"/>
          <w:szCs w:val="24"/>
        </w:rPr>
        <w:t>available for payments</w:t>
      </w:r>
      <w:r w:rsidRPr="00332701">
        <w:rPr>
          <w:rFonts w:ascii="Times New Roman" w:hAnsi="Times New Roman"/>
          <w:sz w:val="24"/>
          <w:szCs w:val="24"/>
        </w:rPr>
        <w:t>. Overturning a decision to make a payment to one student could affect a payment that has already been made to another student. The Administrative Review Council has recognised that it is justifiable to exclude merits review in relation to decisions of this nature (</w:t>
      </w:r>
      <w:r w:rsidRPr="00BA6170">
        <w:rPr>
          <w:rFonts w:ascii="Times New Roman" w:hAnsi="Times New Roman"/>
          <w:sz w:val="24"/>
          <w:szCs w:val="24"/>
        </w:rPr>
        <w:t>see paragraphs 4.11 to 4.19 of the guide</w:t>
      </w:r>
      <w:r w:rsidRPr="00332701">
        <w:rPr>
          <w:rFonts w:ascii="Times New Roman" w:hAnsi="Times New Roman"/>
          <w:sz w:val="24"/>
          <w:szCs w:val="24"/>
        </w:rPr>
        <w:t>).</w:t>
      </w:r>
    </w:p>
    <w:p w14:paraId="5FB93F22" w14:textId="77777777" w:rsidR="00CB44AB" w:rsidRPr="00332701" w:rsidRDefault="00CB44AB" w:rsidP="00CB44AB">
      <w:pPr>
        <w:rPr>
          <w:rFonts w:ascii="Times New Roman" w:hAnsi="Times New Roman"/>
          <w:sz w:val="24"/>
          <w:szCs w:val="24"/>
        </w:rPr>
      </w:pPr>
    </w:p>
    <w:p w14:paraId="60B7F422" w14:textId="77777777" w:rsidR="00CB44AB" w:rsidRPr="00332701" w:rsidRDefault="00CB44AB" w:rsidP="00CB44AB">
      <w:pPr>
        <w:rPr>
          <w:rFonts w:ascii="Times New Roman" w:hAnsi="Times New Roman"/>
          <w:sz w:val="24"/>
          <w:szCs w:val="24"/>
        </w:rPr>
      </w:pPr>
      <w:r w:rsidRPr="00332701">
        <w:rPr>
          <w:rFonts w:ascii="Times New Roman" w:hAnsi="Times New Roman"/>
          <w:sz w:val="24"/>
          <w:szCs w:val="24"/>
        </w:rPr>
        <w:t xml:space="preserve">Although external merits review will not be available, students who do not receive a payment for the following reasons will be able to seek internal review of the decision by applying to Services Australia: </w:t>
      </w:r>
    </w:p>
    <w:p w14:paraId="0C1DB511" w14:textId="77777777" w:rsidR="00CB44AB" w:rsidRPr="00332701" w:rsidRDefault="00CB44AB" w:rsidP="00CB44AB">
      <w:pPr>
        <w:pStyle w:val="ListParagraph"/>
        <w:numPr>
          <w:ilvl w:val="0"/>
          <w:numId w:val="28"/>
        </w:numPr>
        <w:ind w:left="720" w:right="-46"/>
        <w:rPr>
          <w:szCs w:val="24"/>
        </w:rPr>
      </w:pPr>
      <w:r w:rsidRPr="00332701">
        <w:rPr>
          <w:szCs w:val="24"/>
        </w:rPr>
        <w:t xml:space="preserve">a decision that the student does not meet the eligibility criteria; </w:t>
      </w:r>
    </w:p>
    <w:p w14:paraId="6AB7F230" w14:textId="77777777" w:rsidR="00CB44AB" w:rsidRPr="00332701" w:rsidRDefault="00CB44AB" w:rsidP="00CB44AB">
      <w:pPr>
        <w:pStyle w:val="ListParagraph"/>
        <w:numPr>
          <w:ilvl w:val="0"/>
          <w:numId w:val="28"/>
        </w:numPr>
        <w:ind w:left="720" w:right="-46"/>
        <w:rPr>
          <w:szCs w:val="24"/>
        </w:rPr>
      </w:pPr>
      <w:r w:rsidRPr="00332701">
        <w:rPr>
          <w:szCs w:val="24"/>
        </w:rPr>
        <w:t xml:space="preserve">a decision that the student was not eligible for a payment because the cap for payments has been reached (based on the date the student’s application was submitted to Services Australia which will be automatically date stamped); and </w:t>
      </w:r>
    </w:p>
    <w:p w14:paraId="2DD3114D" w14:textId="77777777" w:rsidR="00CB44AB" w:rsidRPr="005518ED" w:rsidRDefault="00CB44AB" w:rsidP="00CB44AB">
      <w:pPr>
        <w:pStyle w:val="ListParagraph"/>
        <w:numPr>
          <w:ilvl w:val="0"/>
          <w:numId w:val="28"/>
        </w:numPr>
        <w:ind w:left="720" w:right="-46"/>
        <w:rPr>
          <w:szCs w:val="24"/>
        </w:rPr>
      </w:pPr>
      <w:r w:rsidRPr="00033411">
        <w:rPr>
          <w:szCs w:val="24"/>
        </w:rPr>
        <w:t>a decision that the student is not eligible for the second instalment of their payment because they are no longer considered to be enrolled in their course of study.</w:t>
      </w:r>
    </w:p>
    <w:p w14:paraId="154B861A" w14:textId="77777777" w:rsidR="00CB44AB" w:rsidRPr="00194394" w:rsidRDefault="00CB44AB" w:rsidP="00CB44AB">
      <w:pPr>
        <w:rPr>
          <w:rFonts w:ascii="Times New Roman" w:hAnsi="Times New Roman"/>
          <w:sz w:val="24"/>
          <w:szCs w:val="24"/>
        </w:rPr>
      </w:pPr>
    </w:p>
    <w:p w14:paraId="0D643FBB" w14:textId="77777777" w:rsidR="00CB44AB" w:rsidRDefault="00CB44AB" w:rsidP="00CB44AB">
      <w:pPr>
        <w:keepNext/>
        <w:autoSpaceDE w:val="0"/>
        <w:autoSpaceDN w:val="0"/>
        <w:rPr>
          <w:rFonts w:ascii="Times New Roman" w:hAnsi="Times New Roman"/>
          <w:sz w:val="24"/>
          <w:szCs w:val="24"/>
        </w:rPr>
      </w:pPr>
      <w:r w:rsidRPr="00194394">
        <w:rPr>
          <w:rFonts w:ascii="Times New Roman" w:hAnsi="Times New Roman"/>
          <w:sz w:val="24"/>
          <w:szCs w:val="24"/>
        </w:rPr>
        <w:t xml:space="preserve">The department has consulted with the Department of Social Services, Services Australia, the Department of the Prime Minister and Cabinet and the </w:t>
      </w:r>
      <w:r>
        <w:rPr>
          <w:rFonts w:ascii="Times New Roman" w:hAnsi="Times New Roman"/>
          <w:sz w:val="24"/>
          <w:szCs w:val="24"/>
        </w:rPr>
        <w:t xml:space="preserve">Department of the </w:t>
      </w:r>
      <w:r w:rsidRPr="00194394">
        <w:rPr>
          <w:rFonts w:ascii="Times New Roman" w:hAnsi="Times New Roman"/>
          <w:sz w:val="24"/>
          <w:szCs w:val="24"/>
        </w:rPr>
        <w:t>Treasury in the development of the T</w:t>
      </w:r>
      <w:r>
        <w:rPr>
          <w:rFonts w:ascii="Times New Roman" w:hAnsi="Times New Roman"/>
          <w:sz w:val="24"/>
          <w:szCs w:val="24"/>
        </w:rPr>
        <w:t xml:space="preserve">ertiary </w:t>
      </w:r>
      <w:r w:rsidRPr="00194394">
        <w:rPr>
          <w:rFonts w:ascii="Times New Roman" w:hAnsi="Times New Roman"/>
          <w:sz w:val="24"/>
          <w:szCs w:val="24"/>
        </w:rPr>
        <w:t>A</w:t>
      </w:r>
      <w:r>
        <w:rPr>
          <w:rFonts w:ascii="Times New Roman" w:hAnsi="Times New Roman"/>
          <w:sz w:val="24"/>
          <w:szCs w:val="24"/>
        </w:rPr>
        <w:t xml:space="preserve">ccess </w:t>
      </w:r>
      <w:r w:rsidRPr="00194394">
        <w:rPr>
          <w:rFonts w:ascii="Times New Roman" w:hAnsi="Times New Roman"/>
          <w:sz w:val="24"/>
          <w:szCs w:val="24"/>
        </w:rPr>
        <w:t>P</w:t>
      </w:r>
      <w:r>
        <w:rPr>
          <w:rFonts w:ascii="Times New Roman" w:hAnsi="Times New Roman"/>
          <w:sz w:val="24"/>
          <w:szCs w:val="24"/>
        </w:rPr>
        <w:t>ayment</w:t>
      </w:r>
      <w:r w:rsidRPr="00194394">
        <w:rPr>
          <w:rFonts w:ascii="Times New Roman" w:hAnsi="Times New Roman"/>
          <w:sz w:val="24"/>
          <w:szCs w:val="24"/>
        </w:rPr>
        <w:t>. The P</w:t>
      </w:r>
      <w:r>
        <w:rPr>
          <w:rFonts w:ascii="Times New Roman" w:hAnsi="Times New Roman"/>
          <w:sz w:val="24"/>
          <w:szCs w:val="24"/>
        </w:rPr>
        <w:t>ayment</w:t>
      </w:r>
      <w:r w:rsidRPr="00194394">
        <w:rPr>
          <w:rFonts w:ascii="Times New Roman" w:hAnsi="Times New Roman"/>
          <w:sz w:val="24"/>
          <w:szCs w:val="24"/>
        </w:rPr>
        <w:t xml:space="preserve"> is part of the Government’s Job</w:t>
      </w:r>
      <w:r>
        <w:rPr>
          <w:rFonts w:ascii="Times New Roman" w:hAnsi="Times New Roman"/>
          <w:sz w:val="24"/>
          <w:szCs w:val="24"/>
        </w:rPr>
        <w:noBreakHyphen/>
      </w:r>
      <w:r w:rsidRPr="00194394">
        <w:rPr>
          <w:rFonts w:ascii="Times New Roman" w:hAnsi="Times New Roman"/>
          <w:sz w:val="24"/>
          <w:szCs w:val="24"/>
        </w:rPr>
        <w:t>ready Graduates Package (Package) announced by the Minister for Education, the</w:t>
      </w:r>
      <w:r>
        <w:rPr>
          <w:rFonts w:ascii="Times New Roman" w:hAnsi="Times New Roman"/>
          <w:sz w:val="24"/>
          <w:szCs w:val="24"/>
        </w:rPr>
        <w:t> </w:t>
      </w:r>
      <w:r w:rsidRPr="00194394">
        <w:rPr>
          <w:rFonts w:ascii="Times New Roman" w:hAnsi="Times New Roman"/>
          <w:sz w:val="24"/>
          <w:szCs w:val="24"/>
        </w:rPr>
        <w:t>Hon</w:t>
      </w:r>
      <w:r>
        <w:rPr>
          <w:rFonts w:ascii="Times New Roman" w:hAnsi="Times New Roman"/>
          <w:sz w:val="24"/>
          <w:szCs w:val="24"/>
        </w:rPr>
        <w:t> </w:t>
      </w:r>
      <w:r w:rsidRPr="00194394">
        <w:rPr>
          <w:rFonts w:ascii="Times New Roman" w:hAnsi="Times New Roman"/>
          <w:sz w:val="24"/>
          <w:szCs w:val="24"/>
        </w:rPr>
        <w:t xml:space="preserve">Dan Tehan MP, on 19 June 2020. A number of bodies were consulted on the </w:t>
      </w:r>
      <w:r w:rsidRPr="00194394">
        <w:rPr>
          <w:rFonts w:ascii="Times New Roman" w:hAnsi="Times New Roman"/>
          <w:sz w:val="24"/>
          <w:szCs w:val="24"/>
        </w:rPr>
        <w:lastRenderedPageBreak/>
        <w:t>regional measures in the Package</w:t>
      </w:r>
      <w:r>
        <w:rPr>
          <w:rFonts w:ascii="Times New Roman" w:hAnsi="Times New Roman"/>
          <w:sz w:val="24"/>
          <w:szCs w:val="24"/>
        </w:rPr>
        <w:t>,</w:t>
      </w:r>
      <w:r w:rsidRPr="00194394">
        <w:rPr>
          <w:rFonts w:ascii="Times New Roman" w:hAnsi="Times New Roman"/>
          <w:sz w:val="24"/>
          <w:szCs w:val="24"/>
        </w:rPr>
        <w:t xml:space="preserve"> including state and territory education bodies, and peak bodies such </w:t>
      </w:r>
      <w:r>
        <w:rPr>
          <w:rFonts w:ascii="Times New Roman" w:hAnsi="Times New Roman"/>
          <w:sz w:val="24"/>
          <w:szCs w:val="24"/>
        </w:rPr>
        <w:t xml:space="preserve">as </w:t>
      </w:r>
      <w:r w:rsidRPr="00194394">
        <w:rPr>
          <w:rFonts w:ascii="Times New Roman" w:hAnsi="Times New Roman"/>
          <w:sz w:val="24"/>
          <w:szCs w:val="24"/>
        </w:rPr>
        <w:t xml:space="preserve">the Regional Universities Network and the Isolated Children’s Parents’ Association. </w:t>
      </w:r>
    </w:p>
    <w:p w14:paraId="59EDA9D2" w14:textId="77777777" w:rsidR="00CB44AB" w:rsidRPr="00194394" w:rsidRDefault="00CB44AB" w:rsidP="00CB44AB">
      <w:pPr>
        <w:keepNext/>
        <w:autoSpaceDE w:val="0"/>
        <w:autoSpaceDN w:val="0"/>
        <w:rPr>
          <w:rFonts w:ascii="Times New Roman" w:hAnsi="Times New Roman"/>
          <w:sz w:val="24"/>
          <w:szCs w:val="24"/>
        </w:rPr>
      </w:pPr>
    </w:p>
    <w:p w14:paraId="0D98C2AC" w14:textId="77777777" w:rsidR="00CB44AB" w:rsidRDefault="00CB44AB" w:rsidP="00CB44AB">
      <w:pPr>
        <w:keepNext/>
        <w:autoSpaceDE w:val="0"/>
        <w:autoSpaceDN w:val="0"/>
        <w:rPr>
          <w:rFonts w:ascii="Times New Roman" w:hAnsi="Times New Roman"/>
          <w:sz w:val="24"/>
          <w:szCs w:val="24"/>
        </w:rPr>
      </w:pPr>
      <w:r>
        <w:rPr>
          <w:rFonts w:ascii="Times New Roman" w:hAnsi="Times New Roman"/>
          <w:sz w:val="24"/>
          <w:szCs w:val="24"/>
        </w:rPr>
        <w:t xml:space="preserve">The </w:t>
      </w:r>
      <w:r w:rsidRPr="00194394">
        <w:rPr>
          <w:rFonts w:ascii="Times New Roman" w:hAnsi="Times New Roman"/>
          <w:sz w:val="24"/>
          <w:szCs w:val="24"/>
        </w:rPr>
        <w:t>Minister</w:t>
      </w:r>
      <w:r>
        <w:rPr>
          <w:rFonts w:ascii="Times New Roman" w:hAnsi="Times New Roman"/>
          <w:sz w:val="24"/>
          <w:szCs w:val="24"/>
        </w:rPr>
        <w:t xml:space="preserve"> for Decentralisation and Regional Education, the Hon</w:t>
      </w:r>
      <w:r w:rsidRPr="00194394">
        <w:rPr>
          <w:rFonts w:ascii="Times New Roman" w:hAnsi="Times New Roman"/>
          <w:sz w:val="24"/>
          <w:szCs w:val="24"/>
        </w:rPr>
        <w:t xml:space="preserve"> </w:t>
      </w:r>
      <w:r>
        <w:rPr>
          <w:rFonts w:ascii="Times New Roman" w:hAnsi="Times New Roman"/>
          <w:sz w:val="24"/>
          <w:szCs w:val="24"/>
        </w:rPr>
        <w:t xml:space="preserve">Andrew </w:t>
      </w:r>
      <w:r w:rsidRPr="00194394">
        <w:rPr>
          <w:rFonts w:ascii="Times New Roman" w:hAnsi="Times New Roman"/>
          <w:sz w:val="24"/>
          <w:szCs w:val="24"/>
        </w:rPr>
        <w:t>Gee</w:t>
      </w:r>
      <w:r>
        <w:rPr>
          <w:rFonts w:ascii="Times New Roman" w:hAnsi="Times New Roman"/>
          <w:sz w:val="24"/>
          <w:szCs w:val="24"/>
        </w:rPr>
        <w:t xml:space="preserve"> MP, </w:t>
      </w:r>
      <w:r w:rsidRPr="00194394">
        <w:rPr>
          <w:rFonts w:ascii="Times New Roman" w:hAnsi="Times New Roman"/>
          <w:sz w:val="24"/>
          <w:szCs w:val="24"/>
        </w:rPr>
        <w:t>also hosted three Regional Universities Roundtables (on 8, 22 and 23 July 2020) with Australian universities and university peak bodies to hear perspectives on the unique challenges faced by the regional higher education sector. Each Roundtable addressed the Package as well as key issues for the regional higher education sector, including the T</w:t>
      </w:r>
      <w:r>
        <w:rPr>
          <w:rFonts w:ascii="Times New Roman" w:hAnsi="Times New Roman"/>
          <w:sz w:val="24"/>
          <w:szCs w:val="24"/>
        </w:rPr>
        <w:t xml:space="preserve">ertiary </w:t>
      </w:r>
      <w:r w:rsidRPr="00194394">
        <w:rPr>
          <w:rFonts w:ascii="Times New Roman" w:hAnsi="Times New Roman"/>
          <w:sz w:val="24"/>
          <w:szCs w:val="24"/>
        </w:rPr>
        <w:t>A</w:t>
      </w:r>
      <w:r>
        <w:rPr>
          <w:rFonts w:ascii="Times New Roman" w:hAnsi="Times New Roman"/>
          <w:sz w:val="24"/>
          <w:szCs w:val="24"/>
        </w:rPr>
        <w:t xml:space="preserve">ccess </w:t>
      </w:r>
      <w:r w:rsidRPr="00194394">
        <w:rPr>
          <w:rFonts w:ascii="Times New Roman" w:hAnsi="Times New Roman"/>
          <w:sz w:val="24"/>
          <w:szCs w:val="24"/>
        </w:rPr>
        <w:t>P</w:t>
      </w:r>
      <w:r>
        <w:rPr>
          <w:rFonts w:ascii="Times New Roman" w:hAnsi="Times New Roman"/>
          <w:sz w:val="24"/>
          <w:szCs w:val="24"/>
        </w:rPr>
        <w:t>ayment</w:t>
      </w:r>
      <w:r w:rsidRPr="00194394">
        <w:rPr>
          <w:rFonts w:ascii="Times New Roman" w:hAnsi="Times New Roman"/>
          <w:sz w:val="24"/>
          <w:szCs w:val="24"/>
        </w:rPr>
        <w:t>.</w:t>
      </w:r>
    </w:p>
    <w:p w14:paraId="3870EABF" w14:textId="77777777" w:rsidR="00CB44AB" w:rsidRPr="00194394" w:rsidRDefault="00CB44AB" w:rsidP="00CB44AB">
      <w:pPr>
        <w:keepNext/>
        <w:autoSpaceDE w:val="0"/>
        <w:autoSpaceDN w:val="0"/>
        <w:rPr>
          <w:rFonts w:ascii="Times New Roman" w:hAnsi="Times New Roman"/>
          <w:sz w:val="24"/>
          <w:szCs w:val="24"/>
        </w:rPr>
      </w:pPr>
    </w:p>
    <w:p w14:paraId="5EEA65F2" w14:textId="77777777" w:rsidR="00CB44AB" w:rsidRDefault="00CB44AB" w:rsidP="00CB44AB">
      <w:pPr>
        <w:keepNext/>
        <w:autoSpaceDE w:val="0"/>
        <w:autoSpaceDN w:val="0"/>
        <w:rPr>
          <w:rFonts w:ascii="Times New Roman" w:hAnsi="Times New Roman"/>
          <w:sz w:val="24"/>
          <w:szCs w:val="24"/>
        </w:rPr>
      </w:pPr>
      <w:r w:rsidRPr="00194394">
        <w:rPr>
          <w:rFonts w:ascii="Times New Roman" w:hAnsi="Times New Roman"/>
          <w:sz w:val="24"/>
          <w:szCs w:val="24"/>
        </w:rPr>
        <w:t>In addition, there was substantial consultation on the Napthine Review which led to the recommendation of a T</w:t>
      </w:r>
      <w:r>
        <w:rPr>
          <w:rFonts w:ascii="Times New Roman" w:hAnsi="Times New Roman"/>
          <w:sz w:val="24"/>
          <w:szCs w:val="24"/>
        </w:rPr>
        <w:t xml:space="preserve">ertiary </w:t>
      </w:r>
      <w:r w:rsidRPr="00194394">
        <w:rPr>
          <w:rFonts w:ascii="Times New Roman" w:hAnsi="Times New Roman"/>
          <w:sz w:val="24"/>
          <w:szCs w:val="24"/>
        </w:rPr>
        <w:t>A</w:t>
      </w:r>
      <w:r>
        <w:rPr>
          <w:rFonts w:ascii="Times New Roman" w:hAnsi="Times New Roman"/>
          <w:sz w:val="24"/>
          <w:szCs w:val="24"/>
        </w:rPr>
        <w:t xml:space="preserve">ccess </w:t>
      </w:r>
      <w:r w:rsidRPr="00194394">
        <w:rPr>
          <w:rFonts w:ascii="Times New Roman" w:hAnsi="Times New Roman"/>
          <w:sz w:val="24"/>
          <w:szCs w:val="24"/>
        </w:rPr>
        <w:t>P</w:t>
      </w:r>
      <w:r>
        <w:rPr>
          <w:rFonts w:ascii="Times New Roman" w:hAnsi="Times New Roman"/>
          <w:sz w:val="24"/>
          <w:szCs w:val="24"/>
        </w:rPr>
        <w:t>ayment</w:t>
      </w:r>
      <w:r w:rsidRPr="00194394">
        <w:rPr>
          <w:rFonts w:ascii="Times New Roman" w:hAnsi="Times New Roman"/>
          <w:sz w:val="24"/>
          <w:szCs w:val="24"/>
        </w:rPr>
        <w:t>, including with universities, peak bodies, think tanks, educators, government agencies, community organisation</w:t>
      </w:r>
      <w:r>
        <w:rPr>
          <w:rFonts w:ascii="Times New Roman" w:hAnsi="Times New Roman"/>
          <w:sz w:val="24"/>
          <w:szCs w:val="24"/>
        </w:rPr>
        <w:t>s</w:t>
      </w:r>
      <w:r w:rsidRPr="00194394">
        <w:rPr>
          <w:rFonts w:ascii="Times New Roman" w:hAnsi="Times New Roman"/>
          <w:sz w:val="24"/>
          <w:szCs w:val="24"/>
        </w:rPr>
        <w:t xml:space="preserve">, parents and training providers. Submissions in relation to the Napthine Review </w:t>
      </w:r>
      <w:r>
        <w:rPr>
          <w:rFonts w:ascii="Times New Roman" w:hAnsi="Times New Roman"/>
          <w:sz w:val="24"/>
          <w:szCs w:val="24"/>
        </w:rPr>
        <w:t xml:space="preserve">are available at </w:t>
      </w:r>
      <w:hyperlink r:id="rId17" w:history="1">
        <w:r w:rsidRPr="002D1548">
          <w:rPr>
            <w:rFonts w:ascii="Times New Roman" w:hAnsi="Times New Roman"/>
            <w:sz w:val="24"/>
            <w:u w:val="single"/>
          </w:rPr>
          <w:t>https://docs.education.gov.au/node/53611</w:t>
        </w:r>
      </w:hyperlink>
      <w:r>
        <w:rPr>
          <w:rFonts w:ascii="Times New Roman" w:hAnsi="Times New Roman"/>
          <w:sz w:val="24"/>
        </w:rPr>
        <w:t xml:space="preserve">. </w:t>
      </w:r>
      <w:r w:rsidRPr="00194394">
        <w:rPr>
          <w:rFonts w:ascii="Times New Roman" w:hAnsi="Times New Roman"/>
          <w:sz w:val="24"/>
          <w:szCs w:val="24"/>
        </w:rPr>
        <w:t>The T</w:t>
      </w:r>
      <w:r>
        <w:rPr>
          <w:rFonts w:ascii="Times New Roman" w:hAnsi="Times New Roman"/>
          <w:sz w:val="24"/>
          <w:szCs w:val="24"/>
        </w:rPr>
        <w:t xml:space="preserve">ertiary </w:t>
      </w:r>
      <w:r w:rsidRPr="00194394">
        <w:rPr>
          <w:rFonts w:ascii="Times New Roman" w:hAnsi="Times New Roman"/>
          <w:sz w:val="24"/>
          <w:szCs w:val="24"/>
        </w:rPr>
        <w:t>A</w:t>
      </w:r>
      <w:r>
        <w:rPr>
          <w:rFonts w:ascii="Times New Roman" w:hAnsi="Times New Roman"/>
          <w:sz w:val="24"/>
          <w:szCs w:val="24"/>
        </w:rPr>
        <w:t xml:space="preserve">ccess </w:t>
      </w:r>
      <w:r w:rsidRPr="00194394">
        <w:rPr>
          <w:rFonts w:ascii="Times New Roman" w:hAnsi="Times New Roman"/>
          <w:sz w:val="24"/>
          <w:szCs w:val="24"/>
        </w:rPr>
        <w:t>P</w:t>
      </w:r>
      <w:r>
        <w:rPr>
          <w:rFonts w:ascii="Times New Roman" w:hAnsi="Times New Roman"/>
          <w:sz w:val="24"/>
          <w:szCs w:val="24"/>
        </w:rPr>
        <w:t>ayment</w:t>
      </w:r>
      <w:r w:rsidRPr="00194394">
        <w:rPr>
          <w:rFonts w:ascii="Times New Roman" w:hAnsi="Times New Roman"/>
          <w:sz w:val="24"/>
          <w:szCs w:val="24"/>
        </w:rPr>
        <w:t xml:space="preserve"> has support from a number of key stakeholders including the Regional Universities Network.</w:t>
      </w:r>
    </w:p>
    <w:p w14:paraId="6155D678" w14:textId="77777777" w:rsidR="00CB44AB" w:rsidRPr="00194394" w:rsidRDefault="00CB44AB" w:rsidP="00CB44AB">
      <w:pPr>
        <w:keepNext/>
        <w:autoSpaceDE w:val="0"/>
        <w:autoSpaceDN w:val="0"/>
        <w:rPr>
          <w:rFonts w:ascii="Times New Roman" w:hAnsi="Times New Roman"/>
          <w:sz w:val="24"/>
          <w:szCs w:val="24"/>
        </w:rPr>
      </w:pPr>
    </w:p>
    <w:p w14:paraId="3511A677" w14:textId="77777777" w:rsidR="00CB44AB" w:rsidRPr="00194394" w:rsidRDefault="00CB44AB" w:rsidP="00CB44AB">
      <w:pPr>
        <w:keepNext/>
        <w:autoSpaceDE w:val="0"/>
        <w:autoSpaceDN w:val="0"/>
        <w:rPr>
          <w:rFonts w:ascii="Times New Roman" w:hAnsi="Times New Roman"/>
          <w:sz w:val="24"/>
          <w:szCs w:val="24"/>
        </w:rPr>
      </w:pPr>
      <w:r w:rsidRPr="00194394">
        <w:rPr>
          <w:rFonts w:ascii="Times New Roman" w:hAnsi="Times New Roman"/>
          <w:sz w:val="24"/>
          <w:szCs w:val="24"/>
        </w:rPr>
        <w:t>The department will continue to engage with Services Australia and peak bodies such as Universities Australia</w:t>
      </w:r>
      <w:r>
        <w:rPr>
          <w:rFonts w:ascii="Times New Roman" w:hAnsi="Times New Roman"/>
          <w:sz w:val="24"/>
          <w:szCs w:val="24"/>
        </w:rPr>
        <w:t>,</w:t>
      </w:r>
      <w:r w:rsidRPr="00194394">
        <w:rPr>
          <w:rFonts w:ascii="Times New Roman" w:hAnsi="Times New Roman"/>
          <w:sz w:val="24"/>
          <w:szCs w:val="24"/>
        </w:rPr>
        <w:t xml:space="preserve"> as well as individual universities to develop the T</w:t>
      </w:r>
      <w:r>
        <w:rPr>
          <w:rFonts w:ascii="Times New Roman" w:hAnsi="Times New Roman"/>
          <w:sz w:val="24"/>
          <w:szCs w:val="24"/>
        </w:rPr>
        <w:t xml:space="preserve">ertiary </w:t>
      </w:r>
      <w:r w:rsidRPr="00194394">
        <w:rPr>
          <w:rFonts w:ascii="Times New Roman" w:hAnsi="Times New Roman"/>
          <w:sz w:val="24"/>
          <w:szCs w:val="24"/>
        </w:rPr>
        <w:t>A</w:t>
      </w:r>
      <w:r>
        <w:rPr>
          <w:rFonts w:ascii="Times New Roman" w:hAnsi="Times New Roman"/>
          <w:sz w:val="24"/>
          <w:szCs w:val="24"/>
        </w:rPr>
        <w:t xml:space="preserve">ccess </w:t>
      </w:r>
      <w:r w:rsidRPr="00194394">
        <w:rPr>
          <w:rFonts w:ascii="Times New Roman" w:hAnsi="Times New Roman"/>
          <w:sz w:val="24"/>
          <w:szCs w:val="24"/>
        </w:rPr>
        <w:t>P</w:t>
      </w:r>
      <w:r>
        <w:rPr>
          <w:rFonts w:ascii="Times New Roman" w:hAnsi="Times New Roman"/>
          <w:sz w:val="24"/>
          <w:szCs w:val="24"/>
        </w:rPr>
        <w:t>ayment</w:t>
      </w:r>
      <w:r w:rsidRPr="00194394">
        <w:rPr>
          <w:rFonts w:ascii="Times New Roman" w:hAnsi="Times New Roman"/>
          <w:sz w:val="24"/>
          <w:szCs w:val="24"/>
        </w:rPr>
        <w:t xml:space="preserve">. </w:t>
      </w:r>
    </w:p>
    <w:p w14:paraId="012BFA27" w14:textId="77777777" w:rsidR="00CB44AB" w:rsidRPr="00194394" w:rsidRDefault="00CB44AB" w:rsidP="00CB44AB">
      <w:pPr>
        <w:keepNext/>
        <w:autoSpaceDE w:val="0"/>
        <w:autoSpaceDN w:val="0"/>
        <w:rPr>
          <w:rFonts w:ascii="Times New Roman" w:hAnsi="Times New Roman"/>
          <w:sz w:val="24"/>
          <w:szCs w:val="24"/>
        </w:rPr>
      </w:pPr>
    </w:p>
    <w:p w14:paraId="0F285242" w14:textId="77777777" w:rsidR="00CB44AB" w:rsidRDefault="00CB44AB" w:rsidP="00CB44AB">
      <w:pPr>
        <w:rPr>
          <w:rFonts w:ascii="Times New Roman" w:hAnsi="Times New Roman"/>
          <w:sz w:val="24"/>
          <w:szCs w:val="24"/>
        </w:rPr>
      </w:pPr>
      <w:r w:rsidRPr="007016E2">
        <w:rPr>
          <w:rFonts w:ascii="Times New Roman" w:hAnsi="Times New Roman"/>
          <w:sz w:val="24"/>
          <w:szCs w:val="24"/>
        </w:rPr>
        <w:t>Initial funding for the T</w:t>
      </w:r>
      <w:r>
        <w:rPr>
          <w:rFonts w:ascii="Times New Roman" w:hAnsi="Times New Roman"/>
          <w:sz w:val="24"/>
          <w:szCs w:val="24"/>
        </w:rPr>
        <w:t xml:space="preserve">ertiary </w:t>
      </w:r>
      <w:r w:rsidRPr="007016E2">
        <w:rPr>
          <w:rFonts w:ascii="Times New Roman" w:hAnsi="Times New Roman"/>
          <w:sz w:val="24"/>
          <w:szCs w:val="24"/>
        </w:rPr>
        <w:t>A</w:t>
      </w:r>
      <w:r>
        <w:rPr>
          <w:rFonts w:ascii="Times New Roman" w:hAnsi="Times New Roman"/>
          <w:sz w:val="24"/>
          <w:szCs w:val="24"/>
        </w:rPr>
        <w:t xml:space="preserve">ccess </w:t>
      </w:r>
      <w:r w:rsidRPr="007016E2">
        <w:rPr>
          <w:rFonts w:ascii="Times New Roman" w:hAnsi="Times New Roman"/>
          <w:sz w:val="24"/>
          <w:szCs w:val="24"/>
        </w:rPr>
        <w:t>P</w:t>
      </w:r>
      <w:r>
        <w:rPr>
          <w:rFonts w:ascii="Times New Roman" w:hAnsi="Times New Roman"/>
          <w:sz w:val="24"/>
          <w:szCs w:val="24"/>
        </w:rPr>
        <w:t>ayment</w:t>
      </w:r>
      <w:r w:rsidRPr="007016E2">
        <w:rPr>
          <w:rFonts w:ascii="Times New Roman" w:hAnsi="Times New Roman"/>
          <w:sz w:val="24"/>
          <w:szCs w:val="24"/>
        </w:rPr>
        <w:t xml:space="preserve"> of $159.1 million over five years from 2019</w:t>
      </w:r>
      <w:r>
        <w:rPr>
          <w:rFonts w:ascii="Times New Roman" w:hAnsi="Times New Roman"/>
          <w:sz w:val="24"/>
          <w:szCs w:val="24"/>
        </w:rPr>
        <w:noBreakHyphen/>
      </w:r>
      <w:r w:rsidRPr="007016E2">
        <w:rPr>
          <w:rFonts w:ascii="Times New Roman" w:hAnsi="Times New Roman"/>
          <w:sz w:val="24"/>
          <w:szCs w:val="24"/>
        </w:rPr>
        <w:t xml:space="preserve">20 (including $1.1 million in capital funding and $43.9 million per year ongoing) was included in the July 2020 Economic and Fiscal Update under the measure ‘Higher Education Reform – additional support for regional Australia’. Details are set out in the </w:t>
      </w:r>
      <w:r w:rsidRPr="007016E2">
        <w:rPr>
          <w:rFonts w:ascii="Times New Roman" w:hAnsi="Times New Roman"/>
          <w:i/>
          <w:sz w:val="24"/>
          <w:szCs w:val="24"/>
        </w:rPr>
        <w:t>Economic and Fiscal Update July 2020</w:t>
      </w:r>
      <w:r w:rsidRPr="007016E2">
        <w:rPr>
          <w:rFonts w:ascii="Times New Roman" w:hAnsi="Times New Roman"/>
          <w:sz w:val="24"/>
          <w:szCs w:val="24"/>
        </w:rPr>
        <w:t>, Appendix A: Policy decisions taken since the 2019-20 MYEFO at pages 121 to 122.</w:t>
      </w:r>
    </w:p>
    <w:p w14:paraId="18E86846" w14:textId="77777777" w:rsidR="00CB44AB" w:rsidRPr="007016E2" w:rsidRDefault="00CB44AB" w:rsidP="00CB44AB">
      <w:pPr>
        <w:rPr>
          <w:rFonts w:ascii="Times New Roman" w:hAnsi="Times New Roman"/>
          <w:sz w:val="24"/>
          <w:szCs w:val="24"/>
        </w:rPr>
      </w:pPr>
    </w:p>
    <w:p w14:paraId="26F5108C" w14:textId="77777777" w:rsidR="00CB44AB" w:rsidRPr="007016E2" w:rsidRDefault="00CB44AB" w:rsidP="00CB44AB">
      <w:pPr>
        <w:rPr>
          <w:rFonts w:ascii="Times New Roman" w:hAnsi="Times New Roman"/>
          <w:sz w:val="24"/>
          <w:szCs w:val="24"/>
        </w:rPr>
      </w:pPr>
      <w:r w:rsidRPr="007016E2">
        <w:rPr>
          <w:rFonts w:ascii="Times New Roman" w:hAnsi="Times New Roman"/>
          <w:sz w:val="24"/>
          <w:szCs w:val="24"/>
        </w:rPr>
        <w:t>Further funding of $19.2 million over four years from 2020-21 (and $45.1 million over ten years to 2029-30) to revise the allocation method for the T</w:t>
      </w:r>
      <w:r>
        <w:rPr>
          <w:rFonts w:ascii="Times New Roman" w:hAnsi="Times New Roman"/>
          <w:sz w:val="24"/>
          <w:szCs w:val="24"/>
        </w:rPr>
        <w:t xml:space="preserve">ertiary </w:t>
      </w:r>
      <w:r w:rsidRPr="007016E2">
        <w:rPr>
          <w:rFonts w:ascii="Times New Roman" w:hAnsi="Times New Roman"/>
          <w:sz w:val="24"/>
          <w:szCs w:val="24"/>
        </w:rPr>
        <w:t>A</w:t>
      </w:r>
      <w:r>
        <w:rPr>
          <w:rFonts w:ascii="Times New Roman" w:hAnsi="Times New Roman"/>
          <w:sz w:val="24"/>
          <w:szCs w:val="24"/>
        </w:rPr>
        <w:t xml:space="preserve">ccess </w:t>
      </w:r>
      <w:r w:rsidRPr="007016E2">
        <w:rPr>
          <w:rFonts w:ascii="Times New Roman" w:hAnsi="Times New Roman"/>
          <w:sz w:val="24"/>
          <w:szCs w:val="24"/>
        </w:rPr>
        <w:t>P</w:t>
      </w:r>
      <w:r>
        <w:rPr>
          <w:rFonts w:ascii="Times New Roman" w:hAnsi="Times New Roman"/>
          <w:sz w:val="24"/>
          <w:szCs w:val="24"/>
        </w:rPr>
        <w:t>ayment</w:t>
      </w:r>
      <w:r w:rsidRPr="007016E2">
        <w:rPr>
          <w:rFonts w:ascii="Times New Roman" w:hAnsi="Times New Roman"/>
          <w:sz w:val="24"/>
          <w:szCs w:val="24"/>
        </w:rPr>
        <w:t xml:space="preserve"> and to enable universities to administer payments to eligible higher education students was included in the 2020-21 Budget under the measure ‘JobMaker Plan – higher education – additional support for students and education providers’. Details are set out in </w:t>
      </w:r>
      <w:r w:rsidRPr="007016E2">
        <w:rPr>
          <w:rFonts w:ascii="Times New Roman" w:hAnsi="Times New Roman"/>
          <w:i/>
          <w:sz w:val="24"/>
          <w:szCs w:val="24"/>
        </w:rPr>
        <w:t>Budget 2020-21, Budget Measures, Budget Paper No. 2 2020-21</w:t>
      </w:r>
      <w:r w:rsidRPr="007016E2">
        <w:rPr>
          <w:rFonts w:ascii="Times New Roman" w:hAnsi="Times New Roman"/>
          <w:sz w:val="24"/>
          <w:szCs w:val="24"/>
        </w:rPr>
        <w:t xml:space="preserve"> at pages 77 to 78.</w:t>
      </w:r>
    </w:p>
    <w:p w14:paraId="22889527" w14:textId="77777777" w:rsidR="00CB44AB" w:rsidRDefault="00CB44AB" w:rsidP="00CB44AB">
      <w:pPr>
        <w:rPr>
          <w:rFonts w:ascii="Times New Roman" w:hAnsi="Times New Roman"/>
          <w:sz w:val="24"/>
          <w:szCs w:val="24"/>
        </w:rPr>
      </w:pPr>
    </w:p>
    <w:p w14:paraId="6CCEC388" w14:textId="77777777" w:rsidR="00CB44AB" w:rsidRDefault="00CB44AB" w:rsidP="00CB44AB">
      <w:pPr>
        <w:rPr>
          <w:rFonts w:ascii="Times New Roman" w:hAnsi="Times New Roman"/>
          <w:sz w:val="24"/>
          <w:szCs w:val="24"/>
        </w:rPr>
      </w:pPr>
      <w:r w:rsidRPr="007016E2">
        <w:rPr>
          <w:rFonts w:ascii="Times New Roman" w:hAnsi="Times New Roman"/>
          <w:sz w:val="24"/>
          <w:szCs w:val="24"/>
        </w:rPr>
        <w:t>Total funding for the T</w:t>
      </w:r>
      <w:r>
        <w:rPr>
          <w:rFonts w:ascii="Times New Roman" w:hAnsi="Times New Roman"/>
          <w:sz w:val="24"/>
          <w:szCs w:val="24"/>
        </w:rPr>
        <w:t xml:space="preserve">ertiary </w:t>
      </w:r>
      <w:r w:rsidRPr="007016E2">
        <w:rPr>
          <w:rFonts w:ascii="Times New Roman" w:hAnsi="Times New Roman"/>
          <w:sz w:val="24"/>
          <w:szCs w:val="24"/>
        </w:rPr>
        <w:t>A</w:t>
      </w:r>
      <w:r>
        <w:rPr>
          <w:rFonts w:ascii="Times New Roman" w:hAnsi="Times New Roman"/>
          <w:sz w:val="24"/>
          <w:szCs w:val="24"/>
        </w:rPr>
        <w:t xml:space="preserve">ccess </w:t>
      </w:r>
      <w:r w:rsidRPr="007016E2">
        <w:rPr>
          <w:rFonts w:ascii="Times New Roman" w:hAnsi="Times New Roman"/>
          <w:sz w:val="24"/>
          <w:szCs w:val="24"/>
        </w:rPr>
        <w:t>P</w:t>
      </w:r>
      <w:r>
        <w:rPr>
          <w:rFonts w:ascii="Times New Roman" w:hAnsi="Times New Roman"/>
          <w:sz w:val="24"/>
          <w:szCs w:val="24"/>
        </w:rPr>
        <w:t>ayment</w:t>
      </w:r>
      <w:r w:rsidRPr="007016E2">
        <w:rPr>
          <w:rFonts w:ascii="Times New Roman" w:hAnsi="Times New Roman"/>
          <w:sz w:val="24"/>
          <w:szCs w:val="24"/>
        </w:rPr>
        <w:t xml:space="preserve"> is currently $177.8 million over four years</w:t>
      </w:r>
      <w:r>
        <w:rPr>
          <w:rFonts w:ascii="Times New Roman" w:hAnsi="Times New Roman"/>
          <w:sz w:val="24"/>
          <w:szCs w:val="24"/>
        </w:rPr>
        <w:t xml:space="preserve"> from 2020-21</w:t>
      </w:r>
      <w:r w:rsidRPr="007016E2">
        <w:rPr>
          <w:rFonts w:ascii="Times New Roman" w:hAnsi="Times New Roman"/>
          <w:sz w:val="24"/>
          <w:szCs w:val="24"/>
        </w:rPr>
        <w:t xml:space="preserve">. This includes </w:t>
      </w:r>
      <w:r w:rsidRPr="00D666E3">
        <w:rPr>
          <w:rFonts w:ascii="Times New Roman" w:hAnsi="Times New Roman"/>
          <w:sz w:val="24"/>
          <w:szCs w:val="24"/>
        </w:rPr>
        <w:t xml:space="preserve">$31.3 million for payments to students </w:t>
      </w:r>
      <w:r w:rsidRPr="00332701">
        <w:rPr>
          <w:rFonts w:ascii="Times New Roman" w:hAnsi="Times New Roman"/>
          <w:sz w:val="24"/>
          <w:szCs w:val="24"/>
        </w:rPr>
        <w:t xml:space="preserve">relocating to study at NUHEPs and VET providers </w:t>
      </w:r>
      <w:r w:rsidRPr="00D666E3">
        <w:rPr>
          <w:rFonts w:ascii="Times New Roman" w:hAnsi="Times New Roman"/>
          <w:sz w:val="24"/>
          <w:szCs w:val="24"/>
        </w:rPr>
        <w:t>and associated administration costs</w:t>
      </w:r>
      <w:r w:rsidRPr="007016E2">
        <w:rPr>
          <w:rFonts w:ascii="Times New Roman" w:hAnsi="Times New Roman"/>
          <w:sz w:val="24"/>
          <w:szCs w:val="24"/>
        </w:rPr>
        <w:t xml:space="preserve"> </w:t>
      </w:r>
      <w:r>
        <w:rPr>
          <w:rFonts w:ascii="Times New Roman" w:hAnsi="Times New Roman"/>
          <w:sz w:val="24"/>
          <w:szCs w:val="24"/>
        </w:rPr>
        <w:t>of</w:t>
      </w:r>
      <w:r w:rsidRPr="007016E2">
        <w:rPr>
          <w:rFonts w:ascii="Times New Roman" w:hAnsi="Times New Roman"/>
          <w:sz w:val="24"/>
          <w:szCs w:val="24"/>
        </w:rPr>
        <w:t xml:space="preserve"> Services Australia. </w:t>
      </w:r>
    </w:p>
    <w:p w14:paraId="5330301A" w14:textId="77777777" w:rsidR="00CB44AB" w:rsidRPr="007016E2" w:rsidRDefault="00CB44AB" w:rsidP="00CB44AB">
      <w:pPr>
        <w:rPr>
          <w:rFonts w:ascii="Times New Roman" w:hAnsi="Times New Roman"/>
          <w:sz w:val="24"/>
          <w:szCs w:val="24"/>
        </w:rPr>
      </w:pPr>
    </w:p>
    <w:p w14:paraId="7AB2490E" w14:textId="77777777" w:rsidR="00CB44AB" w:rsidRDefault="00CB44AB" w:rsidP="00CB44AB">
      <w:pPr>
        <w:rPr>
          <w:rFonts w:ascii="Times New Roman" w:hAnsi="Times New Roman"/>
          <w:sz w:val="24"/>
          <w:szCs w:val="24"/>
        </w:rPr>
      </w:pPr>
      <w:r w:rsidRPr="007016E2">
        <w:rPr>
          <w:rFonts w:ascii="Times New Roman" w:hAnsi="Times New Roman"/>
          <w:sz w:val="24"/>
          <w:szCs w:val="24"/>
        </w:rPr>
        <w:t xml:space="preserve">Funding for this item comes from Program 2.3: Higher Education Support, which is part of Outcome 2. Details are set out in the </w:t>
      </w:r>
      <w:r w:rsidRPr="00D666E3">
        <w:rPr>
          <w:rFonts w:ascii="Times New Roman" w:hAnsi="Times New Roman"/>
          <w:i/>
          <w:sz w:val="24"/>
          <w:szCs w:val="24"/>
        </w:rPr>
        <w:t>Portfolio Budget Statements 2020-21, Budget Related Paper No. 1.4, Education, Skills and Employment Portfolio</w:t>
      </w:r>
      <w:r w:rsidRPr="007016E2">
        <w:rPr>
          <w:rFonts w:ascii="Times New Roman" w:hAnsi="Times New Roman"/>
          <w:sz w:val="24"/>
          <w:szCs w:val="24"/>
        </w:rPr>
        <w:t xml:space="preserve"> at pages 14 and 54.</w:t>
      </w:r>
    </w:p>
    <w:p w14:paraId="24A9A8B5" w14:textId="77777777" w:rsidR="00CB44AB" w:rsidRPr="007016E2" w:rsidRDefault="00CB44AB" w:rsidP="00CB44AB">
      <w:pPr>
        <w:rPr>
          <w:rFonts w:ascii="Times New Roman" w:hAnsi="Times New Roman"/>
          <w:sz w:val="24"/>
          <w:szCs w:val="24"/>
        </w:rPr>
      </w:pPr>
    </w:p>
    <w:p w14:paraId="1BB9DCBB" w14:textId="77777777" w:rsidR="00CB44AB" w:rsidRPr="007016E2" w:rsidRDefault="00CB44AB" w:rsidP="00CB44AB">
      <w:pPr>
        <w:rPr>
          <w:rFonts w:ascii="Times New Roman" w:hAnsi="Times New Roman"/>
          <w:sz w:val="24"/>
          <w:szCs w:val="24"/>
        </w:rPr>
      </w:pPr>
      <w:r w:rsidRPr="007016E2">
        <w:rPr>
          <w:rFonts w:ascii="Times New Roman" w:hAnsi="Times New Roman"/>
          <w:sz w:val="24"/>
          <w:szCs w:val="24"/>
        </w:rPr>
        <w:t xml:space="preserve">Funding for Services Australia for this item comes from Program 1.1: </w:t>
      </w:r>
      <w:r>
        <w:rPr>
          <w:rFonts w:ascii="Times New Roman" w:hAnsi="Times New Roman"/>
          <w:sz w:val="24"/>
          <w:szCs w:val="24"/>
        </w:rPr>
        <w:t>Services to the Community – Social Security and Welfare</w:t>
      </w:r>
      <w:r w:rsidRPr="007016E2">
        <w:rPr>
          <w:rFonts w:ascii="Times New Roman" w:hAnsi="Times New Roman"/>
          <w:sz w:val="24"/>
          <w:szCs w:val="24"/>
        </w:rPr>
        <w:t xml:space="preserve">, which is part of Outcome 1. Details are set out in the </w:t>
      </w:r>
      <w:r w:rsidRPr="00D666E3">
        <w:rPr>
          <w:rFonts w:ascii="Times New Roman" w:hAnsi="Times New Roman"/>
          <w:i/>
          <w:sz w:val="24"/>
          <w:szCs w:val="24"/>
        </w:rPr>
        <w:t>Portfolio Budget Statements 2020-21, Budget Related Paper No. 1.12, Social Services Portfolio</w:t>
      </w:r>
      <w:r w:rsidRPr="007016E2">
        <w:rPr>
          <w:rFonts w:ascii="Times New Roman" w:hAnsi="Times New Roman"/>
          <w:sz w:val="24"/>
          <w:szCs w:val="24"/>
        </w:rPr>
        <w:t xml:space="preserve"> at page 231.</w:t>
      </w:r>
    </w:p>
    <w:p w14:paraId="4455B585" w14:textId="77777777" w:rsidR="00CB44AB" w:rsidRDefault="00CB44AB" w:rsidP="00CB44AB">
      <w:pPr>
        <w:rPr>
          <w:rFonts w:ascii="Times New Roman" w:hAnsi="Times New Roman"/>
          <w:sz w:val="24"/>
          <w:szCs w:val="24"/>
        </w:rPr>
      </w:pPr>
    </w:p>
    <w:p w14:paraId="27218303" w14:textId="77777777" w:rsidR="00CB44AB" w:rsidRPr="004465BD" w:rsidRDefault="00CB44AB" w:rsidP="00CB44AB">
      <w:pPr>
        <w:rPr>
          <w:rFonts w:ascii="Times New Roman" w:hAnsi="Times New Roman"/>
          <w:sz w:val="24"/>
          <w:szCs w:val="24"/>
        </w:rPr>
      </w:pPr>
      <w:r w:rsidRPr="004465BD">
        <w:rPr>
          <w:rFonts w:ascii="Times New Roman" w:hAnsi="Times New Roman"/>
          <w:sz w:val="24"/>
          <w:szCs w:val="24"/>
        </w:rPr>
        <w:lastRenderedPageBreak/>
        <w:t>Noting that it is not a comprehensive statement of relevant constitutional considerations, the objective of the item references the student benefits aspect of the social welfare power (section 51(xxiiiA)) of the Constitution.</w:t>
      </w:r>
    </w:p>
    <w:p w14:paraId="4BABDFCF" w14:textId="77777777" w:rsidR="00CB44AB" w:rsidRPr="004465BD" w:rsidRDefault="00CB44AB" w:rsidP="00CB44AB">
      <w:pPr>
        <w:ind w:right="-46"/>
        <w:rPr>
          <w:szCs w:val="24"/>
        </w:rPr>
      </w:pPr>
    </w:p>
    <w:p w14:paraId="1BB5DA40" w14:textId="77777777" w:rsidR="00CB44AB" w:rsidRPr="004465BD" w:rsidRDefault="00CB44AB" w:rsidP="00CB44AB">
      <w:pPr>
        <w:spacing w:after="200"/>
        <w:rPr>
          <w:rFonts w:ascii="Times New Roman" w:hAnsi="Times New Roman"/>
          <w:i/>
          <w:sz w:val="24"/>
          <w:szCs w:val="24"/>
          <w:u w:val="single"/>
        </w:rPr>
      </w:pPr>
      <w:r w:rsidRPr="004465BD">
        <w:rPr>
          <w:rFonts w:ascii="Times New Roman" w:hAnsi="Times New Roman"/>
          <w:i/>
          <w:sz w:val="24"/>
          <w:szCs w:val="24"/>
          <w:u w:val="single"/>
        </w:rPr>
        <w:t>Social welfare power</w:t>
      </w:r>
    </w:p>
    <w:p w14:paraId="2CFC8400" w14:textId="2A8278C2" w:rsidR="00CB44AB" w:rsidRDefault="00CB44AB" w:rsidP="00CB44AB">
      <w:pPr>
        <w:rPr>
          <w:rFonts w:ascii="Times New Roman" w:hAnsi="Times New Roman"/>
          <w:sz w:val="24"/>
          <w:szCs w:val="24"/>
        </w:rPr>
      </w:pPr>
      <w:r w:rsidRPr="004465BD">
        <w:rPr>
          <w:rFonts w:ascii="Times New Roman" w:hAnsi="Times New Roman"/>
          <w:sz w:val="24"/>
          <w:szCs w:val="24"/>
        </w:rPr>
        <w:t>Section 51(xxiiiA) of the Constitution empowers the Parliament to make laws with respect to the provision of certain social welfare benefits, including benefits to students. The Tertiary Access Payment will provide payments to identified students to meet the educational needs of those students.</w:t>
      </w:r>
    </w:p>
    <w:p w14:paraId="277A1D49" w14:textId="08C58AFA" w:rsidR="00020AFB" w:rsidRDefault="00020AFB" w:rsidP="00EF5414">
      <w:pPr>
        <w:rPr>
          <w:rFonts w:ascii="Times New Roman" w:hAnsi="Times New Roman"/>
          <w:sz w:val="24"/>
          <w:szCs w:val="24"/>
        </w:rPr>
      </w:pPr>
    </w:p>
    <w:p w14:paraId="5253DEB7" w14:textId="41EAA19A" w:rsidR="00860C3F" w:rsidRDefault="00860C3F" w:rsidP="00860C3F">
      <w:pPr>
        <w:rPr>
          <w:rFonts w:ascii="Times New Roman" w:hAnsi="Times New Roman"/>
          <w:iCs/>
          <w:sz w:val="24"/>
          <w:szCs w:val="24"/>
        </w:rPr>
      </w:pPr>
      <w:r w:rsidRPr="00DC5E86">
        <w:rPr>
          <w:rFonts w:ascii="Times New Roman" w:hAnsi="Times New Roman"/>
          <w:iCs/>
          <w:sz w:val="24"/>
          <w:szCs w:val="24"/>
        </w:rPr>
        <w:t xml:space="preserve">New </w:t>
      </w:r>
      <w:r w:rsidRPr="00DC5E86">
        <w:rPr>
          <w:rFonts w:ascii="Times New Roman" w:hAnsi="Times New Roman"/>
          <w:b/>
          <w:iCs/>
          <w:sz w:val="24"/>
          <w:szCs w:val="24"/>
        </w:rPr>
        <w:t xml:space="preserve">table item </w:t>
      </w:r>
      <w:r w:rsidR="005E1C7F">
        <w:rPr>
          <w:rFonts w:ascii="Times New Roman" w:hAnsi="Times New Roman"/>
          <w:b/>
          <w:iCs/>
          <w:sz w:val="24"/>
          <w:szCs w:val="24"/>
        </w:rPr>
        <w:t>461</w:t>
      </w:r>
      <w:r w:rsidRPr="00DC5E86">
        <w:rPr>
          <w:rFonts w:ascii="Times New Roman" w:hAnsi="Times New Roman"/>
          <w:iCs/>
          <w:sz w:val="24"/>
          <w:szCs w:val="24"/>
        </w:rPr>
        <w:t xml:space="preserve"> establishes legislative authority for government spending on the </w:t>
      </w:r>
      <w:r w:rsidRPr="009C7EE1">
        <w:rPr>
          <w:rFonts w:ascii="Times New Roman" w:hAnsi="Times New Roman"/>
          <w:iCs/>
          <w:sz w:val="24"/>
          <w:szCs w:val="24"/>
        </w:rPr>
        <w:t>Pacific Labour Mobility: Safeguarding Welfare of Workers (Community Connections) project</w:t>
      </w:r>
      <w:r>
        <w:rPr>
          <w:rFonts w:ascii="Times New Roman" w:hAnsi="Times New Roman"/>
          <w:iCs/>
          <w:sz w:val="24"/>
          <w:szCs w:val="24"/>
        </w:rPr>
        <w:t xml:space="preserve"> (the Community Connections project).</w:t>
      </w:r>
    </w:p>
    <w:p w14:paraId="7693F84E" w14:textId="77777777" w:rsidR="00860C3F" w:rsidRDefault="00860C3F" w:rsidP="00860C3F">
      <w:pPr>
        <w:rPr>
          <w:rFonts w:ascii="Times New Roman" w:hAnsi="Times New Roman"/>
          <w:iCs/>
          <w:sz w:val="24"/>
          <w:szCs w:val="24"/>
        </w:rPr>
      </w:pPr>
    </w:p>
    <w:p w14:paraId="25A9C2C5" w14:textId="77777777" w:rsidR="00860C3F" w:rsidRPr="006F038B" w:rsidRDefault="00860C3F" w:rsidP="00860C3F">
      <w:pPr>
        <w:rPr>
          <w:rFonts w:ascii="Times New Roman" w:hAnsi="Times New Roman"/>
          <w:color w:val="000000" w:themeColor="text1"/>
          <w:sz w:val="24"/>
          <w:szCs w:val="24"/>
        </w:rPr>
      </w:pPr>
      <w:r>
        <w:rPr>
          <w:rFonts w:ascii="Times New Roman" w:hAnsi="Times New Roman"/>
          <w:iCs/>
          <w:sz w:val="24"/>
          <w:szCs w:val="24"/>
        </w:rPr>
        <w:t xml:space="preserve">The Pacific Labour Mobility: Safeguarding Welfare of Workers measure (the measure) was introduced to ensure the welfare of Pacific and Timorese workers (Pacific workers) who are participating in the Seasonal Worker Program (SWP) or the Pacific Labour Scheme (PLS). </w:t>
      </w:r>
      <w:r w:rsidRPr="00EF04AD">
        <w:rPr>
          <w:rFonts w:ascii="Times New Roman" w:hAnsi="Times New Roman"/>
          <w:iCs/>
          <w:sz w:val="24"/>
          <w:szCs w:val="24"/>
        </w:rPr>
        <w:t xml:space="preserve">This measure will support the SWP’s current model to ensure the program continues to protect the welfare of Pacific workers and has the resources to accommodate the growth of the program. </w:t>
      </w:r>
      <w:r w:rsidRPr="006F038B">
        <w:rPr>
          <w:rFonts w:ascii="Times New Roman" w:hAnsi="Times New Roman"/>
          <w:color w:val="000000" w:themeColor="text1"/>
          <w:sz w:val="24"/>
          <w:szCs w:val="24"/>
        </w:rPr>
        <w:t>The measure will be reviewed after three years for its effectiveness. </w:t>
      </w:r>
    </w:p>
    <w:p w14:paraId="7CA1D1E9" w14:textId="77777777" w:rsidR="00860C3F" w:rsidRPr="00EF04AD" w:rsidRDefault="00860C3F" w:rsidP="00860C3F">
      <w:pPr>
        <w:tabs>
          <w:tab w:val="left" w:pos="936"/>
        </w:tabs>
        <w:rPr>
          <w:rFonts w:ascii="Times New Roman" w:hAnsi="Times New Roman"/>
          <w:color w:val="000000" w:themeColor="text1"/>
          <w:sz w:val="24"/>
          <w:szCs w:val="24"/>
        </w:rPr>
      </w:pPr>
    </w:p>
    <w:p w14:paraId="66FEC962" w14:textId="77777777" w:rsidR="00860C3F" w:rsidRDefault="00860C3F" w:rsidP="00860C3F">
      <w:pPr>
        <w:tabs>
          <w:tab w:val="left" w:pos="936"/>
        </w:tabs>
        <w:rPr>
          <w:rFonts w:ascii="Times New Roman" w:hAnsi="Times New Roman"/>
          <w:color w:val="000000" w:themeColor="text1"/>
          <w:sz w:val="24"/>
          <w:szCs w:val="24"/>
        </w:rPr>
      </w:pPr>
      <w:r w:rsidRPr="00EF04AD">
        <w:rPr>
          <w:rFonts w:ascii="Times New Roman" w:hAnsi="Times New Roman"/>
          <w:color w:val="000000" w:themeColor="text1"/>
          <w:sz w:val="24"/>
          <w:szCs w:val="24"/>
        </w:rPr>
        <w:t>The SWP assists Australian employers to meet seasonal labour needs in the agricultur</w:t>
      </w:r>
      <w:r>
        <w:rPr>
          <w:rFonts w:ascii="Times New Roman" w:hAnsi="Times New Roman"/>
          <w:color w:val="000000" w:themeColor="text1"/>
          <w:sz w:val="24"/>
          <w:szCs w:val="24"/>
        </w:rPr>
        <w:t>al</w:t>
      </w:r>
      <w:r w:rsidRPr="00EF04AD">
        <w:rPr>
          <w:rFonts w:ascii="Times New Roman" w:hAnsi="Times New Roman"/>
          <w:color w:val="000000" w:themeColor="text1"/>
          <w:sz w:val="24"/>
          <w:szCs w:val="24"/>
        </w:rPr>
        <w:t xml:space="preserve"> sector and accommodation sector, in selected locations, when their needs are unable to be met by the Australian workforce. The program contributes to the economic development of nine Pacific </w:t>
      </w:r>
      <w:r>
        <w:rPr>
          <w:rFonts w:ascii="Times New Roman" w:hAnsi="Times New Roman"/>
          <w:color w:val="000000" w:themeColor="text1"/>
          <w:sz w:val="24"/>
          <w:szCs w:val="24"/>
        </w:rPr>
        <w:t>I</w:t>
      </w:r>
      <w:r w:rsidRPr="00EF04AD">
        <w:rPr>
          <w:rFonts w:ascii="Times New Roman" w:hAnsi="Times New Roman"/>
          <w:color w:val="000000" w:themeColor="text1"/>
          <w:sz w:val="24"/>
          <w:szCs w:val="24"/>
        </w:rPr>
        <w:t>sland countries</w:t>
      </w:r>
      <w:r>
        <w:rPr>
          <w:rFonts w:ascii="Times New Roman" w:hAnsi="Times New Roman"/>
          <w:color w:val="000000" w:themeColor="text1"/>
          <w:sz w:val="24"/>
          <w:szCs w:val="24"/>
        </w:rPr>
        <w:t>:</w:t>
      </w:r>
      <w:r w:rsidRPr="00EF04AD">
        <w:rPr>
          <w:rFonts w:ascii="Times New Roman" w:hAnsi="Times New Roman"/>
          <w:color w:val="000000" w:themeColor="text1"/>
          <w:sz w:val="24"/>
          <w:szCs w:val="24"/>
        </w:rPr>
        <w:t xml:space="preserve"> Fiji, Kiribati, Nauru, Papua New Guinea, Samoa, Solomon Islands, Tonga, Tuvalu, Vanuatu as well as Timor-Leste. The SWP supports critical sectors of the Australian economy, particularly agriculture, and provides an important source of remittances which are essential to the Pacific and Timorese economies. </w:t>
      </w:r>
    </w:p>
    <w:p w14:paraId="5780AA9D" w14:textId="77777777" w:rsidR="00860C3F" w:rsidRPr="00EF04AD" w:rsidRDefault="00860C3F" w:rsidP="00860C3F">
      <w:pPr>
        <w:tabs>
          <w:tab w:val="left" w:pos="936"/>
        </w:tabs>
        <w:rPr>
          <w:rFonts w:ascii="Times New Roman" w:hAnsi="Times New Roman"/>
          <w:color w:val="000000" w:themeColor="text1"/>
          <w:sz w:val="24"/>
          <w:szCs w:val="24"/>
        </w:rPr>
      </w:pPr>
    </w:p>
    <w:p w14:paraId="7E1E2618" w14:textId="77777777" w:rsidR="00860C3F" w:rsidRDefault="00860C3F" w:rsidP="00860C3F">
      <w:pPr>
        <w:tabs>
          <w:tab w:val="left" w:pos="936"/>
        </w:tabs>
        <w:rPr>
          <w:rFonts w:ascii="Times New Roman" w:hAnsi="Times New Roman"/>
          <w:color w:val="000000" w:themeColor="text1"/>
          <w:sz w:val="24"/>
          <w:szCs w:val="24"/>
        </w:rPr>
      </w:pPr>
      <w:r w:rsidRPr="00EF04AD">
        <w:rPr>
          <w:rFonts w:ascii="Times New Roman" w:hAnsi="Times New Roman"/>
          <w:color w:val="000000" w:themeColor="text1"/>
          <w:sz w:val="24"/>
          <w:szCs w:val="24"/>
        </w:rPr>
        <w:t>Employers are approved to participate in the SWP following a robust vetting process, with successful applicants invited to enter into a Deed of Agreement with the department</w:t>
      </w:r>
      <w:r>
        <w:rPr>
          <w:rFonts w:ascii="Times New Roman" w:hAnsi="Times New Roman"/>
          <w:color w:val="000000" w:themeColor="text1"/>
          <w:sz w:val="24"/>
          <w:szCs w:val="24"/>
        </w:rPr>
        <w:t xml:space="preserve"> to become Approved Employers</w:t>
      </w:r>
      <w:r w:rsidRPr="00EF04AD">
        <w:rPr>
          <w:rFonts w:ascii="Times New Roman" w:hAnsi="Times New Roman"/>
          <w:color w:val="000000" w:themeColor="text1"/>
          <w:sz w:val="24"/>
          <w:szCs w:val="24"/>
        </w:rPr>
        <w:t>.</w:t>
      </w:r>
      <w:r>
        <w:rPr>
          <w:rFonts w:ascii="Times New Roman" w:hAnsi="Times New Roman"/>
          <w:color w:val="000000" w:themeColor="text1"/>
          <w:sz w:val="24"/>
          <w:szCs w:val="24"/>
        </w:rPr>
        <w:t xml:space="preserve"> T</w:t>
      </w:r>
      <w:r w:rsidRPr="00EF04AD">
        <w:rPr>
          <w:rFonts w:ascii="Times New Roman" w:hAnsi="Times New Roman"/>
          <w:color w:val="000000" w:themeColor="text1"/>
          <w:sz w:val="24"/>
          <w:szCs w:val="24"/>
        </w:rPr>
        <w:t>he</w:t>
      </w:r>
      <w:r>
        <w:rPr>
          <w:rFonts w:ascii="Times New Roman" w:hAnsi="Times New Roman"/>
          <w:color w:val="000000" w:themeColor="text1"/>
          <w:sz w:val="24"/>
          <w:szCs w:val="24"/>
        </w:rPr>
        <w:t xml:space="preserve"> SWP </w:t>
      </w:r>
      <w:r w:rsidRPr="00EF04AD">
        <w:rPr>
          <w:rFonts w:ascii="Times New Roman" w:hAnsi="Times New Roman"/>
          <w:color w:val="000000" w:themeColor="text1"/>
          <w:sz w:val="24"/>
          <w:szCs w:val="24"/>
        </w:rPr>
        <w:t>is a demand driven</w:t>
      </w:r>
      <w:r>
        <w:rPr>
          <w:rFonts w:ascii="Times New Roman" w:hAnsi="Times New Roman"/>
          <w:color w:val="000000" w:themeColor="text1"/>
          <w:sz w:val="24"/>
          <w:szCs w:val="24"/>
        </w:rPr>
        <w:t>,</w:t>
      </w:r>
      <w:r w:rsidRPr="00EF04AD">
        <w:rPr>
          <w:rFonts w:ascii="Times New Roman" w:hAnsi="Times New Roman"/>
          <w:color w:val="000000" w:themeColor="text1"/>
          <w:sz w:val="24"/>
          <w:szCs w:val="24"/>
        </w:rPr>
        <w:t> uncapped program</w:t>
      </w:r>
      <w:r>
        <w:rPr>
          <w:rFonts w:ascii="Times New Roman" w:hAnsi="Times New Roman"/>
          <w:color w:val="000000" w:themeColor="text1"/>
          <w:sz w:val="24"/>
          <w:szCs w:val="24"/>
        </w:rPr>
        <w:t>, which</w:t>
      </w:r>
      <w:r w:rsidRPr="00EF04AD">
        <w:rPr>
          <w:rFonts w:ascii="Times New Roman" w:hAnsi="Times New Roman"/>
          <w:color w:val="000000" w:themeColor="text1"/>
          <w:sz w:val="24"/>
          <w:szCs w:val="24"/>
        </w:rPr>
        <w:t xml:space="preserve"> has grown by around</w:t>
      </w:r>
      <w:r>
        <w:rPr>
          <w:rFonts w:ascii="Times New Roman" w:hAnsi="Times New Roman"/>
          <w:color w:val="000000" w:themeColor="text1"/>
          <w:sz w:val="24"/>
          <w:szCs w:val="24"/>
        </w:rPr>
        <w:t xml:space="preserve"> </w:t>
      </w:r>
      <w:r w:rsidRPr="00EF04AD">
        <w:rPr>
          <w:rFonts w:ascii="Times New Roman" w:hAnsi="Times New Roman"/>
          <w:color w:val="000000" w:themeColor="text1"/>
          <w:sz w:val="24"/>
          <w:szCs w:val="24"/>
        </w:rPr>
        <w:t>42</w:t>
      </w:r>
      <w:r>
        <w:rPr>
          <w:rFonts w:ascii="Times New Roman" w:hAnsi="Times New Roman"/>
          <w:color w:val="000000" w:themeColor="text1"/>
          <w:sz w:val="24"/>
          <w:szCs w:val="24"/>
        </w:rPr>
        <w:t xml:space="preserve"> </w:t>
      </w:r>
      <w:r w:rsidRPr="00EF04AD">
        <w:rPr>
          <w:rFonts w:ascii="Times New Roman" w:hAnsi="Times New Roman"/>
          <w:color w:val="000000" w:themeColor="text1"/>
          <w:sz w:val="24"/>
          <w:szCs w:val="24"/>
        </w:rPr>
        <w:t>per</w:t>
      </w:r>
      <w:r>
        <w:rPr>
          <w:rFonts w:ascii="Times New Roman" w:hAnsi="Times New Roman"/>
          <w:color w:val="000000" w:themeColor="text1"/>
          <w:sz w:val="24"/>
          <w:szCs w:val="24"/>
        </w:rPr>
        <w:t xml:space="preserve"> </w:t>
      </w:r>
      <w:r w:rsidRPr="00EF04AD">
        <w:rPr>
          <w:rFonts w:ascii="Times New Roman" w:hAnsi="Times New Roman"/>
          <w:color w:val="000000" w:themeColor="text1"/>
          <w:sz w:val="24"/>
          <w:szCs w:val="24"/>
        </w:rPr>
        <w:t>cent</w:t>
      </w:r>
      <w:r>
        <w:rPr>
          <w:rFonts w:ascii="Times New Roman" w:hAnsi="Times New Roman"/>
          <w:color w:val="000000" w:themeColor="text1"/>
          <w:sz w:val="24"/>
          <w:szCs w:val="24"/>
        </w:rPr>
        <w:t xml:space="preserve"> a </w:t>
      </w:r>
      <w:r w:rsidRPr="00EF04AD">
        <w:rPr>
          <w:rFonts w:ascii="Times New Roman" w:hAnsi="Times New Roman"/>
          <w:color w:val="000000" w:themeColor="text1"/>
          <w:sz w:val="24"/>
          <w:szCs w:val="24"/>
        </w:rPr>
        <w:t>year since it commenced on 1 July 2012. </w:t>
      </w:r>
      <w:r>
        <w:rPr>
          <w:rFonts w:ascii="Times New Roman" w:hAnsi="Times New Roman"/>
          <w:color w:val="000000" w:themeColor="text1"/>
          <w:sz w:val="24"/>
          <w:szCs w:val="24"/>
        </w:rPr>
        <w:t>I</w:t>
      </w:r>
      <w:r w:rsidRPr="00EF04AD">
        <w:rPr>
          <w:rFonts w:ascii="Times New Roman" w:hAnsi="Times New Roman"/>
          <w:color w:val="000000" w:themeColor="text1"/>
          <w:sz w:val="24"/>
          <w:szCs w:val="24"/>
        </w:rPr>
        <w:t>n</w:t>
      </w:r>
      <w:r>
        <w:rPr>
          <w:rFonts w:ascii="Times New Roman" w:hAnsi="Times New Roman"/>
          <w:color w:val="000000" w:themeColor="text1"/>
          <w:sz w:val="24"/>
          <w:szCs w:val="24"/>
        </w:rPr>
        <w:t xml:space="preserve"> 2018-19, </w:t>
      </w:r>
      <w:r w:rsidRPr="00EF04AD">
        <w:rPr>
          <w:rFonts w:ascii="Times New Roman" w:hAnsi="Times New Roman"/>
          <w:color w:val="000000" w:themeColor="text1"/>
          <w:sz w:val="24"/>
          <w:szCs w:val="24"/>
        </w:rPr>
        <w:t>there were 12,202 visa</w:t>
      </w:r>
      <w:r>
        <w:rPr>
          <w:rFonts w:ascii="Times New Roman" w:hAnsi="Times New Roman"/>
          <w:color w:val="000000" w:themeColor="text1"/>
          <w:sz w:val="24"/>
          <w:szCs w:val="24"/>
        </w:rPr>
        <w:t>s</w:t>
      </w:r>
      <w:r w:rsidRPr="00EF04AD">
        <w:rPr>
          <w:rFonts w:ascii="Times New Roman" w:hAnsi="Times New Roman"/>
          <w:color w:val="000000" w:themeColor="text1"/>
          <w:sz w:val="24"/>
          <w:szCs w:val="24"/>
        </w:rPr>
        <w:t xml:space="preserve"> grant</w:t>
      </w:r>
      <w:r>
        <w:rPr>
          <w:rFonts w:ascii="Times New Roman" w:hAnsi="Times New Roman"/>
          <w:color w:val="000000" w:themeColor="text1"/>
          <w:sz w:val="24"/>
          <w:szCs w:val="24"/>
        </w:rPr>
        <w:t>ed under the program, compared to</w:t>
      </w:r>
      <w:r w:rsidRPr="00EF04AD">
        <w:rPr>
          <w:rFonts w:ascii="Times New Roman" w:hAnsi="Times New Roman"/>
          <w:color w:val="000000" w:themeColor="text1"/>
          <w:sz w:val="24"/>
          <w:szCs w:val="24"/>
        </w:rPr>
        <w:t xml:space="preserve"> 1,473 visa</w:t>
      </w:r>
      <w:r>
        <w:rPr>
          <w:rFonts w:ascii="Times New Roman" w:hAnsi="Times New Roman"/>
          <w:color w:val="000000" w:themeColor="text1"/>
          <w:sz w:val="24"/>
          <w:szCs w:val="24"/>
        </w:rPr>
        <w:t>s</w:t>
      </w:r>
      <w:r w:rsidRPr="00EF04AD">
        <w:rPr>
          <w:rFonts w:ascii="Times New Roman" w:hAnsi="Times New Roman"/>
          <w:color w:val="000000" w:themeColor="text1"/>
          <w:sz w:val="24"/>
          <w:szCs w:val="24"/>
        </w:rPr>
        <w:t xml:space="preserve"> </w:t>
      </w:r>
      <w:r>
        <w:rPr>
          <w:rFonts w:ascii="Times New Roman" w:hAnsi="Times New Roman"/>
          <w:color w:val="000000" w:themeColor="text1"/>
          <w:sz w:val="24"/>
          <w:szCs w:val="24"/>
        </w:rPr>
        <w:t>i</w:t>
      </w:r>
      <w:r w:rsidRPr="00EF04AD">
        <w:rPr>
          <w:rFonts w:ascii="Times New Roman" w:hAnsi="Times New Roman"/>
          <w:color w:val="000000" w:themeColor="text1"/>
          <w:sz w:val="24"/>
          <w:szCs w:val="24"/>
        </w:rPr>
        <w:t>n 2012-13.</w:t>
      </w:r>
    </w:p>
    <w:p w14:paraId="65A8577C" w14:textId="77777777" w:rsidR="00860C3F" w:rsidRPr="00EF04AD" w:rsidRDefault="00860C3F" w:rsidP="00860C3F">
      <w:pPr>
        <w:tabs>
          <w:tab w:val="left" w:pos="936"/>
        </w:tabs>
        <w:rPr>
          <w:rFonts w:ascii="Times New Roman" w:hAnsi="Times New Roman"/>
          <w:color w:val="000000" w:themeColor="text1"/>
          <w:sz w:val="24"/>
          <w:szCs w:val="24"/>
        </w:rPr>
      </w:pPr>
    </w:p>
    <w:p w14:paraId="06311820" w14:textId="77777777" w:rsidR="00860C3F" w:rsidRDefault="00860C3F" w:rsidP="00860C3F">
      <w:pPr>
        <w:tabs>
          <w:tab w:val="left" w:pos="936"/>
        </w:tabs>
        <w:rPr>
          <w:rFonts w:ascii="Times New Roman" w:hAnsi="Times New Roman"/>
          <w:color w:val="000000" w:themeColor="text1"/>
          <w:sz w:val="24"/>
          <w:szCs w:val="24"/>
        </w:rPr>
      </w:pPr>
      <w:r w:rsidRPr="00EF04AD">
        <w:rPr>
          <w:rFonts w:ascii="Times New Roman" w:hAnsi="Times New Roman"/>
          <w:color w:val="000000" w:themeColor="text1"/>
          <w:sz w:val="24"/>
          <w:szCs w:val="24"/>
        </w:rPr>
        <w:t>Although the 2019-20 financial year was</w:t>
      </w:r>
      <w:r>
        <w:rPr>
          <w:rFonts w:ascii="Times New Roman" w:hAnsi="Times New Roman"/>
          <w:color w:val="000000" w:themeColor="text1"/>
          <w:sz w:val="24"/>
          <w:szCs w:val="24"/>
        </w:rPr>
        <w:t xml:space="preserve"> affected</w:t>
      </w:r>
      <w:r w:rsidRPr="00EF04AD">
        <w:rPr>
          <w:rFonts w:ascii="Times New Roman" w:hAnsi="Times New Roman"/>
          <w:color w:val="000000" w:themeColor="text1"/>
          <w:sz w:val="24"/>
          <w:szCs w:val="24"/>
        </w:rPr>
        <w:t xml:space="preserve"> by international border closures due to </w:t>
      </w:r>
      <w:r>
        <w:rPr>
          <w:rFonts w:ascii="Times New Roman" w:hAnsi="Times New Roman"/>
          <w:color w:val="000000" w:themeColor="text1"/>
          <w:sz w:val="24"/>
          <w:szCs w:val="24"/>
        </w:rPr>
        <w:t xml:space="preserve">the </w:t>
      </w:r>
      <w:r w:rsidRPr="00EF04AD">
        <w:rPr>
          <w:rFonts w:ascii="Times New Roman" w:hAnsi="Times New Roman"/>
          <w:color w:val="000000" w:themeColor="text1"/>
          <w:sz w:val="24"/>
          <w:szCs w:val="24"/>
        </w:rPr>
        <w:t>COVID-19</w:t>
      </w:r>
      <w:r>
        <w:rPr>
          <w:rFonts w:ascii="Times New Roman" w:hAnsi="Times New Roman"/>
          <w:color w:val="000000" w:themeColor="text1"/>
          <w:sz w:val="24"/>
          <w:szCs w:val="24"/>
        </w:rPr>
        <w:t xml:space="preserve"> pandemic</w:t>
      </w:r>
      <w:r w:rsidRPr="00EF04AD">
        <w:rPr>
          <w:rFonts w:ascii="Times New Roman" w:hAnsi="Times New Roman"/>
          <w:color w:val="000000" w:themeColor="text1"/>
          <w:sz w:val="24"/>
          <w:szCs w:val="24"/>
        </w:rPr>
        <w:t>, more than 9,800 SWP visas were granted prior to the border closures.</w:t>
      </w:r>
      <w:r>
        <w:rPr>
          <w:rFonts w:ascii="Times New Roman" w:hAnsi="Times New Roman"/>
          <w:color w:val="000000" w:themeColor="text1"/>
          <w:sz w:val="24"/>
          <w:szCs w:val="24"/>
        </w:rPr>
        <w:t xml:space="preserve"> </w:t>
      </w:r>
      <w:r w:rsidRPr="00EF04AD">
        <w:rPr>
          <w:rFonts w:ascii="Times New Roman" w:hAnsi="Times New Roman"/>
          <w:color w:val="000000" w:themeColor="text1"/>
          <w:sz w:val="24"/>
          <w:szCs w:val="24"/>
        </w:rPr>
        <w:t xml:space="preserve">At the time of </w:t>
      </w:r>
      <w:r>
        <w:rPr>
          <w:rFonts w:ascii="Times New Roman" w:hAnsi="Times New Roman"/>
          <w:color w:val="000000" w:themeColor="text1"/>
          <w:sz w:val="24"/>
          <w:szCs w:val="24"/>
        </w:rPr>
        <w:t xml:space="preserve">the </w:t>
      </w:r>
      <w:r w:rsidRPr="00EF04AD">
        <w:rPr>
          <w:rFonts w:ascii="Times New Roman" w:hAnsi="Times New Roman"/>
          <w:color w:val="000000" w:themeColor="text1"/>
          <w:sz w:val="24"/>
          <w:szCs w:val="24"/>
        </w:rPr>
        <w:t>border closures</w:t>
      </w:r>
      <w:r>
        <w:rPr>
          <w:rFonts w:ascii="Times New Roman" w:hAnsi="Times New Roman"/>
          <w:color w:val="000000" w:themeColor="text1"/>
          <w:sz w:val="24"/>
          <w:szCs w:val="24"/>
        </w:rPr>
        <w:t>,</w:t>
      </w:r>
      <w:r w:rsidRPr="00EF04AD">
        <w:rPr>
          <w:rFonts w:ascii="Times New Roman" w:hAnsi="Times New Roman"/>
          <w:color w:val="000000" w:themeColor="text1"/>
          <w:sz w:val="24"/>
          <w:szCs w:val="24"/>
        </w:rPr>
        <w:t xml:space="preserve"> there were around 7,000 SWP workers in Australia</w:t>
      </w:r>
      <w:r>
        <w:rPr>
          <w:rFonts w:ascii="Times New Roman" w:hAnsi="Times New Roman"/>
          <w:color w:val="000000" w:themeColor="text1"/>
          <w:sz w:val="24"/>
          <w:szCs w:val="24"/>
        </w:rPr>
        <w:t xml:space="preserve">, out of which </w:t>
      </w:r>
      <w:r w:rsidRPr="00EF04AD">
        <w:rPr>
          <w:rFonts w:ascii="Times New Roman" w:hAnsi="Times New Roman"/>
          <w:color w:val="000000" w:themeColor="text1"/>
          <w:sz w:val="24"/>
          <w:szCs w:val="24"/>
        </w:rPr>
        <w:t>over 5,900 seasonal workers have been redeployed to additional placements (as at early October 2020)</w:t>
      </w:r>
      <w:r>
        <w:rPr>
          <w:rFonts w:ascii="Times New Roman" w:hAnsi="Times New Roman"/>
          <w:color w:val="000000" w:themeColor="text1"/>
          <w:sz w:val="24"/>
          <w:szCs w:val="24"/>
        </w:rPr>
        <w:t>. This has</w:t>
      </w:r>
      <w:r w:rsidRPr="00EF04AD">
        <w:rPr>
          <w:rFonts w:ascii="Times New Roman" w:hAnsi="Times New Roman"/>
          <w:color w:val="000000" w:themeColor="text1"/>
          <w:sz w:val="24"/>
          <w:szCs w:val="24"/>
        </w:rPr>
        <w:t xml:space="preserve"> result</w:t>
      </w:r>
      <w:r>
        <w:rPr>
          <w:rFonts w:ascii="Times New Roman" w:hAnsi="Times New Roman"/>
          <w:color w:val="000000" w:themeColor="text1"/>
          <w:sz w:val="24"/>
          <w:szCs w:val="24"/>
        </w:rPr>
        <w:t>ed</w:t>
      </w:r>
      <w:r w:rsidRPr="00EF04AD">
        <w:rPr>
          <w:rFonts w:ascii="Times New Roman" w:hAnsi="Times New Roman"/>
          <w:color w:val="000000" w:themeColor="text1"/>
          <w:sz w:val="24"/>
          <w:szCs w:val="24"/>
        </w:rPr>
        <w:t xml:space="preserve"> in more than 15,000 seasonal worker placements across Australia (9,800 visa</w:t>
      </w:r>
      <w:r>
        <w:rPr>
          <w:rFonts w:ascii="Times New Roman" w:hAnsi="Times New Roman"/>
          <w:color w:val="000000" w:themeColor="text1"/>
          <w:sz w:val="24"/>
          <w:szCs w:val="24"/>
        </w:rPr>
        <w:t xml:space="preserve"> holder</w:t>
      </w:r>
      <w:r w:rsidRPr="00EF04AD">
        <w:rPr>
          <w:rFonts w:ascii="Times New Roman" w:hAnsi="Times New Roman"/>
          <w:color w:val="000000" w:themeColor="text1"/>
          <w:sz w:val="24"/>
          <w:szCs w:val="24"/>
        </w:rPr>
        <w:t xml:space="preserve">s </w:t>
      </w:r>
      <w:r>
        <w:rPr>
          <w:rFonts w:ascii="Times New Roman" w:hAnsi="Times New Roman"/>
          <w:color w:val="000000" w:themeColor="text1"/>
          <w:sz w:val="24"/>
          <w:szCs w:val="24"/>
        </w:rPr>
        <w:t>and</w:t>
      </w:r>
      <w:r w:rsidRPr="00EF04AD">
        <w:rPr>
          <w:rFonts w:ascii="Times New Roman" w:hAnsi="Times New Roman"/>
          <w:color w:val="000000" w:themeColor="text1"/>
          <w:sz w:val="24"/>
          <w:szCs w:val="24"/>
        </w:rPr>
        <w:t xml:space="preserve"> 5,900 redeployments</w:t>
      </w:r>
      <w:r>
        <w:rPr>
          <w:rFonts w:ascii="Times New Roman" w:hAnsi="Times New Roman"/>
          <w:color w:val="000000" w:themeColor="text1"/>
          <w:sz w:val="24"/>
          <w:szCs w:val="24"/>
        </w:rPr>
        <w:t xml:space="preserve"> combined</w:t>
      </w:r>
      <w:r w:rsidRPr="00EF04AD">
        <w:rPr>
          <w:rFonts w:ascii="Times New Roman" w:hAnsi="Times New Roman"/>
          <w:color w:val="000000" w:themeColor="text1"/>
          <w:sz w:val="24"/>
          <w:szCs w:val="24"/>
        </w:rPr>
        <w:t>). </w:t>
      </w:r>
    </w:p>
    <w:p w14:paraId="24774291" w14:textId="77777777" w:rsidR="00860C3F" w:rsidRPr="00EF04AD" w:rsidRDefault="00860C3F" w:rsidP="00860C3F">
      <w:pPr>
        <w:tabs>
          <w:tab w:val="left" w:pos="936"/>
        </w:tabs>
        <w:rPr>
          <w:rFonts w:ascii="Times New Roman" w:hAnsi="Times New Roman"/>
          <w:color w:val="000000" w:themeColor="text1"/>
          <w:sz w:val="24"/>
          <w:szCs w:val="24"/>
        </w:rPr>
      </w:pPr>
    </w:p>
    <w:p w14:paraId="0E417E55" w14:textId="77777777" w:rsidR="00860C3F" w:rsidRPr="00EF04AD" w:rsidRDefault="00860C3F" w:rsidP="00860C3F">
      <w:pPr>
        <w:tabs>
          <w:tab w:val="left" w:pos="936"/>
        </w:tabs>
        <w:rPr>
          <w:rFonts w:ascii="Times New Roman" w:hAnsi="Times New Roman"/>
          <w:color w:val="000000" w:themeColor="text1"/>
          <w:sz w:val="24"/>
          <w:szCs w:val="24"/>
        </w:rPr>
      </w:pPr>
      <w:r w:rsidRPr="00EF04AD">
        <w:rPr>
          <w:rFonts w:ascii="Times New Roman" w:hAnsi="Times New Roman"/>
          <w:color w:val="000000" w:themeColor="text1"/>
          <w:sz w:val="24"/>
          <w:szCs w:val="24"/>
        </w:rPr>
        <w:t>The number of employers accessing the SWP has increased at a</w:t>
      </w:r>
      <w:r>
        <w:rPr>
          <w:rFonts w:ascii="Times New Roman" w:hAnsi="Times New Roman"/>
          <w:color w:val="000000" w:themeColor="text1"/>
          <w:sz w:val="24"/>
          <w:szCs w:val="24"/>
        </w:rPr>
        <w:t>n annual</w:t>
      </w:r>
      <w:r w:rsidRPr="00EF04AD">
        <w:rPr>
          <w:rFonts w:ascii="Times New Roman" w:hAnsi="Times New Roman"/>
          <w:color w:val="000000" w:themeColor="text1"/>
          <w:sz w:val="24"/>
          <w:szCs w:val="24"/>
        </w:rPr>
        <w:t xml:space="preserve"> rate of 25 per cent since the program began in 2012, and interest in the program continues to grow with 174 employers currently approved to participate </w:t>
      </w:r>
      <w:r>
        <w:rPr>
          <w:rFonts w:ascii="Times New Roman" w:hAnsi="Times New Roman"/>
          <w:color w:val="000000" w:themeColor="text1"/>
          <w:sz w:val="24"/>
          <w:szCs w:val="24"/>
        </w:rPr>
        <w:t>i</w:t>
      </w:r>
      <w:r w:rsidRPr="00EF04AD">
        <w:rPr>
          <w:rFonts w:ascii="Times New Roman" w:hAnsi="Times New Roman"/>
          <w:color w:val="000000" w:themeColor="text1"/>
          <w:sz w:val="24"/>
          <w:szCs w:val="24"/>
        </w:rPr>
        <w:t>n the program. The program has a national footprint</w:t>
      </w:r>
      <w:r>
        <w:rPr>
          <w:rFonts w:ascii="Times New Roman" w:hAnsi="Times New Roman"/>
          <w:color w:val="000000" w:themeColor="text1"/>
          <w:sz w:val="24"/>
          <w:szCs w:val="24"/>
        </w:rPr>
        <w:t>, with</w:t>
      </w:r>
      <w:r w:rsidRPr="00EF04AD">
        <w:rPr>
          <w:rFonts w:ascii="Times New Roman" w:hAnsi="Times New Roman"/>
          <w:color w:val="000000" w:themeColor="text1"/>
          <w:sz w:val="24"/>
          <w:szCs w:val="24"/>
        </w:rPr>
        <w:t xml:space="preserve"> varied employer and placement sizes across a disparate geographic spread of locations. Further information about </w:t>
      </w:r>
      <w:r>
        <w:rPr>
          <w:rFonts w:ascii="Times New Roman" w:hAnsi="Times New Roman"/>
          <w:color w:val="000000" w:themeColor="text1"/>
          <w:sz w:val="24"/>
          <w:szCs w:val="24"/>
        </w:rPr>
        <w:t xml:space="preserve">the </w:t>
      </w:r>
      <w:r w:rsidRPr="00EF04AD">
        <w:rPr>
          <w:rFonts w:ascii="Times New Roman" w:hAnsi="Times New Roman"/>
          <w:color w:val="000000" w:themeColor="text1"/>
          <w:sz w:val="24"/>
          <w:szCs w:val="24"/>
        </w:rPr>
        <w:t xml:space="preserve">SWP is at </w:t>
      </w:r>
      <w:r w:rsidRPr="000D248D">
        <w:rPr>
          <w:rFonts w:ascii="Times New Roman" w:hAnsi="Times New Roman"/>
          <w:color w:val="000000" w:themeColor="text1"/>
          <w:sz w:val="24"/>
          <w:szCs w:val="24"/>
          <w:u w:val="single"/>
        </w:rPr>
        <w:t>https://www.employment.gov.au/seasonal-worker-programme</w:t>
      </w:r>
      <w:r w:rsidRPr="00EF04AD">
        <w:rPr>
          <w:rFonts w:ascii="Times New Roman" w:hAnsi="Times New Roman"/>
          <w:color w:val="000000" w:themeColor="text1"/>
          <w:sz w:val="24"/>
          <w:szCs w:val="24"/>
        </w:rPr>
        <w:t>.</w:t>
      </w:r>
    </w:p>
    <w:p w14:paraId="01984B90" w14:textId="77777777" w:rsidR="00860C3F" w:rsidRPr="00EF04AD" w:rsidRDefault="00860C3F" w:rsidP="00860C3F">
      <w:pPr>
        <w:tabs>
          <w:tab w:val="left" w:pos="936"/>
        </w:tabs>
        <w:rPr>
          <w:rFonts w:ascii="Times New Roman" w:hAnsi="Times New Roman"/>
          <w:color w:val="000000" w:themeColor="text1"/>
          <w:sz w:val="24"/>
          <w:szCs w:val="24"/>
        </w:rPr>
      </w:pPr>
    </w:p>
    <w:p w14:paraId="4A978E22" w14:textId="77777777" w:rsidR="00860C3F" w:rsidRPr="000D248D" w:rsidRDefault="00860C3F" w:rsidP="00860C3F">
      <w:pPr>
        <w:tabs>
          <w:tab w:val="left" w:pos="936"/>
        </w:tabs>
        <w:rPr>
          <w:rFonts w:ascii="Times New Roman" w:hAnsi="Times New Roman"/>
          <w:color w:val="000000" w:themeColor="text1"/>
          <w:sz w:val="24"/>
          <w:szCs w:val="24"/>
        </w:rPr>
      </w:pPr>
      <w:r w:rsidRPr="000D248D">
        <w:rPr>
          <w:rFonts w:ascii="Times New Roman" w:hAnsi="Times New Roman"/>
          <w:color w:val="000000" w:themeColor="text1"/>
          <w:sz w:val="24"/>
          <w:szCs w:val="24"/>
        </w:rPr>
        <w:lastRenderedPageBreak/>
        <w:t>The challenge of ensuring the welfare of Pacific workers participating in the SWP in Australia has grown and become more pronounced due to the unique and unanticipated difficulties caused by international border closures as a result of COVID-19. Pacific workers in Australia do not know when they will be able to return home to their families and continue to work in labour intensive jobs, to support themselves and send remittances back home. The flow of remittances back to Pacific communities makes an important contribution to their ability to withstand the economic impacts of COVID-19.  </w:t>
      </w:r>
    </w:p>
    <w:p w14:paraId="33347862" w14:textId="77777777" w:rsidR="00860C3F" w:rsidRPr="00F90C38" w:rsidRDefault="00860C3F" w:rsidP="00860C3F">
      <w:pPr>
        <w:tabs>
          <w:tab w:val="left" w:pos="936"/>
        </w:tabs>
        <w:rPr>
          <w:rFonts w:ascii="Times New Roman" w:hAnsi="Times New Roman"/>
          <w:color w:val="000000" w:themeColor="text1"/>
          <w:sz w:val="24"/>
          <w:szCs w:val="24"/>
        </w:rPr>
      </w:pPr>
    </w:p>
    <w:p w14:paraId="7EFB1839" w14:textId="77777777" w:rsidR="00860C3F" w:rsidRPr="00F90C38" w:rsidRDefault="00860C3F" w:rsidP="00860C3F">
      <w:pPr>
        <w:tabs>
          <w:tab w:val="left" w:pos="936"/>
        </w:tabs>
        <w:rPr>
          <w:rFonts w:ascii="Times New Roman" w:hAnsi="Times New Roman"/>
          <w:color w:val="000000" w:themeColor="text1"/>
          <w:sz w:val="24"/>
          <w:szCs w:val="24"/>
        </w:rPr>
      </w:pPr>
      <w:r w:rsidRPr="00F90C38">
        <w:rPr>
          <w:rFonts w:ascii="Times New Roman" w:hAnsi="Times New Roman"/>
          <w:color w:val="000000" w:themeColor="text1"/>
          <w:sz w:val="24"/>
          <w:szCs w:val="24"/>
        </w:rPr>
        <w:t>The measure has</w:t>
      </w:r>
      <w:r>
        <w:rPr>
          <w:rFonts w:ascii="Times New Roman" w:hAnsi="Times New Roman"/>
          <w:color w:val="000000" w:themeColor="text1"/>
          <w:sz w:val="24"/>
          <w:szCs w:val="24"/>
        </w:rPr>
        <w:t xml:space="preserve"> two components:</w:t>
      </w:r>
    </w:p>
    <w:p w14:paraId="01DD2DA2" w14:textId="77777777" w:rsidR="00860C3F" w:rsidRPr="00F90C38" w:rsidRDefault="00860C3F" w:rsidP="00860C3F">
      <w:pPr>
        <w:pStyle w:val="ListParagraph"/>
        <w:numPr>
          <w:ilvl w:val="0"/>
          <w:numId w:val="42"/>
        </w:numPr>
        <w:ind w:right="57"/>
        <w:contextualSpacing w:val="0"/>
        <w:rPr>
          <w:rFonts w:cs="Times New Roman"/>
          <w:color w:val="000000"/>
          <w:szCs w:val="24"/>
        </w:rPr>
      </w:pPr>
      <w:r>
        <w:rPr>
          <w:rFonts w:cs="Times New Roman"/>
          <w:color w:val="000000"/>
          <w:szCs w:val="24"/>
        </w:rPr>
        <w:t>the</w:t>
      </w:r>
      <w:r w:rsidRPr="00F90C38">
        <w:rPr>
          <w:rFonts w:cs="Times New Roman"/>
          <w:color w:val="000000"/>
          <w:szCs w:val="24"/>
        </w:rPr>
        <w:t xml:space="preserve"> Pacific Labour Mobility Officers (</w:t>
      </w:r>
      <w:r>
        <w:rPr>
          <w:rFonts w:cs="Times New Roman"/>
          <w:color w:val="000000"/>
          <w:szCs w:val="24"/>
        </w:rPr>
        <w:t xml:space="preserve">the </w:t>
      </w:r>
      <w:r w:rsidRPr="00F90C38">
        <w:rPr>
          <w:rFonts w:cs="Times New Roman"/>
          <w:color w:val="000000"/>
          <w:szCs w:val="24"/>
        </w:rPr>
        <w:t xml:space="preserve">PLM Officers) will be established in states and territories to complement current SWP assurance and monitoring activities by undertaking additional welfare, monitoring, compliance and accommodation checks.  </w:t>
      </w:r>
      <w:r>
        <w:rPr>
          <w:rFonts w:cs="Times New Roman"/>
          <w:color w:val="000000"/>
          <w:szCs w:val="24"/>
        </w:rPr>
        <w:t>T</w:t>
      </w:r>
      <w:r w:rsidRPr="00F90C38">
        <w:rPr>
          <w:rFonts w:cs="Times New Roman"/>
          <w:color w:val="000000"/>
          <w:szCs w:val="24"/>
        </w:rPr>
        <w:t>he PLM Officers</w:t>
      </w:r>
      <w:r>
        <w:rPr>
          <w:rFonts w:cs="Times New Roman"/>
          <w:color w:val="000000"/>
          <w:szCs w:val="24"/>
        </w:rPr>
        <w:t xml:space="preserve"> </w:t>
      </w:r>
      <w:r w:rsidRPr="00F90C38">
        <w:rPr>
          <w:rFonts w:cs="Times New Roman"/>
          <w:color w:val="000000"/>
          <w:szCs w:val="24"/>
        </w:rPr>
        <w:t>commence</w:t>
      </w:r>
      <w:r>
        <w:rPr>
          <w:rFonts w:cs="Times New Roman"/>
          <w:color w:val="000000"/>
          <w:szCs w:val="24"/>
        </w:rPr>
        <w:t>d</w:t>
      </w:r>
      <w:r w:rsidRPr="00F90C38">
        <w:rPr>
          <w:rFonts w:cs="Times New Roman"/>
          <w:color w:val="000000"/>
          <w:szCs w:val="24"/>
        </w:rPr>
        <w:t xml:space="preserve"> </w:t>
      </w:r>
      <w:r>
        <w:rPr>
          <w:rFonts w:cs="Times New Roman"/>
          <w:color w:val="000000"/>
          <w:szCs w:val="24"/>
        </w:rPr>
        <w:t xml:space="preserve">in their roles </w:t>
      </w:r>
      <w:r w:rsidRPr="00F90C38">
        <w:rPr>
          <w:rFonts w:cs="Times New Roman"/>
          <w:color w:val="000000"/>
          <w:szCs w:val="24"/>
        </w:rPr>
        <w:t>from 1 November 2020.</w:t>
      </w:r>
      <w:r>
        <w:rPr>
          <w:rFonts w:cs="Times New Roman"/>
          <w:color w:val="000000"/>
          <w:szCs w:val="24"/>
        </w:rPr>
        <w:t xml:space="preserve"> Legislative authority is not needed for government spending on the PLM Officers; and </w:t>
      </w:r>
      <w:r w:rsidRPr="00F90C38">
        <w:rPr>
          <w:rFonts w:cs="Times New Roman"/>
          <w:color w:val="000000"/>
          <w:szCs w:val="24"/>
        </w:rPr>
        <w:t xml:space="preserve">  </w:t>
      </w:r>
    </w:p>
    <w:p w14:paraId="1D2C5B1F" w14:textId="35B2137E" w:rsidR="00860C3F" w:rsidRDefault="00860C3F" w:rsidP="00860C3F">
      <w:pPr>
        <w:pStyle w:val="ListParagraph"/>
        <w:numPr>
          <w:ilvl w:val="0"/>
          <w:numId w:val="42"/>
        </w:numPr>
        <w:ind w:right="57"/>
        <w:contextualSpacing w:val="0"/>
        <w:rPr>
          <w:rFonts w:cs="Times New Roman"/>
          <w:color w:val="000000"/>
          <w:szCs w:val="24"/>
        </w:rPr>
      </w:pPr>
      <w:r>
        <w:rPr>
          <w:rFonts w:cs="Times New Roman"/>
          <w:color w:val="000000"/>
          <w:szCs w:val="24"/>
        </w:rPr>
        <w:t xml:space="preserve">the </w:t>
      </w:r>
      <w:r w:rsidRPr="00F90C38">
        <w:rPr>
          <w:rFonts w:cs="Times New Roman"/>
          <w:color w:val="000000"/>
          <w:szCs w:val="24"/>
        </w:rPr>
        <w:t xml:space="preserve">Community Connections </w:t>
      </w:r>
      <w:r>
        <w:rPr>
          <w:rFonts w:cs="Times New Roman"/>
          <w:color w:val="000000"/>
          <w:szCs w:val="24"/>
        </w:rPr>
        <w:t>p</w:t>
      </w:r>
      <w:r w:rsidRPr="00F90C38">
        <w:rPr>
          <w:rFonts w:cs="Times New Roman"/>
          <w:color w:val="000000"/>
          <w:szCs w:val="24"/>
        </w:rPr>
        <w:t>roject</w:t>
      </w:r>
      <w:r>
        <w:rPr>
          <w:rFonts w:cs="Times New Roman"/>
          <w:color w:val="000000"/>
          <w:szCs w:val="24"/>
        </w:rPr>
        <w:t>, which</w:t>
      </w:r>
      <w:r w:rsidRPr="00F90C38">
        <w:rPr>
          <w:rFonts w:cs="Times New Roman"/>
          <w:color w:val="000000"/>
          <w:szCs w:val="24"/>
        </w:rPr>
        <w:t xml:space="preserve"> will fund</w:t>
      </w:r>
      <w:r>
        <w:rPr>
          <w:rFonts w:cs="Times New Roman"/>
          <w:color w:val="000000"/>
          <w:szCs w:val="24"/>
        </w:rPr>
        <w:t xml:space="preserve"> </w:t>
      </w:r>
      <w:r w:rsidRPr="00F90C38">
        <w:rPr>
          <w:rFonts w:cs="Times New Roman"/>
          <w:color w:val="000000"/>
          <w:szCs w:val="24"/>
        </w:rPr>
        <w:t xml:space="preserve">the not-for-profit sector to strengthen their role in connecting Pacific workers who are participating in the SWP with local community groups. </w:t>
      </w:r>
      <w:r>
        <w:rPr>
          <w:rFonts w:cs="Times New Roman"/>
          <w:color w:val="000000"/>
          <w:szCs w:val="24"/>
        </w:rPr>
        <w:t xml:space="preserve">Legislative authority for the Community Connections project will be provided by new table item </w:t>
      </w:r>
      <w:r w:rsidR="005E1C7F">
        <w:rPr>
          <w:rFonts w:cs="Times New Roman"/>
          <w:color w:val="000000"/>
          <w:szCs w:val="24"/>
        </w:rPr>
        <w:t>461</w:t>
      </w:r>
      <w:r>
        <w:rPr>
          <w:rFonts w:cs="Times New Roman"/>
          <w:color w:val="000000"/>
          <w:szCs w:val="24"/>
        </w:rPr>
        <w:t>.</w:t>
      </w:r>
      <w:r w:rsidRPr="00F90C38">
        <w:rPr>
          <w:rFonts w:cs="Times New Roman"/>
          <w:color w:val="000000"/>
          <w:szCs w:val="24"/>
        </w:rPr>
        <w:t xml:space="preserve"> </w:t>
      </w:r>
    </w:p>
    <w:p w14:paraId="49B081BD" w14:textId="77777777" w:rsidR="00860C3F" w:rsidRPr="006F038B" w:rsidRDefault="00860C3F" w:rsidP="00860C3F">
      <w:pPr>
        <w:tabs>
          <w:tab w:val="left" w:pos="936"/>
        </w:tabs>
        <w:rPr>
          <w:rFonts w:ascii="Times New Roman" w:hAnsi="Times New Roman"/>
          <w:color w:val="000000" w:themeColor="text1"/>
          <w:sz w:val="24"/>
          <w:szCs w:val="24"/>
        </w:rPr>
      </w:pPr>
    </w:p>
    <w:p w14:paraId="136E1976" w14:textId="77777777" w:rsidR="00860C3F" w:rsidRPr="006F038B" w:rsidRDefault="00860C3F" w:rsidP="00860C3F">
      <w:pPr>
        <w:tabs>
          <w:tab w:val="left" w:pos="936"/>
        </w:tabs>
        <w:rPr>
          <w:rFonts w:ascii="Times New Roman" w:hAnsi="Times New Roman"/>
          <w:i/>
          <w:color w:val="000000" w:themeColor="text1"/>
          <w:sz w:val="24"/>
          <w:szCs w:val="24"/>
          <w:u w:val="single"/>
        </w:rPr>
      </w:pPr>
      <w:r w:rsidRPr="006F038B">
        <w:rPr>
          <w:rFonts w:ascii="Times New Roman" w:hAnsi="Times New Roman"/>
          <w:i/>
          <w:color w:val="000000" w:themeColor="text1"/>
          <w:sz w:val="24"/>
          <w:szCs w:val="24"/>
          <w:u w:val="single"/>
        </w:rPr>
        <w:t>PLM Officers</w:t>
      </w:r>
    </w:p>
    <w:p w14:paraId="01D389A1" w14:textId="77777777" w:rsidR="00860C3F" w:rsidRPr="006F038B" w:rsidRDefault="00860C3F" w:rsidP="00860C3F">
      <w:pPr>
        <w:tabs>
          <w:tab w:val="left" w:pos="936"/>
        </w:tabs>
        <w:rPr>
          <w:rFonts w:ascii="Times New Roman" w:hAnsi="Times New Roman"/>
          <w:color w:val="000000" w:themeColor="text1"/>
          <w:sz w:val="24"/>
          <w:szCs w:val="24"/>
        </w:rPr>
      </w:pPr>
    </w:p>
    <w:p w14:paraId="2B539D16" w14:textId="77777777" w:rsidR="00860C3F" w:rsidRDefault="00860C3F" w:rsidP="00860C3F">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Pr="006F038B">
        <w:rPr>
          <w:rFonts w:ascii="Times New Roman" w:hAnsi="Times New Roman"/>
          <w:color w:val="000000" w:themeColor="text1"/>
          <w:sz w:val="24"/>
          <w:szCs w:val="24"/>
        </w:rPr>
        <w:t>PLM Officers will provide an on</w:t>
      </w:r>
      <w:r w:rsidRPr="006F038B">
        <w:rPr>
          <w:rFonts w:ascii="Times New Roman" w:hAnsi="Times New Roman"/>
          <w:color w:val="000000" w:themeColor="text1"/>
          <w:sz w:val="24"/>
          <w:szCs w:val="24"/>
        </w:rPr>
        <w:noBreakHyphen/>
        <w:t xml:space="preserve">the-ground presence and establish direct links with </w:t>
      </w:r>
      <w:r>
        <w:rPr>
          <w:rFonts w:ascii="Times New Roman" w:hAnsi="Times New Roman"/>
          <w:color w:val="000000" w:themeColor="text1"/>
          <w:sz w:val="24"/>
          <w:szCs w:val="24"/>
        </w:rPr>
        <w:t xml:space="preserve">the </w:t>
      </w:r>
      <w:r w:rsidRPr="006F038B">
        <w:rPr>
          <w:rFonts w:ascii="Times New Roman" w:hAnsi="Times New Roman"/>
          <w:color w:val="000000" w:themeColor="text1"/>
          <w:sz w:val="24"/>
          <w:szCs w:val="24"/>
        </w:rPr>
        <w:t xml:space="preserve">SWP workers, local community groups and </w:t>
      </w:r>
      <w:r>
        <w:rPr>
          <w:rFonts w:ascii="Times New Roman" w:hAnsi="Times New Roman"/>
          <w:color w:val="000000" w:themeColor="text1"/>
          <w:sz w:val="24"/>
          <w:szCs w:val="24"/>
        </w:rPr>
        <w:t>A</w:t>
      </w:r>
      <w:r w:rsidRPr="006F038B">
        <w:rPr>
          <w:rFonts w:ascii="Times New Roman" w:hAnsi="Times New Roman"/>
          <w:color w:val="000000" w:themeColor="text1"/>
          <w:sz w:val="24"/>
          <w:szCs w:val="24"/>
        </w:rPr>
        <w:t xml:space="preserve">pproved </w:t>
      </w:r>
      <w:r>
        <w:rPr>
          <w:rFonts w:ascii="Times New Roman" w:hAnsi="Times New Roman"/>
          <w:color w:val="000000" w:themeColor="text1"/>
          <w:sz w:val="24"/>
          <w:szCs w:val="24"/>
        </w:rPr>
        <w:t>E</w:t>
      </w:r>
      <w:r w:rsidRPr="006F038B">
        <w:rPr>
          <w:rFonts w:ascii="Times New Roman" w:hAnsi="Times New Roman"/>
          <w:color w:val="000000" w:themeColor="text1"/>
          <w:sz w:val="24"/>
          <w:szCs w:val="24"/>
        </w:rPr>
        <w:t xml:space="preserve">mployers. </w:t>
      </w:r>
      <w:r>
        <w:rPr>
          <w:rFonts w:ascii="Times New Roman" w:hAnsi="Times New Roman"/>
          <w:color w:val="000000" w:themeColor="text1"/>
          <w:sz w:val="24"/>
          <w:szCs w:val="24"/>
        </w:rPr>
        <w:t xml:space="preserve">The </w:t>
      </w:r>
      <w:r w:rsidRPr="006F038B">
        <w:rPr>
          <w:rFonts w:ascii="Times New Roman" w:hAnsi="Times New Roman"/>
          <w:color w:val="000000" w:themeColor="text1"/>
          <w:sz w:val="24"/>
          <w:szCs w:val="24"/>
        </w:rPr>
        <w:t>PLM Officers will be mainly contractors of the department</w:t>
      </w:r>
      <w:r>
        <w:rPr>
          <w:rFonts w:ascii="Times New Roman" w:hAnsi="Times New Roman"/>
          <w:color w:val="000000" w:themeColor="text1"/>
          <w:sz w:val="24"/>
          <w:szCs w:val="24"/>
        </w:rPr>
        <w:t xml:space="preserve"> who</w:t>
      </w:r>
      <w:r w:rsidRPr="006F038B">
        <w:rPr>
          <w:rFonts w:ascii="Times New Roman" w:hAnsi="Times New Roman"/>
          <w:color w:val="000000" w:themeColor="text1"/>
          <w:sz w:val="24"/>
          <w:szCs w:val="24"/>
        </w:rPr>
        <w:t xml:space="preserve"> will be located in </w:t>
      </w:r>
      <w:r>
        <w:rPr>
          <w:rFonts w:ascii="Times New Roman" w:hAnsi="Times New Roman"/>
          <w:color w:val="000000" w:themeColor="text1"/>
          <w:sz w:val="24"/>
          <w:szCs w:val="24"/>
        </w:rPr>
        <w:t xml:space="preserve">the </w:t>
      </w:r>
      <w:r w:rsidRPr="006F038B">
        <w:rPr>
          <w:rFonts w:ascii="Times New Roman" w:hAnsi="Times New Roman"/>
          <w:color w:val="000000" w:themeColor="text1"/>
          <w:sz w:val="24"/>
          <w:szCs w:val="24"/>
        </w:rPr>
        <w:t>department</w:t>
      </w:r>
      <w:r>
        <w:rPr>
          <w:rFonts w:ascii="Times New Roman" w:hAnsi="Times New Roman"/>
          <w:color w:val="000000" w:themeColor="text1"/>
          <w:sz w:val="24"/>
          <w:szCs w:val="24"/>
        </w:rPr>
        <w:t>’s</w:t>
      </w:r>
      <w:r w:rsidRPr="006F038B">
        <w:rPr>
          <w:rFonts w:ascii="Times New Roman" w:hAnsi="Times New Roman"/>
          <w:color w:val="000000" w:themeColor="text1"/>
          <w:sz w:val="24"/>
          <w:szCs w:val="24"/>
        </w:rPr>
        <w:t xml:space="preserve"> state and regional offices to allow them to be flexible and more responsive to issues</w:t>
      </w:r>
      <w:r>
        <w:rPr>
          <w:rFonts w:ascii="Times New Roman" w:hAnsi="Times New Roman"/>
          <w:color w:val="000000" w:themeColor="text1"/>
          <w:sz w:val="24"/>
          <w:szCs w:val="24"/>
        </w:rPr>
        <w:t>,</w:t>
      </w:r>
      <w:r w:rsidRPr="006F038B">
        <w:rPr>
          <w:rFonts w:ascii="Times New Roman" w:hAnsi="Times New Roman"/>
          <w:color w:val="000000" w:themeColor="text1"/>
          <w:sz w:val="24"/>
          <w:szCs w:val="24"/>
        </w:rPr>
        <w:t xml:space="preserve"> and build relationships with employers and workers in their states and territories. The number and location of the PLM Officers will be based on the number and size of recruitments of </w:t>
      </w:r>
      <w:r>
        <w:rPr>
          <w:rFonts w:ascii="Times New Roman" w:hAnsi="Times New Roman"/>
          <w:color w:val="000000" w:themeColor="text1"/>
          <w:sz w:val="24"/>
          <w:szCs w:val="24"/>
        </w:rPr>
        <w:t xml:space="preserve">the </w:t>
      </w:r>
      <w:r w:rsidRPr="006F038B">
        <w:rPr>
          <w:rFonts w:ascii="Times New Roman" w:hAnsi="Times New Roman"/>
          <w:color w:val="000000" w:themeColor="text1"/>
          <w:sz w:val="24"/>
          <w:szCs w:val="24"/>
        </w:rPr>
        <w:t>SWP workers</w:t>
      </w:r>
      <w:r>
        <w:rPr>
          <w:rFonts w:ascii="Times New Roman" w:hAnsi="Times New Roman"/>
          <w:color w:val="000000" w:themeColor="text1"/>
          <w:sz w:val="24"/>
          <w:szCs w:val="24"/>
        </w:rPr>
        <w:t>,</w:t>
      </w:r>
      <w:r w:rsidRPr="006F038B">
        <w:rPr>
          <w:rFonts w:ascii="Times New Roman" w:hAnsi="Times New Roman"/>
          <w:color w:val="000000" w:themeColor="text1"/>
          <w:sz w:val="24"/>
          <w:szCs w:val="24"/>
        </w:rPr>
        <w:t xml:space="preserve"> the geographical spread of the placements </w:t>
      </w:r>
      <w:r>
        <w:rPr>
          <w:rFonts w:ascii="Times New Roman" w:hAnsi="Times New Roman"/>
          <w:color w:val="000000" w:themeColor="text1"/>
          <w:sz w:val="24"/>
          <w:szCs w:val="24"/>
        </w:rPr>
        <w:t>and the number of Approved E</w:t>
      </w:r>
      <w:r w:rsidRPr="006F038B">
        <w:rPr>
          <w:rFonts w:ascii="Times New Roman" w:hAnsi="Times New Roman"/>
          <w:color w:val="000000" w:themeColor="text1"/>
          <w:sz w:val="24"/>
          <w:szCs w:val="24"/>
        </w:rPr>
        <w:t>mployers operating in the regions.</w:t>
      </w:r>
    </w:p>
    <w:p w14:paraId="41BE264B" w14:textId="77777777" w:rsidR="00860C3F" w:rsidRPr="006F038B" w:rsidRDefault="00860C3F" w:rsidP="00860C3F">
      <w:pPr>
        <w:tabs>
          <w:tab w:val="left" w:pos="936"/>
        </w:tabs>
        <w:rPr>
          <w:rFonts w:ascii="Times New Roman" w:hAnsi="Times New Roman"/>
          <w:color w:val="000000" w:themeColor="text1"/>
          <w:sz w:val="24"/>
          <w:szCs w:val="24"/>
        </w:rPr>
      </w:pPr>
      <w:r w:rsidRPr="006F038B">
        <w:rPr>
          <w:rFonts w:ascii="Times New Roman" w:hAnsi="Times New Roman"/>
          <w:color w:val="000000" w:themeColor="text1"/>
          <w:sz w:val="24"/>
          <w:szCs w:val="24"/>
        </w:rPr>
        <w:t> </w:t>
      </w:r>
    </w:p>
    <w:p w14:paraId="36CFD8CC" w14:textId="77777777" w:rsidR="00860C3F" w:rsidRPr="006F038B" w:rsidRDefault="00860C3F" w:rsidP="00860C3F">
      <w:pPr>
        <w:tabs>
          <w:tab w:val="left" w:pos="936"/>
        </w:tabs>
        <w:rPr>
          <w:rFonts w:ascii="Times New Roman" w:hAnsi="Times New Roman"/>
          <w:color w:val="000000" w:themeColor="text1"/>
          <w:sz w:val="24"/>
          <w:szCs w:val="24"/>
        </w:rPr>
      </w:pPr>
      <w:r w:rsidRPr="006F038B">
        <w:rPr>
          <w:rFonts w:ascii="Times New Roman" w:hAnsi="Times New Roman"/>
          <w:color w:val="000000" w:themeColor="text1"/>
          <w:sz w:val="24"/>
          <w:szCs w:val="24"/>
        </w:rPr>
        <w:t xml:space="preserve">The role of the PLM Officers will include: </w:t>
      </w:r>
    </w:p>
    <w:p w14:paraId="5EBCE3DF" w14:textId="77777777" w:rsidR="00860C3F" w:rsidRPr="00FD46E0" w:rsidRDefault="00860C3F" w:rsidP="00860C3F">
      <w:pPr>
        <w:pStyle w:val="ListParagraph"/>
        <w:numPr>
          <w:ilvl w:val="0"/>
          <w:numId w:val="42"/>
        </w:numPr>
        <w:ind w:right="57"/>
        <w:contextualSpacing w:val="0"/>
        <w:rPr>
          <w:rFonts w:cs="Times New Roman"/>
          <w:color w:val="000000"/>
          <w:szCs w:val="24"/>
        </w:rPr>
      </w:pPr>
      <w:r w:rsidRPr="00FD46E0">
        <w:rPr>
          <w:rFonts w:cs="Times New Roman"/>
          <w:color w:val="000000"/>
          <w:szCs w:val="24"/>
        </w:rPr>
        <w:t xml:space="preserve">attendance at the face-to-face arrival briefings held by </w:t>
      </w:r>
      <w:r>
        <w:rPr>
          <w:rFonts w:cs="Times New Roman"/>
          <w:color w:val="000000"/>
          <w:szCs w:val="24"/>
        </w:rPr>
        <w:t>A</w:t>
      </w:r>
      <w:r w:rsidRPr="00FD46E0">
        <w:rPr>
          <w:rFonts w:cs="Times New Roman"/>
          <w:color w:val="000000"/>
          <w:szCs w:val="24"/>
        </w:rPr>
        <w:t xml:space="preserve">pproved </w:t>
      </w:r>
      <w:r>
        <w:rPr>
          <w:rFonts w:cs="Times New Roman"/>
          <w:color w:val="000000"/>
          <w:szCs w:val="24"/>
        </w:rPr>
        <w:t>E</w:t>
      </w:r>
      <w:r w:rsidRPr="00FD46E0">
        <w:rPr>
          <w:rFonts w:cs="Times New Roman"/>
          <w:color w:val="000000"/>
          <w:szCs w:val="24"/>
        </w:rPr>
        <w:t xml:space="preserve">mployers with workers to communicate key messages and build rapport with workers;  </w:t>
      </w:r>
    </w:p>
    <w:p w14:paraId="0F7ED315" w14:textId="77777777" w:rsidR="00860C3F" w:rsidRPr="00FD46E0" w:rsidRDefault="00860C3F" w:rsidP="00860C3F">
      <w:pPr>
        <w:pStyle w:val="ListParagraph"/>
        <w:numPr>
          <w:ilvl w:val="0"/>
          <w:numId w:val="42"/>
        </w:numPr>
        <w:ind w:right="57"/>
        <w:contextualSpacing w:val="0"/>
        <w:rPr>
          <w:rFonts w:cs="Times New Roman"/>
          <w:color w:val="000000"/>
          <w:szCs w:val="24"/>
        </w:rPr>
      </w:pPr>
      <w:r w:rsidRPr="00FD46E0">
        <w:rPr>
          <w:rFonts w:cs="Times New Roman"/>
          <w:color w:val="000000"/>
          <w:szCs w:val="24"/>
        </w:rPr>
        <w:t>expanding and complementing the role of the current SWP departmental contract managers by undertaking additional monitoring visits, including checking</w:t>
      </w:r>
      <w:r>
        <w:rPr>
          <w:rFonts w:cs="Times New Roman"/>
          <w:color w:val="000000"/>
          <w:szCs w:val="24"/>
        </w:rPr>
        <w:t xml:space="preserve"> </w:t>
      </w:r>
      <w:r w:rsidRPr="00FD46E0">
        <w:rPr>
          <w:rFonts w:cs="Times New Roman"/>
          <w:color w:val="000000"/>
          <w:szCs w:val="24"/>
        </w:rPr>
        <w:t xml:space="preserve">in with workers to ensure they are being treated fairly, ad hoc payslip checks and checking that accommodation meets </w:t>
      </w:r>
      <w:r>
        <w:rPr>
          <w:rFonts w:cs="Times New Roman"/>
          <w:color w:val="000000"/>
          <w:szCs w:val="24"/>
        </w:rPr>
        <w:t xml:space="preserve">the </w:t>
      </w:r>
      <w:r w:rsidRPr="00FD46E0">
        <w:rPr>
          <w:rFonts w:cs="Times New Roman"/>
          <w:color w:val="000000"/>
          <w:szCs w:val="24"/>
        </w:rPr>
        <w:t xml:space="preserve">program standards;  </w:t>
      </w:r>
    </w:p>
    <w:p w14:paraId="0F7483C8" w14:textId="77777777" w:rsidR="00860C3F" w:rsidRPr="00FD46E0" w:rsidRDefault="00860C3F" w:rsidP="00860C3F">
      <w:pPr>
        <w:pStyle w:val="ListParagraph"/>
        <w:numPr>
          <w:ilvl w:val="0"/>
          <w:numId w:val="42"/>
        </w:numPr>
        <w:ind w:right="57"/>
        <w:contextualSpacing w:val="0"/>
        <w:rPr>
          <w:rFonts w:cs="Times New Roman"/>
          <w:color w:val="000000"/>
          <w:szCs w:val="24"/>
        </w:rPr>
      </w:pPr>
      <w:r w:rsidRPr="00FD46E0">
        <w:rPr>
          <w:rFonts w:cs="Times New Roman"/>
          <w:color w:val="000000"/>
          <w:szCs w:val="24"/>
        </w:rPr>
        <w:t xml:space="preserve">regular welfare checks with </w:t>
      </w:r>
      <w:r>
        <w:rPr>
          <w:rFonts w:cs="Times New Roman"/>
          <w:color w:val="000000"/>
          <w:szCs w:val="24"/>
        </w:rPr>
        <w:t xml:space="preserve">the </w:t>
      </w:r>
      <w:r w:rsidRPr="00FD46E0">
        <w:rPr>
          <w:rFonts w:cs="Times New Roman"/>
          <w:color w:val="000000"/>
          <w:szCs w:val="24"/>
        </w:rPr>
        <w:t xml:space="preserve">SWP workers; </w:t>
      </w:r>
    </w:p>
    <w:p w14:paraId="03F03726" w14:textId="77777777" w:rsidR="00860C3F" w:rsidRPr="00FD46E0" w:rsidRDefault="00860C3F" w:rsidP="00860C3F">
      <w:pPr>
        <w:pStyle w:val="ListParagraph"/>
        <w:numPr>
          <w:ilvl w:val="0"/>
          <w:numId w:val="42"/>
        </w:numPr>
        <w:ind w:right="57"/>
        <w:contextualSpacing w:val="0"/>
        <w:rPr>
          <w:rFonts w:cs="Times New Roman"/>
          <w:color w:val="000000"/>
          <w:szCs w:val="24"/>
        </w:rPr>
      </w:pPr>
      <w:r w:rsidRPr="00FD46E0">
        <w:rPr>
          <w:rFonts w:cs="Times New Roman"/>
          <w:color w:val="000000"/>
          <w:szCs w:val="24"/>
        </w:rPr>
        <w:t xml:space="preserve">troubleshooting of issues, working with </w:t>
      </w:r>
      <w:r>
        <w:rPr>
          <w:rFonts w:cs="Times New Roman"/>
          <w:color w:val="000000"/>
          <w:szCs w:val="24"/>
        </w:rPr>
        <w:t>A</w:t>
      </w:r>
      <w:r w:rsidRPr="00FD46E0">
        <w:rPr>
          <w:rFonts w:cs="Times New Roman"/>
          <w:color w:val="000000"/>
          <w:szCs w:val="24"/>
        </w:rPr>
        <w:t>ppr</w:t>
      </w:r>
      <w:r>
        <w:rPr>
          <w:rFonts w:cs="Times New Roman"/>
          <w:color w:val="000000"/>
          <w:szCs w:val="24"/>
        </w:rPr>
        <w:t>oved E</w:t>
      </w:r>
      <w:r w:rsidRPr="00FD46E0">
        <w:rPr>
          <w:rFonts w:cs="Times New Roman"/>
          <w:color w:val="000000"/>
          <w:szCs w:val="24"/>
        </w:rPr>
        <w:t xml:space="preserve">mployers and workers to find solutions and prevent issues escalating; </w:t>
      </w:r>
    </w:p>
    <w:p w14:paraId="318055B7" w14:textId="77777777" w:rsidR="00860C3F" w:rsidRPr="00FD46E0" w:rsidRDefault="00860C3F" w:rsidP="00860C3F">
      <w:pPr>
        <w:pStyle w:val="ListParagraph"/>
        <w:numPr>
          <w:ilvl w:val="0"/>
          <w:numId w:val="42"/>
        </w:numPr>
        <w:ind w:right="57"/>
        <w:contextualSpacing w:val="0"/>
        <w:rPr>
          <w:rFonts w:cs="Times New Roman"/>
          <w:color w:val="000000"/>
          <w:szCs w:val="24"/>
        </w:rPr>
      </w:pPr>
      <w:r w:rsidRPr="00FD46E0">
        <w:rPr>
          <w:rFonts w:cs="Times New Roman"/>
          <w:color w:val="000000"/>
          <w:szCs w:val="24"/>
        </w:rPr>
        <w:t xml:space="preserve">following up on allegations or concerns raised by </w:t>
      </w:r>
      <w:r>
        <w:rPr>
          <w:rFonts w:cs="Times New Roman"/>
          <w:color w:val="000000"/>
          <w:szCs w:val="24"/>
        </w:rPr>
        <w:t xml:space="preserve">the </w:t>
      </w:r>
      <w:r w:rsidRPr="00FD46E0">
        <w:rPr>
          <w:rFonts w:cs="Times New Roman"/>
          <w:color w:val="000000"/>
          <w:szCs w:val="24"/>
        </w:rPr>
        <w:t xml:space="preserve">SWP workers or members of the community; </w:t>
      </w:r>
    </w:p>
    <w:p w14:paraId="23652E11" w14:textId="77777777" w:rsidR="00860C3F" w:rsidRPr="00FD46E0" w:rsidRDefault="00860C3F" w:rsidP="00860C3F">
      <w:pPr>
        <w:pStyle w:val="ListParagraph"/>
        <w:numPr>
          <w:ilvl w:val="0"/>
          <w:numId w:val="42"/>
        </w:numPr>
        <w:ind w:right="57"/>
        <w:contextualSpacing w:val="0"/>
        <w:rPr>
          <w:rFonts w:cs="Times New Roman"/>
          <w:color w:val="000000"/>
          <w:szCs w:val="24"/>
        </w:rPr>
      </w:pPr>
      <w:r w:rsidRPr="00FD46E0">
        <w:rPr>
          <w:rFonts w:cs="Times New Roman"/>
          <w:color w:val="000000"/>
          <w:szCs w:val="24"/>
        </w:rPr>
        <w:t>liaising w</w:t>
      </w:r>
      <w:r>
        <w:rPr>
          <w:rFonts w:cs="Times New Roman"/>
          <w:color w:val="000000"/>
          <w:szCs w:val="24"/>
        </w:rPr>
        <w:t>ith local communities, councils</w:t>
      </w:r>
      <w:r w:rsidRPr="00FD46E0">
        <w:rPr>
          <w:rFonts w:cs="Times New Roman"/>
          <w:color w:val="000000"/>
          <w:szCs w:val="24"/>
        </w:rPr>
        <w:t xml:space="preserve"> and stakeholders to promote and build an understanding of the program and nurture relationships with Pacific workers, and work through any concerns or issues;  </w:t>
      </w:r>
    </w:p>
    <w:p w14:paraId="7BA4FAD1" w14:textId="77777777" w:rsidR="00860C3F" w:rsidRPr="00FD46E0" w:rsidRDefault="00860C3F" w:rsidP="00860C3F">
      <w:pPr>
        <w:pStyle w:val="ListParagraph"/>
        <w:numPr>
          <w:ilvl w:val="0"/>
          <w:numId w:val="42"/>
        </w:numPr>
        <w:ind w:right="57"/>
        <w:contextualSpacing w:val="0"/>
        <w:rPr>
          <w:rFonts w:cs="Times New Roman"/>
          <w:color w:val="000000"/>
          <w:szCs w:val="24"/>
        </w:rPr>
      </w:pPr>
      <w:r w:rsidRPr="00FD46E0">
        <w:rPr>
          <w:rFonts w:cs="Times New Roman"/>
          <w:color w:val="000000"/>
          <w:szCs w:val="24"/>
        </w:rPr>
        <w:t xml:space="preserve">identifying and promulgating best practice, including linking </w:t>
      </w:r>
      <w:r>
        <w:rPr>
          <w:rFonts w:cs="Times New Roman"/>
          <w:color w:val="000000"/>
          <w:szCs w:val="24"/>
        </w:rPr>
        <w:t>A</w:t>
      </w:r>
      <w:r w:rsidRPr="00FD46E0">
        <w:rPr>
          <w:rFonts w:cs="Times New Roman"/>
          <w:color w:val="000000"/>
          <w:szCs w:val="24"/>
        </w:rPr>
        <w:t xml:space="preserve">pproved </w:t>
      </w:r>
      <w:r>
        <w:rPr>
          <w:rFonts w:cs="Times New Roman"/>
          <w:color w:val="000000"/>
          <w:szCs w:val="24"/>
        </w:rPr>
        <w:t>E</w:t>
      </w:r>
      <w:r w:rsidRPr="00FD46E0">
        <w:rPr>
          <w:rFonts w:cs="Times New Roman"/>
          <w:color w:val="000000"/>
          <w:szCs w:val="24"/>
        </w:rPr>
        <w:t xml:space="preserve">mployers together to identify joint solutions to shared issues; </w:t>
      </w:r>
    </w:p>
    <w:p w14:paraId="0337306C" w14:textId="77777777" w:rsidR="00860C3F" w:rsidRPr="00FD46E0" w:rsidRDefault="00860C3F" w:rsidP="00860C3F">
      <w:pPr>
        <w:pStyle w:val="ListParagraph"/>
        <w:numPr>
          <w:ilvl w:val="0"/>
          <w:numId w:val="42"/>
        </w:numPr>
        <w:ind w:right="57"/>
        <w:contextualSpacing w:val="0"/>
        <w:rPr>
          <w:rFonts w:cs="Times New Roman"/>
          <w:color w:val="000000"/>
          <w:szCs w:val="24"/>
        </w:rPr>
      </w:pPr>
      <w:r w:rsidRPr="00FD46E0">
        <w:rPr>
          <w:rFonts w:cs="Times New Roman"/>
          <w:color w:val="000000"/>
          <w:szCs w:val="24"/>
        </w:rPr>
        <w:t xml:space="preserve">liaising with </w:t>
      </w:r>
      <w:r>
        <w:rPr>
          <w:rFonts w:cs="Times New Roman"/>
          <w:color w:val="000000"/>
          <w:szCs w:val="24"/>
        </w:rPr>
        <w:t>the SWP c</w:t>
      </w:r>
      <w:r w:rsidRPr="00FD46E0">
        <w:rPr>
          <w:rFonts w:cs="Times New Roman"/>
          <w:color w:val="000000"/>
          <w:szCs w:val="24"/>
        </w:rPr>
        <w:t xml:space="preserve">ontract </w:t>
      </w:r>
      <w:r>
        <w:rPr>
          <w:rFonts w:cs="Times New Roman"/>
          <w:color w:val="000000"/>
          <w:szCs w:val="24"/>
        </w:rPr>
        <w:t>m</w:t>
      </w:r>
      <w:r w:rsidRPr="00FD46E0">
        <w:rPr>
          <w:rFonts w:cs="Times New Roman"/>
          <w:color w:val="000000"/>
          <w:szCs w:val="24"/>
        </w:rPr>
        <w:t xml:space="preserve">anagers on day-to-day issues and working closely on joint program assurance activities; </w:t>
      </w:r>
    </w:p>
    <w:p w14:paraId="77494286" w14:textId="77777777" w:rsidR="00860C3F" w:rsidRPr="00FD46E0" w:rsidRDefault="00860C3F" w:rsidP="00860C3F">
      <w:pPr>
        <w:pStyle w:val="ListParagraph"/>
        <w:numPr>
          <w:ilvl w:val="0"/>
          <w:numId w:val="42"/>
        </w:numPr>
        <w:ind w:right="57"/>
        <w:contextualSpacing w:val="0"/>
        <w:rPr>
          <w:rFonts w:cs="Times New Roman"/>
          <w:color w:val="000000"/>
          <w:szCs w:val="24"/>
        </w:rPr>
      </w:pPr>
      <w:r w:rsidRPr="00FD46E0">
        <w:rPr>
          <w:rFonts w:cs="Times New Roman"/>
          <w:color w:val="000000"/>
          <w:szCs w:val="24"/>
        </w:rPr>
        <w:lastRenderedPageBreak/>
        <w:t xml:space="preserve">working with the Pacific Labour Facility and providing support to </w:t>
      </w:r>
      <w:r>
        <w:rPr>
          <w:rFonts w:cs="Times New Roman"/>
          <w:color w:val="000000"/>
          <w:szCs w:val="24"/>
        </w:rPr>
        <w:t>the PLS</w:t>
      </w:r>
      <w:r w:rsidRPr="00FD46E0">
        <w:rPr>
          <w:rFonts w:cs="Times New Roman"/>
          <w:color w:val="000000"/>
          <w:szCs w:val="24"/>
        </w:rPr>
        <w:t xml:space="preserve"> workers (</w:t>
      </w:r>
      <w:r>
        <w:rPr>
          <w:rFonts w:cs="Times New Roman"/>
          <w:color w:val="000000"/>
          <w:szCs w:val="24"/>
        </w:rPr>
        <w:t>for example,</w:t>
      </w:r>
      <w:r w:rsidRPr="00FD46E0">
        <w:rPr>
          <w:rFonts w:cs="Times New Roman"/>
          <w:color w:val="000000"/>
          <w:szCs w:val="24"/>
        </w:rPr>
        <w:t xml:space="preserve"> when a rapid response is required, and a PLM Officer is located in close proximity to the worksite/worker in need of immediate support); </w:t>
      </w:r>
      <w:r>
        <w:rPr>
          <w:rFonts w:cs="Times New Roman"/>
          <w:color w:val="000000"/>
          <w:szCs w:val="24"/>
        </w:rPr>
        <w:t>and</w:t>
      </w:r>
    </w:p>
    <w:p w14:paraId="5089FDBA" w14:textId="77777777" w:rsidR="00860C3F" w:rsidRPr="00FD46E0" w:rsidRDefault="00860C3F" w:rsidP="00860C3F">
      <w:pPr>
        <w:pStyle w:val="ListParagraph"/>
        <w:numPr>
          <w:ilvl w:val="0"/>
          <w:numId w:val="42"/>
        </w:numPr>
        <w:ind w:right="57"/>
        <w:contextualSpacing w:val="0"/>
        <w:rPr>
          <w:rFonts w:cs="Times New Roman"/>
          <w:color w:val="000000"/>
          <w:szCs w:val="24"/>
        </w:rPr>
      </w:pPr>
      <w:r w:rsidRPr="00FD46E0">
        <w:rPr>
          <w:rFonts w:cs="Times New Roman"/>
          <w:color w:val="000000"/>
          <w:szCs w:val="24"/>
        </w:rPr>
        <w:t xml:space="preserve">liaising with members of the </w:t>
      </w:r>
      <w:r>
        <w:rPr>
          <w:rFonts w:cs="Times New Roman"/>
          <w:color w:val="000000"/>
          <w:szCs w:val="24"/>
        </w:rPr>
        <w:t>Community Connections p</w:t>
      </w:r>
      <w:r w:rsidRPr="00FD46E0">
        <w:rPr>
          <w:rFonts w:cs="Times New Roman"/>
          <w:color w:val="000000"/>
          <w:szCs w:val="24"/>
        </w:rPr>
        <w:t>roject and attending community and recreational events arranged for workers.</w:t>
      </w:r>
    </w:p>
    <w:p w14:paraId="58D79A77" w14:textId="77777777" w:rsidR="00860C3F" w:rsidRDefault="00860C3F" w:rsidP="00860C3F">
      <w:pPr>
        <w:rPr>
          <w:rFonts w:ascii="Times New Roman" w:hAnsi="Times New Roman"/>
          <w:color w:val="000000" w:themeColor="text1"/>
          <w:sz w:val="24"/>
          <w:szCs w:val="24"/>
        </w:rPr>
      </w:pPr>
    </w:p>
    <w:p w14:paraId="624DB586" w14:textId="77777777" w:rsidR="00860C3F" w:rsidRPr="006F038B" w:rsidRDefault="00860C3F" w:rsidP="00860C3F">
      <w:pPr>
        <w:rPr>
          <w:rFonts w:ascii="Times New Roman" w:hAnsi="Times New Roman"/>
          <w:color w:val="000000" w:themeColor="text1"/>
          <w:sz w:val="24"/>
          <w:szCs w:val="24"/>
        </w:rPr>
      </w:pPr>
      <w:r>
        <w:rPr>
          <w:rFonts w:ascii="Times New Roman" w:hAnsi="Times New Roman"/>
          <w:color w:val="000000" w:themeColor="text1"/>
          <w:sz w:val="24"/>
          <w:szCs w:val="24"/>
        </w:rPr>
        <w:t>The PLS complements the SWP. It helps meet business needs across all sectors in rural and regional Australia. T</w:t>
      </w:r>
      <w:r w:rsidRPr="006F038B">
        <w:rPr>
          <w:rFonts w:ascii="Times New Roman" w:hAnsi="Times New Roman"/>
          <w:color w:val="000000" w:themeColor="text1"/>
          <w:sz w:val="24"/>
          <w:szCs w:val="24"/>
        </w:rPr>
        <w:t xml:space="preserve">he </w:t>
      </w:r>
      <w:r>
        <w:rPr>
          <w:rFonts w:ascii="Times New Roman" w:hAnsi="Times New Roman"/>
          <w:color w:val="000000" w:themeColor="text1"/>
          <w:sz w:val="24"/>
          <w:szCs w:val="24"/>
        </w:rPr>
        <w:t>PLS</w:t>
      </w:r>
      <w:r w:rsidRPr="006F038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is delivered by the Pacific Labour Facility </w:t>
      </w:r>
      <w:r w:rsidRPr="006F038B">
        <w:rPr>
          <w:rFonts w:ascii="Times New Roman" w:hAnsi="Times New Roman"/>
          <w:color w:val="000000" w:themeColor="text1"/>
          <w:sz w:val="24"/>
          <w:szCs w:val="24"/>
        </w:rPr>
        <w:t>on behalf of the Department of Foreign Affairs and Trade and managed by the Palladium Group.</w:t>
      </w:r>
      <w:r>
        <w:rPr>
          <w:rFonts w:ascii="Times New Roman" w:hAnsi="Times New Roman"/>
          <w:color w:val="000000" w:themeColor="text1"/>
          <w:sz w:val="24"/>
          <w:szCs w:val="24"/>
        </w:rPr>
        <w:t xml:space="preserve"> Further information about the PLS is available at </w:t>
      </w:r>
      <w:r w:rsidRPr="00DF1676">
        <w:rPr>
          <w:rFonts w:ascii="Times New Roman" w:hAnsi="Times New Roman"/>
          <w:color w:val="000000" w:themeColor="text1"/>
          <w:sz w:val="24"/>
          <w:szCs w:val="24"/>
          <w:u w:val="single"/>
        </w:rPr>
        <w:t>https://www.dfat.gov.au/geo/pacific/engagement/pacific-labour-mobility</w:t>
      </w:r>
      <w:r>
        <w:rPr>
          <w:rFonts w:ascii="Times New Roman" w:hAnsi="Times New Roman"/>
          <w:color w:val="000000" w:themeColor="text1"/>
          <w:sz w:val="24"/>
          <w:szCs w:val="24"/>
        </w:rPr>
        <w:t>.</w:t>
      </w:r>
    </w:p>
    <w:p w14:paraId="5A39BDE7" w14:textId="77777777" w:rsidR="00860C3F" w:rsidRDefault="00860C3F" w:rsidP="00860C3F">
      <w:pPr>
        <w:rPr>
          <w:rFonts w:ascii="Times New Roman" w:hAnsi="Times New Roman"/>
          <w:iCs/>
          <w:sz w:val="24"/>
          <w:szCs w:val="24"/>
        </w:rPr>
      </w:pPr>
    </w:p>
    <w:p w14:paraId="74373A28" w14:textId="77777777" w:rsidR="00860C3F" w:rsidRPr="00A851AA" w:rsidRDefault="00860C3F" w:rsidP="00860C3F">
      <w:pPr>
        <w:tabs>
          <w:tab w:val="left" w:pos="936"/>
        </w:tabs>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Community Connections</w:t>
      </w:r>
      <w:r w:rsidRPr="00A851AA">
        <w:rPr>
          <w:rFonts w:ascii="Times New Roman" w:hAnsi="Times New Roman"/>
          <w:i/>
          <w:color w:val="000000" w:themeColor="text1"/>
          <w:sz w:val="24"/>
          <w:szCs w:val="24"/>
          <w:u w:val="single"/>
        </w:rPr>
        <w:t xml:space="preserve"> </w:t>
      </w:r>
      <w:r>
        <w:rPr>
          <w:rFonts w:ascii="Times New Roman" w:hAnsi="Times New Roman"/>
          <w:i/>
          <w:color w:val="000000" w:themeColor="text1"/>
          <w:sz w:val="24"/>
          <w:szCs w:val="24"/>
          <w:u w:val="single"/>
        </w:rPr>
        <w:t>p</w:t>
      </w:r>
      <w:r w:rsidRPr="00A851AA">
        <w:rPr>
          <w:rFonts w:ascii="Times New Roman" w:hAnsi="Times New Roman"/>
          <w:i/>
          <w:color w:val="000000" w:themeColor="text1"/>
          <w:sz w:val="24"/>
          <w:szCs w:val="24"/>
          <w:u w:val="single"/>
        </w:rPr>
        <w:t xml:space="preserve">roject </w:t>
      </w:r>
    </w:p>
    <w:p w14:paraId="05BEF850" w14:textId="77777777" w:rsidR="00860C3F" w:rsidRDefault="00860C3F" w:rsidP="00860C3F">
      <w:pPr>
        <w:rPr>
          <w:rFonts w:ascii="Times New Roman" w:hAnsi="Times New Roman"/>
          <w:color w:val="000000" w:themeColor="text1"/>
          <w:sz w:val="24"/>
          <w:szCs w:val="24"/>
        </w:rPr>
      </w:pPr>
    </w:p>
    <w:p w14:paraId="0A48B835" w14:textId="77777777" w:rsidR="00860C3F" w:rsidRDefault="00860C3F" w:rsidP="00860C3F">
      <w:pPr>
        <w:rPr>
          <w:rFonts w:ascii="Times New Roman" w:hAnsi="Times New Roman"/>
          <w:color w:val="000000" w:themeColor="text1"/>
          <w:sz w:val="24"/>
          <w:szCs w:val="24"/>
        </w:rPr>
      </w:pPr>
      <w:r w:rsidRPr="00E935A6">
        <w:rPr>
          <w:rFonts w:ascii="Times New Roman" w:hAnsi="Times New Roman"/>
          <w:color w:val="000000" w:themeColor="text1"/>
          <w:sz w:val="24"/>
          <w:szCs w:val="24"/>
        </w:rPr>
        <w:t>The community sector in Australia is a key partner in the delivery of the SWP. Strong connections between Pacific workers and local communities have shown to be important in the welfare of workers. </w:t>
      </w:r>
      <w:r>
        <w:rPr>
          <w:rFonts w:ascii="Times New Roman" w:hAnsi="Times New Roman"/>
          <w:color w:val="000000" w:themeColor="text1"/>
          <w:sz w:val="24"/>
          <w:szCs w:val="24"/>
        </w:rPr>
        <w:t>The</w:t>
      </w:r>
      <w:r w:rsidRPr="00E935A6">
        <w:rPr>
          <w:rFonts w:ascii="Times New Roman" w:hAnsi="Times New Roman"/>
          <w:color w:val="000000" w:themeColor="text1"/>
          <w:sz w:val="24"/>
          <w:szCs w:val="24"/>
        </w:rPr>
        <w:t xml:space="preserve"> SWP employers are currently obliged to connect Pacific workers with local community groups but there are varying capabilities and practices. The </w:t>
      </w:r>
      <w:r>
        <w:rPr>
          <w:rFonts w:ascii="Times New Roman" w:hAnsi="Times New Roman"/>
          <w:color w:val="000000" w:themeColor="text1"/>
          <w:sz w:val="24"/>
          <w:szCs w:val="24"/>
        </w:rPr>
        <w:t>Community Connections p</w:t>
      </w:r>
      <w:r w:rsidRPr="00E935A6">
        <w:rPr>
          <w:rFonts w:ascii="Times New Roman" w:hAnsi="Times New Roman"/>
          <w:color w:val="000000" w:themeColor="text1"/>
          <w:sz w:val="24"/>
          <w:szCs w:val="24"/>
        </w:rPr>
        <w:t>roject will help improve the consistency of support and the integrity of the SWP and build important connections.  </w:t>
      </w:r>
    </w:p>
    <w:p w14:paraId="22CF8400" w14:textId="77777777" w:rsidR="00860C3F" w:rsidRPr="00E935A6" w:rsidRDefault="00860C3F" w:rsidP="00860C3F">
      <w:pPr>
        <w:rPr>
          <w:rFonts w:ascii="Times New Roman" w:hAnsi="Times New Roman"/>
          <w:color w:val="000000" w:themeColor="text1"/>
          <w:sz w:val="24"/>
          <w:szCs w:val="24"/>
        </w:rPr>
      </w:pPr>
    </w:p>
    <w:p w14:paraId="0E07B710" w14:textId="77777777" w:rsidR="00860C3F" w:rsidRDefault="00860C3F" w:rsidP="00860C3F">
      <w:pPr>
        <w:rPr>
          <w:rFonts w:ascii="Times New Roman" w:hAnsi="Times New Roman"/>
          <w:color w:val="000000" w:themeColor="text1"/>
          <w:sz w:val="24"/>
          <w:szCs w:val="24"/>
        </w:rPr>
      </w:pPr>
      <w:r>
        <w:rPr>
          <w:rFonts w:ascii="Times New Roman" w:hAnsi="Times New Roman"/>
          <w:color w:val="000000" w:themeColor="text1"/>
          <w:sz w:val="24"/>
          <w:szCs w:val="24"/>
        </w:rPr>
        <w:t>Funding of $1</w:t>
      </w:r>
      <w:r w:rsidRPr="00E935A6">
        <w:rPr>
          <w:rFonts w:ascii="Times New Roman" w:hAnsi="Times New Roman"/>
          <w:color w:val="000000" w:themeColor="text1"/>
          <w:sz w:val="24"/>
          <w:szCs w:val="24"/>
        </w:rPr>
        <w:t xml:space="preserve"> million over three years </w:t>
      </w:r>
      <w:r>
        <w:rPr>
          <w:rFonts w:ascii="Times New Roman" w:hAnsi="Times New Roman"/>
          <w:color w:val="000000" w:themeColor="text1"/>
          <w:sz w:val="24"/>
          <w:szCs w:val="24"/>
        </w:rPr>
        <w:t xml:space="preserve">from 2020-21 </w:t>
      </w:r>
      <w:r w:rsidRPr="00E935A6">
        <w:rPr>
          <w:rFonts w:ascii="Times New Roman" w:hAnsi="Times New Roman"/>
          <w:color w:val="000000" w:themeColor="text1"/>
          <w:sz w:val="24"/>
          <w:szCs w:val="24"/>
        </w:rPr>
        <w:t>will be provided through a procurement process to one or more not-for-profit organisations. This will enable that organisation/s to generate strong involvement of existing local community and support groups</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 including the Pacific diaspora</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 to support Pacific workers. </w:t>
      </w:r>
    </w:p>
    <w:p w14:paraId="5906AA17" w14:textId="77777777" w:rsidR="00860C3F" w:rsidRPr="00E935A6" w:rsidRDefault="00860C3F" w:rsidP="00860C3F">
      <w:pPr>
        <w:rPr>
          <w:rFonts w:ascii="Times New Roman" w:hAnsi="Times New Roman"/>
          <w:color w:val="000000" w:themeColor="text1"/>
          <w:sz w:val="24"/>
          <w:szCs w:val="24"/>
        </w:rPr>
      </w:pPr>
    </w:p>
    <w:p w14:paraId="6FB826EB" w14:textId="77777777" w:rsidR="00860C3F" w:rsidRDefault="00860C3F" w:rsidP="00860C3F">
      <w:pPr>
        <w:rPr>
          <w:rFonts w:ascii="Times New Roman" w:hAnsi="Times New Roman"/>
          <w:color w:val="000000" w:themeColor="text1"/>
          <w:sz w:val="24"/>
          <w:szCs w:val="24"/>
        </w:rPr>
      </w:pPr>
      <w:r w:rsidRPr="00E935A6">
        <w:rPr>
          <w:rFonts w:ascii="Times New Roman" w:hAnsi="Times New Roman"/>
          <w:color w:val="000000" w:themeColor="text1"/>
          <w:sz w:val="24"/>
          <w:szCs w:val="24"/>
        </w:rPr>
        <w:t xml:space="preserve">Small local events will be organised, such as social, sporting and cultural events outside of work hours to build inclusion and cultural awareness and foster good relations. This will provide Pacific workers </w:t>
      </w:r>
      <w:r>
        <w:rPr>
          <w:rFonts w:ascii="Times New Roman" w:hAnsi="Times New Roman"/>
          <w:color w:val="000000" w:themeColor="text1"/>
          <w:sz w:val="24"/>
          <w:szCs w:val="24"/>
        </w:rPr>
        <w:t xml:space="preserve">who are participating in the SWP </w:t>
      </w:r>
      <w:r w:rsidRPr="00E935A6">
        <w:rPr>
          <w:rFonts w:ascii="Times New Roman" w:hAnsi="Times New Roman"/>
          <w:color w:val="000000" w:themeColor="text1"/>
          <w:sz w:val="24"/>
          <w:szCs w:val="24"/>
        </w:rPr>
        <w:t xml:space="preserve">with additional links and contact points in their local communities where they are working. </w:t>
      </w:r>
      <w:r>
        <w:rPr>
          <w:rFonts w:ascii="Times New Roman" w:hAnsi="Times New Roman"/>
          <w:color w:val="000000" w:themeColor="text1"/>
          <w:sz w:val="24"/>
          <w:szCs w:val="24"/>
        </w:rPr>
        <w:t xml:space="preserve">The SWP </w:t>
      </w:r>
      <w:r w:rsidRPr="00E935A6">
        <w:rPr>
          <w:rFonts w:ascii="Times New Roman" w:hAnsi="Times New Roman"/>
          <w:color w:val="000000" w:themeColor="text1"/>
          <w:sz w:val="24"/>
          <w:szCs w:val="24"/>
        </w:rPr>
        <w:t>workers will be invited to participate in such events and activities at their own discretion, although it is expected that the not-for-profit organisation/s will canvas</w:t>
      </w:r>
      <w:r>
        <w:rPr>
          <w:rFonts w:ascii="Times New Roman" w:hAnsi="Times New Roman"/>
          <w:color w:val="000000" w:themeColor="text1"/>
          <w:sz w:val="24"/>
          <w:szCs w:val="24"/>
        </w:rPr>
        <w:t>s</w:t>
      </w:r>
      <w:r w:rsidRPr="00E935A6">
        <w:rPr>
          <w:rFonts w:ascii="Times New Roman" w:hAnsi="Times New Roman"/>
          <w:color w:val="000000" w:themeColor="text1"/>
          <w:sz w:val="24"/>
          <w:szCs w:val="24"/>
        </w:rPr>
        <w:t xml:space="preserve"> support from the local workers and communities prior to organising events.  </w:t>
      </w:r>
    </w:p>
    <w:p w14:paraId="06B9FB2A" w14:textId="77777777" w:rsidR="00860C3F" w:rsidRPr="00E935A6" w:rsidRDefault="00860C3F" w:rsidP="00860C3F">
      <w:pPr>
        <w:rPr>
          <w:rFonts w:ascii="Times New Roman" w:hAnsi="Times New Roman"/>
          <w:color w:val="000000" w:themeColor="text1"/>
          <w:sz w:val="24"/>
          <w:szCs w:val="24"/>
        </w:rPr>
      </w:pPr>
    </w:p>
    <w:p w14:paraId="27E51C0D" w14:textId="77777777" w:rsidR="00860C3F" w:rsidRDefault="00860C3F" w:rsidP="00860C3F">
      <w:pPr>
        <w:rPr>
          <w:rFonts w:ascii="Times New Roman" w:hAnsi="Times New Roman"/>
          <w:color w:val="000000" w:themeColor="text1"/>
          <w:sz w:val="24"/>
          <w:szCs w:val="24"/>
        </w:rPr>
      </w:pPr>
      <w:r w:rsidRPr="00E935A6">
        <w:rPr>
          <w:rFonts w:ascii="Times New Roman" w:hAnsi="Times New Roman"/>
          <w:color w:val="000000" w:themeColor="text1"/>
          <w:sz w:val="24"/>
          <w:szCs w:val="24"/>
        </w:rPr>
        <w:t xml:space="preserve">Community groups would be assisted by additional understanding of and engagement with </w:t>
      </w:r>
      <w:r>
        <w:rPr>
          <w:rFonts w:ascii="Times New Roman" w:hAnsi="Times New Roman"/>
          <w:color w:val="000000" w:themeColor="text1"/>
          <w:sz w:val="24"/>
          <w:szCs w:val="24"/>
        </w:rPr>
        <w:t xml:space="preserve">the SWP </w:t>
      </w:r>
      <w:r w:rsidRPr="00E935A6">
        <w:rPr>
          <w:rFonts w:ascii="Times New Roman" w:hAnsi="Times New Roman"/>
          <w:color w:val="000000" w:themeColor="text1"/>
          <w:sz w:val="24"/>
          <w:szCs w:val="24"/>
        </w:rPr>
        <w:t>workers and the sharing of cultures and community involvement. </w:t>
      </w:r>
      <w:r>
        <w:rPr>
          <w:rFonts w:ascii="Times New Roman" w:hAnsi="Times New Roman"/>
          <w:color w:val="000000" w:themeColor="text1"/>
          <w:sz w:val="24"/>
          <w:szCs w:val="24"/>
        </w:rPr>
        <w:t>The</w:t>
      </w:r>
      <w:r w:rsidRPr="00E935A6">
        <w:rPr>
          <w:rFonts w:ascii="Times New Roman" w:hAnsi="Times New Roman"/>
          <w:color w:val="000000" w:themeColor="text1"/>
          <w:sz w:val="24"/>
          <w:szCs w:val="24"/>
        </w:rPr>
        <w:t> workers would also be supported by non-work contact points with local community groups, such as churches</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 sporting groups and other groups of Pacific workers in the region to help identify and discuss potential concerns. </w:t>
      </w:r>
    </w:p>
    <w:p w14:paraId="1B71F57E" w14:textId="77777777" w:rsidR="00860C3F" w:rsidRPr="00E935A6" w:rsidRDefault="00860C3F" w:rsidP="00860C3F">
      <w:pPr>
        <w:rPr>
          <w:rFonts w:ascii="Times New Roman" w:hAnsi="Times New Roman"/>
          <w:color w:val="000000" w:themeColor="text1"/>
          <w:sz w:val="24"/>
          <w:szCs w:val="24"/>
        </w:rPr>
      </w:pPr>
    </w:p>
    <w:p w14:paraId="7DE3A349" w14:textId="77777777" w:rsidR="00860C3F" w:rsidRDefault="00860C3F" w:rsidP="00860C3F">
      <w:pPr>
        <w:rPr>
          <w:rFonts w:ascii="Times New Roman" w:hAnsi="Times New Roman"/>
          <w:color w:val="000000" w:themeColor="text1"/>
          <w:sz w:val="24"/>
          <w:szCs w:val="24"/>
        </w:rPr>
      </w:pPr>
      <w:r w:rsidRPr="00E935A6">
        <w:rPr>
          <w:rFonts w:ascii="Times New Roman" w:hAnsi="Times New Roman"/>
          <w:color w:val="000000" w:themeColor="text1"/>
          <w:sz w:val="24"/>
          <w:szCs w:val="24"/>
        </w:rPr>
        <w:t>The not-for-profit organisation will also liaise regularly with the PLM Officers to provide a joined</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up and consistent approach across the program.</w:t>
      </w:r>
      <w:r>
        <w:rPr>
          <w:rFonts w:ascii="Times New Roman" w:hAnsi="Times New Roman"/>
          <w:color w:val="000000" w:themeColor="text1"/>
          <w:sz w:val="24"/>
          <w:szCs w:val="24"/>
        </w:rPr>
        <w:t xml:space="preserve"> </w:t>
      </w:r>
      <w:r w:rsidRPr="00E935A6">
        <w:rPr>
          <w:rFonts w:ascii="Times New Roman" w:hAnsi="Times New Roman"/>
          <w:color w:val="000000" w:themeColor="text1"/>
          <w:sz w:val="24"/>
          <w:szCs w:val="24"/>
        </w:rPr>
        <w:t>By linking Pacific workers with local community groups, it will help to improve social cohesion and build sound ongoing relationships between regional communities and the Pacific. It will help reduce isolation of workers within a workplace, which can increase welfare risks. Strong connections with community have shown to increase worker satisfaction, reduce homesickness and other problems such as absconding and undesirable behaviours</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 and increase productivity. </w:t>
      </w:r>
    </w:p>
    <w:p w14:paraId="20FC106C" w14:textId="77777777" w:rsidR="00860C3F" w:rsidRPr="00E935A6" w:rsidRDefault="00860C3F" w:rsidP="00860C3F">
      <w:pPr>
        <w:rPr>
          <w:rFonts w:ascii="Times New Roman" w:hAnsi="Times New Roman"/>
          <w:color w:val="000000" w:themeColor="text1"/>
          <w:sz w:val="24"/>
          <w:szCs w:val="24"/>
        </w:rPr>
      </w:pPr>
    </w:p>
    <w:p w14:paraId="010EBE1A" w14:textId="77777777" w:rsidR="00860C3F" w:rsidRDefault="00860C3F" w:rsidP="00860C3F">
      <w:pPr>
        <w:rPr>
          <w:rFonts w:ascii="Times New Roman" w:hAnsi="Times New Roman"/>
          <w:color w:val="000000" w:themeColor="text1"/>
          <w:sz w:val="24"/>
          <w:szCs w:val="24"/>
        </w:rPr>
      </w:pPr>
      <w:r>
        <w:rPr>
          <w:rFonts w:ascii="Times New Roman" w:hAnsi="Times New Roman"/>
          <w:color w:val="000000" w:themeColor="text1"/>
          <w:sz w:val="24"/>
          <w:szCs w:val="24"/>
        </w:rPr>
        <w:t xml:space="preserve">The Community Connections project </w:t>
      </w:r>
      <w:r w:rsidRPr="00E935A6">
        <w:rPr>
          <w:rFonts w:ascii="Times New Roman" w:hAnsi="Times New Roman"/>
          <w:color w:val="000000" w:themeColor="text1"/>
          <w:sz w:val="24"/>
          <w:szCs w:val="24"/>
        </w:rPr>
        <w:t>w</w:t>
      </w:r>
      <w:r>
        <w:rPr>
          <w:rFonts w:ascii="Times New Roman" w:hAnsi="Times New Roman"/>
          <w:color w:val="000000" w:themeColor="text1"/>
          <w:sz w:val="24"/>
          <w:szCs w:val="24"/>
        </w:rPr>
        <w:t>ill</w:t>
      </w:r>
      <w:r w:rsidRPr="00E935A6">
        <w:rPr>
          <w:rFonts w:ascii="Times New Roman" w:hAnsi="Times New Roman"/>
          <w:color w:val="000000" w:themeColor="text1"/>
          <w:sz w:val="24"/>
          <w:szCs w:val="24"/>
        </w:rPr>
        <w:t xml:space="preserve"> </w:t>
      </w:r>
      <w:r>
        <w:rPr>
          <w:rFonts w:ascii="Times New Roman" w:hAnsi="Times New Roman"/>
          <w:color w:val="000000" w:themeColor="text1"/>
          <w:sz w:val="24"/>
          <w:szCs w:val="24"/>
        </w:rPr>
        <w:t>improve Pacific workers’</w:t>
      </w:r>
      <w:r w:rsidRPr="00E935A6">
        <w:rPr>
          <w:rFonts w:ascii="Times New Roman" w:hAnsi="Times New Roman"/>
          <w:color w:val="000000" w:themeColor="text1"/>
          <w:sz w:val="24"/>
          <w:szCs w:val="24"/>
        </w:rPr>
        <w:t xml:space="preserve"> experiences and welfare, build upon current program protections</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 and allow more immediate action to be taken to </w:t>
      </w:r>
      <w:r w:rsidRPr="00E935A6">
        <w:rPr>
          <w:rFonts w:ascii="Times New Roman" w:hAnsi="Times New Roman"/>
          <w:color w:val="000000" w:themeColor="text1"/>
          <w:sz w:val="24"/>
          <w:szCs w:val="24"/>
        </w:rPr>
        <w:lastRenderedPageBreak/>
        <w:t xml:space="preserve">resolve any issues that may arise. For example, stronger connections within regional communities will provide more points of contact and therefore support for Pacific workers who experience issues such as </w:t>
      </w:r>
      <w:r>
        <w:rPr>
          <w:rFonts w:ascii="Times New Roman" w:hAnsi="Times New Roman"/>
          <w:color w:val="000000" w:themeColor="text1"/>
          <w:sz w:val="24"/>
          <w:szCs w:val="24"/>
        </w:rPr>
        <w:t>misunderstanding</w:t>
      </w:r>
      <w:r w:rsidRPr="00E935A6">
        <w:rPr>
          <w:rFonts w:ascii="Times New Roman" w:hAnsi="Times New Roman"/>
          <w:color w:val="000000" w:themeColor="text1"/>
          <w:sz w:val="24"/>
          <w:szCs w:val="24"/>
        </w:rPr>
        <w:t xml:space="preserve"> about transport arrangements or accommodation. Community groups will also liaise with </w:t>
      </w:r>
      <w:r>
        <w:rPr>
          <w:rFonts w:ascii="Times New Roman" w:hAnsi="Times New Roman"/>
          <w:color w:val="000000" w:themeColor="text1"/>
          <w:sz w:val="24"/>
          <w:szCs w:val="24"/>
        </w:rPr>
        <w:t>the PLM O</w:t>
      </w:r>
      <w:r w:rsidRPr="00E935A6">
        <w:rPr>
          <w:rFonts w:ascii="Times New Roman" w:hAnsi="Times New Roman"/>
          <w:color w:val="000000" w:themeColor="text1"/>
          <w:sz w:val="24"/>
          <w:szCs w:val="24"/>
        </w:rPr>
        <w:t>fficers, providing a further avenue to resolve any issues expediently.</w:t>
      </w:r>
    </w:p>
    <w:p w14:paraId="2D9FAE22" w14:textId="77777777" w:rsidR="00860C3F" w:rsidRPr="00E935A6" w:rsidRDefault="00860C3F" w:rsidP="00860C3F">
      <w:pPr>
        <w:rPr>
          <w:rFonts w:ascii="Times New Roman" w:hAnsi="Times New Roman"/>
          <w:color w:val="000000" w:themeColor="text1"/>
          <w:sz w:val="24"/>
          <w:szCs w:val="24"/>
        </w:rPr>
      </w:pPr>
    </w:p>
    <w:p w14:paraId="61E81B27" w14:textId="77777777" w:rsidR="00860C3F" w:rsidRDefault="00860C3F" w:rsidP="00860C3F">
      <w:pPr>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Pr="00E935A6">
        <w:rPr>
          <w:rFonts w:ascii="Times New Roman" w:hAnsi="Times New Roman"/>
          <w:color w:val="000000" w:themeColor="text1"/>
          <w:sz w:val="24"/>
          <w:szCs w:val="24"/>
        </w:rPr>
        <w:t>SWP Approved Employers</w:t>
      </w:r>
      <w:r>
        <w:rPr>
          <w:rFonts w:ascii="Times New Roman" w:hAnsi="Times New Roman"/>
          <w:color w:val="000000" w:themeColor="text1"/>
          <w:sz w:val="24"/>
          <w:szCs w:val="24"/>
        </w:rPr>
        <w:t xml:space="preserve"> </w:t>
      </w:r>
      <w:r w:rsidRPr="00E935A6">
        <w:rPr>
          <w:rFonts w:ascii="Times New Roman" w:hAnsi="Times New Roman"/>
          <w:color w:val="000000" w:themeColor="text1"/>
          <w:sz w:val="24"/>
          <w:szCs w:val="24"/>
        </w:rPr>
        <w:t>would also benefit from their workers having stronger community links and from the sharing of better practices and joined</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up responses, and by having a local contact point. Industry also recognises the importance of community connections for Pacific workers. In </w:t>
      </w:r>
      <w:r>
        <w:rPr>
          <w:rFonts w:ascii="Times New Roman" w:hAnsi="Times New Roman"/>
          <w:color w:val="000000" w:themeColor="text1"/>
          <w:sz w:val="24"/>
          <w:szCs w:val="24"/>
        </w:rPr>
        <w:t>its August 2020</w:t>
      </w:r>
      <w:r w:rsidRPr="00E935A6">
        <w:rPr>
          <w:rFonts w:ascii="Times New Roman" w:hAnsi="Times New Roman"/>
          <w:color w:val="000000" w:themeColor="text1"/>
          <w:sz w:val="24"/>
          <w:szCs w:val="24"/>
        </w:rPr>
        <w:t xml:space="preserve"> submission to the </w:t>
      </w:r>
      <w:r w:rsidRPr="00011359">
        <w:rPr>
          <w:rFonts w:ascii="Times New Roman" w:hAnsi="Times New Roman"/>
          <w:i/>
          <w:color w:val="000000" w:themeColor="text1"/>
          <w:sz w:val="24"/>
          <w:szCs w:val="24"/>
        </w:rPr>
        <w:t>Inquiry into strengthening Australia’s relationships with countries in the Pacific region</w:t>
      </w:r>
      <w:r>
        <w:rPr>
          <w:rFonts w:ascii="Times New Roman" w:hAnsi="Times New Roman"/>
          <w:color w:val="000000" w:themeColor="text1"/>
          <w:sz w:val="24"/>
          <w:szCs w:val="24"/>
        </w:rPr>
        <w:t xml:space="preserve"> conducted by the </w:t>
      </w:r>
      <w:r w:rsidRPr="00E935A6">
        <w:rPr>
          <w:rFonts w:ascii="Times New Roman" w:hAnsi="Times New Roman"/>
          <w:color w:val="000000" w:themeColor="text1"/>
          <w:sz w:val="24"/>
          <w:szCs w:val="24"/>
        </w:rPr>
        <w:t xml:space="preserve">Joint Standing Committee on Foreign Affairs, Defence and Trade, the Australian Fresh Produce Alliance stated that employers have highlighted that community networks such as sport and religion are key to support the adjustment of Pacific workers in Australia since </w:t>
      </w:r>
      <w:r>
        <w:rPr>
          <w:rFonts w:ascii="Times New Roman" w:hAnsi="Times New Roman"/>
          <w:color w:val="000000" w:themeColor="text1"/>
          <w:sz w:val="24"/>
          <w:szCs w:val="24"/>
        </w:rPr>
        <w:t>they</w:t>
      </w:r>
      <w:r w:rsidRPr="00E935A6">
        <w:rPr>
          <w:rFonts w:ascii="Times New Roman" w:hAnsi="Times New Roman"/>
          <w:color w:val="000000" w:themeColor="text1"/>
          <w:sz w:val="24"/>
          <w:szCs w:val="24"/>
        </w:rPr>
        <w:t xml:space="preserve"> improve the links between workers and the community. The submission is available at: </w:t>
      </w:r>
      <w:r w:rsidRPr="00011359">
        <w:rPr>
          <w:rFonts w:ascii="Times New Roman" w:hAnsi="Times New Roman"/>
          <w:color w:val="000000" w:themeColor="text1"/>
          <w:sz w:val="24"/>
          <w:szCs w:val="24"/>
          <w:u w:val="single"/>
        </w:rPr>
        <w:t>https://www.aph.gov.au/Parliamentary_Business/Committees/Joint/Foreign_Affairs_Defence_and_Trade/PacificRelationships/Submissions</w:t>
      </w:r>
      <w:r>
        <w:rPr>
          <w:rFonts w:ascii="Times New Roman" w:hAnsi="Times New Roman"/>
          <w:color w:val="000000" w:themeColor="text1"/>
          <w:sz w:val="24"/>
          <w:szCs w:val="24"/>
        </w:rPr>
        <w:t xml:space="preserve">. </w:t>
      </w:r>
      <w:r w:rsidRPr="00011359">
        <w:rPr>
          <w:rFonts w:ascii="Times New Roman" w:hAnsi="Times New Roman"/>
          <w:color w:val="000000" w:themeColor="text1"/>
          <w:sz w:val="24"/>
          <w:szCs w:val="24"/>
        </w:rPr>
        <w:cr/>
      </w:r>
    </w:p>
    <w:p w14:paraId="2066937B" w14:textId="77777777" w:rsidR="00860C3F" w:rsidRDefault="00860C3F" w:rsidP="00860C3F">
      <w:pPr>
        <w:rPr>
          <w:rFonts w:ascii="Times New Roman" w:hAnsi="Times New Roman"/>
          <w:color w:val="000000" w:themeColor="text1"/>
          <w:sz w:val="24"/>
          <w:szCs w:val="24"/>
        </w:rPr>
      </w:pPr>
      <w:r w:rsidRPr="00B21206">
        <w:rPr>
          <w:rFonts w:ascii="Times New Roman" w:hAnsi="Times New Roman"/>
          <w:color w:val="000000" w:themeColor="text1"/>
          <w:sz w:val="24"/>
          <w:szCs w:val="24"/>
        </w:rPr>
        <w:t xml:space="preserve">The procurement process </w:t>
      </w:r>
      <w:r>
        <w:rPr>
          <w:rFonts w:ascii="Times New Roman" w:hAnsi="Times New Roman"/>
          <w:color w:val="000000" w:themeColor="text1"/>
          <w:sz w:val="24"/>
          <w:szCs w:val="24"/>
        </w:rPr>
        <w:t xml:space="preserve">to select a service provider for the Community Connections project </w:t>
      </w:r>
      <w:r w:rsidRPr="00B21206">
        <w:rPr>
          <w:rFonts w:ascii="Times New Roman" w:hAnsi="Times New Roman"/>
          <w:color w:val="000000" w:themeColor="text1"/>
          <w:sz w:val="24"/>
          <w:szCs w:val="24"/>
        </w:rPr>
        <w:t xml:space="preserve">will be undertaken in accordance with applicable requirements under the </w:t>
      </w:r>
      <w:r w:rsidRPr="00C96B4E">
        <w:rPr>
          <w:rFonts w:ascii="Times New Roman" w:hAnsi="Times New Roman"/>
          <w:i/>
          <w:color w:val="000000" w:themeColor="text1"/>
          <w:sz w:val="24"/>
          <w:szCs w:val="24"/>
        </w:rPr>
        <w:t>Public Governance, Performance and Accountability Act 2013</w:t>
      </w:r>
      <w:r w:rsidRPr="00B2120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 </w:t>
      </w:r>
      <w:r w:rsidRPr="00B21206">
        <w:rPr>
          <w:rFonts w:ascii="Times New Roman" w:hAnsi="Times New Roman"/>
          <w:color w:val="000000" w:themeColor="text1"/>
          <w:sz w:val="24"/>
          <w:szCs w:val="24"/>
        </w:rPr>
        <w:t xml:space="preserve">PGPA Act), the </w:t>
      </w:r>
      <w:r w:rsidRPr="00C96B4E">
        <w:rPr>
          <w:rFonts w:ascii="Times New Roman" w:hAnsi="Times New Roman"/>
          <w:i/>
          <w:color w:val="000000" w:themeColor="text1"/>
          <w:sz w:val="24"/>
          <w:szCs w:val="24"/>
        </w:rPr>
        <w:t>Commonwealth Procurement Rules</w:t>
      </w:r>
      <w:r w:rsidRPr="00B21206">
        <w:rPr>
          <w:rFonts w:ascii="Times New Roman" w:hAnsi="Times New Roman"/>
          <w:color w:val="000000" w:themeColor="text1"/>
          <w:sz w:val="24"/>
          <w:szCs w:val="24"/>
        </w:rPr>
        <w:t xml:space="preserve"> (CPRs), and the department’s Accountable Authority Instructions. </w:t>
      </w:r>
    </w:p>
    <w:p w14:paraId="1A348B7C" w14:textId="77777777" w:rsidR="00860C3F" w:rsidRDefault="00860C3F" w:rsidP="00860C3F">
      <w:pPr>
        <w:rPr>
          <w:rFonts w:ascii="Times New Roman" w:hAnsi="Times New Roman"/>
          <w:color w:val="000000" w:themeColor="text1"/>
          <w:sz w:val="24"/>
          <w:szCs w:val="24"/>
        </w:rPr>
      </w:pPr>
    </w:p>
    <w:p w14:paraId="6CD7D78E" w14:textId="77777777" w:rsidR="00860C3F" w:rsidRDefault="00860C3F" w:rsidP="00860C3F">
      <w:pPr>
        <w:rPr>
          <w:rFonts w:ascii="Times New Roman" w:hAnsi="Times New Roman"/>
          <w:color w:val="000000" w:themeColor="text1"/>
          <w:sz w:val="24"/>
          <w:szCs w:val="24"/>
        </w:rPr>
      </w:pPr>
      <w:r w:rsidRPr="00B21206">
        <w:rPr>
          <w:rFonts w:ascii="Times New Roman" w:hAnsi="Times New Roman"/>
          <w:color w:val="000000" w:themeColor="text1"/>
          <w:sz w:val="24"/>
          <w:szCs w:val="24"/>
        </w:rPr>
        <w:t xml:space="preserve">A </w:t>
      </w:r>
      <w:r>
        <w:rPr>
          <w:rFonts w:ascii="Times New Roman" w:hAnsi="Times New Roman"/>
          <w:color w:val="000000" w:themeColor="text1"/>
          <w:sz w:val="24"/>
          <w:szCs w:val="24"/>
        </w:rPr>
        <w:t>limited</w:t>
      </w:r>
      <w:r w:rsidRPr="00B21206">
        <w:rPr>
          <w:rFonts w:ascii="Times New Roman" w:hAnsi="Times New Roman"/>
          <w:color w:val="000000" w:themeColor="text1"/>
          <w:sz w:val="24"/>
          <w:szCs w:val="24"/>
        </w:rPr>
        <w:t xml:space="preserve"> tender will be run by the department to </w:t>
      </w:r>
      <w:r>
        <w:rPr>
          <w:rFonts w:ascii="Times New Roman" w:hAnsi="Times New Roman"/>
          <w:color w:val="000000" w:themeColor="text1"/>
          <w:sz w:val="24"/>
          <w:szCs w:val="24"/>
        </w:rPr>
        <w:t>select one or more</w:t>
      </w:r>
      <w:r w:rsidRPr="00B21206">
        <w:rPr>
          <w:rFonts w:ascii="Times New Roman" w:hAnsi="Times New Roman"/>
          <w:color w:val="000000" w:themeColor="text1"/>
          <w:sz w:val="24"/>
          <w:szCs w:val="24"/>
        </w:rPr>
        <w:t xml:space="preserve"> not-for-profit organisation</w:t>
      </w:r>
      <w:r>
        <w:rPr>
          <w:rFonts w:ascii="Times New Roman" w:hAnsi="Times New Roman"/>
          <w:color w:val="000000" w:themeColor="text1"/>
          <w:sz w:val="24"/>
          <w:szCs w:val="24"/>
        </w:rPr>
        <w:t>s</w:t>
      </w:r>
      <w:r w:rsidRPr="00B21206">
        <w:rPr>
          <w:rFonts w:ascii="Times New Roman" w:hAnsi="Times New Roman"/>
          <w:color w:val="000000" w:themeColor="text1"/>
          <w:sz w:val="24"/>
          <w:szCs w:val="24"/>
        </w:rPr>
        <w:t xml:space="preserve"> for the </w:t>
      </w:r>
      <w:r>
        <w:rPr>
          <w:rFonts w:ascii="Times New Roman" w:hAnsi="Times New Roman"/>
          <w:color w:val="000000" w:themeColor="text1"/>
          <w:sz w:val="24"/>
          <w:szCs w:val="24"/>
        </w:rPr>
        <w:t>Community Connections project</w:t>
      </w:r>
      <w:r w:rsidRPr="00B21206">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B21206">
        <w:rPr>
          <w:rFonts w:ascii="Times New Roman" w:hAnsi="Times New Roman"/>
          <w:color w:val="000000" w:themeColor="text1"/>
          <w:sz w:val="24"/>
          <w:szCs w:val="24"/>
        </w:rPr>
        <w:t>Not-for-profit organisations will be invited by the department to submit a tender. The organisations will be required to have a national footprint already established or be able to demonstrate they can achieve a national reach through internal arrangements. They will also have demonstrated links with the Pacific diaspora and community groups.</w:t>
      </w:r>
    </w:p>
    <w:p w14:paraId="2F7555AD" w14:textId="77777777" w:rsidR="00860C3F" w:rsidRDefault="00860C3F" w:rsidP="00860C3F">
      <w:pPr>
        <w:rPr>
          <w:rFonts w:ascii="Times New Roman" w:hAnsi="Times New Roman"/>
          <w:color w:val="000000" w:themeColor="text1"/>
          <w:sz w:val="24"/>
          <w:szCs w:val="24"/>
        </w:rPr>
      </w:pPr>
    </w:p>
    <w:p w14:paraId="4364A7B0" w14:textId="77777777" w:rsidR="00860C3F" w:rsidRDefault="00860C3F" w:rsidP="00860C3F">
      <w:pPr>
        <w:rPr>
          <w:rFonts w:ascii="Times New Roman" w:hAnsi="Times New Roman"/>
          <w:color w:val="000000" w:themeColor="text1"/>
          <w:sz w:val="24"/>
          <w:szCs w:val="24"/>
        </w:rPr>
      </w:pPr>
      <w:r w:rsidRPr="00B21206">
        <w:rPr>
          <w:rFonts w:ascii="Times New Roman" w:hAnsi="Times New Roman"/>
          <w:color w:val="000000" w:themeColor="text1"/>
          <w:sz w:val="24"/>
          <w:szCs w:val="24"/>
        </w:rPr>
        <w:t>Decisions about the tender process</w:t>
      </w:r>
      <w:r>
        <w:rPr>
          <w:rFonts w:ascii="Times New Roman" w:hAnsi="Times New Roman"/>
          <w:color w:val="000000" w:themeColor="text1"/>
          <w:sz w:val="24"/>
          <w:szCs w:val="24"/>
        </w:rPr>
        <w:t>, including selection of a successful tenderer,</w:t>
      </w:r>
      <w:r w:rsidRPr="00B21206">
        <w:rPr>
          <w:rFonts w:ascii="Times New Roman" w:hAnsi="Times New Roman"/>
          <w:color w:val="000000" w:themeColor="text1"/>
          <w:sz w:val="24"/>
          <w:szCs w:val="24"/>
        </w:rPr>
        <w:t xml:space="preserve"> will be made by a delegate of the Secretary of the department. Information about the tender and decisions made will be published on AusTender</w:t>
      </w:r>
      <w:r w:rsidRPr="0048050F">
        <w:rPr>
          <w:rFonts w:ascii="Times New Roman" w:hAnsi="Times New Roman"/>
          <w:color w:val="000000" w:themeColor="text1"/>
          <w:sz w:val="24"/>
          <w:szCs w:val="24"/>
        </w:rPr>
        <w:t xml:space="preserve"> at </w:t>
      </w:r>
      <w:r w:rsidRPr="0048050F">
        <w:rPr>
          <w:rFonts w:ascii="Times New Roman" w:hAnsi="Times New Roman"/>
          <w:color w:val="000000" w:themeColor="text1"/>
          <w:sz w:val="24"/>
          <w:szCs w:val="24"/>
          <w:u w:val="single"/>
        </w:rPr>
        <w:t>www.tenders.gov.au</w:t>
      </w:r>
      <w:r w:rsidRPr="00B21206">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B21206">
        <w:rPr>
          <w:rFonts w:ascii="Times New Roman" w:hAnsi="Times New Roman"/>
          <w:color w:val="000000" w:themeColor="text1"/>
          <w:sz w:val="24"/>
          <w:szCs w:val="24"/>
        </w:rPr>
        <w:t>In accordance with usual practice, procurement decisions, once made, will be final and not subject to merits review.</w:t>
      </w:r>
      <w:r w:rsidRPr="0048050F">
        <w:rPr>
          <w:rFonts w:ascii="Times New Roman" w:hAnsi="Times New Roman"/>
          <w:color w:val="000000" w:themeColor="text1"/>
          <w:sz w:val="24"/>
          <w:szCs w:val="24"/>
        </w:rPr>
        <w:t xml:space="preserve"> </w:t>
      </w:r>
      <w:r w:rsidRPr="00B21206">
        <w:rPr>
          <w:rFonts w:ascii="Times New Roman" w:hAnsi="Times New Roman"/>
          <w:color w:val="000000" w:themeColor="text1"/>
          <w:sz w:val="24"/>
          <w:szCs w:val="24"/>
        </w:rPr>
        <w:t xml:space="preserve">Re-making a procurement decision after entry into contractual arrangements with a successful tenderer would be legally complex, impractical and result in unacceptable delays to the implementation of the </w:t>
      </w:r>
      <w:r>
        <w:rPr>
          <w:rFonts w:ascii="Times New Roman" w:hAnsi="Times New Roman"/>
          <w:color w:val="000000" w:themeColor="text1"/>
          <w:sz w:val="24"/>
          <w:szCs w:val="24"/>
        </w:rPr>
        <w:t>Community Connections project</w:t>
      </w:r>
      <w:r w:rsidRPr="00B21206">
        <w:rPr>
          <w:rFonts w:ascii="Times New Roman" w:hAnsi="Times New Roman"/>
          <w:color w:val="000000" w:themeColor="text1"/>
          <w:sz w:val="24"/>
          <w:szCs w:val="24"/>
        </w:rPr>
        <w:t xml:space="preserve">.  </w:t>
      </w:r>
    </w:p>
    <w:p w14:paraId="0781DC9D" w14:textId="77777777" w:rsidR="00860C3F" w:rsidRDefault="00860C3F" w:rsidP="00860C3F">
      <w:pPr>
        <w:rPr>
          <w:rFonts w:ascii="Times New Roman" w:hAnsi="Times New Roman"/>
          <w:color w:val="000000" w:themeColor="text1"/>
          <w:sz w:val="24"/>
          <w:szCs w:val="24"/>
        </w:rPr>
      </w:pPr>
    </w:p>
    <w:p w14:paraId="1BF92610" w14:textId="77777777" w:rsidR="00860C3F" w:rsidRPr="00B21206" w:rsidRDefault="00860C3F" w:rsidP="00860C3F">
      <w:pPr>
        <w:rPr>
          <w:rFonts w:ascii="Times New Roman" w:hAnsi="Times New Roman"/>
          <w:color w:val="000000" w:themeColor="text1"/>
          <w:sz w:val="24"/>
          <w:szCs w:val="24"/>
        </w:rPr>
      </w:pPr>
      <w:r>
        <w:rPr>
          <w:rFonts w:ascii="Times New Roman" w:hAnsi="Times New Roman"/>
          <w:color w:val="000000" w:themeColor="text1"/>
          <w:sz w:val="24"/>
          <w:szCs w:val="24"/>
        </w:rPr>
        <w:t>D</w:t>
      </w:r>
      <w:r w:rsidRPr="00B21206">
        <w:rPr>
          <w:rFonts w:ascii="Times New Roman" w:hAnsi="Times New Roman"/>
          <w:color w:val="000000" w:themeColor="text1"/>
          <w:sz w:val="24"/>
          <w:szCs w:val="24"/>
        </w:rPr>
        <w:t xml:space="preserve">ecisions about which organisation will be selected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 has recognised that it is justifiable to exclude merits review in relation to decisions of this nature (see paragraphs 4.11 to 4.19 of the guide, </w:t>
      </w:r>
      <w:r w:rsidRPr="0048050F">
        <w:rPr>
          <w:rFonts w:ascii="Times New Roman" w:hAnsi="Times New Roman"/>
          <w:i/>
          <w:color w:val="000000" w:themeColor="text1"/>
          <w:sz w:val="24"/>
          <w:szCs w:val="24"/>
        </w:rPr>
        <w:t>What decisions should be subject to merit review?</w:t>
      </w:r>
      <w:r>
        <w:rPr>
          <w:rFonts w:ascii="Times New Roman" w:hAnsi="Times New Roman"/>
          <w:color w:val="000000" w:themeColor="text1"/>
          <w:sz w:val="24"/>
          <w:szCs w:val="24"/>
        </w:rPr>
        <w:t>)</w:t>
      </w:r>
      <w:r w:rsidRPr="00B21206">
        <w:rPr>
          <w:rFonts w:ascii="Times New Roman" w:hAnsi="Times New Roman"/>
          <w:color w:val="000000" w:themeColor="text1"/>
          <w:sz w:val="24"/>
          <w:szCs w:val="24"/>
        </w:rPr>
        <w:t>.</w:t>
      </w:r>
    </w:p>
    <w:p w14:paraId="4036020A" w14:textId="77777777" w:rsidR="00860C3F" w:rsidRDefault="00860C3F" w:rsidP="00860C3F">
      <w:pPr>
        <w:rPr>
          <w:rFonts w:ascii="Times New Roman" w:hAnsi="Times New Roman"/>
          <w:color w:val="000000" w:themeColor="text1"/>
          <w:sz w:val="24"/>
          <w:szCs w:val="24"/>
        </w:rPr>
      </w:pPr>
    </w:p>
    <w:p w14:paraId="72F90562" w14:textId="73B8A229" w:rsidR="00860C3F" w:rsidRDefault="00860C3F" w:rsidP="00860C3F">
      <w:pPr>
        <w:rPr>
          <w:rFonts w:ascii="Times New Roman" w:hAnsi="Times New Roman"/>
          <w:color w:val="000000" w:themeColor="text1"/>
          <w:sz w:val="24"/>
          <w:szCs w:val="24"/>
        </w:rPr>
      </w:pPr>
      <w:r w:rsidRPr="00B21206">
        <w:rPr>
          <w:rFonts w:ascii="Times New Roman" w:hAnsi="Times New Roman"/>
          <w:color w:val="000000" w:themeColor="text1"/>
          <w:sz w:val="24"/>
          <w:szCs w:val="24"/>
        </w:rPr>
        <w:t xml:space="preserve">The department will provide </w:t>
      </w:r>
      <w:r>
        <w:rPr>
          <w:rFonts w:ascii="Times New Roman" w:hAnsi="Times New Roman"/>
          <w:color w:val="000000" w:themeColor="text1"/>
          <w:sz w:val="24"/>
          <w:szCs w:val="24"/>
        </w:rPr>
        <w:t xml:space="preserve">an </w:t>
      </w:r>
      <w:r w:rsidRPr="00B21206">
        <w:rPr>
          <w:rFonts w:ascii="Times New Roman" w:hAnsi="Times New Roman"/>
          <w:color w:val="000000" w:themeColor="text1"/>
          <w:sz w:val="24"/>
          <w:szCs w:val="24"/>
        </w:rPr>
        <w:t>opportunity for tenderers to make inquiries and complaints and will provide feedback to unsuccessful tender</w:t>
      </w:r>
      <w:r w:rsidR="00781A19">
        <w:rPr>
          <w:rFonts w:ascii="Times New Roman" w:hAnsi="Times New Roman"/>
          <w:color w:val="000000" w:themeColor="text1"/>
          <w:sz w:val="24"/>
          <w:szCs w:val="24"/>
        </w:rPr>
        <w:t>er</w:t>
      </w:r>
      <w:r w:rsidRPr="00B21206">
        <w:rPr>
          <w:rFonts w:ascii="Times New Roman" w:hAnsi="Times New Roman"/>
          <w:color w:val="000000" w:themeColor="text1"/>
          <w:sz w:val="24"/>
          <w:szCs w:val="24"/>
        </w:rPr>
        <w:t>s. These complaints and inquir</w:t>
      </w:r>
      <w:r w:rsidR="00781A19">
        <w:rPr>
          <w:rFonts w:ascii="Times New Roman" w:hAnsi="Times New Roman"/>
          <w:color w:val="000000" w:themeColor="text1"/>
          <w:sz w:val="24"/>
          <w:szCs w:val="24"/>
        </w:rPr>
        <w:t>i</w:t>
      </w:r>
      <w:r w:rsidRPr="00B21206">
        <w:rPr>
          <w:rFonts w:ascii="Times New Roman" w:hAnsi="Times New Roman"/>
          <w:color w:val="000000" w:themeColor="text1"/>
          <w:sz w:val="24"/>
          <w:szCs w:val="24"/>
        </w:rPr>
        <w:t>es can be made at any time during the procurement process and will be handled in accordance with the probity processes for the procurement, which will be made available on AusTender.</w:t>
      </w:r>
      <w:r>
        <w:rPr>
          <w:rFonts w:ascii="Times New Roman" w:hAnsi="Times New Roman"/>
          <w:color w:val="000000" w:themeColor="text1"/>
          <w:sz w:val="24"/>
          <w:szCs w:val="24"/>
        </w:rPr>
        <w:t xml:space="preserve"> </w:t>
      </w:r>
      <w:r w:rsidRPr="00B21206">
        <w:rPr>
          <w:rFonts w:ascii="Times New Roman" w:hAnsi="Times New Roman"/>
          <w:color w:val="000000" w:themeColor="text1"/>
          <w:sz w:val="24"/>
          <w:szCs w:val="24"/>
        </w:rPr>
        <w:t xml:space="preserve">There </w:t>
      </w:r>
      <w:r w:rsidRPr="00B21206">
        <w:rPr>
          <w:rFonts w:ascii="Times New Roman" w:hAnsi="Times New Roman"/>
          <w:color w:val="000000" w:themeColor="text1"/>
          <w:sz w:val="24"/>
          <w:szCs w:val="24"/>
        </w:rPr>
        <w:lastRenderedPageBreak/>
        <w:t xml:space="preserve">are </w:t>
      </w:r>
      <w:r>
        <w:rPr>
          <w:rFonts w:ascii="Times New Roman" w:hAnsi="Times New Roman"/>
          <w:color w:val="000000" w:themeColor="text1"/>
          <w:sz w:val="24"/>
          <w:szCs w:val="24"/>
        </w:rPr>
        <w:t xml:space="preserve">also </w:t>
      </w:r>
      <w:r w:rsidRPr="00B21206">
        <w:rPr>
          <w:rFonts w:ascii="Times New Roman" w:hAnsi="Times New Roman"/>
          <w:color w:val="000000" w:themeColor="text1"/>
          <w:sz w:val="24"/>
          <w:szCs w:val="24"/>
        </w:rPr>
        <w:t xml:space="preserve">existing </w:t>
      </w:r>
      <w:r>
        <w:rPr>
          <w:rFonts w:ascii="Times New Roman" w:hAnsi="Times New Roman"/>
          <w:color w:val="000000" w:themeColor="text1"/>
          <w:sz w:val="24"/>
          <w:szCs w:val="24"/>
        </w:rPr>
        <w:t xml:space="preserve">departmental </w:t>
      </w:r>
      <w:r w:rsidRPr="00B21206">
        <w:rPr>
          <w:rFonts w:ascii="Times New Roman" w:hAnsi="Times New Roman"/>
          <w:color w:val="000000" w:themeColor="text1"/>
          <w:sz w:val="24"/>
          <w:szCs w:val="24"/>
        </w:rPr>
        <w:t>processes in place to support participants who have concerns about the service they receive. Any participant or potential participant in the process who is dissatisfied with a decision can request a review of that decision by contacting the department’s National Customer Service Line</w:t>
      </w:r>
      <w:r>
        <w:rPr>
          <w:rFonts w:ascii="Times New Roman" w:hAnsi="Times New Roman"/>
          <w:color w:val="000000" w:themeColor="text1"/>
          <w:sz w:val="24"/>
          <w:szCs w:val="24"/>
        </w:rPr>
        <w:t xml:space="preserve"> (NCSL)</w:t>
      </w:r>
      <w:r w:rsidRPr="00B21206">
        <w:rPr>
          <w:rFonts w:ascii="Times New Roman" w:hAnsi="Times New Roman"/>
          <w:color w:val="000000" w:themeColor="text1"/>
          <w:sz w:val="24"/>
          <w:szCs w:val="24"/>
        </w:rPr>
        <w:t xml:space="preserve">. </w:t>
      </w:r>
      <w:r w:rsidRPr="00DC5E86">
        <w:rPr>
          <w:rFonts w:ascii="Times New Roman" w:hAnsi="Times New Roman"/>
          <w:iCs/>
          <w:sz w:val="24"/>
          <w:szCs w:val="24"/>
        </w:rPr>
        <w:t>Information about the N</w:t>
      </w:r>
      <w:r>
        <w:rPr>
          <w:rFonts w:ascii="Times New Roman" w:hAnsi="Times New Roman"/>
          <w:iCs/>
          <w:sz w:val="24"/>
          <w:szCs w:val="24"/>
        </w:rPr>
        <w:t>CSL</w:t>
      </w:r>
      <w:r w:rsidRPr="00DC5E86">
        <w:rPr>
          <w:rFonts w:ascii="Times New Roman" w:hAnsi="Times New Roman"/>
          <w:iCs/>
          <w:sz w:val="24"/>
          <w:szCs w:val="24"/>
        </w:rPr>
        <w:t xml:space="preserve"> is available on the departmental website.</w:t>
      </w:r>
    </w:p>
    <w:p w14:paraId="565072F1" w14:textId="77777777" w:rsidR="00860C3F" w:rsidRPr="00B21206" w:rsidRDefault="00860C3F" w:rsidP="00860C3F">
      <w:pPr>
        <w:rPr>
          <w:rFonts w:ascii="Times New Roman" w:hAnsi="Times New Roman"/>
          <w:color w:val="000000" w:themeColor="text1"/>
          <w:sz w:val="24"/>
          <w:szCs w:val="24"/>
        </w:rPr>
      </w:pPr>
    </w:p>
    <w:p w14:paraId="67566895" w14:textId="77777777" w:rsidR="00860C3F" w:rsidRPr="00B21206" w:rsidRDefault="00860C3F" w:rsidP="00860C3F">
      <w:pPr>
        <w:rPr>
          <w:rFonts w:ascii="Times New Roman" w:hAnsi="Times New Roman"/>
          <w:color w:val="000000" w:themeColor="text1"/>
          <w:sz w:val="24"/>
          <w:szCs w:val="24"/>
        </w:rPr>
      </w:pPr>
      <w:r w:rsidRPr="00B21206">
        <w:rPr>
          <w:rFonts w:ascii="Times New Roman" w:hAnsi="Times New Roman"/>
          <w:color w:val="000000" w:themeColor="text1"/>
          <w:sz w:val="24"/>
          <w:szCs w:val="24"/>
        </w:rPr>
        <w:t xml:space="preserve">The </w:t>
      </w:r>
      <w:r w:rsidRPr="005A3BB3">
        <w:rPr>
          <w:rFonts w:ascii="Times New Roman" w:hAnsi="Times New Roman"/>
          <w:i/>
          <w:color w:val="000000" w:themeColor="text1"/>
          <w:sz w:val="24"/>
          <w:szCs w:val="24"/>
        </w:rPr>
        <w:t>Government Procurement (Judicial Review) Act 2018</w:t>
      </w:r>
      <w:r w:rsidRPr="00B21206">
        <w:rPr>
          <w:rFonts w:ascii="Times New Roman" w:hAnsi="Times New Roman"/>
          <w:color w:val="000000" w:themeColor="text1"/>
          <w:sz w:val="24"/>
          <w:szCs w:val="24"/>
        </w:rPr>
        <w:t xml:space="preserve"> enables suppliers to challenge some procurement processes for alleged breaches of certain procurement rules. This legislation might provide an additional avenue for redress (compensation or injunction) for dissatisfied tenderers, depending on the circumstances.</w:t>
      </w:r>
    </w:p>
    <w:p w14:paraId="78F6FE95" w14:textId="77777777" w:rsidR="00860C3F" w:rsidRDefault="00860C3F" w:rsidP="00860C3F">
      <w:pPr>
        <w:rPr>
          <w:rFonts w:ascii="Times New Roman" w:hAnsi="Times New Roman"/>
          <w:color w:val="000000" w:themeColor="text1"/>
          <w:sz w:val="24"/>
          <w:szCs w:val="24"/>
        </w:rPr>
      </w:pPr>
    </w:p>
    <w:p w14:paraId="36918DE5" w14:textId="77777777" w:rsidR="00860C3F" w:rsidRDefault="00860C3F" w:rsidP="00860C3F">
      <w:pPr>
        <w:rPr>
          <w:rFonts w:ascii="Times New Roman" w:hAnsi="Times New Roman"/>
          <w:color w:val="000000" w:themeColor="text1"/>
          <w:sz w:val="24"/>
          <w:szCs w:val="24"/>
        </w:rPr>
      </w:pPr>
      <w:r w:rsidRPr="00B21206">
        <w:rPr>
          <w:rFonts w:ascii="Times New Roman" w:hAnsi="Times New Roman"/>
          <w:color w:val="000000" w:themeColor="text1"/>
          <w:sz w:val="24"/>
          <w:szCs w:val="24"/>
        </w:rPr>
        <w:t>Any person or organisation dissatisfied with decisions</w:t>
      </w:r>
      <w:r>
        <w:rPr>
          <w:rFonts w:ascii="Times New Roman" w:hAnsi="Times New Roman"/>
          <w:color w:val="000000" w:themeColor="text1"/>
          <w:sz w:val="24"/>
          <w:szCs w:val="24"/>
        </w:rPr>
        <w:t xml:space="preserve"> made</w:t>
      </w:r>
      <w:r w:rsidRPr="00B21206">
        <w:rPr>
          <w:rFonts w:ascii="Times New Roman" w:hAnsi="Times New Roman"/>
          <w:color w:val="000000" w:themeColor="text1"/>
          <w:sz w:val="24"/>
          <w:szCs w:val="24"/>
        </w:rPr>
        <w:t xml:space="preserve"> by the department could raise the matter with the Commonwealth Ombudsman. The Ombudsman has the power to ask the department to answer questions or seek relevant documents. The department gives weight to any recommendations by the Ombudsman and is required to respond to the Ombudsman regarding what it has done in response to any recommendations. Failure to adequately respond could lead to adverse public reporting by the Ombudsman.</w:t>
      </w:r>
    </w:p>
    <w:p w14:paraId="08FD5619" w14:textId="77777777" w:rsidR="00860C3F" w:rsidRDefault="00860C3F" w:rsidP="00860C3F">
      <w:pPr>
        <w:rPr>
          <w:rFonts w:ascii="Times New Roman" w:hAnsi="Times New Roman"/>
          <w:color w:val="000000" w:themeColor="text1"/>
          <w:sz w:val="24"/>
          <w:szCs w:val="24"/>
        </w:rPr>
      </w:pPr>
    </w:p>
    <w:p w14:paraId="79DCB0A1" w14:textId="77777777" w:rsidR="00860C3F" w:rsidRDefault="00860C3F" w:rsidP="00860C3F">
      <w:pPr>
        <w:rPr>
          <w:rFonts w:ascii="Times New Roman" w:hAnsi="Times New Roman"/>
          <w:color w:val="000000" w:themeColor="text1"/>
          <w:sz w:val="24"/>
          <w:szCs w:val="24"/>
        </w:rPr>
      </w:pPr>
      <w:r w:rsidRPr="00E37EED">
        <w:rPr>
          <w:rFonts w:ascii="Times New Roman" w:hAnsi="Times New Roman"/>
          <w:color w:val="000000" w:themeColor="text1"/>
          <w:sz w:val="24"/>
          <w:szCs w:val="24"/>
        </w:rPr>
        <w:t xml:space="preserve">From January 2019 until the first quarter of 2020, the department undertook consultation with stakeholders including the </w:t>
      </w:r>
      <w:r>
        <w:rPr>
          <w:rFonts w:ascii="Times New Roman" w:hAnsi="Times New Roman"/>
          <w:color w:val="000000" w:themeColor="text1"/>
          <w:sz w:val="24"/>
          <w:szCs w:val="24"/>
        </w:rPr>
        <w:t>SWP</w:t>
      </w:r>
      <w:r w:rsidRPr="00E37EED">
        <w:rPr>
          <w:rFonts w:ascii="Times New Roman" w:hAnsi="Times New Roman"/>
          <w:color w:val="000000" w:themeColor="text1"/>
          <w:sz w:val="24"/>
          <w:szCs w:val="24"/>
        </w:rPr>
        <w:t xml:space="preserve"> Advisory Group in relation to the </w:t>
      </w:r>
      <w:r>
        <w:rPr>
          <w:rFonts w:ascii="Times New Roman" w:hAnsi="Times New Roman"/>
          <w:color w:val="000000" w:themeColor="text1"/>
          <w:sz w:val="24"/>
          <w:szCs w:val="24"/>
        </w:rPr>
        <w:t>program</w:t>
      </w:r>
      <w:r w:rsidRPr="00E37EED">
        <w:rPr>
          <w:rFonts w:ascii="Times New Roman" w:hAnsi="Times New Roman"/>
          <w:color w:val="000000" w:themeColor="text1"/>
          <w:sz w:val="24"/>
          <w:szCs w:val="24"/>
        </w:rPr>
        <w:t>. This included the new SWP Deed of Agreement and Approved Employer Guidelines (that commenced on 1</w:t>
      </w:r>
      <w:r>
        <w:rPr>
          <w:rFonts w:ascii="Times New Roman" w:hAnsi="Times New Roman"/>
          <w:color w:val="000000" w:themeColor="text1"/>
          <w:sz w:val="24"/>
          <w:szCs w:val="24"/>
        </w:rPr>
        <w:t> </w:t>
      </w:r>
      <w:r w:rsidRPr="00E37EED">
        <w:rPr>
          <w:rFonts w:ascii="Times New Roman" w:hAnsi="Times New Roman"/>
          <w:color w:val="000000" w:themeColor="text1"/>
          <w:sz w:val="24"/>
          <w:szCs w:val="24"/>
        </w:rPr>
        <w:t xml:space="preserve">January 2020) and the merits of implementing measures that provide strong connections and links </w:t>
      </w:r>
      <w:r>
        <w:rPr>
          <w:rFonts w:ascii="Times New Roman" w:hAnsi="Times New Roman"/>
          <w:color w:val="000000" w:themeColor="text1"/>
          <w:sz w:val="24"/>
          <w:szCs w:val="24"/>
        </w:rPr>
        <w:t>between</w:t>
      </w:r>
      <w:r w:rsidRPr="00E37EED">
        <w:rPr>
          <w:rFonts w:ascii="Times New Roman" w:hAnsi="Times New Roman"/>
          <w:color w:val="000000" w:themeColor="text1"/>
          <w:sz w:val="24"/>
          <w:szCs w:val="24"/>
        </w:rPr>
        <w:t xml:space="preserve"> local communities and Pacific workers.  </w:t>
      </w:r>
    </w:p>
    <w:p w14:paraId="22710F7E" w14:textId="77777777" w:rsidR="00860C3F" w:rsidRPr="00E37EED" w:rsidRDefault="00860C3F" w:rsidP="00860C3F">
      <w:pPr>
        <w:rPr>
          <w:rFonts w:ascii="Times New Roman" w:hAnsi="Times New Roman"/>
          <w:color w:val="000000" w:themeColor="text1"/>
          <w:sz w:val="24"/>
          <w:szCs w:val="24"/>
        </w:rPr>
      </w:pPr>
    </w:p>
    <w:p w14:paraId="666C2A1D" w14:textId="77777777" w:rsidR="00860C3F" w:rsidRDefault="00860C3F" w:rsidP="00860C3F">
      <w:pPr>
        <w:rPr>
          <w:rFonts w:ascii="Times New Roman" w:hAnsi="Times New Roman"/>
          <w:color w:val="000000" w:themeColor="text1"/>
          <w:sz w:val="24"/>
          <w:szCs w:val="24"/>
        </w:rPr>
      </w:pPr>
      <w:r w:rsidRPr="00E37EED">
        <w:rPr>
          <w:rFonts w:ascii="Times New Roman" w:hAnsi="Times New Roman"/>
          <w:color w:val="000000" w:themeColor="text1"/>
          <w:sz w:val="24"/>
          <w:szCs w:val="24"/>
        </w:rPr>
        <w:t xml:space="preserve">The </w:t>
      </w:r>
      <w:r>
        <w:rPr>
          <w:rFonts w:ascii="Times New Roman" w:hAnsi="Times New Roman"/>
          <w:color w:val="000000" w:themeColor="text1"/>
          <w:sz w:val="24"/>
          <w:szCs w:val="24"/>
        </w:rPr>
        <w:t>SWP</w:t>
      </w:r>
      <w:r w:rsidRPr="00E37EED">
        <w:rPr>
          <w:rFonts w:ascii="Times New Roman" w:hAnsi="Times New Roman"/>
          <w:color w:val="000000" w:themeColor="text1"/>
          <w:sz w:val="24"/>
          <w:szCs w:val="24"/>
        </w:rPr>
        <w:t xml:space="preserve"> Advisory Group include</w:t>
      </w:r>
      <w:r>
        <w:rPr>
          <w:rFonts w:ascii="Times New Roman" w:hAnsi="Times New Roman"/>
          <w:color w:val="000000" w:themeColor="text1"/>
          <w:sz w:val="24"/>
          <w:szCs w:val="24"/>
        </w:rPr>
        <w:t>s</w:t>
      </w:r>
      <w:r w:rsidRPr="00E37EED">
        <w:rPr>
          <w:rFonts w:ascii="Times New Roman" w:hAnsi="Times New Roman"/>
          <w:color w:val="000000" w:themeColor="text1"/>
          <w:sz w:val="24"/>
          <w:szCs w:val="24"/>
        </w:rPr>
        <w:t xml:space="preserve"> members of the Approved Employers of Australia and individual Approved Employers, industry groups, unions, community groups and churches.</w:t>
      </w:r>
      <w:r>
        <w:rPr>
          <w:rFonts w:ascii="Times New Roman" w:hAnsi="Times New Roman"/>
          <w:color w:val="000000" w:themeColor="text1"/>
          <w:sz w:val="24"/>
          <w:szCs w:val="24"/>
        </w:rPr>
        <w:t xml:space="preserve"> </w:t>
      </w:r>
      <w:r w:rsidRPr="00E37EED">
        <w:rPr>
          <w:rFonts w:ascii="Times New Roman" w:hAnsi="Times New Roman"/>
          <w:color w:val="000000" w:themeColor="text1"/>
          <w:sz w:val="24"/>
          <w:szCs w:val="24"/>
        </w:rPr>
        <w:t>This advisory group operates as a key contact point for the SWP and has been consulted previously in relation to key matters, including the review of the SWP Deed of Agreement and Approved Employer obligations and program parameters.</w:t>
      </w:r>
    </w:p>
    <w:p w14:paraId="5E989677" w14:textId="77777777" w:rsidR="00860C3F" w:rsidRPr="00E37EED" w:rsidRDefault="00860C3F" w:rsidP="00860C3F">
      <w:pPr>
        <w:rPr>
          <w:rFonts w:ascii="Times New Roman" w:hAnsi="Times New Roman"/>
          <w:color w:val="000000" w:themeColor="text1"/>
          <w:sz w:val="24"/>
          <w:szCs w:val="24"/>
        </w:rPr>
      </w:pPr>
      <w:r w:rsidRPr="00E37EED">
        <w:rPr>
          <w:rFonts w:ascii="Times New Roman" w:hAnsi="Times New Roman"/>
          <w:color w:val="000000" w:themeColor="text1"/>
          <w:sz w:val="24"/>
          <w:szCs w:val="24"/>
        </w:rPr>
        <w:t xml:space="preserve"> </w:t>
      </w:r>
    </w:p>
    <w:p w14:paraId="1ED13DB5" w14:textId="77777777" w:rsidR="00860C3F" w:rsidRDefault="00860C3F" w:rsidP="00860C3F">
      <w:pPr>
        <w:rPr>
          <w:rFonts w:ascii="Times New Roman" w:hAnsi="Times New Roman"/>
          <w:color w:val="000000" w:themeColor="text1"/>
          <w:sz w:val="24"/>
          <w:szCs w:val="24"/>
        </w:rPr>
      </w:pPr>
      <w:r w:rsidRPr="00E37EED">
        <w:rPr>
          <w:rFonts w:ascii="Times New Roman" w:hAnsi="Times New Roman"/>
          <w:color w:val="000000" w:themeColor="text1"/>
          <w:sz w:val="24"/>
          <w:szCs w:val="24"/>
        </w:rPr>
        <w:t>In addition, feedback from the Pacific diaspora community groups ha</w:t>
      </w:r>
      <w:r>
        <w:rPr>
          <w:rFonts w:ascii="Times New Roman" w:hAnsi="Times New Roman"/>
          <w:color w:val="000000" w:themeColor="text1"/>
          <w:sz w:val="24"/>
          <w:szCs w:val="24"/>
        </w:rPr>
        <w:t>s</w:t>
      </w:r>
      <w:r w:rsidRPr="00E37EED">
        <w:rPr>
          <w:rFonts w:ascii="Times New Roman" w:hAnsi="Times New Roman"/>
          <w:color w:val="000000" w:themeColor="text1"/>
          <w:sz w:val="24"/>
          <w:szCs w:val="24"/>
        </w:rPr>
        <w:t xml:space="preserve"> indicated support for better community connections. This consultation occurred informally during the course of the review of the SWP and associated Deed and Guidelines in 2019 and meetings</w:t>
      </w:r>
      <w:r w:rsidRPr="00C13A84">
        <w:rPr>
          <w:rFonts w:ascii="Times New Roman" w:hAnsi="Times New Roman"/>
          <w:color w:val="000000" w:themeColor="text1"/>
          <w:sz w:val="24"/>
          <w:szCs w:val="24"/>
        </w:rPr>
        <w:t xml:space="preserve"> </w:t>
      </w:r>
      <w:r w:rsidRPr="00E37EED">
        <w:rPr>
          <w:rFonts w:ascii="Times New Roman" w:hAnsi="Times New Roman"/>
          <w:color w:val="000000" w:themeColor="text1"/>
          <w:sz w:val="24"/>
          <w:szCs w:val="24"/>
        </w:rPr>
        <w:t>with Pacific diaspora organised by the Department of Foreign Affairs and Trade.</w:t>
      </w:r>
      <w:r>
        <w:rPr>
          <w:rFonts w:ascii="Times New Roman" w:hAnsi="Times New Roman"/>
          <w:color w:val="000000" w:themeColor="text1"/>
          <w:sz w:val="24"/>
          <w:szCs w:val="24"/>
        </w:rPr>
        <w:t xml:space="preserve"> </w:t>
      </w:r>
      <w:r w:rsidRPr="00E37EED">
        <w:rPr>
          <w:rFonts w:ascii="Times New Roman" w:hAnsi="Times New Roman"/>
          <w:color w:val="000000" w:themeColor="text1"/>
          <w:sz w:val="24"/>
          <w:szCs w:val="24"/>
        </w:rPr>
        <w:t xml:space="preserve">The department will continue to engage with the stakeholder members of the </w:t>
      </w:r>
      <w:r>
        <w:rPr>
          <w:rFonts w:ascii="Times New Roman" w:hAnsi="Times New Roman"/>
          <w:color w:val="000000" w:themeColor="text1"/>
          <w:sz w:val="24"/>
          <w:szCs w:val="24"/>
        </w:rPr>
        <w:t>SWP</w:t>
      </w:r>
      <w:r w:rsidRPr="00E37EED">
        <w:rPr>
          <w:rFonts w:ascii="Times New Roman" w:hAnsi="Times New Roman"/>
          <w:color w:val="000000" w:themeColor="text1"/>
          <w:sz w:val="24"/>
          <w:szCs w:val="24"/>
        </w:rPr>
        <w:t xml:space="preserve"> Advisory Group, as well as other relevant stakeholders, throughout the implementation process.</w:t>
      </w:r>
      <w:r w:rsidRPr="00E935A6">
        <w:rPr>
          <w:rFonts w:ascii="Times New Roman" w:hAnsi="Times New Roman"/>
          <w:color w:val="000000" w:themeColor="text1"/>
          <w:sz w:val="24"/>
          <w:szCs w:val="24"/>
        </w:rPr>
        <w:t xml:space="preserve"> </w:t>
      </w:r>
    </w:p>
    <w:p w14:paraId="5C390080" w14:textId="77777777" w:rsidR="00860C3F" w:rsidRDefault="00860C3F" w:rsidP="00860C3F">
      <w:pPr>
        <w:rPr>
          <w:rFonts w:ascii="Times New Roman" w:hAnsi="Times New Roman"/>
          <w:color w:val="000000" w:themeColor="text1"/>
          <w:sz w:val="24"/>
          <w:szCs w:val="24"/>
        </w:rPr>
      </w:pPr>
    </w:p>
    <w:p w14:paraId="11D50DBD" w14:textId="77777777" w:rsidR="00860C3F" w:rsidRDefault="00860C3F" w:rsidP="00860C3F">
      <w:pPr>
        <w:rPr>
          <w:rFonts w:ascii="Times New Roman" w:hAnsi="Times New Roman"/>
          <w:color w:val="000000" w:themeColor="text1"/>
          <w:sz w:val="24"/>
          <w:szCs w:val="24"/>
        </w:rPr>
      </w:pPr>
      <w:bookmarkStart w:id="2" w:name="_Hlk54014892"/>
      <w:r w:rsidRPr="006F7AC6">
        <w:rPr>
          <w:rFonts w:ascii="Times New Roman" w:hAnsi="Times New Roman"/>
          <w:color w:val="000000" w:themeColor="text1"/>
          <w:sz w:val="24"/>
          <w:szCs w:val="24"/>
        </w:rPr>
        <w:t xml:space="preserve">Funding of $9 million was included in the 2020-21 Budget under the measure </w:t>
      </w:r>
      <w:r>
        <w:rPr>
          <w:rFonts w:ascii="Times New Roman" w:hAnsi="Times New Roman"/>
          <w:color w:val="000000" w:themeColor="text1"/>
          <w:sz w:val="24"/>
          <w:szCs w:val="24"/>
        </w:rPr>
        <w:t>‘</w:t>
      </w:r>
      <w:r w:rsidRPr="006F7AC6">
        <w:rPr>
          <w:rFonts w:ascii="Times New Roman" w:hAnsi="Times New Roman"/>
          <w:color w:val="000000" w:themeColor="text1"/>
          <w:sz w:val="24"/>
          <w:szCs w:val="24"/>
        </w:rPr>
        <w:t>Employment Services</w:t>
      </w:r>
      <w:r>
        <w:rPr>
          <w:rFonts w:ascii="Times New Roman" w:hAnsi="Times New Roman"/>
          <w:color w:val="000000" w:themeColor="text1"/>
          <w:sz w:val="24"/>
          <w:szCs w:val="24"/>
        </w:rPr>
        <w:t>’</w:t>
      </w:r>
      <w:r w:rsidRPr="006F7AC6">
        <w:rPr>
          <w:rFonts w:ascii="Times New Roman" w:hAnsi="Times New Roman"/>
          <w:color w:val="000000" w:themeColor="text1"/>
          <w:sz w:val="24"/>
          <w:szCs w:val="24"/>
        </w:rPr>
        <w:t xml:space="preserve"> for a period of three years </w:t>
      </w:r>
      <w:r>
        <w:rPr>
          <w:rFonts w:ascii="Times New Roman" w:hAnsi="Times New Roman"/>
          <w:color w:val="000000" w:themeColor="text1"/>
          <w:sz w:val="24"/>
          <w:szCs w:val="24"/>
        </w:rPr>
        <w:t>from</w:t>
      </w:r>
      <w:r w:rsidRPr="006F7AC6">
        <w:rPr>
          <w:rFonts w:ascii="Times New Roman" w:hAnsi="Times New Roman"/>
          <w:color w:val="000000" w:themeColor="text1"/>
          <w:sz w:val="24"/>
          <w:szCs w:val="24"/>
        </w:rPr>
        <w:t xml:space="preserve"> 2020-21 to ensure the welfare of Pacific </w:t>
      </w:r>
      <w:r>
        <w:rPr>
          <w:rFonts w:ascii="Times New Roman" w:hAnsi="Times New Roman"/>
          <w:color w:val="000000" w:themeColor="text1"/>
          <w:sz w:val="24"/>
          <w:szCs w:val="24"/>
        </w:rPr>
        <w:t>w</w:t>
      </w:r>
      <w:r w:rsidRPr="006F7AC6">
        <w:rPr>
          <w:rFonts w:ascii="Times New Roman" w:hAnsi="Times New Roman"/>
          <w:color w:val="000000" w:themeColor="text1"/>
          <w:sz w:val="24"/>
          <w:szCs w:val="24"/>
        </w:rPr>
        <w:t>orkers participating in the SWP</w:t>
      </w:r>
      <w:r>
        <w:rPr>
          <w:rFonts w:ascii="Times New Roman" w:hAnsi="Times New Roman"/>
          <w:color w:val="000000" w:themeColor="text1"/>
          <w:sz w:val="24"/>
          <w:szCs w:val="24"/>
        </w:rPr>
        <w:t>.</w:t>
      </w:r>
      <w:r w:rsidRPr="006F7AC6">
        <w:rPr>
          <w:rFonts w:ascii="Times New Roman" w:hAnsi="Times New Roman"/>
          <w:color w:val="000000" w:themeColor="text1"/>
          <w:sz w:val="24"/>
          <w:szCs w:val="24"/>
        </w:rPr>
        <w:t xml:space="preserve"> This includes $1 million</w:t>
      </w:r>
      <w:r>
        <w:rPr>
          <w:rFonts w:ascii="Times New Roman" w:hAnsi="Times New Roman"/>
          <w:color w:val="000000" w:themeColor="text1"/>
          <w:sz w:val="24"/>
          <w:szCs w:val="24"/>
        </w:rPr>
        <w:t xml:space="preserve"> over</w:t>
      </w:r>
      <w:r w:rsidRPr="006F7AC6">
        <w:rPr>
          <w:rFonts w:ascii="Times New Roman" w:hAnsi="Times New Roman"/>
          <w:color w:val="000000" w:themeColor="text1"/>
          <w:sz w:val="24"/>
          <w:szCs w:val="24"/>
        </w:rPr>
        <w:t xml:space="preserve"> three years </w:t>
      </w:r>
      <w:r>
        <w:rPr>
          <w:rFonts w:ascii="Times New Roman" w:hAnsi="Times New Roman"/>
          <w:color w:val="000000" w:themeColor="text1"/>
          <w:sz w:val="24"/>
          <w:szCs w:val="24"/>
        </w:rPr>
        <w:t>from</w:t>
      </w:r>
      <w:r w:rsidRPr="006F7AC6">
        <w:rPr>
          <w:rFonts w:ascii="Times New Roman" w:hAnsi="Times New Roman"/>
          <w:color w:val="000000" w:themeColor="text1"/>
          <w:sz w:val="24"/>
          <w:szCs w:val="24"/>
        </w:rPr>
        <w:t xml:space="preserve"> 2020-21 for the </w:t>
      </w:r>
      <w:r>
        <w:rPr>
          <w:rFonts w:ascii="Times New Roman" w:hAnsi="Times New Roman"/>
          <w:color w:val="000000" w:themeColor="text1"/>
          <w:sz w:val="24"/>
          <w:szCs w:val="24"/>
        </w:rPr>
        <w:t>Community Connections p</w:t>
      </w:r>
      <w:r w:rsidRPr="006F7AC6">
        <w:rPr>
          <w:rFonts w:ascii="Times New Roman" w:hAnsi="Times New Roman"/>
          <w:color w:val="000000" w:themeColor="text1"/>
          <w:sz w:val="24"/>
          <w:szCs w:val="24"/>
        </w:rPr>
        <w:t>roject.</w:t>
      </w:r>
      <w:r>
        <w:rPr>
          <w:rFonts w:ascii="Times New Roman" w:hAnsi="Times New Roman"/>
          <w:color w:val="000000" w:themeColor="text1"/>
          <w:sz w:val="24"/>
          <w:szCs w:val="24"/>
        </w:rPr>
        <w:t xml:space="preserve"> </w:t>
      </w:r>
      <w:r w:rsidRPr="006F7AC6">
        <w:rPr>
          <w:rFonts w:ascii="Times New Roman" w:hAnsi="Times New Roman"/>
          <w:color w:val="000000" w:themeColor="text1"/>
          <w:sz w:val="24"/>
          <w:szCs w:val="24"/>
        </w:rPr>
        <w:t xml:space="preserve">Details are set out in </w:t>
      </w:r>
      <w:r w:rsidRPr="006F7AC6">
        <w:rPr>
          <w:rFonts w:ascii="Times New Roman" w:hAnsi="Times New Roman"/>
          <w:i/>
          <w:color w:val="000000" w:themeColor="text1"/>
          <w:sz w:val="24"/>
          <w:szCs w:val="24"/>
        </w:rPr>
        <w:t xml:space="preserve">Budget 2020-21, Budget Measures, Budget Paper No. 2 2020-21 </w:t>
      </w:r>
      <w:r w:rsidRPr="006F7AC6">
        <w:rPr>
          <w:rFonts w:ascii="Times New Roman" w:hAnsi="Times New Roman"/>
          <w:color w:val="000000" w:themeColor="text1"/>
          <w:sz w:val="24"/>
          <w:szCs w:val="24"/>
        </w:rPr>
        <w:t xml:space="preserve">at pages 74 to 76.  </w:t>
      </w:r>
    </w:p>
    <w:p w14:paraId="357CB9F8" w14:textId="77777777" w:rsidR="00860C3F" w:rsidRPr="006F7AC6" w:rsidRDefault="00860C3F" w:rsidP="00860C3F">
      <w:pPr>
        <w:rPr>
          <w:rFonts w:ascii="Times New Roman" w:hAnsi="Times New Roman"/>
          <w:color w:val="000000" w:themeColor="text1"/>
          <w:sz w:val="24"/>
          <w:szCs w:val="24"/>
        </w:rPr>
      </w:pPr>
    </w:p>
    <w:bookmarkEnd w:id="2"/>
    <w:p w14:paraId="0CF71C50" w14:textId="77777777" w:rsidR="00860C3F" w:rsidRPr="006F7AC6" w:rsidRDefault="00860C3F" w:rsidP="00860C3F">
      <w:pPr>
        <w:rPr>
          <w:rFonts w:ascii="Times New Roman" w:hAnsi="Times New Roman"/>
          <w:color w:val="000000" w:themeColor="text1"/>
          <w:sz w:val="24"/>
          <w:szCs w:val="24"/>
        </w:rPr>
      </w:pPr>
      <w:r w:rsidRPr="006F7AC6">
        <w:rPr>
          <w:rFonts w:ascii="Times New Roman" w:hAnsi="Times New Roman"/>
          <w:color w:val="000000" w:themeColor="text1"/>
          <w:sz w:val="24"/>
          <w:szCs w:val="24"/>
        </w:rPr>
        <w:t>Funding for this item will come from the SWP</w:t>
      </w:r>
      <w:r>
        <w:rPr>
          <w:rFonts w:ascii="Times New Roman" w:hAnsi="Times New Roman"/>
          <w:color w:val="000000" w:themeColor="text1"/>
          <w:sz w:val="24"/>
          <w:szCs w:val="24"/>
        </w:rPr>
        <w:t xml:space="preserve"> subprogram </w:t>
      </w:r>
      <w:r w:rsidRPr="006F7AC6">
        <w:rPr>
          <w:rFonts w:ascii="Times New Roman" w:hAnsi="Times New Roman"/>
          <w:color w:val="000000" w:themeColor="text1"/>
          <w:sz w:val="24"/>
          <w:szCs w:val="24"/>
        </w:rPr>
        <w:t>under Program 4.1: Employment Services</w:t>
      </w:r>
      <w:r>
        <w:rPr>
          <w:rFonts w:ascii="Times New Roman" w:hAnsi="Times New Roman"/>
          <w:color w:val="000000" w:themeColor="text1"/>
          <w:sz w:val="24"/>
          <w:szCs w:val="24"/>
        </w:rPr>
        <w:t>,</w:t>
      </w:r>
      <w:r w:rsidRPr="006F7AC6">
        <w:rPr>
          <w:rFonts w:ascii="Times New Roman" w:hAnsi="Times New Roman"/>
          <w:color w:val="000000" w:themeColor="text1"/>
          <w:sz w:val="24"/>
          <w:szCs w:val="24"/>
        </w:rPr>
        <w:t xml:space="preserve"> which is part of Outcome 4. Details are set out in the </w:t>
      </w:r>
      <w:r w:rsidRPr="006F7AC6">
        <w:rPr>
          <w:rFonts w:ascii="Times New Roman" w:hAnsi="Times New Roman"/>
          <w:i/>
          <w:color w:val="000000" w:themeColor="text1"/>
          <w:sz w:val="24"/>
          <w:szCs w:val="24"/>
        </w:rPr>
        <w:t>Portfolio Budget Statements 2020-21, Budget Related Paper No. 1.4, Education, Skills and Employment Portfolio</w:t>
      </w:r>
      <w:r w:rsidRPr="006F7AC6">
        <w:rPr>
          <w:rFonts w:ascii="Times New Roman" w:hAnsi="Times New Roman"/>
          <w:color w:val="000000" w:themeColor="text1"/>
          <w:sz w:val="24"/>
          <w:szCs w:val="24"/>
        </w:rPr>
        <w:t xml:space="preserve"> at pages 18, 24 and 73. </w:t>
      </w:r>
    </w:p>
    <w:p w14:paraId="7F05EBE5" w14:textId="77777777" w:rsidR="00860C3F" w:rsidRDefault="00860C3F" w:rsidP="00860C3F">
      <w:pPr>
        <w:rPr>
          <w:rFonts w:ascii="Times New Roman" w:hAnsi="Times New Roman"/>
          <w:color w:val="000000" w:themeColor="text1"/>
          <w:sz w:val="24"/>
          <w:szCs w:val="24"/>
        </w:rPr>
      </w:pPr>
    </w:p>
    <w:p w14:paraId="2137B14C" w14:textId="77777777" w:rsidR="00860C3F" w:rsidRPr="00DC5E86" w:rsidRDefault="00860C3F" w:rsidP="00860C3F">
      <w:pPr>
        <w:shd w:val="clear" w:color="auto" w:fill="FFFFFF"/>
        <w:rPr>
          <w:rFonts w:ascii="Times New Roman" w:hAnsi="Times New Roman"/>
          <w:sz w:val="24"/>
          <w:szCs w:val="24"/>
        </w:rPr>
      </w:pPr>
      <w:r w:rsidRPr="00DC5E86">
        <w:rPr>
          <w:rFonts w:ascii="Times New Roman" w:hAnsi="Times New Roman"/>
          <w:sz w:val="24"/>
          <w:szCs w:val="24"/>
        </w:rPr>
        <w:t xml:space="preserve">Noting that it is not a comprehensive statement of relevant constitutional considerations, the objective of the item references the following powers of the Constitution: </w:t>
      </w:r>
    </w:p>
    <w:p w14:paraId="709962E2" w14:textId="77777777" w:rsidR="00860C3F" w:rsidRPr="00DC5E86" w:rsidRDefault="00860C3F" w:rsidP="00860C3F">
      <w:pPr>
        <w:pStyle w:val="ListParagraph"/>
        <w:numPr>
          <w:ilvl w:val="0"/>
          <w:numId w:val="42"/>
        </w:numPr>
        <w:ind w:right="57"/>
        <w:contextualSpacing w:val="0"/>
        <w:rPr>
          <w:rFonts w:cs="Times New Roman"/>
          <w:color w:val="000000"/>
          <w:szCs w:val="24"/>
        </w:rPr>
      </w:pPr>
      <w:r w:rsidRPr="00DC5E86">
        <w:rPr>
          <w:rFonts w:cs="Times New Roman"/>
          <w:color w:val="000000"/>
          <w:szCs w:val="24"/>
        </w:rPr>
        <w:lastRenderedPageBreak/>
        <w:t xml:space="preserve">the </w:t>
      </w:r>
      <w:r>
        <w:rPr>
          <w:rFonts w:cs="Times New Roman"/>
          <w:color w:val="000000"/>
          <w:szCs w:val="24"/>
        </w:rPr>
        <w:t>aliens</w:t>
      </w:r>
      <w:r w:rsidRPr="00DC5E86">
        <w:rPr>
          <w:rFonts w:cs="Times New Roman"/>
          <w:color w:val="000000"/>
          <w:szCs w:val="24"/>
        </w:rPr>
        <w:t xml:space="preserve"> power (section 51(xix)); and</w:t>
      </w:r>
    </w:p>
    <w:p w14:paraId="477373BC" w14:textId="77777777" w:rsidR="00860C3F" w:rsidRPr="00DC5E86" w:rsidRDefault="00860C3F" w:rsidP="00860C3F">
      <w:pPr>
        <w:pStyle w:val="ListParagraph"/>
        <w:numPr>
          <w:ilvl w:val="0"/>
          <w:numId w:val="42"/>
        </w:numPr>
        <w:ind w:right="57"/>
        <w:contextualSpacing w:val="0"/>
        <w:rPr>
          <w:rFonts w:cs="Times New Roman"/>
          <w:color w:val="000000"/>
          <w:szCs w:val="24"/>
        </w:rPr>
      </w:pPr>
      <w:r w:rsidRPr="00DC5E86">
        <w:rPr>
          <w:rFonts w:cs="Times New Roman"/>
          <w:szCs w:val="24"/>
        </w:rPr>
        <w:t xml:space="preserve">the </w:t>
      </w:r>
      <w:r>
        <w:rPr>
          <w:rFonts w:cs="Times New Roman"/>
          <w:szCs w:val="24"/>
        </w:rPr>
        <w:t>immigration and emigration power</w:t>
      </w:r>
      <w:r w:rsidRPr="00DC5E86">
        <w:rPr>
          <w:rFonts w:cs="Times New Roman"/>
          <w:szCs w:val="24"/>
        </w:rPr>
        <w:t xml:space="preserve"> (section 51(x</w:t>
      </w:r>
      <w:r>
        <w:rPr>
          <w:rFonts w:cs="Times New Roman"/>
          <w:szCs w:val="24"/>
        </w:rPr>
        <w:t>xvii</w:t>
      </w:r>
      <w:r w:rsidRPr="00DC5E86">
        <w:rPr>
          <w:rFonts w:cs="Times New Roman"/>
          <w:szCs w:val="24"/>
        </w:rPr>
        <w:t>))</w:t>
      </w:r>
      <w:r w:rsidRPr="00DC5E86">
        <w:rPr>
          <w:rFonts w:cs="Times New Roman"/>
          <w:color w:val="000000"/>
          <w:szCs w:val="24"/>
        </w:rPr>
        <w:t>.</w:t>
      </w:r>
    </w:p>
    <w:p w14:paraId="332BC20C" w14:textId="77777777" w:rsidR="00860C3F" w:rsidRPr="00DC5E86" w:rsidRDefault="00860C3F" w:rsidP="00860C3F">
      <w:pPr>
        <w:rPr>
          <w:rFonts w:ascii="Times New Roman" w:hAnsi="Times New Roman"/>
          <w:b/>
        </w:rPr>
      </w:pPr>
    </w:p>
    <w:p w14:paraId="30C01C87" w14:textId="77777777" w:rsidR="00860C3F" w:rsidRPr="00DC5E86" w:rsidRDefault="00860C3F" w:rsidP="00860C3F">
      <w:pPr>
        <w:shd w:val="clear" w:color="auto" w:fill="FFFFFF"/>
        <w:rPr>
          <w:rFonts w:ascii="Times New Roman" w:hAnsi="Times New Roman"/>
          <w:i/>
          <w:iCs/>
          <w:sz w:val="24"/>
          <w:szCs w:val="24"/>
          <w:u w:val="single"/>
        </w:rPr>
      </w:pPr>
      <w:r>
        <w:rPr>
          <w:rFonts w:ascii="Times New Roman" w:hAnsi="Times New Roman"/>
          <w:i/>
          <w:iCs/>
          <w:sz w:val="24"/>
          <w:szCs w:val="24"/>
          <w:u w:val="single"/>
        </w:rPr>
        <w:t>Aliens</w:t>
      </w:r>
      <w:r w:rsidRPr="00DC5E86">
        <w:rPr>
          <w:rFonts w:ascii="Times New Roman" w:hAnsi="Times New Roman"/>
          <w:i/>
          <w:iCs/>
          <w:sz w:val="24"/>
          <w:szCs w:val="24"/>
          <w:u w:val="single"/>
        </w:rPr>
        <w:t xml:space="preserve"> power</w:t>
      </w:r>
    </w:p>
    <w:p w14:paraId="55133C89" w14:textId="77777777" w:rsidR="00860C3F" w:rsidRDefault="00860C3F" w:rsidP="00860C3F">
      <w:pPr>
        <w:shd w:val="clear" w:color="auto" w:fill="FFFFFF"/>
        <w:rPr>
          <w:rFonts w:ascii="Times New Roman" w:hAnsi="Times New Roman"/>
          <w:i/>
          <w:sz w:val="24"/>
          <w:szCs w:val="24"/>
          <w:u w:val="single"/>
          <w:lang w:val="en-US"/>
        </w:rPr>
      </w:pPr>
    </w:p>
    <w:p w14:paraId="5E063746" w14:textId="77777777" w:rsidR="00860C3F" w:rsidRDefault="00860C3F" w:rsidP="00860C3F">
      <w:pPr>
        <w:shd w:val="clear" w:color="auto" w:fill="FFFFFF"/>
        <w:rPr>
          <w:rFonts w:ascii="Times New Roman" w:hAnsi="Times New Roman"/>
          <w:sz w:val="24"/>
          <w:szCs w:val="24"/>
        </w:rPr>
      </w:pPr>
      <w:r w:rsidRPr="00FC0CDE">
        <w:rPr>
          <w:rFonts w:ascii="Times New Roman" w:hAnsi="Times New Roman"/>
          <w:sz w:val="24"/>
          <w:szCs w:val="24"/>
        </w:rPr>
        <w:t xml:space="preserve">Section 51(xix) of the Constitution empowers the Parliament to make laws with respect to ‘naturalization and aliens’.  </w:t>
      </w:r>
    </w:p>
    <w:p w14:paraId="2F835AA9" w14:textId="77777777" w:rsidR="00860C3F" w:rsidRPr="00FC0CDE" w:rsidRDefault="00860C3F" w:rsidP="00860C3F">
      <w:pPr>
        <w:shd w:val="clear" w:color="auto" w:fill="FFFFFF"/>
        <w:rPr>
          <w:rFonts w:ascii="Times New Roman" w:hAnsi="Times New Roman"/>
          <w:sz w:val="24"/>
          <w:szCs w:val="24"/>
        </w:rPr>
      </w:pPr>
    </w:p>
    <w:p w14:paraId="5D39E441" w14:textId="77777777" w:rsidR="00860C3F" w:rsidRDefault="00860C3F" w:rsidP="00860C3F">
      <w:pPr>
        <w:shd w:val="clear" w:color="auto" w:fill="FFFFFF"/>
        <w:rPr>
          <w:rFonts w:ascii="Times New Roman" w:hAnsi="Times New Roman"/>
          <w:sz w:val="24"/>
          <w:szCs w:val="24"/>
        </w:rPr>
      </w:pPr>
      <w:r w:rsidRPr="00FC0CDE">
        <w:rPr>
          <w:rFonts w:ascii="Times New Roman" w:hAnsi="Times New Roman"/>
          <w:sz w:val="24"/>
          <w:szCs w:val="24"/>
        </w:rPr>
        <w:t>The Community Connection</w:t>
      </w:r>
      <w:r>
        <w:rPr>
          <w:rFonts w:ascii="Times New Roman" w:hAnsi="Times New Roman"/>
          <w:sz w:val="24"/>
          <w:szCs w:val="24"/>
        </w:rPr>
        <w:t xml:space="preserve">s project under the measure </w:t>
      </w:r>
      <w:r w:rsidRPr="00FC0CDE">
        <w:rPr>
          <w:rFonts w:ascii="Times New Roman" w:hAnsi="Times New Roman"/>
          <w:sz w:val="24"/>
          <w:szCs w:val="24"/>
        </w:rPr>
        <w:t>will increase community capacity to assist Pacific and Timorese workers under the SWP through expenditure on initiatives assisting newly arrived migrants and non-citizens. The role of the not-for-profit organisation</w:t>
      </w:r>
      <w:r>
        <w:rPr>
          <w:rFonts w:ascii="Times New Roman" w:hAnsi="Times New Roman"/>
          <w:sz w:val="24"/>
          <w:szCs w:val="24"/>
        </w:rPr>
        <w:t>/s</w:t>
      </w:r>
      <w:r w:rsidRPr="00FC0CDE">
        <w:rPr>
          <w:rFonts w:ascii="Times New Roman" w:hAnsi="Times New Roman"/>
          <w:sz w:val="24"/>
          <w:szCs w:val="24"/>
        </w:rPr>
        <w:t xml:space="preserve"> has been designed for </w:t>
      </w:r>
      <w:r>
        <w:rPr>
          <w:rFonts w:ascii="Times New Roman" w:hAnsi="Times New Roman"/>
          <w:sz w:val="24"/>
          <w:szCs w:val="24"/>
        </w:rPr>
        <w:t xml:space="preserve">the </w:t>
      </w:r>
      <w:r w:rsidRPr="00FC0CDE">
        <w:rPr>
          <w:rFonts w:ascii="Times New Roman" w:hAnsi="Times New Roman"/>
          <w:sz w:val="24"/>
          <w:szCs w:val="24"/>
        </w:rPr>
        <w:t xml:space="preserve">SWP workers and their welfare. </w:t>
      </w:r>
    </w:p>
    <w:p w14:paraId="10F669CF" w14:textId="77777777" w:rsidR="00860C3F" w:rsidRPr="00FC0CDE" w:rsidRDefault="00860C3F" w:rsidP="00860C3F">
      <w:pPr>
        <w:shd w:val="clear" w:color="auto" w:fill="FFFFFF"/>
        <w:rPr>
          <w:rFonts w:ascii="Times New Roman" w:hAnsi="Times New Roman"/>
          <w:sz w:val="24"/>
          <w:szCs w:val="24"/>
        </w:rPr>
      </w:pPr>
    </w:p>
    <w:p w14:paraId="5845D5A8" w14:textId="77777777" w:rsidR="00860C3F" w:rsidRPr="00FC0CDE" w:rsidRDefault="00860C3F" w:rsidP="00860C3F">
      <w:pPr>
        <w:shd w:val="clear" w:color="auto" w:fill="FFFFFF"/>
        <w:rPr>
          <w:rFonts w:ascii="Times New Roman" w:hAnsi="Times New Roman"/>
          <w:i/>
          <w:iCs/>
          <w:sz w:val="24"/>
          <w:szCs w:val="24"/>
          <w:u w:val="single"/>
        </w:rPr>
      </w:pPr>
      <w:r w:rsidRPr="00FC0CDE">
        <w:rPr>
          <w:rFonts w:ascii="Times New Roman" w:hAnsi="Times New Roman"/>
          <w:i/>
          <w:iCs/>
          <w:sz w:val="24"/>
          <w:szCs w:val="24"/>
          <w:u w:val="single"/>
        </w:rPr>
        <w:t>Immigration and emigration power</w:t>
      </w:r>
    </w:p>
    <w:p w14:paraId="0A22755C" w14:textId="77777777" w:rsidR="00860C3F" w:rsidRPr="00FC0CDE" w:rsidRDefault="00860C3F" w:rsidP="00860C3F">
      <w:pPr>
        <w:shd w:val="clear" w:color="auto" w:fill="FFFFFF"/>
        <w:rPr>
          <w:rFonts w:ascii="Times New Roman" w:hAnsi="Times New Roman"/>
          <w:sz w:val="24"/>
          <w:szCs w:val="24"/>
        </w:rPr>
      </w:pPr>
    </w:p>
    <w:p w14:paraId="66FD1067" w14:textId="77777777" w:rsidR="00860C3F" w:rsidRDefault="00860C3F" w:rsidP="00860C3F">
      <w:pPr>
        <w:shd w:val="clear" w:color="auto" w:fill="FFFFFF"/>
        <w:rPr>
          <w:rFonts w:ascii="Times New Roman" w:hAnsi="Times New Roman"/>
          <w:sz w:val="24"/>
          <w:szCs w:val="24"/>
        </w:rPr>
      </w:pPr>
      <w:r w:rsidRPr="00FC0CDE">
        <w:rPr>
          <w:rFonts w:ascii="Times New Roman" w:hAnsi="Times New Roman"/>
          <w:sz w:val="24"/>
          <w:szCs w:val="24"/>
        </w:rPr>
        <w:t>Section 51(xxvii) of the Constitution empowers the Parliamen</w:t>
      </w:r>
      <w:r>
        <w:rPr>
          <w:rFonts w:ascii="Times New Roman" w:hAnsi="Times New Roman"/>
          <w:sz w:val="24"/>
          <w:szCs w:val="24"/>
        </w:rPr>
        <w:t>t to make laws with respect to ‘</w:t>
      </w:r>
      <w:r w:rsidRPr="00FC0CDE">
        <w:rPr>
          <w:rFonts w:ascii="Times New Roman" w:hAnsi="Times New Roman"/>
          <w:sz w:val="24"/>
          <w:szCs w:val="24"/>
        </w:rPr>
        <w:t xml:space="preserve">immigration and emigration’. </w:t>
      </w:r>
    </w:p>
    <w:p w14:paraId="156B3249" w14:textId="77777777" w:rsidR="00860C3F" w:rsidRPr="00FC0CDE" w:rsidRDefault="00860C3F" w:rsidP="00860C3F">
      <w:pPr>
        <w:shd w:val="clear" w:color="auto" w:fill="FFFFFF"/>
        <w:rPr>
          <w:rFonts w:ascii="Times New Roman" w:hAnsi="Times New Roman"/>
          <w:sz w:val="24"/>
          <w:szCs w:val="24"/>
        </w:rPr>
      </w:pPr>
      <w:r w:rsidRPr="00FC0CDE">
        <w:rPr>
          <w:rFonts w:ascii="Times New Roman" w:hAnsi="Times New Roman"/>
          <w:sz w:val="24"/>
          <w:szCs w:val="24"/>
        </w:rPr>
        <w:t xml:space="preserve"> </w:t>
      </w:r>
    </w:p>
    <w:p w14:paraId="1D71494D" w14:textId="4C74DF74" w:rsidR="00860C3F" w:rsidRDefault="00860C3F" w:rsidP="00860C3F">
      <w:pPr>
        <w:rPr>
          <w:rFonts w:ascii="Times New Roman" w:hAnsi="Times New Roman"/>
          <w:sz w:val="24"/>
          <w:szCs w:val="24"/>
        </w:rPr>
      </w:pPr>
      <w:r w:rsidRPr="00FC0CDE">
        <w:rPr>
          <w:rFonts w:ascii="Times New Roman" w:hAnsi="Times New Roman"/>
          <w:sz w:val="24"/>
          <w:szCs w:val="24"/>
        </w:rPr>
        <w:t>The Community Connection</w:t>
      </w:r>
      <w:r>
        <w:rPr>
          <w:rFonts w:ascii="Times New Roman" w:hAnsi="Times New Roman"/>
          <w:sz w:val="24"/>
          <w:szCs w:val="24"/>
        </w:rPr>
        <w:t xml:space="preserve">s project under the measure </w:t>
      </w:r>
      <w:r w:rsidRPr="00FC0CDE">
        <w:rPr>
          <w:rFonts w:ascii="Times New Roman" w:hAnsi="Times New Roman"/>
          <w:sz w:val="24"/>
          <w:szCs w:val="24"/>
        </w:rPr>
        <w:t>is specifically focused on enabling newly arrived migrants and non-citizens to receive an increased level of welfare support throughout their involvement with the SWP.</w:t>
      </w:r>
    </w:p>
    <w:p w14:paraId="12C24E1E" w14:textId="77777777" w:rsidR="00020AFB" w:rsidRDefault="00020AFB" w:rsidP="00EF5414">
      <w:pPr>
        <w:rPr>
          <w:rFonts w:ascii="Times New Roman" w:hAnsi="Times New Roman"/>
          <w:iCs/>
          <w:sz w:val="24"/>
          <w:szCs w:val="24"/>
        </w:rPr>
      </w:pPr>
    </w:p>
    <w:p w14:paraId="1E0412AD" w14:textId="77777777" w:rsidR="00020AFB" w:rsidRDefault="00020AFB" w:rsidP="00EF5414">
      <w:pPr>
        <w:rPr>
          <w:rFonts w:ascii="Times New Roman" w:hAnsi="Times New Roman"/>
          <w:sz w:val="24"/>
          <w:szCs w:val="24"/>
        </w:rPr>
      </w:pPr>
    </w:p>
    <w:p w14:paraId="50C876AD" w14:textId="77777777" w:rsidR="00705B73" w:rsidRDefault="00705B73" w:rsidP="00EF5414">
      <w:pPr>
        <w:rPr>
          <w:rFonts w:ascii="Times New Roman" w:hAnsi="Times New Roman"/>
          <w:sz w:val="24"/>
          <w:szCs w:val="24"/>
        </w:rPr>
      </w:pPr>
    </w:p>
    <w:p w14:paraId="7568A4CE" w14:textId="77777777" w:rsidR="00705B73" w:rsidRDefault="00705B73" w:rsidP="00EF5414">
      <w:pPr>
        <w:rPr>
          <w:rFonts w:ascii="Times New Roman" w:hAnsi="Times New Roman"/>
          <w:sz w:val="24"/>
          <w:szCs w:val="24"/>
        </w:rPr>
      </w:pPr>
    </w:p>
    <w:p w14:paraId="186CA91B" w14:textId="77777777" w:rsidR="00360A88" w:rsidRPr="002E5DBC" w:rsidRDefault="00360A88" w:rsidP="00EF5414">
      <w:pPr>
        <w:rPr>
          <w:rFonts w:ascii="Times New Roman" w:hAnsi="Times New Roman"/>
          <w:color w:val="000000" w:themeColor="text1"/>
          <w:sz w:val="24"/>
          <w:szCs w:val="24"/>
        </w:rPr>
      </w:pPr>
    </w:p>
    <w:p w14:paraId="44C37A9B" w14:textId="77777777" w:rsidR="007A1075" w:rsidRPr="002E5DBC" w:rsidRDefault="007A1075" w:rsidP="00EF5414">
      <w:pPr>
        <w:rPr>
          <w:rFonts w:ascii="Times New Roman" w:hAnsi="Times New Roman"/>
          <w:color w:val="000000" w:themeColor="text1"/>
          <w:sz w:val="24"/>
          <w:szCs w:val="24"/>
        </w:rPr>
      </w:pPr>
    </w:p>
    <w:p w14:paraId="34673E48" w14:textId="77777777" w:rsidR="008353C5" w:rsidRPr="002E5DBC" w:rsidRDefault="008353C5" w:rsidP="00EF5414">
      <w:pPr>
        <w:spacing w:after="200" w:line="276" w:lineRule="auto"/>
        <w:rPr>
          <w:rFonts w:ascii="Times New Roman" w:eastAsiaTheme="minorHAnsi" w:hAnsi="Times New Roman"/>
          <w:sz w:val="24"/>
          <w:szCs w:val="24"/>
          <w:lang w:eastAsia="en-US"/>
        </w:rPr>
        <w:sectPr w:rsidR="008353C5" w:rsidRPr="002E5DBC"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pPr>
    </w:p>
    <w:p w14:paraId="77CD2D4A" w14:textId="77777777" w:rsidR="00BF526C" w:rsidRPr="002E5DBC" w:rsidRDefault="00BF526C" w:rsidP="00EF5414">
      <w:pPr>
        <w:contextualSpacing/>
        <w:jc w:val="center"/>
        <w:rPr>
          <w:rFonts w:ascii="Times New Roman" w:eastAsia="Times New Roman" w:hAnsi="Times New Roman"/>
          <w:b/>
          <w:bCs/>
          <w:sz w:val="24"/>
          <w:szCs w:val="24"/>
        </w:rPr>
      </w:pPr>
      <w:r w:rsidRPr="002E5DBC">
        <w:rPr>
          <w:rFonts w:ascii="Times New Roman" w:eastAsia="Times New Roman" w:hAnsi="Times New Roman"/>
          <w:b/>
          <w:bCs/>
          <w:sz w:val="24"/>
          <w:szCs w:val="24"/>
        </w:rPr>
        <w:lastRenderedPageBreak/>
        <w:t>Statement of Compatibility with Human Rights</w:t>
      </w:r>
    </w:p>
    <w:p w14:paraId="154F679F" w14:textId="77777777" w:rsidR="00BF526C" w:rsidRPr="002E5DBC" w:rsidRDefault="00BF526C" w:rsidP="00EF5414">
      <w:pPr>
        <w:pStyle w:val="paranumbering0"/>
        <w:spacing w:before="0" w:beforeAutospacing="0" w:after="0" w:afterAutospacing="0"/>
        <w:contextualSpacing/>
        <w:jc w:val="center"/>
      </w:pPr>
    </w:p>
    <w:p w14:paraId="2246FC6E" w14:textId="77777777" w:rsidR="00BF526C" w:rsidRPr="002E5DBC" w:rsidRDefault="00BF526C" w:rsidP="00EF5414">
      <w:pPr>
        <w:pStyle w:val="paranumbering0"/>
        <w:spacing w:before="0" w:beforeAutospacing="0" w:after="120" w:afterAutospacing="0"/>
        <w:contextualSpacing/>
        <w:jc w:val="center"/>
      </w:pPr>
      <w:r w:rsidRPr="002E5DBC">
        <w:t xml:space="preserve">Prepared in accordance with Part 3 of the </w:t>
      </w:r>
      <w:r w:rsidRPr="002E5DBC">
        <w:rPr>
          <w:i/>
        </w:rPr>
        <w:t>Human Rights (Parliamentary Scrutiny) Act 2011</w:t>
      </w:r>
    </w:p>
    <w:p w14:paraId="184ECE3F" w14:textId="77777777" w:rsidR="00BF526C" w:rsidRPr="002E5DBC" w:rsidRDefault="00BF526C" w:rsidP="00EF5414">
      <w:pPr>
        <w:pStyle w:val="paranumbering0"/>
        <w:spacing w:before="0" w:beforeAutospacing="0" w:after="120" w:afterAutospacing="0"/>
        <w:contextualSpacing/>
      </w:pPr>
    </w:p>
    <w:p w14:paraId="224B08E7" w14:textId="215A2CE8" w:rsidR="00BF526C" w:rsidRPr="002E5DBC" w:rsidRDefault="00BF526C" w:rsidP="00EF5414">
      <w:pPr>
        <w:pStyle w:val="paranumbering0"/>
        <w:spacing w:before="0" w:beforeAutospacing="0" w:after="120" w:afterAutospacing="0"/>
        <w:contextualSpacing/>
        <w:rPr>
          <w:b/>
          <w:i/>
        </w:rPr>
      </w:pPr>
      <w:r w:rsidRPr="002E5DBC">
        <w:rPr>
          <w:b/>
          <w:i/>
        </w:rPr>
        <w:t xml:space="preserve">Financial Framework (Supplementary Powers) Amendment </w:t>
      </w:r>
      <w:r w:rsidRPr="002E5DBC">
        <w:rPr>
          <w:b/>
          <w:i/>
          <w:iCs/>
        </w:rPr>
        <w:t>(</w:t>
      </w:r>
      <w:r w:rsidR="007C3D1A" w:rsidRPr="002E5DBC">
        <w:rPr>
          <w:b/>
          <w:i/>
          <w:iCs/>
        </w:rPr>
        <w:t>Education, Skills and Employment</w:t>
      </w:r>
      <w:r w:rsidR="00F40692" w:rsidRPr="002E5DBC">
        <w:rPr>
          <w:b/>
          <w:i/>
          <w:iCs/>
        </w:rPr>
        <w:t xml:space="preserve"> </w:t>
      </w:r>
      <w:r w:rsidRPr="002E5DBC">
        <w:rPr>
          <w:b/>
          <w:i/>
          <w:iCs/>
        </w:rPr>
        <w:t xml:space="preserve">Measures </w:t>
      </w:r>
      <w:r w:rsidR="007B14C9" w:rsidRPr="002E5DBC">
        <w:rPr>
          <w:b/>
          <w:i/>
          <w:iCs/>
        </w:rPr>
        <w:t>No.</w:t>
      </w:r>
      <w:r w:rsidR="006718A5" w:rsidRPr="002E5DBC">
        <w:rPr>
          <w:b/>
          <w:i/>
          <w:iCs/>
        </w:rPr>
        <w:t> </w:t>
      </w:r>
      <w:r w:rsidR="00216CA7">
        <w:rPr>
          <w:b/>
          <w:i/>
          <w:iCs/>
        </w:rPr>
        <w:t>8</w:t>
      </w:r>
      <w:r w:rsidRPr="002E5DBC">
        <w:rPr>
          <w:b/>
          <w:i/>
          <w:iCs/>
        </w:rPr>
        <w:t xml:space="preserve">) </w:t>
      </w:r>
      <w:r w:rsidR="00A900EC" w:rsidRPr="002E5DBC">
        <w:rPr>
          <w:b/>
          <w:i/>
        </w:rPr>
        <w:t xml:space="preserve">Regulations </w:t>
      </w:r>
      <w:r w:rsidR="007B14C9" w:rsidRPr="002E5DBC">
        <w:rPr>
          <w:b/>
          <w:i/>
        </w:rPr>
        <w:t>2020</w:t>
      </w:r>
    </w:p>
    <w:p w14:paraId="33A13A5E" w14:textId="77777777" w:rsidR="00BF526C" w:rsidRPr="002E5DBC" w:rsidRDefault="00BF526C" w:rsidP="00EF5414">
      <w:pPr>
        <w:pStyle w:val="paranumbering0"/>
        <w:spacing w:before="0" w:beforeAutospacing="0" w:after="120" w:afterAutospacing="0"/>
        <w:contextualSpacing/>
      </w:pPr>
    </w:p>
    <w:p w14:paraId="4B4907AF" w14:textId="77777777" w:rsidR="00BF526C" w:rsidRPr="002E5DBC" w:rsidRDefault="00E62C07" w:rsidP="00EF5414">
      <w:pPr>
        <w:pStyle w:val="paranumbering0"/>
        <w:spacing w:before="0" w:beforeAutospacing="0" w:after="120" w:afterAutospacing="0"/>
        <w:contextualSpacing/>
      </w:pPr>
      <w:r w:rsidRPr="002E5DBC">
        <w:t>This disallowable legislative i</w:t>
      </w:r>
      <w:r w:rsidR="008353C5" w:rsidRPr="002E5DBC">
        <w:t>nstrument is</w:t>
      </w:r>
      <w:r w:rsidR="00BF526C" w:rsidRPr="002E5DBC">
        <w:t xml:space="preserve"> compatible with the human rights and freedoms recognised or declared in the international instruments listed in section 3 of the </w:t>
      </w:r>
      <w:r w:rsidR="00BF526C" w:rsidRPr="002E5DBC">
        <w:rPr>
          <w:i/>
        </w:rPr>
        <w:t>Human Rights (Parliamentary Scrutiny) Act 2011.</w:t>
      </w:r>
      <w:r w:rsidR="00A900EC" w:rsidRPr="002E5DBC">
        <w:t xml:space="preserve"> </w:t>
      </w:r>
    </w:p>
    <w:p w14:paraId="4BB88EC1" w14:textId="77777777" w:rsidR="00BF526C" w:rsidRPr="002E5DBC" w:rsidRDefault="00BF526C" w:rsidP="00EF5414">
      <w:pPr>
        <w:pStyle w:val="paranumbering0"/>
        <w:spacing w:before="0" w:beforeAutospacing="0" w:after="120" w:afterAutospacing="0"/>
        <w:contextualSpacing/>
      </w:pPr>
    </w:p>
    <w:p w14:paraId="02495536" w14:textId="33EB7524" w:rsidR="00BF526C" w:rsidRPr="002E5DBC" w:rsidRDefault="00BF526C" w:rsidP="00EF5414">
      <w:pPr>
        <w:pStyle w:val="paranumbering0"/>
        <w:spacing w:before="0" w:beforeAutospacing="0" w:after="120" w:afterAutospacing="0"/>
        <w:contextualSpacing/>
        <w:rPr>
          <w:b/>
        </w:rPr>
      </w:pPr>
      <w:r w:rsidRPr="002E5DBC">
        <w:rPr>
          <w:b/>
        </w:rPr>
        <w:t xml:space="preserve">Overview of the </w:t>
      </w:r>
      <w:r w:rsidR="006718A5" w:rsidRPr="002E5DBC">
        <w:rPr>
          <w:b/>
        </w:rPr>
        <w:t>l</w:t>
      </w:r>
      <w:r w:rsidRPr="002E5DBC">
        <w:rPr>
          <w:b/>
        </w:rPr>
        <w:t xml:space="preserve">egislative </w:t>
      </w:r>
      <w:r w:rsidR="006718A5" w:rsidRPr="002E5DBC">
        <w:rPr>
          <w:b/>
        </w:rPr>
        <w:t>i</w:t>
      </w:r>
      <w:r w:rsidRPr="002E5DBC">
        <w:rPr>
          <w:b/>
        </w:rPr>
        <w:t>nstrument</w:t>
      </w:r>
    </w:p>
    <w:p w14:paraId="5256BCF3" w14:textId="77777777" w:rsidR="00BF526C" w:rsidRPr="002E5DBC" w:rsidRDefault="00BF526C" w:rsidP="00EF5414">
      <w:pPr>
        <w:pStyle w:val="paranumbering0"/>
        <w:spacing w:before="0" w:beforeAutospacing="0" w:after="0" w:afterAutospacing="0"/>
        <w:contextualSpacing/>
      </w:pPr>
    </w:p>
    <w:p w14:paraId="649BA94B" w14:textId="2D59E2B3" w:rsidR="00BF526C" w:rsidRPr="002E5DBC" w:rsidRDefault="00BF526C" w:rsidP="00EF5414">
      <w:pPr>
        <w:pStyle w:val="paranumbering0"/>
        <w:spacing w:before="0" w:beforeAutospacing="0" w:after="0" w:afterAutospacing="0"/>
        <w:contextualSpacing/>
      </w:pPr>
      <w:r w:rsidRPr="002E5DBC">
        <w:t xml:space="preserve">Section 32B of the </w:t>
      </w:r>
      <w:r w:rsidRPr="002E5DBC">
        <w:rPr>
          <w:i/>
        </w:rPr>
        <w:t>Financial Framework (Supplementary Powers) Act 1997</w:t>
      </w:r>
      <w:r w:rsidRPr="002E5DBC">
        <w:t xml:space="preserve"> (the FF(SP) Act) authorises the Commonwealth to make, vary and administer arrangements and grants specified in the </w:t>
      </w:r>
      <w:r w:rsidRPr="002E5DBC">
        <w:rPr>
          <w:i/>
        </w:rPr>
        <w:t xml:space="preserve">Financial Framework (Supplementary Powers) Regulations 1997 </w:t>
      </w:r>
      <w:r w:rsidRPr="002E5DBC">
        <w:t xml:space="preserve">(the FF(SP) Regulations) and to make, vary and administer arrangements and grants for the purposes of programs specified in the </w:t>
      </w:r>
      <w:r w:rsidR="008353C5" w:rsidRPr="002E5DBC">
        <w:t xml:space="preserve">FF(SP) </w:t>
      </w:r>
      <w:r w:rsidRPr="002E5DBC">
        <w:t>Regulations</w:t>
      </w:r>
      <w:r w:rsidR="00411B47" w:rsidRPr="002E5DBC">
        <w:t xml:space="preserve">. </w:t>
      </w:r>
      <w:r w:rsidRPr="002E5DBC">
        <w:t>Schedule 1AA and Schedule 1AB to the FF(SP) Regulations specify the arrangements, grants and programs</w:t>
      </w:r>
      <w:r w:rsidR="00411B47" w:rsidRPr="002E5DBC">
        <w:t xml:space="preserve">. </w:t>
      </w:r>
      <w:r w:rsidRPr="002E5DBC">
        <w:t xml:space="preserve">The </w:t>
      </w:r>
      <w:r w:rsidR="00A67397" w:rsidRPr="002E5DBC">
        <w:t xml:space="preserve">powers in the </w:t>
      </w:r>
      <w:r w:rsidRPr="002E5DBC">
        <w:t xml:space="preserve">FF(SP) Act </w:t>
      </w:r>
      <w:r w:rsidR="00A67397" w:rsidRPr="002E5DBC">
        <w:t>to make, vary or administer arrangements or grants may be exercised on behalf of the Commonwealth by</w:t>
      </w:r>
      <w:r w:rsidRPr="002E5DBC">
        <w:t xml:space="preserve"> Ministers and the accountable authorities of non</w:t>
      </w:r>
      <w:r w:rsidRPr="002E5DBC">
        <w:noBreakHyphen/>
        <w:t xml:space="preserve">corporate Commonwealth entities, as defined under section 12 of the </w:t>
      </w:r>
      <w:r w:rsidRPr="002E5DBC">
        <w:rPr>
          <w:i/>
        </w:rPr>
        <w:t>Public Governance, Performance and Accountability Act 2013</w:t>
      </w:r>
      <w:r w:rsidR="00411B47" w:rsidRPr="002E5DBC">
        <w:t xml:space="preserve">. </w:t>
      </w:r>
    </w:p>
    <w:p w14:paraId="42BA8C1F" w14:textId="77777777" w:rsidR="00BF526C" w:rsidRPr="002E5DBC" w:rsidRDefault="00BF526C" w:rsidP="00EF5414">
      <w:pPr>
        <w:spacing w:line="276" w:lineRule="auto"/>
        <w:rPr>
          <w:rFonts w:ascii="Times New Roman" w:eastAsiaTheme="minorHAnsi" w:hAnsi="Times New Roman"/>
          <w:sz w:val="24"/>
          <w:szCs w:val="24"/>
        </w:rPr>
      </w:pPr>
    </w:p>
    <w:p w14:paraId="0187B3B7" w14:textId="2811BAEF" w:rsidR="006718A5" w:rsidRPr="002E5DBC" w:rsidRDefault="00DC0AB0" w:rsidP="00EF5414">
      <w:pPr>
        <w:rPr>
          <w:rFonts w:ascii="Times New Roman" w:hAnsi="Times New Roman"/>
          <w:sz w:val="24"/>
          <w:szCs w:val="24"/>
        </w:rPr>
      </w:pPr>
      <w:r w:rsidRPr="002E5DBC">
        <w:rPr>
          <w:rFonts w:ascii="Times New Roman" w:hAnsi="Times New Roman"/>
          <w:sz w:val="24"/>
          <w:szCs w:val="24"/>
        </w:rPr>
        <w:t xml:space="preserve">The </w:t>
      </w:r>
      <w:r w:rsidRPr="002E5DBC">
        <w:rPr>
          <w:rFonts w:ascii="Times New Roman" w:hAnsi="Times New Roman"/>
          <w:i/>
          <w:sz w:val="24"/>
          <w:szCs w:val="24"/>
        </w:rPr>
        <w:t xml:space="preserve">Financial Framework (Supplementary Powers) Amendment </w:t>
      </w:r>
      <w:r w:rsidR="00085B09" w:rsidRPr="002E5DBC">
        <w:rPr>
          <w:rFonts w:ascii="Times New Roman" w:hAnsi="Times New Roman"/>
          <w:i/>
          <w:sz w:val="24"/>
          <w:szCs w:val="24"/>
        </w:rPr>
        <w:t>(</w:t>
      </w:r>
      <w:r w:rsidR="007C3D1A" w:rsidRPr="002E5DBC">
        <w:rPr>
          <w:rFonts w:ascii="Times New Roman" w:hAnsi="Times New Roman"/>
          <w:i/>
          <w:sz w:val="24"/>
          <w:szCs w:val="24"/>
        </w:rPr>
        <w:t>Education, Skills and Employment</w:t>
      </w:r>
      <w:r w:rsidRPr="002E5DBC">
        <w:rPr>
          <w:rFonts w:ascii="Times New Roman" w:hAnsi="Times New Roman"/>
          <w:i/>
          <w:sz w:val="24"/>
          <w:szCs w:val="24"/>
        </w:rPr>
        <w:t xml:space="preserve"> Measures </w:t>
      </w:r>
      <w:r w:rsidR="007B14C9" w:rsidRPr="002E5DBC">
        <w:rPr>
          <w:rFonts w:ascii="Times New Roman" w:hAnsi="Times New Roman"/>
          <w:i/>
          <w:sz w:val="24"/>
          <w:szCs w:val="24"/>
        </w:rPr>
        <w:t xml:space="preserve">No. </w:t>
      </w:r>
      <w:r w:rsidR="00216CA7">
        <w:rPr>
          <w:rFonts w:ascii="Times New Roman" w:hAnsi="Times New Roman"/>
          <w:i/>
          <w:sz w:val="24"/>
          <w:szCs w:val="24"/>
        </w:rPr>
        <w:t>8</w:t>
      </w:r>
      <w:r w:rsidRPr="002E5DBC">
        <w:rPr>
          <w:rFonts w:ascii="Times New Roman" w:hAnsi="Times New Roman"/>
          <w:i/>
          <w:sz w:val="24"/>
          <w:szCs w:val="24"/>
        </w:rPr>
        <w:t xml:space="preserve">) Regulations </w:t>
      </w:r>
      <w:r w:rsidR="007B14C9" w:rsidRPr="002E5DBC">
        <w:rPr>
          <w:rFonts w:ascii="Times New Roman" w:hAnsi="Times New Roman"/>
          <w:i/>
          <w:sz w:val="24"/>
          <w:szCs w:val="24"/>
        </w:rPr>
        <w:t>2020</w:t>
      </w:r>
      <w:r w:rsidRPr="002E5DBC">
        <w:rPr>
          <w:rFonts w:ascii="Times New Roman" w:hAnsi="Times New Roman"/>
          <w:sz w:val="24"/>
          <w:szCs w:val="24"/>
        </w:rPr>
        <w:t xml:space="preserve"> </w:t>
      </w:r>
      <w:r w:rsidR="00080C63" w:rsidRPr="002E5DBC">
        <w:rPr>
          <w:rFonts w:ascii="Times New Roman" w:hAnsi="Times New Roman"/>
          <w:sz w:val="24"/>
          <w:szCs w:val="24"/>
        </w:rPr>
        <w:t xml:space="preserve">amend Schedule 1AB </w:t>
      </w:r>
      <w:r w:rsidR="006718A5" w:rsidRPr="002E5DBC">
        <w:rPr>
          <w:rFonts w:ascii="Times New Roman" w:hAnsi="Times New Roman"/>
          <w:sz w:val="24"/>
          <w:szCs w:val="24"/>
        </w:rPr>
        <w:t>to the FF(SP)</w:t>
      </w:r>
      <w:r w:rsidR="00216CA7">
        <w:rPr>
          <w:rFonts w:ascii="Times New Roman" w:hAnsi="Times New Roman"/>
          <w:sz w:val="24"/>
          <w:szCs w:val="24"/>
        </w:rPr>
        <w:t> </w:t>
      </w:r>
      <w:r w:rsidR="006718A5" w:rsidRPr="002E5DBC">
        <w:rPr>
          <w:rFonts w:ascii="Times New Roman" w:hAnsi="Times New Roman"/>
          <w:sz w:val="24"/>
          <w:szCs w:val="24"/>
        </w:rPr>
        <w:t xml:space="preserve">Regulations to establish legislative authority for government spending on </w:t>
      </w:r>
      <w:r w:rsidR="00D907A9" w:rsidRPr="002E5DBC">
        <w:rPr>
          <w:rFonts w:ascii="Times New Roman" w:hAnsi="Times New Roman"/>
          <w:sz w:val="24"/>
          <w:szCs w:val="24"/>
        </w:rPr>
        <w:t>certain activities</w:t>
      </w:r>
      <w:r w:rsidR="006718A5" w:rsidRPr="002E5DBC">
        <w:rPr>
          <w:rFonts w:ascii="Times New Roman" w:hAnsi="Times New Roman"/>
          <w:sz w:val="24"/>
          <w:szCs w:val="24"/>
        </w:rPr>
        <w:t xml:space="preserve"> </w:t>
      </w:r>
      <w:r w:rsidR="00216CA7">
        <w:rPr>
          <w:rFonts w:ascii="Times New Roman" w:hAnsi="Times New Roman"/>
          <w:sz w:val="24"/>
          <w:szCs w:val="24"/>
        </w:rPr>
        <w:t xml:space="preserve">that will be </w:t>
      </w:r>
      <w:r w:rsidR="006718A5" w:rsidRPr="002E5DBC">
        <w:rPr>
          <w:rFonts w:ascii="Times New Roman" w:hAnsi="Times New Roman"/>
          <w:sz w:val="24"/>
          <w:szCs w:val="24"/>
        </w:rPr>
        <w:t>administered by t</w:t>
      </w:r>
      <w:r w:rsidR="007C3D1A" w:rsidRPr="002E5DBC">
        <w:rPr>
          <w:rFonts w:ascii="Times New Roman" w:hAnsi="Times New Roman"/>
          <w:sz w:val="24"/>
          <w:szCs w:val="24"/>
        </w:rPr>
        <w:t>he Department of Education, Skills and Employment</w:t>
      </w:r>
      <w:r w:rsidR="00EA19E4" w:rsidRPr="002E5DBC">
        <w:rPr>
          <w:rFonts w:ascii="Times New Roman" w:hAnsi="Times New Roman"/>
          <w:sz w:val="24"/>
          <w:szCs w:val="24"/>
        </w:rPr>
        <w:t xml:space="preserve"> (the department)</w:t>
      </w:r>
      <w:r w:rsidR="006718A5" w:rsidRPr="002E5DBC">
        <w:rPr>
          <w:rFonts w:ascii="Times New Roman" w:hAnsi="Times New Roman"/>
          <w:sz w:val="24"/>
          <w:szCs w:val="24"/>
        </w:rPr>
        <w:t>.</w:t>
      </w:r>
    </w:p>
    <w:p w14:paraId="0EB395D4" w14:textId="1A87B225" w:rsidR="007C3D1A" w:rsidRPr="002E5DBC" w:rsidRDefault="007C3D1A" w:rsidP="00EF5414">
      <w:pPr>
        <w:rPr>
          <w:rFonts w:ascii="Times New Roman" w:hAnsi="Times New Roman"/>
          <w:sz w:val="24"/>
          <w:szCs w:val="24"/>
        </w:rPr>
      </w:pPr>
    </w:p>
    <w:p w14:paraId="17F5D052" w14:textId="2B645BE1" w:rsidR="007C3D1A" w:rsidRPr="002E5DBC" w:rsidRDefault="007C3D1A" w:rsidP="00EF5414">
      <w:pPr>
        <w:rPr>
          <w:rFonts w:ascii="Times New Roman" w:hAnsi="Times New Roman"/>
          <w:sz w:val="24"/>
          <w:szCs w:val="24"/>
        </w:rPr>
      </w:pPr>
      <w:r w:rsidRPr="002E5DBC">
        <w:rPr>
          <w:rFonts w:ascii="Times New Roman" w:hAnsi="Times New Roman"/>
          <w:sz w:val="24"/>
          <w:szCs w:val="24"/>
        </w:rPr>
        <w:t>This instrument</w:t>
      </w:r>
      <w:r w:rsidR="00581E06">
        <w:rPr>
          <w:rFonts w:ascii="Times New Roman" w:hAnsi="Times New Roman"/>
          <w:sz w:val="24"/>
          <w:szCs w:val="24"/>
        </w:rPr>
        <w:t xml:space="preserve"> adds the following table items to </w:t>
      </w:r>
      <w:r w:rsidR="00581E06" w:rsidRPr="00581E06">
        <w:rPr>
          <w:rFonts w:ascii="Times New Roman" w:hAnsi="Times New Roman"/>
          <w:sz w:val="24"/>
          <w:szCs w:val="24"/>
        </w:rPr>
        <w:t>Part 4 of Schedule 1AB</w:t>
      </w:r>
      <w:r w:rsidRPr="002E5DBC">
        <w:rPr>
          <w:rFonts w:ascii="Times New Roman" w:hAnsi="Times New Roman"/>
          <w:sz w:val="24"/>
          <w:szCs w:val="24"/>
        </w:rPr>
        <w:t>:</w:t>
      </w:r>
    </w:p>
    <w:p w14:paraId="56651916" w14:textId="5A4FBDB6" w:rsidR="00B46136" w:rsidRPr="002E5DBC" w:rsidRDefault="00E63E47" w:rsidP="00EF5414">
      <w:pPr>
        <w:pStyle w:val="ListParagraph"/>
        <w:numPr>
          <w:ilvl w:val="0"/>
          <w:numId w:val="25"/>
        </w:numPr>
        <w:spacing w:after="200"/>
        <w:rPr>
          <w:szCs w:val="24"/>
        </w:rPr>
      </w:pPr>
      <w:r w:rsidRPr="002E5DBC">
        <w:rPr>
          <w:szCs w:val="24"/>
        </w:rPr>
        <w:t>table item</w:t>
      </w:r>
      <w:r w:rsidR="00A93990">
        <w:rPr>
          <w:szCs w:val="24"/>
        </w:rPr>
        <w:t xml:space="preserve"> </w:t>
      </w:r>
      <w:r w:rsidR="005E1C7F">
        <w:rPr>
          <w:szCs w:val="24"/>
        </w:rPr>
        <w:t>459</w:t>
      </w:r>
      <w:r w:rsidRPr="002E5DBC">
        <w:rPr>
          <w:szCs w:val="24"/>
        </w:rPr>
        <w:t xml:space="preserve"> for the</w:t>
      </w:r>
      <w:r w:rsidR="00216CA7">
        <w:rPr>
          <w:szCs w:val="24"/>
        </w:rPr>
        <w:t xml:space="preserve"> National Microcredentials Marketplace</w:t>
      </w:r>
      <w:r w:rsidRPr="002E5DBC">
        <w:rPr>
          <w:szCs w:val="24"/>
        </w:rPr>
        <w:t>;</w:t>
      </w:r>
    </w:p>
    <w:p w14:paraId="52BBD175" w14:textId="55041128" w:rsidR="00F14AE9" w:rsidRPr="00944F24" w:rsidRDefault="00944F24" w:rsidP="00EF5414">
      <w:pPr>
        <w:pStyle w:val="ListParagraph"/>
        <w:numPr>
          <w:ilvl w:val="0"/>
          <w:numId w:val="25"/>
        </w:numPr>
        <w:rPr>
          <w:rFonts w:eastAsia="Calibri"/>
          <w:szCs w:val="24"/>
        </w:rPr>
      </w:pPr>
      <w:r w:rsidRPr="00DC5E86">
        <w:rPr>
          <w:rFonts w:cs="Times New Roman"/>
          <w:szCs w:val="24"/>
        </w:rPr>
        <w:t xml:space="preserve">table item </w:t>
      </w:r>
      <w:r w:rsidR="005E1C7F">
        <w:rPr>
          <w:rFonts w:cs="Times New Roman"/>
          <w:szCs w:val="24"/>
        </w:rPr>
        <w:t>460</w:t>
      </w:r>
      <w:r w:rsidRPr="00DC5E86">
        <w:rPr>
          <w:rFonts w:cs="Times New Roman"/>
          <w:szCs w:val="24"/>
        </w:rPr>
        <w:t xml:space="preserve"> for the </w:t>
      </w:r>
      <w:r w:rsidRPr="00D94956">
        <w:rPr>
          <w:rFonts w:cs="Times New Roman"/>
          <w:szCs w:val="24"/>
        </w:rPr>
        <w:t>Tertiary Access Payment for Outer Regional and Remote School Leavers</w:t>
      </w:r>
      <w:r>
        <w:rPr>
          <w:rFonts w:cs="Times New Roman"/>
          <w:szCs w:val="24"/>
        </w:rPr>
        <w:t>; and</w:t>
      </w:r>
    </w:p>
    <w:p w14:paraId="0CFA821C" w14:textId="78F1020E" w:rsidR="00944F24" w:rsidRPr="00581E06" w:rsidRDefault="00781A19" w:rsidP="00EF5414">
      <w:pPr>
        <w:pStyle w:val="ListParagraph"/>
        <w:numPr>
          <w:ilvl w:val="0"/>
          <w:numId w:val="25"/>
        </w:numPr>
        <w:rPr>
          <w:rFonts w:eastAsia="Calibri"/>
          <w:szCs w:val="24"/>
        </w:rPr>
      </w:pPr>
      <w:r w:rsidRPr="00DC5E86">
        <w:rPr>
          <w:rFonts w:cs="Times New Roman"/>
          <w:szCs w:val="24"/>
        </w:rPr>
        <w:t xml:space="preserve">table item </w:t>
      </w:r>
      <w:r w:rsidR="005E1C7F">
        <w:rPr>
          <w:rFonts w:cs="Times New Roman"/>
          <w:szCs w:val="24"/>
        </w:rPr>
        <w:t>461</w:t>
      </w:r>
      <w:r w:rsidRPr="00DC5E86">
        <w:rPr>
          <w:rFonts w:cs="Times New Roman"/>
          <w:szCs w:val="24"/>
        </w:rPr>
        <w:t xml:space="preserve"> in Part 4 of Schedule 1AB for the </w:t>
      </w:r>
      <w:r>
        <w:rPr>
          <w:rFonts w:cs="Times New Roman"/>
          <w:iCs/>
          <w:szCs w:val="24"/>
        </w:rPr>
        <w:t>Pacific Labour Mobility: Safeguarding Welfare of Workers (Community Connections) project.</w:t>
      </w:r>
    </w:p>
    <w:p w14:paraId="3767F02A" w14:textId="77777777" w:rsidR="00581E06" w:rsidRPr="00581E06" w:rsidRDefault="00581E06" w:rsidP="00EF5414">
      <w:pPr>
        <w:pStyle w:val="ListParagraph"/>
        <w:rPr>
          <w:rFonts w:eastAsia="Calibri"/>
          <w:szCs w:val="24"/>
        </w:rPr>
      </w:pPr>
    </w:p>
    <w:p w14:paraId="70F8C550" w14:textId="4764555A" w:rsidR="00216CA7" w:rsidRPr="002E5DBC" w:rsidRDefault="00216CA7" w:rsidP="00216CA7">
      <w:pPr>
        <w:rPr>
          <w:rFonts w:ascii="Times New Roman" w:hAnsi="Times New Roman"/>
          <w:i/>
          <w:sz w:val="24"/>
          <w:szCs w:val="24"/>
          <w:u w:val="single"/>
        </w:rPr>
      </w:pPr>
      <w:r w:rsidRPr="002E5DBC">
        <w:rPr>
          <w:rFonts w:ascii="Times New Roman" w:hAnsi="Times New Roman"/>
          <w:i/>
          <w:sz w:val="24"/>
          <w:szCs w:val="24"/>
          <w:u w:val="single"/>
        </w:rPr>
        <w:t xml:space="preserve">Table item </w:t>
      </w:r>
      <w:r w:rsidR="005E1C7F">
        <w:rPr>
          <w:rFonts w:ascii="Times New Roman" w:hAnsi="Times New Roman"/>
          <w:i/>
          <w:sz w:val="24"/>
          <w:szCs w:val="24"/>
          <w:u w:val="single"/>
        </w:rPr>
        <w:t>459</w:t>
      </w:r>
      <w:r w:rsidRPr="002E5DBC">
        <w:rPr>
          <w:rFonts w:ascii="Times New Roman" w:hAnsi="Times New Roman"/>
          <w:i/>
          <w:sz w:val="24"/>
          <w:szCs w:val="24"/>
          <w:u w:val="single"/>
        </w:rPr>
        <w:t xml:space="preserve"> – </w:t>
      </w:r>
      <w:r>
        <w:rPr>
          <w:rFonts w:ascii="Times New Roman" w:hAnsi="Times New Roman"/>
          <w:i/>
          <w:sz w:val="24"/>
          <w:szCs w:val="24"/>
          <w:u w:val="single"/>
        </w:rPr>
        <w:t>National Microcredentials Marketplace</w:t>
      </w:r>
    </w:p>
    <w:p w14:paraId="12B67864" w14:textId="77777777" w:rsidR="00216CA7" w:rsidRDefault="00216CA7" w:rsidP="00216CA7">
      <w:pPr>
        <w:rPr>
          <w:rFonts w:ascii="Times New Roman" w:hAnsi="Times New Roman"/>
          <w:sz w:val="24"/>
          <w:szCs w:val="24"/>
        </w:rPr>
      </w:pPr>
    </w:p>
    <w:p w14:paraId="7D353E36" w14:textId="70386F06" w:rsidR="00216CA7" w:rsidRDefault="00216CA7" w:rsidP="00216CA7">
      <w:pPr>
        <w:rPr>
          <w:rFonts w:ascii="Times New Roman" w:hAnsi="Times New Roman"/>
          <w:sz w:val="24"/>
          <w:szCs w:val="24"/>
        </w:rPr>
      </w:pPr>
      <w:r w:rsidRPr="002E5DBC">
        <w:rPr>
          <w:rFonts w:ascii="Times New Roman" w:hAnsi="Times New Roman"/>
          <w:sz w:val="24"/>
          <w:szCs w:val="24"/>
        </w:rPr>
        <w:t xml:space="preserve">Table item </w:t>
      </w:r>
      <w:r w:rsidR="005E1C7F">
        <w:rPr>
          <w:rFonts w:ascii="Times New Roman" w:hAnsi="Times New Roman"/>
          <w:sz w:val="24"/>
          <w:szCs w:val="24"/>
        </w:rPr>
        <w:t>459</w:t>
      </w:r>
      <w:r w:rsidRPr="002E5DBC">
        <w:rPr>
          <w:rFonts w:ascii="Times New Roman" w:hAnsi="Times New Roman"/>
          <w:b/>
          <w:sz w:val="24"/>
          <w:szCs w:val="24"/>
        </w:rPr>
        <w:t xml:space="preserve"> </w:t>
      </w:r>
      <w:r w:rsidRPr="002E5DBC">
        <w:rPr>
          <w:rFonts w:ascii="Times New Roman" w:hAnsi="Times New Roman"/>
          <w:sz w:val="24"/>
          <w:szCs w:val="24"/>
        </w:rPr>
        <w:t xml:space="preserve">establishes legislative authority for government spending </w:t>
      </w:r>
      <w:r>
        <w:rPr>
          <w:rFonts w:ascii="Times New Roman" w:hAnsi="Times New Roman"/>
          <w:sz w:val="24"/>
          <w:szCs w:val="24"/>
        </w:rPr>
        <w:t>on the National Microcredentials Marketplace (the Marketplace).</w:t>
      </w:r>
    </w:p>
    <w:p w14:paraId="7EA08C0F" w14:textId="77777777" w:rsidR="00216CA7" w:rsidRDefault="00216CA7" w:rsidP="00216CA7">
      <w:pPr>
        <w:rPr>
          <w:rFonts w:ascii="Times New Roman" w:hAnsi="Times New Roman"/>
          <w:sz w:val="24"/>
          <w:szCs w:val="24"/>
        </w:rPr>
      </w:pPr>
    </w:p>
    <w:p w14:paraId="702A11C2" w14:textId="77777777" w:rsidR="00216CA7" w:rsidRDefault="00216CA7" w:rsidP="00216CA7">
      <w:pPr>
        <w:rPr>
          <w:rFonts w:ascii="Times New Roman" w:hAnsi="Times New Roman"/>
          <w:sz w:val="24"/>
          <w:szCs w:val="24"/>
        </w:rPr>
      </w:pPr>
      <w:r w:rsidRPr="00247EAC">
        <w:rPr>
          <w:rFonts w:ascii="Times New Roman" w:hAnsi="Times New Roman"/>
          <w:sz w:val="24"/>
          <w:szCs w:val="24"/>
        </w:rPr>
        <w:t xml:space="preserve">The Marketplace will be a nationally consistent platform for students to compare short courses against higher education provider offerings and credit point value. The Marketplace will also </w:t>
      </w:r>
      <w:r>
        <w:rPr>
          <w:rFonts w:ascii="Times New Roman" w:hAnsi="Times New Roman"/>
          <w:sz w:val="24"/>
          <w:szCs w:val="24"/>
        </w:rPr>
        <w:t>contain</w:t>
      </w:r>
      <w:r w:rsidRPr="00247EAC">
        <w:rPr>
          <w:rFonts w:ascii="Times New Roman" w:hAnsi="Times New Roman"/>
          <w:sz w:val="24"/>
          <w:szCs w:val="24"/>
        </w:rPr>
        <w:t xml:space="preserve"> arrangements for recognition of courses ac</w:t>
      </w:r>
      <w:r>
        <w:rPr>
          <w:rFonts w:ascii="Times New Roman" w:hAnsi="Times New Roman"/>
          <w:sz w:val="24"/>
          <w:szCs w:val="24"/>
        </w:rPr>
        <w:t>ross higher education providers</w:t>
      </w:r>
      <w:r w:rsidRPr="00247EAC">
        <w:rPr>
          <w:rFonts w:ascii="Times New Roman" w:hAnsi="Times New Roman"/>
          <w:sz w:val="24"/>
          <w:szCs w:val="24"/>
        </w:rPr>
        <w:t xml:space="preserve"> that will help students </w:t>
      </w:r>
      <w:r>
        <w:rPr>
          <w:rFonts w:ascii="Times New Roman" w:hAnsi="Times New Roman"/>
          <w:sz w:val="24"/>
          <w:szCs w:val="24"/>
        </w:rPr>
        <w:t xml:space="preserve">make </w:t>
      </w:r>
      <w:r w:rsidRPr="00247EAC">
        <w:rPr>
          <w:rFonts w:ascii="Times New Roman" w:hAnsi="Times New Roman"/>
          <w:sz w:val="24"/>
          <w:szCs w:val="24"/>
        </w:rPr>
        <w:t>decision</w:t>
      </w:r>
      <w:r>
        <w:rPr>
          <w:rFonts w:ascii="Times New Roman" w:hAnsi="Times New Roman"/>
          <w:sz w:val="24"/>
          <w:szCs w:val="24"/>
        </w:rPr>
        <w:t>s</w:t>
      </w:r>
      <w:r w:rsidRPr="00247EAC">
        <w:rPr>
          <w:rFonts w:ascii="Times New Roman" w:hAnsi="Times New Roman"/>
          <w:sz w:val="24"/>
          <w:szCs w:val="24"/>
        </w:rPr>
        <w:t xml:space="preserve"> and understand how they can stack short courses and credentials to build credit value and contribute to a qualification or </w:t>
      </w:r>
      <w:r>
        <w:rPr>
          <w:rFonts w:ascii="Times New Roman" w:hAnsi="Times New Roman"/>
          <w:sz w:val="24"/>
          <w:szCs w:val="24"/>
        </w:rPr>
        <w:t xml:space="preserve">a </w:t>
      </w:r>
      <w:r w:rsidRPr="00247EAC">
        <w:rPr>
          <w:rFonts w:ascii="Times New Roman" w:hAnsi="Times New Roman"/>
          <w:sz w:val="24"/>
          <w:szCs w:val="24"/>
        </w:rPr>
        <w:t>larger skill set.</w:t>
      </w:r>
    </w:p>
    <w:p w14:paraId="18F8387D" w14:textId="77777777" w:rsidR="00216CA7" w:rsidRPr="00247EAC" w:rsidRDefault="00216CA7" w:rsidP="00216CA7">
      <w:pPr>
        <w:rPr>
          <w:rFonts w:ascii="Times New Roman" w:hAnsi="Times New Roman"/>
          <w:sz w:val="24"/>
          <w:szCs w:val="24"/>
        </w:rPr>
      </w:pPr>
    </w:p>
    <w:p w14:paraId="059BD460" w14:textId="77777777" w:rsidR="00216CA7" w:rsidRDefault="00216CA7" w:rsidP="00216CA7">
      <w:pPr>
        <w:rPr>
          <w:rFonts w:ascii="Times New Roman" w:hAnsi="Times New Roman"/>
          <w:sz w:val="24"/>
          <w:szCs w:val="24"/>
        </w:rPr>
      </w:pPr>
      <w:r w:rsidRPr="00247EAC">
        <w:rPr>
          <w:rFonts w:ascii="Times New Roman" w:hAnsi="Times New Roman"/>
          <w:sz w:val="24"/>
          <w:szCs w:val="24"/>
        </w:rPr>
        <w:t xml:space="preserve">The Government recognises the increasing need for individuals to access tertiary education to upskill and reskill throughout their life, in order to meet the evolving demands of the labour </w:t>
      </w:r>
      <w:r w:rsidRPr="00247EAC">
        <w:rPr>
          <w:rFonts w:ascii="Times New Roman" w:hAnsi="Times New Roman"/>
          <w:sz w:val="24"/>
          <w:szCs w:val="24"/>
        </w:rPr>
        <w:lastRenderedPageBreak/>
        <w:t xml:space="preserve">market. To assist, the Government will develop the Marketplace, which will allow students to view microcredential courses from various providers across Australia, and compare which courses are recognised by other education institutions and can be used as credit towards larger qualifications. </w:t>
      </w:r>
    </w:p>
    <w:p w14:paraId="462F2CDC" w14:textId="77777777" w:rsidR="00216CA7" w:rsidRPr="00247EAC" w:rsidRDefault="00216CA7" w:rsidP="00216CA7">
      <w:pPr>
        <w:rPr>
          <w:rFonts w:ascii="Times New Roman" w:hAnsi="Times New Roman"/>
          <w:sz w:val="24"/>
          <w:szCs w:val="24"/>
        </w:rPr>
      </w:pPr>
    </w:p>
    <w:p w14:paraId="1AD8C06D" w14:textId="77777777" w:rsidR="00216CA7" w:rsidRPr="00247EAC" w:rsidRDefault="00216CA7" w:rsidP="00216CA7">
      <w:pPr>
        <w:rPr>
          <w:rFonts w:ascii="Times New Roman" w:hAnsi="Times New Roman"/>
          <w:sz w:val="24"/>
          <w:szCs w:val="24"/>
        </w:rPr>
      </w:pPr>
      <w:r w:rsidRPr="00247EAC">
        <w:rPr>
          <w:rFonts w:ascii="Times New Roman" w:hAnsi="Times New Roman"/>
          <w:sz w:val="24"/>
          <w:szCs w:val="24"/>
        </w:rPr>
        <w:t xml:space="preserve">The Marketplace will provide students with greater flexibility to consider and combine microcredential short-course programs that can contribute to a complete qualification. </w:t>
      </w:r>
      <w:r>
        <w:rPr>
          <w:rFonts w:ascii="Times New Roman" w:hAnsi="Times New Roman"/>
          <w:sz w:val="24"/>
          <w:szCs w:val="24"/>
        </w:rPr>
        <w:t>In a</w:t>
      </w:r>
      <w:r w:rsidRPr="00247EAC">
        <w:rPr>
          <w:rFonts w:ascii="Times New Roman" w:hAnsi="Times New Roman"/>
          <w:sz w:val="24"/>
          <w:szCs w:val="24"/>
        </w:rPr>
        <w:t>ddition, the Marketplace will function as a monitoring and recording system, providing valuable data on the demand and use of microcredentials.</w:t>
      </w:r>
    </w:p>
    <w:p w14:paraId="085ADA89" w14:textId="77777777" w:rsidR="00216CA7" w:rsidRPr="002E5DBC" w:rsidRDefault="00216CA7" w:rsidP="00216CA7">
      <w:pPr>
        <w:rPr>
          <w:rFonts w:ascii="Times New Roman" w:hAnsi="Times New Roman"/>
          <w:sz w:val="24"/>
          <w:szCs w:val="24"/>
        </w:rPr>
      </w:pPr>
    </w:p>
    <w:p w14:paraId="207E7172" w14:textId="77777777" w:rsidR="00216CA7" w:rsidRPr="007B36A7" w:rsidRDefault="00216CA7" w:rsidP="00216CA7">
      <w:pPr>
        <w:ind w:right="-46"/>
        <w:rPr>
          <w:rFonts w:ascii="Times New Roman" w:hAnsi="Times New Roman"/>
          <w:b/>
          <w:color w:val="000000" w:themeColor="text1"/>
          <w:sz w:val="24"/>
          <w:szCs w:val="24"/>
        </w:rPr>
      </w:pPr>
      <w:r w:rsidRPr="007B36A7">
        <w:rPr>
          <w:rFonts w:ascii="Times New Roman" w:hAnsi="Times New Roman"/>
          <w:b/>
          <w:color w:val="000000" w:themeColor="text1"/>
          <w:sz w:val="24"/>
          <w:szCs w:val="24"/>
        </w:rPr>
        <w:t>Human rights implications</w:t>
      </w:r>
    </w:p>
    <w:p w14:paraId="2DD2D451" w14:textId="77777777" w:rsidR="00216CA7" w:rsidRPr="00247EAC" w:rsidRDefault="00216CA7" w:rsidP="00216CA7">
      <w:pPr>
        <w:ind w:right="-46"/>
        <w:rPr>
          <w:rFonts w:ascii="Times New Roman" w:hAnsi="Times New Roman"/>
          <w:color w:val="000000" w:themeColor="text1"/>
          <w:sz w:val="24"/>
          <w:szCs w:val="24"/>
        </w:rPr>
      </w:pPr>
    </w:p>
    <w:p w14:paraId="0C280038" w14:textId="1B54A704" w:rsidR="00216CA7" w:rsidRDefault="00216CA7" w:rsidP="00216CA7">
      <w:pPr>
        <w:ind w:right="-45"/>
        <w:rPr>
          <w:rFonts w:ascii="Times New Roman" w:hAnsi="Times New Roman"/>
          <w:sz w:val="24"/>
          <w:szCs w:val="24"/>
        </w:rPr>
      </w:pPr>
      <w:r w:rsidRPr="00247EAC">
        <w:rPr>
          <w:rFonts w:ascii="Times New Roman" w:hAnsi="Times New Roman"/>
          <w:sz w:val="24"/>
          <w:szCs w:val="24"/>
        </w:rPr>
        <w:t xml:space="preserve">Table item </w:t>
      </w:r>
      <w:r w:rsidR="005E1C7F">
        <w:rPr>
          <w:rFonts w:ascii="Times New Roman" w:hAnsi="Times New Roman"/>
          <w:sz w:val="24"/>
          <w:szCs w:val="24"/>
        </w:rPr>
        <w:t>459</w:t>
      </w:r>
      <w:r w:rsidRPr="00247EAC">
        <w:rPr>
          <w:rFonts w:ascii="Times New Roman" w:hAnsi="Times New Roman"/>
          <w:sz w:val="24"/>
          <w:szCs w:val="24"/>
        </w:rPr>
        <w:t xml:space="preserve"> engages the</w:t>
      </w:r>
      <w:r>
        <w:rPr>
          <w:rFonts w:ascii="Times New Roman" w:hAnsi="Times New Roman"/>
          <w:sz w:val="24"/>
          <w:szCs w:val="24"/>
        </w:rPr>
        <w:t xml:space="preserve"> right </w:t>
      </w:r>
      <w:r w:rsidRPr="00247EAC">
        <w:rPr>
          <w:rFonts w:ascii="Times New Roman" w:hAnsi="Times New Roman"/>
          <w:sz w:val="24"/>
          <w:szCs w:val="24"/>
        </w:rPr>
        <w:t xml:space="preserve">to education </w:t>
      </w:r>
      <w:r>
        <w:rPr>
          <w:rFonts w:ascii="Times New Roman" w:hAnsi="Times New Roman"/>
          <w:sz w:val="24"/>
          <w:szCs w:val="24"/>
        </w:rPr>
        <w:t>(</w:t>
      </w:r>
      <w:r w:rsidRPr="00247EAC">
        <w:rPr>
          <w:rFonts w:ascii="Times New Roman" w:hAnsi="Times New Roman"/>
          <w:sz w:val="24"/>
          <w:szCs w:val="24"/>
        </w:rPr>
        <w:t xml:space="preserve">Article 13 of the </w:t>
      </w:r>
      <w:r w:rsidRPr="00247EAC">
        <w:rPr>
          <w:rFonts w:ascii="Times New Roman" w:hAnsi="Times New Roman"/>
          <w:i/>
          <w:sz w:val="24"/>
          <w:szCs w:val="24"/>
        </w:rPr>
        <w:t>International Covenant on Economic, Social and Cultural Rights</w:t>
      </w:r>
      <w:r w:rsidRPr="00247EAC">
        <w:rPr>
          <w:rFonts w:ascii="Times New Roman" w:hAnsi="Times New Roman"/>
          <w:sz w:val="24"/>
          <w:szCs w:val="24"/>
        </w:rPr>
        <w:t xml:space="preserve"> (ICESCR), read with Article 2 of the ICESCR</w:t>
      </w:r>
      <w:r>
        <w:rPr>
          <w:rFonts w:ascii="Times New Roman" w:hAnsi="Times New Roman"/>
          <w:sz w:val="24"/>
          <w:szCs w:val="24"/>
        </w:rPr>
        <w:t>).</w:t>
      </w:r>
    </w:p>
    <w:p w14:paraId="30770167" w14:textId="3ACDEBD9" w:rsidR="00944F24" w:rsidRDefault="00944F24" w:rsidP="00216CA7">
      <w:pPr>
        <w:ind w:right="-45"/>
        <w:rPr>
          <w:rFonts w:ascii="Times New Roman" w:hAnsi="Times New Roman"/>
          <w:sz w:val="24"/>
          <w:szCs w:val="24"/>
        </w:rPr>
      </w:pPr>
    </w:p>
    <w:p w14:paraId="295E7C72" w14:textId="77777777" w:rsidR="00944F24" w:rsidRPr="00DC5E86" w:rsidRDefault="00944F24" w:rsidP="00944F24">
      <w:pPr>
        <w:ind w:right="-46"/>
        <w:rPr>
          <w:rFonts w:ascii="Times New Roman" w:hAnsi="Times New Roman"/>
          <w:i/>
          <w:iCs/>
          <w:color w:val="000000" w:themeColor="text1"/>
          <w:sz w:val="24"/>
          <w:szCs w:val="24"/>
        </w:rPr>
      </w:pPr>
      <w:r w:rsidRPr="00DC5E86">
        <w:rPr>
          <w:rFonts w:ascii="Times New Roman" w:hAnsi="Times New Roman"/>
          <w:i/>
          <w:iCs/>
          <w:color w:val="000000" w:themeColor="text1"/>
          <w:sz w:val="24"/>
          <w:szCs w:val="24"/>
        </w:rPr>
        <w:t xml:space="preserve">Right to </w:t>
      </w:r>
      <w:r>
        <w:rPr>
          <w:rFonts w:ascii="Times New Roman" w:hAnsi="Times New Roman"/>
          <w:i/>
          <w:iCs/>
          <w:color w:val="000000" w:themeColor="text1"/>
          <w:sz w:val="24"/>
          <w:szCs w:val="24"/>
        </w:rPr>
        <w:t>education</w:t>
      </w:r>
    </w:p>
    <w:p w14:paraId="759D212F" w14:textId="77777777" w:rsidR="00216CA7" w:rsidRPr="00247EAC" w:rsidRDefault="00216CA7" w:rsidP="00216CA7">
      <w:pPr>
        <w:ind w:right="-45"/>
        <w:rPr>
          <w:rFonts w:ascii="Times New Roman" w:hAnsi="Times New Roman"/>
          <w:sz w:val="24"/>
          <w:szCs w:val="24"/>
        </w:rPr>
      </w:pPr>
    </w:p>
    <w:p w14:paraId="2A0CF980" w14:textId="77777777" w:rsidR="00944F24" w:rsidRDefault="00944F24" w:rsidP="00944F24">
      <w:pPr>
        <w:ind w:right="-46"/>
        <w:rPr>
          <w:rFonts w:ascii="Times New Roman" w:hAnsi="Times New Roman"/>
          <w:sz w:val="24"/>
          <w:szCs w:val="24"/>
        </w:rPr>
      </w:pPr>
      <w:r>
        <w:rPr>
          <w:rFonts w:ascii="Times New Roman" w:hAnsi="Times New Roman"/>
          <w:sz w:val="24"/>
          <w:szCs w:val="24"/>
        </w:rPr>
        <w:t xml:space="preserve">Article 2 of the ICESCR requires States Parties to take steps to progressively achieve the full realisation of the rights recognised in the ICESCR by all appropriate means. </w:t>
      </w:r>
    </w:p>
    <w:p w14:paraId="74460AD2" w14:textId="77777777" w:rsidR="00944F24" w:rsidRDefault="00944F24" w:rsidP="00216CA7">
      <w:pPr>
        <w:rPr>
          <w:rFonts w:ascii="Times New Roman" w:hAnsi="Times New Roman"/>
          <w:sz w:val="24"/>
          <w:szCs w:val="24"/>
        </w:rPr>
      </w:pPr>
    </w:p>
    <w:p w14:paraId="280EF4CC" w14:textId="29065DB7" w:rsidR="00216CA7" w:rsidRDefault="00216CA7" w:rsidP="00216CA7">
      <w:pPr>
        <w:rPr>
          <w:rFonts w:ascii="Times New Roman" w:hAnsi="Times New Roman"/>
          <w:sz w:val="24"/>
          <w:szCs w:val="24"/>
        </w:rPr>
      </w:pPr>
      <w:r>
        <w:rPr>
          <w:rFonts w:ascii="Times New Roman" w:hAnsi="Times New Roman"/>
          <w:sz w:val="24"/>
          <w:szCs w:val="24"/>
        </w:rPr>
        <w:t>Article 13(1) of the ICESCR</w:t>
      </w:r>
      <w:r w:rsidRPr="00247EAC">
        <w:rPr>
          <w:rFonts w:ascii="Times New Roman" w:hAnsi="Times New Roman"/>
          <w:sz w:val="24"/>
          <w:szCs w:val="24"/>
        </w:rPr>
        <w:t xml:space="preserve"> provides that </w:t>
      </w:r>
      <w:r>
        <w:rPr>
          <w:rFonts w:ascii="Times New Roman" w:hAnsi="Times New Roman"/>
          <w:sz w:val="24"/>
          <w:szCs w:val="24"/>
        </w:rPr>
        <w:t>States P</w:t>
      </w:r>
      <w:r w:rsidRPr="00247EAC">
        <w:rPr>
          <w:rFonts w:ascii="Times New Roman" w:hAnsi="Times New Roman"/>
          <w:sz w:val="24"/>
          <w:szCs w:val="24"/>
        </w:rPr>
        <w:t xml:space="preserve">arties to the </w:t>
      </w:r>
      <w:r>
        <w:rPr>
          <w:rFonts w:ascii="Times New Roman" w:hAnsi="Times New Roman"/>
          <w:sz w:val="24"/>
          <w:szCs w:val="24"/>
        </w:rPr>
        <w:t>present Covenant</w:t>
      </w:r>
      <w:r w:rsidRPr="00247EAC">
        <w:rPr>
          <w:rFonts w:ascii="Times New Roman" w:hAnsi="Times New Roman"/>
          <w:sz w:val="24"/>
          <w:szCs w:val="24"/>
        </w:rPr>
        <w:t>:</w:t>
      </w:r>
    </w:p>
    <w:p w14:paraId="60D1FF2A" w14:textId="77777777" w:rsidR="00216CA7" w:rsidRPr="00247EAC" w:rsidRDefault="00216CA7" w:rsidP="00216CA7">
      <w:pPr>
        <w:rPr>
          <w:rFonts w:ascii="Times New Roman" w:hAnsi="Times New Roman"/>
          <w:sz w:val="24"/>
          <w:szCs w:val="24"/>
        </w:rPr>
      </w:pPr>
    </w:p>
    <w:p w14:paraId="7336CBEA" w14:textId="77777777" w:rsidR="00216CA7" w:rsidRPr="00247EAC" w:rsidRDefault="00216CA7" w:rsidP="00216CA7">
      <w:pPr>
        <w:ind w:left="720"/>
        <w:rPr>
          <w:rFonts w:ascii="Times New Roman" w:hAnsi="Times New Roman"/>
        </w:rPr>
      </w:pPr>
      <w:r w:rsidRPr="00247EAC">
        <w:rPr>
          <w:rFonts w:ascii="Times New Roman" w:hAnsi="Times New Roman"/>
          <w:color w:val="000000"/>
          <w:shd w:val="clear" w:color="auto" w:fill="FFFFFF"/>
        </w:rPr>
        <w:t>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r w:rsidRPr="00247EAC">
        <w:rPr>
          <w:rFonts w:ascii="Times New Roman" w:hAnsi="Times New Roman"/>
        </w:rPr>
        <w:t xml:space="preserve"> </w:t>
      </w:r>
    </w:p>
    <w:p w14:paraId="1839D229" w14:textId="77777777" w:rsidR="00216CA7" w:rsidRPr="00247EAC" w:rsidRDefault="00216CA7" w:rsidP="00216CA7">
      <w:pPr>
        <w:rPr>
          <w:rFonts w:ascii="Times New Roman" w:hAnsi="Times New Roman"/>
          <w:sz w:val="24"/>
          <w:szCs w:val="24"/>
        </w:rPr>
      </w:pPr>
    </w:p>
    <w:p w14:paraId="7D403600" w14:textId="77777777" w:rsidR="00216CA7" w:rsidRPr="00247EAC" w:rsidRDefault="00216CA7" w:rsidP="00216CA7">
      <w:pPr>
        <w:rPr>
          <w:rFonts w:ascii="Times New Roman" w:hAnsi="Times New Roman"/>
          <w:sz w:val="24"/>
          <w:szCs w:val="24"/>
        </w:rPr>
      </w:pPr>
      <w:r w:rsidRPr="00247EAC">
        <w:rPr>
          <w:rFonts w:ascii="Times New Roman" w:hAnsi="Times New Roman"/>
          <w:sz w:val="24"/>
          <w:szCs w:val="24"/>
        </w:rPr>
        <w:t>Article 13(2)(c) of the ICESCR provides</w:t>
      </w:r>
      <w:r>
        <w:rPr>
          <w:rFonts w:ascii="Times New Roman" w:hAnsi="Times New Roman"/>
          <w:sz w:val="24"/>
          <w:szCs w:val="24"/>
        </w:rPr>
        <w:t xml:space="preserve"> that</w:t>
      </w:r>
      <w:r w:rsidRPr="00247EAC">
        <w:rPr>
          <w:rFonts w:ascii="Times New Roman" w:hAnsi="Times New Roman"/>
          <w:sz w:val="24"/>
          <w:szCs w:val="24"/>
        </w:rPr>
        <w:t>:</w:t>
      </w:r>
    </w:p>
    <w:p w14:paraId="2364864D" w14:textId="77777777" w:rsidR="00216CA7" w:rsidRDefault="00216CA7" w:rsidP="00216CA7">
      <w:pPr>
        <w:ind w:left="720"/>
        <w:rPr>
          <w:rFonts w:ascii="Times New Roman" w:hAnsi="Times New Roman"/>
          <w:sz w:val="24"/>
          <w:szCs w:val="24"/>
        </w:rPr>
      </w:pPr>
    </w:p>
    <w:p w14:paraId="62810BD1" w14:textId="77777777" w:rsidR="00216CA7" w:rsidRDefault="00216CA7" w:rsidP="00216CA7">
      <w:pPr>
        <w:ind w:left="720"/>
        <w:rPr>
          <w:rFonts w:ascii="Times New Roman" w:hAnsi="Times New Roman"/>
          <w:sz w:val="24"/>
          <w:szCs w:val="24"/>
        </w:rPr>
      </w:pPr>
      <w:r>
        <w:rPr>
          <w:rFonts w:ascii="Times New Roman" w:hAnsi="Times New Roman"/>
          <w:color w:val="000000"/>
          <w:shd w:val="clear" w:color="auto" w:fill="FFFFFF"/>
        </w:rPr>
        <w:t>[</w:t>
      </w:r>
      <w:r w:rsidRPr="002B1C92">
        <w:rPr>
          <w:rFonts w:ascii="Times New Roman" w:hAnsi="Times New Roman"/>
          <w:color w:val="000000"/>
          <w:shd w:val="clear" w:color="auto" w:fill="FFFFFF"/>
        </w:rPr>
        <w:t>h</w:t>
      </w:r>
      <w:r>
        <w:rPr>
          <w:rFonts w:ascii="Times New Roman" w:hAnsi="Times New Roman"/>
          <w:color w:val="000000"/>
          <w:shd w:val="clear" w:color="auto" w:fill="FFFFFF"/>
        </w:rPr>
        <w:t>]</w:t>
      </w:r>
      <w:r w:rsidRPr="002B1C92">
        <w:rPr>
          <w:rFonts w:ascii="Times New Roman" w:hAnsi="Times New Roman"/>
          <w:color w:val="000000"/>
          <w:shd w:val="clear" w:color="auto" w:fill="FFFFFF"/>
        </w:rPr>
        <w:t>igher education shall be made equally accessible to all, on the basis of capacity, by every appropriate means, and in particular by the progressive introduction of free education</w:t>
      </w:r>
      <w:r>
        <w:rPr>
          <w:rFonts w:ascii="Times New Roman" w:hAnsi="Times New Roman"/>
          <w:color w:val="000000"/>
          <w:shd w:val="clear" w:color="auto" w:fill="FFFFFF"/>
        </w:rPr>
        <w:t>; ...</w:t>
      </w:r>
    </w:p>
    <w:p w14:paraId="0BAF3495" w14:textId="77777777" w:rsidR="00216CA7" w:rsidRDefault="00216CA7" w:rsidP="00216CA7">
      <w:pPr>
        <w:rPr>
          <w:rFonts w:ascii="Times New Roman" w:hAnsi="Times New Roman"/>
          <w:sz w:val="24"/>
          <w:szCs w:val="24"/>
        </w:rPr>
      </w:pPr>
    </w:p>
    <w:p w14:paraId="5B8101EF" w14:textId="41E36DB5" w:rsidR="00216CA7" w:rsidRDefault="00216CA7" w:rsidP="00216CA7">
      <w:pPr>
        <w:rPr>
          <w:rFonts w:ascii="Times New Roman" w:hAnsi="Times New Roman"/>
          <w:sz w:val="24"/>
          <w:szCs w:val="24"/>
        </w:rPr>
      </w:pPr>
      <w:r w:rsidRPr="00066AC1">
        <w:rPr>
          <w:rFonts w:ascii="Times New Roman" w:hAnsi="Times New Roman"/>
          <w:sz w:val="24"/>
          <w:szCs w:val="24"/>
        </w:rPr>
        <w:t xml:space="preserve">The Marketplace will complement </w:t>
      </w:r>
      <w:r>
        <w:rPr>
          <w:rFonts w:ascii="Times New Roman" w:hAnsi="Times New Roman"/>
          <w:sz w:val="24"/>
          <w:szCs w:val="24"/>
        </w:rPr>
        <w:t xml:space="preserve">the </w:t>
      </w:r>
      <w:r w:rsidRPr="00247EAC">
        <w:rPr>
          <w:rFonts w:ascii="Times New Roman" w:hAnsi="Times New Roman"/>
          <w:sz w:val="24"/>
          <w:szCs w:val="24"/>
        </w:rPr>
        <w:t>National Credentials Platform (NCP)</w:t>
      </w:r>
      <w:r>
        <w:rPr>
          <w:rFonts w:ascii="Times New Roman" w:hAnsi="Times New Roman"/>
          <w:sz w:val="24"/>
          <w:szCs w:val="24"/>
        </w:rPr>
        <w:t xml:space="preserve"> by</w:t>
      </w:r>
      <w:r w:rsidRPr="00066AC1">
        <w:rPr>
          <w:rFonts w:ascii="Times New Roman" w:hAnsi="Times New Roman"/>
          <w:sz w:val="24"/>
          <w:szCs w:val="24"/>
        </w:rPr>
        <w:t xml:space="preserve"> offering students, graduates and job seekers the ability to find microcredentials that supplement </w:t>
      </w:r>
      <w:r>
        <w:rPr>
          <w:rFonts w:ascii="Times New Roman" w:hAnsi="Times New Roman"/>
          <w:sz w:val="24"/>
          <w:szCs w:val="24"/>
        </w:rPr>
        <w:t xml:space="preserve">their education and experience. </w:t>
      </w:r>
      <w:r w:rsidRPr="00066AC1">
        <w:rPr>
          <w:rFonts w:ascii="Times New Roman" w:hAnsi="Times New Roman"/>
          <w:sz w:val="24"/>
          <w:szCs w:val="24"/>
        </w:rPr>
        <w:t xml:space="preserve">With the </w:t>
      </w:r>
      <w:r w:rsidRPr="00DB04E2">
        <w:rPr>
          <w:rFonts w:ascii="Times New Roman" w:hAnsi="Times New Roman"/>
          <w:sz w:val="24"/>
          <w:szCs w:val="24"/>
        </w:rPr>
        <w:t>NCP providing a single source for a learner’s tertiary education credentials, integrating the Marketplace will provide a seamless connection to short-course study options, enabling credit recognition and supporting engagement in lifelong learning.</w:t>
      </w:r>
    </w:p>
    <w:p w14:paraId="7F340470" w14:textId="77777777" w:rsidR="00216CA7" w:rsidRDefault="00216CA7" w:rsidP="00216CA7">
      <w:pPr>
        <w:rPr>
          <w:rFonts w:ascii="Times New Roman" w:hAnsi="Times New Roman"/>
          <w:sz w:val="24"/>
          <w:szCs w:val="24"/>
        </w:rPr>
      </w:pPr>
    </w:p>
    <w:p w14:paraId="099B3BFF" w14:textId="77777777" w:rsidR="00216CA7" w:rsidRPr="00247EAC" w:rsidRDefault="00216CA7" w:rsidP="00216CA7">
      <w:pPr>
        <w:rPr>
          <w:rFonts w:ascii="Times New Roman" w:hAnsi="Times New Roman"/>
          <w:sz w:val="24"/>
          <w:szCs w:val="24"/>
        </w:rPr>
      </w:pPr>
      <w:r w:rsidRPr="00247EAC">
        <w:rPr>
          <w:rFonts w:ascii="Times New Roman" w:hAnsi="Times New Roman"/>
          <w:sz w:val="24"/>
          <w:szCs w:val="24"/>
        </w:rPr>
        <w:t>By working alongside and leveraging other government platforms, the Marketplace will support ongoing engagement in lifelong learning by helping individuals identify opportunities for skill</w:t>
      </w:r>
      <w:r>
        <w:rPr>
          <w:rFonts w:ascii="Times New Roman" w:hAnsi="Times New Roman"/>
          <w:sz w:val="24"/>
          <w:szCs w:val="24"/>
        </w:rPr>
        <w:t>s</w:t>
      </w:r>
      <w:r w:rsidRPr="00247EAC">
        <w:rPr>
          <w:rFonts w:ascii="Times New Roman" w:hAnsi="Times New Roman"/>
          <w:sz w:val="24"/>
          <w:szCs w:val="24"/>
        </w:rPr>
        <w:t xml:space="preserve"> development, and provide verified recognition of prior learning to help streamline the transition between education and employment. Microcredentials can work as standalone qualifications or complement study being undertaken at the vocational education and training or higher education level, making them a</w:t>
      </w:r>
      <w:r>
        <w:rPr>
          <w:rFonts w:ascii="Times New Roman" w:hAnsi="Times New Roman"/>
          <w:sz w:val="24"/>
          <w:szCs w:val="24"/>
        </w:rPr>
        <w:t xml:space="preserve"> stackable short </w:t>
      </w:r>
      <w:r w:rsidRPr="00247EAC">
        <w:rPr>
          <w:rFonts w:ascii="Times New Roman" w:hAnsi="Times New Roman"/>
          <w:sz w:val="24"/>
          <w:szCs w:val="24"/>
        </w:rPr>
        <w:t>course to build towards a formal qualification. The Marketplace will also help enable and encourage industry to develop short</w:t>
      </w:r>
      <w:r>
        <w:rPr>
          <w:rFonts w:ascii="Times New Roman" w:hAnsi="Times New Roman"/>
          <w:sz w:val="24"/>
          <w:szCs w:val="24"/>
        </w:rPr>
        <w:noBreakHyphen/>
      </w:r>
      <w:r w:rsidRPr="00247EAC">
        <w:rPr>
          <w:rFonts w:ascii="Times New Roman" w:hAnsi="Times New Roman"/>
          <w:sz w:val="24"/>
          <w:szCs w:val="24"/>
        </w:rPr>
        <w:t>course progra</w:t>
      </w:r>
      <w:r>
        <w:rPr>
          <w:rFonts w:ascii="Times New Roman" w:hAnsi="Times New Roman"/>
          <w:sz w:val="24"/>
          <w:szCs w:val="24"/>
        </w:rPr>
        <w:t>ms to deliver ‘real-time’ skill s</w:t>
      </w:r>
      <w:r w:rsidRPr="00247EAC">
        <w:rPr>
          <w:rFonts w:ascii="Times New Roman" w:hAnsi="Times New Roman"/>
          <w:sz w:val="24"/>
          <w:szCs w:val="24"/>
        </w:rPr>
        <w:t>ets based on labour market needs.</w:t>
      </w:r>
    </w:p>
    <w:p w14:paraId="23594A21" w14:textId="4F5FDCAE" w:rsidR="004D1896" w:rsidRDefault="004D1896">
      <w:pPr>
        <w:spacing w:after="200" w:line="276" w:lineRule="auto"/>
        <w:rPr>
          <w:rFonts w:ascii="Times New Roman" w:hAnsi="Times New Roman"/>
          <w:sz w:val="24"/>
          <w:szCs w:val="24"/>
        </w:rPr>
      </w:pPr>
      <w:r>
        <w:rPr>
          <w:rFonts w:ascii="Times New Roman" w:hAnsi="Times New Roman"/>
          <w:sz w:val="24"/>
          <w:szCs w:val="24"/>
        </w:rPr>
        <w:br w:type="page"/>
      </w:r>
    </w:p>
    <w:p w14:paraId="337D9913" w14:textId="77777777" w:rsidR="00216CA7" w:rsidRPr="007B36A7" w:rsidRDefault="00216CA7" w:rsidP="00216CA7">
      <w:pPr>
        <w:pStyle w:val="NoSpacing"/>
        <w:ind w:right="55"/>
        <w:rPr>
          <w:b/>
          <w:color w:val="000000" w:themeColor="text1"/>
          <w:szCs w:val="24"/>
        </w:rPr>
      </w:pPr>
      <w:r w:rsidRPr="007B36A7">
        <w:rPr>
          <w:b/>
          <w:color w:val="000000" w:themeColor="text1"/>
          <w:szCs w:val="24"/>
        </w:rPr>
        <w:lastRenderedPageBreak/>
        <w:t>Conclusion</w:t>
      </w:r>
    </w:p>
    <w:p w14:paraId="74663382" w14:textId="77777777" w:rsidR="00216CA7" w:rsidRPr="007B36A7" w:rsidRDefault="00216CA7" w:rsidP="00216CA7">
      <w:pPr>
        <w:ind w:right="-46"/>
        <w:rPr>
          <w:rFonts w:ascii="Times New Roman" w:hAnsi="Times New Roman"/>
          <w:color w:val="000000" w:themeColor="text1"/>
          <w:sz w:val="24"/>
          <w:szCs w:val="24"/>
        </w:rPr>
      </w:pPr>
    </w:p>
    <w:p w14:paraId="0FD2F89E" w14:textId="5F994111" w:rsidR="00216CA7" w:rsidRPr="007B36A7" w:rsidRDefault="00216CA7" w:rsidP="00216CA7">
      <w:pPr>
        <w:rPr>
          <w:rFonts w:ascii="Times New Roman" w:hAnsi="Times New Roman"/>
          <w:color w:val="000000" w:themeColor="text1"/>
          <w:sz w:val="24"/>
          <w:szCs w:val="24"/>
        </w:rPr>
      </w:pPr>
      <w:r w:rsidRPr="002B1C92">
        <w:rPr>
          <w:rFonts w:ascii="Times New Roman" w:hAnsi="Times New Roman"/>
          <w:sz w:val="24"/>
          <w:szCs w:val="24"/>
        </w:rPr>
        <w:t xml:space="preserve">Table item </w:t>
      </w:r>
      <w:r w:rsidR="005E1C7F">
        <w:rPr>
          <w:rFonts w:ascii="Times New Roman" w:hAnsi="Times New Roman"/>
          <w:sz w:val="24"/>
          <w:szCs w:val="24"/>
        </w:rPr>
        <w:t>459</w:t>
      </w:r>
      <w:r w:rsidRPr="002B1C92">
        <w:rPr>
          <w:rFonts w:ascii="Times New Roman" w:hAnsi="Times New Roman"/>
          <w:sz w:val="24"/>
          <w:szCs w:val="24"/>
        </w:rPr>
        <w:t xml:space="preserve"> is compatible with human rights because it promotes the right to education under the ICESCR</w:t>
      </w:r>
      <w:r w:rsidRPr="007B36A7">
        <w:rPr>
          <w:rFonts w:ascii="Times New Roman" w:hAnsi="Times New Roman"/>
          <w:color w:val="000000" w:themeColor="text1"/>
          <w:sz w:val="24"/>
          <w:szCs w:val="24"/>
        </w:rPr>
        <w:t>.</w:t>
      </w:r>
    </w:p>
    <w:p w14:paraId="33583449" w14:textId="18489E5B" w:rsidR="00216CA7" w:rsidRDefault="00216CA7" w:rsidP="00EF5414">
      <w:pPr>
        <w:rPr>
          <w:rFonts w:ascii="Times New Roman" w:hAnsi="Times New Roman"/>
          <w:i/>
          <w:sz w:val="24"/>
          <w:szCs w:val="24"/>
          <w:u w:val="single"/>
        </w:rPr>
      </w:pPr>
    </w:p>
    <w:p w14:paraId="65AAB11C" w14:textId="3CC2A168" w:rsidR="00944F24" w:rsidRPr="00304441" w:rsidRDefault="00944F24" w:rsidP="00944F24">
      <w:pPr>
        <w:rPr>
          <w:rFonts w:ascii="Times New Roman" w:hAnsi="Times New Roman"/>
          <w:i/>
          <w:sz w:val="24"/>
          <w:szCs w:val="24"/>
          <w:u w:val="single"/>
        </w:rPr>
      </w:pPr>
      <w:r w:rsidRPr="00DC5E86">
        <w:rPr>
          <w:rFonts w:ascii="Times New Roman" w:hAnsi="Times New Roman"/>
          <w:i/>
          <w:sz w:val="24"/>
          <w:szCs w:val="24"/>
          <w:u w:val="single"/>
        </w:rPr>
        <w:t xml:space="preserve">Table item </w:t>
      </w:r>
      <w:r w:rsidR="005E1C7F">
        <w:rPr>
          <w:rFonts w:ascii="Times New Roman" w:hAnsi="Times New Roman"/>
          <w:i/>
          <w:sz w:val="24"/>
          <w:szCs w:val="24"/>
          <w:u w:val="single"/>
        </w:rPr>
        <w:t>460</w:t>
      </w:r>
      <w:r w:rsidRPr="00DC5E86">
        <w:rPr>
          <w:rFonts w:ascii="Times New Roman" w:hAnsi="Times New Roman"/>
          <w:i/>
          <w:sz w:val="24"/>
          <w:szCs w:val="24"/>
          <w:u w:val="single"/>
        </w:rPr>
        <w:t xml:space="preserve"> – </w:t>
      </w:r>
      <w:r>
        <w:rPr>
          <w:rFonts w:ascii="Times New Roman" w:hAnsi="Times New Roman"/>
          <w:i/>
          <w:sz w:val="24"/>
          <w:szCs w:val="24"/>
          <w:u w:val="single"/>
        </w:rPr>
        <w:t>Tertiary Access Payment for Outer Regional and Remote School Leavers</w:t>
      </w:r>
    </w:p>
    <w:p w14:paraId="605969B8" w14:textId="77777777" w:rsidR="00944F24" w:rsidRPr="00DC5E86" w:rsidRDefault="00944F24" w:rsidP="00944F24">
      <w:pPr>
        <w:ind w:right="-46"/>
        <w:rPr>
          <w:rFonts w:ascii="Times New Roman" w:hAnsi="Times New Roman"/>
          <w:color w:val="000000" w:themeColor="text1"/>
          <w:sz w:val="24"/>
          <w:szCs w:val="24"/>
        </w:rPr>
      </w:pPr>
    </w:p>
    <w:p w14:paraId="61399CEC" w14:textId="3A4E32D0" w:rsidR="00944F24" w:rsidRDefault="00944F24" w:rsidP="00944F24">
      <w:pPr>
        <w:rPr>
          <w:rFonts w:ascii="Times New Roman" w:hAnsi="Times New Roman"/>
          <w:sz w:val="24"/>
          <w:szCs w:val="24"/>
        </w:rPr>
      </w:pPr>
      <w:r w:rsidRPr="00DC5E86">
        <w:rPr>
          <w:rFonts w:ascii="Times New Roman" w:hAnsi="Times New Roman"/>
          <w:sz w:val="24"/>
          <w:szCs w:val="24"/>
        </w:rPr>
        <w:t xml:space="preserve">Table item </w:t>
      </w:r>
      <w:r w:rsidR="005E1C7F">
        <w:rPr>
          <w:rFonts w:ascii="Times New Roman" w:hAnsi="Times New Roman"/>
          <w:sz w:val="24"/>
          <w:szCs w:val="24"/>
        </w:rPr>
        <w:t>460</w:t>
      </w:r>
      <w:r w:rsidRPr="00DC5E86">
        <w:rPr>
          <w:rFonts w:ascii="Times New Roman" w:hAnsi="Times New Roman"/>
          <w:b/>
          <w:sz w:val="24"/>
          <w:szCs w:val="24"/>
        </w:rPr>
        <w:t xml:space="preserve"> </w:t>
      </w:r>
      <w:r w:rsidRPr="00DC5E86">
        <w:rPr>
          <w:rFonts w:ascii="Times New Roman" w:hAnsi="Times New Roman"/>
          <w:sz w:val="24"/>
          <w:szCs w:val="24"/>
        </w:rPr>
        <w:t xml:space="preserve">establishes </w:t>
      </w:r>
      <w:r w:rsidRPr="00DC5E86">
        <w:rPr>
          <w:rFonts w:ascii="Times New Roman" w:hAnsi="Times New Roman"/>
          <w:iCs/>
          <w:sz w:val="24"/>
          <w:szCs w:val="24"/>
        </w:rPr>
        <w:t xml:space="preserve">legislative authority for </w:t>
      </w:r>
      <w:r w:rsidRPr="00D5375B">
        <w:rPr>
          <w:rFonts w:ascii="Times New Roman" w:hAnsi="Times New Roman"/>
          <w:sz w:val="24"/>
          <w:szCs w:val="24"/>
        </w:rPr>
        <w:t>the</w:t>
      </w:r>
      <w:r>
        <w:rPr>
          <w:rFonts w:ascii="Times New Roman" w:hAnsi="Times New Roman"/>
          <w:sz w:val="24"/>
          <w:szCs w:val="24"/>
        </w:rPr>
        <w:t xml:space="preserve"> Government to </w:t>
      </w:r>
      <w:r w:rsidRPr="00D5375B">
        <w:rPr>
          <w:rFonts w:ascii="Times New Roman" w:hAnsi="Times New Roman"/>
          <w:sz w:val="24"/>
          <w:szCs w:val="24"/>
        </w:rPr>
        <w:t>provide one-off, non</w:t>
      </w:r>
      <w:r>
        <w:rPr>
          <w:rFonts w:ascii="Times New Roman" w:hAnsi="Times New Roman"/>
          <w:sz w:val="24"/>
          <w:szCs w:val="24"/>
        </w:rPr>
        <w:noBreakHyphen/>
      </w:r>
      <w:r w:rsidRPr="00D5375B">
        <w:rPr>
          <w:rFonts w:ascii="Times New Roman" w:hAnsi="Times New Roman"/>
          <w:sz w:val="24"/>
          <w:szCs w:val="24"/>
        </w:rPr>
        <w:t>indexed, means tested payments</w:t>
      </w:r>
      <w:r>
        <w:rPr>
          <w:rFonts w:ascii="Times New Roman" w:hAnsi="Times New Roman"/>
          <w:sz w:val="24"/>
          <w:szCs w:val="24"/>
        </w:rPr>
        <w:t xml:space="preserve"> (Tertiary Access Payment)</w:t>
      </w:r>
      <w:r w:rsidRPr="00D5375B">
        <w:rPr>
          <w:rFonts w:ascii="Times New Roman" w:hAnsi="Times New Roman"/>
          <w:sz w:val="24"/>
          <w:szCs w:val="24"/>
        </w:rPr>
        <w:t xml:space="preserve"> of up to $5</w:t>
      </w:r>
      <w:r>
        <w:rPr>
          <w:rFonts w:ascii="Times New Roman" w:hAnsi="Times New Roman"/>
          <w:sz w:val="24"/>
          <w:szCs w:val="24"/>
        </w:rPr>
        <w:t>,</w:t>
      </w:r>
      <w:r w:rsidRPr="00D5375B">
        <w:rPr>
          <w:rFonts w:ascii="Times New Roman" w:hAnsi="Times New Roman"/>
          <w:sz w:val="24"/>
          <w:szCs w:val="24"/>
        </w:rPr>
        <w:t xml:space="preserve">000 to </w:t>
      </w:r>
      <w:r>
        <w:rPr>
          <w:rFonts w:ascii="Times New Roman" w:hAnsi="Times New Roman"/>
          <w:sz w:val="24"/>
          <w:szCs w:val="24"/>
        </w:rPr>
        <w:t xml:space="preserve">eligible </w:t>
      </w:r>
      <w:r w:rsidRPr="00D5375B">
        <w:rPr>
          <w:rFonts w:ascii="Times New Roman" w:hAnsi="Times New Roman"/>
          <w:sz w:val="24"/>
          <w:szCs w:val="24"/>
        </w:rPr>
        <w:t>school leavers from outer regional or remote areas who relocate to undertake full</w:t>
      </w:r>
      <w:r>
        <w:rPr>
          <w:rFonts w:ascii="Times New Roman" w:hAnsi="Times New Roman"/>
          <w:sz w:val="24"/>
          <w:szCs w:val="24"/>
        </w:rPr>
        <w:noBreakHyphen/>
      </w:r>
      <w:r w:rsidRPr="00D5375B">
        <w:rPr>
          <w:rFonts w:ascii="Times New Roman" w:hAnsi="Times New Roman"/>
          <w:sz w:val="24"/>
          <w:szCs w:val="24"/>
        </w:rPr>
        <w:t>time, higher-level tertiary education.</w:t>
      </w:r>
      <w:r>
        <w:rPr>
          <w:rFonts w:ascii="Times New Roman" w:hAnsi="Times New Roman"/>
          <w:sz w:val="24"/>
          <w:szCs w:val="24"/>
        </w:rPr>
        <w:t xml:space="preserve"> The Tertiary Access Payment is intended to encourage and assist outer regional and remote students to access tertiary study immediately following </w:t>
      </w:r>
      <w:r w:rsidRPr="0060287D">
        <w:rPr>
          <w:rFonts w:ascii="Times New Roman" w:hAnsi="Times New Roman"/>
          <w:sz w:val="24"/>
          <w:szCs w:val="24"/>
        </w:rPr>
        <w:t>their completion of the final year of secondary school</w:t>
      </w:r>
      <w:r>
        <w:rPr>
          <w:rFonts w:ascii="Times New Roman" w:hAnsi="Times New Roman"/>
          <w:sz w:val="24"/>
          <w:szCs w:val="24"/>
        </w:rPr>
        <w:t xml:space="preserve">. </w:t>
      </w:r>
    </w:p>
    <w:p w14:paraId="7A45E4D8" w14:textId="77777777" w:rsidR="00944F24" w:rsidRDefault="00944F24" w:rsidP="00944F24">
      <w:pPr>
        <w:rPr>
          <w:rFonts w:ascii="Times New Roman" w:hAnsi="Times New Roman"/>
          <w:sz w:val="24"/>
          <w:szCs w:val="24"/>
        </w:rPr>
      </w:pPr>
    </w:p>
    <w:p w14:paraId="66692DE0" w14:textId="77777777" w:rsidR="00944F24" w:rsidRDefault="00944F24" w:rsidP="00944F24">
      <w:pPr>
        <w:pStyle w:val="Default"/>
      </w:pPr>
      <w:r w:rsidRPr="00AC2013">
        <w:t>Payments will be made in two instalments – one payment of $3</w:t>
      </w:r>
      <w:r>
        <w:t>,</w:t>
      </w:r>
      <w:r w:rsidRPr="00AC2013">
        <w:t>000 shortly after the student commences their first year of study, and one payment of $2</w:t>
      </w:r>
      <w:r>
        <w:t>,</w:t>
      </w:r>
      <w:r w:rsidRPr="00AC2013">
        <w:t>000 towards the end of the student’s first year of study. The payments are intended to encourage and assist outer regional and remote students to access high</w:t>
      </w:r>
      <w:r>
        <w:t>er</w:t>
      </w:r>
      <w:r w:rsidRPr="00AC2013">
        <w:t xml:space="preserve">-level (Certificate IV and above) tertiary study immediately following school. </w:t>
      </w:r>
    </w:p>
    <w:p w14:paraId="6C11CA81" w14:textId="77777777" w:rsidR="00944F24" w:rsidRPr="000F3FA4" w:rsidRDefault="00944F24" w:rsidP="00944F24">
      <w:pPr>
        <w:pStyle w:val="Default"/>
      </w:pPr>
    </w:p>
    <w:p w14:paraId="0192B8CB" w14:textId="77777777" w:rsidR="00944F24" w:rsidRPr="000F3FA4" w:rsidRDefault="00944F24" w:rsidP="00944F24">
      <w:pPr>
        <w:pStyle w:val="Default"/>
      </w:pPr>
      <w:r w:rsidRPr="000F3FA4">
        <w:t>The Government recognises the increasing need for individuals to access tertiary education to upskill and reskill throughout their life, in order to meet the evolving demands of the labour market. There continues to be a significant city-country divide in terti</w:t>
      </w:r>
      <w:r>
        <w:t>ary education attainment rates;</w:t>
      </w:r>
      <w:r w:rsidRPr="000F3FA4">
        <w:t xml:space="preserve"> individuals in regional and remote areas are half as likely as their city counterparts to obtain a university degree by the age of 35</w:t>
      </w:r>
      <w:r>
        <w:t xml:space="preserve"> years</w:t>
      </w:r>
      <w:r w:rsidRPr="000F3FA4">
        <w:t>.</w:t>
      </w:r>
      <w:r>
        <w:t xml:space="preserve"> </w:t>
      </w:r>
      <w:r w:rsidRPr="000F3FA4">
        <w:t xml:space="preserve">The </w:t>
      </w:r>
      <w:r>
        <w:t>Tertiary Access Payment</w:t>
      </w:r>
      <w:r w:rsidRPr="000F3FA4">
        <w:t xml:space="preserve"> aims to address this disparity by providing an incentive for students to undertake further study immediately following completion of secondary school, rather than taking a gap year.</w:t>
      </w:r>
    </w:p>
    <w:p w14:paraId="74C7F605" w14:textId="77777777" w:rsidR="00944F24" w:rsidRPr="000F3FA4" w:rsidRDefault="00944F24" w:rsidP="00944F24">
      <w:pPr>
        <w:pStyle w:val="Default"/>
      </w:pPr>
    </w:p>
    <w:p w14:paraId="36361973" w14:textId="77777777" w:rsidR="00944F24" w:rsidRPr="00DC5E86" w:rsidRDefault="00944F24" w:rsidP="00944F24">
      <w:pPr>
        <w:rPr>
          <w:rFonts w:ascii="Times New Roman" w:hAnsi="Times New Roman"/>
          <w:sz w:val="24"/>
          <w:szCs w:val="24"/>
        </w:rPr>
      </w:pPr>
      <w:r w:rsidRPr="00DC5E86">
        <w:rPr>
          <w:rFonts w:ascii="Times New Roman" w:hAnsi="Times New Roman"/>
          <w:b/>
          <w:color w:val="000000" w:themeColor="text1"/>
          <w:sz w:val="24"/>
          <w:szCs w:val="24"/>
        </w:rPr>
        <w:t>Human rights implications</w:t>
      </w:r>
      <w:r w:rsidRPr="00DC5E86">
        <w:rPr>
          <w:rFonts w:ascii="Times New Roman" w:hAnsi="Times New Roman"/>
          <w:sz w:val="24"/>
          <w:szCs w:val="24"/>
        </w:rPr>
        <w:t xml:space="preserve"> </w:t>
      </w:r>
    </w:p>
    <w:p w14:paraId="547B2AEA" w14:textId="77777777" w:rsidR="00944F24" w:rsidRPr="00DC5E86" w:rsidRDefault="00944F24" w:rsidP="00944F24">
      <w:pPr>
        <w:rPr>
          <w:rFonts w:ascii="Times New Roman" w:hAnsi="Times New Roman"/>
          <w:sz w:val="24"/>
          <w:szCs w:val="24"/>
        </w:rPr>
      </w:pPr>
    </w:p>
    <w:p w14:paraId="142A408E" w14:textId="012EF239" w:rsidR="00944F24" w:rsidRDefault="00944F24" w:rsidP="00944F24">
      <w:pPr>
        <w:rPr>
          <w:rFonts w:ascii="Times New Roman" w:hAnsi="Times New Roman"/>
          <w:color w:val="000000" w:themeColor="text1"/>
          <w:sz w:val="24"/>
          <w:szCs w:val="24"/>
        </w:rPr>
      </w:pPr>
      <w:r w:rsidRPr="00DC5E86">
        <w:rPr>
          <w:rFonts w:ascii="Times New Roman" w:hAnsi="Times New Roman"/>
          <w:sz w:val="24"/>
          <w:szCs w:val="24"/>
        </w:rPr>
        <w:t xml:space="preserve">Table item </w:t>
      </w:r>
      <w:r w:rsidR="005E1C7F">
        <w:rPr>
          <w:rFonts w:ascii="Times New Roman" w:hAnsi="Times New Roman"/>
          <w:sz w:val="24"/>
          <w:szCs w:val="24"/>
        </w:rPr>
        <w:t>460</w:t>
      </w:r>
      <w:r>
        <w:rPr>
          <w:rFonts w:ascii="Times New Roman" w:hAnsi="Times New Roman"/>
          <w:sz w:val="24"/>
          <w:szCs w:val="24"/>
        </w:rPr>
        <w:t xml:space="preserve"> </w:t>
      </w:r>
      <w:r w:rsidRPr="00DC5E86">
        <w:rPr>
          <w:rFonts w:ascii="Times New Roman" w:hAnsi="Times New Roman"/>
          <w:sz w:val="24"/>
          <w:szCs w:val="24"/>
        </w:rPr>
        <w:t>engage</w:t>
      </w:r>
      <w:r>
        <w:rPr>
          <w:rFonts w:ascii="Times New Roman" w:hAnsi="Times New Roman"/>
          <w:sz w:val="24"/>
          <w:szCs w:val="24"/>
        </w:rPr>
        <w:t xml:space="preserve">s the </w:t>
      </w:r>
      <w:r w:rsidRPr="00DC5E86">
        <w:rPr>
          <w:rFonts w:ascii="Times New Roman" w:hAnsi="Times New Roman"/>
          <w:color w:val="000000" w:themeColor="text1"/>
          <w:sz w:val="24"/>
          <w:szCs w:val="24"/>
        </w:rPr>
        <w:t xml:space="preserve">right to </w:t>
      </w:r>
      <w:r>
        <w:rPr>
          <w:rFonts w:ascii="Times New Roman" w:hAnsi="Times New Roman"/>
          <w:color w:val="000000" w:themeColor="text1"/>
          <w:sz w:val="24"/>
          <w:szCs w:val="24"/>
        </w:rPr>
        <w:t>education</w:t>
      </w:r>
      <w:r w:rsidRPr="00DC5E86">
        <w:rPr>
          <w:rFonts w:ascii="Times New Roman" w:hAnsi="Times New Roman"/>
          <w:color w:val="000000" w:themeColor="text1"/>
          <w:sz w:val="24"/>
          <w:szCs w:val="24"/>
        </w:rPr>
        <w:t xml:space="preserve"> in Article </w:t>
      </w:r>
      <w:r>
        <w:rPr>
          <w:rFonts w:ascii="Times New Roman" w:hAnsi="Times New Roman"/>
          <w:color w:val="000000" w:themeColor="text1"/>
          <w:sz w:val="24"/>
          <w:szCs w:val="24"/>
        </w:rPr>
        <w:t>13</w:t>
      </w:r>
      <w:r w:rsidRPr="00DC5E86">
        <w:rPr>
          <w:rFonts w:ascii="Times New Roman" w:hAnsi="Times New Roman"/>
          <w:color w:val="000000" w:themeColor="text1"/>
          <w:sz w:val="24"/>
          <w:szCs w:val="24"/>
        </w:rPr>
        <w:t xml:space="preserve"> of the </w:t>
      </w:r>
      <w:r w:rsidRPr="00DC5E86">
        <w:rPr>
          <w:rFonts w:ascii="Times New Roman" w:hAnsi="Times New Roman"/>
          <w:i/>
          <w:color w:val="000000" w:themeColor="text1"/>
          <w:sz w:val="24"/>
          <w:szCs w:val="24"/>
        </w:rPr>
        <w:t>International Covenant on Economic, Social and Cultural Rights</w:t>
      </w:r>
      <w:r w:rsidRPr="00DC5E86">
        <w:rPr>
          <w:rFonts w:ascii="Times New Roman" w:hAnsi="Times New Roman"/>
          <w:color w:val="000000" w:themeColor="text1"/>
          <w:sz w:val="24"/>
          <w:szCs w:val="24"/>
        </w:rPr>
        <w:t xml:space="preserve"> (ICESCR), read with Article 2 of the ICESCR</w:t>
      </w:r>
      <w:r>
        <w:rPr>
          <w:rFonts w:ascii="Times New Roman" w:hAnsi="Times New Roman"/>
          <w:color w:val="000000" w:themeColor="text1"/>
          <w:sz w:val="24"/>
          <w:szCs w:val="24"/>
        </w:rPr>
        <w:t>.</w:t>
      </w:r>
    </w:p>
    <w:p w14:paraId="33FB507E" w14:textId="77777777" w:rsidR="00944F24" w:rsidRDefault="00944F24" w:rsidP="00944F24">
      <w:pPr>
        <w:rPr>
          <w:szCs w:val="24"/>
        </w:rPr>
      </w:pPr>
    </w:p>
    <w:p w14:paraId="4B4BC17F" w14:textId="77777777" w:rsidR="00944F24" w:rsidRPr="00DC5E86" w:rsidRDefault="00944F24" w:rsidP="00944F24">
      <w:pPr>
        <w:ind w:right="-46"/>
        <w:rPr>
          <w:rFonts w:ascii="Times New Roman" w:hAnsi="Times New Roman"/>
          <w:i/>
          <w:iCs/>
          <w:color w:val="000000" w:themeColor="text1"/>
          <w:sz w:val="24"/>
          <w:szCs w:val="24"/>
        </w:rPr>
      </w:pPr>
      <w:r w:rsidRPr="00DC5E86">
        <w:rPr>
          <w:rFonts w:ascii="Times New Roman" w:hAnsi="Times New Roman"/>
          <w:i/>
          <w:iCs/>
          <w:color w:val="000000" w:themeColor="text1"/>
          <w:sz w:val="24"/>
          <w:szCs w:val="24"/>
        </w:rPr>
        <w:t xml:space="preserve">Right to </w:t>
      </w:r>
      <w:r>
        <w:rPr>
          <w:rFonts w:ascii="Times New Roman" w:hAnsi="Times New Roman"/>
          <w:i/>
          <w:iCs/>
          <w:color w:val="000000" w:themeColor="text1"/>
          <w:sz w:val="24"/>
          <w:szCs w:val="24"/>
        </w:rPr>
        <w:t>education</w:t>
      </w:r>
    </w:p>
    <w:p w14:paraId="344B092B" w14:textId="77777777" w:rsidR="00944F24" w:rsidRPr="000830D9" w:rsidRDefault="00944F24" w:rsidP="00944F24">
      <w:pPr>
        <w:rPr>
          <w:rFonts w:ascii="Times New Roman" w:hAnsi="Times New Roman"/>
          <w:sz w:val="24"/>
          <w:szCs w:val="24"/>
        </w:rPr>
      </w:pPr>
    </w:p>
    <w:p w14:paraId="3DAB7CE8" w14:textId="77777777" w:rsidR="00944F24" w:rsidRDefault="00944F24" w:rsidP="00944F24">
      <w:pPr>
        <w:ind w:right="-46"/>
        <w:rPr>
          <w:rFonts w:ascii="Times New Roman" w:hAnsi="Times New Roman"/>
          <w:sz w:val="24"/>
          <w:szCs w:val="24"/>
        </w:rPr>
      </w:pPr>
      <w:r>
        <w:rPr>
          <w:rFonts w:ascii="Times New Roman" w:hAnsi="Times New Roman"/>
          <w:sz w:val="24"/>
          <w:szCs w:val="24"/>
        </w:rPr>
        <w:t xml:space="preserve">Article 2 of the ICESCR requires States Parties to take steps to progressively achieve the full realisation of the rights recognised in the ICESCR by all appropriate means. </w:t>
      </w:r>
    </w:p>
    <w:p w14:paraId="76E3924A" w14:textId="77777777" w:rsidR="00944F24" w:rsidRDefault="00944F24" w:rsidP="00944F24">
      <w:pPr>
        <w:ind w:right="-46"/>
        <w:rPr>
          <w:rFonts w:ascii="Times New Roman" w:hAnsi="Times New Roman"/>
          <w:sz w:val="24"/>
          <w:szCs w:val="24"/>
        </w:rPr>
      </w:pPr>
    </w:p>
    <w:p w14:paraId="3B987481" w14:textId="77777777" w:rsidR="00944F24" w:rsidRDefault="00944F24" w:rsidP="00944F24">
      <w:pPr>
        <w:rPr>
          <w:rFonts w:ascii="Times New Roman" w:hAnsi="Times New Roman"/>
          <w:sz w:val="24"/>
          <w:szCs w:val="24"/>
        </w:rPr>
      </w:pPr>
      <w:r>
        <w:rPr>
          <w:rFonts w:ascii="Times New Roman" w:hAnsi="Times New Roman"/>
          <w:sz w:val="24"/>
          <w:szCs w:val="24"/>
        </w:rPr>
        <w:t>Article 13(1) of the ICESCR</w:t>
      </w:r>
      <w:r w:rsidRPr="00247EAC">
        <w:rPr>
          <w:rFonts w:ascii="Times New Roman" w:hAnsi="Times New Roman"/>
          <w:sz w:val="24"/>
          <w:szCs w:val="24"/>
        </w:rPr>
        <w:t xml:space="preserve"> provides that </w:t>
      </w:r>
      <w:r>
        <w:rPr>
          <w:rFonts w:ascii="Times New Roman" w:hAnsi="Times New Roman"/>
          <w:sz w:val="24"/>
          <w:szCs w:val="24"/>
        </w:rPr>
        <w:t>States P</w:t>
      </w:r>
      <w:r w:rsidRPr="00247EAC">
        <w:rPr>
          <w:rFonts w:ascii="Times New Roman" w:hAnsi="Times New Roman"/>
          <w:sz w:val="24"/>
          <w:szCs w:val="24"/>
        </w:rPr>
        <w:t xml:space="preserve">arties to the </w:t>
      </w:r>
      <w:r>
        <w:rPr>
          <w:rFonts w:ascii="Times New Roman" w:hAnsi="Times New Roman"/>
          <w:sz w:val="24"/>
          <w:szCs w:val="24"/>
        </w:rPr>
        <w:t>present Covenant</w:t>
      </w:r>
      <w:r w:rsidRPr="00247EAC">
        <w:rPr>
          <w:rFonts w:ascii="Times New Roman" w:hAnsi="Times New Roman"/>
          <w:sz w:val="24"/>
          <w:szCs w:val="24"/>
        </w:rPr>
        <w:t>:</w:t>
      </w:r>
    </w:p>
    <w:p w14:paraId="62BA52A0" w14:textId="77777777" w:rsidR="00944F24" w:rsidRPr="00247EAC" w:rsidRDefault="00944F24" w:rsidP="00944F24">
      <w:pPr>
        <w:rPr>
          <w:rFonts w:ascii="Times New Roman" w:hAnsi="Times New Roman"/>
          <w:sz w:val="24"/>
          <w:szCs w:val="24"/>
        </w:rPr>
      </w:pPr>
    </w:p>
    <w:p w14:paraId="2100B532" w14:textId="77777777" w:rsidR="00944F24" w:rsidRPr="00247EAC" w:rsidRDefault="00944F24" w:rsidP="00944F24">
      <w:pPr>
        <w:ind w:left="720"/>
        <w:rPr>
          <w:rFonts w:ascii="Times New Roman" w:hAnsi="Times New Roman"/>
        </w:rPr>
      </w:pPr>
      <w:r w:rsidRPr="00247EAC">
        <w:rPr>
          <w:rFonts w:ascii="Times New Roman" w:hAnsi="Times New Roman"/>
          <w:color w:val="000000"/>
          <w:shd w:val="clear" w:color="auto" w:fill="FFFFFF"/>
        </w:rPr>
        <w:t>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r w:rsidRPr="00247EAC">
        <w:rPr>
          <w:rFonts w:ascii="Times New Roman" w:hAnsi="Times New Roman"/>
        </w:rPr>
        <w:t xml:space="preserve"> </w:t>
      </w:r>
    </w:p>
    <w:p w14:paraId="3333F650" w14:textId="77777777" w:rsidR="00944F24" w:rsidRPr="00247EAC" w:rsidRDefault="00944F24" w:rsidP="00944F24">
      <w:pPr>
        <w:rPr>
          <w:rFonts w:ascii="Times New Roman" w:hAnsi="Times New Roman"/>
          <w:sz w:val="24"/>
          <w:szCs w:val="24"/>
        </w:rPr>
      </w:pPr>
    </w:p>
    <w:p w14:paraId="24D94BEA" w14:textId="77777777" w:rsidR="004D1896" w:rsidRDefault="004D1896" w:rsidP="00944F24">
      <w:pPr>
        <w:rPr>
          <w:rFonts w:ascii="Times New Roman" w:hAnsi="Times New Roman"/>
          <w:sz w:val="24"/>
          <w:szCs w:val="24"/>
        </w:rPr>
      </w:pPr>
    </w:p>
    <w:p w14:paraId="66DDA4E2" w14:textId="77777777" w:rsidR="004D1896" w:rsidRDefault="004D1896" w:rsidP="00944F24">
      <w:pPr>
        <w:rPr>
          <w:rFonts w:ascii="Times New Roman" w:hAnsi="Times New Roman"/>
          <w:sz w:val="24"/>
          <w:szCs w:val="24"/>
        </w:rPr>
      </w:pPr>
    </w:p>
    <w:p w14:paraId="2CCD72A5" w14:textId="77777777" w:rsidR="004D1896" w:rsidRDefault="004D1896" w:rsidP="00944F24">
      <w:pPr>
        <w:rPr>
          <w:rFonts w:ascii="Times New Roman" w:hAnsi="Times New Roman"/>
          <w:sz w:val="24"/>
          <w:szCs w:val="24"/>
        </w:rPr>
      </w:pPr>
    </w:p>
    <w:p w14:paraId="6B7D28E9" w14:textId="6C2D9C2E" w:rsidR="00944F24" w:rsidRPr="00247EAC" w:rsidRDefault="00944F24" w:rsidP="00944F24">
      <w:pPr>
        <w:rPr>
          <w:rFonts w:ascii="Times New Roman" w:hAnsi="Times New Roman"/>
          <w:sz w:val="24"/>
          <w:szCs w:val="24"/>
        </w:rPr>
      </w:pPr>
      <w:r w:rsidRPr="00247EAC">
        <w:rPr>
          <w:rFonts w:ascii="Times New Roman" w:hAnsi="Times New Roman"/>
          <w:sz w:val="24"/>
          <w:szCs w:val="24"/>
        </w:rPr>
        <w:lastRenderedPageBreak/>
        <w:t>Article 13(2)(c) of the ICESCR provides</w:t>
      </w:r>
      <w:r>
        <w:rPr>
          <w:rFonts w:ascii="Times New Roman" w:hAnsi="Times New Roman"/>
          <w:sz w:val="24"/>
          <w:szCs w:val="24"/>
        </w:rPr>
        <w:t xml:space="preserve"> that</w:t>
      </w:r>
      <w:r w:rsidRPr="00247EAC">
        <w:rPr>
          <w:rFonts w:ascii="Times New Roman" w:hAnsi="Times New Roman"/>
          <w:sz w:val="24"/>
          <w:szCs w:val="24"/>
        </w:rPr>
        <w:t>:</w:t>
      </w:r>
    </w:p>
    <w:p w14:paraId="3B976848" w14:textId="77777777" w:rsidR="00944F24" w:rsidRDefault="00944F24" w:rsidP="00944F24">
      <w:pPr>
        <w:ind w:left="720"/>
        <w:rPr>
          <w:rFonts w:ascii="Times New Roman" w:hAnsi="Times New Roman"/>
          <w:sz w:val="24"/>
          <w:szCs w:val="24"/>
        </w:rPr>
      </w:pPr>
    </w:p>
    <w:p w14:paraId="3A8872E4" w14:textId="77777777" w:rsidR="00944F24" w:rsidRDefault="00944F24" w:rsidP="00944F24">
      <w:pPr>
        <w:ind w:left="720"/>
        <w:rPr>
          <w:rFonts w:ascii="Times New Roman" w:hAnsi="Times New Roman"/>
          <w:sz w:val="24"/>
          <w:szCs w:val="24"/>
        </w:rPr>
      </w:pPr>
      <w:r>
        <w:rPr>
          <w:rFonts w:ascii="Times New Roman" w:hAnsi="Times New Roman"/>
          <w:color w:val="000000"/>
          <w:shd w:val="clear" w:color="auto" w:fill="FFFFFF"/>
        </w:rPr>
        <w:t>[</w:t>
      </w:r>
      <w:r w:rsidRPr="002B1C92">
        <w:rPr>
          <w:rFonts w:ascii="Times New Roman" w:hAnsi="Times New Roman"/>
          <w:color w:val="000000"/>
          <w:shd w:val="clear" w:color="auto" w:fill="FFFFFF"/>
        </w:rPr>
        <w:t>h</w:t>
      </w:r>
      <w:r>
        <w:rPr>
          <w:rFonts w:ascii="Times New Roman" w:hAnsi="Times New Roman"/>
          <w:color w:val="000000"/>
          <w:shd w:val="clear" w:color="auto" w:fill="FFFFFF"/>
        </w:rPr>
        <w:t>]</w:t>
      </w:r>
      <w:r w:rsidRPr="002B1C92">
        <w:rPr>
          <w:rFonts w:ascii="Times New Roman" w:hAnsi="Times New Roman"/>
          <w:color w:val="000000"/>
          <w:shd w:val="clear" w:color="auto" w:fill="FFFFFF"/>
        </w:rPr>
        <w:t>igher education shall be made equally accessible to all, on the basis of capacity, by every appropriate means, and in particular by the progressive introduction of free education</w:t>
      </w:r>
      <w:r>
        <w:rPr>
          <w:rFonts w:ascii="Times New Roman" w:hAnsi="Times New Roman"/>
          <w:color w:val="000000"/>
          <w:shd w:val="clear" w:color="auto" w:fill="FFFFFF"/>
        </w:rPr>
        <w:t>; ...</w:t>
      </w:r>
    </w:p>
    <w:p w14:paraId="493923AA" w14:textId="77777777" w:rsidR="00944F24" w:rsidRDefault="00944F24" w:rsidP="00944F24">
      <w:pPr>
        <w:ind w:right="-46"/>
        <w:rPr>
          <w:rFonts w:ascii="Times New Roman" w:hAnsi="Times New Roman"/>
          <w:sz w:val="24"/>
          <w:szCs w:val="24"/>
        </w:rPr>
      </w:pPr>
    </w:p>
    <w:p w14:paraId="301A1B75" w14:textId="77777777" w:rsidR="00944F24" w:rsidRDefault="00944F24" w:rsidP="00944F24">
      <w:pPr>
        <w:ind w:right="-46"/>
        <w:rPr>
          <w:rFonts w:ascii="Times New Roman" w:hAnsi="Times New Roman"/>
          <w:sz w:val="24"/>
          <w:szCs w:val="24"/>
        </w:rPr>
      </w:pPr>
      <w:r w:rsidRPr="001E26A1">
        <w:rPr>
          <w:rFonts w:ascii="Times New Roman" w:hAnsi="Times New Roman"/>
          <w:sz w:val="24"/>
          <w:szCs w:val="24"/>
        </w:rPr>
        <w:t xml:space="preserve">The </w:t>
      </w:r>
      <w:r>
        <w:rPr>
          <w:rFonts w:ascii="Times New Roman" w:hAnsi="Times New Roman"/>
          <w:sz w:val="24"/>
          <w:szCs w:val="24"/>
        </w:rPr>
        <w:t>Tertiary Access Payment</w:t>
      </w:r>
      <w:r w:rsidRPr="001E26A1">
        <w:rPr>
          <w:rFonts w:ascii="Times New Roman" w:hAnsi="Times New Roman"/>
          <w:sz w:val="24"/>
          <w:szCs w:val="24"/>
        </w:rPr>
        <w:t xml:space="preserve"> will support the right of </w:t>
      </w:r>
      <w:r>
        <w:rPr>
          <w:rFonts w:ascii="Times New Roman" w:hAnsi="Times New Roman"/>
          <w:sz w:val="24"/>
          <w:szCs w:val="24"/>
        </w:rPr>
        <w:t xml:space="preserve">outer </w:t>
      </w:r>
      <w:r w:rsidRPr="001E26A1">
        <w:rPr>
          <w:rFonts w:ascii="Times New Roman" w:hAnsi="Times New Roman"/>
          <w:sz w:val="24"/>
          <w:szCs w:val="24"/>
        </w:rPr>
        <w:t xml:space="preserve">regional and remote </w:t>
      </w:r>
      <w:r>
        <w:rPr>
          <w:rFonts w:ascii="Times New Roman" w:hAnsi="Times New Roman"/>
          <w:sz w:val="24"/>
          <w:szCs w:val="24"/>
        </w:rPr>
        <w:t>school leavers</w:t>
      </w:r>
      <w:r w:rsidRPr="001E26A1">
        <w:rPr>
          <w:rFonts w:ascii="Times New Roman" w:hAnsi="Times New Roman"/>
          <w:sz w:val="24"/>
          <w:szCs w:val="24"/>
        </w:rPr>
        <w:t xml:space="preserve"> to </w:t>
      </w:r>
      <w:r>
        <w:rPr>
          <w:rFonts w:ascii="Times New Roman" w:hAnsi="Times New Roman"/>
          <w:sz w:val="24"/>
          <w:szCs w:val="24"/>
        </w:rPr>
        <w:t xml:space="preserve">tertiary </w:t>
      </w:r>
      <w:r w:rsidRPr="001E26A1">
        <w:rPr>
          <w:rFonts w:ascii="Times New Roman" w:hAnsi="Times New Roman"/>
          <w:sz w:val="24"/>
          <w:szCs w:val="24"/>
        </w:rPr>
        <w:t xml:space="preserve">education by providing financial assistance to these </w:t>
      </w:r>
      <w:r>
        <w:rPr>
          <w:rFonts w:ascii="Times New Roman" w:hAnsi="Times New Roman"/>
          <w:sz w:val="24"/>
          <w:szCs w:val="24"/>
        </w:rPr>
        <w:t xml:space="preserve">relocating </w:t>
      </w:r>
      <w:r w:rsidRPr="001E26A1">
        <w:rPr>
          <w:rFonts w:ascii="Times New Roman" w:hAnsi="Times New Roman"/>
          <w:sz w:val="24"/>
          <w:szCs w:val="24"/>
        </w:rPr>
        <w:t xml:space="preserve">students who otherwise may not be able to afford to undertake </w:t>
      </w:r>
      <w:r>
        <w:rPr>
          <w:rFonts w:ascii="Times New Roman" w:hAnsi="Times New Roman"/>
          <w:sz w:val="24"/>
          <w:szCs w:val="24"/>
        </w:rPr>
        <w:t xml:space="preserve">further </w:t>
      </w:r>
      <w:r w:rsidRPr="001E26A1">
        <w:rPr>
          <w:rFonts w:ascii="Times New Roman" w:hAnsi="Times New Roman"/>
          <w:sz w:val="24"/>
          <w:szCs w:val="24"/>
        </w:rPr>
        <w:t>study. It will also act as an incentive for these students to undertake a high</w:t>
      </w:r>
      <w:r>
        <w:rPr>
          <w:rFonts w:ascii="Times New Roman" w:hAnsi="Times New Roman"/>
          <w:sz w:val="24"/>
          <w:szCs w:val="24"/>
        </w:rPr>
        <w:t>er</w:t>
      </w:r>
      <w:r w:rsidRPr="001E26A1">
        <w:rPr>
          <w:rFonts w:ascii="Times New Roman" w:hAnsi="Times New Roman"/>
          <w:sz w:val="24"/>
          <w:szCs w:val="24"/>
        </w:rPr>
        <w:t>-level tertiary qualification immediately following school,</w:t>
      </w:r>
      <w:r>
        <w:rPr>
          <w:rFonts w:ascii="Times New Roman" w:hAnsi="Times New Roman"/>
          <w:sz w:val="24"/>
          <w:szCs w:val="24"/>
        </w:rPr>
        <w:t xml:space="preserve"> rather than taking a gap year.</w:t>
      </w:r>
    </w:p>
    <w:p w14:paraId="749C2427" w14:textId="77777777" w:rsidR="00944F24" w:rsidRDefault="00944F24" w:rsidP="00944F24">
      <w:pPr>
        <w:ind w:right="-46"/>
        <w:rPr>
          <w:rFonts w:ascii="Times New Roman" w:hAnsi="Times New Roman"/>
          <w:sz w:val="24"/>
          <w:szCs w:val="24"/>
        </w:rPr>
      </w:pPr>
    </w:p>
    <w:p w14:paraId="2523E567" w14:textId="77777777" w:rsidR="00944F24" w:rsidRDefault="00944F24" w:rsidP="00944F24">
      <w:pPr>
        <w:ind w:right="-46"/>
        <w:rPr>
          <w:rFonts w:ascii="Times New Roman" w:hAnsi="Times New Roman"/>
          <w:sz w:val="24"/>
          <w:szCs w:val="24"/>
        </w:rPr>
      </w:pPr>
      <w:r w:rsidRPr="001E26A1">
        <w:rPr>
          <w:rFonts w:ascii="Times New Roman" w:hAnsi="Times New Roman"/>
          <w:sz w:val="24"/>
          <w:szCs w:val="24"/>
        </w:rPr>
        <w:t xml:space="preserve">The </w:t>
      </w:r>
      <w:r w:rsidRPr="001E26A1">
        <w:rPr>
          <w:rFonts w:ascii="Times New Roman" w:hAnsi="Times New Roman"/>
          <w:i/>
          <w:sz w:val="24"/>
          <w:szCs w:val="24"/>
        </w:rPr>
        <w:t xml:space="preserve">National Regional, Rural and Remote Tertiary Education Strategy </w:t>
      </w:r>
      <w:r w:rsidRPr="001E26A1">
        <w:rPr>
          <w:rFonts w:ascii="Times New Roman" w:hAnsi="Times New Roman"/>
          <w:sz w:val="24"/>
          <w:szCs w:val="24"/>
        </w:rPr>
        <w:t>final</w:t>
      </w:r>
      <w:r w:rsidRPr="001E26A1">
        <w:rPr>
          <w:rFonts w:ascii="Times New Roman" w:hAnsi="Times New Roman"/>
          <w:i/>
          <w:sz w:val="24"/>
          <w:szCs w:val="24"/>
        </w:rPr>
        <w:t xml:space="preserve"> </w:t>
      </w:r>
      <w:r w:rsidRPr="001E26A1">
        <w:rPr>
          <w:rFonts w:ascii="Times New Roman" w:hAnsi="Times New Roman"/>
          <w:sz w:val="24"/>
          <w:szCs w:val="24"/>
        </w:rPr>
        <w:t>report highlights that regional and remote students are twice as likely as those in major cities to take a gap year or years before commencing higher education, which increases their likelihood of not completing, or n</w:t>
      </w:r>
      <w:r>
        <w:rPr>
          <w:rFonts w:ascii="Times New Roman" w:hAnsi="Times New Roman"/>
          <w:sz w:val="24"/>
          <w:szCs w:val="24"/>
        </w:rPr>
        <w:t>ot returning to, further study.</w:t>
      </w:r>
    </w:p>
    <w:p w14:paraId="6D24765C" w14:textId="77777777" w:rsidR="00944F24" w:rsidRPr="00DC5E86" w:rsidRDefault="00944F24" w:rsidP="00944F24">
      <w:pPr>
        <w:rPr>
          <w:rFonts w:ascii="Times New Roman" w:hAnsi="Times New Roman"/>
          <w:sz w:val="24"/>
          <w:szCs w:val="24"/>
        </w:rPr>
      </w:pPr>
    </w:p>
    <w:p w14:paraId="2ADD8E60" w14:textId="77777777" w:rsidR="00944F24" w:rsidRPr="00DC5E86" w:rsidRDefault="00944F24" w:rsidP="00944F24">
      <w:pPr>
        <w:pStyle w:val="NoSpacing"/>
        <w:ind w:right="55"/>
        <w:rPr>
          <w:b/>
          <w:color w:val="000000" w:themeColor="text1"/>
          <w:szCs w:val="24"/>
        </w:rPr>
      </w:pPr>
      <w:r w:rsidRPr="00DC5E86">
        <w:rPr>
          <w:b/>
          <w:color w:val="000000" w:themeColor="text1"/>
          <w:szCs w:val="24"/>
        </w:rPr>
        <w:t>Conclusion</w:t>
      </w:r>
    </w:p>
    <w:p w14:paraId="10ABC288" w14:textId="77777777" w:rsidR="00944F24" w:rsidRPr="00DC5E86" w:rsidRDefault="00944F24" w:rsidP="00944F24">
      <w:pPr>
        <w:ind w:right="-46"/>
        <w:rPr>
          <w:rFonts w:ascii="Times New Roman" w:hAnsi="Times New Roman"/>
          <w:color w:val="000000" w:themeColor="text1"/>
          <w:sz w:val="24"/>
          <w:szCs w:val="24"/>
        </w:rPr>
      </w:pPr>
    </w:p>
    <w:p w14:paraId="17AE8015" w14:textId="0AEE24DA" w:rsidR="00944F24" w:rsidRPr="007B36A7" w:rsidRDefault="00944F24" w:rsidP="00944F24">
      <w:pPr>
        <w:rPr>
          <w:rFonts w:ascii="Times New Roman" w:hAnsi="Times New Roman"/>
          <w:color w:val="000000" w:themeColor="text1"/>
          <w:sz w:val="24"/>
          <w:szCs w:val="24"/>
        </w:rPr>
      </w:pPr>
      <w:r w:rsidRPr="002B1C92">
        <w:rPr>
          <w:rFonts w:ascii="Times New Roman" w:hAnsi="Times New Roman"/>
          <w:sz w:val="24"/>
          <w:szCs w:val="24"/>
        </w:rPr>
        <w:t xml:space="preserve">Table item </w:t>
      </w:r>
      <w:r w:rsidR="005E1C7F">
        <w:rPr>
          <w:rFonts w:ascii="Times New Roman" w:hAnsi="Times New Roman"/>
          <w:sz w:val="24"/>
          <w:szCs w:val="24"/>
        </w:rPr>
        <w:t>460</w:t>
      </w:r>
      <w:r w:rsidRPr="002B1C92">
        <w:rPr>
          <w:rFonts w:ascii="Times New Roman" w:hAnsi="Times New Roman"/>
          <w:sz w:val="24"/>
          <w:szCs w:val="24"/>
        </w:rPr>
        <w:t xml:space="preserve"> is compatible with human rights because it promotes the right to education under the ICESCR</w:t>
      </w:r>
      <w:r w:rsidRPr="007B36A7">
        <w:rPr>
          <w:rFonts w:ascii="Times New Roman" w:hAnsi="Times New Roman"/>
          <w:color w:val="000000" w:themeColor="text1"/>
          <w:sz w:val="24"/>
          <w:szCs w:val="24"/>
        </w:rPr>
        <w:t>.</w:t>
      </w:r>
    </w:p>
    <w:p w14:paraId="34EFBE7C" w14:textId="77777777" w:rsidR="00944F24" w:rsidRDefault="00944F24" w:rsidP="00EF5414">
      <w:pPr>
        <w:rPr>
          <w:rFonts w:ascii="Times New Roman" w:hAnsi="Times New Roman"/>
          <w:i/>
          <w:sz w:val="24"/>
          <w:szCs w:val="24"/>
          <w:u w:val="single"/>
        </w:rPr>
      </w:pPr>
    </w:p>
    <w:p w14:paraId="2F85BC70" w14:textId="0E0DDFB7" w:rsidR="00781A19" w:rsidRPr="00304441" w:rsidRDefault="00781A19" w:rsidP="00781A19">
      <w:pPr>
        <w:rPr>
          <w:rFonts w:ascii="Times New Roman" w:hAnsi="Times New Roman"/>
          <w:i/>
          <w:sz w:val="24"/>
          <w:szCs w:val="24"/>
          <w:u w:val="single"/>
        </w:rPr>
      </w:pPr>
      <w:r w:rsidRPr="00DC5E86">
        <w:rPr>
          <w:rFonts w:ascii="Times New Roman" w:hAnsi="Times New Roman"/>
          <w:i/>
          <w:sz w:val="24"/>
          <w:szCs w:val="24"/>
          <w:u w:val="single"/>
        </w:rPr>
        <w:t xml:space="preserve">Table item </w:t>
      </w:r>
      <w:r w:rsidR="005E1C7F">
        <w:rPr>
          <w:rFonts w:ascii="Times New Roman" w:hAnsi="Times New Roman"/>
          <w:i/>
          <w:sz w:val="24"/>
          <w:szCs w:val="24"/>
          <w:u w:val="single"/>
        </w:rPr>
        <w:t>461</w:t>
      </w:r>
      <w:r w:rsidRPr="00DC5E86">
        <w:rPr>
          <w:rFonts w:ascii="Times New Roman" w:hAnsi="Times New Roman"/>
          <w:i/>
          <w:sz w:val="24"/>
          <w:szCs w:val="24"/>
          <w:u w:val="single"/>
        </w:rPr>
        <w:t xml:space="preserve"> – </w:t>
      </w:r>
      <w:r w:rsidRPr="00304441">
        <w:rPr>
          <w:rFonts w:ascii="Times New Roman" w:hAnsi="Times New Roman"/>
          <w:i/>
          <w:sz w:val="24"/>
          <w:szCs w:val="24"/>
          <w:u w:val="single"/>
        </w:rPr>
        <w:t>Pacific Labour Mobility: Safeguarding Welfare of Workers (Community Connections)</w:t>
      </w:r>
    </w:p>
    <w:p w14:paraId="389AE41D" w14:textId="77777777" w:rsidR="00781A19" w:rsidRPr="00DC5E86" w:rsidRDefault="00781A19" w:rsidP="00781A19">
      <w:pPr>
        <w:ind w:right="-46"/>
        <w:rPr>
          <w:rFonts w:ascii="Times New Roman" w:hAnsi="Times New Roman"/>
          <w:color w:val="000000" w:themeColor="text1"/>
          <w:sz w:val="24"/>
          <w:szCs w:val="24"/>
        </w:rPr>
      </w:pPr>
    </w:p>
    <w:p w14:paraId="292DF4B1" w14:textId="057AEFFB" w:rsidR="00781A19" w:rsidRDefault="00781A19" w:rsidP="00781A19">
      <w:pPr>
        <w:rPr>
          <w:rFonts w:ascii="Times New Roman" w:hAnsi="Times New Roman"/>
          <w:iCs/>
          <w:sz w:val="24"/>
          <w:szCs w:val="24"/>
        </w:rPr>
      </w:pPr>
      <w:r w:rsidRPr="00DC5E86">
        <w:rPr>
          <w:rFonts w:ascii="Times New Roman" w:hAnsi="Times New Roman"/>
          <w:sz w:val="24"/>
          <w:szCs w:val="24"/>
        </w:rPr>
        <w:t xml:space="preserve">Table item </w:t>
      </w:r>
      <w:r w:rsidR="005E1C7F">
        <w:rPr>
          <w:rFonts w:ascii="Times New Roman" w:hAnsi="Times New Roman"/>
          <w:sz w:val="24"/>
          <w:szCs w:val="24"/>
        </w:rPr>
        <w:t>461</w:t>
      </w:r>
      <w:r w:rsidRPr="00DC5E86">
        <w:rPr>
          <w:rFonts w:ascii="Times New Roman" w:hAnsi="Times New Roman"/>
          <w:b/>
          <w:sz w:val="24"/>
          <w:szCs w:val="24"/>
        </w:rPr>
        <w:t xml:space="preserve"> </w:t>
      </w:r>
      <w:r w:rsidRPr="00DC5E86">
        <w:rPr>
          <w:rFonts w:ascii="Times New Roman" w:hAnsi="Times New Roman"/>
          <w:sz w:val="24"/>
          <w:szCs w:val="24"/>
        </w:rPr>
        <w:t xml:space="preserve">establishes </w:t>
      </w:r>
      <w:r w:rsidRPr="00DC5E86">
        <w:rPr>
          <w:rFonts w:ascii="Times New Roman" w:hAnsi="Times New Roman"/>
          <w:iCs/>
          <w:sz w:val="24"/>
          <w:szCs w:val="24"/>
        </w:rPr>
        <w:t xml:space="preserve">legislative authority for government spending on the </w:t>
      </w:r>
      <w:r w:rsidRPr="009C7EE1">
        <w:rPr>
          <w:rFonts w:ascii="Times New Roman" w:hAnsi="Times New Roman"/>
          <w:iCs/>
          <w:sz w:val="24"/>
          <w:szCs w:val="24"/>
        </w:rPr>
        <w:t>Pacific Labour Mobility: Safeguarding Welfare of Workers (Community Connections) project</w:t>
      </w:r>
      <w:r>
        <w:rPr>
          <w:rFonts w:ascii="Times New Roman" w:hAnsi="Times New Roman"/>
          <w:iCs/>
          <w:sz w:val="24"/>
          <w:szCs w:val="24"/>
        </w:rPr>
        <w:t xml:space="preserve"> (the Community Connections project).</w:t>
      </w:r>
    </w:p>
    <w:p w14:paraId="63110111" w14:textId="77777777" w:rsidR="00781A19" w:rsidRDefault="00781A19" w:rsidP="00781A19">
      <w:pPr>
        <w:rPr>
          <w:rFonts w:ascii="Times New Roman" w:hAnsi="Times New Roman"/>
          <w:iCs/>
          <w:sz w:val="24"/>
          <w:szCs w:val="24"/>
        </w:rPr>
      </w:pPr>
    </w:p>
    <w:p w14:paraId="1E62D00E" w14:textId="77777777" w:rsidR="00781A19" w:rsidRPr="006F038B" w:rsidRDefault="00781A19" w:rsidP="00781A19">
      <w:pPr>
        <w:rPr>
          <w:rFonts w:ascii="Times New Roman" w:hAnsi="Times New Roman"/>
          <w:color w:val="000000" w:themeColor="text1"/>
          <w:sz w:val="24"/>
          <w:szCs w:val="24"/>
        </w:rPr>
      </w:pPr>
      <w:r>
        <w:rPr>
          <w:rFonts w:ascii="Times New Roman" w:hAnsi="Times New Roman"/>
          <w:iCs/>
          <w:sz w:val="24"/>
          <w:szCs w:val="24"/>
        </w:rPr>
        <w:t xml:space="preserve">The Pacific Labour Mobility: Safeguarding Welfare of Workers measure (the measure) was introduced to ensure the welfare of Pacific and Timorese workers (Pacific workers) who are participating in the Seasonal Worker Program (SWP) or the Pacific Labour Scheme (PLS). </w:t>
      </w:r>
      <w:r w:rsidRPr="00EF04AD">
        <w:rPr>
          <w:rFonts w:ascii="Times New Roman" w:hAnsi="Times New Roman"/>
          <w:iCs/>
          <w:sz w:val="24"/>
          <w:szCs w:val="24"/>
        </w:rPr>
        <w:t xml:space="preserve">This measure will support the SWP’s current model to ensure the program continues to protect the welfare of Pacific workers and has the resources to accommodate the growth of the program. </w:t>
      </w:r>
    </w:p>
    <w:p w14:paraId="4FD46B9F" w14:textId="77777777" w:rsidR="00781A19" w:rsidRPr="00EF04AD" w:rsidRDefault="00781A19" w:rsidP="00781A19">
      <w:pPr>
        <w:tabs>
          <w:tab w:val="left" w:pos="936"/>
        </w:tabs>
        <w:rPr>
          <w:rFonts w:ascii="Times New Roman" w:hAnsi="Times New Roman"/>
          <w:color w:val="000000" w:themeColor="text1"/>
          <w:sz w:val="24"/>
          <w:szCs w:val="24"/>
        </w:rPr>
      </w:pPr>
    </w:p>
    <w:p w14:paraId="233197FE" w14:textId="77777777" w:rsidR="00781A19" w:rsidRDefault="00781A19" w:rsidP="00781A19">
      <w:pPr>
        <w:tabs>
          <w:tab w:val="left" w:pos="936"/>
        </w:tabs>
        <w:rPr>
          <w:rFonts w:ascii="Times New Roman" w:hAnsi="Times New Roman"/>
          <w:color w:val="000000" w:themeColor="text1"/>
          <w:sz w:val="24"/>
          <w:szCs w:val="24"/>
        </w:rPr>
      </w:pPr>
      <w:r w:rsidRPr="00EF04AD">
        <w:rPr>
          <w:rFonts w:ascii="Times New Roman" w:hAnsi="Times New Roman"/>
          <w:color w:val="000000" w:themeColor="text1"/>
          <w:sz w:val="24"/>
          <w:szCs w:val="24"/>
        </w:rPr>
        <w:t>The SWP assists Australian employers to meet seasonal labour needs in the agricultur</w:t>
      </w:r>
      <w:r>
        <w:rPr>
          <w:rFonts w:ascii="Times New Roman" w:hAnsi="Times New Roman"/>
          <w:color w:val="000000" w:themeColor="text1"/>
          <w:sz w:val="24"/>
          <w:szCs w:val="24"/>
        </w:rPr>
        <w:t>al</w:t>
      </w:r>
      <w:r w:rsidRPr="00EF04AD">
        <w:rPr>
          <w:rFonts w:ascii="Times New Roman" w:hAnsi="Times New Roman"/>
          <w:color w:val="000000" w:themeColor="text1"/>
          <w:sz w:val="24"/>
          <w:szCs w:val="24"/>
        </w:rPr>
        <w:t xml:space="preserve"> sector and accommodation sector, in selected locations, when their needs are unable to be met by the Australian workforce. The program contributes to the economic development of nine Pacific </w:t>
      </w:r>
      <w:r>
        <w:rPr>
          <w:rFonts w:ascii="Times New Roman" w:hAnsi="Times New Roman"/>
          <w:color w:val="000000" w:themeColor="text1"/>
          <w:sz w:val="24"/>
          <w:szCs w:val="24"/>
        </w:rPr>
        <w:t>I</w:t>
      </w:r>
      <w:r w:rsidRPr="00EF04AD">
        <w:rPr>
          <w:rFonts w:ascii="Times New Roman" w:hAnsi="Times New Roman"/>
          <w:color w:val="000000" w:themeColor="text1"/>
          <w:sz w:val="24"/>
          <w:szCs w:val="24"/>
        </w:rPr>
        <w:t>sland countries</w:t>
      </w:r>
      <w:r>
        <w:rPr>
          <w:rFonts w:ascii="Times New Roman" w:hAnsi="Times New Roman"/>
          <w:color w:val="000000" w:themeColor="text1"/>
          <w:sz w:val="24"/>
          <w:szCs w:val="24"/>
        </w:rPr>
        <w:t>:</w:t>
      </w:r>
      <w:r w:rsidRPr="00EF04AD">
        <w:rPr>
          <w:rFonts w:ascii="Times New Roman" w:hAnsi="Times New Roman"/>
          <w:color w:val="000000" w:themeColor="text1"/>
          <w:sz w:val="24"/>
          <w:szCs w:val="24"/>
        </w:rPr>
        <w:t xml:space="preserve"> Fiji, Kiribati, Nauru, Papua New Guinea, Samoa, Solomon Islands, Tonga, Tuvalu, Vanuatu as well as Timor-Leste. The SWP supports critical sectors of the Australian economy, particularly agriculture, and provides an important source of remittances which are essential to the Pacific and Timorese economies. </w:t>
      </w:r>
    </w:p>
    <w:p w14:paraId="40A0ADF6" w14:textId="77777777" w:rsidR="00781A19" w:rsidRPr="00EF04AD" w:rsidRDefault="00781A19" w:rsidP="00781A19">
      <w:pPr>
        <w:tabs>
          <w:tab w:val="left" w:pos="936"/>
        </w:tabs>
        <w:rPr>
          <w:rFonts w:ascii="Times New Roman" w:hAnsi="Times New Roman"/>
          <w:color w:val="000000" w:themeColor="text1"/>
          <w:sz w:val="24"/>
          <w:szCs w:val="24"/>
        </w:rPr>
      </w:pPr>
    </w:p>
    <w:p w14:paraId="6F3E832B" w14:textId="77777777" w:rsidR="00781A19" w:rsidRPr="00EF04AD" w:rsidRDefault="00781A19" w:rsidP="00781A19">
      <w:pPr>
        <w:tabs>
          <w:tab w:val="left" w:pos="936"/>
        </w:tabs>
        <w:rPr>
          <w:rFonts w:ascii="Times New Roman" w:hAnsi="Times New Roman"/>
          <w:color w:val="000000" w:themeColor="text1"/>
          <w:sz w:val="24"/>
          <w:szCs w:val="24"/>
        </w:rPr>
      </w:pPr>
      <w:r w:rsidRPr="00EF04AD">
        <w:rPr>
          <w:rFonts w:ascii="Times New Roman" w:hAnsi="Times New Roman"/>
          <w:color w:val="000000" w:themeColor="text1"/>
          <w:sz w:val="24"/>
          <w:szCs w:val="24"/>
        </w:rPr>
        <w:t>Employers are approved to participate in the SWP following a robust vetting process, with successful applicants invited to enter into a Deed of Agreement with the department</w:t>
      </w:r>
      <w:r>
        <w:rPr>
          <w:rFonts w:ascii="Times New Roman" w:hAnsi="Times New Roman"/>
          <w:color w:val="000000" w:themeColor="text1"/>
          <w:sz w:val="24"/>
          <w:szCs w:val="24"/>
        </w:rPr>
        <w:t xml:space="preserve"> to become Approved Employers</w:t>
      </w:r>
      <w:r w:rsidRPr="00EF04AD">
        <w:rPr>
          <w:rFonts w:ascii="Times New Roman" w:hAnsi="Times New Roman"/>
          <w:color w:val="000000" w:themeColor="text1"/>
          <w:sz w:val="24"/>
          <w:szCs w:val="24"/>
        </w:rPr>
        <w:t>.</w:t>
      </w:r>
      <w:r>
        <w:rPr>
          <w:rFonts w:ascii="Times New Roman" w:hAnsi="Times New Roman"/>
          <w:color w:val="000000" w:themeColor="text1"/>
          <w:sz w:val="24"/>
          <w:szCs w:val="24"/>
        </w:rPr>
        <w:t xml:space="preserve"> T</w:t>
      </w:r>
      <w:r w:rsidRPr="00EF04AD">
        <w:rPr>
          <w:rFonts w:ascii="Times New Roman" w:hAnsi="Times New Roman"/>
          <w:color w:val="000000" w:themeColor="text1"/>
          <w:sz w:val="24"/>
          <w:szCs w:val="24"/>
        </w:rPr>
        <w:t>he</w:t>
      </w:r>
      <w:r>
        <w:rPr>
          <w:rFonts w:ascii="Times New Roman" w:hAnsi="Times New Roman"/>
          <w:color w:val="000000" w:themeColor="text1"/>
          <w:sz w:val="24"/>
          <w:szCs w:val="24"/>
        </w:rPr>
        <w:t xml:space="preserve"> SWP </w:t>
      </w:r>
      <w:r w:rsidRPr="00EF04AD">
        <w:rPr>
          <w:rFonts w:ascii="Times New Roman" w:hAnsi="Times New Roman"/>
          <w:color w:val="000000" w:themeColor="text1"/>
          <w:sz w:val="24"/>
          <w:szCs w:val="24"/>
        </w:rPr>
        <w:t>is a demand driven</w:t>
      </w:r>
      <w:r>
        <w:rPr>
          <w:rFonts w:ascii="Times New Roman" w:hAnsi="Times New Roman"/>
          <w:color w:val="000000" w:themeColor="text1"/>
          <w:sz w:val="24"/>
          <w:szCs w:val="24"/>
        </w:rPr>
        <w:t>,</w:t>
      </w:r>
      <w:r w:rsidRPr="00EF04AD">
        <w:rPr>
          <w:rFonts w:ascii="Times New Roman" w:hAnsi="Times New Roman"/>
          <w:color w:val="000000" w:themeColor="text1"/>
          <w:sz w:val="24"/>
          <w:szCs w:val="24"/>
        </w:rPr>
        <w:t> uncapped program</w:t>
      </w:r>
      <w:r>
        <w:rPr>
          <w:rFonts w:ascii="Times New Roman" w:hAnsi="Times New Roman"/>
          <w:color w:val="000000" w:themeColor="text1"/>
          <w:sz w:val="24"/>
          <w:szCs w:val="24"/>
        </w:rPr>
        <w:t>, which</w:t>
      </w:r>
      <w:r w:rsidRPr="00EF04AD">
        <w:rPr>
          <w:rFonts w:ascii="Times New Roman" w:hAnsi="Times New Roman"/>
          <w:color w:val="000000" w:themeColor="text1"/>
          <w:sz w:val="24"/>
          <w:szCs w:val="24"/>
        </w:rPr>
        <w:t xml:space="preserve"> has grown by around</w:t>
      </w:r>
      <w:r>
        <w:rPr>
          <w:rFonts w:ascii="Times New Roman" w:hAnsi="Times New Roman"/>
          <w:color w:val="000000" w:themeColor="text1"/>
          <w:sz w:val="24"/>
          <w:szCs w:val="24"/>
        </w:rPr>
        <w:t xml:space="preserve"> </w:t>
      </w:r>
      <w:r w:rsidRPr="00EF04AD">
        <w:rPr>
          <w:rFonts w:ascii="Times New Roman" w:hAnsi="Times New Roman"/>
          <w:color w:val="000000" w:themeColor="text1"/>
          <w:sz w:val="24"/>
          <w:szCs w:val="24"/>
        </w:rPr>
        <w:t>42</w:t>
      </w:r>
      <w:r>
        <w:rPr>
          <w:rFonts w:ascii="Times New Roman" w:hAnsi="Times New Roman"/>
          <w:color w:val="000000" w:themeColor="text1"/>
          <w:sz w:val="24"/>
          <w:szCs w:val="24"/>
        </w:rPr>
        <w:t xml:space="preserve"> </w:t>
      </w:r>
      <w:r w:rsidRPr="00EF04AD">
        <w:rPr>
          <w:rFonts w:ascii="Times New Roman" w:hAnsi="Times New Roman"/>
          <w:color w:val="000000" w:themeColor="text1"/>
          <w:sz w:val="24"/>
          <w:szCs w:val="24"/>
        </w:rPr>
        <w:t>per</w:t>
      </w:r>
      <w:r>
        <w:rPr>
          <w:rFonts w:ascii="Times New Roman" w:hAnsi="Times New Roman"/>
          <w:color w:val="000000" w:themeColor="text1"/>
          <w:sz w:val="24"/>
          <w:szCs w:val="24"/>
        </w:rPr>
        <w:t xml:space="preserve"> </w:t>
      </w:r>
      <w:r w:rsidRPr="00EF04AD">
        <w:rPr>
          <w:rFonts w:ascii="Times New Roman" w:hAnsi="Times New Roman"/>
          <w:color w:val="000000" w:themeColor="text1"/>
          <w:sz w:val="24"/>
          <w:szCs w:val="24"/>
        </w:rPr>
        <w:t>cent</w:t>
      </w:r>
      <w:r>
        <w:rPr>
          <w:rFonts w:ascii="Times New Roman" w:hAnsi="Times New Roman"/>
          <w:color w:val="000000" w:themeColor="text1"/>
          <w:sz w:val="24"/>
          <w:szCs w:val="24"/>
        </w:rPr>
        <w:t xml:space="preserve"> a </w:t>
      </w:r>
      <w:r w:rsidRPr="00EF04AD">
        <w:rPr>
          <w:rFonts w:ascii="Times New Roman" w:hAnsi="Times New Roman"/>
          <w:color w:val="000000" w:themeColor="text1"/>
          <w:sz w:val="24"/>
          <w:szCs w:val="24"/>
        </w:rPr>
        <w:t>year since it commenced on 1 July 2012. The program has a national footprint</w:t>
      </w:r>
      <w:r>
        <w:rPr>
          <w:rFonts w:ascii="Times New Roman" w:hAnsi="Times New Roman"/>
          <w:color w:val="000000" w:themeColor="text1"/>
          <w:sz w:val="24"/>
          <w:szCs w:val="24"/>
        </w:rPr>
        <w:t>, with</w:t>
      </w:r>
      <w:r w:rsidRPr="00EF04AD">
        <w:rPr>
          <w:rFonts w:ascii="Times New Roman" w:hAnsi="Times New Roman"/>
          <w:color w:val="000000" w:themeColor="text1"/>
          <w:sz w:val="24"/>
          <w:szCs w:val="24"/>
        </w:rPr>
        <w:t xml:space="preserve"> varied employer and placement sizes across a disparate geographic spread of locations. </w:t>
      </w:r>
    </w:p>
    <w:p w14:paraId="4C3AE96E" w14:textId="77777777" w:rsidR="00781A19" w:rsidRPr="00EF04AD" w:rsidRDefault="00781A19" w:rsidP="00781A19">
      <w:pPr>
        <w:tabs>
          <w:tab w:val="left" w:pos="936"/>
        </w:tabs>
        <w:rPr>
          <w:rFonts w:ascii="Times New Roman" w:hAnsi="Times New Roman"/>
          <w:color w:val="000000" w:themeColor="text1"/>
          <w:sz w:val="24"/>
          <w:szCs w:val="24"/>
        </w:rPr>
      </w:pPr>
    </w:p>
    <w:p w14:paraId="0B19EE84" w14:textId="77777777" w:rsidR="00781A19" w:rsidRPr="000D248D" w:rsidRDefault="00781A19" w:rsidP="00781A19">
      <w:pPr>
        <w:tabs>
          <w:tab w:val="left" w:pos="936"/>
        </w:tabs>
        <w:rPr>
          <w:rFonts w:ascii="Times New Roman" w:hAnsi="Times New Roman"/>
          <w:color w:val="000000" w:themeColor="text1"/>
          <w:sz w:val="24"/>
          <w:szCs w:val="24"/>
        </w:rPr>
      </w:pPr>
      <w:r w:rsidRPr="000D248D">
        <w:rPr>
          <w:rFonts w:ascii="Times New Roman" w:hAnsi="Times New Roman"/>
          <w:color w:val="000000" w:themeColor="text1"/>
          <w:sz w:val="24"/>
          <w:szCs w:val="24"/>
        </w:rPr>
        <w:lastRenderedPageBreak/>
        <w:t>The challenge of ensuring the welfare of Pacific workers participating in the SWP in Australia has grown and become more pronounced due to the unique and unanticipated difficulties caused by international border closures as a result of COVID-19. Pacific workers in Australia do not know when they will be able to return home to their families and continue to work in labour intensive jobs, to support themselves and send remittances back home. The flow of remittances back to Pacific communities makes an important contribution to their ability to withstand the economic impacts of COVID-19.  </w:t>
      </w:r>
    </w:p>
    <w:p w14:paraId="7CDFF15A" w14:textId="77777777" w:rsidR="00781A19" w:rsidRPr="00F90C38" w:rsidRDefault="00781A19" w:rsidP="00781A19">
      <w:pPr>
        <w:tabs>
          <w:tab w:val="left" w:pos="936"/>
        </w:tabs>
        <w:rPr>
          <w:rFonts w:ascii="Times New Roman" w:hAnsi="Times New Roman"/>
          <w:color w:val="000000" w:themeColor="text1"/>
          <w:sz w:val="24"/>
          <w:szCs w:val="24"/>
        </w:rPr>
      </w:pPr>
    </w:p>
    <w:p w14:paraId="363AFAC3" w14:textId="77777777" w:rsidR="00781A19" w:rsidRPr="00F90C38" w:rsidRDefault="00781A19" w:rsidP="00781A19">
      <w:pPr>
        <w:tabs>
          <w:tab w:val="left" w:pos="936"/>
        </w:tabs>
        <w:rPr>
          <w:rFonts w:ascii="Times New Roman" w:hAnsi="Times New Roman"/>
          <w:color w:val="000000" w:themeColor="text1"/>
          <w:sz w:val="24"/>
          <w:szCs w:val="24"/>
        </w:rPr>
      </w:pPr>
      <w:r w:rsidRPr="00F90C38">
        <w:rPr>
          <w:rFonts w:ascii="Times New Roman" w:hAnsi="Times New Roman"/>
          <w:color w:val="000000" w:themeColor="text1"/>
          <w:sz w:val="24"/>
          <w:szCs w:val="24"/>
        </w:rPr>
        <w:t>The measure has</w:t>
      </w:r>
      <w:r>
        <w:rPr>
          <w:rFonts w:ascii="Times New Roman" w:hAnsi="Times New Roman"/>
          <w:color w:val="000000" w:themeColor="text1"/>
          <w:sz w:val="24"/>
          <w:szCs w:val="24"/>
        </w:rPr>
        <w:t xml:space="preserve"> two components:</w:t>
      </w:r>
    </w:p>
    <w:p w14:paraId="0FB2E86E" w14:textId="77777777" w:rsidR="00781A19" w:rsidRPr="00F90C38" w:rsidRDefault="00781A19" w:rsidP="00781A19">
      <w:pPr>
        <w:pStyle w:val="ListParagraph"/>
        <w:numPr>
          <w:ilvl w:val="0"/>
          <w:numId w:val="42"/>
        </w:numPr>
        <w:ind w:right="57"/>
        <w:contextualSpacing w:val="0"/>
        <w:rPr>
          <w:rFonts w:cs="Times New Roman"/>
          <w:color w:val="000000"/>
          <w:szCs w:val="24"/>
        </w:rPr>
      </w:pPr>
      <w:r>
        <w:rPr>
          <w:rFonts w:cs="Times New Roman"/>
          <w:color w:val="000000"/>
          <w:szCs w:val="24"/>
        </w:rPr>
        <w:t>the</w:t>
      </w:r>
      <w:r w:rsidRPr="00F90C38">
        <w:rPr>
          <w:rFonts w:cs="Times New Roman"/>
          <w:color w:val="000000"/>
          <w:szCs w:val="24"/>
        </w:rPr>
        <w:t xml:space="preserve"> Pacific Labour Mobility Officers (</w:t>
      </w:r>
      <w:r>
        <w:rPr>
          <w:rFonts w:cs="Times New Roman"/>
          <w:color w:val="000000"/>
          <w:szCs w:val="24"/>
        </w:rPr>
        <w:t xml:space="preserve">the </w:t>
      </w:r>
      <w:r w:rsidRPr="00F90C38">
        <w:rPr>
          <w:rFonts w:cs="Times New Roman"/>
          <w:color w:val="000000"/>
          <w:szCs w:val="24"/>
        </w:rPr>
        <w:t>PLM Officers) will be established in states and territories to complement current SWP assurance and monitoring activities by undertaking additional welfare, monitoring, comp</w:t>
      </w:r>
      <w:r>
        <w:rPr>
          <w:rFonts w:cs="Times New Roman"/>
          <w:color w:val="000000"/>
          <w:szCs w:val="24"/>
        </w:rPr>
        <w:t>liance and accommodation checks; and</w:t>
      </w:r>
      <w:r w:rsidRPr="00F90C38">
        <w:rPr>
          <w:rFonts w:cs="Times New Roman"/>
          <w:color w:val="000000"/>
          <w:szCs w:val="24"/>
        </w:rPr>
        <w:t xml:space="preserve">  </w:t>
      </w:r>
      <w:r>
        <w:rPr>
          <w:rFonts w:cs="Times New Roman"/>
          <w:color w:val="000000"/>
          <w:szCs w:val="24"/>
        </w:rPr>
        <w:t xml:space="preserve"> </w:t>
      </w:r>
      <w:r w:rsidRPr="00F90C38">
        <w:rPr>
          <w:rFonts w:cs="Times New Roman"/>
          <w:color w:val="000000"/>
          <w:szCs w:val="24"/>
        </w:rPr>
        <w:t xml:space="preserve">  </w:t>
      </w:r>
    </w:p>
    <w:p w14:paraId="5D8B726A" w14:textId="77777777" w:rsidR="00781A19" w:rsidRDefault="00781A19" w:rsidP="00781A19">
      <w:pPr>
        <w:pStyle w:val="ListParagraph"/>
        <w:numPr>
          <w:ilvl w:val="0"/>
          <w:numId w:val="42"/>
        </w:numPr>
        <w:ind w:right="57"/>
        <w:contextualSpacing w:val="0"/>
        <w:rPr>
          <w:rFonts w:cs="Times New Roman"/>
          <w:color w:val="000000"/>
          <w:szCs w:val="24"/>
        </w:rPr>
      </w:pPr>
      <w:r>
        <w:rPr>
          <w:rFonts w:cs="Times New Roman"/>
          <w:color w:val="000000"/>
          <w:szCs w:val="24"/>
        </w:rPr>
        <w:t xml:space="preserve">the </w:t>
      </w:r>
      <w:r w:rsidRPr="00F90C38">
        <w:rPr>
          <w:rFonts w:cs="Times New Roman"/>
          <w:color w:val="000000"/>
          <w:szCs w:val="24"/>
        </w:rPr>
        <w:t xml:space="preserve">Community Connections </w:t>
      </w:r>
      <w:r>
        <w:rPr>
          <w:rFonts w:cs="Times New Roman"/>
          <w:color w:val="000000"/>
          <w:szCs w:val="24"/>
        </w:rPr>
        <w:t>p</w:t>
      </w:r>
      <w:r w:rsidRPr="00F90C38">
        <w:rPr>
          <w:rFonts w:cs="Times New Roman"/>
          <w:color w:val="000000"/>
          <w:szCs w:val="24"/>
        </w:rPr>
        <w:t>roject</w:t>
      </w:r>
      <w:r>
        <w:rPr>
          <w:rFonts w:cs="Times New Roman"/>
          <w:color w:val="000000"/>
          <w:szCs w:val="24"/>
        </w:rPr>
        <w:t>, which</w:t>
      </w:r>
      <w:r w:rsidRPr="00F90C38">
        <w:rPr>
          <w:rFonts w:cs="Times New Roman"/>
          <w:color w:val="000000"/>
          <w:szCs w:val="24"/>
        </w:rPr>
        <w:t xml:space="preserve"> will fund</w:t>
      </w:r>
      <w:r>
        <w:rPr>
          <w:rFonts w:cs="Times New Roman"/>
          <w:color w:val="000000"/>
          <w:szCs w:val="24"/>
        </w:rPr>
        <w:t xml:space="preserve"> </w:t>
      </w:r>
      <w:r w:rsidRPr="00F90C38">
        <w:rPr>
          <w:rFonts w:cs="Times New Roman"/>
          <w:color w:val="000000"/>
          <w:szCs w:val="24"/>
        </w:rPr>
        <w:t xml:space="preserve">the not-for-profit sector to strengthen their role in connecting Pacific workers who are participating in the SWP with local community groups. </w:t>
      </w:r>
    </w:p>
    <w:p w14:paraId="49B13E06" w14:textId="77777777" w:rsidR="00781A19" w:rsidRPr="006F038B" w:rsidRDefault="00781A19" w:rsidP="00781A19">
      <w:pPr>
        <w:tabs>
          <w:tab w:val="left" w:pos="936"/>
        </w:tabs>
        <w:rPr>
          <w:rFonts w:ascii="Times New Roman" w:hAnsi="Times New Roman"/>
          <w:color w:val="000000" w:themeColor="text1"/>
          <w:sz w:val="24"/>
          <w:szCs w:val="24"/>
        </w:rPr>
      </w:pPr>
    </w:p>
    <w:p w14:paraId="2FA54D23" w14:textId="77777777" w:rsidR="00781A19" w:rsidRPr="006F038B" w:rsidRDefault="00781A19" w:rsidP="00781A19">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Pr="006F038B">
        <w:rPr>
          <w:rFonts w:ascii="Times New Roman" w:hAnsi="Times New Roman"/>
          <w:color w:val="000000" w:themeColor="text1"/>
          <w:sz w:val="24"/>
          <w:szCs w:val="24"/>
        </w:rPr>
        <w:t>PLM Officers will provide an on</w:t>
      </w:r>
      <w:r w:rsidRPr="006F038B">
        <w:rPr>
          <w:rFonts w:ascii="Times New Roman" w:hAnsi="Times New Roman"/>
          <w:color w:val="000000" w:themeColor="text1"/>
          <w:sz w:val="24"/>
          <w:szCs w:val="24"/>
        </w:rPr>
        <w:noBreakHyphen/>
        <w:t xml:space="preserve">the-ground presence and establish direct links with </w:t>
      </w:r>
      <w:r>
        <w:rPr>
          <w:rFonts w:ascii="Times New Roman" w:hAnsi="Times New Roman"/>
          <w:color w:val="000000" w:themeColor="text1"/>
          <w:sz w:val="24"/>
          <w:szCs w:val="24"/>
        </w:rPr>
        <w:t xml:space="preserve">the </w:t>
      </w:r>
      <w:r w:rsidRPr="006F038B">
        <w:rPr>
          <w:rFonts w:ascii="Times New Roman" w:hAnsi="Times New Roman"/>
          <w:color w:val="000000" w:themeColor="text1"/>
          <w:sz w:val="24"/>
          <w:szCs w:val="24"/>
        </w:rPr>
        <w:t xml:space="preserve">SWP workers, local community groups and </w:t>
      </w:r>
      <w:r>
        <w:rPr>
          <w:rFonts w:ascii="Times New Roman" w:hAnsi="Times New Roman"/>
          <w:color w:val="000000" w:themeColor="text1"/>
          <w:sz w:val="24"/>
          <w:szCs w:val="24"/>
        </w:rPr>
        <w:t>A</w:t>
      </w:r>
      <w:r w:rsidRPr="006F038B">
        <w:rPr>
          <w:rFonts w:ascii="Times New Roman" w:hAnsi="Times New Roman"/>
          <w:color w:val="000000" w:themeColor="text1"/>
          <w:sz w:val="24"/>
          <w:szCs w:val="24"/>
        </w:rPr>
        <w:t xml:space="preserve">pproved </w:t>
      </w:r>
      <w:r>
        <w:rPr>
          <w:rFonts w:ascii="Times New Roman" w:hAnsi="Times New Roman"/>
          <w:color w:val="000000" w:themeColor="text1"/>
          <w:sz w:val="24"/>
          <w:szCs w:val="24"/>
        </w:rPr>
        <w:t>E</w:t>
      </w:r>
      <w:r w:rsidRPr="006F038B">
        <w:rPr>
          <w:rFonts w:ascii="Times New Roman" w:hAnsi="Times New Roman"/>
          <w:color w:val="000000" w:themeColor="text1"/>
          <w:sz w:val="24"/>
          <w:szCs w:val="24"/>
        </w:rPr>
        <w:t xml:space="preserve">mployers. </w:t>
      </w:r>
      <w:r>
        <w:rPr>
          <w:rFonts w:ascii="Times New Roman" w:hAnsi="Times New Roman"/>
          <w:color w:val="000000" w:themeColor="text1"/>
          <w:sz w:val="24"/>
          <w:szCs w:val="24"/>
        </w:rPr>
        <w:t xml:space="preserve">The </w:t>
      </w:r>
      <w:r w:rsidRPr="006F038B">
        <w:rPr>
          <w:rFonts w:ascii="Times New Roman" w:hAnsi="Times New Roman"/>
          <w:color w:val="000000" w:themeColor="text1"/>
          <w:sz w:val="24"/>
          <w:szCs w:val="24"/>
        </w:rPr>
        <w:t>PLM Officers will be mainly contractors of the department</w:t>
      </w:r>
      <w:r>
        <w:rPr>
          <w:rFonts w:ascii="Times New Roman" w:hAnsi="Times New Roman"/>
          <w:color w:val="000000" w:themeColor="text1"/>
          <w:sz w:val="24"/>
          <w:szCs w:val="24"/>
        </w:rPr>
        <w:t xml:space="preserve"> who</w:t>
      </w:r>
      <w:r w:rsidRPr="006F038B">
        <w:rPr>
          <w:rFonts w:ascii="Times New Roman" w:hAnsi="Times New Roman"/>
          <w:color w:val="000000" w:themeColor="text1"/>
          <w:sz w:val="24"/>
          <w:szCs w:val="24"/>
        </w:rPr>
        <w:t xml:space="preserve"> will be located in </w:t>
      </w:r>
      <w:r>
        <w:rPr>
          <w:rFonts w:ascii="Times New Roman" w:hAnsi="Times New Roman"/>
          <w:color w:val="000000" w:themeColor="text1"/>
          <w:sz w:val="24"/>
          <w:szCs w:val="24"/>
        </w:rPr>
        <w:t xml:space="preserve">the </w:t>
      </w:r>
      <w:r w:rsidRPr="006F038B">
        <w:rPr>
          <w:rFonts w:ascii="Times New Roman" w:hAnsi="Times New Roman"/>
          <w:color w:val="000000" w:themeColor="text1"/>
          <w:sz w:val="24"/>
          <w:szCs w:val="24"/>
        </w:rPr>
        <w:t>department</w:t>
      </w:r>
      <w:r>
        <w:rPr>
          <w:rFonts w:ascii="Times New Roman" w:hAnsi="Times New Roman"/>
          <w:color w:val="000000" w:themeColor="text1"/>
          <w:sz w:val="24"/>
          <w:szCs w:val="24"/>
        </w:rPr>
        <w:t>’s</w:t>
      </w:r>
      <w:r w:rsidRPr="006F038B">
        <w:rPr>
          <w:rFonts w:ascii="Times New Roman" w:hAnsi="Times New Roman"/>
          <w:color w:val="000000" w:themeColor="text1"/>
          <w:sz w:val="24"/>
          <w:szCs w:val="24"/>
        </w:rPr>
        <w:t xml:space="preserve"> state and regional offices to allow them to be flexible and more responsive to issues</w:t>
      </w:r>
      <w:r>
        <w:rPr>
          <w:rFonts w:ascii="Times New Roman" w:hAnsi="Times New Roman"/>
          <w:color w:val="000000" w:themeColor="text1"/>
          <w:sz w:val="24"/>
          <w:szCs w:val="24"/>
        </w:rPr>
        <w:t>,</w:t>
      </w:r>
      <w:r w:rsidRPr="006F038B">
        <w:rPr>
          <w:rFonts w:ascii="Times New Roman" w:hAnsi="Times New Roman"/>
          <w:color w:val="000000" w:themeColor="text1"/>
          <w:sz w:val="24"/>
          <w:szCs w:val="24"/>
        </w:rPr>
        <w:t> and build relationships with employers and workers in their states and territories. </w:t>
      </w:r>
    </w:p>
    <w:p w14:paraId="738D1333" w14:textId="77777777" w:rsidR="00781A19" w:rsidRDefault="00781A19" w:rsidP="00781A19">
      <w:pPr>
        <w:rPr>
          <w:rFonts w:ascii="Times New Roman" w:hAnsi="Times New Roman"/>
          <w:iCs/>
          <w:sz w:val="24"/>
          <w:szCs w:val="24"/>
        </w:rPr>
      </w:pPr>
    </w:p>
    <w:p w14:paraId="0626836B" w14:textId="77777777" w:rsidR="00781A19" w:rsidRDefault="00781A19" w:rsidP="00781A19">
      <w:pPr>
        <w:rPr>
          <w:rFonts w:ascii="Times New Roman" w:hAnsi="Times New Roman"/>
          <w:color w:val="000000" w:themeColor="text1"/>
          <w:sz w:val="24"/>
          <w:szCs w:val="24"/>
        </w:rPr>
      </w:pPr>
      <w:r w:rsidRPr="00E935A6">
        <w:rPr>
          <w:rFonts w:ascii="Times New Roman" w:hAnsi="Times New Roman"/>
          <w:color w:val="000000" w:themeColor="text1"/>
          <w:sz w:val="24"/>
          <w:szCs w:val="24"/>
        </w:rPr>
        <w:t>The community sector in Australia is a key partner in the delivery of the SWP. Strong connections between Pacific workers and local communities have shown to be important in the welfare of workers. </w:t>
      </w:r>
      <w:r>
        <w:rPr>
          <w:rFonts w:ascii="Times New Roman" w:hAnsi="Times New Roman"/>
          <w:color w:val="000000" w:themeColor="text1"/>
          <w:sz w:val="24"/>
          <w:szCs w:val="24"/>
        </w:rPr>
        <w:t>The</w:t>
      </w:r>
      <w:r w:rsidRPr="00E935A6">
        <w:rPr>
          <w:rFonts w:ascii="Times New Roman" w:hAnsi="Times New Roman"/>
          <w:color w:val="000000" w:themeColor="text1"/>
          <w:sz w:val="24"/>
          <w:szCs w:val="24"/>
        </w:rPr>
        <w:t xml:space="preserve"> SWP employers are currently obliged to connect Pacific workers with local community groups but there are varying capabilities and practices. The </w:t>
      </w:r>
      <w:r>
        <w:rPr>
          <w:rFonts w:ascii="Times New Roman" w:hAnsi="Times New Roman"/>
          <w:color w:val="000000" w:themeColor="text1"/>
          <w:sz w:val="24"/>
          <w:szCs w:val="24"/>
        </w:rPr>
        <w:t>Community Connections p</w:t>
      </w:r>
      <w:r w:rsidRPr="00E935A6">
        <w:rPr>
          <w:rFonts w:ascii="Times New Roman" w:hAnsi="Times New Roman"/>
          <w:color w:val="000000" w:themeColor="text1"/>
          <w:sz w:val="24"/>
          <w:szCs w:val="24"/>
        </w:rPr>
        <w:t>roject will help improve the consistency of support and the integrity of the SWP and build important connections.  </w:t>
      </w:r>
    </w:p>
    <w:p w14:paraId="0E8C44F7" w14:textId="77777777" w:rsidR="00781A19" w:rsidRPr="00E935A6" w:rsidRDefault="00781A19" w:rsidP="00781A19">
      <w:pPr>
        <w:rPr>
          <w:rFonts w:ascii="Times New Roman" w:hAnsi="Times New Roman"/>
          <w:color w:val="000000" w:themeColor="text1"/>
          <w:sz w:val="24"/>
          <w:szCs w:val="24"/>
        </w:rPr>
      </w:pPr>
    </w:p>
    <w:p w14:paraId="363E67D6" w14:textId="77777777" w:rsidR="00781A19" w:rsidRDefault="00781A19" w:rsidP="00781A19">
      <w:pPr>
        <w:rPr>
          <w:rFonts w:ascii="Times New Roman" w:hAnsi="Times New Roman"/>
          <w:color w:val="000000" w:themeColor="text1"/>
          <w:sz w:val="24"/>
          <w:szCs w:val="24"/>
        </w:rPr>
      </w:pPr>
      <w:r>
        <w:rPr>
          <w:rFonts w:ascii="Times New Roman" w:hAnsi="Times New Roman"/>
          <w:color w:val="000000" w:themeColor="text1"/>
          <w:sz w:val="24"/>
          <w:szCs w:val="24"/>
        </w:rPr>
        <w:t>Funding of $1</w:t>
      </w:r>
      <w:r w:rsidRPr="00E935A6">
        <w:rPr>
          <w:rFonts w:ascii="Times New Roman" w:hAnsi="Times New Roman"/>
          <w:color w:val="000000" w:themeColor="text1"/>
          <w:sz w:val="24"/>
          <w:szCs w:val="24"/>
        </w:rPr>
        <w:t xml:space="preserve"> million over three years </w:t>
      </w:r>
      <w:r>
        <w:rPr>
          <w:rFonts w:ascii="Times New Roman" w:hAnsi="Times New Roman"/>
          <w:color w:val="000000" w:themeColor="text1"/>
          <w:sz w:val="24"/>
          <w:szCs w:val="24"/>
        </w:rPr>
        <w:t xml:space="preserve">from 2020-21 </w:t>
      </w:r>
      <w:r w:rsidRPr="00E935A6">
        <w:rPr>
          <w:rFonts w:ascii="Times New Roman" w:hAnsi="Times New Roman"/>
          <w:color w:val="000000" w:themeColor="text1"/>
          <w:sz w:val="24"/>
          <w:szCs w:val="24"/>
        </w:rPr>
        <w:t>will be provided through a procurement process to one or more not-for-profit organisations. This will enable that organisation/s to generate strong involvement of existing local community and support groups</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 including the Pacific diaspora</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 to support Pacific workers. </w:t>
      </w:r>
    </w:p>
    <w:p w14:paraId="132247C0" w14:textId="77777777" w:rsidR="00781A19" w:rsidRPr="00E935A6" w:rsidRDefault="00781A19" w:rsidP="00781A19">
      <w:pPr>
        <w:rPr>
          <w:rFonts w:ascii="Times New Roman" w:hAnsi="Times New Roman"/>
          <w:color w:val="000000" w:themeColor="text1"/>
          <w:sz w:val="24"/>
          <w:szCs w:val="24"/>
        </w:rPr>
      </w:pPr>
    </w:p>
    <w:p w14:paraId="25273D69" w14:textId="77777777" w:rsidR="00781A19" w:rsidRDefault="00781A19" w:rsidP="00781A19">
      <w:pPr>
        <w:rPr>
          <w:rFonts w:ascii="Times New Roman" w:hAnsi="Times New Roman"/>
          <w:color w:val="000000" w:themeColor="text1"/>
          <w:sz w:val="24"/>
          <w:szCs w:val="24"/>
        </w:rPr>
      </w:pPr>
      <w:r w:rsidRPr="00E935A6">
        <w:rPr>
          <w:rFonts w:ascii="Times New Roman" w:hAnsi="Times New Roman"/>
          <w:color w:val="000000" w:themeColor="text1"/>
          <w:sz w:val="24"/>
          <w:szCs w:val="24"/>
        </w:rPr>
        <w:t xml:space="preserve">Small local events will be organised, such as social, sporting and cultural events outside of work hours to build inclusion and cultural awareness and foster good relations. This will provide Pacific workers </w:t>
      </w:r>
      <w:r>
        <w:rPr>
          <w:rFonts w:ascii="Times New Roman" w:hAnsi="Times New Roman"/>
          <w:color w:val="000000" w:themeColor="text1"/>
          <w:sz w:val="24"/>
          <w:szCs w:val="24"/>
        </w:rPr>
        <w:t xml:space="preserve">who are participating in the SWP </w:t>
      </w:r>
      <w:r w:rsidRPr="00E935A6">
        <w:rPr>
          <w:rFonts w:ascii="Times New Roman" w:hAnsi="Times New Roman"/>
          <w:color w:val="000000" w:themeColor="text1"/>
          <w:sz w:val="24"/>
          <w:szCs w:val="24"/>
        </w:rPr>
        <w:t xml:space="preserve">with additional links and contact points in their local communities where they are working. </w:t>
      </w:r>
      <w:r>
        <w:rPr>
          <w:rFonts w:ascii="Times New Roman" w:hAnsi="Times New Roman"/>
          <w:color w:val="000000" w:themeColor="text1"/>
          <w:sz w:val="24"/>
          <w:szCs w:val="24"/>
        </w:rPr>
        <w:t xml:space="preserve">The SWP </w:t>
      </w:r>
      <w:r w:rsidRPr="00E935A6">
        <w:rPr>
          <w:rFonts w:ascii="Times New Roman" w:hAnsi="Times New Roman"/>
          <w:color w:val="000000" w:themeColor="text1"/>
          <w:sz w:val="24"/>
          <w:szCs w:val="24"/>
        </w:rPr>
        <w:t>workers will be invited to participate in such events and activities at their own discretion, although it is expected that the not-for-profit organisation/s will canvas</w:t>
      </w:r>
      <w:r>
        <w:rPr>
          <w:rFonts w:ascii="Times New Roman" w:hAnsi="Times New Roman"/>
          <w:color w:val="000000" w:themeColor="text1"/>
          <w:sz w:val="24"/>
          <w:szCs w:val="24"/>
        </w:rPr>
        <w:t>s</w:t>
      </w:r>
      <w:r w:rsidRPr="00E935A6">
        <w:rPr>
          <w:rFonts w:ascii="Times New Roman" w:hAnsi="Times New Roman"/>
          <w:color w:val="000000" w:themeColor="text1"/>
          <w:sz w:val="24"/>
          <w:szCs w:val="24"/>
        </w:rPr>
        <w:t xml:space="preserve"> support from the local workers and communities prior to organising events.  </w:t>
      </w:r>
    </w:p>
    <w:p w14:paraId="6D6BA282" w14:textId="77777777" w:rsidR="00781A19" w:rsidRPr="00E935A6" w:rsidRDefault="00781A19" w:rsidP="00781A19">
      <w:pPr>
        <w:rPr>
          <w:rFonts w:ascii="Times New Roman" w:hAnsi="Times New Roman"/>
          <w:color w:val="000000" w:themeColor="text1"/>
          <w:sz w:val="24"/>
          <w:szCs w:val="24"/>
        </w:rPr>
      </w:pPr>
    </w:p>
    <w:p w14:paraId="55464C5D" w14:textId="77777777" w:rsidR="00781A19" w:rsidRDefault="00781A19" w:rsidP="00781A19">
      <w:pPr>
        <w:rPr>
          <w:rFonts w:ascii="Times New Roman" w:hAnsi="Times New Roman"/>
          <w:color w:val="000000" w:themeColor="text1"/>
          <w:sz w:val="24"/>
          <w:szCs w:val="24"/>
        </w:rPr>
      </w:pPr>
      <w:r w:rsidRPr="00E935A6">
        <w:rPr>
          <w:rFonts w:ascii="Times New Roman" w:hAnsi="Times New Roman"/>
          <w:color w:val="000000" w:themeColor="text1"/>
          <w:sz w:val="24"/>
          <w:szCs w:val="24"/>
        </w:rPr>
        <w:t xml:space="preserve">Community groups would be assisted by additional understanding of and engagement with </w:t>
      </w:r>
      <w:r>
        <w:rPr>
          <w:rFonts w:ascii="Times New Roman" w:hAnsi="Times New Roman"/>
          <w:color w:val="000000" w:themeColor="text1"/>
          <w:sz w:val="24"/>
          <w:szCs w:val="24"/>
        </w:rPr>
        <w:t xml:space="preserve">the SWP </w:t>
      </w:r>
      <w:r w:rsidRPr="00E935A6">
        <w:rPr>
          <w:rFonts w:ascii="Times New Roman" w:hAnsi="Times New Roman"/>
          <w:color w:val="000000" w:themeColor="text1"/>
          <w:sz w:val="24"/>
          <w:szCs w:val="24"/>
        </w:rPr>
        <w:t>workers and the sharing of cultures and community involvement. </w:t>
      </w:r>
      <w:r>
        <w:rPr>
          <w:rFonts w:ascii="Times New Roman" w:hAnsi="Times New Roman"/>
          <w:color w:val="000000" w:themeColor="text1"/>
          <w:sz w:val="24"/>
          <w:szCs w:val="24"/>
        </w:rPr>
        <w:t>The</w:t>
      </w:r>
      <w:r w:rsidRPr="00E935A6">
        <w:rPr>
          <w:rFonts w:ascii="Times New Roman" w:hAnsi="Times New Roman"/>
          <w:color w:val="000000" w:themeColor="text1"/>
          <w:sz w:val="24"/>
          <w:szCs w:val="24"/>
        </w:rPr>
        <w:t> workers would also be supported by non-work contact points with local community groups, such as churches</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 sporting groups and other groups of Pacific workers in the region to help identify and discuss potential concerns. </w:t>
      </w:r>
    </w:p>
    <w:p w14:paraId="04EC5E6F" w14:textId="77777777" w:rsidR="00781A19" w:rsidRPr="00E935A6" w:rsidRDefault="00781A19" w:rsidP="00781A19">
      <w:pPr>
        <w:rPr>
          <w:rFonts w:ascii="Times New Roman" w:hAnsi="Times New Roman"/>
          <w:color w:val="000000" w:themeColor="text1"/>
          <w:sz w:val="24"/>
          <w:szCs w:val="24"/>
        </w:rPr>
      </w:pPr>
    </w:p>
    <w:p w14:paraId="7AEF8935" w14:textId="77777777" w:rsidR="00781A19" w:rsidRDefault="00781A19" w:rsidP="00781A19">
      <w:pPr>
        <w:rPr>
          <w:rFonts w:ascii="Times New Roman" w:hAnsi="Times New Roman"/>
          <w:color w:val="000000" w:themeColor="text1"/>
          <w:sz w:val="24"/>
          <w:szCs w:val="24"/>
        </w:rPr>
      </w:pPr>
      <w:r w:rsidRPr="00E935A6">
        <w:rPr>
          <w:rFonts w:ascii="Times New Roman" w:hAnsi="Times New Roman"/>
          <w:color w:val="000000" w:themeColor="text1"/>
          <w:sz w:val="24"/>
          <w:szCs w:val="24"/>
        </w:rPr>
        <w:lastRenderedPageBreak/>
        <w:t>The not-for-profit organisation will also liaise regularly with the PLM Officers to provide a joined</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up and consistent approach across the program.</w:t>
      </w:r>
      <w:r>
        <w:rPr>
          <w:rFonts w:ascii="Times New Roman" w:hAnsi="Times New Roman"/>
          <w:color w:val="000000" w:themeColor="text1"/>
          <w:sz w:val="24"/>
          <w:szCs w:val="24"/>
        </w:rPr>
        <w:t xml:space="preserve"> </w:t>
      </w:r>
      <w:r w:rsidRPr="00E935A6">
        <w:rPr>
          <w:rFonts w:ascii="Times New Roman" w:hAnsi="Times New Roman"/>
          <w:color w:val="000000" w:themeColor="text1"/>
          <w:sz w:val="24"/>
          <w:szCs w:val="24"/>
        </w:rPr>
        <w:t>By linking Pacific workers with local community groups, it will help to improve social cohesion and build sound ongoing relationships between regional communities and the Pacific. It will help reduce isolation of workers within a workplace, which can increase welfare risks. Strong connections with community have shown to increase worker satisfaction, reduce homesickness and other problems such as absconding and undesirable behaviours</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 and increase productivity. </w:t>
      </w:r>
    </w:p>
    <w:p w14:paraId="526FC1FF" w14:textId="77777777" w:rsidR="00781A19" w:rsidRPr="00E935A6" w:rsidRDefault="00781A19" w:rsidP="00781A19">
      <w:pPr>
        <w:rPr>
          <w:rFonts w:ascii="Times New Roman" w:hAnsi="Times New Roman"/>
          <w:color w:val="000000" w:themeColor="text1"/>
          <w:sz w:val="24"/>
          <w:szCs w:val="24"/>
        </w:rPr>
      </w:pPr>
    </w:p>
    <w:p w14:paraId="24722456" w14:textId="77777777" w:rsidR="00781A19" w:rsidRDefault="00781A19" w:rsidP="00781A19">
      <w:pPr>
        <w:rPr>
          <w:rFonts w:ascii="Times New Roman" w:hAnsi="Times New Roman"/>
          <w:color w:val="000000" w:themeColor="text1"/>
          <w:sz w:val="24"/>
          <w:szCs w:val="24"/>
        </w:rPr>
      </w:pPr>
      <w:r>
        <w:rPr>
          <w:rFonts w:ascii="Times New Roman" w:hAnsi="Times New Roman"/>
          <w:color w:val="000000" w:themeColor="text1"/>
          <w:sz w:val="24"/>
          <w:szCs w:val="24"/>
        </w:rPr>
        <w:t xml:space="preserve">The Community Connections project </w:t>
      </w:r>
      <w:r w:rsidRPr="00E935A6">
        <w:rPr>
          <w:rFonts w:ascii="Times New Roman" w:hAnsi="Times New Roman"/>
          <w:color w:val="000000" w:themeColor="text1"/>
          <w:sz w:val="24"/>
          <w:szCs w:val="24"/>
        </w:rPr>
        <w:t>w</w:t>
      </w:r>
      <w:r>
        <w:rPr>
          <w:rFonts w:ascii="Times New Roman" w:hAnsi="Times New Roman"/>
          <w:color w:val="000000" w:themeColor="text1"/>
          <w:sz w:val="24"/>
          <w:szCs w:val="24"/>
        </w:rPr>
        <w:t>ill</w:t>
      </w:r>
      <w:r w:rsidRPr="00E935A6">
        <w:rPr>
          <w:rFonts w:ascii="Times New Roman" w:hAnsi="Times New Roman"/>
          <w:color w:val="000000" w:themeColor="text1"/>
          <w:sz w:val="24"/>
          <w:szCs w:val="24"/>
        </w:rPr>
        <w:t xml:space="preserve"> </w:t>
      </w:r>
      <w:r>
        <w:rPr>
          <w:rFonts w:ascii="Times New Roman" w:hAnsi="Times New Roman"/>
          <w:color w:val="000000" w:themeColor="text1"/>
          <w:sz w:val="24"/>
          <w:szCs w:val="24"/>
        </w:rPr>
        <w:t>improve Pacific workers’</w:t>
      </w:r>
      <w:r w:rsidRPr="00E935A6">
        <w:rPr>
          <w:rFonts w:ascii="Times New Roman" w:hAnsi="Times New Roman"/>
          <w:color w:val="000000" w:themeColor="text1"/>
          <w:sz w:val="24"/>
          <w:szCs w:val="24"/>
        </w:rPr>
        <w:t xml:space="preserve"> experiences and welfare, build upon current program protections</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 and allow more immediate action to be taken to resolve any issues that may arise. For example, stronger connections within regional communities will provide more points of contact and therefore support for Pacific workers who experience issues such as </w:t>
      </w:r>
      <w:r>
        <w:rPr>
          <w:rFonts w:ascii="Times New Roman" w:hAnsi="Times New Roman"/>
          <w:color w:val="000000" w:themeColor="text1"/>
          <w:sz w:val="24"/>
          <w:szCs w:val="24"/>
        </w:rPr>
        <w:t>misunderstanding</w:t>
      </w:r>
      <w:r w:rsidRPr="00E935A6">
        <w:rPr>
          <w:rFonts w:ascii="Times New Roman" w:hAnsi="Times New Roman"/>
          <w:color w:val="000000" w:themeColor="text1"/>
          <w:sz w:val="24"/>
          <w:szCs w:val="24"/>
        </w:rPr>
        <w:t xml:space="preserve"> about transport arrangements or accommodation. Community groups will also liaise with </w:t>
      </w:r>
      <w:r>
        <w:rPr>
          <w:rFonts w:ascii="Times New Roman" w:hAnsi="Times New Roman"/>
          <w:color w:val="000000" w:themeColor="text1"/>
          <w:sz w:val="24"/>
          <w:szCs w:val="24"/>
        </w:rPr>
        <w:t>the PLM O</w:t>
      </w:r>
      <w:r w:rsidRPr="00E935A6">
        <w:rPr>
          <w:rFonts w:ascii="Times New Roman" w:hAnsi="Times New Roman"/>
          <w:color w:val="000000" w:themeColor="text1"/>
          <w:sz w:val="24"/>
          <w:szCs w:val="24"/>
        </w:rPr>
        <w:t>fficers, providing a further avenue to resolve any issues expediently.</w:t>
      </w:r>
    </w:p>
    <w:p w14:paraId="49E8C2C5" w14:textId="77777777" w:rsidR="00781A19" w:rsidRPr="00E935A6" w:rsidRDefault="00781A19" w:rsidP="00781A19">
      <w:pPr>
        <w:rPr>
          <w:rFonts w:ascii="Times New Roman" w:hAnsi="Times New Roman"/>
          <w:color w:val="000000" w:themeColor="text1"/>
          <w:sz w:val="24"/>
          <w:szCs w:val="24"/>
        </w:rPr>
      </w:pPr>
    </w:p>
    <w:p w14:paraId="0184DD02" w14:textId="77777777" w:rsidR="00781A19" w:rsidRPr="00DC6252" w:rsidRDefault="00781A19" w:rsidP="00781A19">
      <w:pPr>
        <w:rPr>
          <w:rFonts w:ascii="Times New Roman" w:hAnsi="Times New Roman"/>
          <w:iCs/>
          <w:sz w:val="24"/>
          <w:szCs w:val="24"/>
        </w:rPr>
      </w:pPr>
      <w:r>
        <w:rPr>
          <w:rFonts w:ascii="Times New Roman" w:hAnsi="Times New Roman"/>
          <w:color w:val="000000" w:themeColor="text1"/>
          <w:sz w:val="24"/>
          <w:szCs w:val="24"/>
        </w:rPr>
        <w:t xml:space="preserve">The </w:t>
      </w:r>
      <w:r w:rsidRPr="00E935A6">
        <w:rPr>
          <w:rFonts w:ascii="Times New Roman" w:hAnsi="Times New Roman"/>
          <w:color w:val="000000" w:themeColor="text1"/>
          <w:sz w:val="24"/>
          <w:szCs w:val="24"/>
        </w:rPr>
        <w:t>SWP Approved Employers</w:t>
      </w:r>
      <w:r>
        <w:rPr>
          <w:rFonts w:ascii="Times New Roman" w:hAnsi="Times New Roman"/>
          <w:color w:val="000000" w:themeColor="text1"/>
          <w:sz w:val="24"/>
          <w:szCs w:val="24"/>
        </w:rPr>
        <w:t xml:space="preserve"> </w:t>
      </w:r>
      <w:r w:rsidRPr="00E935A6">
        <w:rPr>
          <w:rFonts w:ascii="Times New Roman" w:hAnsi="Times New Roman"/>
          <w:color w:val="000000" w:themeColor="text1"/>
          <w:sz w:val="24"/>
          <w:szCs w:val="24"/>
        </w:rPr>
        <w:t>would also benefit from their workers having stronger community links and from the sharing of better practices and joined</w:t>
      </w:r>
      <w:r>
        <w:rPr>
          <w:rFonts w:ascii="Times New Roman" w:hAnsi="Times New Roman"/>
          <w:color w:val="000000" w:themeColor="text1"/>
          <w:sz w:val="24"/>
          <w:szCs w:val="24"/>
        </w:rPr>
        <w:t>-</w:t>
      </w:r>
      <w:r w:rsidRPr="00E935A6">
        <w:rPr>
          <w:rFonts w:ascii="Times New Roman" w:hAnsi="Times New Roman"/>
          <w:color w:val="000000" w:themeColor="text1"/>
          <w:sz w:val="24"/>
          <w:szCs w:val="24"/>
        </w:rPr>
        <w:t xml:space="preserve">up responses, and by having a local contact point. </w:t>
      </w:r>
    </w:p>
    <w:p w14:paraId="611F363E" w14:textId="77777777" w:rsidR="00781A19" w:rsidRPr="00DC5E86" w:rsidRDefault="00781A19" w:rsidP="00781A19">
      <w:pPr>
        <w:ind w:right="-46"/>
        <w:rPr>
          <w:rFonts w:ascii="Times New Roman" w:hAnsi="Times New Roman"/>
          <w:iCs/>
          <w:sz w:val="24"/>
          <w:szCs w:val="24"/>
        </w:rPr>
      </w:pPr>
    </w:p>
    <w:p w14:paraId="0570E249" w14:textId="77777777" w:rsidR="00781A19" w:rsidRPr="00DC5E86" w:rsidRDefault="00781A19" w:rsidP="00781A19">
      <w:pPr>
        <w:rPr>
          <w:rFonts w:ascii="Times New Roman" w:hAnsi="Times New Roman"/>
          <w:sz w:val="24"/>
          <w:szCs w:val="24"/>
        </w:rPr>
      </w:pPr>
      <w:r w:rsidRPr="00DC5E86">
        <w:rPr>
          <w:rFonts w:ascii="Times New Roman" w:hAnsi="Times New Roman"/>
          <w:b/>
          <w:color w:val="000000" w:themeColor="text1"/>
          <w:sz w:val="24"/>
          <w:szCs w:val="24"/>
        </w:rPr>
        <w:t>Human rights implications</w:t>
      </w:r>
      <w:r w:rsidRPr="00DC5E86">
        <w:rPr>
          <w:rFonts w:ascii="Times New Roman" w:hAnsi="Times New Roman"/>
          <w:sz w:val="24"/>
          <w:szCs w:val="24"/>
        </w:rPr>
        <w:t xml:space="preserve"> </w:t>
      </w:r>
    </w:p>
    <w:p w14:paraId="56A5CFD4" w14:textId="77777777" w:rsidR="00781A19" w:rsidRPr="00DC5E86" w:rsidRDefault="00781A19" w:rsidP="00781A19">
      <w:pPr>
        <w:rPr>
          <w:rFonts w:ascii="Times New Roman" w:hAnsi="Times New Roman"/>
          <w:sz w:val="24"/>
          <w:szCs w:val="24"/>
        </w:rPr>
      </w:pPr>
    </w:p>
    <w:p w14:paraId="3222D288" w14:textId="2D468418" w:rsidR="00781A19" w:rsidRDefault="00781A19" w:rsidP="00781A19">
      <w:pPr>
        <w:rPr>
          <w:rFonts w:ascii="Times New Roman" w:hAnsi="Times New Roman"/>
          <w:sz w:val="24"/>
          <w:szCs w:val="24"/>
        </w:rPr>
      </w:pPr>
      <w:r w:rsidRPr="00DC5E86">
        <w:rPr>
          <w:rFonts w:ascii="Times New Roman" w:hAnsi="Times New Roman"/>
          <w:sz w:val="24"/>
          <w:szCs w:val="24"/>
        </w:rPr>
        <w:t xml:space="preserve">Table item </w:t>
      </w:r>
      <w:r w:rsidR="005E1C7F">
        <w:rPr>
          <w:rFonts w:ascii="Times New Roman" w:hAnsi="Times New Roman"/>
          <w:sz w:val="24"/>
          <w:szCs w:val="24"/>
        </w:rPr>
        <w:t>461</w:t>
      </w:r>
      <w:r>
        <w:rPr>
          <w:rFonts w:ascii="Times New Roman" w:hAnsi="Times New Roman"/>
          <w:sz w:val="24"/>
          <w:szCs w:val="24"/>
        </w:rPr>
        <w:t xml:space="preserve"> </w:t>
      </w:r>
      <w:r w:rsidRPr="00DC5E86">
        <w:rPr>
          <w:rFonts w:ascii="Times New Roman" w:hAnsi="Times New Roman"/>
          <w:sz w:val="24"/>
          <w:szCs w:val="24"/>
        </w:rPr>
        <w:t>engage</w:t>
      </w:r>
      <w:r>
        <w:rPr>
          <w:rFonts w:ascii="Times New Roman" w:hAnsi="Times New Roman"/>
          <w:sz w:val="24"/>
          <w:szCs w:val="24"/>
        </w:rPr>
        <w:t xml:space="preserve">s the following </w:t>
      </w:r>
      <w:r w:rsidRPr="00DC5E86">
        <w:rPr>
          <w:rFonts w:ascii="Times New Roman" w:hAnsi="Times New Roman"/>
          <w:sz w:val="24"/>
          <w:szCs w:val="24"/>
        </w:rPr>
        <w:t>rights</w:t>
      </w:r>
      <w:r>
        <w:rPr>
          <w:rFonts w:ascii="Times New Roman" w:hAnsi="Times New Roman"/>
          <w:sz w:val="24"/>
          <w:szCs w:val="24"/>
        </w:rPr>
        <w:t>:</w:t>
      </w:r>
    </w:p>
    <w:p w14:paraId="7CF36F10" w14:textId="77777777" w:rsidR="00781A19" w:rsidRPr="00DC5E86" w:rsidRDefault="00781A19" w:rsidP="00781A19">
      <w:pPr>
        <w:numPr>
          <w:ilvl w:val="0"/>
          <w:numId w:val="43"/>
        </w:num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the right to work in Article 6 of the </w:t>
      </w:r>
      <w:r w:rsidRPr="00DC5E86">
        <w:rPr>
          <w:rFonts w:ascii="Times New Roman" w:hAnsi="Times New Roman"/>
          <w:i/>
          <w:color w:val="000000" w:themeColor="text1"/>
          <w:sz w:val="24"/>
          <w:szCs w:val="24"/>
        </w:rPr>
        <w:t>International Covenant on Economic, Social and Cultural Rights</w:t>
      </w:r>
      <w:r w:rsidRPr="00DC5E86">
        <w:rPr>
          <w:rFonts w:ascii="Times New Roman" w:hAnsi="Times New Roman"/>
          <w:color w:val="000000" w:themeColor="text1"/>
          <w:sz w:val="24"/>
          <w:szCs w:val="24"/>
        </w:rPr>
        <w:t xml:space="preserve"> (ICESCR), read with Article 2 of the ICESCR</w:t>
      </w:r>
      <w:r>
        <w:rPr>
          <w:rFonts w:ascii="Times New Roman" w:hAnsi="Times New Roman"/>
          <w:color w:val="000000" w:themeColor="text1"/>
          <w:sz w:val="24"/>
          <w:szCs w:val="24"/>
        </w:rPr>
        <w:t>, and</w:t>
      </w:r>
      <w:r w:rsidRPr="00DC5E86">
        <w:rPr>
          <w:rFonts w:ascii="Times New Roman" w:hAnsi="Times New Roman"/>
          <w:color w:val="000000" w:themeColor="text1"/>
          <w:sz w:val="24"/>
          <w:szCs w:val="24"/>
        </w:rPr>
        <w:t xml:space="preserve"> Article</w:t>
      </w:r>
      <w:r>
        <w:rPr>
          <w:rFonts w:ascii="Times New Roman" w:hAnsi="Times New Roman"/>
          <w:color w:val="000000" w:themeColor="text1"/>
          <w:sz w:val="24"/>
          <w:szCs w:val="24"/>
        </w:rPr>
        <w:t>s 1 and 2 o</w:t>
      </w:r>
      <w:r w:rsidRPr="00DC5E86">
        <w:rPr>
          <w:rFonts w:ascii="Times New Roman" w:hAnsi="Times New Roman"/>
          <w:color w:val="000000" w:themeColor="text1"/>
          <w:sz w:val="24"/>
          <w:szCs w:val="24"/>
        </w:rPr>
        <w:t xml:space="preserve">f the International Labour Organization’s </w:t>
      </w:r>
      <w:r w:rsidRPr="00DC5E86">
        <w:rPr>
          <w:rFonts w:ascii="Times New Roman" w:hAnsi="Times New Roman"/>
          <w:i/>
          <w:color w:val="000000"/>
          <w:sz w:val="24"/>
          <w:szCs w:val="24"/>
        </w:rPr>
        <w:t>Convention concerning Employment Policy</w:t>
      </w:r>
      <w:r w:rsidRPr="00DC5E86">
        <w:rPr>
          <w:rFonts w:ascii="Times New Roman" w:hAnsi="Times New Roman"/>
          <w:color w:val="000000"/>
          <w:sz w:val="24"/>
          <w:szCs w:val="24"/>
        </w:rPr>
        <w:t xml:space="preserve"> (ILO Convention 122)</w:t>
      </w:r>
      <w:r w:rsidRPr="00DC5E86">
        <w:rPr>
          <w:rFonts w:ascii="Times New Roman" w:hAnsi="Times New Roman"/>
          <w:color w:val="000000" w:themeColor="text1"/>
          <w:sz w:val="24"/>
          <w:szCs w:val="24"/>
        </w:rPr>
        <w:t>; and</w:t>
      </w:r>
    </w:p>
    <w:p w14:paraId="21F8B9D7" w14:textId="77777777" w:rsidR="00781A19" w:rsidRPr="00DC5E86" w:rsidRDefault="00781A19" w:rsidP="00781A19">
      <w:pPr>
        <w:numPr>
          <w:ilvl w:val="0"/>
          <w:numId w:val="43"/>
        </w:numPr>
        <w:ind w:right="-46"/>
        <w:rPr>
          <w:rFonts w:ascii="Times New Roman" w:hAnsi="Times New Roman"/>
          <w:color w:val="000000" w:themeColor="text1"/>
          <w:sz w:val="24"/>
          <w:szCs w:val="24"/>
        </w:rPr>
      </w:pPr>
      <w:r w:rsidRPr="00DC5E86">
        <w:rPr>
          <w:rFonts w:ascii="Times New Roman" w:hAnsi="Times New Roman"/>
          <w:color w:val="000000" w:themeColor="text1"/>
          <w:sz w:val="24"/>
          <w:szCs w:val="24"/>
        </w:rPr>
        <w:t xml:space="preserve">the right to </w:t>
      </w:r>
      <w:r>
        <w:rPr>
          <w:rFonts w:ascii="Times New Roman" w:hAnsi="Times New Roman"/>
          <w:color w:val="000000" w:themeColor="text1"/>
          <w:sz w:val="24"/>
          <w:szCs w:val="24"/>
        </w:rPr>
        <w:t xml:space="preserve">health </w:t>
      </w:r>
      <w:r w:rsidRPr="00DC5E86">
        <w:rPr>
          <w:rFonts w:ascii="Times New Roman" w:hAnsi="Times New Roman"/>
          <w:color w:val="000000" w:themeColor="text1"/>
          <w:sz w:val="24"/>
          <w:szCs w:val="24"/>
        </w:rPr>
        <w:t xml:space="preserve">in Article </w:t>
      </w:r>
      <w:r>
        <w:rPr>
          <w:rFonts w:ascii="Times New Roman" w:hAnsi="Times New Roman"/>
          <w:color w:val="000000" w:themeColor="text1"/>
          <w:sz w:val="24"/>
          <w:szCs w:val="24"/>
        </w:rPr>
        <w:t xml:space="preserve">12 </w:t>
      </w:r>
      <w:r w:rsidRPr="00DC5E86">
        <w:rPr>
          <w:rFonts w:ascii="Times New Roman" w:hAnsi="Times New Roman"/>
          <w:color w:val="000000" w:themeColor="text1"/>
          <w:sz w:val="24"/>
          <w:szCs w:val="24"/>
        </w:rPr>
        <w:t xml:space="preserve">of the </w:t>
      </w:r>
      <w:r>
        <w:rPr>
          <w:rFonts w:ascii="Times New Roman" w:hAnsi="Times New Roman"/>
          <w:color w:val="000000" w:themeColor="text1"/>
          <w:sz w:val="24"/>
          <w:szCs w:val="24"/>
        </w:rPr>
        <w:t>ICESCR.</w:t>
      </w:r>
    </w:p>
    <w:p w14:paraId="5DFE3EDA" w14:textId="77777777" w:rsidR="00781A19" w:rsidRDefault="00781A19" w:rsidP="00781A19">
      <w:pPr>
        <w:rPr>
          <w:szCs w:val="24"/>
        </w:rPr>
      </w:pPr>
    </w:p>
    <w:p w14:paraId="7DBE118D" w14:textId="77777777" w:rsidR="00781A19" w:rsidRPr="00DC5E86" w:rsidRDefault="00781A19" w:rsidP="00781A19">
      <w:pPr>
        <w:ind w:right="-46"/>
        <w:rPr>
          <w:rFonts w:ascii="Times New Roman" w:hAnsi="Times New Roman"/>
          <w:i/>
          <w:iCs/>
          <w:color w:val="000000" w:themeColor="text1"/>
          <w:sz w:val="24"/>
          <w:szCs w:val="24"/>
        </w:rPr>
      </w:pPr>
      <w:r w:rsidRPr="00DC5E86">
        <w:rPr>
          <w:rFonts w:ascii="Times New Roman" w:hAnsi="Times New Roman"/>
          <w:i/>
          <w:iCs/>
          <w:color w:val="000000" w:themeColor="text1"/>
          <w:sz w:val="24"/>
          <w:szCs w:val="24"/>
        </w:rPr>
        <w:t>Right to work</w:t>
      </w:r>
    </w:p>
    <w:p w14:paraId="7FB43EB0" w14:textId="77777777" w:rsidR="00781A19" w:rsidRPr="000830D9" w:rsidRDefault="00781A19" w:rsidP="00781A19">
      <w:pPr>
        <w:rPr>
          <w:rFonts w:ascii="Times New Roman" w:hAnsi="Times New Roman"/>
          <w:sz w:val="24"/>
          <w:szCs w:val="24"/>
        </w:rPr>
      </w:pPr>
    </w:p>
    <w:p w14:paraId="40D5D881" w14:textId="72152407" w:rsidR="00781A19" w:rsidRPr="000830D9" w:rsidRDefault="00781A19" w:rsidP="00781A19">
      <w:pPr>
        <w:rPr>
          <w:rFonts w:ascii="Times New Roman" w:hAnsi="Times New Roman"/>
          <w:sz w:val="24"/>
          <w:szCs w:val="24"/>
        </w:rPr>
      </w:pPr>
      <w:r w:rsidRPr="000830D9">
        <w:rPr>
          <w:rFonts w:ascii="Times New Roman" w:hAnsi="Times New Roman"/>
          <w:sz w:val="24"/>
          <w:szCs w:val="24"/>
        </w:rPr>
        <w:t xml:space="preserve">Article 2 of the ICESCR requires that each State Party to the Covenant undertakes to take steps to the maximum of its available resources, especially economic and technical, to realise the rights recognised in the Covenant, particularly through legislative measures. Article 6 of the ICESCR recognises the right to work and provides that States Parties will take appropriate steps to achieve the realisation of the right to work, including through technical and vocational training.  </w:t>
      </w:r>
    </w:p>
    <w:p w14:paraId="66DF9C5C" w14:textId="77777777" w:rsidR="00781A19" w:rsidRPr="000830D9" w:rsidRDefault="00781A19" w:rsidP="00781A19">
      <w:pPr>
        <w:rPr>
          <w:rFonts w:ascii="Times New Roman" w:hAnsi="Times New Roman"/>
          <w:sz w:val="24"/>
          <w:szCs w:val="24"/>
        </w:rPr>
      </w:pPr>
    </w:p>
    <w:p w14:paraId="2B7E6AE9" w14:textId="77777777" w:rsidR="00781A19" w:rsidRDefault="00781A19" w:rsidP="00781A19">
      <w:pPr>
        <w:ind w:right="-46"/>
        <w:rPr>
          <w:rFonts w:ascii="Times New Roman" w:hAnsi="Times New Roman"/>
          <w:sz w:val="24"/>
          <w:szCs w:val="24"/>
        </w:rPr>
      </w:pPr>
      <w:r w:rsidRPr="00DC5E86">
        <w:rPr>
          <w:rFonts w:ascii="Times New Roman" w:hAnsi="Times New Roman"/>
          <w:color w:val="000000"/>
          <w:sz w:val="24"/>
          <w:szCs w:val="24"/>
        </w:rPr>
        <w:t>Article 1 of the ILO Convention 122 provides that ‘each Member shall declare and pursue, as a major goal, an active policy designed to promote full, productive and freely chosen employment’.</w:t>
      </w:r>
      <w:r>
        <w:rPr>
          <w:rFonts w:ascii="Times New Roman" w:hAnsi="Times New Roman"/>
          <w:color w:val="000000"/>
          <w:sz w:val="24"/>
          <w:szCs w:val="24"/>
        </w:rPr>
        <w:t xml:space="preserve"> </w:t>
      </w:r>
      <w:r w:rsidRPr="000830D9">
        <w:rPr>
          <w:rFonts w:ascii="Times New Roman" w:hAnsi="Times New Roman"/>
          <w:sz w:val="24"/>
          <w:szCs w:val="24"/>
        </w:rPr>
        <w:t xml:space="preserve">Article 2 </w:t>
      </w:r>
      <w:r w:rsidRPr="00DC5E86">
        <w:rPr>
          <w:rFonts w:ascii="Times New Roman" w:hAnsi="Times New Roman"/>
          <w:color w:val="000000"/>
          <w:sz w:val="24"/>
          <w:szCs w:val="24"/>
        </w:rPr>
        <w:t xml:space="preserve">of the ILO Convention 122 </w:t>
      </w:r>
      <w:r w:rsidRPr="000830D9">
        <w:rPr>
          <w:rFonts w:ascii="Times New Roman" w:hAnsi="Times New Roman"/>
          <w:sz w:val="24"/>
          <w:szCs w:val="24"/>
        </w:rPr>
        <w:t xml:space="preserve">provides that each </w:t>
      </w:r>
      <w:r>
        <w:rPr>
          <w:rFonts w:ascii="Times New Roman" w:hAnsi="Times New Roman"/>
          <w:sz w:val="24"/>
          <w:szCs w:val="24"/>
        </w:rPr>
        <w:t>M</w:t>
      </w:r>
      <w:r w:rsidRPr="000830D9">
        <w:rPr>
          <w:rFonts w:ascii="Times New Roman" w:hAnsi="Times New Roman"/>
          <w:sz w:val="24"/>
          <w:szCs w:val="24"/>
        </w:rPr>
        <w:t>ember shall determine the measures for achieving the objectives specified in Article 1. This includes the establishment of programs for the application of these measures.</w:t>
      </w:r>
    </w:p>
    <w:p w14:paraId="2BD83F4B" w14:textId="77777777" w:rsidR="00781A19" w:rsidRPr="000830D9" w:rsidRDefault="00781A19" w:rsidP="00781A19">
      <w:pPr>
        <w:ind w:right="-46"/>
        <w:rPr>
          <w:rFonts w:ascii="Times New Roman" w:hAnsi="Times New Roman"/>
          <w:sz w:val="24"/>
          <w:szCs w:val="24"/>
        </w:rPr>
      </w:pPr>
    </w:p>
    <w:p w14:paraId="2200E123" w14:textId="77777777" w:rsidR="00781A19" w:rsidRPr="000830D9" w:rsidRDefault="00781A19" w:rsidP="00781A19">
      <w:pPr>
        <w:ind w:right="-46"/>
        <w:rPr>
          <w:rFonts w:ascii="Times New Roman" w:hAnsi="Times New Roman"/>
          <w:i/>
          <w:iCs/>
          <w:color w:val="000000" w:themeColor="text1"/>
          <w:sz w:val="24"/>
          <w:szCs w:val="24"/>
        </w:rPr>
      </w:pPr>
      <w:r w:rsidRPr="000830D9">
        <w:rPr>
          <w:rFonts w:ascii="Times New Roman" w:hAnsi="Times New Roman"/>
          <w:i/>
          <w:iCs/>
          <w:color w:val="000000" w:themeColor="text1"/>
          <w:sz w:val="24"/>
          <w:szCs w:val="24"/>
        </w:rPr>
        <w:t>Right to health</w:t>
      </w:r>
    </w:p>
    <w:p w14:paraId="16C9BABB" w14:textId="77777777" w:rsidR="00781A19" w:rsidRPr="000830D9" w:rsidRDefault="00781A19" w:rsidP="00781A19">
      <w:pPr>
        <w:rPr>
          <w:rFonts w:ascii="Times New Roman" w:hAnsi="Times New Roman"/>
          <w:sz w:val="24"/>
          <w:szCs w:val="24"/>
        </w:rPr>
      </w:pPr>
    </w:p>
    <w:p w14:paraId="540D688E" w14:textId="316B7D9F" w:rsidR="00781A19" w:rsidRDefault="00781A19" w:rsidP="00781A19">
      <w:pPr>
        <w:rPr>
          <w:rFonts w:ascii="Times New Roman" w:hAnsi="Times New Roman"/>
          <w:sz w:val="24"/>
          <w:szCs w:val="24"/>
        </w:rPr>
      </w:pPr>
      <w:r w:rsidRPr="000830D9">
        <w:rPr>
          <w:rFonts w:ascii="Times New Roman" w:hAnsi="Times New Roman"/>
          <w:sz w:val="24"/>
          <w:szCs w:val="24"/>
        </w:rPr>
        <w:t>Article 12 of the ICESCR provides that State</w:t>
      </w:r>
      <w:r>
        <w:rPr>
          <w:rFonts w:ascii="Times New Roman" w:hAnsi="Times New Roman"/>
          <w:sz w:val="24"/>
          <w:szCs w:val="24"/>
        </w:rPr>
        <w:t>s</w:t>
      </w:r>
      <w:r w:rsidRPr="000830D9">
        <w:rPr>
          <w:rFonts w:ascii="Times New Roman" w:hAnsi="Times New Roman"/>
          <w:sz w:val="24"/>
          <w:szCs w:val="24"/>
        </w:rPr>
        <w:t xml:space="preserve"> Part</w:t>
      </w:r>
      <w:r>
        <w:rPr>
          <w:rFonts w:ascii="Times New Roman" w:hAnsi="Times New Roman"/>
          <w:sz w:val="24"/>
          <w:szCs w:val="24"/>
        </w:rPr>
        <w:t xml:space="preserve">ies </w:t>
      </w:r>
      <w:r w:rsidRPr="000830D9">
        <w:rPr>
          <w:rFonts w:ascii="Times New Roman" w:hAnsi="Times New Roman"/>
          <w:sz w:val="24"/>
          <w:szCs w:val="24"/>
        </w:rPr>
        <w:t xml:space="preserve">to the Covenant </w:t>
      </w:r>
      <w:r>
        <w:rPr>
          <w:rFonts w:ascii="Times New Roman" w:hAnsi="Times New Roman"/>
          <w:sz w:val="24"/>
          <w:szCs w:val="24"/>
        </w:rPr>
        <w:t>‘</w:t>
      </w:r>
      <w:r w:rsidRPr="000830D9">
        <w:rPr>
          <w:rFonts w:ascii="Times New Roman" w:hAnsi="Times New Roman"/>
          <w:sz w:val="24"/>
          <w:szCs w:val="24"/>
        </w:rPr>
        <w:t>recognize the right of everyone to the enjoyment of the highest attainable standard of physical and mental health</w:t>
      </w:r>
      <w:r>
        <w:rPr>
          <w:rFonts w:ascii="Times New Roman" w:hAnsi="Times New Roman"/>
          <w:sz w:val="24"/>
          <w:szCs w:val="24"/>
        </w:rPr>
        <w:t>’</w:t>
      </w:r>
      <w:r w:rsidRPr="000830D9">
        <w:rPr>
          <w:rFonts w:ascii="Times New Roman" w:hAnsi="Times New Roman"/>
          <w:sz w:val="24"/>
          <w:szCs w:val="24"/>
        </w:rPr>
        <w:t xml:space="preserve">. </w:t>
      </w:r>
    </w:p>
    <w:p w14:paraId="2170FA83" w14:textId="77777777" w:rsidR="00781A19" w:rsidRDefault="00781A19" w:rsidP="00781A19">
      <w:pPr>
        <w:rPr>
          <w:rFonts w:ascii="Times New Roman" w:hAnsi="Times New Roman"/>
          <w:sz w:val="24"/>
          <w:szCs w:val="24"/>
        </w:rPr>
      </w:pPr>
    </w:p>
    <w:p w14:paraId="06472EC9" w14:textId="77777777" w:rsidR="00781A19" w:rsidRPr="000830D9" w:rsidRDefault="00781A19" w:rsidP="00781A19">
      <w:pPr>
        <w:ind w:right="-46"/>
        <w:rPr>
          <w:rFonts w:ascii="Times New Roman" w:hAnsi="Times New Roman"/>
          <w:i/>
          <w:iCs/>
          <w:color w:val="000000" w:themeColor="text1"/>
          <w:sz w:val="24"/>
          <w:szCs w:val="24"/>
        </w:rPr>
      </w:pPr>
      <w:r>
        <w:rPr>
          <w:rFonts w:ascii="Times New Roman" w:hAnsi="Times New Roman"/>
          <w:i/>
          <w:iCs/>
          <w:color w:val="000000" w:themeColor="text1"/>
          <w:sz w:val="24"/>
          <w:szCs w:val="24"/>
        </w:rPr>
        <w:t>P</w:t>
      </w:r>
      <w:r w:rsidRPr="000830D9">
        <w:rPr>
          <w:rFonts w:ascii="Times New Roman" w:hAnsi="Times New Roman"/>
          <w:i/>
          <w:iCs/>
          <w:color w:val="000000" w:themeColor="text1"/>
          <w:sz w:val="24"/>
          <w:szCs w:val="24"/>
        </w:rPr>
        <w:t>romotion of the right to work and the right to health</w:t>
      </w:r>
    </w:p>
    <w:p w14:paraId="73DA9B86" w14:textId="06543544" w:rsidR="00781A19" w:rsidRPr="000830D9" w:rsidRDefault="001F53FE" w:rsidP="00781A19">
      <w:pPr>
        <w:rPr>
          <w:rFonts w:ascii="Times New Roman" w:hAnsi="Times New Roman"/>
          <w:sz w:val="24"/>
          <w:szCs w:val="24"/>
        </w:rPr>
      </w:pPr>
      <w:r>
        <w:rPr>
          <w:rFonts w:ascii="Times New Roman" w:hAnsi="Times New Roman"/>
          <w:sz w:val="24"/>
          <w:szCs w:val="24"/>
        </w:rPr>
        <w:lastRenderedPageBreak/>
        <w:t xml:space="preserve"> </w:t>
      </w:r>
    </w:p>
    <w:p w14:paraId="248D60F6" w14:textId="13B77317" w:rsidR="00781A19" w:rsidRPr="000830D9" w:rsidRDefault="00781A19" w:rsidP="00781A19">
      <w:pPr>
        <w:rPr>
          <w:rFonts w:ascii="Times New Roman" w:hAnsi="Times New Roman"/>
          <w:sz w:val="24"/>
          <w:szCs w:val="24"/>
        </w:rPr>
      </w:pPr>
      <w:r w:rsidRPr="000830D9" w:rsidDel="00E14B32">
        <w:rPr>
          <w:rFonts w:ascii="Times New Roman" w:hAnsi="Times New Roman"/>
          <w:sz w:val="24"/>
          <w:szCs w:val="24"/>
        </w:rPr>
        <w:t xml:space="preserve">The </w:t>
      </w:r>
      <w:r w:rsidRPr="000830D9">
        <w:rPr>
          <w:rFonts w:ascii="Times New Roman" w:hAnsi="Times New Roman"/>
          <w:sz w:val="24"/>
          <w:szCs w:val="24"/>
        </w:rPr>
        <w:t>SWP i</w:t>
      </w:r>
      <w:r w:rsidRPr="000830D9" w:rsidDel="00E14B32">
        <w:rPr>
          <w:rFonts w:ascii="Times New Roman" w:hAnsi="Times New Roman"/>
          <w:sz w:val="24"/>
          <w:szCs w:val="24"/>
        </w:rPr>
        <w:t xml:space="preserve">s uniquely positioned to assist </w:t>
      </w:r>
      <w:r w:rsidRPr="000830D9">
        <w:rPr>
          <w:rFonts w:ascii="Times New Roman" w:hAnsi="Times New Roman"/>
          <w:sz w:val="24"/>
          <w:szCs w:val="24"/>
        </w:rPr>
        <w:t>Pacific workers to obtain seasonal work in agriculture throughout Australia and accommodation in selected locations, being Western Australia, Northern Territory, tropical North Queensland and Kangaroo Island</w:t>
      </w:r>
      <w:r w:rsidRPr="000830D9" w:rsidDel="00E14B32">
        <w:rPr>
          <w:rFonts w:ascii="Times New Roman" w:hAnsi="Times New Roman"/>
          <w:sz w:val="24"/>
          <w:szCs w:val="24"/>
        </w:rPr>
        <w:t>. The objective of</w:t>
      </w:r>
      <w:r>
        <w:rPr>
          <w:rFonts w:ascii="Times New Roman" w:hAnsi="Times New Roman"/>
          <w:sz w:val="24"/>
          <w:szCs w:val="24"/>
        </w:rPr>
        <w:t xml:space="preserve"> t</w:t>
      </w:r>
      <w:r w:rsidRPr="00DC5E86">
        <w:rPr>
          <w:rFonts w:ascii="Times New Roman" w:hAnsi="Times New Roman"/>
          <w:sz w:val="24"/>
          <w:szCs w:val="24"/>
        </w:rPr>
        <w:t xml:space="preserve">able item </w:t>
      </w:r>
      <w:r w:rsidR="005E1C7F">
        <w:rPr>
          <w:rFonts w:ascii="Times New Roman" w:hAnsi="Times New Roman"/>
          <w:sz w:val="24"/>
          <w:szCs w:val="24"/>
        </w:rPr>
        <w:t>461</w:t>
      </w:r>
      <w:r>
        <w:rPr>
          <w:rFonts w:ascii="Times New Roman" w:hAnsi="Times New Roman"/>
          <w:sz w:val="24"/>
          <w:szCs w:val="24"/>
        </w:rPr>
        <w:t xml:space="preserve"> </w:t>
      </w:r>
      <w:r w:rsidRPr="000830D9" w:rsidDel="00E14B32">
        <w:rPr>
          <w:rFonts w:ascii="Times New Roman" w:hAnsi="Times New Roman"/>
          <w:sz w:val="24"/>
          <w:szCs w:val="24"/>
        </w:rPr>
        <w:t xml:space="preserve">is </w:t>
      </w:r>
      <w:r w:rsidRPr="000830D9">
        <w:rPr>
          <w:rFonts w:ascii="Times New Roman" w:hAnsi="Times New Roman"/>
          <w:sz w:val="24"/>
          <w:szCs w:val="24"/>
        </w:rPr>
        <w:t>to continue to strengthen the support offered to Pacific workers during their time working and living in Australia. This will be achieved through the</w:t>
      </w:r>
      <w:r w:rsidRPr="000830D9" w:rsidDel="00E14B32">
        <w:rPr>
          <w:rFonts w:ascii="Times New Roman" w:hAnsi="Times New Roman"/>
          <w:sz w:val="24"/>
          <w:szCs w:val="24"/>
        </w:rPr>
        <w:t xml:space="preserve"> expansion of</w:t>
      </w:r>
      <w:r w:rsidRPr="000830D9">
        <w:rPr>
          <w:rFonts w:ascii="Times New Roman" w:hAnsi="Times New Roman"/>
          <w:sz w:val="24"/>
          <w:szCs w:val="24"/>
        </w:rPr>
        <w:t xml:space="preserve"> support personnel</w:t>
      </w:r>
      <w:r>
        <w:rPr>
          <w:rFonts w:ascii="Times New Roman" w:hAnsi="Times New Roman"/>
          <w:sz w:val="24"/>
          <w:szCs w:val="24"/>
        </w:rPr>
        <w:t xml:space="preserve"> (that is,</w:t>
      </w:r>
      <w:r w:rsidRPr="000830D9">
        <w:rPr>
          <w:rFonts w:ascii="Times New Roman" w:hAnsi="Times New Roman"/>
          <w:sz w:val="24"/>
          <w:szCs w:val="24"/>
        </w:rPr>
        <w:t xml:space="preserve"> </w:t>
      </w:r>
      <w:r>
        <w:rPr>
          <w:rFonts w:ascii="Times New Roman" w:hAnsi="Times New Roman"/>
          <w:sz w:val="24"/>
          <w:szCs w:val="24"/>
        </w:rPr>
        <w:t xml:space="preserve">the </w:t>
      </w:r>
      <w:r w:rsidRPr="000830D9">
        <w:rPr>
          <w:rFonts w:ascii="Times New Roman" w:hAnsi="Times New Roman"/>
          <w:sz w:val="24"/>
          <w:szCs w:val="24"/>
        </w:rPr>
        <w:t>PLM Officers</w:t>
      </w:r>
      <w:r>
        <w:rPr>
          <w:rFonts w:ascii="Times New Roman" w:hAnsi="Times New Roman"/>
          <w:sz w:val="24"/>
          <w:szCs w:val="24"/>
        </w:rPr>
        <w:t>)</w:t>
      </w:r>
      <w:r w:rsidRPr="000830D9">
        <w:rPr>
          <w:rFonts w:ascii="Times New Roman" w:hAnsi="Times New Roman"/>
          <w:sz w:val="24"/>
          <w:szCs w:val="24"/>
        </w:rPr>
        <w:t xml:space="preserve"> and the development of greater connections with the communities in which Pacific workers reside. </w:t>
      </w:r>
    </w:p>
    <w:p w14:paraId="5ECD8BD1" w14:textId="77777777" w:rsidR="00781A19" w:rsidRPr="000830D9" w:rsidRDefault="00781A19" w:rsidP="00781A19">
      <w:pPr>
        <w:rPr>
          <w:rFonts w:ascii="Times New Roman" w:hAnsi="Times New Roman"/>
          <w:sz w:val="24"/>
          <w:szCs w:val="24"/>
        </w:rPr>
      </w:pPr>
    </w:p>
    <w:p w14:paraId="0E79B196" w14:textId="77777777" w:rsidR="00781A19" w:rsidRPr="000830D9" w:rsidRDefault="00781A19" w:rsidP="00781A19">
      <w:pPr>
        <w:rPr>
          <w:rFonts w:ascii="Times New Roman" w:hAnsi="Times New Roman"/>
          <w:sz w:val="24"/>
          <w:szCs w:val="24"/>
        </w:rPr>
      </w:pPr>
      <w:r>
        <w:rPr>
          <w:rFonts w:ascii="Times New Roman" w:hAnsi="Times New Roman"/>
          <w:sz w:val="24"/>
          <w:szCs w:val="24"/>
        </w:rPr>
        <w:t xml:space="preserve">The </w:t>
      </w:r>
      <w:r w:rsidRPr="000830D9">
        <w:rPr>
          <w:rFonts w:ascii="Times New Roman" w:hAnsi="Times New Roman"/>
          <w:sz w:val="24"/>
          <w:szCs w:val="24"/>
        </w:rPr>
        <w:t>PLM Officers will support Pacific workers by ensuring that Pacific workers understand the requirements of their work, by undertaking regular welfare checks on Pacific workers</w:t>
      </w:r>
      <w:r>
        <w:rPr>
          <w:rFonts w:ascii="Times New Roman" w:hAnsi="Times New Roman"/>
          <w:sz w:val="24"/>
          <w:szCs w:val="24"/>
        </w:rPr>
        <w:t>,</w:t>
      </w:r>
      <w:r w:rsidRPr="000830D9">
        <w:rPr>
          <w:rFonts w:ascii="Times New Roman" w:hAnsi="Times New Roman"/>
          <w:sz w:val="24"/>
          <w:szCs w:val="24"/>
        </w:rPr>
        <w:t xml:space="preserve"> and by monitoring </w:t>
      </w:r>
      <w:r>
        <w:rPr>
          <w:rFonts w:ascii="Times New Roman" w:hAnsi="Times New Roman"/>
          <w:sz w:val="24"/>
          <w:szCs w:val="24"/>
        </w:rPr>
        <w:t xml:space="preserve">the </w:t>
      </w:r>
      <w:r w:rsidRPr="000830D9">
        <w:rPr>
          <w:rFonts w:ascii="Times New Roman" w:hAnsi="Times New Roman"/>
          <w:sz w:val="24"/>
          <w:szCs w:val="24"/>
        </w:rPr>
        <w:t xml:space="preserve">SWP Approved Employer compliance through site visits and audits. These actions promote the right to work by providing greater support in the workplace, and enhancing Pacific workers’ ability to engage in work on a sustainable basis.  </w:t>
      </w:r>
    </w:p>
    <w:p w14:paraId="6D9E871B" w14:textId="77777777" w:rsidR="00781A19" w:rsidRPr="000830D9" w:rsidRDefault="00781A19" w:rsidP="00781A19">
      <w:pPr>
        <w:rPr>
          <w:rFonts w:ascii="Times New Roman" w:hAnsi="Times New Roman"/>
          <w:sz w:val="24"/>
          <w:szCs w:val="24"/>
        </w:rPr>
      </w:pPr>
    </w:p>
    <w:p w14:paraId="75B1F8D0" w14:textId="77777777" w:rsidR="00781A19" w:rsidRPr="000830D9" w:rsidRDefault="00781A19" w:rsidP="00781A19">
      <w:pPr>
        <w:rPr>
          <w:rFonts w:ascii="Times New Roman" w:hAnsi="Times New Roman"/>
          <w:sz w:val="24"/>
          <w:szCs w:val="24"/>
        </w:rPr>
      </w:pPr>
      <w:r w:rsidRPr="000830D9">
        <w:rPr>
          <w:rFonts w:ascii="Times New Roman" w:hAnsi="Times New Roman"/>
          <w:sz w:val="24"/>
          <w:szCs w:val="24"/>
        </w:rPr>
        <w:t xml:space="preserve">The one or more not-for-profit organisations engaged to deliver the </w:t>
      </w:r>
      <w:r>
        <w:rPr>
          <w:rFonts w:ascii="Times New Roman" w:hAnsi="Times New Roman"/>
          <w:sz w:val="24"/>
          <w:szCs w:val="24"/>
        </w:rPr>
        <w:t>C</w:t>
      </w:r>
      <w:r w:rsidRPr="000830D9">
        <w:rPr>
          <w:rFonts w:ascii="Times New Roman" w:hAnsi="Times New Roman"/>
          <w:sz w:val="24"/>
          <w:szCs w:val="24"/>
        </w:rPr>
        <w:t xml:space="preserve">ommunity </w:t>
      </w:r>
      <w:r>
        <w:rPr>
          <w:rFonts w:ascii="Times New Roman" w:hAnsi="Times New Roman"/>
          <w:sz w:val="24"/>
          <w:szCs w:val="24"/>
        </w:rPr>
        <w:t>C</w:t>
      </w:r>
      <w:r w:rsidRPr="000830D9">
        <w:rPr>
          <w:rFonts w:ascii="Times New Roman" w:hAnsi="Times New Roman"/>
          <w:sz w:val="24"/>
          <w:szCs w:val="24"/>
        </w:rPr>
        <w:t>onnection</w:t>
      </w:r>
      <w:r>
        <w:rPr>
          <w:rFonts w:ascii="Times New Roman" w:hAnsi="Times New Roman"/>
          <w:sz w:val="24"/>
          <w:szCs w:val="24"/>
        </w:rPr>
        <w:t>s project</w:t>
      </w:r>
      <w:r w:rsidRPr="000830D9">
        <w:rPr>
          <w:rFonts w:ascii="Times New Roman" w:hAnsi="Times New Roman"/>
          <w:sz w:val="24"/>
          <w:szCs w:val="24"/>
        </w:rPr>
        <w:t xml:space="preserve"> will directly link Pacific workers with community groups to facilitate social cohesion and build sound ongoing relationships between local communities and the Pacific. Stronger connections within local communities will complement the work of </w:t>
      </w:r>
      <w:r>
        <w:rPr>
          <w:rFonts w:ascii="Times New Roman" w:hAnsi="Times New Roman"/>
          <w:sz w:val="24"/>
          <w:szCs w:val="24"/>
        </w:rPr>
        <w:t xml:space="preserve">the </w:t>
      </w:r>
      <w:r w:rsidRPr="000830D9">
        <w:rPr>
          <w:rFonts w:ascii="Times New Roman" w:hAnsi="Times New Roman"/>
          <w:sz w:val="24"/>
          <w:szCs w:val="24"/>
        </w:rPr>
        <w:t xml:space="preserve">PLM Officers by providing more points of contact to assist Pacific workers who experience issues, such as misunderstanding about transport arrangements or accommodation. </w:t>
      </w:r>
    </w:p>
    <w:p w14:paraId="47A333E1" w14:textId="77777777" w:rsidR="00781A19" w:rsidRPr="000830D9" w:rsidRDefault="00781A19" w:rsidP="00781A19">
      <w:pPr>
        <w:rPr>
          <w:rFonts w:ascii="Times New Roman" w:hAnsi="Times New Roman"/>
          <w:sz w:val="24"/>
          <w:szCs w:val="24"/>
        </w:rPr>
      </w:pPr>
    </w:p>
    <w:p w14:paraId="5B0A235E" w14:textId="77777777" w:rsidR="00781A19" w:rsidRPr="000830D9" w:rsidRDefault="00781A19" w:rsidP="00781A19">
      <w:pPr>
        <w:rPr>
          <w:rFonts w:ascii="Times New Roman" w:hAnsi="Times New Roman"/>
          <w:sz w:val="24"/>
          <w:szCs w:val="24"/>
        </w:rPr>
      </w:pPr>
      <w:r w:rsidRPr="000830D9">
        <w:rPr>
          <w:rFonts w:ascii="Times New Roman" w:hAnsi="Times New Roman"/>
          <w:sz w:val="24"/>
          <w:szCs w:val="24"/>
        </w:rPr>
        <w:t xml:space="preserve">These actions promote the right to health by enhancing Pacific workers’ connectedness while in Australia, reducing homesickness and other problems such as mental health issues, while increasing worker satisfaction and general wellbeing. </w:t>
      </w:r>
    </w:p>
    <w:p w14:paraId="2EFBA4D1" w14:textId="77777777" w:rsidR="00781A19" w:rsidRPr="00DC5E86" w:rsidRDefault="00781A19" w:rsidP="00781A19">
      <w:pPr>
        <w:rPr>
          <w:rFonts w:ascii="Times New Roman" w:hAnsi="Times New Roman"/>
          <w:sz w:val="24"/>
          <w:szCs w:val="24"/>
        </w:rPr>
      </w:pPr>
    </w:p>
    <w:p w14:paraId="06EEAD56" w14:textId="77777777" w:rsidR="00781A19" w:rsidRPr="00DC5E86" w:rsidRDefault="00781A19" w:rsidP="00781A19">
      <w:pPr>
        <w:pStyle w:val="NoSpacing"/>
        <w:ind w:right="55"/>
        <w:rPr>
          <w:b/>
          <w:color w:val="000000" w:themeColor="text1"/>
          <w:szCs w:val="24"/>
        </w:rPr>
      </w:pPr>
      <w:r w:rsidRPr="00DC5E86">
        <w:rPr>
          <w:b/>
          <w:color w:val="000000" w:themeColor="text1"/>
          <w:szCs w:val="24"/>
        </w:rPr>
        <w:t>Conclusion</w:t>
      </w:r>
    </w:p>
    <w:p w14:paraId="0D7C73B1" w14:textId="77777777" w:rsidR="00781A19" w:rsidRPr="00DC5E86" w:rsidRDefault="00781A19" w:rsidP="00781A19">
      <w:pPr>
        <w:ind w:right="-46"/>
        <w:rPr>
          <w:rFonts w:ascii="Times New Roman" w:hAnsi="Times New Roman"/>
          <w:color w:val="000000" w:themeColor="text1"/>
          <w:sz w:val="24"/>
          <w:szCs w:val="24"/>
        </w:rPr>
      </w:pPr>
    </w:p>
    <w:p w14:paraId="7A6F10A8" w14:textId="07AE1C77" w:rsidR="00781A19" w:rsidRPr="00DC5E86" w:rsidRDefault="00781A19" w:rsidP="00781A19">
      <w:pPr>
        <w:rPr>
          <w:rFonts w:ascii="Times New Roman" w:hAnsi="Times New Roman"/>
          <w:color w:val="000000" w:themeColor="text1"/>
          <w:sz w:val="24"/>
          <w:szCs w:val="24"/>
        </w:rPr>
      </w:pPr>
      <w:r w:rsidRPr="00DC5E86">
        <w:rPr>
          <w:rFonts w:ascii="Times New Roman" w:hAnsi="Times New Roman"/>
          <w:sz w:val="24"/>
          <w:szCs w:val="24"/>
        </w:rPr>
        <w:t xml:space="preserve">Table item </w:t>
      </w:r>
      <w:r w:rsidR="005E1C7F">
        <w:rPr>
          <w:rFonts w:ascii="Times New Roman" w:hAnsi="Times New Roman"/>
          <w:sz w:val="24"/>
          <w:szCs w:val="24"/>
        </w:rPr>
        <w:t>461</w:t>
      </w:r>
      <w:r w:rsidRPr="00DC5E86">
        <w:rPr>
          <w:rFonts w:ascii="Times New Roman" w:hAnsi="Times New Roman"/>
          <w:sz w:val="24"/>
          <w:szCs w:val="24"/>
        </w:rPr>
        <w:t xml:space="preserve"> is compatible with human rights </w:t>
      </w:r>
      <w:r>
        <w:rPr>
          <w:rFonts w:ascii="Times New Roman" w:hAnsi="Times New Roman"/>
          <w:sz w:val="24"/>
          <w:szCs w:val="24"/>
        </w:rPr>
        <w:t xml:space="preserve">because it promotes the protection of </w:t>
      </w:r>
      <w:r w:rsidRPr="00DC5E86">
        <w:rPr>
          <w:rFonts w:ascii="Times New Roman" w:hAnsi="Times New Roman"/>
          <w:sz w:val="24"/>
          <w:szCs w:val="24"/>
        </w:rPr>
        <w:t>human rights</w:t>
      </w:r>
      <w:r w:rsidRPr="00DC5E86">
        <w:rPr>
          <w:rFonts w:ascii="Times New Roman" w:hAnsi="Times New Roman"/>
          <w:color w:val="000000" w:themeColor="text1"/>
          <w:sz w:val="24"/>
          <w:szCs w:val="24"/>
        </w:rPr>
        <w:t>.</w:t>
      </w:r>
    </w:p>
    <w:p w14:paraId="6C5E99CC" w14:textId="77777777" w:rsidR="00216CA7" w:rsidRPr="00781A19" w:rsidRDefault="00216CA7" w:rsidP="00EF5414">
      <w:pPr>
        <w:rPr>
          <w:rFonts w:ascii="Times New Roman" w:hAnsi="Times New Roman"/>
          <w:sz w:val="24"/>
          <w:szCs w:val="24"/>
          <w:u w:val="single"/>
        </w:rPr>
      </w:pPr>
    </w:p>
    <w:p w14:paraId="3EAEFF54" w14:textId="006234A4" w:rsidR="00581E06" w:rsidRDefault="00581E06" w:rsidP="00216CA7">
      <w:pPr>
        <w:rPr>
          <w:rFonts w:ascii="Times New Roman" w:hAnsi="Times New Roman"/>
          <w:sz w:val="24"/>
          <w:szCs w:val="24"/>
        </w:rPr>
      </w:pPr>
    </w:p>
    <w:p w14:paraId="5A861560" w14:textId="77777777" w:rsidR="00581E06" w:rsidRDefault="00581E06" w:rsidP="00EF5414">
      <w:pPr>
        <w:ind w:right="-46"/>
        <w:rPr>
          <w:rFonts w:ascii="Times New Roman" w:hAnsi="Times New Roman"/>
          <w:color w:val="000000" w:themeColor="text1"/>
          <w:sz w:val="24"/>
          <w:szCs w:val="24"/>
        </w:rPr>
      </w:pPr>
    </w:p>
    <w:p w14:paraId="64EEF83D" w14:textId="77777777" w:rsidR="00581E06" w:rsidRDefault="00581E06" w:rsidP="00EF5414">
      <w:pPr>
        <w:ind w:right="-46"/>
        <w:rPr>
          <w:rFonts w:ascii="Times New Roman" w:hAnsi="Times New Roman"/>
          <w:color w:val="000000" w:themeColor="text1"/>
          <w:sz w:val="24"/>
          <w:szCs w:val="24"/>
        </w:rPr>
      </w:pPr>
    </w:p>
    <w:p w14:paraId="3EB6195F" w14:textId="77777777" w:rsidR="00581E06" w:rsidRDefault="00581E06" w:rsidP="00EF5414">
      <w:pPr>
        <w:ind w:right="-46"/>
        <w:rPr>
          <w:rFonts w:ascii="Times New Roman" w:hAnsi="Times New Roman"/>
          <w:color w:val="000000" w:themeColor="text1"/>
          <w:sz w:val="24"/>
          <w:szCs w:val="24"/>
        </w:rPr>
      </w:pPr>
    </w:p>
    <w:p w14:paraId="4D6A6FF4" w14:textId="5C9B957A" w:rsidR="00581E06" w:rsidRDefault="00581E06" w:rsidP="00EF5414">
      <w:pPr>
        <w:pStyle w:val="paranumbering0"/>
        <w:spacing w:before="0" w:beforeAutospacing="0" w:after="0" w:afterAutospacing="0"/>
        <w:contextualSpacing/>
        <w:jc w:val="center"/>
        <w:rPr>
          <w:b/>
        </w:rPr>
      </w:pPr>
      <w:r>
        <w:rPr>
          <w:b/>
        </w:rPr>
        <w:t xml:space="preserve">Senator the Hon </w:t>
      </w:r>
      <w:r w:rsidR="00216CA7">
        <w:rPr>
          <w:b/>
        </w:rPr>
        <w:t>Simon Birmingham</w:t>
      </w:r>
    </w:p>
    <w:p w14:paraId="0755C2E1" w14:textId="77777777" w:rsidR="00581E06" w:rsidRDefault="00581E06" w:rsidP="00EF5414">
      <w:pPr>
        <w:contextualSpacing/>
        <w:jc w:val="center"/>
        <w:rPr>
          <w:rFonts w:ascii="Times New Roman" w:hAnsi="Times New Roman"/>
          <w:b/>
          <w:sz w:val="24"/>
          <w:szCs w:val="24"/>
        </w:rPr>
      </w:pPr>
      <w:r>
        <w:rPr>
          <w:rFonts w:ascii="Times New Roman" w:hAnsi="Times New Roman"/>
          <w:b/>
          <w:sz w:val="24"/>
          <w:szCs w:val="24"/>
        </w:rPr>
        <w:t>Minister for Finance</w:t>
      </w:r>
    </w:p>
    <w:p w14:paraId="0021E00C" w14:textId="77777777" w:rsidR="00581E06" w:rsidRDefault="00581E06" w:rsidP="00EF5414">
      <w:pPr>
        <w:rPr>
          <w:rFonts w:asciiTheme="minorHAnsi" w:hAnsiTheme="minorHAnsi" w:cstheme="minorBidi"/>
          <w:lang w:eastAsia="en-US"/>
        </w:rPr>
      </w:pPr>
    </w:p>
    <w:p w14:paraId="43F882D2" w14:textId="0729E3CA" w:rsidR="002F4AEB" w:rsidRDefault="002F4AEB" w:rsidP="00EF5414">
      <w:pPr>
        <w:rPr>
          <w:rFonts w:ascii="Times New Roman" w:hAnsi="Times New Roman"/>
          <w:i/>
          <w:sz w:val="24"/>
          <w:szCs w:val="24"/>
          <w:u w:val="single"/>
        </w:rPr>
      </w:pPr>
    </w:p>
    <w:p w14:paraId="6D146717" w14:textId="1A042E70" w:rsidR="002F4AEB" w:rsidRDefault="002F4AEB" w:rsidP="00EF5414">
      <w:pPr>
        <w:rPr>
          <w:rFonts w:ascii="Times New Roman" w:hAnsi="Times New Roman"/>
          <w:i/>
          <w:sz w:val="24"/>
          <w:szCs w:val="24"/>
          <w:u w:val="single"/>
        </w:rPr>
      </w:pPr>
    </w:p>
    <w:p w14:paraId="2D764007" w14:textId="77777777" w:rsidR="002F4AEB" w:rsidRDefault="002F4AEB" w:rsidP="00EF5414">
      <w:pPr>
        <w:rPr>
          <w:rFonts w:ascii="Times New Roman" w:hAnsi="Times New Roman"/>
          <w:i/>
          <w:sz w:val="24"/>
          <w:szCs w:val="24"/>
          <w:u w:val="single"/>
        </w:rPr>
      </w:pPr>
    </w:p>
    <w:p w14:paraId="78B8D7C8" w14:textId="77777777" w:rsidR="002F4AEB" w:rsidRDefault="002F4AEB" w:rsidP="00EF5414">
      <w:pPr>
        <w:rPr>
          <w:rFonts w:ascii="Times New Roman" w:hAnsi="Times New Roman"/>
          <w:i/>
          <w:sz w:val="24"/>
          <w:szCs w:val="24"/>
          <w:u w:val="single"/>
        </w:rPr>
      </w:pPr>
    </w:p>
    <w:p w14:paraId="01EEC243" w14:textId="77777777" w:rsidR="002F4AEB" w:rsidRDefault="002F4AEB" w:rsidP="00EF5414">
      <w:pPr>
        <w:rPr>
          <w:rFonts w:ascii="Times New Roman" w:hAnsi="Times New Roman"/>
          <w:i/>
          <w:sz w:val="24"/>
          <w:szCs w:val="24"/>
          <w:u w:val="single"/>
        </w:rPr>
      </w:pPr>
    </w:p>
    <w:p w14:paraId="58E84D36" w14:textId="77777777" w:rsidR="002F4AEB" w:rsidRDefault="002F4AEB" w:rsidP="00EF5414">
      <w:pPr>
        <w:rPr>
          <w:rFonts w:ascii="Times New Roman" w:hAnsi="Times New Roman"/>
          <w:i/>
          <w:sz w:val="24"/>
          <w:szCs w:val="24"/>
          <w:u w:val="single"/>
        </w:rPr>
      </w:pPr>
    </w:p>
    <w:sectPr w:rsidR="002F4AEB" w:rsidSect="004D676F">
      <w:headerReference w:type="even" r:id="rId21"/>
      <w:headerReference w:type="default" r:id="rId22"/>
      <w:head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CC142" w14:textId="77777777" w:rsidR="006014BD" w:rsidRDefault="006014BD" w:rsidP="00A739E5">
      <w:r>
        <w:separator/>
      </w:r>
    </w:p>
  </w:endnote>
  <w:endnote w:type="continuationSeparator" w:id="0">
    <w:p w14:paraId="00507189" w14:textId="77777777" w:rsidR="006014BD" w:rsidRDefault="006014BD" w:rsidP="00A739E5">
      <w:r>
        <w:continuationSeparator/>
      </w:r>
    </w:p>
  </w:endnote>
  <w:endnote w:type="continuationNotice" w:id="1">
    <w:p w14:paraId="579A1DE3" w14:textId="77777777" w:rsidR="006014BD" w:rsidRDefault="00601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49982" w14:textId="77777777" w:rsidR="006014BD" w:rsidRDefault="006014BD" w:rsidP="00A739E5">
      <w:r>
        <w:separator/>
      </w:r>
    </w:p>
  </w:footnote>
  <w:footnote w:type="continuationSeparator" w:id="0">
    <w:p w14:paraId="3FE9F74C" w14:textId="77777777" w:rsidR="006014BD" w:rsidRDefault="006014BD" w:rsidP="00A739E5">
      <w:r>
        <w:continuationSeparator/>
      </w:r>
    </w:p>
  </w:footnote>
  <w:footnote w:type="continuationNotice" w:id="1">
    <w:p w14:paraId="3D72D7AF" w14:textId="77777777" w:rsidR="006014BD" w:rsidRDefault="006014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3745" w14:textId="46C65E90" w:rsidR="006014BD" w:rsidRDefault="001F53FE">
    <w:pPr>
      <w:pStyle w:val="Header"/>
      <w:jc w:val="center"/>
    </w:pPr>
    <w:sdt>
      <w:sdtPr>
        <w:id w:val="8403760"/>
        <w:docPartObj>
          <w:docPartGallery w:val="Page Numbers (Top of Page)"/>
          <w:docPartUnique/>
        </w:docPartObj>
      </w:sdtPr>
      <w:sdtEndPr/>
      <w:sdtContent>
        <w:r w:rsidR="006014BD">
          <w:fldChar w:fldCharType="begin"/>
        </w:r>
        <w:r w:rsidR="006014BD">
          <w:instrText xml:space="preserve"> PAGE   \* MERGEFORMAT </w:instrText>
        </w:r>
        <w:r w:rsidR="006014BD">
          <w:fldChar w:fldCharType="separate"/>
        </w:r>
        <w:r>
          <w:rPr>
            <w:noProof/>
          </w:rPr>
          <w:t>2</w:t>
        </w:r>
        <w:r w:rsidR="006014BD">
          <w:rPr>
            <w:noProof/>
          </w:rPr>
          <w:fldChar w:fldCharType="end"/>
        </w:r>
      </w:sdtContent>
    </w:sdt>
  </w:p>
  <w:p w14:paraId="1E771F2C" w14:textId="77777777" w:rsidR="006014BD" w:rsidRDefault="00601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FC9E" w14:textId="77777777" w:rsidR="006014BD" w:rsidRPr="00CA76CF" w:rsidRDefault="006014BD" w:rsidP="004D676F">
    <w:pPr>
      <w:pStyle w:val="Header"/>
      <w:jc w:val="right"/>
      <w:rPr>
        <w:b/>
        <w:u w:val="single"/>
      </w:rPr>
    </w:pPr>
  </w:p>
  <w:p w14:paraId="685914A9" w14:textId="77777777" w:rsidR="006014BD" w:rsidRDefault="006014B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CB1" w14:textId="77777777" w:rsidR="006014BD" w:rsidRDefault="00601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A82" w14:textId="06568A47" w:rsidR="006014BD" w:rsidRDefault="001F53FE">
    <w:pPr>
      <w:pStyle w:val="Header"/>
      <w:jc w:val="center"/>
    </w:pPr>
    <w:sdt>
      <w:sdtPr>
        <w:id w:val="8403761"/>
        <w:docPartObj>
          <w:docPartGallery w:val="Page Numbers (Top of Page)"/>
          <w:docPartUnique/>
        </w:docPartObj>
      </w:sdtPr>
      <w:sdtEndPr/>
      <w:sdtContent>
        <w:r w:rsidR="006014BD">
          <w:fldChar w:fldCharType="begin"/>
        </w:r>
        <w:r w:rsidR="006014BD">
          <w:instrText xml:space="preserve"> PAGE   \* MERGEFORMAT </w:instrText>
        </w:r>
        <w:r w:rsidR="006014BD">
          <w:fldChar w:fldCharType="separate"/>
        </w:r>
        <w:r>
          <w:rPr>
            <w:noProof/>
          </w:rPr>
          <w:t>2</w:t>
        </w:r>
        <w:r w:rsidR="006014BD">
          <w:rPr>
            <w:noProof/>
          </w:rPr>
          <w:fldChar w:fldCharType="end"/>
        </w:r>
      </w:sdtContent>
    </w:sdt>
  </w:p>
  <w:p w14:paraId="520087D9" w14:textId="77777777" w:rsidR="006014BD" w:rsidRDefault="006014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3DBB" w14:textId="77777777" w:rsidR="006014BD" w:rsidRPr="00CA76CF" w:rsidRDefault="006014BD" w:rsidP="004D676F">
    <w:pPr>
      <w:pStyle w:val="Header"/>
      <w:jc w:val="right"/>
      <w:rPr>
        <w:b/>
        <w:u w:val="single"/>
      </w:rPr>
    </w:pPr>
    <w:r w:rsidRPr="0088187F">
      <w:rPr>
        <w:b/>
        <w:u w:val="single"/>
      </w:rPr>
      <w:t>Attachment A</w:t>
    </w:r>
  </w:p>
  <w:p w14:paraId="1EFE046E" w14:textId="77777777" w:rsidR="006014BD" w:rsidRDefault="006014B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A0AE" w14:textId="77777777" w:rsidR="006014BD" w:rsidRDefault="006014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56F2" w14:textId="35E96534" w:rsidR="006014BD" w:rsidRDefault="001F53FE">
    <w:pPr>
      <w:pStyle w:val="Header"/>
      <w:jc w:val="center"/>
    </w:pPr>
    <w:sdt>
      <w:sdtPr>
        <w:id w:val="8403763"/>
        <w:docPartObj>
          <w:docPartGallery w:val="Page Numbers (Top of Page)"/>
          <w:docPartUnique/>
        </w:docPartObj>
      </w:sdtPr>
      <w:sdtEndPr/>
      <w:sdtContent>
        <w:r w:rsidR="006014BD">
          <w:fldChar w:fldCharType="begin"/>
        </w:r>
        <w:r w:rsidR="006014BD">
          <w:instrText xml:space="preserve"> PAGE   \* MERGEFORMAT </w:instrText>
        </w:r>
        <w:r w:rsidR="006014BD">
          <w:fldChar w:fldCharType="separate"/>
        </w:r>
        <w:r>
          <w:rPr>
            <w:noProof/>
          </w:rPr>
          <w:t>7</w:t>
        </w:r>
        <w:r w:rsidR="006014BD">
          <w:rPr>
            <w:noProof/>
          </w:rPr>
          <w:fldChar w:fldCharType="end"/>
        </w:r>
      </w:sdtContent>
    </w:sdt>
  </w:p>
  <w:p w14:paraId="726453BC" w14:textId="77777777" w:rsidR="006014BD" w:rsidRDefault="006014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D22E" w14:textId="77777777" w:rsidR="006014BD" w:rsidRPr="00CA76CF" w:rsidRDefault="006014BD" w:rsidP="004D676F">
    <w:pPr>
      <w:pStyle w:val="Header"/>
      <w:jc w:val="right"/>
      <w:rPr>
        <w:b/>
        <w:u w:val="single"/>
      </w:rPr>
    </w:pPr>
    <w:r w:rsidRPr="0088187F">
      <w:rPr>
        <w:b/>
        <w:u w:val="single"/>
      </w:rPr>
      <w:t xml:space="preserve">Attachment </w:t>
    </w:r>
    <w:r>
      <w:rPr>
        <w:b/>
        <w:u w:val="single"/>
      </w:rPr>
      <w:t>B</w:t>
    </w:r>
  </w:p>
  <w:p w14:paraId="4502288B" w14:textId="77777777" w:rsidR="006014BD" w:rsidRDefault="006014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28"/>
    <w:multiLevelType w:val="hybridMultilevel"/>
    <w:tmpl w:val="15245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B31E8"/>
    <w:multiLevelType w:val="hybridMultilevel"/>
    <w:tmpl w:val="9556A6A8"/>
    <w:lvl w:ilvl="0" w:tplc="0C09000F">
      <w:start w:val="1"/>
      <w:numFmt w:val="decimal"/>
      <w:lvlText w:val="%1."/>
      <w:lvlJc w:val="left"/>
      <w:pPr>
        <w:ind w:left="870" w:hanging="51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10F88"/>
    <w:multiLevelType w:val="hybridMultilevel"/>
    <w:tmpl w:val="EA28A51A"/>
    <w:lvl w:ilvl="0" w:tplc="B1B84BFC">
      <w:start w:val="1"/>
      <w:numFmt w:val="bullet"/>
      <w:lvlText w:val=""/>
      <w:lvlJc w:val="left"/>
      <w:pPr>
        <w:ind w:left="720" w:hanging="360"/>
      </w:pPr>
      <w:rPr>
        <w:rFonts w:ascii="Symbol" w:hAnsi="Symbol" w:hint="default"/>
      </w:rPr>
    </w:lvl>
    <w:lvl w:ilvl="1" w:tplc="9A38CC5E" w:tentative="1">
      <w:start w:val="1"/>
      <w:numFmt w:val="bullet"/>
      <w:lvlText w:val="o"/>
      <w:lvlJc w:val="left"/>
      <w:pPr>
        <w:ind w:left="1440" w:hanging="360"/>
      </w:pPr>
      <w:rPr>
        <w:rFonts w:ascii="Courier New" w:hAnsi="Courier New" w:cs="Courier New" w:hint="default"/>
      </w:rPr>
    </w:lvl>
    <w:lvl w:ilvl="2" w:tplc="D8F81A0E" w:tentative="1">
      <w:start w:val="1"/>
      <w:numFmt w:val="bullet"/>
      <w:lvlText w:val=""/>
      <w:lvlJc w:val="left"/>
      <w:pPr>
        <w:ind w:left="2160" w:hanging="360"/>
      </w:pPr>
      <w:rPr>
        <w:rFonts w:ascii="Wingdings" w:hAnsi="Wingdings" w:hint="default"/>
      </w:rPr>
    </w:lvl>
    <w:lvl w:ilvl="3" w:tplc="E54E7A0C" w:tentative="1">
      <w:start w:val="1"/>
      <w:numFmt w:val="bullet"/>
      <w:lvlText w:val=""/>
      <w:lvlJc w:val="left"/>
      <w:pPr>
        <w:ind w:left="2880" w:hanging="360"/>
      </w:pPr>
      <w:rPr>
        <w:rFonts w:ascii="Symbol" w:hAnsi="Symbol" w:hint="default"/>
      </w:rPr>
    </w:lvl>
    <w:lvl w:ilvl="4" w:tplc="83E20418" w:tentative="1">
      <w:start w:val="1"/>
      <w:numFmt w:val="bullet"/>
      <w:lvlText w:val="o"/>
      <w:lvlJc w:val="left"/>
      <w:pPr>
        <w:ind w:left="3600" w:hanging="360"/>
      </w:pPr>
      <w:rPr>
        <w:rFonts w:ascii="Courier New" w:hAnsi="Courier New" w:cs="Courier New" w:hint="default"/>
      </w:rPr>
    </w:lvl>
    <w:lvl w:ilvl="5" w:tplc="81D8E072" w:tentative="1">
      <w:start w:val="1"/>
      <w:numFmt w:val="bullet"/>
      <w:lvlText w:val=""/>
      <w:lvlJc w:val="left"/>
      <w:pPr>
        <w:ind w:left="4320" w:hanging="360"/>
      </w:pPr>
      <w:rPr>
        <w:rFonts w:ascii="Wingdings" w:hAnsi="Wingdings" w:hint="default"/>
      </w:rPr>
    </w:lvl>
    <w:lvl w:ilvl="6" w:tplc="0C8485CA" w:tentative="1">
      <w:start w:val="1"/>
      <w:numFmt w:val="bullet"/>
      <w:lvlText w:val=""/>
      <w:lvlJc w:val="left"/>
      <w:pPr>
        <w:ind w:left="5040" w:hanging="360"/>
      </w:pPr>
      <w:rPr>
        <w:rFonts w:ascii="Symbol" w:hAnsi="Symbol" w:hint="default"/>
      </w:rPr>
    </w:lvl>
    <w:lvl w:ilvl="7" w:tplc="099CE4AA" w:tentative="1">
      <w:start w:val="1"/>
      <w:numFmt w:val="bullet"/>
      <w:lvlText w:val="o"/>
      <w:lvlJc w:val="left"/>
      <w:pPr>
        <w:ind w:left="5760" w:hanging="360"/>
      </w:pPr>
      <w:rPr>
        <w:rFonts w:ascii="Courier New" w:hAnsi="Courier New" w:cs="Courier New" w:hint="default"/>
      </w:rPr>
    </w:lvl>
    <w:lvl w:ilvl="8" w:tplc="11D0DA5E" w:tentative="1">
      <w:start w:val="1"/>
      <w:numFmt w:val="bullet"/>
      <w:lvlText w:val=""/>
      <w:lvlJc w:val="left"/>
      <w:pPr>
        <w:ind w:left="6480" w:hanging="360"/>
      </w:pPr>
      <w:rPr>
        <w:rFonts w:ascii="Wingdings" w:hAnsi="Wingdings" w:hint="default"/>
      </w:rPr>
    </w:lvl>
  </w:abstractNum>
  <w:abstractNum w:abstractNumId="4" w15:restartNumberingAfterBreak="0">
    <w:nsid w:val="09E24EF4"/>
    <w:multiLevelType w:val="hybridMultilevel"/>
    <w:tmpl w:val="ABA6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B3D16"/>
    <w:multiLevelType w:val="hybridMultilevel"/>
    <w:tmpl w:val="AF341430"/>
    <w:lvl w:ilvl="0" w:tplc="BE72D15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830110D"/>
    <w:multiLevelType w:val="hybridMultilevel"/>
    <w:tmpl w:val="C2E45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7B16CAC"/>
    <w:multiLevelType w:val="hybridMultilevel"/>
    <w:tmpl w:val="B2563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5" w15:restartNumberingAfterBreak="0">
    <w:nsid w:val="2CC96470"/>
    <w:multiLevelType w:val="hybridMultilevel"/>
    <w:tmpl w:val="E014F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1109ED"/>
    <w:multiLevelType w:val="hybridMultilevel"/>
    <w:tmpl w:val="FE6C2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2D4791"/>
    <w:multiLevelType w:val="hybridMultilevel"/>
    <w:tmpl w:val="825E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485E1C"/>
    <w:multiLevelType w:val="hybridMultilevel"/>
    <w:tmpl w:val="27FAF1D4"/>
    <w:lvl w:ilvl="0" w:tplc="BC186382">
      <w:start w:val="1"/>
      <w:numFmt w:val="bullet"/>
      <w:lvlText w:val=""/>
      <w:lvlJc w:val="left"/>
      <w:pPr>
        <w:ind w:left="720" w:hanging="360"/>
      </w:pPr>
      <w:rPr>
        <w:rFonts w:ascii="Symbol" w:hAnsi="Symbol" w:hint="default"/>
      </w:rPr>
    </w:lvl>
    <w:lvl w:ilvl="1" w:tplc="E0AA6AC6" w:tentative="1">
      <w:start w:val="1"/>
      <w:numFmt w:val="bullet"/>
      <w:lvlText w:val="o"/>
      <w:lvlJc w:val="left"/>
      <w:pPr>
        <w:ind w:left="1440" w:hanging="360"/>
      </w:pPr>
      <w:rPr>
        <w:rFonts w:ascii="Courier New" w:hAnsi="Courier New" w:cs="Courier New" w:hint="default"/>
      </w:rPr>
    </w:lvl>
    <w:lvl w:ilvl="2" w:tplc="8D7C78FE" w:tentative="1">
      <w:start w:val="1"/>
      <w:numFmt w:val="bullet"/>
      <w:lvlText w:val=""/>
      <w:lvlJc w:val="left"/>
      <w:pPr>
        <w:ind w:left="2160" w:hanging="360"/>
      </w:pPr>
      <w:rPr>
        <w:rFonts w:ascii="Wingdings" w:hAnsi="Wingdings" w:hint="default"/>
      </w:rPr>
    </w:lvl>
    <w:lvl w:ilvl="3" w:tplc="0CA6BC1E" w:tentative="1">
      <w:start w:val="1"/>
      <w:numFmt w:val="bullet"/>
      <w:lvlText w:val=""/>
      <w:lvlJc w:val="left"/>
      <w:pPr>
        <w:ind w:left="2880" w:hanging="360"/>
      </w:pPr>
      <w:rPr>
        <w:rFonts w:ascii="Symbol" w:hAnsi="Symbol" w:hint="default"/>
      </w:rPr>
    </w:lvl>
    <w:lvl w:ilvl="4" w:tplc="6B340CB6" w:tentative="1">
      <w:start w:val="1"/>
      <w:numFmt w:val="bullet"/>
      <w:lvlText w:val="o"/>
      <w:lvlJc w:val="left"/>
      <w:pPr>
        <w:ind w:left="3600" w:hanging="360"/>
      </w:pPr>
      <w:rPr>
        <w:rFonts w:ascii="Courier New" w:hAnsi="Courier New" w:cs="Courier New" w:hint="default"/>
      </w:rPr>
    </w:lvl>
    <w:lvl w:ilvl="5" w:tplc="0C1E487A" w:tentative="1">
      <w:start w:val="1"/>
      <w:numFmt w:val="bullet"/>
      <w:lvlText w:val=""/>
      <w:lvlJc w:val="left"/>
      <w:pPr>
        <w:ind w:left="4320" w:hanging="360"/>
      </w:pPr>
      <w:rPr>
        <w:rFonts w:ascii="Wingdings" w:hAnsi="Wingdings" w:hint="default"/>
      </w:rPr>
    </w:lvl>
    <w:lvl w:ilvl="6" w:tplc="D2C2DB46" w:tentative="1">
      <w:start w:val="1"/>
      <w:numFmt w:val="bullet"/>
      <w:lvlText w:val=""/>
      <w:lvlJc w:val="left"/>
      <w:pPr>
        <w:ind w:left="5040" w:hanging="360"/>
      </w:pPr>
      <w:rPr>
        <w:rFonts w:ascii="Symbol" w:hAnsi="Symbol" w:hint="default"/>
      </w:rPr>
    </w:lvl>
    <w:lvl w:ilvl="7" w:tplc="C540DDC2" w:tentative="1">
      <w:start w:val="1"/>
      <w:numFmt w:val="bullet"/>
      <w:lvlText w:val="o"/>
      <w:lvlJc w:val="left"/>
      <w:pPr>
        <w:ind w:left="5760" w:hanging="360"/>
      </w:pPr>
      <w:rPr>
        <w:rFonts w:ascii="Courier New" w:hAnsi="Courier New" w:cs="Courier New" w:hint="default"/>
      </w:rPr>
    </w:lvl>
    <w:lvl w:ilvl="8" w:tplc="D61C9C60" w:tentative="1">
      <w:start w:val="1"/>
      <w:numFmt w:val="bullet"/>
      <w:lvlText w:val=""/>
      <w:lvlJc w:val="left"/>
      <w:pPr>
        <w:ind w:left="6480" w:hanging="360"/>
      </w:pPr>
      <w:rPr>
        <w:rFonts w:ascii="Wingdings" w:hAnsi="Wingdings" w:hint="default"/>
      </w:rPr>
    </w:lvl>
  </w:abstractNum>
  <w:abstractNum w:abstractNumId="19" w15:restartNumberingAfterBreak="0">
    <w:nsid w:val="376A0A9D"/>
    <w:multiLevelType w:val="hybridMultilevel"/>
    <w:tmpl w:val="C40EC3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DB45167"/>
    <w:multiLevelType w:val="hybridMultilevel"/>
    <w:tmpl w:val="B5EA6926"/>
    <w:lvl w:ilvl="0" w:tplc="02A0317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392165"/>
    <w:multiLevelType w:val="hybridMultilevel"/>
    <w:tmpl w:val="343E78BC"/>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80E29"/>
    <w:multiLevelType w:val="hybridMultilevel"/>
    <w:tmpl w:val="DB2E1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366A1F"/>
    <w:multiLevelType w:val="hybridMultilevel"/>
    <w:tmpl w:val="ED8EE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0D965C3"/>
    <w:multiLevelType w:val="hybridMultilevel"/>
    <w:tmpl w:val="E7EAB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0B05CB"/>
    <w:multiLevelType w:val="hybridMultilevel"/>
    <w:tmpl w:val="54C21EA6"/>
    <w:lvl w:ilvl="0" w:tplc="0C090001">
      <w:start w:val="1"/>
      <w:numFmt w:val="bullet"/>
      <w:lvlText w:val=""/>
      <w:lvlJc w:val="left"/>
      <w:pPr>
        <w:ind w:left="720" w:hanging="360"/>
      </w:pPr>
      <w:rPr>
        <w:rFonts w:ascii="Symbol" w:hAnsi="Symbol" w:hint="default"/>
      </w:rPr>
    </w:lvl>
    <w:lvl w:ilvl="1" w:tplc="8F6802EC">
      <w:numFmt w:val="bullet"/>
      <w:lvlText w:val="•"/>
      <w:lvlJc w:val="left"/>
      <w:pPr>
        <w:ind w:left="1800" w:hanging="720"/>
      </w:pPr>
      <w:rPr>
        <w:rFonts w:ascii="Times New Roman" w:eastAsia="Calibri"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5EAD5792"/>
    <w:multiLevelType w:val="hybridMultilevel"/>
    <w:tmpl w:val="8AB2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9B6FB7"/>
    <w:multiLevelType w:val="hybridMultilevel"/>
    <w:tmpl w:val="FDCC0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2" w15:restartNumberingAfterBreak="0">
    <w:nsid w:val="678F2A3F"/>
    <w:multiLevelType w:val="multilevel"/>
    <w:tmpl w:val="E208D690"/>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4" w15:restartNumberingAfterBreak="0">
    <w:nsid w:val="71355152"/>
    <w:multiLevelType w:val="hybridMultilevel"/>
    <w:tmpl w:val="38E0474A"/>
    <w:lvl w:ilvl="0" w:tplc="3AE02F98">
      <w:start w:val="12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097646"/>
    <w:multiLevelType w:val="hybridMultilevel"/>
    <w:tmpl w:val="6824B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4257E6"/>
    <w:multiLevelType w:val="hybridMultilevel"/>
    <w:tmpl w:val="9F028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CB6230"/>
    <w:multiLevelType w:val="hybridMultilevel"/>
    <w:tmpl w:val="40AC6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3"/>
  </w:num>
  <w:num w:numId="4">
    <w:abstractNumId w:val="14"/>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1"/>
  </w:num>
  <w:num w:numId="10">
    <w:abstractNumId w:val="10"/>
  </w:num>
  <w:num w:numId="11">
    <w:abstractNumId w:val="6"/>
  </w:num>
  <w:num w:numId="12">
    <w:abstractNumId w:val="1"/>
  </w:num>
  <w:num w:numId="13">
    <w:abstractNumId w:val="23"/>
  </w:num>
  <w:num w:numId="14">
    <w:abstractNumId w:val="35"/>
  </w:num>
  <w:num w:numId="15">
    <w:abstractNumId w:val="2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
  </w:num>
  <w:num w:numId="19">
    <w:abstractNumId w:val="3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 w:numId="23">
    <w:abstractNumId w:val="22"/>
  </w:num>
  <w:num w:numId="24">
    <w:abstractNumId w:val="34"/>
  </w:num>
  <w:num w:numId="25">
    <w:abstractNumId w:val="21"/>
  </w:num>
  <w:num w:numId="26">
    <w:abstractNumId w:val="4"/>
  </w:num>
  <w:num w:numId="27">
    <w:abstractNumId w:val="24"/>
  </w:num>
  <w:num w:numId="28">
    <w:abstractNumId w:val="19"/>
  </w:num>
  <w:num w:numId="29">
    <w:abstractNumId w:val="3"/>
  </w:num>
  <w:num w:numId="30">
    <w:abstractNumId w:val="18"/>
  </w:num>
  <w:num w:numId="31">
    <w:abstractNumId w:val="17"/>
  </w:num>
  <w:num w:numId="32">
    <w:abstractNumId w:val="16"/>
  </w:num>
  <w:num w:numId="33">
    <w:abstractNumId w:val="0"/>
  </w:num>
  <w:num w:numId="34">
    <w:abstractNumId w:val="32"/>
  </w:num>
  <w:num w:numId="35">
    <w:abstractNumId w:val="37"/>
  </w:num>
  <w:num w:numId="36">
    <w:abstractNumId w:val="12"/>
  </w:num>
  <w:num w:numId="37">
    <w:abstractNumId w:val="15"/>
  </w:num>
  <w:num w:numId="38">
    <w:abstractNumId w:val="20"/>
  </w:num>
  <w:num w:numId="39">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20"/>
  </w:num>
  <w:num w:numId="41">
    <w:abstractNumId w:val="21"/>
  </w:num>
  <w:num w:numId="42">
    <w:abstractNumId w:val="26"/>
  </w:num>
  <w:num w:numId="4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defaultTabStop w:val="720"/>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0E7"/>
    <w:rsid w:val="00007DF9"/>
    <w:rsid w:val="00010243"/>
    <w:rsid w:val="000114A6"/>
    <w:rsid w:val="000118BB"/>
    <w:rsid w:val="00011DF6"/>
    <w:rsid w:val="00012C74"/>
    <w:rsid w:val="00012CB9"/>
    <w:rsid w:val="00012D44"/>
    <w:rsid w:val="00014FFC"/>
    <w:rsid w:val="00015510"/>
    <w:rsid w:val="00016219"/>
    <w:rsid w:val="00016690"/>
    <w:rsid w:val="00017136"/>
    <w:rsid w:val="000173B6"/>
    <w:rsid w:val="00017611"/>
    <w:rsid w:val="00017E5D"/>
    <w:rsid w:val="000209F7"/>
    <w:rsid w:val="00020AFB"/>
    <w:rsid w:val="00020BD0"/>
    <w:rsid w:val="000217C4"/>
    <w:rsid w:val="000223BC"/>
    <w:rsid w:val="000226E5"/>
    <w:rsid w:val="000236C9"/>
    <w:rsid w:val="000241F5"/>
    <w:rsid w:val="00024813"/>
    <w:rsid w:val="00024D0A"/>
    <w:rsid w:val="00025954"/>
    <w:rsid w:val="00025D05"/>
    <w:rsid w:val="00026219"/>
    <w:rsid w:val="000268D5"/>
    <w:rsid w:val="00026F4B"/>
    <w:rsid w:val="00027364"/>
    <w:rsid w:val="000274FF"/>
    <w:rsid w:val="00027A9C"/>
    <w:rsid w:val="00030505"/>
    <w:rsid w:val="000305FA"/>
    <w:rsid w:val="0003061C"/>
    <w:rsid w:val="00031029"/>
    <w:rsid w:val="00031D99"/>
    <w:rsid w:val="000323DA"/>
    <w:rsid w:val="00032B9B"/>
    <w:rsid w:val="00032EE7"/>
    <w:rsid w:val="0003356E"/>
    <w:rsid w:val="00034CEB"/>
    <w:rsid w:val="00035EF5"/>
    <w:rsid w:val="00036A66"/>
    <w:rsid w:val="00036C71"/>
    <w:rsid w:val="00036E07"/>
    <w:rsid w:val="00037964"/>
    <w:rsid w:val="000379B4"/>
    <w:rsid w:val="00037AE2"/>
    <w:rsid w:val="00037F36"/>
    <w:rsid w:val="0004052C"/>
    <w:rsid w:val="000405BF"/>
    <w:rsid w:val="0004136D"/>
    <w:rsid w:val="00041918"/>
    <w:rsid w:val="00041CB2"/>
    <w:rsid w:val="000428F2"/>
    <w:rsid w:val="00042CF7"/>
    <w:rsid w:val="00043203"/>
    <w:rsid w:val="00043341"/>
    <w:rsid w:val="0004341B"/>
    <w:rsid w:val="000437A3"/>
    <w:rsid w:val="00044424"/>
    <w:rsid w:val="000444E9"/>
    <w:rsid w:val="000451B4"/>
    <w:rsid w:val="0004539E"/>
    <w:rsid w:val="00045614"/>
    <w:rsid w:val="00046E11"/>
    <w:rsid w:val="000502DB"/>
    <w:rsid w:val="00050309"/>
    <w:rsid w:val="00050443"/>
    <w:rsid w:val="00050BDF"/>
    <w:rsid w:val="00050FD6"/>
    <w:rsid w:val="00052381"/>
    <w:rsid w:val="00052A24"/>
    <w:rsid w:val="00052A3D"/>
    <w:rsid w:val="00053020"/>
    <w:rsid w:val="00053970"/>
    <w:rsid w:val="000540D6"/>
    <w:rsid w:val="000548E4"/>
    <w:rsid w:val="000549D1"/>
    <w:rsid w:val="00055BA8"/>
    <w:rsid w:val="00055BC4"/>
    <w:rsid w:val="00055F73"/>
    <w:rsid w:val="0005650D"/>
    <w:rsid w:val="00056EB6"/>
    <w:rsid w:val="00060D28"/>
    <w:rsid w:val="00060E93"/>
    <w:rsid w:val="00061187"/>
    <w:rsid w:val="00061729"/>
    <w:rsid w:val="00061DCB"/>
    <w:rsid w:val="00061E47"/>
    <w:rsid w:val="000621F9"/>
    <w:rsid w:val="00062673"/>
    <w:rsid w:val="000626E9"/>
    <w:rsid w:val="00062D90"/>
    <w:rsid w:val="00062DC0"/>
    <w:rsid w:val="0006315A"/>
    <w:rsid w:val="00064622"/>
    <w:rsid w:val="00064EEB"/>
    <w:rsid w:val="0006530B"/>
    <w:rsid w:val="00065DA4"/>
    <w:rsid w:val="00066049"/>
    <w:rsid w:val="00067DC2"/>
    <w:rsid w:val="00070FB9"/>
    <w:rsid w:val="00070FD3"/>
    <w:rsid w:val="0007110A"/>
    <w:rsid w:val="0007164D"/>
    <w:rsid w:val="000723CA"/>
    <w:rsid w:val="00072616"/>
    <w:rsid w:val="00072B13"/>
    <w:rsid w:val="0007310C"/>
    <w:rsid w:val="0007329E"/>
    <w:rsid w:val="00074977"/>
    <w:rsid w:val="00075BE7"/>
    <w:rsid w:val="00075D55"/>
    <w:rsid w:val="00076717"/>
    <w:rsid w:val="00077283"/>
    <w:rsid w:val="00077F72"/>
    <w:rsid w:val="00080C63"/>
    <w:rsid w:val="00082051"/>
    <w:rsid w:val="00082367"/>
    <w:rsid w:val="0008291F"/>
    <w:rsid w:val="00082A3E"/>
    <w:rsid w:val="00082DAC"/>
    <w:rsid w:val="0008306F"/>
    <w:rsid w:val="00083596"/>
    <w:rsid w:val="000836F6"/>
    <w:rsid w:val="000849BF"/>
    <w:rsid w:val="00084C7A"/>
    <w:rsid w:val="00084F95"/>
    <w:rsid w:val="00085179"/>
    <w:rsid w:val="00085AB1"/>
    <w:rsid w:val="00085B09"/>
    <w:rsid w:val="00087665"/>
    <w:rsid w:val="000917B1"/>
    <w:rsid w:val="00092C3A"/>
    <w:rsid w:val="000935B0"/>
    <w:rsid w:val="00093C26"/>
    <w:rsid w:val="00093E05"/>
    <w:rsid w:val="00093EE2"/>
    <w:rsid w:val="00094AD1"/>
    <w:rsid w:val="00094AF3"/>
    <w:rsid w:val="00095787"/>
    <w:rsid w:val="00095F54"/>
    <w:rsid w:val="0009611E"/>
    <w:rsid w:val="000962A2"/>
    <w:rsid w:val="000964A6"/>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498"/>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13"/>
    <w:rsid w:val="000B54B2"/>
    <w:rsid w:val="000B5F64"/>
    <w:rsid w:val="000B6EB5"/>
    <w:rsid w:val="000B7134"/>
    <w:rsid w:val="000B7AA7"/>
    <w:rsid w:val="000C1FE0"/>
    <w:rsid w:val="000C2329"/>
    <w:rsid w:val="000C2460"/>
    <w:rsid w:val="000C2A3C"/>
    <w:rsid w:val="000C2B91"/>
    <w:rsid w:val="000C33DA"/>
    <w:rsid w:val="000C3B55"/>
    <w:rsid w:val="000C5154"/>
    <w:rsid w:val="000C5AF4"/>
    <w:rsid w:val="000C60C7"/>
    <w:rsid w:val="000C62FE"/>
    <w:rsid w:val="000C6D33"/>
    <w:rsid w:val="000C6E0B"/>
    <w:rsid w:val="000C7715"/>
    <w:rsid w:val="000D02E1"/>
    <w:rsid w:val="000D0ADB"/>
    <w:rsid w:val="000D0BCE"/>
    <w:rsid w:val="000D11F7"/>
    <w:rsid w:val="000D1B54"/>
    <w:rsid w:val="000D2900"/>
    <w:rsid w:val="000D293C"/>
    <w:rsid w:val="000D35B5"/>
    <w:rsid w:val="000D3732"/>
    <w:rsid w:val="000D3914"/>
    <w:rsid w:val="000D4820"/>
    <w:rsid w:val="000D5752"/>
    <w:rsid w:val="000D57C1"/>
    <w:rsid w:val="000D5E62"/>
    <w:rsid w:val="000D640B"/>
    <w:rsid w:val="000D6597"/>
    <w:rsid w:val="000D6730"/>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1065"/>
    <w:rsid w:val="000F1448"/>
    <w:rsid w:val="000F1863"/>
    <w:rsid w:val="000F1883"/>
    <w:rsid w:val="000F23AE"/>
    <w:rsid w:val="000F2CB7"/>
    <w:rsid w:val="000F37EC"/>
    <w:rsid w:val="000F3EA7"/>
    <w:rsid w:val="000F3FA4"/>
    <w:rsid w:val="000F42A0"/>
    <w:rsid w:val="000F491B"/>
    <w:rsid w:val="000F52A2"/>
    <w:rsid w:val="001000C4"/>
    <w:rsid w:val="00101F19"/>
    <w:rsid w:val="00102970"/>
    <w:rsid w:val="00103439"/>
    <w:rsid w:val="00103DDF"/>
    <w:rsid w:val="00104359"/>
    <w:rsid w:val="001048A8"/>
    <w:rsid w:val="00104AF1"/>
    <w:rsid w:val="0010579B"/>
    <w:rsid w:val="00105AD5"/>
    <w:rsid w:val="00105FB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8C2"/>
    <w:rsid w:val="001173BD"/>
    <w:rsid w:val="001211B9"/>
    <w:rsid w:val="001221AC"/>
    <w:rsid w:val="00122856"/>
    <w:rsid w:val="00122A23"/>
    <w:rsid w:val="00123073"/>
    <w:rsid w:val="00123D6F"/>
    <w:rsid w:val="00124D06"/>
    <w:rsid w:val="00125FF4"/>
    <w:rsid w:val="00130C06"/>
    <w:rsid w:val="001311B9"/>
    <w:rsid w:val="00131C9C"/>
    <w:rsid w:val="00131E4E"/>
    <w:rsid w:val="00131FD7"/>
    <w:rsid w:val="00132218"/>
    <w:rsid w:val="00133007"/>
    <w:rsid w:val="00133362"/>
    <w:rsid w:val="00133AF4"/>
    <w:rsid w:val="00134043"/>
    <w:rsid w:val="001340F9"/>
    <w:rsid w:val="001340FA"/>
    <w:rsid w:val="0013460E"/>
    <w:rsid w:val="00134890"/>
    <w:rsid w:val="0013533A"/>
    <w:rsid w:val="001354C0"/>
    <w:rsid w:val="00135D7E"/>
    <w:rsid w:val="001367DE"/>
    <w:rsid w:val="00136BFC"/>
    <w:rsid w:val="00136CF7"/>
    <w:rsid w:val="00137395"/>
    <w:rsid w:val="001400F7"/>
    <w:rsid w:val="00141FE8"/>
    <w:rsid w:val="0014294F"/>
    <w:rsid w:val="00144523"/>
    <w:rsid w:val="00144863"/>
    <w:rsid w:val="00145522"/>
    <w:rsid w:val="00145E67"/>
    <w:rsid w:val="00146362"/>
    <w:rsid w:val="00146A4F"/>
    <w:rsid w:val="00147325"/>
    <w:rsid w:val="00147703"/>
    <w:rsid w:val="0014791A"/>
    <w:rsid w:val="001479A2"/>
    <w:rsid w:val="00151C3A"/>
    <w:rsid w:val="00152C36"/>
    <w:rsid w:val="00154A87"/>
    <w:rsid w:val="00155946"/>
    <w:rsid w:val="00155C82"/>
    <w:rsid w:val="00155D89"/>
    <w:rsid w:val="00156676"/>
    <w:rsid w:val="00157054"/>
    <w:rsid w:val="00157078"/>
    <w:rsid w:val="00157320"/>
    <w:rsid w:val="0016015E"/>
    <w:rsid w:val="00160CFA"/>
    <w:rsid w:val="00161A77"/>
    <w:rsid w:val="00162539"/>
    <w:rsid w:val="00163A4A"/>
    <w:rsid w:val="0016466E"/>
    <w:rsid w:val="00166488"/>
    <w:rsid w:val="00166E6A"/>
    <w:rsid w:val="00166E74"/>
    <w:rsid w:val="001677B9"/>
    <w:rsid w:val="00167DE0"/>
    <w:rsid w:val="0017031A"/>
    <w:rsid w:val="00171EF0"/>
    <w:rsid w:val="00172470"/>
    <w:rsid w:val="001724DF"/>
    <w:rsid w:val="00172950"/>
    <w:rsid w:val="00172ACE"/>
    <w:rsid w:val="00173350"/>
    <w:rsid w:val="001741D9"/>
    <w:rsid w:val="00174992"/>
    <w:rsid w:val="00174A68"/>
    <w:rsid w:val="00174A9E"/>
    <w:rsid w:val="00174BA7"/>
    <w:rsid w:val="0017524C"/>
    <w:rsid w:val="00175555"/>
    <w:rsid w:val="001758EE"/>
    <w:rsid w:val="001762E1"/>
    <w:rsid w:val="0017633B"/>
    <w:rsid w:val="00176537"/>
    <w:rsid w:val="00176A40"/>
    <w:rsid w:val="00176E66"/>
    <w:rsid w:val="00176FFE"/>
    <w:rsid w:val="00177302"/>
    <w:rsid w:val="00177653"/>
    <w:rsid w:val="00177828"/>
    <w:rsid w:val="001778AF"/>
    <w:rsid w:val="00180923"/>
    <w:rsid w:val="00180E64"/>
    <w:rsid w:val="0018198C"/>
    <w:rsid w:val="00182074"/>
    <w:rsid w:val="001820FC"/>
    <w:rsid w:val="0018284A"/>
    <w:rsid w:val="001829EF"/>
    <w:rsid w:val="00182A0F"/>
    <w:rsid w:val="00183372"/>
    <w:rsid w:val="00183C30"/>
    <w:rsid w:val="00184A79"/>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9702E"/>
    <w:rsid w:val="001A11F0"/>
    <w:rsid w:val="001A12D0"/>
    <w:rsid w:val="001A135A"/>
    <w:rsid w:val="001A14A8"/>
    <w:rsid w:val="001A1ABB"/>
    <w:rsid w:val="001A1D55"/>
    <w:rsid w:val="001A1D63"/>
    <w:rsid w:val="001A2E7A"/>
    <w:rsid w:val="001A2FB3"/>
    <w:rsid w:val="001A3199"/>
    <w:rsid w:val="001A3271"/>
    <w:rsid w:val="001A3CEF"/>
    <w:rsid w:val="001A4917"/>
    <w:rsid w:val="001A4B54"/>
    <w:rsid w:val="001A4F0D"/>
    <w:rsid w:val="001A59B4"/>
    <w:rsid w:val="001A5ADA"/>
    <w:rsid w:val="001A5B13"/>
    <w:rsid w:val="001A5F1A"/>
    <w:rsid w:val="001A6323"/>
    <w:rsid w:val="001A69CE"/>
    <w:rsid w:val="001A70B2"/>
    <w:rsid w:val="001A776C"/>
    <w:rsid w:val="001A77C4"/>
    <w:rsid w:val="001B017E"/>
    <w:rsid w:val="001B0762"/>
    <w:rsid w:val="001B0E11"/>
    <w:rsid w:val="001B1033"/>
    <w:rsid w:val="001B122D"/>
    <w:rsid w:val="001B279A"/>
    <w:rsid w:val="001B2C4F"/>
    <w:rsid w:val="001B36A9"/>
    <w:rsid w:val="001B4646"/>
    <w:rsid w:val="001B473A"/>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4C20"/>
    <w:rsid w:val="001C563A"/>
    <w:rsid w:val="001C6CDB"/>
    <w:rsid w:val="001C6DAB"/>
    <w:rsid w:val="001C7119"/>
    <w:rsid w:val="001C73B2"/>
    <w:rsid w:val="001C748B"/>
    <w:rsid w:val="001C7F41"/>
    <w:rsid w:val="001D0C07"/>
    <w:rsid w:val="001D111F"/>
    <w:rsid w:val="001D1390"/>
    <w:rsid w:val="001D1A63"/>
    <w:rsid w:val="001D1C35"/>
    <w:rsid w:val="001D3224"/>
    <w:rsid w:val="001D362C"/>
    <w:rsid w:val="001D419F"/>
    <w:rsid w:val="001D48F5"/>
    <w:rsid w:val="001D4D1B"/>
    <w:rsid w:val="001D5C68"/>
    <w:rsid w:val="001D66FE"/>
    <w:rsid w:val="001D6E1F"/>
    <w:rsid w:val="001D7161"/>
    <w:rsid w:val="001D74F4"/>
    <w:rsid w:val="001D7A67"/>
    <w:rsid w:val="001E0BDF"/>
    <w:rsid w:val="001E1456"/>
    <w:rsid w:val="001E1A6F"/>
    <w:rsid w:val="001E1B51"/>
    <w:rsid w:val="001E1C6F"/>
    <w:rsid w:val="001E1EAD"/>
    <w:rsid w:val="001E2290"/>
    <w:rsid w:val="001E2495"/>
    <w:rsid w:val="001E26A1"/>
    <w:rsid w:val="001E272A"/>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1595"/>
    <w:rsid w:val="001F2F4D"/>
    <w:rsid w:val="001F31CE"/>
    <w:rsid w:val="001F3F32"/>
    <w:rsid w:val="001F53FE"/>
    <w:rsid w:val="001F5641"/>
    <w:rsid w:val="001F6715"/>
    <w:rsid w:val="001F6815"/>
    <w:rsid w:val="001F6B1A"/>
    <w:rsid w:val="001F6D90"/>
    <w:rsid w:val="001F72DF"/>
    <w:rsid w:val="002021CE"/>
    <w:rsid w:val="00202352"/>
    <w:rsid w:val="0020244E"/>
    <w:rsid w:val="00202D71"/>
    <w:rsid w:val="00203112"/>
    <w:rsid w:val="002034DF"/>
    <w:rsid w:val="002038E5"/>
    <w:rsid w:val="00203D4C"/>
    <w:rsid w:val="0020546A"/>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6CA7"/>
    <w:rsid w:val="00217B96"/>
    <w:rsid w:val="00217F16"/>
    <w:rsid w:val="00220597"/>
    <w:rsid w:val="00221032"/>
    <w:rsid w:val="00221768"/>
    <w:rsid w:val="002220E6"/>
    <w:rsid w:val="002225FB"/>
    <w:rsid w:val="002255DE"/>
    <w:rsid w:val="00225C4C"/>
    <w:rsid w:val="00227FDC"/>
    <w:rsid w:val="002307E1"/>
    <w:rsid w:val="002317C4"/>
    <w:rsid w:val="00232638"/>
    <w:rsid w:val="00233F03"/>
    <w:rsid w:val="00234301"/>
    <w:rsid w:val="002346F4"/>
    <w:rsid w:val="002360E8"/>
    <w:rsid w:val="00236134"/>
    <w:rsid w:val="0023698E"/>
    <w:rsid w:val="002373FE"/>
    <w:rsid w:val="00237628"/>
    <w:rsid w:val="00237ACA"/>
    <w:rsid w:val="002405B7"/>
    <w:rsid w:val="002410E9"/>
    <w:rsid w:val="0024130E"/>
    <w:rsid w:val="00241A02"/>
    <w:rsid w:val="00241A61"/>
    <w:rsid w:val="0024227E"/>
    <w:rsid w:val="002427DC"/>
    <w:rsid w:val="00242DCE"/>
    <w:rsid w:val="002430BF"/>
    <w:rsid w:val="00243B3D"/>
    <w:rsid w:val="00243BC3"/>
    <w:rsid w:val="002442C0"/>
    <w:rsid w:val="00244D35"/>
    <w:rsid w:val="00245228"/>
    <w:rsid w:val="002453AB"/>
    <w:rsid w:val="002459FF"/>
    <w:rsid w:val="00247151"/>
    <w:rsid w:val="0024783E"/>
    <w:rsid w:val="002510C4"/>
    <w:rsid w:val="002514A4"/>
    <w:rsid w:val="0025195A"/>
    <w:rsid w:val="00252B0D"/>
    <w:rsid w:val="00252B4B"/>
    <w:rsid w:val="00252F4A"/>
    <w:rsid w:val="002539B4"/>
    <w:rsid w:val="00253B0E"/>
    <w:rsid w:val="00253D00"/>
    <w:rsid w:val="00254139"/>
    <w:rsid w:val="00254250"/>
    <w:rsid w:val="00254F43"/>
    <w:rsid w:val="0025530F"/>
    <w:rsid w:val="0025583D"/>
    <w:rsid w:val="002559BC"/>
    <w:rsid w:val="00256C00"/>
    <w:rsid w:val="002573BB"/>
    <w:rsid w:val="002575F9"/>
    <w:rsid w:val="00257D05"/>
    <w:rsid w:val="002610DA"/>
    <w:rsid w:val="00263054"/>
    <w:rsid w:val="002632A8"/>
    <w:rsid w:val="0026427D"/>
    <w:rsid w:val="00265A16"/>
    <w:rsid w:val="00265C8C"/>
    <w:rsid w:val="00265D94"/>
    <w:rsid w:val="0026624E"/>
    <w:rsid w:val="0026654E"/>
    <w:rsid w:val="00266F53"/>
    <w:rsid w:val="00266FCD"/>
    <w:rsid w:val="00267075"/>
    <w:rsid w:val="002673F1"/>
    <w:rsid w:val="00267A7C"/>
    <w:rsid w:val="00267F81"/>
    <w:rsid w:val="002707FB"/>
    <w:rsid w:val="00270D5B"/>
    <w:rsid w:val="00270DB3"/>
    <w:rsid w:val="00270F41"/>
    <w:rsid w:val="0027154E"/>
    <w:rsid w:val="00272E52"/>
    <w:rsid w:val="00274345"/>
    <w:rsid w:val="00274435"/>
    <w:rsid w:val="00274BF1"/>
    <w:rsid w:val="00274D94"/>
    <w:rsid w:val="00275443"/>
    <w:rsid w:val="00275B02"/>
    <w:rsid w:val="00276C15"/>
    <w:rsid w:val="0027799D"/>
    <w:rsid w:val="002800CE"/>
    <w:rsid w:val="00281C57"/>
    <w:rsid w:val="00281EAE"/>
    <w:rsid w:val="00282802"/>
    <w:rsid w:val="00282AF7"/>
    <w:rsid w:val="00282E8D"/>
    <w:rsid w:val="00282FC3"/>
    <w:rsid w:val="002839F9"/>
    <w:rsid w:val="00284284"/>
    <w:rsid w:val="0028530A"/>
    <w:rsid w:val="0028700A"/>
    <w:rsid w:val="00287015"/>
    <w:rsid w:val="00291511"/>
    <w:rsid w:val="002915A2"/>
    <w:rsid w:val="00291FBF"/>
    <w:rsid w:val="00293442"/>
    <w:rsid w:val="002936F2"/>
    <w:rsid w:val="00293BBB"/>
    <w:rsid w:val="00294B3F"/>
    <w:rsid w:val="00294F19"/>
    <w:rsid w:val="00294FBA"/>
    <w:rsid w:val="0029559A"/>
    <w:rsid w:val="002974F9"/>
    <w:rsid w:val="00297FF0"/>
    <w:rsid w:val="002A0F8F"/>
    <w:rsid w:val="002A176E"/>
    <w:rsid w:val="002A2651"/>
    <w:rsid w:val="002A2CB1"/>
    <w:rsid w:val="002A35ED"/>
    <w:rsid w:val="002A365B"/>
    <w:rsid w:val="002A3BC9"/>
    <w:rsid w:val="002A5571"/>
    <w:rsid w:val="002A7392"/>
    <w:rsid w:val="002A7EDE"/>
    <w:rsid w:val="002B005C"/>
    <w:rsid w:val="002B0922"/>
    <w:rsid w:val="002B0D32"/>
    <w:rsid w:val="002B11A6"/>
    <w:rsid w:val="002B1C45"/>
    <w:rsid w:val="002B1F96"/>
    <w:rsid w:val="002B1FF0"/>
    <w:rsid w:val="002B2301"/>
    <w:rsid w:val="002B264E"/>
    <w:rsid w:val="002B3900"/>
    <w:rsid w:val="002B43E7"/>
    <w:rsid w:val="002B4444"/>
    <w:rsid w:val="002B4900"/>
    <w:rsid w:val="002B4B18"/>
    <w:rsid w:val="002B4DD0"/>
    <w:rsid w:val="002B4F1E"/>
    <w:rsid w:val="002B531A"/>
    <w:rsid w:val="002B78E2"/>
    <w:rsid w:val="002C0748"/>
    <w:rsid w:val="002C1072"/>
    <w:rsid w:val="002C1B59"/>
    <w:rsid w:val="002C20B7"/>
    <w:rsid w:val="002C2383"/>
    <w:rsid w:val="002C2877"/>
    <w:rsid w:val="002C2AD3"/>
    <w:rsid w:val="002C3293"/>
    <w:rsid w:val="002C34DF"/>
    <w:rsid w:val="002C411F"/>
    <w:rsid w:val="002C4233"/>
    <w:rsid w:val="002C534F"/>
    <w:rsid w:val="002C56CD"/>
    <w:rsid w:val="002C5EC0"/>
    <w:rsid w:val="002C7B17"/>
    <w:rsid w:val="002D0977"/>
    <w:rsid w:val="002D130F"/>
    <w:rsid w:val="002D241B"/>
    <w:rsid w:val="002D4100"/>
    <w:rsid w:val="002D45E6"/>
    <w:rsid w:val="002D506A"/>
    <w:rsid w:val="002D5218"/>
    <w:rsid w:val="002D5314"/>
    <w:rsid w:val="002D5F8B"/>
    <w:rsid w:val="002D6705"/>
    <w:rsid w:val="002D6EA1"/>
    <w:rsid w:val="002D76F1"/>
    <w:rsid w:val="002D7E6C"/>
    <w:rsid w:val="002E06CD"/>
    <w:rsid w:val="002E1499"/>
    <w:rsid w:val="002E1A6F"/>
    <w:rsid w:val="002E26BB"/>
    <w:rsid w:val="002E28D2"/>
    <w:rsid w:val="002E48C1"/>
    <w:rsid w:val="002E4B31"/>
    <w:rsid w:val="002E4C10"/>
    <w:rsid w:val="002E4CAE"/>
    <w:rsid w:val="002E5681"/>
    <w:rsid w:val="002E56EA"/>
    <w:rsid w:val="002E5DBC"/>
    <w:rsid w:val="002E5DC9"/>
    <w:rsid w:val="002E6006"/>
    <w:rsid w:val="002E61B8"/>
    <w:rsid w:val="002E61C7"/>
    <w:rsid w:val="002E624A"/>
    <w:rsid w:val="002E725A"/>
    <w:rsid w:val="002E7359"/>
    <w:rsid w:val="002E7F60"/>
    <w:rsid w:val="002F0593"/>
    <w:rsid w:val="002F0877"/>
    <w:rsid w:val="002F0D29"/>
    <w:rsid w:val="002F0DB1"/>
    <w:rsid w:val="002F1FB2"/>
    <w:rsid w:val="002F2A39"/>
    <w:rsid w:val="002F2D93"/>
    <w:rsid w:val="002F35FC"/>
    <w:rsid w:val="002F3C3D"/>
    <w:rsid w:val="002F3E1A"/>
    <w:rsid w:val="002F3F7A"/>
    <w:rsid w:val="002F4AEB"/>
    <w:rsid w:val="002F5B33"/>
    <w:rsid w:val="002F67C9"/>
    <w:rsid w:val="002F6EFE"/>
    <w:rsid w:val="002F74CD"/>
    <w:rsid w:val="0030006B"/>
    <w:rsid w:val="0030125B"/>
    <w:rsid w:val="00301A16"/>
    <w:rsid w:val="0030226A"/>
    <w:rsid w:val="0030240E"/>
    <w:rsid w:val="00302A8F"/>
    <w:rsid w:val="00302CAB"/>
    <w:rsid w:val="0030381B"/>
    <w:rsid w:val="00304A1C"/>
    <w:rsid w:val="00305C2C"/>
    <w:rsid w:val="00306808"/>
    <w:rsid w:val="00306B69"/>
    <w:rsid w:val="00306F20"/>
    <w:rsid w:val="00307133"/>
    <w:rsid w:val="00307270"/>
    <w:rsid w:val="00307571"/>
    <w:rsid w:val="0030762D"/>
    <w:rsid w:val="00307D96"/>
    <w:rsid w:val="0031066F"/>
    <w:rsid w:val="003112C1"/>
    <w:rsid w:val="003118C6"/>
    <w:rsid w:val="00311D09"/>
    <w:rsid w:val="00312786"/>
    <w:rsid w:val="0031438E"/>
    <w:rsid w:val="00314EDE"/>
    <w:rsid w:val="00315045"/>
    <w:rsid w:val="00315D4B"/>
    <w:rsid w:val="00315D87"/>
    <w:rsid w:val="00316F2F"/>
    <w:rsid w:val="003176C8"/>
    <w:rsid w:val="00317D90"/>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6A6"/>
    <w:rsid w:val="003279E0"/>
    <w:rsid w:val="00327E9A"/>
    <w:rsid w:val="00330FB9"/>
    <w:rsid w:val="00331C96"/>
    <w:rsid w:val="00331DA7"/>
    <w:rsid w:val="00332724"/>
    <w:rsid w:val="00333731"/>
    <w:rsid w:val="0033409E"/>
    <w:rsid w:val="00334196"/>
    <w:rsid w:val="0033422E"/>
    <w:rsid w:val="00334C56"/>
    <w:rsid w:val="00334D0B"/>
    <w:rsid w:val="00335A0A"/>
    <w:rsid w:val="00335AFF"/>
    <w:rsid w:val="0033726B"/>
    <w:rsid w:val="00337A28"/>
    <w:rsid w:val="0034049B"/>
    <w:rsid w:val="0034133B"/>
    <w:rsid w:val="00341976"/>
    <w:rsid w:val="0034206A"/>
    <w:rsid w:val="003426AD"/>
    <w:rsid w:val="003426B7"/>
    <w:rsid w:val="00342CA2"/>
    <w:rsid w:val="00343548"/>
    <w:rsid w:val="0034493F"/>
    <w:rsid w:val="00345585"/>
    <w:rsid w:val="0034564C"/>
    <w:rsid w:val="00345A3F"/>
    <w:rsid w:val="00346189"/>
    <w:rsid w:val="00346199"/>
    <w:rsid w:val="003463FF"/>
    <w:rsid w:val="00347462"/>
    <w:rsid w:val="00347E7B"/>
    <w:rsid w:val="0035011E"/>
    <w:rsid w:val="0035026F"/>
    <w:rsid w:val="00350579"/>
    <w:rsid w:val="00350A2C"/>
    <w:rsid w:val="00350D94"/>
    <w:rsid w:val="00350DF7"/>
    <w:rsid w:val="003518AA"/>
    <w:rsid w:val="00352766"/>
    <w:rsid w:val="00352EC3"/>
    <w:rsid w:val="00354382"/>
    <w:rsid w:val="00354A02"/>
    <w:rsid w:val="00354A16"/>
    <w:rsid w:val="00355C60"/>
    <w:rsid w:val="003570EA"/>
    <w:rsid w:val="00357662"/>
    <w:rsid w:val="00357DEF"/>
    <w:rsid w:val="003605AC"/>
    <w:rsid w:val="00360A88"/>
    <w:rsid w:val="00360F30"/>
    <w:rsid w:val="0036198B"/>
    <w:rsid w:val="00361EB4"/>
    <w:rsid w:val="003620B0"/>
    <w:rsid w:val="003625AD"/>
    <w:rsid w:val="00363243"/>
    <w:rsid w:val="003639EE"/>
    <w:rsid w:val="003645D7"/>
    <w:rsid w:val="00364AD1"/>
    <w:rsid w:val="00364AE8"/>
    <w:rsid w:val="003661C2"/>
    <w:rsid w:val="003662F7"/>
    <w:rsid w:val="00366557"/>
    <w:rsid w:val="00366B0D"/>
    <w:rsid w:val="003670FC"/>
    <w:rsid w:val="003679D2"/>
    <w:rsid w:val="00367C0D"/>
    <w:rsid w:val="00367FBF"/>
    <w:rsid w:val="003700A6"/>
    <w:rsid w:val="003708B8"/>
    <w:rsid w:val="00370E65"/>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19B4"/>
    <w:rsid w:val="00382EBD"/>
    <w:rsid w:val="00383793"/>
    <w:rsid w:val="00383CF4"/>
    <w:rsid w:val="0038414B"/>
    <w:rsid w:val="003847EC"/>
    <w:rsid w:val="003854FB"/>
    <w:rsid w:val="00385EF6"/>
    <w:rsid w:val="003864E9"/>
    <w:rsid w:val="003875A7"/>
    <w:rsid w:val="00387766"/>
    <w:rsid w:val="003879FC"/>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0F5"/>
    <w:rsid w:val="003A16BB"/>
    <w:rsid w:val="003A1787"/>
    <w:rsid w:val="003A1946"/>
    <w:rsid w:val="003A2247"/>
    <w:rsid w:val="003A2329"/>
    <w:rsid w:val="003A2761"/>
    <w:rsid w:val="003A279B"/>
    <w:rsid w:val="003A3516"/>
    <w:rsid w:val="003A36F3"/>
    <w:rsid w:val="003A4805"/>
    <w:rsid w:val="003A4C51"/>
    <w:rsid w:val="003A578D"/>
    <w:rsid w:val="003A5A2D"/>
    <w:rsid w:val="003A61F1"/>
    <w:rsid w:val="003A73FB"/>
    <w:rsid w:val="003A760B"/>
    <w:rsid w:val="003A7EF1"/>
    <w:rsid w:val="003B0522"/>
    <w:rsid w:val="003B1DD2"/>
    <w:rsid w:val="003B251D"/>
    <w:rsid w:val="003B28D2"/>
    <w:rsid w:val="003B28DF"/>
    <w:rsid w:val="003B2D12"/>
    <w:rsid w:val="003B33F4"/>
    <w:rsid w:val="003B3DFB"/>
    <w:rsid w:val="003B40F9"/>
    <w:rsid w:val="003B558E"/>
    <w:rsid w:val="003B66DE"/>
    <w:rsid w:val="003B670B"/>
    <w:rsid w:val="003B6D7E"/>
    <w:rsid w:val="003B6E5D"/>
    <w:rsid w:val="003B780E"/>
    <w:rsid w:val="003B7A7E"/>
    <w:rsid w:val="003B7F76"/>
    <w:rsid w:val="003C06C4"/>
    <w:rsid w:val="003C1231"/>
    <w:rsid w:val="003C1913"/>
    <w:rsid w:val="003C1F37"/>
    <w:rsid w:val="003C2514"/>
    <w:rsid w:val="003C26D0"/>
    <w:rsid w:val="003C3251"/>
    <w:rsid w:val="003C474E"/>
    <w:rsid w:val="003C4DF6"/>
    <w:rsid w:val="003C5618"/>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B34"/>
    <w:rsid w:val="003E1CF8"/>
    <w:rsid w:val="003E2003"/>
    <w:rsid w:val="003E23A6"/>
    <w:rsid w:val="003E253F"/>
    <w:rsid w:val="003E331E"/>
    <w:rsid w:val="003E371F"/>
    <w:rsid w:val="003E42FA"/>
    <w:rsid w:val="003E4BB5"/>
    <w:rsid w:val="003E4EAB"/>
    <w:rsid w:val="003E4FAE"/>
    <w:rsid w:val="003E5BCD"/>
    <w:rsid w:val="003E6A13"/>
    <w:rsid w:val="003E6C4C"/>
    <w:rsid w:val="003E78E4"/>
    <w:rsid w:val="003E7942"/>
    <w:rsid w:val="003E7B14"/>
    <w:rsid w:val="003E7BB4"/>
    <w:rsid w:val="003E7C11"/>
    <w:rsid w:val="003F0270"/>
    <w:rsid w:val="003F0ECD"/>
    <w:rsid w:val="003F18BE"/>
    <w:rsid w:val="003F1E18"/>
    <w:rsid w:val="003F216A"/>
    <w:rsid w:val="003F2E7A"/>
    <w:rsid w:val="003F39D8"/>
    <w:rsid w:val="003F4078"/>
    <w:rsid w:val="003F5C16"/>
    <w:rsid w:val="003F5C26"/>
    <w:rsid w:val="003F7497"/>
    <w:rsid w:val="003F7B79"/>
    <w:rsid w:val="00400828"/>
    <w:rsid w:val="00400C4C"/>
    <w:rsid w:val="00401046"/>
    <w:rsid w:val="00401647"/>
    <w:rsid w:val="00401A60"/>
    <w:rsid w:val="00401CB4"/>
    <w:rsid w:val="00402881"/>
    <w:rsid w:val="00403046"/>
    <w:rsid w:val="0040312C"/>
    <w:rsid w:val="004038DD"/>
    <w:rsid w:val="004043FA"/>
    <w:rsid w:val="00404DE6"/>
    <w:rsid w:val="004058CD"/>
    <w:rsid w:val="004059E0"/>
    <w:rsid w:val="004061A6"/>
    <w:rsid w:val="0040747B"/>
    <w:rsid w:val="0040786A"/>
    <w:rsid w:val="00410B45"/>
    <w:rsid w:val="00410BA9"/>
    <w:rsid w:val="00410F2E"/>
    <w:rsid w:val="00411596"/>
    <w:rsid w:val="00411B47"/>
    <w:rsid w:val="004124BB"/>
    <w:rsid w:val="00412E9A"/>
    <w:rsid w:val="00413743"/>
    <w:rsid w:val="00413F33"/>
    <w:rsid w:val="0041410B"/>
    <w:rsid w:val="004148E2"/>
    <w:rsid w:val="00414EA2"/>
    <w:rsid w:val="00415313"/>
    <w:rsid w:val="004158D2"/>
    <w:rsid w:val="004166F1"/>
    <w:rsid w:val="00416F61"/>
    <w:rsid w:val="004172E6"/>
    <w:rsid w:val="00417632"/>
    <w:rsid w:val="00417FE1"/>
    <w:rsid w:val="00420558"/>
    <w:rsid w:val="00420B58"/>
    <w:rsid w:val="00421312"/>
    <w:rsid w:val="00421DA5"/>
    <w:rsid w:val="00422B59"/>
    <w:rsid w:val="00422DEC"/>
    <w:rsid w:val="004230A1"/>
    <w:rsid w:val="004238EE"/>
    <w:rsid w:val="004240D5"/>
    <w:rsid w:val="00424471"/>
    <w:rsid w:val="0042468B"/>
    <w:rsid w:val="0042615E"/>
    <w:rsid w:val="0042651B"/>
    <w:rsid w:val="00426669"/>
    <w:rsid w:val="00426688"/>
    <w:rsid w:val="00427E9B"/>
    <w:rsid w:val="00427FD1"/>
    <w:rsid w:val="004307B6"/>
    <w:rsid w:val="00430A36"/>
    <w:rsid w:val="004314EA"/>
    <w:rsid w:val="00431599"/>
    <w:rsid w:val="00431D96"/>
    <w:rsid w:val="00432AAB"/>
    <w:rsid w:val="00433165"/>
    <w:rsid w:val="00433F79"/>
    <w:rsid w:val="00433FED"/>
    <w:rsid w:val="00434996"/>
    <w:rsid w:val="00434A2B"/>
    <w:rsid w:val="00435B5A"/>
    <w:rsid w:val="00435F84"/>
    <w:rsid w:val="00436125"/>
    <w:rsid w:val="00436553"/>
    <w:rsid w:val="004368A7"/>
    <w:rsid w:val="00436F1E"/>
    <w:rsid w:val="004374C9"/>
    <w:rsid w:val="004403BB"/>
    <w:rsid w:val="00440464"/>
    <w:rsid w:val="00441D97"/>
    <w:rsid w:val="00443662"/>
    <w:rsid w:val="00445E1A"/>
    <w:rsid w:val="0044615C"/>
    <w:rsid w:val="004465BD"/>
    <w:rsid w:val="00446AE2"/>
    <w:rsid w:val="00446AEF"/>
    <w:rsid w:val="0044702A"/>
    <w:rsid w:val="0044773F"/>
    <w:rsid w:val="00452111"/>
    <w:rsid w:val="004529B5"/>
    <w:rsid w:val="004534F2"/>
    <w:rsid w:val="00453C0E"/>
    <w:rsid w:val="00453D5E"/>
    <w:rsid w:val="00453E99"/>
    <w:rsid w:val="00454194"/>
    <w:rsid w:val="00456099"/>
    <w:rsid w:val="00456A96"/>
    <w:rsid w:val="004575A4"/>
    <w:rsid w:val="00457DD1"/>
    <w:rsid w:val="00460480"/>
    <w:rsid w:val="00460734"/>
    <w:rsid w:val="00460793"/>
    <w:rsid w:val="0046093E"/>
    <w:rsid w:val="00460C80"/>
    <w:rsid w:val="00460CD6"/>
    <w:rsid w:val="0046101A"/>
    <w:rsid w:val="00461256"/>
    <w:rsid w:val="00461442"/>
    <w:rsid w:val="0046279E"/>
    <w:rsid w:val="00463D98"/>
    <w:rsid w:val="004649BC"/>
    <w:rsid w:val="00464E36"/>
    <w:rsid w:val="00466717"/>
    <w:rsid w:val="00466769"/>
    <w:rsid w:val="004668D5"/>
    <w:rsid w:val="00466ABF"/>
    <w:rsid w:val="004676F4"/>
    <w:rsid w:val="00467B25"/>
    <w:rsid w:val="004700D9"/>
    <w:rsid w:val="004709BB"/>
    <w:rsid w:val="00470F90"/>
    <w:rsid w:val="0047102F"/>
    <w:rsid w:val="004710C8"/>
    <w:rsid w:val="0047165B"/>
    <w:rsid w:val="004722A2"/>
    <w:rsid w:val="0047254D"/>
    <w:rsid w:val="00472F3F"/>
    <w:rsid w:val="004731BB"/>
    <w:rsid w:val="00473262"/>
    <w:rsid w:val="004735A0"/>
    <w:rsid w:val="004747CD"/>
    <w:rsid w:val="00474F8B"/>
    <w:rsid w:val="004754DE"/>
    <w:rsid w:val="0047573D"/>
    <w:rsid w:val="00475ED9"/>
    <w:rsid w:val="004768D0"/>
    <w:rsid w:val="004800FD"/>
    <w:rsid w:val="004802E1"/>
    <w:rsid w:val="00480908"/>
    <w:rsid w:val="00481F47"/>
    <w:rsid w:val="00481FA8"/>
    <w:rsid w:val="00482872"/>
    <w:rsid w:val="00482B16"/>
    <w:rsid w:val="00482C9F"/>
    <w:rsid w:val="00483E0D"/>
    <w:rsid w:val="00484480"/>
    <w:rsid w:val="00484C14"/>
    <w:rsid w:val="00485321"/>
    <w:rsid w:val="0048602F"/>
    <w:rsid w:val="00486278"/>
    <w:rsid w:val="00486DEB"/>
    <w:rsid w:val="00486E2C"/>
    <w:rsid w:val="004872CB"/>
    <w:rsid w:val="0048768E"/>
    <w:rsid w:val="00487794"/>
    <w:rsid w:val="004877BB"/>
    <w:rsid w:val="00487A96"/>
    <w:rsid w:val="00487ED7"/>
    <w:rsid w:val="0049015A"/>
    <w:rsid w:val="0049018F"/>
    <w:rsid w:val="004905C5"/>
    <w:rsid w:val="004906AE"/>
    <w:rsid w:val="004916B2"/>
    <w:rsid w:val="00491B5D"/>
    <w:rsid w:val="00491D8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438"/>
    <w:rsid w:val="004A2D1E"/>
    <w:rsid w:val="004A32FF"/>
    <w:rsid w:val="004A34F8"/>
    <w:rsid w:val="004A4F38"/>
    <w:rsid w:val="004A4F82"/>
    <w:rsid w:val="004A5FBC"/>
    <w:rsid w:val="004A63AF"/>
    <w:rsid w:val="004A6CCC"/>
    <w:rsid w:val="004A7090"/>
    <w:rsid w:val="004A7097"/>
    <w:rsid w:val="004A7274"/>
    <w:rsid w:val="004A7F5A"/>
    <w:rsid w:val="004B14CB"/>
    <w:rsid w:val="004B24D1"/>
    <w:rsid w:val="004B2D2B"/>
    <w:rsid w:val="004B2D45"/>
    <w:rsid w:val="004B3077"/>
    <w:rsid w:val="004B3705"/>
    <w:rsid w:val="004B3BC6"/>
    <w:rsid w:val="004B412D"/>
    <w:rsid w:val="004B463A"/>
    <w:rsid w:val="004B4986"/>
    <w:rsid w:val="004B4BE0"/>
    <w:rsid w:val="004B5808"/>
    <w:rsid w:val="004B5D60"/>
    <w:rsid w:val="004B6664"/>
    <w:rsid w:val="004B68A9"/>
    <w:rsid w:val="004B6B5D"/>
    <w:rsid w:val="004B7A7B"/>
    <w:rsid w:val="004B7B49"/>
    <w:rsid w:val="004C035D"/>
    <w:rsid w:val="004C041F"/>
    <w:rsid w:val="004C0C17"/>
    <w:rsid w:val="004C0EA0"/>
    <w:rsid w:val="004C1081"/>
    <w:rsid w:val="004C1A7F"/>
    <w:rsid w:val="004C1F0D"/>
    <w:rsid w:val="004C2503"/>
    <w:rsid w:val="004C3428"/>
    <w:rsid w:val="004C4026"/>
    <w:rsid w:val="004C4182"/>
    <w:rsid w:val="004C54ED"/>
    <w:rsid w:val="004C5856"/>
    <w:rsid w:val="004C6568"/>
    <w:rsid w:val="004C70CC"/>
    <w:rsid w:val="004C7A94"/>
    <w:rsid w:val="004C7FCD"/>
    <w:rsid w:val="004D059A"/>
    <w:rsid w:val="004D0AEA"/>
    <w:rsid w:val="004D142A"/>
    <w:rsid w:val="004D14CB"/>
    <w:rsid w:val="004D15F7"/>
    <w:rsid w:val="004D1896"/>
    <w:rsid w:val="004D1ED2"/>
    <w:rsid w:val="004D23B2"/>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4E4"/>
    <w:rsid w:val="004E354F"/>
    <w:rsid w:val="004E3E50"/>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0D8"/>
    <w:rsid w:val="004F573E"/>
    <w:rsid w:val="004F6053"/>
    <w:rsid w:val="0050044A"/>
    <w:rsid w:val="00500BA5"/>
    <w:rsid w:val="00500F12"/>
    <w:rsid w:val="00501CDD"/>
    <w:rsid w:val="00501D0A"/>
    <w:rsid w:val="00501E38"/>
    <w:rsid w:val="00501F3D"/>
    <w:rsid w:val="00503CCA"/>
    <w:rsid w:val="00504628"/>
    <w:rsid w:val="0050484C"/>
    <w:rsid w:val="00505162"/>
    <w:rsid w:val="005051A0"/>
    <w:rsid w:val="0050522D"/>
    <w:rsid w:val="00505482"/>
    <w:rsid w:val="005057E9"/>
    <w:rsid w:val="00506B6A"/>
    <w:rsid w:val="00506CC8"/>
    <w:rsid w:val="00506DF2"/>
    <w:rsid w:val="005070AE"/>
    <w:rsid w:val="00507444"/>
    <w:rsid w:val="005100A5"/>
    <w:rsid w:val="0051153F"/>
    <w:rsid w:val="00511CFF"/>
    <w:rsid w:val="00512A98"/>
    <w:rsid w:val="00512E37"/>
    <w:rsid w:val="005137B9"/>
    <w:rsid w:val="00515217"/>
    <w:rsid w:val="00515507"/>
    <w:rsid w:val="00515539"/>
    <w:rsid w:val="00515626"/>
    <w:rsid w:val="00515663"/>
    <w:rsid w:val="00516E4E"/>
    <w:rsid w:val="00517AE1"/>
    <w:rsid w:val="00517AEB"/>
    <w:rsid w:val="0052002F"/>
    <w:rsid w:val="0052032C"/>
    <w:rsid w:val="00520D23"/>
    <w:rsid w:val="00522364"/>
    <w:rsid w:val="005224E4"/>
    <w:rsid w:val="0052331A"/>
    <w:rsid w:val="00523344"/>
    <w:rsid w:val="0052493C"/>
    <w:rsid w:val="00525576"/>
    <w:rsid w:val="00525929"/>
    <w:rsid w:val="00525A2B"/>
    <w:rsid w:val="00525CB3"/>
    <w:rsid w:val="00525F2D"/>
    <w:rsid w:val="00526203"/>
    <w:rsid w:val="005264AB"/>
    <w:rsid w:val="00526DFE"/>
    <w:rsid w:val="00527395"/>
    <w:rsid w:val="00532D0E"/>
    <w:rsid w:val="00532DB2"/>
    <w:rsid w:val="005344D2"/>
    <w:rsid w:val="00534774"/>
    <w:rsid w:val="00534B73"/>
    <w:rsid w:val="00534DC6"/>
    <w:rsid w:val="00534E27"/>
    <w:rsid w:val="00535341"/>
    <w:rsid w:val="00535D85"/>
    <w:rsid w:val="00535DF5"/>
    <w:rsid w:val="00537611"/>
    <w:rsid w:val="00540011"/>
    <w:rsid w:val="005401E2"/>
    <w:rsid w:val="005402E9"/>
    <w:rsid w:val="005417D4"/>
    <w:rsid w:val="0054192A"/>
    <w:rsid w:val="00541D81"/>
    <w:rsid w:val="00541E48"/>
    <w:rsid w:val="00541EE7"/>
    <w:rsid w:val="00541F59"/>
    <w:rsid w:val="00542BCD"/>
    <w:rsid w:val="00542E7D"/>
    <w:rsid w:val="0054316D"/>
    <w:rsid w:val="005431B0"/>
    <w:rsid w:val="00543DE0"/>
    <w:rsid w:val="00543E65"/>
    <w:rsid w:val="0054436D"/>
    <w:rsid w:val="005443A5"/>
    <w:rsid w:val="005445BC"/>
    <w:rsid w:val="005446D9"/>
    <w:rsid w:val="00544CD7"/>
    <w:rsid w:val="00544E22"/>
    <w:rsid w:val="005457B9"/>
    <w:rsid w:val="00545E3D"/>
    <w:rsid w:val="005461E1"/>
    <w:rsid w:val="0054683E"/>
    <w:rsid w:val="00546E65"/>
    <w:rsid w:val="005473A7"/>
    <w:rsid w:val="00547BCD"/>
    <w:rsid w:val="00547E92"/>
    <w:rsid w:val="00550588"/>
    <w:rsid w:val="00550720"/>
    <w:rsid w:val="005518ED"/>
    <w:rsid w:val="005521B0"/>
    <w:rsid w:val="00553029"/>
    <w:rsid w:val="00555186"/>
    <w:rsid w:val="0055623C"/>
    <w:rsid w:val="00557342"/>
    <w:rsid w:val="00561302"/>
    <w:rsid w:val="0056140D"/>
    <w:rsid w:val="00561ECC"/>
    <w:rsid w:val="00561F55"/>
    <w:rsid w:val="00562074"/>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35D1"/>
    <w:rsid w:val="00573BF1"/>
    <w:rsid w:val="0057440F"/>
    <w:rsid w:val="005750EE"/>
    <w:rsid w:val="0057516A"/>
    <w:rsid w:val="0057536E"/>
    <w:rsid w:val="00575A46"/>
    <w:rsid w:val="00576B68"/>
    <w:rsid w:val="00577155"/>
    <w:rsid w:val="0057717E"/>
    <w:rsid w:val="00577E08"/>
    <w:rsid w:val="00580B5C"/>
    <w:rsid w:val="005815CB"/>
    <w:rsid w:val="00581E06"/>
    <w:rsid w:val="0058251E"/>
    <w:rsid w:val="00582963"/>
    <w:rsid w:val="00583C97"/>
    <w:rsid w:val="00584763"/>
    <w:rsid w:val="00584DFE"/>
    <w:rsid w:val="005853AF"/>
    <w:rsid w:val="0058552C"/>
    <w:rsid w:val="005863C0"/>
    <w:rsid w:val="00586C1E"/>
    <w:rsid w:val="00586C46"/>
    <w:rsid w:val="00586D7C"/>
    <w:rsid w:val="0059033C"/>
    <w:rsid w:val="005904F7"/>
    <w:rsid w:val="0059064E"/>
    <w:rsid w:val="00590951"/>
    <w:rsid w:val="005913FC"/>
    <w:rsid w:val="00591C93"/>
    <w:rsid w:val="0059284C"/>
    <w:rsid w:val="00593281"/>
    <w:rsid w:val="005935B6"/>
    <w:rsid w:val="005935EE"/>
    <w:rsid w:val="0059381A"/>
    <w:rsid w:val="00594D11"/>
    <w:rsid w:val="0059541F"/>
    <w:rsid w:val="005959C1"/>
    <w:rsid w:val="00597C86"/>
    <w:rsid w:val="005A0723"/>
    <w:rsid w:val="005A0D88"/>
    <w:rsid w:val="005A1F98"/>
    <w:rsid w:val="005A2A49"/>
    <w:rsid w:val="005A41B3"/>
    <w:rsid w:val="005A5762"/>
    <w:rsid w:val="005A68E5"/>
    <w:rsid w:val="005A6C58"/>
    <w:rsid w:val="005A7365"/>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6B15"/>
    <w:rsid w:val="005B789F"/>
    <w:rsid w:val="005B78E5"/>
    <w:rsid w:val="005C09AE"/>
    <w:rsid w:val="005C2442"/>
    <w:rsid w:val="005C24DE"/>
    <w:rsid w:val="005C3790"/>
    <w:rsid w:val="005C3EFF"/>
    <w:rsid w:val="005C3F23"/>
    <w:rsid w:val="005C43F4"/>
    <w:rsid w:val="005C43FF"/>
    <w:rsid w:val="005C457B"/>
    <w:rsid w:val="005C4C17"/>
    <w:rsid w:val="005C5ADF"/>
    <w:rsid w:val="005C5E00"/>
    <w:rsid w:val="005C677A"/>
    <w:rsid w:val="005C6994"/>
    <w:rsid w:val="005C6B7F"/>
    <w:rsid w:val="005C6FA2"/>
    <w:rsid w:val="005C7017"/>
    <w:rsid w:val="005C7B35"/>
    <w:rsid w:val="005D0032"/>
    <w:rsid w:val="005D006B"/>
    <w:rsid w:val="005D0AAC"/>
    <w:rsid w:val="005D147D"/>
    <w:rsid w:val="005D312C"/>
    <w:rsid w:val="005D328F"/>
    <w:rsid w:val="005D3CB9"/>
    <w:rsid w:val="005D3D8F"/>
    <w:rsid w:val="005D3EBF"/>
    <w:rsid w:val="005D47F5"/>
    <w:rsid w:val="005D63E3"/>
    <w:rsid w:val="005D6F1D"/>
    <w:rsid w:val="005D6FEF"/>
    <w:rsid w:val="005D7114"/>
    <w:rsid w:val="005D7BFB"/>
    <w:rsid w:val="005E08B2"/>
    <w:rsid w:val="005E11A0"/>
    <w:rsid w:val="005E1C7F"/>
    <w:rsid w:val="005E1F53"/>
    <w:rsid w:val="005E223B"/>
    <w:rsid w:val="005E26B6"/>
    <w:rsid w:val="005E2C75"/>
    <w:rsid w:val="005E34DA"/>
    <w:rsid w:val="005E34FC"/>
    <w:rsid w:val="005E3536"/>
    <w:rsid w:val="005E3771"/>
    <w:rsid w:val="005E3931"/>
    <w:rsid w:val="005E3C2A"/>
    <w:rsid w:val="005E3C5F"/>
    <w:rsid w:val="005E48E8"/>
    <w:rsid w:val="005E5613"/>
    <w:rsid w:val="005E5934"/>
    <w:rsid w:val="005E789B"/>
    <w:rsid w:val="005F0FAB"/>
    <w:rsid w:val="005F181B"/>
    <w:rsid w:val="005F218B"/>
    <w:rsid w:val="005F35AA"/>
    <w:rsid w:val="005F366D"/>
    <w:rsid w:val="005F36F0"/>
    <w:rsid w:val="005F3977"/>
    <w:rsid w:val="005F3ADF"/>
    <w:rsid w:val="005F47C2"/>
    <w:rsid w:val="005F4DB3"/>
    <w:rsid w:val="005F5180"/>
    <w:rsid w:val="005F5244"/>
    <w:rsid w:val="005F5640"/>
    <w:rsid w:val="005F5F64"/>
    <w:rsid w:val="005F6539"/>
    <w:rsid w:val="005F6C7C"/>
    <w:rsid w:val="005F72CD"/>
    <w:rsid w:val="006012C1"/>
    <w:rsid w:val="006012CF"/>
    <w:rsid w:val="006014BD"/>
    <w:rsid w:val="006014E3"/>
    <w:rsid w:val="00602440"/>
    <w:rsid w:val="00602B88"/>
    <w:rsid w:val="0060302A"/>
    <w:rsid w:val="00603853"/>
    <w:rsid w:val="00603DDC"/>
    <w:rsid w:val="00603DE4"/>
    <w:rsid w:val="006041E5"/>
    <w:rsid w:val="0060461B"/>
    <w:rsid w:val="0060526D"/>
    <w:rsid w:val="00605AC8"/>
    <w:rsid w:val="00606085"/>
    <w:rsid w:val="006068E2"/>
    <w:rsid w:val="00606B83"/>
    <w:rsid w:val="006070F3"/>
    <w:rsid w:val="006071BC"/>
    <w:rsid w:val="00610743"/>
    <w:rsid w:val="00610A60"/>
    <w:rsid w:val="00610B65"/>
    <w:rsid w:val="006118E6"/>
    <w:rsid w:val="0061392F"/>
    <w:rsid w:val="00614CBD"/>
    <w:rsid w:val="00615984"/>
    <w:rsid w:val="00616492"/>
    <w:rsid w:val="00616BF6"/>
    <w:rsid w:val="00616D4A"/>
    <w:rsid w:val="00617608"/>
    <w:rsid w:val="00617B0E"/>
    <w:rsid w:val="0062121F"/>
    <w:rsid w:val="00621407"/>
    <w:rsid w:val="0062181F"/>
    <w:rsid w:val="00621AC2"/>
    <w:rsid w:val="00621AF3"/>
    <w:rsid w:val="00621CA3"/>
    <w:rsid w:val="00622E16"/>
    <w:rsid w:val="006232D8"/>
    <w:rsid w:val="00624BB5"/>
    <w:rsid w:val="006253CE"/>
    <w:rsid w:val="00625AF4"/>
    <w:rsid w:val="00626462"/>
    <w:rsid w:val="006265DD"/>
    <w:rsid w:val="00626BFD"/>
    <w:rsid w:val="00627087"/>
    <w:rsid w:val="0062717F"/>
    <w:rsid w:val="006272FD"/>
    <w:rsid w:val="00627746"/>
    <w:rsid w:val="00627CE0"/>
    <w:rsid w:val="00630B73"/>
    <w:rsid w:val="00631035"/>
    <w:rsid w:val="006314AD"/>
    <w:rsid w:val="00631662"/>
    <w:rsid w:val="00633011"/>
    <w:rsid w:val="00633F45"/>
    <w:rsid w:val="0063482C"/>
    <w:rsid w:val="00634FAA"/>
    <w:rsid w:val="006356F1"/>
    <w:rsid w:val="00635CD2"/>
    <w:rsid w:val="0063630B"/>
    <w:rsid w:val="00636367"/>
    <w:rsid w:val="00636417"/>
    <w:rsid w:val="0063666B"/>
    <w:rsid w:val="00636F71"/>
    <w:rsid w:val="00637643"/>
    <w:rsid w:val="00637B22"/>
    <w:rsid w:val="00637DF8"/>
    <w:rsid w:val="00637F61"/>
    <w:rsid w:val="0064042E"/>
    <w:rsid w:val="00640DD8"/>
    <w:rsid w:val="00640E12"/>
    <w:rsid w:val="006419D1"/>
    <w:rsid w:val="006438A8"/>
    <w:rsid w:val="0064390D"/>
    <w:rsid w:val="00643D8F"/>
    <w:rsid w:val="00644BA4"/>
    <w:rsid w:val="00644F4F"/>
    <w:rsid w:val="00645405"/>
    <w:rsid w:val="00645CA6"/>
    <w:rsid w:val="00645E35"/>
    <w:rsid w:val="006463DD"/>
    <w:rsid w:val="006466FC"/>
    <w:rsid w:val="00646723"/>
    <w:rsid w:val="0064758D"/>
    <w:rsid w:val="006475A0"/>
    <w:rsid w:val="00647A9C"/>
    <w:rsid w:val="0065121B"/>
    <w:rsid w:val="006512AB"/>
    <w:rsid w:val="0065144E"/>
    <w:rsid w:val="00653AD7"/>
    <w:rsid w:val="00653BA0"/>
    <w:rsid w:val="00653BF5"/>
    <w:rsid w:val="00653CFB"/>
    <w:rsid w:val="0065424E"/>
    <w:rsid w:val="0065484E"/>
    <w:rsid w:val="00654E77"/>
    <w:rsid w:val="006550B7"/>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67E14"/>
    <w:rsid w:val="006718A5"/>
    <w:rsid w:val="00671D38"/>
    <w:rsid w:val="0067241A"/>
    <w:rsid w:val="00672B7E"/>
    <w:rsid w:val="006731B3"/>
    <w:rsid w:val="00673620"/>
    <w:rsid w:val="006737BD"/>
    <w:rsid w:val="00673C57"/>
    <w:rsid w:val="00673EF4"/>
    <w:rsid w:val="00673FA5"/>
    <w:rsid w:val="006742D4"/>
    <w:rsid w:val="00674311"/>
    <w:rsid w:val="006749F9"/>
    <w:rsid w:val="00674F1F"/>
    <w:rsid w:val="00675CCC"/>
    <w:rsid w:val="006765E7"/>
    <w:rsid w:val="0067666C"/>
    <w:rsid w:val="006768BF"/>
    <w:rsid w:val="00677949"/>
    <w:rsid w:val="006802DC"/>
    <w:rsid w:val="006809C5"/>
    <w:rsid w:val="00680C17"/>
    <w:rsid w:val="00680ED8"/>
    <w:rsid w:val="006812F1"/>
    <w:rsid w:val="006816E2"/>
    <w:rsid w:val="006818C0"/>
    <w:rsid w:val="00681919"/>
    <w:rsid w:val="00681F83"/>
    <w:rsid w:val="00682275"/>
    <w:rsid w:val="006822C0"/>
    <w:rsid w:val="006846E9"/>
    <w:rsid w:val="00684738"/>
    <w:rsid w:val="006847E9"/>
    <w:rsid w:val="00684BDD"/>
    <w:rsid w:val="00686571"/>
    <w:rsid w:val="00686C58"/>
    <w:rsid w:val="00687D43"/>
    <w:rsid w:val="0069011E"/>
    <w:rsid w:val="00690491"/>
    <w:rsid w:val="00690B3B"/>
    <w:rsid w:val="006915EB"/>
    <w:rsid w:val="006915F0"/>
    <w:rsid w:val="0069161F"/>
    <w:rsid w:val="00692482"/>
    <w:rsid w:val="00692511"/>
    <w:rsid w:val="00692B91"/>
    <w:rsid w:val="00692DEA"/>
    <w:rsid w:val="00693275"/>
    <w:rsid w:val="006943B7"/>
    <w:rsid w:val="0069492C"/>
    <w:rsid w:val="00694AD4"/>
    <w:rsid w:val="006950AD"/>
    <w:rsid w:val="00696D10"/>
    <w:rsid w:val="006970AD"/>
    <w:rsid w:val="006979BA"/>
    <w:rsid w:val="006A0252"/>
    <w:rsid w:val="006A0858"/>
    <w:rsid w:val="006A0BCB"/>
    <w:rsid w:val="006A0C4D"/>
    <w:rsid w:val="006A150A"/>
    <w:rsid w:val="006A1958"/>
    <w:rsid w:val="006A1DD8"/>
    <w:rsid w:val="006A1FF2"/>
    <w:rsid w:val="006A2BC2"/>
    <w:rsid w:val="006A39E8"/>
    <w:rsid w:val="006A3A4A"/>
    <w:rsid w:val="006A3AB6"/>
    <w:rsid w:val="006A400E"/>
    <w:rsid w:val="006A445C"/>
    <w:rsid w:val="006A4475"/>
    <w:rsid w:val="006A5831"/>
    <w:rsid w:val="006A5E2B"/>
    <w:rsid w:val="006A5EE5"/>
    <w:rsid w:val="006A5EFF"/>
    <w:rsid w:val="006A6327"/>
    <w:rsid w:val="006A66BD"/>
    <w:rsid w:val="006A6704"/>
    <w:rsid w:val="006A72D5"/>
    <w:rsid w:val="006B1218"/>
    <w:rsid w:val="006B1231"/>
    <w:rsid w:val="006B1796"/>
    <w:rsid w:val="006B1BF7"/>
    <w:rsid w:val="006B1DDF"/>
    <w:rsid w:val="006B315E"/>
    <w:rsid w:val="006B33C0"/>
    <w:rsid w:val="006B365F"/>
    <w:rsid w:val="006B3C19"/>
    <w:rsid w:val="006B4396"/>
    <w:rsid w:val="006B46B6"/>
    <w:rsid w:val="006B4E0D"/>
    <w:rsid w:val="006B5F38"/>
    <w:rsid w:val="006B607F"/>
    <w:rsid w:val="006B6172"/>
    <w:rsid w:val="006B62FF"/>
    <w:rsid w:val="006B6C0B"/>
    <w:rsid w:val="006B6DBC"/>
    <w:rsid w:val="006B6FBC"/>
    <w:rsid w:val="006B7092"/>
    <w:rsid w:val="006B71BC"/>
    <w:rsid w:val="006B775A"/>
    <w:rsid w:val="006B7A5C"/>
    <w:rsid w:val="006C0328"/>
    <w:rsid w:val="006C0923"/>
    <w:rsid w:val="006C0B55"/>
    <w:rsid w:val="006C0D75"/>
    <w:rsid w:val="006C3F12"/>
    <w:rsid w:val="006C42CF"/>
    <w:rsid w:val="006C4985"/>
    <w:rsid w:val="006C5846"/>
    <w:rsid w:val="006C5847"/>
    <w:rsid w:val="006C5852"/>
    <w:rsid w:val="006C5EC9"/>
    <w:rsid w:val="006C6525"/>
    <w:rsid w:val="006C67BF"/>
    <w:rsid w:val="006C6A79"/>
    <w:rsid w:val="006C6D2E"/>
    <w:rsid w:val="006C7637"/>
    <w:rsid w:val="006C7ABB"/>
    <w:rsid w:val="006C7B4B"/>
    <w:rsid w:val="006D0641"/>
    <w:rsid w:val="006D0C94"/>
    <w:rsid w:val="006D0CBB"/>
    <w:rsid w:val="006D0E83"/>
    <w:rsid w:val="006D1A9C"/>
    <w:rsid w:val="006D1D2F"/>
    <w:rsid w:val="006D2A1D"/>
    <w:rsid w:val="006D2B88"/>
    <w:rsid w:val="006D3CEE"/>
    <w:rsid w:val="006D490C"/>
    <w:rsid w:val="006D5437"/>
    <w:rsid w:val="006D63EB"/>
    <w:rsid w:val="006D6BF3"/>
    <w:rsid w:val="006D7043"/>
    <w:rsid w:val="006D7F9A"/>
    <w:rsid w:val="006E0058"/>
    <w:rsid w:val="006E071B"/>
    <w:rsid w:val="006E14FE"/>
    <w:rsid w:val="006E222E"/>
    <w:rsid w:val="006E332E"/>
    <w:rsid w:val="006E3595"/>
    <w:rsid w:val="006E3865"/>
    <w:rsid w:val="006E3924"/>
    <w:rsid w:val="006E3995"/>
    <w:rsid w:val="006E3BCE"/>
    <w:rsid w:val="006E3DC7"/>
    <w:rsid w:val="006E529E"/>
    <w:rsid w:val="006E66FB"/>
    <w:rsid w:val="006E671B"/>
    <w:rsid w:val="006E686C"/>
    <w:rsid w:val="006E6A19"/>
    <w:rsid w:val="006F00BE"/>
    <w:rsid w:val="006F027D"/>
    <w:rsid w:val="006F07D4"/>
    <w:rsid w:val="006F0CC4"/>
    <w:rsid w:val="006F1336"/>
    <w:rsid w:val="006F3AB2"/>
    <w:rsid w:val="006F3EF7"/>
    <w:rsid w:val="006F3FDA"/>
    <w:rsid w:val="006F41BE"/>
    <w:rsid w:val="006F4803"/>
    <w:rsid w:val="006F4EFD"/>
    <w:rsid w:val="006F5260"/>
    <w:rsid w:val="006F5331"/>
    <w:rsid w:val="006F6F86"/>
    <w:rsid w:val="006F7A4D"/>
    <w:rsid w:val="006F7D5C"/>
    <w:rsid w:val="006F7E86"/>
    <w:rsid w:val="006F7F63"/>
    <w:rsid w:val="0070112F"/>
    <w:rsid w:val="00702246"/>
    <w:rsid w:val="00702666"/>
    <w:rsid w:val="0070299A"/>
    <w:rsid w:val="00702D11"/>
    <w:rsid w:val="007036DD"/>
    <w:rsid w:val="00703BD0"/>
    <w:rsid w:val="0070423D"/>
    <w:rsid w:val="00704915"/>
    <w:rsid w:val="00704D1B"/>
    <w:rsid w:val="00705681"/>
    <w:rsid w:val="00705B73"/>
    <w:rsid w:val="00706594"/>
    <w:rsid w:val="007072D2"/>
    <w:rsid w:val="007072E4"/>
    <w:rsid w:val="0071005E"/>
    <w:rsid w:val="0071016D"/>
    <w:rsid w:val="007103FB"/>
    <w:rsid w:val="00710657"/>
    <w:rsid w:val="00711B8A"/>
    <w:rsid w:val="00712306"/>
    <w:rsid w:val="00712B9C"/>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30D"/>
    <w:rsid w:val="00721542"/>
    <w:rsid w:val="0072187D"/>
    <w:rsid w:val="00722EFA"/>
    <w:rsid w:val="00723832"/>
    <w:rsid w:val="00723F29"/>
    <w:rsid w:val="00723F62"/>
    <w:rsid w:val="00724B4F"/>
    <w:rsid w:val="00725080"/>
    <w:rsid w:val="007261B7"/>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6D19"/>
    <w:rsid w:val="00746D24"/>
    <w:rsid w:val="00747C2E"/>
    <w:rsid w:val="00750BC1"/>
    <w:rsid w:val="00751706"/>
    <w:rsid w:val="00752636"/>
    <w:rsid w:val="00752BF6"/>
    <w:rsid w:val="007544A8"/>
    <w:rsid w:val="00754CBD"/>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3341"/>
    <w:rsid w:val="00773832"/>
    <w:rsid w:val="00773FF0"/>
    <w:rsid w:val="007745D0"/>
    <w:rsid w:val="0077558E"/>
    <w:rsid w:val="00776496"/>
    <w:rsid w:val="00777EE2"/>
    <w:rsid w:val="00781635"/>
    <w:rsid w:val="00781A19"/>
    <w:rsid w:val="00781B8C"/>
    <w:rsid w:val="00782258"/>
    <w:rsid w:val="007824B9"/>
    <w:rsid w:val="00782682"/>
    <w:rsid w:val="00782D4D"/>
    <w:rsid w:val="007834F6"/>
    <w:rsid w:val="0078466E"/>
    <w:rsid w:val="007850F7"/>
    <w:rsid w:val="0078650B"/>
    <w:rsid w:val="00787342"/>
    <w:rsid w:val="00787FC7"/>
    <w:rsid w:val="00790126"/>
    <w:rsid w:val="00790FFD"/>
    <w:rsid w:val="00791256"/>
    <w:rsid w:val="007923D8"/>
    <w:rsid w:val="00792638"/>
    <w:rsid w:val="0079285F"/>
    <w:rsid w:val="0079327D"/>
    <w:rsid w:val="00793559"/>
    <w:rsid w:val="00793C9C"/>
    <w:rsid w:val="00793E5B"/>
    <w:rsid w:val="007944BB"/>
    <w:rsid w:val="00794988"/>
    <w:rsid w:val="007967FF"/>
    <w:rsid w:val="00796A68"/>
    <w:rsid w:val="00796C56"/>
    <w:rsid w:val="007978D0"/>
    <w:rsid w:val="00797B1F"/>
    <w:rsid w:val="007A0CCF"/>
    <w:rsid w:val="007A0D8C"/>
    <w:rsid w:val="007A1075"/>
    <w:rsid w:val="007A1645"/>
    <w:rsid w:val="007A1C7C"/>
    <w:rsid w:val="007A1F4E"/>
    <w:rsid w:val="007A1F66"/>
    <w:rsid w:val="007A2026"/>
    <w:rsid w:val="007A24A9"/>
    <w:rsid w:val="007A270C"/>
    <w:rsid w:val="007A28B7"/>
    <w:rsid w:val="007A2B1F"/>
    <w:rsid w:val="007A2C23"/>
    <w:rsid w:val="007A2E24"/>
    <w:rsid w:val="007A4DB0"/>
    <w:rsid w:val="007A55FD"/>
    <w:rsid w:val="007A5F5B"/>
    <w:rsid w:val="007A61A7"/>
    <w:rsid w:val="007A6683"/>
    <w:rsid w:val="007A6877"/>
    <w:rsid w:val="007A6F11"/>
    <w:rsid w:val="007A73DC"/>
    <w:rsid w:val="007A7845"/>
    <w:rsid w:val="007B000E"/>
    <w:rsid w:val="007B0126"/>
    <w:rsid w:val="007B12E3"/>
    <w:rsid w:val="007B14C9"/>
    <w:rsid w:val="007B1FD8"/>
    <w:rsid w:val="007B20CE"/>
    <w:rsid w:val="007B229F"/>
    <w:rsid w:val="007B23A5"/>
    <w:rsid w:val="007B315B"/>
    <w:rsid w:val="007B3498"/>
    <w:rsid w:val="007B4C10"/>
    <w:rsid w:val="007B5451"/>
    <w:rsid w:val="007B573A"/>
    <w:rsid w:val="007B5F32"/>
    <w:rsid w:val="007B6140"/>
    <w:rsid w:val="007B690F"/>
    <w:rsid w:val="007B6ACE"/>
    <w:rsid w:val="007B6D7D"/>
    <w:rsid w:val="007B6F85"/>
    <w:rsid w:val="007B6FA8"/>
    <w:rsid w:val="007C022B"/>
    <w:rsid w:val="007C0693"/>
    <w:rsid w:val="007C08A3"/>
    <w:rsid w:val="007C0C1F"/>
    <w:rsid w:val="007C14A4"/>
    <w:rsid w:val="007C17C2"/>
    <w:rsid w:val="007C1E30"/>
    <w:rsid w:val="007C282E"/>
    <w:rsid w:val="007C297B"/>
    <w:rsid w:val="007C3B16"/>
    <w:rsid w:val="007C3D1A"/>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E0D86"/>
    <w:rsid w:val="007E0F33"/>
    <w:rsid w:val="007E1764"/>
    <w:rsid w:val="007E2796"/>
    <w:rsid w:val="007E2D1E"/>
    <w:rsid w:val="007E2ED5"/>
    <w:rsid w:val="007E320E"/>
    <w:rsid w:val="007E3261"/>
    <w:rsid w:val="007E387C"/>
    <w:rsid w:val="007E4341"/>
    <w:rsid w:val="007E4456"/>
    <w:rsid w:val="007E539E"/>
    <w:rsid w:val="007E589E"/>
    <w:rsid w:val="007E5CF0"/>
    <w:rsid w:val="007E5D24"/>
    <w:rsid w:val="007E6422"/>
    <w:rsid w:val="007E6505"/>
    <w:rsid w:val="007E7236"/>
    <w:rsid w:val="007E73CD"/>
    <w:rsid w:val="007E77C9"/>
    <w:rsid w:val="007F02AE"/>
    <w:rsid w:val="007F0A53"/>
    <w:rsid w:val="007F0D2E"/>
    <w:rsid w:val="007F13F7"/>
    <w:rsid w:val="007F1749"/>
    <w:rsid w:val="007F1B53"/>
    <w:rsid w:val="007F2203"/>
    <w:rsid w:val="007F2602"/>
    <w:rsid w:val="007F28C7"/>
    <w:rsid w:val="007F2DF5"/>
    <w:rsid w:val="007F4823"/>
    <w:rsid w:val="007F4DA7"/>
    <w:rsid w:val="007F5CCC"/>
    <w:rsid w:val="007F61A7"/>
    <w:rsid w:val="007F6750"/>
    <w:rsid w:val="007F67A1"/>
    <w:rsid w:val="007F787F"/>
    <w:rsid w:val="007F7B08"/>
    <w:rsid w:val="00800372"/>
    <w:rsid w:val="00800651"/>
    <w:rsid w:val="00800AE8"/>
    <w:rsid w:val="00801202"/>
    <w:rsid w:val="00801400"/>
    <w:rsid w:val="008014C6"/>
    <w:rsid w:val="00802CE1"/>
    <w:rsid w:val="00802D0C"/>
    <w:rsid w:val="008038F4"/>
    <w:rsid w:val="00803BBA"/>
    <w:rsid w:val="00803C8E"/>
    <w:rsid w:val="008047B8"/>
    <w:rsid w:val="00804A5E"/>
    <w:rsid w:val="008070B4"/>
    <w:rsid w:val="008078E1"/>
    <w:rsid w:val="00810D06"/>
    <w:rsid w:val="00812250"/>
    <w:rsid w:val="00813851"/>
    <w:rsid w:val="00814297"/>
    <w:rsid w:val="00814301"/>
    <w:rsid w:val="00814ED3"/>
    <w:rsid w:val="008167C0"/>
    <w:rsid w:val="00816ED2"/>
    <w:rsid w:val="00817671"/>
    <w:rsid w:val="00817AB9"/>
    <w:rsid w:val="00820E8F"/>
    <w:rsid w:val="00820F76"/>
    <w:rsid w:val="00822A9D"/>
    <w:rsid w:val="0082359E"/>
    <w:rsid w:val="00823863"/>
    <w:rsid w:val="0082435A"/>
    <w:rsid w:val="00824924"/>
    <w:rsid w:val="008250F8"/>
    <w:rsid w:val="0082577C"/>
    <w:rsid w:val="00825E39"/>
    <w:rsid w:val="00826B4F"/>
    <w:rsid w:val="00826C73"/>
    <w:rsid w:val="00827235"/>
    <w:rsid w:val="008313A2"/>
    <w:rsid w:val="00831A49"/>
    <w:rsid w:val="00832125"/>
    <w:rsid w:val="008353C5"/>
    <w:rsid w:val="00835470"/>
    <w:rsid w:val="00835499"/>
    <w:rsid w:val="00835749"/>
    <w:rsid w:val="0083583A"/>
    <w:rsid w:val="00835A38"/>
    <w:rsid w:val="00835DFB"/>
    <w:rsid w:val="008363FC"/>
    <w:rsid w:val="00836AE9"/>
    <w:rsid w:val="008370D4"/>
    <w:rsid w:val="00842723"/>
    <w:rsid w:val="00842E86"/>
    <w:rsid w:val="0084304D"/>
    <w:rsid w:val="00844062"/>
    <w:rsid w:val="0084492F"/>
    <w:rsid w:val="00844CDD"/>
    <w:rsid w:val="008459F0"/>
    <w:rsid w:val="00846260"/>
    <w:rsid w:val="0084707F"/>
    <w:rsid w:val="00847623"/>
    <w:rsid w:val="00850AE4"/>
    <w:rsid w:val="00850E18"/>
    <w:rsid w:val="00851F0C"/>
    <w:rsid w:val="00852393"/>
    <w:rsid w:val="0085292F"/>
    <w:rsid w:val="00853D6C"/>
    <w:rsid w:val="0085417E"/>
    <w:rsid w:val="0085616F"/>
    <w:rsid w:val="00856875"/>
    <w:rsid w:val="008571A1"/>
    <w:rsid w:val="00857665"/>
    <w:rsid w:val="008602E2"/>
    <w:rsid w:val="00860C3F"/>
    <w:rsid w:val="00860E4C"/>
    <w:rsid w:val="00861616"/>
    <w:rsid w:val="00861B85"/>
    <w:rsid w:val="00861D97"/>
    <w:rsid w:val="008622B9"/>
    <w:rsid w:val="008624A0"/>
    <w:rsid w:val="008629E3"/>
    <w:rsid w:val="0086308C"/>
    <w:rsid w:val="008634FD"/>
    <w:rsid w:val="0086444B"/>
    <w:rsid w:val="00864DB6"/>
    <w:rsid w:val="00865614"/>
    <w:rsid w:val="00865DC2"/>
    <w:rsid w:val="008666A3"/>
    <w:rsid w:val="00866945"/>
    <w:rsid w:val="00867BD8"/>
    <w:rsid w:val="00867E7A"/>
    <w:rsid w:val="0087101C"/>
    <w:rsid w:val="00871C6D"/>
    <w:rsid w:val="00871CB7"/>
    <w:rsid w:val="00872323"/>
    <w:rsid w:val="00872570"/>
    <w:rsid w:val="008728D5"/>
    <w:rsid w:val="00872B41"/>
    <w:rsid w:val="00872DA4"/>
    <w:rsid w:val="00873C44"/>
    <w:rsid w:val="00875960"/>
    <w:rsid w:val="0087651A"/>
    <w:rsid w:val="00876756"/>
    <w:rsid w:val="008769C1"/>
    <w:rsid w:val="00877589"/>
    <w:rsid w:val="00881914"/>
    <w:rsid w:val="008822FB"/>
    <w:rsid w:val="00883C73"/>
    <w:rsid w:val="008845E8"/>
    <w:rsid w:val="008853BE"/>
    <w:rsid w:val="008854BF"/>
    <w:rsid w:val="008868DD"/>
    <w:rsid w:val="00887F22"/>
    <w:rsid w:val="00887F29"/>
    <w:rsid w:val="00887F71"/>
    <w:rsid w:val="008901BF"/>
    <w:rsid w:val="00890A6A"/>
    <w:rsid w:val="00890C40"/>
    <w:rsid w:val="008911A6"/>
    <w:rsid w:val="0089125E"/>
    <w:rsid w:val="00891D5D"/>
    <w:rsid w:val="00891EA8"/>
    <w:rsid w:val="00892C65"/>
    <w:rsid w:val="008936C4"/>
    <w:rsid w:val="00893777"/>
    <w:rsid w:val="00893D33"/>
    <w:rsid w:val="0089486B"/>
    <w:rsid w:val="00894DA5"/>
    <w:rsid w:val="00895476"/>
    <w:rsid w:val="008969A7"/>
    <w:rsid w:val="00897E20"/>
    <w:rsid w:val="008A028D"/>
    <w:rsid w:val="008A05A8"/>
    <w:rsid w:val="008A06F3"/>
    <w:rsid w:val="008A09E3"/>
    <w:rsid w:val="008A1B49"/>
    <w:rsid w:val="008A264E"/>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C29"/>
    <w:rsid w:val="008C2E1F"/>
    <w:rsid w:val="008C3650"/>
    <w:rsid w:val="008C3861"/>
    <w:rsid w:val="008C3B27"/>
    <w:rsid w:val="008C4EF6"/>
    <w:rsid w:val="008C5046"/>
    <w:rsid w:val="008C5145"/>
    <w:rsid w:val="008C5680"/>
    <w:rsid w:val="008C61CB"/>
    <w:rsid w:val="008C62F5"/>
    <w:rsid w:val="008C77DB"/>
    <w:rsid w:val="008D12F2"/>
    <w:rsid w:val="008D14BF"/>
    <w:rsid w:val="008D284A"/>
    <w:rsid w:val="008D325D"/>
    <w:rsid w:val="008D35CD"/>
    <w:rsid w:val="008D3E28"/>
    <w:rsid w:val="008D42C8"/>
    <w:rsid w:val="008D4E63"/>
    <w:rsid w:val="008D55E1"/>
    <w:rsid w:val="008D5B36"/>
    <w:rsid w:val="008D64AB"/>
    <w:rsid w:val="008D65B8"/>
    <w:rsid w:val="008D686C"/>
    <w:rsid w:val="008D794A"/>
    <w:rsid w:val="008D7980"/>
    <w:rsid w:val="008D7B7B"/>
    <w:rsid w:val="008E1301"/>
    <w:rsid w:val="008E179E"/>
    <w:rsid w:val="008E1886"/>
    <w:rsid w:val="008E1EB1"/>
    <w:rsid w:val="008E2052"/>
    <w:rsid w:val="008E2057"/>
    <w:rsid w:val="008E21BE"/>
    <w:rsid w:val="008E2809"/>
    <w:rsid w:val="008E2C5E"/>
    <w:rsid w:val="008E2DE9"/>
    <w:rsid w:val="008E34F7"/>
    <w:rsid w:val="008E3633"/>
    <w:rsid w:val="008E4DDF"/>
    <w:rsid w:val="008E5D68"/>
    <w:rsid w:val="008E661B"/>
    <w:rsid w:val="008E663A"/>
    <w:rsid w:val="008E6D0E"/>
    <w:rsid w:val="008E6E70"/>
    <w:rsid w:val="008F07E8"/>
    <w:rsid w:val="008F18EB"/>
    <w:rsid w:val="008F1A60"/>
    <w:rsid w:val="008F1DF9"/>
    <w:rsid w:val="008F1F7F"/>
    <w:rsid w:val="008F28BC"/>
    <w:rsid w:val="008F3055"/>
    <w:rsid w:val="008F3157"/>
    <w:rsid w:val="008F34F9"/>
    <w:rsid w:val="008F4226"/>
    <w:rsid w:val="008F4257"/>
    <w:rsid w:val="008F4AFC"/>
    <w:rsid w:val="008F4B39"/>
    <w:rsid w:val="008F4D31"/>
    <w:rsid w:val="008F4FE0"/>
    <w:rsid w:val="008F59A8"/>
    <w:rsid w:val="008F5DB1"/>
    <w:rsid w:val="008F5FF1"/>
    <w:rsid w:val="008F628F"/>
    <w:rsid w:val="008F6500"/>
    <w:rsid w:val="008F6A9D"/>
    <w:rsid w:val="008F7C45"/>
    <w:rsid w:val="00900635"/>
    <w:rsid w:val="00900EF9"/>
    <w:rsid w:val="00901A22"/>
    <w:rsid w:val="00901B29"/>
    <w:rsid w:val="009022CB"/>
    <w:rsid w:val="00902E6D"/>
    <w:rsid w:val="009033E6"/>
    <w:rsid w:val="009037D9"/>
    <w:rsid w:val="00903C05"/>
    <w:rsid w:val="0090404E"/>
    <w:rsid w:val="00904E13"/>
    <w:rsid w:val="00904F8A"/>
    <w:rsid w:val="00905D60"/>
    <w:rsid w:val="00905DAA"/>
    <w:rsid w:val="00906338"/>
    <w:rsid w:val="00906409"/>
    <w:rsid w:val="009064E8"/>
    <w:rsid w:val="0090689A"/>
    <w:rsid w:val="00907136"/>
    <w:rsid w:val="00907F53"/>
    <w:rsid w:val="0091094D"/>
    <w:rsid w:val="00910BA7"/>
    <w:rsid w:val="00911119"/>
    <w:rsid w:val="009111CB"/>
    <w:rsid w:val="009117A9"/>
    <w:rsid w:val="00911AD0"/>
    <w:rsid w:val="00912996"/>
    <w:rsid w:val="009129D5"/>
    <w:rsid w:val="00914523"/>
    <w:rsid w:val="00914878"/>
    <w:rsid w:val="009148C0"/>
    <w:rsid w:val="009149B6"/>
    <w:rsid w:val="00914DAE"/>
    <w:rsid w:val="00915153"/>
    <w:rsid w:val="009153AE"/>
    <w:rsid w:val="00915FB0"/>
    <w:rsid w:val="0091655B"/>
    <w:rsid w:val="009167E9"/>
    <w:rsid w:val="009167F8"/>
    <w:rsid w:val="00916DF0"/>
    <w:rsid w:val="009170BF"/>
    <w:rsid w:val="0092016A"/>
    <w:rsid w:val="00920263"/>
    <w:rsid w:val="009217A0"/>
    <w:rsid w:val="00921836"/>
    <w:rsid w:val="00921946"/>
    <w:rsid w:val="00921A26"/>
    <w:rsid w:val="00922147"/>
    <w:rsid w:val="009221E9"/>
    <w:rsid w:val="00922287"/>
    <w:rsid w:val="00922409"/>
    <w:rsid w:val="00922860"/>
    <w:rsid w:val="00923096"/>
    <w:rsid w:val="009236DC"/>
    <w:rsid w:val="00924E9B"/>
    <w:rsid w:val="009254B2"/>
    <w:rsid w:val="0092586C"/>
    <w:rsid w:val="00926922"/>
    <w:rsid w:val="00927303"/>
    <w:rsid w:val="0093093F"/>
    <w:rsid w:val="0093158F"/>
    <w:rsid w:val="00931B0C"/>
    <w:rsid w:val="00931D93"/>
    <w:rsid w:val="00931FD3"/>
    <w:rsid w:val="00933199"/>
    <w:rsid w:val="009335EC"/>
    <w:rsid w:val="00933630"/>
    <w:rsid w:val="00934991"/>
    <w:rsid w:val="0093591A"/>
    <w:rsid w:val="00935AD2"/>
    <w:rsid w:val="00936349"/>
    <w:rsid w:val="00936B42"/>
    <w:rsid w:val="00936E4A"/>
    <w:rsid w:val="00936F51"/>
    <w:rsid w:val="009378E9"/>
    <w:rsid w:val="00937C0D"/>
    <w:rsid w:val="009400B1"/>
    <w:rsid w:val="00940A9F"/>
    <w:rsid w:val="00940AC3"/>
    <w:rsid w:val="00940B26"/>
    <w:rsid w:val="00940E38"/>
    <w:rsid w:val="00940FD5"/>
    <w:rsid w:val="0094112A"/>
    <w:rsid w:val="00941BDB"/>
    <w:rsid w:val="009435C1"/>
    <w:rsid w:val="00943B4D"/>
    <w:rsid w:val="0094431A"/>
    <w:rsid w:val="0094466B"/>
    <w:rsid w:val="0094491F"/>
    <w:rsid w:val="00944EF4"/>
    <w:rsid w:val="00944F24"/>
    <w:rsid w:val="00945890"/>
    <w:rsid w:val="00945D37"/>
    <w:rsid w:val="00945EBC"/>
    <w:rsid w:val="00946B46"/>
    <w:rsid w:val="00950089"/>
    <w:rsid w:val="00950718"/>
    <w:rsid w:val="00951A08"/>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625"/>
    <w:rsid w:val="00961727"/>
    <w:rsid w:val="009623CF"/>
    <w:rsid w:val="009628BF"/>
    <w:rsid w:val="009639C7"/>
    <w:rsid w:val="0096591C"/>
    <w:rsid w:val="00965D89"/>
    <w:rsid w:val="00966947"/>
    <w:rsid w:val="00966E1C"/>
    <w:rsid w:val="009670E1"/>
    <w:rsid w:val="00967413"/>
    <w:rsid w:val="0096752B"/>
    <w:rsid w:val="00967ED6"/>
    <w:rsid w:val="00970015"/>
    <w:rsid w:val="0097104F"/>
    <w:rsid w:val="0097176A"/>
    <w:rsid w:val="009722E4"/>
    <w:rsid w:val="00972A5F"/>
    <w:rsid w:val="00972FDB"/>
    <w:rsid w:val="009734AC"/>
    <w:rsid w:val="009736EB"/>
    <w:rsid w:val="0097395E"/>
    <w:rsid w:val="00974044"/>
    <w:rsid w:val="00975274"/>
    <w:rsid w:val="00976AE4"/>
    <w:rsid w:val="00977958"/>
    <w:rsid w:val="0098191E"/>
    <w:rsid w:val="00981D5E"/>
    <w:rsid w:val="00982ACA"/>
    <w:rsid w:val="0098418F"/>
    <w:rsid w:val="009846C2"/>
    <w:rsid w:val="009851F5"/>
    <w:rsid w:val="00985785"/>
    <w:rsid w:val="00985A34"/>
    <w:rsid w:val="00986A13"/>
    <w:rsid w:val="0098719D"/>
    <w:rsid w:val="009877C5"/>
    <w:rsid w:val="00987858"/>
    <w:rsid w:val="009903B3"/>
    <w:rsid w:val="009915BE"/>
    <w:rsid w:val="00991A1E"/>
    <w:rsid w:val="009922B5"/>
    <w:rsid w:val="0099303C"/>
    <w:rsid w:val="00993142"/>
    <w:rsid w:val="00993B4D"/>
    <w:rsid w:val="009945E4"/>
    <w:rsid w:val="00994FCF"/>
    <w:rsid w:val="00995070"/>
    <w:rsid w:val="00995275"/>
    <w:rsid w:val="009967EE"/>
    <w:rsid w:val="00996818"/>
    <w:rsid w:val="00996F99"/>
    <w:rsid w:val="0099755F"/>
    <w:rsid w:val="009A0261"/>
    <w:rsid w:val="009A060D"/>
    <w:rsid w:val="009A11F0"/>
    <w:rsid w:val="009A1575"/>
    <w:rsid w:val="009A175A"/>
    <w:rsid w:val="009A1AA9"/>
    <w:rsid w:val="009A210E"/>
    <w:rsid w:val="009A2D8F"/>
    <w:rsid w:val="009A35BF"/>
    <w:rsid w:val="009A35C8"/>
    <w:rsid w:val="009A3941"/>
    <w:rsid w:val="009A5257"/>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4A1"/>
    <w:rsid w:val="009B7B9A"/>
    <w:rsid w:val="009B7DD3"/>
    <w:rsid w:val="009C01DC"/>
    <w:rsid w:val="009C03BB"/>
    <w:rsid w:val="009C0960"/>
    <w:rsid w:val="009C1C87"/>
    <w:rsid w:val="009C2D6E"/>
    <w:rsid w:val="009C4366"/>
    <w:rsid w:val="009C44AE"/>
    <w:rsid w:val="009C4DAB"/>
    <w:rsid w:val="009C51F0"/>
    <w:rsid w:val="009C5207"/>
    <w:rsid w:val="009C56A6"/>
    <w:rsid w:val="009C5FC0"/>
    <w:rsid w:val="009C6B49"/>
    <w:rsid w:val="009C6EBD"/>
    <w:rsid w:val="009C78F9"/>
    <w:rsid w:val="009C7ACF"/>
    <w:rsid w:val="009D056B"/>
    <w:rsid w:val="009D0799"/>
    <w:rsid w:val="009D18F9"/>
    <w:rsid w:val="009D20A5"/>
    <w:rsid w:val="009D2206"/>
    <w:rsid w:val="009D29F4"/>
    <w:rsid w:val="009D2C3E"/>
    <w:rsid w:val="009D3192"/>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7903"/>
    <w:rsid w:val="009E7D61"/>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9F7E9F"/>
    <w:rsid w:val="009F7EAC"/>
    <w:rsid w:val="00A001D4"/>
    <w:rsid w:val="00A002A6"/>
    <w:rsid w:val="00A0187E"/>
    <w:rsid w:val="00A018CB"/>
    <w:rsid w:val="00A03864"/>
    <w:rsid w:val="00A03C47"/>
    <w:rsid w:val="00A03F4F"/>
    <w:rsid w:val="00A047BF"/>
    <w:rsid w:val="00A04FAA"/>
    <w:rsid w:val="00A0651C"/>
    <w:rsid w:val="00A06A55"/>
    <w:rsid w:val="00A06E6C"/>
    <w:rsid w:val="00A071EF"/>
    <w:rsid w:val="00A07F7B"/>
    <w:rsid w:val="00A10E84"/>
    <w:rsid w:val="00A11553"/>
    <w:rsid w:val="00A11724"/>
    <w:rsid w:val="00A11DCE"/>
    <w:rsid w:val="00A11EBD"/>
    <w:rsid w:val="00A13878"/>
    <w:rsid w:val="00A138C1"/>
    <w:rsid w:val="00A14D0F"/>
    <w:rsid w:val="00A15375"/>
    <w:rsid w:val="00A16497"/>
    <w:rsid w:val="00A166EB"/>
    <w:rsid w:val="00A16792"/>
    <w:rsid w:val="00A167D9"/>
    <w:rsid w:val="00A16AE1"/>
    <w:rsid w:val="00A16F86"/>
    <w:rsid w:val="00A20040"/>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2CF"/>
    <w:rsid w:val="00A326FB"/>
    <w:rsid w:val="00A331E1"/>
    <w:rsid w:val="00A33DED"/>
    <w:rsid w:val="00A343CC"/>
    <w:rsid w:val="00A3493E"/>
    <w:rsid w:val="00A351F9"/>
    <w:rsid w:val="00A355FC"/>
    <w:rsid w:val="00A36523"/>
    <w:rsid w:val="00A36AB8"/>
    <w:rsid w:val="00A36D9A"/>
    <w:rsid w:val="00A37D02"/>
    <w:rsid w:val="00A40040"/>
    <w:rsid w:val="00A41068"/>
    <w:rsid w:val="00A4168D"/>
    <w:rsid w:val="00A42474"/>
    <w:rsid w:val="00A4282D"/>
    <w:rsid w:val="00A429CF"/>
    <w:rsid w:val="00A4406D"/>
    <w:rsid w:val="00A44CEC"/>
    <w:rsid w:val="00A4642F"/>
    <w:rsid w:val="00A50E73"/>
    <w:rsid w:val="00A514E9"/>
    <w:rsid w:val="00A51A41"/>
    <w:rsid w:val="00A52D13"/>
    <w:rsid w:val="00A5326C"/>
    <w:rsid w:val="00A538DF"/>
    <w:rsid w:val="00A538F9"/>
    <w:rsid w:val="00A53D36"/>
    <w:rsid w:val="00A54581"/>
    <w:rsid w:val="00A54BE2"/>
    <w:rsid w:val="00A55020"/>
    <w:rsid w:val="00A5562F"/>
    <w:rsid w:val="00A558BC"/>
    <w:rsid w:val="00A559C1"/>
    <w:rsid w:val="00A5693C"/>
    <w:rsid w:val="00A56DAA"/>
    <w:rsid w:val="00A571F0"/>
    <w:rsid w:val="00A601AD"/>
    <w:rsid w:val="00A60E6C"/>
    <w:rsid w:val="00A61574"/>
    <w:rsid w:val="00A61740"/>
    <w:rsid w:val="00A61F01"/>
    <w:rsid w:val="00A623BB"/>
    <w:rsid w:val="00A635DE"/>
    <w:rsid w:val="00A650CC"/>
    <w:rsid w:val="00A6516F"/>
    <w:rsid w:val="00A65672"/>
    <w:rsid w:val="00A6638C"/>
    <w:rsid w:val="00A664A1"/>
    <w:rsid w:val="00A668EF"/>
    <w:rsid w:val="00A672F7"/>
    <w:rsid w:val="00A67397"/>
    <w:rsid w:val="00A6744D"/>
    <w:rsid w:val="00A675F5"/>
    <w:rsid w:val="00A676D0"/>
    <w:rsid w:val="00A71CED"/>
    <w:rsid w:val="00A72B84"/>
    <w:rsid w:val="00A72BAA"/>
    <w:rsid w:val="00A7316C"/>
    <w:rsid w:val="00A739E5"/>
    <w:rsid w:val="00A759C8"/>
    <w:rsid w:val="00A7686A"/>
    <w:rsid w:val="00A779A2"/>
    <w:rsid w:val="00A80343"/>
    <w:rsid w:val="00A80826"/>
    <w:rsid w:val="00A809BB"/>
    <w:rsid w:val="00A80D93"/>
    <w:rsid w:val="00A81126"/>
    <w:rsid w:val="00A817D4"/>
    <w:rsid w:val="00A81A21"/>
    <w:rsid w:val="00A82DBB"/>
    <w:rsid w:val="00A83181"/>
    <w:rsid w:val="00A83393"/>
    <w:rsid w:val="00A83E2C"/>
    <w:rsid w:val="00A841D4"/>
    <w:rsid w:val="00A84608"/>
    <w:rsid w:val="00A84A7E"/>
    <w:rsid w:val="00A84E73"/>
    <w:rsid w:val="00A869C1"/>
    <w:rsid w:val="00A86D2A"/>
    <w:rsid w:val="00A9007D"/>
    <w:rsid w:val="00A900EC"/>
    <w:rsid w:val="00A905EC"/>
    <w:rsid w:val="00A90A74"/>
    <w:rsid w:val="00A919E0"/>
    <w:rsid w:val="00A91B21"/>
    <w:rsid w:val="00A91DE1"/>
    <w:rsid w:val="00A92D77"/>
    <w:rsid w:val="00A92E00"/>
    <w:rsid w:val="00A93905"/>
    <w:rsid w:val="00A93990"/>
    <w:rsid w:val="00A93AEC"/>
    <w:rsid w:val="00A93BDC"/>
    <w:rsid w:val="00A94072"/>
    <w:rsid w:val="00A9454E"/>
    <w:rsid w:val="00A94C54"/>
    <w:rsid w:val="00A95B37"/>
    <w:rsid w:val="00A95B9E"/>
    <w:rsid w:val="00A95C37"/>
    <w:rsid w:val="00A95FCF"/>
    <w:rsid w:val="00A96727"/>
    <w:rsid w:val="00AA0074"/>
    <w:rsid w:val="00AA0355"/>
    <w:rsid w:val="00AA0CD1"/>
    <w:rsid w:val="00AA1325"/>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A6FBD"/>
    <w:rsid w:val="00AB0D21"/>
    <w:rsid w:val="00AB104B"/>
    <w:rsid w:val="00AB12B6"/>
    <w:rsid w:val="00AB155D"/>
    <w:rsid w:val="00AB19E8"/>
    <w:rsid w:val="00AB1BFB"/>
    <w:rsid w:val="00AB27C4"/>
    <w:rsid w:val="00AB2B34"/>
    <w:rsid w:val="00AB3260"/>
    <w:rsid w:val="00AB329A"/>
    <w:rsid w:val="00AB3E4A"/>
    <w:rsid w:val="00AB4C7A"/>
    <w:rsid w:val="00AB5277"/>
    <w:rsid w:val="00AB5612"/>
    <w:rsid w:val="00AB56DB"/>
    <w:rsid w:val="00AB57F4"/>
    <w:rsid w:val="00AB5A1F"/>
    <w:rsid w:val="00AB5ED6"/>
    <w:rsid w:val="00AB7C28"/>
    <w:rsid w:val="00AB7C44"/>
    <w:rsid w:val="00AC017D"/>
    <w:rsid w:val="00AC1BC7"/>
    <w:rsid w:val="00AC1D25"/>
    <w:rsid w:val="00AC1E62"/>
    <w:rsid w:val="00AC2013"/>
    <w:rsid w:val="00AC2169"/>
    <w:rsid w:val="00AC24E8"/>
    <w:rsid w:val="00AC2938"/>
    <w:rsid w:val="00AC302B"/>
    <w:rsid w:val="00AC3DBE"/>
    <w:rsid w:val="00AC425A"/>
    <w:rsid w:val="00AC4453"/>
    <w:rsid w:val="00AC447D"/>
    <w:rsid w:val="00AC4A4A"/>
    <w:rsid w:val="00AC4B18"/>
    <w:rsid w:val="00AC5A05"/>
    <w:rsid w:val="00AC5A9E"/>
    <w:rsid w:val="00AC5AD9"/>
    <w:rsid w:val="00AC604E"/>
    <w:rsid w:val="00AC617F"/>
    <w:rsid w:val="00AC6528"/>
    <w:rsid w:val="00AC6ED6"/>
    <w:rsid w:val="00AC70F9"/>
    <w:rsid w:val="00AC7B95"/>
    <w:rsid w:val="00AD0D23"/>
    <w:rsid w:val="00AD12F1"/>
    <w:rsid w:val="00AD3A40"/>
    <w:rsid w:val="00AD42A7"/>
    <w:rsid w:val="00AD46E2"/>
    <w:rsid w:val="00AD5055"/>
    <w:rsid w:val="00AD5CC5"/>
    <w:rsid w:val="00AD5E46"/>
    <w:rsid w:val="00AD6108"/>
    <w:rsid w:val="00AD641C"/>
    <w:rsid w:val="00AD717A"/>
    <w:rsid w:val="00AE0429"/>
    <w:rsid w:val="00AE1295"/>
    <w:rsid w:val="00AE13ED"/>
    <w:rsid w:val="00AE1413"/>
    <w:rsid w:val="00AE171F"/>
    <w:rsid w:val="00AE1CC5"/>
    <w:rsid w:val="00AE1D9B"/>
    <w:rsid w:val="00AE3735"/>
    <w:rsid w:val="00AE3A0A"/>
    <w:rsid w:val="00AE3B35"/>
    <w:rsid w:val="00AE543A"/>
    <w:rsid w:val="00AE54D5"/>
    <w:rsid w:val="00AE5709"/>
    <w:rsid w:val="00AE5C2E"/>
    <w:rsid w:val="00AE6146"/>
    <w:rsid w:val="00AE7AC8"/>
    <w:rsid w:val="00AE7C3E"/>
    <w:rsid w:val="00AF0558"/>
    <w:rsid w:val="00AF080A"/>
    <w:rsid w:val="00AF0BE2"/>
    <w:rsid w:val="00AF1A1B"/>
    <w:rsid w:val="00AF1DE6"/>
    <w:rsid w:val="00AF22F0"/>
    <w:rsid w:val="00AF277A"/>
    <w:rsid w:val="00AF2926"/>
    <w:rsid w:val="00AF3AE2"/>
    <w:rsid w:val="00AF45D2"/>
    <w:rsid w:val="00AF4702"/>
    <w:rsid w:val="00AF4D25"/>
    <w:rsid w:val="00AF58DD"/>
    <w:rsid w:val="00AF5B9A"/>
    <w:rsid w:val="00AF5C44"/>
    <w:rsid w:val="00AF5FF2"/>
    <w:rsid w:val="00AF60CD"/>
    <w:rsid w:val="00AF6517"/>
    <w:rsid w:val="00AF6D72"/>
    <w:rsid w:val="00AF6DC7"/>
    <w:rsid w:val="00AF6EB6"/>
    <w:rsid w:val="00AF715A"/>
    <w:rsid w:val="00AF7F0A"/>
    <w:rsid w:val="00B007AA"/>
    <w:rsid w:val="00B00C60"/>
    <w:rsid w:val="00B01E4B"/>
    <w:rsid w:val="00B022B3"/>
    <w:rsid w:val="00B03CF8"/>
    <w:rsid w:val="00B03F9D"/>
    <w:rsid w:val="00B044BA"/>
    <w:rsid w:val="00B0463D"/>
    <w:rsid w:val="00B04DEA"/>
    <w:rsid w:val="00B05054"/>
    <w:rsid w:val="00B05DE0"/>
    <w:rsid w:val="00B05F77"/>
    <w:rsid w:val="00B0632F"/>
    <w:rsid w:val="00B06642"/>
    <w:rsid w:val="00B073A9"/>
    <w:rsid w:val="00B10B7E"/>
    <w:rsid w:val="00B10BB1"/>
    <w:rsid w:val="00B1126D"/>
    <w:rsid w:val="00B11BEB"/>
    <w:rsid w:val="00B125AD"/>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3B12"/>
    <w:rsid w:val="00B25F1A"/>
    <w:rsid w:val="00B268E8"/>
    <w:rsid w:val="00B307D7"/>
    <w:rsid w:val="00B31744"/>
    <w:rsid w:val="00B31CD7"/>
    <w:rsid w:val="00B323DA"/>
    <w:rsid w:val="00B328BF"/>
    <w:rsid w:val="00B32F40"/>
    <w:rsid w:val="00B3345D"/>
    <w:rsid w:val="00B33AE6"/>
    <w:rsid w:val="00B33EB3"/>
    <w:rsid w:val="00B341A9"/>
    <w:rsid w:val="00B34A41"/>
    <w:rsid w:val="00B36353"/>
    <w:rsid w:val="00B372DB"/>
    <w:rsid w:val="00B37398"/>
    <w:rsid w:val="00B37810"/>
    <w:rsid w:val="00B3798A"/>
    <w:rsid w:val="00B4011A"/>
    <w:rsid w:val="00B404E4"/>
    <w:rsid w:val="00B4140C"/>
    <w:rsid w:val="00B41A93"/>
    <w:rsid w:val="00B4204D"/>
    <w:rsid w:val="00B44300"/>
    <w:rsid w:val="00B45182"/>
    <w:rsid w:val="00B46136"/>
    <w:rsid w:val="00B4669C"/>
    <w:rsid w:val="00B46853"/>
    <w:rsid w:val="00B468BD"/>
    <w:rsid w:val="00B470B2"/>
    <w:rsid w:val="00B47C5E"/>
    <w:rsid w:val="00B47EE9"/>
    <w:rsid w:val="00B51921"/>
    <w:rsid w:val="00B51F4C"/>
    <w:rsid w:val="00B522D0"/>
    <w:rsid w:val="00B52430"/>
    <w:rsid w:val="00B52F19"/>
    <w:rsid w:val="00B52F91"/>
    <w:rsid w:val="00B54A8D"/>
    <w:rsid w:val="00B552AB"/>
    <w:rsid w:val="00B567E8"/>
    <w:rsid w:val="00B56948"/>
    <w:rsid w:val="00B56F73"/>
    <w:rsid w:val="00B576F8"/>
    <w:rsid w:val="00B57D33"/>
    <w:rsid w:val="00B60B04"/>
    <w:rsid w:val="00B60B27"/>
    <w:rsid w:val="00B61391"/>
    <w:rsid w:val="00B61705"/>
    <w:rsid w:val="00B6195F"/>
    <w:rsid w:val="00B62C2A"/>
    <w:rsid w:val="00B62E23"/>
    <w:rsid w:val="00B6368C"/>
    <w:rsid w:val="00B64E68"/>
    <w:rsid w:val="00B65199"/>
    <w:rsid w:val="00B65208"/>
    <w:rsid w:val="00B65403"/>
    <w:rsid w:val="00B655B2"/>
    <w:rsid w:val="00B6636D"/>
    <w:rsid w:val="00B66569"/>
    <w:rsid w:val="00B67B45"/>
    <w:rsid w:val="00B7082C"/>
    <w:rsid w:val="00B7090F"/>
    <w:rsid w:val="00B70F54"/>
    <w:rsid w:val="00B71ED1"/>
    <w:rsid w:val="00B71F06"/>
    <w:rsid w:val="00B72721"/>
    <w:rsid w:val="00B729BC"/>
    <w:rsid w:val="00B73E78"/>
    <w:rsid w:val="00B74AD7"/>
    <w:rsid w:val="00B7655B"/>
    <w:rsid w:val="00B76DE0"/>
    <w:rsid w:val="00B76E0D"/>
    <w:rsid w:val="00B76FFF"/>
    <w:rsid w:val="00B77445"/>
    <w:rsid w:val="00B77911"/>
    <w:rsid w:val="00B8027D"/>
    <w:rsid w:val="00B80CE1"/>
    <w:rsid w:val="00B8129E"/>
    <w:rsid w:val="00B81850"/>
    <w:rsid w:val="00B81DFF"/>
    <w:rsid w:val="00B82652"/>
    <w:rsid w:val="00B828F6"/>
    <w:rsid w:val="00B82A1D"/>
    <w:rsid w:val="00B82A89"/>
    <w:rsid w:val="00B82BA7"/>
    <w:rsid w:val="00B8461D"/>
    <w:rsid w:val="00B85DC5"/>
    <w:rsid w:val="00B86CD5"/>
    <w:rsid w:val="00B87004"/>
    <w:rsid w:val="00B87730"/>
    <w:rsid w:val="00B87986"/>
    <w:rsid w:val="00B87F88"/>
    <w:rsid w:val="00B90D76"/>
    <w:rsid w:val="00B90DCE"/>
    <w:rsid w:val="00B9156E"/>
    <w:rsid w:val="00B923D7"/>
    <w:rsid w:val="00B92817"/>
    <w:rsid w:val="00B92AB1"/>
    <w:rsid w:val="00B94825"/>
    <w:rsid w:val="00B94C9D"/>
    <w:rsid w:val="00B9595C"/>
    <w:rsid w:val="00B96267"/>
    <w:rsid w:val="00B96B4D"/>
    <w:rsid w:val="00B9723B"/>
    <w:rsid w:val="00B9750D"/>
    <w:rsid w:val="00B97E38"/>
    <w:rsid w:val="00BA0150"/>
    <w:rsid w:val="00BA094D"/>
    <w:rsid w:val="00BA38B7"/>
    <w:rsid w:val="00BA4D3F"/>
    <w:rsid w:val="00BA51BC"/>
    <w:rsid w:val="00BA584A"/>
    <w:rsid w:val="00BA6F0D"/>
    <w:rsid w:val="00BA7502"/>
    <w:rsid w:val="00BB0244"/>
    <w:rsid w:val="00BB0EAA"/>
    <w:rsid w:val="00BB1259"/>
    <w:rsid w:val="00BB23B4"/>
    <w:rsid w:val="00BB2ACA"/>
    <w:rsid w:val="00BB2F3C"/>
    <w:rsid w:val="00BB342B"/>
    <w:rsid w:val="00BB3627"/>
    <w:rsid w:val="00BB36EB"/>
    <w:rsid w:val="00BB3F54"/>
    <w:rsid w:val="00BB48E0"/>
    <w:rsid w:val="00BB48F4"/>
    <w:rsid w:val="00BB4A65"/>
    <w:rsid w:val="00BB4CC3"/>
    <w:rsid w:val="00BB5265"/>
    <w:rsid w:val="00BB6555"/>
    <w:rsid w:val="00BB68ED"/>
    <w:rsid w:val="00BB6968"/>
    <w:rsid w:val="00BB7DF1"/>
    <w:rsid w:val="00BC03D7"/>
    <w:rsid w:val="00BC0E65"/>
    <w:rsid w:val="00BC12AD"/>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E3C"/>
    <w:rsid w:val="00BD4F8D"/>
    <w:rsid w:val="00BD5C88"/>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4E7"/>
    <w:rsid w:val="00BE29DB"/>
    <w:rsid w:val="00BE2A62"/>
    <w:rsid w:val="00BE349A"/>
    <w:rsid w:val="00BE3694"/>
    <w:rsid w:val="00BE4DD5"/>
    <w:rsid w:val="00BE5EA5"/>
    <w:rsid w:val="00BE652D"/>
    <w:rsid w:val="00BE740B"/>
    <w:rsid w:val="00BE7574"/>
    <w:rsid w:val="00BE79E8"/>
    <w:rsid w:val="00BF0216"/>
    <w:rsid w:val="00BF05BE"/>
    <w:rsid w:val="00BF1D7E"/>
    <w:rsid w:val="00BF206D"/>
    <w:rsid w:val="00BF2422"/>
    <w:rsid w:val="00BF34F4"/>
    <w:rsid w:val="00BF4E9D"/>
    <w:rsid w:val="00BF5224"/>
    <w:rsid w:val="00BF526C"/>
    <w:rsid w:val="00BF550C"/>
    <w:rsid w:val="00BF55B1"/>
    <w:rsid w:val="00BF56B5"/>
    <w:rsid w:val="00BF6092"/>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688"/>
    <w:rsid w:val="00C11698"/>
    <w:rsid w:val="00C117C5"/>
    <w:rsid w:val="00C12650"/>
    <w:rsid w:val="00C1284C"/>
    <w:rsid w:val="00C13956"/>
    <w:rsid w:val="00C13D84"/>
    <w:rsid w:val="00C14312"/>
    <w:rsid w:val="00C14CF2"/>
    <w:rsid w:val="00C15743"/>
    <w:rsid w:val="00C162AD"/>
    <w:rsid w:val="00C1691E"/>
    <w:rsid w:val="00C16A45"/>
    <w:rsid w:val="00C16C9B"/>
    <w:rsid w:val="00C16D42"/>
    <w:rsid w:val="00C1741B"/>
    <w:rsid w:val="00C17A99"/>
    <w:rsid w:val="00C21330"/>
    <w:rsid w:val="00C22276"/>
    <w:rsid w:val="00C228B8"/>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4B90"/>
    <w:rsid w:val="00C34D57"/>
    <w:rsid w:val="00C3550A"/>
    <w:rsid w:val="00C35688"/>
    <w:rsid w:val="00C359A1"/>
    <w:rsid w:val="00C35C3A"/>
    <w:rsid w:val="00C35D09"/>
    <w:rsid w:val="00C36BAB"/>
    <w:rsid w:val="00C37508"/>
    <w:rsid w:val="00C40091"/>
    <w:rsid w:val="00C4046C"/>
    <w:rsid w:val="00C41BBE"/>
    <w:rsid w:val="00C41CC4"/>
    <w:rsid w:val="00C42095"/>
    <w:rsid w:val="00C42ABD"/>
    <w:rsid w:val="00C43179"/>
    <w:rsid w:val="00C4378E"/>
    <w:rsid w:val="00C4418B"/>
    <w:rsid w:val="00C447AA"/>
    <w:rsid w:val="00C44A6B"/>
    <w:rsid w:val="00C44AFD"/>
    <w:rsid w:val="00C44F77"/>
    <w:rsid w:val="00C4507A"/>
    <w:rsid w:val="00C460F5"/>
    <w:rsid w:val="00C4628C"/>
    <w:rsid w:val="00C469C2"/>
    <w:rsid w:val="00C47B8B"/>
    <w:rsid w:val="00C47C16"/>
    <w:rsid w:val="00C50596"/>
    <w:rsid w:val="00C51334"/>
    <w:rsid w:val="00C516C6"/>
    <w:rsid w:val="00C52300"/>
    <w:rsid w:val="00C52790"/>
    <w:rsid w:val="00C5292C"/>
    <w:rsid w:val="00C52BAE"/>
    <w:rsid w:val="00C52C71"/>
    <w:rsid w:val="00C52F01"/>
    <w:rsid w:val="00C52FD1"/>
    <w:rsid w:val="00C5312C"/>
    <w:rsid w:val="00C55113"/>
    <w:rsid w:val="00C5690E"/>
    <w:rsid w:val="00C5692C"/>
    <w:rsid w:val="00C56F72"/>
    <w:rsid w:val="00C5740A"/>
    <w:rsid w:val="00C57506"/>
    <w:rsid w:val="00C57E0C"/>
    <w:rsid w:val="00C57FAB"/>
    <w:rsid w:val="00C607D4"/>
    <w:rsid w:val="00C609D0"/>
    <w:rsid w:val="00C60F23"/>
    <w:rsid w:val="00C60FD8"/>
    <w:rsid w:val="00C61FE2"/>
    <w:rsid w:val="00C6209A"/>
    <w:rsid w:val="00C622BC"/>
    <w:rsid w:val="00C63986"/>
    <w:rsid w:val="00C63AC3"/>
    <w:rsid w:val="00C63BA8"/>
    <w:rsid w:val="00C640F5"/>
    <w:rsid w:val="00C642C7"/>
    <w:rsid w:val="00C650C9"/>
    <w:rsid w:val="00C65BD7"/>
    <w:rsid w:val="00C662DF"/>
    <w:rsid w:val="00C670B3"/>
    <w:rsid w:val="00C67F76"/>
    <w:rsid w:val="00C701D1"/>
    <w:rsid w:val="00C70352"/>
    <w:rsid w:val="00C71E29"/>
    <w:rsid w:val="00C7327A"/>
    <w:rsid w:val="00C7376E"/>
    <w:rsid w:val="00C74051"/>
    <w:rsid w:val="00C7439D"/>
    <w:rsid w:val="00C743CF"/>
    <w:rsid w:val="00C74CF1"/>
    <w:rsid w:val="00C75459"/>
    <w:rsid w:val="00C75A77"/>
    <w:rsid w:val="00C75A78"/>
    <w:rsid w:val="00C75DEB"/>
    <w:rsid w:val="00C76322"/>
    <w:rsid w:val="00C76A6E"/>
    <w:rsid w:val="00C804C3"/>
    <w:rsid w:val="00C81C15"/>
    <w:rsid w:val="00C821BE"/>
    <w:rsid w:val="00C82ABD"/>
    <w:rsid w:val="00C82F3B"/>
    <w:rsid w:val="00C83B21"/>
    <w:rsid w:val="00C8407C"/>
    <w:rsid w:val="00C84245"/>
    <w:rsid w:val="00C8462F"/>
    <w:rsid w:val="00C8613C"/>
    <w:rsid w:val="00C86B26"/>
    <w:rsid w:val="00C86E3E"/>
    <w:rsid w:val="00C9030D"/>
    <w:rsid w:val="00C9094E"/>
    <w:rsid w:val="00C90E8A"/>
    <w:rsid w:val="00C911F1"/>
    <w:rsid w:val="00C912B9"/>
    <w:rsid w:val="00C915EF"/>
    <w:rsid w:val="00C91BAE"/>
    <w:rsid w:val="00C91E06"/>
    <w:rsid w:val="00C92FCB"/>
    <w:rsid w:val="00C93754"/>
    <w:rsid w:val="00C937E5"/>
    <w:rsid w:val="00C93AFA"/>
    <w:rsid w:val="00C940CE"/>
    <w:rsid w:val="00C94465"/>
    <w:rsid w:val="00C94987"/>
    <w:rsid w:val="00C94E7B"/>
    <w:rsid w:val="00C9514F"/>
    <w:rsid w:val="00C95604"/>
    <w:rsid w:val="00C95F24"/>
    <w:rsid w:val="00C96230"/>
    <w:rsid w:val="00C96595"/>
    <w:rsid w:val="00C96CB1"/>
    <w:rsid w:val="00CA0704"/>
    <w:rsid w:val="00CA093B"/>
    <w:rsid w:val="00CA0D8A"/>
    <w:rsid w:val="00CA128B"/>
    <w:rsid w:val="00CA16AF"/>
    <w:rsid w:val="00CA16C7"/>
    <w:rsid w:val="00CA318B"/>
    <w:rsid w:val="00CA323A"/>
    <w:rsid w:val="00CA325F"/>
    <w:rsid w:val="00CA3625"/>
    <w:rsid w:val="00CA3DC4"/>
    <w:rsid w:val="00CA4058"/>
    <w:rsid w:val="00CA408E"/>
    <w:rsid w:val="00CA4888"/>
    <w:rsid w:val="00CA49F7"/>
    <w:rsid w:val="00CA4A88"/>
    <w:rsid w:val="00CA4BC1"/>
    <w:rsid w:val="00CA54EE"/>
    <w:rsid w:val="00CA5EA0"/>
    <w:rsid w:val="00CA648C"/>
    <w:rsid w:val="00CB0300"/>
    <w:rsid w:val="00CB0B81"/>
    <w:rsid w:val="00CB136F"/>
    <w:rsid w:val="00CB1642"/>
    <w:rsid w:val="00CB17A6"/>
    <w:rsid w:val="00CB2CBF"/>
    <w:rsid w:val="00CB3C8F"/>
    <w:rsid w:val="00CB44AB"/>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A55"/>
    <w:rsid w:val="00CD4173"/>
    <w:rsid w:val="00CD4760"/>
    <w:rsid w:val="00CD56C7"/>
    <w:rsid w:val="00CD596E"/>
    <w:rsid w:val="00CD5BB9"/>
    <w:rsid w:val="00CD6297"/>
    <w:rsid w:val="00CD6635"/>
    <w:rsid w:val="00CD674A"/>
    <w:rsid w:val="00CD685D"/>
    <w:rsid w:val="00CD6B80"/>
    <w:rsid w:val="00CD788F"/>
    <w:rsid w:val="00CE077E"/>
    <w:rsid w:val="00CE0D3F"/>
    <w:rsid w:val="00CE174F"/>
    <w:rsid w:val="00CE1860"/>
    <w:rsid w:val="00CE1B9C"/>
    <w:rsid w:val="00CE219A"/>
    <w:rsid w:val="00CE2743"/>
    <w:rsid w:val="00CE2B91"/>
    <w:rsid w:val="00CE4492"/>
    <w:rsid w:val="00CE4756"/>
    <w:rsid w:val="00CE49FB"/>
    <w:rsid w:val="00CE4D30"/>
    <w:rsid w:val="00CE598E"/>
    <w:rsid w:val="00CE5C6B"/>
    <w:rsid w:val="00CE6389"/>
    <w:rsid w:val="00CE66F8"/>
    <w:rsid w:val="00CE717D"/>
    <w:rsid w:val="00CE7577"/>
    <w:rsid w:val="00CE7BBB"/>
    <w:rsid w:val="00CF026E"/>
    <w:rsid w:val="00CF04F1"/>
    <w:rsid w:val="00CF1100"/>
    <w:rsid w:val="00CF11EC"/>
    <w:rsid w:val="00CF1AA6"/>
    <w:rsid w:val="00CF1AB4"/>
    <w:rsid w:val="00CF2843"/>
    <w:rsid w:val="00CF37EE"/>
    <w:rsid w:val="00CF45BA"/>
    <w:rsid w:val="00CF4725"/>
    <w:rsid w:val="00CF5527"/>
    <w:rsid w:val="00CF60A8"/>
    <w:rsid w:val="00CF6D66"/>
    <w:rsid w:val="00CF7CA5"/>
    <w:rsid w:val="00D01CC7"/>
    <w:rsid w:val="00D02338"/>
    <w:rsid w:val="00D023EC"/>
    <w:rsid w:val="00D02806"/>
    <w:rsid w:val="00D02E81"/>
    <w:rsid w:val="00D0440D"/>
    <w:rsid w:val="00D0459F"/>
    <w:rsid w:val="00D053C7"/>
    <w:rsid w:val="00D05492"/>
    <w:rsid w:val="00D05AFD"/>
    <w:rsid w:val="00D06934"/>
    <w:rsid w:val="00D06942"/>
    <w:rsid w:val="00D07009"/>
    <w:rsid w:val="00D07DB9"/>
    <w:rsid w:val="00D07EE8"/>
    <w:rsid w:val="00D10B40"/>
    <w:rsid w:val="00D12877"/>
    <w:rsid w:val="00D1293D"/>
    <w:rsid w:val="00D132C5"/>
    <w:rsid w:val="00D1379F"/>
    <w:rsid w:val="00D14946"/>
    <w:rsid w:val="00D14D64"/>
    <w:rsid w:val="00D14F2A"/>
    <w:rsid w:val="00D1526A"/>
    <w:rsid w:val="00D152CC"/>
    <w:rsid w:val="00D15C23"/>
    <w:rsid w:val="00D15C3C"/>
    <w:rsid w:val="00D15DA8"/>
    <w:rsid w:val="00D163AE"/>
    <w:rsid w:val="00D169C0"/>
    <w:rsid w:val="00D175B9"/>
    <w:rsid w:val="00D17613"/>
    <w:rsid w:val="00D20109"/>
    <w:rsid w:val="00D20184"/>
    <w:rsid w:val="00D20779"/>
    <w:rsid w:val="00D20DEA"/>
    <w:rsid w:val="00D224DB"/>
    <w:rsid w:val="00D23D79"/>
    <w:rsid w:val="00D23DD8"/>
    <w:rsid w:val="00D23FD7"/>
    <w:rsid w:val="00D2425F"/>
    <w:rsid w:val="00D24BDB"/>
    <w:rsid w:val="00D25025"/>
    <w:rsid w:val="00D26ADC"/>
    <w:rsid w:val="00D30800"/>
    <w:rsid w:val="00D30CB1"/>
    <w:rsid w:val="00D3160C"/>
    <w:rsid w:val="00D3185A"/>
    <w:rsid w:val="00D32FC2"/>
    <w:rsid w:val="00D333C1"/>
    <w:rsid w:val="00D3382E"/>
    <w:rsid w:val="00D33928"/>
    <w:rsid w:val="00D33E30"/>
    <w:rsid w:val="00D33EFD"/>
    <w:rsid w:val="00D340E0"/>
    <w:rsid w:val="00D34847"/>
    <w:rsid w:val="00D3500B"/>
    <w:rsid w:val="00D35AB4"/>
    <w:rsid w:val="00D35E52"/>
    <w:rsid w:val="00D35F0A"/>
    <w:rsid w:val="00D3619E"/>
    <w:rsid w:val="00D36274"/>
    <w:rsid w:val="00D3685A"/>
    <w:rsid w:val="00D3754F"/>
    <w:rsid w:val="00D40196"/>
    <w:rsid w:val="00D4118C"/>
    <w:rsid w:val="00D416B9"/>
    <w:rsid w:val="00D41B75"/>
    <w:rsid w:val="00D41F6D"/>
    <w:rsid w:val="00D422FD"/>
    <w:rsid w:val="00D42CAF"/>
    <w:rsid w:val="00D4312F"/>
    <w:rsid w:val="00D432A4"/>
    <w:rsid w:val="00D43B4D"/>
    <w:rsid w:val="00D43F23"/>
    <w:rsid w:val="00D43F41"/>
    <w:rsid w:val="00D44716"/>
    <w:rsid w:val="00D455BC"/>
    <w:rsid w:val="00D4572F"/>
    <w:rsid w:val="00D46A7A"/>
    <w:rsid w:val="00D46F4F"/>
    <w:rsid w:val="00D475A1"/>
    <w:rsid w:val="00D4770C"/>
    <w:rsid w:val="00D47865"/>
    <w:rsid w:val="00D47D13"/>
    <w:rsid w:val="00D47D83"/>
    <w:rsid w:val="00D50547"/>
    <w:rsid w:val="00D511EB"/>
    <w:rsid w:val="00D51958"/>
    <w:rsid w:val="00D51E40"/>
    <w:rsid w:val="00D52AEB"/>
    <w:rsid w:val="00D536C5"/>
    <w:rsid w:val="00D5375B"/>
    <w:rsid w:val="00D54531"/>
    <w:rsid w:val="00D545F1"/>
    <w:rsid w:val="00D54BAC"/>
    <w:rsid w:val="00D5539C"/>
    <w:rsid w:val="00D55858"/>
    <w:rsid w:val="00D5619C"/>
    <w:rsid w:val="00D561A0"/>
    <w:rsid w:val="00D561A4"/>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30F"/>
    <w:rsid w:val="00D63707"/>
    <w:rsid w:val="00D63B14"/>
    <w:rsid w:val="00D63E0A"/>
    <w:rsid w:val="00D64361"/>
    <w:rsid w:val="00D644FB"/>
    <w:rsid w:val="00D6473D"/>
    <w:rsid w:val="00D64838"/>
    <w:rsid w:val="00D65FCD"/>
    <w:rsid w:val="00D66866"/>
    <w:rsid w:val="00D67530"/>
    <w:rsid w:val="00D67709"/>
    <w:rsid w:val="00D67F41"/>
    <w:rsid w:val="00D70DB6"/>
    <w:rsid w:val="00D7239C"/>
    <w:rsid w:val="00D72AC1"/>
    <w:rsid w:val="00D73735"/>
    <w:rsid w:val="00D74927"/>
    <w:rsid w:val="00D74E8E"/>
    <w:rsid w:val="00D75483"/>
    <w:rsid w:val="00D75A9F"/>
    <w:rsid w:val="00D76BEB"/>
    <w:rsid w:val="00D76EA4"/>
    <w:rsid w:val="00D77526"/>
    <w:rsid w:val="00D77A92"/>
    <w:rsid w:val="00D77C40"/>
    <w:rsid w:val="00D77FA8"/>
    <w:rsid w:val="00D8041C"/>
    <w:rsid w:val="00D81ACE"/>
    <w:rsid w:val="00D81E36"/>
    <w:rsid w:val="00D82616"/>
    <w:rsid w:val="00D82D56"/>
    <w:rsid w:val="00D8339E"/>
    <w:rsid w:val="00D83C22"/>
    <w:rsid w:val="00D844A5"/>
    <w:rsid w:val="00D84BE4"/>
    <w:rsid w:val="00D85109"/>
    <w:rsid w:val="00D859E2"/>
    <w:rsid w:val="00D86D26"/>
    <w:rsid w:val="00D87553"/>
    <w:rsid w:val="00D901A0"/>
    <w:rsid w:val="00D9069A"/>
    <w:rsid w:val="00D907A9"/>
    <w:rsid w:val="00D908D8"/>
    <w:rsid w:val="00D90E8A"/>
    <w:rsid w:val="00D913F8"/>
    <w:rsid w:val="00D914F0"/>
    <w:rsid w:val="00D9161F"/>
    <w:rsid w:val="00D91D21"/>
    <w:rsid w:val="00D925C9"/>
    <w:rsid w:val="00D92911"/>
    <w:rsid w:val="00D92992"/>
    <w:rsid w:val="00D9345D"/>
    <w:rsid w:val="00D941B3"/>
    <w:rsid w:val="00D94460"/>
    <w:rsid w:val="00D94EBE"/>
    <w:rsid w:val="00D95074"/>
    <w:rsid w:val="00D955AD"/>
    <w:rsid w:val="00D95A9B"/>
    <w:rsid w:val="00D960E8"/>
    <w:rsid w:val="00D97576"/>
    <w:rsid w:val="00D97B08"/>
    <w:rsid w:val="00D97B3E"/>
    <w:rsid w:val="00D97C50"/>
    <w:rsid w:val="00DA043C"/>
    <w:rsid w:val="00DA05D8"/>
    <w:rsid w:val="00DA0872"/>
    <w:rsid w:val="00DA0B80"/>
    <w:rsid w:val="00DA0E57"/>
    <w:rsid w:val="00DA164C"/>
    <w:rsid w:val="00DA2594"/>
    <w:rsid w:val="00DA2A39"/>
    <w:rsid w:val="00DA2F2B"/>
    <w:rsid w:val="00DA30BD"/>
    <w:rsid w:val="00DA3445"/>
    <w:rsid w:val="00DA3819"/>
    <w:rsid w:val="00DA4208"/>
    <w:rsid w:val="00DA4253"/>
    <w:rsid w:val="00DA4418"/>
    <w:rsid w:val="00DA5420"/>
    <w:rsid w:val="00DA5B8A"/>
    <w:rsid w:val="00DA6A95"/>
    <w:rsid w:val="00DA6E7D"/>
    <w:rsid w:val="00DA71FE"/>
    <w:rsid w:val="00DA733A"/>
    <w:rsid w:val="00DA7777"/>
    <w:rsid w:val="00DB0C81"/>
    <w:rsid w:val="00DB0F17"/>
    <w:rsid w:val="00DB0FB5"/>
    <w:rsid w:val="00DB2733"/>
    <w:rsid w:val="00DB2B95"/>
    <w:rsid w:val="00DB4883"/>
    <w:rsid w:val="00DB611E"/>
    <w:rsid w:val="00DB6CAA"/>
    <w:rsid w:val="00DB755B"/>
    <w:rsid w:val="00DB7575"/>
    <w:rsid w:val="00DC01C1"/>
    <w:rsid w:val="00DC0392"/>
    <w:rsid w:val="00DC0AB0"/>
    <w:rsid w:val="00DC1069"/>
    <w:rsid w:val="00DC127E"/>
    <w:rsid w:val="00DC25AA"/>
    <w:rsid w:val="00DC262C"/>
    <w:rsid w:val="00DC29C0"/>
    <w:rsid w:val="00DC2F23"/>
    <w:rsid w:val="00DC2FF6"/>
    <w:rsid w:val="00DC398C"/>
    <w:rsid w:val="00DC3C41"/>
    <w:rsid w:val="00DC3E32"/>
    <w:rsid w:val="00DC47CA"/>
    <w:rsid w:val="00DC4B8E"/>
    <w:rsid w:val="00DC4CBD"/>
    <w:rsid w:val="00DC57BF"/>
    <w:rsid w:val="00DC5F23"/>
    <w:rsid w:val="00DC608B"/>
    <w:rsid w:val="00DC6EA2"/>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BC"/>
    <w:rsid w:val="00DE15F4"/>
    <w:rsid w:val="00DE1674"/>
    <w:rsid w:val="00DE1D03"/>
    <w:rsid w:val="00DE205F"/>
    <w:rsid w:val="00DE22E9"/>
    <w:rsid w:val="00DE4AF1"/>
    <w:rsid w:val="00DE52C2"/>
    <w:rsid w:val="00DE5335"/>
    <w:rsid w:val="00DE5DC5"/>
    <w:rsid w:val="00DE6ABF"/>
    <w:rsid w:val="00DE7487"/>
    <w:rsid w:val="00DE7619"/>
    <w:rsid w:val="00DE77D3"/>
    <w:rsid w:val="00DE7BF1"/>
    <w:rsid w:val="00DE7D88"/>
    <w:rsid w:val="00DF060D"/>
    <w:rsid w:val="00DF0854"/>
    <w:rsid w:val="00DF141D"/>
    <w:rsid w:val="00DF33A0"/>
    <w:rsid w:val="00DF42D8"/>
    <w:rsid w:val="00DF5127"/>
    <w:rsid w:val="00DF530E"/>
    <w:rsid w:val="00DF5366"/>
    <w:rsid w:val="00DF59A9"/>
    <w:rsid w:val="00DF5D1D"/>
    <w:rsid w:val="00DF680D"/>
    <w:rsid w:val="00DF6DCF"/>
    <w:rsid w:val="00DF768B"/>
    <w:rsid w:val="00E0005D"/>
    <w:rsid w:val="00E006C8"/>
    <w:rsid w:val="00E00707"/>
    <w:rsid w:val="00E01247"/>
    <w:rsid w:val="00E01841"/>
    <w:rsid w:val="00E018F5"/>
    <w:rsid w:val="00E02272"/>
    <w:rsid w:val="00E02557"/>
    <w:rsid w:val="00E02A4B"/>
    <w:rsid w:val="00E02C70"/>
    <w:rsid w:val="00E032B1"/>
    <w:rsid w:val="00E0350D"/>
    <w:rsid w:val="00E03971"/>
    <w:rsid w:val="00E03E4C"/>
    <w:rsid w:val="00E047C6"/>
    <w:rsid w:val="00E057C4"/>
    <w:rsid w:val="00E05AFB"/>
    <w:rsid w:val="00E06343"/>
    <w:rsid w:val="00E06A39"/>
    <w:rsid w:val="00E10AE6"/>
    <w:rsid w:val="00E10C11"/>
    <w:rsid w:val="00E11245"/>
    <w:rsid w:val="00E11D6D"/>
    <w:rsid w:val="00E129DD"/>
    <w:rsid w:val="00E12A13"/>
    <w:rsid w:val="00E12A8C"/>
    <w:rsid w:val="00E1404C"/>
    <w:rsid w:val="00E145A2"/>
    <w:rsid w:val="00E14623"/>
    <w:rsid w:val="00E148B4"/>
    <w:rsid w:val="00E154A3"/>
    <w:rsid w:val="00E15889"/>
    <w:rsid w:val="00E15E69"/>
    <w:rsid w:val="00E16003"/>
    <w:rsid w:val="00E16CB0"/>
    <w:rsid w:val="00E16D40"/>
    <w:rsid w:val="00E173A8"/>
    <w:rsid w:val="00E2014F"/>
    <w:rsid w:val="00E212C2"/>
    <w:rsid w:val="00E213A3"/>
    <w:rsid w:val="00E215F9"/>
    <w:rsid w:val="00E21EB2"/>
    <w:rsid w:val="00E230D9"/>
    <w:rsid w:val="00E248C4"/>
    <w:rsid w:val="00E24D09"/>
    <w:rsid w:val="00E2515A"/>
    <w:rsid w:val="00E254BD"/>
    <w:rsid w:val="00E254E9"/>
    <w:rsid w:val="00E26CD2"/>
    <w:rsid w:val="00E26DB6"/>
    <w:rsid w:val="00E26EFC"/>
    <w:rsid w:val="00E26F4C"/>
    <w:rsid w:val="00E2720A"/>
    <w:rsid w:val="00E30155"/>
    <w:rsid w:val="00E307AC"/>
    <w:rsid w:val="00E308C9"/>
    <w:rsid w:val="00E30F3A"/>
    <w:rsid w:val="00E31610"/>
    <w:rsid w:val="00E31DEC"/>
    <w:rsid w:val="00E31F7B"/>
    <w:rsid w:val="00E3252B"/>
    <w:rsid w:val="00E32947"/>
    <w:rsid w:val="00E32EBE"/>
    <w:rsid w:val="00E33902"/>
    <w:rsid w:val="00E345AD"/>
    <w:rsid w:val="00E34C1A"/>
    <w:rsid w:val="00E34CFE"/>
    <w:rsid w:val="00E34ED5"/>
    <w:rsid w:val="00E35968"/>
    <w:rsid w:val="00E36434"/>
    <w:rsid w:val="00E3655A"/>
    <w:rsid w:val="00E37472"/>
    <w:rsid w:val="00E408E6"/>
    <w:rsid w:val="00E4090A"/>
    <w:rsid w:val="00E40B5A"/>
    <w:rsid w:val="00E40D2C"/>
    <w:rsid w:val="00E42488"/>
    <w:rsid w:val="00E438FF"/>
    <w:rsid w:val="00E44FD9"/>
    <w:rsid w:val="00E451DD"/>
    <w:rsid w:val="00E45EDA"/>
    <w:rsid w:val="00E45F2A"/>
    <w:rsid w:val="00E4655E"/>
    <w:rsid w:val="00E46562"/>
    <w:rsid w:val="00E4672C"/>
    <w:rsid w:val="00E46A56"/>
    <w:rsid w:val="00E474B0"/>
    <w:rsid w:val="00E476EB"/>
    <w:rsid w:val="00E47995"/>
    <w:rsid w:val="00E47ABA"/>
    <w:rsid w:val="00E503ED"/>
    <w:rsid w:val="00E509D8"/>
    <w:rsid w:val="00E5123D"/>
    <w:rsid w:val="00E51536"/>
    <w:rsid w:val="00E520BC"/>
    <w:rsid w:val="00E52B65"/>
    <w:rsid w:val="00E52CD4"/>
    <w:rsid w:val="00E53821"/>
    <w:rsid w:val="00E53964"/>
    <w:rsid w:val="00E53F69"/>
    <w:rsid w:val="00E540CD"/>
    <w:rsid w:val="00E54461"/>
    <w:rsid w:val="00E5546D"/>
    <w:rsid w:val="00E5567A"/>
    <w:rsid w:val="00E5587E"/>
    <w:rsid w:val="00E56C8A"/>
    <w:rsid w:val="00E57BD0"/>
    <w:rsid w:val="00E57BFE"/>
    <w:rsid w:val="00E6032A"/>
    <w:rsid w:val="00E60365"/>
    <w:rsid w:val="00E60FE5"/>
    <w:rsid w:val="00E61A92"/>
    <w:rsid w:val="00E62BDC"/>
    <w:rsid w:val="00E62C07"/>
    <w:rsid w:val="00E63429"/>
    <w:rsid w:val="00E636FC"/>
    <w:rsid w:val="00E637AB"/>
    <w:rsid w:val="00E63E47"/>
    <w:rsid w:val="00E640F8"/>
    <w:rsid w:val="00E64C3A"/>
    <w:rsid w:val="00E64FC2"/>
    <w:rsid w:val="00E65037"/>
    <w:rsid w:val="00E65C02"/>
    <w:rsid w:val="00E6696A"/>
    <w:rsid w:val="00E66B42"/>
    <w:rsid w:val="00E67BB6"/>
    <w:rsid w:val="00E67DD3"/>
    <w:rsid w:val="00E7013A"/>
    <w:rsid w:val="00E70CEA"/>
    <w:rsid w:val="00E713DA"/>
    <w:rsid w:val="00E73520"/>
    <w:rsid w:val="00E73932"/>
    <w:rsid w:val="00E7425F"/>
    <w:rsid w:val="00E7468A"/>
    <w:rsid w:val="00E747ED"/>
    <w:rsid w:val="00E74812"/>
    <w:rsid w:val="00E74E14"/>
    <w:rsid w:val="00E758D4"/>
    <w:rsid w:val="00E75F41"/>
    <w:rsid w:val="00E76948"/>
    <w:rsid w:val="00E76C25"/>
    <w:rsid w:val="00E76E16"/>
    <w:rsid w:val="00E77A1D"/>
    <w:rsid w:val="00E77CA6"/>
    <w:rsid w:val="00E80342"/>
    <w:rsid w:val="00E80375"/>
    <w:rsid w:val="00E80DE4"/>
    <w:rsid w:val="00E80EA4"/>
    <w:rsid w:val="00E817E5"/>
    <w:rsid w:val="00E81A99"/>
    <w:rsid w:val="00E8231E"/>
    <w:rsid w:val="00E82345"/>
    <w:rsid w:val="00E8234E"/>
    <w:rsid w:val="00E82A8E"/>
    <w:rsid w:val="00E82C8D"/>
    <w:rsid w:val="00E831EA"/>
    <w:rsid w:val="00E83498"/>
    <w:rsid w:val="00E83C9B"/>
    <w:rsid w:val="00E84031"/>
    <w:rsid w:val="00E84509"/>
    <w:rsid w:val="00E846D0"/>
    <w:rsid w:val="00E84C16"/>
    <w:rsid w:val="00E862C4"/>
    <w:rsid w:val="00E86AE7"/>
    <w:rsid w:val="00E86EBE"/>
    <w:rsid w:val="00E8768D"/>
    <w:rsid w:val="00E9204D"/>
    <w:rsid w:val="00E9228A"/>
    <w:rsid w:val="00E92B78"/>
    <w:rsid w:val="00E933C8"/>
    <w:rsid w:val="00E93773"/>
    <w:rsid w:val="00E94CA6"/>
    <w:rsid w:val="00E94F78"/>
    <w:rsid w:val="00E96000"/>
    <w:rsid w:val="00E9613A"/>
    <w:rsid w:val="00E96ED1"/>
    <w:rsid w:val="00E976F6"/>
    <w:rsid w:val="00E9776D"/>
    <w:rsid w:val="00E97E45"/>
    <w:rsid w:val="00EA000A"/>
    <w:rsid w:val="00EA06E0"/>
    <w:rsid w:val="00EA1143"/>
    <w:rsid w:val="00EA162E"/>
    <w:rsid w:val="00EA19E4"/>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1F41"/>
    <w:rsid w:val="00EB201A"/>
    <w:rsid w:val="00EB2584"/>
    <w:rsid w:val="00EB2DE1"/>
    <w:rsid w:val="00EB2E7A"/>
    <w:rsid w:val="00EB3871"/>
    <w:rsid w:val="00EB412A"/>
    <w:rsid w:val="00EB47BA"/>
    <w:rsid w:val="00EB5309"/>
    <w:rsid w:val="00EB54F3"/>
    <w:rsid w:val="00EB5614"/>
    <w:rsid w:val="00EB6031"/>
    <w:rsid w:val="00EB674E"/>
    <w:rsid w:val="00EB6E58"/>
    <w:rsid w:val="00EC076E"/>
    <w:rsid w:val="00EC0FD9"/>
    <w:rsid w:val="00EC14C2"/>
    <w:rsid w:val="00EC1545"/>
    <w:rsid w:val="00EC1C55"/>
    <w:rsid w:val="00EC1D6C"/>
    <w:rsid w:val="00EC2E76"/>
    <w:rsid w:val="00EC36AB"/>
    <w:rsid w:val="00EC3700"/>
    <w:rsid w:val="00EC43E4"/>
    <w:rsid w:val="00EC4730"/>
    <w:rsid w:val="00EC4D70"/>
    <w:rsid w:val="00EC6A24"/>
    <w:rsid w:val="00EC6CCE"/>
    <w:rsid w:val="00EC6FEB"/>
    <w:rsid w:val="00EC744F"/>
    <w:rsid w:val="00EC7AAD"/>
    <w:rsid w:val="00EC7CB9"/>
    <w:rsid w:val="00ED0120"/>
    <w:rsid w:val="00ED07BB"/>
    <w:rsid w:val="00ED095E"/>
    <w:rsid w:val="00ED0A66"/>
    <w:rsid w:val="00ED0DDF"/>
    <w:rsid w:val="00ED178B"/>
    <w:rsid w:val="00ED1B10"/>
    <w:rsid w:val="00ED200D"/>
    <w:rsid w:val="00ED2123"/>
    <w:rsid w:val="00ED237A"/>
    <w:rsid w:val="00ED2585"/>
    <w:rsid w:val="00ED2C28"/>
    <w:rsid w:val="00ED2C44"/>
    <w:rsid w:val="00ED2E25"/>
    <w:rsid w:val="00ED3645"/>
    <w:rsid w:val="00ED3A9C"/>
    <w:rsid w:val="00ED400A"/>
    <w:rsid w:val="00ED4152"/>
    <w:rsid w:val="00ED4609"/>
    <w:rsid w:val="00ED4CEC"/>
    <w:rsid w:val="00ED58B9"/>
    <w:rsid w:val="00ED761C"/>
    <w:rsid w:val="00ED771B"/>
    <w:rsid w:val="00EE0602"/>
    <w:rsid w:val="00EE073E"/>
    <w:rsid w:val="00EE11C5"/>
    <w:rsid w:val="00EE1C6A"/>
    <w:rsid w:val="00EE24A9"/>
    <w:rsid w:val="00EE24EE"/>
    <w:rsid w:val="00EE2DC0"/>
    <w:rsid w:val="00EE33E5"/>
    <w:rsid w:val="00EE358B"/>
    <w:rsid w:val="00EE463C"/>
    <w:rsid w:val="00EE4B12"/>
    <w:rsid w:val="00EE4D60"/>
    <w:rsid w:val="00EE5426"/>
    <w:rsid w:val="00EE5C1C"/>
    <w:rsid w:val="00EE5F3F"/>
    <w:rsid w:val="00EE61F5"/>
    <w:rsid w:val="00EE61FC"/>
    <w:rsid w:val="00EE682A"/>
    <w:rsid w:val="00EE686F"/>
    <w:rsid w:val="00EE6A94"/>
    <w:rsid w:val="00EE7EF7"/>
    <w:rsid w:val="00EE7F06"/>
    <w:rsid w:val="00EF051E"/>
    <w:rsid w:val="00EF217D"/>
    <w:rsid w:val="00EF22F6"/>
    <w:rsid w:val="00EF277F"/>
    <w:rsid w:val="00EF28EC"/>
    <w:rsid w:val="00EF327E"/>
    <w:rsid w:val="00EF3B97"/>
    <w:rsid w:val="00EF4D9E"/>
    <w:rsid w:val="00EF538A"/>
    <w:rsid w:val="00EF5414"/>
    <w:rsid w:val="00EF5AB0"/>
    <w:rsid w:val="00EF5EA0"/>
    <w:rsid w:val="00EF5F06"/>
    <w:rsid w:val="00EF693F"/>
    <w:rsid w:val="00F00495"/>
    <w:rsid w:val="00F00A78"/>
    <w:rsid w:val="00F0144C"/>
    <w:rsid w:val="00F01CB2"/>
    <w:rsid w:val="00F01E43"/>
    <w:rsid w:val="00F03802"/>
    <w:rsid w:val="00F03921"/>
    <w:rsid w:val="00F03AC4"/>
    <w:rsid w:val="00F04236"/>
    <w:rsid w:val="00F04E65"/>
    <w:rsid w:val="00F05E8F"/>
    <w:rsid w:val="00F064E2"/>
    <w:rsid w:val="00F066CE"/>
    <w:rsid w:val="00F0705E"/>
    <w:rsid w:val="00F0796D"/>
    <w:rsid w:val="00F10456"/>
    <w:rsid w:val="00F10888"/>
    <w:rsid w:val="00F10C53"/>
    <w:rsid w:val="00F11D1E"/>
    <w:rsid w:val="00F1269F"/>
    <w:rsid w:val="00F1298D"/>
    <w:rsid w:val="00F1317B"/>
    <w:rsid w:val="00F1354F"/>
    <w:rsid w:val="00F13FED"/>
    <w:rsid w:val="00F1452A"/>
    <w:rsid w:val="00F14958"/>
    <w:rsid w:val="00F14AE9"/>
    <w:rsid w:val="00F15509"/>
    <w:rsid w:val="00F15891"/>
    <w:rsid w:val="00F15AD2"/>
    <w:rsid w:val="00F16FAA"/>
    <w:rsid w:val="00F1797A"/>
    <w:rsid w:val="00F17BBA"/>
    <w:rsid w:val="00F200A4"/>
    <w:rsid w:val="00F200EA"/>
    <w:rsid w:val="00F207B2"/>
    <w:rsid w:val="00F21060"/>
    <w:rsid w:val="00F2132F"/>
    <w:rsid w:val="00F213D0"/>
    <w:rsid w:val="00F21828"/>
    <w:rsid w:val="00F21AE7"/>
    <w:rsid w:val="00F22664"/>
    <w:rsid w:val="00F22922"/>
    <w:rsid w:val="00F24D6C"/>
    <w:rsid w:val="00F251E9"/>
    <w:rsid w:val="00F25211"/>
    <w:rsid w:val="00F254E5"/>
    <w:rsid w:val="00F263D6"/>
    <w:rsid w:val="00F26AA7"/>
    <w:rsid w:val="00F272A5"/>
    <w:rsid w:val="00F32483"/>
    <w:rsid w:val="00F34189"/>
    <w:rsid w:val="00F35207"/>
    <w:rsid w:val="00F3560B"/>
    <w:rsid w:val="00F35D7E"/>
    <w:rsid w:val="00F361B4"/>
    <w:rsid w:val="00F3720E"/>
    <w:rsid w:val="00F374C3"/>
    <w:rsid w:val="00F37DFF"/>
    <w:rsid w:val="00F40692"/>
    <w:rsid w:val="00F42953"/>
    <w:rsid w:val="00F42B12"/>
    <w:rsid w:val="00F42BAC"/>
    <w:rsid w:val="00F43BB5"/>
    <w:rsid w:val="00F43C4E"/>
    <w:rsid w:val="00F43E39"/>
    <w:rsid w:val="00F458FA"/>
    <w:rsid w:val="00F45B28"/>
    <w:rsid w:val="00F4632A"/>
    <w:rsid w:val="00F469CA"/>
    <w:rsid w:val="00F500E0"/>
    <w:rsid w:val="00F508C6"/>
    <w:rsid w:val="00F51F87"/>
    <w:rsid w:val="00F5265D"/>
    <w:rsid w:val="00F52C2B"/>
    <w:rsid w:val="00F52E28"/>
    <w:rsid w:val="00F54501"/>
    <w:rsid w:val="00F54B9D"/>
    <w:rsid w:val="00F550E4"/>
    <w:rsid w:val="00F552BF"/>
    <w:rsid w:val="00F563F5"/>
    <w:rsid w:val="00F56EC3"/>
    <w:rsid w:val="00F5719E"/>
    <w:rsid w:val="00F57DDC"/>
    <w:rsid w:val="00F57F49"/>
    <w:rsid w:val="00F57F79"/>
    <w:rsid w:val="00F607E4"/>
    <w:rsid w:val="00F61179"/>
    <w:rsid w:val="00F625DC"/>
    <w:rsid w:val="00F63E02"/>
    <w:rsid w:val="00F64C9E"/>
    <w:rsid w:val="00F6626E"/>
    <w:rsid w:val="00F66501"/>
    <w:rsid w:val="00F66A19"/>
    <w:rsid w:val="00F670B6"/>
    <w:rsid w:val="00F673D8"/>
    <w:rsid w:val="00F71B34"/>
    <w:rsid w:val="00F72560"/>
    <w:rsid w:val="00F72D0A"/>
    <w:rsid w:val="00F72E79"/>
    <w:rsid w:val="00F73459"/>
    <w:rsid w:val="00F73EAF"/>
    <w:rsid w:val="00F7414C"/>
    <w:rsid w:val="00F74BFD"/>
    <w:rsid w:val="00F7534E"/>
    <w:rsid w:val="00F754B5"/>
    <w:rsid w:val="00F7605B"/>
    <w:rsid w:val="00F760DD"/>
    <w:rsid w:val="00F761BB"/>
    <w:rsid w:val="00F7766F"/>
    <w:rsid w:val="00F77A66"/>
    <w:rsid w:val="00F77B8A"/>
    <w:rsid w:val="00F8006A"/>
    <w:rsid w:val="00F803DB"/>
    <w:rsid w:val="00F80A17"/>
    <w:rsid w:val="00F80CD4"/>
    <w:rsid w:val="00F80D8D"/>
    <w:rsid w:val="00F8123A"/>
    <w:rsid w:val="00F81909"/>
    <w:rsid w:val="00F83821"/>
    <w:rsid w:val="00F83D1C"/>
    <w:rsid w:val="00F84793"/>
    <w:rsid w:val="00F851B2"/>
    <w:rsid w:val="00F85950"/>
    <w:rsid w:val="00F862D6"/>
    <w:rsid w:val="00F87E70"/>
    <w:rsid w:val="00F90776"/>
    <w:rsid w:val="00F908DA"/>
    <w:rsid w:val="00F90C25"/>
    <w:rsid w:val="00F9193A"/>
    <w:rsid w:val="00F93BD3"/>
    <w:rsid w:val="00F94801"/>
    <w:rsid w:val="00F9482B"/>
    <w:rsid w:val="00F949D8"/>
    <w:rsid w:val="00F95BFF"/>
    <w:rsid w:val="00F9610C"/>
    <w:rsid w:val="00F96A1F"/>
    <w:rsid w:val="00F97D28"/>
    <w:rsid w:val="00FA0619"/>
    <w:rsid w:val="00FA11B6"/>
    <w:rsid w:val="00FA1D85"/>
    <w:rsid w:val="00FA270C"/>
    <w:rsid w:val="00FA2BAE"/>
    <w:rsid w:val="00FA37CB"/>
    <w:rsid w:val="00FA3909"/>
    <w:rsid w:val="00FA3AC1"/>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5AF"/>
    <w:rsid w:val="00FB6641"/>
    <w:rsid w:val="00FB6C93"/>
    <w:rsid w:val="00FB7969"/>
    <w:rsid w:val="00FB7DEC"/>
    <w:rsid w:val="00FC207D"/>
    <w:rsid w:val="00FC2A1E"/>
    <w:rsid w:val="00FC2AD6"/>
    <w:rsid w:val="00FC2C59"/>
    <w:rsid w:val="00FC2F0A"/>
    <w:rsid w:val="00FC34A5"/>
    <w:rsid w:val="00FC3968"/>
    <w:rsid w:val="00FC42B4"/>
    <w:rsid w:val="00FC5175"/>
    <w:rsid w:val="00FC52F4"/>
    <w:rsid w:val="00FC5C80"/>
    <w:rsid w:val="00FC7709"/>
    <w:rsid w:val="00FC79D8"/>
    <w:rsid w:val="00FC7E65"/>
    <w:rsid w:val="00FC7EE0"/>
    <w:rsid w:val="00FD0288"/>
    <w:rsid w:val="00FD06EA"/>
    <w:rsid w:val="00FD143F"/>
    <w:rsid w:val="00FD1E92"/>
    <w:rsid w:val="00FD1ED9"/>
    <w:rsid w:val="00FD1F6D"/>
    <w:rsid w:val="00FD1FA7"/>
    <w:rsid w:val="00FD3FEF"/>
    <w:rsid w:val="00FD56C5"/>
    <w:rsid w:val="00FD5E7D"/>
    <w:rsid w:val="00FD6BF2"/>
    <w:rsid w:val="00FE0048"/>
    <w:rsid w:val="00FE0579"/>
    <w:rsid w:val="00FE073A"/>
    <w:rsid w:val="00FE0834"/>
    <w:rsid w:val="00FE0E3E"/>
    <w:rsid w:val="00FE1333"/>
    <w:rsid w:val="00FE2031"/>
    <w:rsid w:val="00FE2185"/>
    <w:rsid w:val="00FE231F"/>
    <w:rsid w:val="00FE2354"/>
    <w:rsid w:val="00FE26E0"/>
    <w:rsid w:val="00FE2D10"/>
    <w:rsid w:val="00FE367E"/>
    <w:rsid w:val="00FE37FF"/>
    <w:rsid w:val="00FE3AD5"/>
    <w:rsid w:val="00FE436E"/>
    <w:rsid w:val="00FE44F8"/>
    <w:rsid w:val="00FE4501"/>
    <w:rsid w:val="00FE4588"/>
    <w:rsid w:val="00FE5098"/>
    <w:rsid w:val="00FE56A9"/>
    <w:rsid w:val="00FE6204"/>
    <w:rsid w:val="00FE6228"/>
    <w:rsid w:val="00FE645C"/>
    <w:rsid w:val="00FE67BA"/>
    <w:rsid w:val="00FE6912"/>
    <w:rsid w:val="00FE6EE9"/>
    <w:rsid w:val="00FE757F"/>
    <w:rsid w:val="00FE79FF"/>
    <w:rsid w:val="00FE7AE4"/>
    <w:rsid w:val="00FF0300"/>
    <w:rsid w:val="00FF0E65"/>
    <w:rsid w:val="00FF0EDC"/>
    <w:rsid w:val="00FF170A"/>
    <w:rsid w:val="00FF219D"/>
    <w:rsid w:val="00FF23AB"/>
    <w:rsid w:val="00FF23D8"/>
    <w:rsid w:val="00FF2D1B"/>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66D53F5F"/>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paragraph" w:styleId="Heading4">
    <w:name w:val="heading 4"/>
    <w:basedOn w:val="Normal"/>
    <w:next w:val="Normal"/>
    <w:link w:val="Heading4Char"/>
    <w:uiPriority w:val="9"/>
    <w:semiHidden/>
    <w:unhideWhenUsed/>
    <w:qFormat/>
    <w:rsid w:val="004265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hea Level 1,Numberanswer Level 1,N,indentl 1,Number leg2 1,Level 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qFormat/>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aliases w:val="N6"/>
    <w:basedOn w:val="NumberLevel5"/>
    <w:uiPriority w:val="1"/>
    <w:qFormat/>
    <w:rsid w:val="00355C60"/>
    <w:pPr>
      <w:numPr>
        <w:ilvl w:val="5"/>
      </w:numPr>
    </w:pPr>
  </w:style>
  <w:style w:type="paragraph" w:customStyle="1" w:styleId="NumberLevel7">
    <w:name w:val="Number Level 7"/>
    <w:aliases w:val="N7"/>
    <w:basedOn w:val="NumberLevel6"/>
    <w:uiPriority w:val="1"/>
    <w:qFormat/>
    <w:rsid w:val="00355C60"/>
    <w:pPr>
      <w:numPr>
        <w:ilvl w:val="6"/>
      </w:numPr>
    </w:pPr>
  </w:style>
  <w:style w:type="paragraph" w:customStyle="1" w:styleId="NumberLevel8">
    <w:name w:val="Number Level 8"/>
    <w:aliases w:val="N8"/>
    <w:basedOn w:val="NumberLevel7"/>
    <w:uiPriority w:val="1"/>
    <w:rsid w:val="00355C60"/>
    <w:pPr>
      <w:numPr>
        <w:ilvl w:val="7"/>
      </w:numPr>
    </w:pPr>
  </w:style>
  <w:style w:type="paragraph" w:customStyle="1" w:styleId="NumberLevel9">
    <w:name w:val="Number Level 9"/>
    <w:aliases w:val="N9"/>
    <w:basedOn w:val="NumberLevel8"/>
    <w:uiPriority w:val="1"/>
    <w:rsid w:val="00355C60"/>
    <w:pPr>
      <w:numPr>
        <w:ilvl w:val="8"/>
      </w:numPr>
    </w:pPr>
  </w:style>
  <w:style w:type="character" w:customStyle="1" w:styleId="NumberLevel1Char">
    <w:name w:val="Number Level 1 Char"/>
    <w:aliases w:val="N1 Char,hea Level 1 Char,N Char,Level 1 Char"/>
    <w:basedOn w:val="DefaultParagraphFont"/>
    <w:link w:val="NumberLevel1"/>
    <w:uiPriority w:va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character" w:customStyle="1" w:styleId="Heading4Char">
    <w:name w:val="Heading 4 Char"/>
    <w:basedOn w:val="DefaultParagraphFont"/>
    <w:link w:val="Heading4"/>
    <w:uiPriority w:val="9"/>
    <w:semiHidden/>
    <w:rsid w:val="0042651B"/>
    <w:rPr>
      <w:rFonts w:asciiTheme="majorHAnsi" w:eastAsiaTheme="majorEastAsia" w:hAnsiTheme="majorHAnsi" w:cstheme="majorBidi"/>
      <w:i/>
      <w:iCs/>
      <w:color w:val="365F91" w:themeColor="accent1" w:themeShade="BF"/>
      <w:lang w:eastAsia="en-AU"/>
    </w:rPr>
  </w:style>
  <w:style w:type="paragraph" w:customStyle="1" w:styleId="Tablei">
    <w:name w:val="Table(i)"/>
    <w:aliases w:val="taa"/>
    <w:basedOn w:val="Normal"/>
    <w:rsid w:val="004F6053"/>
    <w:pPr>
      <w:tabs>
        <w:tab w:val="left" w:pos="-6543"/>
        <w:tab w:val="left" w:pos="-6260"/>
        <w:tab w:val="right" w:pos="970"/>
      </w:tabs>
      <w:spacing w:line="240" w:lineRule="exact"/>
      <w:ind w:left="828" w:hanging="284"/>
    </w:pPr>
    <w:rPr>
      <w:rFonts w:ascii="Times New Roman" w:eastAsia="Times New Roman" w:hAnsi="Times New Roman"/>
      <w:sz w:val="20"/>
      <w:szCs w:val="20"/>
    </w:rPr>
  </w:style>
  <w:style w:type="paragraph" w:styleId="FootnoteText">
    <w:name w:val="footnote text"/>
    <w:basedOn w:val="Normal"/>
    <w:link w:val="FootnoteTextChar"/>
    <w:unhideWhenUsed/>
    <w:rsid w:val="00EC1C55"/>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rsid w:val="00EC1C55"/>
    <w:rPr>
      <w:rFonts w:eastAsiaTheme="minorEastAsia"/>
      <w:sz w:val="20"/>
      <w:szCs w:val="20"/>
    </w:rPr>
  </w:style>
  <w:style w:type="character" w:styleId="FootnoteReference">
    <w:name w:val="footnote reference"/>
    <w:basedOn w:val="DefaultParagraphFont"/>
    <w:unhideWhenUsed/>
    <w:rsid w:val="00EC1C55"/>
    <w:rPr>
      <w:vertAlign w:val="superscript"/>
    </w:rPr>
  </w:style>
  <w:style w:type="paragraph" w:styleId="BodyText">
    <w:name w:val="Body Text"/>
    <w:link w:val="BodyTextChar"/>
    <w:qFormat/>
    <w:rsid w:val="00151C3A"/>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151C3A"/>
    <w:rPr>
      <w:rFonts w:cs="Times New Roman"/>
      <w:color w:val="000000" w:themeColor="text1"/>
      <w:szCs w:val="20"/>
    </w:rPr>
  </w:style>
  <w:style w:type="paragraph" w:customStyle="1" w:styleId="CABNETParagraph">
    <w:name w:val="CABNET Paragraph."/>
    <w:basedOn w:val="Normal"/>
    <w:link w:val="CABNETParagraphChar"/>
    <w:uiPriority w:val="98"/>
    <w:qFormat/>
    <w:rsid w:val="00151C3A"/>
    <w:pPr>
      <w:spacing w:before="120" w:after="120"/>
    </w:pPr>
    <w:rPr>
      <w:rFonts w:ascii="Arial" w:eastAsiaTheme="minorHAnsi" w:hAnsi="Arial" w:cstheme="minorHAnsi"/>
      <w:lang w:eastAsia="en-US"/>
    </w:rPr>
  </w:style>
  <w:style w:type="character" w:customStyle="1" w:styleId="CABNETParagraphChar">
    <w:name w:val="CABNET Paragraph. Char"/>
    <w:basedOn w:val="DefaultParagraphFont"/>
    <w:link w:val="CABNETParagraph"/>
    <w:uiPriority w:val="98"/>
    <w:rsid w:val="00151C3A"/>
    <w:rPr>
      <w:rFonts w:ascii="Arial" w:hAnsi="Arial" w:cstheme="minorHAnsi"/>
    </w:rPr>
  </w:style>
  <w:style w:type="character" w:customStyle="1" w:styleId="NoSpacingChar">
    <w:name w:val="No Spacing Char"/>
    <w:basedOn w:val="DefaultParagraphFont"/>
    <w:link w:val="NoSpacing"/>
    <w:uiPriority w:val="1"/>
    <w:rsid w:val="002F4AEB"/>
    <w:rPr>
      <w:rFonts w:ascii="Times New Roman" w:eastAsia="Times New Roman" w:hAnsi="Times New Roman" w:cs="Times New Roman"/>
      <w:sz w:val="24"/>
      <w:szCs w:val="20"/>
      <w:lang w:eastAsia="en-AU"/>
    </w:rPr>
  </w:style>
  <w:style w:type="paragraph" w:customStyle="1" w:styleId="BoswellMediaHeader">
    <w:name w:val="BoswellMediaHeader"/>
    <w:rsid w:val="00515626"/>
    <w:pPr>
      <w:spacing w:after="0" w:line="240" w:lineRule="auto"/>
      <w:jc w:val="right"/>
    </w:pPr>
    <w:rPr>
      <w:rFonts w:ascii="Arial" w:eastAsia="Times New Roman" w:hAnsi="Arial" w:cs="Times New Roman"/>
      <w:noProof/>
      <w:sz w:val="23"/>
      <w:szCs w:val="20"/>
      <w:lang w:eastAsia="en-AU"/>
    </w:rPr>
  </w:style>
  <w:style w:type="paragraph" w:customStyle="1" w:styleId="AdviceNumLevel1">
    <w:name w:val="AdviceNumLevel1"/>
    <w:aliases w:val="Advice N1"/>
    <w:basedOn w:val="NumberLevel1"/>
    <w:qFormat/>
    <w:rsid w:val="00515626"/>
    <w:pPr>
      <w:tabs>
        <w:tab w:val="clear" w:pos="709"/>
      </w:tabs>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399330580">
      <w:bodyDiv w:val="1"/>
      <w:marLeft w:val="0"/>
      <w:marRight w:val="0"/>
      <w:marTop w:val="0"/>
      <w:marBottom w:val="0"/>
      <w:divBdr>
        <w:top w:val="none" w:sz="0" w:space="0" w:color="auto"/>
        <w:left w:val="none" w:sz="0" w:space="0" w:color="auto"/>
        <w:bottom w:val="none" w:sz="0" w:space="0" w:color="auto"/>
        <w:right w:val="none" w:sz="0" w:space="0" w:color="auto"/>
      </w:divBdr>
    </w:div>
    <w:div w:id="473446404">
      <w:bodyDiv w:val="1"/>
      <w:marLeft w:val="0"/>
      <w:marRight w:val="0"/>
      <w:marTop w:val="0"/>
      <w:marBottom w:val="0"/>
      <w:divBdr>
        <w:top w:val="none" w:sz="0" w:space="0" w:color="auto"/>
        <w:left w:val="none" w:sz="0" w:space="0" w:color="auto"/>
        <w:bottom w:val="none" w:sz="0" w:space="0" w:color="auto"/>
        <w:right w:val="none" w:sz="0" w:space="0" w:color="auto"/>
      </w:divBdr>
      <w:divsChild>
        <w:div w:id="1867132281">
          <w:marLeft w:val="0"/>
          <w:marRight w:val="0"/>
          <w:marTop w:val="0"/>
          <w:marBottom w:val="0"/>
          <w:divBdr>
            <w:top w:val="none" w:sz="0" w:space="0" w:color="auto"/>
            <w:left w:val="none" w:sz="0" w:space="0" w:color="auto"/>
            <w:bottom w:val="none" w:sz="0" w:space="0" w:color="auto"/>
            <w:right w:val="none" w:sz="0" w:space="0" w:color="auto"/>
          </w:divBdr>
          <w:divsChild>
            <w:div w:id="9626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0804">
      <w:bodyDiv w:val="1"/>
      <w:marLeft w:val="0"/>
      <w:marRight w:val="0"/>
      <w:marTop w:val="0"/>
      <w:marBottom w:val="0"/>
      <w:divBdr>
        <w:top w:val="none" w:sz="0" w:space="0" w:color="auto"/>
        <w:left w:val="none" w:sz="0" w:space="0" w:color="auto"/>
        <w:bottom w:val="none" w:sz="0" w:space="0" w:color="auto"/>
        <w:right w:val="none" w:sz="0" w:space="0" w:color="auto"/>
      </w:divBdr>
    </w:div>
    <w:div w:id="525678600">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856046630">
      <w:bodyDiv w:val="1"/>
      <w:marLeft w:val="0"/>
      <w:marRight w:val="0"/>
      <w:marTop w:val="0"/>
      <w:marBottom w:val="0"/>
      <w:divBdr>
        <w:top w:val="none" w:sz="0" w:space="0" w:color="auto"/>
        <w:left w:val="none" w:sz="0" w:space="0" w:color="auto"/>
        <w:bottom w:val="none" w:sz="0" w:space="0" w:color="auto"/>
        <w:right w:val="none" w:sz="0" w:space="0" w:color="auto"/>
      </w:divBdr>
    </w:div>
    <w:div w:id="868881179">
      <w:bodyDiv w:val="1"/>
      <w:marLeft w:val="0"/>
      <w:marRight w:val="0"/>
      <w:marTop w:val="0"/>
      <w:marBottom w:val="0"/>
      <w:divBdr>
        <w:top w:val="none" w:sz="0" w:space="0" w:color="auto"/>
        <w:left w:val="none" w:sz="0" w:space="0" w:color="auto"/>
        <w:bottom w:val="none" w:sz="0" w:space="0" w:color="auto"/>
        <w:right w:val="none" w:sz="0" w:space="0" w:color="auto"/>
      </w:divBdr>
    </w:div>
    <w:div w:id="901870280">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337996739">
      <w:bodyDiv w:val="1"/>
      <w:marLeft w:val="0"/>
      <w:marRight w:val="0"/>
      <w:marTop w:val="0"/>
      <w:marBottom w:val="0"/>
      <w:divBdr>
        <w:top w:val="none" w:sz="0" w:space="0" w:color="auto"/>
        <w:left w:val="none" w:sz="0" w:space="0" w:color="auto"/>
        <w:bottom w:val="none" w:sz="0" w:space="0" w:color="auto"/>
        <w:right w:val="none" w:sz="0" w:space="0" w:color="auto"/>
      </w:divBdr>
    </w:div>
    <w:div w:id="1348285407">
      <w:bodyDiv w:val="1"/>
      <w:marLeft w:val="0"/>
      <w:marRight w:val="0"/>
      <w:marTop w:val="0"/>
      <w:marBottom w:val="0"/>
      <w:divBdr>
        <w:top w:val="none" w:sz="0" w:space="0" w:color="auto"/>
        <w:left w:val="none" w:sz="0" w:space="0" w:color="auto"/>
        <w:bottom w:val="none" w:sz="0" w:space="0" w:color="auto"/>
        <w:right w:val="none" w:sz="0" w:space="0" w:color="auto"/>
      </w:divBdr>
    </w:div>
    <w:div w:id="145988299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86177">
      <w:bodyDiv w:val="1"/>
      <w:marLeft w:val="0"/>
      <w:marRight w:val="0"/>
      <w:marTop w:val="0"/>
      <w:marBottom w:val="0"/>
      <w:divBdr>
        <w:top w:val="none" w:sz="0" w:space="0" w:color="auto"/>
        <w:left w:val="none" w:sz="0" w:space="0" w:color="auto"/>
        <w:bottom w:val="none" w:sz="0" w:space="0" w:color="auto"/>
        <w:right w:val="none" w:sz="0" w:space="0" w:color="auto"/>
      </w:divBdr>
      <w:divsChild>
        <w:div w:id="234629179">
          <w:marLeft w:val="0"/>
          <w:marRight w:val="0"/>
          <w:marTop w:val="0"/>
          <w:marBottom w:val="0"/>
          <w:divBdr>
            <w:top w:val="none" w:sz="0" w:space="0" w:color="auto"/>
            <w:left w:val="none" w:sz="0" w:space="0" w:color="auto"/>
            <w:bottom w:val="none" w:sz="0" w:space="0" w:color="auto"/>
            <w:right w:val="none" w:sz="0" w:space="0" w:color="auto"/>
          </w:divBdr>
          <w:divsChild>
            <w:div w:id="15996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ocs.education.gov.au/node/5361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se.gov.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ese.gov.au/node/344" TargetMode="External"/><Relationship Id="rId23"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FIN201934055-2137779915-896</_dlc_DocId>
    <_dlc_DocIdUrl xmlns="79e5d1b8-31fe-4abb-b9ad-c81c29576083">
      <Url>https://f1.prdmgd.finance.gov.au/sites/50034055/_layouts/15/DocIdRedir.aspx?ID=FIN201934055-2137779915-896</Url>
      <Description>FIN201934055-2137779915-896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2" ma:contentTypeDescription="Create a new document." ma:contentTypeScope="" ma:versionID="1ce4602e89537c771e62ef137608d399">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e7eb8f43bc6dfae0af3606af031eb7f7"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F7D5-A7D8-4A0A-95C8-7B13D94251B8}">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82ff9d9b-d3fc-4aad-bc42-9949ee83b815"/>
    <ds:schemaRef ds:uri="79e5d1b8-31fe-4abb-b9ad-c81c2957608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3.xml><?xml version="1.0" encoding="utf-8"?>
<ds:datastoreItem xmlns:ds="http://schemas.openxmlformats.org/officeDocument/2006/customXml" ds:itemID="{80BA81AC-79C7-42E4-871A-C0604966C549}">
  <ds:schemaRefs>
    <ds:schemaRef ds:uri="http://schemas.microsoft.com/sharepoint/events"/>
  </ds:schemaRefs>
</ds:datastoreItem>
</file>

<file path=customXml/itemProps4.xml><?xml version="1.0" encoding="utf-8"?>
<ds:datastoreItem xmlns:ds="http://schemas.openxmlformats.org/officeDocument/2006/customXml" ds:itemID="{3BA18B6F-DD50-4260-93D3-0A162AE5C8EA}">
  <ds:schemaRefs>
    <ds:schemaRef ds:uri="Microsoft.SharePoint.Taxonomy.ContentTypeSync"/>
  </ds:schemaRefs>
</ds:datastoreItem>
</file>

<file path=customXml/itemProps5.xml><?xml version="1.0" encoding="utf-8"?>
<ds:datastoreItem xmlns:ds="http://schemas.openxmlformats.org/officeDocument/2006/customXml" ds:itemID="{83B2E154-1E50-44EA-A971-EA09FF304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5837D9-4A25-4554-8281-BFBC931F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10195</Words>
  <Characters>58113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68172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lastModifiedBy>Johnston, Tayliah</cp:lastModifiedBy>
  <cp:revision>10</cp:revision>
  <cp:lastPrinted>2020-11-18T04:32:00Z</cp:lastPrinted>
  <dcterms:created xsi:type="dcterms:W3CDTF">2020-11-09T22:01:00Z</dcterms:created>
  <dcterms:modified xsi:type="dcterms:W3CDTF">2020-11-18T04:32:00Z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35</vt:i4>
  </property>
  <property fmtid="{D5CDD505-2E9C-101B-9397-08002B2CF9AE}" pid="14" name="TaxKeyword">
    <vt:lpwstr/>
  </property>
  <property fmtid="{D5CDD505-2E9C-101B-9397-08002B2CF9AE}" pid="15" name="AbtEntity">
    <vt:lpwstr>1;#Department of Finance|fd660e8f-8f31-49bd-92a3-d31d4da31afe</vt:lpwstr>
  </property>
  <property fmtid="{D5CDD505-2E9C-101B-9397-08002B2CF9AE}" pid="16" name="OrgUnit">
    <vt:lpwstr>2;#Financial Framework Supplementary Powers|379d9d29-c01c-4de9-a4ea-4a1c8eabf1a8</vt:lpwstr>
  </property>
  <property fmtid="{D5CDD505-2E9C-101B-9397-08002B2CF9AE}" pid="17" name="InitiatingEntity">
    <vt:lpwstr>1;#Department of Finance|fd660e8f-8f31-49bd-92a3-d31d4da31afe</vt:lpwstr>
  </property>
  <property fmtid="{D5CDD505-2E9C-101B-9397-08002B2CF9AE}" pid="18" name="Function and Activity">
    <vt:lpwstr/>
  </property>
  <property fmtid="{D5CDD505-2E9C-101B-9397-08002B2CF9AE}" pid="19" name="_dlc_DocIdItemGuid">
    <vt:lpwstr>365d23d6-a532-42eb-8d49-6badc12f8e77</vt:lpwstr>
  </property>
</Properties>
</file>