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292DF" w14:textId="2422C842" w:rsidR="00F109D4" w:rsidRPr="00731FEA" w:rsidRDefault="00DD76B7" w:rsidP="00647BB7">
      <w:pPr>
        <w:pStyle w:val="Heading1"/>
        <w:spacing w:after="360"/>
        <w:rPr>
          <w:rFonts w:ascii="Times New Roman" w:hAnsi="Times New Roman"/>
          <w:sz w:val="24"/>
          <w:szCs w:val="24"/>
        </w:rPr>
      </w:pPr>
      <w:r>
        <w:rPr>
          <w:rFonts w:ascii="Times New Roman" w:hAnsi="Times New Roman"/>
          <w:sz w:val="24"/>
          <w:szCs w:val="24"/>
        </w:rPr>
        <w:t>E</w:t>
      </w:r>
      <w:r w:rsidR="00F109D4" w:rsidRPr="00731FEA">
        <w:rPr>
          <w:rFonts w:ascii="Times New Roman" w:hAnsi="Times New Roman"/>
          <w:sz w:val="24"/>
          <w:szCs w:val="24"/>
        </w:rPr>
        <w:t>XPLANATORY STATEMENT</w:t>
      </w:r>
    </w:p>
    <w:p w14:paraId="00895201" w14:textId="6CAFF2C6"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lock w:val="contentLocked"/>
          <w:placeholder>
            <w:docPart w:val="42E15D65EEEC4C7B9457BBDDBC1A887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EB0052">
            <w:rPr>
              <w:sz w:val="24"/>
              <w:szCs w:val="24"/>
            </w:rPr>
            <w:t>Treasurer</w:t>
          </w:r>
        </w:sdtContent>
      </w:sdt>
    </w:p>
    <w:p w14:paraId="52803FBE" w14:textId="77777777" w:rsidR="002F6E06" w:rsidRDefault="002F6E06" w:rsidP="003C7907">
      <w:pPr>
        <w:spacing w:before="240" w:after="240"/>
        <w:jc w:val="center"/>
        <w:rPr>
          <w:i/>
        </w:rPr>
      </w:pPr>
      <w:r>
        <w:rPr>
          <w:i/>
        </w:rPr>
        <w:t>Corporations Act 2001</w:t>
      </w:r>
    </w:p>
    <w:p w14:paraId="1D1A4650" w14:textId="7B88B03F" w:rsidR="002F6E06" w:rsidRDefault="002F6E06" w:rsidP="003C7907">
      <w:pPr>
        <w:spacing w:before="240" w:after="240"/>
        <w:jc w:val="center"/>
        <w:rPr>
          <w:i/>
        </w:rPr>
      </w:pPr>
      <w:r>
        <w:rPr>
          <w:i/>
        </w:rPr>
        <w:t>Superannuation Industry (S</w:t>
      </w:r>
      <w:r w:rsidR="00C47A8C">
        <w:rPr>
          <w:i/>
        </w:rPr>
        <w:t>upervision) Act 1993</w:t>
      </w:r>
    </w:p>
    <w:p w14:paraId="3AFB28AF" w14:textId="0CA7E047" w:rsidR="00E12FB1" w:rsidRDefault="00E12FB1" w:rsidP="00624BEF">
      <w:pPr>
        <w:spacing w:before="240" w:after="240"/>
        <w:jc w:val="center"/>
        <w:rPr>
          <w:i/>
        </w:rPr>
      </w:pPr>
      <w:r w:rsidRPr="00E12FB1">
        <w:rPr>
          <w:i/>
        </w:rPr>
        <w:t>Financial Sector Reform (Hayne Royal Commission Response) (Regulation of Superannuation) Regulations 2020</w:t>
      </w:r>
    </w:p>
    <w:p w14:paraId="43A71022" w14:textId="0E17FE17" w:rsidR="00B658F2" w:rsidRDefault="00B658F2" w:rsidP="00B658F2">
      <w:pPr>
        <w:spacing w:before="240"/>
      </w:pPr>
      <w:r>
        <w:t xml:space="preserve">This instrument amends regulations to implement the Government’s response to the Royal Commission into Misconduct in the Banking, Superannuation and Financial Services Industry (the Financial Services Royal Commission). </w:t>
      </w:r>
    </w:p>
    <w:p w14:paraId="6F5ABD59" w14:textId="10B25D07" w:rsidR="00B658F2" w:rsidRPr="00B658F2" w:rsidRDefault="00B658F2" w:rsidP="00647BB7">
      <w:pPr>
        <w:spacing w:before="240"/>
      </w:pPr>
      <w:r>
        <w:t xml:space="preserve">The </w:t>
      </w:r>
      <w:r w:rsidRPr="00980C0B">
        <w:rPr>
          <w:i/>
        </w:rPr>
        <w:t>Corporations Act 2001</w:t>
      </w:r>
      <w:r>
        <w:rPr>
          <w:i/>
        </w:rPr>
        <w:t xml:space="preserve"> </w:t>
      </w:r>
      <w:r w:rsidRPr="00980C0B">
        <w:t>(</w:t>
      </w:r>
      <w:r>
        <w:t>Corporations Act)</w:t>
      </w:r>
      <w:r w:rsidR="009D5D04">
        <w:t xml:space="preserve"> governs the activities of corporations and arrangements relating to financial products and services. </w:t>
      </w:r>
      <w:r w:rsidR="003B1EFE">
        <w:t xml:space="preserve">The </w:t>
      </w:r>
      <w:r>
        <w:rPr>
          <w:i/>
        </w:rPr>
        <w:t xml:space="preserve">Superannuation Industry (Supervision) Act 1993 </w:t>
      </w:r>
      <w:r>
        <w:t>(SIS Act)</w:t>
      </w:r>
      <w:r w:rsidR="009D5D04">
        <w:t xml:space="preserve"> governs the activities of certain entities engaged in the superannuation industry.</w:t>
      </w:r>
    </w:p>
    <w:p w14:paraId="17713B55" w14:textId="1FE04CC4" w:rsidR="00F109D4" w:rsidRDefault="00C55D29" w:rsidP="00647BB7">
      <w:pPr>
        <w:spacing w:before="240"/>
      </w:pPr>
      <w:r w:rsidRPr="00503E44">
        <w:t xml:space="preserve">Section </w:t>
      </w:r>
      <w:r w:rsidR="000A1193">
        <w:t>1364</w:t>
      </w:r>
      <w:r w:rsidR="005E4BAC">
        <w:t xml:space="preserve"> </w:t>
      </w:r>
      <w:r w:rsidR="00F109D4" w:rsidRPr="00503E44">
        <w:t xml:space="preserve">of the </w:t>
      </w:r>
      <w:r w:rsidR="00166D8E">
        <w:t xml:space="preserve">Corporations Act </w:t>
      </w:r>
      <w:r w:rsidR="000A1193">
        <w:t xml:space="preserve">and section </w:t>
      </w:r>
      <w:r w:rsidR="00251DAF">
        <w:t xml:space="preserve">353 </w:t>
      </w:r>
      <w:r w:rsidR="000A1193">
        <w:t xml:space="preserve">of the </w:t>
      </w:r>
      <w:r w:rsidR="00166D8E">
        <w:t xml:space="preserve">SIS Act </w:t>
      </w:r>
      <w:r w:rsidR="00007C55">
        <w:t>provide that the Governor</w:t>
      </w:r>
      <w:r w:rsidR="00007C55">
        <w:noBreakHyphen/>
      </w:r>
      <w:r w:rsidR="00F109D4" w:rsidRPr="00503E44">
        <w:t>General may make regulations prescribing matters required or permitted by the Act</w:t>
      </w:r>
      <w:r w:rsidR="000A1193">
        <w:t>s</w:t>
      </w:r>
      <w:r w:rsidR="00F109D4" w:rsidRPr="00503E44">
        <w:t xml:space="preserve"> to be prescribed, or necessary or convenient to be prescribed for carrying out or giving effect to the Act</w:t>
      </w:r>
      <w:r w:rsidR="000A1193">
        <w:t>s</w:t>
      </w:r>
      <w:r w:rsidR="00F109D4" w:rsidRPr="00503E44">
        <w:t>.</w:t>
      </w:r>
    </w:p>
    <w:p w14:paraId="3AA55001" w14:textId="09AE5786" w:rsidR="006D5C4B" w:rsidRDefault="000A1193" w:rsidP="00647BB7">
      <w:pPr>
        <w:spacing w:before="240"/>
      </w:pPr>
      <w:r>
        <w:t xml:space="preserve">The purpose of the </w:t>
      </w:r>
      <w:r w:rsidR="00E12FB1" w:rsidRPr="00E12FB1">
        <w:rPr>
          <w:i/>
        </w:rPr>
        <w:t xml:space="preserve">Financial Sector Reform (Hayne Royal Commission Response) (Regulation of Superannuation) Regulations 2020 </w:t>
      </w:r>
      <w:r>
        <w:t>(the</w:t>
      </w:r>
      <w:r w:rsidR="00A9009D">
        <w:t> </w:t>
      </w:r>
      <w:r>
        <w:t xml:space="preserve">Regulations) is to </w:t>
      </w:r>
      <w:r w:rsidR="006D5C4B">
        <w:t xml:space="preserve">remove certain exemptions from the requirement to hold an Australian financial services licence to provide financial services, and to make other minor amendments, in support of </w:t>
      </w:r>
      <w:r w:rsidR="009F757B">
        <w:t>broader reforms to the roles and responsibilities of superannuation industry regulators.</w:t>
      </w:r>
    </w:p>
    <w:p w14:paraId="0B12A36C" w14:textId="129B4E9E" w:rsidR="009F757B" w:rsidRDefault="009F757B" w:rsidP="00647BB7">
      <w:pPr>
        <w:spacing w:before="240"/>
      </w:pPr>
      <w:r>
        <w:t xml:space="preserve">Those broader reforms are made by </w:t>
      </w:r>
      <w:r w:rsidRPr="00DD76B7">
        <w:t xml:space="preserve">Schedule </w:t>
      </w:r>
      <w:r w:rsidR="00662B23">
        <w:t>9</w:t>
      </w:r>
      <w:r w:rsidRPr="00DD76B7">
        <w:t xml:space="preserve"> to</w:t>
      </w:r>
      <w:r>
        <w:t xml:space="preserve"> the </w:t>
      </w:r>
      <w:r w:rsidRPr="000A1193">
        <w:t>Financial Sector Reform (Hayne Royal Commission Response) Bill</w:t>
      </w:r>
      <w:r w:rsidR="00166D8E">
        <w:t> </w:t>
      </w:r>
      <w:r w:rsidRPr="000A1193">
        <w:t>2020</w:t>
      </w:r>
      <w:r>
        <w:t xml:space="preserve"> (the Bill) and implement recommendations 3.8, 6.3, 6.4 and 6.5 of the </w:t>
      </w:r>
      <w:r w:rsidR="00421E42">
        <w:t>Financial Services Royal Commission</w:t>
      </w:r>
      <w:r w:rsidR="004B747A">
        <w:t>.</w:t>
      </w:r>
      <w:r>
        <w:t xml:space="preserve"> </w:t>
      </w:r>
    </w:p>
    <w:p w14:paraId="108916C3" w14:textId="605E8564" w:rsidR="009F757B" w:rsidRDefault="009F757B" w:rsidP="00647BB7">
      <w:pPr>
        <w:spacing w:before="240"/>
      </w:pPr>
      <w:r>
        <w:t>The Bill makes adjustments to the SIS Act relating to the roles and responsibilities of superannuation industry regulators</w:t>
      </w:r>
      <w:r w:rsidR="00007C55">
        <w:t xml:space="preserve">. </w:t>
      </w:r>
      <w:r w:rsidR="00AA0BA4">
        <w:t>It</w:t>
      </w:r>
      <w:r w:rsidR="00007C55">
        <w:t xml:space="preserve"> expands</w:t>
      </w:r>
      <w:r>
        <w:t xml:space="preserve"> </w:t>
      </w:r>
      <w:r w:rsidR="008C022C">
        <w:t xml:space="preserve">the </w:t>
      </w:r>
      <w:r w:rsidR="00007C55">
        <w:t xml:space="preserve">role of the </w:t>
      </w:r>
      <w:r w:rsidR="008C022C">
        <w:t>Australian Securiti</w:t>
      </w:r>
      <w:r w:rsidR="00007C55">
        <w:t xml:space="preserve">es and Investments Commission </w:t>
      </w:r>
      <w:r w:rsidR="008C022C">
        <w:t>(ASIC)</w:t>
      </w:r>
      <w:r>
        <w:t xml:space="preserve"> to include</w:t>
      </w:r>
      <w:r w:rsidR="00007C55">
        <w:t xml:space="preserve"> the promotion of consumer protection and market integrity in the superannuation industry</w:t>
      </w:r>
      <w:r w:rsidR="00AA0BA4">
        <w:t>. The Bill</w:t>
      </w:r>
      <w:r>
        <w:t xml:space="preserve"> also extends the A</w:t>
      </w:r>
      <w:r w:rsidR="00AA0BA4">
        <w:t>ustralian financial services licensing</w:t>
      </w:r>
      <w:r>
        <w:t xml:space="preserve"> regime to cover a broader range of activities undertaken by superannuation trustees. </w:t>
      </w:r>
    </w:p>
    <w:p w14:paraId="15E44C9E" w14:textId="4B52940F" w:rsidR="00DA66BE" w:rsidRDefault="00DA66BE" w:rsidP="00DA66BE">
      <w:pPr>
        <w:tabs>
          <w:tab w:val="left" w:pos="2835"/>
        </w:tabs>
        <w:spacing w:before="240"/>
        <w:ind w:right="91"/>
      </w:pPr>
      <w:r>
        <w:t xml:space="preserve">The Regulations repeal the exemption for trustees of non-public offer superannuation funds from </w:t>
      </w:r>
      <w:r w:rsidR="007A2EBB">
        <w:t xml:space="preserve">the requirement to hold </w:t>
      </w:r>
      <w:r>
        <w:t>an A</w:t>
      </w:r>
      <w:r w:rsidR="00AA0BA4">
        <w:t>ustralian financial services licence</w:t>
      </w:r>
      <w:r>
        <w:t xml:space="preserve"> to deal in </w:t>
      </w:r>
      <w:r w:rsidR="007A2EBB">
        <w:t xml:space="preserve">financial products (including </w:t>
      </w:r>
      <w:r>
        <w:t xml:space="preserve">superannuation </w:t>
      </w:r>
      <w:r w:rsidR="007A2EBB">
        <w:t>interests)</w:t>
      </w:r>
      <w:r>
        <w:t>. Consistent with the</w:t>
      </w:r>
      <w:r w:rsidR="007A2EBB">
        <w:t xml:space="preserve"> reforms made by the Bill, this </w:t>
      </w:r>
      <w:r>
        <w:t>is intended to ensure the regulation of superannuation entities by ASIC on a consistent basis and reflects that members of non-public offer funds should have the same degree of protection as members of other funds. The Regulations also repeal a related exemption.</w:t>
      </w:r>
    </w:p>
    <w:p w14:paraId="40030CA6" w14:textId="16CB7C30" w:rsidR="00DA66BE" w:rsidRDefault="00DA66BE" w:rsidP="00DA66BE">
      <w:pPr>
        <w:tabs>
          <w:tab w:val="left" w:pos="2835"/>
        </w:tabs>
        <w:spacing w:before="240"/>
        <w:ind w:right="91"/>
      </w:pPr>
      <w:r>
        <w:lastRenderedPageBreak/>
        <w:t xml:space="preserve">Reflecting amendments made by the Bill, the Regulations make a number of minor amendments relating to exemptions for pooled superannuation trusts and the submission of </w:t>
      </w:r>
      <w:r w:rsidR="008C022C">
        <w:t xml:space="preserve">certain </w:t>
      </w:r>
      <w:r>
        <w:t>notices to the Commission</w:t>
      </w:r>
      <w:r w:rsidR="008C022C">
        <w:t>er of Taxat</w:t>
      </w:r>
      <w:r>
        <w:t>i</w:t>
      </w:r>
      <w:r w:rsidR="008C022C">
        <w:t>o</w:t>
      </w:r>
      <w:r>
        <w:t>n</w:t>
      </w:r>
      <w:r w:rsidR="008C022C">
        <w:t>.</w:t>
      </w:r>
    </w:p>
    <w:p w14:paraId="5C93D550" w14:textId="6B23CE40" w:rsidR="00EF3CB7" w:rsidRDefault="00EF3CB7" w:rsidP="00EF3CB7">
      <w:pPr>
        <w:spacing w:before="240"/>
      </w:pPr>
      <w:r>
        <w:t xml:space="preserve">Public consultation on the Regulations was conducted between 31 January 2020 and 28 February 2020, together with exposure drafts of several Schedules implementing recommendations of the Financial Services Royal Commission. Eleven submissions were received on these Regulations and </w:t>
      </w:r>
      <w:r w:rsidRPr="00DD76B7">
        <w:t xml:space="preserve">Schedule </w:t>
      </w:r>
      <w:r w:rsidR="00662B23">
        <w:t>9</w:t>
      </w:r>
      <w:r w:rsidRPr="00DD76B7">
        <w:t xml:space="preserve"> to</w:t>
      </w:r>
      <w:r>
        <w:t xml:space="preserve"> the Bill. Concerns about impacted trustees having sufficient time to prepare for the repeal of the non-public offe</w:t>
      </w:r>
      <w:r w:rsidR="009671CC">
        <w:t xml:space="preserve">r exemption have been addressed by providing a further 6 month transitional period for such trustees. </w:t>
      </w:r>
    </w:p>
    <w:p w14:paraId="6C7F3D94" w14:textId="77777777" w:rsidR="00E85F9B" w:rsidRDefault="00E85F9B" w:rsidP="00E85F9B">
      <w:pPr>
        <w:spacing w:before="240"/>
      </w:pPr>
      <w:r>
        <w:t xml:space="preserve">Details of the Regulations are set out in </w:t>
      </w:r>
      <w:r w:rsidRPr="00317816">
        <w:rPr>
          <w:u w:val="single"/>
        </w:rPr>
        <w:t>Attachment</w:t>
      </w:r>
      <w:r>
        <w:rPr>
          <w:u w:val="single"/>
        </w:rPr>
        <w:t xml:space="preserve"> A</w:t>
      </w:r>
      <w:r w:rsidRPr="00007C55">
        <w:t>.</w:t>
      </w:r>
    </w:p>
    <w:p w14:paraId="6EF75A1F" w14:textId="6DCBBF33" w:rsidR="00C37E05" w:rsidRDefault="005A279A" w:rsidP="002C226C">
      <w:pPr>
        <w:spacing w:before="240"/>
      </w:pPr>
      <w:r>
        <w:t>The</w:t>
      </w:r>
      <w:r w:rsidRPr="00007C55">
        <w:t xml:space="preserve"> </w:t>
      </w:r>
      <w:r w:rsidR="00166D8E">
        <w:t xml:space="preserve">Corporations Act and SIS Act </w:t>
      </w:r>
      <w:r>
        <w:t>do not specify any conditions that need to be met before the power to make the Regulations is exercised.</w:t>
      </w:r>
    </w:p>
    <w:p w14:paraId="2476CC62" w14:textId="4DF0ABFF"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w:t>
      </w:r>
      <w:r w:rsidR="00A9009D">
        <w:rPr>
          <w:i/>
        </w:rPr>
        <w:t> </w:t>
      </w:r>
      <w:r w:rsidRPr="00D3322F">
        <w:rPr>
          <w:i/>
        </w:rPr>
        <w:t>Act</w:t>
      </w:r>
      <w:r w:rsidR="00A9009D">
        <w:rPr>
          <w:i/>
        </w:rPr>
        <w:t> </w:t>
      </w:r>
      <w:r w:rsidRPr="00D3322F">
        <w:rPr>
          <w:i/>
        </w:rPr>
        <w:t>2003</w:t>
      </w:r>
      <w:r w:rsidRPr="00D3322F">
        <w:t>.</w:t>
      </w:r>
    </w:p>
    <w:p w14:paraId="7C8B90D5" w14:textId="57AC58B2" w:rsidR="009143A0" w:rsidRDefault="002A7C7A" w:rsidP="00647BB7">
      <w:pPr>
        <w:spacing w:before="240"/>
      </w:pPr>
      <w:r>
        <w:t xml:space="preserve">Part 1 of </w:t>
      </w:r>
      <w:r w:rsidR="00E06E10">
        <w:t xml:space="preserve">Schedule 1 to </w:t>
      </w:r>
      <w:r>
        <w:t>t</w:t>
      </w:r>
      <w:r w:rsidR="00F109D4" w:rsidRPr="00503E44">
        <w:t>he Regulations commence</w:t>
      </w:r>
      <w:r>
        <w:t>s</w:t>
      </w:r>
      <w:r w:rsidR="00F109D4" w:rsidRPr="00503E44">
        <w:t xml:space="preserve"> on </w:t>
      </w:r>
      <w:r w:rsidR="00DB6121">
        <w:t>the later of the</w:t>
      </w:r>
      <w:r w:rsidR="00AF1A09">
        <w:t xml:space="preserve"> commencement of Schedule </w:t>
      </w:r>
      <w:r w:rsidR="00662B23">
        <w:t>9</w:t>
      </w:r>
      <w:r w:rsidR="00AF1A09">
        <w:t xml:space="preserve"> to the Bill and </w:t>
      </w:r>
      <w:r w:rsidR="00DB6121" w:rsidRPr="002A7C7A">
        <w:t>1 J</w:t>
      </w:r>
      <w:r w:rsidRPr="002A7C7A">
        <w:t>anuar</w:t>
      </w:r>
      <w:r w:rsidR="00DB6121" w:rsidRPr="002A7C7A">
        <w:t>y 202</w:t>
      </w:r>
      <w:r>
        <w:t>1</w:t>
      </w:r>
      <w:r w:rsidR="00DB6121">
        <w:t xml:space="preserve">. </w:t>
      </w:r>
      <w:r>
        <w:t>Part 2</w:t>
      </w:r>
      <w:r w:rsidR="00645C96">
        <w:t xml:space="preserve"> of Schedule 1</w:t>
      </w:r>
      <w:r>
        <w:t xml:space="preserve">, which contains amendments relating to non-public offer funds, commences </w:t>
      </w:r>
      <w:r w:rsidR="00601DB8">
        <w:t>6 months after the commencement of Part 1</w:t>
      </w:r>
      <w:r w:rsidR="00982662">
        <w:t>.</w:t>
      </w:r>
    </w:p>
    <w:p w14:paraId="0B466BF9" w14:textId="77777777" w:rsidR="00E85F9B" w:rsidRPr="00E85F9B" w:rsidRDefault="00E85F9B" w:rsidP="00E85F9B">
      <w:pPr>
        <w:spacing w:before="240"/>
        <w:rPr>
          <w:lang w:val="en-US"/>
        </w:rPr>
      </w:pPr>
      <w:r w:rsidRPr="00E85F9B">
        <w:t>The Financial Services Royal Commission Final Report has been certified as being informed by a process and analysis equivalent to a Regulation Impact Statement for the purposes of the Government decision to implement this reform.</w:t>
      </w:r>
    </w:p>
    <w:p w14:paraId="27A8F2F8" w14:textId="77777777" w:rsidR="00E85F9B" w:rsidRPr="00E85F9B" w:rsidRDefault="00E85F9B" w:rsidP="00E85F9B">
      <w:pPr>
        <w:spacing w:before="240"/>
        <w:rPr>
          <w:lang w:val="en-US"/>
        </w:rPr>
      </w:pPr>
      <w:r w:rsidRPr="00E85F9B">
        <w:t xml:space="preserve">The Financial Services Royal Commission Final Report can be found at this link: </w:t>
      </w:r>
      <w:hyperlink r:id="rId14" w:history="1">
        <w:r w:rsidRPr="00E85F9B">
          <w:rPr>
            <w:rStyle w:val="Hyperlink"/>
          </w:rPr>
          <w:t>https://financialservices.royalcommission.gov.au/Pages/reports.aspx</w:t>
        </w:r>
      </w:hyperlink>
      <w:r w:rsidRPr="00E85F9B">
        <w:t xml:space="preserve"> </w:t>
      </w:r>
    </w:p>
    <w:p w14:paraId="0D098B66" w14:textId="05DC28C0" w:rsidR="00516FFC" w:rsidRPr="008273CA" w:rsidRDefault="00516FFC" w:rsidP="00647BB7">
      <w:pPr>
        <w:spacing w:before="240"/>
        <w:rPr>
          <w:i/>
        </w:rPr>
      </w:pPr>
      <w:r>
        <w:t xml:space="preserve">The Regulations </w:t>
      </w:r>
      <w:r w:rsidR="004A4BB3">
        <w:t>result in a small increase in compliance costs for affected financial service providers</w:t>
      </w:r>
      <w:r>
        <w:t>.</w:t>
      </w:r>
    </w:p>
    <w:p w14:paraId="481E9D61" w14:textId="6D0C5443" w:rsidR="00E85F9B" w:rsidRPr="00E85F9B" w:rsidRDefault="00E85F9B" w:rsidP="00647BB7">
      <w:pPr>
        <w:spacing w:before="240"/>
      </w:pPr>
      <w:r w:rsidRPr="00E85F9B">
        <w:t xml:space="preserve">A </w:t>
      </w:r>
      <w:r>
        <w:t>s</w:t>
      </w:r>
      <w:r w:rsidRPr="00E85F9B">
        <w:t xml:space="preserve">tatement of compatibility with </w:t>
      </w:r>
      <w:r>
        <w:t>h</w:t>
      </w:r>
      <w:r w:rsidRPr="00E85F9B">
        <w:t xml:space="preserve">uman </w:t>
      </w:r>
      <w:r>
        <w:t>r</w:t>
      </w:r>
      <w:r w:rsidRPr="00E85F9B">
        <w:t xml:space="preserve">ights is at </w:t>
      </w:r>
      <w:r w:rsidRPr="00E85F9B">
        <w:rPr>
          <w:u w:val="single"/>
        </w:rPr>
        <w:t>Attachment B</w:t>
      </w:r>
      <w:r w:rsidRPr="00E85F9B">
        <w:t>.</w:t>
      </w:r>
    </w:p>
    <w:p w14:paraId="2B89F35A" w14:textId="3EE1D31D" w:rsidR="00EA4DD8" w:rsidRDefault="00EA4DD8" w:rsidP="00EA4DD8">
      <w:pPr>
        <w:pageBreakBefore/>
        <w:spacing w:before="240"/>
        <w:jc w:val="right"/>
        <w:rPr>
          <w:b/>
          <w:u w:val="single"/>
        </w:rPr>
      </w:pPr>
      <w:r w:rsidRPr="007B335E">
        <w:rPr>
          <w:b/>
          <w:u w:val="single"/>
        </w:rPr>
        <w:lastRenderedPageBreak/>
        <w:t>ATTACHMENT</w:t>
      </w:r>
      <w:r w:rsidR="001F0860">
        <w:rPr>
          <w:b/>
          <w:u w:val="single"/>
        </w:rPr>
        <w:t xml:space="preserve"> A</w:t>
      </w:r>
    </w:p>
    <w:p w14:paraId="66497F43" w14:textId="6364AADE" w:rsidR="00EA4DD8" w:rsidRDefault="00EA4DD8" w:rsidP="00EA4DD8">
      <w:pPr>
        <w:spacing w:before="240"/>
        <w:ind w:right="91"/>
        <w:rPr>
          <w:b/>
          <w:bCs/>
          <w:szCs w:val="24"/>
          <w:u w:val="single"/>
        </w:rPr>
      </w:pPr>
      <w:r>
        <w:rPr>
          <w:b/>
          <w:bCs/>
          <w:u w:val="single"/>
        </w:rPr>
        <w:t xml:space="preserve">Details of the </w:t>
      </w:r>
      <w:r w:rsidR="00E12FB1" w:rsidRPr="00E12FB1">
        <w:rPr>
          <w:b/>
          <w:i/>
          <w:u w:val="single"/>
        </w:rPr>
        <w:t>Financial Sector Reform (Hayne Royal Commission Response) (Regulation of Superannuation) Regulations 2020</w:t>
      </w:r>
      <w:r>
        <w:rPr>
          <w:b/>
          <w:bCs/>
          <w:u w:val="single"/>
        </w:rPr>
        <w:t xml:space="preserve"> </w:t>
      </w:r>
    </w:p>
    <w:p w14:paraId="2CA416B1"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2E07469D" w14:textId="5C94A502" w:rsidR="00EA4DD8" w:rsidRDefault="00EA4DD8" w:rsidP="00EA4DD8">
      <w:pPr>
        <w:spacing w:before="240"/>
      </w:pPr>
      <w:r>
        <w:t xml:space="preserve">This section provides that the name of the Regulations is the </w:t>
      </w:r>
      <w:r w:rsidR="00E12FB1" w:rsidRPr="00E12FB1">
        <w:rPr>
          <w:i/>
        </w:rPr>
        <w:t>Financial Sector Reform (Hayne Royal Commission Response) (Regulation of Superannuation) Regulations 2020</w:t>
      </w:r>
      <w:r>
        <w:t>.</w:t>
      </w:r>
    </w:p>
    <w:p w14:paraId="682CC55B" w14:textId="77777777" w:rsidR="00EA4DD8" w:rsidRDefault="00EA4DD8" w:rsidP="00EA4DD8">
      <w:pPr>
        <w:spacing w:before="240"/>
        <w:ind w:right="91"/>
        <w:rPr>
          <w:u w:val="single"/>
        </w:rPr>
      </w:pPr>
      <w:r>
        <w:rPr>
          <w:u w:val="single"/>
        </w:rPr>
        <w:t>Section 2 – Commencement</w:t>
      </w:r>
    </w:p>
    <w:p w14:paraId="29814E3D" w14:textId="09D390CA" w:rsidR="002537F4" w:rsidRDefault="00E60D1A" w:rsidP="00E60D1A">
      <w:pPr>
        <w:spacing w:before="240"/>
      </w:pPr>
      <w:r>
        <w:t>This section provides that Part 1 of Schedule 1 to t</w:t>
      </w:r>
      <w:r w:rsidRPr="00503E44">
        <w:t xml:space="preserve">he Regulations </w:t>
      </w:r>
      <w:r w:rsidR="00A10B8C" w:rsidRPr="00503E44">
        <w:t xml:space="preserve">commence on </w:t>
      </w:r>
      <w:r w:rsidR="00A10B8C">
        <w:t>the later of the commencement of Schedule </w:t>
      </w:r>
      <w:r w:rsidR="00662B23">
        <w:t>9</w:t>
      </w:r>
      <w:r w:rsidR="00A10B8C">
        <w:t xml:space="preserve"> to the Bill and </w:t>
      </w:r>
      <w:r w:rsidR="00A10B8C" w:rsidRPr="002A7C7A">
        <w:t>1 January 202</w:t>
      </w:r>
      <w:r w:rsidR="00A10B8C">
        <w:t>1. Part 2 of Schedule 1, which contains amendments relating to non-public offer funds, commences 6 months after the commencement of Part 1.</w:t>
      </w:r>
    </w:p>
    <w:p w14:paraId="788BDD4D" w14:textId="4D3BDE94" w:rsidR="002537F4" w:rsidRDefault="002537F4" w:rsidP="00E60D1A">
      <w:pPr>
        <w:spacing w:before="240"/>
      </w:pPr>
      <w:r w:rsidRPr="002537F4">
        <w:t xml:space="preserve">The </w:t>
      </w:r>
      <w:r>
        <w:t>changes</w:t>
      </w:r>
      <w:r w:rsidRPr="002537F4">
        <w:t xml:space="preserve"> are intended to commence on 1</w:t>
      </w:r>
      <w:r>
        <w:t> </w:t>
      </w:r>
      <w:r w:rsidRPr="002537F4">
        <w:t>January</w:t>
      </w:r>
      <w:r>
        <w:t> </w:t>
      </w:r>
      <w:r w:rsidRPr="002537F4">
        <w:t>2021</w:t>
      </w:r>
      <w:r>
        <w:t xml:space="preserve"> and 1 July 2021 respectively</w:t>
      </w:r>
      <w:r w:rsidRPr="002537F4">
        <w:t xml:space="preserve">, but the commencement day </w:t>
      </w:r>
      <w:r>
        <w:t xml:space="preserve">of each Part </w:t>
      </w:r>
      <w:r w:rsidRPr="002537F4">
        <w:t>has been set in this way to prevent</w:t>
      </w:r>
      <w:r w:rsidR="003350A8">
        <w:t>s</w:t>
      </w:r>
      <w:r w:rsidRPr="002537F4">
        <w:t xml:space="preserve"> retrospective application in the event </w:t>
      </w:r>
      <w:r w:rsidR="003350A8">
        <w:t>the related amendments Bill commence after that time</w:t>
      </w:r>
      <w:r>
        <w:t>.</w:t>
      </w:r>
      <w:r w:rsidR="00BE44F6">
        <w:t xml:space="preserve"> </w:t>
      </w:r>
    </w:p>
    <w:p w14:paraId="189C2979" w14:textId="5A72935B" w:rsidR="00EA4DD8" w:rsidRDefault="00E60D1A" w:rsidP="00E60D1A">
      <w:pPr>
        <w:spacing w:before="240"/>
      </w:pPr>
      <w:r>
        <w:t xml:space="preserve">The balance of the instrument commences the </w:t>
      </w:r>
      <w:r w:rsidR="00EA4DD8" w:rsidRPr="00901E4C">
        <w:t xml:space="preserve">day after </w:t>
      </w:r>
      <w:r>
        <w:t>registration</w:t>
      </w:r>
      <w:r w:rsidR="00EA4DD8">
        <w:t>.</w:t>
      </w:r>
    </w:p>
    <w:p w14:paraId="39EFD2A3" w14:textId="77777777" w:rsidR="00EA4DD8" w:rsidRDefault="00EA4DD8" w:rsidP="00EA4DD8">
      <w:pPr>
        <w:spacing w:before="240"/>
        <w:ind w:right="91"/>
        <w:rPr>
          <w:u w:val="single"/>
        </w:rPr>
      </w:pPr>
      <w:r>
        <w:rPr>
          <w:u w:val="single"/>
        </w:rPr>
        <w:t>Section 3 – Authority</w:t>
      </w:r>
    </w:p>
    <w:p w14:paraId="40707C39" w14:textId="06A0EF3A" w:rsidR="00EA4DD8" w:rsidRDefault="00ED29BF" w:rsidP="00EA4DD8">
      <w:pPr>
        <w:spacing w:before="240"/>
        <w:ind w:right="91"/>
      </w:pPr>
      <w:r>
        <w:t>This section provides that the</w:t>
      </w:r>
      <w:r w:rsidR="00EA4DD8">
        <w:t xml:space="preserve"> Regulations are made under the</w:t>
      </w:r>
      <w:r w:rsidR="00166D8E">
        <w:t xml:space="preserve"> Corporations Act and the SIS Act.</w:t>
      </w:r>
    </w:p>
    <w:p w14:paraId="365A7BB6" w14:textId="4E6228FC" w:rsidR="00EA4DD8" w:rsidRDefault="00EA4DD8" w:rsidP="00EA4DD8">
      <w:pPr>
        <w:spacing w:before="240"/>
        <w:ind w:right="91"/>
        <w:rPr>
          <w:u w:val="single"/>
        </w:rPr>
      </w:pPr>
      <w:r>
        <w:rPr>
          <w:u w:val="single"/>
        </w:rPr>
        <w:t>Section 4 – Schedule</w:t>
      </w:r>
    </w:p>
    <w:p w14:paraId="4848C943"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2EE4B89D" w14:textId="77777777" w:rsidR="0062561A" w:rsidRDefault="002813EA" w:rsidP="0062561A">
      <w:pPr>
        <w:spacing w:after="0"/>
        <w:ind w:right="91"/>
        <w:rPr>
          <w:u w:val="single"/>
        </w:rPr>
      </w:pPr>
      <w:r>
        <w:rPr>
          <w:u w:val="single"/>
        </w:rPr>
        <w:t>Schedule 1</w:t>
      </w:r>
    </w:p>
    <w:p w14:paraId="3935D612" w14:textId="178B2432" w:rsidR="001116C0" w:rsidRPr="001116C0" w:rsidRDefault="001116C0" w:rsidP="0062561A">
      <w:pPr>
        <w:spacing w:after="0"/>
        <w:ind w:right="91"/>
        <w:rPr>
          <w:i/>
        </w:rPr>
      </w:pPr>
      <w:bookmarkStart w:id="0" w:name="_GoBack"/>
      <w:bookmarkEnd w:id="0"/>
      <w:r>
        <w:rPr>
          <w:i/>
        </w:rPr>
        <w:t>Amendments to the Corporations Regulations 2001</w:t>
      </w:r>
    </w:p>
    <w:p w14:paraId="76FC4E86" w14:textId="2942B86A" w:rsidR="00125AFF" w:rsidRDefault="00144267" w:rsidP="00EA4DD8">
      <w:pPr>
        <w:tabs>
          <w:tab w:val="left" w:pos="2835"/>
        </w:tabs>
        <w:spacing w:before="240"/>
        <w:ind w:right="91"/>
      </w:pPr>
      <w:r>
        <w:t xml:space="preserve">Item </w:t>
      </w:r>
      <w:r w:rsidR="0079154B">
        <w:t>8</w:t>
      </w:r>
      <w:r w:rsidR="00E20E80">
        <w:t xml:space="preserve"> of Schedule 1 repeals the exemption for </w:t>
      </w:r>
      <w:r w:rsidR="00125AFF">
        <w:t xml:space="preserve">trustees of non-public offer superannuation funds from </w:t>
      </w:r>
      <w:r w:rsidR="00160B57">
        <w:t xml:space="preserve">the </w:t>
      </w:r>
      <w:r w:rsidR="00125AFF">
        <w:t>r</w:t>
      </w:r>
      <w:r w:rsidR="00160B57">
        <w:t>equirement to hold</w:t>
      </w:r>
      <w:r w:rsidR="00125AFF">
        <w:t xml:space="preserve"> an </w:t>
      </w:r>
      <w:r w:rsidR="001116C0">
        <w:t>A</w:t>
      </w:r>
      <w:r w:rsidR="00AA0BA4">
        <w:t>ustralian financial services licence</w:t>
      </w:r>
      <w:r w:rsidR="00125AFF">
        <w:t xml:space="preserve"> to deal in </w:t>
      </w:r>
      <w:r w:rsidR="00160B57">
        <w:t>financial products (including</w:t>
      </w:r>
      <w:r w:rsidR="009C3558">
        <w:t xml:space="preserve"> a</w:t>
      </w:r>
      <w:r w:rsidR="00160B57">
        <w:t xml:space="preserve"> </w:t>
      </w:r>
      <w:r w:rsidR="00125AFF">
        <w:t xml:space="preserve">superannuation </w:t>
      </w:r>
      <w:r w:rsidR="009C3558">
        <w:t>interest</w:t>
      </w:r>
      <w:r w:rsidR="00160B57">
        <w:t>)</w:t>
      </w:r>
      <w:r w:rsidR="001F355B">
        <w:t xml:space="preserve">, effective </w:t>
      </w:r>
      <w:r w:rsidR="00736A3D">
        <w:t>on the commencement day of Part 2</w:t>
      </w:r>
      <w:r w:rsidR="00125AFF">
        <w:t>.</w:t>
      </w:r>
      <w:r w:rsidR="007C6424">
        <w:t xml:space="preserve"> </w:t>
      </w:r>
      <w:r w:rsidR="00160B57">
        <w:t xml:space="preserve">Non-public offer superannuation funds </w:t>
      </w:r>
      <w:r w:rsidR="007C6424">
        <w:t xml:space="preserve">are </w:t>
      </w:r>
      <w:r w:rsidR="007C6424" w:rsidRPr="003E659B">
        <w:t xml:space="preserve">superannuation funds </w:t>
      </w:r>
      <w:r w:rsidR="003F41ED" w:rsidRPr="003E659B">
        <w:t>that are not offered to the public at large</w:t>
      </w:r>
      <w:r w:rsidR="003E659B" w:rsidRPr="003E659B">
        <w:t xml:space="preserve">, with membership limited to employees of a particular employer or group of employers. </w:t>
      </w:r>
    </w:p>
    <w:p w14:paraId="275E7901" w14:textId="119A31ED" w:rsidR="00E969BD" w:rsidRDefault="00E969BD" w:rsidP="00EA4DD8">
      <w:pPr>
        <w:tabs>
          <w:tab w:val="left" w:pos="2835"/>
        </w:tabs>
        <w:spacing w:before="240"/>
        <w:ind w:right="91"/>
      </w:pPr>
      <w:r>
        <w:t>The removal of the exemption is intended to ensure the regulation of superannuation entities by ASIC on a consistent basis, and reflects that members of non-public offer funds should have the same degree of protection as members of other funds.</w:t>
      </w:r>
    </w:p>
    <w:p w14:paraId="14E1542C" w14:textId="2EC21891" w:rsidR="00745F5A" w:rsidRDefault="00125AFF" w:rsidP="00EA4DD8">
      <w:pPr>
        <w:tabs>
          <w:tab w:val="left" w:pos="2835"/>
        </w:tabs>
        <w:spacing w:before="240"/>
        <w:ind w:right="91"/>
      </w:pPr>
      <w:r>
        <w:lastRenderedPageBreak/>
        <w:t>As a result of the amendments in the Bill and item</w:t>
      </w:r>
      <w:r w:rsidR="00144267">
        <w:t>s</w:t>
      </w:r>
      <w:r>
        <w:t xml:space="preserve"> 1</w:t>
      </w:r>
      <w:r w:rsidR="00144267">
        <w:t xml:space="preserve"> and </w:t>
      </w:r>
      <w:r w:rsidR="0079154B">
        <w:t>8</w:t>
      </w:r>
      <w:r>
        <w:t xml:space="preserve"> of Schedule 1 to these Regulations, from </w:t>
      </w:r>
      <w:r w:rsidR="00736A3D">
        <w:t>the commencement day of Part 2</w:t>
      </w:r>
      <w:r>
        <w:t>, trustees of non-public offer funds</w:t>
      </w:r>
      <w:r w:rsidR="0060689C">
        <w:t xml:space="preserve"> who hold a registrable superannuation entity licence from APRA</w:t>
      </w:r>
      <w:r>
        <w:t xml:space="preserve"> must </w:t>
      </w:r>
      <w:r w:rsidR="0060689C">
        <w:t xml:space="preserve">also </w:t>
      </w:r>
      <w:r>
        <w:t xml:space="preserve">hold </w:t>
      </w:r>
      <w:r w:rsidR="001116C0">
        <w:t>A</w:t>
      </w:r>
      <w:r w:rsidR="0047507A">
        <w:t>ustralian financial services licence</w:t>
      </w:r>
      <w:r>
        <w:t xml:space="preserve"> authorisations both to deal in </w:t>
      </w:r>
      <w:r w:rsidR="002375BF">
        <w:t xml:space="preserve">a </w:t>
      </w:r>
      <w:r>
        <w:t>superannuation interest and to provide a superannuation trustee service.</w:t>
      </w:r>
    </w:p>
    <w:p w14:paraId="3AFF3B24" w14:textId="08BBD371" w:rsidR="00344512" w:rsidRDefault="00745F5A" w:rsidP="00EA4DD8">
      <w:pPr>
        <w:tabs>
          <w:tab w:val="left" w:pos="2835"/>
        </w:tabs>
        <w:spacing w:before="240"/>
        <w:ind w:right="91"/>
      </w:pPr>
      <w:r>
        <w:t>Item 1</w:t>
      </w:r>
      <w:r w:rsidR="00771D76">
        <w:t xml:space="preserve"> creates, and item </w:t>
      </w:r>
      <w:r w:rsidR="0079154B">
        <w:t>8</w:t>
      </w:r>
      <w:r w:rsidR="00771D76">
        <w:t xml:space="preserve"> subsequently repeals, a temporary exemption to </w:t>
      </w:r>
      <w:r>
        <w:t xml:space="preserve">ensure trustees of non-public offer funds </w:t>
      </w:r>
      <w:r w:rsidR="00771D76">
        <w:t xml:space="preserve">are not required to hold the superannuation trustee </w:t>
      </w:r>
      <w:r w:rsidR="00CF2A50">
        <w:t xml:space="preserve">service authorisation until </w:t>
      </w:r>
      <w:r w:rsidR="00736A3D">
        <w:t>the commencement day of Part 2</w:t>
      </w:r>
      <w:r w:rsidR="00CF2A50">
        <w:t>.</w:t>
      </w:r>
      <w:r w:rsidR="00344512">
        <w:t xml:space="preserve"> </w:t>
      </w:r>
    </w:p>
    <w:p w14:paraId="2AC3A257" w14:textId="14664CFC" w:rsidR="00E20E80" w:rsidRDefault="004A313B" w:rsidP="00EA4DD8">
      <w:pPr>
        <w:tabs>
          <w:tab w:val="left" w:pos="2835"/>
        </w:tabs>
        <w:spacing w:before="240"/>
        <w:ind w:right="91"/>
      </w:pPr>
      <w:r>
        <w:t>T</w:t>
      </w:r>
      <w:r w:rsidRPr="004A313B">
        <w:t xml:space="preserve">rustees of non-public offer funds lodging an application </w:t>
      </w:r>
      <w:r w:rsidRPr="00144267">
        <w:t xml:space="preserve">after </w:t>
      </w:r>
      <w:r w:rsidR="00B2554F">
        <w:t xml:space="preserve">Schedule </w:t>
      </w:r>
      <w:r w:rsidR="00662B23">
        <w:t>9</w:t>
      </w:r>
      <w:r w:rsidR="00B2554F">
        <w:t xml:space="preserve"> to the Bill commences</w:t>
      </w:r>
      <w:r w:rsidRPr="00144267">
        <w:t xml:space="preserve"> must</w:t>
      </w:r>
      <w:r w:rsidRPr="004A313B">
        <w:t xml:space="preserve"> comply with the Australian financial services licence application requirements in respect of each financial service they propose to provide</w:t>
      </w:r>
      <w:r w:rsidR="00344512">
        <w:t>.</w:t>
      </w:r>
    </w:p>
    <w:p w14:paraId="3DBB1BEE" w14:textId="7F8F04B5" w:rsidR="00A317A9" w:rsidRDefault="00A317A9" w:rsidP="00EA4DD8">
      <w:pPr>
        <w:tabs>
          <w:tab w:val="left" w:pos="2835"/>
        </w:tabs>
        <w:spacing w:before="240"/>
        <w:ind w:right="91"/>
      </w:pPr>
      <w:r w:rsidRPr="00A317A9">
        <w:t>Trustees of non-public offer funds are advised to lodge their Australian financial services licence applications with ASIC on or before 30</w:t>
      </w:r>
      <w:r>
        <w:t> </w:t>
      </w:r>
      <w:r w:rsidRPr="00A317A9">
        <w:t>April</w:t>
      </w:r>
      <w:r>
        <w:t> </w:t>
      </w:r>
      <w:r w:rsidRPr="00A317A9">
        <w:t xml:space="preserve">2021. If a trustee submits a complete application to ASIC by that date, </w:t>
      </w:r>
      <w:r>
        <w:t xml:space="preserve">item 10 of Schedule 1 will deem </w:t>
      </w:r>
      <w:r w:rsidRPr="00A317A9">
        <w:t xml:space="preserve">the trustee compliant with the requirement to be authorised for both financial services from </w:t>
      </w:r>
      <w:r w:rsidR="00B2554F">
        <w:t>the commencement day of Part 2</w:t>
      </w:r>
      <w:r w:rsidRPr="00A317A9">
        <w:t xml:space="preserve"> until ASIC determines the application. This will ensure that trustees who submit their applications in a timely manner are not in breach of the requirement to hold an Australian financial services licence authorising them to deal in a superannuation interest and provide a superannuation trustee service if ASIC is unable to process their applications before </w:t>
      </w:r>
      <w:r w:rsidR="00B2554F">
        <w:t>the commencement day of Part 2</w:t>
      </w:r>
      <w:r w:rsidRPr="00A317A9">
        <w:t>.</w:t>
      </w:r>
    </w:p>
    <w:p w14:paraId="549BCE89" w14:textId="0279BB1D" w:rsidR="001116C0" w:rsidRDefault="000048EC" w:rsidP="000048EC">
      <w:pPr>
        <w:tabs>
          <w:tab w:val="left" w:pos="2835"/>
        </w:tabs>
        <w:spacing w:before="240"/>
        <w:ind w:right="91"/>
      </w:pPr>
      <w:r>
        <w:t>Items 2</w:t>
      </w:r>
      <w:r w:rsidR="0079154B">
        <w:t xml:space="preserve"> to</w:t>
      </w:r>
      <w:r>
        <w:t xml:space="preserve"> </w:t>
      </w:r>
      <w:r w:rsidR="0079154B">
        <w:t>6</w:t>
      </w:r>
      <w:r>
        <w:t xml:space="preserve"> of Schedule 1 </w:t>
      </w:r>
      <w:r w:rsidRPr="000048EC">
        <w:t xml:space="preserve">extend existing exemptions for </w:t>
      </w:r>
      <w:r w:rsidR="002E0833">
        <w:t xml:space="preserve">trustees of </w:t>
      </w:r>
      <w:r w:rsidRPr="000048EC">
        <w:t xml:space="preserve">pooled superannuation trusts in the </w:t>
      </w:r>
      <w:r w:rsidRPr="0098300F">
        <w:rPr>
          <w:i/>
        </w:rPr>
        <w:t>Corporations Regulations</w:t>
      </w:r>
      <w:r w:rsidR="0098300F" w:rsidRPr="0098300F">
        <w:rPr>
          <w:i/>
        </w:rPr>
        <w:t xml:space="preserve"> 2001</w:t>
      </w:r>
      <w:r w:rsidRPr="000048EC">
        <w:t xml:space="preserve"> that</w:t>
      </w:r>
      <w:r w:rsidR="004453FB">
        <w:t xml:space="preserve"> already applied </w:t>
      </w:r>
      <w:r w:rsidRPr="000048EC">
        <w:t xml:space="preserve">in relation to dealing in a </w:t>
      </w:r>
      <w:r w:rsidR="002E0833">
        <w:t xml:space="preserve">financial product (including a </w:t>
      </w:r>
      <w:r w:rsidRPr="000048EC">
        <w:t xml:space="preserve">superannuation </w:t>
      </w:r>
      <w:r w:rsidR="002E0833">
        <w:t>interest)</w:t>
      </w:r>
      <w:r w:rsidR="0064399E">
        <w:t xml:space="preserve">. These exemptions only apply where </w:t>
      </w:r>
      <w:r w:rsidR="00203A8E" w:rsidRPr="00203A8E">
        <w:t>the pooled superannuation trust does not invest the assets of a regulated superannuation fund</w:t>
      </w:r>
      <w:r w:rsidR="00516FFC">
        <w:t>,</w:t>
      </w:r>
      <w:r w:rsidR="00203A8E" w:rsidRPr="00203A8E">
        <w:t xml:space="preserve"> </w:t>
      </w:r>
      <w:r w:rsidR="00891B6C">
        <w:t xml:space="preserve">which has total assets </w:t>
      </w:r>
      <w:r w:rsidR="00203A8E" w:rsidRPr="00203A8E">
        <w:t xml:space="preserve">below a certain </w:t>
      </w:r>
      <w:r w:rsidR="00891B6C">
        <w:t>amount</w:t>
      </w:r>
      <w:r w:rsidRPr="000048EC">
        <w:t>.</w:t>
      </w:r>
      <w:r w:rsidR="0098300F">
        <w:t xml:space="preserve"> </w:t>
      </w:r>
    </w:p>
    <w:p w14:paraId="3B724463" w14:textId="689E8B28" w:rsidR="000048EC" w:rsidRDefault="001116C0" w:rsidP="000048EC">
      <w:pPr>
        <w:tabs>
          <w:tab w:val="left" w:pos="2835"/>
        </w:tabs>
        <w:spacing w:before="240"/>
        <w:ind w:right="91"/>
      </w:pPr>
      <w:r>
        <w:t>Items 2</w:t>
      </w:r>
      <w:r w:rsidR="0079154B">
        <w:t xml:space="preserve"> to 6</w:t>
      </w:r>
      <w:r>
        <w:t xml:space="preserve"> </w:t>
      </w:r>
      <w:r w:rsidR="009E5403">
        <w:t>extend</w:t>
      </w:r>
      <w:r w:rsidR="00891B6C">
        <w:t xml:space="preserve"> the exemptions </w:t>
      </w:r>
      <w:r w:rsidR="0098300F">
        <w:t>by amending the</w:t>
      </w:r>
      <w:r w:rsidR="009E5403">
        <w:t>m</w:t>
      </w:r>
      <w:r w:rsidR="0098300F">
        <w:t xml:space="preserve"> to expressly cover </w:t>
      </w:r>
      <w:r w:rsidR="00565A73">
        <w:t xml:space="preserve">the new financial service introduced by the Bill – providing </w:t>
      </w:r>
      <w:r w:rsidR="0098300F">
        <w:t xml:space="preserve">a superannuation trustee service. As a result, an </w:t>
      </w:r>
      <w:r w:rsidR="0047507A">
        <w:t>Australian financial services licence</w:t>
      </w:r>
      <w:r w:rsidR="00565A73">
        <w:t xml:space="preserve"> </w:t>
      </w:r>
      <w:r w:rsidR="0098300F">
        <w:t>is not required for:</w:t>
      </w:r>
    </w:p>
    <w:p w14:paraId="4BC05350" w14:textId="77777777" w:rsidR="007C64E4" w:rsidRDefault="0098300F" w:rsidP="007C64E4">
      <w:pPr>
        <w:pStyle w:val="ListParagraph"/>
        <w:numPr>
          <w:ilvl w:val="0"/>
          <w:numId w:val="4"/>
        </w:numPr>
        <w:tabs>
          <w:tab w:val="left" w:pos="2835"/>
        </w:tabs>
        <w:spacing w:before="240"/>
        <w:ind w:right="91"/>
      </w:pPr>
      <w:r>
        <w:t>a superannuation trustee service provided by the trustee of a pooled superannuation trust in the following circumstances:</w:t>
      </w:r>
    </w:p>
    <w:p w14:paraId="13E594AB" w14:textId="77777777" w:rsidR="007C64E4" w:rsidRDefault="007C64E4" w:rsidP="007C64E4">
      <w:pPr>
        <w:pStyle w:val="ListParagraph"/>
        <w:tabs>
          <w:tab w:val="left" w:pos="2835"/>
        </w:tabs>
        <w:spacing w:before="240"/>
        <w:ind w:right="91"/>
      </w:pPr>
    </w:p>
    <w:p w14:paraId="5DEC499E" w14:textId="5477D2FA" w:rsidR="0098300F" w:rsidRDefault="0098300F" w:rsidP="007C64E4">
      <w:pPr>
        <w:pStyle w:val="ListParagraph"/>
        <w:numPr>
          <w:ilvl w:val="1"/>
          <w:numId w:val="4"/>
        </w:numPr>
        <w:tabs>
          <w:tab w:val="left" w:pos="2835"/>
        </w:tabs>
        <w:spacing w:before="240"/>
        <w:ind w:right="91"/>
      </w:pPr>
      <w:r>
        <w:t>the pooled superannuation trust is used for investment of the assets of a regulated superannuation fund;</w:t>
      </w:r>
    </w:p>
    <w:p w14:paraId="520ADD48" w14:textId="77777777" w:rsidR="0098300F" w:rsidRDefault="0098300F" w:rsidP="0098300F">
      <w:pPr>
        <w:pStyle w:val="ListParagraph"/>
        <w:tabs>
          <w:tab w:val="left" w:pos="2835"/>
        </w:tabs>
        <w:spacing w:before="240"/>
        <w:ind w:right="91"/>
      </w:pPr>
    </w:p>
    <w:p w14:paraId="7BC993C2" w14:textId="4E94D9D7" w:rsidR="0098300F" w:rsidRDefault="0098300F" w:rsidP="007C64E4">
      <w:pPr>
        <w:pStyle w:val="ListParagraph"/>
        <w:numPr>
          <w:ilvl w:val="1"/>
          <w:numId w:val="4"/>
        </w:numPr>
        <w:tabs>
          <w:tab w:val="left" w:pos="2835"/>
        </w:tabs>
        <w:spacing w:before="240"/>
        <w:ind w:right="91"/>
      </w:pPr>
      <w:r>
        <w:t>the regulated superannuation fund has net assets of at least $10</w:t>
      </w:r>
      <w:r w:rsidR="00421E42">
        <w:t> </w:t>
      </w:r>
      <w:r>
        <w:t>million on the date that it first invests in the pooled superannuation trust;</w:t>
      </w:r>
    </w:p>
    <w:p w14:paraId="08039EF6" w14:textId="77777777" w:rsidR="0098300F" w:rsidRDefault="0098300F" w:rsidP="0098300F">
      <w:pPr>
        <w:pStyle w:val="ListParagraph"/>
        <w:tabs>
          <w:tab w:val="left" w:pos="2835"/>
        </w:tabs>
        <w:spacing w:before="240"/>
        <w:ind w:right="91"/>
      </w:pPr>
    </w:p>
    <w:p w14:paraId="779EFB36" w14:textId="605612C2" w:rsidR="0098300F" w:rsidRDefault="0098300F" w:rsidP="0098300F">
      <w:pPr>
        <w:pStyle w:val="ListParagraph"/>
        <w:numPr>
          <w:ilvl w:val="0"/>
          <w:numId w:val="4"/>
        </w:numPr>
        <w:tabs>
          <w:tab w:val="left" w:pos="2835"/>
        </w:tabs>
        <w:spacing w:before="240"/>
        <w:ind w:right="91"/>
      </w:pPr>
      <w:r>
        <w:t>a superannuation trustee service provided by the trustee of a pooled superannuation trust in the following circumstances:</w:t>
      </w:r>
    </w:p>
    <w:p w14:paraId="611A86A6" w14:textId="77777777" w:rsidR="0098300F" w:rsidRDefault="0098300F" w:rsidP="0098300F">
      <w:pPr>
        <w:pStyle w:val="ListParagraph"/>
        <w:tabs>
          <w:tab w:val="left" w:pos="2835"/>
        </w:tabs>
        <w:spacing w:before="240"/>
        <w:ind w:right="91"/>
      </w:pPr>
    </w:p>
    <w:p w14:paraId="0B7984CE" w14:textId="77777777" w:rsidR="0098300F" w:rsidRDefault="0098300F" w:rsidP="007C64E4">
      <w:pPr>
        <w:pStyle w:val="ListParagraph"/>
        <w:numPr>
          <w:ilvl w:val="1"/>
          <w:numId w:val="4"/>
        </w:numPr>
        <w:tabs>
          <w:tab w:val="left" w:pos="2835"/>
        </w:tabs>
        <w:spacing w:before="240"/>
        <w:ind w:right="91"/>
      </w:pPr>
      <w:r>
        <w:t>the pooled superannuation trust is used for investment of the assets of a regulated superannuation fund;</w:t>
      </w:r>
    </w:p>
    <w:p w14:paraId="25C22017" w14:textId="77777777" w:rsidR="0098300F" w:rsidRDefault="0098300F" w:rsidP="0098300F">
      <w:pPr>
        <w:pStyle w:val="ListParagraph"/>
        <w:tabs>
          <w:tab w:val="left" w:pos="2835"/>
        </w:tabs>
        <w:spacing w:before="240"/>
        <w:ind w:right="91"/>
      </w:pPr>
    </w:p>
    <w:p w14:paraId="146429D6" w14:textId="77777777" w:rsidR="0098300F" w:rsidRDefault="0098300F" w:rsidP="007C64E4">
      <w:pPr>
        <w:pStyle w:val="ListParagraph"/>
        <w:numPr>
          <w:ilvl w:val="1"/>
          <w:numId w:val="4"/>
        </w:numPr>
        <w:tabs>
          <w:tab w:val="left" w:pos="2835"/>
        </w:tabs>
        <w:spacing w:before="240"/>
        <w:ind w:right="91"/>
      </w:pPr>
      <w:r>
        <w:t>the regulated superannuation fund has net assets of at least $5 million, but less than $10 million, on the date that it first invests in the pooled superannuation trust;</w:t>
      </w:r>
    </w:p>
    <w:p w14:paraId="50666090" w14:textId="77777777" w:rsidR="0098300F" w:rsidRDefault="0098300F" w:rsidP="0098300F">
      <w:pPr>
        <w:pStyle w:val="ListParagraph"/>
        <w:tabs>
          <w:tab w:val="left" w:pos="2835"/>
        </w:tabs>
        <w:spacing w:before="240"/>
        <w:ind w:right="91"/>
      </w:pPr>
    </w:p>
    <w:p w14:paraId="0CCA3BFA" w14:textId="77777777" w:rsidR="0098300F" w:rsidRDefault="0098300F" w:rsidP="007C64E4">
      <w:pPr>
        <w:pStyle w:val="ListParagraph"/>
        <w:numPr>
          <w:ilvl w:val="1"/>
          <w:numId w:val="4"/>
        </w:numPr>
        <w:tabs>
          <w:tab w:val="left" w:pos="2835"/>
        </w:tabs>
        <w:spacing w:before="240"/>
        <w:ind w:right="91"/>
      </w:pPr>
      <w:r>
        <w:t>the trustee has a reasonable expectation that the net assets of the regulated superannuation fund will equal or exceed $10 million not later than 3 months of the date on which it first invests in the pooled superannuation trust; or</w:t>
      </w:r>
    </w:p>
    <w:p w14:paraId="4C28EE5D" w14:textId="77777777" w:rsidR="0098300F" w:rsidRDefault="0098300F" w:rsidP="0098300F">
      <w:pPr>
        <w:pStyle w:val="ListParagraph"/>
        <w:tabs>
          <w:tab w:val="left" w:pos="2835"/>
        </w:tabs>
        <w:spacing w:before="240"/>
        <w:ind w:right="91"/>
      </w:pPr>
    </w:p>
    <w:p w14:paraId="3A1D78CA" w14:textId="72AC042C" w:rsidR="0098300F" w:rsidRDefault="0098300F" w:rsidP="0098300F">
      <w:pPr>
        <w:pStyle w:val="ListParagraph"/>
        <w:numPr>
          <w:ilvl w:val="0"/>
          <w:numId w:val="4"/>
        </w:numPr>
        <w:tabs>
          <w:tab w:val="left" w:pos="2835"/>
        </w:tabs>
        <w:spacing w:before="240"/>
        <w:ind w:right="91"/>
      </w:pPr>
      <w:r>
        <w:t>a superannuation trustee service provided by the trustee of a pooled superannuation trust in circumstances in which the pooled superannuation trust is not used for the investment of the assets of a regulated superannuation fund.</w:t>
      </w:r>
    </w:p>
    <w:p w14:paraId="1F388F00" w14:textId="640B5E05" w:rsidR="00E20E80" w:rsidRDefault="00E20E80" w:rsidP="00EA4DD8">
      <w:pPr>
        <w:tabs>
          <w:tab w:val="left" w:pos="2835"/>
        </w:tabs>
        <w:spacing w:before="240"/>
        <w:ind w:right="91"/>
      </w:pPr>
      <w:r>
        <w:t xml:space="preserve">Item </w:t>
      </w:r>
      <w:r w:rsidR="0079154B">
        <w:t>9</w:t>
      </w:r>
      <w:r>
        <w:t xml:space="preserve"> of Schedule 1</w:t>
      </w:r>
      <w:r w:rsidR="0068567E">
        <w:t xml:space="preserve"> repeals the exemption from requiring an </w:t>
      </w:r>
      <w:r w:rsidR="0047507A">
        <w:t>Australian financial services licence</w:t>
      </w:r>
      <w:r w:rsidR="0068567E">
        <w:t xml:space="preserve"> to deal in a financial product that consists only of </w:t>
      </w:r>
      <w:r w:rsidR="002E0833">
        <w:t xml:space="preserve">a trustee of a superannuation fund paying the benefits of a member </w:t>
      </w:r>
      <w:r w:rsidR="0068567E">
        <w:t>into a superannuation product or retirement savings account product</w:t>
      </w:r>
      <w:r w:rsidR="00566DAA">
        <w:t xml:space="preserve">, effective </w:t>
      </w:r>
      <w:r w:rsidR="0079154B">
        <w:t>from the commencement day of Part 2</w:t>
      </w:r>
      <w:r w:rsidR="0068567E">
        <w:t>.</w:t>
      </w:r>
      <w:r w:rsidR="00AD1704">
        <w:t xml:space="preserve"> This exemption is made redundant by the repeal of the exemption for trustees of non-public offer superannuation funds from requiring an </w:t>
      </w:r>
      <w:r w:rsidR="0047507A">
        <w:t>Australian financial services licence</w:t>
      </w:r>
      <w:r w:rsidR="00AD1704">
        <w:t xml:space="preserve"> to deal in a superannuation product (see item 1 of Schedule 1).</w:t>
      </w:r>
    </w:p>
    <w:p w14:paraId="67B71E7A" w14:textId="64B12350" w:rsidR="00B52E95" w:rsidRPr="00B52E95" w:rsidRDefault="00B52E95" w:rsidP="00087A0C">
      <w:pPr>
        <w:keepNext/>
        <w:tabs>
          <w:tab w:val="left" w:pos="2835"/>
        </w:tabs>
        <w:spacing w:before="240"/>
        <w:ind w:right="91"/>
        <w:rPr>
          <w:i/>
        </w:rPr>
      </w:pPr>
      <w:r>
        <w:rPr>
          <w:i/>
        </w:rPr>
        <w:t xml:space="preserve">Amendment to the </w:t>
      </w:r>
      <w:r w:rsidRPr="00B52E95">
        <w:rPr>
          <w:i/>
        </w:rPr>
        <w:t>Superannuation</w:t>
      </w:r>
      <w:r>
        <w:rPr>
          <w:i/>
        </w:rPr>
        <w:t xml:space="preserve"> Industry (Supervision) Regulations 1994</w:t>
      </w:r>
    </w:p>
    <w:p w14:paraId="4D347BD6" w14:textId="2322E1FA" w:rsidR="00482B81" w:rsidRDefault="00AD1704" w:rsidP="00AD1704">
      <w:pPr>
        <w:tabs>
          <w:tab w:val="left" w:pos="2835"/>
        </w:tabs>
        <w:spacing w:before="240"/>
        <w:ind w:right="91"/>
      </w:pPr>
      <w:r>
        <w:t xml:space="preserve">Item </w:t>
      </w:r>
      <w:r w:rsidR="0079154B">
        <w:t>7</w:t>
      </w:r>
      <w:r>
        <w:t xml:space="preserve"> of Schedule 1 repeals regulation 1.04A of the </w:t>
      </w:r>
      <w:r>
        <w:rPr>
          <w:i/>
        </w:rPr>
        <w:t>Superannuation Industry (Supervision) Regulations 1994</w:t>
      </w:r>
      <w:r>
        <w:t xml:space="preserve">, which is made redundant by the Bill’s </w:t>
      </w:r>
      <w:r w:rsidR="00D3508B">
        <w:t>clarif</w:t>
      </w:r>
      <w:r>
        <w:t>ication</w:t>
      </w:r>
      <w:r w:rsidR="00D3508B">
        <w:t xml:space="preserve"> </w:t>
      </w:r>
      <w:r>
        <w:t xml:space="preserve">that </w:t>
      </w:r>
      <w:r w:rsidR="00D3508B">
        <w:t>the Commissioner of Taxation is responsible for receiving written notices from trustees of their election</w:t>
      </w:r>
      <w:r w:rsidR="002E0833">
        <w:t>s</w:t>
      </w:r>
      <w:r w:rsidR="00D3508B">
        <w:t xml:space="preserve"> to </w:t>
      </w:r>
      <w:r>
        <w:t>have the</w:t>
      </w:r>
      <w:r w:rsidR="00166D8E">
        <w:t xml:space="preserve"> SIS Act </w:t>
      </w:r>
      <w:r w:rsidR="00D3508B">
        <w:t>apply to them as a regulated superannuation fund.</w:t>
      </w:r>
    </w:p>
    <w:p w14:paraId="29A250FE" w14:textId="15C03263" w:rsidR="001F0860" w:rsidRDefault="001F0860" w:rsidP="00AD1704">
      <w:pPr>
        <w:tabs>
          <w:tab w:val="left" w:pos="2835"/>
        </w:tabs>
        <w:spacing w:before="240"/>
        <w:ind w:right="91"/>
      </w:pPr>
    </w:p>
    <w:p w14:paraId="0959B7DD" w14:textId="4266FA1B" w:rsidR="001F0860" w:rsidRDefault="001F0860">
      <w:pPr>
        <w:spacing w:before="0" w:after="0"/>
      </w:pPr>
      <w:r>
        <w:br w:type="page"/>
      </w:r>
    </w:p>
    <w:p w14:paraId="472F0544" w14:textId="77777777" w:rsidR="001F0860" w:rsidRPr="001F0860" w:rsidRDefault="001F0860" w:rsidP="001F0860">
      <w:pPr>
        <w:tabs>
          <w:tab w:val="left" w:pos="2835"/>
        </w:tabs>
        <w:spacing w:before="240"/>
        <w:ind w:right="91"/>
        <w:jc w:val="right"/>
        <w:rPr>
          <w:lang w:val="en-US"/>
        </w:rPr>
      </w:pPr>
      <w:r w:rsidRPr="001F0860">
        <w:rPr>
          <w:b/>
          <w:bCs/>
          <w:u w:val="single"/>
        </w:rPr>
        <w:lastRenderedPageBreak/>
        <w:t>ATTACHMENT B</w:t>
      </w:r>
    </w:p>
    <w:p w14:paraId="71E9E3C8" w14:textId="77777777" w:rsidR="001F0860" w:rsidRPr="001F0860" w:rsidRDefault="001F0860" w:rsidP="001F0860">
      <w:pPr>
        <w:tabs>
          <w:tab w:val="left" w:pos="2835"/>
        </w:tabs>
        <w:spacing w:before="240"/>
        <w:ind w:right="91"/>
        <w:rPr>
          <w:b/>
          <w:bCs/>
          <w:lang w:val="en-US"/>
        </w:rPr>
      </w:pPr>
      <w:r w:rsidRPr="001F0860">
        <w:rPr>
          <w:b/>
          <w:bCs/>
        </w:rPr>
        <w:t>Statement of Compatibility with Human Rights</w:t>
      </w:r>
    </w:p>
    <w:p w14:paraId="34D466F1" w14:textId="77777777" w:rsidR="001F0860" w:rsidRPr="001F0860" w:rsidRDefault="001F0860" w:rsidP="001F0860">
      <w:pPr>
        <w:tabs>
          <w:tab w:val="left" w:pos="2835"/>
        </w:tabs>
        <w:spacing w:before="240"/>
        <w:ind w:right="91"/>
        <w:rPr>
          <w:lang w:val="en-US"/>
        </w:rPr>
      </w:pPr>
      <w:r w:rsidRPr="001F0860">
        <w:rPr>
          <w:i/>
          <w:iCs/>
        </w:rPr>
        <w:t>Prepared in accordance with Part 3 of the Human Rights (Parliamentary Scrutiny) Act 2011</w:t>
      </w:r>
    </w:p>
    <w:p w14:paraId="6E05E77B" w14:textId="031716A2" w:rsidR="001F0860" w:rsidRDefault="00E12FB1" w:rsidP="001F0860">
      <w:pPr>
        <w:tabs>
          <w:tab w:val="left" w:pos="2835"/>
        </w:tabs>
        <w:spacing w:before="240"/>
        <w:ind w:right="91"/>
        <w:rPr>
          <w:b/>
          <w:bCs/>
          <w:i/>
          <w:iCs/>
        </w:rPr>
      </w:pPr>
      <w:r w:rsidRPr="00E12FB1">
        <w:rPr>
          <w:b/>
          <w:bCs/>
          <w:i/>
          <w:iCs/>
        </w:rPr>
        <w:t>Financial Sector Reform (Hayne Royal Commission Response) (Regulation of Superannuation) Regulations 2020</w:t>
      </w:r>
    </w:p>
    <w:p w14:paraId="259E939F" w14:textId="50BB66EA" w:rsidR="001F0860" w:rsidRPr="001F0860" w:rsidRDefault="001F0860" w:rsidP="001F0860">
      <w:pPr>
        <w:tabs>
          <w:tab w:val="left" w:pos="2835"/>
        </w:tabs>
        <w:spacing w:before="240"/>
        <w:ind w:right="91"/>
        <w:rPr>
          <w:lang w:val="en-US"/>
        </w:rPr>
      </w:pPr>
      <w:r w:rsidRPr="001F0860">
        <w:t xml:space="preserve">This </w:t>
      </w:r>
      <w:r w:rsidR="00BA4049">
        <w:t>l</w:t>
      </w:r>
      <w:r w:rsidRPr="001F0860">
        <w:t xml:space="preserve">egislative </w:t>
      </w:r>
      <w:r w:rsidR="00BA4049">
        <w:t>i</w:t>
      </w:r>
      <w:r w:rsidRPr="001F0860">
        <w:t xml:space="preserve">nstrument is compatible with the human rights and freedoms recognised or declared in the international instruments listed in section 3 of the </w:t>
      </w:r>
      <w:r w:rsidRPr="001F0860">
        <w:rPr>
          <w:i/>
          <w:iCs/>
        </w:rPr>
        <w:t>Human Rights (Parliamentary Scrutiny) Act 2011</w:t>
      </w:r>
      <w:r w:rsidRPr="001F0860">
        <w:t>.</w:t>
      </w:r>
    </w:p>
    <w:p w14:paraId="4F9202C4" w14:textId="30F0FA99" w:rsidR="001F0860" w:rsidRPr="001F0860" w:rsidRDefault="001F0860" w:rsidP="001F0860">
      <w:pPr>
        <w:tabs>
          <w:tab w:val="left" w:pos="2835"/>
        </w:tabs>
        <w:spacing w:before="240"/>
        <w:ind w:right="91"/>
        <w:rPr>
          <w:b/>
          <w:bCs/>
          <w:lang w:val="en-US"/>
        </w:rPr>
      </w:pPr>
      <w:r w:rsidRPr="001F0860">
        <w:rPr>
          <w:b/>
          <w:bCs/>
        </w:rPr>
        <w:t xml:space="preserve">Overview of the </w:t>
      </w:r>
      <w:r w:rsidR="00BA4049">
        <w:rPr>
          <w:b/>
          <w:bCs/>
        </w:rPr>
        <w:t>legislative i</w:t>
      </w:r>
      <w:r w:rsidRPr="001F0860">
        <w:rPr>
          <w:b/>
          <w:bCs/>
        </w:rPr>
        <w:t>nstrument</w:t>
      </w:r>
    </w:p>
    <w:p w14:paraId="2F810866" w14:textId="1E9B5497" w:rsidR="001F0860" w:rsidRPr="001F0860" w:rsidRDefault="001F0860" w:rsidP="001F0860">
      <w:pPr>
        <w:tabs>
          <w:tab w:val="left" w:pos="2835"/>
        </w:tabs>
        <w:spacing w:before="240"/>
        <w:ind w:right="91"/>
        <w:rPr>
          <w:lang w:val="en-US"/>
        </w:rPr>
      </w:pPr>
      <w:r w:rsidRPr="001F0860">
        <w:t xml:space="preserve">The Regulations </w:t>
      </w:r>
      <w:r w:rsidR="00AA0BA4">
        <w:t>remove certain exemptions from the requirement to hold an Australian financial services licence to provide financial services, and make other minor amendments, in support of broader reforms to the roles and responsibilities of superannuation industry regulators</w:t>
      </w:r>
      <w:r w:rsidRPr="001F0860">
        <w:t>.</w:t>
      </w:r>
    </w:p>
    <w:p w14:paraId="042BF9D0" w14:textId="77777777" w:rsidR="001F0860" w:rsidRPr="001F0860" w:rsidRDefault="001F0860" w:rsidP="001F0860">
      <w:pPr>
        <w:tabs>
          <w:tab w:val="left" w:pos="2835"/>
        </w:tabs>
        <w:spacing w:before="240"/>
        <w:ind w:right="91"/>
        <w:rPr>
          <w:b/>
          <w:bCs/>
          <w:lang w:val="en-US"/>
        </w:rPr>
      </w:pPr>
      <w:r w:rsidRPr="001F0860">
        <w:rPr>
          <w:b/>
          <w:bCs/>
        </w:rPr>
        <w:t>Human rights implications</w:t>
      </w:r>
    </w:p>
    <w:p w14:paraId="3FEDBD6D" w14:textId="3455C733" w:rsidR="001F0860" w:rsidRPr="00AA0BA4" w:rsidRDefault="00BA4049" w:rsidP="001F0860">
      <w:pPr>
        <w:tabs>
          <w:tab w:val="left" w:pos="2835"/>
        </w:tabs>
        <w:spacing w:before="240"/>
        <w:ind w:right="91"/>
      </w:pPr>
      <w:r>
        <w:t>This legislative i</w:t>
      </w:r>
      <w:r w:rsidR="001F0860" w:rsidRPr="001F0860">
        <w:t>nstrument does not engage any of the applicable rights or freedoms.</w:t>
      </w:r>
    </w:p>
    <w:p w14:paraId="0398DC9C" w14:textId="77777777" w:rsidR="001F0860" w:rsidRPr="001F0860" w:rsidRDefault="001F0860" w:rsidP="001F0860">
      <w:pPr>
        <w:tabs>
          <w:tab w:val="left" w:pos="2835"/>
        </w:tabs>
        <w:spacing w:before="240"/>
        <w:ind w:right="91"/>
        <w:rPr>
          <w:b/>
          <w:bCs/>
          <w:lang w:val="en-US"/>
        </w:rPr>
      </w:pPr>
      <w:r w:rsidRPr="001F0860">
        <w:rPr>
          <w:b/>
          <w:bCs/>
        </w:rPr>
        <w:t>Conclusion</w:t>
      </w:r>
    </w:p>
    <w:p w14:paraId="1A53EBD8" w14:textId="21B82AB2" w:rsidR="001F0860" w:rsidRPr="001F0860" w:rsidRDefault="00BA4049" w:rsidP="001F0860">
      <w:pPr>
        <w:tabs>
          <w:tab w:val="left" w:pos="2835"/>
        </w:tabs>
        <w:spacing w:before="240"/>
        <w:ind w:right="91"/>
        <w:rPr>
          <w:lang w:val="en-US"/>
        </w:rPr>
      </w:pPr>
      <w:r>
        <w:t>This legislative i</w:t>
      </w:r>
      <w:r w:rsidR="001F0860" w:rsidRPr="001F0860">
        <w:t>nstrument is compatible with human rights as it does not raise any human rights issues.</w:t>
      </w:r>
    </w:p>
    <w:p w14:paraId="4C3A40B6" w14:textId="77777777" w:rsidR="001F0860" w:rsidRPr="00AD1704" w:rsidRDefault="001F0860" w:rsidP="00AD1704">
      <w:pPr>
        <w:tabs>
          <w:tab w:val="left" w:pos="2835"/>
        </w:tabs>
        <w:spacing w:before="240"/>
        <w:ind w:right="91"/>
      </w:pPr>
    </w:p>
    <w:sectPr w:rsidR="001F0860" w:rsidRPr="00AD1704" w:rsidSect="00392BBA">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64AB8" w14:textId="77777777" w:rsidR="009C3558" w:rsidRDefault="009C3558" w:rsidP="00954679">
      <w:pPr>
        <w:spacing w:before="0" w:after="0"/>
      </w:pPr>
      <w:r>
        <w:separator/>
      </w:r>
    </w:p>
  </w:endnote>
  <w:endnote w:type="continuationSeparator" w:id="0">
    <w:p w14:paraId="209BFFF0" w14:textId="77777777" w:rsidR="009C3558" w:rsidRDefault="009C3558" w:rsidP="00954679">
      <w:pPr>
        <w:spacing w:before="0" w:after="0"/>
      </w:pPr>
      <w:r>
        <w:continuationSeparator/>
      </w:r>
    </w:p>
  </w:endnote>
  <w:endnote w:type="continuationNotice" w:id="1">
    <w:p w14:paraId="22D5B6E3" w14:textId="77777777" w:rsidR="008163C7" w:rsidRDefault="008163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4C809CC" w14:textId="34CDA687" w:rsidR="009C3558" w:rsidRDefault="009C3558"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2561A">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2561A">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D297E" w14:textId="77777777" w:rsidR="009C3558" w:rsidRDefault="009C3558" w:rsidP="00954679">
      <w:pPr>
        <w:spacing w:before="0" w:after="0"/>
      </w:pPr>
      <w:r>
        <w:separator/>
      </w:r>
    </w:p>
  </w:footnote>
  <w:footnote w:type="continuationSeparator" w:id="0">
    <w:p w14:paraId="74749EFC" w14:textId="77777777" w:rsidR="009C3558" w:rsidRDefault="009C3558" w:rsidP="00954679">
      <w:pPr>
        <w:spacing w:before="0" w:after="0"/>
      </w:pPr>
      <w:r>
        <w:continuationSeparator/>
      </w:r>
    </w:p>
  </w:footnote>
  <w:footnote w:type="continuationNotice" w:id="1">
    <w:p w14:paraId="4EF903D2" w14:textId="77777777" w:rsidR="008163C7" w:rsidRDefault="008163C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1F7160A"/>
    <w:multiLevelType w:val="hybridMultilevel"/>
    <w:tmpl w:val="C6763562"/>
    <w:lvl w:ilvl="0" w:tplc="5FFCCFFE">
      <w:start w:val="1"/>
      <w:numFmt w:val="bullet"/>
      <w:lvlText w:val=""/>
      <w:lvlJc w:val="left"/>
      <w:pPr>
        <w:ind w:left="720" w:hanging="360"/>
      </w:pPr>
      <w:rPr>
        <w:rFonts w:ascii="Symbol" w:hAnsi="Symbol" w:hint="default"/>
        <w:sz w:val="16"/>
      </w:rPr>
    </w:lvl>
    <w:lvl w:ilvl="1" w:tplc="702A8C7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06"/>
    <w:rsid w:val="000048EC"/>
    <w:rsid w:val="00007C55"/>
    <w:rsid w:val="00013390"/>
    <w:rsid w:val="00016EA2"/>
    <w:rsid w:val="0005089D"/>
    <w:rsid w:val="00054E93"/>
    <w:rsid w:val="00076178"/>
    <w:rsid w:val="00087A0C"/>
    <w:rsid w:val="00095211"/>
    <w:rsid w:val="000A1193"/>
    <w:rsid w:val="000B39A1"/>
    <w:rsid w:val="000C10DF"/>
    <w:rsid w:val="000C6935"/>
    <w:rsid w:val="00105A50"/>
    <w:rsid w:val="001116C0"/>
    <w:rsid w:val="00113B45"/>
    <w:rsid w:val="00125AFF"/>
    <w:rsid w:val="00144267"/>
    <w:rsid w:val="00160B57"/>
    <w:rsid w:val="00165839"/>
    <w:rsid w:val="00166A57"/>
    <w:rsid w:val="00166D8E"/>
    <w:rsid w:val="00174D72"/>
    <w:rsid w:val="00196EE2"/>
    <w:rsid w:val="001B7535"/>
    <w:rsid w:val="001B7AFC"/>
    <w:rsid w:val="001C499B"/>
    <w:rsid w:val="001E6A74"/>
    <w:rsid w:val="001F0860"/>
    <w:rsid w:val="001F355B"/>
    <w:rsid w:val="001F41D0"/>
    <w:rsid w:val="00201291"/>
    <w:rsid w:val="00203A8E"/>
    <w:rsid w:val="00220F16"/>
    <w:rsid w:val="002375BF"/>
    <w:rsid w:val="002379DC"/>
    <w:rsid w:val="00251DAF"/>
    <w:rsid w:val="002537F4"/>
    <w:rsid w:val="00254C5B"/>
    <w:rsid w:val="00263D73"/>
    <w:rsid w:val="002813EA"/>
    <w:rsid w:val="00297EB5"/>
    <w:rsid w:val="002A1B61"/>
    <w:rsid w:val="002A7C7A"/>
    <w:rsid w:val="002A7E1F"/>
    <w:rsid w:val="002C1C34"/>
    <w:rsid w:val="002C226C"/>
    <w:rsid w:val="002E0833"/>
    <w:rsid w:val="002F6E06"/>
    <w:rsid w:val="003041FA"/>
    <w:rsid w:val="003342CD"/>
    <w:rsid w:val="00335042"/>
    <w:rsid w:val="003350A8"/>
    <w:rsid w:val="0034339D"/>
    <w:rsid w:val="00344512"/>
    <w:rsid w:val="00362B70"/>
    <w:rsid w:val="003664FA"/>
    <w:rsid w:val="00392BBA"/>
    <w:rsid w:val="003954FD"/>
    <w:rsid w:val="00395B28"/>
    <w:rsid w:val="003B1EFE"/>
    <w:rsid w:val="003C7907"/>
    <w:rsid w:val="003D60D7"/>
    <w:rsid w:val="003E0E50"/>
    <w:rsid w:val="003E1CE3"/>
    <w:rsid w:val="003E659B"/>
    <w:rsid w:val="003F41ED"/>
    <w:rsid w:val="00421E42"/>
    <w:rsid w:val="00441BB9"/>
    <w:rsid w:val="004453FB"/>
    <w:rsid w:val="00462095"/>
    <w:rsid w:val="0047507A"/>
    <w:rsid w:val="00482B81"/>
    <w:rsid w:val="00482D4C"/>
    <w:rsid w:val="004837EB"/>
    <w:rsid w:val="00493627"/>
    <w:rsid w:val="004A313B"/>
    <w:rsid w:val="004A4BB3"/>
    <w:rsid w:val="004A7656"/>
    <w:rsid w:val="004B3C0F"/>
    <w:rsid w:val="004B747A"/>
    <w:rsid w:val="004C05E4"/>
    <w:rsid w:val="004E39E1"/>
    <w:rsid w:val="004F56D0"/>
    <w:rsid w:val="00503E44"/>
    <w:rsid w:val="00515283"/>
    <w:rsid w:val="00516FFC"/>
    <w:rsid w:val="00532763"/>
    <w:rsid w:val="00533926"/>
    <w:rsid w:val="0055152C"/>
    <w:rsid w:val="0055675D"/>
    <w:rsid w:val="00565A73"/>
    <w:rsid w:val="00566DAA"/>
    <w:rsid w:val="00566E8F"/>
    <w:rsid w:val="00570FFA"/>
    <w:rsid w:val="0057422E"/>
    <w:rsid w:val="005833BE"/>
    <w:rsid w:val="005A279A"/>
    <w:rsid w:val="005C50A2"/>
    <w:rsid w:val="005D7D5A"/>
    <w:rsid w:val="005E4BAC"/>
    <w:rsid w:val="0060130D"/>
    <w:rsid w:val="00601DB8"/>
    <w:rsid w:val="0060689C"/>
    <w:rsid w:val="00624BEF"/>
    <w:rsid w:val="0062561A"/>
    <w:rsid w:val="00625BD6"/>
    <w:rsid w:val="006272C8"/>
    <w:rsid w:val="0063499B"/>
    <w:rsid w:val="006400A7"/>
    <w:rsid w:val="0064129F"/>
    <w:rsid w:val="0064399E"/>
    <w:rsid w:val="00645C96"/>
    <w:rsid w:val="00647BB7"/>
    <w:rsid w:val="00662B23"/>
    <w:rsid w:val="006636D2"/>
    <w:rsid w:val="00680297"/>
    <w:rsid w:val="0068567E"/>
    <w:rsid w:val="006873CE"/>
    <w:rsid w:val="0069221C"/>
    <w:rsid w:val="006A0786"/>
    <w:rsid w:val="006C3FC6"/>
    <w:rsid w:val="006D5C4B"/>
    <w:rsid w:val="00710E94"/>
    <w:rsid w:val="00727D8A"/>
    <w:rsid w:val="00731FEA"/>
    <w:rsid w:val="00736A3D"/>
    <w:rsid w:val="00736F61"/>
    <w:rsid w:val="00742253"/>
    <w:rsid w:val="00745F5A"/>
    <w:rsid w:val="007662C7"/>
    <w:rsid w:val="00771D76"/>
    <w:rsid w:val="00776306"/>
    <w:rsid w:val="0078080B"/>
    <w:rsid w:val="0079154B"/>
    <w:rsid w:val="007A2EBB"/>
    <w:rsid w:val="007A55A7"/>
    <w:rsid w:val="007B06C9"/>
    <w:rsid w:val="007B1F10"/>
    <w:rsid w:val="007B335E"/>
    <w:rsid w:val="007C14C0"/>
    <w:rsid w:val="007C6424"/>
    <w:rsid w:val="007C64E4"/>
    <w:rsid w:val="007E018D"/>
    <w:rsid w:val="007F1B71"/>
    <w:rsid w:val="00807E7D"/>
    <w:rsid w:val="00815500"/>
    <w:rsid w:val="008163C7"/>
    <w:rsid w:val="008273CA"/>
    <w:rsid w:val="00831675"/>
    <w:rsid w:val="008365BC"/>
    <w:rsid w:val="008676D0"/>
    <w:rsid w:val="0088467C"/>
    <w:rsid w:val="00887F29"/>
    <w:rsid w:val="00891B6C"/>
    <w:rsid w:val="00894579"/>
    <w:rsid w:val="00896670"/>
    <w:rsid w:val="008A5B67"/>
    <w:rsid w:val="008B3752"/>
    <w:rsid w:val="008C022C"/>
    <w:rsid w:val="008D16F7"/>
    <w:rsid w:val="008E1427"/>
    <w:rsid w:val="00901E4C"/>
    <w:rsid w:val="009143A0"/>
    <w:rsid w:val="00936902"/>
    <w:rsid w:val="00954679"/>
    <w:rsid w:val="009671CC"/>
    <w:rsid w:val="00980C0B"/>
    <w:rsid w:val="00982662"/>
    <w:rsid w:val="0098300F"/>
    <w:rsid w:val="009B18D0"/>
    <w:rsid w:val="009C3558"/>
    <w:rsid w:val="009C5B65"/>
    <w:rsid w:val="009C6A1E"/>
    <w:rsid w:val="009D5D04"/>
    <w:rsid w:val="009E2F86"/>
    <w:rsid w:val="009E5403"/>
    <w:rsid w:val="009F757B"/>
    <w:rsid w:val="00A03684"/>
    <w:rsid w:val="00A10B8C"/>
    <w:rsid w:val="00A12209"/>
    <w:rsid w:val="00A30D19"/>
    <w:rsid w:val="00A317A9"/>
    <w:rsid w:val="00A36DF3"/>
    <w:rsid w:val="00A532DD"/>
    <w:rsid w:val="00A80BCF"/>
    <w:rsid w:val="00A81BC1"/>
    <w:rsid w:val="00A8369C"/>
    <w:rsid w:val="00A9009D"/>
    <w:rsid w:val="00AA0BA4"/>
    <w:rsid w:val="00AA1689"/>
    <w:rsid w:val="00AA5770"/>
    <w:rsid w:val="00AA767E"/>
    <w:rsid w:val="00AC1D15"/>
    <w:rsid w:val="00AD1704"/>
    <w:rsid w:val="00AF1A09"/>
    <w:rsid w:val="00AF2BEB"/>
    <w:rsid w:val="00B05234"/>
    <w:rsid w:val="00B07B0C"/>
    <w:rsid w:val="00B21000"/>
    <w:rsid w:val="00B2554F"/>
    <w:rsid w:val="00B25563"/>
    <w:rsid w:val="00B26D48"/>
    <w:rsid w:val="00B42EE1"/>
    <w:rsid w:val="00B52E95"/>
    <w:rsid w:val="00B658F2"/>
    <w:rsid w:val="00B8293D"/>
    <w:rsid w:val="00B92478"/>
    <w:rsid w:val="00BA4049"/>
    <w:rsid w:val="00BA6188"/>
    <w:rsid w:val="00BB7CF1"/>
    <w:rsid w:val="00BD61A2"/>
    <w:rsid w:val="00BD7D9E"/>
    <w:rsid w:val="00BE44F6"/>
    <w:rsid w:val="00BE484D"/>
    <w:rsid w:val="00C000F0"/>
    <w:rsid w:val="00C3276C"/>
    <w:rsid w:val="00C37E05"/>
    <w:rsid w:val="00C47A8C"/>
    <w:rsid w:val="00C55D29"/>
    <w:rsid w:val="00C70B50"/>
    <w:rsid w:val="00CA0BE9"/>
    <w:rsid w:val="00CA138D"/>
    <w:rsid w:val="00CC7641"/>
    <w:rsid w:val="00CF2A50"/>
    <w:rsid w:val="00D13794"/>
    <w:rsid w:val="00D24052"/>
    <w:rsid w:val="00D24386"/>
    <w:rsid w:val="00D31575"/>
    <w:rsid w:val="00D34626"/>
    <w:rsid w:val="00D34FB4"/>
    <w:rsid w:val="00D3508B"/>
    <w:rsid w:val="00D4257A"/>
    <w:rsid w:val="00D4621A"/>
    <w:rsid w:val="00D62665"/>
    <w:rsid w:val="00D82E47"/>
    <w:rsid w:val="00DA66BE"/>
    <w:rsid w:val="00DB6121"/>
    <w:rsid w:val="00DC0CDE"/>
    <w:rsid w:val="00DC3CF1"/>
    <w:rsid w:val="00DC4D72"/>
    <w:rsid w:val="00DD76B7"/>
    <w:rsid w:val="00E0624D"/>
    <w:rsid w:val="00E06E10"/>
    <w:rsid w:val="00E12FB1"/>
    <w:rsid w:val="00E1381F"/>
    <w:rsid w:val="00E20E80"/>
    <w:rsid w:val="00E4438C"/>
    <w:rsid w:val="00E457F3"/>
    <w:rsid w:val="00E5032D"/>
    <w:rsid w:val="00E57F68"/>
    <w:rsid w:val="00E60D1A"/>
    <w:rsid w:val="00E85F9B"/>
    <w:rsid w:val="00E969BD"/>
    <w:rsid w:val="00EA4DD8"/>
    <w:rsid w:val="00EB0052"/>
    <w:rsid w:val="00EB2592"/>
    <w:rsid w:val="00EB2AEF"/>
    <w:rsid w:val="00EB7E71"/>
    <w:rsid w:val="00ED29BF"/>
    <w:rsid w:val="00ED3B04"/>
    <w:rsid w:val="00EF3CB7"/>
    <w:rsid w:val="00EF43B9"/>
    <w:rsid w:val="00F0497C"/>
    <w:rsid w:val="00F109D4"/>
    <w:rsid w:val="00F11491"/>
    <w:rsid w:val="00F15EE9"/>
    <w:rsid w:val="00F23A86"/>
    <w:rsid w:val="00F2579D"/>
    <w:rsid w:val="00F47585"/>
    <w:rsid w:val="00F64DA9"/>
    <w:rsid w:val="00F85E6F"/>
    <w:rsid w:val="00FE04E4"/>
    <w:rsid w:val="00FE73F9"/>
    <w:rsid w:val="00FF1057"/>
    <w:rsid w:val="00FF1AD7"/>
    <w:rsid w:val="00FF3E25"/>
    <w:rsid w:val="00FF4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3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98300F"/>
    <w:pPr>
      <w:ind w:left="720"/>
      <w:contextualSpacing/>
    </w:pPr>
  </w:style>
  <w:style w:type="paragraph" w:styleId="Revision">
    <w:name w:val="Revision"/>
    <w:hidden/>
    <w:uiPriority w:val="99"/>
    <w:semiHidden/>
    <w:rsid w:val="00F049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98300F"/>
    <w:pPr>
      <w:ind w:left="720"/>
      <w:contextualSpacing/>
    </w:pPr>
  </w:style>
  <w:style w:type="paragraph" w:styleId="Revision">
    <w:name w:val="Revision"/>
    <w:hidden/>
    <w:uiPriority w:val="99"/>
    <w:semiHidden/>
    <w:rsid w:val="00F049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667">
      <w:bodyDiv w:val="1"/>
      <w:marLeft w:val="0"/>
      <w:marRight w:val="0"/>
      <w:marTop w:val="0"/>
      <w:marBottom w:val="0"/>
      <w:divBdr>
        <w:top w:val="none" w:sz="0" w:space="0" w:color="auto"/>
        <w:left w:val="none" w:sz="0" w:space="0" w:color="auto"/>
        <w:bottom w:val="none" w:sz="0" w:space="0" w:color="auto"/>
        <w:right w:val="none" w:sz="0" w:space="0" w:color="auto"/>
      </w:divBdr>
      <w:divsChild>
        <w:div w:id="1532959322">
          <w:marLeft w:val="0"/>
          <w:marRight w:val="0"/>
          <w:marTop w:val="0"/>
          <w:marBottom w:val="0"/>
          <w:divBdr>
            <w:top w:val="none" w:sz="0" w:space="0" w:color="auto"/>
            <w:left w:val="none" w:sz="0" w:space="0" w:color="auto"/>
            <w:bottom w:val="none" w:sz="0" w:space="0" w:color="auto"/>
            <w:right w:val="none" w:sz="0" w:space="0" w:color="auto"/>
          </w:divBdr>
          <w:divsChild>
            <w:div w:id="292563863">
              <w:marLeft w:val="0"/>
              <w:marRight w:val="0"/>
              <w:marTop w:val="0"/>
              <w:marBottom w:val="0"/>
              <w:divBdr>
                <w:top w:val="none" w:sz="0" w:space="0" w:color="auto"/>
                <w:left w:val="none" w:sz="0" w:space="0" w:color="auto"/>
                <w:bottom w:val="none" w:sz="0" w:space="0" w:color="auto"/>
                <w:right w:val="none" w:sz="0" w:space="0" w:color="auto"/>
              </w:divBdr>
              <w:divsChild>
                <w:div w:id="972561454">
                  <w:marLeft w:val="0"/>
                  <w:marRight w:val="0"/>
                  <w:marTop w:val="0"/>
                  <w:marBottom w:val="0"/>
                  <w:divBdr>
                    <w:top w:val="none" w:sz="0" w:space="0" w:color="auto"/>
                    <w:left w:val="none" w:sz="0" w:space="0" w:color="auto"/>
                    <w:bottom w:val="none" w:sz="0" w:space="0" w:color="auto"/>
                    <w:right w:val="none" w:sz="0" w:space="0" w:color="auto"/>
                  </w:divBdr>
                  <w:divsChild>
                    <w:div w:id="405307045">
                      <w:marLeft w:val="0"/>
                      <w:marRight w:val="0"/>
                      <w:marTop w:val="0"/>
                      <w:marBottom w:val="0"/>
                      <w:divBdr>
                        <w:top w:val="none" w:sz="0" w:space="0" w:color="auto"/>
                        <w:left w:val="none" w:sz="0" w:space="0" w:color="auto"/>
                        <w:bottom w:val="none" w:sz="0" w:space="0" w:color="auto"/>
                        <w:right w:val="none" w:sz="0" w:space="0" w:color="auto"/>
                      </w:divBdr>
                      <w:divsChild>
                        <w:div w:id="121047144">
                          <w:marLeft w:val="0"/>
                          <w:marRight w:val="0"/>
                          <w:marTop w:val="0"/>
                          <w:marBottom w:val="0"/>
                          <w:divBdr>
                            <w:top w:val="none" w:sz="0" w:space="0" w:color="auto"/>
                            <w:left w:val="none" w:sz="0" w:space="0" w:color="auto"/>
                            <w:bottom w:val="none" w:sz="0" w:space="0" w:color="auto"/>
                            <w:right w:val="none" w:sz="0" w:space="0" w:color="auto"/>
                          </w:divBdr>
                          <w:divsChild>
                            <w:div w:id="1691643248">
                              <w:marLeft w:val="0"/>
                              <w:marRight w:val="0"/>
                              <w:marTop w:val="0"/>
                              <w:marBottom w:val="0"/>
                              <w:divBdr>
                                <w:top w:val="none" w:sz="0" w:space="0" w:color="auto"/>
                                <w:left w:val="none" w:sz="0" w:space="0" w:color="auto"/>
                                <w:bottom w:val="none" w:sz="0" w:space="0" w:color="auto"/>
                                <w:right w:val="none" w:sz="0" w:space="0" w:color="auto"/>
                              </w:divBdr>
                              <w:divsChild>
                                <w:div w:id="700282324">
                                  <w:marLeft w:val="0"/>
                                  <w:marRight w:val="0"/>
                                  <w:marTop w:val="0"/>
                                  <w:marBottom w:val="0"/>
                                  <w:divBdr>
                                    <w:top w:val="none" w:sz="0" w:space="0" w:color="auto"/>
                                    <w:left w:val="none" w:sz="0" w:space="0" w:color="auto"/>
                                    <w:bottom w:val="none" w:sz="0" w:space="0" w:color="auto"/>
                                    <w:right w:val="none" w:sz="0" w:space="0" w:color="auto"/>
                                  </w:divBdr>
                                  <w:divsChild>
                                    <w:div w:id="1260792602">
                                      <w:marLeft w:val="0"/>
                                      <w:marRight w:val="0"/>
                                      <w:marTop w:val="0"/>
                                      <w:marBottom w:val="0"/>
                                      <w:divBdr>
                                        <w:top w:val="none" w:sz="0" w:space="0" w:color="auto"/>
                                        <w:left w:val="none" w:sz="0" w:space="0" w:color="auto"/>
                                        <w:bottom w:val="none" w:sz="0" w:space="0" w:color="auto"/>
                                        <w:right w:val="none" w:sz="0" w:space="0" w:color="auto"/>
                                      </w:divBdr>
                                      <w:divsChild>
                                        <w:div w:id="161243478">
                                          <w:marLeft w:val="0"/>
                                          <w:marRight w:val="0"/>
                                          <w:marTop w:val="0"/>
                                          <w:marBottom w:val="0"/>
                                          <w:divBdr>
                                            <w:top w:val="none" w:sz="0" w:space="0" w:color="auto"/>
                                            <w:left w:val="none" w:sz="0" w:space="0" w:color="auto"/>
                                            <w:bottom w:val="none" w:sz="0" w:space="0" w:color="auto"/>
                                            <w:right w:val="none" w:sz="0" w:space="0" w:color="auto"/>
                                          </w:divBdr>
                                          <w:divsChild>
                                            <w:div w:id="690692826">
                                              <w:marLeft w:val="0"/>
                                              <w:marRight w:val="0"/>
                                              <w:marTop w:val="0"/>
                                              <w:marBottom w:val="0"/>
                                              <w:divBdr>
                                                <w:top w:val="none" w:sz="0" w:space="0" w:color="auto"/>
                                                <w:left w:val="none" w:sz="0" w:space="0" w:color="auto"/>
                                                <w:bottom w:val="none" w:sz="0" w:space="0" w:color="auto"/>
                                                <w:right w:val="none" w:sz="0" w:space="0" w:color="auto"/>
                                              </w:divBdr>
                                              <w:divsChild>
                                                <w:div w:id="1831826665">
                                                  <w:marLeft w:val="0"/>
                                                  <w:marRight w:val="0"/>
                                                  <w:marTop w:val="0"/>
                                                  <w:marBottom w:val="0"/>
                                                  <w:divBdr>
                                                    <w:top w:val="none" w:sz="0" w:space="0" w:color="auto"/>
                                                    <w:left w:val="none" w:sz="0" w:space="0" w:color="auto"/>
                                                    <w:bottom w:val="none" w:sz="0" w:space="0" w:color="auto"/>
                                                    <w:right w:val="none" w:sz="0" w:space="0" w:color="auto"/>
                                                  </w:divBdr>
                                                  <w:divsChild>
                                                    <w:div w:id="298002277">
                                                      <w:marLeft w:val="0"/>
                                                      <w:marRight w:val="0"/>
                                                      <w:marTop w:val="0"/>
                                                      <w:marBottom w:val="0"/>
                                                      <w:divBdr>
                                                        <w:top w:val="none" w:sz="0" w:space="0" w:color="auto"/>
                                                        <w:left w:val="none" w:sz="0" w:space="0" w:color="auto"/>
                                                        <w:bottom w:val="none" w:sz="0" w:space="0" w:color="auto"/>
                                                        <w:right w:val="none" w:sz="0" w:space="0" w:color="auto"/>
                                                      </w:divBdr>
                                                      <w:divsChild>
                                                        <w:div w:id="1156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76133">
      <w:bodyDiv w:val="1"/>
      <w:marLeft w:val="0"/>
      <w:marRight w:val="0"/>
      <w:marTop w:val="0"/>
      <w:marBottom w:val="0"/>
      <w:divBdr>
        <w:top w:val="none" w:sz="0" w:space="0" w:color="auto"/>
        <w:left w:val="none" w:sz="0" w:space="0" w:color="auto"/>
        <w:bottom w:val="none" w:sz="0" w:space="0" w:color="auto"/>
        <w:right w:val="none" w:sz="0" w:space="0" w:color="auto"/>
      </w:divBdr>
      <w:divsChild>
        <w:div w:id="270286686">
          <w:marLeft w:val="0"/>
          <w:marRight w:val="0"/>
          <w:marTop w:val="0"/>
          <w:marBottom w:val="0"/>
          <w:divBdr>
            <w:top w:val="none" w:sz="0" w:space="0" w:color="auto"/>
            <w:left w:val="none" w:sz="0" w:space="0" w:color="auto"/>
            <w:bottom w:val="none" w:sz="0" w:space="0" w:color="auto"/>
            <w:right w:val="none" w:sz="0" w:space="0" w:color="auto"/>
          </w:divBdr>
          <w:divsChild>
            <w:div w:id="1558273571">
              <w:marLeft w:val="0"/>
              <w:marRight w:val="0"/>
              <w:marTop w:val="0"/>
              <w:marBottom w:val="0"/>
              <w:divBdr>
                <w:top w:val="none" w:sz="0" w:space="0" w:color="auto"/>
                <w:left w:val="none" w:sz="0" w:space="0" w:color="auto"/>
                <w:bottom w:val="none" w:sz="0" w:space="0" w:color="auto"/>
                <w:right w:val="none" w:sz="0" w:space="0" w:color="auto"/>
              </w:divBdr>
              <w:divsChild>
                <w:div w:id="2061973463">
                  <w:marLeft w:val="0"/>
                  <w:marRight w:val="0"/>
                  <w:marTop w:val="0"/>
                  <w:marBottom w:val="0"/>
                  <w:divBdr>
                    <w:top w:val="none" w:sz="0" w:space="0" w:color="auto"/>
                    <w:left w:val="none" w:sz="0" w:space="0" w:color="auto"/>
                    <w:bottom w:val="none" w:sz="0" w:space="0" w:color="auto"/>
                    <w:right w:val="none" w:sz="0" w:space="0" w:color="auto"/>
                  </w:divBdr>
                  <w:divsChild>
                    <w:div w:id="222913603">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1063915111">
                              <w:marLeft w:val="0"/>
                              <w:marRight w:val="0"/>
                              <w:marTop w:val="0"/>
                              <w:marBottom w:val="0"/>
                              <w:divBdr>
                                <w:top w:val="none" w:sz="0" w:space="0" w:color="auto"/>
                                <w:left w:val="none" w:sz="0" w:space="0" w:color="auto"/>
                                <w:bottom w:val="none" w:sz="0" w:space="0" w:color="auto"/>
                                <w:right w:val="none" w:sz="0" w:space="0" w:color="auto"/>
                              </w:divBdr>
                              <w:divsChild>
                                <w:div w:id="1884244775">
                                  <w:marLeft w:val="0"/>
                                  <w:marRight w:val="0"/>
                                  <w:marTop w:val="0"/>
                                  <w:marBottom w:val="0"/>
                                  <w:divBdr>
                                    <w:top w:val="none" w:sz="0" w:space="0" w:color="auto"/>
                                    <w:left w:val="none" w:sz="0" w:space="0" w:color="auto"/>
                                    <w:bottom w:val="none" w:sz="0" w:space="0" w:color="auto"/>
                                    <w:right w:val="none" w:sz="0" w:space="0" w:color="auto"/>
                                  </w:divBdr>
                                  <w:divsChild>
                                    <w:div w:id="795637221">
                                      <w:marLeft w:val="0"/>
                                      <w:marRight w:val="0"/>
                                      <w:marTop w:val="0"/>
                                      <w:marBottom w:val="0"/>
                                      <w:divBdr>
                                        <w:top w:val="none" w:sz="0" w:space="0" w:color="auto"/>
                                        <w:left w:val="none" w:sz="0" w:space="0" w:color="auto"/>
                                        <w:bottom w:val="none" w:sz="0" w:space="0" w:color="auto"/>
                                        <w:right w:val="none" w:sz="0" w:space="0" w:color="auto"/>
                                      </w:divBdr>
                                      <w:divsChild>
                                        <w:div w:id="1774587005">
                                          <w:marLeft w:val="0"/>
                                          <w:marRight w:val="0"/>
                                          <w:marTop w:val="0"/>
                                          <w:marBottom w:val="0"/>
                                          <w:divBdr>
                                            <w:top w:val="none" w:sz="0" w:space="0" w:color="auto"/>
                                            <w:left w:val="none" w:sz="0" w:space="0" w:color="auto"/>
                                            <w:bottom w:val="none" w:sz="0" w:space="0" w:color="auto"/>
                                            <w:right w:val="none" w:sz="0" w:space="0" w:color="auto"/>
                                          </w:divBdr>
                                          <w:divsChild>
                                            <w:div w:id="2050567958">
                                              <w:marLeft w:val="0"/>
                                              <w:marRight w:val="0"/>
                                              <w:marTop w:val="0"/>
                                              <w:marBottom w:val="0"/>
                                              <w:divBdr>
                                                <w:top w:val="none" w:sz="0" w:space="0" w:color="auto"/>
                                                <w:left w:val="none" w:sz="0" w:space="0" w:color="auto"/>
                                                <w:bottom w:val="none" w:sz="0" w:space="0" w:color="auto"/>
                                                <w:right w:val="none" w:sz="0" w:space="0" w:color="auto"/>
                                              </w:divBdr>
                                              <w:divsChild>
                                                <w:div w:id="1717050550">
                                                  <w:marLeft w:val="0"/>
                                                  <w:marRight w:val="0"/>
                                                  <w:marTop w:val="0"/>
                                                  <w:marBottom w:val="0"/>
                                                  <w:divBdr>
                                                    <w:top w:val="none" w:sz="0" w:space="0" w:color="auto"/>
                                                    <w:left w:val="none" w:sz="0" w:space="0" w:color="auto"/>
                                                    <w:bottom w:val="none" w:sz="0" w:space="0" w:color="auto"/>
                                                    <w:right w:val="none" w:sz="0" w:space="0" w:color="auto"/>
                                                  </w:divBdr>
                                                  <w:divsChild>
                                                    <w:div w:id="478883532">
                                                      <w:marLeft w:val="0"/>
                                                      <w:marRight w:val="0"/>
                                                      <w:marTop w:val="0"/>
                                                      <w:marBottom w:val="0"/>
                                                      <w:divBdr>
                                                        <w:top w:val="none" w:sz="0" w:space="0" w:color="auto"/>
                                                        <w:left w:val="none" w:sz="0" w:space="0" w:color="auto"/>
                                                        <w:bottom w:val="none" w:sz="0" w:space="0" w:color="auto"/>
                                                        <w:right w:val="none" w:sz="0" w:space="0" w:color="auto"/>
                                                      </w:divBdr>
                                                      <w:divsChild>
                                                        <w:div w:id="8366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195338">
      <w:bodyDiv w:val="1"/>
      <w:marLeft w:val="0"/>
      <w:marRight w:val="0"/>
      <w:marTop w:val="0"/>
      <w:marBottom w:val="0"/>
      <w:divBdr>
        <w:top w:val="none" w:sz="0" w:space="0" w:color="auto"/>
        <w:left w:val="none" w:sz="0" w:space="0" w:color="auto"/>
        <w:bottom w:val="none" w:sz="0" w:space="0" w:color="auto"/>
        <w:right w:val="none" w:sz="0" w:space="0" w:color="auto"/>
      </w:divBdr>
      <w:divsChild>
        <w:div w:id="16544660">
          <w:marLeft w:val="0"/>
          <w:marRight w:val="0"/>
          <w:marTop w:val="0"/>
          <w:marBottom w:val="0"/>
          <w:divBdr>
            <w:top w:val="none" w:sz="0" w:space="0" w:color="auto"/>
            <w:left w:val="none" w:sz="0" w:space="0" w:color="auto"/>
            <w:bottom w:val="none" w:sz="0" w:space="0" w:color="auto"/>
            <w:right w:val="none" w:sz="0" w:space="0" w:color="auto"/>
          </w:divBdr>
          <w:divsChild>
            <w:div w:id="80614024">
              <w:marLeft w:val="0"/>
              <w:marRight w:val="0"/>
              <w:marTop w:val="0"/>
              <w:marBottom w:val="0"/>
              <w:divBdr>
                <w:top w:val="none" w:sz="0" w:space="0" w:color="auto"/>
                <w:left w:val="none" w:sz="0" w:space="0" w:color="auto"/>
                <w:bottom w:val="none" w:sz="0" w:space="0" w:color="auto"/>
                <w:right w:val="none" w:sz="0" w:space="0" w:color="auto"/>
              </w:divBdr>
              <w:divsChild>
                <w:div w:id="734935818">
                  <w:marLeft w:val="0"/>
                  <w:marRight w:val="0"/>
                  <w:marTop w:val="0"/>
                  <w:marBottom w:val="0"/>
                  <w:divBdr>
                    <w:top w:val="none" w:sz="0" w:space="0" w:color="auto"/>
                    <w:left w:val="none" w:sz="0" w:space="0" w:color="auto"/>
                    <w:bottom w:val="none" w:sz="0" w:space="0" w:color="auto"/>
                    <w:right w:val="none" w:sz="0" w:space="0" w:color="auto"/>
                  </w:divBdr>
                  <w:divsChild>
                    <w:div w:id="643659342">
                      <w:marLeft w:val="0"/>
                      <w:marRight w:val="0"/>
                      <w:marTop w:val="0"/>
                      <w:marBottom w:val="0"/>
                      <w:divBdr>
                        <w:top w:val="none" w:sz="0" w:space="0" w:color="auto"/>
                        <w:left w:val="none" w:sz="0" w:space="0" w:color="auto"/>
                        <w:bottom w:val="none" w:sz="0" w:space="0" w:color="auto"/>
                        <w:right w:val="none" w:sz="0" w:space="0" w:color="auto"/>
                      </w:divBdr>
                      <w:divsChild>
                        <w:div w:id="1237320018">
                          <w:marLeft w:val="0"/>
                          <w:marRight w:val="0"/>
                          <w:marTop w:val="0"/>
                          <w:marBottom w:val="0"/>
                          <w:divBdr>
                            <w:top w:val="none" w:sz="0" w:space="0" w:color="auto"/>
                            <w:left w:val="none" w:sz="0" w:space="0" w:color="auto"/>
                            <w:bottom w:val="none" w:sz="0" w:space="0" w:color="auto"/>
                            <w:right w:val="none" w:sz="0" w:space="0" w:color="auto"/>
                          </w:divBdr>
                          <w:divsChild>
                            <w:div w:id="1562640476">
                              <w:marLeft w:val="0"/>
                              <w:marRight w:val="0"/>
                              <w:marTop w:val="0"/>
                              <w:marBottom w:val="0"/>
                              <w:divBdr>
                                <w:top w:val="none" w:sz="0" w:space="0" w:color="auto"/>
                                <w:left w:val="none" w:sz="0" w:space="0" w:color="auto"/>
                                <w:bottom w:val="none" w:sz="0" w:space="0" w:color="auto"/>
                                <w:right w:val="none" w:sz="0" w:space="0" w:color="auto"/>
                              </w:divBdr>
                              <w:divsChild>
                                <w:div w:id="829179474">
                                  <w:marLeft w:val="0"/>
                                  <w:marRight w:val="0"/>
                                  <w:marTop w:val="0"/>
                                  <w:marBottom w:val="0"/>
                                  <w:divBdr>
                                    <w:top w:val="none" w:sz="0" w:space="0" w:color="auto"/>
                                    <w:left w:val="none" w:sz="0" w:space="0" w:color="auto"/>
                                    <w:bottom w:val="none" w:sz="0" w:space="0" w:color="auto"/>
                                    <w:right w:val="none" w:sz="0" w:space="0" w:color="auto"/>
                                  </w:divBdr>
                                  <w:divsChild>
                                    <w:div w:id="1588687067">
                                      <w:marLeft w:val="0"/>
                                      <w:marRight w:val="0"/>
                                      <w:marTop w:val="0"/>
                                      <w:marBottom w:val="0"/>
                                      <w:divBdr>
                                        <w:top w:val="none" w:sz="0" w:space="0" w:color="auto"/>
                                        <w:left w:val="none" w:sz="0" w:space="0" w:color="auto"/>
                                        <w:bottom w:val="none" w:sz="0" w:space="0" w:color="auto"/>
                                        <w:right w:val="none" w:sz="0" w:space="0" w:color="auto"/>
                                      </w:divBdr>
                                      <w:divsChild>
                                        <w:div w:id="1418285441">
                                          <w:marLeft w:val="0"/>
                                          <w:marRight w:val="0"/>
                                          <w:marTop w:val="0"/>
                                          <w:marBottom w:val="0"/>
                                          <w:divBdr>
                                            <w:top w:val="none" w:sz="0" w:space="0" w:color="auto"/>
                                            <w:left w:val="none" w:sz="0" w:space="0" w:color="auto"/>
                                            <w:bottom w:val="none" w:sz="0" w:space="0" w:color="auto"/>
                                            <w:right w:val="none" w:sz="0" w:space="0" w:color="auto"/>
                                          </w:divBdr>
                                          <w:divsChild>
                                            <w:div w:id="631980579">
                                              <w:marLeft w:val="0"/>
                                              <w:marRight w:val="0"/>
                                              <w:marTop w:val="0"/>
                                              <w:marBottom w:val="0"/>
                                              <w:divBdr>
                                                <w:top w:val="none" w:sz="0" w:space="0" w:color="auto"/>
                                                <w:left w:val="none" w:sz="0" w:space="0" w:color="auto"/>
                                                <w:bottom w:val="none" w:sz="0" w:space="0" w:color="auto"/>
                                                <w:right w:val="none" w:sz="0" w:space="0" w:color="auto"/>
                                              </w:divBdr>
                                              <w:divsChild>
                                                <w:div w:id="1776484393">
                                                  <w:marLeft w:val="0"/>
                                                  <w:marRight w:val="0"/>
                                                  <w:marTop w:val="0"/>
                                                  <w:marBottom w:val="0"/>
                                                  <w:divBdr>
                                                    <w:top w:val="none" w:sz="0" w:space="0" w:color="auto"/>
                                                    <w:left w:val="none" w:sz="0" w:space="0" w:color="auto"/>
                                                    <w:bottom w:val="none" w:sz="0" w:space="0" w:color="auto"/>
                                                    <w:right w:val="none" w:sz="0" w:space="0" w:color="auto"/>
                                                  </w:divBdr>
                                                  <w:divsChild>
                                                    <w:div w:id="2107801481">
                                                      <w:marLeft w:val="0"/>
                                                      <w:marRight w:val="0"/>
                                                      <w:marTop w:val="0"/>
                                                      <w:marBottom w:val="0"/>
                                                      <w:divBdr>
                                                        <w:top w:val="none" w:sz="0" w:space="0" w:color="auto"/>
                                                        <w:left w:val="none" w:sz="0" w:space="0" w:color="auto"/>
                                                        <w:bottom w:val="none" w:sz="0" w:space="0" w:color="auto"/>
                                                        <w:right w:val="none" w:sz="0" w:space="0" w:color="auto"/>
                                                      </w:divBdr>
                                                      <w:divsChild>
                                                        <w:div w:id="13065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346162">
      <w:bodyDiv w:val="1"/>
      <w:marLeft w:val="0"/>
      <w:marRight w:val="0"/>
      <w:marTop w:val="0"/>
      <w:marBottom w:val="0"/>
      <w:divBdr>
        <w:top w:val="none" w:sz="0" w:space="0" w:color="auto"/>
        <w:left w:val="none" w:sz="0" w:space="0" w:color="auto"/>
        <w:bottom w:val="none" w:sz="0" w:space="0" w:color="auto"/>
        <w:right w:val="none" w:sz="0" w:space="0" w:color="auto"/>
      </w:divBdr>
    </w:div>
    <w:div w:id="1101027107">
      <w:bodyDiv w:val="1"/>
      <w:marLeft w:val="0"/>
      <w:marRight w:val="0"/>
      <w:marTop w:val="0"/>
      <w:marBottom w:val="0"/>
      <w:divBdr>
        <w:top w:val="none" w:sz="0" w:space="0" w:color="auto"/>
        <w:left w:val="none" w:sz="0" w:space="0" w:color="auto"/>
        <w:bottom w:val="none" w:sz="0" w:space="0" w:color="auto"/>
        <w:right w:val="none" w:sz="0" w:space="0" w:color="auto"/>
      </w:divBdr>
      <w:divsChild>
        <w:div w:id="1727487992">
          <w:marLeft w:val="0"/>
          <w:marRight w:val="0"/>
          <w:marTop w:val="0"/>
          <w:marBottom w:val="0"/>
          <w:divBdr>
            <w:top w:val="none" w:sz="0" w:space="0" w:color="auto"/>
            <w:left w:val="none" w:sz="0" w:space="0" w:color="auto"/>
            <w:bottom w:val="none" w:sz="0" w:space="0" w:color="auto"/>
            <w:right w:val="none" w:sz="0" w:space="0" w:color="auto"/>
          </w:divBdr>
          <w:divsChild>
            <w:div w:id="558244672">
              <w:marLeft w:val="0"/>
              <w:marRight w:val="0"/>
              <w:marTop w:val="0"/>
              <w:marBottom w:val="0"/>
              <w:divBdr>
                <w:top w:val="none" w:sz="0" w:space="0" w:color="auto"/>
                <w:left w:val="none" w:sz="0" w:space="0" w:color="auto"/>
                <w:bottom w:val="none" w:sz="0" w:space="0" w:color="auto"/>
                <w:right w:val="none" w:sz="0" w:space="0" w:color="auto"/>
              </w:divBdr>
              <w:divsChild>
                <w:div w:id="864749719">
                  <w:marLeft w:val="0"/>
                  <w:marRight w:val="0"/>
                  <w:marTop w:val="0"/>
                  <w:marBottom w:val="0"/>
                  <w:divBdr>
                    <w:top w:val="none" w:sz="0" w:space="0" w:color="auto"/>
                    <w:left w:val="none" w:sz="0" w:space="0" w:color="auto"/>
                    <w:bottom w:val="none" w:sz="0" w:space="0" w:color="auto"/>
                    <w:right w:val="none" w:sz="0" w:space="0" w:color="auto"/>
                  </w:divBdr>
                  <w:divsChild>
                    <w:div w:id="1375957585">
                      <w:marLeft w:val="0"/>
                      <w:marRight w:val="0"/>
                      <w:marTop w:val="0"/>
                      <w:marBottom w:val="0"/>
                      <w:divBdr>
                        <w:top w:val="none" w:sz="0" w:space="0" w:color="auto"/>
                        <w:left w:val="none" w:sz="0" w:space="0" w:color="auto"/>
                        <w:bottom w:val="none" w:sz="0" w:space="0" w:color="auto"/>
                        <w:right w:val="none" w:sz="0" w:space="0" w:color="auto"/>
                      </w:divBdr>
                      <w:divsChild>
                        <w:div w:id="1001353853">
                          <w:marLeft w:val="0"/>
                          <w:marRight w:val="0"/>
                          <w:marTop w:val="0"/>
                          <w:marBottom w:val="0"/>
                          <w:divBdr>
                            <w:top w:val="none" w:sz="0" w:space="0" w:color="auto"/>
                            <w:left w:val="none" w:sz="0" w:space="0" w:color="auto"/>
                            <w:bottom w:val="none" w:sz="0" w:space="0" w:color="auto"/>
                            <w:right w:val="none" w:sz="0" w:space="0" w:color="auto"/>
                          </w:divBdr>
                          <w:divsChild>
                            <w:div w:id="591663026">
                              <w:marLeft w:val="0"/>
                              <w:marRight w:val="0"/>
                              <w:marTop w:val="0"/>
                              <w:marBottom w:val="0"/>
                              <w:divBdr>
                                <w:top w:val="none" w:sz="0" w:space="0" w:color="auto"/>
                                <w:left w:val="none" w:sz="0" w:space="0" w:color="auto"/>
                                <w:bottom w:val="none" w:sz="0" w:space="0" w:color="auto"/>
                                <w:right w:val="none" w:sz="0" w:space="0" w:color="auto"/>
                              </w:divBdr>
                              <w:divsChild>
                                <w:div w:id="532156615">
                                  <w:marLeft w:val="0"/>
                                  <w:marRight w:val="0"/>
                                  <w:marTop w:val="0"/>
                                  <w:marBottom w:val="0"/>
                                  <w:divBdr>
                                    <w:top w:val="none" w:sz="0" w:space="0" w:color="auto"/>
                                    <w:left w:val="none" w:sz="0" w:space="0" w:color="auto"/>
                                    <w:bottom w:val="none" w:sz="0" w:space="0" w:color="auto"/>
                                    <w:right w:val="none" w:sz="0" w:space="0" w:color="auto"/>
                                  </w:divBdr>
                                  <w:divsChild>
                                    <w:div w:id="1353803117">
                                      <w:marLeft w:val="0"/>
                                      <w:marRight w:val="0"/>
                                      <w:marTop w:val="0"/>
                                      <w:marBottom w:val="0"/>
                                      <w:divBdr>
                                        <w:top w:val="none" w:sz="0" w:space="0" w:color="auto"/>
                                        <w:left w:val="none" w:sz="0" w:space="0" w:color="auto"/>
                                        <w:bottom w:val="none" w:sz="0" w:space="0" w:color="auto"/>
                                        <w:right w:val="none" w:sz="0" w:space="0" w:color="auto"/>
                                      </w:divBdr>
                                      <w:divsChild>
                                        <w:div w:id="704911767">
                                          <w:marLeft w:val="0"/>
                                          <w:marRight w:val="0"/>
                                          <w:marTop w:val="0"/>
                                          <w:marBottom w:val="0"/>
                                          <w:divBdr>
                                            <w:top w:val="none" w:sz="0" w:space="0" w:color="auto"/>
                                            <w:left w:val="none" w:sz="0" w:space="0" w:color="auto"/>
                                            <w:bottom w:val="none" w:sz="0" w:space="0" w:color="auto"/>
                                            <w:right w:val="none" w:sz="0" w:space="0" w:color="auto"/>
                                          </w:divBdr>
                                          <w:divsChild>
                                            <w:div w:id="702360837">
                                              <w:marLeft w:val="0"/>
                                              <w:marRight w:val="0"/>
                                              <w:marTop w:val="0"/>
                                              <w:marBottom w:val="0"/>
                                              <w:divBdr>
                                                <w:top w:val="none" w:sz="0" w:space="0" w:color="auto"/>
                                                <w:left w:val="none" w:sz="0" w:space="0" w:color="auto"/>
                                                <w:bottom w:val="none" w:sz="0" w:space="0" w:color="auto"/>
                                                <w:right w:val="none" w:sz="0" w:space="0" w:color="auto"/>
                                              </w:divBdr>
                                              <w:divsChild>
                                                <w:div w:id="1340887307">
                                                  <w:marLeft w:val="0"/>
                                                  <w:marRight w:val="0"/>
                                                  <w:marTop w:val="0"/>
                                                  <w:marBottom w:val="0"/>
                                                  <w:divBdr>
                                                    <w:top w:val="none" w:sz="0" w:space="0" w:color="auto"/>
                                                    <w:left w:val="none" w:sz="0" w:space="0" w:color="auto"/>
                                                    <w:bottom w:val="none" w:sz="0" w:space="0" w:color="auto"/>
                                                    <w:right w:val="none" w:sz="0" w:space="0" w:color="auto"/>
                                                  </w:divBdr>
                                                  <w:divsChild>
                                                    <w:div w:id="768695138">
                                                      <w:marLeft w:val="0"/>
                                                      <w:marRight w:val="0"/>
                                                      <w:marTop w:val="0"/>
                                                      <w:marBottom w:val="0"/>
                                                      <w:divBdr>
                                                        <w:top w:val="none" w:sz="0" w:space="0" w:color="auto"/>
                                                        <w:left w:val="none" w:sz="0" w:space="0" w:color="auto"/>
                                                        <w:bottom w:val="none" w:sz="0" w:space="0" w:color="auto"/>
                                                        <w:right w:val="none" w:sz="0" w:space="0" w:color="auto"/>
                                                      </w:divBdr>
                                                      <w:divsChild>
                                                        <w:div w:id="10220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18369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financialservices.royalcommission.gov.au/Pages/repor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E15D65EEEC4C7B9457BBDDBC1A8871"/>
        <w:category>
          <w:name w:val="General"/>
          <w:gallery w:val="placeholder"/>
        </w:category>
        <w:types>
          <w:type w:val="bbPlcHdr"/>
        </w:types>
        <w:behaviors>
          <w:behavior w:val="content"/>
        </w:behaviors>
        <w:guid w:val="{D2B7BDF6-B18C-4D29-A4DB-C16B9DEA940E}"/>
      </w:docPartPr>
      <w:docPartBody>
        <w:p w:rsidR="002B71E4" w:rsidRDefault="002B71E4">
          <w:pPr>
            <w:pStyle w:val="42E15D65EEEC4C7B9457BBDDBC1A887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E4"/>
    <w:rsid w:val="002B71E4"/>
    <w:rsid w:val="00D35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E15D65EEEC4C7B9457BBDDBC1A8871">
    <w:name w:val="42E15D65EEEC4C7B9457BBDDBC1A8871"/>
  </w:style>
  <w:style w:type="paragraph" w:customStyle="1" w:styleId="78A6579C0A434DE98869DE8CA3AB74B6">
    <w:name w:val="78A6579C0A434DE98869DE8CA3AB74B6"/>
  </w:style>
  <w:style w:type="paragraph" w:customStyle="1" w:styleId="5D20A1BD609149F69937D213974C567C">
    <w:name w:val="5D20A1BD609149F69937D213974C567C"/>
  </w:style>
  <w:style w:type="paragraph" w:customStyle="1" w:styleId="8A6F96C0F73E4630AFECAE0C0FACCA0C">
    <w:name w:val="8A6F96C0F73E4630AFECAE0C0FACCA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E15D65EEEC4C7B9457BBDDBC1A8871">
    <w:name w:val="42E15D65EEEC4C7B9457BBDDBC1A8871"/>
  </w:style>
  <w:style w:type="paragraph" w:customStyle="1" w:styleId="78A6579C0A434DE98869DE8CA3AB74B6">
    <w:name w:val="78A6579C0A434DE98869DE8CA3AB74B6"/>
  </w:style>
  <w:style w:type="paragraph" w:customStyle="1" w:styleId="5D20A1BD609149F69937D213974C567C">
    <w:name w:val="5D20A1BD609149F69937D213974C567C"/>
  </w:style>
  <w:style w:type="paragraph" w:customStyle="1" w:styleId="8A6F96C0F73E4630AFECAE0C0FACCA0C">
    <w:name w:val="8A6F96C0F73E4630AFECAE0C0FACC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3917" ma:contentTypeDescription=" " ma:contentTypeScope="" ma:versionID="d7154d3ccd02ddf1407ab9fdd9eeee5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2020RG-111-15917</_dlc_DocId>
    <_dlc_DocIdUrl xmlns="0f563589-9cf9-4143-b1eb-fb0534803d38">
      <Url>http://tweb/sites/rg/ldp/lmu/_layouts/15/DocIdRedir.aspx?ID=2020RG-111-15917</Url>
      <Description>2020RG-111-15917</Description>
    </_dlc_DocIdUrl>
    <i6880fa62fd2465ea894b48b45824d1c xmlns="9f7bc583-7cbe-45b9-a2bd-8bbb6543b37e">
      <Terms xmlns="http://schemas.microsoft.com/office/infopath/2007/PartnerControl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E7ADD88-C179-459A-8CF8-3A629B4B37E5}">
  <ds:schemaRefs>
    <ds:schemaRef ds:uri="http://schemas.microsoft.com/sharepoint/events"/>
  </ds:schemaRefs>
</ds:datastoreItem>
</file>

<file path=customXml/itemProps3.xml><?xml version="1.0" encoding="utf-8"?>
<ds:datastoreItem xmlns:ds="http://schemas.openxmlformats.org/officeDocument/2006/customXml" ds:itemID="{58095DD2-0ACC-4AE8-A4DB-E4A351E4C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http://purl.org/dc/dcmitype/"/>
    <ds:schemaRef ds:uri="http://www.w3.org/XML/1998/namespace"/>
    <ds:schemaRef ds:uri="http://schemas.microsoft.com/sharepoint/v4"/>
    <ds:schemaRef ds:uri="http://schemas.microsoft.com/sharepoint/v3"/>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9f7bc583-7cbe-45b9-a2bd-8bbb6543b37e"/>
    <ds:schemaRef ds:uri="0f563589-9cf9-4143-b1eb-fb0534803d38"/>
    <ds:schemaRef ds:uri="http://schemas.microsoft.com/office/2006/metadata/properties"/>
  </ds:schemaRefs>
</ds:datastoreItem>
</file>

<file path=customXml/itemProps6.xml><?xml version="1.0" encoding="utf-8"?>
<ds:datastoreItem xmlns:ds="http://schemas.openxmlformats.org/officeDocument/2006/customXml" ds:itemID="{3BA9DB01-CB49-4650-99AA-766E2E36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196</TotalTime>
  <Pages>6</Pages>
  <Words>1844</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Mendonca, Nelson</dc:creator>
  <cp:lastModifiedBy>Luke Robert</cp:lastModifiedBy>
  <cp:revision>2</cp:revision>
  <cp:lastPrinted>2019-02-17T23:23:00Z</cp:lastPrinted>
  <dcterms:created xsi:type="dcterms:W3CDTF">2020-06-12T04:50:00Z</dcterms:created>
  <dcterms:modified xsi:type="dcterms:W3CDTF">2020-12-11T00:10:00Z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a2b537cf-8011-4e8c-b149-eef29fd99147</vt:lpwstr>
  </property>
  <property fmtid="{D5CDD505-2E9C-101B-9397-08002B2CF9AE}" pid="6" name="RecordPoint_WorkflowType">
    <vt:lpwstr>ActiveSubmitStub</vt:lpwstr>
  </property>
  <property fmtid="{D5CDD505-2E9C-101B-9397-08002B2CF9AE}" pid="7" name="RecordPoint_ActiveItemUniqueId">
    <vt:lpwstr>{a2b537cf-8011-4e8c-b149-eef29fd99147}</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SYTopic">
    <vt:lpwstr/>
  </property>
</Properties>
</file>