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E6023" w14:textId="7C3ED82A" w:rsidR="002436BD" w:rsidRPr="002C6D26" w:rsidRDefault="002436BD" w:rsidP="00DF7DA0">
      <w:pPr>
        <w:pStyle w:val="Heading"/>
        <w:spacing w:after="240"/>
        <w:jc w:val="center"/>
        <w:rPr>
          <w:rFonts w:ascii="Times New Roman" w:hAnsi="Times New Roman"/>
          <w:sz w:val="24"/>
          <w:szCs w:val="24"/>
        </w:rPr>
      </w:pPr>
      <w:bookmarkStart w:id="0" w:name="_GoBack"/>
      <w:bookmarkEnd w:id="0"/>
      <w:r w:rsidRPr="002C6D26">
        <w:rPr>
          <w:rFonts w:ascii="Times New Roman" w:hAnsi="Times New Roman"/>
          <w:sz w:val="24"/>
          <w:szCs w:val="24"/>
        </w:rPr>
        <w:t xml:space="preserve">Banking (prudential standard) determination </w:t>
      </w:r>
      <w:r w:rsidRPr="003B4165">
        <w:rPr>
          <w:rFonts w:ascii="Times New Roman" w:hAnsi="Times New Roman"/>
          <w:sz w:val="24"/>
          <w:szCs w:val="24"/>
        </w:rPr>
        <w:t xml:space="preserve">No. </w:t>
      </w:r>
      <w:r w:rsidR="003B4165" w:rsidRPr="003B4165">
        <w:rPr>
          <w:rFonts w:ascii="Times New Roman" w:hAnsi="Times New Roman"/>
          <w:sz w:val="24"/>
          <w:szCs w:val="24"/>
        </w:rPr>
        <w:t>7</w:t>
      </w:r>
      <w:r w:rsidRPr="003B4165">
        <w:rPr>
          <w:rFonts w:ascii="Times New Roman" w:hAnsi="Times New Roman"/>
          <w:sz w:val="24"/>
          <w:szCs w:val="24"/>
        </w:rPr>
        <w:t xml:space="preserve"> of 20</w:t>
      </w:r>
      <w:r w:rsidR="00647553" w:rsidRPr="003B4165">
        <w:rPr>
          <w:rFonts w:ascii="Times New Roman" w:hAnsi="Times New Roman"/>
          <w:sz w:val="24"/>
          <w:szCs w:val="24"/>
        </w:rPr>
        <w:t>20</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77777777" w:rsidR="002436BD" w:rsidRPr="002C6D26" w:rsidRDefault="002436BD" w:rsidP="00DF7DA0">
      <w:pPr>
        <w:pStyle w:val="Heading"/>
        <w:tabs>
          <w:tab w:val="left" w:pos="360"/>
        </w:tabs>
        <w:spacing w:after="240"/>
        <w:jc w:val="center"/>
        <w:rPr>
          <w:rFonts w:ascii="Times New Roman" w:hAnsi="Times New Roman"/>
          <w:b w:val="0"/>
          <w:sz w:val="24"/>
          <w:szCs w:val="24"/>
        </w:rPr>
      </w:pPr>
      <w:r w:rsidRPr="002C6D26">
        <w:rPr>
          <w:rFonts w:ascii="Times New Roman" w:hAnsi="Times New Roman"/>
          <w:b w:val="0"/>
          <w:i/>
          <w:sz w:val="24"/>
          <w:szCs w:val="24"/>
        </w:rPr>
        <w:t>Banking Act 1959</w:t>
      </w:r>
      <w:r w:rsidRPr="002C6D26">
        <w:rPr>
          <w:rFonts w:ascii="Times New Roman" w:hAnsi="Times New Roman"/>
          <w:b w:val="0"/>
          <w:sz w:val="24"/>
          <w:szCs w:val="24"/>
        </w:rPr>
        <w:t xml:space="preserve">, </w:t>
      </w:r>
      <w:r w:rsidRPr="002C6D26">
        <w:rPr>
          <w:rFonts w:ascii="Times New Roman" w:hAnsi="Times New Roman"/>
          <w:b w:val="0"/>
          <w:color w:val="000000"/>
          <w:sz w:val="24"/>
          <w:szCs w:val="24"/>
        </w:rPr>
        <w:t>section 11AF</w:t>
      </w:r>
    </w:p>
    <w:p w14:paraId="066E4F30" w14:textId="75DFDAA7" w:rsidR="002436BD" w:rsidRPr="002C6D26" w:rsidRDefault="002436BD" w:rsidP="00DF7DA0">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11AF(1) of the </w:t>
      </w:r>
      <w:r w:rsidRPr="002C6D26">
        <w:rPr>
          <w:rFonts w:ascii="Times New Roman" w:hAnsi="Times New Roman"/>
          <w:i/>
          <w:sz w:val="24"/>
          <w:szCs w:val="24"/>
        </w:rPr>
        <w:t>Banking Act 1959</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determine standards </w:t>
      </w:r>
      <w:r w:rsidRPr="007428D4">
        <w:rPr>
          <w:rFonts w:ascii="Times New Roman" w:hAnsi="Times New Roman"/>
          <w:sz w:val="24"/>
          <w:szCs w:val="24"/>
        </w:rPr>
        <w:t>(prudential standards),</w:t>
      </w:r>
      <w:r w:rsidRPr="002C6D26">
        <w:rPr>
          <w:rFonts w:ascii="Times New Roman" w:hAnsi="Times New Roman"/>
          <w:sz w:val="24"/>
          <w:szCs w:val="24"/>
        </w:rPr>
        <w:t xml:space="preserve"> in writing, in relation to prudential matters to be complied with by authorised deposit-taking institutions </w:t>
      </w:r>
      <w:r w:rsidRPr="007428D4">
        <w:rPr>
          <w:rFonts w:ascii="Times New Roman" w:hAnsi="Times New Roman"/>
          <w:sz w:val="24"/>
          <w:szCs w:val="24"/>
        </w:rPr>
        <w:t>(ADIs).</w:t>
      </w:r>
      <w:r w:rsidR="00F30C81" w:rsidRPr="00F30C81">
        <w:rPr>
          <w:rFonts w:ascii="Times New Roman" w:hAnsi="Times New Roman"/>
          <w:sz w:val="24"/>
          <w:szCs w:val="24"/>
        </w:rPr>
        <w:t xml:space="preserve"> Under subsection 11AF(3) of the Act, APRA may, in writing, vary or revoke a prudential standard.</w:t>
      </w:r>
    </w:p>
    <w:p w14:paraId="50E09C1C" w14:textId="3C2A0F33" w:rsidR="00246723" w:rsidRDefault="002436BD" w:rsidP="00DF7DA0">
      <w:pPr>
        <w:widowControl w:val="0"/>
        <w:spacing w:after="240"/>
        <w:jc w:val="both"/>
        <w:rPr>
          <w:rFonts w:ascii="Times New Roman" w:hAnsi="Times New Roman"/>
          <w:sz w:val="24"/>
          <w:szCs w:val="24"/>
        </w:rPr>
      </w:pPr>
      <w:r w:rsidRPr="007059C5">
        <w:rPr>
          <w:rFonts w:ascii="Times New Roman" w:hAnsi="Times New Roman"/>
          <w:sz w:val="24"/>
          <w:szCs w:val="24"/>
        </w:rPr>
        <w:t xml:space="preserve">On </w:t>
      </w:r>
      <w:r w:rsidR="007059C5" w:rsidRPr="007059C5">
        <w:rPr>
          <w:rFonts w:ascii="Times New Roman" w:hAnsi="Times New Roman"/>
          <w:sz w:val="24"/>
          <w:szCs w:val="24"/>
        </w:rPr>
        <w:t>8</w:t>
      </w:r>
      <w:r w:rsidR="00647553" w:rsidRPr="007059C5">
        <w:rPr>
          <w:rFonts w:ascii="Times New Roman" w:hAnsi="Times New Roman"/>
          <w:sz w:val="24"/>
          <w:szCs w:val="24"/>
        </w:rPr>
        <w:t xml:space="preserve"> </w:t>
      </w:r>
      <w:r w:rsidR="003B4165" w:rsidRPr="007059C5">
        <w:rPr>
          <w:rFonts w:ascii="Times New Roman" w:hAnsi="Times New Roman"/>
          <w:sz w:val="24"/>
          <w:szCs w:val="24"/>
        </w:rPr>
        <w:t>December</w:t>
      </w:r>
      <w:r w:rsidR="00647553" w:rsidRPr="003B4165">
        <w:rPr>
          <w:rFonts w:ascii="Times New Roman" w:hAnsi="Times New Roman"/>
          <w:sz w:val="24"/>
          <w:szCs w:val="24"/>
        </w:rPr>
        <w:t xml:space="preserve"> 2020</w:t>
      </w:r>
      <w:r w:rsidRPr="003B4165">
        <w:rPr>
          <w:rFonts w:ascii="Times New Roman" w:hAnsi="Times New Roman"/>
          <w:sz w:val="24"/>
          <w:szCs w:val="24"/>
        </w:rPr>
        <w:t>,</w:t>
      </w:r>
      <w:r>
        <w:rPr>
          <w:rFonts w:ascii="Times New Roman" w:hAnsi="Times New Roman"/>
          <w:sz w:val="24"/>
          <w:szCs w:val="24"/>
        </w:rPr>
        <w:t xml:space="preserve"> APRA made </w:t>
      </w:r>
      <w:r w:rsidRPr="002C6D26">
        <w:rPr>
          <w:rFonts w:ascii="Times New Roman" w:hAnsi="Times New Roman"/>
          <w:sz w:val="24"/>
          <w:szCs w:val="24"/>
        </w:rPr>
        <w:t xml:space="preserve">Banking (prudential standard) determination </w:t>
      </w:r>
      <w:r w:rsidRPr="003B4165">
        <w:rPr>
          <w:rFonts w:ascii="Times New Roman" w:hAnsi="Times New Roman"/>
          <w:sz w:val="24"/>
          <w:szCs w:val="24"/>
        </w:rPr>
        <w:t>No.</w:t>
      </w:r>
      <w:r w:rsidR="003B4165" w:rsidRPr="003B4165">
        <w:rPr>
          <w:rFonts w:ascii="Times New Roman" w:hAnsi="Times New Roman"/>
          <w:sz w:val="24"/>
          <w:szCs w:val="24"/>
        </w:rPr>
        <w:t> 7</w:t>
      </w:r>
      <w:r w:rsidRPr="003B4165">
        <w:rPr>
          <w:rFonts w:ascii="Times New Roman" w:hAnsi="Times New Roman"/>
          <w:sz w:val="24"/>
          <w:szCs w:val="24"/>
        </w:rPr>
        <w:t xml:space="preserve"> of 20</w:t>
      </w:r>
      <w:r w:rsidR="00647553" w:rsidRPr="003B4165">
        <w:rPr>
          <w:rFonts w:ascii="Times New Roman" w:hAnsi="Times New Roman"/>
          <w:sz w:val="24"/>
          <w:szCs w:val="24"/>
        </w:rPr>
        <w:t xml:space="preserve">20 </w:t>
      </w:r>
      <w:r w:rsidRPr="003B4165">
        <w:rPr>
          <w:rFonts w:ascii="Times New Roman" w:hAnsi="Times New Roman"/>
          <w:sz w:val="24"/>
          <w:szCs w:val="24"/>
        </w:rPr>
        <w:t xml:space="preserve">(the instrument) which </w:t>
      </w:r>
      <w:r w:rsidR="009927BF" w:rsidRPr="003B4165">
        <w:rPr>
          <w:rFonts w:ascii="Times New Roman" w:hAnsi="Times New Roman"/>
          <w:sz w:val="24"/>
          <w:szCs w:val="24"/>
        </w:rPr>
        <w:t xml:space="preserve">revokes </w:t>
      </w:r>
      <w:r w:rsidR="009927BF" w:rsidRPr="003B4165">
        <w:rPr>
          <w:rFonts w:ascii="Times New Roman" w:hAnsi="Times New Roman"/>
          <w:i/>
          <w:sz w:val="24"/>
          <w:szCs w:val="24"/>
        </w:rPr>
        <w:t>Prudential Standard APS</w:t>
      </w:r>
      <w:r w:rsidR="00647553" w:rsidRPr="003B4165">
        <w:rPr>
          <w:rFonts w:ascii="Times New Roman" w:hAnsi="Times New Roman"/>
          <w:i/>
          <w:sz w:val="24"/>
          <w:szCs w:val="24"/>
        </w:rPr>
        <w:t> </w:t>
      </w:r>
      <w:r w:rsidR="004C2B41" w:rsidRPr="003B4165">
        <w:rPr>
          <w:rFonts w:ascii="Times New Roman" w:hAnsi="Times New Roman"/>
          <w:i/>
          <w:sz w:val="24"/>
          <w:szCs w:val="24"/>
        </w:rPr>
        <w:t>222</w:t>
      </w:r>
      <w:r w:rsidR="009927BF" w:rsidRPr="003B4165">
        <w:rPr>
          <w:rFonts w:ascii="Times New Roman" w:hAnsi="Times New Roman"/>
          <w:i/>
          <w:sz w:val="24"/>
          <w:szCs w:val="24"/>
        </w:rPr>
        <w:t xml:space="preserve"> </w:t>
      </w:r>
      <w:r w:rsidR="004C2B41" w:rsidRPr="003B4165">
        <w:rPr>
          <w:rFonts w:ascii="Times New Roman" w:hAnsi="Times New Roman"/>
          <w:i/>
          <w:sz w:val="24"/>
          <w:szCs w:val="24"/>
        </w:rPr>
        <w:t>Associations with Related Entities</w:t>
      </w:r>
      <w:r w:rsidR="009927BF" w:rsidRPr="003B4165">
        <w:rPr>
          <w:rFonts w:ascii="Times New Roman" w:hAnsi="Times New Roman"/>
          <w:sz w:val="24"/>
          <w:szCs w:val="24"/>
        </w:rPr>
        <w:t xml:space="preserve"> made under Banking (prudential standard) determination No. </w:t>
      </w:r>
      <w:r w:rsidR="00D44C67" w:rsidRPr="003B4165">
        <w:rPr>
          <w:rFonts w:ascii="Times New Roman" w:hAnsi="Times New Roman"/>
          <w:sz w:val="24"/>
          <w:szCs w:val="24"/>
        </w:rPr>
        <w:t>9</w:t>
      </w:r>
      <w:r w:rsidR="009927BF" w:rsidRPr="003B4165">
        <w:rPr>
          <w:rFonts w:ascii="Times New Roman" w:hAnsi="Times New Roman"/>
          <w:sz w:val="24"/>
          <w:szCs w:val="24"/>
        </w:rPr>
        <w:t xml:space="preserve"> of 20</w:t>
      </w:r>
      <w:r w:rsidR="00D44C67" w:rsidRPr="003B4165">
        <w:rPr>
          <w:rFonts w:ascii="Times New Roman" w:hAnsi="Times New Roman"/>
          <w:sz w:val="24"/>
          <w:szCs w:val="24"/>
        </w:rPr>
        <w:t>14</w:t>
      </w:r>
      <w:r w:rsidR="009927BF" w:rsidRPr="003B4165">
        <w:rPr>
          <w:rFonts w:ascii="Times New Roman" w:hAnsi="Times New Roman"/>
          <w:sz w:val="24"/>
          <w:szCs w:val="24"/>
        </w:rPr>
        <w:t xml:space="preserve"> and </w:t>
      </w:r>
      <w:r w:rsidRPr="003B4165">
        <w:rPr>
          <w:rFonts w:ascii="Times New Roman" w:hAnsi="Times New Roman"/>
          <w:sz w:val="24"/>
          <w:szCs w:val="24"/>
        </w:rPr>
        <w:t xml:space="preserve">determines </w:t>
      </w:r>
      <w:r w:rsidR="00E758B5" w:rsidRPr="003B4165">
        <w:rPr>
          <w:rFonts w:ascii="Times New Roman" w:hAnsi="Times New Roman"/>
          <w:sz w:val="24"/>
          <w:szCs w:val="24"/>
        </w:rPr>
        <w:t xml:space="preserve">a new </w:t>
      </w:r>
      <w:r w:rsidRPr="003B4165">
        <w:rPr>
          <w:rFonts w:ascii="Times New Roman" w:hAnsi="Times New Roman"/>
          <w:i/>
          <w:sz w:val="24"/>
          <w:szCs w:val="24"/>
        </w:rPr>
        <w:t>Prudential Standard</w:t>
      </w:r>
      <w:r w:rsidRPr="003B4165">
        <w:rPr>
          <w:rFonts w:ascii="Times New Roman" w:hAnsi="Times New Roman"/>
          <w:sz w:val="24"/>
          <w:szCs w:val="24"/>
        </w:rPr>
        <w:t xml:space="preserve"> </w:t>
      </w:r>
      <w:r w:rsidR="0040175E" w:rsidRPr="003B4165">
        <w:rPr>
          <w:rFonts w:ascii="Times New Roman" w:hAnsi="Times New Roman"/>
          <w:i/>
          <w:sz w:val="24"/>
          <w:szCs w:val="24"/>
        </w:rPr>
        <w:t>APS</w:t>
      </w:r>
      <w:r w:rsidR="00647553" w:rsidRPr="003B4165">
        <w:rPr>
          <w:rFonts w:ascii="Times New Roman" w:hAnsi="Times New Roman"/>
          <w:i/>
          <w:sz w:val="24"/>
          <w:szCs w:val="24"/>
        </w:rPr>
        <w:t> </w:t>
      </w:r>
      <w:r w:rsidR="004C2B41" w:rsidRPr="003B4165">
        <w:rPr>
          <w:rFonts w:ascii="Times New Roman" w:hAnsi="Times New Roman"/>
          <w:i/>
          <w:sz w:val="24"/>
          <w:szCs w:val="24"/>
        </w:rPr>
        <w:t>222 Associations with Related Entities</w:t>
      </w:r>
      <w:r w:rsidRPr="003B4165">
        <w:rPr>
          <w:rFonts w:ascii="Times New Roman" w:hAnsi="Times New Roman"/>
          <w:i/>
          <w:sz w:val="24"/>
          <w:szCs w:val="24"/>
        </w:rPr>
        <w:t xml:space="preserve"> </w:t>
      </w:r>
      <w:r w:rsidRPr="003B4165">
        <w:rPr>
          <w:rFonts w:ascii="Times New Roman" w:hAnsi="Times New Roman"/>
          <w:sz w:val="24"/>
          <w:szCs w:val="24"/>
        </w:rPr>
        <w:t>(APS</w:t>
      </w:r>
      <w:r w:rsidR="00647553" w:rsidRPr="003B4165">
        <w:rPr>
          <w:rFonts w:ascii="Times New Roman" w:hAnsi="Times New Roman"/>
          <w:sz w:val="24"/>
          <w:szCs w:val="24"/>
        </w:rPr>
        <w:t> </w:t>
      </w:r>
      <w:r w:rsidR="004C2B41" w:rsidRPr="003B4165">
        <w:rPr>
          <w:rFonts w:ascii="Times New Roman" w:hAnsi="Times New Roman"/>
          <w:sz w:val="24"/>
          <w:szCs w:val="24"/>
        </w:rPr>
        <w:t>222</w:t>
      </w:r>
      <w:r w:rsidRPr="003B4165">
        <w:rPr>
          <w:rFonts w:ascii="Times New Roman" w:hAnsi="Times New Roman"/>
          <w:sz w:val="24"/>
          <w:szCs w:val="24"/>
        </w:rPr>
        <w:t>)</w:t>
      </w:r>
      <w:r w:rsidR="00246723" w:rsidRPr="003B4165">
        <w:rPr>
          <w:rFonts w:ascii="Times New Roman" w:hAnsi="Times New Roman"/>
          <w:sz w:val="24"/>
          <w:szCs w:val="24"/>
        </w:rPr>
        <w:t>.</w:t>
      </w:r>
      <w:r w:rsidR="00003D3A" w:rsidRPr="00003D3A">
        <w:t xml:space="preserve"> </w:t>
      </w:r>
    </w:p>
    <w:p w14:paraId="38C34429" w14:textId="506DE84E" w:rsidR="00A84FF2" w:rsidRPr="00003930" w:rsidRDefault="00246723" w:rsidP="00003930">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2436BD" w:rsidRPr="002C6D26">
        <w:rPr>
          <w:rFonts w:ascii="Times New Roman" w:hAnsi="Times New Roman"/>
          <w:sz w:val="24"/>
          <w:szCs w:val="24"/>
        </w:rPr>
        <w:t xml:space="preserve"> </w:t>
      </w:r>
      <w:r w:rsidR="00647553">
        <w:rPr>
          <w:rFonts w:ascii="Times New Roman" w:hAnsi="Times New Roman"/>
          <w:sz w:val="24"/>
          <w:szCs w:val="24"/>
        </w:rPr>
        <w:t>1 January 2022.</w:t>
      </w:r>
    </w:p>
    <w:p w14:paraId="25ABAD4C" w14:textId="1A4A8B00"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D7F0D08" w14:textId="6243AB67" w:rsidR="001D7DFF" w:rsidRPr="00730D89" w:rsidRDefault="001D7DFF" w:rsidP="001D7DFF">
      <w:pPr>
        <w:pStyle w:val="Heading"/>
        <w:spacing w:after="240"/>
        <w:rPr>
          <w:rFonts w:ascii="Times New Roman" w:hAnsi="Times New Roman"/>
          <w:b w:val="0"/>
          <w:sz w:val="24"/>
          <w:szCs w:val="24"/>
        </w:rPr>
      </w:pPr>
      <w:r w:rsidRPr="00730D89">
        <w:rPr>
          <w:rFonts w:ascii="Times New Roman" w:hAnsi="Times New Roman"/>
          <w:b w:val="0"/>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A key component of this is requiring ADIs to have </w:t>
      </w:r>
      <w:r>
        <w:rPr>
          <w:rFonts w:ascii="Times New Roman" w:hAnsi="Times New Roman"/>
          <w:b w:val="0"/>
          <w:sz w:val="24"/>
          <w:szCs w:val="24"/>
        </w:rPr>
        <w:t xml:space="preserve">prudent processes and </w:t>
      </w:r>
      <w:r w:rsidRPr="00730D89">
        <w:rPr>
          <w:rFonts w:ascii="Times New Roman" w:hAnsi="Times New Roman"/>
          <w:b w:val="0"/>
          <w:sz w:val="24"/>
          <w:szCs w:val="24"/>
        </w:rPr>
        <w:t xml:space="preserve">systems for identifying, measuring, evaluating, monitoring, reporting and controlling or mitigating material risks that may affect </w:t>
      </w:r>
      <w:r>
        <w:rPr>
          <w:rFonts w:ascii="Times New Roman" w:hAnsi="Times New Roman"/>
          <w:b w:val="0"/>
          <w:sz w:val="24"/>
          <w:szCs w:val="24"/>
        </w:rPr>
        <w:t>their</w:t>
      </w:r>
      <w:r w:rsidRPr="00730D89">
        <w:rPr>
          <w:rFonts w:ascii="Times New Roman" w:hAnsi="Times New Roman"/>
          <w:b w:val="0"/>
          <w:sz w:val="24"/>
          <w:szCs w:val="24"/>
        </w:rPr>
        <w:t xml:space="preserve"> ability to meet obligations to depositors.</w:t>
      </w:r>
    </w:p>
    <w:p w14:paraId="7FAFE2F9" w14:textId="7C73FE57" w:rsidR="006B0E25" w:rsidRDefault="00BF7ECC" w:rsidP="00CC6FEB">
      <w:pPr>
        <w:pStyle w:val="APRANORMAL"/>
        <w:jc w:val="both"/>
        <w:rPr>
          <w:rFonts w:ascii="Times New Roman" w:hAnsi="Times New Roman"/>
          <w:sz w:val="24"/>
          <w:szCs w:val="24"/>
        </w:rPr>
      </w:pPr>
      <w:r>
        <w:rPr>
          <w:rFonts w:ascii="Times New Roman" w:hAnsi="Times New Roman"/>
          <w:sz w:val="24"/>
          <w:szCs w:val="24"/>
        </w:rPr>
        <w:t>APS</w:t>
      </w:r>
      <w:r w:rsidR="00647553">
        <w:rPr>
          <w:rFonts w:ascii="Times New Roman" w:hAnsi="Times New Roman"/>
          <w:sz w:val="24"/>
          <w:szCs w:val="24"/>
        </w:rPr>
        <w:t> </w:t>
      </w:r>
      <w:r>
        <w:rPr>
          <w:rFonts w:ascii="Times New Roman" w:hAnsi="Times New Roman"/>
          <w:sz w:val="24"/>
          <w:szCs w:val="24"/>
        </w:rPr>
        <w:t xml:space="preserve">222 requires ADIs to implement prudent measures and to set prudent limits on exposures </w:t>
      </w:r>
      <w:r w:rsidR="00651403">
        <w:rPr>
          <w:rFonts w:ascii="Times New Roman" w:hAnsi="Times New Roman"/>
          <w:sz w:val="24"/>
          <w:szCs w:val="24"/>
        </w:rPr>
        <w:t>arising</w:t>
      </w:r>
      <w:r>
        <w:rPr>
          <w:rFonts w:ascii="Times New Roman" w:hAnsi="Times New Roman"/>
          <w:sz w:val="24"/>
          <w:szCs w:val="24"/>
        </w:rPr>
        <w:t xml:space="preserve"> from their associations and dealings with related entities and </w:t>
      </w:r>
      <w:r w:rsidR="00C52787">
        <w:rPr>
          <w:rFonts w:ascii="Times New Roman" w:hAnsi="Times New Roman"/>
          <w:sz w:val="24"/>
          <w:szCs w:val="24"/>
        </w:rPr>
        <w:t xml:space="preserve">introduces requirements relating to </w:t>
      </w:r>
      <w:r w:rsidR="00060835">
        <w:rPr>
          <w:rFonts w:ascii="Times New Roman" w:hAnsi="Times New Roman"/>
          <w:sz w:val="24"/>
          <w:szCs w:val="24"/>
        </w:rPr>
        <w:t xml:space="preserve">dealings with </w:t>
      </w:r>
      <w:r w:rsidRPr="00525897">
        <w:rPr>
          <w:rFonts w:ascii="Times New Roman" w:hAnsi="Times New Roman"/>
          <w:sz w:val="24"/>
          <w:szCs w:val="24"/>
        </w:rPr>
        <w:t>entities where an ADI is likely to provide support beyond any legal obligation</w:t>
      </w:r>
      <w:r w:rsidRPr="00A8208F">
        <w:rPr>
          <w:rFonts w:ascii="Times New Roman" w:hAnsi="Times New Roman"/>
          <w:sz w:val="24"/>
          <w:szCs w:val="24"/>
        </w:rPr>
        <w:t xml:space="preserve"> (step-in risk</w:t>
      </w:r>
      <w:r w:rsidRPr="00CC6FEB">
        <w:rPr>
          <w:rFonts w:ascii="Times New Roman" w:hAnsi="Times New Roman"/>
          <w:sz w:val="24"/>
          <w:szCs w:val="24"/>
        </w:rPr>
        <w:t xml:space="preserve"> entities).</w:t>
      </w:r>
      <w:r>
        <w:rPr>
          <w:rFonts w:ascii="Times New Roman" w:hAnsi="Times New Roman"/>
          <w:sz w:val="24"/>
          <w:szCs w:val="24"/>
        </w:rPr>
        <w:t xml:space="preserve"> </w:t>
      </w:r>
    </w:p>
    <w:p w14:paraId="2284FBA0" w14:textId="08F14FD0" w:rsidR="00231EC3" w:rsidRDefault="005D1AF5" w:rsidP="00647553">
      <w:pPr>
        <w:pStyle w:val="APRANORMAL"/>
        <w:jc w:val="both"/>
        <w:rPr>
          <w:rFonts w:ascii="Times New Roman" w:hAnsi="Times New Roman"/>
          <w:sz w:val="24"/>
          <w:szCs w:val="24"/>
        </w:rPr>
      </w:pPr>
      <w:r w:rsidRPr="005D1AF5">
        <w:rPr>
          <w:rFonts w:ascii="Times New Roman" w:hAnsi="Times New Roman"/>
          <w:sz w:val="24"/>
          <w:szCs w:val="24"/>
        </w:rPr>
        <w:t xml:space="preserve">Associations with related entities introduce the potential for material contagion risk within the banking sector. </w:t>
      </w:r>
      <w:r w:rsidR="006B0E25">
        <w:rPr>
          <w:rFonts w:ascii="Times New Roman" w:hAnsi="Times New Roman"/>
          <w:sz w:val="24"/>
          <w:szCs w:val="24"/>
        </w:rPr>
        <w:t xml:space="preserve">When an ADI has dealings with related entities, there are contagion risks which would otherwise not exist when dealing with unrelated entities. As demonstrated during the global financial crisis, these contagion risks can be severe if there are deficiencies in controls to mitigate the flow of this risk to an ADI. Such deficiencies can ultimately manifest in financial and reputational contagion, and adversely impact Australian depositors, particularly in a stress scenario. </w:t>
      </w:r>
      <w:r w:rsidRPr="005D1AF5">
        <w:rPr>
          <w:rFonts w:ascii="Times New Roman" w:hAnsi="Times New Roman"/>
          <w:sz w:val="24"/>
          <w:szCs w:val="24"/>
        </w:rPr>
        <w:t xml:space="preserve">Financial contagion risk may arise when an </w:t>
      </w:r>
      <w:r w:rsidR="000B11C0">
        <w:rPr>
          <w:rFonts w:ascii="Times New Roman" w:hAnsi="Times New Roman"/>
          <w:sz w:val="24"/>
          <w:szCs w:val="24"/>
        </w:rPr>
        <w:t>ADI</w:t>
      </w:r>
      <w:r w:rsidRPr="005D1AF5">
        <w:rPr>
          <w:rFonts w:ascii="Times New Roman" w:hAnsi="Times New Roman"/>
          <w:sz w:val="24"/>
          <w:szCs w:val="24"/>
        </w:rPr>
        <w:t xml:space="preserve"> has a concentration of exposures to its related entities. Furthermore reputational contagion may arise where investors perceive that a related entity faces operational or financial difficulties or where an ADI could be seen to step in to support a group member beyond any legal obligation. </w:t>
      </w:r>
    </w:p>
    <w:p w14:paraId="6E9E2C8E" w14:textId="77777777" w:rsidR="002436BD" w:rsidRDefault="002436BD" w:rsidP="00D61431">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4EDDFC0F" w14:textId="442B4A88" w:rsidR="00231EC3" w:rsidRPr="001239C7" w:rsidRDefault="003F1956" w:rsidP="00F52D1E">
      <w:pPr>
        <w:pStyle w:val="APRANORMAL"/>
        <w:jc w:val="both"/>
        <w:rPr>
          <w:rStyle w:val="APRANORMALChar"/>
          <w:rFonts w:ascii="Times New Roman" w:hAnsi="Times New Roman"/>
          <w:sz w:val="24"/>
          <w:szCs w:val="24"/>
        </w:rPr>
      </w:pPr>
      <w:bookmarkStart w:id="5" w:name="bkPurpose"/>
      <w:bookmarkEnd w:id="5"/>
      <w:r>
        <w:rPr>
          <w:rFonts w:ascii="Times New Roman" w:hAnsi="Times New Roman"/>
          <w:sz w:val="24"/>
          <w:szCs w:val="24"/>
        </w:rPr>
        <w:t>The purpose of the instrument is to revoke APS</w:t>
      </w:r>
      <w:r w:rsidR="00647553">
        <w:rPr>
          <w:rFonts w:ascii="Times New Roman" w:hAnsi="Times New Roman"/>
          <w:sz w:val="24"/>
          <w:szCs w:val="24"/>
        </w:rPr>
        <w:t> </w:t>
      </w:r>
      <w:r>
        <w:rPr>
          <w:rFonts w:ascii="Times New Roman" w:hAnsi="Times New Roman"/>
          <w:sz w:val="24"/>
          <w:szCs w:val="24"/>
        </w:rPr>
        <w:t>222 and replace it with a new version of APS</w:t>
      </w:r>
      <w:r w:rsidR="00647553">
        <w:rPr>
          <w:rFonts w:ascii="Times New Roman" w:hAnsi="Times New Roman"/>
          <w:sz w:val="24"/>
          <w:szCs w:val="24"/>
        </w:rPr>
        <w:t> </w:t>
      </w:r>
      <w:r>
        <w:rPr>
          <w:rFonts w:ascii="Times New Roman" w:hAnsi="Times New Roman"/>
          <w:sz w:val="24"/>
          <w:szCs w:val="24"/>
        </w:rPr>
        <w:t>222. The changes to APS</w:t>
      </w:r>
      <w:r w:rsidR="00647553">
        <w:rPr>
          <w:rFonts w:ascii="Times New Roman" w:hAnsi="Times New Roman"/>
          <w:sz w:val="24"/>
          <w:szCs w:val="24"/>
        </w:rPr>
        <w:t> </w:t>
      </w:r>
      <w:r>
        <w:rPr>
          <w:rFonts w:ascii="Times New Roman" w:hAnsi="Times New Roman"/>
          <w:sz w:val="24"/>
          <w:szCs w:val="24"/>
        </w:rPr>
        <w:t xml:space="preserve">222 </w:t>
      </w:r>
      <w:r w:rsidR="00745395" w:rsidRPr="00745395">
        <w:rPr>
          <w:rStyle w:val="APRANORMALChar"/>
          <w:rFonts w:ascii="Times New Roman" w:hAnsi="Times New Roman"/>
          <w:sz w:val="24"/>
          <w:szCs w:val="24"/>
        </w:rPr>
        <w:t xml:space="preserve">strengthen the </w:t>
      </w:r>
      <w:r>
        <w:rPr>
          <w:rStyle w:val="APRANORMALChar"/>
          <w:rFonts w:ascii="Times New Roman" w:hAnsi="Times New Roman"/>
          <w:sz w:val="24"/>
          <w:szCs w:val="24"/>
        </w:rPr>
        <w:t xml:space="preserve">requirements for </w:t>
      </w:r>
      <w:r w:rsidR="00745395" w:rsidRPr="00745395">
        <w:rPr>
          <w:rStyle w:val="APRANORMALChar"/>
          <w:rFonts w:ascii="Times New Roman" w:hAnsi="Times New Roman"/>
          <w:sz w:val="24"/>
          <w:szCs w:val="24"/>
        </w:rPr>
        <w:t xml:space="preserve">ADIs to monitor, </w:t>
      </w:r>
      <w:r w:rsidR="00745395" w:rsidRPr="00745395">
        <w:rPr>
          <w:rStyle w:val="APRANORMALChar"/>
          <w:rFonts w:ascii="Times New Roman" w:hAnsi="Times New Roman"/>
          <w:sz w:val="24"/>
          <w:szCs w:val="24"/>
        </w:rPr>
        <w:lastRenderedPageBreak/>
        <w:t>limit and control risks arising from transactions and other associations with related entities</w:t>
      </w:r>
      <w:r w:rsidR="004E6051">
        <w:rPr>
          <w:rStyle w:val="APRANORMALChar"/>
          <w:rFonts w:ascii="Times New Roman" w:hAnsi="Times New Roman"/>
          <w:sz w:val="24"/>
          <w:szCs w:val="24"/>
        </w:rPr>
        <w:t xml:space="preserve"> </w:t>
      </w:r>
      <w:r w:rsidR="004E6051" w:rsidRPr="00A8208F">
        <w:rPr>
          <w:rStyle w:val="APRANORMALChar"/>
          <w:rFonts w:ascii="Times New Roman" w:hAnsi="Times New Roman"/>
          <w:sz w:val="24"/>
          <w:szCs w:val="24"/>
        </w:rPr>
        <w:t xml:space="preserve">and </w:t>
      </w:r>
      <w:r w:rsidR="004E6051" w:rsidRPr="00525897">
        <w:rPr>
          <w:rFonts w:ascii="Times New Roman" w:hAnsi="Times New Roman"/>
          <w:sz w:val="24"/>
          <w:szCs w:val="24"/>
        </w:rPr>
        <w:t>those entities where an ADI is likely to provide support beyond any legal obligation</w:t>
      </w:r>
      <w:r w:rsidR="004E6051" w:rsidRPr="00A8208F">
        <w:rPr>
          <w:rFonts w:ascii="Times New Roman" w:hAnsi="Times New Roman"/>
          <w:sz w:val="24"/>
          <w:szCs w:val="24"/>
        </w:rPr>
        <w:t xml:space="preserve"> (step-in risk</w:t>
      </w:r>
      <w:r w:rsidR="004E6051">
        <w:rPr>
          <w:rFonts w:ascii="Times New Roman" w:hAnsi="Times New Roman"/>
        </w:rPr>
        <w:t xml:space="preserve"> </w:t>
      </w:r>
      <w:r w:rsidR="004E6051" w:rsidRPr="003B4C45">
        <w:rPr>
          <w:rFonts w:ascii="Times New Roman" w:hAnsi="Times New Roman"/>
          <w:sz w:val="24"/>
          <w:szCs w:val="24"/>
        </w:rPr>
        <w:t>entities</w:t>
      </w:r>
      <w:r w:rsidR="003B4C45">
        <w:rPr>
          <w:rFonts w:ascii="Times New Roman" w:hAnsi="Times New Roman"/>
          <w:sz w:val="24"/>
          <w:szCs w:val="24"/>
        </w:rPr>
        <w:t>)</w:t>
      </w:r>
      <w:r w:rsidR="004E6051" w:rsidRPr="003B4C45">
        <w:rPr>
          <w:rFonts w:ascii="Times New Roman" w:hAnsi="Times New Roman"/>
          <w:sz w:val="24"/>
          <w:szCs w:val="24"/>
        </w:rPr>
        <w:t>.</w:t>
      </w:r>
      <w:r w:rsidR="004E6051">
        <w:rPr>
          <w:rFonts w:ascii="Times New Roman" w:hAnsi="Times New Roman"/>
          <w:sz w:val="24"/>
          <w:szCs w:val="24"/>
        </w:rPr>
        <w:t xml:space="preserve"> </w:t>
      </w:r>
      <w:r w:rsidR="00745395" w:rsidRPr="00745395">
        <w:rPr>
          <w:rFonts w:ascii="Times New Roman" w:hAnsi="Times New Roman"/>
          <w:sz w:val="24"/>
          <w:szCs w:val="24"/>
        </w:rPr>
        <w:t xml:space="preserve">The changes </w:t>
      </w:r>
      <w:r w:rsidR="00745395" w:rsidRPr="00745395">
        <w:rPr>
          <w:rStyle w:val="APRANORMALChar"/>
          <w:rFonts w:ascii="Times New Roman" w:hAnsi="Times New Roman"/>
          <w:sz w:val="24"/>
          <w:szCs w:val="24"/>
        </w:rPr>
        <w:t xml:space="preserve">incorporate lessons from the global financial crisis on mitigating contagion flowing from one group entity to another, </w:t>
      </w:r>
      <w:r w:rsidR="007619F6">
        <w:rPr>
          <w:rStyle w:val="APRANORMALChar"/>
          <w:rFonts w:ascii="Times New Roman" w:hAnsi="Times New Roman"/>
          <w:sz w:val="24"/>
          <w:szCs w:val="24"/>
        </w:rPr>
        <w:t xml:space="preserve">align </w:t>
      </w:r>
      <w:r w:rsidR="004E59AA">
        <w:rPr>
          <w:rStyle w:val="APRANORMALChar"/>
          <w:rFonts w:ascii="Times New Roman" w:hAnsi="Times New Roman"/>
          <w:sz w:val="24"/>
          <w:szCs w:val="24"/>
        </w:rPr>
        <w:t xml:space="preserve">Australian requirements </w:t>
      </w:r>
      <w:r w:rsidR="007619F6">
        <w:rPr>
          <w:rStyle w:val="APRANORMALChar"/>
          <w:rFonts w:ascii="Times New Roman" w:hAnsi="Times New Roman"/>
          <w:sz w:val="24"/>
          <w:szCs w:val="24"/>
        </w:rPr>
        <w:t xml:space="preserve">with international </w:t>
      </w:r>
      <w:r w:rsidR="004E59AA">
        <w:rPr>
          <w:rStyle w:val="APRANORMALChar"/>
          <w:rFonts w:ascii="Times New Roman" w:hAnsi="Times New Roman"/>
          <w:sz w:val="24"/>
          <w:szCs w:val="24"/>
        </w:rPr>
        <w:t>standards</w:t>
      </w:r>
      <w:r w:rsidR="009B6054">
        <w:rPr>
          <w:rStyle w:val="APRANORMALChar"/>
          <w:rFonts w:ascii="Times New Roman" w:hAnsi="Times New Roman"/>
          <w:sz w:val="24"/>
          <w:szCs w:val="24"/>
        </w:rPr>
        <w:t xml:space="preserve"> where appropriate</w:t>
      </w:r>
      <w:r w:rsidR="004E59AA">
        <w:rPr>
          <w:rStyle w:val="APRANORMALChar"/>
          <w:rFonts w:ascii="Times New Roman" w:hAnsi="Times New Roman"/>
          <w:sz w:val="24"/>
          <w:szCs w:val="24"/>
        </w:rPr>
        <w:t xml:space="preserve">, </w:t>
      </w:r>
      <w:r w:rsidR="00745395" w:rsidRPr="00745395">
        <w:rPr>
          <w:rStyle w:val="APRANORMALChar"/>
          <w:rFonts w:ascii="Times New Roman" w:hAnsi="Times New Roman"/>
          <w:sz w:val="24"/>
          <w:szCs w:val="24"/>
        </w:rPr>
        <w:t xml:space="preserve">and also ensure broad alignment with </w:t>
      </w:r>
      <w:r w:rsidR="003D2EB4">
        <w:rPr>
          <w:rStyle w:val="APRANORMALChar"/>
          <w:rFonts w:ascii="Times New Roman" w:hAnsi="Times New Roman"/>
          <w:sz w:val="24"/>
          <w:szCs w:val="24"/>
        </w:rPr>
        <w:t>requirements relating to an ADI’s exposures to unrelated entities</w:t>
      </w:r>
      <w:r w:rsidR="009B6054" w:rsidRPr="009B6054">
        <w:rPr>
          <w:rFonts w:ascii="Times New Roman" w:hAnsi="Times New Roman"/>
          <w:sz w:val="24"/>
          <w:szCs w:val="24"/>
        </w:rPr>
        <w:t xml:space="preserve"> </w:t>
      </w:r>
      <w:r w:rsidR="009B6054" w:rsidRPr="00142A28">
        <w:rPr>
          <w:rFonts w:ascii="Times New Roman" w:hAnsi="Times New Roman"/>
          <w:sz w:val="24"/>
          <w:szCs w:val="24"/>
        </w:rPr>
        <w:t xml:space="preserve">in </w:t>
      </w:r>
      <w:r w:rsidR="009B6054">
        <w:rPr>
          <w:rFonts w:ascii="Times New Roman" w:hAnsi="Times New Roman"/>
          <w:sz w:val="24"/>
          <w:szCs w:val="24"/>
        </w:rPr>
        <w:t xml:space="preserve">APRA’s revised large exposures framework, </w:t>
      </w:r>
      <w:r w:rsidR="009B6054">
        <w:rPr>
          <w:rFonts w:ascii="Times New Roman" w:hAnsi="Times New Roman"/>
          <w:i/>
          <w:sz w:val="24"/>
          <w:szCs w:val="24"/>
        </w:rPr>
        <w:t>Prudential Standard APS</w:t>
      </w:r>
      <w:r w:rsidR="00647553">
        <w:rPr>
          <w:rFonts w:ascii="Times New Roman" w:hAnsi="Times New Roman"/>
          <w:i/>
          <w:sz w:val="24"/>
          <w:szCs w:val="24"/>
        </w:rPr>
        <w:t> </w:t>
      </w:r>
      <w:r w:rsidR="009B6054">
        <w:rPr>
          <w:rFonts w:ascii="Times New Roman" w:hAnsi="Times New Roman"/>
          <w:i/>
          <w:sz w:val="24"/>
          <w:szCs w:val="24"/>
        </w:rPr>
        <w:t>221 Large Exposures</w:t>
      </w:r>
      <w:r w:rsidR="00745395" w:rsidRPr="001239C7">
        <w:rPr>
          <w:rStyle w:val="APRANORMALChar"/>
          <w:rFonts w:ascii="Times New Roman" w:hAnsi="Times New Roman"/>
          <w:sz w:val="24"/>
          <w:szCs w:val="24"/>
        </w:rPr>
        <w:t>.</w:t>
      </w:r>
    </w:p>
    <w:p w14:paraId="15ED85D3" w14:textId="3E6CE3C6" w:rsidR="000B11C0" w:rsidRDefault="00AB04FB" w:rsidP="00F52D1E">
      <w:pPr>
        <w:pStyle w:val="APRANORMAL"/>
        <w:jc w:val="both"/>
        <w:rPr>
          <w:rStyle w:val="APRANORMALChar"/>
          <w:rFonts w:ascii="Times New Roman" w:hAnsi="Times New Roman"/>
          <w:sz w:val="24"/>
          <w:szCs w:val="24"/>
        </w:rPr>
      </w:pPr>
      <w:r>
        <w:rPr>
          <w:rFonts w:ascii="Times New Roman" w:hAnsi="Times New Roman"/>
          <w:sz w:val="24"/>
          <w:szCs w:val="24"/>
        </w:rPr>
        <w:t xml:space="preserve">In finalising </w:t>
      </w:r>
      <w:r w:rsidRPr="00AB04FB">
        <w:rPr>
          <w:rFonts w:ascii="Times New Roman" w:hAnsi="Times New Roman"/>
          <w:sz w:val="24"/>
          <w:szCs w:val="24"/>
        </w:rPr>
        <w:t>APS</w:t>
      </w:r>
      <w:r w:rsidR="00647553">
        <w:rPr>
          <w:rFonts w:ascii="Times New Roman" w:hAnsi="Times New Roman"/>
          <w:sz w:val="24"/>
          <w:szCs w:val="24"/>
        </w:rPr>
        <w:t> </w:t>
      </w:r>
      <w:r w:rsidRPr="00AB04FB">
        <w:rPr>
          <w:rFonts w:ascii="Times New Roman" w:hAnsi="Times New Roman"/>
          <w:sz w:val="24"/>
          <w:szCs w:val="24"/>
        </w:rPr>
        <w:t>222</w:t>
      </w:r>
      <w:r>
        <w:rPr>
          <w:rFonts w:ascii="Times New Roman" w:hAnsi="Times New Roman"/>
          <w:sz w:val="24"/>
          <w:szCs w:val="24"/>
        </w:rPr>
        <w:t xml:space="preserve">, APRA has made a number of modifications </w:t>
      </w:r>
      <w:r w:rsidDel="00056801">
        <w:rPr>
          <w:rFonts w:ascii="Times New Roman" w:hAnsi="Times New Roman"/>
          <w:sz w:val="24"/>
          <w:szCs w:val="24"/>
        </w:rPr>
        <w:t xml:space="preserve">to </w:t>
      </w:r>
      <w:r>
        <w:rPr>
          <w:rFonts w:ascii="Times New Roman" w:hAnsi="Times New Roman"/>
          <w:sz w:val="24"/>
          <w:szCs w:val="24"/>
        </w:rPr>
        <w:t xml:space="preserve">assist </w:t>
      </w:r>
      <w:r w:rsidRPr="00AB04FB">
        <w:rPr>
          <w:rFonts w:ascii="Times New Roman" w:hAnsi="Times New Roman"/>
          <w:sz w:val="24"/>
          <w:szCs w:val="24"/>
        </w:rPr>
        <w:t>ADIs</w:t>
      </w:r>
      <w:r>
        <w:rPr>
          <w:rFonts w:ascii="Times New Roman" w:hAnsi="Times New Roman"/>
          <w:sz w:val="24"/>
          <w:szCs w:val="24"/>
        </w:rPr>
        <w:t xml:space="preserve"> in both implementing and complying with </w:t>
      </w:r>
      <w:r w:rsidRPr="00AB04FB">
        <w:rPr>
          <w:rFonts w:ascii="Times New Roman" w:hAnsi="Times New Roman"/>
          <w:sz w:val="24"/>
          <w:szCs w:val="24"/>
        </w:rPr>
        <w:t>APS</w:t>
      </w:r>
      <w:r w:rsidR="00647553">
        <w:rPr>
          <w:rFonts w:ascii="Times New Roman" w:hAnsi="Times New Roman"/>
          <w:sz w:val="24"/>
          <w:szCs w:val="24"/>
        </w:rPr>
        <w:t> </w:t>
      </w:r>
      <w:r w:rsidRPr="00AB04FB">
        <w:rPr>
          <w:rFonts w:ascii="Times New Roman" w:hAnsi="Times New Roman"/>
          <w:sz w:val="24"/>
          <w:szCs w:val="24"/>
        </w:rPr>
        <w:t>222</w:t>
      </w:r>
      <w:r>
        <w:rPr>
          <w:rFonts w:ascii="Times New Roman" w:hAnsi="Times New Roman"/>
          <w:sz w:val="24"/>
          <w:szCs w:val="24"/>
        </w:rPr>
        <w:t xml:space="preserve"> while continuing to meet the objective</w:t>
      </w:r>
      <w:r w:rsidR="00CD4C92">
        <w:rPr>
          <w:rFonts w:ascii="Times New Roman" w:hAnsi="Times New Roman"/>
          <w:sz w:val="24"/>
          <w:szCs w:val="24"/>
        </w:rPr>
        <w:t xml:space="preserve"> of identifying, monitoring and controlling contagion risk</w:t>
      </w:r>
      <w:r>
        <w:rPr>
          <w:rFonts w:ascii="Times New Roman" w:hAnsi="Times New Roman"/>
          <w:sz w:val="24"/>
          <w:szCs w:val="24"/>
        </w:rPr>
        <w:t>s</w:t>
      </w:r>
      <w:r w:rsidRPr="00AB04FB">
        <w:rPr>
          <w:rFonts w:ascii="Times New Roman" w:hAnsi="Times New Roman"/>
          <w:sz w:val="24"/>
          <w:szCs w:val="24"/>
        </w:rPr>
        <w:t>.</w:t>
      </w:r>
      <w:r w:rsidRPr="00AB04FB">
        <w:rPr>
          <w:rStyle w:val="APRANORMALChar"/>
          <w:rFonts w:ascii="Times New Roman" w:hAnsi="Times New Roman"/>
          <w:sz w:val="24"/>
          <w:szCs w:val="24"/>
        </w:rPr>
        <w:t xml:space="preserve"> </w:t>
      </w:r>
      <w:r>
        <w:rPr>
          <w:rStyle w:val="APRANORMALChar"/>
          <w:rFonts w:ascii="Times New Roman" w:hAnsi="Times New Roman"/>
          <w:sz w:val="24"/>
          <w:szCs w:val="24"/>
        </w:rPr>
        <w:t xml:space="preserve">The key changes in </w:t>
      </w:r>
      <w:r w:rsidRPr="001239C7">
        <w:rPr>
          <w:rStyle w:val="APRANORMALChar"/>
          <w:rFonts w:ascii="Times New Roman" w:hAnsi="Times New Roman"/>
          <w:sz w:val="24"/>
          <w:szCs w:val="24"/>
        </w:rPr>
        <w:t>APS</w:t>
      </w:r>
      <w:r w:rsidR="00647553">
        <w:rPr>
          <w:rStyle w:val="APRANORMALChar"/>
          <w:rFonts w:ascii="Times New Roman" w:hAnsi="Times New Roman"/>
          <w:sz w:val="24"/>
          <w:szCs w:val="24"/>
        </w:rPr>
        <w:t> </w:t>
      </w:r>
      <w:r w:rsidRPr="001239C7">
        <w:rPr>
          <w:rStyle w:val="APRANORMALChar"/>
          <w:rFonts w:ascii="Times New Roman" w:hAnsi="Times New Roman"/>
          <w:sz w:val="24"/>
          <w:szCs w:val="24"/>
        </w:rPr>
        <w:t xml:space="preserve">222 </w:t>
      </w:r>
      <w:r>
        <w:rPr>
          <w:rStyle w:val="APRANORMALChar"/>
          <w:rFonts w:ascii="Times New Roman" w:hAnsi="Times New Roman"/>
          <w:sz w:val="24"/>
          <w:szCs w:val="24"/>
        </w:rPr>
        <w:t>needed to address the problems outlined above are:</w:t>
      </w:r>
    </w:p>
    <w:p w14:paraId="085E9FE8" w14:textId="7E7B04FA" w:rsidR="00142A28" w:rsidRPr="00142A28" w:rsidRDefault="003D2EB4" w:rsidP="00175AE8">
      <w:pPr>
        <w:pStyle w:val="APRANORMAL"/>
        <w:numPr>
          <w:ilvl w:val="0"/>
          <w:numId w:val="6"/>
        </w:numPr>
        <w:jc w:val="both"/>
        <w:rPr>
          <w:rFonts w:ascii="Times New Roman" w:hAnsi="Times New Roman"/>
          <w:sz w:val="24"/>
          <w:szCs w:val="24"/>
        </w:rPr>
      </w:pPr>
      <w:r>
        <w:rPr>
          <w:rFonts w:ascii="Times New Roman" w:hAnsi="Times New Roman"/>
          <w:sz w:val="24"/>
          <w:szCs w:val="24"/>
        </w:rPr>
        <w:t>a broadened</w:t>
      </w:r>
      <w:r w:rsidR="00142A28" w:rsidRPr="00142A28">
        <w:rPr>
          <w:rFonts w:ascii="Times New Roman" w:hAnsi="Times New Roman"/>
          <w:sz w:val="24"/>
          <w:szCs w:val="24"/>
        </w:rPr>
        <w:t xml:space="preserve"> definition of related entities</w:t>
      </w:r>
      <w:r w:rsidR="00AB04FB">
        <w:rPr>
          <w:rFonts w:ascii="Times New Roman" w:hAnsi="Times New Roman"/>
          <w:sz w:val="24"/>
          <w:szCs w:val="24"/>
        </w:rPr>
        <w:t>, including a principles-based definition,</w:t>
      </w:r>
      <w:r w:rsidR="00142A28" w:rsidRPr="00142A28">
        <w:rPr>
          <w:rFonts w:ascii="Times New Roman" w:hAnsi="Times New Roman"/>
          <w:sz w:val="24"/>
          <w:szCs w:val="24"/>
        </w:rPr>
        <w:t xml:space="preserve"> to capture all entities and individuals that may expose an ADI to conflicts of interest and contagion risk, such as substantial shareholders and individuals on the board of directors;</w:t>
      </w:r>
    </w:p>
    <w:p w14:paraId="312943AD" w14:textId="2941E786" w:rsidR="00142A28" w:rsidRPr="00142A28" w:rsidRDefault="001D6AA4" w:rsidP="00175AE8">
      <w:pPr>
        <w:pStyle w:val="APRANORMAL"/>
        <w:numPr>
          <w:ilvl w:val="0"/>
          <w:numId w:val="6"/>
        </w:numPr>
        <w:jc w:val="both"/>
        <w:rPr>
          <w:rFonts w:ascii="Times New Roman" w:hAnsi="Times New Roman"/>
          <w:sz w:val="24"/>
          <w:szCs w:val="24"/>
        </w:rPr>
      </w:pPr>
      <w:r>
        <w:rPr>
          <w:rFonts w:ascii="Times New Roman" w:hAnsi="Times New Roman"/>
          <w:sz w:val="24"/>
          <w:szCs w:val="24"/>
        </w:rPr>
        <w:t>revised</w:t>
      </w:r>
      <w:r w:rsidR="00142A28" w:rsidRPr="00142A28">
        <w:rPr>
          <w:rFonts w:ascii="Times New Roman" w:hAnsi="Times New Roman"/>
          <w:sz w:val="24"/>
          <w:szCs w:val="24"/>
        </w:rPr>
        <w:t xml:space="preserve"> limits on exposures to related entities;</w:t>
      </w:r>
    </w:p>
    <w:p w14:paraId="171606C3" w14:textId="5ACD6234" w:rsidR="00142A28" w:rsidRPr="00142A28" w:rsidRDefault="001D6AA4" w:rsidP="00175AE8">
      <w:pPr>
        <w:pStyle w:val="APRANORMAL"/>
        <w:numPr>
          <w:ilvl w:val="0"/>
          <w:numId w:val="6"/>
        </w:numPr>
        <w:jc w:val="both"/>
        <w:rPr>
          <w:rFonts w:ascii="Times New Roman" w:hAnsi="Times New Roman"/>
          <w:sz w:val="24"/>
          <w:szCs w:val="24"/>
        </w:rPr>
      </w:pPr>
      <w:r>
        <w:rPr>
          <w:rFonts w:ascii="Times New Roman" w:hAnsi="Times New Roman"/>
          <w:sz w:val="24"/>
          <w:szCs w:val="24"/>
        </w:rPr>
        <w:t>new and revised</w:t>
      </w:r>
      <w:r w:rsidR="00142A28" w:rsidRPr="00142A28">
        <w:rPr>
          <w:rFonts w:ascii="Times New Roman" w:hAnsi="Times New Roman"/>
          <w:sz w:val="24"/>
          <w:szCs w:val="24"/>
        </w:rPr>
        <w:t xml:space="preserve"> minimum requirements on contagion risk assessments;</w:t>
      </w:r>
    </w:p>
    <w:p w14:paraId="430E222F" w14:textId="0031DD6D" w:rsidR="00142A28" w:rsidRPr="00142A28" w:rsidRDefault="00142A28" w:rsidP="00175AE8">
      <w:pPr>
        <w:pStyle w:val="APRANORMAL"/>
        <w:numPr>
          <w:ilvl w:val="0"/>
          <w:numId w:val="6"/>
        </w:numPr>
        <w:jc w:val="both"/>
        <w:rPr>
          <w:rFonts w:ascii="Times New Roman" w:hAnsi="Times New Roman"/>
          <w:sz w:val="24"/>
          <w:szCs w:val="24"/>
        </w:rPr>
      </w:pPr>
      <w:r w:rsidRPr="00142A28">
        <w:rPr>
          <w:rFonts w:ascii="Times New Roman" w:hAnsi="Times New Roman"/>
          <w:sz w:val="24"/>
          <w:szCs w:val="24"/>
        </w:rPr>
        <w:t>stronger requirements to mitigate contagion flowing from one group entity to another, or to the ADI due to reputational reasons, particularly where these entities share common logos or brands with the ADI;</w:t>
      </w:r>
    </w:p>
    <w:p w14:paraId="10423986" w14:textId="4718601E" w:rsidR="00142A28" w:rsidRPr="00142A28" w:rsidRDefault="00DC2B23" w:rsidP="00175AE8">
      <w:pPr>
        <w:pStyle w:val="APRANORMAL"/>
        <w:numPr>
          <w:ilvl w:val="0"/>
          <w:numId w:val="6"/>
        </w:numPr>
        <w:jc w:val="both"/>
        <w:rPr>
          <w:rFonts w:ascii="Times New Roman" w:hAnsi="Times New Roman"/>
          <w:sz w:val="24"/>
          <w:szCs w:val="24"/>
        </w:rPr>
      </w:pPr>
      <w:r>
        <w:rPr>
          <w:rFonts w:ascii="Times New Roman" w:hAnsi="Times New Roman"/>
          <w:sz w:val="24"/>
          <w:szCs w:val="24"/>
        </w:rPr>
        <w:t xml:space="preserve">new </w:t>
      </w:r>
      <w:r w:rsidR="00142A28" w:rsidRPr="00142A28">
        <w:rPr>
          <w:rFonts w:ascii="Times New Roman" w:hAnsi="Times New Roman"/>
          <w:sz w:val="24"/>
          <w:szCs w:val="24"/>
        </w:rPr>
        <w:t xml:space="preserve">requirements for the measurement of exposures to related entities </w:t>
      </w:r>
      <w:r w:rsidR="00197CF9">
        <w:rPr>
          <w:rFonts w:ascii="Times New Roman" w:hAnsi="Times New Roman"/>
          <w:sz w:val="24"/>
          <w:szCs w:val="24"/>
        </w:rPr>
        <w:t>which</w:t>
      </w:r>
      <w:r>
        <w:rPr>
          <w:rFonts w:ascii="Times New Roman" w:hAnsi="Times New Roman"/>
          <w:sz w:val="24"/>
          <w:szCs w:val="24"/>
        </w:rPr>
        <w:t xml:space="preserve"> align </w:t>
      </w:r>
      <w:r w:rsidR="00142A28" w:rsidRPr="00142A28">
        <w:rPr>
          <w:rFonts w:ascii="Times New Roman" w:hAnsi="Times New Roman"/>
          <w:sz w:val="24"/>
          <w:szCs w:val="24"/>
        </w:rPr>
        <w:t xml:space="preserve">with </w:t>
      </w:r>
      <w:r w:rsidR="00197CF9">
        <w:rPr>
          <w:rFonts w:ascii="Times New Roman" w:hAnsi="Times New Roman"/>
          <w:sz w:val="24"/>
          <w:szCs w:val="24"/>
        </w:rPr>
        <w:t>the measurement of</w:t>
      </w:r>
      <w:r w:rsidR="00142A28" w:rsidRPr="00142A28">
        <w:rPr>
          <w:rFonts w:ascii="Times New Roman" w:hAnsi="Times New Roman"/>
          <w:sz w:val="24"/>
          <w:szCs w:val="24"/>
        </w:rPr>
        <w:t xml:space="preserve"> exposures to unrelated entities;</w:t>
      </w:r>
    </w:p>
    <w:p w14:paraId="105E5D2F" w14:textId="5A090DF8" w:rsidR="00633F80" w:rsidRPr="002D6985" w:rsidRDefault="00633F80" w:rsidP="00175AE8">
      <w:pPr>
        <w:pStyle w:val="APRANORMAL"/>
        <w:numPr>
          <w:ilvl w:val="0"/>
          <w:numId w:val="6"/>
        </w:numPr>
        <w:jc w:val="both"/>
        <w:rPr>
          <w:rFonts w:ascii="Times New Roman" w:hAnsi="Times New Roman"/>
          <w:sz w:val="24"/>
          <w:szCs w:val="24"/>
        </w:rPr>
      </w:pPr>
      <w:r>
        <w:rPr>
          <w:rFonts w:ascii="Times New Roman" w:hAnsi="Times New Roman"/>
          <w:sz w:val="24"/>
          <w:szCs w:val="24"/>
        </w:rPr>
        <w:t xml:space="preserve">new requirements relating to dealings with </w:t>
      </w:r>
      <w:r w:rsidR="002B1690">
        <w:rPr>
          <w:rFonts w:ascii="Times New Roman" w:hAnsi="Times New Roman"/>
          <w:sz w:val="24"/>
          <w:szCs w:val="24"/>
        </w:rPr>
        <w:t>step-in risk entities</w:t>
      </w:r>
      <w:r w:rsidRPr="002D6985">
        <w:rPr>
          <w:rFonts w:ascii="Times New Roman" w:hAnsi="Times New Roman"/>
          <w:sz w:val="24"/>
          <w:szCs w:val="24"/>
        </w:rPr>
        <w:t xml:space="preserve">, </w:t>
      </w:r>
      <w:r w:rsidR="00300AE5" w:rsidRPr="002D6985">
        <w:rPr>
          <w:rFonts w:ascii="Times New Roman" w:hAnsi="Times New Roman"/>
          <w:sz w:val="24"/>
          <w:szCs w:val="24"/>
        </w:rPr>
        <w:t>including</w:t>
      </w:r>
      <w:r w:rsidRPr="002D6985">
        <w:rPr>
          <w:rFonts w:ascii="Times New Roman" w:hAnsi="Times New Roman"/>
          <w:sz w:val="24"/>
          <w:szCs w:val="24"/>
        </w:rPr>
        <w:t xml:space="preserve"> maintaining risk appetite statements and adequate systems and controls for exposures arising from such entities; </w:t>
      </w:r>
    </w:p>
    <w:p w14:paraId="372A7C5A" w14:textId="77777777" w:rsidR="00633F80" w:rsidRDefault="00633F80" w:rsidP="00175AE8">
      <w:pPr>
        <w:pStyle w:val="APRANORMAL"/>
        <w:numPr>
          <w:ilvl w:val="0"/>
          <w:numId w:val="6"/>
        </w:numPr>
        <w:jc w:val="both"/>
        <w:rPr>
          <w:rFonts w:ascii="Times New Roman" w:hAnsi="Times New Roman"/>
          <w:sz w:val="24"/>
          <w:szCs w:val="24"/>
        </w:rPr>
      </w:pPr>
      <w:r w:rsidRPr="00142A28">
        <w:rPr>
          <w:rFonts w:ascii="Times New Roman" w:hAnsi="Times New Roman"/>
          <w:sz w:val="24"/>
          <w:szCs w:val="24"/>
        </w:rPr>
        <w:t>updat</w:t>
      </w:r>
      <w:r>
        <w:rPr>
          <w:rFonts w:ascii="Times New Roman" w:hAnsi="Times New Roman"/>
          <w:sz w:val="24"/>
          <w:szCs w:val="24"/>
        </w:rPr>
        <w:t>ed and new</w:t>
      </w:r>
      <w:r w:rsidRPr="00142A28">
        <w:rPr>
          <w:rFonts w:ascii="Times New Roman" w:hAnsi="Times New Roman"/>
          <w:sz w:val="24"/>
          <w:szCs w:val="24"/>
        </w:rPr>
        <w:t xml:space="preserve"> requirements relating to an ADI’s associations with a funds management vehicle that is a related entity of the ADI; </w:t>
      </w:r>
      <w:r>
        <w:rPr>
          <w:rFonts w:ascii="Times New Roman" w:hAnsi="Times New Roman"/>
          <w:sz w:val="24"/>
          <w:szCs w:val="24"/>
        </w:rPr>
        <w:t>and</w:t>
      </w:r>
    </w:p>
    <w:p w14:paraId="0112EC7A" w14:textId="4B58AE03" w:rsidR="00142A28" w:rsidRPr="00633F80" w:rsidRDefault="00E2744F" w:rsidP="00175AE8">
      <w:pPr>
        <w:pStyle w:val="APRANORMAL"/>
        <w:numPr>
          <w:ilvl w:val="0"/>
          <w:numId w:val="6"/>
        </w:numPr>
        <w:jc w:val="both"/>
        <w:rPr>
          <w:rFonts w:ascii="Times New Roman" w:hAnsi="Times New Roman"/>
          <w:sz w:val="24"/>
          <w:szCs w:val="24"/>
        </w:rPr>
      </w:pPr>
      <w:r>
        <w:rPr>
          <w:rFonts w:ascii="Times New Roman" w:hAnsi="Times New Roman"/>
          <w:sz w:val="24"/>
          <w:szCs w:val="24"/>
        </w:rPr>
        <w:t>amended requirements to address</w:t>
      </w:r>
      <w:r w:rsidR="00142A28" w:rsidRPr="00142A28">
        <w:rPr>
          <w:rFonts w:ascii="Times New Roman" w:hAnsi="Times New Roman"/>
          <w:sz w:val="24"/>
          <w:szCs w:val="24"/>
        </w:rPr>
        <w:t xml:space="preserve"> risks arising from subsidiaries, which hold or invest in assets, that are treated as part of an ADI’s extended licensed entity (ELE)</w:t>
      </w:r>
      <w:r>
        <w:rPr>
          <w:rFonts w:ascii="Times New Roman" w:hAnsi="Times New Roman"/>
          <w:sz w:val="24"/>
          <w:szCs w:val="24"/>
        </w:rPr>
        <w:t xml:space="preserve"> i.e. consolidated with the ADI for prudential purposes</w:t>
      </w:r>
      <w:r w:rsidR="001D056B">
        <w:rPr>
          <w:rFonts w:ascii="Times New Roman" w:hAnsi="Times New Roman"/>
          <w:sz w:val="24"/>
          <w:szCs w:val="24"/>
        </w:rPr>
        <w:t>.</w:t>
      </w:r>
    </w:p>
    <w:p w14:paraId="628AD947" w14:textId="0B2E1D3C" w:rsidR="00CE1BB4" w:rsidRDefault="00B54B6F" w:rsidP="007923BF">
      <w:pPr>
        <w:pStyle w:val="Heading"/>
        <w:spacing w:after="240"/>
        <w:rPr>
          <w:rFonts w:ascii="Times New Roman" w:hAnsi="Times New Roman"/>
          <w:b w:val="0"/>
          <w:sz w:val="24"/>
          <w:szCs w:val="24"/>
        </w:rPr>
      </w:pPr>
      <w:r>
        <w:rPr>
          <w:rFonts w:ascii="Times New Roman" w:hAnsi="Times New Roman"/>
          <w:b w:val="0"/>
          <w:sz w:val="24"/>
          <w:szCs w:val="24"/>
        </w:rPr>
        <w:t>Where APS</w:t>
      </w:r>
      <w:r w:rsidR="00647553">
        <w:rPr>
          <w:rFonts w:ascii="Times New Roman" w:hAnsi="Times New Roman"/>
          <w:b w:val="0"/>
          <w:sz w:val="24"/>
          <w:szCs w:val="24"/>
        </w:rPr>
        <w:t> </w:t>
      </w:r>
      <w:r>
        <w:rPr>
          <w:rFonts w:ascii="Times New Roman" w:hAnsi="Times New Roman"/>
          <w:b w:val="0"/>
          <w:sz w:val="24"/>
          <w:szCs w:val="24"/>
        </w:rPr>
        <w:t>222</w:t>
      </w:r>
      <w:r w:rsidR="00195547" w:rsidRPr="00195547">
        <w:rPr>
          <w:rFonts w:ascii="Times New Roman" w:hAnsi="Times New Roman"/>
          <w:b w:val="0"/>
          <w:sz w:val="24"/>
          <w:szCs w:val="24"/>
        </w:rPr>
        <w:t xml:space="preserve"> refers to an Act, Regulation or prudential standard, this is a reference to the document as it exists from time to time</w:t>
      </w:r>
      <w:r w:rsidR="00C97AB3">
        <w:rPr>
          <w:rFonts w:ascii="Times New Roman" w:hAnsi="Times New Roman"/>
          <w:b w:val="0"/>
          <w:sz w:val="24"/>
          <w:szCs w:val="24"/>
        </w:rPr>
        <w:t>,</w:t>
      </w:r>
      <w:r w:rsidR="00C97AB3" w:rsidRPr="00C97AB3">
        <w:rPr>
          <w:b w:val="0"/>
          <w:sz w:val="22"/>
          <w:szCs w:val="20"/>
        </w:rPr>
        <w:t xml:space="preserve"> </w:t>
      </w:r>
      <w:r w:rsidR="00C97AB3" w:rsidRPr="00C97AB3">
        <w:rPr>
          <w:rFonts w:ascii="Times New Roman" w:hAnsi="Times New Roman"/>
          <w:b w:val="0"/>
          <w:sz w:val="24"/>
          <w:szCs w:val="24"/>
        </w:rPr>
        <w:t xml:space="preserve">and </w:t>
      </w:r>
      <w:r w:rsidR="00223ADB">
        <w:rPr>
          <w:rFonts w:ascii="Times New Roman" w:hAnsi="Times New Roman"/>
          <w:b w:val="0"/>
          <w:sz w:val="24"/>
          <w:szCs w:val="24"/>
        </w:rPr>
        <w:t>which is</w:t>
      </w:r>
      <w:r w:rsidR="00C97AB3" w:rsidRPr="00C97AB3">
        <w:rPr>
          <w:rFonts w:ascii="Times New Roman" w:hAnsi="Times New Roman"/>
          <w:b w:val="0"/>
          <w:sz w:val="24"/>
          <w:szCs w:val="24"/>
        </w:rPr>
        <w:t xml:space="preserve"> available on the Federal Register of Legislation at </w:t>
      </w:r>
      <w:hyperlink r:id="rId13" w:history="1">
        <w:r w:rsidR="00C97AB3" w:rsidRPr="00C97AB3">
          <w:rPr>
            <w:rStyle w:val="Hyperlink"/>
            <w:rFonts w:ascii="Times New Roman" w:hAnsi="Times New Roman"/>
            <w:b w:val="0"/>
            <w:sz w:val="24"/>
            <w:szCs w:val="24"/>
          </w:rPr>
          <w:t>www.legislation.gov.au</w:t>
        </w:r>
      </w:hyperlink>
      <w:r w:rsidR="001D056B">
        <w:rPr>
          <w:rFonts w:ascii="Times New Roman" w:hAnsi="Times New Roman"/>
          <w:b w:val="0"/>
          <w:sz w:val="24"/>
          <w:szCs w:val="24"/>
        </w:rPr>
        <w:t>.</w:t>
      </w:r>
      <w:r w:rsidR="0019602E">
        <w:rPr>
          <w:rFonts w:ascii="Times New Roman" w:hAnsi="Times New Roman"/>
          <w:b w:val="0"/>
          <w:sz w:val="24"/>
          <w:szCs w:val="24"/>
        </w:rPr>
        <w:t xml:space="preserve"> </w:t>
      </w:r>
    </w:p>
    <w:p w14:paraId="5BBA73B2" w14:textId="2334FA91" w:rsidR="009B7CE6" w:rsidRDefault="00EE384B" w:rsidP="007923BF">
      <w:pPr>
        <w:pStyle w:val="Heading"/>
        <w:spacing w:after="240"/>
        <w:rPr>
          <w:rFonts w:ascii="Times New Roman" w:hAnsi="Times New Roman"/>
          <w:b w:val="0"/>
          <w:sz w:val="24"/>
          <w:szCs w:val="24"/>
        </w:rPr>
      </w:pPr>
      <w:r>
        <w:rPr>
          <w:rFonts w:ascii="Times New Roman" w:hAnsi="Times New Roman"/>
          <w:b w:val="0"/>
          <w:sz w:val="24"/>
          <w:szCs w:val="24"/>
        </w:rPr>
        <w:t>APS</w:t>
      </w:r>
      <w:r w:rsidR="00647553">
        <w:rPr>
          <w:rFonts w:ascii="Times New Roman" w:hAnsi="Times New Roman"/>
          <w:b w:val="0"/>
          <w:sz w:val="24"/>
          <w:szCs w:val="24"/>
        </w:rPr>
        <w:t> </w:t>
      </w:r>
      <w:r>
        <w:rPr>
          <w:rFonts w:ascii="Times New Roman" w:hAnsi="Times New Roman"/>
          <w:b w:val="0"/>
          <w:sz w:val="24"/>
          <w:szCs w:val="24"/>
        </w:rPr>
        <w:t>222 provide</w:t>
      </w:r>
      <w:r w:rsidR="002D3249">
        <w:rPr>
          <w:rFonts w:ascii="Times New Roman" w:hAnsi="Times New Roman"/>
          <w:b w:val="0"/>
          <w:sz w:val="24"/>
          <w:szCs w:val="24"/>
        </w:rPr>
        <w:t>s</w:t>
      </w:r>
      <w:r w:rsidR="009B7CE6">
        <w:rPr>
          <w:rFonts w:ascii="Times New Roman" w:hAnsi="Times New Roman"/>
          <w:b w:val="0"/>
          <w:sz w:val="24"/>
          <w:szCs w:val="24"/>
        </w:rPr>
        <w:t xml:space="preserve"> for APRA to exercise various discretions. Decisions made by APRA exercising those discretions </w:t>
      </w:r>
      <w:r>
        <w:rPr>
          <w:rFonts w:ascii="Times New Roman" w:hAnsi="Times New Roman"/>
          <w:b w:val="0"/>
          <w:sz w:val="24"/>
          <w:szCs w:val="24"/>
        </w:rPr>
        <w:t xml:space="preserve">are </w:t>
      </w:r>
      <w:r w:rsidR="009B7CE6">
        <w:rPr>
          <w:rFonts w:ascii="Times New Roman" w:hAnsi="Times New Roman"/>
          <w:b w:val="0"/>
          <w:sz w:val="24"/>
          <w:szCs w:val="24"/>
        </w:rPr>
        <w:t>not subject to merits review. This is because these decisions are preliminary decisions that may facilitate or lead to substantive decisions which are subject to merits review.</w:t>
      </w:r>
    </w:p>
    <w:p w14:paraId="541BAF6C" w14:textId="6CF7E7F4" w:rsidR="009B7CE6" w:rsidRDefault="009B7CE6" w:rsidP="00647553">
      <w:pPr>
        <w:pStyle w:val="Heading"/>
        <w:spacing w:after="240"/>
        <w:rPr>
          <w:rFonts w:ascii="Times New Roman" w:hAnsi="Times New Roman"/>
          <w:b w:val="0"/>
          <w:sz w:val="24"/>
          <w:szCs w:val="24"/>
        </w:rPr>
      </w:pPr>
      <w:r>
        <w:rPr>
          <w:rFonts w:ascii="Times New Roman" w:hAnsi="Times New Roman"/>
          <w:b w:val="0"/>
          <w:sz w:val="24"/>
          <w:szCs w:val="24"/>
        </w:rPr>
        <w:lastRenderedPageBreak/>
        <w:t xml:space="preserve">A breach of </w:t>
      </w:r>
      <w:r w:rsidR="00DD2B65">
        <w:rPr>
          <w:rFonts w:ascii="Times New Roman" w:hAnsi="Times New Roman"/>
          <w:b w:val="0"/>
          <w:sz w:val="24"/>
          <w:szCs w:val="24"/>
        </w:rPr>
        <w:t xml:space="preserve">a prudential standard </w:t>
      </w:r>
      <w:r>
        <w:rPr>
          <w:rFonts w:ascii="Times New Roman" w:hAnsi="Times New Roman"/>
          <w:b w:val="0"/>
          <w:sz w:val="24"/>
          <w:szCs w:val="24"/>
        </w:rPr>
        <w:t xml:space="preserve">is a breach of the </w:t>
      </w:r>
      <w:r w:rsidR="00DD2B65">
        <w:rPr>
          <w:rFonts w:ascii="Times New Roman" w:hAnsi="Times New Roman"/>
          <w:b w:val="0"/>
          <w:sz w:val="24"/>
          <w:szCs w:val="24"/>
        </w:rPr>
        <w:t>Act</w:t>
      </w:r>
      <w:r>
        <w:rPr>
          <w:rFonts w:ascii="Times New Roman" w:hAnsi="Times New Roman"/>
          <w:b w:val="0"/>
          <w:sz w:val="24"/>
          <w:szCs w:val="24"/>
        </w:rPr>
        <w:t xml:space="preserve">, as </w:t>
      </w:r>
      <w:r w:rsidR="00770974">
        <w:rPr>
          <w:rFonts w:ascii="Times New Roman" w:hAnsi="Times New Roman"/>
          <w:b w:val="0"/>
          <w:sz w:val="24"/>
          <w:szCs w:val="24"/>
        </w:rPr>
        <w:t xml:space="preserve">section 11AG of </w:t>
      </w:r>
      <w:r>
        <w:rPr>
          <w:rFonts w:ascii="Times New Roman" w:hAnsi="Times New Roman"/>
          <w:b w:val="0"/>
          <w:sz w:val="24"/>
          <w:szCs w:val="24"/>
        </w:rPr>
        <w:t>the Act provides that ADIs must comply with applicable prudential standards. However, there are no penalties prescribed for breach of a prudential standard. Instead</w:t>
      </w:r>
      <w:r w:rsidR="000542A2">
        <w:rPr>
          <w:rFonts w:ascii="Times New Roman" w:hAnsi="Times New Roman"/>
          <w:b w:val="0"/>
          <w:sz w:val="24"/>
          <w:szCs w:val="24"/>
        </w:rPr>
        <w:t>,</w:t>
      </w:r>
      <w:r>
        <w:rPr>
          <w:rFonts w:ascii="Times New Roman" w:hAnsi="Times New Roman"/>
          <w:b w:val="0"/>
          <w:sz w:val="24"/>
          <w:szCs w:val="24"/>
        </w:rPr>
        <w:t xml:space="preserve"> an ADI’s breach of </w:t>
      </w:r>
      <w:r w:rsidR="00EE384B">
        <w:rPr>
          <w:rFonts w:ascii="Times New Roman" w:hAnsi="Times New Roman"/>
          <w:b w:val="0"/>
          <w:sz w:val="24"/>
          <w:szCs w:val="24"/>
        </w:rPr>
        <w:t xml:space="preserve">a provision in </w:t>
      </w:r>
      <w:r>
        <w:rPr>
          <w:rFonts w:ascii="Times New Roman" w:hAnsi="Times New Roman"/>
          <w:b w:val="0"/>
          <w:sz w:val="24"/>
          <w:szCs w:val="24"/>
        </w:rPr>
        <w:t>the Act is grounds for APRA to make further, substantive decisions under t</w:t>
      </w:r>
      <w:r w:rsidR="00F97432">
        <w:rPr>
          <w:rFonts w:ascii="Times New Roman" w:hAnsi="Times New Roman"/>
          <w:b w:val="0"/>
          <w:sz w:val="24"/>
          <w:szCs w:val="24"/>
        </w:rPr>
        <w:t>he Act in relation to the ADI. T</w:t>
      </w:r>
      <w:r>
        <w:rPr>
          <w:rFonts w:ascii="Times New Roman" w:hAnsi="Times New Roman"/>
          <w:b w:val="0"/>
          <w:sz w:val="24"/>
          <w:szCs w:val="24"/>
        </w:rPr>
        <w:t xml:space="preserve">hose decisions are: </w:t>
      </w:r>
    </w:p>
    <w:p w14:paraId="7F2D6C8F" w14:textId="17F7A5F3" w:rsidR="009B7CE6" w:rsidRDefault="00F97432" w:rsidP="00647553">
      <w:pPr>
        <w:pStyle w:val="Heading"/>
        <w:numPr>
          <w:ilvl w:val="0"/>
          <w:numId w:val="10"/>
        </w:numPr>
        <w:spacing w:after="240"/>
        <w:rPr>
          <w:rFonts w:ascii="Times New Roman" w:hAnsi="Times New Roman"/>
          <w:b w:val="0"/>
          <w:sz w:val="24"/>
          <w:szCs w:val="24"/>
        </w:rPr>
      </w:pPr>
      <w:r>
        <w:rPr>
          <w:rFonts w:ascii="Times New Roman" w:hAnsi="Times New Roman"/>
          <w:b w:val="0"/>
          <w:sz w:val="24"/>
          <w:szCs w:val="24"/>
        </w:rPr>
        <w:t>to revoke an author</w:t>
      </w:r>
      <w:r w:rsidR="00DD2B65">
        <w:rPr>
          <w:rFonts w:ascii="Times New Roman" w:hAnsi="Times New Roman"/>
          <w:b w:val="0"/>
          <w:sz w:val="24"/>
          <w:szCs w:val="24"/>
        </w:rPr>
        <w:t>ity to carry on banking business (</w:t>
      </w:r>
      <w:r w:rsidR="00E97A47">
        <w:rPr>
          <w:rFonts w:ascii="Times New Roman" w:hAnsi="Times New Roman"/>
          <w:b w:val="0"/>
          <w:sz w:val="24"/>
          <w:szCs w:val="24"/>
        </w:rPr>
        <w:t>section 9A of the Act</w:t>
      </w:r>
      <w:r w:rsidR="00DD2B65">
        <w:rPr>
          <w:rFonts w:ascii="Times New Roman" w:hAnsi="Times New Roman"/>
          <w:b w:val="0"/>
          <w:sz w:val="24"/>
          <w:szCs w:val="24"/>
        </w:rPr>
        <w:t>)</w:t>
      </w:r>
      <w:r>
        <w:rPr>
          <w:rFonts w:ascii="Times New Roman" w:hAnsi="Times New Roman"/>
          <w:b w:val="0"/>
          <w:sz w:val="24"/>
          <w:szCs w:val="24"/>
        </w:rPr>
        <w:t>; and</w:t>
      </w:r>
    </w:p>
    <w:p w14:paraId="31818F75" w14:textId="35646337" w:rsidR="00F97432" w:rsidRDefault="00F97432" w:rsidP="001E4AB6">
      <w:pPr>
        <w:pStyle w:val="Heading"/>
        <w:numPr>
          <w:ilvl w:val="0"/>
          <w:numId w:val="10"/>
        </w:numPr>
        <w:spacing w:after="240"/>
        <w:rPr>
          <w:rFonts w:ascii="Times New Roman" w:hAnsi="Times New Roman"/>
          <w:b w:val="0"/>
          <w:sz w:val="24"/>
          <w:szCs w:val="24"/>
        </w:rPr>
      </w:pPr>
      <w:r>
        <w:rPr>
          <w:rFonts w:ascii="Times New Roman" w:hAnsi="Times New Roman"/>
          <w:b w:val="0"/>
          <w:sz w:val="24"/>
          <w:szCs w:val="24"/>
        </w:rPr>
        <w:t>to issue a direction to the ADI, including a direction to comply with the whole or part of a prudential standard</w:t>
      </w:r>
      <w:r w:rsidR="00DD2B65">
        <w:rPr>
          <w:rFonts w:ascii="Times New Roman" w:hAnsi="Times New Roman"/>
          <w:b w:val="0"/>
          <w:sz w:val="24"/>
          <w:szCs w:val="24"/>
        </w:rPr>
        <w:t xml:space="preserve"> (</w:t>
      </w:r>
      <w:r w:rsidR="00E97A47">
        <w:rPr>
          <w:rFonts w:ascii="Times New Roman" w:hAnsi="Times New Roman"/>
          <w:b w:val="0"/>
          <w:sz w:val="24"/>
          <w:szCs w:val="24"/>
        </w:rPr>
        <w:t>section 11CA of the Act</w:t>
      </w:r>
      <w:r w:rsidR="00DD2B65">
        <w:rPr>
          <w:rFonts w:ascii="Times New Roman" w:hAnsi="Times New Roman"/>
          <w:b w:val="0"/>
          <w:sz w:val="24"/>
          <w:szCs w:val="24"/>
        </w:rPr>
        <w:t>)</w:t>
      </w:r>
      <w:r w:rsidR="00770974">
        <w:rPr>
          <w:rFonts w:ascii="Times New Roman" w:hAnsi="Times New Roman"/>
          <w:b w:val="0"/>
          <w:sz w:val="24"/>
          <w:szCs w:val="24"/>
        </w:rPr>
        <w:t>.</w:t>
      </w:r>
    </w:p>
    <w:p w14:paraId="37A6B4E7" w14:textId="727FD2F7" w:rsidR="009B7CE6" w:rsidRDefault="00770974" w:rsidP="007923BF">
      <w:pPr>
        <w:pStyle w:val="Heading"/>
        <w:spacing w:after="240"/>
        <w:rPr>
          <w:rFonts w:ascii="Times New Roman" w:hAnsi="Times New Roman"/>
          <w:b w:val="0"/>
          <w:sz w:val="24"/>
          <w:szCs w:val="24"/>
        </w:rPr>
      </w:pPr>
      <w:r>
        <w:rPr>
          <w:rFonts w:ascii="Times New Roman" w:hAnsi="Times New Roman"/>
          <w:b w:val="0"/>
          <w:sz w:val="24"/>
          <w:szCs w:val="24"/>
        </w:rPr>
        <w:t>It is only at this stage that an ADI is exposed to a penalty</w:t>
      </w:r>
      <w:r w:rsidR="00DD2B65">
        <w:rPr>
          <w:rFonts w:ascii="Times New Roman" w:hAnsi="Times New Roman"/>
          <w:b w:val="0"/>
          <w:sz w:val="24"/>
          <w:szCs w:val="24"/>
        </w:rPr>
        <w:t>:</w:t>
      </w:r>
      <w:r>
        <w:rPr>
          <w:rFonts w:ascii="Times New Roman" w:hAnsi="Times New Roman"/>
          <w:b w:val="0"/>
          <w:sz w:val="24"/>
          <w:szCs w:val="24"/>
        </w:rPr>
        <w:t xml:space="preserve"> </w:t>
      </w:r>
      <w:r w:rsidR="00DD2B65">
        <w:rPr>
          <w:rFonts w:ascii="Times New Roman" w:hAnsi="Times New Roman"/>
          <w:b w:val="0"/>
          <w:sz w:val="24"/>
          <w:szCs w:val="24"/>
        </w:rPr>
        <w:t xml:space="preserve">loss of its authority under section 9A or 50 penalty units </w:t>
      </w:r>
      <w:r>
        <w:rPr>
          <w:rFonts w:ascii="Times New Roman" w:hAnsi="Times New Roman"/>
          <w:b w:val="0"/>
          <w:sz w:val="24"/>
          <w:szCs w:val="24"/>
        </w:rPr>
        <w:t>if it breaches the direction</w:t>
      </w:r>
      <w:r w:rsidR="00DD2B65">
        <w:rPr>
          <w:rFonts w:ascii="Times New Roman" w:hAnsi="Times New Roman"/>
          <w:b w:val="0"/>
          <w:sz w:val="24"/>
          <w:szCs w:val="24"/>
        </w:rPr>
        <w:t xml:space="preserve"> (section 11CG of the Act)</w:t>
      </w:r>
      <w:r>
        <w:rPr>
          <w:rFonts w:ascii="Times New Roman" w:hAnsi="Times New Roman"/>
          <w:b w:val="0"/>
          <w:sz w:val="24"/>
          <w:szCs w:val="24"/>
        </w:rPr>
        <w:t xml:space="preserve">. </w:t>
      </w:r>
      <w:r w:rsidR="00EE384B">
        <w:rPr>
          <w:rFonts w:ascii="Times New Roman" w:hAnsi="Times New Roman"/>
          <w:b w:val="0"/>
          <w:sz w:val="24"/>
          <w:szCs w:val="24"/>
        </w:rPr>
        <w:t>The</w:t>
      </w:r>
      <w:r>
        <w:rPr>
          <w:rFonts w:ascii="Times New Roman" w:hAnsi="Times New Roman"/>
          <w:b w:val="0"/>
          <w:sz w:val="24"/>
          <w:szCs w:val="24"/>
        </w:rPr>
        <w:t xml:space="preserve"> subsequent substantive decisions by APRA to impose a direction or </w:t>
      </w:r>
      <w:r w:rsidR="00EE384B">
        <w:rPr>
          <w:rFonts w:ascii="Times New Roman" w:hAnsi="Times New Roman"/>
          <w:b w:val="0"/>
          <w:sz w:val="24"/>
          <w:szCs w:val="24"/>
        </w:rPr>
        <w:t xml:space="preserve">revoke an authority </w:t>
      </w:r>
      <w:r>
        <w:rPr>
          <w:rFonts w:ascii="Times New Roman" w:hAnsi="Times New Roman"/>
          <w:b w:val="0"/>
          <w:sz w:val="24"/>
          <w:szCs w:val="24"/>
        </w:rPr>
        <w:t xml:space="preserve">are subject to merits review. In </w:t>
      </w:r>
      <w:r w:rsidR="00DD2B65">
        <w:rPr>
          <w:rFonts w:ascii="Times New Roman" w:hAnsi="Times New Roman"/>
          <w:b w:val="0"/>
          <w:sz w:val="24"/>
          <w:szCs w:val="24"/>
        </w:rPr>
        <w:t xml:space="preserve">nearly </w:t>
      </w:r>
      <w:r>
        <w:rPr>
          <w:rFonts w:ascii="Times New Roman" w:hAnsi="Times New Roman"/>
          <w:b w:val="0"/>
          <w:sz w:val="24"/>
          <w:szCs w:val="24"/>
        </w:rPr>
        <w:t>all cases</w:t>
      </w:r>
      <w:r w:rsidR="00DD2B65">
        <w:rPr>
          <w:rStyle w:val="FootnoteReference"/>
          <w:rFonts w:ascii="Times New Roman" w:hAnsi="Times New Roman"/>
          <w:b w:val="0"/>
          <w:sz w:val="24"/>
          <w:szCs w:val="24"/>
        </w:rPr>
        <w:footnoteReference w:id="2"/>
      </w:r>
      <w:r>
        <w:rPr>
          <w:rFonts w:ascii="Times New Roman" w:hAnsi="Times New Roman"/>
          <w:b w:val="0"/>
          <w:sz w:val="24"/>
          <w:szCs w:val="24"/>
        </w:rPr>
        <w:t xml:space="preserve"> the decision is preceded by a full consultation with the ADI to raise any concerns it may have in relation to the decision.</w:t>
      </w: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6" w:name="bkoperation"/>
      <w:bookmarkStart w:id="7" w:name="bkConsultationNo"/>
      <w:bookmarkEnd w:id="6"/>
      <w:bookmarkEnd w:id="7"/>
      <w:r w:rsidRPr="002C6D26">
        <w:rPr>
          <w:rFonts w:ascii="Times New Roman" w:hAnsi="Times New Roman"/>
          <w:sz w:val="24"/>
          <w:szCs w:val="24"/>
        </w:rPr>
        <w:t>Consultation</w:t>
      </w:r>
    </w:p>
    <w:p w14:paraId="2CA6E9A9" w14:textId="2C1EAA5B" w:rsidR="00467C46" w:rsidRPr="007E4F25" w:rsidRDefault="00224130" w:rsidP="00467C46">
      <w:pPr>
        <w:spacing w:after="240"/>
        <w:jc w:val="both"/>
        <w:rPr>
          <w:rFonts w:ascii="Times New Roman" w:hAnsi="Times New Roman"/>
          <w:sz w:val="24"/>
          <w:szCs w:val="24"/>
          <w:lang w:val="en-GB"/>
        </w:rPr>
      </w:pPr>
      <w:r>
        <w:rPr>
          <w:rFonts w:ascii="Times New Roman" w:hAnsi="Times New Roman"/>
          <w:sz w:val="24"/>
          <w:szCs w:val="24"/>
        </w:rPr>
        <w:t xml:space="preserve">APRA has consulted extensively on </w:t>
      </w:r>
      <w:r w:rsidR="004F7216">
        <w:rPr>
          <w:rFonts w:ascii="Times New Roman" w:hAnsi="Times New Roman"/>
          <w:sz w:val="24"/>
          <w:szCs w:val="24"/>
        </w:rPr>
        <w:t xml:space="preserve">proposed changes to requirements on an ADI’s associations with its related entities. </w:t>
      </w:r>
      <w:r>
        <w:rPr>
          <w:rFonts w:ascii="Times New Roman" w:hAnsi="Times New Roman"/>
          <w:sz w:val="24"/>
          <w:szCs w:val="24"/>
        </w:rPr>
        <w:t xml:space="preserve">APRA undertook a public consultation from </w:t>
      </w:r>
      <w:r w:rsidR="00B272AC">
        <w:rPr>
          <w:rFonts w:ascii="Times New Roman" w:hAnsi="Times New Roman"/>
          <w:sz w:val="24"/>
          <w:szCs w:val="24"/>
        </w:rPr>
        <w:t>July</w:t>
      </w:r>
      <w:r>
        <w:rPr>
          <w:rFonts w:ascii="Times New Roman" w:hAnsi="Times New Roman"/>
          <w:sz w:val="24"/>
          <w:szCs w:val="24"/>
        </w:rPr>
        <w:t xml:space="preserve"> to </w:t>
      </w:r>
      <w:r w:rsidR="00B272AC">
        <w:rPr>
          <w:rFonts w:ascii="Times New Roman" w:hAnsi="Times New Roman"/>
          <w:sz w:val="24"/>
          <w:szCs w:val="24"/>
        </w:rPr>
        <w:t>September</w:t>
      </w:r>
      <w:r>
        <w:rPr>
          <w:rFonts w:ascii="Times New Roman" w:hAnsi="Times New Roman"/>
          <w:sz w:val="24"/>
          <w:szCs w:val="24"/>
        </w:rPr>
        <w:t xml:space="preserve"> 2018, </w:t>
      </w:r>
      <w:r w:rsidR="00D45979">
        <w:rPr>
          <w:rFonts w:ascii="Times New Roman" w:hAnsi="Times New Roman"/>
          <w:sz w:val="24"/>
          <w:szCs w:val="24"/>
        </w:rPr>
        <w:t>and has</w:t>
      </w:r>
      <w:r>
        <w:rPr>
          <w:rFonts w:ascii="Times New Roman" w:hAnsi="Times New Roman"/>
          <w:sz w:val="24"/>
          <w:szCs w:val="24"/>
        </w:rPr>
        <w:t xml:space="preserve"> met </w:t>
      </w:r>
      <w:r w:rsidR="002D6985">
        <w:rPr>
          <w:rFonts w:ascii="Times New Roman" w:hAnsi="Times New Roman"/>
          <w:sz w:val="24"/>
          <w:szCs w:val="24"/>
        </w:rPr>
        <w:t xml:space="preserve">with and discussed the proposed changes </w:t>
      </w:r>
      <w:r>
        <w:rPr>
          <w:rFonts w:ascii="Times New Roman" w:hAnsi="Times New Roman"/>
          <w:sz w:val="24"/>
          <w:szCs w:val="24"/>
        </w:rPr>
        <w:t xml:space="preserve">with a number of interested parties. APRA received a total of </w:t>
      </w:r>
      <w:r w:rsidR="00D45979" w:rsidRPr="00A75996">
        <w:rPr>
          <w:rFonts w:ascii="Times New Roman" w:hAnsi="Times New Roman"/>
          <w:sz w:val="24"/>
          <w:szCs w:val="24"/>
        </w:rPr>
        <w:t>ten</w:t>
      </w:r>
      <w:r>
        <w:rPr>
          <w:rFonts w:ascii="Times New Roman" w:hAnsi="Times New Roman"/>
          <w:sz w:val="24"/>
          <w:szCs w:val="24"/>
        </w:rPr>
        <w:t xml:space="preserve"> submissions from </w:t>
      </w:r>
      <w:r w:rsidR="00D45979">
        <w:rPr>
          <w:rFonts w:ascii="Times New Roman" w:hAnsi="Times New Roman"/>
          <w:sz w:val="24"/>
          <w:szCs w:val="24"/>
        </w:rPr>
        <w:t>ADIs and</w:t>
      </w:r>
      <w:r>
        <w:rPr>
          <w:rFonts w:ascii="Times New Roman" w:hAnsi="Times New Roman"/>
          <w:sz w:val="24"/>
          <w:szCs w:val="24"/>
        </w:rPr>
        <w:t xml:space="preserve"> industry bodies.</w:t>
      </w:r>
      <w:r w:rsidR="00467C46">
        <w:rPr>
          <w:rFonts w:ascii="Times New Roman" w:hAnsi="Times New Roman"/>
          <w:b/>
          <w:sz w:val="24"/>
          <w:szCs w:val="24"/>
        </w:rPr>
        <w:t xml:space="preserve"> </w:t>
      </w:r>
      <w:r w:rsidR="00467C46">
        <w:rPr>
          <w:rFonts w:ascii="Times New Roman" w:hAnsi="Times New Roman"/>
          <w:sz w:val="24"/>
          <w:szCs w:val="24"/>
          <w:lang w:val="en-GB"/>
        </w:rPr>
        <w:t>I</w:t>
      </w:r>
      <w:r w:rsidR="00467C46" w:rsidRPr="007E4F25">
        <w:rPr>
          <w:rFonts w:ascii="Times New Roman" w:hAnsi="Times New Roman"/>
          <w:sz w:val="24"/>
          <w:szCs w:val="24"/>
          <w:lang w:val="en-GB"/>
        </w:rPr>
        <w:t xml:space="preserve">ndustry </w:t>
      </w:r>
      <w:r w:rsidR="00467C46">
        <w:rPr>
          <w:rFonts w:ascii="Times New Roman" w:hAnsi="Times New Roman"/>
          <w:sz w:val="24"/>
          <w:szCs w:val="24"/>
          <w:lang w:val="en-GB"/>
        </w:rPr>
        <w:t xml:space="preserve">has </w:t>
      </w:r>
      <w:r w:rsidR="00467C46" w:rsidRPr="007E4F25">
        <w:rPr>
          <w:rFonts w:ascii="Times New Roman" w:hAnsi="Times New Roman"/>
          <w:sz w:val="24"/>
          <w:szCs w:val="24"/>
          <w:lang w:val="en-GB"/>
        </w:rPr>
        <w:t xml:space="preserve">generally supported the need to </w:t>
      </w:r>
      <w:r w:rsidR="00467C46">
        <w:rPr>
          <w:rFonts w:ascii="Times New Roman" w:hAnsi="Times New Roman"/>
          <w:sz w:val="24"/>
          <w:szCs w:val="24"/>
          <w:lang w:val="en-GB"/>
        </w:rPr>
        <w:t>revise requirements on</w:t>
      </w:r>
      <w:r w:rsidR="00467C46" w:rsidRPr="007E4F25">
        <w:rPr>
          <w:rFonts w:ascii="Times New Roman" w:hAnsi="Times New Roman"/>
          <w:sz w:val="24"/>
          <w:szCs w:val="24"/>
          <w:lang w:val="en-GB"/>
        </w:rPr>
        <w:t xml:space="preserve"> </w:t>
      </w:r>
      <w:r w:rsidR="00467C46">
        <w:rPr>
          <w:rFonts w:ascii="Times New Roman" w:hAnsi="Times New Roman"/>
          <w:sz w:val="24"/>
          <w:szCs w:val="24"/>
          <w:lang w:val="en-GB"/>
        </w:rPr>
        <w:t>related entities however</w:t>
      </w:r>
      <w:r w:rsidR="00467C46" w:rsidRPr="007E4F25">
        <w:rPr>
          <w:rFonts w:ascii="Times New Roman" w:hAnsi="Times New Roman"/>
          <w:sz w:val="24"/>
          <w:szCs w:val="24"/>
          <w:lang w:val="en-GB"/>
        </w:rPr>
        <w:t xml:space="preserve"> some ADIs will be materially affected by the new APS 222. </w:t>
      </w:r>
      <w:r w:rsidR="00467C46">
        <w:rPr>
          <w:rFonts w:ascii="Times New Roman" w:hAnsi="Times New Roman"/>
          <w:sz w:val="24"/>
          <w:szCs w:val="24"/>
          <w:lang w:val="en-GB"/>
        </w:rPr>
        <w:t>In particular, revisions to the related entity limits and to the ELE requirements are expected to be the most challenging requirements</w:t>
      </w:r>
      <w:r w:rsidR="00424934">
        <w:rPr>
          <w:rFonts w:ascii="Times New Roman" w:hAnsi="Times New Roman"/>
          <w:sz w:val="24"/>
          <w:szCs w:val="24"/>
          <w:lang w:val="en-GB"/>
        </w:rPr>
        <w:t xml:space="preserve"> for certain ADIs to implement.</w:t>
      </w:r>
    </w:p>
    <w:p w14:paraId="419C84FA" w14:textId="77777777" w:rsidR="00224130" w:rsidRDefault="00224130" w:rsidP="0022413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The key concerns raised in submissions focused on:</w:t>
      </w:r>
    </w:p>
    <w:p w14:paraId="1D34DDFA" w14:textId="00A18B55" w:rsidR="002D6985" w:rsidRDefault="005F3B98" w:rsidP="00224130">
      <w:pPr>
        <w:pStyle w:val="Heading"/>
        <w:numPr>
          <w:ilvl w:val="0"/>
          <w:numId w:val="8"/>
        </w:numPr>
        <w:tabs>
          <w:tab w:val="left" w:pos="360"/>
        </w:tabs>
        <w:spacing w:after="240"/>
        <w:rPr>
          <w:rFonts w:ascii="Times New Roman" w:hAnsi="Times New Roman"/>
          <w:b w:val="0"/>
          <w:sz w:val="24"/>
          <w:szCs w:val="24"/>
        </w:rPr>
      </w:pPr>
      <w:r>
        <w:rPr>
          <w:rFonts w:ascii="Times New Roman" w:hAnsi="Times New Roman"/>
          <w:b w:val="0"/>
          <w:sz w:val="24"/>
          <w:szCs w:val="24"/>
        </w:rPr>
        <w:t>t</w:t>
      </w:r>
      <w:r w:rsidR="002D6985">
        <w:rPr>
          <w:rFonts w:ascii="Times New Roman" w:hAnsi="Times New Roman"/>
          <w:b w:val="0"/>
          <w:sz w:val="24"/>
          <w:szCs w:val="24"/>
        </w:rPr>
        <w:t>he expanded definition of a related entity to substantial shareholders and associates, and the inclusion of a step-in risk entity as a related entity</w:t>
      </w:r>
      <w:r>
        <w:rPr>
          <w:rFonts w:ascii="Times New Roman" w:hAnsi="Times New Roman"/>
          <w:b w:val="0"/>
          <w:sz w:val="24"/>
          <w:szCs w:val="24"/>
        </w:rPr>
        <w:t xml:space="preserve">. APRA </w:t>
      </w:r>
      <w:r w:rsidR="00837C6B">
        <w:rPr>
          <w:rFonts w:ascii="Times New Roman" w:hAnsi="Times New Roman"/>
          <w:b w:val="0"/>
          <w:sz w:val="24"/>
          <w:szCs w:val="24"/>
        </w:rPr>
        <w:t>has</w:t>
      </w:r>
      <w:r>
        <w:rPr>
          <w:rFonts w:ascii="Times New Roman" w:hAnsi="Times New Roman"/>
          <w:b w:val="0"/>
          <w:sz w:val="24"/>
          <w:szCs w:val="24"/>
        </w:rPr>
        <w:t xml:space="preserve"> made changes to adjust the definition of a substantial shareholder, and remove associates and step-in risk entities from explicitly forming part of the related entity definition</w:t>
      </w:r>
      <w:r w:rsidR="002D6985">
        <w:rPr>
          <w:rFonts w:ascii="Times New Roman" w:hAnsi="Times New Roman"/>
          <w:b w:val="0"/>
          <w:sz w:val="24"/>
          <w:szCs w:val="24"/>
        </w:rPr>
        <w:t>;</w:t>
      </w:r>
    </w:p>
    <w:p w14:paraId="635EC73E" w14:textId="57EFBE09" w:rsidR="00837C6B" w:rsidRDefault="00837C6B" w:rsidP="00224130">
      <w:pPr>
        <w:pStyle w:val="Heading"/>
        <w:numPr>
          <w:ilvl w:val="0"/>
          <w:numId w:val="8"/>
        </w:numPr>
        <w:tabs>
          <w:tab w:val="left" w:pos="360"/>
        </w:tabs>
        <w:spacing w:after="240"/>
        <w:rPr>
          <w:rFonts w:ascii="Times New Roman" w:hAnsi="Times New Roman"/>
          <w:b w:val="0"/>
          <w:sz w:val="24"/>
          <w:szCs w:val="24"/>
        </w:rPr>
      </w:pPr>
      <w:r>
        <w:rPr>
          <w:rFonts w:ascii="Times New Roman" w:hAnsi="Times New Roman"/>
          <w:b w:val="0"/>
          <w:sz w:val="24"/>
          <w:szCs w:val="24"/>
        </w:rPr>
        <w:t xml:space="preserve">revised related entity limits, which APRA </w:t>
      </w:r>
      <w:r w:rsidR="000D18B5">
        <w:rPr>
          <w:rFonts w:ascii="Times New Roman" w:hAnsi="Times New Roman"/>
          <w:b w:val="0"/>
          <w:sz w:val="24"/>
          <w:szCs w:val="24"/>
        </w:rPr>
        <w:t xml:space="preserve">has maintained as they </w:t>
      </w:r>
      <w:r>
        <w:rPr>
          <w:rFonts w:ascii="Times New Roman" w:hAnsi="Times New Roman"/>
          <w:b w:val="0"/>
          <w:sz w:val="24"/>
          <w:szCs w:val="24"/>
        </w:rPr>
        <w:t>are required at the proposed levels to limit contagion risk and the level of capital at risk in a crisis;</w:t>
      </w:r>
      <w:r w:rsidR="00C27EF2">
        <w:rPr>
          <w:rFonts w:ascii="Times New Roman" w:hAnsi="Times New Roman"/>
          <w:b w:val="0"/>
          <w:sz w:val="24"/>
          <w:szCs w:val="24"/>
        </w:rPr>
        <w:t xml:space="preserve"> and</w:t>
      </w:r>
    </w:p>
    <w:p w14:paraId="053DAE3C" w14:textId="6F4547FB" w:rsidR="00837C6B" w:rsidRPr="00A70FD9" w:rsidRDefault="00D775DF" w:rsidP="00837C6B">
      <w:pPr>
        <w:pStyle w:val="Heading"/>
        <w:numPr>
          <w:ilvl w:val="0"/>
          <w:numId w:val="8"/>
        </w:numPr>
        <w:tabs>
          <w:tab w:val="left" w:pos="360"/>
        </w:tabs>
        <w:spacing w:after="240"/>
        <w:rPr>
          <w:rFonts w:ascii="Times New Roman" w:hAnsi="Times New Roman"/>
          <w:b w:val="0"/>
          <w:sz w:val="24"/>
          <w:szCs w:val="24"/>
        </w:rPr>
      </w:pPr>
      <w:r>
        <w:rPr>
          <w:rFonts w:ascii="Times New Roman" w:hAnsi="Times New Roman"/>
          <w:b w:val="0"/>
          <w:sz w:val="24"/>
          <w:szCs w:val="24"/>
        </w:rPr>
        <w:t xml:space="preserve">the amended ELE framework, </w:t>
      </w:r>
      <w:r w:rsidR="00A70FD9">
        <w:rPr>
          <w:rFonts w:ascii="Times New Roman" w:hAnsi="Times New Roman"/>
          <w:b w:val="0"/>
          <w:sz w:val="24"/>
          <w:szCs w:val="24"/>
        </w:rPr>
        <w:t>in particular the removal of</w:t>
      </w:r>
      <w:r>
        <w:rPr>
          <w:rFonts w:ascii="Times New Roman" w:hAnsi="Times New Roman"/>
          <w:b w:val="0"/>
          <w:sz w:val="24"/>
          <w:szCs w:val="24"/>
        </w:rPr>
        <w:t xml:space="preserve"> </w:t>
      </w:r>
      <w:r w:rsidR="00A70FD9">
        <w:rPr>
          <w:rFonts w:ascii="Times New Roman" w:hAnsi="Times New Roman"/>
          <w:b w:val="0"/>
          <w:sz w:val="24"/>
          <w:szCs w:val="24"/>
        </w:rPr>
        <w:t xml:space="preserve">certain </w:t>
      </w:r>
      <w:r>
        <w:rPr>
          <w:rFonts w:ascii="Times New Roman" w:hAnsi="Times New Roman"/>
          <w:b w:val="0"/>
          <w:sz w:val="24"/>
          <w:szCs w:val="24"/>
        </w:rPr>
        <w:t xml:space="preserve">overseas subsidiaries from being eligible for inclusion. </w:t>
      </w:r>
      <w:r w:rsidRPr="00A70FD9">
        <w:rPr>
          <w:rFonts w:ascii="Times New Roman" w:hAnsi="Times New Roman"/>
          <w:b w:val="0"/>
          <w:sz w:val="24"/>
          <w:szCs w:val="24"/>
        </w:rPr>
        <w:t>APRA</w:t>
      </w:r>
      <w:r w:rsidR="00317586">
        <w:rPr>
          <w:rFonts w:ascii="Times New Roman" w:hAnsi="Times New Roman"/>
          <w:b w:val="0"/>
          <w:sz w:val="24"/>
          <w:szCs w:val="24"/>
        </w:rPr>
        <w:t xml:space="preserve"> recognises there will be a large impact for certain ADIs but</w:t>
      </w:r>
      <w:r w:rsidRPr="00A70FD9">
        <w:rPr>
          <w:rFonts w:ascii="Times New Roman" w:hAnsi="Times New Roman"/>
          <w:b w:val="0"/>
          <w:sz w:val="24"/>
          <w:szCs w:val="24"/>
        </w:rPr>
        <w:t xml:space="preserve"> </w:t>
      </w:r>
      <w:r w:rsidR="00790080">
        <w:rPr>
          <w:rFonts w:ascii="Times New Roman" w:hAnsi="Times New Roman"/>
          <w:b w:val="0"/>
          <w:sz w:val="24"/>
          <w:szCs w:val="24"/>
        </w:rPr>
        <w:t>has maintained</w:t>
      </w:r>
      <w:r w:rsidRPr="00A70FD9">
        <w:rPr>
          <w:rStyle w:val="APRANORMALChar"/>
          <w:rFonts w:ascii="Times New Roman" w:hAnsi="Times New Roman"/>
          <w:b w:val="0"/>
          <w:sz w:val="24"/>
          <w:szCs w:val="24"/>
        </w:rPr>
        <w:t xml:space="preserve"> </w:t>
      </w:r>
      <w:r w:rsidR="00EA669F">
        <w:rPr>
          <w:rStyle w:val="APRANORMALChar"/>
          <w:rFonts w:ascii="Times New Roman" w:hAnsi="Times New Roman"/>
          <w:b w:val="0"/>
          <w:sz w:val="24"/>
          <w:szCs w:val="24"/>
        </w:rPr>
        <w:t xml:space="preserve">the proposed </w:t>
      </w:r>
      <w:r w:rsidRPr="00A70FD9">
        <w:rPr>
          <w:rStyle w:val="APRANORMALChar"/>
          <w:rFonts w:ascii="Times New Roman" w:hAnsi="Times New Roman"/>
          <w:b w:val="0"/>
          <w:sz w:val="24"/>
          <w:szCs w:val="24"/>
        </w:rPr>
        <w:t xml:space="preserve">changes </w:t>
      </w:r>
      <w:r w:rsidR="00317586">
        <w:rPr>
          <w:rStyle w:val="APRANORMALChar"/>
          <w:rFonts w:ascii="Times New Roman" w:hAnsi="Times New Roman"/>
          <w:b w:val="0"/>
          <w:sz w:val="24"/>
          <w:szCs w:val="24"/>
        </w:rPr>
        <w:t xml:space="preserve">as they </w:t>
      </w:r>
      <w:r w:rsidRPr="00A70FD9">
        <w:rPr>
          <w:rStyle w:val="APRANORMALChar"/>
          <w:rFonts w:ascii="Times New Roman" w:hAnsi="Times New Roman"/>
          <w:b w:val="0"/>
          <w:sz w:val="24"/>
          <w:szCs w:val="24"/>
        </w:rPr>
        <w:t xml:space="preserve">are needed to address complexity in ADI group structures, </w:t>
      </w:r>
      <w:r w:rsidR="00EA669F">
        <w:rPr>
          <w:rStyle w:val="APRANORMALChar"/>
          <w:rFonts w:ascii="Times New Roman" w:hAnsi="Times New Roman"/>
          <w:b w:val="0"/>
          <w:sz w:val="24"/>
          <w:szCs w:val="24"/>
        </w:rPr>
        <w:t xml:space="preserve">effective </w:t>
      </w:r>
      <w:r w:rsidRPr="00A70FD9">
        <w:rPr>
          <w:rStyle w:val="APRANORMALChar"/>
          <w:rFonts w:ascii="Times New Roman" w:hAnsi="Times New Roman"/>
          <w:b w:val="0"/>
          <w:sz w:val="24"/>
          <w:szCs w:val="24"/>
        </w:rPr>
        <w:t>supervision of subsidiaries in the ELE, and the potential for resolution to be complicated in the wind-up of an ADI.</w:t>
      </w:r>
    </w:p>
    <w:p w14:paraId="39449663" w14:textId="0A07B34B" w:rsidR="00837C6B" w:rsidRPr="00D3392D" w:rsidRDefault="00D3392D" w:rsidP="00837C6B">
      <w:pPr>
        <w:pStyle w:val="Heading"/>
        <w:tabs>
          <w:tab w:val="left" w:pos="360"/>
        </w:tabs>
        <w:spacing w:after="240"/>
        <w:rPr>
          <w:rFonts w:ascii="Times New Roman" w:hAnsi="Times New Roman"/>
          <w:b w:val="0"/>
          <w:sz w:val="24"/>
          <w:szCs w:val="24"/>
        </w:rPr>
      </w:pPr>
      <w:r w:rsidRPr="00D3392D">
        <w:rPr>
          <w:rFonts w:ascii="Times New Roman" w:hAnsi="Times New Roman"/>
          <w:b w:val="0"/>
          <w:sz w:val="24"/>
          <w:szCs w:val="24"/>
        </w:rPr>
        <w:lastRenderedPageBreak/>
        <w:t xml:space="preserve">APRA </w:t>
      </w:r>
      <w:r w:rsidR="003B2F19">
        <w:rPr>
          <w:rFonts w:ascii="Times New Roman" w:hAnsi="Times New Roman"/>
          <w:b w:val="0"/>
          <w:sz w:val="24"/>
          <w:szCs w:val="24"/>
        </w:rPr>
        <w:t xml:space="preserve">has </w:t>
      </w:r>
      <w:r w:rsidRPr="00D3392D">
        <w:rPr>
          <w:rFonts w:ascii="Times New Roman" w:hAnsi="Times New Roman"/>
          <w:b w:val="0"/>
          <w:sz w:val="24"/>
          <w:szCs w:val="24"/>
        </w:rPr>
        <w:t xml:space="preserve">conveyed </w:t>
      </w:r>
      <w:r w:rsidR="003B2F19">
        <w:rPr>
          <w:rFonts w:ascii="Times New Roman" w:hAnsi="Times New Roman"/>
          <w:b w:val="0"/>
          <w:sz w:val="24"/>
          <w:szCs w:val="24"/>
        </w:rPr>
        <w:t xml:space="preserve">to industry </w:t>
      </w:r>
      <w:r w:rsidRPr="00D3392D">
        <w:rPr>
          <w:rFonts w:ascii="Times New Roman" w:hAnsi="Times New Roman"/>
          <w:b w:val="0"/>
          <w:sz w:val="24"/>
          <w:szCs w:val="24"/>
        </w:rPr>
        <w:t>that</w:t>
      </w:r>
      <w:r>
        <w:rPr>
          <w:rFonts w:ascii="Times New Roman" w:hAnsi="Times New Roman"/>
          <w:b w:val="0"/>
          <w:sz w:val="24"/>
          <w:szCs w:val="24"/>
        </w:rPr>
        <w:t>,</w:t>
      </w:r>
      <w:r w:rsidRPr="00D3392D">
        <w:rPr>
          <w:rFonts w:ascii="Times New Roman" w:hAnsi="Times New Roman"/>
          <w:b w:val="0"/>
          <w:sz w:val="24"/>
          <w:szCs w:val="24"/>
        </w:rPr>
        <w:t xml:space="preserve"> where </w:t>
      </w:r>
      <w:r w:rsidRPr="00D3392D">
        <w:rPr>
          <w:rFonts w:ascii="Times New Roman" w:hAnsi="Times New Roman"/>
          <w:b w:val="0"/>
          <w:sz w:val="24"/>
          <w:szCs w:val="24"/>
          <w:lang w:val="en-GB"/>
        </w:rPr>
        <w:t>necessary, transition periods will be considered and determined by APRA supervisors on a case-by-case basis.</w:t>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16FE9823" w14:textId="2110C239" w:rsidR="00885F41" w:rsidRDefault="002436BD" w:rsidP="00DF7DA0">
      <w:pPr>
        <w:pStyle w:val="Heading"/>
        <w:spacing w:after="240"/>
        <w:rPr>
          <w:rFonts w:ascii="Times New Roman" w:hAnsi="Times New Roman"/>
          <w:b w:val="0"/>
          <w:sz w:val="24"/>
          <w:szCs w:val="24"/>
        </w:rPr>
      </w:pPr>
      <w:r>
        <w:rPr>
          <w:rFonts w:ascii="Times New Roman" w:hAnsi="Times New Roman"/>
          <w:b w:val="0"/>
          <w:sz w:val="24"/>
          <w:szCs w:val="24"/>
        </w:rPr>
        <w:t>A</w:t>
      </w:r>
      <w:r w:rsidR="00B64B2E">
        <w:rPr>
          <w:rFonts w:ascii="Times New Roman" w:hAnsi="Times New Roman"/>
          <w:b w:val="0"/>
          <w:sz w:val="24"/>
          <w:szCs w:val="24"/>
        </w:rPr>
        <w:t>PRA prepared a</w:t>
      </w:r>
      <w:r>
        <w:rPr>
          <w:rFonts w:ascii="Times New Roman" w:hAnsi="Times New Roman"/>
          <w:b w:val="0"/>
          <w:sz w:val="24"/>
          <w:szCs w:val="24"/>
        </w:rPr>
        <w:t xml:space="preserve"> Regulation Impact S</w:t>
      </w:r>
      <w:r w:rsidRPr="002C6D26">
        <w:rPr>
          <w:rFonts w:ascii="Times New Roman" w:hAnsi="Times New Roman"/>
          <w:b w:val="0"/>
          <w:sz w:val="24"/>
          <w:szCs w:val="24"/>
        </w:rPr>
        <w:t>tatement</w:t>
      </w:r>
      <w:r w:rsidR="00A279AF">
        <w:rPr>
          <w:rFonts w:ascii="Times New Roman" w:hAnsi="Times New Roman"/>
          <w:b w:val="0"/>
          <w:sz w:val="24"/>
          <w:szCs w:val="24"/>
        </w:rPr>
        <w:t xml:space="preserve"> </w:t>
      </w:r>
      <w:r w:rsidR="0030506B">
        <w:rPr>
          <w:rFonts w:ascii="Times New Roman" w:hAnsi="Times New Roman"/>
          <w:b w:val="0"/>
          <w:sz w:val="24"/>
          <w:szCs w:val="24"/>
        </w:rPr>
        <w:t>which has been lodged as supporting material</w:t>
      </w:r>
      <w:r w:rsidR="00A279AF">
        <w:rPr>
          <w:rFonts w:ascii="Times New Roman" w:hAnsi="Times New Roman"/>
          <w:b w:val="0"/>
          <w:sz w:val="24"/>
          <w:szCs w:val="24"/>
        </w:rPr>
        <w:t>.</w:t>
      </w:r>
      <w:bookmarkEnd w:id="10"/>
    </w:p>
    <w:p w14:paraId="401F3907" w14:textId="77777777" w:rsidR="002436BD" w:rsidRPr="00B3165F"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8DB91DF" w14:textId="77777777" w:rsidR="002436BD"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66D9B739" w14:textId="77777777" w:rsidR="00DE17AF" w:rsidRDefault="00DE17AF">
      <w:pPr>
        <w:rPr>
          <w:rFonts w:ascii="Times New Roman" w:hAnsi="Times New Roman"/>
          <w:sz w:val="24"/>
          <w:szCs w:val="24"/>
          <w:u w:val="single"/>
        </w:rPr>
      </w:pPr>
      <w:r>
        <w:rPr>
          <w:rFonts w:ascii="Times New Roman" w:hAnsi="Times New Roman"/>
          <w:sz w:val="24"/>
          <w:szCs w:val="24"/>
          <w:u w:val="single"/>
        </w:rPr>
        <w:br w:type="page"/>
      </w:r>
    </w:p>
    <w:p w14:paraId="58AE86DA" w14:textId="13600CDA" w:rsidR="00DE17AF" w:rsidRPr="001924DF" w:rsidRDefault="00DE17AF" w:rsidP="00DE17AF">
      <w:pPr>
        <w:spacing w:after="360"/>
        <w:outlineLvl w:val="0"/>
        <w:rPr>
          <w:rFonts w:ascii="Times New Roman" w:hAnsi="Times New Roman"/>
          <w:sz w:val="24"/>
          <w:szCs w:val="24"/>
          <w:u w:val="single"/>
        </w:rPr>
      </w:pPr>
      <w:r w:rsidRPr="001924DF">
        <w:rPr>
          <w:rFonts w:ascii="Times New Roman" w:hAnsi="Times New Roman"/>
          <w:sz w:val="24"/>
          <w:szCs w:val="24"/>
          <w:u w:val="single"/>
        </w:rPr>
        <w:lastRenderedPageBreak/>
        <w:t>ATTACHMENT A</w:t>
      </w:r>
    </w:p>
    <w:p w14:paraId="3A7837D5" w14:textId="77777777" w:rsidR="00DE17AF" w:rsidRPr="001924DF" w:rsidRDefault="00DE17AF" w:rsidP="00DE17AF">
      <w:pPr>
        <w:shd w:val="clear" w:color="auto" w:fill="FFFFFF"/>
        <w:spacing w:before="100" w:beforeAutospacing="1" w:after="240"/>
        <w:jc w:val="center"/>
        <w:rPr>
          <w:rFonts w:ascii="Times New Roman" w:hAnsi="Times New Roman"/>
          <w:sz w:val="24"/>
          <w:szCs w:val="24"/>
          <w:lang w:val="en-US"/>
        </w:rPr>
      </w:pPr>
      <w:r w:rsidRPr="001924DF">
        <w:rPr>
          <w:rFonts w:ascii="Times New Roman" w:hAnsi="Times New Roman"/>
          <w:b/>
          <w:bCs/>
          <w:sz w:val="24"/>
          <w:szCs w:val="24"/>
        </w:rPr>
        <w:t>Statement of Compatibility with Human Rights</w:t>
      </w:r>
    </w:p>
    <w:p w14:paraId="3102A9AA" w14:textId="77777777" w:rsidR="00DE17AF" w:rsidRPr="001924DF" w:rsidRDefault="00DE17AF" w:rsidP="00DE17AF">
      <w:pPr>
        <w:shd w:val="clear" w:color="auto" w:fill="FFFFFF"/>
        <w:spacing w:before="100" w:beforeAutospacing="1" w:after="240"/>
        <w:jc w:val="center"/>
        <w:rPr>
          <w:rFonts w:ascii="Times New Roman" w:hAnsi="Times New Roman"/>
          <w:sz w:val="24"/>
          <w:szCs w:val="24"/>
          <w:lang w:val="en-US"/>
        </w:rPr>
      </w:pPr>
      <w:r w:rsidRPr="001924DF">
        <w:rPr>
          <w:rFonts w:ascii="Times New Roman" w:hAnsi="Times New Roman"/>
          <w:sz w:val="24"/>
          <w:szCs w:val="24"/>
        </w:rPr>
        <w:t xml:space="preserve">Prepared in accordance with Part 3 of the </w:t>
      </w:r>
      <w:r w:rsidRPr="001924DF">
        <w:rPr>
          <w:rFonts w:ascii="Times New Roman" w:hAnsi="Times New Roman"/>
          <w:i/>
          <w:iCs/>
          <w:sz w:val="24"/>
          <w:szCs w:val="24"/>
        </w:rPr>
        <w:t>Human Rights (Parliamentary Scrutiny) Act 2011</w:t>
      </w:r>
    </w:p>
    <w:p w14:paraId="4E33BCF1" w14:textId="650C4D0B" w:rsidR="00DE17AF" w:rsidRPr="001924DF" w:rsidRDefault="00DE17AF" w:rsidP="00DE17AF">
      <w:pPr>
        <w:shd w:val="clear" w:color="auto" w:fill="FFFFFF"/>
        <w:spacing w:before="100" w:beforeAutospacing="1" w:after="240"/>
        <w:jc w:val="both"/>
        <w:rPr>
          <w:rFonts w:ascii="Times New Roman" w:hAnsi="Times New Roman"/>
          <w:b/>
          <w:bCs/>
          <w:sz w:val="24"/>
          <w:szCs w:val="24"/>
        </w:rPr>
      </w:pPr>
      <w:r w:rsidRPr="003B4165">
        <w:rPr>
          <w:rFonts w:ascii="Times New Roman" w:hAnsi="Times New Roman"/>
          <w:b/>
          <w:bCs/>
          <w:sz w:val="24"/>
          <w:szCs w:val="24"/>
        </w:rPr>
        <w:t xml:space="preserve">Banking (prudential standard) determination No. </w:t>
      </w:r>
      <w:r w:rsidR="003B4165" w:rsidRPr="003B4165">
        <w:rPr>
          <w:rFonts w:ascii="Times New Roman" w:hAnsi="Times New Roman"/>
          <w:b/>
          <w:bCs/>
          <w:sz w:val="24"/>
          <w:szCs w:val="24"/>
        </w:rPr>
        <w:t>7</w:t>
      </w:r>
      <w:r w:rsidR="00424934" w:rsidRPr="003B4165">
        <w:rPr>
          <w:rFonts w:ascii="Times New Roman" w:hAnsi="Times New Roman"/>
          <w:b/>
          <w:bCs/>
          <w:sz w:val="24"/>
          <w:szCs w:val="24"/>
        </w:rPr>
        <w:t xml:space="preserve"> of 2020</w:t>
      </w:r>
    </w:p>
    <w:p w14:paraId="31E44FC1" w14:textId="77777777" w:rsidR="00DE17AF" w:rsidRPr="001924DF" w:rsidRDefault="00DE17AF" w:rsidP="00DE17AF">
      <w:pPr>
        <w:shd w:val="clear" w:color="auto" w:fill="FFFFFF"/>
        <w:spacing w:before="100" w:beforeAutospacing="1" w:after="240"/>
        <w:jc w:val="both"/>
        <w:rPr>
          <w:rFonts w:ascii="Times New Roman" w:hAnsi="Times New Roman"/>
          <w:sz w:val="24"/>
          <w:szCs w:val="24"/>
          <w:lang w:val="en-US"/>
        </w:rPr>
      </w:pPr>
      <w:r w:rsidRPr="001924DF">
        <w:rPr>
          <w:rFonts w:ascii="Times New Roman" w:hAnsi="Times New Roman"/>
          <w:sz w:val="24"/>
          <w:szCs w:val="24"/>
        </w:rPr>
        <w:t xml:space="preserve">The legislative instrument is compatible with the human rights and freedoms recognised or declared in the international instrument listed in section 3 of the </w:t>
      </w:r>
      <w:r w:rsidRPr="001924DF">
        <w:rPr>
          <w:rFonts w:ascii="Times New Roman" w:hAnsi="Times New Roman"/>
          <w:i/>
          <w:iCs/>
          <w:sz w:val="24"/>
          <w:szCs w:val="24"/>
        </w:rPr>
        <w:t>Human Rights (Parliamentary Scrutiny) Act 2011</w:t>
      </w:r>
      <w:r w:rsidRPr="001924DF">
        <w:rPr>
          <w:rFonts w:ascii="Times New Roman" w:hAnsi="Times New Roman"/>
          <w:sz w:val="24"/>
          <w:szCs w:val="24"/>
        </w:rPr>
        <w:t xml:space="preserve"> (HRPS Act).</w:t>
      </w:r>
    </w:p>
    <w:p w14:paraId="1ED46FAA" w14:textId="77777777" w:rsidR="00DE17AF" w:rsidRPr="001924DF" w:rsidRDefault="00DE17AF" w:rsidP="00DE17AF">
      <w:pPr>
        <w:shd w:val="clear" w:color="auto" w:fill="FFFFFF"/>
        <w:spacing w:before="100" w:beforeAutospacing="1" w:after="240"/>
        <w:jc w:val="both"/>
        <w:rPr>
          <w:rFonts w:ascii="Times New Roman" w:hAnsi="Times New Roman"/>
          <w:sz w:val="24"/>
          <w:szCs w:val="24"/>
          <w:lang w:val="en-US"/>
        </w:rPr>
      </w:pPr>
      <w:r w:rsidRPr="001924DF">
        <w:rPr>
          <w:rFonts w:ascii="Times New Roman" w:hAnsi="Times New Roman"/>
          <w:b/>
          <w:bCs/>
          <w:sz w:val="24"/>
          <w:szCs w:val="24"/>
        </w:rPr>
        <w:t>Overview of the Legislative Instrument</w:t>
      </w:r>
    </w:p>
    <w:p w14:paraId="56CC8A59" w14:textId="78965BF4" w:rsidR="00DE17AF" w:rsidRPr="001924DF" w:rsidRDefault="00DE17AF" w:rsidP="00DE17AF">
      <w:pPr>
        <w:spacing w:after="240"/>
        <w:jc w:val="both"/>
        <w:rPr>
          <w:rFonts w:ascii="Times New Roman" w:hAnsi="Times New Roman"/>
          <w:sz w:val="24"/>
          <w:szCs w:val="24"/>
        </w:rPr>
      </w:pPr>
      <w:r w:rsidRPr="001924DF">
        <w:rPr>
          <w:rFonts w:ascii="Times New Roman" w:hAnsi="Times New Roman"/>
          <w:sz w:val="24"/>
          <w:szCs w:val="24"/>
        </w:rPr>
        <w:t xml:space="preserve">The purpose of the instrument is to </w:t>
      </w:r>
      <w:r w:rsidR="00DB243F">
        <w:rPr>
          <w:rFonts w:ascii="Times New Roman" w:hAnsi="Times New Roman"/>
          <w:sz w:val="24"/>
          <w:szCs w:val="24"/>
        </w:rPr>
        <w:t xml:space="preserve">revoke </w:t>
      </w:r>
      <w:r w:rsidR="00DB243F" w:rsidRPr="001924DF">
        <w:rPr>
          <w:rFonts w:ascii="Times New Roman" w:hAnsi="Times New Roman"/>
          <w:i/>
          <w:sz w:val="24"/>
          <w:szCs w:val="24"/>
        </w:rPr>
        <w:t>Prudential Standard APS</w:t>
      </w:r>
      <w:r w:rsidR="00424934">
        <w:rPr>
          <w:rFonts w:ascii="Times New Roman" w:hAnsi="Times New Roman"/>
          <w:i/>
          <w:sz w:val="24"/>
          <w:szCs w:val="24"/>
        </w:rPr>
        <w:t> </w:t>
      </w:r>
      <w:r w:rsidR="00DB243F" w:rsidRPr="001924DF">
        <w:rPr>
          <w:rFonts w:ascii="Times New Roman" w:hAnsi="Times New Roman"/>
          <w:i/>
          <w:sz w:val="24"/>
          <w:szCs w:val="24"/>
        </w:rPr>
        <w:t>222 Associations with Related Entities</w:t>
      </w:r>
      <w:r w:rsidR="00DB243F">
        <w:rPr>
          <w:rFonts w:ascii="Times New Roman" w:hAnsi="Times New Roman"/>
          <w:sz w:val="24"/>
          <w:szCs w:val="24"/>
        </w:rPr>
        <w:t xml:space="preserve"> determined by </w:t>
      </w:r>
      <w:r w:rsidR="00C8135A">
        <w:rPr>
          <w:rFonts w:ascii="Times New Roman" w:hAnsi="Times New Roman"/>
          <w:sz w:val="24"/>
          <w:szCs w:val="24"/>
        </w:rPr>
        <w:t>the Australian Prudential Regulation Authority (</w:t>
      </w:r>
      <w:r w:rsidR="00DB243F">
        <w:rPr>
          <w:rFonts w:ascii="Times New Roman" w:hAnsi="Times New Roman"/>
          <w:sz w:val="24"/>
          <w:szCs w:val="24"/>
        </w:rPr>
        <w:t>APRA</w:t>
      </w:r>
      <w:r w:rsidR="00C8135A">
        <w:rPr>
          <w:rFonts w:ascii="Times New Roman" w:hAnsi="Times New Roman"/>
          <w:sz w:val="24"/>
          <w:szCs w:val="24"/>
        </w:rPr>
        <w:t>)</w:t>
      </w:r>
      <w:r w:rsidR="00DB243F">
        <w:rPr>
          <w:rFonts w:ascii="Times New Roman" w:hAnsi="Times New Roman"/>
          <w:sz w:val="24"/>
          <w:szCs w:val="24"/>
        </w:rPr>
        <w:t xml:space="preserve"> in 2014 and replace it with a new </w:t>
      </w:r>
      <w:r w:rsidRPr="001924DF">
        <w:rPr>
          <w:rFonts w:ascii="Times New Roman" w:hAnsi="Times New Roman"/>
          <w:i/>
          <w:sz w:val="24"/>
          <w:szCs w:val="24"/>
        </w:rPr>
        <w:t xml:space="preserve">Prudential Standard </w:t>
      </w:r>
      <w:r w:rsidR="006B1B64" w:rsidRPr="001924DF">
        <w:rPr>
          <w:rFonts w:ascii="Times New Roman" w:hAnsi="Times New Roman"/>
          <w:i/>
          <w:sz w:val="24"/>
          <w:szCs w:val="24"/>
        </w:rPr>
        <w:t>APS</w:t>
      </w:r>
      <w:r w:rsidR="00424934">
        <w:rPr>
          <w:rFonts w:ascii="Times New Roman" w:hAnsi="Times New Roman"/>
          <w:i/>
          <w:sz w:val="24"/>
          <w:szCs w:val="24"/>
        </w:rPr>
        <w:t> </w:t>
      </w:r>
      <w:r w:rsidR="006B1B64" w:rsidRPr="001924DF">
        <w:rPr>
          <w:rFonts w:ascii="Times New Roman" w:hAnsi="Times New Roman"/>
          <w:i/>
          <w:sz w:val="24"/>
          <w:szCs w:val="24"/>
        </w:rPr>
        <w:t xml:space="preserve">222 Associations with Related Entities </w:t>
      </w:r>
      <w:r w:rsidR="006B1B64" w:rsidRPr="001924DF">
        <w:rPr>
          <w:rFonts w:ascii="Times New Roman" w:hAnsi="Times New Roman"/>
          <w:sz w:val="24"/>
          <w:szCs w:val="24"/>
        </w:rPr>
        <w:t>(APS</w:t>
      </w:r>
      <w:r w:rsidR="00424934">
        <w:rPr>
          <w:rFonts w:ascii="Times New Roman" w:hAnsi="Times New Roman"/>
          <w:sz w:val="24"/>
          <w:szCs w:val="24"/>
        </w:rPr>
        <w:t> </w:t>
      </w:r>
      <w:r w:rsidR="006B1B64" w:rsidRPr="001924DF">
        <w:rPr>
          <w:rFonts w:ascii="Times New Roman" w:hAnsi="Times New Roman"/>
          <w:sz w:val="24"/>
          <w:szCs w:val="24"/>
        </w:rPr>
        <w:t>222)</w:t>
      </w:r>
      <w:r w:rsidRPr="001924DF">
        <w:rPr>
          <w:rFonts w:ascii="Times New Roman" w:hAnsi="Times New Roman"/>
          <w:sz w:val="24"/>
          <w:szCs w:val="24"/>
        </w:rPr>
        <w:t>.</w:t>
      </w:r>
    </w:p>
    <w:p w14:paraId="17D11598" w14:textId="3CEB1EE3" w:rsidR="00B11F7E" w:rsidRPr="001924DF" w:rsidRDefault="00516B9B" w:rsidP="00424934">
      <w:pPr>
        <w:shd w:val="clear" w:color="auto" w:fill="FFFFFF"/>
        <w:spacing w:before="100" w:beforeAutospacing="1" w:after="240"/>
        <w:jc w:val="both"/>
        <w:rPr>
          <w:rFonts w:ascii="Times New Roman" w:hAnsi="Times New Roman"/>
          <w:sz w:val="24"/>
          <w:szCs w:val="24"/>
        </w:rPr>
      </w:pPr>
      <w:r w:rsidRPr="001924DF">
        <w:rPr>
          <w:rFonts w:ascii="Times New Roman" w:hAnsi="Times New Roman"/>
          <w:sz w:val="24"/>
          <w:szCs w:val="24"/>
        </w:rPr>
        <w:t>APS</w:t>
      </w:r>
      <w:r w:rsidR="00424934">
        <w:rPr>
          <w:rFonts w:ascii="Times New Roman" w:hAnsi="Times New Roman"/>
          <w:sz w:val="24"/>
          <w:szCs w:val="24"/>
        </w:rPr>
        <w:t> </w:t>
      </w:r>
      <w:r w:rsidRPr="001924DF">
        <w:rPr>
          <w:rFonts w:ascii="Times New Roman" w:hAnsi="Times New Roman"/>
          <w:sz w:val="24"/>
          <w:szCs w:val="24"/>
        </w:rPr>
        <w:t>222</w:t>
      </w:r>
      <w:r w:rsidR="00DE17AF" w:rsidRPr="001924DF">
        <w:rPr>
          <w:rFonts w:ascii="Times New Roman" w:hAnsi="Times New Roman"/>
          <w:sz w:val="24"/>
          <w:szCs w:val="24"/>
        </w:rPr>
        <w:t xml:space="preserve"> sets out requirements for authorised deposit-taking institutions</w:t>
      </w:r>
      <w:r w:rsidR="00AA4AE5" w:rsidRPr="001924DF">
        <w:rPr>
          <w:rFonts w:ascii="Times New Roman" w:hAnsi="Times New Roman"/>
          <w:sz w:val="24"/>
          <w:szCs w:val="24"/>
        </w:rPr>
        <w:t xml:space="preserve"> </w:t>
      </w:r>
      <w:r w:rsidR="000B14E5">
        <w:rPr>
          <w:rFonts w:ascii="Times New Roman" w:hAnsi="Times New Roman"/>
          <w:sz w:val="24"/>
          <w:szCs w:val="24"/>
        </w:rPr>
        <w:t>(ADI</w:t>
      </w:r>
      <w:r w:rsidR="00DB243F">
        <w:rPr>
          <w:rFonts w:ascii="Times New Roman" w:hAnsi="Times New Roman"/>
          <w:sz w:val="24"/>
          <w:szCs w:val="24"/>
        </w:rPr>
        <w:t>s</w:t>
      </w:r>
      <w:r w:rsidR="000B14E5">
        <w:rPr>
          <w:rFonts w:ascii="Times New Roman" w:hAnsi="Times New Roman"/>
          <w:sz w:val="24"/>
          <w:szCs w:val="24"/>
        </w:rPr>
        <w:t xml:space="preserve">) </w:t>
      </w:r>
      <w:r w:rsidR="00AA4AE5" w:rsidRPr="001924DF">
        <w:rPr>
          <w:rFonts w:ascii="Times New Roman" w:hAnsi="Times New Roman"/>
          <w:sz w:val="24"/>
          <w:szCs w:val="24"/>
        </w:rPr>
        <w:t>to identify, monitor and control contagion risks arising from their associations and dealings with related entities and those entities where an ADI is likely to provide support beyond any legal obligation.</w:t>
      </w:r>
      <w:r w:rsidR="00DE17AF" w:rsidRPr="001924DF">
        <w:rPr>
          <w:rFonts w:ascii="Times New Roman" w:hAnsi="Times New Roman"/>
          <w:sz w:val="24"/>
          <w:szCs w:val="24"/>
        </w:rPr>
        <w:t xml:space="preserve"> </w:t>
      </w:r>
      <w:r w:rsidR="00DB243F">
        <w:rPr>
          <w:rFonts w:ascii="Times New Roman" w:hAnsi="Times New Roman"/>
          <w:sz w:val="24"/>
          <w:szCs w:val="24"/>
        </w:rPr>
        <w:t xml:space="preserve">ADIs are bodies corporate that have been granted the authority, under the </w:t>
      </w:r>
      <w:r w:rsidR="00DB243F" w:rsidRPr="00175AE8">
        <w:rPr>
          <w:rFonts w:ascii="Times New Roman" w:hAnsi="Times New Roman"/>
          <w:i/>
          <w:sz w:val="24"/>
          <w:szCs w:val="24"/>
        </w:rPr>
        <w:t>Banking Act 1959</w:t>
      </w:r>
      <w:r w:rsidR="00DB243F">
        <w:rPr>
          <w:rFonts w:ascii="Times New Roman" w:hAnsi="Times New Roman"/>
          <w:sz w:val="24"/>
          <w:szCs w:val="24"/>
        </w:rPr>
        <w:t xml:space="preserve">, to carry on banking business in </w:t>
      </w:r>
      <w:r w:rsidR="005B5B2C">
        <w:rPr>
          <w:rFonts w:ascii="Times New Roman" w:hAnsi="Times New Roman"/>
          <w:sz w:val="24"/>
          <w:szCs w:val="24"/>
        </w:rPr>
        <w:t xml:space="preserve">Australia. </w:t>
      </w:r>
      <w:r w:rsidR="00B11F7E" w:rsidRPr="00143BBD">
        <w:rPr>
          <w:rFonts w:ascii="Times New Roman" w:hAnsi="Times New Roman"/>
          <w:sz w:val="24"/>
          <w:szCs w:val="24"/>
        </w:rPr>
        <w:t>APS</w:t>
      </w:r>
      <w:r w:rsidR="00424934">
        <w:rPr>
          <w:rFonts w:ascii="Times New Roman" w:hAnsi="Times New Roman"/>
          <w:sz w:val="24"/>
          <w:szCs w:val="24"/>
        </w:rPr>
        <w:t> </w:t>
      </w:r>
      <w:r w:rsidR="00B11F7E" w:rsidRPr="00143BBD">
        <w:rPr>
          <w:rFonts w:ascii="Times New Roman" w:hAnsi="Times New Roman"/>
          <w:sz w:val="24"/>
          <w:szCs w:val="24"/>
        </w:rPr>
        <w:t xml:space="preserve">222 does not prescribe any measures relating specifically to the </w:t>
      </w:r>
      <w:r w:rsidR="00E223BB">
        <w:rPr>
          <w:rFonts w:ascii="Times New Roman" w:hAnsi="Times New Roman"/>
          <w:sz w:val="24"/>
          <w:szCs w:val="24"/>
        </w:rPr>
        <w:t xml:space="preserve">collection or </w:t>
      </w:r>
      <w:r w:rsidR="00B11F7E" w:rsidRPr="00143BBD">
        <w:rPr>
          <w:rFonts w:ascii="Times New Roman" w:hAnsi="Times New Roman"/>
          <w:sz w:val="24"/>
          <w:szCs w:val="24"/>
        </w:rPr>
        <w:t>treatment of personal information.</w:t>
      </w:r>
    </w:p>
    <w:p w14:paraId="76F75F38" w14:textId="77777777" w:rsidR="00DE17AF" w:rsidRPr="001924DF" w:rsidRDefault="00DE17AF" w:rsidP="00DE17AF">
      <w:pPr>
        <w:keepNext/>
        <w:shd w:val="clear" w:color="auto" w:fill="FFFFFF"/>
        <w:spacing w:before="100" w:beforeAutospacing="1" w:after="240"/>
        <w:jc w:val="both"/>
        <w:rPr>
          <w:rFonts w:ascii="Times New Roman" w:hAnsi="Times New Roman"/>
          <w:sz w:val="24"/>
          <w:szCs w:val="24"/>
          <w:lang w:val="en-US"/>
        </w:rPr>
      </w:pPr>
      <w:r w:rsidRPr="001924DF">
        <w:rPr>
          <w:rFonts w:ascii="Times New Roman" w:hAnsi="Times New Roman"/>
          <w:b/>
          <w:bCs/>
          <w:sz w:val="24"/>
          <w:szCs w:val="24"/>
        </w:rPr>
        <w:t>Human rights implications</w:t>
      </w:r>
    </w:p>
    <w:p w14:paraId="0B0CE826" w14:textId="77777777" w:rsidR="00DE17AF" w:rsidRPr="001924DF" w:rsidRDefault="00DE17AF" w:rsidP="00424934">
      <w:pPr>
        <w:shd w:val="clear" w:color="auto" w:fill="FFFFFF"/>
        <w:spacing w:before="100" w:beforeAutospacing="1" w:after="240"/>
        <w:jc w:val="both"/>
        <w:rPr>
          <w:rFonts w:ascii="Times New Roman" w:hAnsi="Times New Roman"/>
          <w:sz w:val="24"/>
          <w:szCs w:val="24"/>
        </w:rPr>
      </w:pPr>
      <w:r w:rsidRPr="001924DF">
        <w:rPr>
          <w:rFonts w:ascii="Times New Roman" w:hAnsi="Times New Roman"/>
          <w:sz w:val="24"/>
          <w:szCs w:val="24"/>
        </w:rPr>
        <w:t>APRA has assessed the instrument and is of the view that they it does not engage any of the applicable rights or freedoms recognised or declared in the international instruments listed in section 3 of the HRPS Act. Accordingly, in APRA’s assessment, the instrument is compatible with human rights.</w:t>
      </w:r>
    </w:p>
    <w:p w14:paraId="0932B693" w14:textId="77777777" w:rsidR="00DE17AF" w:rsidRPr="001924DF" w:rsidRDefault="00DE17AF" w:rsidP="00DE17AF">
      <w:pPr>
        <w:shd w:val="clear" w:color="auto" w:fill="FFFFFF"/>
        <w:spacing w:before="100" w:beforeAutospacing="1" w:after="240"/>
        <w:jc w:val="both"/>
        <w:rPr>
          <w:rFonts w:ascii="Times New Roman" w:hAnsi="Times New Roman"/>
          <w:sz w:val="24"/>
          <w:szCs w:val="24"/>
          <w:lang w:val="en-US"/>
        </w:rPr>
      </w:pPr>
      <w:r w:rsidRPr="001924DF">
        <w:rPr>
          <w:rFonts w:ascii="Times New Roman" w:hAnsi="Times New Roman"/>
          <w:b/>
          <w:bCs/>
          <w:sz w:val="24"/>
          <w:szCs w:val="24"/>
        </w:rPr>
        <w:t>Conclusion</w:t>
      </w:r>
    </w:p>
    <w:p w14:paraId="6A77C0B2" w14:textId="0F004129" w:rsidR="00B04B20" w:rsidRPr="001924DF" w:rsidRDefault="00DE17AF" w:rsidP="00424934">
      <w:pPr>
        <w:spacing w:after="240"/>
        <w:jc w:val="both"/>
        <w:rPr>
          <w:rFonts w:ascii="Times New Roman" w:hAnsi="Times New Roman"/>
          <w:sz w:val="24"/>
          <w:szCs w:val="24"/>
        </w:rPr>
      </w:pPr>
      <w:r w:rsidRPr="001924DF">
        <w:rPr>
          <w:rFonts w:ascii="Times New Roman" w:hAnsi="Times New Roman"/>
          <w:sz w:val="24"/>
          <w:szCs w:val="24"/>
        </w:rPr>
        <w:t>The instrument is compatible with human rights as it does not raise any human rights issues.</w:t>
      </w:r>
    </w:p>
    <w:sectPr w:rsidR="00B04B20" w:rsidRPr="001924DF"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C9D5C" w14:textId="77777777" w:rsidR="00770974" w:rsidRDefault="00770974" w:rsidP="00DF7DA0">
      <w:r>
        <w:separator/>
      </w:r>
    </w:p>
  </w:endnote>
  <w:endnote w:type="continuationSeparator" w:id="0">
    <w:p w14:paraId="23BBB215" w14:textId="77777777" w:rsidR="00770974" w:rsidRDefault="00770974" w:rsidP="00DF7DA0">
      <w:r>
        <w:continuationSeparator/>
      </w:r>
    </w:p>
  </w:endnote>
  <w:endnote w:type="continuationNotice" w:id="1">
    <w:p w14:paraId="3A1645DE" w14:textId="77777777" w:rsidR="00770974" w:rsidRDefault="00770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altName w:val="MV Boli"/>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770974" w:rsidRPr="00DF7DA0" w:rsidRDefault="00770974"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491A81">
          <w:rPr>
            <w:rFonts w:ascii="Times New Roman" w:hAnsi="Times New Roman"/>
            <w:bCs/>
            <w:noProof/>
            <w:sz w:val="24"/>
            <w:szCs w:val="24"/>
          </w:rPr>
          <w:t>4</w:t>
        </w:r>
        <w:r w:rsidRPr="00DF7DA0">
          <w:rPr>
            <w:rFonts w:ascii="Times New Roman" w:hAnsi="Times New Roman"/>
            <w:bCs/>
            <w:sz w:val="24"/>
            <w:szCs w:val="24"/>
          </w:rPr>
          <w:fldChar w:fldCharType="end"/>
        </w:r>
      </w:p>
    </w:sdtContent>
  </w:sdt>
  <w:p w14:paraId="63A27E33" w14:textId="77777777" w:rsidR="00770974" w:rsidRDefault="00770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7A181" w14:textId="77777777" w:rsidR="00770974" w:rsidRDefault="00770974" w:rsidP="00DF7DA0">
      <w:r>
        <w:separator/>
      </w:r>
    </w:p>
  </w:footnote>
  <w:footnote w:type="continuationSeparator" w:id="0">
    <w:p w14:paraId="3BC38FB7" w14:textId="77777777" w:rsidR="00770974" w:rsidRDefault="00770974" w:rsidP="00DF7DA0">
      <w:r>
        <w:continuationSeparator/>
      </w:r>
    </w:p>
  </w:footnote>
  <w:footnote w:type="continuationNotice" w:id="1">
    <w:p w14:paraId="6FA1C2F4" w14:textId="77777777" w:rsidR="00770974" w:rsidRDefault="00770974"/>
  </w:footnote>
  <w:footnote w:id="2">
    <w:p w14:paraId="3D4939C1" w14:textId="026F8F69" w:rsidR="00DD2B65" w:rsidRPr="00424934" w:rsidRDefault="00DD2B65">
      <w:pPr>
        <w:pStyle w:val="FootnoteText"/>
        <w:rPr>
          <w:rFonts w:ascii="Times New Roman" w:hAnsi="Times New Roman"/>
        </w:rPr>
      </w:pPr>
      <w:r w:rsidRPr="001E4AB6">
        <w:rPr>
          <w:rStyle w:val="FootnoteReference"/>
          <w:rFonts w:ascii="Times New Roman" w:hAnsi="Times New Roman"/>
        </w:rPr>
        <w:footnoteRef/>
      </w:r>
      <w:r w:rsidRPr="001E4AB6">
        <w:rPr>
          <w:rFonts w:ascii="Times New Roman" w:hAnsi="Times New Roman"/>
        </w:rPr>
        <w:t xml:space="preserve"> </w:t>
      </w:r>
      <w:r w:rsidRPr="00424934">
        <w:rPr>
          <w:rFonts w:ascii="Times New Roman" w:hAnsi="Times New Roman"/>
        </w:rPr>
        <w:t>Subsection 9A(4) of the Act specifically provides that APRA does not need to consult where APRA is satisfied that doing so could result in a delay in revocation that would be:</w:t>
      </w:r>
    </w:p>
    <w:p w14:paraId="780F6A57" w14:textId="3927973F" w:rsidR="00DD2B65" w:rsidRPr="00424934" w:rsidRDefault="00DD2B65" w:rsidP="001E4AB6">
      <w:pPr>
        <w:pStyle w:val="FootnoteText"/>
        <w:numPr>
          <w:ilvl w:val="0"/>
          <w:numId w:val="11"/>
        </w:numPr>
        <w:rPr>
          <w:rFonts w:ascii="Times New Roman" w:hAnsi="Times New Roman"/>
        </w:rPr>
      </w:pPr>
      <w:r w:rsidRPr="00424934">
        <w:rPr>
          <w:rFonts w:ascii="Times New Roman" w:hAnsi="Times New Roman"/>
        </w:rPr>
        <w:t>contrary to the national interest; or</w:t>
      </w:r>
    </w:p>
    <w:p w14:paraId="4DF1F466" w14:textId="02A07B56" w:rsidR="00DD2B65" w:rsidRPr="00424934" w:rsidRDefault="00DD2B65" w:rsidP="001E4AB6">
      <w:pPr>
        <w:pStyle w:val="FootnoteText"/>
        <w:numPr>
          <w:ilvl w:val="0"/>
          <w:numId w:val="11"/>
        </w:numPr>
        <w:rPr>
          <w:rFonts w:ascii="Times New Roman" w:hAnsi="Times New Roman"/>
        </w:rPr>
      </w:pPr>
      <w:r w:rsidRPr="00424934">
        <w:rPr>
          <w:rFonts w:ascii="Times New Roman" w:hAnsi="Times New Roman"/>
        </w:rPr>
        <w:t>contrary to the interests of depositors with the ADI.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0CEC"/>
    <w:multiLevelType w:val="hybridMultilevel"/>
    <w:tmpl w:val="37729F4C"/>
    <w:lvl w:ilvl="0" w:tplc="F06E4E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B01DCC"/>
    <w:multiLevelType w:val="hybridMultilevel"/>
    <w:tmpl w:val="9814B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C92DB8"/>
    <w:multiLevelType w:val="hybridMultilevel"/>
    <w:tmpl w:val="DD025594"/>
    <w:lvl w:ilvl="0" w:tplc="6E86A1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9D15727"/>
    <w:multiLevelType w:val="hybridMultilevel"/>
    <w:tmpl w:val="5A4EC8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6A3BF2"/>
    <w:multiLevelType w:val="hybridMultilevel"/>
    <w:tmpl w:val="DDEEA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FE6E91"/>
    <w:multiLevelType w:val="hybridMultilevel"/>
    <w:tmpl w:val="F02EC890"/>
    <w:lvl w:ilvl="0" w:tplc="0C090001">
      <w:start w:val="1"/>
      <w:numFmt w:val="bullet"/>
      <w:lvlText w:val=""/>
      <w:lvlJc w:val="left"/>
      <w:pPr>
        <w:ind w:left="360" w:hanging="360"/>
      </w:pPr>
      <w:rPr>
        <w:rFonts w:ascii="Symbol" w:hAnsi="Symbol" w:hint="default"/>
      </w:rPr>
    </w:lvl>
    <w:lvl w:ilvl="1" w:tplc="17C64824">
      <w:start w:val="1"/>
      <w:numFmt w:val="bullet"/>
      <w:lvlText w:val="–"/>
      <w:lvlJc w:val="left"/>
      <w:pPr>
        <w:ind w:left="1069" w:hanging="360"/>
      </w:pPr>
      <w:rPr>
        <w:rFonts w:ascii="Times New Roman" w:hAnsi="Times New Roman" w:cs="Times New Roman" w:hint="default"/>
        <w:color w:val="auto"/>
        <w:sz w:val="24"/>
        <w:szCs w:val="24"/>
      </w:rPr>
    </w:lvl>
    <w:lvl w:ilvl="2" w:tplc="0C090005" w:tentative="1">
      <w:start w:val="1"/>
      <w:numFmt w:val="bullet"/>
      <w:lvlText w:val=""/>
      <w:lvlJc w:val="left"/>
      <w:pPr>
        <w:ind w:left="2541" w:hanging="360"/>
      </w:pPr>
      <w:rPr>
        <w:rFonts w:ascii="Wingdings" w:hAnsi="Wingdings" w:hint="default"/>
      </w:rPr>
    </w:lvl>
    <w:lvl w:ilvl="3" w:tplc="0C090001" w:tentative="1">
      <w:start w:val="1"/>
      <w:numFmt w:val="bullet"/>
      <w:lvlText w:val=""/>
      <w:lvlJc w:val="left"/>
      <w:pPr>
        <w:ind w:left="3261" w:hanging="360"/>
      </w:pPr>
      <w:rPr>
        <w:rFonts w:ascii="Symbol" w:hAnsi="Symbol" w:hint="default"/>
      </w:rPr>
    </w:lvl>
    <w:lvl w:ilvl="4" w:tplc="0C090003" w:tentative="1">
      <w:start w:val="1"/>
      <w:numFmt w:val="bullet"/>
      <w:lvlText w:val="o"/>
      <w:lvlJc w:val="left"/>
      <w:pPr>
        <w:ind w:left="3981" w:hanging="360"/>
      </w:pPr>
      <w:rPr>
        <w:rFonts w:ascii="Courier New" w:hAnsi="Courier New" w:cs="Courier New" w:hint="default"/>
      </w:rPr>
    </w:lvl>
    <w:lvl w:ilvl="5" w:tplc="0C090005" w:tentative="1">
      <w:start w:val="1"/>
      <w:numFmt w:val="bullet"/>
      <w:lvlText w:val=""/>
      <w:lvlJc w:val="left"/>
      <w:pPr>
        <w:ind w:left="4701" w:hanging="360"/>
      </w:pPr>
      <w:rPr>
        <w:rFonts w:ascii="Wingdings" w:hAnsi="Wingdings" w:hint="default"/>
      </w:rPr>
    </w:lvl>
    <w:lvl w:ilvl="6" w:tplc="0C090001" w:tentative="1">
      <w:start w:val="1"/>
      <w:numFmt w:val="bullet"/>
      <w:lvlText w:val=""/>
      <w:lvlJc w:val="left"/>
      <w:pPr>
        <w:ind w:left="5421" w:hanging="360"/>
      </w:pPr>
      <w:rPr>
        <w:rFonts w:ascii="Symbol" w:hAnsi="Symbol" w:hint="default"/>
      </w:rPr>
    </w:lvl>
    <w:lvl w:ilvl="7" w:tplc="0C090003" w:tentative="1">
      <w:start w:val="1"/>
      <w:numFmt w:val="bullet"/>
      <w:lvlText w:val="o"/>
      <w:lvlJc w:val="left"/>
      <w:pPr>
        <w:ind w:left="6141" w:hanging="360"/>
      </w:pPr>
      <w:rPr>
        <w:rFonts w:ascii="Courier New" w:hAnsi="Courier New" w:cs="Courier New" w:hint="default"/>
      </w:rPr>
    </w:lvl>
    <w:lvl w:ilvl="8" w:tplc="0C090005" w:tentative="1">
      <w:start w:val="1"/>
      <w:numFmt w:val="bullet"/>
      <w:lvlText w:val=""/>
      <w:lvlJc w:val="left"/>
      <w:pPr>
        <w:ind w:left="6861" w:hanging="360"/>
      </w:pPr>
      <w:rPr>
        <w:rFonts w:ascii="Wingdings" w:hAnsi="Wingdings" w:hint="default"/>
      </w:rPr>
    </w:lvl>
  </w:abstractNum>
  <w:abstractNum w:abstractNumId="10"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3"/>
  </w:num>
  <w:num w:numId="5">
    <w:abstractNumId w:val="6"/>
  </w:num>
  <w:num w:numId="6">
    <w:abstractNumId w:val="5"/>
  </w:num>
  <w:num w:numId="7">
    <w:abstractNumId w:val="1"/>
  </w:num>
  <w:num w:numId="8">
    <w:abstractNumId w:val="7"/>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3930"/>
    <w:rsid w:val="00003D3A"/>
    <w:rsid w:val="00004503"/>
    <w:rsid w:val="00004FE9"/>
    <w:rsid w:val="0003666A"/>
    <w:rsid w:val="000401FC"/>
    <w:rsid w:val="0004558A"/>
    <w:rsid w:val="000542A2"/>
    <w:rsid w:val="00056801"/>
    <w:rsid w:val="00060835"/>
    <w:rsid w:val="00061A00"/>
    <w:rsid w:val="000637C1"/>
    <w:rsid w:val="000756C0"/>
    <w:rsid w:val="0008372F"/>
    <w:rsid w:val="0009149D"/>
    <w:rsid w:val="000B11C0"/>
    <w:rsid w:val="000B14E5"/>
    <w:rsid w:val="000B6A84"/>
    <w:rsid w:val="000D18B5"/>
    <w:rsid w:val="000E369C"/>
    <w:rsid w:val="000F58B4"/>
    <w:rsid w:val="00106D35"/>
    <w:rsid w:val="001239C7"/>
    <w:rsid w:val="0013172E"/>
    <w:rsid w:val="00142A28"/>
    <w:rsid w:val="00143BBD"/>
    <w:rsid w:val="001507E3"/>
    <w:rsid w:val="00155C61"/>
    <w:rsid w:val="0016350D"/>
    <w:rsid w:val="001747B7"/>
    <w:rsid w:val="00175AE8"/>
    <w:rsid w:val="001801A1"/>
    <w:rsid w:val="00182FA1"/>
    <w:rsid w:val="001924DF"/>
    <w:rsid w:val="00194E06"/>
    <w:rsid w:val="00195547"/>
    <w:rsid w:val="0019602E"/>
    <w:rsid w:val="00197CF9"/>
    <w:rsid w:val="001C3F20"/>
    <w:rsid w:val="001D056B"/>
    <w:rsid w:val="001D6AA4"/>
    <w:rsid w:val="001D7DFF"/>
    <w:rsid w:val="001E4AB6"/>
    <w:rsid w:val="001F4A2C"/>
    <w:rsid w:val="00223ADB"/>
    <w:rsid w:val="00224130"/>
    <w:rsid w:val="00230760"/>
    <w:rsid w:val="00231EC3"/>
    <w:rsid w:val="002436BD"/>
    <w:rsid w:val="00246723"/>
    <w:rsid w:val="00256166"/>
    <w:rsid w:val="0026539D"/>
    <w:rsid w:val="0028191A"/>
    <w:rsid w:val="00284C33"/>
    <w:rsid w:val="00291C35"/>
    <w:rsid w:val="002A73BD"/>
    <w:rsid w:val="002B1690"/>
    <w:rsid w:val="002C5BE2"/>
    <w:rsid w:val="002D3249"/>
    <w:rsid w:val="002D6985"/>
    <w:rsid w:val="002F56BB"/>
    <w:rsid w:val="00300AE5"/>
    <w:rsid w:val="0030506B"/>
    <w:rsid w:val="00317586"/>
    <w:rsid w:val="00317FEB"/>
    <w:rsid w:val="00320E46"/>
    <w:rsid w:val="00354CB8"/>
    <w:rsid w:val="00355267"/>
    <w:rsid w:val="003802F7"/>
    <w:rsid w:val="00381C83"/>
    <w:rsid w:val="00386134"/>
    <w:rsid w:val="003866AD"/>
    <w:rsid w:val="00394767"/>
    <w:rsid w:val="003B2F19"/>
    <w:rsid w:val="003B4165"/>
    <w:rsid w:val="003B4C45"/>
    <w:rsid w:val="003C498C"/>
    <w:rsid w:val="003D24CE"/>
    <w:rsid w:val="003D2EB4"/>
    <w:rsid w:val="003D5032"/>
    <w:rsid w:val="003D765B"/>
    <w:rsid w:val="003E12BB"/>
    <w:rsid w:val="003E4AFF"/>
    <w:rsid w:val="003F1956"/>
    <w:rsid w:val="0040175E"/>
    <w:rsid w:val="00402C1B"/>
    <w:rsid w:val="004126EE"/>
    <w:rsid w:val="00422164"/>
    <w:rsid w:val="00424934"/>
    <w:rsid w:val="004307AF"/>
    <w:rsid w:val="00431404"/>
    <w:rsid w:val="00443A02"/>
    <w:rsid w:val="00457C57"/>
    <w:rsid w:val="00462C7E"/>
    <w:rsid w:val="00467C46"/>
    <w:rsid w:val="00470375"/>
    <w:rsid w:val="004802F2"/>
    <w:rsid w:val="004912F1"/>
    <w:rsid w:val="00491A81"/>
    <w:rsid w:val="004C2B41"/>
    <w:rsid w:val="004C3D07"/>
    <w:rsid w:val="004D55F9"/>
    <w:rsid w:val="004E2008"/>
    <w:rsid w:val="004E4390"/>
    <w:rsid w:val="004E59AA"/>
    <w:rsid w:val="004E6051"/>
    <w:rsid w:val="004F1D71"/>
    <w:rsid w:val="004F7216"/>
    <w:rsid w:val="005030EB"/>
    <w:rsid w:val="00504781"/>
    <w:rsid w:val="00506102"/>
    <w:rsid w:val="00513149"/>
    <w:rsid w:val="00516B9B"/>
    <w:rsid w:val="005242D5"/>
    <w:rsid w:val="00525897"/>
    <w:rsid w:val="005270BC"/>
    <w:rsid w:val="00551B84"/>
    <w:rsid w:val="0056141D"/>
    <w:rsid w:val="00591F05"/>
    <w:rsid w:val="0059458C"/>
    <w:rsid w:val="005A038D"/>
    <w:rsid w:val="005A0E77"/>
    <w:rsid w:val="005B5B2C"/>
    <w:rsid w:val="005D1AF5"/>
    <w:rsid w:val="005E5910"/>
    <w:rsid w:val="005E6E6B"/>
    <w:rsid w:val="005F0098"/>
    <w:rsid w:val="005F3A15"/>
    <w:rsid w:val="005F3B98"/>
    <w:rsid w:val="005F5CDB"/>
    <w:rsid w:val="00613CBF"/>
    <w:rsid w:val="00616A26"/>
    <w:rsid w:val="00622480"/>
    <w:rsid w:val="00633F80"/>
    <w:rsid w:val="00634D9B"/>
    <w:rsid w:val="00647553"/>
    <w:rsid w:val="00647D58"/>
    <w:rsid w:val="00651403"/>
    <w:rsid w:val="0065298A"/>
    <w:rsid w:val="006536F5"/>
    <w:rsid w:val="00657678"/>
    <w:rsid w:val="006615E7"/>
    <w:rsid w:val="00673914"/>
    <w:rsid w:val="00677273"/>
    <w:rsid w:val="00682865"/>
    <w:rsid w:val="00684F73"/>
    <w:rsid w:val="00693999"/>
    <w:rsid w:val="00694691"/>
    <w:rsid w:val="006A02A5"/>
    <w:rsid w:val="006B093F"/>
    <w:rsid w:val="006B0E25"/>
    <w:rsid w:val="006B1B64"/>
    <w:rsid w:val="006D0143"/>
    <w:rsid w:val="00702AEC"/>
    <w:rsid w:val="007031F4"/>
    <w:rsid w:val="007049CF"/>
    <w:rsid w:val="007059C5"/>
    <w:rsid w:val="0072663D"/>
    <w:rsid w:val="007368AD"/>
    <w:rsid w:val="007428D4"/>
    <w:rsid w:val="00745395"/>
    <w:rsid w:val="00747AFF"/>
    <w:rsid w:val="007548D7"/>
    <w:rsid w:val="007619F6"/>
    <w:rsid w:val="00766F24"/>
    <w:rsid w:val="00770974"/>
    <w:rsid w:val="00785CDC"/>
    <w:rsid w:val="00790080"/>
    <w:rsid w:val="007923BF"/>
    <w:rsid w:val="00795735"/>
    <w:rsid w:val="007B43D2"/>
    <w:rsid w:val="007C14A8"/>
    <w:rsid w:val="007C4F01"/>
    <w:rsid w:val="007D10A1"/>
    <w:rsid w:val="007D3FF2"/>
    <w:rsid w:val="007E0C20"/>
    <w:rsid w:val="007E11AF"/>
    <w:rsid w:val="007E4B2A"/>
    <w:rsid w:val="007E4F25"/>
    <w:rsid w:val="007E5B3F"/>
    <w:rsid w:val="008067A4"/>
    <w:rsid w:val="00813C4B"/>
    <w:rsid w:val="00827ACE"/>
    <w:rsid w:val="00830F66"/>
    <w:rsid w:val="00837C6B"/>
    <w:rsid w:val="00865B07"/>
    <w:rsid w:val="00877343"/>
    <w:rsid w:val="00880CC9"/>
    <w:rsid w:val="00885F41"/>
    <w:rsid w:val="008A3C78"/>
    <w:rsid w:val="008B43B9"/>
    <w:rsid w:val="008C0C2E"/>
    <w:rsid w:val="008C0C63"/>
    <w:rsid w:val="008C25C9"/>
    <w:rsid w:val="008C7C92"/>
    <w:rsid w:val="008D3C4E"/>
    <w:rsid w:val="008D5E81"/>
    <w:rsid w:val="008D7DE4"/>
    <w:rsid w:val="008E60AA"/>
    <w:rsid w:val="008F2DBE"/>
    <w:rsid w:val="009037D6"/>
    <w:rsid w:val="009109E2"/>
    <w:rsid w:val="00916845"/>
    <w:rsid w:val="00920C73"/>
    <w:rsid w:val="00925FA2"/>
    <w:rsid w:val="00932EFA"/>
    <w:rsid w:val="00966606"/>
    <w:rsid w:val="009669EA"/>
    <w:rsid w:val="00967D16"/>
    <w:rsid w:val="009927BF"/>
    <w:rsid w:val="00995B88"/>
    <w:rsid w:val="009A2C39"/>
    <w:rsid w:val="009B6054"/>
    <w:rsid w:val="009B7CE6"/>
    <w:rsid w:val="009C1DC7"/>
    <w:rsid w:val="009C502C"/>
    <w:rsid w:val="009C5368"/>
    <w:rsid w:val="009D3304"/>
    <w:rsid w:val="009E1CAA"/>
    <w:rsid w:val="009E1D26"/>
    <w:rsid w:val="009E2CF7"/>
    <w:rsid w:val="009E77FF"/>
    <w:rsid w:val="009F1700"/>
    <w:rsid w:val="00A02101"/>
    <w:rsid w:val="00A279AF"/>
    <w:rsid w:val="00A33838"/>
    <w:rsid w:val="00A3706D"/>
    <w:rsid w:val="00A37583"/>
    <w:rsid w:val="00A4133B"/>
    <w:rsid w:val="00A43FD5"/>
    <w:rsid w:val="00A5585F"/>
    <w:rsid w:val="00A56CE4"/>
    <w:rsid w:val="00A573C7"/>
    <w:rsid w:val="00A61773"/>
    <w:rsid w:val="00A6325C"/>
    <w:rsid w:val="00A63A2B"/>
    <w:rsid w:val="00A648DB"/>
    <w:rsid w:val="00A70FD9"/>
    <w:rsid w:val="00A75996"/>
    <w:rsid w:val="00A80C4F"/>
    <w:rsid w:val="00A84FF2"/>
    <w:rsid w:val="00A86F38"/>
    <w:rsid w:val="00A94110"/>
    <w:rsid w:val="00A957FA"/>
    <w:rsid w:val="00AA4AE5"/>
    <w:rsid w:val="00AB04FB"/>
    <w:rsid w:val="00AB3A36"/>
    <w:rsid w:val="00AC2517"/>
    <w:rsid w:val="00AC3447"/>
    <w:rsid w:val="00AC61D6"/>
    <w:rsid w:val="00AC72F0"/>
    <w:rsid w:val="00AC7A56"/>
    <w:rsid w:val="00AD023D"/>
    <w:rsid w:val="00B04B20"/>
    <w:rsid w:val="00B11F7E"/>
    <w:rsid w:val="00B12C30"/>
    <w:rsid w:val="00B24023"/>
    <w:rsid w:val="00B272AC"/>
    <w:rsid w:val="00B43E55"/>
    <w:rsid w:val="00B545CB"/>
    <w:rsid w:val="00B54B6F"/>
    <w:rsid w:val="00B5548A"/>
    <w:rsid w:val="00B639CE"/>
    <w:rsid w:val="00B64B2E"/>
    <w:rsid w:val="00B85B6E"/>
    <w:rsid w:val="00BA5066"/>
    <w:rsid w:val="00BB1678"/>
    <w:rsid w:val="00BB4555"/>
    <w:rsid w:val="00BF2953"/>
    <w:rsid w:val="00BF7ECC"/>
    <w:rsid w:val="00C27EF2"/>
    <w:rsid w:val="00C302FA"/>
    <w:rsid w:val="00C323F0"/>
    <w:rsid w:val="00C34863"/>
    <w:rsid w:val="00C35048"/>
    <w:rsid w:val="00C52787"/>
    <w:rsid w:val="00C8135A"/>
    <w:rsid w:val="00C84716"/>
    <w:rsid w:val="00C87B4F"/>
    <w:rsid w:val="00C948AA"/>
    <w:rsid w:val="00C95353"/>
    <w:rsid w:val="00C97369"/>
    <w:rsid w:val="00C97AB3"/>
    <w:rsid w:val="00CA6CB3"/>
    <w:rsid w:val="00CB24AB"/>
    <w:rsid w:val="00CB384A"/>
    <w:rsid w:val="00CB3901"/>
    <w:rsid w:val="00CC60AF"/>
    <w:rsid w:val="00CC6FEB"/>
    <w:rsid w:val="00CD02F9"/>
    <w:rsid w:val="00CD1947"/>
    <w:rsid w:val="00CD4C92"/>
    <w:rsid w:val="00CE1BB4"/>
    <w:rsid w:val="00CE7CE7"/>
    <w:rsid w:val="00D002D0"/>
    <w:rsid w:val="00D15C84"/>
    <w:rsid w:val="00D17ABC"/>
    <w:rsid w:val="00D26058"/>
    <w:rsid w:val="00D3392D"/>
    <w:rsid w:val="00D44C67"/>
    <w:rsid w:val="00D45979"/>
    <w:rsid w:val="00D47910"/>
    <w:rsid w:val="00D564C9"/>
    <w:rsid w:val="00D57930"/>
    <w:rsid w:val="00D61154"/>
    <w:rsid w:val="00D61431"/>
    <w:rsid w:val="00D6271C"/>
    <w:rsid w:val="00D64906"/>
    <w:rsid w:val="00D775DF"/>
    <w:rsid w:val="00D81CC2"/>
    <w:rsid w:val="00D87E36"/>
    <w:rsid w:val="00D934BF"/>
    <w:rsid w:val="00D93E56"/>
    <w:rsid w:val="00DA66A7"/>
    <w:rsid w:val="00DB0ED3"/>
    <w:rsid w:val="00DB243F"/>
    <w:rsid w:val="00DC0565"/>
    <w:rsid w:val="00DC2B23"/>
    <w:rsid w:val="00DD2B65"/>
    <w:rsid w:val="00DD7DBA"/>
    <w:rsid w:val="00DE17AF"/>
    <w:rsid w:val="00DF524E"/>
    <w:rsid w:val="00DF7DA0"/>
    <w:rsid w:val="00E02BD7"/>
    <w:rsid w:val="00E14FFC"/>
    <w:rsid w:val="00E15497"/>
    <w:rsid w:val="00E16789"/>
    <w:rsid w:val="00E201A8"/>
    <w:rsid w:val="00E223BB"/>
    <w:rsid w:val="00E250CE"/>
    <w:rsid w:val="00E25799"/>
    <w:rsid w:val="00E25C50"/>
    <w:rsid w:val="00E2744F"/>
    <w:rsid w:val="00E52DFE"/>
    <w:rsid w:val="00E633C2"/>
    <w:rsid w:val="00E63EF9"/>
    <w:rsid w:val="00E65B55"/>
    <w:rsid w:val="00E752AA"/>
    <w:rsid w:val="00E758B5"/>
    <w:rsid w:val="00E90C89"/>
    <w:rsid w:val="00E95A52"/>
    <w:rsid w:val="00E97A47"/>
    <w:rsid w:val="00EA669F"/>
    <w:rsid w:val="00EA6751"/>
    <w:rsid w:val="00EB2719"/>
    <w:rsid w:val="00EB50E6"/>
    <w:rsid w:val="00EC5653"/>
    <w:rsid w:val="00ED64C1"/>
    <w:rsid w:val="00EE384B"/>
    <w:rsid w:val="00EF1CBC"/>
    <w:rsid w:val="00EF3788"/>
    <w:rsid w:val="00F06207"/>
    <w:rsid w:val="00F06D80"/>
    <w:rsid w:val="00F1139E"/>
    <w:rsid w:val="00F21095"/>
    <w:rsid w:val="00F30715"/>
    <w:rsid w:val="00F30C64"/>
    <w:rsid w:val="00F30C81"/>
    <w:rsid w:val="00F436BC"/>
    <w:rsid w:val="00F469A2"/>
    <w:rsid w:val="00F52D1E"/>
    <w:rsid w:val="00F53C76"/>
    <w:rsid w:val="00F5607A"/>
    <w:rsid w:val="00F7706D"/>
    <w:rsid w:val="00F91B72"/>
    <w:rsid w:val="00F97432"/>
    <w:rsid w:val="00FA12AA"/>
    <w:rsid w:val="00FA42F6"/>
    <w:rsid w:val="00FA5345"/>
    <w:rsid w:val="00FD5004"/>
    <w:rsid w:val="00FD728F"/>
    <w:rsid w:val="00FF4B0B"/>
    <w:rsid w:val="00FF5166"/>
    <w:rsid w:val="00FF531B"/>
    <w:rsid w:val="00FF6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semiHidden/>
    <w:unhideWhenUsed/>
    <w:rsid w:val="000B6A84"/>
    <w:rPr>
      <w:sz w:val="20"/>
    </w:rPr>
  </w:style>
  <w:style w:type="character" w:customStyle="1" w:styleId="FootnoteTextChar">
    <w:name w:val="Footnote Text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rsid w:val="000B6A84"/>
    <w:rPr>
      <w:vertAlign w:val="superscript"/>
    </w:rPr>
  </w:style>
  <w:style w:type="paragraph" w:customStyle="1" w:styleId="APRANORMAL">
    <w:name w:val="APRA NORMAL"/>
    <w:basedOn w:val="Normal"/>
    <w:link w:val="APRANORMALChar"/>
    <w:qFormat/>
    <w:rsid w:val="005D1AF5"/>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5D1AF5"/>
    <w:rPr>
      <w:rFonts w:ascii="DIN OT Light" w:eastAsiaTheme="minorHAnsi" w:hAnsi="DIN OT Light"/>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Precedent</TermName>
          <TermId xmlns="http://schemas.microsoft.com/office/infopath/2007/PartnerControls">197f51c4-dc37-4f46-99ec-cabda449ee10</TermId>
        </TermInfo>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109</Value>
      <Value>26</Value>
      <Value>136</Value>
      <Value>24</Value>
      <Value>134</Value>
      <Value>19</Value>
      <Value>93</Value>
      <Value>10</Value>
      <Value>234</Value>
      <Value>158</Value>
      <Value>83</Value>
      <Value>229</Value>
      <Value>4</Value>
      <Value>185</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Banking (prudential standard) determination No. 7 of 2020 - APS 222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5JENXJJSCC7A-445999044-11374</_dlc_DocId>
    <_dlc_DocIdUrl xmlns="814d62cb-2db6-4c25-ab62-b9075facbc11">
      <Url>https://im/teams/LEGAL/_layouts/15/DocIdRedir.aspx?ID=5JENXJJSCC7A-445999044-11374</Url>
      <Description>5JENXJJSCC7A-445999044-11374</Description>
    </_dlc_DocIdUrl>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2.xml><?xml version="1.0" encoding="utf-8"?>
<ds:datastoreItem xmlns:ds="http://schemas.openxmlformats.org/officeDocument/2006/customXml" ds:itemID="{6AD1B70D-A6A8-4556-B7C1-F94206C4A61B}">
  <ds:schemaRefs>
    <ds:schemaRef ds:uri="http://schemas.microsoft.com/office/infopath/2007/PartnerControls"/>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814d62cb-2db6-4c25-ab62-b9075facbc11"/>
  </ds:schemaRefs>
</ds:datastoreItem>
</file>

<file path=customXml/itemProps3.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4.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5.xml><?xml version="1.0" encoding="utf-8"?>
<ds:datastoreItem xmlns:ds="http://schemas.openxmlformats.org/officeDocument/2006/customXml" ds:itemID="{96DCD5DF-1D00-4C0C-B4DB-7E631BDCD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85C83D-7886-4571-BABE-094614D0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1</TotalTime>
  <Pages>5</Pages>
  <Words>1637</Words>
  <Characters>9006</Characters>
  <Application>Microsoft Office Word</Application>
  <DocSecurity>0</DocSecurity>
  <Lines>155</Lines>
  <Paragraphs>60</Paragraphs>
  <ScaleCrop>false</ScaleCrop>
  <HeadingPairs>
    <vt:vector size="2" baseType="variant">
      <vt:variant>
        <vt:lpstr>Title</vt:lpstr>
      </vt:variant>
      <vt:variant>
        <vt:i4>1</vt:i4>
      </vt:variant>
    </vt:vector>
  </HeadingPairs>
  <TitlesOfParts>
    <vt:vector size="1" baseType="lpstr">
      <vt:lpstr>Explanatory statement revoke and replace prudential standard</vt:lpstr>
    </vt:vector>
  </TitlesOfParts>
  <Company>APRA</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7 of 2020 - APS 222</dc:title>
  <dc:creator>Sullivan, David</dc:creator>
  <cp:keywords>[SEC=OFFICIAL]</cp:keywords>
  <cp:lastModifiedBy>Michalis, Toni</cp:lastModifiedBy>
  <cp:revision>2</cp:revision>
  <cp:lastPrinted>2019-11-29T01:08:00Z</cp:lastPrinted>
  <dcterms:created xsi:type="dcterms:W3CDTF">2020-12-08T23:11:00Z</dcterms:created>
  <dcterms:modified xsi:type="dcterms:W3CDTF">2020-12-08T23:11:00Z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371568329BCC139FD8F5BFC1FF353AB0832CA5C0</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21ED1FDBCD7D4344A20D6AFD8053454A</vt:lpwstr>
  </property>
  <property fmtid="{D5CDD505-2E9C-101B-9397-08002B2CF9AE}" pid="16" name="PM_OriginationTimeStamp">
    <vt:lpwstr>2020-12-08T23:10:57Z</vt:lpwstr>
  </property>
  <property fmtid="{D5CDD505-2E9C-101B-9397-08002B2CF9AE}" pid="17" name="PM_Hash_Version">
    <vt:lpwstr>2018.0</vt:lpwstr>
  </property>
  <property fmtid="{D5CDD505-2E9C-101B-9397-08002B2CF9AE}" pid="18" name="PM_Hash_Salt_Prev">
    <vt:lpwstr>9AF1FDDD0254B8B0D02004B456CBA371</vt:lpwstr>
  </property>
  <property fmtid="{D5CDD505-2E9C-101B-9397-08002B2CF9AE}" pid="19" name="PM_Hash_Salt">
    <vt:lpwstr>8FAF5D721895ACB9F928ECB6E426B117</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4" name="APRAYear">
    <vt:lpwstr>229;#2020|29ca90e3-c619-4296-b1bf-6e33e4d24a28</vt:lpwstr>
  </property>
  <property fmtid="{D5CDD505-2E9C-101B-9397-08002B2CF9AE}" pid="25" name="APRAIndustry">
    <vt:lpwstr/>
  </property>
  <property fmtid="{D5CDD505-2E9C-101B-9397-08002B2CF9AE}" pid="26" name="APRAPRSG">
    <vt:lpwstr/>
  </property>
  <property fmtid="{D5CDD505-2E9C-101B-9397-08002B2CF9AE}" pid="27" name="_dlc_DocIdItemGuid">
    <vt:lpwstr>1235b1d3-3918-462e-b40d-967d159d223d</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185;#Precedent|197f51c4-dc37-4f46-99ec-cabda449ee10;#234;#Explanatory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136;#Prudential policy development|4cf81ba0-32a2-4f8f-8216-9e632903331b;#10;#Registration|390476ce-d76d-4e8d-905f-28e32d2df127;#109;#Statutory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{1235b1d3-3918-462e-b40d-967d159d223d}</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RecordPoint_SubmissionDate">
    <vt:lpwstr/>
  </property>
  <property fmtid="{D5CDD505-2E9C-101B-9397-08002B2CF9AE}" pid="46" name="RecordPoint_ActiveItemMoved">
    <vt:lpwstr/>
  </property>
  <property fmtid="{D5CDD505-2E9C-101B-9397-08002B2CF9AE}" pid="47" name="RecordPoint_RecordFormat">
    <vt:lpwstr/>
  </property>
  <property fmtid="{D5CDD505-2E9C-101B-9397-08002B2CF9AE}" pid="48" name="_docset_NoMedatataSyncRequired">
    <vt:lpwstr>False</vt:lpwstr>
  </property>
  <property fmtid="{D5CDD505-2E9C-101B-9397-08002B2CF9AE}" pid="49" name="PM_SecurityClassification_Prev">
    <vt:lpwstr>OFFICIAL</vt:lpwstr>
  </property>
  <property fmtid="{D5CDD505-2E9C-101B-9397-08002B2CF9AE}" pid="50" name="PM_Qualifier_Prev">
    <vt:lpwstr/>
  </property>
  <property fmtid="{D5CDD505-2E9C-101B-9397-08002B2CF9AE}" pid="51" name="PM_Note">
    <vt:lpwstr/>
  </property>
  <property fmtid="{D5CDD505-2E9C-101B-9397-08002B2CF9AE}" pid="52" name="PM_Markers">
    <vt:lpwstr/>
  </property>
</Properties>
</file>