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E526C" w14:textId="77777777" w:rsidR="00801C63" w:rsidRPr="001E5413" w:rsidRDefault="00801C63" w:rsidP="00801C63">
      <w:pPr>
        <w:pStyle w:val="Heading1"/>
        <w:spacing w:after="0" w:line="240" w:lineRule="auto"/>
        <w:jc w:val="center"/>
      </w:pPr>
      <w:bookmarkStart w:id="0" w:name="_GoBack"/>
      <w:bookmarkEnd w:id="0"/>
      <w:r w:rsidRPr="001E5413">
        <w:rPr>
          <w:rFonts w:ascii="Times New Roman" w:hAnsi="Times New Roman"/>
          <w:b/>
          <w:sz w:val="24"/>
          <w:u w:val="single"/>
        </w:rPr>
        <w:t>Work health and safety</w:t>
      </w:r>
      <w:r w:rsidR="009D73C0" w:rsidRPr="001E5413">
        <w:rPr>
          <w:rFonts w:ascii="Times New Roman" w:hAnsi="Times New Roman"/>
          <w:b/>
          <w:sz w:val="24"/>
          <w:u w:val="single"/>
        </w:rPr>
        <w:t xml:space="preserve"> Amendment</w:t>
      </w:r>
      <w:r w:rsidRPr="001E5413">
        <w:rPr>
          <w:rFonts w:ascii="Times New Roman" w:hAnsi="Times New Roman"/>
          <w:b/>
          <w:sz w:val="24"/>
          <w:u w:val="single"/>
        </w:rPr>
        <w:t xml:space="preserve"> (hazardous chemicals) regulations 2020</w:t>
      </w:r>
    </w:p>
    <w:p w14:paraId="5E5CF9CF" w14:textId="77777777" w:rsidR="00801C63" w:rsidRPr="001E5413" w:rsidRDefault="00801C63" w:rsidP="00801C63">
      <w:pPr>
        <w:spacing w:before="240" w:after="360" w:line="240" w:lineRule="auto"/>
        <w:ind w:right="91"/>
        <w:jc w:val="center"/>
        <w:rPr>
          <w:rFonts w:ascii="Times New Roman" w:hAnsi="Times New Roman"/>
          <w:b/>
          <w:color w:val="FF0000"/>
          <w:sz w:val="24"/>
          <w:u w:val="single"/>
        </w:rPr>
      </w:pPr>
    </w:p>
    <w:p w14:paraId="2FE86EB7" w14:textId="77777777" w:rsidR="00801C63" w:rsidRPr="001E5413" w:rsidRDefault="00801C63" w:rsidP="00801C63">
      <w:pPr>
        <w:pStyle w:val="Heading1"/>
        <w:spacing w:before="0" w:after="0" w:line="240" w:lineRule="auto"/>
        <w:jc w:val="center"/>
        <w:rPr>
          <w:szCs w:val="24"/>
        </w:rPr>
      </w:pPr>
      <w:r w:rsidRPr="001E5413">
        <w:rPr>
          <w:rFonts w:ascii="Times New Roman" w:hAnsi="Times New Roman"/>
          <w:b/>
          <w:sz w:val="24"/>
          <w:u w:val="single"/>
        </w:rPr>
        <w:t xml:space="preserve">EXPLANATORY STATEMENT </w:t>
      </w:r>
      <w:r w:rsidRPr="001E5413">
        <w:rPr>
          <w:rFonts w:ascii="Times New Roman" w:hAnsi="Times New Roman"/>
          <w:b/>
          <w:sz w:val="24"/>
          <w:u w:val="single"/>
        </w:rPr>
        <w:br/>
      </w:r>
    </w:p>
    <w:p w14:paraId="02EC2745" w14:textId="77777777" w:rsidR="00801C63" w:rsidRPr="001E5413" w:rsidRDefault="00801C63" w:rsidP="00801C63">
      <w:pPr>
        <w:tabs>
          <w:tab w:val="left" w:pos="993"/>
        </w:tabs>
        <w:spacing w:before="240" w:after="240" w:line="240" w:lineRule="auto"/>
        <w:ind w:left="1440" w:right="91" w:hanging="1440"/>
        <w:jc w:val="center"/>
        <w:rPr>
          <w:rFonts w:ascii="Times New Roman" w:hAnsi="Times New Roman" w:cs="Times New Roman"/>
        </w:rPr>
      </w:pPr>
      <w:r w:rsidRPr="001E5413">
        <w:rPr>
          <w:rFonts w:ascii="Times New Roman" w:hAnsi="Times New Roman" w:cs="Times New Roman"/>
        </w:rPr>
        <w:t xml:space="preserve">Issued by authority of the Minister for Industrial Relations  </w:t>
      </w:r>
    </w:p>
    <w:p w14:paraId="38AB2BCD" w14:textId="77777777" w:rsidR="00801C63" w:rsidRPr="001E5413" w:rsidRDefault="00801C63" w:rsidP="00801C63">
      <w:pPr>
        <w:spacing w:line="360" w:lineRule="auto"/>
        <w:jc w:val="center"/>
        <w:rPr>
          <w:rFonts w:ascii="Times New Roman" w:hAnsi="Times New Roman" w:cs="Times New Roman"/>
          <w:color w:val="FF0000"/>
        </w:rPr>
      </w:pPr>
      <w:r w:rsidRPr="001E5413">
        <w:rPr>
          <w:rFonts w:ascii="Times New Roman" w:hAnsi="Times New Roman" w:cs="Times New Roman"/>
        </w:rPr>
        <w:t xml:space="preserve">under </w:t>
      </w:r>
      <w:r w:rsidR="005C123A">
        <w:rPr>
          <w:rFonts w:ascii="Times New Roman" w:hAnsi="Times New Roman" w:cs="Times New Roman"/>
        </w:rPr>
        <w:t>subsection</w:t>
      </w:r>
      <w:r w:rsidR="007B5C66" w:rsidRPr="001E5413">
        <w:rPr>
          <w:rFonts w:ascii="Times New Roman" w:hAnsi="Times New Roman" w:cs="Times New Roman"/>
        </w:rPr>
        <w:t xml:space="preserve"> </w:t>
      </w:r>
      <w:r w:rsidRPr="001E5413">
        <w:rPr>
          <w:rFonts w:ascii="Times New Roman" w:hAnsi="Times New Roman" w:cs="Times New Roman"/>
        </w:rPr>
        <w:t>276</w:t>
      </w:r>
      <w:r w:rsidR="005C123A">
        <w:rPr>
          <w:rFonts w:ascii="Times New Roman" w:hAnsi="Times New Roman" w:cs="Times New Roman"/>
        </w:rPr>
        <w:t>(1)</w:t>
      </w:r>
      <w:r w:rsidRPr="001E5413">
        <w:rPr>
          <w:rFonts w:ascii="Times New Roman" w:hAnsi="Times New Roman" w:cs="Times New Roman"/>
        </w:rPr>
        <w:t xml:space="preserve"> of the </w:t>
      </w:r>
      <w:r w:rsidRPr="001E5413">
        <w:rPr>
          <w:rFonts w:ascii="Times New Roman" w:hAnsi="Times New Roman" w:cs="Times New Roman"/>
          <w:i/>
        </w:rPr>
        <w:t>Work Health and Safety</w:t>
      </w:r>
      <w:r w:rsidRPr="001E5413">
        <w:rPr>
          <w:rFonts w:ascii="Times New Roman" w:hAnsi="Times New Roman" w:cs="Times New Roman"/>
        </w:rPr>
        <w:t xml:space="preserve"> </w:t>
      </w:r>
      <w:r w:rsidRPr="001E5413">
        <w:rPr>
          <w:rFonts w:ascii="Times New Roman" w:hAnsi="Times New Roman" w:cs="Times New Roman"/>
          <w:i/>
        </w:rPr>
        <w:t>Act</w:t>
      </w:r>
      <w:r w:rsidRPr="001E5413">
        <w:rPr>
          <w:rFonts w:ascii="Times New Roman" w:hAnsi="Times New Roman" w:cs="Times New Roman"/>
        </w:rPr>
        <w:t xml:space="preserve"> </w:t>
      </w:r>
      <w:r w:rsidRPr="001E5413">
        <w:rPr>
          <w:rFonts w:ascii="Times New Roman" w:hAnsi="Times New Roman" w:cs="Times New Roman"/>
          <w:i/>
        </w:rPr>
        <w:t>2011</w:t>
      </w:r>
    </w:p>
    <w:p w14:paraId="19BC37FC" w14:textId="77777777" w:rsidR="00801C63" w:rsidRPr="001E5413" w:rsidRDefault="00801C63" w:rsidP="00801C63">
      <w:pPr>
        <w:spacing w:after="0" w:line="360" w:lineRule="auto"/>
        <w:rPr>
          <w:rFonts w:ascii="Times New Roman" w:hAnsi="Times New Roman" w:cs="Times New Roman"/>
          <w:b/>
          <w:caps/>
          <w:sz w:val="24"/>
          <w:szCs w:val="24"/>
        </w:rPr>
      </w:pPr>
    </w:p>
    <w:p w14:paraId="64BC873A" w14:textId="77777777" w:rsidR="00801C63" w:rsidRPr="001E5413" w:rsidRDefault="00801C63" w:rsidP="00801C63">
      <w:pPr>
        <w:spacing w:after="0" w:line="360" w:lineRule="auto"/>
        <w:rPr>
          <w:rFonts w:ascii="Times New Roman" w:hAnsi="Times New Roman" w:cs="Times New Roman"/>
          <w:b/>
        </w:rPr>
      </w:pPr>
      <w:r w:rsidRPr="001E5413">
        <w:rPr>
          <w:rFonts w:ascii="Times New Roman" w:hAnsi="Times New Roman" w:cs="Times New Roman"/>
          <w:b/>
          <w:caps/>
        </w:rPr>
        <w:t>Purpose and operation of the Instrument</w:t>
      </w:r>
    </w:p>
    <w:p w14:paraId="2F9C9D41" w14:textId="77777777" w:rsidR="00801C63" w:rsidRPr="001E5413" w:rsidRDefault="00801C63" w:rsidP="00801C63">
      <w:pPr>
        <w:spacing w:after="0" w:line="360" w:lineRule="auto"/>
        <w:rPr>
          <w:rFonts w:ascii="Times New Roman" w:hAnsi="Times New Roman" w:cs="Times New Roman"/>
        </w:rPr>
      </w:pPr>
      <w:r w:rsidRPr="001E5413">
        <w:rPr>
          <w:rFonts w:ascii="Times New Roman" w:hAnsi="Times New Roman" w:cs="Times New Roman"/>
        </w:rPr>
        <w:t xml:space="preserve">The </w:t>
      </w:r>
      <w:r w:rsidRPr="001E5413">
        <w:rPr>
          <w:rFonts w:ascii="Times New Roman" w:hAnsi="Times New Roman" w:cs="Times New Roman"/>
          <w:i/>
        </w:rPr>
        <w:t>Work Health and Safety</w:t>
      </w:r>
      <w:r w:rsidR="009D73C0" w:rsidRPr="001E5413">
        <w:rPr>
          <w:rFonts w:ascii="Times New Roman" w:hAnsi="Times New Roman" w:cs="Times New Roman"/>
          <w:i/>
        </w:rPr>
        <w:t xml:space="preserve"> Amendment</w:t>
      </w:r>
      <w:r w:rsidRPr="001E5413">
        <w:rPr>
          <w:rFonts w:ascii="Times New Roman" w:hAnsi="Times New Roman" w:cs="Times New Roman"/>
          <w:i/>
        </w:rPr>
        <w:t xml:space="preserve"> (Hazardous Chemical) Regulations 2020 </w:t>
      </w:r>
      <w:r w:rsidRPr="001E5413">
        <w:rPr>
          <w:rFonts w:ascii="Times New Roman" w:hAnsi="Times New Roman" w:cs="Times New Roman"/>
        </w:rPr>
        <w:t>(the Amendment Regulations) give</w:t>
      </w:r>
      <w:r w:rsidR="00010E55" w:rsidRPr="001E5413">
        <w:rPr>
          <w:rFonts w:ascii="Times New Roman" w:hAnsi="Times New Roman" w:cs="Times New Roman"/>
        </w:rPr>
        <w:t>s</w:t>
      </w:r>
      <w:r w:rsidRPr="001E5413">
        <w:rPr>
          <w:rFonts w:ascii="Times New Roman" w:hAnsi="Times New Roman" w:cs="Times New Roman"/>
        </w:rPr>
        <w:t xml:space="preserve"> effect to an agreement between </w:t>
      </w:r>
      <w:r w:rsidR="00201E59" w:rsidRPr="001E5413">
        <w:rPr>
          <w:rFonts w:ascii="Times New Roman" w:hAnsi="Times New Roman" w:cs="Times New Roman"/>
        </w:rPr>
        <w:t>Safe Work Australia</w:t>
      </w:r>
      <w:r w:rsidR="00620115" w:rsidRPr="001E5413">
        <w:rPr>
          <w:rFonts w:ascii="Times New Roman" w:hAnsi="Times New Roman" w:cs="Times New Roman"/>
        </w:rPr>
        <w:t xml:space="preserve"> (SWA)</w:t>
      </w:r>
      <w:r w:rsidR="00201E59" w:rsidRPr="001E5413">
        <w:rPr>
          <w:rFonts w:ascii="Times New Roman" w:hAnsi="Times New Roman" w:cs="Times New Roman"/>
        </w:rPr>
        <w:t xml:space="preserve"> members</w:t>
      </w:r>
      <w:r w:rsidRPr="001E5413">
        <w:rPr>
          <w:rFonts w:ascii="Times New Roman" w:hAnsi="Times New Roman" w:cs="Times New Roman"/>
        </w:rPr>
        <w:t xml:space="preserve"> to adopt the Globally Harmonised System of Classification an</w:t>
      </w:r>
      <w:r w:rsidR="000E5D5D" w:rsidRPr="001E5413">
        <w:rPr>
          <w:rFonts w:ascii="Times New Roman" w:hAnsi="Times New Roman" w:cs="Times New Roman"/>
        </w:rPr>
        <w:t>d Labelling of Chemicals (GHS)</w:t>
      </w:r>
      <w:r w:rsidR="00AD1DC5" w:rsidRPr="001E5413">
        <w:rPr>
          <w:rFonts w:ascii="Times New Roman" w:hAnsi="Times New Roman" w:cs="Times New Roman"/>
        </w:rPr>
        <w:t>,</w:t>
      </w:r>
      <w:r w:rsidR="000E5D5D" w:rsidRPr="001E5413">
        <w:rPr>
          <w:rFonts w:ascii="Times New Roman" w:hAnsi="Times New Roman" w:cs="Times New Roman"/>
        </w:rPr>
        <w:t xml:space="preserve"> </w:t>
      </w:r>
      <w:r w:rsidR="00C93E66" w:rsidRPr="001E5413">
        <w:rPr>
          <w:rFonts w:ascii="Times New Roman" w:hAnsi="Times New Roman" w:cs="Times New Roman"/>
        </w:rPr>
        <w:t>s</w:t>
      </w:r>
      <w:r w:rsidR="000E5D5D" w:rsidRPr="001E5413">
        <w:rPr>
          <w:rFonts w:ascii="Times New Roman" w:hAnsi="Times New Roman" w:cs="Times New Roman"/>
        </w:rPr>
        <w:t>eventh</w:t>
      </w:r>
      <w:r w:rsidRPr="001E5413">
        <w:rPr>
          <w:rFonts w:ascii="Times New Roman" w:hAnsi="Times New Roman" w:cs="Times New Roman"/>
        </w:rPr>
        <w:t xml:space="preserve"> </w:t>
      </w:r>
      <w:r w:rsidR="000D52A3" w:rsidRPr="001E5413">
        <w:rPr>
          <w:rFonts w:ascii="Times New Roman" w:hAnsi="Times New Roman" w:cs="Times New Roman"/>
        </w:rPr>
        <w:t>r</w:t>
      </w:r>
      <w:r w:rsidR="00793721" w:rsidRPr="001E5413">
        <w:rPr>
          <w:rFonts w:ascii="Times New Roman" w:hAnsi="Times New Roman" w:cs="Times New Roman"/>
        </w:rPr>
        <w:t xml:space="preserve">evised </w:t>
      </w:r>
      <w:r w:rsidR="000D52A3" w:rsidRPr="001E5413">
        <w:rPr>
          <w:rFonts w:ascii="Times New Roman" w:hAnsi="Times New Roman" w:cs="Times New Roman"/>
        </w:rPr>
        <w:t>e</w:t>
      </w:r>
      <w:r w:rsidRPr="001E5413">
        <w:rPr>
          <w:rFonts w:ascii="Times New Roman" w:hAnsi="Times New Roman" w:cs="Times New Roman"/>
        </w:rPr>
        <w:t>dition (GHS</w:t>
      </w:r>
      <w:r w:rsidR="00793721" w:rsidRPr="001E5413">
        <w:rPr>
          <w:rFonts w:ascii="Times New Roman" w:hAnsi="Times New Roman" w:cs="Times New Roman"/>
        </w:rPr>
        <w:t> </w:t>
      </w:r>
      <w:r w:rsidRPr="001E5413">
        <w:rPr>
          <w:rFonts w:ascii="Times New Roman" w:hAnsi="Times New Roman" w:cs="Times New Roman"/>
        </w:rPr>
        <w:t>7</w:t>
      </w:r>
      <w:r w:rsidR="00CC55D0" w:rsidRPr="001E5413">
        <w:rPr>
          <w:rFonts w:ascii="Times New Roman" w:hAnsi="Times New Roman" w:cs="Times New Roman"/>
        </w:rPr>
        <w:t>)</w:t>
      </w:r>
      <w:r w:rsidRPr="001E5413">
        <w:rPr>
          <w:rFonts w:ascii="Times New Roman" w:hAnsi="Times New Roman" w:cs="Times New Roman"/>
        </w:rPr>
        <w:t xml:space="preserve">. </w:t>
      </w:r>
    </w:p>
    <w:p w14:paraId="264990A5" w14:textId="77777777" w:rsidR="00801C63" w:rsidRPr="001E5413" w:rsidRDefault="00801C63" w:rsidP="00801C63">
      <w:pPr>
        <w:spacing w:after="0" w:line="360" w:lineRule="auto"/>
        <w:rPr>
          <w:rFonts w:ascii="Times New Roman" w:hAnsi="Times New Roman" w:cs="Times New Roman"/>
        </w:rPr>
      </w:pPr>
    </w:p>
    <w:p w14:paraId="6F3ECF19" w14:textId="77777777" w:rsidR="004745D8" w:rsidRPr="001E5413" w:rsidRDefault="00B7494C" w:rsidP="004745D8">
      <w:pPr>
        <w:spacing w:after="0" w:line="360" w:lineRule="auto"/>
        <w:rPr>
          <w:rFonts w:ascii="Times New Roman" w:hAnsi="Times New Roman" w:cs="Times New Roman"/>
        </w:rPr>
      </w:pPr>
      <w:r w:rsidRPr="001E5413">
        <w:rPr>
          <w:rFonts w:ascii="Times New Roman" w:hAnsi="Times New Roman" w:cs="Times New Roman"/>
        </w:rPr>
        <w:t xml:space="preserve">The </w:t>
      </w:r>
      <w:r w:rsidRPr="001E5413">
        <w:rPr>
          <w:rFonts w:ascii="Times New Roman" w:hAnsi="Times New Roman" w:cs="Times New Roman"/>
          <w:i/>
        </w:rPr>
        <w:t xml:space="preserve">Work Health and Safety Act 2011 </w:t>
      </w:r>
      <w:r w:rsidRPr="001E5413">
        <w:rPr>
          <w:rFonts w:ascii="Times New Roman" w:hAnsi="Times New Roman" w:cs="Times New Roman"/>
        </w:rPr>
        <w:t xml:space="preserve">(the Act) and accompanying </w:t>
      </w:r>
      <w:r w:rsidRPr="001E5413">
        <w:rPr>
          <w:rFonts w:ascii="Times New Roman" w:hAnsi="Times New Roman" w:cs="Times New Roman"/>
          <w:i/>
        </w:rPr>
        <w:t xml:space="preserve">Work Health and Safety Regulations 2011 </w:t>
      </w:r>
      <w:r w:rsidR="004745D8" w:rsidRPr="001E5413">
        <w:rPr>
          <w:rFonts w:ascii="Times New Roman" w:hAnsi="Times New Roman" w:cs="Times New Roman"/>
        </w:rPr>
        <w:t xml:space="preserve">(the Principal Regulations) </w:t>
      </w:r>
      <w:r w:rsidRPr="001E5413">
        <w:rPr>
          <w:rFonts w:ascii="Times New Roman" w:hAnsi="Times New Roman" w:cs="Times New Roman"/>
        </w:rPr>
        <w:t xml:space="preserve">provide the primary work health and safety (WHS) legislation for the Commonwealth jurisdiction. They are based on model WHS laws developed by SWA under the </w:t>
      </w:r>
      <w:r w:rsidRPr="001E5413">
        <w:rPr>
          <w:rFonts w:ascii="Times New Roman" w:hAnsi="Times New Roman" w:cs="Times New Roman"/>
          <w:i/>
        </w:rPr>
        <w:t>Intergovernmental Agreement for Regulatory and Operational Reform in Occupational Health and Safety.</w:t>
      </w:r>
      <w:r w:rsidRPr="001E5413">
        <w:rPr>
          <w:rFonts w:ascii="Times New Roman" w:hAnsi="Times New Roman" w:cs="Times New Roman"/>
        </w:rPr>
        <w:t xml:space="preserve"> </w:t>
      </w:r>
      <w:r w:rsidR="004745D8" w:rsidRPr="001E5413">
        <w:rPr>
          <w:rFonts w:ascii="Times New Roman" w:hAnsi="Times New Roman" w:cs="Times New Roman"/>
        </w:rPr>
        <w:t xml:space="preserve">Most jurisdictions </w:t>
      </w:r>
      <w:r w:rsidRPr="001E5413">
        <w:rPr>
          <w:rFonts w:ascii="Times New Roman" w:hAnsi="Times New Roman" w:cs="Times New Roman"/>
        </w:rPr>
        <w:t xml:space="preserve">have adopted the model </w:t>
      </w:r>
      <w:r w:rsidR="00252093" w:rsidRPr="001E5413">
        <w:rPr>
          <w:rFonts w:ascii="Times New Roman" w:hAnsi="Times New Roman" w:cs="Times New Roman"/>
        </w:rPr>
        <w:t xml:space="preserve">WHS </w:t>
      </w:r>
      <w:r w:rsidRPr="001E5413">
        <w:rPr>
          <w:rFonts w:ascii="Times New Roman" w:hAnsi="Times New Roman" w:cs="Times New Roman"/>
        </w:rPr>
        <w:t xml:space="preserve">laws. </w:t>
      </w:r>
    </w:p>
    <w:p w14:paraId="579BE505" w14:textId="77777777" w:rsidR="004745D8" w:rsidRPr="001E5413" w:rsidRDefault="004745D8" w:rsidP="004745D8">
      <w:pPr>
        <w:spacing w:after="0" w:line="360" w:lineRule="auto"/>
        <w:rPr>
          <w:rFonts w:ascii="Times New Roman" w:hAnsi="Times New Roman" w:cs="Times New Roman"/>
        </w:rPr>
      </w:pPr>
    </w:p>
    <w:p w14:paraId="12ADE33C" w14:textId="77777777" w:rsidR="004745D8" w:rsidRPr="001E5413" w:rsidRDefault="004745D8" w:rsidP="004745D8">
      <w:pPr>
        <w:spacing w:after="0" w:line="360" w:lineRule="auto"/>
        <w:rPr>
          <w:rFonts w:ascii="Times New Roman" w:hAnsi="Times New Roman" w:cs="Times New Roman"/>
        </w:rPr>
      </w:pPr>
      <w:r w:rsidRPr="001E5413">
        <w:rPr>
          <w:rFonts w:ascii="Times New Roman" w:hAnsi="Times New Roman" w:cs="Times New Roman"/>
        </w:rPr>
        <w:t xml:space="preserve">The Act provides for a balanced and nationally consistent framework to secure the health and safety of workers and workplaces, in part by protecting workers and other persons against harm to their health, safety and welfare through the elimination or minimisation of risks arising from work. </w:t>
      </w:r>
    </w:p>
    <w:p w14:paraId="33F33649" w14:textId="77777777" w:rsidR="00801C63" w:rsidRPr="001E5413" w:rsidRDefault="00801C63" w:rsidP="00801C63">
      <w:pPr>
        <w:spacing w:after="0" w:line="360" w:lineRule="auto"/>
        <w:rPr>
          <w:rFonts w:ascii="Times New Roman" w:hAnsi="Times New Roman" w:cs="Times New Roman"/>
        </w:rPr>
      </w:pPr>
    </w:p>
    <w:p w14:paraId="14765EEC" w14:textId="77777777" w:rsidR="00801C63" w:rsidRPr="001E5413" w:rsidRDefault="00801C63" w:rsidP="00801C63">
      <w:pPr>
        <w:spacing w:after="0" w:line="360" w:lineRule="auto"/>
        <w:rPr>
          <w:rFonts w:ascii="Times New Roman" w:hAnsi="Times New Roman" w:cs="Times New Roman"/>
        </w:rPr>
      </w:pPr>
      <w:r w:rsidRPr="001E5413">
        <w:rPr>
          <w:rFonts w:ascii="Times New Roman" w:hAnsi="Times New Roman" w:cs="Times New Roman"/>
        </w:rPr>
        <w:t xml:space="preserve">Subsection 276(1) of the Act provides that the Governor-General may make regulations in relation to any matter relating to </w:t>
      </w:r>
      <w:r w:rsidR="00252093" w:rsidRPr="001E5413">
        <w:rPr>
          <w:rFonts w:ascii="Times New Roman" w:hAnsi="Times New Roman" w:cs="Times New Roman"/>
        </w:rPr>
        <w:t>WHS</w:t>
      </w:r>
      <w:r w:rsidRPr="001E5413">
        <w:rPr>
          <w:rFonts w:ascii="Times New Roman" w:hAnsi="Times New Roman" w:cs="Times New Roman"/>
        </w:rPr>
        <w:t xml:space="preserve">, and any matter or thing required or permitted by the Act to be prescribed or that is necessary or convenient to be prescribed to give effect to the Act. </w:t>
      </w:r>
    </w:p>
    <w:p w14:paraId="1C243364" w14:textId="77777777" w:rsidR="00801C63" w:rsidRPr="001E5413" w:rsidRDefault="00801C63" w:rsidP="00801C63">
      <w:pPr>
        <w:spacing w:after="0" w:line="360" w:lineRule="auto"/>
        <w:rPr>
          <w:rFonts w:ascii="Times New Roman" w:hAnsi="Times New Roman" w:cs="Times New Roman"/>
        </w:rPr>
      </w:pPr>
    </w:p>
    <w:p w14:paraId="33D44AE3" w14:textId="77777777" w:rsidR="00801C63" w:rsidRPr="001E5413" w:rsidRDefault="00801C63" w:rsidP="00801C63">
      <w:pPr>
        <w:spacing w:after="0" w:line="360" w:lineRule="auto"/>
        <w:rPr>
          <w:rFonts w:ascii="Times New Roman" w:hAnsi="Times New Roman" w:cs="Times New Roman"/>
        </w:rPr>
      </w:pPr>
      <w:r w:rsidRPr="001E5413">
        <w:rPr>
          <w:rFonts w:ascii="Times New Roman" w:hAnsi="Times New Roman" w:cs="Times New Roman"/>
        </w:rPr>
        <w:t xml:space="preserve">Paragraph 276(3)(d) of the Act provides that the regulations may apply, adopt or incorporate any matter contained in any document formulated, issued or published by a person or body whether with </w:t>
      </w:r>
      <w:r w:rsidRPr="00B620E4">
        <w:rPr>
          <w:rFonts w:ascii="Times New Roman" w:hAnsi="Times New Roman" w:cs="Times New Roman"/>
        </w:rPr>
        <w:t xml:space="preserve">or without modification, </w:t>
      </w:r>
      <w:r w:rsidR="000D52A3" w:rsidRPr="00B620E4">
        <w:rPr>
          <w:rFonts w:ascii="Times New Roman" w:hAnsi="Times New Roman" w:cs="Times New Roman"/>
        </w:rPr>
        <w:t xml:space="preserve">or </w:t>
      </w:r>
      <w:r w:rsidRPr="00B620E4">
        <w:rPr>
          <w:rFonts w:ascii="Times New Roman" w:hAnsi="Times New Roman" w:cs="Times New Roman"/>
        </w:rPr>
        <w:t>as in force at a particular time or as in force or remade from time to time.</w:t>
      </w:r>
      <w:r w:rsidR="003E69CF" w:rsidRPr="00B620E4">
        <w:rPr>
          <w:rFonts w:ascii="Times New Roman" w:hAnsi="Times New Roman" w:cs="Times New Roman"/>
        </w:rPr>
        <w:t xml:space="preserve"> This displaces the presumption under s 14(2) of the </w:t>
      </w:r>
      <w:r w:rsidR="003E69CF" w:rsidRPr="00B620E4">
        <w:rPr>
          <w:rFonts w:ascii="Times New Roman" w:hAnsi="Times New Roman" w:cs="Times New Roman"/>
          <w:i/>
        </w:rPr>
        <w:t>Legislation Act 2003</w:t>
      </w:r>
      <w:r w:rsidR="003E69CF" w:rsidRPr="00B620E4">
        <w:rPr>
          <w:rFonts w:ascii="Times New Roman" w:hAnsi="Times New Roman" w:cs="Times New Roman"/>
        </w:rPr>
        <w:t xml:space="preserve"> in relation to documents incorporated from time to time.</w:t>
      </w:r>
    </w:p>
    <w:p w14:paraId="7249ABD8" w14:textId="77777777" w:rsidR="00CC55D0" w:rsidRPr="001E5413" w:rsidRDefault="00CC55D0" w:rsidP="00801C63">
      <w:pPr>
        <w:spacing w:after="0" w:line="360" w:lineRule="auto"/>
        <w:rPr>
          <w:rFonts w:ascii="Times New Roman" w:hAnsi="Times New Roman" w:cs="Times New Roman"/>
        </w:rPr>
      </w:pPr>
    </w:p>
    <w:p w14:paraId="0F528551" w14:textId="77777777" w:rsidR="00CC55D0" w:rsidRDefault="00CC55D0" w:rsidP="000E5541">
      <w:pPr>
        <w:spacing w:after="0" w:line="360" w:lineRule="auto"/>
        <w:rPr>
          <w:rFonts w:ascii="Times New Roman" w:hAnsi="Times New Roman" w:cs="Times New Roman"/>
        </w:rPr>
      </w:pPr>
      <w:r w:rsidRPr="001E5413">
        <w:rPr>
          <w:rFonts w:ascii="Times New Roman" w:hAnsi="Times New Roman" w:cs="Times New Roman"/>
        </w:rPr>
        <w:lastRenderedPageBreak/>
        <w:t>The purpose of the Amendment Regulations is to adopt the GHS 7 in the Principal Regulations</w:t>
      </w:r>
      <w:r w:rsidR="004745D8" w:rsidRPr="001E5413">
        <w:rPr>
          <w:rFonts w:ascii="Times New Roman" w:hAnsi="Times New Roman" w:cs="Times New Roman"/>
        </w:rPr>
        <w:t xml:space="preserve"> </w:t>
      </w:r>
      <w:r w:rsidR="00B10D99" w:rsidRPr="001E5413">
        <w:rPr>
          <w:rFonts w:ascii="Times New Roman" w:hAnsi="Times New Roman" w:cs="Times New Roman"/>
        </w:rPr>
        <w:t>for</w:t>
      </w:r>
      <w:r w:rsidR="00C66112" w:rsidRPr="001E5413">
        <w:rPr>
          <w:rFonts w:ascii="Times New Roman" w:hAnsi="Times New Roman" w:cs="Times New Roman"/>
        </w:rPr>
        <w:t xml:space="preserve"> the Commonwealth.</w:t>
      </w:r>
      <w:r w:rsidRPr="001E5413">
        <w:rPr>
          <w:rFonts w:ascii="Times New Roman" w:hAnsi="Times New Roman" w:cs="Times New Roman"/>
        </w:rPr>
        <w:t xml:space="preserve"> </w:t>
      </w:r>
      <w:r w:rsidR="00010E55" w:rsidRPr="001E5413">
        <w:rPr>
          <w:rFonts w:ascii="Times New Roman" w:hAnsi="Times New Roman" w:cs="Times New Roman"/>
        </w:rPr>
        <w:t xml:space="preserve">The </w:t>
      </w:r>
      <w:r w:rsidR="00252093" w:rsidRPr="001E5413">
        <w:rPr>
          <w:rFonts w:ascii="Times New Roman" w:hAnsi="Times New Roman" w:cs="Times New Roman"/>
        </w:rPr>
        <w:t>Principal</w:t>
      </w:r>
      <w:r w:rsidR="00010E55" w:rsidRPr="001E5413">
        <w:rPr>
          <w:rFonts w:ascii="Times New Roman" w:hAnsi="Times New Roman" w:cs="Times New Roman"/>
        </w:rPr>
        <w:t xml:space="preserve"> Regulations currently refer to the Globally Harmonised System of Classification and Labelling of Chemicals, </w:t>
      </w:r>
      <w:r w:rsidR="00C93E66" w:rsidRPr="001E5413">
        <w:rPr>
          <w:rFonts w:ascii="Times New Roman" w:hAnsi="Times New Roman" w:cs="Times New Roman"/>
        </w:rPr>
        <w:t>t</w:t>
      </w:r>
      <w:r w:rsidR="00010E55" w:rsidRPr="001E5413">
        <w:rPr>
          <w:rFonts w:ascii="Times New Roman" w:hAnsi="Times New Roman" w:cs="Times New Roman"/>
        </w:rPr>
        <w:t xml:space="preserve">hird revised edition (GHS 3), which </w:t>
      </w:r>
      <w:r w:rsidR="009D1C1B" w:rsidRPr="001E5413">
        <w:rPr>
          <w:rFonts w:ascii="Times New Roman" w:hAnsi="Times New Roman" w:cs="Times New Roman"/>
        </w:rPr>
        <w:t xml:space="preserve">was the most recent version of the GHS available when it was introduced to Australia in 2012. The GHS 7 was published by the United Nations in July 2017. Moving to </w:t>
      </w:r>
      <w:r w:rsidR="00C93E66" w:rsidRPr="001E5413">
        <w:rPr>
          <w:rFonts w:ascii="Times New Roman" w:hAnsi="Times New Roman" w:cs="Times New Roman"/>
        </w:rPr>
        <w:t xml:space="preserve">the </w:t>
      </w:r>
      <w:r w:rsidR="009D1C1B" w:rsidRPr="001E5413">
        <w:rPr>
          <w:rFonts w:ascii="Times New Roman" w:hAnsi="Times New Roman" w:cs="Times New Roman"/>
        </w:rPr>
        <w:t>GHS 7 will allow Australia to stay up-to-date with trading partners and international best practice for chemical assessment and hazard communication.</w:t>
      </w:r>
    </w:p>
    <w:p w14:paraId="6BD1340A" w14:textId="77777777" w:rsidR="003E69CF" w:rsidRPr="003E69CF" w:rsidRDefault="003E69CF" w:rsidP="003E69CF">
      <w:pPr>
        <w:spacing w:after="0" w:line="360" w:lineRule="auto"/>
        <w:rPr>
          <w:rFonts w:ascii="Times New Roman" w:hAnsi="Times New Roman" w:cs="Times New Roman"/>
        </w:rPr>
      </w:pPr>
    </w:p>
    <w:p w14:paraId="53C645A3" w14:textId="0D9BBD31" w:rsidR="003E69CF" w:rsidRPr="00B620E4" w:rsidRDefault="003E69CF" w:rsidP="003E69CF">
      <w:pPr>
        <w:spacing w:after="0" w:line="360" w:lineRule="auto"/>
        <w:rPr>
          <w:rFonts w:ascii="Times New Roman" w:hAnsi="Times New Roman" w:cs="Times New Roman"/>
        </w:rPr>
      </w:pPr>
      <w:r w:rsidRPr="00B620E4">
        <w:rPr>
          <w:rFonts w:ascii="Times New Roman" w:hAnsi="Times New Roman" w:cs="Times New Roman"/>
        </w:rPr>
        <w:t xml:space="preserve">Regulation 13 of the </w:t>
      </w:r>
      <w:r w:rsidR="00EB0960" w:rsidRPr="00B620E4">
        <w:rPr>
          <w:rFonts w:ascii="Times New Roman" w:hAnsi="Times New Roman" w:cs="Times New Roman"/>
        </w:rPr>
        <w:t>Principal Regulations</w:t>
      </w:r>
      <w:r w:rsidRPr="00B620E4">
        <w:rPr>
          <w:rFonts w:ascii="Times New Roman" w:hAnsi="Times New Roman" w:cs="Times New Roman"/>
        </w:rPr>
        <w:t xml:space="preserve"> provides that </w:t>
      </w:r>
      <w:r w:rsidR="00EB0960" w:rsidRPr="00B620E4">
        <w:rPr>
          <w:rFonts w:ascii="Times New Roman" w:hAnsi="Times New Roman" w:cs="Times New Roman"/>
        </w:rPr>
        <w:t>a reference to a document</w:t>
      </w:r>
      <w:r w:rsidRPr="00B620E4">
        <w:rPr>
          <w:rFonts w:ascii="Times New Roman" w:hAnsi="Times New Roman" w:cs="Times New Roman"/>
        </w:rPr>
        <w:t xml:space="preserve"> applied, adopted or incorporated</w:t>
      </w:r>
      <w:r w:rsidR="00EB0960" w:rsidRPr="00B620E4">
        <w:rPr>
          <w:rFonts w:ascii="Times New Roman" w:hAnsi="Times New Roman" w:cs="Times New Roman"/>
        </w:rPr>
        <w:t xml:space="preserve"> by, or referred to in, </w:t>
      </w:r>
      <w:r w:rsidR="00F72C70" w:rsidRPr="00B620E4">
        <w:rPr>
          <w:rFonts w:ascii="Times New Roman" w:hAnsi="Times New Roman" w:cs="Times New Roman"/>
        </w:rPr>
        <w:t>the R</w:t>
      </w:r>
      <w:r w:rsidRPr="00B620E4">
        <w:rPr>
          <w:rFonts w:ascii="Times New Roman" w:hAnsi="Times New Roman" w:cs="Times New Roman"/>
        </w:rPr>
        <w:t>egulation</w:t>
      </w:r>
      <w:r w:rsidR="00D647CE" w:rsidRPr="00B620E4">
        <w:rPr>
          <w:rFonts w:ascii="Times New Roman" w:hAnsi="Times New Roman" w:cs="Times New Roman"/>
        </w:rPr>
        <w:t>s</w:t>
      </w:r>
      <w:r w:rsidRPr="00B620E4">
        <w:rPr>
          <w:rFonts w:ascii="Times New Roman" w:hAnsi="Times New Roman" w:cs="Times New Roman"/>
        </w:rPr>
        <w:t xml:space="preserve"> </w:t>
      </w:r>
      <w:r w:rsidR="00056F27">
        <w:rPr>
          <w:rFonts w:ascii="Times New Roman" w:hAnsi="Times New Roman" w:cs="Times New Roman"/>
        </w:rPr>
        <w:t>is</w:t>
      </w:r>
      <w:r w:rsidRPr="00B620E4">
        <w:rPr>
          <w:rFonts w:ascii="Times New Roman" w:hAnsi="Times New Roman" w:cs="Times New Roman"/>
        </w:rPr>
        <w:t xml:space="preserve"> </w:t>
      </w:r>
      <w:r w:rsidR="00EB0960" w:rsidRPr="00B620E4">
        <w:rPr>
          <w:rFonts w:ascii="Times New Roman" w:hAnsi="Times New Roman" w:cs="Times New Roman"/>
        </w:rPr>
        <w:t>to be read as a reference to that document as in force at the time the document is applied, adopted, incorporated or referred to</w:t>
      </w:r>
      <w:r w:rsidRPr="00B620E4">
        <w:rPr>
          <w:rFonts w:ascii="Times New Roman" w:hAnsi="Times New Roman" w:cs="Times New Roman"/>
        </w:rPr>
        <w:t xml:space="preserve"> unless express provision is made to the contrary. Because there is no such provision </w:t>
      </w:r>
      <w:r w:rsidR="00F72C70" w:rsidRPr="00B620E4">
        <w:rPr>
          <w:rFonts w:ascii="Times New Roman" w:hAnsi="Times New Roman" w:cs="Times New Roman"/>
        </w:rPr>
        <w:t>in the Amendment Regulations</w:t>
      </w:r>
      <w:r w:rsidRPr="00B620E4">
        <w:rPr>
          <w:rFonts w:ascii="Times New Roman" w:hAnsi="Times New Roman" w:cs="Times New Roman"/>
        </w:rPr>
        <w:t xml:space="preserve">, </w:t>
      </w:r>
      <w:r w:rsidR="00F72C70" w:rsidRPr="00B620E4">
        <w:rPr>
          <w:rFonts w:ascii="Times New Roman" w:hAnsi="Times New Roman" w:cs="Times New Roman"/>
        </w:rPr>
        <w:t>references</w:t>
      </w:r>
      <w:r w:rsidRPr="00B620E4">
        <w:rPr>
          <w:rFonts w:ascii="Times New Roman" w:hAnsi="Times New Roman" w:cs="Times New Roman"/>
        </w:rPr>
        <w:t xml:space="preserve"> to the GHS 3 and the GHS 7 </w:t>
      </w:r>
      <w:r w:rsidR="007717EF" w:rsidRPr="00B620E4">
        <w:rPr>
          <w:rFonts w:ascii="Times New Roman" w:hAnsi="Times New Roman" w:cs="Times New Roman"/>
        </w:rPr>
        <w:t xml:space="preserve">will </w:t>
      </w:r>
      <w:r w:rsidR="00F72C70" w:rsidRPr="00B620E4">
        <w:rPr>
          <w:rFonts w:ascii="Times New Roman" w:hAnsi="Times New Roman" w:cs="Times New Roman"/>
        </w:rPr>
        <w:t>incorporate these documents</w:t>
      </w:r>
      <w:r w:rsidRPr="00B620E4">
        <w:rPr>
          <w:rFonts w:ascii="Times New Roman" w:hAnsi="Times New Roman" w:cs="Times New Roman"/>
        </w:rPr>
        <w:t xml:space="preserve"> at the point in time the Amendment Regulations </w:t>
      </w:r>
      <w:r w:rsidR="00F72C70" w:rsidRPr="00B620E4">
        <w:rPr>
          <w:rFonts w:ascii="Times New Roman" w:hAnsi="Times New Roman" w:cs="Times New Roman"/>
        </w:rPr>
        <w:t>are</w:t>
      </w:r>
      <w:r w:rsidRPr="00B620E4">
        <w:rPr>
          <w:rFonts w:ascii="Times New Roman" w:hAnsi="Times New Roman" w:cs="Times New Roman"/>
        </w:rPr>
        <w:t xml:space="preserve"> made.</w:t>
      </w:r>
    </w:p>
    <w:p w14:paraId="786A6E87" w14:textId="77777777" w:rsidR="003E69CF" w:rsidRPr="00B620E4" w:rsidRDefault="003E69CF" w:rsidP="003E69CF">
      <w:pPr>
        <w:spacing w:after="0" w:line="360" w:lineRule="auto"/>
        <w:rPr>
          <w:rFonts w:ascii="Times New Roman" w:hAnsi="Times New Roman" w:cs="Times New Roman"/>
        </w:rPr>
      </w:pPr>
      <w:r w:rsidRPr="00B620E4">
        <w:rPr>
          <w:rFonts w:ascii="Times New Roman" w:hAnsi="Times New Roman" w:cs="Times New Roman"/>
        </w:rPr>
        <w:t xml:space="preserve"> </w:t>
      </w:r>
    </w:p>
    <w:p w14:paraId="261F3BF6" w14:textId="77777777" w:rsidR="003E69CF" w:rsidRPr="003E69CF" w:rsidRDefault="003E69CF" w:rsidP="003E69CF">
      <w:pPr>
        <w:spacing w:after="0" w:line="360" w:lineRule="auto"/>
        <w:rPr>
          <w:rFonts w:ascii="Times New Roman" w:hAnsi="Times New Roman" w:cs="Times New Roman"/>
        </w:rPr>
      </w:pPr>
      <w:r w:rsidRPr="00B620E4">
        <w:rPr>
          <w:rFonts w:ascii="Times New Roman" w:hAnsi="Times New Roman" w:cs="Times New Roman"/>
        </w:rPr>
        <w:t xml:space="preserve">Both </w:t>
      </w:r>
      <w:r w:rsidR="00F72C70" w:rsidRPr="00B620E4">
        <w:rPr>
          <w:rFonts w:ascii="Times New Roman" w:hAnsi="Times New Roman" w:cs="Times New Roman"/>
        </w:rPr>
        <w:t xml:space="preserve">the </w:t>
      </w:r>
      <w:r w:rsidRPr="00B620E4">
        <w:rPr>
          <w:rFonts w:ascii="Times New Roman" w:hAnsi="Times New Roman" w:cs="Times New Roman"/>
        </w:rPr>
        <w:t xml:space="preserve">GHS 3 and </w:t>
      </w:r>
      <w:r w:rsidR="00F72C70" w:rsidRPr="00B620E4">
        <w:rPr>
          <w:rFonts w:ascii="Times New Roman" w:hAnsi="Times New Roman" w:cs="Times New Roman"/>
        </w:rPr>
        <w:t xml:space="preserve">the </w:t>
      </w:r>
      <w:r w:rsidRPr="00B620E4">
        <w:rPr>
          <w:rFonts w:ascii="Times New Roman" w:hAnsi="Times New Roman" w:cs="Times New Roman"/>
        </w:rPr>
        <w:t>GHS 7 are accessible to the public without any cost at the United Nations Economic Commission for Europe website (unece.org).</w:t>
      </w:r>
    </w:p>
    <w:p w14:paraId="174C1D38" w14:textId="77777777" w:rsidR="003E69CF" w:rsidRDefault="003E69CF">
      <w:pPr>
        <w:spacing w:after="0" w:line="360" w:lineRule="auto"/>
        <w:rPr>
          <w:rFonts w:ascii="Times New Roman" w:hAnsi="Times New Roman" w:cs="Times New Roman"/>
        </w:rPr>
      </w:pPr>
      <w:r>
        <w:rPr>
          <w:rFonts w:ascii="Times New Roman" w:hAnsi="Times New Roman" w:cs="Times New Roman"/>
        </w:rPr>
        <w:t xml:space="preserve"> </w:t>
      </w:r>
    </w:p>
    <w:p w14:paraId="5E09A071" w14:textId="77777777" w:rsidR="00CC55D0" w:rsidRPr="001E5413" w:rsidRDefault="00C93E66">
      <w:pPr>
        <w:spacing w:after="0" w:line="360" w:lineRule="auto"/>
        <w:rPr>
          <w:rFonts w:ascii="Times New Roman" w:hAnsi="Times New Roman" w:cs="Times New Roman"/>
        </w:rPr>
      </w:pPr>
      <w:r w:rsidRPr="001E5413">
        <w:rPr>
          <w:rFonts w:ascii="Times New Roman" w:hAnsi="Times New Roman" w:cs="Times New Roman"/>
        </w:rPr>
        <w:t>Together with S</w:t>
      </w:r>
      <w:r w:rsidR="00010E55" w:rsidRPr="001E5413">
        <w:rPr>
          <w:rFonts w:ascii="Times New Roman" w:hAnsi="Times New Roman" w:cs="Times New Roman"/>
        </w:rPr>
        <w:t xml:space="preserve">tates and </w:t>
      </w:r>
      <w:r w:rsidRPr="001E5413">
        <w:rPr>
          <w:rFonts w:ascii="Times New Roman" w:hAnsi="Times New Roman" w:cs="Times New Roman"/>
        </w:rPr>
        <w:t>T</w:t>
      </w:r>
      <w:r w:rsidR="00010E55" w:rsidRPr="001E5413">
        <w:rPr>
          <w:rFonts w:ascii="Times New Roman" w:hAnsi="Times New Roman" w:cs="Times New Roman"/>
        </w:rPr>
        <w:t xml:space="preserve">erritories, the Commonwealth regulates the labelling of hazardous chemicals under its </w:t>
      </w:r>
      <w:r w:rsidR="00B10D99" w:rsidRPr="001E5413">
        <w:rPr>
          <w:rFonts w:ascii="Times New Roman" w:hAnsi="Times New Roman" w:cs="Times New Roman"/>
        </w:rPr>
        <w:t>WHS</w:t>
      </w:r>
      <w:r w:rsidR="00010E55" w:rsidRPr="001E5413">
        <w:rPr>
          <w:rFonts w:ascii="Times New Roman" w:hAnsi="Times New Roman" w:cs="Times New Roman"/>
        </w:rPr>
        <w:t xml:space="preserve"> laws. Most jurisdictions have generally adopted the policy and model wording in the model </w:t>
      </w:r>
      <w:r w:rsidR="00252093" w:rsidRPr="001E5413">
        <w:rPr>
          <w:rFonts w:ascii="Times New Roman" w:hAnsi="Times New Roman" w:cs="Times New Roman"/>
        </w:rPr>
        <w:t>WHS</w:t>
      </w:r>
      <w:r w:rsidR="00010E55" w:rsidRPr="001E5413">
        <w:rPr>
          <w:rFonts w:ascii="Times New Roman" w:hAnsi="Times New Roman" w:cs="Times New Roman"/>
        </w:rPr>
        <w:t xml:space="preserve"> laws developed by </w:t>
      </w:r>
      <w:r w:rsidR="00B10D99" w:rsidRPr="001E5413">
        <w:rPr>
          <w:rFonts w:ascii="Times New Roman" w:hAnsi="Times New Roman" w:cs="Times New Roman"/>
        </w:rPr>
        <w:t>SWA</w:t>
      </w:r>
      <w:r w:rsidR="00010E55" w:rsidRPr="001E5413">
        <w:rPr>
          <w:rFonts w:ascii="Times New Roman" w:hAnsi="Times New Roman" w:cs="Times New Roman"/>
        </w:rPr>
        <w:t xml:space="preserve">. </w:t>
      </w:r>
    </w:p>
    <w:p w14:paraId="325D0A9C" w14:textId="77777777" w:rsidR="000E5541" w:rsidRPr="001E5413" w:rsidRDefault="000E5541">
      <w:pPr>
        <w:spacing w:after="0" w:line="360" w:lineRule="auto"/>
        <w:rPr>
          <w:rFonts w:ascii="Times New Roman" w:hAnsi="Times New Roman" w:cs="Times New Roman"/>
        </w:rPr>
      </w:pPr>
    </w:p>
    <w:p w14:paraId="366CCA4E" w14:textId="77777777" w:rsidR="000B7DE5" w:rsidRPr="001E5413" w:rsidRDefault="00CC55D0" w:rsidP="00C93D97">
      <w:pPr>
        <w:spacing w:after="0" w:line="360" w:lineRule="auto"/>
        <w:rPr>
          <w:rFonts w:ascii="Times New Roman" w:hAnsi="Times New Roman" w:cs="Times New Roman"/>
        </w:rPr>
      </w:pPr>
      <w:r w:rsidRPr="001E5413">
        <w:rPr>
          <w:rFonts w:ascii="Times New Roman" w:hAnsi="Times New Roman" w:cs="Times New Roman"/>
        </w:rPr>
        <w:t xml:space="preserve">The amendments reflect agreement </w:t>
      </w:r>
      <w:r w:rsidR="009D1C1B" w:rsidRPr="001E5413">
        <w:rPr>
          <w:rFonts w:ascii="Times New Roman" w:hAnsi="Times New Roman" w:cs="Times New Roman"/>
        </w:rPr>
        <w:t xml:space="preserve">of </w:t>
      </w:r>
      <w:r w:rsidR="00620115" w:rsidRPr="001E5413">
        <w:rPr>
          <w:rFonts w:ascii="Times New Roman" w:hAnsi="Times New Roman" w:cs="Times New Roman"/>
        </w:rPr>
        <w:t>SWA</w:t>
      </w:r>
      <w:r w:rsidR="00EC34F9" w:rsidRPr="001E5413">
        <w:rPr>
          <w:rFonts w:ascii="Times New Roman" w:hAnsi="Times New Roman" w:cs="Times New Roman"/>
        </w:rPr>
        <w:t xml:space="preserve"> members</w:t>
      </w:r>
      <w:r w:rsidR="009D1C1B" w:rsidRPr="001E5413">
        <w:rPr>
          <w:rFonts w:ascii="Times New Roman" w:hAnsi="Times New Roman" w:cs="Times New Roman"/>
        </w:rPr>
        <w:t xml:space="preserve"> on 27 November 2019</w:t>
      </w:r>
      <w:r w:rsidR="009D1C1B" w:rsidRPr="001E5413">
        <w:rPr>
          <w:rFonts w:ascii="Times New Roman" w:hAnsi="Times New Roman" w:cs="Times New Roman"/>
          <w:sz w:val="24"/>
          <w:szCs w:val="24"/>
        </w:rPr>
        <w:t xml:space="preserve"> </w:t>
      </w:r>
      <w:r w:rsidR="009D1C1B" w:rsidRPr="001E5413">
        <w:rPr>
          <w:rFonts w:ascii="Times New Roman" w:hAnsi="Times New Roman" w:cs="Times New Roman"/>
        </w:rPr>
        <w:t xml:space="preserve">for the States, Territories and the Commonwealth </w:t>
      </w:r>
      <w:r w:rsidRPr="001E5413">
        <w:rPr>
          <w:rFonts w:ascii="Times New Roman" w:hAnsi="Times New Roman" w:cs="Times New Roman"/>
        </w:rPr>
        <w:t>to adopt the GHS 7</w:t>
      </w:r>
      <w:r w:rsidR="009D1C1B" w:rsidRPr="001E5413">
        <w:rPr>
          <w:rFonts w:ascii="Times New Roman" w:hAnsi="Times New Roman" w:cs="Times New Roman"/>
        </w:rPr>
        <w:t xml:space="preserve"> in their respective WHS legislation. SWA members agreed to</w:t>
      </w:r>
      <w:r w:rsidRPr="001E5413">
        <w:rPr>
          <w:rFonts w:ascii="Times New Roman" w:hAnsi="Times New Roman" w:cs="Times New Roman"/>
        </w:rPr>
        <w:t xml:space="preserve"> a two-year transitional period for manufacturers, importers and suppliers that will permit chemicals to continue to be used at the workplace if they were correctly labelled at the time they have been purchased</w:t>
      </w:r>
      <w:r w:rsidR="00793721" w:rsidRPr="001E5413">
        <w:rPr>
          <w:rFonts w:ascii="Times New Roman" w:hAnsi="Times New Roman" w:cs="Times New Roman"/>
        </w:rPr>
        <w:t xml:space="preserve"> or produced</w:t>
      </w:r>
      <w:r w:rsidR="00E21C58" w:rsidRPr="001E5413">
        <w:rPr>
          <w:rFonts w:ascii="Times New Roman" w:hAnsi="Times New Roman" w:cs="Times New Roman"/>
        </w:rPr>
        <w:t xml:space="preserve">. </w:t>
      </w:r>
    </w:p>
    <w:p w14:paraId="0699DEB1" w14:textId="77777777" w:rsidR="00B10D99" w:rsidRPr="001E5413" w:rsidRDefault="00B10D99" w:rsidP="00C93D97">
      <w:pPr>
        <w:spacing w:after="0" w:line="360" w:lineRule="auto"/>
        <w:rPr>
          <w:rFonts w:ascii="Times New Roman" w:hAnsi="Times New Roman" w:cs="Times New Roman"/>
        </w:rPr>
      </w:pPr>
    </w:p>
    <w:p w14:paraId="5800E34C" w14:textId="77777777" w:rsidR="003E69CF" w:rsidRPr="00B620E4" w:rsidRDefault="000B7DE5" w:rsidP="00F72C70">
      <w:pPr>
        <w:spacing w:after="0" w:line="360" w:lineRule="auto"/>
        <w:rPr>
          <w:rFonts w:ascii="Times New Roman" w:hAnsi="Times New Roman" w:cs="Times New Roman"/>
        </w:rPr>
      </w:pPr>
      <w:r w:rsidRPr="001E5413">
        <w:rPr>
          <w:rFonts w:ascii="Times New Roman" w:hAnsi="Times New Roman" w:cs="Times New Roman"/>
        </w:rPr>
        <w:t xml:space="preserve">The </w:t>
      </w:r>
      <w:r w:rsidR="00080B1F" w:rsidRPr="001E5413">
        <w:rPr>
          <w:rFonts w:ascii="Times New Roman" w:hAnsi="Times New Roman" w:cs="Times New Roman"/>
        </w:rPr>
        <w:t>Amendment</w:t>
      </w:r>
      <w:r w:rsidR="00252093" w:rsidRPr="001E5413">
        <w:rPr>
          <w:rFonts w:ascii="Times New Roman" w:hAnsi="Times New Roman" w:cs="Times New Roman"/>
        </w:rPr>
        <w:t xml:space="preserve"> </w:t>
      </w:r>
      <w:r w:rsidR="004464AD" w:rsidRPr="001E5413">
        <w:rPr>
          <w:rFonts w:ascii="Times New Roman" w:hAnsi="Times New Roman" w:cs="Times New Roman"/>
        </w:rPr>
        <w:t>R</w:t>
      </w:r>
      <w:r w:rsidRPr="001E5413">
        <w:rPr>
          <w:rFonts w:ascii="Times New Roman" w:hAnsi="Times New Roman" w:cs="Times New Roman"/>
        </w:rPr>
        <w:t xml:space="preserve">egulations also update outdated references </w:t>
      </w:r>
      <w:r w:rsidR="00EB0960">
        <w:rPr>
          <w:rFonts w:ascii="Times New Roman" w:hAnsi="Times New Roman" w:cs="Times New Roman"/>
        </w:rPr>
        <w:t>to Australian Safety Standar</w:t>
      </w:r>
      <w:r w:rsidR="00EB0960" w:rsidRPr="00B620E4">
        <w:rPr>
          <w:rFonts w:ascii="Times New Roman" w:hAnsi="Times New Roman" w:cs="Times New Roman"/>
        </w:rPr>
        <w:t xml:space="preserve">ds. </w:t>
      </w:r>
      <w:r w:rsidR="00F72C70" w:rsidRPr="00B620E4">
        <w:rPr>
          <w:rFonts w:ascii="Times New Roman" w:hAnsi="Times New Roman" w:cs="Times New Roman"/>
        </w:rPr>
        <w:t>W</w:t>
      </w:r>
      <w:r w:rsidR="003E69CF" w:rsidRPr="00B620E4">
        <w:rPr>
          <w:rFonts w:ascii="Times New Roman" w:hAnsi="Times New Roman" w:cs="Times New Roman"/>
        </w:rPr>
        <w:t xml:space="preserve">here the </w:t>
      </w:r>
      <w:r w:rsidR="007717EF" w:rsidRPr="00B620E4">
        <w:rPr>
          <w:rFonts w:ascii="Times New Roman" w:hAnsi="Times New Roman" w:cs="Times New Roman"/>
        </w:rPr>
        <w:t xml:space="preserve">Amendment </w:t>
      </w:r>
      <w:r w:rsidR="003E69CF" w:rsidRPr="00B620E4">
        <w:rPr>
          <w:rFonts w:ascii="Times New Roman" w:hAnsi="Times New Roman" w:cs="Times New Roman"/>
        </w:rPr>
        <w:t>Regulations refer to an Australian Standard reiterating a requirement to</w:t>
      </w:r>
      <w:r w:rsidR="007717EF" w:rsidRPr="00B620E4">
        <w:rPr>
          <w:rFonts w:ascii="Times New Roman" w:hAnsi="Times New Roman" w:cs="Times New Roman"/>
        </w:rPr>
        <w:t xml:space="preserve"> comply with that standard, this is</w:t>
      </w:r>
      <w:r w:rsidR="003E69CF" w:rsidRPr="00B620E4">
        <w:rPr>
          <w:rFonts w:ascii="Times New Roman" w:hAnsi="Times New Roman" w:cs="Times New Roman"/>
        </w:rPr>
        <w:t xml:space="preserve"> to be read as referring to the version of </w:t>
      </w:r>
      <w:r w:rsidR="007717EF" w:rsidRPr="00B620E4">
        <w:rPr>
          <w:rFonts w:ascii="Times New Roman" w:hAnsi="Times New Roman" w:cs="Times New Roman"/>
        </w:rPr>
        <w:t>that</w:t>
      </w:r>
      <w:r w:rsidR="003E69CF" w:rsidRPr="00B620E4">
        <w:rPr>
          <w:rFonts w:ascii="Times New Roman" w:hAnsi="Times New Roman" w:cs="Times New Roman"/>
        </w:rPr>
        <w:t xml:space="preserve"> Australian Standard in f</w:t>
      </w:r>
      <w:r w:rsidR="007717EF" w:rsidRPr="00B620E4">
        <w:rPr>
          <w:rFonts w:ascii="Times New Roman" w:hAnsi="Times New Roman" w:cs="Times New Roman"/>
        </w:rPr>
        <w:t>orce at the time</w:t>
      </w:r>
      <w:r w:rsidR="00F72C70" w:rsidRPr="00B620E4">
        <w:rPr>
          <w:rFonts w:ascii="Times New Roman" w:hAnsi="Times New Roman" w:cs="Times New Roman"/>
        </w:rPr>
        <w:t xml:space="preserve"> </w:t>
      </w:r>
      <w:r w:rsidR="007717EF" w:rsidRPr="00B620E4">
        <w:rPr>
          <w:rFonts w:ascii="Times New Roman" w:hAnsi="Times New Roman" w:cs="Times New Roman"/>
        </w:rPr>
        <w:t xml:space="preserve">Amendment </w:t>
      </w:r>
      <w:r w:rsidR="00F72C70" w:rsidRPr="00B620E4">
        <w:rPr>
          <w:rFonts w:ascii="Times New Roman" w:hAnsi="Times New Roman" w:cs="Times New Roman"/>
        </w:rPr>
        <w:t>Regulation</w:t>
      </w:r>
      <w:r w:rsidR="007717EF" w:rsidRPr="00B620E4">
        <w:rPr>
          <w:rFonts w:ascii="Times New Roman" w:hAnsi="Times New Roman" w:cs="Times New Roman"/>
        </w:rPr>
        <w:t>s are</w:t>
      </w:r>
      <w:r w:rsidR="00F72C70" w:rsidRPr="00B620E4">
        <w:rPr>
          <w:rFonts w:ascii="Times New Roman" w:hAnsi="Times New Roman" w:cs="Times New Roman"/>
        </w:rPr>
        <w:t xml:space="preserve"> made</w:t>
      </w:r>
      <w:r w:rsidR="007717EF" w:rsidRPr="00B620E4">
        <w:rPr>
          <w:rFonts w:ascii="Times New Roman" w:hAnsi="Times New Roman" w:cs="Times New Roman"/>
        </w:rPr>
        <w:t>.</w:t>
      </w:r>
    </w:p>
    <w:p w14:paraId="351CC0E3" w14:textId="77777777" w:rsidR="003E69CF" w:rsidRPr="00B620E4" w:rsidRDefault="003E69CF" w:rsidP="003E69CF">
      <w:pPr>
        <w:spacing w:after="0" w:line="360" w:lineRule="auto"/>
        <w:rPr>
          <w:rFonts w:ascii="Times New Roman" w:hAnsi="Times New Roman" w:cs="Times New Roman"/>
        </w:rPr>
      </w:pPr>
      <w:r w:rsidRPr="00B620E4">
        <w:rPr>
          <w:rFonts w:ascii="Times New Roman" w:hAnsi="Times New Roman" w:cs="Times New Roman"/>
        </w:rPr>
        <w:t xml:space="preserve"> </w:t>
      </w:r>
    </w:p>
    <w:p w14:paraId="2B209BFC" w14:textId="77777777" w:rsidR="007B5C66" w:rsidRPr="001E5413" w:rsidRDefault="003E69CF" w:rsidP="00E21C58">
      <w:pPr>
        <w:spacing w:after="0" w:line="360" w:lineRule="auto"/>
        <w:rPr>
          <w:rFonts w:ascii="Times New Roman" w:hAnsi="Times New Roman" w:cs="Times New Roman"/>
        </w:rPr>
      </w:pPr>
      <w:r w:rsidRPr="00B620E4">
        <w:rPr>
          <w:rFonts w:ascii="Times New Roman" w:hAnsi="Times New Roman" w:cs="Times New Roman"/>
        </w:rPr>
        <w:t xml:space="preserve">Australian Standards which are </w:t>
      </w:r>
      <w:r w:rsidR="007717EF" w:rsidRPr="00B620E4">
        <w:rPr>
          <w:rFonts w:ascii="Times New Roman" w:hAnsi="Times New Roman" w:cs="Times New Roman"/>
        </w:rPr>
        <w:t xml:space="preserve">referred </w:t>
      </w:r>
      <w:r w:rsidRPr="00B620E4">
        <w:rPr>
          <w:rFonts w:ascii="Times New Roman" w:hAnsi="Times New Roman" w:cs="Times New Roman"/>
        </w:rPr>
        <w:t xml:space="preserve">to </w:t>
      </w:r>
      <w:r w:rsidR="007717EF" w:rsidRPr="00B620E4">
        <w:rPr>
          <w:rFonts w:ascii="Times New Roman" w:hAnsi="Times New Roman" w:cs="Times New Roman"/>
        </w:rPr>
        <w:t xml:space="preserve">in </w:t>
      </w:r>
      <w:r w:rsidRPr="00B620E4">
        <w:rPr>
          <w:rFonts w:ascii="Times New Roman" w:hAnsi="Times New Roman" w:cs="Times New Roman"/>
        </w:rPr>
        <w:t xml:space="preserve">the </w:t>
      </w:r>
      <w:r w:rsidR="007717EF" w:rsidRPr="00B620E4">
        <w:rPr>
          <w:rFonts w:ascii="Times New Roman" w:hAnsi="Times New Roman" w:cs="Times New Roman"/>
        </w:rPr>
        <w:t xml:space="preserve">Principal </w:t>
      </w:r>
      <w:r w:rsidRPr="00B620E4">
        <w:rPr>
          <w:rFonts w:ascii="Times New Roman" w:hAnsi="Times New Roman" w:cs="Times New Roman"/>
        </w:rPr>
        <w:t>Regulations (and Codes</w:t>
      </w:r>
      <w:r w:rsidR="00995D33" w:rsidRPr="00B620E4">
        <w:rPr>
          <w:rFonts w:ascii="Times New Roman" w:hAnsi="Times New Roman" w:cs="Times New Roman"/>
        </w:rPr>
        <w:t xml:space="preserve"> of Practice</w:t>
      </w:r>
      <w:r w:rsidRPr="00B620E4">
        <w:rPr>
          <w:rFonts w:ascii="Times New Roman" w:hAnsi="Times New Roman" w:cs="Times New Roman"/>
        </w:rPr>
        <w:t>) are able to be viewed in person at</w:t>
      </w:r>
      <w:r w:rsidR="007717EF" w:rsidRPr="00B620E4">
        <w:rPr>
          <w:rFonts w:ascii="Times New Roman" w:hAnsi="Times New Roman" w:cs="Times New Roman"/>
        </w:rPr>
        <w:t xml:space="preserve"> the office of the Commonwealth WHS Regulator,</w:t>
      </w:r>
      <w:r w:rsidRPr="00B620E4">
        <w:rPr>
          <w:rFonts w:ascii="Times New Roman" w:hAnsi="Times New Roman" w:cs="Times New Roman"/>
        </w:rPr>
        <w:t xml:space="preserve"> Com</w:t>
      </w:r>
      <w:r w:rsidR="007717EF" w:rsidRPr="00B620E4">
        <w:rPr>
          <w:rFonts w:ascii="Times New Roman" w:hAnsi="Times New Roman" w:cs="Times New Roman"/>
        </w:rPr>
        <w:t>care,</w:t>
      </w:r>
      <w:r w:rsidR="00F72C70" w:rsidRPr="00B620E4">
        <w:rPr>
          <w:rFonts w:ascii="Times New Roman" w:hAnsi="Times New Roman" w:cs="Times New Roman"/>
        </w:rPr>
        <w:t xml:space="preserve"> free of charge. </w:t>
      </w:r>
      <w:r w:rsidRPr="00B620E4">
        <w:rPr>
          <w:rFonts w:ascii="Times New Roman" w:hAnsi="Times New Roman" w:cs="Times New Roman"/>
        </w:rPr>
        <w:t>In addition, businesses and undertakings that engage in activities to which the Australian Standards apply c</w:t>
      </w:r>
      <w:r w:rsidR="00F72C70" w:rsidRPr="00B620E4">
        <w:rPr>
          <w:rFonts w:ascii="Times New Roman" w:hAnsi="Times New Roman" w:cs="Times New Roman"/>
        </w:rPr>
        <w:t>an purchase copies of the Australian Standards from SAI Global</w:t>
      </w:r>
      <w:r w:rsidR="00802FB7" w:rsidRPr="00B620E4">
        <w:rPr>
          <w:rFonts w:ascii="Times New Roman" w:hAnsi="Times New Roman" w:cs="Times New Roman"/>
        </w:rPr>
        <w:t xml:space="preserve"> or Techstreet</w:t>
      </w:r>
      <w:r w:rsidR="00F72C70" w:rsidRPr="00B620E4">
        <w:rPr>
          <w:rFonts w:ascii="Times New Roman" w:hAnsi="Times New Roman" w:cs="Times New Roman"/>
        </w:rPr>
        <w:t>.</w:t>
      </w:r>
      <w:r w:rsidR="00F72C70">
        <w:rPr>
          <w:rFonts w:ascii="Times New Roman" w:hAnsi="Times New Roman" w:cs="Times New Roman"/>
        </w:rPr>
        <w:t xml:space="preserve"> </w:t>
      </w:r>
    </w:p>
    <w:p w14:paraId="1D0CCC05" w14:textId="77777777" w:rsidR="007B5C66" w:rsidRPr="001E5413" w:rsidRDefault="007B5C66" w:rsidP="00E21C58">
      <w:pPr>
        <w:spacing w:after="0" w:line="360" w:lineRule="auto"/>
        <w:rPr>
          <w:rFonts w:ascii="Times New Roman" w:hAnsi="Times New Roman" w:cs="Times New Roman"/>
        </w:rPr>
      </w:pPr>
    </w:p>
    <w:p w14:paraId="0EFB9B82" w14:textId="77777777" w:rsidR="00252093" w:rsidRPr="001E5413" w:rsidRDefault="007B5C66" w:rsidP="00C93D97">
      <w:pPr>
        <w:spacing w:after="0" w:line="360" w:lineRule="auto"/>
        <w:rPr>
          <w:rFonts w:ascii="Times New Roman" w:hAnsi="Times New Roman" w:cs="Times New Roman"/>
        </w:rPr>
      </w:pPr>
      <w:r w:rsidRPr="001E5413">
        <w:rPr>
          <w:rFonts w:ascii="Times New Roman" w:hAnsi="Times New Roman" w:cs="Times New Roman"/>
        </w:rPr>
        <w:lastRenderedPageBreak/>
        <w:t xml:space="preserve">Details of the Amendment Regulations are at </w:t>
      </w:r>
      <w:r w:rsidRPr="001E5413">
        <w:rPr>
          <w:rFonts w:ascii="Times New Roman" w:hAnsi="Times New Roman" w:cs="Times New Roman"/>
          <w:u w:val="single"/>
        </w:rPr>
        <w:t>Attachment A</w:t>
      </w:r>
      <w:r w:rsidRPr="001E5413">
        <w:rPr>
          <w:rFonts w:ascii="Times New Roman" w:hAnsi="Times New Roman" w:cs="Times New Roman"/>
          <w:b/>
        </w:rPr>
        <w:t>.</w:t>
      </w:r>
      <w:r w:rsidRPr="001E5413">
        <w:rPr>
          <w:rFonts w:ascii="Times New Roman" w:hAnsi="Times New Roman" w:cs="Times New Roman"/>
        </w:rPr>
        <w:t xml:space="preserve"> </w:t>
      </w:r>
    </w:p>
    <w:p w14:paraId="65898CD6" w14:textId="77777777" w:rsidR="00252093" w:rsidRPr="001E5413" w:rsidRDefault="00252093" w:rsidP="00C93D97">
      <w:pPr>
        <w:spacing w:after="0" w:line="360" w:lineRule="auto"/>
        <w:rPr>
          <w:rFonts w:ascii="Times New Roman" w:hAnsi="Times New Roman" w:cs="Times New Roman"/>
        </w:rPr>
      </w:pPr>
    </w:p>
    <w:p w14:paraId="68ECD9F0" w14:textId="77777777" w:rsidR="007B5C66" w:rsidRPr="001E5413" w:rsidRDefault="007B5C66" w:rsidP="00B10D99">
      <w:pPr>
        <w:spacing w:after="0" w:line="360" w:lineRule="auto"/>
        <w:rPr>
          <w:rFonts w:ascii="Times New Roman" w:hAnsi="Times New Roman" w:cs="Times New Roman"/>
        </w:rPr>
      </w:pPr>
      <w:r w:rsidRPr="001E5413">
        <w:rPr>
          <w:rFonts w:ascii="Times New Roman" w:hAnsi="Times New Roman" w:cs="Times New Roman"/>
        </w:rPr>
        <w:t xml:space="preserve">The Amendment Regulations are a legislative instrument for the purposes of the </w:t>
      </w:r>
      <w:r w:rsidRPr="001E5413">
        <w:rPr>
          <w:rFonts w:ascii="Times New Roman" w:hAnsi="Times New Roman" w:cs="Times New Roman"/>
          <w:i/>
        </w:rPr>
        <w:t xml:space="preserve">Legislation Act 2003 </w:t>
      </w:r>
      <w:r w:rsidRPr="001E5413">
        <w:rPr>
          <w:rFonts w:ascii="Times New Roman" w:hAnsi="Times New Roman" w:cs="Times New Roman"/>
        </w:rPr>
        <w:t>and commence on 1 January 2021.</w:t>
      </w:r>
    </w:p>
    <w:p w14:paraId="6171B11D" w14:textId="77777777" w:rsidR="00B10D99" w:rsidRPr="001E5413" w:rsidRDefault="00B10D99" w:rsidP="00B10D99">
      <w:pPr>
        <w:spacing w:after="0" w:line="360" w:lineRule="auto"/>
        <w:rPr>
          <w:rFonts w:ascii="Times New Roman" w:hAnsi="Times New Roman" w:cs="Times New Roman"/>
        </w:rPr>
      </w:pPr>
    </w:p>
    <w:p w14:paraId="61A49913" w14:textId="77777777" w:rsidR="00E21C58" w:rsidRPr="001E5413" w:rsidRDefault="00E21C58" w:rsidP="00B10D99">
      <w:pPr>
        <w:spacing w:after="0" w:line="360" w:lineRule="auto"/>
        <w:rPr>
          <w:rFonts w:ascii="Times New Roman" w:hAnsi="Times New Roman" w:cs="Times New Roman"/>
          <w:b/>
          <w:caps/>
        </w:rPr>
      </w:pPr>
      <w:r w:rsidRPr="001E5413">
        <w:rPr>
          <w:rFonts w:ascii="Times New Roman" w:hAnsi="Times New Roman" w:cs="Times New Roman"/>
          <w:b/>
        </w:rPr>
        <w:t>C</w:t>
      </w:r>
      <w:r w:rsidRPr="001E5413">
        <w:rPr>
          <w:rFonts w:ascii="Times New Roman" w:hAnsi="Times New Roman" w:cs="Times New Roman"/>
          <w:b/>
          <w:caps/>
        </w:rPr>
        <w:t>onsultation</w:t>
      </w:r>
    </w:p>
    <w:p w14:paraId="02914B31" w14:textId="77777777" w:rsidR="00E21C58" w:rsidRPr="001E5413" w:rsidRDefault="00476F6F" w:rsidP="00E21C58">
      <w:pPr>
        <w:spacing w:after="0" w:line="360" w:lineRule="auto"/>
        <w:rPr>
          <w:rFonts w:ascii="Times New Roman" w:hAnsi="Times New Roman" w:cs="Times New Roman"/>
        </w:rPr>
      </w:pPr>
      <w:r w:rsidRPr="001E5413">
        <w:rPr>
          <w:rFonts w:ascii="Times New Roman" w:hAnsi="Times New Roman" w:cs="Times New Roman"/>
        </w:rPr>
        <w:t xml:space="preserve">The </w:t>
      </w:r>
      <w:r w:rsidR="00010FC1" w:rsidRPr="001E5413">
        <w:rPr>
          <w:rFonts w:ascii="Times New Roman" w:hAnsi="Times New Roman" w:cs="Times New Roman"/>
        </w:rPr>
        <w:t xml:space="preserve">Amendment </w:t>
      </w:r>
      <w:r w:rsidRPr="001E5413">
        <w:rPr>
          <w:rFonts w:ascii="Times New Roman" w:hAnsi="Times New Roman" w:cs="Times New Roman"/>
        </w:rPr>
        <w:t>Regulations follow consultations w</w:t>
      </w:r>
      <w:r w:rsidR="007717EF">
        <w:rPr>
          <w:rFonts w:ascii="Times New Roman" w:hAnsi="Times New Roman" w:cs="Times New Roman"/>
        </w:rPr>
        <w:t xml:space="preserve">ith stakeholders by SWA and </w:t>
      </w:r>
      <w:r w:rsidRPr="001E5413">
        <w:rPr>
          <w:rFonts w:ascii="Times New Roman" w:hAnsi="Times New Roman" w:cs="Times New Roman"/>
        </w:rPr>
        <w:t xml:space="preserve">Comcare. </w:t>
      </w:r>
    </w:p>
    <w:p w14:paraId="1AFE4FC0" w14:textId="77777777" w:rsidR="00476F6F" w:rsidRPr="001E5413" w:rsidRDefault="00476F6F" w:rsidP="00E21C58">
      <w:pPr>
        <w:spacing w:after="0" w:line="360" w:lineRule="auto"/>
        <w:rPr>
          <w:rFonts w:ascii="Times New Roman" w:hAnsi="Times New Roman" w:cs="Times New Roman"/>
        </w:rPr>
      </w:pPr>
    </w:p>
    <w:p w14:paraId="29462E07" w14:textId="77777777" w:rsidR="00BA064D" w:rsidRPr="001E5413" w:rsidRDefault="00476F6F" w:rsidP="00E21C58">
      <w:pPr>
        <w:spacing w:after="0" w:line="360" w:lineRule="auto"/>
        <w:rPr>
          <w:rFonts w:ascii="Times New Roman" w:hAnsi="Times New Roman" w:cs="Times New Roman"/>
        </w:rPr>
      </w:pPr>
      <w:r w:rsidRPr="001E5413">
        <w:rPr>
          <w:rFonts w:ascii="Times New Roman" w:hAnsi="Times New Roman" w:cs="Times New Roman"/>
        </w:rPr>
        <w:t xml:space="preserve">In July </w:t>
      </w:r>
      <w:r w:rsidR="00E21C58" w:rsidRPr="001E5413">
        <w:rPr>
          <w:rFonts w:ascii="Times New Roman" w:hAnsi="Times New Roman" w:cs="Times New Roman"/>
        </w:rPr>
        <w:t xml:space="preserve">2019, SWA publicly released a </w:t>
      </w:r>
      <w:r w:rsidRPr="001E5413">
        <w:rPr>
          <w:rFonts w:ascii="Times New Roman" w:hAnsi="Times New Roman" w:cs="Times New Roman"/>
        </w:rPr>
        <w:t>consultation paper and requested stakeholder feedback on the proposal to adopt an updated edition of</w:t>
      </w:r>
      <w:r w:rsidR="00C93E66" w:rsidRPr="001E5413">
        <w:rPr>
          <w:rFonts w:ascii="Times New Roman" w:hAnsi="Times New Roman" w:cs="Times New Roman"/>
        </w:rPr>
        <w:t xml:space="preserve"> the</w:t>
      </w:r>
      <w:r w:rsidRPr="001E5413">
        <w:rPr>
          <w:rFonts w:ascii="Times New Roman" w:hAnsi="Times New Roman" w:cs="Times New Roman"/>
        </w:rPr>
        <w:t xml:space="preserve"> GHS. </w:t>
      </w:r>
      <w:r w:rsidR="00E21C58" w:rsidRPr="001E5413">
        <w:rPr>
          <w:rFonts w:ascii="Times New Roman" w:hAnsi="Times New Roman" w:cs="Times New Roman"/>
        </w:rPr>
        <w:t>Interested parties were invited to provide submissions over a four-week period</w:t>
      </w:r>
      <w:r w:rsidRPr="001E5413">
        <w:rPr>
          <w:rFonts w:ascii="Times New Roman" w:hAnsi="Times New Roman" w:cs="Times New Roman"/>
        </w:rPr>
        <w:t xml:space="preserve"> ending 28 July 2019</w:t>
      </w:r>
      <w:r w:rsidR="00E21C58" w:rsidRPr="001E5413">
        <w:rPr>
          <w:rFonts w:ascii="Times New Roman" w:hAnsi="Times New Roman" w:cs="Times New Roman"/>
        </w:rPr>
        <w:t>. Feedback from consultation</w:t>
      </w:r>
      <w:r w:rsidRPr="001E5413">
        <w:rPr>
          <w:rFonts w:ascii="Times New Roman" w:hAnsi="Times New Roman" w:cs="Times New Roman"/>
        </w:rPr>
        <w:t>s was considered by SWA members.</w:t>
      </w:r>
    </w:p>
    <w:p w14:paraId="046092A5" w14:textId="77777777" w:rsidR="00B10D99" w:rsidRPr="001E5413" w:rsidRDefault="00B10D99" w:rsidP="00E21C58">
      <w:pPr>
        <w:spacing w:after="0" w:line="360" w:lineRule="auto"/>
        <w:rPr>
          <w:rFonts w:ascii="Times New Roman" w:hAnsi="Times New Roman" w:cs="Times New Roman"/>
        </w:rPr>
      </w:pPr>
    </w:p>
    <w:p w14:paraId="07E67E17" w14:textId="77777777" w:rsidR="00BA064D" w:rsidRPr="001E5413" w:rsidRDefault="00BA064D" w:rsidP="00B10D99">
      <w:pPr>
        <w:spacing w:after="0" w:line="360" w:lineRule="auto"/>
        <w:rPr>
          <w:rFonts w:ascii="Times New Roman" w:hAnsi="Times New Roman" w:cs="Times New Roman"/>
          <w:b/>
          <w:caps/>
        </w:rPr>
      </w:pPr>
      <w:r w:rsidRPr="001E5413">
        <w:rPr>
          <w:rFonts w:ascii="Times New Roman" w:hAnsi="Times New Roman" w:cs="Times New Roman"/>
          <w:b/>
          <w:caps/>
        </w:rPr>
        <w:t>Regulation Impact Statement</w:t>
      </w:r>
      <w:r w:rsidR="00793721" w:rsidRPr="001E5413">
        <w:rPr>
          <w:rFonts w:ascii="Times New Roman" w:hAnsi="Times New Roman" w:cs="Times New Roman"/>
          <w:b/>
          <w:caps/>
        </w:rPr>
        <w:t xml:space="preserve"> </w:t>
      </w:r>
    </w:p>
    <w:p w14:paraId="307FEA09" w14:textId="77777777" w:rsidR="00BA064D" w:rsidRPr="001E5413" w:rsidRDefault="0007085B" w:rsidP="00BA064D">
      <w:pPr>
        <w:spacing w:line="360" w:lineRule="auto"/>
        <w:rPr>
          <w:rFonts w:ascii="Times New Roman" w:hAnsi="Times New Roman" w:cs="Times New Roman"/>
        </w:rPr>
      </w:pPr>
      <w:r w:rsidRPr="001E5413">
        <w:rPr>
          <w:rFonts w:ascii="Times New Roman" w:hAnsi="Times New Roman" w:cs="Times New Roman"/>
        </w:rPr>
        <w:t>In March 2019, the Office of Best Practice Regulation advised that moving from</w:t>
      </w:r>
      <w:r w:rsidR="00C93E66" w:rsidRPr="001E5413">
        <w:rPr>
          <w:rFonts w:ascii="Times New Roman" w:hAnsi="Times New Roman" w:cs="Times New Roman"/>
        </w:rPr>
        <w:t xml:space="preserve"> the</w:t>
      </w:r>
      <w:r w:rsidRPr="001E5413">
        <w:rPr>
          <w:rFonts w:ascii="Times New Roman" w:hAnsi="Times New Roman" w:cs="Times New Roman"/>
        </w:rPr>
        <w:t xml:space="preserve"> GHS 3 to GHS 7 is covered by the original Regulation Impact Statement from when the GHS framework was first implemented in Australia and no further formal analysis was required</w:t>
      </w:r>
      <w:r w:rsidRPr="001E5413" w:rsidDel="0007085B">
        <w:rPr>
          <w:rFonts w:ascii="Times New Roman" w:hAnsi="Times New Roman" w:cs="Times New Roman"/>
        </w:rPr>
        <w:t xml:space="preserve"> </w:t>
      </w:r>
      <w:r w:rsidR="00BA064D" w:rsidRPr="001E5413">
        <w:rPr>
          <w:rFonts w:ascii="Times New Roman" w:hAnsi="Times New Roman" w:cs="Times New Roman"/>
        </w:rPr>
        <w:t xml:space="preserve">(OBPR reference: </w:t>
      </w:r>
      <w:r w:rsidRPr="001E5413">
        <w:rPr>
          <w:rFonts w:ascii="Times New Roman" w:hAnsi="Times New Roman" w:cs="Times New Roman"/>
        </w:rPr>
        <w:t>25148</w:t>
      </w:r>
      <w:r w:rsidR="00BA064D" w:rsidRPr="001E5413">
        <w:rPr>
          <w:rFonts w:ascii="Times New Roman" w:hAnsi="Times New Roman" w:cs="Times New Roman"/>
        </w:rPr>
        <w:t xml:space="preserve">). </w:t>
      </w:r>
      <w:r w:rsidRPr="001E5413">
        <w:rPr>
          <w:rFonts w:ascii="Times New Roman" w:hAnsi="Times New Roman" w:cs="Times New Roman"/>
        </w:rPr>
        <w:t xml:space="preserve">Noting this advice, SWA consulted independently with industry and other interested stakeholders with a focus on transitional arrangements and practical measures to support implementation of </w:t>
      </w:r>
      <w:r w:rsidR="00C93E66" w:rsidRPr="001E5413">
        <w:rPr>
          <w:rFonts w:ascii="Times New Roman" w:hAnsi="Times New Roman" w:cs="Times New Roman"/>
        </w:rPr>
        <w:t xml:space="preserve">the </w:t>
      </w:r>
      <w:r w:rsidRPr="001E5413">
        <w:rPr>
          <w:rFonts w:ascii="Times New Roman" w:hAnsi="Times New Roman" w:cs="Times New Roman"/>
        </w:rPr>
        <w:t xml:space="preserve">GHS </w:t>
      </w:r>
      <w:r w:rsidR="00010FC1" w:rsidRPr="001E5413">
        <w:rPr>
          <w:rFonts w:ascii="Times New Roman" w:hAnsi="Times New Roman" w:cs="Times New Roman"/>
        </w:rPr>
        <w:t>7</w:t>
      </w:r>
      <w:r w:rsidRPr="001E5413">
        <w:rPr>
          <w:rFonts w:ascii="Times New Roman" w:hAnsi="Times New Roman" w:cs="Times New Roman"/>
        </w:rPr>
        <w:t>.</w:t>
      </w:r>
    </w:p>
    <w:p w14:paraId="36421F28" w14:textId="77777777" w:rsidR="00B10D99" w:rsidRPr="001E5413" w:rsidRDefault="00B10D99" w:rsidP="00B10D99">
      <w:pPr>
        <w:spacing w:after="0" w:line="360" w:lineRule="auto"/>
        <w:rPr>
          <w:rFonts w:ascii="Times New Roman" w:hAnsi="Times New Roman" w:cs="Times New Roman"/>
          <w:b/>
          <w:caps/>
        </w:rPr>
      </w:pPr>
    </w:p>
    <w:p w14:paraId="21B20ABD" w14:textId="77777777" w:rsidR="00BA064D" w:rsidRPr="001E5413" w:rsidRDefault="007B5C66" w:rsidP="00B10D99">
      <w:pPr>
        <w:spacing w:after="0" w:line="360" w:lineRule="auto"/>
        <w:rPr>
          <w:rFonts w:ascii="Times New Roman" w:hAnsi="Times New Roman" w:cs="Times New Roman"/>
          <w:b/>
          <w:caps/>
        </w:rPr>
      </w:pPr>
      <w:r w:rsidRPr="001E5413">
        <w:rPr>
          <w:rFonts w:ascii="Times New Roman" w:hAnsi="Times New Roman" w:cs="Times New Roman"/>
          <w:b/>
          <w:caps/>
        </w:rPr>
        <w:t>Statement of compatibility with Human rights</w:t>
      </w:r>
    </w:p>
    <w:p w14:paraId="4652B9E5" w14:textId="77777777" w:rsidR="00BA064D" w:rsidRPr="001E5413" w:rsidRDefault="007B5C66" w:rsidP="00BA064D">
      <w:pPr>
        <w:spacing w:line="360" w:lineRule="auto"/>
        <w:rPr>
          <w:rFonts w:ascii="Times New Roman" w:hAnsi="Times New Roman" w:cs="Times New Roman"/>
          <w:b/>
        </w:rPr>
      </w:pPr>
      <w:r w:rsidRPr="001E5413">
        <w:rPr>
          <w:rFonts w:ascii="Times New Roman" w:hAnsi="Times New Roman" w:cs="Times New Roman"/>
        </w:rPr>
        <w:t xml:space="preserve">The Amendment Regulations are compatible with the human rights and freedoms recognised or declared in the international instruments listed in section 3 of the </w:t>
      </w:r>
      <w:r w:rsidRPr="001E5413">
        <w:rPr>
          <w:rFonts w:ascii="Times New Roman" w:hAnsi="Times New Roman" w:cs="Times New Roman"/>
          <w:i/>
        </w:rPr>
        <w:t>Human Rights (Parliamentary Scrutiny) Act 201</w:t>
      </w:r>
      <w:r w:rsidR="00252093" w:rsidRPr="001E5413">
        <w:rPr>
          <w:rFonts w:ascii="Times New Roman" w:hAnsi="Times New Roman" w:cs="Times New Roman"/>
          <w:i/>
        </w:rPr>
        <w:t>1</w:t>
      </w:r>
      <w:r w:rsidRPr="001E5413">
        <w:rPr>
          <w:rFonts w:ascii="Times New Roman" w:hAnsi="Times New Roman" w:cs="Times New Roman"/>
          <w:i/>
        </w:rPr>
        <w:t>.</w:t>
      </w:r>
      <w:r w:rsidRPr="001E5413">
        <w:rPr>
          <w:rFonts w:ascii="Times New Roman" w:hAnsi="Times New Roman" w:cs="Times New Roman"/>
        </w:rPr>
        <w:t xml:space="preserve"> </w:t>
      </w:r>
      <w:r w:rsidR="00BA064D" w:rsidRPr="001E5413">
        <w:rPr>
          <w:rFonts w:ascii="Times New Roman" w:hAnsi="Times New Roman" w:cs="Times New Roman"/>
        </w:rPr>
        <w:t xml:space="preserve">A </w:t>
      </w:r>
      <w:r w:rsidRPr="001E5413">
        <w:rPr>
          <w:rFonts w:ascii="Times New Roman" w:hAnsi="Times New Roman" w:cs="Times New Roman"/>
        </w:rPr>
        <w:t>S</w:t>
      </w:r>
      <w:r w:rsidR="00BA064D" w:rsidRPr="001E5413">
        <w:rPr>
          <w:rFonts w:ascii="Times New Roman" w:hAnsi="Times New Roman" w:cs="Times New Roman"/>
        </w:rPr>
        <w:t xml:space="preserve">tatement of </w:t>
      </w:r>
      <w:r w:rsidRPr="001E5413">
        <w:rPr>
          <w:rFonts w:ascii="Times New Roman" w:hAnsi="Times New Roman" w:cs="Times New Roman"/>
        </w:rPr>
        <w:t>C</w:t>
      </w:r>
      <w:r w:rsidR="00BA064D" w:rsidRPr="001E5413">
        <w:rPr>
          <w:rFonts w:ascii="Times New Roman" w:hAnsi="Times New Roman" w:cs="Times New Roman"/>
        </w:rPr>
        <w:t>ompatibility</w:t>
      </w:r>
      <w:r w:rsidRPr="001E5413">
        <w:rPr>
          <w:rFonts w:ascii="Times New Roman" w:hAnsi="Times New Roman" w:cs="Times New Roman"/>
        </w:rPr>
        <w:t xml:space="preserve"> with Human Rights </w:t>
      </w:r>
      <w:r w:rsidR="00BA064D" w:rsidRPr="001E5413">
        <w:rPr>
          <w:rFonts w:ascii="Times New Roman" w:hAnsi="Times New Roman" w:cs="Times New Roman"/>
        </w:rPr>
        <w:t xml:space="preserve">is </w:t>
      </w:r>
      <w:r w:rsidRPr="001E5413">
        <w:rPr>
          <w:rFonts w:ascii="Times New Roman" w:hAnsi="Times New Roman" w:cs="Times New Roman"/>
        </w:rPr>
        <w:t xml:space="preserve">set out </w:t>
      </w:r>
      <w:r w:rsidR="00BA064D" w:rsidRPr="001E5413">
        <w:rPr>
          <w:rFonts w:ascii="Times New Roman" w:hAnsi="Times New Roman" w:cs="Times New Roman"/>
        </w:rPr>
        <w:t xml:space="preserve">at </w:t>
      </w:r>
      <w:r w:rsidR="00BA064D" w:rsidRPr="001E5413">
        <w:rPr>
          <w:rFonts w:ascii="Times New Roman" w:hAnsi="Times New Roman" w:cs="Times New Roman"/>
          <w:u w:val="single"/>
        </w:rPr>
        <w:t>Attachment B</w:t>
      </w:r>
      <w:r w:rsidR="00BA064D" w:rsidRPr="001E5413">
        <w:rPr>
          <w:rFonts w:ascii="Times New Roman" w:hAnsi="Times New Roman" w:cs="Times New Roman"/>
          <w:b/>
        </w:rPr>
        <w:t xml:space="preserve">. </w:t>
      </w:r>
    </w:p>
    <w:p w14:paraId="6EB259BC" w14:textId="77777777" w:rsidR="00BA064D" w:rsidRPr="001E5413" w:rsidRDefault="00BA064D" w:rsidP="00BA064D">
      <w:pPr>
        <w:spacing w:after="0" w:line="360" w:lineRule="auto"/>
        <w:rPr>
          <w:rFonts w:ascii="Times New Roman" w:hAnsi="Times New Roman" w:cs="Times New Roman"/>
          <w:b/>
        </w:rPr>
      </w:pPr>
    </w:p>
    <w:p w14:paraId="4B296F71" w14:textId="77777777" w:rsidR="00BA064D" w:rsidRPr="001E5413" w:rsidRDefault="00BA064D" w:rsidP="00BA064D">
      <w:r w:rsidRPr="001E5413">
        <w:br w:type="page"/>
      </w:r>
    </w:p>
    <w:p w14:paraId="0FA51C7E" w14:textId="77777777" w:rsidR="00BA064D" w:rsidRPr="001E5413" w:rsidRDefault="00BA064D" w:rsidP="00BA064D">
      <w:pPr>
        <w:jc w:val="right"/>
        <w:rPr>
          <w:rFonts w:ascii="Times New Roman" w:hAnsi="Times New Roman" w:cs="Times New Roman"/>
          <w:b/>
          <w:sz w:val="24"/>
          <w:szCs w:val="24"/>
        </w:rPr>
      </w:pPr>
      <w:r w:rsidRPr="001E5413">
        <w:rPr>
          <w:rFonts w:ascii="Times New Roman" w:hAnsi="Times New Roman" w:cs="Times New Roman"/>
          <w:b/>
          <w:sz w:val="24"/>
          <w:szCs w:val="24"/>
        </w:rPr>
        <w:lastRenderedPageBreak/>
        <w:t>Attachment A</w:t>
      </w:r>
    </w:p>
    <w:p w14:paraId="4C42CA77" w14:textId="77777777" w:rsidR="00BA064D" w:rsidRPr="001E5413" w:rsidRDefault="00BA064D" w:rsidP="00BA064D">
      <w:pPr>
        <w:spacing w:line="360" w:lineRule="auto"/>
        <w:rPr>
          <w:rFonts w:ascii="Times New Roman" w:hAnsi="Times New Roman" w:cs="Times New Roman"/>
          <w:b/>
          <w:sz w:val="24"/>
          <w:szCs w:val="24"/>
        </w:rPr>
      </w:pPr>
      <w:r w:rsidRPr="001E5413">
        <w:rPr>
          <w:rFonts w:ascii="Times New Roman" w:hAnsi="Times New Roman" w:cs="Times New Roman"/>
          <w:b/>
          <w:sz w:val="24"/>
          <w:szCs w:val="24"/>
        </w:rPr>
        <w:t>NOTES ON SECTIONS</w:t>
      </w:r>
    </w:p>
    <w:p w14:paraId="395E1604"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u w:val="single"/>
        </w:rPr>
        <w:t xml:space="preserve">Section 1 - Name </w:t>
      </w:r>
    </w:p>
    <w:p w14:paraId="697F68AC"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This section provides that the title of the </w:t>
      </w:r>
      <w:r w:rsidR="0098498D" w:rsidRPr="001E5413">
        <w:rPr>
          <w:rFonts w:ascii="Times New Roman" w:hAnsi="Times New Roman" w:cs="Times New Roman"/>
          <w:sz w:val="24"/>
          <w:szCs w:val="24"/>
        </w:rPr>
        <w:t>instrument is</w:t>
      </w:r>
      <w:r w:rsidRPr="001E5413">
        <w:rPr>
          <w:rFonts w:ascii="Times New Roman" w:hAnsi="Times New Roman" w:cs="Times New Roman"/>
          <w:sz w:val="24"/>
          <w:szCs w:val="24"/>
        </w:rPr>
        <w:t xml:space="preserve"> the </w:t>
      </w:r>
      <w:r w:rsidRPr="001E5413">
        <w:rPr>
          <w:rFonts w:ascii="Times New Roman" w:hAnsi="Times New Roman" w:cs="Times New Roman"/>
          <w:i/>
          <w:sz w:val="24"/>
          <w:szCs w:val="24"/>
        </w:rPr>
        <w:t xml:space="preserve">Work Health and Safety Amendment (Hazardous Chemicals) Regulations 2020. </w:t>
      </w:r>
    </w:p>
    <w:p w14:paraId="57DF8ACA" w14:textId="77777777" w:rsidR="00010FC1" w:rsidRPr="001E5413" w:rsidRDefault="00010FC1" w:rsidP="00010FC1">
      <w:pPr>
        <w:rPr>
          <w:rFonts w:ascii="Times New Roman" w:hAnsi="Times New Roman" w:cs="Times New Roman"/>
          <w:sz w:val="24"/>
          <w:szCs w:val="24"/>
          <w:u w:val="single"/>
        </w:rPr>
      </w:pPr>
      <w:r w:rsidRPr="001E5413">
        <w:rPr>
          <w:rFonts w:ascii="Times New Roman" w:hAnsi="Times New Roman" w:cs="Times New Roman"/>
          <w:sz w:val="24"/>
          <w:szCs w:val="24"/>
          <w:u w:val="single"/>
        </w:rPr>
        <w:t>Section 2 - Commencement</w:t>
      </w:r>
    </w:p>
    <w:p w14:paraId="35DC4E56"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section provide</w:t>
      </w:r>
      <w:r w:rsidR="004279AE" w:rsidRPr="001E5413">
        <w:rPr>
          <w:rFonts w:ascii="Times New Roman" w:hAnsi="Times New Roman" w:cs="Times New Roman"/>
          <w:sz w:val="24"/>
          <w:szCs w:val="24"/>
        </w:rPr>
        <w:t>s</w:t>
      </w:r>
      <w:r w:rsidRPr="001E5413">
        <w:rPr>
          <w:rFonts w:ascii="Times New Roman" w:hAnsi="Times New Roman" w:cs="Times New Roman"/>
          <w:sz w:val="24"/>
          <w:szCs w:val="24"/>
        </w:rPr>
        <w:t xml:space="preserve"> for the </w:t>
      </w:r>
      <w:r w:rsidR="0098498D" w:rsidRPr="001E5413">
        <w:rPr>
          <w:rFonts w:ascii="Times New Roman" w:hAnsi="Times New Roman" w:cs="Times New Roman"/>
          <w:sz w:val="24"/>
          <w:szCs w:val="24"/>
        </w:rPr>
        <w:t xml:space="preserve">instrument </w:t>
      </w:r>
      <w:r w:rsidRPr="001E5413">
        <w:rPr>
          <w:rFonts w:ascii="Times New Roman" w:hAnsi="Times New Roman" w:cs="Times New Roman"/>
          <w:sz w:val="24"/>
          <w:szCs w:val="24"/>
        </w:rPr>
        <w:t>to commence on 1 January 2021.</w:t>
      </w:r>
    </w:p>
    <w:p w14:paraId="5FB602BF"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u w:val="single"/>
        </w:rPr>
        <w:t>Section 3 - Authority</w:t>
      </w:r>
    </w:p>
    <w:p w14:paraId="64943A7E"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section provide</w:t>
      </w:r>
      <w:r w:rsidR="0098498D" w:rsidRPr="001E5413">
        <w:rPr>
          <w:rFonts w:ascii="Times New Roman" w:hAnsi="Times New Roman" w:cs="Times New Roman"/>
          <w:sz w:val="24"/>
          <w:szCs w:val="24"/>
        </w:rPr>
        <w:t>s</w:t>
      </w:r>
      <w:r w:rsidRPr="001E5413">
        <w:rPr>
          <w:rFonts w:ascii="Times New Roman" w:hAnsi="Times New Roman" w:cs="Times New Roman"/>
          <w:sz w:val="24"/>
          <w:szCs w:val="24"/>
        </w:rPr>
        <w:t xml:space="preserve"> that the </w:t>
      </w:r>
      <w:r w:rsidR="0098498D" w:rsidRPr="001E5413">
        <w:rPr>
          <w:rFonts w:ascii="Times New Roman" w:hAnsi="Times New Roman" w:cs="Times New Roman"/>
          <w:sz w:val="24"/>
          <w:szCs w:val="24"/>
        </w:rPr>
        <w:t xml:space="preserve">instrument is </w:t>
      </w:r>
      <w:r w:rsidRPr="001E5413">
        <w:rPr>
          <w:rFonts w:ascii="Times New Roman" w:hAnsi="Times New Roman" w:cs="Times New Roman"/>
          <w:sz w:val="24"/>
          <w:szCs w:val="24"/>
        </w:rPr>
        <w:t xml:space="preserve">made under the </w:t>
      </w:r>
      <w:r w:rsidRPr="001E5413">
        <w:rPr>
          <w:rFonts w:ascii="Times New Roman" w:hAnsi="Times New Roman" w:cs="Times New Roman"/>
          <w:i/>
          <w:sz w:val="24"/>
          <w:szCs w:val="24"/>
        </w:rPr>
        <w:t xml:space="preserve">Work Health and Safety Act 2011 </w:t>
      </w:r>
      <w:r w:rsidRPr="001E5413">
        <w:rPr>
          <w:rFonts w:ascii="Times New Roman" w:hAnsi="Times New Roman" w:cs="Times New Roman"/>
          <w:sz w:val="24"/>
          <w:szCs w:val="24"/>
        </w:rPr>
        <w:t xml:space="preserve">(the Act). </w:t>
      </w:r>
    </w:p>
    <w:p w14:paraId="2594DD33" w14:textId="77777777" w:rsidR="00010FC1" w:rsidRPr="001E5413" w:rsidRDefault="00010FC1" w:rsidP="00010FC1">
      <w:pPr>
        <w:rPr>
          <w:rFonts w:ascii="Times New Roman" w:hAnsi="Times New Roman" w:cs="Times New Roman"/>
          <w:sz w:val="24"/>
          <w:szCs w:val="24"/>
          <w:u w:val="single"/>
        </w:rPr>
      </w:pPr>
      <w:r w:rsidRPr="001E5413">
        <w:rPr>
          <w:rFonts w:ascii="Times New Roman" w:hAnsi="Times New Roman" w:cs="Times New Roman"/>
          <w:sz w:val="24"/>
          <w:szCs w:val="24"/>
          <w:u w:val="single"/>
        </w:rPr>
        <w:t>Section 4 - Schedule(s)</w:t>
      </w:r>
    </w:p>
    <w:p w14:paraId="5AF6B6CE"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section provide</w:t>
      </w:r>
      <w:r w:rsidR="0098498D" w:rsidRPr="001E5413">
        <w:rPr>
          <w:rFonts w:ascii="Times New Roman" w:hAnsi="Times New Roman" w:cs="Times New Roman"/>
          <w:sz w:val="24"/>
          <w:szCs w:val="24"/>
        </w:rPr>
        <w:t>s</w:t>
      </w:r>
      <w:r w:rsidRPr="001E5413">
        <w:rPr>
          <w:rFonts w:ascii="Times New Roman" w:hAnsi="Times New Roman" w:cs="Times New Roman"/>
          <w:sz w:val="24"/>
          <w:szCs w:val="24"/>
        </w:rPr>
        <w:t xml:space="preserve"> that each instrument that is specified in a Schedule to the instrument is amended or repealed according to the terms set out in the Schedule, and any other item in a Schedule to the instrument </w:t>
      </w:r>
      <w:r w:rsidR="0098498D" w:rsidRPr="001E5413">
        <w:rPr>
          <w:rFonts w:ascii="Times New Roman" w:hAnsi="Times New Roman" w:cs="Times New Roman"/>
          <w:sz w:val="24"/>
          <w:szCs w:val="24"/>
        </w:rPr>
        <w:t>has</w:t>
      </w:r>
      <w:r w:rsidRPr="001E5413">
        <w:rPr>
          <w:rFonts w:ascii="Times New Roman" w:hAnsi="Times New Roman" w:cs="Times New Roman"/>
          <w:sz w:val="24"/>
          <w:szCs w:val="24"/>
        </w:rPr>
        <w:t xml:space="preserve"> effect according to its terms.</w:t>
      </w:r>
    </w:p>
    <w:p w14:paraId="45CFEF67" w14:textId="77777777" w:rsidR="00010FC1" w:rsidRPr="001E5413" w:rsidRDefault="00010FC1" w:rsidP="00010FC1">
      <w:pPr>
        <w:rPr>
          <w:rFonts w:ascii="Times New Roman" w:hAnsi="Times New Roman" w:cs="Times New Roman"/>
          <w:sz w:val="24"/>
          <w:szCs w:val="24"/>
          <w:u w:val="single"/>
        </w:rPr>
      </w:pPr>
      <w:r w:rsidRPr="001E5413">
        <w:rPr>
          <w:rFonts w:ascii="Times New Roman" w:hAnsi="Times New Roman" w:cs="Times New Roman"/>
          <w:sz w:val="24"/>
          <w:szCs w:val="24"/>
          <w:u w:val="single"/>
        </w:rPr>
        <w:t xml:space="preserve">Schedule 1 </w:t>
      </w:r>
      <w:r w:rsidR="007B5C66" w:rsidRPr="001E5413">
        <w:rPr>
          <w:rFonts w:ascii="Times New Roman" w:hAnsi="Times New Roman" w:cs="Times New Roman"/>
          <w:sz w:val="24"/>
          <w:szCs w:val="24"/>
          <w:u w:val="single"/>
        </w:rPr>
        <w:t>–</w:t>
      </w:r>
      <w:r w:rsidRPr="001E5413">
        <w:rPr>
          <w:rFonts w:ascii="Times New Roman" w:hAnsi="Times New Roman" w:cs="Times New Roman"/>
          <w:sz w:val="24"/>
          <w:szCs w:val="24"/>
          <w:u w:val="single"/>
        </w:rPr>
        <w:t xml:space="preserve"> Amendments</w:t>
      </w:r>
    </w:p>
    <w:p w14:paraId="552011D7" w14:textId="77777777" w:rsidR="007B5C66" w:rsidRPr="001E5413" w:rsidRDefault="007B5C66" w:rsidP="00010FC1">
      <w:pPr>
        <w:rPr>
          <w:rFonts w:ascii="Times New Roman" w:hAnsi="Times New Roman" w:cs="Times New Roman"/>
          <w:i/>
          <w:sz w:val="24"/>
          <w:szCs w:val="24"/>
          <w:u w:val="single"/>
        </w:rPr>
      </w:pPr>
      <w:r w:rsidRPr="001E5413">
        <w:rPr>
          <w:rFonts w:ascii="Times New Roman" w:hAnsi="Times New Roman" w:cs="Times New Roman"/>
          <w:i/>
          <w:sz w:val="24"/>
          <w:szCs w:val="24"/>
          <w:u w:val="single"/>
        </w:rPr>
        <w:t xml:space="preserve">Work Health and Safety Regulations </w:t>
      </w:r>
      <w:r w:rsidR="0098498D" w:rsidRPr="001E5413">
        <w:rPr>
          <w:rFonts w:ascii="Times New Roman" w:hAnsi="Times New Roman" w:cs="Times New Roman"/>
          <w:i/>
          <w:sz w:val="24"/>
          <w:szCs w:val="24"/>
          <w:u w:val="single"/>
        </w:rPr>
        <w:t>2011</w:t>
      </w:r>
    </w:p>
    <w:p w14:paraId="4A5953A0"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 1 – </w:t>
      </w:r>
      <w:r w:rsidR="00645C96" w:rsidRPr="001E5413">
        <w:rPr>
          <w:rFonts w:ascii="Times New Roman" w:hAnsi="Times New Roman" w:cs="Times New Roman"/>
          <w:b/>
          <w:sz w:val="24"/>
          <w:szCs w:val="24"/>
        </w:rPr>
        <w:t>S</w:t>
      </w:r>
      <w:r w:rsidRPr="001E5413">
        <w:rPr>
          <w:rFonts w:ascii="Times New Roman" w:hAnsi="Times New Roman" w:cs="Times New Roman"/>
          <w:b/>
          <w:sz w:val="24"/>
          <w:szCs w:val="24"/>
        </w:rPr>
        <w:t>ubregulation 5(1), (definition of “GHS”)</w:t>
      </w:r>
    </w:p>
    <w:p w14:paraId="5FE9F7E4"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item repeal</w:t>
      </w:r>
      <w:r w:rsidR="0098498D" w:rsidRPr="001E5413">
        <w:rPr>
          <w:rFonts w:ascii="Times New Roman" w:hAnsi="Times New Roman" w:cs="Times New Roman"/>
          <w:sz w:val="24"/>
          <w:szCs w:val="24"/>
        </w:rPr>
        <w:t>s</w:t>
      </w:r>
      <w:r w:rsidRPr="001E5413">
        <w:rPr>
          <w:rFonts w:ascii="Times New Roman" w:hAnsi="Times New Roman" w:cs="Times New Roman"/>
          <w:sz w:val="24"/>
          <w:szCs w:val="24"/>
        </w:rPr>
        <w:t xml:space="preserve"> the definition of GHS, and insert</w:t>
      </w:r>
      <w:r w:rsidR="0098498D" w:rsidRPr="001E5413">
        <w:rPr>
          <w:rFonts w:ascii="Times New Roman" w:hAnsi="Times New Roman" w:cs="Times New Roman"/>
          <w:sz w:val="24"/>
          <w:szCs w:val="24"/>
        </w:rPr>
        <w:t>s</w:t>
      </w:r>
      <w:r w:rsidRPr="001E5413">
        <w:rPr>
          <w:rFonts w:ascii="Times New Roman" w:hAnsi="Times New Roman" w:cs="Times New Roman"/>
          <w:sz w:val="24"/>
          <w:szCs w:val="24"/>
        </w:rPr>
        <w:t xml:space="preserve"> a new definition whereby GHS means </w:t>
      </w:r>
      <w:r w:rsidR="000E5D5D" w:rsidRPr="001E5413">
        <w:rPr>
          <w:rFonts w:ascii="Times New Roman" w:hAnsi="Times New Roman" w:cs="Times New Roman"/>
          <w:sz w:val="24"/>
          <w:szCs w:val="24"/>
        </w:rPr>
        <w:t>the Globally Harmonised System of Classification an</w:t>
      </w:r>
      <w:r w:rsidR="002D4C93" w:rsidRPr="001E5413">
        <w:rPr>
          <w:rFonts w:ascii="Times New Roman" w:hAnsi="Times New Roman" w:cs="Times New Roman"/>
          <w:sz w:val="24"/>
          <w:szCs w:val="24"/>
        </w:rPr>
        <w:t>d Labelling of Chemicals,</w:t>
      </w:r>
      <w:r w:rsidR="000E5D5D" w:rsidRPr="001E5413">
        <w:rPr>
          <w:rFonts w:ascii="Times New Roman" w:hAnsi="Times New Roman" w:cs="Times New Roman"/>
          <w:sz w:val="24"/>
          <w:szCs w:val="24"/>
        </w:rPr>
        <w:t xml:space="preserve"> </w:t>
      </w:r>
      <w:r w:rsidR="00E61DE4" w:rsidRPr="001E5413">
        <w:rPr>
          <w:rFonts w:ascii="Times New Roman" w:hAnsi="Times New Roman" w:cs="Times New Roman"/>
          <w:sz w:val="24"/>
          <w:szCs w:val="24"/>
        </w:rPr>
        <w:t>s</w:t>
      </w:r>
      <w:r w:rsidRPr="001E5413">
        <w:rPr>
          <w:rFonts w:ascii="Times New Roman" w:hAnsi="Times New Roman" w:cs="Times New Roman"/>
          <w:sz w:val="24"/>
          <w:szCs w:val="24"/>
        </w:rPr>
        <w:t>eventh revised edition</w:t>
      </w:r>
      <w:r w:rsidR="002D4C93" w:rsidRPr="001E5413">
        <w:rPr>
          <w:rFonts w:ascii="Times New Roman" w:hAnsi="Times New Roman" w:cs="Times New Roman"/>
          <w:sz w:val="24"/>
          <w:szCs w:val="24"/>
        </w:rPr>
        <w:t xml:space="preserve"> (GHS 7)</w:t>
      </w:r>
      <w:r w:rsidRPr="001E5413">
        <w:rPr>
          <w:rFonts w:ascii="Times New Roman" w:hAnsi="Times New Roman" w:cs="Times New Roman"/>
          <w:sz w:val="24"/>
          <w:szCs w:val="24"/>
        </w:rPr>
        <w:t xml:space="preserve">. The </w:t>
      </w:r>
      <w:r w:rsidR="002D4C93" w:rsidRPr="001E5413">
        <w:rPr>
          <w:rFonts w:ascii="Times New Roman" w:hAnsi="Times New Roman" w:cs="Times New Roman"/>
          <w:sz w:val="24"/>
          <w:szCs w:val="24"/>
        </w:rPr>
        <w:t>GHS 7</w:t>
      </w:r>
      <w:r w:rsidRPr="001E5413">
        <w:rPr>
          <w:rFonts w:ascii="Times New Roman" w:hAnsi="Times New Roman" w:cs="Times New Roman"/>
          <w:sz w:val="24"/>
          <w:szCs w:val="24"/>
        </w:rPr>
        <w:t xml:space="preserve"> was published by the United Nations in July 2017. The definition of GHS in regulation 5(1) of the </w:t>
      </w:r>
      <w:r w:rsidRPr="001E5413">
        <w:rPr>
          <w:rFonts w:ascii="Times New Roman" w:hAnsi="Times New Roman" w:cs="Times New Roman"/>
          <w:i/>
          <w:sz w:val="24"/>
          <w:szCs w:val="24"/>
        </w:rPr>
        <w:t xml:space="preserve">Work Health and Safety Regulations 2011 </w:t>
      </w:r>
      <w:r w:rsidRPr="001E5413">
        <w:rPr>
          <w:rFonts w:ascii="Times New Roman" w:hAnsi="Times New Roman" w:cs="Times New Roman"/>
          <w:sz w:val="24"/>
          <w:szCs w:val="24"/>
        </w:rPr>
        <w:t>(</w:t>
      </w:r>
      <w:r w:rsidR="00E61DE4" w:rsidRPr="001E5413">
        <w:rPr>
          <w:rFonts w:ascii="Times New Roman" w:hAnsi="Times New Roman" w:cs="Times New Roman"/>
          <w:sz w:val="24"/>
          <w:szCs w:val="24"/>
        </w:rPr>
        <w:t>the </w:t>
      </w:r>
      <w:r w:rsidR="00645C96" w:rsidRPr="001E5413">
        <w:rPr>
          <w:rFonts w:ascii="Times New Roman" w:hAnsi="Times New Roman" w:cs="Times New Roman"/>
          <w:sz w:val="24"/>
          <w:szCs w:val="24"/>
        </w:rPr>
        <w:t>Principal</w:t>
      </w:r>
      <w:r w:rsidRPr="001E5413">
        <w:rPr>
          <w:rFonts w:ascii="Times New Roman" w:hAnsi="Times New Roman" w:cs="Times New Roman"/>
          <w:sz w:val="24"/>
          <w:szCs w:val="24"/>
        </w:rPr>
        <w:t xml:space="preserve"> Regulations) refers to the GHS 7 published by the United Nations as modified under Schedule 6 of these regulations.</w:t>
      </w:r>
    </w:p>
    <w:p w14:paraId="2DD7CCB5"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 2 – </w:t>
      </w:r>
      <w:r w:rsidR="00645C96" w:rsidRPr="001E5413">
        <w:rPr>
          <w:rFonts w:ascii="Times New Roman" w:hAnsi="Times New Roman" w:cs="Times New Roman"/>
          <w:b/>
          <w:sz w:val="24"/>
          <w:szCs w:val="24"/>
        </w:rPr>
        <w:t>S</w:t>
      </w:r>
      <w:r w:rsidRPr="001E5413">
        <w:rPr>
          <w:rFonts w:ascii="Times New Roman" w:hAnsi="Times New Roman" w:cs="Times New Roman"/>
          <w:b/>
          <w:sz w:val="24"/>
          <w:szCs w:val="24"/>
        </w:rPr>
        <w:t>ubregulation 5(1), (definition of “GHS 3”)</w:t>
      </w:r>
    </w:p>
    <w:p w14:paraId="4AD4FE4A"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This item </w:t>
      </w:r>
      <w:r w:rsidR="00645C96" w:rsidRPr="001E5413">
        <w:rPr>
          <w:rFonts w:ascii="Times New Roman" w:hAnsi="Times New Roman" w:cs="Times New Roman"/>
          <w:sz w:val="24"/>
          <w:szCs w:val="24"/>
        </w:rPr>
        <w:t>inserts</w:t>
      </w:r>
      <w:r w:rsidRPr="001E5413">
        <w:rPr>
          <w:rFonts w:ascii="Times New Roman" w:hAnsi="Times New Roman" w:cs="Times New Roman"/>
          <w:sz w:val="24"/>
          <w:szCs w:val="24"/>
        </w:rPr>
        <w:t xml:space="preserve"> the definition of GHS 3 to regulation 5(1). </w:t>
      </w:r>
    </w:p>
    <w:p w14:paraId="682C421C"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 3 – </w:t>
      </w:r>
      <w:r w:rsidR="00645C96" w:rsidRPr="001E5413">
        <w:rPr>
          <w:rFonts w:ascii="Times New Roman" w:hAnsi="Times New Roman" w:cs="Times New Roman"/>
          <w:b/>
          <w:sz w:val="24"/>
          <w:szCs w:val="24"/>
        </w:rPr>
        <w:t>S</w:t>
      </w:r>
      <w:r w:rsidRPr="001E5413">
        <w:rPr>
          <w:rFonts w:ascii="Times New Roman" w:hAnsi="Times New Roman" w:cs="Times New Roman"/>
          <w:b/>
          <w:sz w:val="24"/>
          <w:szCs w:val="24"/>
        </w:rPr>
        <w:t xml:space="preserve">ubregulation 5(1), (definition of “hazardous chemical”) </w:t>
      </w:r>
    </w:p>
    <w:p w14:paraId="04F1153A"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item repeal</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and insert</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a new definition of hazardous chemical to clarify a substance, mixture or article </w:t>
      </w:r>
      <w:r w:rsidR="00645C96" w:rsidRPr="001E5413">
        <w:rPr>
          <w:rFonts w:ascii="Times New Roman" w:hAnsi="Times New Roman" w:cs="Times New Roman"/>
          <w:sz w:val="24"/>
          <w:szCs w:val="24"/>
        </w:rPr>
        <w:t>is</w:t>
      </w:r>
      <w:r w:rsidRPr="001E5413">
        <w:rPr>
          <w:rFonts w:ascii="Times New Roman" w:hAnsi="Times New Roman" w:cs="Times New Roman"/>
          <w:sz w:val="24"/>
          <w:szCs w:val="24"/>
        </w:rPr>
        <w:t xml:space="preserve"> a hazardous chemical if it satisfies the criteria for any one or more hazard classes in the GHS (including those referred to in Schedule 6 to the </w:t>
      </w:r>
      <w:r w:rsidR="00252093" w:rsidRPr="001E5413">
        <w:rPr>
          <w:rFonts w:ascii="Times New Roman" w:hAnsi="Times New Roman" w:cs="Times New Roman"/>
          <w:sz w:val="24"/>
          <w:szCs w:val="24"/>
        </w:rPr>
        <w:t xml:space="preserve">Principal </w:t>
      </w:r>
      <w:r w:rsidRPr="001E5413">
        <w:rPr>
          <w:rFonts w:ascii="Times New Roman" w:hAnsi="Times New Roman" w:cs="Times New Roman"/>
          <w:sz w:val="24"/>
          <w:szCs w:val="24"/>
        </w:rPr>
        <w:t xml:space="preserve">Regulations), but it </w:t>
      </w:r>
      <w:r w:rsidR="00645C96" w:rsidRPr="001E5413">
        <w:rPr>
          <w:rFonts w:ascii="Times New Roman" w:hAnsi="Times New Roman" w:cs="Times New Roman"/>
          <w:sz w:val="24"/>
          <w:szCs w:val="24"/>
        </w:rPr>
        <w:t xml:space="preserve">is </w:t>
      </w:r>
      <w:r w:rsidRPr="001E5413">
        <w:rPr>
          <w:rFonts w:ascii="Times New Roman" w:hAnsi="Times New Roman" w:cs="Times New Roman"/>
          <w:sz w:val="24"/>
          <w:szCs w:val="24"/>
        </w:rPr>
        <w:t xml:space="preserve">not a hazardous chemical under the </w:t>
      </w:r>
      <w:r w:rsidR="00645C96" w:rsidRPr="001E5413">
        <w:rPr>
          <w:rFonts w:ascii="Times New Roman" w:hAnsi="Times New Roman" w:cs="Times New Roman"/>
          <w:sz w:val="24"/>
          <w:szCs w:val="24"/>
        </w:rPr>
        <w:t>Principal</w:t>
      </w:r>
      <w:r w:rsidRPr="001E5413">
        <w:rPr>
          <w:rFonts w:ascii="Times New Roman" w:hAnsi="Times New Roman" w:cs="Times New Roman"/>
          <w:sz w:val="24"/>
          <w:szCs w:val="24"/>
        </w:rPr>
        <w:t xml:space="preserve"> Regulations if the only hazard class or classes for which it satisfies the criteria are one or more of the listed hazard classes.</w:t>
      </w:r>
    </w:p>
    <w:p w14:paraId="2FC7F883"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lastRenderedPageBreak/>
        <w:t>This item also remove</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“serious eye damage/eye irritation – category 2B” from the definition of </w:t>
      </w:r>
      <w:r w:rsidRPr="001E5413">
        <w:rPr>
          <w:rFonts w:ascii="Times New Roman" w:hAnsi="Times New Roman" w:cs="Times New Roman"/>
          <w:b/>
          <w:i/>
          <w:sz w:val="24"/>
          <w:szCs w:val="24"/>
        </w:rPr>
        <w:t>hazardous chemical</w:t>
      </w:r>
      <w:r w:rsidRPr="001E5413">
        <w:rPr>
          <w:rFonts w:ascii="Times New Roman" w:hAnsi="Times New Roman" w:cs="Times New Roman"/>
          <w:sz w:val="24"/>
          <w:szCs w:val="24"/>
        </w:rPr>
        <w:t xml:space="preserve"> on the basis that Australia, as a general rule, does not require sub-categorisation of hazard classes. Should manufacturers and importers have sufficient data available, sub-categorisation into categories 2A and 2B can be undertaken but is not mandatory.</w:t>
      </w:r>
    </w:p>
    <w:p w14:paraId="25957409"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 4 – </w:t>
      </w:r>
      <w:r w:rsidR="00645C96" w:rsidRPr="001E5413">
        <w:rPr>
          <w:rFonts w:ascii="Times New Roman" w:hAnsi="Times New Roman" w:cs="Times New Roman"/>
          <w:b/>
          <w:sz w:val="24"/>
          <w:szCs w:val="24"/>
        </w:rPr>
        <w:t>S</w:t>
      </w:r>
      <w:r w:rsidRPr="001E5413">
        <w:rPr>
          <w:rFonts w:ascii="Times New Roman" w:hAnsi="Times New Roman" w:cs="Times New Roman"/>
          <w:b/>
          <w:sz w:val="24"/>
          <w:szCs w:val="24"/>
        </w:rPr>
        <w:t xml:space="preserve">ubregulation 5(1), (definition of </w:t>
      </w:r>
      <w:r w:rsidRPr="001E5413">
        <w:rPr>
          <w:rFonts w:ascii="Times New Roman" w:hAnsi="Times New Roman" w:cs="Times New Roman"/>
          <w:b/>
          <w:i/>
          <w:sz w:val="24"/>
          <w:szCs w:val="24"/>
        </w:rPr>
        <w:t>manifest quantity</w:t>
      </w:r>
      <w:r w:rsidRPr="001E5413">
        <w:rPr>
          <w:rFonts w:ascii="Times New Roman" w:hAnsi="Times New Roman" w:cs="Times New Roman"/>
          <w:b/>
          <w:sz w:val="24"/>
          <w:szCs w:val="24"/>
        </w:rPr>
        <w:t>)</w:t>
      </w:r>
    </w:p>
    <w:p w14:paraId="71914AD1"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is a consequential amendment and amend</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the definition to remove the reference to “column 5” and replace</w:t>
      </w:r>
      <w:r w:rsidR="00645C96" w:rsidRPr="001E5413">
        <w:rPr>
          <w:rFonts w:ascii="Times New Roman" w:hAnsi="Times New Roman" w:cs="Times New Roman"/>
          <w:sz w:val="24"/>
          <w:szCs w:val="24"/>
        </w:rPr>
        <w:t>s it</w:t>
      </w:r>
      <w:r w:rsidRPr="001E5413">
        <w:rPr>
          <w:rFonts w:ascii="Times New Roman" w:hAnsi="Times New Roman" w:cs="Times New Roman"/>
          <w:sz w:val="24"/>
          <w:szCs w:val="24"/>
        </w:rPr>
        <w:t xml:space="preserve"> with a reference to “column 3”. </w:t>
      </w:r>
    </w:p>
    <w:p w14:paraId="6DF0340D"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 5 – Subregulation 5(1), (definition of </w:t>
      </w:r>
      <w:r w:rsidRPr="001E5413">
        <w:rPr>
          <w:rFonts w:ascii="Times New Roman" w:hAnsi="Times New Roman" w:cs="Times New Roman"/>
          <w:b/>
          <w:i/>
          <w:sz w:val="24"/>
          <w:szCs w:val="24"/>
        </w:rPr>
        <w:t>placard quantity</w:t>
      </w:r>
      <w:r w:rsidRPr="001E5413">
        <w:rPr>
          <w:rFonts w:ascii="Times New Roman" w:hAnsi="Times New Roman" w:cs="Times New Roman"/>
          <w:b/>
          <w:sz w:val="24"/>
          <w:szCs w:val="24"/>
        </w:rPr>
        <w:t>)</w:t>
      </w:r>
    </w:p>
    <w:p w14:paraId="3309C7F1"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is a consequential amendment and amend</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the definition to remove the reference to “column 4” and replace</w:t>
      </w:r>
      <w:r w:rsidR="00645C96" w:rsidRPr="001E5413">
        <w:rPr>
          <w:rFonts w:ascii="Times New Roman" w:hAnsi="Times New Roman" w:cs="Times New Roman"/>
          <w:sz w:val="24"/>
          <w:szCs w:val="24"/>
        </w:rPr>
        <w:t>s it</w:t>
      </w:r>
      <w:r w:rsidRPr="001E5413">
        <w:rPr>
          <w:rFonts w:ascii="Times New Roman" w:hAnsi="Times New Roman" w:cs="Times New Roman"/>
          <w:sz w:val="24"/>
          <w:szCs w:val="24"/>
        </w:rPr>
        <w:t xml:space="preserve"> with a reference to “column 2”</w:t>
      </w:r>
      <w:r w:rsidR="00010E55" w:rsidRPr="001E5413">
        <w:rPr>
          <w:rFonts w:ascii="Times New Roman" w:hAnsi="Times New Roman" w:cs="Times New Roman"/>
          <w:sz w:val="24"/>
          <w:szCs w:val="24"/>
        </w:rPr>
        <w:t>.</w:t>
      </w:r>
    </w:p>
    <w:p w14:paraId="19482DB6"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 6 – Subregulation 223(6), Lasers </w:t>
      </w:r>
    </w:p>
    <w:p w14:paraId="010E6BB3"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The Australian Standard “AS 2397 – Safe use of lasers in the building and construction industry” has been superseded. This item update</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the superseded Australian Standard referenced in subregulation 223(6) to the current Australian Standard “Australian Standard 2397:2015 – Safe use of lasers in the building and construction industry” (AS2397:2015).</w:t>
      </w:r>
    </w:p>
    <w:p w14:paraId="21465792"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 7 – Regulation 338</w:t>
      </w:r>
    </w:p>
    <w:p w14:paraId="229A2F98"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item amend</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regulation 338 by inserting (1) before “The supplier”. It is a consequential amendment related to the insertion of subregulation 338(2) in </w:t>
      </w:r>
      <w:r w:rsidR="0006444F" w:rsidRPr="001E5413">
        <w:rPr>
          <w:rFonts w:ascii="Times New Roman" w:hAnsi="Times New Roman" w:cs="Times New Roman"/>
          <w:sz w:val="24"/>
          <w:szCs w:val="24"/>
        </w:rPr>
        <w:t>i</w:t>
      </w:r>
      <w:r w:rsidRPr="001E5413">
        <w:rPr>
          <w:rFonts w:ascii="Times New Roman" w:hAnsi="Times New Roman" w:cs="Times New Roman"/>
          <w:sz w:val="24"/>
          <w:szCs w:val="24"/>
        </w:rPr>
        <w:t xml:space="preserve">tem </w:t>
      </w:r>
      <w:r w:rsidR="00645C96" w:rsidRPr="001E5413">
        <w:rPr>
          <w:rFonts w:ascii="Times New Roman" w:hAnsi="Times New Roman" w:cs="Times New Roman"/>
          <w:sz w:val="24"/>
          <w:szCs w:val="24"/>
        </w:rPr>
        <w:t>8</w:t>
      </w:r>
      <w:r w:rsidRPr="001E5413">
        <w:rPr>
          <w:rFonts w:ascii="Times New Roman" w:hAnsi="Times New Roman" w:cs="Times New Roman"/>
          <w:sz w:val="24"/>
          <w:szCs w:val="24"/>
        </w:rPr>
        <w:t xml:space="preserve"> below. This amendment maintain</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consistency with the current provisions. </w:t>
      </w:r>
    </w:p>
    <w:p w14:paraId="10209800"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 8 – Regulation 338</w:t>
      </w:r>
    </w:p>
    <w:p w14:paraId="4D73F58E"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item amend</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regulation 338, by inserting subregulation 338(2). Subregulation 338(2) provides that subregulation 338(1) does not apply where the hazardous chemical was manufactured or imported before 1 January 2023 and was, at the time it was manufactured or imported, labelled in accordance with </w:t>
      </w:r>
      <w:r w:rsidR="00E61DE4" w:rsidRPr="001E5413">
        <w:rPr>
          <w:rFonts w:ascii="Times New Roman" w:hAnsi="Times New Roman" w:cs="Times New Roman"/>
          <w:sz w:val="24"/>
          <w:szCs w:val="24"/>
        </w:rPr>
        <w:t xml:space="preserve">the </w:t>
      </w:r>
      <w:r w:rsidRPr="001E5413">
        <w:rPr>
          <w:rFonts w:ascii="Times New Roman" w:hAnsi="Times New Roman" w:cs="Times New Roman"/>
          <w:sz w:val="24"/>
          <w:szCs w:val="24"/>
        </w:rPr>
        <w:t xml:space="preserve">GHS 3. </w:t>
      </w:r>
    </w:p>
    <w:p w14:paraId="74A01798"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item enable</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suppliers to on-sell GHS 3 labelled stock already in the supply chain. Existing labels may be used until stock runs out and end users are able to use existing labelled GHS 3 stock indefinitely. </w:t>
      </w:r>
    </w:p>
    <w:p w14:paraId="3CB623FF" w14:textId="77777777" w:rsidR="0040212A" w:rsidRPr="001E5413" w:rsidRDefault="0040212A" w:rsidP="0040212A">
      <w:pPr>
        <w:rPr>
          <w:rFonts w:ascii="Times New Roman" w:hAnsi="Times New Roman" w:cs="Times New Roman"/>
          <w:sz w:val="24"/>
          <w:szCs w:val="24"/>
        </w:rPr>
      </w:pPr>
      <w:r w:rsidRPr="001E5413">
        <w:rPr>
          <w:rFonts w:ascii="Times New Roman" w:hAnsi="Times New Roman" w:cs="Times New Roman"/>
          <w:sz w:val="24"/>
          <w:szCs w:val="24"/>
        </w:rPr>
        <w:t xml:space="preserve">In accordance with section 13.3 of the Criminal Code, </w:t>
      </w:r>
      <w:r w:rsidR="00A632B2" w:rsidRPr="001E5413">
        <w:rPr>
          <w:rFonts w:ascii="Times New Roman" w:hAnsi="Times New Roman" w:cs="Times New Roman"/>
          <w:sz w:val="24"/>
          <w:szCs w:val="24"/>
        </w:rPr>
        <w:t xml:space="preserve">a </w:t>
      </w:r>
      <w:r w:rsidR="00193581" w:rsidRPr="001E5413">
        <w:rPr>
          <w:rFonts w:ascii="Times New Roman" w:hAnsi="Times New Roman" w:cs="Times New Roman"/>
          <w:sz w:val="24"/>
          <w:szCs w:val="24"/>
        </w:rPr>
        <w:t xml:space="preserve">defendant who wishes to rely on the exception in </w:t>
      </w:r>
      <w:r w:rsidRPr="001E5413">
        <w:rPr>
          <w:rFonts w:ascii="Times New Roman" w:hAnsi="Times New Roman" w:cs="Times New Roman"/>
          <w:sz w:val="24"/>
          <w:szCs w:val="24"/>
        </w:rPr>
        <w:t>regulation 338</w:t>
      </w:r>
      <w:r w:rsidR="00193581" w:rsidRPr="001E5413">
        <w:rPr>
          <w:rFonts w:ascii="Times New Roman" w:hAnsi="Times New Roman" w:cs="Times New Roman"/>
          <w:sz w:val="24"/>
          <w:szCs w:val="24"/>
        </w:rPr>
        <w:t>(2)</w:t>
      </w:r>
      <w:r w:rsidRPr="001E5413">
        <w:rPr>
          <w:rFonts w:ascii="Times New Roman" w:hAnsi="Times New Roman" w:cs="Times New Roman"/>
          <w:sz w:val="24"/>
          <w:szCs w:val="24"/>
        </w:rPr>
        <w:t xml:space="preserve"> </w:t>
      </w:r>
      <w:r w:rsidR="00193581" w:rsidRPr="001E5413">
        <w:rPr>
          <w:rFonts w:ascii="Times New Roman" w:hAnsi="Times New Roman" w:cs="Times New Roman"/>
          <w:sz w:val="24"/>
          <w:szCs w:val="24"/>
        </w:rPr>
        <w:t>will have an</w:t>
      </w:r>
      <w:r w:rsidRPr="001E5413">
        <w:rPr>
          <w:rFonts w:ascii="Times New Roman" w:hAnsi="Times New Roman" w:cs="Times New Roman"/>
          <w:sz w:val="24"/>
          <w:szCs w:val="24"/>
        </w:rPr>
        <w:t xml:space="preserve"> evidential burden of proof. </w:t>
      </w:r>
    </w:p>
    <w:p w14:paraId="328FB831" w14:textId="77777777" w:rsidR="0040212A" w:rsidRPr="001E5413" w:rsidRDefault="0040212A" w:rsidP="00010FC1">
      <w:pPr>
        <w:rPr>
          <w:rFonts w:ascii="Times New Roman" w:hAnsi="Times New Roman" w:cs="Times New Roman"/>
          <w:sz w:val="24"/>
          <w:szCs w:val="24"/>
        </w:rPr>
      </w:pPr>
      <w:r w:rsidRPr="001E5413">
        <w:rPr>
          <w:rFonts w:ascii="Times New Roman" w:hAnsi="Times New Roman" w:cs="Times New Roman"/>
          <w:sz w:val="24"/>
          <w:szCs w:val="24"/>
        </w:rPr>
        <w:t>A</w:t>
      </w:r>
      <w:r w:rsidR="00193581" w:rsidRPr="001E5413">
        <w:rPr>
          <w:rFonts w:ascii="Times New Roman" w:hAnsi="Times New Roman" w:cs="Times New Roman"/>
          <w:sz w:val="24"/>
          <w:szCs w:val="24"/>
        </w:rPr>
        <w:t xml:space="preserve">n evidential burden of proof should only be placed on a defendant </w:t>
      </w:r>
      <w:r w:rsidRPr="001E5413">
        <w:rPr>
          <w:rFonts w:ascii="Times New Roman" w:hAnsi="Times New Roman" w:cs="Times New Roman"/>
          <w:sz w:val="24"/>
          <w:szCs w:val="24"/>
        </w:rPr>
        <w:t xml:space="preserve">where it is peculiarly within the knowledge of the defendant, and it would be significantly more difficult and costly for the prosecution to disprove than for the defendant to establish the matter. In the case of these amendments to regulation 338, </w:t>
      </w:r>
      <w:r w:rsidR="00825015" w:rsidRPr="001E5413">
        <w:rPr>
          <w:rFonts w:ascii="Times New Roman" w:hAnsi="Times New Roman" w:cs="Times New Roman"/>
          <w:sz w:val="24"/>
          <w:szCs w:val="24"/>
        </w:rPr>
        <w:t>this</w:t>
      </w:r>
      <w:r w:rsidRPr="001E5413">
        <w:rPr>
          <w:rFonts w:ascii="Times New Roman" w:hAnsi="Times New Roman" w:cs="Times New Roman"/>
          <w:sz w:val="24"/>
          <w:szCs w:val="24"/>
        </w:rPr>
        <w:t xml:space="preserve"> is suitable as the supplier is most likely to have the knowledge of the manufacture or importation date of a hazardous chemical (for example, from the labelling of the chemical, or receipts of purchase from the manufacturer or importer) and therefore, be able to demonstrate the hazardous chemical’s suitability to be labelled in accordance with </w:t>
      </w:r>
      <w:r w:rsidR="00E61DE4" w:rsidRPr="001E5413">
        <w:rPr>
          <w:rFonts w:ascii="Times New Roman" w:hAnsi="Times New Roman" w:cs="Times New Roman"/>
          <w:sz w:val="24"/>
          <w:szCs w:val="24"/>
        </w:rPr>
        <w:t xml:space="preserve">the </w:t>
      </w:r>
      <w:r w:rsidRPr="001E5413">
        <w:rPr>
          <w:rFonts w:ascii="Times New Roman" w:hAnsi="Times New Roman" w:cs="Times New Roman"/>
          <w:sz w:val="24"/>
          <w:szCs w:val="24"/>
        </w:rPr>
        <w:t xml:space="preserve">GHS 3. </w:t>
      </w:r>
    </w:p>
    <w:p w14:paraId="4E99FF60"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 9 – Regulation 341</w:t>
      </w:r>
    </w:p>
    <w:p w14:paraId="04E6DBF9"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item insert</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subregulation 341(4) which provides that subregulation 341(1) does not apply to a hazardous chemical that was manufactured or imported before 1 January 2023 and was labelled in accordance with </w:t>
      </w:r>
      <w:r w:rsidR="00E61DE4" w:rsidRPr="001E5413">
        <w:rPr>
          <w:rFonts w:ascii="Times New Roman" w:hAnsi="Times New Roman" w:cs="Times New Roman"/>
          <w:sz w:val="24"/>
          <w:szCs w:val="24"/>
        </w:rPr>
        <w:t xml:space="preserve">the </w:t>
      </w:r>
      <w:r w:rsidRPr="001E5413">
        <w:rPr>
          <w:rFonts w:ascii="Times New Roman" w:hAnsi="Times New Roman" w:cs="Times New Roman"/>
          <w:sz w:val="24"/>
          <w:szCs w:val="24"/>
        </w:rPr>
        <w:t>GHS 3.</w:t>
      </w:r>
    </w:p>
    <w:p w14:paraId="2791879F"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subregulation enable</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persons conducting a business or undertaking (PCBUs) to use, handle or store a hazardous chemical that was already in the supply chain provided it meets the labelling requirements that applied at the time of supply. </w:t>
      </w:r>
    </w:p>
    <w:p w14:paraId="150CA007" w14:textId="77777777" w:rsidR="00010FC1" w:rsidRPr="001E5413" w:rsidRDefault="00E85DA4" w:rsidP="00010FC1">
      <w:pPr>
        <w:rPr>
          <w:rFonts w:ascii="Times New Roman" w:hAnsi="Times New Roman" w:cs="Times New Roman"/>
          <w:sz w:val="24"/>
          <w:szCs w:val="24"/>
        </w:rPr>
      </w:pPr>
      <w:r w:rsidRPr="001E5413">
        <w:rPr>
          <w:rFonts w:ascii="Times New Roman" w:hAnsi="Times New Roman" w:cs="Times New Roman"/>
          <w:sz w:val="24"/>
          <w:szCs w:val="24"/>
        </w:rPr>
        <w:t xml:space="preserve">As with </w:t>
      </w:r>
      <w:r w:rsidR="0006444F" w:rsidRPr="001E5413">
        <w:rPr>
          <w:rFonts w:ascii="Times New Roman" w:hAnsi="Times New Roman" w:cs="Times New Roman"/>
          <w:sz w:val="24"/>
          <w:szCs w:val="24"/>
        </w:rPr>
        <w:t>it</w:t>
      </w:r>
      <w:r w:rsidRPr="001E5413">
        <w:rPr>
          <w:rFonts w:ascii="Times New Roman" w:hAnsi="Times New Roman" w:cs="Times New Roman"/>
          <w:sz w:val="24"/>
          <w:szCs w:val="24"/>
        </w:rPr>
        <w:t xml:space="preserve">em 8, </w:t>
      </w:r>
      <w:r w:rsidR="00825015" w:rsidRPr="001E5413">
        <w:rPr>
          <w:rFonts w:ascii="Times New Roman" w:hAnsi="Times New Roman" w:cs="Times New Roman"/>
          <w:sz w:val="24"/>
          <w:szCs w:val="24"/>
        </w:rPr>
        <w:t xml:space="preserve">a defendant who wishes to rely on the exception in 341(4) will bear an </w:t>
      </w:r>
      <w:r w:rsidRPr="001E5413">
        <w:rPr>
          <w:rFonts w:ascii="Times New Roman" w:hAnsi="Times New Roman" w:cs="Times New Roman"/>
          <w:sz w:val="24"/>
          <w:szCs w:val="24"/>
        </w:rPr>
        <w:t xml:space="preserve">evidential </w:t>
      </w:r>
      <w:r w:rsidR="00594156" w:rsidRPr="001E5413">
        <w:rPr>
          <w:rFonts w:ascii="Times New Roman" w:hAnsi="Times New Roman" w:cs="Times New Roman"/>
          <w:sz w:val="24"/>
          <w:szCs w:val="24"/>
        </w:rPr>
        <w:t>burden of proof</w:t>
      </w:r>
      <w:r w:rsidR="00825015" w:rsidRPr="001E5413">
        <w:rPr>
          <w:rFonts w:ascii="Times New Roman" w:hAnsi="Times New Roman" w:cs="Times New Roman"/>
          <w:sz w:val="24"/>
          <w:szCs w:val="24"/>
        </w:rPr>
        <w:t xml:space="preserve">. This </w:t>
      </w:r>
      <w:r w:rsidRPr="001E5413">
        <w:rPr>
          <w:rFonts w:ascii="Times New Roman" w:hAnsi="Times New Roman" w:cs="Times New Roman"/>
          <w:sz w:val="24"/>
          <w:szCs w:val="24"/>
        </w:rPr>
        <w:t>is suitable for these amendments as the PCBU is most likely to have the knowledge of the manufacture or importation date of a hazardous chemical (for example, from the labelling of the chemical, or receipts of purchase from the manufacturer or importer) and therefore, be able to demonstrate the hazardous chemical’s suitability to be labelled in accordance with GHS 3.</w:t>
      </w:r>
    </w:p>
    <w:p w14:paraId="2063E80A"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 10 – Subregulation 342(1C) </w:t>
      </w:r>
    </w:p>
    <w:p w14:paraId="33C983A7"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This item inserts subregulation 342(1C) which provides that subregulation 342(1) does not apply to a hazardous chemical that was manufactured, or transferred or decanted from its original container at the workplace: </w:t>
      </w:r>
    </w:p>
    <w:p w14:paraId="54CC641A" w14:textId="77777777" w:rsidR="00010FC1" w:rsidRPr="001E5413" w:rsidRDefault="00010FC1" w:rsidP="00010FC1">
      <w:pPr>
        <w:numPr>
          <w:ilvl w:val="0"/>
          <w:numId w:val="2"/>
        </w:numPr>
        <w:spacing w:after="0" w:line="240" w:lineRule="auto"/>
        <w:rPr>
          <w:rFonts w:ascii="Times New Roman" w:hAnsi="Times New Roman" w:cs="Times New Roman"/>
          <w:sz w:val="24"/>
          <w:szCs w:val="24"/>
        </w:rPr>
      </w:pPr>
      <w:r w:rsidRPr="001E5413">
        <w:rPr>
          <w:rFonts w:ascii="Times New Roman" w:hAnsi="Times New Roman" w:cs="Times New Roman"/>
          <w:sz w:val="24"/>
          <w:szCs w:val="24"/>
        </w:rPr>
        <w:t xml:space="preserve">before 1 January 2023, and </w:t>
      </w:r>
    </w:p>
    <w:p w14:paraId="40290965" w14:textId="77777777" w:rsidR="00010FC1" w:rsidRPr="001E5413" w:rsidRDefault="00010FC1" w:rsidP="00010FC1">
      <w:pPr>
        <w:numPr>
          <w:ilvl w:val="0"/>
          <w:numId w:val="2"/>
        </w:numPr>
        <w:spacing w:after="0" w:line="240" w:lineRule="auto"/>
        <w:rPr>
          <w:rFonts w:ascii="Times New Roman" w:hAnsi="Times New Roman" w:cs="Times New Roman"/>
          <w:sz w:val="24"/>
          <w:szCs w:val="24"/>
        </w:rPr>
      </w:pPr>
      <w:r w:rsidRPr="001E5413">
        <w:rPr>
          <w:rFonts w:ascii="Times New Roman" w:hAnsi="Times New Roman" w:cs="Times New Roman"/>
          <w:sz w:val="24"/>
          <w:szCs w:val="24"/>
        </w:rPr>
        <w:t>if at the time it was manufactured, or transferred or decanted</w:t>
      </w:r>
      <w:r w:rsidR="00803187" w:rsidRPr="001E5413">
        <w:rPr>
          <w:rFonts w:ascii="Times New Roman" w:hAnsi="Times New Roman" w:cs="Times New Roman"/>
          <w:sz w:val="24"/>
          <w:szCs w:val="24"/>
        </w:rPr>
        <w:t xml:space="preserve"> it was</w:t>
      </w:r>
      <w:r w:rsidRPr="001E5413">
        <w:rPr>
          <w:rFonts w:ascii="Times New Roman" w:hAnsi="Times New Roman" w:cs="Times New Roman"/>
          <w:sz w:val="24"/>
          <w:szCs w:val="24"/>
        </w:rPr>
        <w:t xml:space="preserve"> labelled in accordance with GHS 3. </w:t>
      </w:r>
    </w:p>
    <w:p w14:paraId="015A3A44" w14:textId="77777777" w:rsidR="00010FC1" w:rsidRPr="001E5413" w:rsidRDefault="00010FC1" w:rsidP="00010FC1">
      <w:pPr>
        <w:spacing w:after="0" w:line="240" w:lineRule="auto"/>
        <w:ind w:left="720"/>
        <w:rPr>
          <w:rFonts w:ascii="Times New Roman" w:hAnsi="Times New Roman" w:cs="Times New Roman"/>
          <w:sz w:val="24"/>
          <w:szCs w:val="24"/>
        </w:rPr>
      </w:pPr>
    </w:p>
    <w:p w14:paraId="7D79FC9F"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subregulation ensure</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that a PCBU does not need to relabel a hazardous chemical that was manufactured, or transferred or decanted from its original container at the workplace provided that it was correctly labelled in accordance with the labelling requirements that applied at the time of manufacture, transfer or decanting.</w:t>
      </w:r>
    </w:p>
    <w:p w14:paraId="4BDD4943" w14:textId="77777777" w:rsidR="00080B1F" w:rsidRPr="001E5413" w:rsidRDefault="00080B1F" w:rsidP="00C93D97">
      <w:pPr>
        <w:rPr>
          <w:rFonts w:ascii="Times New Roman" w:hAnsi="Times New Roman" w:cs="Times New Roman"/>
          <w:sz w:val="24"/>
          <w:szCs w:val="24"/>
        </w:rPr>
      </w:pPr>
      <w:r w:rsidRPr="001E5413">
        <w:rPr>
          <w:rFonts w:ascii="Times New Roman" w:hAnsi="Times New Roman" w:cs="Times New Roman"/>
          <w:sz w:val="24"/>
          <w:szCs w:val="24"/>
        </w:rPr>
        <w:t xml:space="preserve">As with </w:t>
      </w:r>
      <w:r w:rsidR="0006444F" w:rsidRPr="001E5413">
        <w:rPr>
          <w:rFonts w:ascii="Times New Roman" w:hAnsi="Times New Roman" w:cs="Times New Roman"/>
          <w:sz w:val="24"/>
          <w:szCs w:val="24"/>
        </w:rPr>
        <w:t>i</w:t>
      </w:r>
      <w:r w:rsidRPr="001E5413">
        <w:rPr>
          <w:rFonts w:ascii="Times New Roman" w:hAnsi="Times New Roman" w:cs="Times New Roman"/>
          <w:sz w:val="24"/>
          <w:szCs w:val="24"/>
        </w:rPr>
        <w:t xml:space="preserve">tems 8 and 9, </w:t>
      </w:r>
      <w:r w:rsidR="00803187" w:rsidRPr="001E5413">
        <w:rPr>
          <w:rFonts w:ascii="Times New Roman" w:hAnsi="Times New Roman" w:cs="Times New Roman"/>
          <w:sz w:val="24"/>
          <w:szCs w:val="24"/>
        </w:rPr>
        <w:t xml:space="preserve">a </w:t>
      </w:r>
      <w:r w:rsidR="00825015" w:rsidRPr="001E5413">
        <w:rPr>
          <w:rFonts w:ascii="Times New Roman" w:hAnsi="Times New Roman" w:cs="Times New Roman"/>
          <w:sz w:val="24"/>
          <w:szCs w:val="24"/>
        </w:rPr>
        <w:t>defendant who wishes to rely on</w:t>
      </w:r>
      <w:r w:rsidR="00803187" w:rsidRPr="001E5413">
        <w:rPr>
          <w:rFonts w:ascii="Times New Roman" w:hAnsi="Times New Roman" w:cs="Times New Roman"/>
          <w:sz w:val="24"/>
          <w:szCs w:val="24"/>
        </w:rPr>
        <w:t xml:space="preserve"> </w:t>
      </w:r>
      <w:r w:rsidR="00825015" w:rsidRPr="001E5413">
        <w:rPr>
          <w:rFonts w:ascii="Times New Roman" w:hAnsi="Times New Roman" w:cs="Times New Roman"/>
          <w:sz w:val="24"/>
          <w:szCs w:val="24"/>
        </w:rPr>
        <w:t xml:space="preserve">the exception in </w:t>
      </w:r>
      <w:r w:rsidR="001E5413">
        <w:rPr>
          <w:rFonts w:ascii="Times New Roman" w:hAnsi="Times New Roman" w:cs="Times New Roman"/>
          <w:sz w:val="24"/>
          <w:szCs w:val="24"/>
        </w:rPr>
        <w:t>subregulation </w:t>
      </w:r>
      <w:r w:rsidRPr="001E5413">
        <w:rPr>
          <w:rFonts w:ascii="Times New Roman" w:hAnsi="Times New Roman" w:cs="Times New Roman"/>
          <w:sz w:val="24"/>
          <w:szCs w:val="24"/>
        </w:rPr>
        <w:t xml:space="preserve">342(1C) </w:t>
      </w:r>
      <w:r w:rsidR="00825015" w:rsidRPr="001E5413">
        <w:rPr>
          <w:rFonts w:ascii="Times New Roman" w:hAnsi="Times New Roman" w:cs="Times New Roman"/>
          <w:sz w:val="24"/>
          <w:szCs w:val="24"/>
        </w:rPr>
        <w:t xml:space="preserve">will bear </w:t>
      </w:r>
      <w:r w:rsidR="009F37FA" w:rsidRPr="001E5413">
        <w:rPr>
          <w:rFonts w:ascii="Times New Roman" w:hAnsi="Times New Roman" w:cs="Times New Roman"/>
          <w:sz w:val="24"/>
          <w:szCs w:val="24"/>
        </w:rPr>
        <w:t>an</w:t>
      </w:r>
      <w:r w:rsidRPr="001E5413">
        <w:rPr>
          <w:rFonts w:ascii="Times New Roman" w:hAnsi="Times New Roman" w:cs="Times New Roman"/>
          <w:sz w:val="24"/>
          <w:szCs w:val="24"/>
        </w:rPr>
        <w:t xml:space="preserve"> evidential burden of proof</w:t>
      </w:r>
      <w:r w:rsidR="00825015" w:rsidRPr="001E5413">
        <w:rPr>
          <w:rFonts w:ascii="Times New Roman" w:hAnsi="Times New Roman" w:cs="Times New Roman"/>
          <w:sz w:val="24"/>
          <w:szCs w:val="24"/>
        </w:rPr>
        <w:t>.</w:t>
      </w:r>
      <w:r w:rsidRPr="001E5413">
        <w:rPr>
          <w:rFonts w:ascii="Times New Roman" w:hAnsi="Times New Roman" w:cs="Times New Roman"/>
          <w:sz w:val="24"/>
          <w:szCs w:val="24"/>
        </w:rPr>
        <w:t xml:space="preserve"> </w:t>
      </w:r>
      <w:r w:rsidR="00825015" w:rsidRPr="001E5413">
        <w:rPr>
          <w:rFonts w:ascii="Times New Roman" w:hAnsi="Times New Roman" w:cs="Times New Roman"/>
          <w:sz w:val="24"/>
          <w:szCs w:val="24"/>
        </w:rPr>
        <w:t>This</w:t>
      </w:r>
      <w:r w:rsidRPr="001E5413">
        <w:rPr>
          <w:rFonts w:ascii="Times New Roman" w:hAnsi="Times New Roman" w:cs="Times New Roman"/>
          <w:sz w:val="24"/>
          <w:szCs w:val="24"/>
        </w:rPr>
        <w:t xml:space="preserve"> is suitable </w:t>
      </w:r>
      <w:r w:rsidR="00C93D97" w:rsidRPr="001E5413">
        <w:rPr>
          <w:rFonts w:ascii="Times New Roman" w:hAnsi="Times New Roman" w:cs="Times New Roman"/>
          <w:sz w:val="24"/>
          <w:szCs w:val="24"/>
        </w:rPr>
        <w:t xml:space="preserve">for these amendments </w:t>
      </w:r>
      <w:r w:rsidRPr="001E5413">
        <w:rPr>
          <w:rFonts w:ascii="Times New Roman" w:hAnsi="Times New Roman" w:cs="Times New Roman"/>
          <w:sz w:val="24"/>
          <w:szCs w:val="24"/>
        </w:rPr>
        <w:t>as the PCBU is most likely to have the knowledge of the date that a hazardous chemical was manufactured, or transferred or decanted from its original container at the workplace (for example, from the labelling of the chemical, or log book records) and therefore, be able to demonstrate the hazardous chemical’s suitability to not be relabelled.</w:t>
      </w:r>
    </w:p>
    <w:p w14:paraId="03506B22" w14:textId="77777777" w:rsidR="00010FC1" w:rsidRPr="001E5413" w:rsidRDefault="00010FC1" w:rsidP="0006444F">
      <w:pPr>
        <w:keepNext/>
        <w:keepLines/>
        <w:rPr>
          <w:rFonts w:ascii="Times New Roman" w:hAnsi="Times New Roman" w:cs="Times New Roman"/>
          <w:b/>
          <w:sz w:val="24"/>
          <w:szCs w:val="24"/>
        </w:rPr>
      </w:pPr>
      <w:r w:rsidRPr="001E5413">
        <w:rPr>
          <w:rFonts w:ascii="Times New Roman" w:hAnsi="Times New Roman" w:cs="Times New Roman"/>
          <w:b/>
          <w:sz w:val="24"/>
          <w:szCs w:val="24"/>
        </w:rPr>
        <w:t>Item 11 – Subregulation 342(2C)</w:t>
      </w:r>
    </w:p>
    <w:p w14:paraId="3F2A9805" w14:textId="77777777" w:rsidR="00010FC1" w:rsidRPr="001E5413" w:rsidRDefault="00010FC1" w:rsidP="0006444F">
      <w:pPr>
        <w:keepNext/>
        <w:keepLines/>
        <w:rPr>
          <w:rFonts w:ascii="Times New Roman" w:hAnsi="Times New Roman" w:cs="Times New Roman"/>
          <w:sz w:val="24"/>
          <w:szCs w:val="24"/>
        </w:rPr>
      </w:pPr>
      <w:r w:rsidRPr="001E5413">
        <w:rPr>
          <w:rFonts w:ascii="Times New Roman" w:hAnsi="Times New Roman" w:cs="Times New Roman"/>
          <w:sz w:val="24"/>
          <w:szCs w:val="24"/>
        </w:rPr>
        <w:t>This item insert</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subregulation 342(2C) which provides that subregulation 342(2) does not apply to a container that contains a hazardous chemical if the container is labelled in accordance with subregulation 341(4) for manufacturers or importers, or subregulation</w:t>
      </w:r>
      <w:r w:rsidR="004516EF" w:rsidRPr="001E5413">
        <w:rPr>
          <w:rFonts w:ascii="Times New Roman" w:hAnsi="Times New Roman" w:cs="Times New Roman"/>
          <w:sz w:val="24"/>
          <w:szCs w:val="24"/>
        </w:rPr>
        <w:t> </w:t>
      </w:r>
      <w:r w:rsidRPr="001E5413">
        <w:rPr>
          <w:rFonts w:ascii="Times New Roman" w:hAnsi="Times New Roman" w:cs="Times New Roman"/>
          <w:sz w:val="24"/>
          <w:szCs w:val="24"/>
        </w:rPr>
        <w:t xml:space="preserve">342(1C) for manufacturing, transferring or decanting at the workplace. </w:t>
      </w:r>
    </w:p>
    <w:p w14:paraId="6016D926"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subregulation ensure</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that a PCBU does not need to relabel a container that contains hazardous chemical if the hazardous chemical was already in the supply chain provided that the container meets the labelling requirements that applied at the time of supply. </w:t>
      </w:r>
    </w:p>
    <w:p w14:paraId="679575C5" w14:textId="77777777" w:rsidR="00080B1F" w:rsidRPr="001E5413" w:rsidRDefault="004516EF" w:rsidP="00010FC1">
      <w:pPr>
        <w:rPr>
          <w:rFonts w:ascii="Times New Roman" w:hAnsi="Times New Roman" w:cs="Times New Roman"/>
          <w:sz w:val="24"/>
          <w:szCs w:val="24"/>
        </w:rPr>
      </w:pPr>
      <w:r w:rsidRPr="001E5413">
        <w:rPr>
          <w:rFonts w:ascii="Times New Roman" w:hAnsi="Times New Roman" w:cs="Times New Roman"/>
          <w:sz w:val="24"/>
          <w:szCs w:val="24"/>
        </w:rPr>
        <w:t>As with i</w:t>
      </w:r>
      <w:r w:rsidR="00080B1F" w:rsidRPr="001E5413">
        <w:rPr>
          <w:rFonts w:ascii="Times New Roman" w:hAnsi="Times New Roman" w:cs="Times New Roman"/>
          <w:sz w:val="24"/>
          <w:szCs w:val="24"/>
        </w:rPr>
        <w:t>tems 8, 9, 10 and 11</w:t>
      </w:r>
      <w:r w:rsidR="00803187" w:rsidRPr="001E5413">
        <w:rPr>
          <w:rFonts w:ascii="Times New Roman" w:hAnsi="Times New Roman" w:cs="Times New Roman"/>
          <w:sz w:val="24"/>
          <w:szCs w:val="24"/>
        </w:rPr>
        <w:t xml:space="preserve">, a </w:t>
      </w:r>
      <w:r w:rsidR="00825015" w:rsidRPr="001E5413">
        <w:rPr>
          <w:rFonts w:ascii="Times New Roman" w:hAnsi="Times New Roman" w:cs="Times New Roman"/>
          <w:sz w:val="24"/>
          <w:szCs w:val="24"/>
        </w:rPr>
        <w:t xml:space="preserve">defendant who wishes to rely on the exception in </w:t>
      </w:r>
      <w:r w:rsidR="00080B1F" w:rsidRPr="001E5413">
        <w:rPr>
          <w:rFonts w:ascii="Times New Roman" w:hAnsi="Times New Roman" w:cs="Times New Roman"/>
          <w:sz w:val="24"/>
          <w:szCs w:val="24"/>
        </w:rPr>
        <w:t xml:space="preserve">subregulation 342(2C) </w:t>
      </w:r>
      <w:r w:rsidR="00825015" w:rsidRPr="001E5413">
        <w:rPr>
          <w:rFonts w:ascii="Times New Roman" w:hAnsi="Times New Roman" w:cs="Times New Roman"/>
          <w:sz w:val="24"/>
          <w:szCs w:val="24"/>
        </w:rPr>
        <w:t>will bear an</w:t>
      </w:r>
      <w:r w:rsidR="00080B1F" w:rsidRPr="001E5413">
        <w:rPr>
          <w:rFonts w:ascii="Times New Roman" w:hAnsi="Times New Roman" w:cs="Times New Roman"/>
          <w:sz w:val="24"/>
          <w:szCs w:val="24"/>
        </w:rPr>
        <w:t xml:space="preserve"> evidential burden of proof</w:t>
      </w:r>
      <w:r w:rsidR="00825015" w:rsidRPr="001E5413">
        <w:rPr>
          <w:rFonts w:ascii="Times New Roman" w:hAnsi="Times New Roman" w:cs="Times New Roman"/>
          <w:sz w:val="24"/>
          <w:szCs w:val="24"/>
        </w:rPr>
        <w:t>. This</w:t>
      </w:r>
      <w:r w:rsidR="00080B1F" w:rsidRPr="001E5413">
        <w:rPr>
          <w:rFonts w:ascii="Times New Roman" w:hAnsi="Times New Roman" w:cs="Times New Roman"/>
          <w:sz w:val="24"/>
          <w:szCs w:val="24"/>
        </w:rPr>
        <w:t xml:space="preserve"> is suitable</w:t>
      </w:r>
      <w:r w:rsidR="00C93D97" w:rsidRPr="001E5413">
        <w:rPr>
          <w:rFonts w:ascii="Times New Roman" w:hAnsi="Times New Roman" w:cs="Times New Roman"/>
          <w:sz w:val="24"/>
          <w:szCs w:val="24"/>
        </w:rPr>
        <w:t xml:space="preserve"> for these amendments</w:t>
      </w:r>
      <w:r w:rsidR="00080B1F" w:rsidRPr="001E5413">
        <w:rPr>
          <w:rFonts w:ascii="Times New Roman" w:hAnsi="Times New Roman" w:cs="Times New Roman"/>
          <w:sz w:val="24"/>
          <w:szCs w:val="24"/>
        </w:rPr>
        <w:t xml:space="preserve"> as the PCBU is most likely to have the knowledge of whether hazardous chemicals in a container met the labelling requirements that applied at the time of supply (for example, from the labelling of the chemical, receipts of purchase or log book records) and therefore, be able to demonstrate the container’s suitability to not be relabelled.</w:t>
      </w:r>
    </w:p>
    <w:p w14:paraId="6BD40724"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Items 12 and 16 – Schedule 5</w:t>
      </w:r>
    </w:p>
    <w:p w14:paraId="4022E498"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The Australian Standard AS 4343:2005 (Pressure equipment – Hazard levels) has been superseded. These items update references in item 1.1 of clause 1 of Part 1 and items 3.1 and 3.2 in clause 3 of Part 2 of Schedule 5 to the current Australian Standard, AS 4343:2014 (Pressure equipment – Hazards levels).</w:t>
      </w:r>
    </w:p>
    <w:p w14:paraId="15A86015"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Items 13, 14, 15, 17, 18 and 19 – Schedule 5 </w:t>
      </w:r>
    </w:p>
    <w:p w14:paraId="777AB654"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The Australian Standard AS 1200:2000 (Pressure equipment) has been superseded. These item update references in </w:t>
      </w:r>
      <w:r w:rsidR="002B1863" w:rsidRPr="001E5413">
        <w:rPr>
          <w:rFonts w:ascii="Times New Roman" w:hAnsi="Times New Roman" w:cs="Times New Roman"/>
          <w:sz w:val="24"/>
          <w:szCs w:val="24"/>
        </w:rPr>
        <w:t xml:space="preserve">paragraph </w:t>
      </w:r>
      <w:r w:rsidRPr="001E5413">
        <w:rPr>
          <w:rFonts w:ascii="Times New Roman" w:hAnsi="Times New Roman" w:cs="Times New Roman"/>
          <w:sz w:val="24"/>
          <w:szCs w:val="24"/>
        </w:rPr>
        <w:t xml:space="preserve">2(1)(ab) of Part 1 and </w:t>
      </w:r>
      <w:r w:rsidR="002B1863" w:rsidRPr="001E5413">
        <w:rPr>
          <w:rFonts w:ascii="Times New Roman" w:hAnsi="Times New Roman" w:cs="Times New Roman"/>
          <w:sz w:val="24"/>
          <w:szCs w:val="24"/>
        </w:rPr>
        <w:t xml:space="preserve">paragraph </w:t>
      </w:r>
      <w:r w:rsidRPr="001E5413">
        <w:rPr>
          <w:rFonts w:ascii="Times New Roman" w:hAnsi="Times New Roman" w:cs="Times New Roman"/>
          <w:sz w:val="24"/>
          <w:szCs w:val="24"/>
        </w:rPr>
        <w:t xml:space="preserve">4(1)(a) of Part 2 to Schedule 5 to the current Australian Standard AS/NZS 1200:2015 (Pressure equipment). </w:t>
      </w:r>
    </w:p>
    <w:p w14:paraId="39B1B744"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 20 – Schedule 6, (note to Schedule heading) </w:t>
      </w:r>
    </w:p>
    <w:p w14:paraId="71D08431"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item amend</w:t>
      </w:r>
      <w:r w:rsidR="00010E55" w:rsidRPr="001E5413">
        <w:rPr>
          <w:rFonts w:ascii="Times New Roman" w:hAnsi="Times New Roman" w:cs="Times New Roman"/>
          <w:sz w:val="24"/>
          <w:szCs w:val="24"/>
        </w:rPr>
        <w:t>s</w:t>
      </w:r>
      <w:r w:rsidRPr="001E5413">
        <w:rPr>
          <w:rFonts w:ascii="Times New Roman" w:hAnsi="Times New Roman" w:cs="Times New Roman"/>
          <w:sz w:val="24"/>
          <w:szCs w:val="24"/>
        </w:rPr>
        <w:t xml:space="preserve"> the </w:t>
      </w:r>
      <w:r w:rsidR="00C35F19" w:rsidRPr="001E5413">
        <w:rPr>
          <w:rFonts w:ascii="Times New Roman" w:hAnsi="Times New Roman" w:cs="Times New Roman"/>
          <w:sz w:val="24"/>
          <w:szCs w:val="24"/>
        </w:rPr>
        <w:t xml:space="preserve">note to the heading of Schedule 6 by removing </w:t>
      </w:r>
      <w:r w:rsidRPr="001E5413">
        <w:rPr>
          <w:rFonts w:ascii="Times New Roman" w:hAnsi="Times New Roman" w:cs="Times New Roman"/>
          <w:sz w:val="24"/>
          <w:szCs w:val="24"/>
        </w:rPr>
        <w:t xml:space="preserve">“definition of </w:t>
      </w:r>
      <w:r w:rsidRPr="001E5413">
        <w:rPr>
          <w:rFonts w:ascii="Times New Roman" w:hAnsi="Times New Roman" w:cs="Times New Roman"/>
          <w:b/>
          <w:i/>
          <w:sz w:val="24"/>
          <w:szCs w:val="24"/>
        </w:rPr>
        <w:t>GHS</w:t>
      </w:r>
      <w:r w:rsidR="00C35F19" w:rsidRPr="001E5413">
        <w:rPr>
          <w:rFonts w:ascii="Times New Roman" w:hAnsi="Times New Roman" w:cs="Times New Roman"/>
          <w:sz w:val="24"/>
          <w:szCs w:val="24"/>
        </w:rPr>
        <w:t>” and replacing it with “</w:t>
      </w:r>
      <w:r w:rsidRPr="001E5413">
        <w:rPr>
          <w:rFonts w:ascii="Times New Roman" w:hAnsi="Times New Roman" w:cs="Times New Roman"/>
          <w:sz w:val="24"/>
          <w:szCs w:val="24"/>
        </w:rPr>
        <w:t xml:space="preserve">definitions of </w:t>
      </w:r>
      <w:r w:rsidRPr="001E5413">
        <w:rPr>
          <w:rFonts w:ascii="Times New Roman" w:hAnsi="Times New Roman" w:cs="Times New Roman"/>
          <w:b/>
          <w:i/>
          <w:sz w:val="24"/>
          <w:szCs w:val="24"/>
        </w:rPr>
        <w:t>GHS</w:t>
      </w:r>
      <w:r w:rsidRPr="001E5413">
        <w:rPr>
          <w:rFonts w:ascii="Times New Roman" w:hAnsi="Times New Roman" w:cs="Times New Roman"/>
          <w:sz w:val="24"/>
          <w:szCs w:val="24"/>
        </w:rPr>
        <w:t xml:space="preserve"> and </w:t>
      </w:r>
      <w:r w:rsidRPr="001E5413">
        <w:rPr>
          <w:rFonts w:ascii="Times New Roman" w:hAnsi="Times New Roman" w:cs="Times New Roman"/>
          <w:b/>
          <w:i/>
          <w:sz w:val="24"/>
          <w:szCs w:val="24"/>
        </w:rPr>
        <w:t>GHS 3</w:t>
      </w:r>
      <w:r w:rsidR="00C35F19" w:rsidRPr="001E5413">
        <w:rPr>
          <w:rFonts w:ascii="Times New Roman" w:hAnsi="Times New Roman" w:cs="Times New Roman"/>
          <w:sz w:val="24"/>
          <w:szCs w:val="24"/>
        </w:rPr>
        <w:t>”</w:t>
      </w:r>
      <w:r w:rsidRPr="001E5413">
        <w:rPr>
          <w:rFonts w:ascii="Times New Roman" w:hAnsi="Times New Roman" w:cs="Times New Roman"/>
          <w:sz w:val="24"/>
          <w:szCs w:val="24"/>
        </w:rPr>
        <w:t xml:space="preserve"> which directs the reader to the definitions in subregulation 5(1). </w:t>
      </w:r>
    </w:p>
    <w:p w14:paraId="676C397E"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 21 – Clause 1 of Schedule 6</w:t>
      </w:r>
    </w:p>
    <w:p w14:paraId="3DE693FB"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item amend</w:t>
      </w:r>
      <w:r w:rsidR="00010E55" w:rsidRPr="001E5413">
        <w:rPr>
          <w:rFonts w:ascii="Times New Roman" w:hAnsi="Times New Roman" w:cs="Times New Roman"/>
          <w:sz w:val="24"/>
          <w:szCs w:val="24"/>
        </w:rPr>
        <w:t>s</w:t>
      </w:r>
      <w:r w:rsidRPr="001E5413">
        <w:rPr>
          <w:rFonts w:ascii="Times New Roman" w:hAnsi="Times New Roman" w:cs="Times New Roman"/>
          <w:sz w:val="24"/>
          <w:szCs w:val="24"/>
        </w:rPr>
        <w:t xml:space="preserve"> </w:t>
      </w:r>
      <w:r w:rsidR="00C35F19" w:rsidRPr="001E5413">
        <w:rPr>
          <w:rFonts w:ascii="Times New Roman" w:hAnsi="Times New Roman" w:cs="Times New Roman"/>
          <w:sz w:val="24"/>
          <w:szCs w:val="24"/>
        </w:rPr>
        <w:t xml:space="preserve">clause 1 of Schedule 6 by removing </w:t>
      </w:r>
      <w:r w:rsidRPr="001E5413">
        <w:rPr>
          <w:rFonts w:ascii="Times New Roman" w:hAnsi="Times New Roman" w:cs="Times New Roman"/>
          <w:sz w:val="24"/>
          <w:szCs w:val="24"/>
        </w:rPr>
        <w:t xml:space="preserve">“definition of </w:t>
      </w:r>
      <w:r w:rsidRPr="001E5413">
        <w:rPr>
          <w:rFonts w:ascii="Times New Roman" w:hAnsi="Times New Roman" w:cs="Times New Roman"/>
          <w:b/>
          <w:i/>
          <w:sz w:val="24"/>
          <w:szCs w:val="24"/>
        </w:rPr>
        <w:t>GHS</w:t>
      </w:r>
      <w:r w:rsidRPr="001E5413">
        <w:rPr>
          <w:rFonts w:ascii="Times New Roman" w:hAnsi="Times New Roman" w:cs="Times New Roman"/>
          <w:sz w:val="24"/>
          <w:szCs w:val="24"/>
        </w:rPr>
        <w:t>”</w:t>
      </w:r>
      <w:r w:rsidR="00C35F19" w:rsidRPr="001E5413">
        <w:rPr>
          <w:rFonts w:ascii="Times New Roman" w:hAnsi="Times New Roman" w:cs="Times New Roman"/>
          <w:sz w:val="24"/>
          <w:szCs w:val="24"/>
        </w:rPr>
        <w:t xml:space="preserve"> and replacing it with</w:t>
      </w:r>
      <w:r w:rsidRPr="001E5413">
        <w:rPr>
          <w:rFonts w:ascii="Times New Roman" w:hAnsi="Times New Roman" w:cs="Times New Roman"/>
          <w:sz w:val="24"/>
          <w:szCs w:val="24"/>
        </w:rPr>
        <w:t xml:space="preserve"> </w:t>
      </w:r>
      <w:r w:rsidR="00C35F19" w:rsidRPr="001E5413">
        <w:rPr>
          <w:rFonts w:ascii="Times New Roman" w:hAnsi="Times New Roman" w:cs="Times New Roman"/>
          <w:sz w:val="24"/>
          <w:szCs w:val="24"/>
        </w:rPr>
        <w:t>“</w:t>
      </w:r>
      <w:r w:rsidRPr="001E5413">
        <w:rPr>
          <w:rFonts w:ascii="Times New Roman" w:hAnsi="Times New Roman" w:cs="Times New Roman"/>
          <w:sz w:val="24"/>
          <w:szCs w:val="24"/>
        </w:rPr>
        <w:t xml:space="preserve">definitions of </w:t>
      </w:r>
      <w:r w:rsidRPr="001E5413">
        <w:rPr>
          <w:rFonts w:ascii="Times New Roman" w:hAnsi="Times New Roman" w:cs="Times New Roman"/>
          <w:b/>
          <w:i/>
          <w:sz w:val="24"/>
          <w:szCs w:val="24"/>
        </w:rPr>
        <w:t>GHS</w:t>
      </w:r>
      <w:r w:rsidRPr="001E5413">
        <w:rPr>
          <w:rFonts w:ascii="Times New Roman" w:hAnsi="Times New Roman" w:cs="Times New Roman"/>
          <w:sz w:val="24"/>
          <w:szCs w:val="24"/>
        </w:rPr>
        <w:t xml:space="preserve"> and </w:t>
      </w:r>
      <w:r w:rsidRPr="001E5413">
        <w:rPr>
          <w:rFonts w:ascii="Times New Roman" w:hAnsi="Times New Roman" w:cs="Times New Roman"/>
          <w:b/>
          <w:i/>
          <w:sz w:val="24"/>
          <w:szCs w:val="24"/>
        </w:rPr>
        <w:t>GHS 3</w:t>
      </w:r>
      <w:r w:rsidR="00C35F19" w:rsidRPr="001E5413">
        <w:rPr>
          <w:rFonts w:ascii="Times New Roman" w:hAnsi="Times New Roman" w:cs="Times New Roman"/>
          <w:sz w:val="24"/>
          <w:szCs w:val="24"/>
        </w:rPr>
        <w:t>” which directs the reader to the definitions in subregulation 5(1)</w:t>
      </w:r>
      <w:r w:rsidRPr="001E5413">
        <w:rPr>
          <w:rFonts w:ascii="Times New Roman" w:hAnsi="Times New Roman" w:cs="Times New Roman"/>
          <w:sz w:val="24"/>
          <w:szCs w:val="24"/>
        </w:rPr>
        <w:t>.</w:t>
      </w:r>
    </w:p>
    <w:p w14:paraId="51C7CBAA" w14:textId="77777777" w:rsidR="00010FC1" w:rsidRPr="001E5413" w:rsidRDefault="00010FC1" w:rsidP="003E2A06">
      <w:pPr>
        <w:keepNext/>
        <w:keepLines/>
        <w:rPr>
          <w:rFonts w:ascii="Times New Roman" w:hAnsi="Times New Roman" w:cs="Times New Roman"/>
          <w:b/>
          <w:sz w:val="24"/>
          <w:szCs w:val="24"/>
        </w:rPr>
      </w:pPr>
      <w:r w:rsidRPr="001E5413">
        <w:rPr>
          <w:rFonts w:ascii="Times New Roman" w:hAnsi="Times New Roman" w:cs="Times New Roman"/>
          <w:b/>
          <w:sz w:val="24"/>
          <w:szCs w:val="24"/>
        </w:rPr>
        <w:t>Item 22 – Clause 1 of Schedule 6, (note)</w:t>
      </w:r>
    </w:p>
    <w:p w14:paraId="78DD1D89" w14:textId="77777777" w:rsidR="00010FC1" w:rsidRPr="001E5413" w:rsidRDefault="00010FC1" w:rsidP="003E2A06">
      <w:pPr>
        <w:keepNext/>
        <w:keepLines/>
        <w:rPr>
          <w:rFonts w:ascii="Times New Roman" w:hAnsi="Times New Roman" w:cs="Times New Roman"/>
          <w:sz w:val="24"/>
          <w:szCs w:val="24"/>
        </w:rPr>
      </w:pPr>
      <w:r w:rsidRPr="001E5413">
        <w:rPr>
          <w:rFonts w:ascii="Times New Roman" w:hAnsi="Times New Roman" w:cs="Times New Roman"/>
          <w:sz w:val="24"/>
          <w:szCs w:val="24"/>
        </w:rPr>
        <w:t>This item amend</w:t>
      </w:r>
      <w:r w:rsidR="00010E55" w:rsidRPr="001E5413">
        <w:rPr>
          <w:rFonts w:ascii="Times New Roman" w:hAnsi="Times New Roman" w:cs="Times New Roman"/>
          <w:sz w:val="24"/>
          <w:szCs w:val="24"/>
        </w:rPr>
        <w:t>s</w:t>
      </w:r>
      <w:r w:rsidR="00C35F19" w:rsidRPr="001E5413">
        <w:rPr>
          <w:rFonts w:ascii="Times New Roman" w:hAnsi="Times New Roman" w:cs="Times New Roman"/>
          <w:sz w:val="24"/>
          <w:szCs w:val="24"/>
        </w:rPr>
        <w:t xml:space="preserve"> the note to clause one of Schedule 6 by removing</w:t>
      </w:r>
      <w:r w:rsidRPr="001E5413">
        <w:rPr>
          <w:rFonts w:ascii="Times New Roman" w:hAnsi="Times New Roman" w:cs="Times New Roman"/>
          <w:sz w:val="24"/>
          <w:szCs w:val="24"/>
        </w:rPr>
        <w:t xml:space="preserve"> “definition of </w:t>
      </w:r>
      <w:r w:rsidRPr="001E5413">
        <w:rPr>
          <w:rFonts w:ascii="Times New Roman" w:hAnsi="Times New Roman" w:cs="Times New Roman"/>
          <w:b/>
          <w:i/>
          <w:sz w:val="24"/>
          <w:szCs w:val="24"/>
        </w:rPr>
        <w:t>GHS</w:t>
      </w:r>
      <w:r w:rsidRPr="001E5413">
        <w:rPr>
          <w:rFonts w:ascii="Times New Roman" w:hAnsi="Times New Roman" w:cs="Times New Roman"/>
          <w:sz w:val="24"/>
          <w:szCs w:val="24"/>
        </w:rPr>
        <w:t xml:space="preserve">”, </w:t>
      </w:r>
      <w:r w:rsidR="008A7A67" w:rsidRPr="001E5413">
        <w:rPr>
          <w:rFonts w:ascii="Times New Roman" w:hAnsi="Times New Roman" w:cs="Times New Roman"/>
          <w:sz w:val="24"/>
          <w:szCs w:val="24"/>
        </w:rPr>
        <w:t>and replacing it with “</w:t>
      </w:r>
      <w:r w:rsidRPr="001E5413">
        <w:rPr>
          <w:rFonts w:ascii="Times New Roman" w:hAnsi="Times New Roman" w:cs="Times New Roman"/>
          <w:sz w:val="24"/>
          <w:szCs w:val="24"/>
        </w:rPr>
        <w:t xml:space="preserve">definitions of </w:t>
      </w:r>
      <w:r w:rsidRPr="001E5413">
        <w:rPr>
          <w:rFonts w:ascii="Times New Roman" w:hAnsi="Times New Roman" w:cs="Times New Roman"/>
          <w:b/>
          <w:i/>
          <w:sz w:val="24"/>
          <w:szCs w:val="24"/>
        </w:rPr>
        <w:t>GHS</w:t>
      </w:r>
      <w:r w:rsidRPr="001E5413">
        <w:rPr>
          <w:rFonts w:ascii="Times New Roman" w:hAnsi="Times New Roman" w:cs="Times New Roman"/>
          <w:sz w:val="24"/>
          <w:szCs w:val="24"/>
        </w:rPr>
        <w:t xml:space="preserve"> and </w:t>
      </w:r>
      <w:r w:rsidRPr="001E5413">
        <w:rPr>
          <w:rFonts w:ascii="Times New Roman" w:hAnsi="Times New Roman" w:cs="Times New Roman"/>
          <w:b/>
          <w:i/>
          <w:sz w:val="24"/>
          <w:szCs w:val="24"/>
        </w:rPr>
        <w:t>GHS 3</w:t>
      </w:r>
      <w:r w:rsidR="008A7A67" w:rsidRPr="001E5413">
        <w:rPr>
          <w:rFonts w:ascii="Times New Roman" w:hAnsi="Times New Roman" w:cs="Times New Roman"/>
          <w:sz w:val="24"/>
          <w:szCs w:val="24"/>
        </w:rPr>
        <w:t>” which directs the reader to the definitions in subregulation 5(1)</w:t>
      </w:r>
      <w:r w:rsidRPr="001E5413">
        <w:rPr>
          <w:rFonts w:ascii="Times New Roman" w:hAnsi="Times New Roman" w:cs="Times New Roman"/>
          <w:sz w:val="24"/>
          <w:szCs w:val="24"/>
        </w:rPr>
        <w:t>.</w:t>
      </w:r>
    </w:p>
    <w:p w14:paraId="55C2F65F"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Items 23 -36 – Schedule 6</w:t>
      </w:r>
    </w:p>
    <w:p w14:paraId="3372800A"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These items update the page references included in the notes to Tables 6.1 – 6.5 in Schedule 6 to ensure that they are consistent with</w:t>
      </w:r>
      <w:r w:rsidR="003E2A06" w:rsidRPr="001E5413">
        <w:rPr>
          <w:rFonts w:ascii="Times New Roman" w:hAnsi="Times New Roman" w:cs="Times New Roman"/>
          <w:sz w:val="24"/>
          <w:szCs w:val="24"/>
        </w:rPr>
        <w:t xml:space="preserve"> the</w:t>
      </w:r>
      <w:r w:rsidRPr="001E5413">
        <w:rPr>
          <w:rFonts w:ascii="Times New Roman" w:hAnsi="Times New Roman" w:cs="Times New Roman"/>
          <w:sz w:val="24"/>
          <w:szCs w:val="24"/>
        </w:rPr>
        <w:t xml:space="preserve"> GHS 7.</w:t>
      </w:r>
      <w:r w:rsidRPr="001E5413">
        <w:rPr>
          <w:rFonts w:ascii="Times New Roman" w:hAnsi="Times New Roman" w:cs="Times New Roman"/>
          <w:sz w:val="24"/>
          <w:szCs w:val="24"/>
        </w:rPr>
        <w:tab/>
      </w:r>
    </w:p>
    <w:p w14:paraId="4AA6DE31"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Items 26 and 29, 32, and 35 replace ‘Note 1’ with ‘Note’</w:t>
      </w:r>
      <w:r w:rsidR="00010E55" w:rsidRPr="001E5413">
        <w:rPr>
          <w:rFonts w:ascii="Times New Roman" w:hAnsi="Times New Roman" w:cs="Times New Roman"/>
          <w:sz w:val="24"/>
          <w:szCs w:val="24"/>
        </w:rPr>
        <w:t>.</w:t>
      </w:r>
    </w:p>
    <w:p w14:paraId="7EA6E07A"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Items 23 and 24 make amendments to advise that Table 6.1 replaces Table 3.4.5 in the GHS (p 159) and GHS 3 (151). </w:t>
      </w:r>
    </w:p>
    <w:p w14:paraId="62FEB0FD"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Items 25 and 27 make amendments to advise that Table 6.2 replaces Table 3.6.1 in the GHS (p 174) and GHS 3 (p 166). </w:t>
      </w:r>
    </w:p>
    <w:p w14:paraId="5FD8BFBC"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Items 28 and 30 make amendments to advise that Table 6.3 replaces Table 3.7.1 in the GHS (p 187) and GHS 3 (p 180). </w:t>
      </w:r>
    </w:p>
    <w:p w14:paraId="194089BB"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Items 31and 33 </w:t>
      </w:r>
      <w:r w:rsidR="00A9065E" w:rsidRPr="001E5413">
        <w:rPr>
          <w:rFonts w:ascii="Times New Roman" w:hAnsi="Times New Roman" w:cs="Times New Roman"/>
          <w:sz w:val="24"/>
          <w:szCs w:val="24"/>
        </w:rPr>
        <w:t xml:space="preserve">make amendments to </w:t>
      </w:r>
      <w:r w:rsidRPr="001E5413">
        <w:rPr>
          <w:rFonts w:ascii="Times New Roman" w:hAnsi="Times New Roman" w:cs="Times New Roman"/>
          <w:sz w:val="24"/>
          <w:szCs w:val="24"/>
        </w:rPr>
        <w:t xml:space="preserve">advise that Table 6.4 replaces Table 3.8.2 in the GHS (p 197) and GHS 3 (p 192). </w:t>
      </w:r>
    </w:p>
    <w:p w14:paraId="5BF09D21"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Items 34 and 36 </w:t>
      </w:r>
      <w:r w:rsidR="00A9065E" w:rsidRPr="001E5413">
        <w:rPr>
          <w:rFonts w:ascii="Times New Roman" w:hAnsi="Times New Roman" w:cs="Times New Roman"/>
          <w:sz w:val="24"/>
          <w:szCs w:val="24"/>
        </w:rPr>
        <w:t xml:space="preserve">make amendments to </w:t>
      </w:r>
      <w:r w:rsidRPr="001E5413">
        <w:rPr>
          <w:rFonts w:ascii="Times New Roman" w:hAnsi="Times New Roman" w:cs="Times New Roman"/>
          <w:sz w:val="24"/>
          <w:szCs w:val="24"/>
        </w:rPr>
        <w:t xml:space="preserve">advise that Table 6.5 replaces Table 3.9.3 in the GHS (p 207) and GHS 3 (p 203). </w:t>
      </w:r>
    </w:p>
    <w:p w14:paraId="38C8DECB"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Items 37 and 38 – Schedule 7</w:t>
      </w:r>
    </w:p>
    <w:p w14:paraId="0D17E97E"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These items omit phrases from the text of clause 1 of Schedule 7 as they are inconsistent with the text of GHS 7. </w:t>
      </w:r>
    </w:p>
    <w:p w14:paraId="69652EC8"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Item 37 omit</w:t>
      </w:r>
      <w:r w:rsidR="00010E55" w:rsidRPr="001E5413">
        <w:rPr>
          <w:rFonts w:ascii="Times New Roman" w:hAnsi="Times New Roman" w:cs="Times New Roman"/>
          <w:sz w:val="24"/>
          <w:szCs w:val="24"/>
        </w:rPr>
        <w:t>s</w:t>
      </w:r>
      <w:r w:rsidRPr="001E5413">
        <w:rPr>
          <w:rFonts w:ascii="Times New Roman" w:hAnsi="Times New Roman" w:cs="Times New Roman"/>
          <w:sz w:val="24"/>
          <w:szCs w:val="24"/>
        </w:rPr>
        <w:t xml:space="preserve"> the phrase “: </w:t>
      </w:r>
      <w:r w:rsidR="00A9065E" w:rsidRPr="001E5413">
        <w:rPr>
          <w:rFonts w:ascii="Times New Roman" w:hAnsi="Times New Roman" w:cs="Times New Roman"/>
          <w:sz w:val="24"/>
          <w:szCs w:val="24"/>
        </w:rPr>
        <w:t>P</w:t>
      </w:r>
      <w:r w:rsidRPr="001E5413">
        <w:rPr>
          <w:rFonts w:ascii="Times New Roman" w:hAnsi="Times New Roman" w:cs="Times New Roman"/>
          <w:sz w:val="24"/>
          <w:szCs w:val="24"/>
        </w:rPr>
        <w:t xml:space="preserve">roduct identifier and chemical identity” from </w:t>
      </w:r>
      <w:r w:rsidR="002B1863" w:rsidRPr="001E5413">
        <w:rPr>
          <w:rFonts w:ascii="Times New Roman" w:hAnsi="Times New Roman" w:cs="Times New Roman"/>
          <w:sz w:val="24"/>
          <w:szCs w:val="24"/>
        </w:rPr>
        <w:t xml:space="preserve">paragraph </w:t>
      </w:r>
      <w:r w:rsidRPr="001E5413">
        <w:rPr>
          <w:rFonts w:ascii="Times New Roman" w:hAnsi="Times New Roman" w:cs="Times New Roman"/>
          <w:sz w:val="24"/>
          <w:szCs w:val="24"/>
        </w:rPr>
        <w:t xml:space="preserve">1(2)(a) of Schedule 7.  </w:t>
      </w:r>
    </w:p>
    <w:p w14:paraId="69C0AEB5"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Item 38 omits the phrase “, including how the chemical may be safely used” from </w:t>
      </w:r>
      <w:r w:rsidR="002B1863" w:rsidRPr="001E5413">
        <w:rPr>
          <w:rFonts w:ascii="Times New Roman" w:hAnsi="Times New Roman" w:cs="Times New Roman"/>
          <w:sz w:val="24"/>
          <w:szCs w:val="24"/>
        </w:rPr>
        <w:t xml:space="preserve">paragraph </w:t>
      </w:r>
      <w:r w:rsidRPr="001E5413">
        <w:rPr>
          <w:rFonts w:ascii="Times New Roman" w:hAnsi="Times New Roman" w:cs="Times New Roman"/>
          <w:sz w:val="24"/>
          <w:szCs w:val="24"/>
        </w:rPr>
        <w:t>1(2)(g) of Schedule 7.</w:t>
      </w:r>
    </w:p>
    <w:p w14:paraId="1FFB3FDB"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Items 39 – Schedule 8</w:t>
      </w:r>
    </w:p>
    <w:p w14:paraId="04CD6FD5"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Consistent with the amendment to the definition of </w:t>
      </w:r>
      <w:r w:rsidRPr="001E5413">
        <w:rPr>
          <w:rFonts w:ascii="Times New Roman" w:hAnsi="Times New Roman" w:cs="Times New Roman"/>
          <w:i/>
          <w:sz w:val="24"/>
          <w:szCs w:val="24"/>
        </w:rPr>
        <w:t>hazardous chemical</w:t>
      </w:r>
      <w:r w:rsidRPr="001E5413">
        <w:rPr>
          <w:rFonts w:ascii="Times New Roman" w:hAnsi="Times New Roman" w:cs="Times New Roman"/>
          <w:sz w:val="24"/>
          <w:szCs w:val="24"/>
        </w:rPr>
        <w:t xml:space="preserve"> in </w:t>
      </w:r>
      <w:r w:rsidR="00A9065E" w:rsidRPr="001E5413">
        <w:rPr>
          <w:rFonts w:ascii="Times New Roman" w:hAnsi="Times New Roman" w:cs="Times New Roman"/>
          <w:sz w:val="24"/>
          <w:szCs w:val="24"/>
        </w:rPr>
        <w:t>sub</w:t>
      </w:r>
      <w:r w:rsidRPr="001E5413">
        <w:rPr>
          <w:rFonts w:ascii="Times New Roman" w:hAnsi="Times New Roman" w:cs="Times New Roman"/>
          <w:sz w:val="24"/>
          <w:szCs w:val="24"/>
        </w:rPr>
        <w:t xml:space="preserve">regulation 5(1), </w:t>
      </w:r>
      <w:r w:rsidR="00A9065E" w:rsidRPr="001E5413">
        <w:rPr>
          <w:rFonts w:ascii="Times New Roman" w:hAnsi="Times New Roman" w:cs="Times New Roman"/>
          <w:sz w:val="24"/>
          <w:szCs w:val="24"/>
        </w:rPr>
        <w:t xml:space="preserve">this </w:t>
      </w:r>
      <w:r w:rsidRPr="001E5413">
        <w:rPr>
          <w:rFonts w:ascii="Times New Roman" w:hAnsi="Times New Roman" w:cs="Times New Roman"/>
          <w:sz w:val="24"/>
          <w:szCs w:val="24"/>
        </w:rPr>
        <w:t>item remove</w:t>
      </w:r>
      <w:r w:rsidR="00A9065E" w:rsidRPr="001E5413">
        <w:rPr>
          <w:rFonts w:ascii="Times New Roman" w:hAnsi="Times New Roman" w:cs="Times New Roman"/>
          <w:sz w:val="24"/>
          <w:szCs w:val="24"/>
        </w:rPr>
        <w:t>s</w:t>
      </w:r>
      <w:r w:rsidRPr="001E5413">
        <w:rPr>
          <w:rFonts w:ascii="Times New Roman" w:hAnsi="Times New Roman" w:cs="Times New Roman"/>
          <w:sz w:val="24"/>
          <w:szCs w:val="24"/>
        </w:rPr>
        <w:t xml:space="preserve"> the sub-categorisation for serious eye damage/eye irritation from item 13 of Table 8.1 in clause 2</w:t>
      </w:r>
      <w:r w:rsidR="008A7A67" w:rsidRPr="001E5413">
        <w:rPr>
          <w:rFonts w:ascii="Times New Roman" w:hAnsi="Times New Roman" w:cs="Times New Roman"/>
          <w:sz w:val="24"/>
          <w:szCs w:val="24"/>
        </w:rPr>
        <w:t xml:space="preserve"> by replacing “Category 2A” with “Category 2”</w:t>
      </w:r>
      <w:r w:rsidRPr="001E5413">
        <w:rPr>
          <w:rFonts w:ascii="Times New Roman" w:hAnsi="Times New Roman" w:cs="Times New Roman"/>
          <w:sz w:val="24"/>
          <w:szCs w:val="24"/>
        </w:rPr>
        <w:t xml:space="preserve">. </w:t>
      </w:r>
    </w:p>
    <w:p w14:paraId="5847E57E"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 40 – Schedule 8, (table 8.2, item 3)</w:t>
      </w:r>
    </w:p>
    <w:p w14:paraId="593BE591"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w:t>
      </w:r>
      <w:r w:rsidR="00010E55" w:rsidRPr="001E5413">
        <w:rPr>
          <w:rFonts w:ascii="Times New Roman" w:hAnsi="Times New Roman" w:cs="Times New Roman"/>
          <w:sz w:val="24"/>
          <w:szCs w:val="24"/>
        </w:rPr>
        <w:t xml:space="preserve"> item</w:t>
      </w:r>
      <w:r w:rsidRPr="001E5413">
        <w:rPr>
          <w:rFonts w:ascii="Times New Roman" w:hAnsi="Times New Roman" w:cs="Times New Roman"/>
          <w:sz w:val="24"/>
          <w:szCs w:val="24"/>
        </w:rPr>
        <w:t xml:space="preserve"> amends the table item by omitting the phrase “category 2A” and substituting with “category 2”.</w:t>
      </w:r>
    </w:p>
    <w:p w14:paraId="69E2E0DD"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Items 41 and 42 – Schedule 9</w:t>
      </w:r>
    </w:p>
    <w:p w14:paraId="3FD95B6C"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Items 41 and 42 make minor amendments to the wording in subclause 1(1) and the note. </w:t>
      </w:r>
    </w:p>
    <w:p w14:paraId="10950F9C"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 43 – Schedule 11 </w:t>
      </w:r>
    </w:p>
    <w:p w14:paraId="41849130"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This item omits existing Table 11.1 in Schedule 11 and replaces it with a new table.  </w:t>
      </w:r>
    </w:p>
    <w:p w14:paraId="15C2BD26"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The new table amends item 1, column 2 to make clear that there are two sub-categories of ‘Flammable gases’</w:t>
      </w:r>
      <w:r w:rsidR="002B1863" w:rsidRPr="001E5413">
        <w:rPr>
          <w:rFonts w:ascii="Times New Roman" w:hAnsi="Times New Roman" w:cs="Times New Roman"/>
          <w:sz w:val="24"/>
          <w:szCs w:val="24"/>
        </w:rPr>
        <w:t>,</w:t>
      </w:r>
      <w:r w:rsidRPr="001E5413">
        <w:rPr>
          <w:rFonts w:ascii="Times New Roman" w:hAnsi="Times New Roman" w:cs="Times New Roman"/>
          <w:sz w:val="24"/>
          <w:szCs w:val="24"/>
        </w:rPr>
        <w:t xml:space="preserve"> consistent with the GHS 7 – that is ‘Flammable gases – Category 1A’ and ‘Flammable gases – Category 1B.’ The placard and manifest quantities for Category 1A or Category 1B or any combination of these are 200L and 5000L respectively.  </w:t>
      </w:r>
    </w:p>
    <w:p w14:paraId="6ADF250E"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The new table also includes ‘Aerosols’ as a new hazard class, consistent with the GHS 7 classifications. Aerosols were previously included with ‘Gases under pressure</w:t>
      </w:r>
      <w:r w:rsidR="002B1863" w:rsidRPr="001E5413">
        <w:rPr>
          <w:rFonts w:ascii="Times New Roman" w:hAnsi="Times New Roman" w:cs="Times New Roman"/>
          <w:sz w:val="24"/>
          <w:szCs w:val="24"/>
        </w:rPr>
        <w:t>’</w:t>
      </w:r>
      <w:r w:rsidRPr="001E5413">
        <w:rPr>
          <w:rFonts w:ascii="Times New Roman" w:hAnsi="Times New Roman" w:cs="Times New Roman"/>
          <w:sz w:val="24"/>
          <w:szCs w:val="24"/>
        </w:rPr>
        <w:t xml:space="preserve">. There are now three categories of aerosols at item 43 of Table 11.1 to Schedule 11. The placard and manifest quantity for each of these categories or any combination of these are 5000L and 10,000L respectively.   </w:t>
      </w:r>
    </w:p>
    <w:p w14:paraId="0D9D8A84" w14:textId="77777777" w:rsidR="00010FC1" w:rsidRPr="001E5413" w:rsidRDefault="00010FC1" w:rsidP="00010FC1">
      <w:pPr>
        <w:rPr>
          <w:rFonts w:ascii="Times New Roman" w:hAnsi="Times New Roman" w:cs="Times New Roman"/>
          <w:sz w:val="24"/>
          <w:szCs w:val="24"/>
        </w:rPr>
      </w:pPr>
    </w:p>
    <w:p w14:paraId="6FD7AA50" w14:textId="77777777" w:rsidR="00010FC1" w:rsidRPr="001E5413" w:rsidRDefault="00010FC1" w:rsidP="00010FC1">
      <w:pPr>
        <w:rPr>
          <w:rFonts w:ascii="Times New Roman" w:hAnsi="Times New Roman" w:cs="Times New Roman"/>
          <w:sz w:val="24"/>
          <w:szCs w:val="24"/>
        </w:rPr>
      </w:pPr>
    </w:p>
    <w:p w14:paraId="3FADC064"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 </w:t>
      </w:r>
    </w:p>
    <w:p w14:paraId="07BA8397" w14:textId="77777777" w:rsidR="00010FC1" w:rsidRPr="001E5413" w:rsidRDefault="00010FC1" w:rsidP="00010FC1">
      <w:pPr>
        <w:rPr>
          <w:rFonts w:ascii="Times New Roman" w:hAnsi="Times New Roman" w:cs="Times New Roman"/>
          <w:sz w:val="24"/>
          <w:szCs w:val="24"/>
        </w:rPr>
      </w:pPr>
    </w:p>
    <w:p w14:paraId="1956E15E" w14:textId="77777777" w:rsidR="00010FC1" w:rsidRPr="001E5413" w:rsidRDefault="00010FC1" w:rsidP="00BA064D">
      <w:pPr>
        <w:spacing w:before="360" w:after="180" w:line="360" w:lineRule="auto"/>
        <w:rPr>
          <w:rFonts w:ascii="Times New Roman" w:hAnsi="Times New Roman" w:cs="Times New Roman"/>
          <w:u w:val="single"/>
          <w:lang w:eastAsia="en-AU"/>
        </w:rPr>
      </w:pPr>
    </w:p>
    <w:p w14:paraId="35109EC1" w14:textId="77777777" w:rsidR="00BA064D" w:rsidRPr="001E5413" w:rsidRDefault="00BA064D" w:rsidP="00BA064D">
      <w:pPr>
        <w:spacing w:after="0" w:line="360" w:lineRule="auto"/>
        <w:rPr>
          <w:rFonts w:ascii="Times New Roman" w:hAnsi="Times New Roman" w:cs="Times New Roman"/>
        </w:rPr>
      </w:pPr>
    </w:p>
    <w:p w14:paraId="59A71027" w14:textId="77777777" w:rsidR="00BA064D" w:rsidRPr="001E5413" w:rsidRDefault="00BA064D">
      <w:pPr>
        <w:spacing w:after="160" w:line="259" w:lineRule="auto"/>
        <w:rPr>
          <w:rFonts w:ascii="Times New Roman" w:hAnsi="Times New Roman" w:cs="Times New Roman"/>
        </w:rPr>
      </w:pPr>
      <w:r w:rsidRPr="001E5413">
        <w:rPr>
          <w:rFonts w:ascii="Times New Roman" w:hAnsi="Times New Roman" w:cs="Times New Roman"/>
        </w:rPr>
        <w:br w:type="page"/>
      </w:r>
    </w:p>
    <w:p w14:paraId="7923914A" w14:textId="77777777" w:rsidR="00BA064D" w:rsidRPr="001E5413" w:rsidRDefault="00BA064D" w:rsidP="00BA064D">
      <w:pPr>
        <w:jc w:val="right"/>
        <w:rPr>
          <w:rFonts w:ascii="Times New Roman" w:hAnsi="Times New Roman" w:cs="Times New Roman"/>
          <w:b/>
          <w:sz w:val="24"/>
          <w:szCs w:val="24"/>
        </w:rPr>
      </w:pPr>
      <w:r w:rsidRPr="001E5413">
        <w:rPr>
          <w:rFonts w:ascii="Times New Roman" w:hAnsi="Times New Roman" w:cs="Times New Roman"/>
          <w:b/>
          <w:sz w:val="24"/>
          <w:szCs w:val="24"/>
        </w:rPr>
        <w:t>Attachment B</w:t>
      </w:r>
    </w:p>
    <w:p w14:paraId="6489BE04" w14:textId="77777777" w:rsidR="00BA064D" w:rsidRPr="001E5413" w:rsidRDefault="00BA064D" w:rsidP="00BA064D">
      <w:pPr>
        <w:spacing w:line="360" w:lineRule="auto"/>
        <w:jc w:val="center"/>
        <w:rPr>
          <w:rFonts w:ascii="Times New Roman" w:hAnsi="Times New Roman" w:cs="Times New Roman"/>
          <w:b/>
          <w:iCs/>
          <w:color w:val="000000"/>
          <w:sz w:val="24"/>
          <w:szCs w:val="24"/>
        </w:rPr>
      </w:pPr>
      <w:r w:rsidRPr="001E5413">
        <w:rPr>
          <w:rFonts w:ascii="Times New Roman" w:hAnsi="Times New Roman" w:cs="Times New Roman"/>
          <w:b/>
          <w:iCs/>
          <w:color w:val="000000"/>
          <w:sz w:val="24"/>
          <w:szCs w:val="24"/>
        </w:rPr>
        <w:t>Statement of Compatibility with Human Rights</w:t>
      </w:r>
    </w:p>
    <w:p w14:paraId="134B7C4B" w14:textId="77777777" w:rsidR="00BA064D" w:rsidRPr="001E5413" w:rsidRDefault="00BA064D" w:rsidP="00BA064D">
      <w:pPr>
        <w:spacing w:after="0" w:line="360" w:lineRule="auto"/>
        <w:jc w:val="center"/>
        <w:rPr>
          <w:rFonts w:ascii="Times New Roman" w:hAnsi="Times New Roman" w:cs="Times New Roman"/>
          <w:b/>
          <w:iCs/>
          <w:color w:val="000000"/>
          <w:sz w:val="24"/>
          <w:szCs w:val="24"/>
        </w:rPr>
      </w:pPr>
    </w:p>
    <w:p w14:paraId="51EBFEBE" w14:textId="77777777" w:rsidR="00BA064D" w:rsidRPr="001E5413" w:rsidRDefault="00BA064D" w:rsidP="00BA064D">
      <w:pPr>
        <w:spacing w:line="360" w:lineRule="auto"/>
        <w:jc w:val="center"/>
        <w:rPr>
          <w:rFonts w:ascii="Times New Roman" w:hAnsi="Times New Roman" w:cs="Times New Roman"/>
          <w:iCs/>
          <w:color w:val="000000"/>
        </w:rPr>
      </w:pPr>
      <w:r w:rsidRPr="001E5413">
        <w:rPr>
          <w:rFonts w:ascii="Times New Roman" w:hAnsi="Times New Roman" w:cs="Times New Roman"/>
          <w:iCs/>
          <w:color w:val="000000"/>
        </w:rPr>
        <w:t>Issued by the Minister for Industrial Relations</w:t>
      </w:r>
    </w:p>
    <w:p w14:paraId="6598B363" w14:textId="77777777" w:rsidR="00BA064D" w:rsidRPr="001E5413" w:rsidRDefault="00BA064D" w:rsidP="00BA064D">
      <w:pPr>
        <w:spacing w:after="0" w:line="360" w:lineRule="auto"/>
        <w:jc w:val="center"/>
        <w:rPr>
          <w:rFonts w:ascii="Times New Roman" w:hAnsi="Times New Roman" w:cs="Times New Roman"/>
          <w:iCs/>
          <w:color w:val="000000"/>
        </w:rPr>
      </w:pPr>
    </w:p>
    <w:p w14:paraId="2E26BA2D" w14:textId="77777777" w:rsidR="00BA064D" w:rsidRPr="001E5413" w:rsidRDefault="00BA064D" w:rsidP="00BA064D">
      <w:pPr>
        <w:spacing w:after="0" w:line="360" w:lineRule="auto"/>
        <w:jc w:val="center"/>
        <w:rPr>
          <w:rFonts w:ascii="Times New Roman" w:hAnsi="Times New Roman" w:cs="Times New Roman"/>
          <w:i/>
          <w:iCs/>
          <w:color w:val="000000"/>
        </w:rPr>
      </w:pPr>
      <w:r w:rsidRPr="001E5413">
        <w:rPr>
          <w:rFonts w:ascii="Times New Roman" w:hAnsi="Times New Roman" w:cs="Times New Roman"/>
          <w:i/>
          <w:iCs/>
          <w:color w:val="000000"/>
        </w:rPr>
        <w:t>Prepared in accordance with Part 3 of the Human Rights (Parliamentary Scrutiny) Act 2011</w:t>
      </w:r>
    </w:p>
    <w:p w14:paraId="1EC128B1" w14:textId="77777777" w:rsidR="00BA064D" w:rsidRPr="001E5413" w:rsidRDefault="00BA064D" w:rsidP="00BA064D">
      <w:pPr>
        <w:spacing w:after="0" w:line="360" w:lineRule="auto"/>
        <w:jc w:val="center"/>
        <w:rPr>
          <w:rFonts w:ascii="Times New Roman" w:hAnsi="Times New Roman" w:cs="Times New Roman"/>
          <w:i/>
          <w:iCs/>
          <w:color w:val="000000"/>
        </w:rPr>
      </w:pPr>
    </w:p>
    <w:p w14:paraId="7342C7B1" w14:textId="77777777" w:rsidR="00BA064D" w:rsidRPr="001E5413" w:rsidRDefault="00BA064D" w:rsidP="00BA064D">
      <w:pPr>
        <w:spacing w:before="240" w:after="0" w:line="360" w:lineRule="auto"/>
        <w:jc w:val="center"/>
        <w:rPr>
          <w:rFonts w:ascii="Times New Roman" w:hAnsi="Times New Roman" w:cs="Times New Roman"/>
          <w:b/>
          <w:color w:val="FF0000"/>
        </w:rPr>
      </w:pPr>
      <w:r w:rsidRPr="001E5413">
        <w:rPr>
          <w:rFonts w:ascii="Times New Roman" w:hAnsi="Times New Roman" w:cs="Times New Roman"/>
          <w:b/>
          <w:i/>
          <w:iCs/>
          <w:color w:val="000000"/>
        </w:rPr>
        <w:t>Work Health and Safety (Hazardous Chemicals) Amendment Regulations 2020</w:t>
      </w:r>
    </w:p>
    <w:p w14:paraId="63F3D6BF" w14:textId="77777777" w:rsidR="00BA064D" w:rsidRPr="001E5413" w:rsidRDefault="00BA064D" w:rsidP="00BA064D">
      <w:pPr>
        <w:spacing w:after="0" w:line="360" w:lineRule="auto"/>
        <w:rPr>
          <w:rFonts w:ascii="Times New Roman" w:hAnsi="Times New Roman" w:cs="Times New Roman"/>
        </w:rPr>
      </w:pPr>
    </w:p>
    <w:p w14:paraId="1C824A8F" w14:textId="77777777" w:rsidR="00B10D99" w:rsidRPr="001E5413" w:rsidRDefault="00C66112" w:rsidP="00C66112">
      <w:pPr>
        <w:spacing w:line="360" w:lineRule="auto"/>
        <w:rPr>
          <w:rFonts w:ascii="Times New Roman" w:hAnsi="Times New Roman" w:cs="Times New Roman"/>
          <w:i/>
        </w:rPr>
      </w:pPr>
      <w:r w:rsidRPr="001E5413">
        <w:rPr>
          <w:rFonts w:ascii="Times New Roman" w:hAnsi="Times New Roman" w:cs="Times New Roman"/>
        </w:rPr>
        <w:t xml:space="preserve">This legislative instrument is compatible with the human rights and freedoms recognised or declared by the international instruments listed in section 3 of the </w:t>
      </w:r>
      <w:r w:rsidRPr="001E5413">
        <w:rPr>
          <w:rFonts w:ascii="Times New Roman" w:hAnsi="Times New Roman" w:cs="Times New Roman"/>
          <w:i/>
        </w:rPr>
        <w:t>Human Rights (Parliamentary Scrutiny) Act 2011.</w:t>
      </w:r>
    </w:p>
    <w:p w14:paraId="4D731C60" w14:textId="77777777" w:rsidR="00C66112" w:rsidRPr="001E5413" w:rsidRDefault="00C66112" w:rsidP="00C66112">
      <w:pPr>
        <w:spacing w:line="360" w:lineRule="auto"/>
        <w:rPr>
          <w:rFonts w:ascii="Times New Roman" w:hAnsi="Times New Roman" w:cs="Times New Roman"/>
          <w:b/>
        </w:rPr>
      </w:pPr>
      <w:r w:rsidRPr="001E5413">
        <w:rPr>
          <w:rFonts w:ascii="Times New Roman" w:hAnsi="Times New Roman" w:cs="Times New Roman"/>
          <w:b/>
        </w:rPr>
        <w:t xml:space="preserve">Overview of the Legislative Instrument </w:t>
      </w:r>
    </w:p>
    <w:p w14:paraId="54147334" w14:textId="77777777" w:rsidR="00476F6F" w:rsidRPr="001E5413" w:rsidRDefault="00476F6F" w:rsidP="00476F6F">
      <w:pPr>
        <w:spacing w:after="0" w:line="360" w:lineRule="auto"/>
        <w:rPr>
          <w:rFonts w:ascii="Times New Roman" w:hAnsi="Times New Roman" w:cs="Times New Roman"/>
        </w:rPr>
      </w:pPr>
      <w:r w:rsidRPr="001E5413">
        <w:rPr>
          <w:rFonts w:ascii="Times New Roman" w:hAnsi="Times New Roman" w:cs="Times New Roman"/>
        </w:rPr>
        <w:t xml:space="preserve">The </w:t>
      </w:r>
      <w:r w:rsidRPr="001E5413">
        <w:rPr>
          <w:rFonts w:ascii="Times New Roman" w:hAnsi="Times New Roman" w:cs="Times New Roman"/>
          <w:i/>
        </w:rPr>
        <w:t>Work Health and Safety</w:t>
      </w:r>
      <w:r w:rsidR="00AD1DC5" w:rsidRPr="001E5413">
        <w:rPr>
          <w:rFonts w:ascii="Times New Roman" w:hAnsi="Times New Roman" w:cs="Times New Roman"/>
          <w:i/>
        </w:rPr>
        <w:t xml:space="preserve"> Amendment</w:t>
      </w:r>
      <w:r w:rsidRPr="001E5413">
        <w:rPr>
          <w:rFonts w:ascii="Times New Roman" w:hAnsi="Times New Roman" w:cs="Times New Roman"/>
          <w:i/>
        </w:rPr>
        <w:t xml:space="preserve"> (Hazardous Chemical) Regulations 2020 </w:t>
      </w:r>
      <w:r w:rsidRPr="001E5413">
        <w:rPr>
          <w:rFonts w:ascii="Times New Roman" w:hAnsi="Times New Roman" w:cs="Times New Roman"/>
        </w:rPr>
        <w:t xml:space="preserve">(the Amendment Regulations) give effect to an agreement between </w:t>
      </w:r>
      <w:r w:rsidR="00A0241D" w:rsidRPr="001E5413">
        <w:rPr>
          <w:rFonts w:ascii="Times New Roman" w:hAnsi="Times New Roman" w:cs="Times New Roman"/>
        </w:rPr>
        <w:t xml:space="preserve">Safe Work Australia </w:t>
      </w:r>
      <w:r w:rsidR="00D13435" w:rsidRPr="001E5413">
        <w:rPr>
          <w:rFonts w:ascii="Times New Roman" w:hAnsi="Times New Roman" w:cs="Times New Roman"/>
        </w:rPr>
        <w:t xml:space="preserve">(SWA) </w:t>
      </w:r>
      <w:r w:rsidR="00A0241D" w:rsidRPr="001E5413">
        <w:rPr>
          <w:rFonts w:ascii="Times New Roman" w:hAnsi="Times New Roman" w:cs="Times New Roman"/>
        </w:rPr>
        <w:t>members</w:t>
      </w:r>
      <w:r w:rsidRPr="001E5413">
        <w:rPr>
          <w:rFonts w:ascii="Times New Roman" w:hAnsi="Times New Roman" w:cs="Times New Roman"/>
        </w:rPr>
        <w:t xml:space="preserve"> to adopt the Globally Harmoni</w:t>
      </w:r>
      <w:r w:rsidR="000E5D5D" w:rsidRPr="001E5413">
        <w:rPr>
          <w:rFonts w:ascii="Times New Roman" w:hAnsi="Times New Roman" w:cs="Times New Roman"/>
        </w:rPr>
        <w:t>s</w:t>
      </w:r>
      <w:r w:rsidRPr="001E5413">
        <w:rPr>
          <w:rFonts w:ascii="Times New Roman" w:hAnsi="Times New Roman" w:cs="Times New Roman"/>
        </w:rPr>
        <w:t>ed System of Classification an</w:t>
      </w:r>
      <w:r w:rsidR="000E5D5D" w:rsidRPr="001E5413">
        <w:rPr>
          <w:rFonts w:ascii="Times New Roman" w:hAnsi="Times New Roman" w:cs="Times New Roman"/>
        </w:rPr>
        <w:t>d Labelling of Chemicals (GHS)</w:t>
      </w:r>
      <w:r w:rsidR="00AD1DC5" w:rsidRPr="001E5413">
        <w:rPr>
          <w:rFonts w:ascii="Times New Roman" w:hAnsi="Times New Roman" w:cs="Times New Roman"/>
        </w:rPr>
        <w:t>,</w:t>
      </w:r>
      <w:r w:rsidR="00951276" w:rsidRPr="001E5413">
        <w:rPr>
          <w:rFonts w:ascii="Times New Roman" w:hAnsi="Times New Roman" w:cs="Times New Roman"/>
        </w:rPr>
        <w:t xml:space="preserve"> s</w:t>
      </w:r>
      <w:r w:rsidR="000E5D5D" w:rsidRPr="001E5413">
        <w:rPr>
          <w:rFonts w:ascii="Times New Roman" w:hAnsi="Times New Roman" w:cs="Times New Roman"/>
        </w:rPr>
        <w:t>eventh</w:t>
      </w:r>
      <w:r w:rsidRPr="001E5413">
        <w:rPr>
          <w:rFonts w:ascii="Times New Roman" w:hAnsi="Times New Roman" w:cs="Times New Roman"/>
        </w:rPr>
        <w:t xml:space="preserve"> </w:t>
      </w:r>
      <w:r w:rsidR="00160069" w:rsidRPr="001E5413">
        <w:rPr>
          <w:rFonts w:ascii="Times New Roman" w:hAnsi="Times New Roman" w:cs="Times New Roman"/>
        </w:rPr>
        <w:t>r</w:t>
      </w:r>
      <w:r w:rsidR="0007085B" w:rsidRPr="001E5413">
        <w:rPr>
          <w:rFonts w:ascii="Times New Roman" w:hAnsi="Times New Roman" w:cs="Times New Roman"/>
        </w:rPr>
        <w:t xml:space="preserve">evised </w:t>
      </w:r>
      <w:r w:rsidR="00160069" w:rsidRPr="001E5413">
        <w:rPr>
          <w:rFonts w:ascii="Times New Roman" w:hAnsi="Times New Roman" w:cs="Times New Roman"/>
        </w:rPr>
        <w:t>e</w:t>
      </w:r>
      <w:r w:rsidRPr="001E5413">
        <w:rPr>
          <w:rFonts w:ascii="Times New Roman" w:hAnsi="Times New Roman" w:cs="Times New Roman"/>
        </w:rPr>
        <w:t>dition (GHS</w:t>
      </w:r>
      <w:r w:rsidR="0007085B" w:rsidRPr="001E5413">
        <w:rPr>
          <w:rFonts w:ascii="Times New Roman" w:hAnsi="Times New Roman" w:cs="Times New Roman"/>
        </w:rPr>
        <w:t> </w:t>
      </w:r>
      <w:r w:rsidRPr="001E5413">
        <w:rPr>
          <w:rFonts w:ascii="Times New Roman" w:hAnsi="Times New Roman" w:cs="Times New Roman"/>
        </w:rPr>
        <w:t xml:space="preserve">7). </w:t>
      </w:r>
    </w:p>
    <w:p w14:paraId="2F94740C" w14:textId="77777777" w:rsidR="00476F6F" w:rsidRPr="001E5413" w:rsidRDefault="00476F6F" w:rsidP="00476F6F">
      <w:pPr>
        <w:spacing w:after="0" w:line="360" w:lineRule="auto"/>
        <w:rPr>
          <w:rFonts w:ascii="Times New Roman" w:hAnsi="Times New Roman" w:cs="Times New Roman"/>
        </w:rPr>
      </w:pPr>
    </w:p>
    <w:p w14:paraId="6D34C83F" w14:textId="77777777" w:rsidR="00476F6F" w:rsidRPr="001E5413" w:rsidRDefault="00476F6F" w:rsidP="00476F6F">
      <w:pPr>
        <w:spacing w:after="0" w:line="360" w:lineRule="auto"/>
        <w:rPr>
          <w:rFonts w:ascii="Times New Roman" w:hAnsi="Times New Roman" w:cs="Times New Roman"/>
        </w:rPr>
      </w:pPr>
      <w:r w:rsidRPr="001E5413">
        <w:rPr>
          <w:rFonts w:ascii="Times New Roman" w:hAnsi="Times New Roman" w:cs="Times New Roman"/>
        </w:rPr>
        <w:t xml:space="preserve">The </w:t>
      </w:r>
      <w:r w:rsidRPr="001E5413">
        <w:rPr>
          <w:rFonts w:ascii="Times New Roman" w:hAnsi="Times New Roman" w:cs="Times New Roman"/>
          <w:i/>
        </w:rPr>
        <w:t xml:space="preserve">Work Health and Safety Act 2011 </w:t>
      </w:r>
      <w:r w:rsidRPr="001E5413">
        <w:rPr>
          <w:rFonts w:ascii="Times New Roman" w:hAnsi="Times New Roman" w:cs="Times New Roman"/>
        </w:rPr>
        <w:t xml:space="preserve">(the Act) and accompanying </w:t>
      </w:r>
      <w:r w:rsidRPr="001E5413">
        <w:rPr>
          <w:rFonts w:ascii="Times New Roman" w:hAnsi="Times New Roman" w:cs="Times New Roman"/>
          <w:i/>
        </w:rPr>
        <w:t xml:space="preserve">Work Health and Safety Regulations 2011 </w:t>
      </w:r>
      <w:r w:rsidR="00E55A44" w:rsidRPr="001E5413">
        <w:rPr>
          <w:rFonts w:ascii="Times New Roman" w:hAnsi="Times New Roman" w:cs="Times New Roman"/>
        </w:rPr>
        <w:t xml:space="preserve">(the Principal Regulations) </w:t>
      </w:r>
      <w:r w:rsidRPr="001E5413">
        <w:rPr>
          <w:rFonts w:ascii="Times New Roman" w:hAnsi="Times New Roman" w:cs="Times New Roman"/>
        </w:rPr>
        <w:t xml:space="preserve">provide the primary work health and safety (WHS) legislation for the Commonwealth jurisdiction. They are based on model </w:t>
      </w:r>
      <w:r w:rsidR="000E5D5D" w:rsidRPr="001E5413">
        <w:rPr>
          <w:rFonts w:ascii="Times New Roman" w:hAnsi="Times New Roman" w:cs="Times New Roman"/>
        </w:rPr>
        <w:t>WHS</w:t>
      </w:r>
      <w:r w:rsidR="00252093" w:rsidRPr="001E5413">
        <w:rPr>
          <w:rFonts w:ascii="Times New Roman" w:hAnsi="Times New Roman" w:cs="Times New Roman"/>
        </w:rPr>
        <w:t xml:space="preserve"> </w:t>
      </w:r>
      <w:r w:rsidRPr="001E5413">
        <w:rPr>
          <w:rFonts w:ascii="Times New Roman" w:hAnsi="Times New Roman" w:cs="Times New Roman"/>
        </w:rPr>
        <w:t xml:space="preserve">laws developed by SWA under the </w:t>
      </w:r>
      <w:r w:rsidRPr="001E5413">
        <w:rPr>
          <w:rFonts w:ascii="Times New Roman" w:hAnsi="Times New Roman" w:cs="Times New Roman"/>
          <w:i/>
        </w:rPr>
        <w:t>Intergovernmental Agreement for Regulatory and Operational Reform in Occupational Health and Safety.</w:t>
      </w:r>
      <w:r w:rsidRPr="001E5413">
        <w:rPr>
          <w:rFonts w:ascii="Times New Roman" w:hAnsi="Times New Roman" w:cs="Times New Roman"/>
        </w:rPr>
        <w:t xml:space="preserve"> </w:t>
      </w:r>
      <w:r w:rsidR="00E55A44" w:rsidRPr="001E5413">
        <w:rPr>
          <w:rFonts w:ascii="Times New Roman" w:hAnsi="Times New Roman" w:cs="Times New Roman"/>
        </w:rPr>
        <w:t xml:space="preserve">Most jurisdictions </w:t>
      </w:r>
      <w:r w:rsidRPr="001E5413">
        <w:rPr>
          <w:rFonts w:ascii="Times New Roman" w:hAnsi="Times New Roman" w:cs="Times New Roman"/>
        </w:rPr>
        <w:t>have adopted the model</w:t>
      </w:r>
      <w:r w:rsidR="000E5D5D" w:rsidRPr="001E5413">
        <w:rPr>
          <w:rFonts w:ascii="Times New Roman" w:hAnsi="Times New Roman" w:cs="Times New Roman"/>
        </w:rPr>
        <w:t xml:space="preserve"> WHS</w:t>
      </w:r>
      <w:r w:rsidRPr="001E5413">
        <w:rPr>
          <w:rFonts w:ascii="Times New Roman" w:hAnsi="Times New Roman" w:cs="Times New Roman"/>
        </w:rPr>
        <w:t xml:space="preserve"> laws. </w:t>
      </w:r>
    </w:p>
    <w:p w14:paraId="1CF31B90" w14:textId="77777777" w:rsidR="00476F6F" w:rsidRPr="001E5413" w:rsidRDefault="00476F6F" w:rsidP="00476F6F">
      <w:pPr>
        <w:spacing w:after="0" w:line="360" w:lineRule="auto"/>
        <w:rPr>
          <w:rFonts w:ascii="Times New Roman" w:hAnsi="Times New Roman" w:cs="Times New Roman"/>
        </w:rPr>
      </w:pPr>
    </w:p>
    <w:p w14:paraId="357534C3" w14:textId="77777777" w:rsidR="00476F6F" w:rsidRPr="001E5413" w:rsidRDefault="00476F6F" w:rsidP="00476F6F">
      <w:pPr>
        <w:spacing w:after="0" w:line="360" w:lineRule="auto"/>
        <w:rPr>
          <w:rFonts w:ascii="Times New Roman" w:hAnsi="Times New Roman" w:cs="Times New Roman"/>
        </w:rPr>
      </w:pPr>
      <w:r w:rsidRPr="001E5413">
        <w:rPr>
          <w:rFonts w:ascii="Times New Roman" w:hAnsi="Times New Roman" w:cs="Times New Roman"/>
        </w:rPr>
        <w:t xml:space="preserve">The purpose of the Amendment Regulations is to adopt the GHS 7 in the </w:t>
      </w:r>
      <w:r w:rsidR="00E55A44" w:rsidRPr="001E5413">
        <w:rPr>
          <w:rFonts w:ascii="Times New Roman" w:hAnsi="Times New Roman" w:cs="Times New Roman"/>
        </w:rPr>
        <w:t>Principal Regulations</w:t>
      </w:r>
      <w:r w:rsidRPr="001E5413">
        <w:rPr>
          <w:rFonts w:ascii="Times New Roman" w:hAnsi="Times New Roman" w:cs="Times New Roman"/>
        </w:rPr>
        <w:t xml:space="preserve"> in the Commonwealth. </w:t>
      </w:r>
    </w:p>
    <w:p w14:paraId="6C75E152" w14:textId="77777777" w:rsidR="00476F6F" w:rsidRPr="001E5413" w:rsidRDefault="00476F6F" w:rsidP="00476F6F">
      <w:pPr>
        <w:spacing w:after="0" w:line="360" w:lineRule="auto"/>
        <w:rPr>
          <w:rFonts w:ascii="Times New Roman" w:hAnsi="Times New Roman" w:cs="Times New Roman"/>
        </w:rPr>
      </w:pPr>
    </w:p>
    <w:p w14:paraId="015207BF" w14:textId="77777777" w:rsidR="00476F6F" w:rsidRPr="001E5413" w:rsidRDefault="00476F6F" w:rsidP="00476F6F">
      <w:pPr>
        <w:spacing w:after="0" w:line="360" w:lineRule="auto"/>
        <w:rPr>
          <w:rFonts w:ascii="Times New Roman" w:hAnsi="Times New Roman" w:cs="Times New Roman"/>
        </w:rPr>
      </w:pPr>
      <w:r w:rsidRPr="001E5413">
        <w:rPr>
          <w:rFonts w:ascii="Times New Roman" w:hAnsi="Times New Roman" w:cs="Times New Roman"/>
        </w:rPr>
        <w:t xml:space="preserve">The amendments reflect agreement reached between </w:t>
      </w:r>
      <w:r w:rsidR="00D13435" w:rsidRPr="001E5413">
        <w:rPr>
          <w:rFonts w:ascii="Times New Roman" w:hAnsi="Times New Roman" w:cs="Times New Roman"/>
        </w:rPr>
        <w:t>SWA members</w:t>
      </w:r>
      <w:r w:rsidRPr="001E5413">
        <w:rPr>
          <w:rFonts w:ascii="Times New Roman" w:hAnsi="Times New Roman" w:cs="Times New Roman"/>
        </w:rPr>
        <w:t xml:space="preserve"> to adopt GHS 7 with a two-year transitional period for </w:t>
      </w:r>
      <w:r w:rsidR="004279AE" w:rsidRPr="001E5413">
        <w:rPr>
          <w:rFonts w:ascii="Times New Roman" w:hAnsi="Times New Roman" w:cs="Times New Roman"/>
        </w:rPr>
        <w:t xml:space="preserve">duty holders </w:t>
      </w:r>
      <w:r w:rsidRPr="001E5413">
        <w:rPr>
          <w:rFonts w:ascii="Times New Roman" w:hAnsi="Times New Roman" w:cs="Times New Roman"/>
        </w:rPr>
        <w:t>that will permit chemicals to continue to be used at the workplace if they were correctly labelled at the time they have been purchased</w:t>
      </w:r>
      <w:r w:rsidR="0007085B" w:rsidRPr="001E5413">
        <w:rPr>
          <w:rFonts w:ascii="Times New Roman" w:hAnsi="Times New Roman" w:cs="Times New Roman"/>
        </w:rPr>
        <w:t xml:space="preserve"> or produced</w:t>
      </w:r>
      <w:r w:rsidRPr="001E5413">
        <w:rPr>
          <w:rFonts w:ascii="Times New Roman" w:hAnsi="Times New Roman" w:cs="Times New Roman"/>
        </w:rPr>
        <w:t xml:space="preserve">. </w:t>
      </w:r>
    </w:p>
    <w:p w14:paraId="42FFCEBA" w14:textId="77777777" w:rsidR="00476F6F" w:rsidRPr="001E5413" w:rsidRDefault="00476F6F" w:rsidP="00935814">
      <w:pPr>
        <w:spacing w:after="0" w:line="360" w:lineRule="auto"/>
        <w:ind w:left="720"/>
        <w:rPr>
          <w:rFonts w:ascii="Times New Roman" w:hAnsi="Times New Roman" w:cs="Times New Roman"/>
        </w:rPr>
      </w:pPr>
    </w:p>
    <w:p w14:paraId="6AAA9314" w14:textId="77777777" w:rsidR="00476F6F" w:rsidRPr="001E5413" w:rsidRDefault="00476F6F" w:rsidP="00476F6F">
      <w:pPr>
        <w:spacing w:after="0" w:line="360" w:lineRule="auto"/>
        <w:rPr>
          <w:rFonts w:ascii="Times New Roman" w:hAnsi="Times New Roman" w:cs="Times New Roman"/>
        </w:rPr>
      </w:pPr>
      <w:r w:rsidRPr="001E5413">
        <w:rPr>
          <w:rFonts w:ascii="Times New Roman" w:hAnsi="Times New Roman" w:cs="Times New Roman"/>
        </w:rPr>
        <w:t xml:space="preserve">The </w:t>
      </w:r>
      <w:r w:rsidR="004279AE" w:rsidRPr="001E5413">
        <w:rPr>
          <w:rFonts w:ascii="Times New Roman" w:hAnsi="Times New Roman" w:cs="Times New Roman"/>
        </w:rPr>
        <w:t>Amendment R</w:t>
      </w:r>
      <w:r w:rsidRPr="001E5413">
        <w:rPr>
          <w:rFonts w:ascii="Times New Roman" w:hAnsi="Times New Roman" w:cs="Times New Roman"/>
        </w:rPr>
        <w:t xml:space="preserve">egulations also update outdated references to Australian Safety Standards. </w:t>
      </w:r>
    </w:p>
    <w:p w14:paraId="2CD965F2" w14:textId="77777777" w:rsidR="00C66112" w:rsidRPr="001E5413" w:rsidRDefault="00C66112" w:rsidP="00C66112">
      <w:pPr>
        <w:spacing w:after="0" w:line="360" w:lineRule="auto"/>
        <w:rPr>
          <w:rFonts w:ascii="Times New Roman" w:hAnsi="Times New Roman" w:cs="Times New Roman"/>
        </w:rPr>
      </w:pPr>
    </w:p>
    <w:p w14:paraId="2B28BC2C" w14:textId="77777777" w:rsidR="00C66112" w:rsidRPr="001E5413" w:rsidRDefault="00C66112" w:rsidP="00C66112">
      <w:pPr>
        <w:spacing w:line="360" w:lineRule="auto"/>
        <w:rPr>
          <w:rFonts w:ascii="Times New Roman" w:hAnsi="Times New Roman" w:cs="Times New Roman"/>
          <w:b/>
        </w:rPr>
      </w:pPr>
      <w:r w:rsidRPr="001E5413">
        <w:rPr>
          <w:rFonts w:ascii="Times New Roman" w:hAnsi="Times New Roman" w:cs="Times New Roman"/>
          <w:b/>
        </w:rPr>
        <w:t xml:space="preserve">Human Rights Implications </w:t>
      </w:r>
    </w:p>
    <w:p w14:paraId="54C7B3DB" w14:textId="77777777" w:rsidR="00C66112" w:rsidRPr="001E5413" w:rsidRDefault="00C66112" w:rsidP="00C66112">
      <w:pPr>
        <w:spacing w:line="360" w:lineRule="auto"/>
        <w:rPr>
          <w:rFonts w:ascii="Times New Roman" w:hAnsi="Times New Roman" w:cs="Times New Roman"/>
        </w:rPr>
      </w:pPr>
      <w:r w:rsidRPr="001E5413">
        <w:rPr>
          <w:rFonts w:ascii="Times New Roman" w:hAnsi="Times New Roman" w:cs="Times New Roman"/>
        </w:rPr>
        <w:t xml:space="preserve">Article 7 of the International Covenant on Economic, Social and Cultural Rights (ICESCR) provides that everyone has the right to the ‘enjoyment of just and favourable conditions of work, which ensure, in particular… safe and healthy working conditions’. </w:t>
      </w:r>
    </w:p>
    <w:p w14:paraId="0C4BCA87" w14:textId="77777777" w:rsidR="00C66112" w:rsidRPr="001E5413" w:rsidRDefault="00C66112" w:rsidP="00B57323">
      <w:pPr>
        <w:spacing w:line="360" w:lineRule="auto"/>
        <w:rPr>
          <w:rFonts w:ascii="Times New Roman" w:hAnsi="Times New Roman" w:cs="Times New Roman"/>
        </w:rPr>
      </w:pPr>
      <w:r w:rsidRPr="001E5413">
        <w:rPr>
          <w:rFonts w:ascii="Times New Roman" w:hAnsi="Times New Roman" w:cs="Times New Roman"/>
        </w:rPr>
        <w:t>Australia relevantly complies with its obligation under Article 7 of the ICESCR thr</w:t>
      </w:r>
      <w:r w:rsidR="00951276" w:rsidRPr="001E5413">
        <w:rPr>
          <w:rFonts w:ascii="Times New Roman" w:hAnsi="Times New Roman" w:cs="Times New Roman"/>
        </w:rPr>
        <w:t>ough a system of Commonwealth, S</w:t>
      </w:r>
      <w:r w:rsidRPr="001E5413">
        <w:rPr>
          <w:rFonts w:ascii="Times New Roman" w:hAnsi="Times New Roman" w:cs="Times New Roman"/>
        </w:rPr>
        <w:t xml:space="preserve">tate and </w:t>
      </w:r>
      <w:r w:rsidR="00951276" w:rsidRPr="001E5413">
        <w:rPr>
          <w:rFonts w:ascii="Times New Roman" w:hAnsi="Times New Roman" w:cs="Times New Roman"/>
        </w:rPr>
        <w:t>T</w:t>
      </w:r>
      <w:r w:rsidRPr="001E5413">
        <w:rPr>
          <w:rFonts w:ascii="Times New Roman" w:hAnsi="Times New Roman" w:cs="Times New Roman"/>
        </w:rPr>
        <w:t xml:space="preserve">erritory </w:t>
      </w:r>
      <w:r w:rsidR="00160069" w:rsidRPr="001E5413">
        <w:rPr>
          <w:rFonts w:ascii="Times New Roman" w:hAnsi="Times New Roman" w:cs="Times New Roman"/>
        </w:rPr>
        <w:t>WHS</w:t>
      </w:r>
      <w:r w:rsidRPr="001E5413">
        <w:rPr>
          <w:rFonts w:ascii="Times New Roman" w:hAnsi="Times New Roman" w:cs="Times New Roman"/>
        </w:rPr>
        <w:t xml:space="preserve"> laws (including the Act).</w:t>
      </w:r>
      <w:r w:rsidR="00606C96" w:rsidRPr="001E5413">
        <w:rPr>
          <w:rFonts w:ascii="Times New Roman" w:hAnsi="Times New Roman" w:cs="Times New Roman"/>
        </w:rPr>
        <w:t xml:space="preserve"> </w:t>
      </w:r>
    </w:p>
    <w:p w14:paraId="52A55B15" w14:textId="77777777" w:rsidR="00C66112" w:rsidRPr="001E5413" w:rsidRDefault="00B57323" w:rsidP="00B57323">
      <w:pPr>
        <w:spacing w:line="360" w:lineRule="auto"/>
        <w:rPr>
          <w:rFonts w:ascii="Times New Roman" w:hAnsi="Times New Roman" w:cs="Times New Roman"/>
        </w:rPr>
      </w:pPr>
      <w:r w:rsidRPr="001E5413">
        <w:rPr>
          <w:rFonts w:ascii="Times New Roman" w:hAnsi="Times New Roman" w:cs="Times New Roman"/>
        </w:rPr>
        <w:t xml:space="preserve">The GHS was developed by the United Nations </w:t>
      </w:r>
      <w:r w:rsidR="00DA342C" w:rsidRPr="001E5413">
        <w:rPr>
          <w:rFonts w:ascii="Times New Roman" w:hAnsi="Times New Roman" w:cs="Times New Roman"/>
        </w:rPr>
        <w:t>to create a single worldwide methodology for chemical classification, labelling and safety data sheets. The GHS ensures that users are provided with practical, reliable and easy to understand information on chemical hazards, allowing them to take the appropriate preventative and protective measures for their health and safety</w:t>
      </w:r>
      <w:r w:rsidRPr="001E5413">
        <w:rPr>
          <w:rFonts w:ascii="Times New Roman" w:hAnsi="Times New Roman" w:cs="Times New Roman"/>
        </w:rPr>
        <w:t xml:space="preserve">. </w:t>
      </w:r>
      <w:r w:rsidR="00DA342C" w:rsidRPr="001E5413">
        <w:rPr>
          <w:rFonts w:ascii="Times New Roman" w:hAnsi="Times New Roman" w:cs="Times New Roman"/>
        </w:rPr>
        <w:t xml:space="preserve">The GHS may improve health and safety outcomes, and provide significant trade benefits to industry through the use of internationally consistent criteria, labels and safety data sheets. </w:t>
      </w:r>
    </w:p>
    <w:p w14:paraId="2CA41DC1" w14:textId="77777777" w:rsidR="00C66112" w:rsidRPr="001E5413" w:rsidRDefault="00C66112" w:rsidP="00C66112">
      <w:pPr>
        <w:spacing w:line="360" w:lineRule="auto"/>
        <w:rPr>
          <w:rFonts w:ascii="Times New Roman" w:hAnsi="Times New Roman" w:cs="Times New Roman"/>
        </w:rPr>
      </w:pPr>
      <w:r w:rsidRPr="001E5413">
        <w:rPr>
          <w:rFonts w:ascii="Times New Roman" w:hAnsi="Times New Roman" w:cs="Times New Roman"/>
        </w:rPr>
        <w:t xml:space="preserve">The Amendment Regulations </w:t>
      </w:r>
      <w:r w:rsidR="00E55A44" w:rsidRPr="001E5413">
        <w:rPr>
          <w:rFonts w:ascii="Times New Roman" w:hAnsi="Times New Roman" w:cs="Times New Roman"/>
        </w:rPr>
        <w:t xml:space="preserve">enable </w:t>
      </w:r>
      <w:r w:rsidRPr="001E5413">
        <w:rPr>
          <w:rFonts w:ascii="Times New Roman" w:hAnsi="Times New Roman" w:cs="Times New Roman"/>
        </w:rPr>
        <w:t xml:space="preserve">the Commonwealth’s adoption of </w:t>
      </w:r>
      <w:r w:rsidR="00951276" w:rsidRPr="001E5413">
        <w:rPr>
          <w:rFonts w:ascii="Times New Roman" w:hAnsi="Times New Roman" w:cs="Times New Roman"/>
        </w:rPr>
        <w:t xml:space="preserve">the </w:t>
      </w:r>
      <w:r w:rsidR="00476F6F" w:rsidRPr="001E5413">
        <w:rPr>
          <w:rFonts w:ascii="Times New Roman" w:hAnsi="Times New Roman" w:cs="Times New Roman"/>
        </w:rPr>
        <w:t xml:space="preserve">GHS 7, which promotes safe and healthy workplaces via the provision of information about hazardous chemicals to </w:t>
      </w:r>
      <w:r w:rsidR="004279AE" w:rsidRPr="001E5413">
        <w:rPr>
          <w:rFonts w:ascii="Times New Roman" w:hAnsi="Times New Roman" w:cs="Times New Roman"/>
        </w:rPr>
        <w:t xml:space="preserve">users such as persons conducting a business or undertaking and </w:t>
      </w:r>
      <w:r w:rsidR="00476F6F" w:rsidRPr="001E5413">
        <w:rPr>
          <w:rFonts w:ascii="Times New Roman" w:hAnsi="Times New Roman" w:cs="Times New Roman"/>
        </w:rPr>
        <w:t>workers</w:t>
      </w:r>
      <w:r w:rsidR="004279AE" w:rsidRPr="001E5413">
        <w:rPr>
          <w:rFonts w:ascii="Times New Roman" w:hAnsi="Times New Roman" w:cs="Times New Roman"/>
        </w:rPr>
        <w:t>, as well as</w:t>
      </w:r>
      <w:r w:rsidR="00476F6F" w:rsidRPr="001E5413">
        <w:rPr>
          <w:rFonts w:ascii="Times New Roman" w:hAnsi="Times New Roman" w:cs="Times New Roman"/>
        </w:rPr>
        <w:t xml:space="preserve"> others at workplaces. </w:t>
      </w:r>
    </w:p>
    <w:p w14:paraId="2F1648E2" w14:textId="77777777" w:rsidR="002757A6" w:rsidRPr="001E5413" w:rsidRDefault="006B69A7" w:rsidP="00C66112">
      <w:pPr>
        <w:spacing w:line="360" w:lineRule="auto"/>
        <w:rPr>
          <w:rFonts w:ascii="Times New Roman" w:hAnsi="Times New Roman" w:cs="Times New Roman"/>
        </w:rPr>
      </w:pPr>
      <w:r w:rsidRPr="001E5413">
        <w:rPr>
          <w:rFonts w:ascii="Times New Roman" w:hAnsi="Times New Roman" w:cs="Times New Roman"/>
        </w:rPr>
        <w:t xml:space="preserve">Article 14(2) of the International Covenant on Civil and Political Rights (ICCPR) protects the right to be presumed innocent until proven guilty according to the law. </w:t>
      </w:r>
      <w:r w:rsidR="002757A6" w:rsidRPr="001E5413">
        <w:rPr>
          <w:rFonts w:ascii="Times New Roman" w:hAnsi="Times New Roman" w:cs="Times New Roman"/>
        </w:rPr>
        <w:t>To be consistent with the right, the burden of proving a criminal charge will be on the prosecution. An offence provision which requires the defendant to carry an evidential or legal burden of proof with regard to the existence of some fact may engage and limit the presumption of innocence.</w:t>
      </w:r>
      <w:r w:rsidR="003B7034" w:rsidRPr="001E5413">
        <w:rPr>
          <w:rFonts w:ascii="Times New Roman" w:hAnsi="Times New Roman" w:cs="Times New Roman"/>
        </w:rPr>
        <w:t xml:space="preserve"> </w:t>
      </w:r>
    </w:p>
    <w:p w14:paraId="04F6E2CB" w14:textId="77777777" w:rsidR="008572A6" w:rsidRPr="001E5413" w:rsidRDefault="001E5413" w:rsidP="00C66112">
      <w:pPr>
        <w:spacing w:line="360" w:lineRule="auto"/>
        <w:rPr>
          <w:rFonts w:ascii="Times New Roman" w:hAnsi="Times New Roman" w:cs="Times New Roman"/>
        </w:rPr>
      </w:pPr>
      <w:r>
        <w:rPr>
          <w:rFonts w:ascii="Times New Roman" w:hAnsi="Times New Roman" w:cs="Times New Roman"/>
        </w:rPr>
        <w:t>Regulation</w:t>
      </w:r>
      <w:r w:rsidR="008572A6" w:rsidRPr="001E5413">
        <w:rPr>
          <w:rFonts w:ascii="Times New Roman" w:hAnsi="Times New Roman" w:cs="Times New Roman"/>
        </w:rPr>
        <w:t xml:space="preserve"> 338</w:t>
      </w:r>
      <w:r>
        <w:rPr>
          <w:rFonts w:ascii="Times New Roman" w:hAnsi="Times New Roman" w:cs="Times New Roman"/>
        </w:rPr>
        <w:t xml:space="preserve"> and subregulations </w:t>
      </w:r>
      <w:r w:rsidR="008572A6" w:rsidRPr="001E5413">
        <w:rPr>
          <w:rFonts w:ascii="Times New Roman" w:hAnsi="Times New Roman" w:cs="Times New Roman"/>
        </w:rPr>
        <w:t xml:space="preserve">341(1), 342(1) and 342(2) of the Principal Regulations are offence provisions. </w:t>
      </w:r>
      <w:r w:rsidR="006B69A7" w:rsidRPr="001E5413">
        <w:rPr>
          <w:rFonts w:ascii="Times New Roman" w:hAnsi="Times New Roman" w:cs="Times New Roman"/>
        </w:rPr>
        <w:t xml:space="preserve">Items 8 to 11 of the Amendment Regulations </w:t>
      </w:r>
      <w:r w:rsidR="00DF237B" w:rsidRPr="001E5413">
        <w:rPr>
          <w:rFonts w:ascii="Times New Roman" w:hAnsi="Times New Roman" w:cs="Times New Roman"/>
        </w:rPr>
        <w:t>introduce exceptions</w:t>
      </w:r>
      <w:r w:rsidR="008572A6" w:rsidRPr="001E5413">
        <w:rPr>
          <w:rFonts w:ascii="Times New Roman" w:hAnsi="Times New Roman" w:cs="Times New Roman"/>
        </w:rPr>
        <w:t xml:space="preserve"> to those offences. A defendant </w:t>
      </w:r>
      <w:r w:rsidR="009F37FA" w:rsidRPr="001E5413">
        <w:rPr>
          <w:rFonts w:ascii="Times New Roman" w:hAnsi="Times New Roman" w:cs="Times New Roman"/>
        </w:rPr>
        <w:t xml:space="preserve">who wishes to rely on an exception </w:t>
      </w:r>
      <w:r w:rsidR="008572A6" w:rsidRPr="001E5413">
        <w:rPr>
          <w:rFonts w:ascii="Times New Roman" w:hAnsi="Times New Roman" w:cs="Times New Roman"/>
        </w:rPr>
        <w:t xml:space="preserve">will </w:t>
      </w:r>
      <w:r w:rsidR="00825015" w:rsidRPr="001E5413">
        <w:rPr>
          <w:rFonts w:ascii="Times New Roman" w:hAnsi="Times New Roman" w:cs="Times New Roman"/>
        </w:rPr>
        <w:t>bear</w:t>
      </w:r>
      <w:r w:rsidR="008572A6" w:rsidRPr="001E5413">
        <w:rPr>
          <w:rFonts w:ascii="Times New Roman" w:hAnsi="Times New Roman" w:cs="Times New Roman"/>
        </w:rPr>
        <w:t xml:space="preserve"> </w:t>
      </w:r>
      <w:r w:rsidR="00312D55" w:rsidRPr="001E5413">
        <w:rPr>
          <w:rFonts w:ascii="Times New Roman" w:hAnsi="Times New Roman" w:cs="Times New Roman"/>
        </w:rPr>
        <w:t xml:space="preserve">the </w:t>
      </w:r>
      <w:r w:rsidR="00C13C3C" w:rsidRPr="001E5413">
        <w:rPr>
          <w:rFonts w:ascii="Times New Roman" w:hAnsi="Times New Roman" w:cs="Times New Roman"/>
        </w:rPr>
        <w:t>evidenti</w:t>
      </w:r>
      <w:r w:rsidR="00825015" w:rsidRPr="001E5413">
        <w:rPr>
          <w:rFonts w:ascii="Times New Roman" w:hAnsi="Times New Roman" w:cs="Times New Roman"/>
        </w:rPr>
        <w:t xml:space="preserve">al </w:t>
      </w:r>
      <w:r w:rsidR="00312D55" w:rsidRPr="001E5413">
        <w:rPr>
          <w:rFonts w:ascii="Times New Roman" w:hAnsi="Times New Roman" w:cs="Times New Roman"/>
        </w:rPr>
        <w:t xml:space="preserve">burden of </w:t>
      </w:r>
      <w:r w:rsidR="008572A6" w:rsidRPr="001E5413">
        <w:rPr>
          <w:rFonts w:ascii="Times New Roman" w:hAnsi="Times New Roman" w:cs="Times New Roman"/>
        </w:rPr>
        <w:t xml:space="preserve">proof in relation to each relevant </w:t>
      </w:r>
      <w:r w:rsidR="009F37FA" w:rsidRPr="001E5413">
        <w:rPr>
          <w:rFonts w:ascii="Times New Roman" w:hAnsi="Times New Roman" w:cs="Times New Roman"/>
        </w:rPr>
        <w:t>matter</w:t>
      </w:r>
      <w:r w:rsidR="008572A6" w:rsidRPr="001E5413">
        <w:rPr>
          <w:rFonts w:ascii="Times New Roman" w:hAnsi="Times New Roman" w:cs="Times New Roman"/>
        </w:rPr>
        <w:t>.</w:t>
      </w:r>
      <w:r w:rsidR="009F37FA" w:rsidRPr="001E5413">
        <w:rPr>
          <w:rFonts w:ascii="Times New Roman" w:hAnsi="Times New Roman" w:cs="Times New Roman"/>
        </w:rPr>
        <w:t xml:space="preserve"> </w:t>
      </w:r>
    </w:p>
    <w:p w14:paraId="0E672D50" w14:textId="77777777" w:rsidR="00B33E06" w:rsidRPr="001E5413" w:rsidRDefault="00825015" w:rsidP="00C66112">
      <w:pPr>
        <w:spacing w:line="360" w:lineRule="auto"/>
        <w:rPr>
          <w:rFonts w:ascii="Times New Roman" w:hAnsi="Times New Roman" w:cs="Times New Roman"/>
        </w:rPr>
      </w:pPr>
      <w:r w:rsidRPr="001E5413">
        <w:rPr>
          <w:rFonts w:ascii="Times New Roman" w:hAnsi="Times New Roman" w:cs="Times New Roman"/>
        </w:rPr>
        <w:t>This is appropriate</w:t>
      </w:r>
      <w:r w:rsidR="00B33E06" w:rsidRPr="001E5413">
        <w:rPr>
          <w:rFonts w:ascii="Times New Roman" w:hAnsi="Times New Roman" w:cs="Times New Roman"/>
        </w:rPr>
        <w:t xml:space="preserve"> where </w:t>
      </w:r>
      <w:r w:rsidRPr="001E5413">
        <w:rPr>
          <w:rFonts w:ascii="Times New Roman" w:hAnsi="Times New Roman" w:cs="Times New Roman"/>
        </w:rPr>
        <w:t xml:space="preserve">a matter is likely to be </w:t>
      </w:r>
      <w:r w:rsidR="00B33E06" w:rsidRPr="001E5413">
        <w:rPr>
          <w:rFonts w:ascii="Times New Roman" w:hAnsi="Times New Roman" w:cs="Times New Roman"/>
        </w:rPr>
        <w:t xml:space="preserve">peculiarly within the knowledge of the defendant, and it would be significantly more difficult and costly for the prosecution to disprove than for the defendant to establish the matter. </w:t>
      </w:r>
    </w:p>
    <w:p w14:paraId="274205F2" w14:textId="77777777" w:rsidR="00B33E06" w:rsidRPr="001E5413" w:rsidRDefault="00B33E06" w:rsidP="00B33E06">
      <w:pPr>
        <w:pStyle w:val="ListParagraph"/>
        <w:numPr>
          <w:ilvl w:val="0"/>
          <w:numId w:val="5"/>
        </w:numPr>
        <w:spacing w:line="360" w:lineRule="auto"/>
        <w:rPr>
          <w:rFonts w:ascii="Times New Roman" w:hAnsi="Times New Roman" w:cs="Times New Roman"/>
        </w:rPr>
      </w:pPr>
      <w:r w:rsidRPr="001E5413">
        <w:rPr>
          <w:rFonts w:ascii="Times New Roman" w:hAnsi="Times New Roman" w:cs="Times New Roman"/>
        </w:rPr>
        <w:t>T</w:t>
      </w:r>
      <w:r w:rsidR="00951276" w:rsidRPr="001E5413">
        <w:rPr>
          <w:rFonts w:ascii="Times New Roman" w:hAnsi="Times New Roman" w:cs="Times New Roman"/>
        </w:rPr>
        <w:t xml:space="preserve">he </w:t>
      </w:r>
      <w:r w:rsidR="009F37FA" w:rsidRPr="001E5413">
        <w:rPr>
          <w:rFonts w:ascii="Times New Roman" w:hAnsi="Times New Roman" w:cs="Times New Roman"/>
        </w:rPr>
        <w:t xml:space="preserve">exception </w:t>
      </w:r>
      <w:r w:rsidR="00951276" w:rsidRPr="001E5413">
        <w:rPr>
          <w:rFonts w:ascii="Times New Roman" w:hAnsi="Times New Roman" w:cs="Times New Roman"/>
        </w:rPr>
        <w:t>in i</w:t>
      </w:r>
      <w:r w:rsidRPr="001E5413">
        <w:rPr>
          <w:rFonts w:ascii="Times New Roman" w:hAnsi="Times New Roman" w:cs="Times New Roman"/>
        </w:rPr>
        <w:t>tem 8 is suitable as the defendant is most likely to have the knowledge of the manufacture or importation date of a hazardous chemical (for example, from the labelling of the chemical, or receipts of purchase from the manufacturer or importer) and therefore, be able to demonstrate the hazardous chemical’s suitability to be labelled in accordance with GHS 3.</w:t>
      </w:r>
    </w:p>
    <w:p w14:paraId="2AEACB04" w14:textId="77777777" w:rsidR="00B33E06" w:rsidRPr="001E5413" w:rsidRDefault="00B33E06" w:rsidP="00B33E06">
      <w:pPr>
        <w:pStyle w:val="ListParagraph"/>
        <w:numPr>
          <w:ilvl w:val="0"/>
          <w:numId w:val="5"/>
        </w:numPr>
        <w:spacing w:line="360" w:lineRule="auto"/>
        <w:rPr>
          <w:rFonts w:ascii="Times New Roman" w:hAnsi="Times New Roman" w:cs="Times New Roman"/>
        </w:rPr>
      </w:pPr>
      <w:r w:rsidRPr="001E5413">
        <w:rPr>
          <w:rFonts w:ascii="Times New Roman" w:hAnsi="Times New Roman" w:cs="Times New Roman"/>
        </w:rPr>
        <w:t xml:space="preserve">The </w:t>
      </w:r>
      <w:r w:rsidR="009F37FA" w:rsidRPr="001E5413">
        <w:rPr>
          <w:rFonts w:ascii="Times New Roman" w:hAnsi="Times New Roman" w:cs="Times New Roman"/>
        </w:rPr>
        <w:t xml:space="preserve">exception </w:t>
      </w:r>
      <w:r w:rsidRPr="001E5413">
        <w:rPr>
          <w:rFonts w:ascii="Times New Roman" w:hAnsi="Times New Roman" w:cs="Times New Roman"/>
        </w:rPr>
        <w:t xml:space="preserve">in </w:t>
      </w:r>
      <w:r w:rsidR="00951276" w:rsidRPr="001E5413">
        <w:rPr>
          <w:rFonts w:ascii="Times New Roman" w:hAnsi="Times New Roman" w:cs="Times New Roman"/>
        </w:rPr>
        <w:t>i</w:t>
      </w:r>
      <w:r w:rsidRPr="001E5413">
        <w:rPr>
          <w:rFonts w:ascii="Times New Roman" w:hAnsi="Times New Roman" w:cs="Times New Roman"/>
        </w:rPr>
        <w:t xml:space="preserve">tem 9 is suitable as the defendant is most likely to have the knowledge of the manufacture or importation date of a hazardous chemical (for example, from the labelling of the chemical, or receipts of purchase from the manufacturer or importer) and therefore, be able to demonstrate the hazardous chemical’s suitability to be labelled in accordance with </w:t>
      </w:r>
      <w:r w:rsidR="00951276" w:rsidRPr="001E5413">
        <w:rPr>
          <w:rFonts w:ascii="Times New Roman" w:hAnsi="Times New Roman" w:cs="Times New Roman"/>
        </w:rPr>
        <w:t xml:space="preserve">the </w:t>
      </w:r>
      <w:r w:rsidRPr="001E5413">
        <w:rPr>
          <w:rFonts w:ascii="Times New Roman" w:hAnsi="Times New Roman" w:cs="Times New Roman"/>
        </w:rPr>
        <w:t>GHS 3.</w:t>
      </w:r>
    </w:p>
    <w:p w14:paraId="0C7B117A" w14:textId="77777777" w:rsidR="00B33E06" w:rsidRPr="001E5413" w:rsidRDefault="00B33E06" w:rsidP="00B33E06">
      <w:pPr>
        <w:pStyle w:val="ListParagraph"/>
        <w:numPr>
          <w:ilvl w:val="0"/>
          <w:numId w:val="5"/>
        </w:numPr>
        <w:spacing w:line="360" w:lineRule="auto"/>
        <w:rPr>
          <w:rFonts w:ascii="Times New Roman" w:hAnsi="Times New Roman" w:cs="Times New Roman"/>
        </w:rPr>
      </w:pPr>
      <w:r w:rsidRPr="001E5413">
        <w:rPr>
          <w:rFonts w:ascii="Times New Roman" w:hAnsi="Times New Roman" w:cs="Times New Roman"/>
        </w:rPr>
        <w:t xml:space="preserve">The </w:t>
      </w:r>
      <w:r w:rsidR="009F37FA" w:rsidRPr="001E5413">
        <w:rPr>
          <w:rFonts w:ascii="Times New Roman" w:hAnsi="Times New Roman" w:cs="Times New Roman"/>
        </w:rPr>
        <w:t>exception</w:t>
      </w:r>
      <w:r w:rsidRPr="001E5413">
        <w:rPr>
          <w:rFonts w:ascii="Times New Roman" w:hAnsi="Times New Roman" w:cs="Times New Roman"/>
        </w:rPr>
        <w:t xml:space="preserve"> in </w:t>
      </w:r>
      <w:r w:rsidR="00951276" w:rsidRPr="001E5413">
        <w:rPr>
          <w:rFonts w:ascii="Times New Roman" w:hAnsi="Times New Roman" w:cs="Times New Roman"/>
        </w:rPr>
        <w:t>i</w:t>
      </w:r>
      <w:r w:rsidRPr="001E5413">
        <w:rPr>
          <w:rFonts w:ascii="Times New Roman" w:hAnsi="Times New Roman" w:cs="Times New Roman"/>
        </w:rPr>
        <w:t>tem 10 is suitable as the defendant is most likely to have the knowledge of the date that a hazardous chemical was manufactured, or transferred or decanted from its original container at the workplace (for example, from the labelling of the chemical, or log book records) and therefore, be able to demonstrate the hazardous chemical’s suitability to not be relabelled.</w:t>
      </w:r>
    </w:p>
    <w:p w14:paraId="685A318F" w14:textId="77777777" w:rsidR="00B33E06" w:rsidRPr="001E5413" w:rsidRDefault="00B33E06" w:rsidP="00B33E06">
      <w:pPr>
        <w:pStyle w:val="ListParagraph"/>
        <w:numPr>
          <w:ilvl w:val="0"/>
          <w:numId w:val="5"/>
        </w:numPr>
        <w:spacing w:line="360" w:lineRule="auto"/>
        <w:rPr>
          <w:rFonts w:ascii="Times New Roman" w:hAnsi="Times New Roman" w:cs="Times New Roman"/>
        </w:rPr>
      </w:pPr>
      <w:r w:rsidRPr="001E5413">
        <w:rPr>
          <w:rFonts w:ascii="Times New Roman" w:hAnsi="Times New Roman" w:cs="Times New Roman"/>
        </w:rPr>
        <w:t xml:space="preserve">The </w:t>
      </w:r>
      <w:r w:rsidR="009F37FA" w:rsidRPr="001E5413">
        <w:rPr>
          <w:rFonts w:ascii="Times New Roman" w:hAnsi="Times New Roman" w:cs="Times New Roman"/>
        </w:rPr>
        <w:t>exception</w:t>
      </w:r>
      <w:r w:rsidR="00951276" w:rsidRPr="001E5413">
        <w:rPr>
          <w:rFonts w:ascii="Times New Roman" w:hAnsi="Times New Roman" w:cs="Times New Roman"/>
        </w:rPr>
        <w:t xml:space="preserve"> in i</w:t>
      </w:r>
      <w:r w:rsidRPr="001E5413">
        <w:rPr>
          <w:rFonts w:ascii="Times New Roman" w:hAnsi="Times New Roman" w:cs="Times New Roman"/>
        </w:rPr>
        <w:t>tem 11 is suitable as the defendant is most likely to have the knowledge of whether hazardous chemicals in a container met the labelling requirements that applied at the time of supply (for example, from the labelling of the chemical, receipts of purchase or log book records) and therefore, be able to demonstrate the container’s suitability to not be relabelled.</w:t>
      </w:r>
    </w:p>
    <w:p w14:paraId="672C3CA6" w14:textId="77777777" w:rsidR="009811AC" w:rsidRPr="001E5413" w:rsidRDefault="001A7C09" w:rsidP="00C66112">
      <w:pPr>
        <w:spacing w:line="360" w:lineRule="auto"/>
        <w:rPr>
          <w:rFonts w:ascii="Times New Roman" w:hAnsi="Times New Roman" w:cs="Times New Roman"/>
        </w:rPr>
      </w:pPr>
      <w:r w:rsidRPr="001E5413">
        <w:rPr>
          <w:rFonts w:ascii="Times New Roman" w:hAnsi="Times New Roman" w:cs="Times New Roman"/>
        </w:rPr>
        <w:t>The</w:t>
      </w:r>
      <w:r>
        <w:rPr>
          <w:rFonts w:ascii="Times New Roman" w:hAnsi="Times New Roman" w:cs="Times New Roman"/>
        </w:rPr>
        <w:t>se</w:t>
      </w:r>
      <w:r w:rsidRPr="001E5413">
        <w:rPr>
          <w:rFonts w:ascii="Times New Roman" w:hAnsi="Times New Roman" w:cs="Times New Roman"/>
        </w:rPr>
        <w:t xml:space="preserve"> exceptions are necessary to allow for usage of chemicals in supply chains and their storage at workplaces to remain compliant with the Principal Regulations without being re-labelled or disposed of unnecessarily. </w:t>
      </w:r>
      <w:r w:rsidR="00B33E06" w:rsidRPr="001E5413">
        <w:rPr>
          <w:rFonts w:ascii="Times New Roman" w:hAnsi="Times New Roman" w:cs="Times New Roman"/>
        </w:rPr>
        <w:t>T</w:t>
      </w:r>
      <w:r w:rsidR="00123ACE" w:rsidRPr="001E5413">
        <w:rPr>
          <w:rFonts w:ascii="Times New Roman" w:hAnsi="Times New Roman" w:cs="Times New Roman"/>
        </w:rPr>
        <w:t>o t</w:t>
      </w:r>
      <w:r w:rsidR="00B33E06" w:rsidRPr="001E5413">
        <w:rPr>
          <w:rFonts w:ascii="Times New Roman" w:hAnsi="Times New Roman" w:cs="Times New Roman"/>
        </w:rPr>
        <w:t xml:space="preserve">he </w:t>
      </w:r>
      <w:r w:rsidR="00123ACE" w:rsidRPr="001E5413">
        <w:rPr>
          <w:rFonts w:ascii="Times New Roman" w:hAnsi="Times New Roman" w:cs="Times New Roman"/>
        </w:rPr>
        <w:t xml:space="preserve">extent that the </w:t>
      </w:r>
      <w:r w:rsidR="001E5413">
        <w:rPr>
          <w:rFonts w:ascii="Times New Roman" w:hAnsi="Times New Roman" w:cs="Times New Roman"/>
        </w:rPr>
        <w:t xml:space="preserve">exceptions </w:t>
      </w:r>
      <w:r w:rsidR="00C53AE8" w:rsidRPr="001E5413">
        <w:rPr>
          <w:rFonts w:ascii="Times New Roman" w:hAnsi="Times New Roman" w:cs="Times New Roman"/>
        </w:rPr>
        <w:t xml:space="preserve">limit the presumption of innocence </w:t>
      </w:r>
      <w:r w:rsidR="008572A6" w:rsidRPr="001E5413">
        <w:rPr>
          <w:rFonts w:ascii="Times New Roman" w:hAnsi="Times New Roman" w:cs="Times New Roman"/>
        </w:rPr>
        <w:t xml:space="preserve">by imposing an </w:t>
      </w:r>
      <w:r w:rsidR="00C13C3C" w:rsidRPr="001E5413">
        <w:rPr>
          <w:rFonts w:ascii="Times New Roman" w:hAnsi="Times New Roman" w:cs="Times New Roman"/>
        </w:rPr>
        <w:t xml:space="preserve">evidential </w:t>
      </w:r>
      <w:r w:rsidR="008572A6" w:rsidRPr="001E5413">
        <w:rPr>
          <w:rFonts w:ascii="Times New Roman" w:hAnsi="Times New Roman" w:cs="Times New Roman"/>
        </w:rPr>
        <w:t>burden of proof</w:t>
      </w:r>
      <w:r w:rsidR="00C13C3C" w:rsidRPr="001E5413">
        <w:rPr>
          <w:rFonts w:ascii="Times New Roman" w:hAnsi="Times New Roman" w:cs="Times New Roman"/>
        </w:rPr>
        <w:t xml:space="preserve"> </w:t>
      </w:r>
      <w:r w:rsidR="00825015" w:rsidRPr="001E5413">
        <w:rPr>
          <w:rFonts w:ascii="Times New Roman" w:hAnsi="Times New Roman" w:cs="Times New Roman"/>
        </w:rPr>
        <w:t xml:space="preserve">on a defendant </w:t>
      </w:r>
      <w:r w:rsidR="00C13C3C" w:rsidRPr="001E5413">
        <w:rPr>
          <w:rFonts w:ascii="Times New Roman" w:hAnsi="Times New Roman" w:cs="Times New Roman"/>
        </w:rPr>
        <w:t xml:space="preserve">in relation to </w:t>
      </w:r>
      <w:r w:rsidR="009F37FA" w:rsidRPr="001E5413">
        <w:rPr>
          <w:rFonts w:ascii="Times New Roman" w:hAnsi="Times New Roman" w:cs="Times New Roman"/>
        </w:rPr>
        <w:t>certain matters</w:t>
      </w:r>
      <w:r w:rsidR="008572A6" w:rsidRPr="001E5413">
        <w:rPr>
          <w:rFonts w:ascii="Times New Roman" w:hAnsi="Times New Roman" w:cs="Times New Roman"/>
        </w:rPr>
        <w:t xml:space="preserve">, </w:t>
      </w:r>
      <w:r w:rsidR="009F37FA" w:rsidRPr="001E5413">
        <w:rPr>
          <w:rFonts w:ascii="Times New Roman" w:hAnsi="Times New Roman" w:cs="Times New Roman"/>
        </w:rPr>
        <w:t>this is</w:t>
      </w:r>
      <w:r w:rsidR="00C53AE8" w:rsidRPr="001E5413">
        <w:rPr>
          <w:rFonts w:ascii="Times New Roman" w:hAnsi="Times New Roman" w:cs="Times New Roman"/>
        </w:rPr>
        <w:t xml:space="preserve"> </w:t>
      </w:r>
      <w:r w:rsidR="00C13C3C" w:rsidRPr="001E5413">
        <w:rPr>
          <w:rFonts w:ascii="Times New Roman" w:hAnsi="Times New Roman" w:cs="Times New Roman"/>
        </w:rPr>
        <w:t>reasonable</w:t>
      </w:r>
      <w:r>
        <w:rPr>
          <w:rFonts w:ascii="Times New Roman" w:hAnsi="Times New Roman" w:cs="Times New Roman"/>
        </w:rPr>
        <w:t>, necessary</w:t>
      </w:r>
      <w:r w:rsidR="00C13C3C" w:rsidRPr="001E5413">
        <w:rPr>
          <w:rFonts w:ascii="Times New Roman" w:hAnsi="Times New Roman" w:cs="Times New Roman"/>
        </w:rPr>
        <w:t xml:space="preserve"> </w:t>
      </w:r>
      <w:r w:rsidR="00C53AE8" w:rsidRPr="001E5413">
        <w:rPr>
          <w:rFonts w:ascii="Times New Roman" w:hAnsi="Times New Roman" w:cs="Times New Roman"/>
        </w:rPr>
        <w:t>and proportionate</w:t>
      </w:r>
      <w:r w:rsidR="00123ACE" w:rsidRPr="001E5413">
        <w:rPr>
          <w:rFonts w:ascii="Times New Roman" w:hAnsi="Times New Roman" w:cs="Times New Roman"/>
        </w:rPr>
        <w:t xml:space="preserve">. </w:t>
      </w:r>
      <w:r>
        <w:rPr>
          <w:rFonts w:ascii="Times New Roman" w:hAnsi="Times New Roman" w:cs="Times New Roman"/>
        </w:rPr>
        <w:t xml:space="preserve">For the reasons outlined above, a relevant </w:t>
      </w:r>
      <w:r w:rsidR="00123ACE" w:rsidRPr="001E5413">
        <w:rPr>
          <w:rFonts w:ascii="Times New Roman" w:hAnsi="Times New Roman" w:cs="Times New Roman"/>
        </w:rPr>
        <w:t xml:space="preserve">duty holders will be </w:t>
      </w:r>
      <w:r>
        <w:rPr>
          <w:rFonts w:ascii="Times New Roman" w:hAnsi="Times New Roman" w:cs="Times New Roman"/>
        </w:rPr>
        <w:t>best placed</w:t>
      </w:r>
      <w:r w:rsidR="00123ACE" w:rsidRPr="001E5413">
        <w:rPr>
          <w:rFonts w:ascii="Times New Roman" w:hAnsi="Times New Roman" w:cs="Times New Roman"/>
        </w:rPr>
        <w:t xml:space="preserve"> to establish when a chemical was manufactured, imported or purchased. </w:t>
      </w:r>
    </w:p>
    <w:p w14:paraId="271F9641" w14:textId="77777777" w:rsidR="00C66112" w:rsidRPr="001E5413" w:rsidRDefault="00C66112" w:rsidP="00C66112">
      <w:pPr>
        <w:spacing w:line="360" w:lineRule="auto"/>
        <w:rPr>
          <w:rFonts w:ascii="Times New Roman" w:hAnsi="Times New Roman" w:cs="Times New Roman"/>
          <w:b/>
        </w:rPr>
      </w:pPr>
      <w:r w:rsidRPr="001E5413">
        <w:rPr>
          <w:rFonts w:ascii="Times New Roman" w:hAnsi="Times New Roman" w:cs="Times New Roman"/>
          <w:b/>
        </w:rPr>
        <w:t xml:space="preserve">Conclusion </w:t>
      </w:r>
    </w:p>
    <w:p w14:paraId="01D40F50" w14:textId="77777777" w:rsidR="00C66112" w:rsidRPr="001E5413" w:rsidRDefault="00C66112" w:rsidP="009811AC">
      <w:pPr>
        <w:spacing w:line="360" w:lineRule="auto"/>
        <w:rPr>
          <w:rFonts w:ascii="Times New Roman" w:hAnsi="Times New Roman" w:cs="Times New Roman"/>
        </w:rPr>
      </w:pPr>
      <w:r w:rsidRPr="001E5413">
        <w:rPr>
          <w:rFonts w:ascii="Times New Roman" w:hAnsi="Times New Roman" w:cs="Times New Roman"/>
        </w:rPr>
        <w:t>This legislative instrument is compatible with human rights.</w:t>
      </w:r>
    </w:p>
    <w:sectPr w:rsidR="00C66112" w:rsidRPr="001E5413" w:rsidSect="006D383A">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29E06" w14:textId="77777777" w:rsidR="008A7F25" w:rsidRDefault="008A7F25" w:rsidP="006D383A">
      <w:pPr>
        <w:spacing w:after="0" w:line="240" w:lineRule="auto"/>
      </w:pPr>
      <w:r>
        <w:separator/>
      </w:r>
    </w:p>
  </w:endnote>
  <w:endnote w:type="continuationSeparator" w:id="0">
    <w:p w14:paraId="1BD35611" w14:textId="77777777" w:rsidR="008A7F25" w:rsidRDefault="008A7F25" w:rsidP="006D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237312"/>
      <w:docPartObj>
        <w:docPartGallery w:val="Page Numbers (Bottom of Page)"/>
        <w:docPartUnique/>
      </w:docPartObj>
    </w:sdtPr>
    <w:sdtEndPr>
      <w:rPr>
        <w:noProof/>
      </w:rPr>
    </w:sdtEndPr>
    <w:sdtContent>
      <w:p w14:paraId="481902D6" w14:textId="77777777" w:rsidR="006D383A" w:rsidRDefault="006D383A">
        <w:pPr>
          <w:pStyle w:val="Footer"/>
          <w:jc w:val="center"/>
        </w:pPr>
        <w:r>
          <w:fldChar w:fldCharType="begin"/>
        </w:r>
        <w:r>
          <w:instrText xml:space="preserve"> PAGE   \* MERGEFORMAT </w:instrText>
        </w:r>
        <w:r>
          <w:fldChar w:fldCharType="separate"/>
        </w:r>
        <w:r w:rsidR="00A874E4">
          <w:rPr>
            <w:noProof/>
          </w:rPr>
          <w:t>4</w:t>
        </w:r>
        <w:r>
          <w:rPr>
            <w:noProof/>
          </w:rPr>
          <w:fldChar w:fldCharType="end"/>
        </w:r>
      </w:p>
    </w:sdtContent>
  </w:sdt>
  <w:p w14:paraId="028EAEE0" w14:textId="77777777" w:rsidR="006D383A" w:rsidRDefault="006D3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768CF" w14:textId="77777777" w:rsidR="008A7F25" w:rsidRDefault="008A7F25" w:rsidP="006D383A">
      <w:pPr>
        <w:spacing w:after="0" w:line="240" w:lineRule="auto"/>
      </w:pPr>
      <w:r>
        <w:separator/>
      </w:r>
    </w:p>
  </w:footnote>
  <w:footnote w:type="continuationSeparator" w:id="0">
    <w:p w14:paraId="32EC98A5" w14:textId="77777777" w:rsidR="008A7F25" w:rsidRDefault="008A7F25" w:rsidP="006D3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23CC5"/>
    <w:multiLevelType w:val="hybridMultilevel"/>
    <w:tmpl w:val="3DBCC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581573"/>
    <w:multiLevelType w:val="hybridMultilevel"/>
    <w:tmpl w:val="3A6E00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FF2101A"/>
    <w:multiLevelType w:val="hybridMultilevel"/>
    <w:tmpl w:val="B3F65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BE2FD8"/>
    <w:multiLevelType w:val="hybridMultilevel"/>
    <w:tmpl w:val="8266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26361A"/>
    <w:multiLevelType w:val="hybridMultilevel"/>
    <w:tmpl w:val="8376A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63"/>
    <w:rsid w:val="00003D7D"/>
    <w:rsid w:val="00010E55"/>
    <w:rsid w:val="00010FC1"/>
    <w:rsid w:val="00056F27"/>
    <w:rsid w:val="0006444F"/>
    <w:rsid w:val="0007085B"/>
    <w:rsid w:val="00072CF2"/>
    <w:rsid w:val="00080B1F"/>
    <w:rsid w:val="00083240"/>
    <w:rsid w:val="000B7DE5"/>
    <w:rsid w:val="000D52A3"/>
    <w:rsid w:val="000E5541"/>
    <w:rsid w:val="000E5D5D"/>
    <w:rsid w:val="00123ACE"/>
    <w:rsid w:val="00160069"/>
    <w:rsid w:val="00193581"/>
    <w:rsid w:val="001A7C09"/>
    <w:rsid w:val="001D663A"/>
    <w:rsid w:val="001E5413"/>
    <w:rsid w:val="00201E59"/>
    <w:rsid w:val="00252093"/>
    <w:rsid w:val="00265C23"/>
    <w:rsid w:val="002757A6"/>
    <w:rsid w:val="002B1863"/>
    <w:rsid w:val="002C4729"/>
    <w:rsid w:val="002D4C93"/>
    <w:rsid w:val="00312D55"/>
    <w:rsid w:val="003170B8"/>
    <w:rsid w:val="003A6B13"/>
    <w:rsid w:val="003B7034"/>
    <w:rsid w:val="003D6A04"/>
    <w:rsid w:val="003E2A06"/>
    <w:rsid w:val="003E69CF"/>
    <w:rsid w:val="003E7F5F"/>
    <w:rsid w:val="003F3B02"/>
    <w:rsid w:val="0040212A"/>
    <w:rsid w:val="004279AE"/>
    <w:rsid w:val="00434A40"/>
    <w:rsid w:val="004374D0"/>
    <w:rsid w:val="004464AD"/>
    <w:rsid w:val="004516EF"/>
    <w:rsid w:val="00457515"/>
    <w:rsid w:val="0046042D"/>
    <w:rsid w:val="004745D8"/>
    <w:rsid w:val="00476F6F"/>
    <w:rsid w:val="004E520A"/>
    <w:rsid w:val="00501752"/>
    <w:rsid w:val="00533405"/>
    <w:rsid w:val="005430E3"/>
    <w:rsid w:val="00576DEE"/>
    <w:rsid w:val="00594156"/>
    <w:rsid w:val="005C123A"/>
    <w:rsid w:val="00606C96"/>
    <w:rsid w:val="00616AA1"/>
    <w:rsid w:val="00620115"/>
    <w:rsid w:val="00626B14"/>
    <w:rsid w:val="00645C96"/>
    <w:rsid w:val="00685360"/>
    <w:rsid w:val="006B69A7"/>
    <w:rsid w:val="006D383A"/>
    <w:rsid w:val="00770FD6"/>
    <w:rsid w:val="007717EF"/>
    <w:rsid w:val="00775928"/>
    <w:rsid w:val="00793721"/>
    <w:rsid w:val="007B5C66"/>
    <w:rsid w:val="007C3919"/>
    <w:rsid w:val="007C6EFC"/>
    <w:rsid w:val="00801C63"/>
    <w:rsid w:val="00802FB7"/>
    <w:rsid w:val="00803187"/>
    <w:rsid w:val="00825015"/>
    <w:rsid w:val="008445CE"/>
    <w:rsid w:val="008572A6"/>
    <w:rsid w:val="00886874"/>
    <w:rsid w:val="008A7A67"/>
    <w:rsid w:val="008A7F25"/>
    <w:rsid w:val="00935814"/>
    <w:rsid w:val="00951276"/>
    <w:rsid w:val="009811AC"/>
    <w:rsid w:val="0098498D"/>
    <w:rsid w:val="00995D33"/>
    <w:rsid w:val="009D1C1B"/>
    <w:rsid w:val="009D73C0"/>
    <w:rsid w:val="009F37FA"/>
    <w:rsid w:val="00A0241D"/>
    <w:rsid w:val="00A6062B"/>
    <w:rsid w:val="00A632B2"/>
    <w:rsid w:val="00A767F5"/>
    <w:rsid w:val="00A874E4"/>
    <w:rsid w:val="00A9065E"/>
    <w:rsid w:val="00A9766A"/>
    <w:rsid w:val="00A97B10"/>
    <w:rsid w:val="00AC3D5B"/>
    <w:rsid w:val="00AD1DC5"/>
    <w:rsid w:val="00B10D99"/>
    <w:rsid w:val="00B27486"/>
    <w:rsid w:val="00B33E06"/>
    <w:rsid w:val="00B5155F"/>
    <w:rsid w:val="00B57323"/>
    <w:rsid w:val="00B620E4"/>
    <w:rsid w:val="00B7494C"/>
    <w:rsid w:val="00B85B7F"/>
    <w:rsid w:val="00BA064D"/>
    <w:rsid w:val="00BC51D4"/>
    <w:rsid w:val="00C073FE"/>
    <w:rsid w:val="00C13C3C"/>
    <w:rsid w:val="00C27DB6"/>
    <w:rsid w:val="00C32E2A"/>
    <w:rsid w:val="00C35F19"/>
    <w:rsid w:val="00C53AE8"/>
    <w:rsid w:val="00C66112"/>
    <w:rsid w:val="00C93D97"/>
    <w:rsid w:val="00C93E66"/>
    <w:rsid w:val="00CB09B3"/>
    <w:rsid w:val="00CC55D0"/>
    <w:rsid w:val="00D13435"/>
    <w:rsid w:val="00D55050"/>
    <w:rsid w:val="00D647CE"/>
    <w:rsid w:val="00DA342C"/>
    <w:rsid w:val="00DA63FE"/>
    <w:rsid w:val="00DC33C3"/>
    <w:rsid w:val="00DC72E4"/>
    <w:rsid w:val="00DD6BC8"/>
    <w:rsid w:val="00DF237B"/>
    <w:rsid w:val="00E21C58"/>
    <w:rsid w:val="00E4204F"/>
    <w:rsid w:val="00E55A44"/>
    <w:rsid w:val="00E61DE4"/>
    <w:rsid w:val="00E85DA4"/>
    <w:rsid w:val="00EB0960"/>
    <w:rsid w:val="00EC34F9"/>
    <w:rsid w:val="00ED1CA6"/>
    <w:rsid w:val="00F72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3A65"/>
  <w15:chartTrackingRefBased/>
  <w15:docId w15:val="{0C8959BD-9115-4CFB-B004-A648774B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F6F"/>
    <w:pPr>
      <w:spacing w:after="200" w:line="276" w:lineRule="auto"/>
    </w:pPr>
  </w:style>
  <w:style w:type="paragraph" w:styleId="Heading1">
    <w:name w:val="heading 1"/>
    <w:basedOn w:val="Normal"/>
    <w:next w:val="Normal"/>
    <w:link w:val="Heading1Char"/>
    <w:uiPriority w:val="9"/>
    <w:qFormat/>
    <w:rsid w:val="00801C63"/>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C63"/>
    <w:rPr>
      <w:rFonts w:ascii="Cambria" w:eastAsia="Times New Roman" w:hAnsi="Cambria" w:cs="Times New Roman"/>
      <w:bCs/>
      <w:caps/>
      <w:kern w:val="32"/>
      <w:sz w:val="32"/>
      <w:szCs w:val="32"/>
    </w:rPr>
  </w:style>
  <w:style w:type="character" w:styleId="CommentReference">
    <w:name w:val="annotation reference"/>
    <w:basedOn w:val="DefaultParagraphFont"/>
    <w:uiPriority w:val="99"/>
    <w:semiHidden/>
    <w:unhideWhenUsed/>
    <w:rsid w:val="00B7494C"/>
    <w:rPr>
      <w:sz w:val="16"/>
      <w:szCs w:val="16"/>
    </w:rPr>
  </w:style>
  <w:style w:type="paragraph" w:styleId="CommentText">
    <w:name w:val="annotation text"/>
    <w:basedOn w:val="Normal"/>
    <w:link w:val="CommentTextChar"/>
    <w:uiPriority w:val="99"/>
    <w:semiHidden/>
    <w:unhideWhenUsed/>
    <w:rsid w:val="00B7494C"/>
    <w:pPr>
      <w:spacing w:after="120" w:line="240" w:lineRule="auto"/>
    </w:pPr>
    <w:rPr>
      <w:color w:val="262626" w:themeColor="text1" w:themeTint="D9"/>
      <w:sz w:val="20"/>
      <w:szCs w:val="20"/>
    </w:rPr>
  </w:style>
  <w:style w:type="character" w:customStyle="1" w:styleId="CommentTextChar">
    <w:name w:val="Comment Text Char"/>
    <w:basedOn w:val="DefaultParagraphFont"/>
    <w:link w:val="CommentText"/>
    <w:uiPriority w:val="99"/>
    <w:semiHidden/>
    <w:rsid w:val="00B7494C"/>
    <w:rPr>
      <w:color w:val="262626" w:themeColor="text1" w:themeTint="D9"/>
      <w:sz w:val="20"/>
      <w:szCs w:val="20"/>
    </w:rPr>
  </w:style>
  <w:style w:type="paragraph" w:styleId="BalloonText">
    <w:name w:val="Balloon Text"/>
    <w:basedOn w:val="Normal"/>
    <w:link w:val="BalloonTextChar"/>
    <w:uiPriority w:val="99"/>
    <w:semiHidden/>
    <w:unhideWhenUsed/>
    <w:rsid w:val="00B74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94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76F6F"/>
    <w:pPr>
      <w:spacing w:after="200"/>
    </w:pPr>
    <w:rPr>
      <w:b/>
      <w:bCs/>
      <w:color w:val="auto"/>
    </w:rPr>
  </w:style>
  <w:style w:type="character" w:customStyle="1" w:styleId="CommentSubjectChar">
    <w:name w:val="Comment Subject Char"/>
    <w:basedOn w:val="CommentTextChar"/>
    <w:link w:val="CommentSubject"/>
    <w:uiPriority w:val="99"/>
    <w:semiHidden/>
    <w:rsid w:val="00476F6F"/>
    <w:rPr>
      <w:b/>
      <w:bCs/>
      <w:color w:val="262626" w:themeColor="text1" w:themeTint="D9"/>
      <w:sz w:val="20"/>
      <w:szCs w:val="20"/>
    </w:rPr>
  </w:style>
  <w:style w:type="character" w:styleId="Hyperlink">
    <w:name w:val="Hyperlink"/>
    <w:basedOn w:val="DefaultParagraphFont"/>
    <w:uiPriority w:val="99"/>
    <w:semiHidden/>
    <w:unhideWhenUsed/>
    <w:rsid w:val="00770FD6"/>
    <w:rPr>
      <w:color w:val="0000FF"/>
      <w:u w:val="single"/>
    </w:rPr>
  </w:style>
  <w:style w:type="paragraph" w:styleId="ListParagraph">
    <w:name w:val="List Paragraph"/>
    <w:basedOn w:val="Normal"/>
    <w:uiPriority w:val="34"/>
    <w:qFormat/>
    <w:rsid w:val="00312D55"/>
    <w:pPr>
      <w:ind w:left="720"/>
      <w:contextualSpacing/>
    </w:pPr>
  </w:style>
  <w:style w:type="paragraph" w:styleId="Header">
    <w:name w:val="header"/>
    <w:basedOn w:val="Normal"/>
    <w:link w:val="HeaderChar"/>
    <w:uiPriority w:val="99"/>
    <w:unhideWhenUsed/>
    <w:rsid w:val="006D3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83A"/>
  </w:style>
  <w:style w:type="paragraph" w:styleId="Footer">
    <w:name w:val="footer"/>
    <w:basedOn w:val="Normal"/>
    <w:link w:val="FooterChar"/>
    <w:uiPriority w:val="99"/>
    <w:unhideWhenUsed/>
    <w:rsid w:val="006D3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869932">
      <w:bodyDiv w:val="1"/>
      <w:marLeft w:val="0"/>
      <w:marRight w:val="0"/>
      <w:marTop w:val="0"/>
      <w:marBottom w:val="0"/>
      <w:divBdr>
        <w:top w:val="none" w:sz="0" w:space="0" w:color="auto"/>
        <w:left w:val="none" w:sz="0" w:space="0" w:color="auto"/>
        <w:bottom w:val="none" w:sz="0" w:space="0" w:color="auto"/>
        <w:right w:val="none" w:sz="0" w:space="0" w:color="auto"/>
      </w:divBdr>
    </w:div>
    <w:div w:id="194545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7FFBD24-E688-4B1D-98FA-093066CD14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2F24E92F3E550429D4FB34419F6053C" ma:contentTypeVersion="" ma:contentTypeDescription="PDMS Document Site Content Type" ma:contentTypeScope="" ma:versionID="b421acc8207954c3efcc2ca71439fa73">
  <xsd:schema xmlns:xsd="http://www.w3.org/2001/XMLSchema" xmlns:xs="http://www.w3.org/2001/XMLSchema" xmlns:p="http://schemas.microsoft.com/office/2006/metadata/properties" xmlns:ns2="17FFBD24-E688-4B1D-98FA-093066CD1407" targetNamespace="http://schemas.microsoft.com/office/2006/metadata/properties" ma:root="true" ma:fieldsID="7011d7d3594c7f083c6bf11f44688e7b" ns2:_="">
    <xsd:import namespace="17FFBD24-E688-4B1D-98FA-093066CD140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FBD24-E688-4B1D-98FA-093066CD140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9C331-CCBB-4076-B537-BF681DFFD20F}">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17FFBD24-E688-4B1D-98FA-093066CD140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359E620-F9A2-4705-B04F-4597FC0C6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FBD24-E688-4B1D-98FA-093066CD1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50D76-88B3-4AB5-AEEB-70157B5F01C9}">
  <ds:schemaRefs>
    <ds:schemaRef ds:uri="http://schemas.microsoft.com/sharepoint/v3/contenttype/forms"/>
  </ds:schemaRefs>
</ds:datastoreItem>
</file>

<file path=customXml/itemProps4.xml><?xml version="1.0" encoding="utf-8"?>
<ds:datastoreItem xmlns:ds="http://schemas.openxmlformats.org/officeDocument/2006/customXml" ds:itemID="{70E59AD4-5384-46D3-87EE-03D10954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3646</Words>
  <Characters>20783</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Caitlin</dc:creator>
  <cp:keywords/>
  <dc:description/>
  <cp:lastModifiedBy>Griffiths, Caitlin</cp:lastModifiedBy>
  <cp:revision>2</cp:revision>
  <dcterms:created xsi:type="dcterms:W3CDTF">2021-05-06T06:45:00Z</dcterms:created>
  <dcterms:modified xsi:type="dcterms:W3CDTF">2021-05-06T06:45:00Z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0x010100266966F133664895A6EE3632470D45F50062F24E92F3E550429D4FB34419F6053C</vt:lpwstr>
  </property>
</Properties>
</file>