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5CD17" w14:textId="77777777" w:rsidR="005E317F" w:rsidRPr="005D250A" w:rsidRDefault="005E317F" w:rsidP="005E317F">
      <w:pPr>
        <w:rPr>
          <w:sz w:val="28"/>
        </w:rPr>
      </w:pPr>
      <w:r w:rsidRPr="005D250A">
        <w:rPr>
          <w:noProof/>
          <w:lang w:eastAsia="en-AU"/>
        </w:rPr>
        <w:drawing>
          <wp:inline distT="0" distB="0" distL="0" distR="0" wp14:anchorId="42DDFB66" wp14:editId="59025BD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229C1D2" w14:textId="77777777" w:rsidR="005E317F" w:rsidRPr="005D250A" w:rsidRDefault="005E317F" w:rsidP="005E317F">
      <w:pPr>
        <w:rPr>
          <w:sz w:val="19"/>
        </w:rPr>
      </w:pPr>
    </w:p>
    <w:p w14:paraId="46FD86A8" w14:textId="3E708F00" w:rsidR="005E317F" w:rsidRPr="005D250A" w:rsidRDefault="00945750" w:rsidP="005E317F">
      <w:pPr>
        <w:pStyle w:val="ShortT"/>
      </w:pPr>
      <w:r w:rsidRPr="005D250A">
        <w:t>Other Grants Guidelines (Education)</w:t>
      </w:r>
      <w:r w:rsidR="005E317F" w:rsidRPr="005D250A">
        <w:t xml:space="preserve"> Amendment (</w:t>
      </w:r>
      <w:r w:rsidRPr="005D250A">
        <w:t>No</w:t>
      </w:r>
      <w:r w:rsidR="00396EDB" w:rsidRPr="005D250A">
        <w:t>.</w:t>
      </w:r>
      <w:r w:rsidRPr="005D250A">
        <w:t xml:space="preserve"> </w:t>
      </w:r>
      <w:r w:rsidR="00531A69" w:rsidRPr="005D250A">
        <w:t>3</w:t>
      </w:r>
      <w:r w:rsidR="005E317F" w:rsidRPr="005D250A">
        <w:t xml:space="preserve">) </w:t>
      </w:r>
      <w:r w:rsidRPr="005D250A">
        <w:t>2020</w:t>
      </w:r>
    </w:p>
    <w:p w14:paraId="0723AE21" w14:textId="77777777" w:rsidR="005E317F" w:rsidRPr="005D250A" w:rsidRDefault="005E317F" w:rsidP="005E317F">
      <w:pPr>
        <w:pStyle w:val="SignCoverPageStart"/>
        <w:spacing w:before="240"/>
        <w:ind w:right="91"/>
        <w:rPr>
          <w:szCs w:val="22"/>
        </w:rPr>
      </w:pPr>
      <w:r w:rsidRPr="005D250A">
        <w:rPr>
          <w:szCs w:val="22"/>
        </w:rPr>
        <w:t xml:space="preserve">I, </w:t>
      </w:r>
      <w:r w:rsidR="004E7089" w:rsidRPr="005D250A">
        <w:rPr>
          <w:szCs w:val="22"/>
        </w:rPr>
        <w:t>Dan Tehan</w:t>
      </w:r>
      <w:r w:rsidRPr="005D250A">
        <w:rPr>
          <w:szCs w:val="22"/>
        </w:rPr>
        <w:t xml:space="preserve">, </w:t>
      </w:r>
      <w:r w:rsidR="004E7089" w:rsidRPr="005D250A">
        <w:rPr>
          <w:szCs w:val="22"/>
        </w:rPr>
        <w:t>Minister for Education</w:t>
      </w:r>
      <w:r w:rsidRPr="005D250A">
        <w:rPr>
          <w:szCs w:val="22"/>
        </w:rPr>
        <w:t xml:space="preserve">, make the following </w:t>
      </w:r>
      <w:r w:rsidR="004E7089" w:rsidRPr="005D250A">
        <w:rPr>
          <w:szCs w:val="22"/>
        </w:rPr>
        <w:t>guidelines</w:t>
      </w:r>
      <w:r w:rsidRPr="005D250A">
        <w:rPr>
          <w:szCs w:val="22"/>
        </w:rPr>
        <w:t>.</w:t>
      </w:r>
    </w:p>
    <w:p w14:paraId="7EDBEC52" w14:textId="4BBC68E4" w:rsidR="005E317F" w:rsidRPr="005D250A" w:rsidRDefault="005E317F" w:rsidP="005E317F">
      <w:pPr>
        <w:keepNext/>
        <w:spacing w:before="300" w:line="240" w:lineRule="atLeast"/>
        <w:ind w:right="397"/>
        <w:jc w:val="both"/>
        <w:rPr>
          <w:szCs w:val="22"/>
        </w:rPr>
      </w:pPr>
      <w:r w:rsidRPr="005D250A">
        <w:rPr>
          <w:szCs w:val="22"/>
        </w:rPr>
        <w:t>Dated</w:t>
      </w:r>
      <w:r w:rsidR="00C11FDF">
        <w:rPr>
          <w:szCs w:val="22"/>
        </w:rPr>
        <w:t>:</w:t>
      </w:r>
      <w:r w:rsidR="00C11FDF">
        <w:rPr>
          <w:szCs w:val="22"/>
        </w:rPr>
        <w:tab/>
        <w:t xml:space="preserve">12 December </w:t>
      </w:r>
      <w:bookmarkStart w:id="0" w:name="_GoBack"/>
      <w:bookmarkEnd w:id="0"/>
      <w:r w:rsidR="004E7089" w:rsidRPr="005D250A">
        <w:rPr>
          <w:szCs w:val="22"/>
        </w:rPr>
        <w:t>2020</w:t>
      </w:r>
    </w:p>
    <w:p w14:paraId="5605F8CE" w14:textId="3A50EA8D" w:rsidR="005E317F" w:rsidRPr="005D250A" w:rsidRDefault="004E7089" w:rsidP="005E317F">
      <w:pPr>
        <w:keepNext/>
        <w:tabs>
          <w:tab w:val="left" w:pos="3402"/>
        </w:tabs>
        <w:spacing w:before="1440" w:line="300" w:lineRule="atLeast"/>
        <w:ind w:right="397"/>
        <w:rPr>
          <w:b/>
          <w:szCs w:val="22"/>
        </w:rPr>
      </w:pPr>
      <w:r w:rsidRPr="005D250A">
        <w:rPr>
          <w:szCs w:val="22"/>
        </w:rPr>
        <w:t>Dan Tehan</w:t>
      </w:r>
      <w:r w:rsidR="005E317F" w:rsidRPr="005D250A">
        <w:rPr>
          <w:szCs w:val="22"/>
        </w:rPr>
        <w:t xml:space="preserve"> </w:t>
      </w:r>
    </w:p>
    <w:p w14:paraId="3E26C9C8" w14:textId="77777777" w:rsidR="005E317F" w:rsidRPr="005D250A" w:rsidRDefault="004E7089" w:rsidP="005E317F">
      <w:pPr>
        <w:pStyle w:val="SignCoverPageEnd"/>
        <w:ind w:right="91"/>
        <w:rPr>
          <w:sz w:val="22"/>
        </w:rPr>
      </w:pPr>
      <w:r w:rsidRPr="005D250A">
        <w:rPr>
          <w:sz w:val="22"/>
        </w:rPr>
        <w:t>Minister for Education</w:t>
      </w:r>
    </w:p>
    <w:p w14:paraId="7117DA6A" w14:textId="77777777" w:rsidR="00B20990" w:rsidRPr="005D250A" w:rsidRDefault="00B20990" w:rsidP="00B20990"/>
    <w:p w14:paraId="3B230FC4" w14:textId="77777777" w:rsidR="00B20990" w:rsidRPr="005D250A" w:rsidRDefault="00B20990" w:rsidP="00B20990">
      <w:pPr>
        <w:sectPr w:rsidR="00B20990" w:rsidRPr="005D250A" w:rsidSect="00B20990">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4B20A466" w14:textId="77777777" w:rsidR="00B20990" w:rsidRPr="005D250A" w:rsidRDefault="00B20990" w:rsidP="00B20990">
      <w:pPr>
        <w:outlineLvl w:val="0"/>
        <w:rPr>
          <w:sz w:val="36"/>
        </w:rPr>
      </w:pPr>
      <w:r w:rsidRPr="005D250A">
        <w:rPr>
          <w:sz w:val="36"/>
        </w:rPr>
        <w:lastRenderedPageBreak/>
        <w:t>Contents</w:t>
      </w:r>
    </w:p>
    <w:bookmarkStart w:id="1" w:name="BKCheck15B_2"/>
    <w:bookmarkEnd w:id="1"/>
    <w:p w14:paraId="2E8797EC" w14:textId="0C60FD52" w:rsidR="006D06FB" w:rsidRPr="005D250A" w:rsidRDefault="00B20990">
      <w:pPr>
        <w:pStyle w:val="TOC5"/>
        <w:rPr>
          <w:rFonts w:asciiTheme="minorHAnsi" w:eastAsiaTheme="minorEastAsia" w:hAnsiTheme="minorHAnsi" w:cstheme="minorBidi"/>
          <w:noProof/>
          <w:kern w:val="0"/>
          <w:sz w:val="22"/>
          <w:szCs w:val="22"/>
        </w:rPr>
      </w:pPr>
      <w:r w:rsidRPr="005D250A">
        <w:fldChar w:fldCharType="begin"/>
      </w:r>
      <w:r w:rsidRPr="005D250A">
        <w:instrText xml:space="preserve"> TOC \o "1-9" </w:instrText>
      </w:r>
      <w:r w:rsidRPr="005D250A">
        <w:fldChar w:fldCharType="separate"/>
      </w:r>
      <w:r w:rsidR="006D06FB" w:rsidRPr="005D250A">
        <w:rPr>
          <w:noProof/>
        </w:rPr>
        <w:t>1  Name</w:t>
      </w:r>
      <w:r w:rsidR="006D06FB" w:rsidRPr="005D250A">
        <w:rPr>
          <w:noProof/>
        </w:rPr>
        <w:tab/>
      </w:r>
      <w:r w:rsidR="006D06FB" w:rsidRPr="005D250A">
        <w:rPr>
          <w:noProof/>
        </w:rPr>
        <w:fldChar w:fldCharType="begin"/>
      </w:r>
      <w:r w:rsidR="006D06FB" w:rsidRPr="005D250A">
        <w:rPr>
          <w:noProof/>
        </w:rPr>
        <w:instrText xml:space="preserve"> PAGEREF _Toc57796037 \h </w:instrText>
      </w:r>
      <w:r w:rsidR="006D06FB" w:rsidRPr="005D250A">
        <w:rPr>
          <w:noProof/>
        </w:rPr>
      </w:r>
      <w:r w:rsidR="006D06FB" w:rsidRPr="005D250A">
        <w:rPr>
          <w:noProof/>
        </w:rPr>
        <w:fldChar w:fldCharType="separate"/>
      </w:r>
      <w:r w:rsidR="006D06FB" w:rsidRPr="005D250A">
        <w:rPr>
          <w:noProof/>
        </w:rPr>
        <w:t>1</w:t>
      </w:r>
      <w:r w:rsidR="006D06FB" w:rsidRPr="005D250A">
        <w:rPr>
          <w:noProof/>
        </w:rPr>
        <w:fldChar w:fldCharType="end"/>
      </w:r>
    </w:p>
    <w:p w14:paraId="22DC0B28" w14:textId="0195297A" w:rsidR="006D06FB" w:rsidRPr="005D250A" w:rsidRDefault="006D06FB">
      <w:pPr>
        <w:pStyle w:val="TOC5"/>
        <w:rPr>
          <w:rFonts w:asciiTheme="minorHAnsi" w:eastAsiaTheme="minorEastAsia" w:hAnsiTheme="minorHAnsi" w:cstheme="minorBidi"/>
          <w:noProof/>
          <w:kern w:val="0"/>
          <w:sz w:val="22"/>
          <w:szCs w:val="22"/>
        </w:rPr>
      </w:pPr>
      <w:r w:rsidRPr="005D250A">
        <w:rPr>
          <w:noProof/>
        </w:rPr>
        <w:t>2  Commencement</w:t>
      </w:r>
      <w:r w:rsidRPr="005D250A">
        <w:rPr>
          <w:noProof/>
        </w:rPr>
        <w:tab/>
      </w:r>
      <w:r w:rsidRPr="005D250A">
        <w:rPr>
          <w:noProof/>
        </w:rPr>
        <w:fldChar w:fldCharType="begin"/>
      </w:r>
      <w:r w:rsidRPr="005D250A">
        <w:rPr>
          <w:noProof/>
        </w:rPr>
        <w:instrText xml:space="preserve"> PAGEREF _Toc57796038 \h </w:instrText>
      </w:r>
      <w:r w:rsidRPr="005D250A">
        <w:rPr>
          <w:noProof/>
        </w:rPr>
      </w:r>
      <w:r w:rsidRPr="005D250A">
        <w:rPr>
          <w:noProof/>
        </w:rPr>
        <w:fldChar w:fldCharType="separate"/>
      </w:r>
      <w:r w:rsidRPr="005D250A">
        <w:rPr>
          <w:noProof/>
        </w:rPr>
        <w:t>1</w:t>
      </w:r>
      <w:r w:rsidRPr="005D250A">
        <w:rPr>
          <w:noProof/>
        </w:rPr>
        <w:fldChar w:fldCharType="end"/>
      </w:r>
    </w:p>
    <w:p w14:paraId="6EA4CFE0" w14:textId="2F21B100" w:rsidR="006D06FB" w:rsidRPr="005D250A" w:rsidRDefault="006D06FB">
      <w:pPr>
        <w:pStyle w:val="TOC5"/>
        <w:rPr>
          <w:rFonts w:asciiTheme="minorHAnsi" w:eastAsiaTheme="minorEastAsia" w:hAnsiTheme="minorHAnsi" w:cstheme="minorBidi"/>
          <w:noProof/>
          <w:kern w:val="0"/>
          <w:sz w:val="22"/>
          <w:szCs w:val="22"/>
        </w:rPr>
      </w:pPr>
      <w:r w:rsidRPr="005D250A">
        <w:rPr>
          <w:noProof/>
        </w:rPr>
        <w:t>3  Authority</w:t>
      </w:r>
      <w:r w:rsidRPr="005D250A">
        <w:rPr>
          <w:noProof/>
        </w:rPr>
        <w:tab/>
      </w:r>
      <w:r w:rsidRPr="005D250A">
        <w:rPr>
          <w:noProof/>
        </w:rPr>
        <w:fldChar w:fldCharType="begin"/>
      </w:r>
      <w:r w:rsidRPr="005D250A">
        <w:rPr>
          <w:noProof/>
        </w:rPr>
        <w:instrText xml:space="preserve"> PAGEREF _Toc57796039 \h </w:instrText>
      </w:r>
      <w:r w:rsidRPr="005D250A">
        <w:rPr>
          <w:noProof/>
        </w:rPr>
      </w:r>
      <w:r w:rsidRPr="005D250A">
        <w:rPr>
          <w:noProof/>
        </w:rPr>
        <w:fldChar w:fldCharType="separate"/>
      </w:r>
      <w:r w:rsidRPr="005D250A">
        <w:rPr>
          <w:noProof/>
        </w:rPr>
        <w:t>1</w:t>
      </w:r>
      <w:r w:rsidRPr="005D250A">
        <w:rPr>
          <w:noProof/>
        </w:rPr>
        <w:fldChar w:fldCharType="end"/>
      </w:r>
    </w:p>
    <w:p w14:paraId="43C7B61E" w14:textId="63DA8DBF" w:rsidR="006D06FB" w:rsidRPr="005D250A" w:rsidRDefault="006D06FB">
      <w:pPr>
        <w:pStyle w:val="TOC5"/>
        <w:rPr>
          <w:rFonts w:asciiTheme="minorHAnsi" w:eastAsiaTheme="minorEastAsia" w:hAnsiTheme="minorHAnsi" w:cstheme="minorBidi"/>
          <w:noProof/>
          <w:kern w:val="0"/>
          <w:sz w:val="22"/>
          <w:szCs w:val="22"/>
        </w:rPr>
      </w:pPr>
      <w:r w:rsidRPr="005D250A">
        <w:rPr>
          <w:noProof/>
        </w:rPr>
        <w:t>4  Schedules</w:t>
      </w:r>
      <w:r w:rsidRPr="005D250A">
        <w:rPr>
          <w:noProof/>
        </w:rPr>
        <w:tab/>
      </w:r>
      <w:r w:rsidRPr="005D250A">
        <w:rPr>
          <w:noProof/>
        </w:rPr>
        <w:fldChar w:fldCharType="begin"/>
      </w:r>
      <w:r w:rsidRPr="005D250A">
        <w:rPr>
          <w:noProof/>
        </w:rPr>
        <w:instrText xml:space="preserve"> PAGEREF _Toc57796040 \h </w:instrText>
      </w:r>
      <w:r w:rsidRPr="005D250A">
        <w:rPr>
          <w:noProof/>
        </w:rPr>
      </w:r>
      <w:r w:rsidRPr="005D250A">
        <w:rPr>
          <w:noProof/>
        </w:rPr>
        <w:fldChar w:fldCharType="separate"/>
      </w:r>
      <w:r w:rsidRPr="005D250A">
        <w:rPr>
          <w:noProof/>
        </w:rPr>
        <w:t>1</w:t>
      </w:r>
      <w:r w:rsidRPr="005D250A">
        <w:rPr>
          <w:noProof/>
        </w:rPr>
        <w:fldChar w:fldCharType="end"/>
      </w:r>
    </w:p>
    <w:p w14:paraId="5FA26C8C" w14:textId="0F0D34C4" w:rsidR="006D06FB" w:rsidRPr="005D250A" w:rsidRDefault="006D06FB">
      <w:pPr>
        <w:pStyle w:val="TOC5"/>
        <w:rPr>
          <w:rFonts w:asciiTheme="minorHAnsi" w:eastAsiaTheme="minorEastAsia" w:hAnsiTheme="minorHAnsi" w:cstheme="minorBidi"/>
          <w:noProof/>
          <w:kern w:val="0"/>
          <w:sz w:val="22"/>
          <w:szCs w:val="22"/>
        </w:rPr>
      </w:pPr>
      <w:r w:rsidRPr="005D250A">
        <w:rPr>
          <w:noProof/>
        </w:rPr>
        <w:t>5  Savings provision</w:t>
      </w:r>
      <w:r w:rsidRPr="005D250A">
        <w:rPr>
          <w:noProof/>
        </w:rPr>
        <w:tab/>
      </w:r>
      <w:r w:rsidRPr="005D250A">
        <w:rPr>
          <w:noProof/>
        </w:rPr>
        <w:fldChar w:fldCharType="begin"/>
      </w:r>
      <w:r w:rsidRPr="005D250A">
        <w:rPr>
          <w:noProof/>
        </w:rPr>
        <w:instrText xml:space="preserve"> PAGEREF _Toc57796041 \h </w:instrText>
      </w:r>
      <w:r w:rsidRPr="005D250A">
        <w:rPr>
          <w:noProof/>
        </w:rPr>
      </w:r>
      <w:r w:rsidRPr="005D250A">
        <w:rPr>
          <w:noProof/>
        </w:rPr>
        <w:fldChar w:fldCharType="separate"/>
      </w:r>
      <w:r w:rsidRPr="005D250A">
        <w:rPr>
          <w:noProof/>
        </w:rPr>
        <w:t>1</w:t>
      </w:r>
      <w:r w:rsidRPr="005D250A">
        <w:rPr>
          <w:noProof/>
        </w:rPr>
        <w:fldChar w:fldCharType="end"/>
      </w:r>
    </w:p>
    <w:p w14:paraId="752B13EB" w14:textId="2A334C2D" w:rsidR="006D06FB" w:rsidRPr="005D250A" w:rsidRDefault="006D06FB">
      <w:pPr>
        <w:pStyle w:val="TOC6"/>
        <w:rPr>
          <w:rFonts w:asciiTheme="minorHAnsi" w:eastAsiaTheme="minorEastAsia" w:hAnsiTheme="minorHAnsi" w:cstheme="minorBidi"/>
          <w:b w:val="0"/>
          <w:noProof/>
          <w:kern w:val="0"/>
          <w:sz w:val="22"/>
          <w:szCs w:val="22"/>
        </w:rPr>
      </w:pPr>
      <w:r w:rsidRPr="005D250A">
        <w:rPr>
          <w:noProof/>
        </w:rPr>
        <w:t>Schedule 1—Amendments</w:t>
      </w:r>
      <w:r w:rsidRPr="005D250A">
        <w:rPr>
          <w:noProof/>
        </w:rPr>
        <w:tab/>
      </w:r>
      <w:r w:rsidRPr="005D250A">
        <w:rPr>
          <w:noProof/>
        </w:rPr>
        <w:fldChar w:fldCharType="begin"/>
      </w:r>
      <w:r w:rsidRPr="005D250A">
        <w:rPr>
          <w:noProof/>
        </w:rPr>
        <w:instrText xml:space="preserve"> PAGEREF _Toc57796042 \h </w:instrText>
      </w:r>
      <w:r w:rsidRPr="005D250A">
        <w:rPr>
          <w:noProof/>
        </w:rPr>
      </w:r>
      <w:r w:rsidRPr="005D250A">
        <w:rPr>
          <w:noProof/>
        </w:rPr>
        <w:fldChar w:fldCharType="separate"/>
      </w:r>
      <w:r w:rsidRPr="005D250A">
        <w:rPr>
          <w:noProof/>
        </w:rPr>
        <w:t>2</w:t>
      </w:r>
      <w:r w:rsidRPr="005D250A">
        <w:rPr>
          <w:noProof/>
        </w:rPr>
        <w:fldChar w:fldCharType="end"/>
      </w:r>
    </w:p>
    <w:p w14:paraId="10A80F24" w14:textId="58DB86DF" w:rsidR="006D06FB" w:rsidRPr="005D250A" w:rsidRDefault="006D06FB">
      <w:pPr>
        <w:pStyle w:val="TOC9"/>
        <w:rPr>
          <w:rFonts w:asciiTheme="minorHAnsi" w:eastAsiaTheme="minorEastAsia" w:hAnsiTheme="minorHAnsi" w:cstheme="minorBidi"/>
          <w:i w:val="0"/>
          <w:noProof/>
          <w:kern w:val="0"/>
          <w:sz w:val="22"/>
          <w:szCs w:val="22"/>
        </w:rPr>
      </w:pPr>
      <w:r w:rsidRPr="005D250A">
        <w:rPr>
          <w:noProof/>
        </w:rPr>
        <w:t>Other Grants Guidelines (Education) 2012</w:t>
      </w:r>
      <w:r w:rsidRPr="005D250A">
        <w:rPr>
          <w:noProof/>
        </w:rPr>
        <w:tab/>
      </w:r>
      <w:r w:rsidRPr="005D250A">
        <w:rPr>
          <w:noProof/>
        </w:rPr>
        <w:fldChar w:fldCharType="begin"/>
      </w:r>
      <w:r w:rsidRPr="005D250A">
        <w:rPr>
          <w:noProof/>
        </w:rPr>
        <w:instrText xml:space="preserve"> PAGEREF _Toc57796043 \h </w:instrText>
      </w:r>
      <w:r w:rsidRPr="005D250A">
        <w:rPr>
          <w:noProof/>
        </w:rPr>
      </w:r>
      <w:r w:rsidRPr="005D250A">
        <w:rPr>
          <w:noProof/>
        </w:rPr>
        <w:fldChar w:fldCharType="separate"/>
      </w:r>
      <w:r w:rsidRPr="005D250A">
        <w:rPr>
          <w:noProof/>
        </w:rPr>
        <w:t>2</w:t>
      </w:r>
      <w:r w:rsidRPr="005D250A">
        <w:rPr>
          <w:noProof/>
        </w:rPr>
        <w:fldChar w:fldCharType="end"/>
      </w:r>
    </w:p>
    <w:p w14:paraId="78F6C926" w14:textId="1733CD85" w:rsidR="00B20990" w:rsidRPr="005D250A" w:rsidRDefault="00B20990" w:rsidP="005E317F">
      <w:r w:rsidRPr="005D250A">
        <w:rPr>
          <w:rFonts w:cs="Times New Roman"/>
          <w:sz w:val="20"/>
        </w:rPr>
        <w:fldChar w:fldCharType="end"/>
      </w:r>
    </w:p>
    <w:p w14:paraId="2E8FAFF7" w14:textId="77777777" w:rsidR="00B20990" w:rsidRPr="005D250A" w:rsidRDefault="00B20990" w:rsidP="00B20990"/>
    <w:p w14:paraId="595E65A1" w14:textId="77777777" w:rsidR="00B20990" w:rsidRPr="005D250A" w:rsidRDefault="00B20990" w:rsidP="00B20990">
      <w:pPr>
        <w:sectPr w:rsidR="00B20990" w:rsidRPr="005D250A" w:rsidSect="002C6286">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156DB598" w14:textId="77777777" w:rsidR="005E317F" w:rsidRPr="005D250A" w:rsidRDefault="005E317F" w:rsidP="005E317F">
      <w:pPr>
        <w:pStyle w:val="ActHead5"/>
      </w:pPr>
      <w:bookmarkStart w:id="2" w:name="_Toc57796037"/>
      <w:r w:rsidRPr="005D250A">
        <w:rPr>
          <w:rStyle w:val="CharSectno"/>
        </w:rPr>
        <w:lastRenderedPageBreak/>
        <w:t>1</w:t>
      </w:r>
      <w:r w:rsidRPr="005D250A">
        <w:t xml:space="preserve">  Name</w:t>
      </w:r>
      <w:bookmarkEnd w:id="2"/>
    </w:p>
    <w:p w14:paraId="2CDC5579" w14:textId="2A262D14" w:rsidR="005E317F" w:rsidRPr="005D250A" w:rsidRDefault="005E317F" w:rsidP="005E317F">
      <w:pPr>
        <w:pStyle w:val="subsection"/>
      </w:pPr>
      <w:r w:rsidRPr="005D250A">
        <w:tab/>
      </w:r>
      <w:r w:rsidRPr="005D250A">
        <w:tab/>
        <w:t xml:space="preserve">This instrument is the </w:t>
      </w:r>
      <w:bookmarkStart w:id="3" w:name="BKCheck15B_3"/>
      <w:bookmarkEnd w:id="3"/>
      <w:r w:rsidR="00396EDB" w:rsidRPr="005D250A">
        <w:rPr>
          <w:i/>
        </w:rPr>
        <w:fldChar w:fldCharType="begin"/>
      </w:r>
      <w:r w:rsidR="00396EDB" w:rsidRPr="005D250A">
        <w:rPr>
          <w:i/>
        </w:rPr>
        <w:instrText xml:space="preserve"> STYLEREF  ShortT </w:instrText>
      </w:r>
      <w:r w:rsidR="00396EDB" w:rsidRPr="005D250A">
        <w:rPr>
          <w:i/>
        </w:rPr>
        <w:fldChar w:fldCharType="separate"/>
      </w:r>
      <w:r w:rsidR="00396EDB" w:rsidRPr="005D250A">
        <w:rPr>
          <w:i/>
        </w:rPr>
        <w:t xml:space="preserve">Other Grants Guidelines (Education) Amendment (No. </w:t>
      </w:r>
      <w:r w:rsidR="00531A69" w:rsidRPr="005D250A">
        <w:rPr>
          <w:i/>
        </w:rPr>
        <w:t>3</w:t>
      </w:r>
      <w:r w:rsidR="00396EDB" w:rsidRPr="005D250A">
        <w:rPr>
          <w:i/>
        </w:rPr>
        <w:t>) 2020</w:t>
      </w:r>
      <w:r w:rsidR="00396EDB" w:rsidRPr="005D250A">
        <w:rPr>
          <w:i/>
        </w:rPr>
        <w:fldChar w:fldCharType="end"/>
      </w:r>
      <w:r w:rsidRPr="005D250A">
        <w:t>.</w:t>
      </w:r>
    </w:p>
    <w:p w14:paraId="1BC7C0DA" w14:textId="77777777" w:rsidR="005E317F" w:rsidRPr="005D250A" w:rsidRDefault="005E317F" w:rsidP="005E317F">
      <w:pPr>
        <w:pStyle w:val="ActHead5"/>
      </w:pPr>
      <w:bookmarkStart w:id="4" w:name="_Toc57796038"/>
      <w:r w:rsidRPr="005D250A">
        <w:rPr>
          <w:rStyle w:val="CharSectno"/>
        </w:rPr>
        <w:t>2</w:t>
      </w:r>
      <w:r w:rsidRPr="005D250A">
        <w:t xml:space="preserve">  Commencement</w:t>
      </w:r>
      <w:bookmarkEnd w:id="4"/>
    </w:p>
    <w:p w14:paraId="593E2005" w14:textId="77777777" w:rsidR="00002BCC" w:rsidRPr="005D250A" w:rsidRDefault="00002BCC" w:rsidP="00002BCC">
      <w:pPr>
        <w:pStyle w:val="subsection"/>
      </w:pPr>
      <w:r w:rsidRPr="005D250A">
        <w:tab/>
        <w:t>(1)</w:t>
      </w:r>
      <w:r w:rsidRPr="005D250A">
        <w:tab/>
        <w:t>Each provision of this instrument specified in column 1 of the table commences, or is taken to have commenced, in accordance with column 2 of the table. Any other statement in column 2 has effect according to its terms.</w:t>
      </w:r>
    </w:p>
    <w:p w14:paraId="3F5F3BD4" w14:textId="77777777" w:rsidR="00002BCC" w:rsidRPr="005D250A"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5D250A" w14:paraId="2F7BD89C" w14:textId="77777777" w:rsidTr="002C6286">
        <w:trPr>
          <w:tblHeader/>
        </w:trPr>
        <w:tc>
          <w:tcPr>
            <w:tcW w:w="8364" w:type="dxa"/>
            <w:gridSpan w:val="3"/>
            <w:tcBorders>
              <w:top w:val="single" w:sz="12" w:space="0" w:color="auto"/>
              <w:bottom w:val="single" w:sz="6" w:space="0" w:color="auto"/>
            </w:tcBorders>
            <w:shd w:val="clear" w:color="auto" w:fill="auto"/>
            <w:hideMark/>
          </w:tcPr>
          <w:p w14:paraId="43870FF4" w14:textId="77777777" w:rsidR="00002BCC" w:rsidRPr="005D250A" w:rsidRDefault="00002BCC" w:rsidP="002C6286">
            <w:pPr>
              <w:pStyle w:val="TableHeading"/>
            </w:pPr>
            <w:r w:rsidRPr="005D250A">
              <w:t>Commencement information</w:t>
            </w:r>
          </w:p>
        </w:tc>
      </w:tr>
      <w:tr w:rsidR="00002BCC" w:rsidRPr="005D250A" w14:paraId="0099EE23" w14:textId="77777777" w:rsidTr="002C6286">
        <w:trPr>
          <w:tblHeader/>
        </w:trPr>
        <w:tc>
          <w:tcPr>
            <w:tcW w:w="2127" w:type="dxa"/>
            <w:tcBorders>
              <w:top w:val="single" w:sz="6" w:space="0" w:color="auto"/>
              <w:bottom w:val="single" w:sz="6" w:space="0" w:color="auto"/>
            </w:tcBorders>
            <w:shd w:val="clear" w:color="auto" w:fill="auto"/>
            <w:hideMark/>
          </w:tcPr>
          <w:p w14:paraId="3D31B1C3" w14:textId="77777777" w:rsidR="00002BCC" w:rsidRPr="005D250A" w:rsidRDefault="00002BCC" w:rsidP="002C6286">
            <w:pPr>
              <w:pStyle w:val="TableHeading"/>
            </w:pPr>
            <w:r w:rsidRPr="005D250A">
              <w:t>Column 1</w:t>
            </w:r>
          </w:p>
        </w:tc>
        <w:tc>
          <w:tcPr>
            <w:tcW w:w="4394" w:type="dxa"/>
            <w:tcBorders>
              <w:top w:val="single" w:sz="6" w:space="0" w:color="auto"/>
              <w:bottom w:val="single" w:sz="6" w:space="0" w:color="auto"/>
            </w:tcBorders>
            <w:shd w:val="clear" w:color="auto" w:fill="auto"/>
            <w:hideMark/>
          </w:tcPr>
          <w:p w14:paraId="367D5E8E" w14:textId="77777777" w:rsidR="00002BCC" w:rsidRPr="005D250A" w:rsidRDefault="00002BCC" w:rsidP="002C6286">
            <w:pPr>
              <w:pStyle w:val="TableHeading"/>
            </w:pPr>
            <w:r w:rsidRPr="005D250A">
              <w:t>Column 2</w:t>
            </w:r>
          </w:p>
        </w:tc>
        <w:tc>
          <w:tcPr>
            <w:tcW w:w="1843" w:type="dxa"/>
            <w:tcBorders>
              <w:top w:val="single" w:sz="6" w:space="0" w:color="auto"/>
              <w:bottom w:val="single" w:sz="6" w:space="0" w:color="auto"/>
            </w:tcBorders>
            <w:shd w:val="clear" w:color="auto" w:fill="auto"/>
            <w:hideMark/>
          </w:tcPr>
          <w:p w14:paraId="02A149D4" w14:textId="77777777" w:rsidR="00002BCC" w:rsidRPr="005D250A" w:rsidRDefault="00002BCC" w:rsidP="002C6286">
            <w:pPr>
              <w:pStyle w:val="TableHeading"/>
            </w:pPr>
            <w:r w:rsidRPr="005D250A">
              <w:t>Column 3</w:t>
            </w:r>
          </w:p>
        </w:tc>
      </w:tr>
      <w:tr w:rsidR="00002BCC" w:rsidRPr="005D250A" w14:paraId="38D04DA6" w14:textId="77777777" w:rsidTr="002C6286">
        <w:trPr>
          <w:tblHeader/>
        </w:trPr>
        <w:tc>
          <w:tcPr>
            <w:tcW w:w="2127" w:type="dxa"/>
            <w:tcBorders>
              <w:top w:val="single" w:sz="6" w:space="0" w:color="auto"/>
              <w:bottom w:val="single" w:sz="12" w:space="0" w:color="auto"/>
            </w:tcBorders>
            <w:shd w:val="clear" w:color="auto" w:fill="auto"/>
            <w:hideMark/>
          </w:tcPr>
          <w:p w14:paraId="2C5156F6" w14:textId="77777777" w:rsidR="00002BCC" w:rsidRPr="005D250A" w:rsidRDefault="00002BCC" w:rsidP="002C6286">
            <w:pPr>
              <w:pStyle w:val="TableHeading"/>
            </w:pPr>
            <w:r w:rsidRPr="005D250A">
              <w:t>Provisions</w:t>
            </w:r>
          </w:p>
        </w:tc>
        <w:tc>
          <w:tcPr>
            <w:tcW w:w="4394" w:type="dxa"/>
            <w:tcBorders>
              <w:top w:val="single" w:sz="6" w:space="0" w:color="auto"/>
              <w:bottom w:val="single" w:sz="12" w:space="0" w:color="auto"/>
            </w:tcBorders>
            <w:shd w:val="clear" w:color="auto" w:fill="auto"/>
            <w:hideMark/>
          </w:tcPr>
          <w:p w14:paraId="4781E637" w14:textId="77777777" w:rsidR="00002BCC" w:rsidRPr="005D250A" w:rsidRDefault="00002BCC" w:rsidP="002C6286">
            <w:pPr>
              <w:pStyle w:val="TableHeading"/>
            </w:pPr>
            <w:r w:rsidRPr="005D250A">
              <w:t>Commencement</w:t>
            </w:r>
          </w:p>
        </w:tc>
        <w:tc>
          <w:tcPr>
            <w:tcW w:w="1843" w:type="dxa"/>
            <w:tcBorders>
              <w:top w:val="single" w:sz="6" w:space="0" w:color="auto"/>
              <w:bottom w:val="single" w:sz="12" w:space="0" w:color="auto"/>
            </w:tcBorders>
            <w:shd w:val="clear" w:color="auto" w:fill="auto"/>
            <w:hideMark/>
          </w:tcPr>
          <w:p w14:paraId="5D69A448" w14:textId="77777777" w:rsidR="00002BCC" w:rsidRPr="005D250A" w:rsidRDefault="00002BCC" w:rsidP="002C6286">
            <w:pPr>
              <w:pStyle w:val="TableHeading"/>
            </w:pPr>
            <w:r w:rsidRPr="005D250A">
              <w:t>Date/Details</w:t>
            </w:r>
          </w:p>
        </w:tc>
      </w:tr>
      <w:tr w:rsidR="00002BCC" w:rsidRPr="005D250A" w14:paraId="2BCCC086" w14:textId="77777777" w:rsidTr="002C6286">
        <w:tc>
          <w:tcPr>
            <w:tcW w:w="2127" w:type="dxa"/>
            <w:tcBorders>
              <w:top w:val="single" w:sz="12" w:space="0" w:color="auto"/>
              <w:bottom w:val="single" w:sz="12" w:space="0" w:color="auto"/>
            </w:tcBorders>
            <w:shd w:val="clear" w:color="auto" w:fill="auto"/>
            <w:hideMark/>
          </w:tcPr>
          <w:p w14:paraId="2A3FBDEF" w14:textId="77777777" w:rsidR="00002BCC" w:rsidRPr="005D250A" w:rsidRDefault="00002BCC" w:rsidP="00396EDB">
            <w:pPr>
              <w:pStyle w:val="Tabletext"/>
              <w:rPr>
                <w:i/>
              </w:rPr>
            </w:pPr>
            <w:r w:rsidRPr="005D250A">
              <w:t xml:space="preserve">1.  </w:t>
            </w:r>
            <w:r w:rsidR="00396EDB" w:rsidRPr="005D250A">
              <w:t>The whole of this instrument</w:t>
            </w:r>
          </w:p>
        </w:tc>
        <w:tc>
          <w:tcPr>
            <w:tcW w:w="4394" w:type="dxa"/>
            <w:tcBorders>
              <w:top w:val="single" w:sz="12" w:space="0" w:color="auto"/>
              <w:bottom w:val="single" w:sz="12" w:space="0" w:color="auto"/>
            </w:tcBorders>
            <w:shd w:val="clear" w:color="auto" w:fill="auto"/>
            <w:hideMark/>
          </w:tcPr>
          <w:p w14:paraId="6A66517D" w14:textId="7BA74BD9" w:rsidR="00002BCC" w:rsidRPr="005D250A" w:rsidRDefault="00B67DCA" w:rsidP="002C6286">
            <w:pPr>
              <w:pStyle w:val="Tabletext"/>
            </w:pPr>
            <w:r w:rsidRPr="005D250A">
              <w:t>The day after this instrument is registered.</w:t>
            </w:r>
          </w:p>
        </w:tc>
        <w:tc>
          <w:tcPr>
            <w:tcW w:w="1843" w:type="dxa"/>
            <w:tcBorders>
              <w:top w:val="single" w:sz="12" w:space="0" w:color="auto"/>
              <w:bottom w:val="single" w:sz="12" w:space="0" w:color="auto"/>
            </w:tcBorders>
            <w:shd w:val="clear" w:color="auto" w:fill="auto"/>
          </w:tcPr>
          <w:p w14:paraId="7251162D" w14:textId="5C15C84E" w:rsidR="00002BCC" w:rsidRPr="005D250A" w:rsidRDefault="00002BCC" w:rsidP="002C6286">
            <w:pPr>
              <w:pStyle w:val="Tabletext"/>
            </w:pPr>
          </w:p>
        </w:tc>
      </w:tr>
    </w:tbl>
    <w:p w14:paraId="6902980A" w14:textId="77777777" w:rsidR="00002BCC" w:rsidRPr="005D250A" w:rsidRDefault="00002BCC" w:rsidP="00002BCC">
      <w:pPr>
        <w:pStyle w:val="notetext"/>
      </w:pPr>
      <w:r w:rsidRPr="005D250A">
        <w:rPr>
          <w:snapToGrid w:val="0"/>
          <w:lang w:eastAsia="en-US"/>
        </w:rPr>
        <w:t>Note:</w:t>
      </w:r>
      <w:r w:rsidRPr="005D250A">
        <w:rPr>
          <w:snapToGrid w:val="0"/>
          <w:lang w:eastAsia="en-US"/>
        </w:rPr>
        <w:tab/>
        <w:t>This table relates only to the provisions of this instrument</w:t>
      </w:r>
      <w:r w:rsidRPr="005D250A">
        <w:t xml:space="preserve"> </w:t>
      </w:r>
      <w:r w:rsidRPr="005D250A">
        <w:rPr>
          <w:snapToGrid w:val="0"/>
          <w:lang w:eastAsia="en-US"/>
        </w:rPr>
        <w:t>as originally made. It will not be amended to deal with any later amendments of this instrument.</w:t>
      </w:r>
    </w:p>
    <w:p w14:paraId="238F9CCA" w14:textId="77777777" w:rsidR="00002BCC" w:rsidRPr="005D250A" w:rsidRDefault="00002BCC" w:rsidP="00002BCC">
      <w:pPr>
        <w:pStyle w:val="subsection"/>
      </w:pPr>
      <w:r w:rsidRPr="005D250A">
        <w:tab/>
        <w:t>(2)</w:t>
      </w:r>
      <w:r w:rsidRPr="005D250A">
        <w:tab/>
        <w:t>Any information in column 3 of the table is not part of this instrument. Information may be inserted in this column, or information in it may be edited, in any published version of this instrument.</w:t>
      </w:r>
    </w:p>
    <w:p w14:paraId="577EAD19" w14:textId="77777777" w:rsidR="005E317F" w:rsidRPr="005D250A" w:rsidRDefault="005E317F" w:rsidP="005E317F">
      <w:pPr>
        <w:pStyle w:val="ActHead5"/>
      </w:pPr>
      <w:bookmarkStart w:id="5" w:name="_Toc57796039"/>
      <w:r w:rsidRPr="005D250A">
        <w:rPr>
          <w:rStyle w:val="CharSectno"/>
        </w:rPr>
        <w:t>3</w:t>
      </w:r>
      <w:r w:rsidRPr="005D250A">
        <w:t xml:space="preserve">  Authority</w:t>
      </w:r>
      <w:bookmarkEnd w:id="5"/>
    </w:p>
    <w:p w14:paraId="31C38F5E" w14:textId="77777777" w:rsidR="005E317F" w:rsidRPr="005D250A" w:rsidRDefault="005E317F" w:rsidP="005E317F">
      <w:pPr>
        <w:pStyle w:val="subsection"/>
      </w:pPr>
      <w:r w:rsidRPr="005D250A">
        <w:tab/>
      </w:r>
      <w:r w:rsidRPr="005D250A">
        <w:tab/>
        <w:t xml:space="preserve">This instrument is made under </w:t>
      </w:r>
      <w:r w:rsidR="007353C9" w:rsidRPr="005D250A">
        <w:t>section 238</w:t>
      </w:r>
      <w:r w:rsidR="007353C9" w:rsidRPr="005D250A">
        <w:noBreakHyphen/>
        <w:t xml:space="preserve">10 of the </w:t>
      </w:r>
      <w:r w:rsidR="007353C9" w:rsidRPr="005D250A">
        <w:rPr>
          <w:i/>
        </w:rPr>
        <w:t>Higher Education Support Act 2003</w:t>
      </w:r>
      <w:r w:rsidRPr="005D250A">
        <w:t>.</w:t>
      </w:r>
    </w:p>
    <w:p w14:paraId="365FE995" w14:textId="77777777" w:rsidR="005E317F" w:rsidRPr="005D250A" w:rsidRDefault="005E317F" w:rsidP="005E317F">
      <w:pPr>
        <w:pStyle w:val="ActHead5"/>
      </w:pPr>
      <w:bookmarkStart w:id="6" w:name="_Toc57796040"/>
      <w:r w:rsidRPr="005D250A">
        <w:t>4  Schedules</w:t>
      </w:r>
      <w:bookmarkEnd w:id="6"/>
    </w:p>
    <w:p w14:paraId="1890CA34" w14:textId="446BC535" w:rsidR="005E317F" w:rsidRPr="005D250A" w:rsidRDefault="005E317F" w:rsidP="005E317F">
      <w:pPr>
        <w:pStyle w:val="subsection"/>
      </w:pPr>
      <w:r w:rsidRPr="005D250A">
        <w:tab/>
      </w:r>
      <w:r w:rsidRPr="005D250A">
        <w:tab/>
        <w:t>Each instrument that is specified in a Schedule to this instrument is amended as set out in the applicable items in the Schedule concerned, and any other item in a Schedule to this instrument has effect according to its terms.</w:t>
      </w:r>
    </w:p>
    <w:p w14:paraId="75794B9B" w14:textId="74ABF3E0" w:rsidR="001564E7" w:rsidRPr="005D250A" w:rsidRDefault="001564E7" w:rsidP="001564E7">
      <w:pPr>
        <w:pStyle w:val="ActHead5"/>
      </w:pPr>
      <w:bookmarkStart w:id="7" w:name="_Toc57796041"/>
      <w:r w:rsidRPr="005D250A">
        <w:t>5</w:t>
      </w:r>
      <w:r w:rsidR="00C809A6" w:rsidRPr="005D250A">
        <w:t xml:space="preserve">  </w:t>
      </w:r>
      <w:r w:rsidRPr="005D250A">
        <w:t>Savings provision</w:t>
      </w:r>
      <w:bookmarkEnd w:id="7"/>
    </w:p>
    <w:p w14:paraId="1DDCC75E" w14:textId="764989FD" w:rsidR="001564E7" w:rsidRPr="005D250A" w:rsidRDefault="001564E7" w:rsidP="001564E7">
      <w:pPr>
        <w:pStyle w:val="subsection"/>
      </w:pPr>
      <w:r w:rsidRPr="005D250A">
        <w:tab/>
      </w:r>
      <w:bookmarkStart w:id="8" w:name="_Hlk54711506"/>
      <w:r w:rsidR="006968BC" w:rsidRPr="005D250A">
        <w:tab/>
        <w:t xml:space="preserve">Despite the repeal of Part 3 of Chapter 1 of the </w:t>
      </w:r>
      <w:r w:rsidR="006968BC" w:rsidRPr="005D250A">
        <w:rPr>
          <w:i/>
          <w:iCs/>
        </w:rPr>
        <w:t>Other Grants Guidelines (Education) 2012</w:t>
      </w:r>
      <w:r w:rsidR="006968BC" w:rsidRPr="005D250A">
        <w:t xml:space="preserve"> made by Schedule 1 of this instrument, that Part, as in force immediately before the commencement of this instrument, continues to apply on and after that commencement in relation to a grant made under </w:t>
      </w:r>
      <w:r w:rsidR="00BD3FDE" w:rsidRPr="005D250A">
        <w:t xml:space="preserve">the Higher Education Participation and Partnerships Program </w:t>
      </w:r>
      <w:r w:rsidR="006968BC" w:rsidRPr="005D250A">
        <w:t>in respect of the 2020 grant year</w:t>
      </w:r>
      <w:bookmarkEnd w:id="8"/>
      <w:r w:rsidR="006968BC" w:rsidRPr="005D250A">
        <w:t>.</w:t>
      </w:r>
    </w:p>
    <w:p w14:paraId="05A9F4E7" w14:textId="77777777" w:rsidR="005E317F" w:rsidRPr="005D250A" w:rsidRDefault="005E317F" w:rsidP="005E317F">
      <w:pPr>
        <w:pStyle w:val="ActHead6"/>
        <w:pageBreakBefore/>
      </w:pPr>
      <w:bookmarkStart w:id="9" w:name="_Toc57796042"/>
      <w:r w:rsidRPr="005D250A">
        <w:rPr>
          <w:rStyle w:val="CharAmSchNo"/>
        </w:rPr>
        <w:lastRenderedPageBreak/>
        <w:t>Schedule 1</w:t>
      </w:r>
      <w:r w:rsidRPr="005D250A">
        <w:t>—</w:t>
      </w:r>
      <w:r w:rsidRPr="005D250A">
        <w:rPr>
          <w:rStyle w:val="CharAmSchText"/>
        </w:rPr>
        <w:t>Amendments</w:t>
      </w:r>
      <w:bookmarkEnd w:id="9"/>
    </w:p>
    <w:p w14:paraId="6424E462" w14:textId="77777777" w:rsidR="005E317F" w:rsidRPr="005D250A" w:rsidRDefault="00B52702" w:rsidP="005E317F">
      <w:pPr>
        <w:pStyle w:val="ActHead9"/>
      </w:pPr>
      <w:bookmarkStart w:id="10" w:name="_Toc57796043"/>
      <w:r w:rsidRPr="005D250A">
        <w:t>Other Grants Guidelines (Education) 2012</w:t>
      </w:r>
      <w:bookmarkEnd w:id="10"/>
    </w:p>
    <w:p w14:paraId="765A72B8" w14:textId="407A3E6E" w:rsidR="001244CE" w:rsidRPr="005D250A" w:rsidRDefault="001244CE" w:rsidP="001244CE">
      <w:pPr>
        <w:pStyle w:val="ItemHead"/>
        <w:ind w:left="284" w:hanging="284"/>
      </w:pPr>
      <w:r w:rsidRPr="005D250A">
        <w:t>1</w:t>
      </w:r>
      <w:r w:rsidRPr="005D250A">
        <w:tab/>
        <w:t xml:space="preserve">Clause i.ii </w:t>
      </w:r>
      <w:r w:rsidR="006E2442" w:rsidRPr="005D250A">
        <w:t xml:space="preserve">(definition of </w:t>
      </w:r>
      <w:r w:rsidR="006E2442" w:rsidRPr="005D250A">
        <w:rPr>
          <w:i/>
        </w:rPr>
        <w:t>people or student from a low socio-economic (SES) background</w:t>
      </w:r>
      <w:r w:rsidR="006E2442" w:rsidRPr="005D250A">
        <w:t>)</w:t>
      </w:r>
      <w:r w:rsidRPr="005D250A">
        <w:t xml:space="preserve"> </w:t>
      </w:r>
    </w:p>
    <w:p w14:paraId="06EFE4FF" w14:textId="5EBA86BE" w:rsidR="001244CE" w:rsidRPr="005D250A" w:rsidRDefault="001244CE" w:rsidP="001244CE">
      <w:pPr>
        <w:pStyle w:val="Item"/>
      </w:pPr>
      <w:r w:rsidRPr="005D250A">
        <w:t xml:space="preserve">Repeal </w:t>
      </w:r>
      <w:r w:rsidR="00662D84" w:rsidRPr="005D250A">
        <w:t xml:space="preserve">the </w:t>
      </w:r>
      <w:r w:rsidRPr="005D250A">
        <w:t>definition</w:t>
      </w:r>
      <w:r w:rsidR="008E7AC1" w:rsidRPr="005D250A">
        <w:t>.</w:t>
      </w:r>
      <w:r w:rsidRPr="005D250A">
        <w:t xml:space="preserve">  </w:t>
      </w:r>
    </w:p>
    <w:p w14:paraId="3C30D0B2" w14:textId="40E83383" w:rsidR="00090916" w:rsidRPr="005D250A" w:rsidRDefault="00090916" w:rsidP="001244CE">
      <w:pPr>
        <w:pStyle w:val="ItemHead"/>
        <w:ind w:left="284" w:hanging="284"/>
      </w:pPr>
      <w:r w:rsidRPr="005D250A">
        <w:t>2</w:t>
      </w:r>
      <w:r w:rsidRPr="005D250A">
        <w:tab/>
        <w:t>Clause i.ii – Interpretation</w:t>
      </w:r>
      <w:r w:rsidR="007664E2" w:rsidRPr="005D250A">
        <w:t xml:space="preserve"> (</w:t>
      </w:r>
      <w:r w:rsidRPr="005D250A">
        <w:t xml:space="preserve">after definition of </w:t>
      </w:r>
      <w:r w:rsidRPr="005D250A">
        <w:rPr>
          <w:i/>
        </w:rPr>
        <w:t>AMC Institute</w:t>
      </w:r>
      <w:r w:rsidR="007664E2" w:rsidRPr="005D250A">
        <w:t>)</w:t>
      </w:r>
    </w:p>
    <w:p w14:paraId="37C31023" w14:textId="2760319C" w:rsidR="00090916" w:rsidRPr="005D250A" w:rsidRDefault="00090916" w:rsidP="00090916">
      <w:pPr>
        <w:pStyle w:val="Item"/>
      </w:pPr>
      <w:r w:rsidRPr="005D250A">
        <w:t xml:space="preserve">Insert: </w:t>
      </w:r>
    </w:p>
    <w:p w14:paraId="305BEFC3" w14:textId="77777777" w:rsidR="00041C1E" w:rsidRPr="005D250A" w:rsidRDefault="00041C1E" w:rsidP="00041C1E">
      <w:pPr>
        <w:pStyle w:val="ItemHead"/>
        <w:spacing w:before="0"/>
      </w:pPr>
    </w:p>
    <w:tbl>
      <w:tblPr>
        <w:tblStyle w:val="TableGrid"/>
        <w:tblW w:w="779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534"/>
      </w:tblGrid>
      <w:tr w:rsidR="00CB23FC" w:rsidRPr="005D250A" w14:paraId="46EC01A7" w14:textId="77777777" w:rsidTr="00CB23FC">
        <w:tc>
          <w:tcPr>
            <w:tcW w:w="2263" w:type="dxa"/>
          </w:tcPr>
          <w:p w14:paraId="46C8827E" w14:textId="031C2745" w:rsidR="00CB23FC" w:rsidRPr="005D250A" w:rsidRDefault="00CB23FC" w:rsidP="00CB23FC">
            <w:pPr>
              <w:pStyle w:val="Item"/>
              <w:ind w:left="0"/>
              <w:rPr>
                <w:i/>
              </w:rPr>
            </w:pPr>
            <w:r w:rsidRPr="005D250A">
              <w:rPr>
                <w:i/>
              </w:rPr>
              <w:t>campus</w:t>
            </w:r>
            <w:r w:rsidRPr="005D250A">
              <w:t xml:space="preserve"> </w:t>
            </w:r>
          </w:p>
        </w:tc>
        <w:tc>
          <w:tcPr>
            <w:tcW w:w="5534" w:type="dxa"/>
          </w:tcPr>
          <w:p w14:paraId="1543038D" w14:textId="6A1B3205" w:rsidR="00CB23FC" w:rsidRPr="005D250A" w:rsidRDefault="00CB23FC" w:rsidP="00CB23FC">
            <w:pPr>
              <w:pStyle w:val="Item"/>
              <w:ind w:left="0"/>
            </w:pPr>
            <w:r w:rsidRPr="005D250A">
              <w:t>means the physical location at which a provider delivers a unit of study. For on-line/distance education courses or where studies require attendance at locations such as a health centre, teaching hospital or agricultural farm, the campus is the location from which the course is administered.</w:t>
            </w:r>
          </w:p>
        </w:tc>
      </w:tr>
    </w:tbl>
    <w:p w14:paraId="47FF7854" w14:textId="2D95E6A4" w:rsidR="00CB23FC" w:rsidRPr="005D250A" w:rsidRDefault="00CB23FC" w:rsidP="00CB23FC">
      <w:pPr>
        <w:pStyle w:val="Item"/>
        <w:ind w:left="0"/>
        <w:rPr>
          <w:i/>
        </w:rPr>
      </w:pPr>
    </w:p>
    <w:p w14:paraId="577C4C74" w14:textId="03C50E96" w:rsidR="00CD52E6" w:rsidRPr="005D250A" w:rsidRDefault="001D7C14" w:rsidP="001244CE">
      <w:pPr>
        <w:pStyle w:val="ItemHead"/>
        <w:ind w:left="284" w:hanging="284"/>
      </w:pPr>
      <w:r w:rsidRPr="005D250A">
        <w:t>3</w:t>
      </w:r>
      <w:r w:rsidR="001244CE" w:rsidRPr="005D250A">
        <w:tab/>
      </w:r>
      <w:r w:rsidR="00CD52E6" w:rsidRPr="005D250A">
        <w:t xml:space="preserve">Clause i.ii – Interpretation </w:t>
      </w:r>
      <w:r w:rsidR="007664E2" w:rsidRPr="005D250A">
        <w:t>(</w:t>
      </w:r>
      <w:r w:rsidR="00CD52E6" w:rsidRPr="005D250A">
        <w:t xml:space="preserve">after definition of </w:t>
      </w:r>
      <w:r w:rsidR="00CD52E6" w:rsidRPr="005D250A">
        <w:rPr>
          <w:i/>
        </w:rPr>
        <w:t>the Department</w:t>
      </w:r>
      <w:r w:rsidR="007664E2" w:rsidRPr="005D250A">
        <w:t>)</w:t>
      </w:r>
    </w:p>
    <w:p w14:paraId="568DD2E2" w14:textId="77777777" w:rsidR="00CD52E6" w:rsidRPr="005D250A" w:rsidRDefault="00CD52E6" w:rsidP="00CD52E6">
      <w:pPr>
        <w:pStyle w:val="Item"/>
      </w:pPr>
      <w:r w:rsidRPr="005D250A">
        <w:t xml:space="preserve">Insert: </w:t>
      </w:r>
    </w:p>
    <w:p w14:paraId="19E012A7" w14:textId="14A4A650" w:rsidR="00546ECC" w:rsidRPr="005D250A" w:rsidRDefault="00546ECC" w:rsidP="00546ECC">
      <w:pPr>
        <w:pStyle w:val="ItemHead"/>
        <w:ind w:left="2880" w:hanging="2170"/>
        <w:rPr>
          <w:rFonts w:ascii="Times New Roman" w:hAnsi="Times New Roman"/>
          <w:b w:val="0"/>
          <w:kern w:val="0"/>
          <w:sz w:val="22"/>
        </w:rPr>
      </w:pPr>
      <w:r w:rsidRPr="005D250A">
        <w:rPr>
          <w:rFonts w:ascii="Times New Roman" w:hAnsi="Times New Roman"/>
          <w:b w:val="0"/>
          <w:i/>
          <w:kern w:val="0"/>
          <w:sz w:val="22"/>
        </w:rPr>
        <w:t xml:space="preserve">external </w:t>
      </w:r>
      <w:r w:rsidRPr="005D250A">
        <w:rPr>
          <w:rFonts w:ascii="Times New Roman" w:hAnsi="Times New Roman"/>
          <w:b w:val="0"/>
          <w:i/>
          <w:kern w:val="0"/>
          <w:sz w:val="22"/>
        </w:rPr>
        <w:tab/>
      </w:r>
      <w:r w:rsidRPr="005D250A">
        <w:rPr>
          <w:rFonts w:ascii="Times New Roman" w:hAnsi="Times New Roman"/>
          <w:b w:val="0"/>
          <w:kern w:val="0"/>
          <w:sz w:val="22"/>
        </w:rPr>
        <w:t xml:space="preserve">means a mode of attendance for a unit of study whereby the provider delivers the course materials to the student and the student is not required to attend classes on campus on a regular basis. </w:t>
      </w:r>
    </w:p>
    <w:p w14:paraId="0B8D0F53" w14:textId="7C9C9D1C" w:rsidR="002163CF" w:rsidRPr="005D250A" w:rsidRDefault="002163CF" w:rsidP="00024900">
      <w:pPr>
        <w:pStyle w:val="ItemHead"/>
        <w:ind w:left="284" w:hanging="284"/>
      </w:pPr>
      <w:r w:rsidRPr="005D250A">
        <w:t>4</w:t>
      </w:r>
      <w:r w:rsidRPr="005D250A">
        <w:tab/>
        <w:t xml:space="preserve">Clause i.ii – Interpretation (after definition of </w:t>
      </w:r>
      <w:r w:rsidRPr="005D250A">
        <w:rPr>
          <w:i/>
        </w:rPr>
        <w:t>Field of Education (FOE)</w:t>
      </w:r>
      <w:r w:rsidRPr="005D250A">
        <w:t>)</w:t>
      </w:r>
    </w:p>
    <w:p w14:paraId="32FEAC07" w14:textId="3152D919" w:rsidR="00C23393" w:rsidRPr="005D250A" w:rsidRDefault="00C23393" w:rsidP="00C23393">
      <w:pPr>
        <w:pStyle w:val="ItemHead"/>
        <w:ind w:left="2880" w:hanging="2170"/>
        <w:rPr>
          <w:rFonts w:ascii="Times New Roman" w:hAnsi="Times New Roman"/>
          <w:b w:val="0"/>
          <w:i/>
          <w:kern w:val="0"/>
          <w:sz w:val="22"/>
        </w:rPr>
      </w:pPr>
      <w:r w:rsidRPr="005D250A">
        <w:rPr>
          <w:rFonts w:ascii="Times New Roman" w:hAnsi="Times New Roman"/>
          <w:b w:val="0"/>
          <w:i/>
          <w:kern w:val="0"/>
          <w:sz w:val="22"/>
        </w:rPr>
        <w:t xml:space="preserve">headquarters </w:t>
      </w:r>
      <w:r w:rsidRPr="005D250A">
        <w:rPr>
          <w:rFonts w:ascii="Times New Roman" w:hAnsi="Times New Roman"/>
          <w:b w:val="0"/>
          <w:i/>
          <w:kern w:val="0"/>
          <w:sz w:val="22"/>
        </w:rPr>
        <w:tab/>
      </w:r>
      <w:r w:rsidRPr="005D250A">
        <w:rPr>
          <w:rFonts w:ascii="Times New Roman" w:hAnsi="Times New Roman"/>
          <w:b w:val="0"/>
          <w:kern w:val="0"/>
          <w:sz w:val="22"/>
        </w:rPr>
        <w:t>means a provider’s campus location where the sum of the internal and multi-modal EFTSL of Commonwealth supported students is the largest.</w:t>
      </w:r>
    </w:p>
    <w:p w14:paraId="3F4A3DB7" w14:textId="77777777" w:rsidR="00546ECC" w:rsidRPr="005D250A" w:rsidRDefault="00CD52E6" w:rsidP="00546ECC">
      <w:pPr>
        <w:pStyle w:val="ItemHead"/>
        <w:ind w:left="2880" w:hanging="2170"/>
      </w:pPr>
      <w:r w:rsidRPr="005D250A">
        <w:rPr>
          <w:rFonts w:ascii="Times New Roman" w:hAnsi="Times New Roman"/>
          <w:b w:val="0"/>
          <w:i/>
          <w:kern w:val="0"/>
          <w:sz w:val="22"/>
        </w:rPr>
        <w:t>HEIMS</w:t>
      </w:r>
      <w:r w:rsidRPr="005D250A">
        <w:tab/>
      </w:r>
      <w:r w:rsidRPr="005D250A">
        <w:rPr>
          <w:rFonts w:ascii="Times New Roman" w:hAnsi="Times New Roman"/>
          <w:b w:val="0"/>
          <w:kern w:val="0"/>
          <w:sz w:val="22"/>
        </w:rPr>
        <w:t>means the Higher Education Information Management System.</w:t>
      </w:r>
    </w:p>
    <w:p w14:paraId="1E2E6A87" w14:textId="31D3421C" w:rsidR="001D7C14" w:rsidRPr="005D250A" w:rsidRDefault="00024900" w:rsidP="001244CE">
      <w:pPr>
        <w:pStyle w:val="ItemHead"/>
        <w:ind w:left="284" w:hanging="284"/>
      </w:pPr>
      <w:r w:rsidRPr="005D250A">
        <w:t>5</w:t>
      </w:r>
      <w:r w:rsidR="001D7C14" w:rsidRPr="005D250A">
        <w:tab/>
        <w:t xml:space="preserve">Clause i.ii – Interpretation </w:t>
      </w:r>
      <w:r w:rsidR="007664E2" w:rsidRPr="005D250A">
        <w:t>(</w:t>
      </w:r>
      <w:r w:rsidR="001D7C14" w:rsidRPr="005D250A">
        <w:t xml:space="preserve">after </w:t>
      </w:r>
      <w:r w:rsidR="00663298" w:rsidRPr="005D250A">
        <w:t xml:space="preserve">definition of </w:t>
      </w:r>
      <w:r w:rsidR="001D7C14" w:rsidRPr="005D250A">
        <w:rPr>
          <w:i/>
        </w:rPr>
        <w:t>HESDC</w:t>
      </w:r>
      <w:r w:rsidR="007664E2" w:rsidRPr="005D250A">
        <w:t>)</w:t>
      </w:r>
    </w:p>
    <w:p w14:paraId="75B976BC" w14:textId="77777777" w:rsidR="001D7C14" w:rsidRPr="005D250A" w:rsidRDefault="001D7C14" w:rsidP="001D7C14">
      <w:pPr>
        <w:pStyle w:val="Item"/>
      </w:pPr>
      <w:r w:rsidRPr="005D250A">
        <w:t xml:space="preserve">Insert: </w:t>
      </w:r>
    </w:p>
    <w:p w14:paraId="25E2668B" w14:textId="4CC1F136" w:rsidR="00041C1E" w:rsidRPr="005D250A" w:rsidRDefault="001D7C14" w:rsidP="00531A69">
      <w:pPr>
        <w:pStyle w:val="ItemHead"/>
        <w:ind w:left="2880" w:hanging="2170"/>
      </w:pPr>
      <w:r w:rsidRPr="005D250A">
        <w:rPr>
          <w:rFonts w:ascii="Times New Roman" w:hAnsi="Times New Roman"/>
          <w:b w:val="0"/>
          <w:i/>
          <w:kern w:val="0"/>
          <w:sz w:val="22"/>
        </w:rPr>
        <w:t xml:space="preserve">internal </w:t>
      </w:r>
      <w:r w:rsidRPr="005D250A">
        <w:rPr>
          <w:rFonts w:ascii="Times New Roman" w:hAnsi="Times New Roman"/>
          <w:b w:val="0"/>
          <w:kern w:val="0"/>
          <w:sz w:val="22"/>
        </w:rPr>
        <w:tab/>
        <w:t>means a mode of attendance for a unit of study whereby the student must attend classes at the provider’s facilities on a regular basis.</w:t>
      </w:r>
    </w:p>
    <w:p w14:paraId="798F6B4C" w14:textId="474F72EB" w:rsidR="001D7C14" w:rsidRPr="005D250A" w:rsidRDefault="00024900" w:rsidP="001244CE">
      <w:pPr>
        <w:pStyle w:val="ItemHead"/>
        <w:ind w:left="284" w:hanging="284"/>
      </w:pPr>
      <w:r w:rsidRPr="005D250A">
        <w:t>6</w:t>
      </w:r>
      <w:r w:rsidR="001D7C14" w:rsidRPr="005D250A">
        <w:tab/>
        <w:t xml:space="preserve">Clause i.ii – Interpretation </w:t>
      </w:r>
      <w:r w:rsidR="00317DB5" w:rsidRPr="005D250A">
        <w:t>(</w:t>
      </w:r>
      <w:r w:rsidR="001D7C14" w:rsidRPr="005D250A">
        <w:t>after</w:t>
      </w:r>
      <w:r w:rsidR="00663298" w:rsidRPr="005D250A">
        <w:t xml:space="preserve"> definition of</w:t>
      </w:r>
      <w:r w:rsidR="001D7C14" w:rsidRPr="005D250A">
        <w:t xml:space="preserve"> </w:t>
      </w:r>
      <w:r w:rsidR="001D7C14" w:rsidRPr="005D250A">
        <w:rPr>
          <w:i/>
        </w:rPr>
        <w:t>Minister</w:t>
      </w:r>
      <w:r w:rsidR="00317DB5" w:rsidRPr="005D250A">
        <w:t>)</w:t>
      </w:r>
    </w:p>
    <w:p w14:paraId="0E1436E7" w14:textId="77777777" w:rsidR="001D7C14" w:rsidRPr="005D250A" w:rsidRDefault="001D7C14" w:rsidP="001D7C14">
      <w:pPr>
        <w:pStyle w:val="Item"/>
      </w:pPr>
      <w:r w:rsidRPr="005D250A">
        <w:t xml:space="preserve">Insert: </w:t>
      </w:r>
    </w:p>
    <w:p w14:paraId="388AEBCC" w14:textId="77777777" w:rsidR="001D7C14" w:rsidRPr="005D250A" w:rsidRDefault="001D7C14" w:rsidP="001D7C14">
      <w:pPr>
        <w:pStyle w:val="ItemHead"/>
        <w:ind w:left="2880" w:hanging="2170"/>
        <w:rPr>
          <w:rFonts w:ascii="Times New Roman" w:hAnsi="Times New Roman"/>
          <w:b w:val="0"/>
          <w:kern w:val="0"/>
          <w:sz w:val="22"/>
        </w:rPr>
      </w:pPr>
      <w:r w:rsidRPr="005D250A">
        <w:rPr>
          <w:rFonts w:ascii="Times New Roman" w:hAnsi="Times New Roman"/>
          <w:b w:val="0"/>
          <w:i/>
          <w:kern w:val="0"/>
          <w:sz w:val="22"/>
        </w:rPr>
        <w:lastRenderedPageBreak/>
        <w:t>multi-modal</w:t>
      </w:r>
      <w:r w:rsidRPr="005D250A">
        <w:rPr>
          <w:rFonts w:ascii="Times New Roman" w:hAnsi="Times New Roman"/>
          <w:b w:val="0"/>
          <w:kern w:val="0"/>
          <w:sz w:val="22"/>
        </w:rPr>
        <w:t xml:space="preserve"> </w:t>
      </w:r>
      <w:r w:rsidRPr="005D250A">
        <w:rPr>
          <w:rFonts w:ascii="Times New Roman" w:hAnsi="Times New Roman"/>
          <w:b w:val="0"/>
          <w:kern w:val="0"/>
          <w:sz w:val="22"/>
        </w:rPr>
        <w:tab/>
        <w:t>means a mode of attendance for a unit of study that is undertaken partially in an internal mode of attendance and partially in an external mode.</w:t>
      </w:r>
    </w:p>
    <w:p w14:paraId="4484CD92" w14:textId="4DF87417" w:rsidR="008E7AC1" w:rsidRPr="005D250A" w:rsidRDefault="00AB7699" w:rsidP="001244CE">
      <w:pPr>
        <w:pStyle w:val="ItemHead"/>
        <w:ind w:left="284" w:hanging="284"/>
      </w:pPr>
      <w:r w:rsidRPr="005D250A">
        <w:t>7</w:t>
      </w:r>
      <w:r w:rsidR="00CD52E6" w:rsidRPr="005D250A">
        <w:tab/>
      </w:r>
      <w:r w:rsidR="008E7AC1" w:rsidRPr="005D250A">
        <w:t xml:space="preserve">Clause i.ii – Interpretation </w:t>
      </w:r>
      <w:r w:rsidR="00317DB5" w:rsidRPr="005D250A">
        <w:t>(</w:t>
      </w:r>
      <w:r w:rsidR="008E7AC1" w:rsidRPr="005D250A">
        <w:t xml:space="preserve">after definition of </w:t>
      </w:r>
      <w:r w:rsidR="008E7AC1" w:rsidRPr="005D250A">
        <w:rPr>
          <w:i/>
        </w:rPr>
        <w:t>ISP</w:t>
      </w:r>
      <w:r w:rsidR="00317DB5" w:rsidRPr="005D250A">
        <w:t>)</w:t>
      </w:r>
    </w:p>
    <w:p w14:paraId="35CF396C" w14:textId="77777777" w:rsidR="008E7AC1" w:rsidRPr="005D250A" w:rsidRDefault="008E7AC1" w:rsidP="008E7AC1">
      <w:pPr>
        <w:pStyle w:val="Item"/>
      </w:pPr>
      <w:r w:rsidRPr="005D250A">
        <w:t xml:space="preserve">Insert: </w:t>
      </w:r>
    </w:p>
    <w:p w14:paraId="69DAC6D6" w14:textId="3FC776E7" w:rsidR="008E7AC1" w:rsidRPr="005D250A" w:rsidRDefault="008E7AC1" w:rsidP="000302E4">
      <w:pPr>
        <w:pStyle w:val="Item"/>
        <w:ind w:left="2880" w:hanging="2156"/>
      </w:pPr>
      <w:r w:rsidRPr="005D250A">
        <w:rPr>
          <w:i/>
        </w:rPr>
        <w:t xml:space="preserve">low </w:t>
      </w:r>
      <w:r w:rsidR="000302E4" w:rsidRPr="005D250A">
        <w:rPr>
          <w:i/>
        </w:rPr>
        <w:t>SES</w:t>
      </w:r>
      <w:r w:rsidRPr="005D250A">
        <w:rPr>
          <w:i/>
        </w:rPr>
        <w:t xml:space="preserve"> background</w:t>
      </w:r>
      <w:r w:rsidRPr="005D250A">
        <w:tab/>
        <w:t>refers to a student or person who has a home address in the lowest quartile</w:t>
      </w:r>
      <w:r w:rsidR="00DD279A" w:rsidRPr="005D250A">
        <w:t>, by Statistical Area 1,</w:t>
      </w:r>
      <w:r w:rsidRPr="005D250A">
        <w:t xml:space="preserve"> </w:t>
      </w:r>
      <w:r w:rsidR="00DD279A" w:rsidRPr="005D250A">
        <w:t>as referred to in the document published by</w:t>
      </w:r>
      <w:r w:rsidRPr="005D250A">
        <w:t xml:space="preserve"> the Australian </w:t>
      </w:r>
      <w:r w:rsidR="00DD279A" w:rsidRPr="005D250A">
        <w:t>Statistician entitled</w:t>
      </w:r>
      <w:r w:rsidRPr="005D250A">
        <w:t xml:space="preserve"> Socio-Economic Indexes for Areas (SEIFA).</w:t>
      </w:r>
    </w:p>
    <w:p w14:paraId="090B0172" w14:textId="4F8A8493" w:rsidR="005E317F" w:rsidRPr="005D250A" w:rsidRDefault="00AB7699" w:rsidP="00A3158C">
      <w:pPr>
        <w:pStyle w:val="ItemHead"/>
        <w:spacing w:after="240"/>
        <w:ind w:left="284" w:hanging="284"/>
      </w:pPr>
      <w:r w:rsidRPr="005D250A">
        <w:t>8</w:t>
      </w:r>
      <w:r w:rsidR="008E7AC1" w:rsidRPr="005D250A">
        <w:tab/>
      </w:r>
      <w:r w:rsidR="00E44DE2" w:rsidRPr="005D250A">
        <w:t>Chapter 1 – Grants to Promote Equality of Opportunity in Higher Education</w:t>
      </w:r>
    </w:p>
    <w:p w14:paraId="06433601" w14:textId="77777777" w:rsidR="00E44DE2" w:rsidRPr="005D250A" w:rsidRDefault="00E44DE2" w:rsidP="00A3158C">
      <w:pPr>
        <w:pStyle w:val="Item"/>
        <w:spacing w:after="240"/>
      </w:pPr>
      <w:r w:rsidRPr="005D250A">
        <w:t>Repeal</w:t>
      </w:r>
      <w:r w:rsidR="005E317F" w:rsidRPr="005D250A">
        <w:t xml:space="preserve"> </w:t>
      </w:r>
      <w:r w:rsidRPr="005D250A">
        <w:t>Part 3, substitute</w:t>
      </w:r>
      <w:r w:rsidR="00E5046C" w:rsidRPr="005D250A">
        <w:t>:</w:t>
      </w:r>
    </w:p>
    <w:p w14:paraId="5B7B71B2" w14:textId="77777777" w:rsidR="00E44DE2" w:rsidRPr="005D250A" w:rsidRDefault="00FC73B8" w:rsidP="00A3158C">
      <w:pPr>
        <w:pStyle w:val="ItemHead"/>
        <w:spacing w:after="240"/>
        <w:rPr>
          <w:b w:val="0"/>
        </w:rPr>
      </w:pPr>
      <w:r w:rsidRPr="005D250A">
        <w:t>PART</w:t>
      </w:r>
      <w:r w:rsidR="00E44DE2" w:rsidRPr="005D250A">
        <w:t xml:space="preserve"> 3</w:t>
      </w:r>
      <w:r w:rsidR="00E44DE2" w:rsidRPr="005D250A">
        <w:rPr>
          <w:b w:val="0"/>
        </w:rPr>
        <w:t xml:space="preserve"> </w:t>
      </w:r>
      <w:r w:rsidR="00E44DE2" w:rsidRPr="005D250A">
        <w:t xml:space="preserve">– </w:t>
      </w:r>
      <w:r w:rsidRPr="005D250A">
        <w:t>INDIGENOUS,</w:t>
      </w:r>
      <w:r w:rsidR="00433843" w:rsidRPr="005D250A">
        <w:t xml:space="preserve"> REGIONAL AND LOW SOCIO-ECONOMIC </w:t>
      </w:r>
      <w:r w:rsidRPr="005D250A">
        <w:t>STATUS ATTAINMENT FUND (IRLSAF)</w:t>
      </w:r>
    </w:p>
    <w:p w14:paraId="29C58F62" w14:textId="77777777" w:rsidR="00E44DE2" w:rsidRPr="005D250A" w:rsidRDefault="00E44DE2" w:rsidP="005126F2">
      <w:pPr>
        <w:pStyle w:val="Item"/>
        <w:spacing w:after="240"/>
        <w:ind w:left="0"/>
        <w:rPr>
          <w:b/>
        </w:rPr>
      </w:pPr>
      <w:r w:rsidRPr="005D250A">
        <w:rPr>
          <w:b/>
        </w:rPr>
        <w:t>1.40 Purpose</w:t>
      </w:r>
    </w:p>
    <w:p w14:paraId="1B1A74A7" w14:textId="77777777" w:rsidR="00E44DE2" w:rsidRPr="005D250A" w:rsidRDefault="005126F2" w:rsidP="005126F2">
      <w:pPr>
        <w:pStyle w:val="Item"/>
        <w:spacing w:before="0"/>
        <w:ind w:left="720" w:hanging="720"/>
      </w:pPr>
      <w:r w:rsidRPr="005D250A">
        <w:t>1.40.1</w:t>
      </w:r>
      <w:r w:rsidRPr="005D250A">
        <w:tab/>
      </w:r>
      <w:r w:rsidR="00E44DE2" w:rsidRPr="005D250A">
        <w:t xml:space="preserve">The Indigenous, Regional and Low </w:t>
      </w:r>
      <w:r w:rsidR="002C6286" w:rsidRPr="005D250A">
        <w:t>Socio</w:t>
      </w:r>
      <w:r w:rsidR="00127760" w:rsidRPr="005D250A">
        <w:t>-E</w:t>
      </w:r>
      <w:r w:rsidR="009D44DF" w:rsidRPr="005D250A">
        <w:t>conomic S</w:t>
      </w:r>
      <w:r w:rsidR="002C6286" w:rsidRPr="005D250A">
        <w:t>tatus</w:t>
      </w:r>
      <w:r w:rsidR="00E44DE2" w:rsidRPr="005D250A">
        <w:t xml:space="preserve"> Attainment Fund (IRLSAF) </w:t>
      </w:r>
      <w:r w:rsidR="008E6BEA" w:rsidRPr="005D250A">
        <w:t>is specified as a program for the purposes of subsection 41</w:t>
      </w:r>
      <w:r w:rsidR="008E6BEA" w:rsidRPr="005D250A">
        <w:noBreakHyphen/>
        <w:t>15(1) of the Act. This Part also specifies matters listed in subsection 41</w:t>
      </w:r>
      <w:r w:rsidR="008E6BEA" w:rsidRPr="005D250A">
        <w:noBreakHyphen/>
        <w:t>15(2) of the Act in relation to that program</w:t>
      </w:r>
      <w:r w:rsidR="00E44DE2" w:rsidRPr="005D250A">
        <w:t xml:space="preserve">. </w:t>
      </w:r>
    </w:p>
    <w:p w14:paraId="60F9DA2C" w14:textId="77777777" w:rsidR="0038157A" w:rsidRPr="005D250A" w:rsidRDefault="0038157A" w:rsidP="00D125E7">
      <w:pPr>
        <w:pStyle w:val="Item"/>
        <w:spacing w:before="0"/>
        <w:ind w:left="0"/>
      </w:pPr>
    </w:p>
    <w:p w14:paraId="6C33A9F7" w14:textId="0CF8C51B" w:rsidR="00D125E7" w:rsidRPr="005D250A" w:rsidRDefault="005126F2" w:rsidP="005126F2">
      <w:pPr>
        <w:pStyle w:val="Item"/>
        <w:spacing w:before="0"/>
        <w:ind w:left="720" w:hanging="720"/>
      </w:pPr>
      <w:r w:rsidRPr="005D250A">
        <w:t>1.40.5</w:t>
      </w:r>
      <w:r w:rsidRPr="005D250A">
        <w:tab/>
      </w:r>
      <w:r w:rsidR="0038157A" w:rsidRPr="005D250A">
        <w:t>The purpose of the</w:t>
      </w:r>
      <w:r w:rsidR="00127760" w:rsidRPr="005D250A">
        <w:t xml:space="preserve"> IRLSAF</w:t>
      </w:r>
      <w:r w:rsidR="00670F2F" w:rsidRPr="005D250A">
        <w:t xml:space="preserve"> is to</w:t>
      </w:r>
      <w:r w:rsidR="00D125E7" w:rsidRPr="005D250A">
        <w:t xml:space="preserve"> promote equality of opportunity in higher education,</w:t>
      </w:r>
      <w:r w:rsidR="0038157A" w:rsidRPr="005D250A">
        <w:t xml:space="preserve"> </w:t>
      </w:r>
      <w:r w:rsidR="00D125E7" w:rsidRPr="005D250A">
        <w:t>in accordance with item 1</w:t>
      </w:r>
      <w:r w:rsidR="0038157A" w:rsidRPr="005D250A">
        <w:t xml:space="preserve"> of the table in subsection 41</w:t>
      </w:r>
      <w:r w:rsidR="0038157A" w:rsidRPr="005D250A">
        <w:noBreakHyphen/>
        <w:t>10(1) of the Act</w:t>
      </w:r>
      <w:r w:rsidR="00D125E7" w:rsidRPr="005D250A">
        <w:t xml:space="preserve">, by providing grants to </w:t>
      </w:r>
      <w:r w:rsidR="00992615" w:rsidRPr="005D250A">
        <w:t>higher education</w:t>
      </w:r>
      <w:r w:rsidR="00D125E7" w:rsidRPr="005D250A">
        <w:t xml:space="preserve"> providers</w:t>
      </w:r>
      <w:r w:rsidR="00992615" w:rsidRPr="005D250A">
        <w:t>,</w:t>
      </w:r>
      <w:r w:rsidR="00D125E7" w:rsidRPr="005D250A">
        <w:t xml:space="preserve"> </w:t>
      </w:r>
      <w:r w:rsidRPr="005D250A">
        <w:t xml:space="preserve">to encourage the enrolment of Indigenous persons, people </w:t>
      </w:r>
      <w:r w:rsidR="002C5150" w:rsidRPr="005D250A">
        <w:t>from</w:t>
      </w:r>
      <w:r w:rsidRPr="005D250A">
        <w:t xml:space="preserve"> a regional area or a remote area, and people </w:t>
      </w:r>
      <w:r w:rsidR="00EF5D0A" w:rsidRPr="005D250A">
        <w:t>from</w:t>
      </w:r>
      <w:r w:rsidRPr="005D250A">
        <w:t xml:space="preserve"> a low </w:t>
      </w:r>
      <w:r w:rsidR="000302E4" w:rsidRPr="005D250A">
        <w:t>SES</w:t>
      </w:r>
      <w:r w:rsidRPr="005D250A">
        <w:t xml:space="preserve"> background. </w:t>
      </w:r>
    </w:p>
    <w:p w14:paraId="150C5CB9" w14:textId="77777777" w:rsidR="00D125E7" w:rsidRPr="005D250A" w:rsidRDefault="00D125E7" w:rsidP="00D125E7">
      <w:pPr>
        <w:pStyle w:val="ItemHead"/>
        <w:spacing w:before="0"/>
      </w:pPr>
    </w:p>
    <w:p w14:paraId="164DDF94" w14:textId="51696E07" w:rsidR="002C6286" w:rsidRPr="005D250A" w:rsidRDefault="002C6286" w:rsidP="005126F2">
      <w:pPr>
        <w:pStyle w:val="Item"/>
        <w:spacing w:after="240"/>
        <w:ind w:left="0"/>
        <w:rPr>
          <w:b/>
        </w:rPr>
      </w:pPr>
      <w:r w:rsidRPr="005D250A">
        <w:rPr>
          <w:b/>
        </w:rPr>
        <w:t>1.4</w:t>
      </w:r>
      <w:r w:rsidR="0004793B" w:rsidRPr="005D250A">
        <w:rPr>
          <w:b/>
        </w:rPr>
        <w:t>1</w:t>
      </w:r>
      <w:r w:rsidRPr="005D250A">
        <w:rPr>
          <w:b/>
        </w:rPr>
        <w:t xml:space="preserve"> Program objectives</w:t>
      </w:r>
    </w:p>
    <w:p w14:paraId="4486F759" w14:textId="54AEDFFA" w:rsidR="002C6286" w:rsidRPr="005D250A" w:rsidRDefault="00A32001" w:rsidP="00F00117">
      <w:pPr>
        <w:pStyle w:val="Item"/>
        <w:ind w:hanging="709"/>
      </w:pPr>
      <w:r w:rsidRPr="005D250A">
        <w:t>1.4</w:t>
      </w:r>
      <w:r w:rsidR="0004793B" w:rsidRPr="005D250A">
        <w:t>1</w:t>
      </w:r>
      <w:r w:rsidRPr="005D250A">
        <w:t xml:space="preserve">.1 </w:t>
      </w:r>
      <w:r w:rsidR="00FC73B8" w:rsidRPr="005D250A">
        <w:tab/>
      </w:r>
      <w:r w:rsidR="00FC73B8" w:rsidRPr="005D250A">
        <w:tab/>
        <w:t>For</w:t>
      </w:r>
      <w:r w:rsidRPr="005D250A">
        <w:t xml:space="preserve"> the years 2021, 2022 and 2023, the IRLSAF consists of </w:t>
      </w:r>
      <w:r w:rsidR="006A5C49" w:rsidRPr="005D250A">
        <w:t xml:space="preserve">five </w:t>
      </w:r>
      <w:r w:rsidR="002936DE" w:rsidRPr="005D250A">
        <w:t>components</w:t>
      </w:r>
      <w:r w:rsidR="00FC73B8" w:rsidRPr="005D250A">
        <w:t>:</w:t>
      </w:r>
    </w:p>
    <w:p w14:paraId="08CBEF39" w14:textId="3E966E7E" w:rsidR="00FC73B8" w:rsidRPr="005D250A" w:rsidRDefault="00FC73B8" w:rsidP="006704B0">
      <w:pPr>
        <w:pStyle w:val="Item"/>
        <w:numPr>
          <w:ilvl w:val="0"/>
          <w:numId w:val="12"/>
        </w:numPr>
      </w:pPr>
      <w:r w:rsidRPr="005D250A">
        <w:t>the Higher Education Participation and Partnerships Program</w:t>
      </w:r>
      <w:r w:rsidR="0059185D" w:rsidRPr="005D250A">
        <w:t xml:space="preserve"> (HEPPP)</w:t>
      </w:r>
      <w:r w:rsidR="00CF1FDB" w:rsidRPr="005D250A">
        <w:t>;</w:t>
      </w:r>
    </w:p>
    <w:p w14:paraId="12A501AD" w14:textId="2EB8CD5B" w:rsidR="006A5C49" w:rsidRPr="005D250A" w:rsidRDefault="003F281C" w:rsidP="006704B0">
      <w:pPr>
        <w:pStyle w:val="Item"/>
        <w:numPr>
          <w:ilvl w:val="0"/>
          <w:numId w:val="12"/>
        </w:numPr>
      </w:pPr>
      <w:r w:rsidRPr="005D250A">
        <w:t xml:space="preserve">the </w:t>
      </w:r>
      <w:r w:rsidR="006A5C49" w:rsidRPr="005D250A">
        <w:t xml:space="preserve">National Priorities </w:t>
      </w:r>
      <w:r w:rsidR="0025004F" w:rsidRPr="005D250A">
        <w:t>P</w:t>
      </w:r>
      <w:r w:rsidR="006A5C49" w:rsidRPr="005D250A">
        <w:t>ool</w:t>
      </w:r>
      <w:r w:rsidR="00485AC7" w:rsidRPr="005D250A">
        <w:t xml:space="preserve"> Program</w:t>
      </w:r>
      <w:r w:rsidRPr="005D250A">
        <w:t>;</w:t>
      </w:r>
    </w:p>
    <w:p w14:paraId="5F3E0484" w14:textId="5D1FABCD" w:rsidR="006A5C49" w:rsidRPr="005D250A" w:rsidRDefault="003F281C" w:rsidP="006704B0">
      <w:pPr>
        <w:pStyle w:val="Item"/>
        <w:numPr>
          <w:ilvl w:val="0"/>
          <w:numId w:val="12"/>
        </w:numPr>
      </w:pPr>
      <w:r w:rsidRPr="005D250A">
        <w:t xml:space="preserve">the </w:t>
      </w:r>
      <w:r w:rsidR="006A5C49" w:rsidRPr="005D250A">
        <w:t>Regional Partnerships Project Pool</w:t>
      </w:r>
      <w:r w:rsidR="00485AC7" w:rsidRPr="005D250A">
        <w:t xml:space="preserve"> Program</w:t>
      </w:r>
      <w:r w:rsidRPr="005D250A">
        <w:t>;</w:t>
      </w:r>
    </w:p>
    <w:p w14:paraId="69401E68" w14:textId="3C7324D7" w:rsidR="00FC73B8" w:rsidRPr="005D250A" w:rsidRDefault="00CF1FDB" w:rsidP="006704B0">
      <w:pPr>
        <w:pStyle w:val="Item"/>
        <w:numPr>
          <w:ilvl w:val="0"/>
          <w:numId w:val="12"/>
        </w:numPr>
      </w:pPr>
      <w:r w:rsidRPr="005D250A">
        <w:t xml:space="preserve">the </w:t>
      </w:r>
      <w:r w:rsidR="00992615" w:rsidRPr="005D250A">
        <w:t>Regional L</w:t>
      </w:r>
      <w:r w:rsidR="00FC73B8" w:rsidRPr="005D250A">
        <w:t>oading</w:t>
      </w:r>
      <w:r w:rsidR="00992615" w:rsidRPr="005D250A">
        <w:t xml:space="preserve"> Program</w:t>
      </w:r>
      <w:r w:rsidR="0059185D" w:rsidRPr="005D250A">
        <w:t xml:space="preserve"> (RL</w:t>
      </w:r>
      <w:r w:rsidR="002936DE" w:rsidRPr="005D250A">
        <w:t>P</w:t>
      </w:r>
      <w:r w:rsidR="0059185D" w:rsidRPr="005D250A">
        <w:t>)</w:t>
      </w:r>
      <w:r w:rsidR="00992615" w:rsidRPr="005D250A">
        <w:t xml:space="preserve">; and </w:t>
      </w:r>
    </w:p>
    <w:p w14:paraId="5BDB6F8B" w14:textId="00345194" w:rsidR="00670F2F" w:rsidRPr="005D250A" w:rsidRDefault="00CF1FDB" w:rsidP="006704B0">
      <w:pPr>
        <w:pStyle w:val="Item"/>
        <w:numPr>
          <w:ilvl w:val="0"/>
          <w:numId w:val="12"/>
        </w:numPr>
      </w:pPr>
      <w:r w:rsidRPr="005D250A">
        <w:t xml:space="preserve">the </w:t>
      </w:r>
      <w:r w:rsidR="00992615" w:rsidRPr="005D250A">
        <w:t>Enabling L</w:t>
      </w:r>
      <w:r w:rsidR="00FC73B8" w:rsidRPr="005D250A">
        <w:t>oading</w:t>
      </w:r>
      <w:r w:rsidR="005613B4" w:rsidRPr="005D250A">
        <w:t xml:space="preserve"> </w:t>
      </w:r>
      <w:r w:rsidR="00992615" w:rsidRPr="005D250A">
        <w:t>Program</w:t>
      </w:r>
      <w:r w:rsidR="0059185D" w:rsidRPr="005D250A">
        <w:t xml:space="preserve"> (EL</w:t>
      </w:r>
      <w:r w:rsidR="002936DE" w:rsidRPr="005D250A">
        <w:t>P</w:t>
      </w:r>
      <w:r w:rsidR="0059185D" w:rsidRPr="005D250A">
        <w:t>)</w:t>
      </w:r>
      <w:r w:rsidR="00992615" w:rsidRPr="005D250A">
        <w:t xml:space="preserve">. </w:t>
      </w:r>
      <w:r w:rsidR="00FC73B8" w:rsidRPr="005D250A">
        <w:t xml:space="preserve"> </w:t>
      </w:r>
    </w:p>
    <w:p w14:paraId="0C5319B1" w14:textId="71A2DA71" w:rsidR="00284178" w:rsidRPr="005D250A" w:rsidRDefault="00CF1FDB" w:rsidP="00F10EF0">
      <w:pPr>
        <w:pStyle w:val="Item"/>
        <w:spacing w:after="240"/>
      </w:pPr>
      <w:r w:rsidRPr="005D250A">
        <w:t>The specific objectives of</w:t>
      </w:r>
      <w:r w:rsidR="00670F2F" w:rsidRPr="005D250A">
        <w:t xml:space="preserve"> each </w:t>
      </w:r>
      <w:r w:rsidR="002936DE" w:rsidRPr="005D250A">
        <w:t>component</w:t>
      </w:r>
      <w:r w:rsidR="00670F2F" w:rsidRPr="005D250A">
        <w:t xml:space="preserve"> are set out in Divisions 1 to </w:t>
      </w:r>
      <w:r w:rsidR="003F281C" w:rsidRPr="005D250A">
        <w:t>5</w:t>
      </w:r>
      <w:r w:rsidR="00670F2F" w:rsidRPr="005D250A">
        <w:t xml:space="preserve"> of this Part. </w:t>
      </w:r>
    </w:p>
    <w:p w14:paraId="77ECFA54" w14:textId="4A750E02" w:rsidR="00D26F97" w:rsidRPr="005D250A" w:rsidRDefault="00D26F97" w:rsidP="00D0068B">
      <w:pPr>
        <w:pStyle w:val="Item"/>
        <w:spacing w:before="0" w:after="240"/>
        <w:ind w:left="720" w:hanging="720"/>
      </w:pPr>
      <w:r w:rsidRPr="005D250A">
        <w:t>1.41.5</w:t>
      </w:r>
      <w:r w:rsidRPr="005D250A">
        <w:tab/>
        <w:t xml:space="preserve">Each component listed </w:t>
      </w:r>
      <w:r w:rsidR="00D0068B" w:rsidRPr="005D250A">
        <w:t xml:space="preserve">at section 1.41.1 </w:t>
      </w:r>
      <w:r w:rsidRPr="005D250A">
        <w:t xml:space="preserve">above is </w:t>
      </w:r>
      <w:r w:rsidR="001F4D27" w:rsidRPr="005D250A">
        <w:t>specified</w:t>
      </w:r>
      <w:r w:rsidRPr="005D250A">
        <w:t xml:space="preserve"> as a separate program for the purposes </w:t>
      </w:r>
      <w:r w:rsidR="001F4D27" w:rsidRPr="005D250A">
        <w:t xml:space="preserve">of subsection 41-15(1) </w:t>
      </w:r>
      <w:r w:rsidRPr="005D250A">
        <w:t xml:space="preserve">of the Act. </w:t>
      </w:r>
    </w:p>
    <w:p w14:paraId="6B0D47E1" w14:textId="53D36711" w:rsidR="00992615" w:rsidRPr="005D250A" w:rsidRDefault="00992615" w:rsidP="00992615">
      <w:pPr>
        <w:pStyle w:val="Item"/>
        <w:spacing w:after="240"/>
        <w:ind w:left="0"/>
        <w:rPr>
          <w:b/>
        </w:rPr>
      </w:pPr>
      <w:r w:rsidRPr="005D250A">
        <w:rPr>
          <w:b/>
        </w:rPr>
        <w:t>1.</w:t>
      </w:r>
      <w:r w:rsidR="0004793B" w:rsidRPr="005D250A">
        <w:rPr>
          <w:b/>
        </w:rPr>
        <w:t>42</w:t>
      </w:r>
      <w:r w:rsidRPr="005D250A">
        <w:rPr>
          <w:b/>
        </w:rPr>
        <w:t xml:space="preserve"> </w:t>
      </w:r>
      <w:r w:rsidR="002936DE" w:rsidRPr="005D250A">
        <w:rPr>
          <w:b/>
        </w:rPr>
        <w:t>Extra conditions of e</w:t>
      </w:r>
      <w:r w:rsidRPr="005D250A">
        <w:rPr>
          <w:b/>
        </w:rPr>
        <w:t xml:space="preserve">ligibility </w:t>
      </w:r>
    </w:p>
    <w:p w14:paraId="778B85DC" w14:textId="7025CA91" w:rsidR="007B2639" w:rsidRPr="005D250A" w:rsidRDefault="00992615" w:rsidP="007B2639">
      <w:pPr>
        <w:pStyle w:val="Item"/>
        <w:spacing w:after="240"/>
        <w:ind w:hanging="709"/>
      </w:pPr>
      <w:r w:rsidRPr="005D250A">
        <w:t>1.</w:t>
      </w:r>
      <w:r w:rsidR="0004793B" w:rsidRPr="005D250A">
        <w:t>42</w:t>
      </w:r>
      <w:r w:rsidR="00FC73B8" w:rsidRPr="005D250A">
        <w:t>.</w:t>
      </w:r>
      <w:r w:rsidRPr="005D250A">
        <w:t>1</w:t>
      </w:r>
      <w:r w:rsidR="00FC73B8" w:rsidRPr="005D250A">
        <w:t xml:space="preserve"> </w:t>
      </w:r>
      <w:r w:rsidR="00F00117" w:rsidRPr="005D250A">
        <w:tab/>
      </w:r>
      <w:r w:rsidR="00FC73B8" w:rsidRPr="005D250A">
        <w:t xml:space="preserve">Table A providers are eligible to receive grants under the </w:t>
      </w:r>
      <w:r w:rsidR="00797B8A" w:rsidRPr="005D250A">
        <w:t>HEPPP, the National Priorities Pool Program, and the Regional Partnerships Project Pool Program</w:t>
      </w:r>
      <w:r w:rsidR="00FC73B8" w:rsidRPr="005D250A">
        <w:t>.</w:t>
      </w:r>
      <w:r w:rsidRPr="005D250A">
        <w:t xml:space="preserve"> </w:t>
      </w:r>
    </w:p>
    <w:p w14:paraId="378BD660" w14:textId="74D9233E" w:rsidR="00AA7844" w:rsidRPr="005D250A" w:rsidRDefault="00AA7844" w:rsidP="00AA7844">
      <w:pPr>
        <w:pStyle w:val="Item"/>
        <w:spacing w:after="240"/>
        <w:ind w:hanging="709"/>
      </w:pPr>
      <w:r w:rsidRPr="005D250A">
        <w:lastRenderedPageBreak/>
        <w:t>1.</w:t>
      </w:r>
      <w:r w:rsidR="0004793B" w:rsidRPr="005D250A">
        <w:t>42</w:t>
      </w:r>
      <w:r w:rsidRPr="005D250A">
        <w:t>.5</w:t>
      </w:r>
      <w:r w:rsidRPr="005D250A">
        <w:tab/>
        <w:t xml:space="preserve">The following bodies corporate are also eligible to receive grants under the Regional Partnerships Project Pool Program: </w:t>
      </w:r>
    </w:p>
    <w:p w14:paraId="7E8CD6B8" w14:textId="6BFA8AAA" w:rsidR="00AA7844" w:rsidRPr="005D250A" w:rsidRDefault="00AA7844" w:rsidP="006704B0">
      <w:pPr>
        <w:pStyle w:val="Item"/>
        <w:numPr>
          <w:ilvl w:val="0"/>
          <w:numId w:val="4"/>
        </w:numPr>
        <w:spacing w:before="0" w:after="240"/>
      </w:pPr>
      <w:r w:rsidRPr="005D250A">
        <w:t>a body corporate that is in receipt of a grant under the Regional University Centres Program.</w:t>
      </w:r>
    </w:p>
    <w:p w14:paraId="3E9B4454" w14:textId="6CDE7F50" w:rsidR="00447A4C" w:rsidRPr="005D250A" w:rsidRDefault="007B2639" w:rsidP="00447A4C">
      <w:pPr>
        <w:pStyle w:val="Item"/>
        <w:spacing w:after="240"/>
        <w:ind w:hanging="709"/>
      </w:pPr>
      <w:r w:rsidRPr="005D250A">
        <w:t>1.</w:t>
      </w:r>
      <w:r w:rsidR="0004793B" w:rsidRPr="005D250A">
        <w:t>42</w:t>
      </w:r>
      <w:r w:rsidRPr="005D250A">
        <w:t>.</w:t>
      </w:r>
      <w:r w:rsidR="00AA7844" w:rsidRPr="005D250A">
        <w:t>10</w:t>
      </w:r>
      <w:r w:rsidRPr="005D250A">
        <w:tab/>
      </w:r>
      <w:r w:rsidR="00992615" w:rsidRPr="005D250A">
        <w:t>The following</w:t>
      </w:r>
      <w:r w:rsidR="00797B8A" w:rsidRPr="005D250A">
        <w:t xml:space="preserve"> higher education providers</w:t>
      </w:r>
      <w:r w:rsidR="00992615" w:rsidRPr="005D250A">
        <w:t xml:space="preserve"> are eligible to receive grants under </w:t>
      </w:r>
      <w:r w:rsidR="005613B4" w:rsidRPr="005D250A">
        <w:t xml:space="preserve">the </w:t>
      </w:r>
      <w:r w:rsidR="00E30E54" w:rsidRPr="005D250A">
        <w:t xml:space="preserve">Regional Loading Program, if they meet the </w:t>
      </w:r>
      <w:r w:rsidR="00030B6F" w:rsidRPr="005D250A">
        <w:t xml:space="preserve">extra conditions of </w:t>
      </w:r>
      <w:r w:rsidR="00E30E54" w:rsidRPr="005D250A">
        <w:t>eligibility specified in section 1.</w:t>
      </w:r>
      <w:r w:rsidR="00455E2E" w:rsidRPr="005D250A">
        <w:t>57</w:t>
      </w:r>
      <w:r w:rsidR="00E30E54" w:rsidRPr="005D250A">
        <w:t xml:space="preserve">: </w:t>
      </w:r>
    </w:p>
    <w:p w14:paraId="16AE5F28" w14:textId="38231A93" w:rsidR="00977B05" w:rsidRPr="005D250A" w:rsidRDefault="00906AB1" w:rsidP="006704B0">
      <w:pPr>
        <w:pStyle w:val="Item"/>
        <w:numPr>
          <w:ilvl w:val="0"/>
          <w:numId w:val="13"/>
        </w:numPr>
      </w:pPr>
      <w:r w:rsidRPr="005D250A">
        <w:t>Table A providers; and</w:t>
      </w:r>
    </w:p>
    <w:p w14:paraId="65992AA6" w14:textId="59D0888A" w:rsidR="00447A4C" w:rsidRPr="005D250A" w:rsidRDefault="00977B05" w:rsidP="006704B0">
      <w:pPr>
        <w:pStyle w:val="Item"/>
        <w:numPr>
          <w:ilvl w:val="0"/>
          <w:numId w:val="13"/>
        </w:numPr>
      </w:pPr>
      <w:r w:rsidRPr="005D250A">
        <w:t>The University of Notre Dame Australia</w:t>
      </w:r>
      <w:r w:rsidR="00906AB1" w:rsidRPr="005D250A">
        <w:t>.</w:t>
      </w:r>
      <w:r w:rsidRPr="005D250A" w:rsidDel="00977B05">
        <w:t xml:space="preserve"> </w:t>
      </w:r>
    </w:p>
    <w:p w14:paraId="392DF338" w14:textId="77777777" w:rsidR="006C294E" w:rsidRPr="005D250A" w:rsidRDefault="006C294E" w:rsidP="00915A54">
      <w:pPr>
        <w:pStyle w:val="Item"/>
        <w:spacing w:before="0"/>
        <w:ind w:left="0"/>
      </w:pPr>
    </w:p>
    <w:p w14:paraId="4005FDDE" w14:textId="2EC7151A" w:rsidR="00FC73B8" w:rsidRPr="005D250A" w:rsidRDefault="00447A4C" w:rsidP="00D86F48">
      <w:pPr>
        <w:pStyle w:val="Item"/>
        <w:spacing w:after="240"/>
        <w:ind w:hanging="709"/>
      </w:pPr>
      <w:r w:rsidRPr="005D250A">
        <w:t>1.</w:t>
      </w:r>
      <w:r w:rsidR="0004793B" w:rsidRPr="005D250A">
        <w:t>42</w:t>
      </w:r>
      <w:r w:rsidRPr="005D250A">
        <w:t>.</w:t>
      </w:r>
      <w:r w:rsidR="00AA7844" w:rsidRPr="005D250A">
        <w:t>15</w:t>
      </w:r>
      <w:r w:rsidRPr="005D250A">
        <w:tab/>
        <w:t xml:space="preserve">The following </w:t>
      </w:r>
      <w:r w:rsidR="00452933" w:rsidRPr="005D250A">
        <w:t xml:space="preserve">higher education providers </w:t>
      </w:r>
      <w:r w:rsidRPr="005D250A">
        <w:t xml:space="preserve">are eligible to receive grants under </w:t>
      </w:r>
      <w:r w:rsidR="005613B4" w:rsidRPr="005D250A">
        <w:t xml:space="preserve">the Enabling Loading Program: </w:t>
      </w:r>
    </w:p>
    <w:p w14:paraId="57CBE916" w14:textId="76C7074B" w:rsidR="00977B05" w:rsidRPr="005D250A" w:rsidRDefault="0087414D" w:rsidP="006704B0">
      <w:pPr>
        <w:pStyle w:val="Item"/>
        <w:numPr>
          <w:ilvl w:val="0"/>
          <w:numId w:val="14"/>
        </w:numPr>
      </w:pPr>
      <w:r w:rsidRPr="005D250A">
        <w:t>Table A providers; and</w:t>
      </w:r>
    </w:p>
    <w:p w14:paraId="1DA244FD" w14:textId="6A5F27F6" w:rsidR="0065726A" w:rsidRPr="005D250A" w:rsidRDefault="00977B05" w:rsidP="006704B0">
      <w:pPr>
        <w:pStyle w:val="Item"/>
        <w:numPr>
          <w:ilvl w:val="0"/>
          <w:numId w:val="14"/>
        </w:numPr>
      </w:pPr>
      <w:r w:rsidRPr="005D250A">
        <w:t>The University of Notre Dame Australia</w:t>
      </w:r>
      <w:r w:rsidR="0087414D" w:rsidRPr="005D250A">
        <w:t>.</w:t>
      </w:r>
    </w:p>
    <w:p w14:paraId="2541BF58" w14:textId="77777777" w:rsidR="00977B05" w:rsidRPr="005D250A" w:rsidRDefault="00977B05" w:rsidP="00EC3981">
      <w:pPr>
        <w:pStyle w:val="Item"/>
        <w:spacing w:before="0"/>
        <w:ind w:left="0"/>
        <w:rPr>
          <w:b/>
        </w:rPr>
      </w:pPr>
    </w:p>
    <w:p w14:paraId="753D6564" w14:textId="268155CC" w:rsidR="00E05414" w:rsidRPr="005D250A" w:rsidRDefault="00E05414" w:rsidP="00977B05">
      <w:pPr>
        <w:pStyle w:val="Item"/>
        <w:spacing w:after="240"/>
        <w:ind w:left="0"/>
        <w:rPr>
          <w:b/>
        </w:rPr>
      </w:pPr>
      <w:r w:rsidRPr="005D250A">
        <w:rPr>
          <w:b/>
        </w:rPr>
        <w:t>1.</w:t>
      </w:r>
      <w:r w:rsidR="0004793B" w:rsidRPr="005D250A">
        <w:rPr>
          <w:b/>
        </w:rPr>
        <w:t>43</w:t>
      </w:r>
      <w:r w:rsidRPr="005D250A">
        <w:rPr>
          <w:b/>
        </w:rPr>
        <w:t xml:space="preserve"> Conditions of grant</w:t>
      </w:r>
    </w:p>
    <w:p w14:paraId="4F67921B" w14:textId="4AC5344C" w:rsidR="00E05414" w:rsidRPr="005D250A" w:rsidRDefault="00E05414" w:rsidP="00FB5FC7">
      <w:pPr>
        <w:pStyle w:val="Item"/>
        <w:ind w:left="720" w:hanging="720"/>
      </w:pPr>
      <w:r w:rsidRPr="005D250A">
        <w:t>1.</w:t>
      </w:r>
      <w:r w:rsidR="0004793B" w:rsidRPr="005D250A">
        <w:t>43</w:t>
      </w:r>
      <w:r w:rsidRPr="005D250A">
        <w:t>.1</w:t>
      </w:r>
      <w:r w:rsidRPr="005D250A">
        <w:tab/>
      </w:r>
      <w:r w:rsidR="005F5791" w:rsidRPr="005D250A">
        <w:t>In addition to any conditions imposed by these Guidelines, t</w:t>
      </w:r>
      <w:r w:rsidRPr="005D250A">
        <w:t>he recipient of a grant under the IRLSAF must</w:t>
      </w:r>
      <w:r w:rsidR="005F5791" w:rsidRPr="005D250A">
        <w:t xml:space="preserve"> also</w:t>
      </w:r>
      <w:r w:rsidRPr="005D250A">
        <w:t xml:space="preserve"> comply with any terms of the grant approval imposed by the Minister.</w:t>
      </w:r>
    </w:p>
    <w:p w14:paraId="0AD67B3E" w14:textId="77777777" w:rsidR="00977B05" w:rsidRPr="005D250A" w:rsidRDefault="00977B05" w:rsidP="00736406">
      <w:pPr>
        <w:pStyle w:val="ItemHead"/>
        <w:spacing w:before="0"/>
      </w:pPr>
    </w:p>
    <w:p w14:paraId="01099EF0" w14:textId="0A126399" w:rsidR="00FC73B8" w:rsidRPr="005D250A" w:rsidRDefault="005B2C54" w:rsidP="00977B05">
      <w:pPr>
        <w:pStyle w:val="Item"/>
        <w:spacing w:after="240"/>
        <w:ind w:left="0"/>
        <w:rPr>
          <w:b/>
          <w:sz w:val="28"/>
        </w:rPr>
      </w:pPr>
      <w:r w:rsidRPr="005D250A">
        <w:rPr>
          <w:b/>
          <w:sz w:val="28"/>
        </w:rPr>
        <w:t xml:space="preserve">Division 1 </w:t>
      </w:r>
      <w:r w:rsidR="001A7069" w:rsidRPr="005D250A">
        <w:rPr>
          <w:b/>
          <w:sz w:val="28"/>
        </w:rPr>
        <w:t>–</w:t>
      </w:r>
      <w:r w:rsidRPr="005D250A">
        <w:rPr>
          <w:b/>
          <w:sz w:val="28"/>
        </w:rPr>
        <w:t xml:space="preserve"> </w:t>
      </w:r>
      <w:r w:rsidR="001A7069" w:rsidRPr="005D250A">
        <w:rPr>
          <w:b/>
          <w:sz w:val="28"/>
        </w:rPr>
        <w:t xml:space="preserve">Higher Education Participation and Partnerships </w:t>
      </w:r>
      <w:r w:rsidR="00992615" w:rsidRPr="005D250A">
        <w:rPr>
          <w:b/>
          <w:sz w:val="28"/>
        </w:rPr>
        <w:t>P</w:t>
      </w:r>
      <w:r w:rsidR="001A7069" w:rsidRPr="005D250A">
        <w:rPr>
          <w:b/>
          <w:sz w:val="28"/>
        </w:rPr>
        <w:t>rogram</w:t>
      </w:r>
      <w:r w:rsidR="00701955" w:rsidRPr="005D250A">
        <w:rPr>
          <w:b/>
          <w:sz w:val="28"/>
        </w:rPr>
        <w:t xml:space="preserve"> (HEPPP)</w:t>
      </w:r>
    </w:p>
    <w:p w14:paraId="692319E1" w14:textId="245C48A4" w:rsidR="00FC73B8" w:rsidRPr="005D250A" w:rsidRDefault="00524569" w:rsidP="00977B05">
      <w:pPr>
        <w:pStyle w:val="Item"/>
        <w:spacing w:after="240"/>
        <w:ind w:left="0"/>
        <w:rPr>
          <w:b/>
        </w:rPr>
      </w:pPr>
      <w:r w:rsidRPr="005D250A">
        <w:rPr>
          <w:b/>
        </w:rPr>
        <w:t>1.</w:t>
      </w:r>
      <w:r w:rsidR="0004793B" w:rsidRPr="005D250A">
        <w:rPr>
          <w:b/>
        </w:rPr>
        <w:t>44</w:t>
      </w:r>
      <w:r w:rsidR="00E5046C" w:rsidRPr="005D250A">
        <w:rPr>
          <w:b/>
        </w:rPr>
        <w:t xml:space="preserve"> </w:t>
      </w:r>
      <w:r w:rsidR="006929E5" w:rsidRPr="005D250A">
        <w:rPr>
          <w:b/>
        </w:rPr>
        <w:t>P</w:t>
      </w:r>
      <w:r w:rsidR="00E5046C" w:rsidRPr="005D250A">
        <w:rPr>
          <w:b/>
        </w:rPr>
        <w:t>rogram objectives</w:t>
      </w:r>
      <w:r w:rsidR="0001199C" w:rsidRPr="005D250A">
        <w:rPr>
          <w:b/>
        </w:rPr>
        <w:t xml:space="preserve"> </w:t>
      </w:r>
    </w:p>
    <w:p w14:paraId="02A4AB87" w14:textId="68891DAF" w:rsidR="00F00117" w:rsidRPr="005D250A" w:rsidRDefault="00F00117" w:rsidP="00D223EF">
      <w:pPr>
        <w:pStyle w:val="Item"/>
        <w:ind w:left="720" w:hanging="720"/>
        <w:rPr>
          <w:i/>
        </w:rPr>
      </w:pPr>
      <w:r w:rsidRPr="005D250A">
        <w:t>1.</w:t>
      </w:r>
      <w:r w:rsidR="0004793B" w:rsidRPr="005D250A">
        <w:t>44</w:t>
      </w:r>
      <w:r w:rsidRPr="005D250A">
        <w:t xml:space="preserve">.1 </w:t>
      </w:r>
      <w:r w:rsidRPr="005D250A">
        <w:tab/>
        <w:t xml:space="preserve">The </w:t>
      </w:r>
      <w:r w:rsidR="000302E4" w:rsidRPr="005D250A">
        <w:t>key objective</w:t>
      </w:r>
      <w:r w:rsidRPr="005D250A">
        <w:t xml:space="preserve"> of the HEPPP is to promote equality of opportunity in higher education by improving:</w:t>
      </w:r>
    </w:p>
    <w:p w14:paraId="0255105F" w14:textId="2132EA67" w:rsidR="00F00117" w:rsidRPr="005D250A" w:rsidRDefault="00280435" w:rsidP="006704B0">
      <w:pPr>
        <w:pStyle w:val="Item"/>
        <w:numPr>
          <w:ilvl w:val="0"/>
          <w:numId w:val="3"/>
        </w:numPr>
      </w:pPr>
      <w:r w:rsidRPr="005D250A">
        <w:t xml:space="preserve">outreach to widen aspiration and promote higher education to persons </w:t>
      </w:r>
      <w:r w:rsidR="00F00117" w:rsidRPr="005D250A">
        <w:t>from a l</w:t>
      </w:r>
      <w:r w:rsidR="00AD0A3B" w:rsidRPr="005D250A">
        <w:t>ow SES background, persons from</w:t>
      </w:r>
      <w:r w:rsidR="002C5150" w:rsidRPr="005D250A">
        <w:t xml:space="preserve"> </w:t>
      </w:r>
      <w:r w:rsidR="00F00117" w:rsidRPr="005D250A">
        <w:t xml:space="preserve">regional </w:t>
      </w:r>
      <w:r w:rsidR="002C5150" w:rsidRPr="005D250A">
        <w:t>area</w:t>
      </w:r>
      <w:r w:rsidR="00AD0A3B" w:rsidRPr="005D250A">
        <w:t>s</w:t>
      </w:r>
      <w:r w:rsidR="002C5150" w:rsidRPr="005D250A">
        <w:t xml:space="preserve"> and</w:t>
      </w:r>
      <w:r w:rsidR="00F00117" w:rsidRPr="005D250A">
        <w:t xml:space="preserve"> remote areas, and Indigenous persons; and</w:t>
      </w:r>
    </w:p>
    <w:p w14:paraId="1461B414" w14:textId="0AD34BB3" w:rsidR="00F00117" w:rsidRPr="005D250A" w:rsidRDefault="00F00117" w:rsidP="006704B0">
      <w:pPr>
        <w:pStyle w:val="Item"/>
        <w:numPr>
          <w:ilvl w:val="0"/>
          <w:numId w:val="3"/>
        </w:numPr>
        <w:spacing w:before="0"/>
      </w:pPr>
      <w:r w:rsidRPr="005D250A">
        <w:t>the extent to which persons from a low SES background, persons from regional</w:t>
      </w:r>
      <w:r w:rsidR="00AD0A3B" w:rsidRPr="005D250A">
        <w:t xml:space="preserve"> areas</w:t>
      </w:r>
      <w:r w:rsidRPr="005D250A">
        <w:t xml:space="preserve"> and remote areas, and Indigenous persons</w:t>
      </w:r>
      <w:r w:rsidR="00AD0A3B" w:rsidRPr="005D250A">
        <w:t xml:space="preserve"> </w:t>
      </w:r>
      <w:r w:rsidR="00280435" w:rsidRPr="005D250A">
        <w:t xml:space="preserve">access, </w:t>
      </w:r>
      <w:r w:rsidR="00AD0A3B" w:rsidRPr="005D250A">
        <w:t>participate, remain and succeed</w:t>
      </w:r>
      <w:r w:rsidRPr="005D250A">
        <w:t xml:space="preserve"> in higher education, and obtain higher education awards.</w:t>
      </w:r>
    </w:p>
    <w:p w14:paraId="2F603B2D" w14:textId="77777777" w:rsidR="009437B1" w:rsidRPr="005D250A" w:rsidRDefault="009437B1" w:rsidP="00420523">
      <w:pPr>
        <w:spacing w:after="120" w:line="240" w:lineRule="auto"/>
        <w:contextualSpacing/>
        <w:rPr>
          <w:i/>
        </w:rPr>
      </w:pPr>
    </w:p>
    <w:p w14:paraId="19CB01B8" w14:textId="6F44A9BF" w:rsidR="00F00117" w:rsidRPr="005D250A" w:rsidRDefault="00B17F5D" w:rsidP="005F1766">
      <w:pPr>
        <w:pStyle w:val="Item"/>
        <w:spacing w:after="240"/>
        <w:ind w:left="0"/>
        <w:rPr>
          <w:b/>
        </w:rPr>
      </w:pPr>
      <w:r w:rsidRPr="005D250A">
        <w:rPr>
          <w:b/>
        </w:rPr>
        <w:t>1.</w:t>
      </w:r>
      <w:r w:rsidR="0004793B" w:rsidRPr="005D250A">
        <w:rPr>
          <w:b/>
        </w:rPr>
        <w:t>4</w:t>
      </w:r>
      <w:r w:rsidR="00863245" w:rsidRPr="005D250A">
        <w:rPr>
          <w:b/>
        </w:rPr>
        <w:t>5</w:t>
      </w:r>
      <w:r w:rsidR="00F00117" w:rsidRPr="005D250A">
        <w:rPr>
          <w:b/>
        </w:rPr>
        <w:t xml:space="preserve"> </w:t>
      </w:r>
      <w:r w:rsidR="004B07CB" w:rsidRPr="005D250A">
        <w:rPr>
          <w:b/>
        </w:rPr>
        <w:t xml:space="preserve">Total </w:t>
      </w:r>
      <w:r w:rsidR="00F00117" w:rsidRPr="005D250A">
        <w:rPr>
          <w:b/>
        </w:rPr>
        <w:t xml:space="preserve">HEPPP </w:t>
      </w:r>
      <w:r w:rsidR="00565BB9" w:rsidRPr="005D250A">
        <w:rPr>
          <w:b/>
        </w:rPr>
        <w:t xml:space="preserve">(formula-based funding) </w:t>
      </w:r>
      <w:r w:rsidR="009919E9" w:rsidRPr="005D250A">
        <w:rPr>
          <w:b/>
        </w:rPr>
        <w:t>funding</w:t>
      </w:r>
    </w:p>
    <w:p w14:paraId="1271EDBE" w14:textId="5F23B761" w:rsidR="00A3158C" w:rsidRPr="005D250A" w:rsidRDefault="00B17F5D" w:rsidP="00E36557">
      <w:pPr>
        <w:pStyle w:val="ItemHead"/>
      </w:pPr>
      <w:r w:rsidRPr="005D250A">
        <w:rPr>
          <w:rFonts w:ascii="Times New Roman" w:eastAsiaTheme="minorHAnsi" w:hAnsi="Times New Roman" w:cstheme="minorBidi"/>
          <w:b w:val="0"/>
          <w:kern w:val="0"/>
          <w:sz w:val="22"/>
          <w:lang w:eastAsia="en-US"/>
        </w:rPr>
        <w:t>1.</w:t>
      </w:r>
      <w:r w:rsidR="0004793B" w:rsidRPr="005D250A">
        <w:rPr>
          <w:rFonts w:ascii="Times New Roman" w:eastAsiaTheme="minorHAnsi" w:hAnsi="Times New Roman" w:cstheme="minorBidi"/>
          <w:b w:val="0"/>
          <w:kern w:val="0"/>
          <w:sz w:val="22"/>
          <w:lang w:eastAsia="en-US"/>
        </w:rPr>
        <w:t>4</w:t>
      </w:r>
      <w:r w:rsidR="00863245" w:rsidRPr="005D250A">
        <w:rPr>
          <w:rFonts w:ascii="Times New Roman" w:eastAsiaTheme="minorHAnsi" w:hAnsi="Times New Roman" w:cstheme="minorBidi"/>
          <w:b w:val="0"/>
          <w:kern w:val="0"/>
          <w:sz w:val="22"/>
          <w:lang w:eastAsia="en-US"/>
        </w:rPr>
        <w:t>5</w:t>
      </w:r>
      <w:r w:rsidR="00F00117" w:rsidRPr="005D250A">
        <w:rPr>
          <w:rFonts w:ascii="Times New Roman" w:eastAsiaTheme="minorHAnsi" w:hAnsi="Times New Roman" w:cstheme="minorBidi"/>
          <w:b w:val="0"/>
          <w:kern w:val="0"/>
          <w:sz w:val="22"/>
          <w:lang w:eastAsia="en-US"/>
        </w:rPr>
        <w:t xml:space="preserve">.1 </w:t>
      </w:r>
      <w:r w:rsidR="00F00117" w:rsidRPr="005D250A">
        <w:rPr>
          <w:rFonts w:ascii="Times New Roman" w:eastAsiaTheme="minorHAnsi" w:hAnsi="Times New Roman" w:cstheme="minorBidi"/>
          <w:b w:val="0"/>
          <w:kern w:val="0"/>
          <w:sz w:val="22"/>
          <w:lang w:eastAsia="en-US"/>
        </w:rPr>
        <w:tab/>
      </w:r>
      <w:r w:rsidR="00CD142D" w:rsidRPr="005D250A">
        <w:rPr>
          <w:rFonts w:ascii="Times New Roman" w:hAnsi="Times New Roman"/>
          <w:b w:val="0"/>
          <w:kern w:val="0"/>
          <w:sz w:val="22"/>
        </w:rPr>
        <w:t>For the years specified below,</w:t>
      </w:r>
      <w:r w:rsidR="00831735" w:rsidRPr="005D250A">
        <w:rPr>
          <w:rFonts w:ascii="Times New Roman" w:hAnsi="Times New Roman"/>
          <w:b w:val="0"/>
          <w:kern w:val="0"/>
          <w:sz w:val="22"/>
        </w:rPr>
        <w:t xml:space="preserve"> the t</w:t>
      </w:r>
      <w:r w:rsidR="009919E9" w:rsidRPr="005D250A">
        <w:rPr>
          <w:rFonts w:ascii="Times New Roman" w:hAnsi="Times New Roman"/>
          <w:b w:val="0"/>
          <w:kern w:val="0"/>
          <w:sz w:val="22"/>
        </w:rPr>
        <w:t>otal amount of HEPPP funding</w:t>
      </w:r>
      <w:r w:rsidR="00CD142D" w:rsidRPr="005D250A">
        <w:rPr>
          <w:rFonts w:ascii="Times New Roman" w:hAnsi="Times New Roman"/>
          <w:b w:val="0"/>
          <w:kern w:val="0"/>
          <w:sz w:val="22"/>
        </w:rPr>
        <w:t xml:space="preserve"> available</w:t>
      </w:r>
      <w:r w:rsidR="00A5287A" w:rsidRPr="005D250A">
        <w:rPr>
          <w:rFonts w:ascii="Times New Roman" w:hAnsi="Times New Roman"/>
          <w:b w:val="0"/>
          <w:kern w:val="0"/>
          <w:sz w:val="22"/>
        </w:rPr>
        <w:t xml:space="preserve"> </w:t>
      </w:r>
      <w:r w:rsidR="00CD142D" w:rsidRPr="005D250A">
        <w:rPr>
          <w:rFonts w:ascii="Times New Roman" w:hAnsi="Times New Roman"/>
          <w:b w:val="0"/>
          <w:kern w:val="0"/>
          <w:sz w:val="22"/>
        </w:rPr>
        <w:t>will be as follows:</w:t>
      </w:r>
    </w:p>
    <w:p w14:paraId="308F00BD" w14:textId="0DF68E30" w:rsidR="00CD142D" w:rsidRPr="005D250A" w:rsidRDefault="00CD142D" w:rsidP="00E36557">
      <w:pPr>
        <w:spacing w:before="240" w:after="120" w:line="240" w:lineRule="auto"/>
        <w:ind w:left="720"/>
      </w:pPr>
      <w:r w:rsidRPr="005D250A">
        <w:rPr>
          <w:b/>
        </w:rPr>
        <w:t>2021:</w:t>
      </w:r>
      <w:r w:rsidRPr="005D250A">
        <w:t>    $</w:t>
      </w:r>
      <w:r w:rsidR="00311AAA" w:rsidRPr="005D250A">
        <w:t xml:space="preserve">138,009,092 </w:t>
      </w:r>
    </w:p>
    <w:p w14:paraId="791C12F2" w14:textId="7A32CB3E" w:rsidR="00CD142D" w:rsidRPr="005D250A" w:rsidRDefault="00CD142D" w:rsidP="00CD142D">
      <w:pPr>
        <w:spacing w:after="120" w:line="240" w:lineRule="auto"/>
        <w:ind w:left="720"/>
      </w:pPr>
      <w:r w:rsidRPr="005D250A">
        <w:rPr>
          <w:b/>
        </w:rPr>
        <w:t>2022:</w:t>
      </w:r>
      <w:r w:rsidRPr="005D250A">
        <w:t>    $</w:t>
      </w:r>
      <w:r w:rsidR="00311AAA" w:rsidRPr="005D250A">
        <w:t>138,</w:t>
      </w:r>
      <w:r w:rsidR="00D47D89" w:rsidRPr="005D250A">
        <w:t>277,399</w:t>
      </w:r>
    </w:p>
    <w:p w14:paraId="450FC846" w14:textId="2B90DFFF" w:rsidR="00CD142D" w:rsidRPr="005D250A" w:rsidRDefault="00CD142D" w:rsidP="00CD142D">
      <w:pPr>
        <w:spacing w:after="120" w:line="240" w:lineRule="auto"/>
        <w:ind w:left="720"/>
      </w:pPr>
      <w:r w:rsidRPr="005D250A">
        <w:rPr>
          <w:b/>
        </w:rPr>
        <w:t>2023:</w:t>
      </w:r>
      <w:r w:rsidRPr="005D250A">
        <w:t>    $</w:t>
      </w:r>
      <w:r w:rsidR="00311AAA" w:rsidRPr="005D250A">
        <w:t>139,</w:t>
      </w:r>
      <w:r w:rsidR="008D4B81" w:rsidRPr="005D250A">
        <w:t xml:space="preserve">274,443 </w:t>
      </w:r>
    </w:p>
    <w:p w14:paraId="0982F0BC" w14:textId="23423355" w:rsidR="00CD142D" w:rsidRPr="005D250A" w:rsidRDefault="00CD142D" w:rsidP="00CD142D">
      <w:pPr>
        <w:spacing w:after="120" w:line="240" w:lineRule="auto"/>
        <w:ind w:left="720"/>
      </w:pPr>
      <w:r w:rsidRPr="005D250A">
        <w:lastRenderedPageBreak/>
        <w:t xml:space="preserve">Note: these amounts </w:t>
      </w:r>
      <w:r w:rsidR="00771B0D" w:rsidRPr="005D250A">
        <w:t>will</w:t>
      </w:r>
      <w:r w:rsidR="00863245" w:rsidRPr="005D250A">
        <w:t xml:space="preserve"> </w:t>
      </w:r>
      <w:r w:rsidR="00771B0D" w:rsidRPr="005D250A">
        <w:t>be adjusted</w:t>
      </w:r>
      <w:r w:rsidRPr="005D250A">
        <w:t xml:space="preserve"> using the method of indexation set out in Part 5-6, Division 198 of the </w:t>
      </w:r>
      <w:r w:rsidR="009105B2" w:rsidRPr="005D250A">
        <w:t>Act</w:t>
      </w:r>
      <w:r w:rsidR="00771B0D" w:rsidRPr="005D250A">
        <w:t xml:space="preserve">, and </w:t>
      </w:r>
      <w:r w:rsidR="00D9251D" w:rsidRPr="005D250A">
        <w:t>to take into account</w:t>
      </w:r>
      <w:r w:rsidR="00736406" w:rsidRPr="005D250A">
        <w:t xml:space="preserve"> the rollover of any grant amounts from previous years under section </w:t>
      </w:r>
      <w:r w:rsidR="000E223A" w:rsidRPr="005D250A">
        <w:t>41</w:t>
      </w:r>
      <w:r w:rsidR="00736406" w:rsidRPr="005D250A">
        <w:t>-40</w:t>
      </w:r>
      <w:r w:rsidR="005227D5" w:rsidRPr="005D250A">
        <w:t xml:space="preserve"> of the Act</w:t>
      </w:r>
      <w:r w:rsidRPr="005D250A">
        <w:t>.</w:t>
      </w:r>
      <w:r w:rsidR="00121BBE" w:rsidRPr="005D250A">
        <w:t xml:space="preserve"> </w:t>
      </w:r>
    </w:p>
    <w:p w14:paraId="7F5A24D3" w14:textId="4C393EA3" w:rsidR="00FC73B8" w:rsidRPr="005D250A" w:rsidRDefault="00B17F5D" w:rsidP="0001199C">
      <w:pPr>
        <w:pStyle w:val="Item"/>
        <w:ind w:left="720" w:hanging="720"/>
      </w:pPr>
      <w:r w:rsidRPr="005D250A">
        <w:t>1.</w:t>
      </w:r>
      <w:r w:rsidR="0004793B" w:rsidRPr="005D250A">
        <w:t>4</w:t>
      </w:r>
      <w:r w:rsidR="00863245" w:rsidRPr="005D250A">
        <w:t>5</w:t>
      </w:r>
      <w:r w:rsidR="00F00117" w:rsidRPr="005D250A">
        <w:t>.</w:t>
      </w:r>
      <w:r w:rsidR="00CD142D" w:rsidRPr="005D250A">
        <w:t xml:space="preserve">5 </w:t>
      </w:r>
      <w:r w:rsidR="00CD142D" w:rsidRPr="005D250A">
        <w:tab/>
        <w:t>The total amount o</w:t>
      </w:r>
      <w:r w:rsidR="00831735" w:rsidRPr="005D250A">
        <w:t>f HEPPP funds</w:t>
      </w:r>
      <w:r w:rsidR="00121BBE" w:rsidRPr="005D250A">
        <w:t xml:space="preserve"> available in 2024 and later years will be determined by the Minister. </w:t>
      </w:r>
      <w:r w:rsidR="0001199C" w:rsidRPr="005D250A">
        <w:t xml:space="preserve"> </w:t>
      </w:r>
    </w:p>
    <w:p w14:paraId="4043AC43" w14:textId="77777777" w:rsidR="009A7F03" w:rsidRPr="005D250A" w:rsidRDefault="009A7F03" w:rsidP="009A7F03">
      <w:pPr>
        <w:pStyle w:val="ItemHead"/>
        <w:spacing w:before="0"/>
      </w:pPr>
    </w:p>
    <w:p w14:paraId="7F3458AF" w14:textId="605C66EB" w:rsidR="009A7F03" w:rsidRPr="005D250A" w:rsidRDefault="00B17F5D" w:rsidP="005F1766">
      <w:pPr>
        <w:pStyle w:val="Item"/>
        <w:spacing w:after="240"/>
        <w:ind w:left="0"/>
        <w:rPr>
          <w:b/>
        </w:rPr>
      </w:pPr>
      <w:r w:rsidRPr="005D250A">
        <w:rPr>
          <w:b/>
        </w:rPr>
        <w:t>1.</w:t>
      </w:r>
      <w:r w:rsidR="0004793B" w:rsidRPr="005D250A">
        <w:rPr>
          <w:b/>
        </w:rPr>
        <w:t>46</w:t>
      </w:r>
      <w:r w:rsidR="009A7F03" w:rsidRPr="005D250A">
        <w:rPr>
          <w:b/>
        </w:rPr>
        <w:t xml:space="preserve"> Distribution of HEPPP funds</w:t>
      </w:r>
    </w:p>
    <w:p w14:paraId="163B2351" w14:textId="181C0A18" w:rsidR="00211E1B" w:rsidRPr="005D250A" w:rsidRDefault="00B17F5D" w:rsidP="00DC57ED">
      <w:pPr>
        <w:pStyle w:val="Item"/>
        <w:ind w:left="720" w:hanging="720"/>
      </w:pPr>
      <w:r w:rsidRPr="005D250A">
        <w:t>1.</w:t>
      </w:r>
      <w:r w:rsidR="0004793B" w:rsidRPr="005D250A">
        <w:t>46</w:t>
      </w:r>
      <w:r w:rsidR="009A7F03" w:rsidRPr="005D250A">
        <w:t>.1</w:t>
      </w:r>
      <w:r w:rsidR="00BE2C5A" w:rsidRPr="005D250A">
        <w:tab/>
      </w:r>
      <w:r w:rsidR="0062733C" w:rsidRPr="005D250A">
        <w:t xml:space="preserve">Grants </w:t>
      </w:r>
      <w:r w:rsidR="00DC57ED" w:rsidRPr="005D250A">
        <w:t xml:space="preserve">will be made to eligible higher education providers each calendar year based on the provider’s </w:t>
      </w:r>
      <w:r w:rsidR="00211E1B" w:rsidRPr="005D250A">
        <w:t>respective share of domestic undergraduate students</w:t>
      </w:r>
      <w:r w:rsidR="00DC57ED" w:rsidRPr="005D250A">
        <w:t xml:space="preserve"> from a low SES background</w:t>
      </w:r>
      <w:r w:rsidR="00211E1B" w:rsidRPr="005D250A">
        <w:t>,</w:t>
      </w:r>
      <w:r w:rsidR="00DC57ED" w:rsidRPr="005D250A">
        <w:t xml:space="preserve"> </w:t>
      </w:r>
      <w:r w:rsidR="00A23A55" w:rsidRPr="005D250A">
        <w:t xml:space="preserve">students </w:t>
      </w:r>
      <w:r w:rsidR="00DC57ED" w:rsidRPr="005D250A">
        <w:t>from</w:t>
      </w:r>
      <w:r w:rsidR="00211E1B" w:rsidRPr="005D250A">
        <w:t xml:space="preserve"> regional</w:t>
      </w:r>
      <w:r w:rsidR="00DC57ED" w:rsidRPr="005D250A">
        <w:t xml:space="preserve"> areas and remote areas</w:t>
      </w:r>
      <w:r w:rsidR="00211E1B" w:rsidRPr="005D250A">
        <w:t xml:space="preserve"> and Indigenous </w:t>
      </w:r>
      <w:r w:rsidR="00DC57ED" w:rsidRPr="005D250A">
        <w:t>students</w:t>
      </w:r>
      <w:r w:rsidR="00211E1B" w:rsidRPr="005D250A">
        <w:t>.</w:t>
      </w:r>
    </w:p>
    <w:p w14:paraId="75C6AA12" w14:textId="77777777" w:rsidR="002A59EE" w:rsidRPr="005D250A" w:rsidRDefault="002A59EE" w:rsidP="002A59EE">
      <w:pPr>
        <w:pStyle w:val="ItemHead"/>
        <w:spacing w:before="0"/>
      </w:pPr>
    </w:p>
    <w:p w14:paraId="617777F6" w14:textId="06BBF46B" w:rsidR="00DC57ED" w:rsidRPr="005D250A" w:rsidRDefault="00B17F5D" w:rsidP="005F1766">
      <w:pPr>
        <w:pStyle w:val="Item"/>
        <w:spacing w:after="240"/>
        <w:ind w:left="0"/>
        <w:rPr>
          <w:b/>
        </w:rPr>
      </w:pPr>
      <w:r w:rsidRPr="005D250A">
        <w:rPr>
          <w:b/>
        </w:rPr>
        <w:t>1.</w:t>
      </w:r>
      <w:r w:rsidR="0004793B" w:rsidRPr="005D250A">
        <w:rPr>
          <w:b/>
        </w:rPr>
        <w:t>47</w:t>
      </w:r>
      <w:r w:rsidR="00DC57ED" w:rsidRPr="005D250A">
        <w:rPr>
          <w:b/>
        </w:rPr>
        <w:t xml:space="preserve"> Calculation of grant amounts</w:t>
      </w:r>
    </w:p>
    <w:p w14:paraId="3F420949" w14:textId="739C5B19" w:rsidR="00211E1B" w:rsidRPr="005D250A" w:rsidRDefault="00B17F5D" w:rsidP="00DC57ED">
      <w:pPr>
        <w:pStyle w:val="Item"/>
        <w:ind w:left="720" w:hanging="720"/>
      </w:pPr>
      <w:r w:rsidRPr="005D250A">
        <w:t>1.</w:t>
      </w:r>
      <w:r w:rsidR="0004793B" w:rsidRPr="005D250A">
        <w:t>47</w:t>
      </w:r>
      <w:r w:rsidR="00DC57ED" w:rsidRPr="005D250A">
        <w:t>.1</w:t>
      </w:r>
      <w:r w:rsidR="00DC57ED" w:rsidRPr="005D250A">
        <w:tab/>
        <w:t xml:space="preserve">Grant amounts </w:t>
      </w:r>
      <w:r w:rsidR="00A5287A" w:rsidRPr="005D250A">
        <w:t xml:space="preserve">for the below years </w:t>
      </w:r>
      <w:r w:rsidR="00DC57ED" w:rsidRPr="005D250A">
        <w:t>will be calculated using</w:t>
      </w:r>
      <w:r w:rsidR="00211E1B" w:rsidRPr="005D250A">
        <w:t xml:space="preserve"> the following formula</w:t>
      </w:r>
      <w:r w:rsidR="00161450" w:rsidRPr="005D250A">
        <w:t>e</w:t>
      </w:r>
      <w:r w:rsidR="00211E1B" w:rsidRPr="005D250A">
        <w:t>:</w:t>
      </w:r>
    </w:p>
    <w:p w14:paraId="4E0EA81E" w14:textId="77777777" w:rsidR="006929E5" w:rsidRPr="005D250A" w:rsidRDefault="006929E5" w:rsidP="006929E5">
      <w:pPr>
        <w:pStyle w:val="ItemHead"/>
      </w:pPr>
    </w:p>
    <w:p w14:paraId="41C4CD82" w14:textId="2D35F3E1" w:rsidR="006929E5" w:rsidRPr="005D250A" w:rsidRDefault="006929E5" w:rsidP="006929E5">
      <w:pPr>
        <w:rPr>
          <w:rFonts w:eastAsiaTheme="minorEastAsia" w:cs="Times New Roman"/>
        </w:rPr>
      </w:pPr>
      <m:oMathPara>
        <m:oMath>
          <m:r>
            <w:rPr>
              <w:rFonts w:ascii="Cambria Math" w:hAnsi="Cambria Math" w:cs="Times New Roman"/>
            </w:rPr>
            <m:t xml:space="preserve">2021:  </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A×0.75</m:t>
                  </m:r>
                </m:e>
              </m:d>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C</m:t>
                      </m:r>
                    </m:den>
                  </m:f>
                </m:e>
              </m:d>
            </m:e>
          </m:d>
          <m:r>
            <w:rPr>
              <w:rFonts w:ascii="Cambria Math" w:hAnsi="Cambria Math" w:cs="Times New Roman"/>
            </w:rPr>
            <m:t xml:space="preserve"> + </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A×0.25</m:t>
                  </m:r>
                </m:e>
              </m:d>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C</m:t>
                              </m:r>
                            </m:den>
                          </m:f>
                        </m:e>
                      </m:d>
                    </m:e>
                  </m:d>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E</m:t>
                              </m:r>
                            </m:den>
                          </m:f>
                        </m:e>
                      </m:d>
                    </m:e>
                  </m:d>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0.1</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F</m:t>
                              </m:r>
                            </m:num>
                            <m:den>
                              <m:r>
                                <w:rPr>
                                  <w:rFonts w:ascii="Cambria Math" w:hAnsi="Cambria Math" w:cs="Times New Roman"/>
                                </w:rPr>
                                <m:t>G</m:t>
                              </m:r>
                            </m:den>
                          </m:f>
                        </m:e>
                      </m:d>
                    </m:e>
                  </m:d>
                </m:e>
              </m:d>
            </m:e>
          </m:d>
        </m:oMath>
      </m:oMathPara>
    </w:p>
    <w:p w14:paraId="360CD7CF" w14:textId="77777777" w:rsidR="006929E5" w:rsidRPr="005D250A" w:rsidRDefault="006929E5" w:rsidP="006929E5">
      <w:pPr>
        <w:rPr>
          <w:rFonts w:eastAsiaTheme="minorEastAsia" w:cs="Times New Roman"/>
        </w:rPr>
      </w:pPr>
    </w:p>
    <w:p w14:paraId="25BFE30A" w14:textId="44298489" w:rsidR="006929E5" w:rsidRPr="005D250A" w:rsidRDefault="006929E5" w:rsidP="006929E5">
      <w:pPr>
        <w:rPr>
          <w:rFonts w:eastAsiaTheme="minorEastAsia" w:cs="Times New Roman"/>
        </w:rPr>
      </w:pPr>
      <m:oMathPara>
        <m:oMath>
          <m:r>
            <w:rPr>
              <w:rFonts w:ascii="Cambria Math" w:hAnsi="Cambria Math" w:cs="Times New Roman"/>
            </w:rPr>
            <m:t xml:space="preserve">2022:  </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A×0.5</m:t>
                  </m:r>
                </m:e>
              </m:d>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C</m:t>
                      </m:r>
                    </m:den>
                  </m:f>
                </m:e>
              </m:d>
            </m:e>
          </m:d>
          <m:r>
            <w:rPr>
              <w:rFonts w:ascii="Cambria Math" w:hAnsi="Cambria Math" w:cs="Times New Roman"/>
            </w:rPr>
            <m:t xml:space="preserve"> + </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A  ×  0.5</m:t>
                  </m:r>
                </m:e>
              </m:d>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C</m:t>
                              </m:r>
                            </m:den>
                          </m:f>
                        </m:e>
                      </m:d>
                    </m:e>
                  </m:d>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E</m:t>
                              </m:r>
                            </m:den>
                          </m:f>
                        </m:e>
                      </m:d>
                    </m:e>
                  </m:d>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0.1</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F</m:t>
                              </m:r>
                            </m:num>
                            <m:den>
                              <m:r>
                                <w:rPr>
                                  <w:rFonts w:ascii="Cambria Math" w:hAnsi="Cambria Math" w:cs="Times New Roman"/>
                                </w:rPr>
                                <m:t>G</m:t>
                              </m:r>
                            </m:den>
                          </m:f>
                        </m:e>
                      </m:d>
                    </m:e>
                  </m:d>
                </m:e>
              </m:d>
            </m:e>
          </m:d>
        </m:oMath>
      </m:oMathPara>
    </w:p>
    <w:p w14:paraId="4D75AB02" w14:textId="77777777" w:rsidR="006929E5" w:rsidRPr="005D250A" w:rsidRDefault="006929E5" w:rsidP="006929E5">
      <w:pPr>
        <w:rPr>
          <w:rFonts w:eastAsiaTheme="minorEastAsia" w:cs="Times New Roman"/>
        </w:rPr>
      </w:pPr>
    </w:p>
    <w:p w14:paraId="362E444B" w14:textId="67E2CC4B" w:rsidR="006929E5" w:rsidRPr="005D250A" w:rsidRDefault="006929E5" w:rsidP="006929E5">
      <w:pPr>
        <w:rPr>
          <w:rFonts w:eastAsiaTheme="minorEastAsia" w:cs="Times New Roman"/>
        </w:rPr>
      </w:pPr>
      <m:oMathPara>
        <m:oMath>
          <m:r>
            <w:rPr>
              <w:rFonts w:ascii="Cambria Math" w:hAnsi="Cambria Math" w:cs="Times New Roman"/>
            </w:rPr>
            <m:t xml:space="preserve">2023:  </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A×0.25</m:t>
                  </m:r>
                </m:e>
              </m:d>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C</m:t>
                      </m:r>
                    </m:den>
                  </m:f>
                </m:e>
              </m:d>
            </m:e>
          </m:d>
          <m:r>
            <w:rPr>
              <w:rFonts w:ascii="Cambria Math" w:hAnsi="Cambria Math" w:cs="Times New Roman"/>
            </w:rPr>
            <m:t xml:space="preserve"> + </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A×0.75</m:t>
                  </m:r>
                </m:e>
              </m:d>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C</m:t>
                              </m:r>
                            </m:den>
                          </m:f>
                        </m:e>
                      </m:d>
                    </m:e>
                  </m:d>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E</m:t>
                              </m:r>
                            </m:den>
                          </m:f>
                        </m:e>
                      </m:d>
                    </m:e>
                  </m:d>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0.1</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F</m:t>
                              </m:r>
                            </m:num>
                            <m:den>
                              <m:r>
                                <w:rPr>
                                  <w:rFonts w:ascii="Cambria Math" w:hAnsi="Cambria Math" w:cs="Times New Roman"/>
                                </w:rPr>
                                <m:t>G</m:t>
                              </m:r>
                            </m:den>
                          </m:f>
                        </m:e>
                      </m:d>
                    </m:e>
                  </m:d>
                </m:e>
              </m:d>
            </m:e>
          </m:d>
        </m:oMath>
      </m:oMathPara>
    </w:p>
    <w:p w14:paraId="27FEBF8C" w14:textId="77777777" w:rsidR="006929E5" w:rsidRPr="005D250A" w:rsidRDefault="006929E5" w:rsidP="006929E5">
      <w:pPr>
        <w:rPr>
          <w:rFonts w:eastAsiaTheme="minorEastAsia" w:cs="Times New Roman"/>
        </w:rPr>
      </w:pPr>
    </w:p>
    <w:p w14:paraId="73073094" w14:textId="77777777" w:rsidR="006929E5" w:rsidRPr="005D250A" w:rsidRDefault="006929E5" w:rsidP="006929E5">
      <w:pPr>
        <w:rPr>
          <w:rFonts w:eastAsiaTheme="minorEastAsia" w:cs="Times New Roman"/>
        </w:rPr>
      </w:pPr>
      <m:oMathPara>
        <m:oMath>
          <m:r>
            <w:rPr>
              <w:rFonts w:ascii="Cambria Math" w:hAnsi="Cambria Math" w:cs="Times New Roman"/>
            </w:rPr>
            <m:t>2024 and later years:    A</m:t>
          </m:r>
          <m:d>
            <m:dPr>
              <m:ctrlPr>
                <w:rPr>
                  <w:rFonts w:ascii="Cambria Math" w:hAnsi="Cambria Math" w:cs="Times New Roman"/>
                  <w:i/>
                </w:rPr>
              </m:ctrlPr>
            </m:dPr>
            <m:e>
              <m:r>
                <w:rPr>
                  <w:rFonts w:ascii="Cambria Math" w:hAnsi="Cambria Math" w:cs="Times New Roman"/>
                </w:rPr>
                <m:t>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C</m:t>
                      </m:r>
                    </m:den>
                  </m:f>
                </m:e>
              </m:d>
              <m:r>
                <w:rPr>
                  <w:rFonts w:ascii="Cambria Math" w:hAnsi="Cambria Math" w:cs="Times New Roman"/>
                </w:rPr>
                <m:t xml:space="preserve"> + 0.45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E</m:t>
                      </m:r>
                    </m:den>
                  </m:f>
                </m:e>
              </m:d>
              <m:r>
                <w:rPr>
                  <w:rFonts w:ascii="Cambria Math" w:hAnsi="Cambria Math" w:cs="Times New Roman"/>
                </w:rPr>
                <m:t xml:space="preserve"> +0.1</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F</m:t>
                      </m:r>
                    </m:num>
                    <m:den>
                      <m:r>
                        <w:rPr>
                          <w:rFonts w:ascii="Cambria Math" w:hAnsi="Cambria Math" w:cs="Times New Roman"/>
                        </w:rPr>
                        <m:t>G</m:t>
                      </m:r>
                    </m:den>
                  </m:f>
                </m:e>
              </m:d>
            </m:e>
          </m:d>
        </m:oMath>
      </m:oMathPara>
    </w:p>
    <w:p w14:paraId="4A12497D" w14:textId="77777777" w:rsidR="00211E1B" w:rsidRPr="005D250A" w:rsidRDefault="00211E1B" w:rsidP="00517F03">
      <w:pPr>
        <w:pStyle w:val="Item"/>
        <w:spacing w:after="240"/>
        <w:ind w:left="720" w:hanging="720"/>
      </w:pPr>
      <w:r w:rsidRPr="005D250A">
        <w:t>Where:</w:t>
      </w:r>
    </w:p>
    <w:p w14:paraId="3A9A12FB" w14:textId="505FD10E" w:rsidR="00211E1B" w:rsidRPr="005D250A" w:rsidRDefault="00922FFA" w:rsidP="00517F03">
      <w:pPr>
        <w:pStyle w:val="Item"/>
        <w:spacing w:after="240"/>
        <w:ind w:left="720" w:hanging="720"/>
      </w:pPr>
      <w:r w:rsidRPr="005D250A">
        <w:t>A</w:t>
      </w:r>
      <w:r w:rsidR="00211E1B" w:rsidRPr="005D250A">
        <w:tab/>
        <w:t>is the total amount available for the year under the HEPPP</w:t>
      </w:r>
      <w:r w:rsidR="009D11B6" w:rsidRPr="005D250A">
        <w:t xml:space="preserve"> (see section 1.</w:t>
      </w:r>
      <w:r w:rsidR="0004793B" w:rsidRPr="005D250A">
        <w:t>4</w:t>
      </w:r>
      <w:r w:rsidR="009D11B6" w:rsidRPr="005D250A">
        <w:t>5.1)</w:t>
      </w:r>
      <w:r w:rsidR="002E2FFA" w:rsidRPr="005D250A">
        <w:t>;</w:t>
      </w:r>
    </w:p>
    <w:p w14:paraId="43D70777" w14:textId="0638A392" w:rsidR="00211E1B" w:rsidRPr="005D250A" w:rsidRDefault="00922FFA" w:rsidP="00517F03">
      <w:pPr>
        <w:pStyle w:val="Item"/>
        <w:spacing w:after="240"/>
        <w:ind w:left="720" w:hanging="720"/>
      </w:pPr>
      <w:r w:rsidRPr="005D250A">
        <w:t>B</w:t>
      </w:r>
      <w:r w:rsidR="00211E1B" w:rsidRPr="005D250A">
        <w:tab/>
        <w:t xml:space="preserve">is the total number of domestic undergraduate </w:t>
      </w:r>
      <w:r w:rsidR="009D11B6" w:rsidRPr="005D250A">
        <w:t>students from low SES backgrounds</w:t>
      </w:r>
      <w:r w:rsidR="00654E85" w:rsidRPr="005D250A">
        <w:t xml:space="preserve"> enrolled at the relevant</w:t>
      </w:r>
      <w:r w:rsidR="00211E1B" w:rsidRPr="005D250A">
        <w:t xml:space="preserve"> </w:t>
      </w:r>
      <w:r w:rsidR="009D11B6" w:rsidRPr="005D250A">
        <w:t xml:space="preserve">higher education </w:t>
      </w:r>
      <w:r w:rsidR="00211E1B" w:rsidRPr="005D250A">
        <w:t>provider in the m</w:t>
      </w:r>
      <w:r w:rsidR="009D11B6" w:rsidRPr="005D250A">
        <w:t xml:space="preserve">ost recent year for which HEIMS </w:t>
      </w:r>
      <w:r w:rsidR="00211E1B" w:rsidRPr="005D250A">
        <w:t>data is available</w:t>
      </w:r>
      <w:r w:rsidR="002E2FFA" w:rsidRPr="005D250A">
        <w:t>;</w:t>
      </w:r>
    </w:p>
    <w:p w14:paraId="2B4649BB" w14:textId="648A8AFB" w:rsidR="00211E1B" w:rsidRPr="005D250A" w:rsidRDefault="00922FFA" w:rsidP="00517F03">
      <w:pPr>
        <w:pStyle w:val="Item"/>
        <w:spacing w:after="240"/>
        <w:ind w:left="720" w:hanging="720"/>
      </w:pPr>
      <w:r w:rsidRPr="005D250A">
        <w:t>C</w:t>
      </w:r>
      <w:r w:rsidR="00211E1B" w:rsidRPr="005D250A">
        <w:tab/>
        <w:t>is the total number of domesti</w:t>
      </w:r>
      <w:r w:rsidR="009D11B6" w:rsidRPr="005D250A">
        <w:t>c undergraduate students from low SES backgrounds</w:t>
      </w:r>
      <w:r w:rsidR="00211E1B" w:rsidRPr="005D250A">
        <w:t xml:space="preserve"> enrolled at all Table A providers in the most recent year for which HEIMS data is available</w:t>
      </w:r>
      <w:r w:rsidR="002E2FFA" w:rsidRPr="005D250A">
        <w:t>;</w:t>
      </w:r>
    </w:p>
    <w:p w14:paraId="42875B2F" w14:textId="511217FE" w:rsidR="00211E1B" w:rsidRPr="005D250A" w:rsidRDefault="00922FFA" w:rsidP="00517F03">
      <w:pPr>
        <w:pStyle w:val="Item"/>
        <w:spacing w:after="240"/>
        <w:ind w:left="720" w:hanging="720"/>
      </w:pPr>
      <w:r w:rsidRPr="005D250A">
        <w:t>D</w:t>
      </w:r>
      <w:r w:rsidR="00211E1B" w:rsidRPr="005D250A">
        <w:tab/>
        <w:t xml:space="preserve">is the total number of domestic undergraduate </w:t>
      </w:r>
      <w:r w:rsidR="00AF5CC8" w:rsidRPr="005D250A">
        <w:t xml:space="preserve">students </w:t>
      </w:r>
      <w:r w:rsidR="00D42D8D" w:rsidRPr="005D250A">
        <w:t>with a permanent residential address in a regional area or a remote area at the time the person first enrols in a course of study with the relevant provider, in the most recent year for which HEIMS data is available</w:t>
      </w:r>
      <w:r w:rsidR="002E2FFA" w:rsidRPr="005D250A">
        <w:t>;</w:t>
      </w:r>
    </w:p>
    <w:p w14:paraId="5DC1E227" w14:textId="3669FBFC" w:rsidR="00211E1B" w:rsidRPr="005D250A" w:rsidRDefault="00922FFA" w:rsidP="00517F03">
      <w:pPr>
        <w:pStyle w:val="Item"/>
        <w:spacing w:after="240"/>
        <w:ind w:left="720" w:hanging="720"/>
      </w:pPr>
      <w:r w:rsidRPr="005D250A">
        <w:lastRenderedPageBreak/>
        <w:t>E</w:t>
      </w:r>
      <w:r w:rsidR="00211E1B" w:rsidRPr="005D250A">
        <w:tab/>
        <w:t xml:space="preserve">is the total number of domestic undergraduate </w:t>
      </w:r>
      <w:r w:rsidR="007D50F8" w:rsidRPr="005D250A">
        <w:t xml:space="preserve">students </w:t>
      </w:r>
      <w:r w:rsidR="00D42D8D" w:rsidRPr="005D250A">
        <w:t>at all Table A providers that have a permanent residential address in a regional area or a remote area at the time the person first enrols in a course of study with their provider,</w:t>
      </w:r>
      <w:r w:rsidR="00211E1B" w:rsidRPr="005D250A">
        <w:t xml:space="preserve"> in the most recent year for which HEIMS data is available</w:t>
      </w:r>
      <w:r w:rsidR="002E2FFA" w:rsidRPr="005D250A">
        <w:t>;</w:t>
      </w:r>
    </w:p>
    <w:p w14:paraId="720DE854" w14:textId="719666BC" w:rsidR="00211E1B" w:rsidRPr="005D250A" w:rsidRDefault="00922FFA" w:rsidP="00517F03">
      <w:pPr>
        <w:pStyle w:val="Item"/>
        <w:spacing w:after="240"/>
        <w:ind w:left="720" w:hanging="720"/>
      </w:pPr>
      <w:r w:rsidRPr="005D250A">
        <w:t>F</w:t>
      </w:r>
      <w:r w:rsidR="00211E1B" w:rsidRPr="005D250A">
        <w:tab/>
        <w:t>is the total number of domestic u</w:t>
      </w:r>
      <w:r w:rsidR="009452D6" w:rsidRPr="005D250A">
        <w:t>ndergraduate Indigenous persons enrolled at the relevant higher education</w:t>
      </w:r>
      <w:r w:rsidR="00211E1B" w:rsidRPr="005D250A">
        <w:t xml:space="preserve"> provider in the most recent year for which HEIMS data is available</w:t>
      </w:r>
      <w:r w:rsidR="002E2FFA" w:rsidRPr="005D250A">
        <w:t>;</w:t>
      </w:r>
    </w:p>
    <w:p w14:paraId="40BEE4BA" w14:textId="3DDB84EF" w:rsidR="006E2A4C" w:rsidRPr="005D250A" w:rsidRDefault="00922FFA" w:rsidP="009F296F">
      <w:pPr>
        <w:pStyle w:val="Item"/>
        <w:spacing w:after="240"/>
        <w:ind w:left="720" w:hanging="720"/>
        <w:rPr>
          <w:b/>
        </w:rPr>
      </w:pPr>
      <w:r w:rsidRPr="005D250A">
        <w:t>G</w:t>
      </w:r>
      <w:r w:rsidR="00211E1B" w:rsidRPr="005D250A">
        <w:tab/>
        <w:t>is the total number of domestic u</w:t>
      </w:r>
      <w:r w:rsidR="00D42B80" w:rsidRPr="005D250A">
        <w:t>ndergraduate Indigenous persons</w:t>
      </w:r>
      <w:r w:rsidR="00211E1B" w:rsidRPr="005D250A">
        <w:t xml:space="preserve"> enrolled at all Table A providers in the most recent year fo</w:t>
      </w:r>
      <w:r w:rsidR="009D11B6" w:rsidRPr="005D250A">
        <w:t>r which HEIMS data is available</w:t>
      </w:r>
      <w:r w:rsidR="002E2FFA" w:rsidRPr="005D250A">
        <w:t>;</w:t>
      </w:r>
    </w:p>
    <w:p w14:paraId="3499E3B4" w14:textId="71FDB724" w:rsidR="00B77112" w:rsidRPr="005D250A" w:rsidRDefault="009F296F" w:rsidP="002E3B40">
      <w:pPr>
        <w:pStyle w:val="Item"/>
        <w:spacing w:after="240"/>
        <w:ind w:left="720" w:hanging="720"/>
        <w:rPr>
          <w:b/>
        </w:rPr>
      </w:pPr>
      <w:r w:rsidRPr="005D250A">
        <w:t>1.</w:t>
      </w:r>
      <w:r w:rsidR="0004793B" w:rsidRPr="005D250A">
        <w:t>47</w:t>
      </w:r>
      <w:r w:rsidRPr="005D250A">
        <w:t>.5</w:t>
      </w:r>
      <w:r w:rsidRPr="005D250A">
        <w:tab/>
      </w:r>
      <w:r w:rsidR="00DB6199" w:rsidRPr="005D250A">
        <w:t>For</w:t>
      </w:r>
      <w:r w:rsidR="00257EB5" w:rsidRPr="005D250A">
        <w:t xml:space="preserve"> the avoidance of doubt,</w:t>
      </w:r>
      <w:r w:rsidR="00DB6199" w:rsidRPr="005D250A">
        <w:t xml:space="preserve"> </w:t>
      </w:r>
      <w:r w:rsidR="00257EB5" w:rsidRPr="005D250A">
        <w:t>when</w:t>
      </w:r>
      <w:r w:rsidR="00DB6199" w:rsidRPr="005D250A">
        <w:t xml:space="preserve"> calculating the grant amount for a year under section 1.</w:t>
      </w:r>
      <w:r w:rsidR="0004793B" w:rsidRPr="005D250A">
        <w:t>47</w:t>
      </w:r>
      <w:r w:rsidR="00DB6199" w:rsidRPr="005D250A">
        <w:t xml:space="preserve">.1, any grant amounts that were rolled over from the previous year under section 41-40 of the Act must not be taken into account. </w:t>
      </w:r>
    </w:p>
    <w:p w14:paraId="76598CF5" w14:textId="056A3807" w:rsidR="00211E1B" w:rsidRPr="005D250A" w:rsidRDefault="000A6710" w:rsidP="005F1766">
      <w:pPr>
        <w:pStyle w:val="Item"/>
        <w:spacing w:after="240"/>
        <w:ind w:left="0"/>
        <w:rPr>
          <w:b/>
        </w:rPr>
      </w:pPr>
      <w:r w:rsidRPr="005D250A">
        <w:rPr>
          <w:b/>
        </w:rPr>
        <w:t>1</w:t>
      </w:r>
      <w:r w:rsidR="00B17F5D" w:rsidRPr="005D250A">
        <w:rPr>
          <w:b/>
        </w:rPr>
        <w:t>.</w:t>
      </w:r>
      <w:r w:rsidR="00A64A7A" w:rsidRPr="005D250A">
        <w:rPr>
          <w:b/>
        </w:rPr>
        <w:t>48</w:t>
      </w:r>
      <w:r w:rsidR="00980E9C" w:rsidRPr="005D250A">
        <w:rPr>
          <w:b/>
        </w:rPr>
        <w:t xml:space="preserve"> </w:t>
      </w:r>
      <w:r w:rsidR="00211E1B" w:rsidRPr="005D250A">
        <w:rPr>
          <w:b/>
        </w:rPr>
        <w:t xml:space="preserve">Eligible </w:t>
      </w:r>
      <w:r w:rsidR="00980E9C" w:rsidRPr="005D250A">
        <w:rPr>
          <w:b/>
        </w:rPr>
        <w:t xml:space="preserve">grant </w:t>
      </w:r>
      <w:r w:rsidR="00211E1B" w:rsidRPr="005D250A">
        <w:rPr>
          <w:b/>
        </w:rPr>
        <w:t xml:space="preserve">activities </w:t>
      </w:r>
    </w:p>
    <w:p w14:paraId="567F456E" w14:textId="320AB0B6" w:rsidR="00FE5D91" w:rsidRPr="005D250A" w:rsidRDefault="00B17F5D" w:rsidP="003E1498">
      <w:pPr>
        <w:pStyle w:val="Item"/>
        <w:spacing w:after="240"/>
        <w:ind w:left="720" w:hanging="720"/>
      </w:pPr>
      <w:r w:rsidRPr="005D250A">
        <w:t>1.</w:t>
      </w:r>
      <w:r w:rsidR="00A64A7A" w:rsidRPr="005D250A">
        <w:t>48</w:t>
      </w:r>
      <w:r w:rsidR="00980E9C" w:rsidRPr="005D250A">
        <w:t>.1</w:t>
      </w:r>
      <w:r w:rsidR="00980E9C" w:rsidRPr="005D250A">
        <w:tab/>
      </w:r>
      <w:r w:rsidR="00B9033D" w:rsidRPr="005D250A">
        <w:t>Grants made under the HEPP</w:t>
      </w:r>
      <w:r w:rsidR="007E4799" w:rsidRPr="005D250A">
        <w:t>P</w:t>
      </w:r>
      <w:r w:rsidR="00211E1B" w:rsidRPr="005D250A">
        <w:t xml:space="preserve"> </w:t>
      </w:r>
      <w:r w:rsidR="001D341A" w:rsidRPr="005D250A">
        <w:t>must</w:t>
      </w:r>
      <w:r w:rsidR="00211E1B" w:rsidRPr="005D250A">
        <w:t xml:space="preserve"> be spent on </w:t>
      </w:r>
      <w:r w:rsidR="006648FF" w:rsidRPr="005D250A">
        <w:t xml:space="preserve">equity </w:t>
      </w:r>
      <w:r w:rsidR="00FE5D91" w:rsidRPr="005D250A">
        <w:t xml:space="preserve">activities </w:t>
      </w:r>
      <w:r w:rsidR="00211E1B" w:rsidRPr="005D250A">
        <w:t>that</w:t>
      </w:r>
      <w:r w:rsidR="00FE5D91" w:rsidRPr="005D250A">
        <w:t>:</w:t>
      </w:r>
      <w:r w:rsidR="00211E1B" w:rsidRPr="005D250A">
        <w:t xml:space="preserve"> </w:t>
      </w:r>
    </w:p>
    <w:p w14:paraId="7C9E820A" w14:textId="5F29F355" w:rsidR="00FE5D91" w:rsidRPr="005D250A" w:rsidRDefault="00211E1B" w:rsidP="00E36557">
      <w:pPr>
        <w:pStyle w:val="Item"/>
        <w:numPr>
          <w:ilvl w:val="0"/>
          <w:numId w:val="8"/>
        </w:numPr>
        <w:spacing w:before="0"/>
      </w:pPr>
      <w:r w:rsidRPr="005D250A">
        <w:t>target current and prospective domestic undergraduate students from low SES backgrounds</w:t>
      </w:r>
      <w:r w:rsidR="00A92CC4" w:rsidRPr="005D250A">
        <w:t>, students from regional areas and remote areas and Indigenous students</w:t>
      </w:r>
      <w:r w:rsidR="00FE5D91" w:rsidRPr="005D250A">
        <w:t>; and</w:t>
      </w:r>
      <w:r w:rsidRPr="005D250A">
        <w:t xml:space="preserve"> </w:t>
      </w:r>
    </w:p>
    <w:p w14:paraId="64818797" w14:textId="4B3589C3" w:rsidR="00211E1B" w:rsidRPr="005D250A" w:rsidRDefault="00FE5D91" w:rsidP="00E36557">
      <w:pPr>
        <w:pStyle w:val="Item"/>
        <w:numPr>
          <w:ilvl w:val="0"/>
          <w:numId w:val="8"/>
        </w:numPr>
        <w:spacing w:before="0"/>
      </w:pPr>
      <w:r w:rsidRPr="005D250A">
        <w:t>support tailored programs that</w:t>
      </w:r>
      <w:r w:rsidR="00211E1B" w:rsidRPr="005D250A">
        <w:t xml:space="preserve"> address the specific disadvantage</w:t>
      </w:r>
      <w:r w:rsidR="001D341A" w:rsidRPr="005D250A">
        <w:t>s</w:t>
      </w:r>
      <w:r w:rsidR="00211E1B" w:rsidRPr="005D250A">
        <w:t xml:space="preserve">, as appropriate, </w:t>
      </w:r>
      <w:r w:rsidR="001D341A" w:rsidRPr="005D250A">
        <w:t xml:space="preserve">faced by </w:t>
      </w:r>
      <w:r w:rsidR="00764243" w:rsidRPr="005D250A">
        <w:t>the provider’s</w:t>
      </w:r>
      <w:r w:rsidR="001D341A" w:rsidRPr="005D250A">
        <w:t xml:space="preserve"> students, and prospective students, from</w:t>
      </w:r>
      <w:r w:rsidR="00211E1B" w:rsidRPr="005D250A">
        <w:t xml:space="preserve"> low SES</w:t>
      </w:r>
      <w:r w:rsidR="001D341A" w:rsidRPr="005D250A">
        <w:t xml:space="preserve"> backgrounds</w:t>
      </w:r>
      <w:r w:rsidR="00211E1B" w:rsidRPr="005D250A">
        <w:t>, regional</w:t>
      </w:r>
      <w:r w:rsidR="001D341A" w:rsidRPr="005D250A">
        <w:t xml:space="preserve"> areas</w:t>
      </w:r>
      <w:r w:rsidR="00211E1B" w:rsidRPr="005D250A">
        <w:t xml:space="preserve"> and remote </w:t>
      </w:r>
      <w:r w:rsidR="00BD17BC" w:rsidRPr="005D250A">
        <w:t xml:space="preserve">areas, </w:t>
      </w:r>
      <w:r w:rsidR="00211E1B" w:rsidRPr="005D250A">
        <w:t>and Indigenous populations.</w:t>
      </w:r>
    </w:p>
    <w:p w14:paraId="583B9DF8" w14:textId="6AC8265F" w:rsidR="00211E1B" w:rsidRPr="005D250A" w:rsidRDefault="007E4799" w:rsidP="005F1766">
      <w:pPr>
        <w:pStyle w:val="Item"/>
        <w:spacing w:after="240"/>
        <w:ind w:left="0"/>
        <w:rPr>
          <w:b/>
        </w:rPr>
      </w:pPr>
      <w:r w:rsidRPr="005D250A">
        <w:rPr>
          <w:b/>
        </w:rPr>
        <w:t>1</w:t>
      </w:r>
      <w:r w:rsidR="00B17F5D" w:rsidRPr="005D250A">
        <w:rPr>
          <w:b/>
        </w:rPr>
        <w:t>.</w:t>
      </w:r>
      <w:r w:rsidR="00A64A7A" w:rsidRPr="005D250A">
        <w:rPr>
          <w:b/>
        </w:rPr>
        <w:t>49</w:t>
      </w:r>
      <w:r w:rsidRPr="005D250A">
        <w:rPr>
          <w:b/>
        </w:rPr>
        <w:t xml:space="preserve"> </w:t>
      </w:r>
      <w:r w:rsidR="00211E1B" w:rsidRPr="005D250A">
        <w:rPr>
          <w:b/>
        </w:rPr>
        <w:t>Ineligible activities</w:t>
      </w:r>
    </w:p>
    <w:p w14:paraId="02282570" w14:textId="7123A317" w:rsidR="007E4799" w:rsidRPr="005D250A" w:rsidRDefault="00B17F5D" w:rsidP="007E4799">
      <w:pPr>
        <w:pStyle w:val="Item"/>
        <w:ind w:left="720" w:hanging="720"/>
      </w:pPr>
      <w:r w:rsidRPr="005D250A">
        <w:t>1.</w:t>
      </w:r>
      <w:r w:rsidR="00A64A7A" w:rsidRPr="005D250A">
        <w:t>49</w:t>
      </w:r>
      <w:r w:rsidR="007E4799" w:rsidRPr="005D250A">
        <w:t>.1</w:t>
      </w:r>
      <w:r w:rsidR="007E4799" w:rsidRPr="005D250A">
        <w:tab/>
        <w:t>Grants made under the HEPPP must</w:t>
      </w:r>
      <w:r w:rsidR="00211E1B" w:rsidRPr="005D250A">
        <w:t xml:space="preserve"> not be spent on</w:t>
      </w:r>
      <w:r w:rsidR="007E4799" w:rsidRPr="005D250A">
        <w:t>:</w:t>
      </w:r>
    </w:p>
    <w:p w14:paraId="5930F435" w14:textId="4AE46D20" w:rsidR="00211E1B" w:rsidRPr="005D250A" w:rsidRDefault="00211E1B" w:rsidP="00E36557">
      <w:pPr>
        <w:pStyle w:val="Item"/>
        <w:numPr>
          <w:ilvl w:val="0"/>
          <w:numId w:val="16"/>
        </w:numPr>
        <w:spacing w:before="0"/>
      </w:pPr>
      <w:r w:rsidRPr="005D250A">
        <w:t>infrastructure, which includes all buildings, fixtures, roads, path</w:t>
      </w:r>
      <w:r w:rsidR="007E4799" w:rsidRPr="005D250A">
        <w:t>ways and modifications thereof;</w:t>
      </w:r>
      <w:r w:rsidR="00292CFA" w:rsidRPr="005D250A">
        <w:t xml:space="preserve"> or</w:t>
      </w:r>
    </w:p>
    <w:p w14:paraId="461569C6" w14:textId="7D88C3B8" w:rsidR="00211E1B" w:rsidRPr="005D250A" w:rsidRDefault="00211E1B" w:rsidP="00E36557">
      <w:pPr>
        <w:pStyle w:val="Item"/>
        <w:numPr>
          <w:ilvl w:val="0"/>
          <w:numId w:val="16"/>
        </w:numPr>
        <w:spacing w:before="0"/>
      </w:pPr>
      <w:r w:rsidRPr="005D250A">
        <w:t xml:space="preserve">general facilities and services and transport vehicles that are not principally for the benefit of students from low SES backgrounds, </w:t>
      </w:r>
      <w:r w:rsidR="007E4799" w:rsidRPr="005D250A">
        <w:t xml:space="preserve">students </w:t>
      </w:r>
      <w:r w:rsidRPr="005D250A">
        <w:t>from regional</w:t>
      </w:r>
      <w:r w:rsidR="007E4799" w:rsidRPr="005D250A">
        <w:t xml:space="preserve"> areas</w:t>
      </w:r>
      <w:r w:rsidRPr="005D250A">
        <w:t xml:space="preserve"> and remote areas</w:t>
      </w:r>
      <w:r w:rsidR="007E4799" w:rsidRPr="005D250A">
        <w:t>,</w:t>
      </w:r>
      <w:r w:rsidRPr="005D250A">
        <w:t xml:space="preserve"> </w:t>
      </w:r>
      <w:r w:rsidR="008348E0" w:rsidRPr="005D250A">
        <w:t>or</w:t>
      </w:r>
      <w:r w:rsidRPr="005D250A">
        <w:t xml:space="preserve"> Indigenous students</w:t>
      </w:r>
      <w:r w:rsidR="00292CFA" w:rsidRPr="005D250A">
        <w:t>.</w:t>
      </w:r>
    </w:p>
    <w:p w14:paraId="7871E51A" w14:textId="77777777" w:rsidR="000A6710" w:rsidRPr="005D250A" w:rsidRDefault="000A6710" w:rsidP="004204EA">
      <w:pPr>
        <w:pStyle w:val="Item"/>
        <w:spacing w:before="0"/>
        <w:ind w:left="0"/>
        <w:rPr>
          <w:b/>
        </w:rPr>
      </w:pPr>
    </w:p>
    <w:p w14:paraId="446F1C58" w14:textId="7F348CB5" w:rsidR="000A6710" w:rsidRPr="005D250A" w:rsidRDefault="00B17F5D" w:rsidP="005F1766">
      <w:pPr>
        <w:pStyle w:val="Item"/>
        <w:spacing w:after="240"/>
        <w:ind w:left="0"/>
        <w:rPr>
          <w:b/>
        </w:rPr>
      </w:pPr>
      <w:r w:rsidRPr="005D250A">
        <w:rPr>
          <w:b/>
        </w:rPr>
        <w:t>1.</w:t>
      </w:r>
      <w:r w:rsidR="00A64A7A" w:rsidRPr="005D250A">
        <w:rPr>
          <w:b/>
        </w:rPr>
        <w:t>5</w:t>
      </w:r>
      <w:r w:rsidR="003E0608" w:rsidRPr="005D250A">
        <w:rPr>
          <w:b/>
        </w:rPr>
        <w:t>0</w:t>
      </w:r>
      <w:r w:rsidR="000A6710" w:rsidRPr="005D250A">
        <w:rPr>
          <w:b/>
        </w:rPr>
        <w:t xml:space="preserve"> Specific conditions on HEPPP grants – reporting </w:t>
      </w:r>
    </w:p>
    <w:p w14:paraId="78032520" w14:textId="4E43FFBC" w:rsidR="008448D8" w:rsidRPr="005D250A" w:rsidRDefault="00B17F5D" w:rsidP="008448D8">
      <w:pPr>
        <w:pStyle w:val="Item"/>
        <w:spacing w:after="240"/>
        <w:ind w:left="720" w:hanging="720"/>
      </w:pPr>
      <w:r w:rsidRPr="005D250A">
        <w:t>1.</w:t>
      </w:r>
      <w:r w:rsidR="00A64A7A" w:rsidRPr="005D250A">
        <w:t>5</w:t>
      </w:r>
      <w:r w:rsidR="003E0608" w:rsidRPr="005D250A">
        <w:t>0</w:t>
      </w:r>
      <w:r w:rsidR="000A6710" w:rsidRPr="005D250A">
        <w:t>.1</w:t>
      </w:r>
      <w:r w:rsidR="000A6710" w:rsidRPr="005D250A">
        <w:tab/>
      </w:r>
      <w:r w:rsidR="008448D8" w:rsidRPr="005D250A">
        <w:t xml:space="preserve">The provider </w:t>
      </w:r>
      <w:r w:rsidR="00644BFF" w:rsidRPr="005D250A">
        <w:t xml:space="preserve">must submit reports and financial acquittals </w:t>
      </w:r>
      <w:r w:rsidR="00E36557" w:rsidRPr="005D250A">
        <w:t>to the Department</w:t>
      </w:r>
      <w:r w:rsidR="008448D8" w:rsidRPr="005D250A">
        <w:t xml:space="preserve"> in the form, and at the times, specified by the Department in writing</w:t>
      </w:r>
      <w:r w:rsidR="00B32AA9" w:rsidRPr="005D250A">
        <w:t xml:space="preserve"> and </w:t>
      </w:r>
      <w:r w:rsidR="00644BFF" w:rsidRPr="005D250A">
        <w:t xml:space="preserve">to the satisfaction of the Department. </w:t>
      </w:r>
    </w:p>
    <w:p w14:paraId="74DD3DC8" w14:textId="60C3B98C" w:rsidR="008448D8" w:rsidRPr="005D250A" w:rsidRDefault="00F8679E" w:rsidP="0006524B">
      <w:pPr>
        <w:pStyle w:val="Item"/>
        <w:spacing w:after="240"/>
        <w:ind w:left="720" w:hanging="720"/>
        <w:rPr>
          <w:lang w:val="en-US"/>
        </w:rPr>
      </w:pPr>
      <w:r w:rsidRPr="005D250A">
        <w:rPr>
          <w:lang w:val="en-US"/>
        </w:rPr>
        <w:t>1.50.5</w:t>
      </w:r>
      <w:r w:rsidRPr="005D250A">
        <w:rPr>
          <w:lang w:val="en-US"/>
        </w:rPr>
        <w:tab/>
      </w:r>
      <w:r w:rsidR="008448D8" w:rsidRPr="005D250A">
        <w:rPr>
          <w:lang w:val="en-US"/>
        </w:rPr>
        <w:t>The provider must report to the Department in accordance with any reporting requirements set out in the Evaluation Framework specified by the Department</w:t>
      </w:r>
      <w:r w:rsidR="00E679C9" w:rsidRPr="005D250A">
        <w:rPr>
          <w:lang w:val="en-US"/>
        </w:rPr>
        <w:t>, once the Evaluation Framework is in place</w:t>
      </w:r>
      <w:r w:rsidR="008448D8" w:rsidRPr="005D250A">
        <w:rPr>
          <w:lang w:val="en-US"/>
        </w:rPr>
        <w:t>.</w:t>
      </w:r>
    </w:p>
    <w:p w14:paraId="63F49648" w14:textId="62BC6F87" w:rsidR="00CD142D" w:rsidRPr="005D250A" w:rsidRDefault="00A5287A" w:rsidP="00222CD7">
      <w:pPr>
        <w:pStyle w:val="Item"/>
        <w:spacing w:after="240"/>
        <w:ind w:left="0"/>
        <w:rPr>
          <w:b/>
          <w:sz w:val="28"/>
        </w:rPr>
      </w:pPr>
      <w:r w:rsidRPr="005D250A">
        <w:rPr>
          <w:b/>
          <w:sz w:val="28"/>
        </w:rPr>
        <w:t>Division 2</w:t>
      </w:r>
      <w:r w:rsidR="009D474F" w:rsidRPr="005D250A">
        <w:rPr>
          <w:b/>
          <w:sz w:val="28"/>
        </w:rPr>
        <w:t xml:space="preserve"> – National Priorities Pool</w:t>
      </w:r>
      <w:r w:rsidR="00174E46" w:rsidRPr="005D250A">
        <w:rPr>
          <w:b/>
          <w:sz w:val="28"/>
        </w:rPr>
        <w:t xml:space="preserve"> Program </w:t>
      </w:r>
    </w:p>
    <w:p w14:paraId="39363C98" w14:textId="525458FB" w:rsidR="00420523" w:rsidRPr="005D250A" w:rsidRDefault="00B17F5D" w:rsidP="005F1766">
      <w:pPr>
        <w:pStyle w:val="Item"/>
        <w:spacing w:after="240"/>
        <w:ind w:left="0"/>
        <w:rPr>
          <w:b/>
        </w:rPr>
      </w:pPr>
      <w:r w:rsidRPr="005D250A">
        <w:rPr>
          <w:b/>
        </w:rPr>
        <w:t>1.</w:t>
      </w:r>
      <w:r w:rsidR="00A64A7A" w:rsidRPr="005D250A">
        <w:rPr>
          <w:b/>
        </w:rPr>
        <w:t>51</w:t>
      </w:r>
      <w:r w:rsidR="00C228B0" w:rsidRPr="005D250A">
        <w:rPr>
          <w:b/>
        </w:rPr>
        <w:t xml:space="preserve"> </w:t>
      </w:r>
      <w:r w:rsidR="002D3047" w:rsidRPr="005D250A">
        <w:rPr>
          <w:b/>
        </w:rPr>
        <w:t>P</w:t>
      </w:r>
      <w:r w:rsidR="00174E46" w:rsidRPr="005D250A">
        <w:rPr>
          <w:b/>
        </w:rPr>
        <w:t>rogram o</w:t>
      </w:r>
      <w:r w:rsidR="00420523" w:rsidRPr="005D250A">
        <w:rPr>
          <w:b/>
        </w:rPr>
        <w:t xml:space="preserve">bjectives </w:t>
      </w:r>
    </w:p>
    <w:p w14:paraId="70BF7765" w14:textId="0A97525B" w:rsidR="00420523" w:rsidRPr="005D250A" w:rsidRDefault="00B17F5D" w:rsidP="00C228B0">
      <w:pPr>
        <w:pStyle w:val="Item"/>
        <w:ind w:left="720" w:hanging="720"/>
      </w:pPr>
      <w:r w:rsidRPr="005D250A">
        <w:t>1.</w:t>
      </w:r>
      <w:r w:rsidR="00A64A7A" w:rsidRPr="005D250A">
        <w:t>51</w:t>
      </w:r>
      <w:r w:rsidR="00C228B0" w:rsidRPr="005D250A">
        <w:t>.1</w:t>
      </w:r>
      <w:r w:rsidR="00C228B0" w:rsidRPr="005D250A">
        <w:tab/>
      </w:r>
      <w:r w:rsidR="00420523" w:rsidRPr="005D250A">
        <w:t xml:space="preserve">The objective of the National Priorities Pool </w:t>
      </w:r>
      <w:r w:rsidR="00481CC2" w:rsidRPr="005D250A">
        <w:t>Program is</w:t>
      </w:r>
      <w:r w:rsidR="00420523" w:rsidRPr="005D250A">
        <w:t xml:space="preserve"> to provide grants to higher education providers to conduct research projects and trial initiatives designed to:</w:t>
      </w:r>
    </w:p>
    <w:p w14:paraId="7C545845" w14:textId="30433010" w:rsidR="00420523" w:rsidRPr="005D250A" w:rsidRDefault="00420523" w:rsidP="00E4554C">
      <w:pPr>
        <w:pStyle w:val="Item"/>
        <w:numPr>
          <w:ilvl w:val="0"/>
          <w:numId w:val="5"/>
        </w:numPr>
        <w:spacing w:before="0"/>
      </w:pPr>
      <w:r w:rsidRPr="005D250A">
        <w:lastRenderedPageBreak/>
        <w:t xml:space="preserve">inform future equity policy development and equity practice nationally and at an institutional level; </w:t>
      </w:r>
    </w:p>
    <w:p w14:paraId="4ACB5590" w14:textId="74606448" w:rsidR="00420523" w:rsidRPr="005D250A" w:rsidRDefault="00420523" w:rsidP="00E4554C">
      <w:pPr>
        <w:pStyle w:val="Item"/>
        <w:numPr>
          <w:ilvl w:val="0"/>
          <w:numId w:val="5"/>
        </w:numPr>
        <w:spacing w:before="0"/>
      </w:pPr>
      <w:r w:rsidRPr="005D250A">
        <w:t xml:space="preserve">help increase the number of persons </w:t>
      </w:r>
      <w:r w:rsidR="009358CF" w:rsidRPr="005D250A">
        <w:t xml:space="preserve">from </w:t>
      </w:r>
      <w:r w:rsidRPr="005D250A">
        <w:t xml:space="preserve">a low SES background, persons from regional areas and remote areas, and Indigenous persons who </w:t>
      </w:r>
      <w:r w:rsidR="006648FF" w:rsidRPr="005D250A">
        <w:t xml:space="preserve">aspire to, </w:t>
      </w:r>
      <w:r w:rsidRPr="005D250A">
        <w:t xml:space="preserve">access, participate in, remain </w:t>
      </w:r>
      <w:r w:rsidR="00B56CCF" w:rsidRPr="005D250A">
        <w:t xml:space="preserve">in, </w:t>
      </w:r>
      <w:r w:rsidRPr="005D250A">
        <w:t xml:space="preserve">and succeed in higher education; and </w:t>
      </w:r>
    </w:p>
    <w:p w14:paraId="759E50F2" w14:textId="462C90EB" w:rsidR="00420523" w:rsidRPr="005D250A" w:rsidRDefault="00420523" w:rsidP="00E4554C">
      <w:pPr>
        <w:pStyle w:val="Item"/>
        <w:numPr>
          <w:ilvl w:val="0"/>
          <w:numId w:val="5"/>
        </w:numPr>
        <w:spacing w:before="0"/>
      </w:pPr>
      <w:r w:rsidRPr="005D250A">
        <w:t xml:space="preserve">help increase the number of persons </w:t>
      </w:r>
      <w:r w:rsidR="00481CC2" w:rsidRPr="005D250A">
        <w:t>from</w:t>
      </w:r>
      <w:r w:rsidRPr="005D250A">
        <w:t xml:space="preserve"> a low SES background, persons from regional areas and remote areas, and Indigenous persons who obtain higher education awards.</w:t>
      </w:r>
    </w:p>
    <w:p w14:paraId="559459BC" w14:textId="77777777" w:rsidR="00A372AC" w:rsidRPr="005D250A" w:rsidRDefault="00A372AC" w:rsidP="005F1766">
      <w:pPr>
        <w:pStyle w:val="Item"/>
        <w:spacing w:before="0"/>
        <w:ind w:left="0"/>
        <w:rPr>
          <w:b/>
        </w:rPr>
      </w:pPr>
    </w:p>
    <w:p w14:paraId="37436B06" w14:textId="0E6F9133" w:rsidR="009D474F" w:rsidRPr="005D250A" w:rsidRDefault="00B17F5D" w:rsidP="005F1766">
      <w:pPr>
        <w:pStyle w:val="Item"/>
        <w:spacing w:after="240"/>
        <w:ind w:left="0"/>
        <w:rPr>
          <w:b/>
        </w:rPr>
      </w:pPr>
      <w:r w:rsidRPr="005D250A">
        <w:rPr>
          <w:b/>
        </w:rPr>
        <w:t>1.</w:t>
      </w:r>
      <w:r w:rsidR="00A64A7A" w:rsidRPr="005D250A">
        <w:rPr>
          <w:b/>
        </w:rPr>
        <w:t>52</w:t>
      </w:r>
      <w:r w:rsidR="00C228B0" w:rsidRPr="005D250A">
        <w:rPr>
          <w:b/>
        </w:rPr>
        <w:t xml:space="preserve"> </w:t>
      </w:r>
      <w:r w:rsidR="00211E1B" w:rsidRPr="005D250A">
        <w:rPr>
          <w:b/>
        </w:rPr>
        <w:t xml:space="preserve">Total amount of National Priorities Pool </w:t>
      </w:r>
      <w:r w:rsidR="00481CC2" w:rsidRPr="005D250A">
        <w:rPr>
          <w:b/>
        </w:rPr>
        <w:t xml:space="preserve">Program </w:t>
      </w:r>
      <w:r w:rsidR="00211E1B" w:rsidRPr="005D250A">
        <w:rPr>
          <w:b/>
        </w:rPr>
        <w:t xml:space="preserve">funding </w:t>
      </w:r>
    </w:p>
    <w:p w14:paraId="746CA32C" w14:textId="288CF55C" w:rsidR="00DB072C" w:rsidRPr="005D250A" w:rsidRDefault="00B17F5D" w:rsidP="00076757">
      <w:pPr>
        <w:pStyle w:val="Item"/>
        <w:spacing w:after="240"/>
        <w:ind w:left="720" w:hanging="720"/>
      </w:pPr>
      <w:r w:rsidRPr="005D250A">
        <w:t>1.</w:t>
      </w:r>
      <w:r w:rsidR="00A64A7A" w:rsidRPr="005D250A">
        <w:t>52</w:t>
      </w:r>
      <w:r w:rsidR="00C228B0" w:rsidRPr="005D250A">
        <w:t>.1</w:t>
      </w:r>
      <w:r w:rsidR="00C228B0" w:rsidRPr="005D250A">
        <w:tab/>
      </w:r>
      <w:r w:rsidR="00211E1B" w:rsidRPr="005D250A">
        <w:t>The total amount of funding available each year for the National Priorities Pool</w:t>
      </w:r>
      <w:r w:rsidR="00481CC2" w:rsidRPr="005D250A">
        <w:t xml:space="preserve"> Program</w:t>
      </w:r>
      <w:r w:rsidR="00ED1EE5" w:rsidRPr="005D250A">
        <w:t xml:space="preserve"> </w:t>
      </w:r>
      <w:r w:rsidR="00211E1B" w:rsidRPr="005D250A">
        <w:t>is $6,500,000.</w:t>
      </w:r>
    </w:p>
    <w:p w14:paraId="06BCC646" w14:textId="12775BF2" w:rsidR="00EA6E97" w:rsidRPr="005D250A" w:rsidRDefault="00D70719" w:rsidP="005F1766">
      <w:pPr>
        <w:pStyle w:val="Item"/>
        <w:spacing w:after="240"/>
        <w:ind w:left="0"/>
      </w:pPr>
      <w:r w:rsidRPr="005D250A">
        <w:rPr>
          <w:b/>
        </w:rPr>
        <w:t>1</w:t>
      </w:r>
      <w:r w:rsidR="00B17F5D" w:rsidRPr="005D250A">
        <w:rPr>
          <w:b/>
        </w:rPr>
        <w:t>.</w:t>
      </w:r>
      <w:r w:rsidR="00A64A7A" w:rsidRPr="005D250A">
        <w:rPr>
          <w:b/>
        </w:rPr>
        <w:t>53</w:t>
      </w:r>
      <w:r w:rsidRPr="005D250A">
        <w:rPr>
          <w:b/>
        </w:rPr>
        <w:t xml:space="preserve"> Grant a</w:t>
      </w:r>
      <w:r w:rsidR="00EA6E97" w:rsidRPr="005D250A">
        <w:rPr>
          <w:b/>
        </w:rPr>
        <w:t xml:space="preserve">ctivities in the National Priorities Pool </w:t>
      </w:r>
      <w:r w:rsidR="00481CC2" w:rsidRPr="005D250A">
        <w:rPr>
          <w:b/>
        </w:rPr>
        <w:t>Program</w:t>
      </w:r>
    </w:p>
    <w:p w14:paraId="130F2581" w14:textId="6E2DB5AF" w:rsidR="00EA6E97" w:rsidRPr="005D250A" w:rsidRDefault="00D70719" w:rsidP="00D70719">
      <w:pPr>
        <w:pStyle w:val="Item"/>
        <w:ind w:left="720" w:hanging="720"/>
      </w:pPr>
      <w:r w:rsidRPr="005D250A">
        <w:t>1.</w:t>
      </w:r>
      <w:r w:rsidR="00A64A7A" w:rsidRPr="005D250A">
        <w:t>53</w:t>
      </w:r>
      <w:r w:rsidRPr="005D250A">
        <w:t>.1</w:t>
      </w:r>
      <w:r w:rsidRPr="005D250A">
        <w:tab/>
      </w:r>
      <w:r w:rsidR="00EA6E97" w:rsidRPr="005D250A">
        <w:t xml:space="preserve">Grants </w:t>
      </w:r>
      <w:r w:rsidRPr="005D250A">
        <w:t>made</w:t>
      </w:r>
      <w:r w:rsidR="00EA6E97" w:rsidRPr="005D250A">
        <w:t xml:space="preserve"> under the National Priorities Pool </w:t>
      </w:r>
      <w:r w:rsidR="00481CC2" w:rsidRPr="005D250A">
        <w:t xml:space="preserve">Program </w:t>
      </w:r>
      <w:r w:rsidR="00EA6E97" w:rsidRPr="005D250A">
        <w:t>must address at least one of the following priority areas for funding:</w:t>
      </w:r>
    </w:p>
    <w:p w14:paraId="471E7093" w14:textId="77777777" w:rsidR="00EA6E97" w:rsidRPr="005D250A" w:rsidRDefault="00EA6E97" w:rsidP="00E4554C">
      <w:pPr>
        <w:pStyle w:val="Item"/>
        <w:numPr>
          <w:ilvl w:val="0"/>
          <w:numId w:val="9"/>
        </w:numPr>
        <w:spacing w:before="0"/>
      </w:pPr>
      <w:r w:rsidRPr="005D250A">
        <w:t>research that builds the evidence base</w:t>
      </w:r>
      <w:r w:rsidR="00A5287A" w:rsidRPr="005D250A">
        <w:t xml:space="preserve"> that </w:t>
      </w:r>
      <w:r w:rsidR="006648FF" w:rsidRPr="005D250A">
        <w:t>informs</w:t>
      </w:r>
      <w:r w:rsidR="00A5287A" w:rsidRPr="005D250A">
        <w:t xml:space="preserve"> equity policy and practice</w:t>
      </w:r>
      <w:r w:rsidR="00A34A83" w:rsidRPr="005D250A">
        <w:t>;</w:t>
      </w:r>
    </w:p>
    <w:p w14:paraId="75D17F68" w14:textId="77777777" w:rsidR="00EA6E97" w:rsidRPr="005D250A" w:rsidRDefault="00EA6E97" w:rsidP="00E4554C">
      <w:pPr>
        <w:pStyle w:val="Item"/>
        <w:numPr>
          <w:ilvl w:val="0"/>
          <w:numId w:val="9"/>
        </w:numPr>
        <w:spacing w:before="0"/>
      </w:pPr>
      <w:r w:rsidRPr="005D250A">
        <w:t>trials of innovative approaches</w:t>
      </w:r>
      <w:r w:rsidR="00A5287A" w:rsidRPr="005D250A">
        <w:t xml:space="preserve"> to equity policy and practice</w:t>
      </w:r>
      <w:r w:rsidR="00A34A83" w:rsidRPr="005D250A">
        <w:t>;</w:t>
      </w:r>
    </w:p>
    <w:p w14:paraId="0111A7FB" w14:textId="67909166" w:rsidR="00EA6E97" w:rsidRPr="005D250A" w:rsidRDefault="00EA6E97" w:rsidP="00E4554C">
      <w:pPr>
        <w:pStyle w:val="Item"/>
        <w:numPr>
          <w:ilvl w:val="0"/>
          <w:numId w:val="9"/>
        </w:numPr>
        <w:spacing w:before="0"/>
      </w:pPr>
      <w:r w:rsidRPr="005D250A">
        <w:t xml:space="preserve">more effective and efficient implementation of </w:t>
      </w:r>
      <w:r w:rsidR="00DB75D1" w:rsidRPr="005D250A">
        <w:t>equity policy and programs</w:t>
      </w:r>
      <w:r w:rsidR="00A34A83" w:rsidRPr="005D250A">
        <w:t>; and</w:t>
      </w:r>
    </w:p>
    <w:p w14:paraId="1D65EA94" w14:textId="0F118CF5" w:rsidR="00EA6E97" w:rsidRPr="005D250A" w:rsidRDefault="00EA6E97" w:rsidP="00E4554C">
      <w:pPr>
        <w:pStyle w:val="Item"/>
        <w:numPr>
          <w:ilvl w:val="0"/>
          <w:numId w:val="9"/>
        </w:numPr>
        <w:spacing w:before="0"/>
      </w:pPr>
      <w:r w:rsidRPr="005D250A">
        <w:t>responses to emerging priorities that</w:t>
      </w:r>
      <w:r w:rsidR="00D70719" w:rsidRPr="005D250A">
        <w:t xml:space="preserve"> will</w:t>
      </w:r>
      <w:r w:rsidRPr="005D250A">
        <w:t xml:space="preserve"> maximise equity student outcomes.</w:t>
      </w:r>
    </w:p>
    <w:p w14:paraId="665D2BEB" w14:textId="77777777" w:rsidR="00481CC2" w:rsidRPr="005D250A" w:rsidRDefault="00481CC2" w:rsidP="00B76B38">
      <w:pPr>
        <w:pStyle w:val="Item"/>
        <w:spacing w:before="0"/>
        <w:ind w:left="0"/>
        <w:rPr>
          <w:b/>
          <w:sz w:val="28"/>
        </w:rPr>
      </w:pPr>
    </w:p>
    <w:p w14:paraId="69E4F18D" w14:textId="59CDB473" w:rsidR="009D474F" w:rsidRPr="005D250A" w:rsidRDefault="00A5287A" w:rsidP="00222CD7">
      <w:pPr>
        <w:pStyle w:val="Item"/>
        <w:spacing w:after="240"/>
        <w:ind w:left="0"/>
        <w:rPr>
          <w:b/>
          <w:sz w:val="28"/>
        </w:rPr>
      </w:pPr>
      <w:r w:rsidRPr="005D250A">
        <w:rPr>
          <w:b/>
          <w:sz w:val="28"/>
        </w:rPr>
        <w:t>Division 3</w:t>
      </w:r>
      <w:r w:rsidR="009D474F" w:rsidRPr="005D250A">
        <w:rPr>
          <w:b/>
          <w:sz w:val="28"/>
        </w:rPr>
        <w:t xml:space="preserve"> – Regional Partnerships Project Pool</w:t>
      </w:r>
      <w:r w:rsidR="003E1372" w:rsidRPr="005D250A">
        <w:rPr>
          <w:b/>
          <w:sz w:val="28"/>
        </w:rPr>
        <w:t xml:space="preserve"> Program</w:t>
      </w:r>
    </w:p>
    <w:p w14:paraId="0F13A600" w14:textId="278DB26C" w:rsidR="00420523" w:rsidRPr="005D250A" w:rsidRDefault="00B17F5D" w:rsidP="005F1766">
      <w:pPr>
        <w:pStyle w:val="Item"/>
        <w:spacing w:after="240"/>
        <w:ind w:left="0"/>
        <w:rPr>
          <w:b/>
        </w:rPr>
      </w:pPr>
      <w:r w:rsidRPr="005D250A">
        <w:rPr>
          <w:b/>
        </w:rPr>
        <w:t>1.</w:t>
      </w:r>
      <w:r w:rsidR="00A64A7A" w:rsidRPr="005D250A">
        <w:rPr>
          <w:b/>
        </w:rPr>
        <w:t>54</w:t>
      </w:r>
      <w:r w:rsidR="00D70719" w:rsidRPr="005D250A">
        <w:rPr>
          <w:b/>
        </w:rPr>
        <w:t xml:space="preserve"> </w:t>
      </w:r>
      <w:r w:rsidR="006B62E7" w:rsidRPr="005D250A">
        <w:rPr>
          <w:b/>
        </w:rPr>
        <w:t>P</w:t>
      </w:r>
      <w:r w:rsidR="003E1372" w:rsidRPr="005D250A">
        <w:rPr>
          <w:b/>
        </w:rPr>
        <w:t xml:space="preserve">rogram objectives </w:t>
      </w:r>
      <w:r w:rsidR="00420523" w:rsidRPr="005D250A">
        <w:rPr>
          <w:b/>
        </w:rPr>
        <w:t xml:space="preserve"> </w:t>
      </w:r>
    </w:p>
    <w:p w14:paraId="7FD3FBDA" w14:textId="08A826F0" w:rsidR="00420523" w:rsidRPr="005D250A" w:rsidRDefault="00B17F5D" w:rsidP="00420523">
      <w:pPr>
        <w:spacing w:after="120" w:line="240" w:lineRule="auto"/>
        <w:ind w:left="709" w:hanging="709"/>
        <w:contextualSpacing/>
        <w:rPr>
          <w:i/>
        </w:rPr>
      </w:pPr>
      <w:r w:rsidRPr="005D250A">
        <w:t>1.</w:t>
      </w:r>
      <w:r w:rsidR="00A64A7A" w:rsidRPr="005D250A">
        <w:t>54</w:t>
      </w:r>
      <w:r w:rsidR="00D70719" w:rsidRPr="005D250A">
        <w:t>.1</w:t>
      </w:r>
      <w:r w:rsidR="00D70719" w:rsidRPr="005D250A">
        <w:tab/>
      </w:r>
      <w:r w:rsidR="00420523" w:rsidRPr="005D250A">
        <w:t xml:space="preserve">The objectives of the Regional Partnerships Project Pool </w:t>
      </w:r>
      <w:r w:rsidR="003E1372" w:rsidRPr="005D250A">
        <w:t xml:space="preserve">Program </w:t>
      </w:r>
      <w:r w:rsidR="00420523" w:rsidRPr="005D250A">
        <w:t>are to provide grants to higher education providers to:</w:t>
      </w:r>
    </w:p>
    <w:p w14:paraId="0271E0B2" w14:textId="1BB2B100" w:rsidR="00420523" w:rsidRPr="005D250A" w:rsidRDefault="00420523" w:rsidP="007237A4">
      <w:pPr>
        <w:pStyle w:val="Item"/>
        <w:numPr>
          <w:ilvl w:val="0"/>
          <w:numId w:val="6"/>
        </w:numPr>
        <w:spacing w:before="0"/>
      </w:pPr>
      <w:r w:rsidRPr="005D250A">
        <w:t>assist providers to link with other providers, schools, vocational education and training (VET) providers and community organisations to develop and implement outreach initiatives</w:t>
      </w:r>
      <w:r w:rsidR="00E347D5" w:rsidRPr="005D250A">
        <w:t xml:space="preserve"> in regional areas and remote areas</w:t>
      </w:r>
      <w:r w:rsidRPr="005D250A">
        <w:t xml:space="preserve">; </w:t>
      </w:r>
    </w:p>
    <w:p w14:paraId="020BB93B" w14:textId="77777777" w:rsidR="00E347D5" w:rsidRPr="005D250A" w:rsidRDefault="00E347D5" w:rsidP="007237A4">
      <w:pPr>
        <w:pStyle w:val="Item"/>
        <w:numPr>
          <w:ilvl w:val="0"/>
          <w:numId w:val="6"/>
        </w:numPr>
        <w:spacing w:before="0"/>
      </w:pPr>
      <w:r w:rsidRPr="005D250A">
        <w:t>support collaboration between Table A providers to ensure a coordinated approach to identifying and engaging with appropriate stakeholders;</w:t>
      </w:r>
    </w:p>
    <w:p w14:paraId="16CDAF5A" w14:textId="689BEC0B" w:rsidR="00E347D5" w:rsidRPr="005D250A" w:rsidRDefault="00E347D5" w:rsidP="007237A4">
      <w:pPr>
        <w:pStyle w:val="Item"/>
        <w:numPr>
          <w:ilvl w:val="0"/>
          <w:numId w:val="6"/>
        </w:numPr>
        <w:spacing w:before="0"/>
      </w:pPr>
      <w:r w:rsidRPr="005D250A">
        <w:t xml:space="preserve">direct resources to most effectively target regional areas and remote </w:t>
      </w:r>
      <w:r w:rsidR="00B76B38" w:rsidRPr="005D250A">
        <w:t xml:space="preserve">areas </w:t>
      </w:r>
      <w:r w:rsidRPr="005D250A">
        <w:t>where aspirations to enter higher education are low and where matriculation to higher education is poor; and</w:t>
      </w:r>
    </w:p>
    <w:p w14:paraId="65C5C1F0" w14:textId="3A05CE52" w:rsidR="00420523" w:rsidRPr="005D250A" w:rsidRDefault="00420523" w:rsidP="007237A4">
      <w:pPr>
        <w:pStyle w:val="Item"/>
        <w:numPr>
          <w:ilvl w:val="0"/>
          <w:numId w:val="6"/>
        </w:numPr>
        <w:spacing w:before="0" w:after="240"/>
      </w:pPr>
      <w:r w:rsidRPr="005D250A">
        <w:t>facilitate research and collaboration in the higher education sector and support an ongoing nationally coherent response to issues and barriers faced by students from regional areas and remote areas.</w:t>
      </w:r>
    </w:p>
    <w:p w14:paraId="6EADF3A5" w14:textId="7C8EC12C" w:rsidR="009D474F" w:rsidRPr="005D250A" w:rsidRDefault="00B17F5D" w:rsidP="005F1766">
      <w:pPr>
        <w:pStyle w:val="Item"/>
        <w:spacing w:after="240"/>
        <w:ind w:left="0"/>
        <w:rPr>
          <w:b/>
        </w:rPr>
      </w:pPr>
      <w:r w:rsidRPr="005D250A">
        <w:rPr>
          <w:b/>
        </w:rPr>
        <w:t>1.</w:t>
      </w:r>
      <w:r w:rsidR="00A64A7A" w:rsidRPr="005D250A">
        <w:rPr>
          <w:b/>
        </w:rPr>
        <w:t>5</w:t>
      </w:r>
      <w:r w:rsidRPr="005D250A">
        <w:rPr>
          <w:b/>
        </w:rPr>
        <w:t>5</w:t>
      </w:r>
      <w:r w:rsidR="00D70719" w:rsidRPr="005D250A">
        <w:rPr>
          <w:b/>
        </w:rPr>
        <w:t xml:space="preserve"> </w:t>
      </w:r>
      <w:r w:rsidR="00523F86" w:rsidRPr="005D250A">
        <w:rPr>
          <w:b/>
        </w:rPr>
        <w:t xml:space="preserve">Total amount of Regional Partnerships Project Pool </w:t>
      </w:r>
      <w:r w:rsidR="00B76B38" w:rsidRPr="005D250A">
        <w:rPr>
          <w:b/>
        </w:rPr>
        <w:t xml:space="preserve">Program </w:t>
      </w:r>
      <w:r w:rsidR="00523F86" w:rsidRPr="005D250A">
        <w:rPr>
          <w:b/>
        </w:rPr>
        <w:t xml:space="preserve">funding </w:t>
      </w:r>
    </w:p>
    <w:p w14:paraId="09A4E8E7" w14:textId="77777777" w:rsidR="003658CB" w:rsidRPr="005D250A" w:rsidRDefault="00B17F5D" w:rsidP="00A3158C">
      <w:pPr>
        <w:pStyle w:val="Item"/>
        <w:spacing w:after="240"/>
        <w:ind w:left="720" w:hanging="720"/>
        <w:rPr>
          <w:rFonts w:eastAsiaTheme="minorHAnsi" w:cstheme="minorBidi"/>
          <w:lang w:eastAsia="en-US"/>
        </w:rPr>
      </w:pPr>
      <w:r w:rsidRPr="005D250A">
        <w:t>1.</w:t>
      </w:r>
      <w:r w:rsidR="00A64A7A" w:rsidRPr="005D250A">
        <w:t>5</w:t>
      </w:r>
      <w:r w:rsidRPr="005D250A">
        <w:t>5</w:t>
      </w:r>
      <w:r w:rsidR="00D70719" w:rsidRPr="005D250A">
        <w:t>.1</w:t>
      </w:r>
      <w:r w:rsidR="00D70719" w:rsidRPr="005D250A">
        <w:tab/>
      </w:r>
      <w:r w:rsidR="00523F86" w:rsidRPr="005D250A">
        <w:t>The total amount of funding available each year for the Regional Partnerships Project Pool</w:t>
      </w:r>
      <w:r w:rsidR="00CF7DDF" w:rsidRPr="005D250A">
        <w:t xml:space="preserve"> </w:t>
      </w:r>
      <w:r w:rsidR="00B76B38" w:rsidRPr="005D250A">
        <w:t xml:space="preserve">Program </w:t>
      </w:r>
      <w:r w:rsidR="00523F86" w:rsidRPr="005D250A">
        <w:t xml:space="preserve">is </w:t>
      </w:r>
      <w:r w:rsidR="007E1565" w:rsidRPr="005D250A">
        <w:t>$1,784,000.</w:t>
      </w:r>
      <w:r w:rsidR="007E1565" w:rsidRPr="005D250A">
        <w:rPr>
          <w:rFonts w:eastAsiaTheme="minorHAnsi" w:cstheme="minorBidi"/>
          <w:lang w:eastAsia="en-US"/>
        </w:rPr>
        <w:t xml:space="preserve"> </w:t>
      </w:r>
    </w:p>
    <w:p w14:paraId="0463259D" w14:textId="044296EE" w:rsidR="005C765D" w:rsidRPr="005D250A" w:rsidRDefault="007E1565" w:rsidP="003658CB">
      <w:pPr>
        <w:pStyle w:val="Item"/>
        <w:spacing w:after="240"/>
        <w:ind w:left="720"/>
        <w:rPr>
          <w:sz w:val="28"/>
        </w:rPr>
      </w:pPr>
      <w:r w:rsidRPr="005D250A">
        <w:t>Note: this amount will be adjusted each year using the method of indexation set out in Part 5-6, Division 198 of the Act.</w:t>
      </w:r>
    </w:p>
    <w:p w14:paraId="441D68FE" w14:textId="77777777" w:rsidR="00CC0D93" w:rsidRPr="005D250A" w:rsidRDefault="00CC0D93">
      <w:pPr>
        <w:spacing w:line="240" w:lineRule="auto"/>
        <w:rPr>
          <w:rFonts w:eastAsia="Times New Roman" w:cs="Times New Roman"/>
          <w:b/>
          <w:sz w:val="28"/>
          <w:lang w:eastAsia="en-AU"/>
        </w:rPr>
      </w:pPr>
      <w:r w:rsidRPr="005D250A">
        <w:rPr>
          <w:b/>
          <w:sz w:val="28"/>
        </w:rPr>
        <w:br w:type="page"/>
      </w:r>
    </w:p>
    <w:p w14:paraId="0FAFD909" w14:textId="3FE15F9A" w:rsidR="007D5619" w:rsidRPr="005D250A" w:rsidRDefault="007D5619" w:rsidP="00736406">
      <w:pPr>
        <w:pStyle w:val="Item"/>
        <w:spacing w:after="240"/>
        <w:ind w:left="0"/>
        <w:rPr>
          <w:sz w:val="28"/>
        </w:rPr>
      </w:pPr>
      <w:r w:rsidRPr="005D250A">
        <w:rPr>
          <w:b/>
          <w:sz w:val="28"/>
        </w:rPr>
        <w:lastRenderedPageBreak/>
        <w:t xml:space="preserve">Division 4 – Regional Loading </w:t>
      </w:r>
      <w:r w:rsidR="001B59E7" w:rsidRPr="005D250A">
        <w:rPr>
          <w:b/>
          <w:sz w:val="28"/>
        </w:rPr>
        <w:t>P</w:t>
      </w:r>
      <w:r w:rsidRPr="005D250A">
        <w:rPr>
          <w:b/>
          <w:sz w:val="28"/>
        </w:rPr>
        <w:t>rogram (RL</w:t>
      </w:r>
      <w:r w:rsidR="001B59E7" w:rsidRPr="005D250A">
        <w:rPr>
          <w:b/>
          <w:sz w:val="28"/>
        </w:rPr>
        <w:t>P</w:t>
      </w:r>
      <w:r w:rsidRPr="005D250A">
        <w:rPr>
          <w:b/>
          <w:sz w:val="28"/>
        </w:rPr>
        <w:t>)</w:t>
      </w:r>
    </w:p>
    <w:p w14:paraId="2823A274" w14:textId="07FCCFCD" w:rsidR="007A6EDF" w:rsidRPr="005D250A" w:rsidRDefault="00B17F5D" w:rsidP="007A6EDF">
      <w:pPr>
        <w:pStyle w:val="Item"/>
        <w:spacing w:after="240"/>
        <w:ind w:left="0"/>
        <w:rPr>
          <w:b/>
        </w:rPr>
      </w:pPr>
      <w:r w:rsidRPr="005D250A">
        <w:rPr>
          <w:b/>
        </w:rPr>
        <w:t>1.</w:t>
      </w:r>
      <w:r w:rsidR="00A64A7A" w:rsidRPr="005D250A">
        <w:rPr>
          <w:b/>
        </w:rPr>
        <w:t>56</w:t>
      </w:r>
      <w:r w:rsidR="007A6EDF" w:rsidRPr="005D250A">
        <w:rPr>
          <w:b/>
        </w:rPr>
        <w:t xml:space="preserve"> </w:t>
      </w:r>
      <w:r w:rsidR="001B59E7" w:rsidRPr="005D250A">
        <w:rPr>
          <w:b/>
        </w:rPr>
        <w:t>P</w:t>
      </w:r>
      <w:r w:rsidR="007A6EDF" w:rsidRPr="005D250A">
        <w:rPr>
          <w:b/>
        </w:rPr>
        <w:t>rogram objectives</w:t>
      </w:r>
    </w:p>
    <w:p w14:paraId="7A1C008C" w14:textId="46F40468" w:rsidR="007F4CF7" w:rsidRPr="005D250A" w:rsidRDefault="00B17F5D" w:rsidP="005B56DD">
      <w:pPr>
        <w:pStyle w:val="Item"/>
        <w:ind w:hanging="709"/>
      </w:pPr>
      <w:r w:rsidRPr="005D250A">
        <w:t>1.</w:t>
      </w:r>
      <w:r w:rsidR="00A64A7A" w:rsidRPr="005D250A">
        <w:t>56</w:t>
      </w:r>
      <w:r w:rsidR="00EC3C52" w:rsidRPr="005D250A">
        <w:t>.1</w:t>
      </w:r>
      <w:r w:rsidR="00EC3C52" w:rsidRPr="005D250A">
        <w:tab/>
      </w:r>
      <w:r w:rsidR="001B59E7" w:rsidRPr="005D250A">
        <w:t>The key objective of the RL</w:t>
      </w:r>
      <w:r w:rsidR="004C7D39" w:rsidRPr="005D250A">
        <w:t>P</w:t>
      </w:r>
      <w:r w:rsidR="001B59E7" w:rsidRPr="005D250A">
        <w:t xml:space="preserve"> is to promote equality of opportunity in higher education by providing additional funding to eligible higher education providers to assist those providers to offset the disparity in costs and revenue of regional campuses in comparison with major city campuses.</w:t>
      </w:r>
    </w:p>
    <w:p w14:paraId="0CB6D139" w14:textId="6C9B3935" w:rsidR="00A05BDE" w:rsidRPr="005D250A" w:rsidRDefault="00A21D9E" w:rsidP="00A05BDE">
      <w:pPr>
        <w:pStyle w:val="Item"/>
        <w:spacing w:after="240"/>
        <w:ind w:left="0"/>
        <w:rPr>
          <w:b/>
        </w:rPr>
      </w:pPr>
      <w:r w:rsidRPr="005D250A">
        <w:rPr>
          <w:b/>
        </w:rPr>
        <w:br/>
      </w:r>
      <w:r w:rsidR="007F4CF7" w:rsidRPr="005D250A">
        <w:rPr>
          <w:b/>
        </w:rPr>
        <w:t>1.</w:t>
      </w:r>
      <w:r w:rsidR="000B5C85" w:rsidRPr="005D250A">
        <w:rPr>
          <w:b/>
        </w:rPr>
        <w:t>5</w:t>
      </w:r>
      <w:r w:rsidR="00A64A7A" w:rsidRPr="005D250A">
        <w:rPr>
          <w:b/>
        </w:rPr>
        <w:t>7</w:t>
      </w:r>
      <w:r w:rsidR="00B77397" w:rsidRPr="005D250A">
        <w:rPr>
          <w:b/>
        </w:rPr>
        <w:t xml:space="preserve"> </w:t>
      </w:r>
      <w:r w:rsidR="00D73E54" w:rsidRPr="005D250A">
        <w:rPr>
          <w:b/>
        </w:rPr>
        <w:t xml:space="preserve">Extra conditions of </w:t>
      </w:r>
      <w:r w:rsidR="00A05BDE" w:rsidRPr="005D250A">
        <w:rPr>
          <w:b/>
        </w:rPr>
        <w:t xml:space="preserve">eligibility </w:t>
      </w:r>
    </w:p>
    <w:p w14:paraId="5C852783" w14:textId="554898BF" w:rsidR="00041742" w:rsidRPr="005D250A" w:rsidRDefault="00B17F5D" w:rsidP="00F54039">
      <w:pPr>
        <w:pStyle w:val="Item"/>
        <w:spacing w:after="240"/>
        <w:ind w:hanging="709"/>
      </w:pPr>
      <w:r w:rsidRPr="005D250A">
        <w:t>1.</w:t>
      </w:r>
      <w:r w:rsidR="00A64A7A" w:rsidRPr="005D250A">
        <w:t>57</w:t>
      </w:r>
      <w:r w:rsidR="00041742" w:rsidRPr="005D250A">
        <w:t>.1</w:t>
      </w:r>
      <w:r w:rsidR="00041742" w:rsidRPr="005D250A">
        <w:tab/>
        <w:t>A provider will be eligible for an RL</w:t>
      </w:r>
      <w:r w:rsidR="0064265E" w:rsidRPr="005D250A">
        <w:t>P</w:t>
      </w:r>
      <w:r w:rsidR="00041742" w:rsidRPr="005D250A">
        <w:t xml:space="preserve"> grant </w:t>
      </w:r>
      <w:r w:rsidR="00401F04" w:rsidRPr="005D250A">
        <w:t>in relation to</w:t>
      </w:r>
      <w:r w:rsidR="0064265E" w:rsidRPr="005D250A">
        <w:t xml:space="preserve"> a particular campus if the average student load for the campus is a minimum of 50 internal and multi-modal Commonwealth supported student EFTSL</w:t>
      </w:r>
      <w:r w:rsidR="003F3294" w:rsidRPr="005D250A">
        <w:t>.</w:t>
      </w:r>
      <w:r w:rsidR="00ED6686" w:rsidRPr="005D250A">
        <w:t xml:space="preserve"> </w:t>
      </w:r>
      <w:r w:rsidR="00041742" w:rsidRPr="005D250A">
        <w:t xml:space="preserve"> </w:t>
      </w:r>
    </w:p>
    <w:p w14:paraId="7B49A214" w14:textId="18CC5ECE" w:rsidR="00041742" w:rsidRPr="005D250A" w:rsidRDefault="00B17F5D" w:rsidP="00F54039">
      <w:pPr>
        <w:pStyle w:val="Item"/>
        <w:spacing w:after="240"/>
        <w:ind w:hanging="709"/>
      </w:pPr>
      <w:r w:rsidRPr="005D250A">
        <w:t>1.</w:t>
      </w:r>
      <w:r w:rsidR="00A64A7A" w:rsidRPr="005D250A">
        <w:t>57</w:t>
      </w:r>
      <w:r w:rsidR="00A05BDE" w:rsidRPr="005D250A">
        <w:t>.5</w:t>
      </w:r>
      <w:r w:rsidR="00A05BDE" w:rsidRPr="005D250A">
        <w:tab/>
      </w:r>
      <w:r w:rsidR="0064265E" w:rsidRPr="005D250A">
        <w:t xml:space="preserve">For the purposes of this Division, </w:t>
      </w:r>
      <w:r w:rsidR="00D73E54" w:rsidRPr="005D250A">
        <w:t>the average</w:t>
      </w:r>
      <w:r w:rsidR="0064265E" w:rsidRPr="005D250A">
        <w:t xml:space="preserve"> student load at Batchelor Institute of Indigenous Tertiary Education will be considered as Commonwealth supported student load at Charles Darwin University.</w:t>
      </w:r>
    </w:p>
    <w:p w14:paraId="52DBE322" w14:textId="6CF90C4B" w:rsidR="002D287B" w:rsidRPr="005D250A" w:rsidRDefault="00B17F5D" w:rsidP="002D287B">
      <w:pPr>
        <w:pStyle w:val="Item"/>
        <w:spacing w:after="240"/>
        <w:ind w:left="0"/>
        <w:rPr>
          <w:b/>
        </w:rPr>
      </w:pPr>
      <w:r w:rsidRPr="005D250A">
        <w:rPr>
          <w:b/>
        </w:rPr>
        <w:t>1.</w:t>
      </w:r>
      <w:r w:rsidR="00A64A7A" w:rsidRPr="005D250A">
        <w:rPr>
          <w:b/>
        </w:rPr>
        <w:t>58</w:t>
      </w:r>
      <w:r w:rsidR="002D287B" w:rsidRPr="005D250A">
        <w:rPr>
          <w:b/>
        </w:rPr>
        <w:t xml:space="preserve"> Total amount of RL</w:t>
      </w:r>
      <w:r w:rsidR="0064265E" w:rsidRPr="005D250A">
        <w:rPr>
          <w:b/>
        </w:rPr>
        <w:t>P</w:t>
      </w:r>
      <w:r w:rsidR="002D287B" w:rsidRPr="005D250A">
        <w:rPr>
          <w:b/>
        </w:rPr>
        <w:t xml:space="preserve"> grants</w:t>
      </w:r>
    </w:p>
    <w:p w14:paraId="520F61E5" w14:textId="6B21BC63" w:rsidR="00AC5121" w:rsidRPr="005D250A" w:rsidRDefault="00B17F5D" w:rsidP="00AC5121">
      <w:pPr>
        <w:pStyle w:val="Item"/>
        <w:spacing w:after="240"/>
        <w:ind w:left="720" w:hanging="720"/>
      </w:pPr>
      <w:r w:rsidRPr="005D250A">
        <w:t>1.</w:t>
      </w:r>
      <w:r w:rsidR="00A64A7A" w:rsidRPr="005D250A">
        <w:t>58</w:t>
      </w:r>
      <w:r w:rsidR="002D287B" w:rsidRPr="005D250A">
        <w:t>.1</w:t>
      </w:r>
      <w:r w:rsidR="002D287B" w:rsidRPr="005D250A">
        <w:tab/>
      </w:r>
      <w:r w:rsidR="00AC5121" w:rsidRPr="005D250A">
        <w:t>RL</w:t>
      </w:r>
      <w:r w:rsidR="00D73E54" w:rsidRPr="005D250A">
        <w:t>P</w:t>
      </w:r>
      <w:r w:rsidR="00AC5121" w:rsidRPr="005D250A">
        <w:t xml:space="preserve"> grants are made in respect of a calendar year. </w:t>
      </w:r>
    </w:p>
    <w:p w14:paraId="32B6E076" w14:textId="084514E9" w:rsidR="00401F04" w:rsidRPr="005D250A" w:rsidRDefault="00AC5121" w:rsidP="00AC5121">
      <w:pPr>
        <w:pStyle w:val="Item"/>
        <w:spacing w:after="240"/>
        <w:ind w:left="720" w:hanging="720"/>
      </w:pPr>
      <w:r w:rsidRPr="005D250A">
        <w:t>1.</w:t>
      </w:r>
      <w:r w:rsidR="00A64A7A" w:rsidRPr="005D250A">
        <w:t>58</w:t>
      </w:r>
      <w:r w:rsidRPr="005D250A">
        <w:t>.5</w:t>
      </w:r>
      <w:r w:rsidRPr="005D250A">
        <w:tab/>
        <w:t xml:space="preserve">The total amount of funding available to all eligible </w:t>
      </w:r>
      <w:r w:rsidRPr="005D250A">
        <w:rPr>
          <w:iCs/>
        </w:rPr>
        <w:t>providers</w:t>
      </w:r>
      <w:r w:rsidRPr="005D250A">
        <w:t xml:space="preserve"> under the RL</w:t>
      </w:r>
      <w:r w:rsidR="00401F04" w:rsidRPr="005D250A">
        <w:t>P</w:t>
      </w:r>
      <w:r w:rsidRPr="005D250A">
        <w:t xml:space="preserve"> in each year is fixed. </w:t>
      </w:r>
    </w:p>
    <w:p w14:paraId="4DC9177A" w14:textId="5D3FD455" w:rsidR="00401F04" w:rsidRPr="005D250A" w:rsidRDefault="00401F04" w:rsidP="00AC5121">
      <w:pPr>
        <w:pStyle w:val="Item"/>
        <w:spacing w:after="240"/>
        <w:ind w:left="720" w:hanging="720"/>
      </w:pPr>
      <w:r w:rsidRPr="005D250A">
        <w:t>1.</w:t>
      </w:r>
      <w:r w:rsidR="00A64A7A" w:rsidRPr="005D250A">
        <w:t>58</w:t>
      </w:r>
      <w:r w:rsidRPr="005D250A">
        <w:t xml:space="preserve">.10 </w:t>
      </w:r>
      <w:r w:rsidR="00AC5121" w:rsidRPr="005D250A">
        <w:t>In the 202</w:t>
      </w:r>
      <w:r w:rsidRPr="005D250A">
        <w:t>0</w:t>
      </w:r>
      <w:r w:rsidR="00AC5121" w:rsidRPr="005D250A">
        <w:t xml:space="preserve"> calendar year, the total amount of RL</w:t>
      </w:r>
      <w:r w:rsidRPr="005D250A">
        <w:t>P</w:t>
      </w:r>
      <w:r w:rsidR="00AC5121" w:rsidRPr="005D250A">
        <w:t xml:space="preserve"> funding </w:t>
      </w:r>
      <w:r w:rsidRPr="005D250A">
        <w:t>was $75,089,678</w:t>
      </w:r>
      <w:r w:rsidR="00AC5121" w:rsidRPr="005D250A">
        <w:t xml:space="preserve">. </w:t>
      </w:r>
    </w:p>
    <w:p w14:paraId="00BFE8E8" w14:textId="74C1A8BA" w:rsidR="00401F04" w:rsidRPr="005D250A" w:rsidRDefault="00401F04" w:rsidP="00AC5121">
      <w:pPr>
        <w:pStyle w:val="Item"/>
        <w:spacing w:after="240"/>
        <w:ind w:left="720" w:hanging="720"/>
      </w:pPr>
      <w:r w:rsidRPr="005D250A">
        <w:t>1.</w:t>
      </w:r>
      <w:r w:rsidR="00A64A7A" w:rsidRPr="005D250A">
        <w:t>58</w:t>
      </w:r>
      <w:r w:rsidRPr="005D250A">
        <w:t xml:space="preserve">.15 </w:t>
      </w:r>
      <w:r w:rsidR="00AC5121" w:rsidRPr="005D250A">
        <w:t>The total amount of RL</w:t>
      </w:r>
      <w:r w:rsidRPr="005D250A">
        <w:t>P</w:t>
      </w:r>
      <w:r w:rsidR="00AC5121" w:rsidRPr="005D250A">
        <w:t xml:space="preserve"> funding available in later years is the total amount of RL</w:t>
      </w:r>
      <w:r w:rsidRPr="005D250A">
        <w:t>P</w:t>
      </w:r>
      <w:r w:rsidR="00AC5121" w:rsidRPr="005D250A">
        <w:t xml:space="preserve"> funding in 202</w:t>
      </w:r>
      <w:r w:rsidRPr="005D250A">
        <w:t>0</w:t>
      </w:r>
      <w:r w:rsidR="00AC5121" w:rsidRPr="005D250A">
        <w:t xml:space="preserve"> indexed in accordance with the method set out in Part 5-6 of </w:t>
      </w:r>
      <w:r w:rsidR="00AC5121" w:rsidRPr="005D250A">
        <w:rPr>
          <w:iCs/>
        </w:rPr>
        <w:t>the Act</w:t>
      </w:r>
      <w:r w:rsidR="00AC5121" w:rsidRPr="005D250A">
        <w:t xml:space="preserve">. </w:t>
      </w:r>
    </w:p>
    <w:p w14:paraId="58A57195" w14:textId="05C838FA" w:rsidR="002D287B" w:rsidRPr="005D250A" w:rsidRDefault="00401F04" w:rsidP="00AC5121">
      <w:pPr>
        <w:pStyle w:val="Item"/>
        <w:spacing w:after="240"/>
        <w:ind w:left="720" w:hanging="720"/>
      </w:pPr>
      <w:r w:rsidRPr="005D250A">
        <w:t>1.</w:t>
      </w:r>
      <w:r w:rsidR="00A64A7A" w:rsidRPr="005D250A">
        <w:t>58</w:t>
      </w:r>
      <w:r w:rsidRPr="005D250A">
        <w:t xml:space="preserve">.20 </w:t>
      </w:r>
      <w:r w:rsidR="00AC5121" w:rsidRPr="005D250A">
        <w:t xml:space="preserve">For individual eligible </w:t>
      </w:r>
      <w:r w:rsidR="00AC5121" w:rsidRPr="005D250A">
        <w:rPr>
          <w:iCs/>
        </w:rPr>
        <w:t>providers</w:t>
      </w:r>
      <w:r w:rsidR="00AC5121" w:rsidRPr="005D250A">
        <w:t>, the RL</w:t>
      </w:r>
      <w:r w:rsidRPr="005D250A">
        <w:t>P</w:t>
      </w:r>
      <w:r w:rsidR="00AC5121" w:rsidRPr="005D250A">
        <w:t xml:space="preserve"> grant amount will be calculated in accordance with the formula set out in section 1.</w:t>
      </w:r>
      <w:r w:rsidR="007866E3" w:rsidRPr="005D250A">
        <w:t>59</w:t>
      </w:r>
      <w:r w:rsidR="00AC5121" w:rsidRPr="005D250A">
        <w:t xml:space="preserve"> below.</w:t>
      </w:r>
    </w:p>
    <w:p w14:paraId="5E033FFD" w14:textId="106762D0" w:rsidR="00A05BDE" w:rsidRPr="005D250A" w:rsidRDefault="00B17F5D" w:rsidP="00041742">
      <w:pPr>
        <w:pStyle w:val="Item"/>
        <w:spacing w:after="240"/>
        <w:ind w:left="0"/>
        <w:rPr>
          <w:b/>
        </w:rPr>
      </w:pPr>
      <w:r w:rsidRPr="005D250A">
        <w:rPr>
          <w:b/>
        </w:rPr>
        <w:t>1.</w:t>
      </w:r>
      <w:r w:rsidR="006355F9" w:rsidRPr="005D250A">
        <w:rPr>
          <w:b/>
        </w:rPr>
        <w:t>59</w:t>
      </w:r>
      <w:r w:rsidR="00A05BDE" w:rsidRPr="005D250A">
        <w:rPr>
          <w:b/>
        </w:rPr>
        <w:t xml:space="preserve"> Calculation of grant amounts</w:t>
      </w:r>
    </w:p>
    <w:p w14:paraId="3DBAA51A" w14:textId="77777777" w:rsidR="00041742" w:rsidRPr="005D250A" w:rsidRDefault="00041742" w:rsidP="00041742">
      <w:pPr>
        <w:pStyle w:val="Item"/>
        <w:spacing w:after="240"/>
        <w:ind w:left="0"/>
        <w:rPr>
          <w:i/>
        </w:rPr>
      </w:pPr>
      <w:r w:rsidRPr="005D250A">
        <w:rPr>
          <w:i/>
        </w:rPr>
        <w:t>Average student load</w:t>
      </w:r>
    </w:p>
    <w:p w14:paraId="3C5CA844" w14:textId="50D4B856" w:rsidR="00AB7740" w:rsidRPr="005D250A" w:rsidRDefault="00AB7740" w:rsidP="00AB7740">
      <w:pPr>
        <w:pStyle w:val="Item"/>
        <w:ind w:hanging="709"/>
      </w:pPr>
      <w:r w:rsidRPr="005D250A">
        <w:t>1.</w:t>
      </w:r>
      <w:r w:rsidR="006355F9" w:rsidRPr="005D250A">
        <w:t>59</w:t>
      </w:r>
      <w:r w:rsidRPr="005D250A">
        <w:t>.1 A grant under the RL</w:t>
      </w:r>
      <w:r w:rsidR="000E4191" w:rsidRPr="005D250A">
        <w:t>P</w:t>
      </w:r>
      <w:r w:rsidRPr="005D250A">
        <w:t xml:space="preserve"> for each eligible provider will be calculated using the most recent Commonwealth supported student load data for the reporting years as verified by the provider through the </w:t>
      </w:r>
      <w:r w:rsidR="005F71FF" w:rsidRPr="005D250A">
        <w:t xml:space="preserve">HESDC </w:t>
      </w:r>
      <w:r w:rsidRPr="005D250A">
        <w:t>and accepted by the Department.</w:t>
      </w:r>
    </w:p>
    <w:p w14:paraId="49B02007" w14:textId="77777777" w:rsidR="00AB7740" w:rsidRPr="005D250A" w:rsidRDefault="00AB7740" w:rsidP="00AB7740">
      <w:pPr>
        <w:pStyle w:val="Item"/>
        <w:spacing w:before="0"/>
        <w:ind w:hanging="709"/>
      </w:pPr>
    </w:p>
    <w:p w14:paraId="04C998E5" w14:textId="4FAB01B6" w:rsidR="00E918DB" w:rsidRPr="005D250A" w:rsidRDefault="00B17F5D" w:rsidP="00E918DB">
      <w:pPr>
        <w:pStyle w:val="Item"/>
        <w:ind w:hanging="709"/>
      </w:pPr>
      <w:r w:rsidRPr="005D250A">
        <w:t>1.</w:t>
      </w:r>
      <w:r w:rsidR="006355F9" w:rsidRPr="005D250A">
        <w:t>59</w:t>
      </w:r>
      <w:r w:rsidR="00AB7740" w:rsidRPr="005D250A">
        <w:t xml:space="preserve">.5 The average student load for the purposes of </w:t>
      </w:r>
      <w:r w:rsidR="00E918DB" w:rsidRPr="005D250A">
        <w:t>this Division</w:t>
      </w:r>
      <w:r w:rsidR="00AB7740" w:rsidRPr="005D250A">
        <w:t xml:space="preserve"> is the EFTSL of the Commonwealth supported student load averaged over the most recent three years for which HES</w:t>
      </w:r>
      <w:r w:rsidR="004315F1" w:rsidRPr="005D250A">
        <w:t>D</w:t>
      </w:r>
      <w:r w:rsidR="00AB7740" w:rsidRPr="005D250A">
        <w:t xml:space="preserve">C full year student load data is available.  </w:t>
      </w:r>
    </w:p>
    <w:p w14:paraId="44FB2F54" w14:textId="77777777" w:rsidR="00E918DB" w:rsidRPr="005D250A" w:rsidRDefault="00E918DB" w:rsidP="00E918DB">
      <w:pPr>
        <w:pStyle w:val="Item"/>
        <w:spacing w:before="0"/>
        <w:ind w:hanging="709"/>
      </w:pPr>
    </w:p>
    <w:p w14:paraId="32D647A2" w14:textId="7F21C78E" w:rsidR="00FD77A8" w:rsidRPr="005D250A" w:rsidRDefault="00B17F5D" w:rsidP="008821F9">
      <w:pPr>
        <w:pStyle w:val="Item"/>
        <w:spacing w:after="240"/>
        <w:ind w:hanging="709"/>
        <w:rPr>
          <w:i/>
        </w:rPr>
      </w:pPr>
      <w:r w:rsidRPr="005D250A">
        <w:t>1.</w:t>
      </w:r>
      <w:r w:rsidR="006355F9" w:rsidRPr="005D250A">
        <w:t>59</w:t>
      </w:r>
      <w:r w:rsidR="00A05BDE" w:rsidRPr="005D250A">
        <w:t>.1</w:t>
      </w:r>
      <w:r w:rsidR="00E918DB" w:rsidRPr="005D250A">
        <w:t xml:space="preserve">0 </w:t>
      </w:r>
      <w:r w:rsidR="00AB7740" w:rsidRPr="005D250A">
        <w:t>The calculation of average student load will be updated annually as new HES</w:t>
      </w:r>
      <w:r w:rsidR="004315F1" w:rsidRPr="005D250A">
        <w:t>D</w:t>
      </w:r>
      <w:r w:rsidR="00AB7740" w:rsidRPr="005D250A">
        <w:t>C full year student load data becomes available.</w:t>
      </w:r>
    </w:p>
    <w:p w14:paraId="3638975A" w14:textId="77777777" w:rsidR="00CC0D93" w:rsidRPr="005D250A" w:rsidRDefault="00CC0D93">
      <w:pPr>
        <w:spacing w:line="240" w:lineRule="auto"/>
        <w:rPr>
          <w:rFonts w:eastAsia="Times New Roman" w:cs="Times New Roman"/>
          <w:i/>
          <w:lang w:eastAsia="en-AU"/>
        </w:rPr>
      </w:pPr>
      <w:r w:rsidRPr="005D250A">
        <w:rPr>
          <w:i/>
        </w:rPr>
        <w:br w:type="page"/>
      </w:r>
    </w:p>
    <w:p w14:paraId="6880CD98" w14:textId="17446738" w:rsidR="00D559C9" w:rsidRPr="005D250A" w:rsidRDefault="00D559C9" w:rsidP="00D559C9">
      <w:pPr>
        <w:pStyle w:val="Item"/>
        <w:spacing w:after="240"/>
        <w:ind w:hanging="709"/>
        <w:rPr>
          <w:i/>
        </w:rPr>
      </w:pPr>
      <w:r w:rsidRPr="005D250A">
        <w:rPr>
          <w:i/>
        </w:rPr>
        <w:lastRenderedPageBreak/>
        <w:t>RL</w:t>
      </w:r>
      <w:r w:rsidR="00013854" w:rsidRPr="005D250A">
        <w:rPr>
          <w:i/>
        </w:rPr>
        <w:t>P</w:t>
      </w:r>
      <w:r w:rsidRPr="005D250A">
        <w:rPr>
          <w:i/>
        </w:rPr>
        <w:t xml:space="preserve"> Remoteness Categories</w:t>
      </w:r>
    </w:p>
    <w:p w14:paraId="305C3EEC" w14:textId="6E9BB4B1" w:rsidR="009B2FB9" w:rsidRPr="005D250A" w:rsidRDefault="003B59B2" w:rsidP="00D93034">
      <w:pPr>
        <w:pStyle w:val="Item"/>
        <w:spacing w:after="240"/>
        <w:ind w:hanging="709"/>
      </w:pPr>
      <w:r w:rsidRPr="005D250A">
        <w:t>1.</w:t>
      </w:r>
      <w:r w:rsidR="006355F9" w:rsidRPr="005D250A">
        <w:t>59</w:t>
      </w:r>
      <w:r w:rsidR="00A05BDE" w:rsidRPr="005D250A">
        <w:t>.15</w:t>
      </w:r>
      <w:r w:rsidR="007F4CF7" w:rsidRPr="005D250A">
        <w:t xml:space="preserve"> </w:t>
      </w:r>
      <w:r w:rsidR="00D559C9" w:rsidRPr="005D250A">
        <w:t>A grant under the RL</w:t>
      </w:r>
      <w:r w:rsidR="000E4191" w:rsidRPr="005D250A">
        <w:t>P</w:t>
      </w:r>
      <w:r w:rsidR="007F4CF7" w:rsidRPr="005D250A">
        <w:t xml:space="preserve"> for a multi campus provider is calculated per campus and depends upon the remoteness classification of each of the provider’s eligible campuses. </w:t>
      </w:r>
    </w:p>
    <w:p w14:paraId="5DE6C37E" w14:textId="449D1F72" w:rsidR="00FE6946" w:rsidRPr="005D250A" w:rsidRDefault="00B17F5D" w:rsidP="00D93034">
      <w:pPr>
        <w:pStyle w:val="Item"/>
        <w:spacing w:after="240"/>
        <w:ind w:hanging="709"/>
      </w:pPr>
      <w:r w:rsidRPr="005D250A">
        <w:t>1.</w:t>
      </w:r>
      <w:r w:rsidR="006355F9" w:rsidRPr="005D250A">
        <w:t>59</w:t>
      </w:r>
      <w:r w:rsidR="009B2FB9" w:rsidRPr="005D250A">
        <w:t>.</w:t>
      </w:r>
      <w:r w:rsidR="00A05BDE" w:rsidRPr="005D250A">
        <w:t>20</w:t>
      </w:r>
      <w:r w:rsidR="00E918DB" w:rsidRPr="005D250A">
        <w:t xml:space="preserve"> </w:t>
      </w:r>
      <w:r w:rsidR="00013854" w:rsidRPr="005D250A">
        <w:t>The</w:t>
      </w:r>
      <w:r w:rsidR="007F4CF7" w:rsidRPr="005D250A">
        <w:t xml:space="preserve"> remoteness classification</w:t>
      </w:r>
      <w:r w:rsidR="00013854" w:rsidRPr="005D250A">
        <w:t xml:space="preserve"> for a campus</w:t>
      </w:r>
      <w:r w:rsidR="007F4CF7" w:rsidRPr="005D250A">
        <w:t xml:space="preserve"> is determined using </w:t>
      </w:r>
      <w:r w:rsidR="00A75638" w:rsidRPr="005D250A">
        <w:t xml:space="preserve">the </w:t>
      </w:r>
      <w:r w:rsidR="00CD0B7B" w:rsidRPr="005D250A">
        <w:t xml:space="preserve">Remoteness Structure </w:t>
      </w:r>
      <w:r w:rsidR="007F4CF7" w:rsidRPr="005D250A">
        <w:t xml:space="preserve">to classify the remoteness of the physical location of the eligible campus. </w:t>
      </w:r>
    </w:p>
    <w:p w14:paraId="78E697DB" w14:textId="0FB45009" w:rsidR="007F4CF7" w:rsidRPr="005D250A" w:rsidRDefault="00B17F5D" w:rsidP="00D93034">
      <w:pPr>
        <w:pStyle w:val="Item"/>
        <w:spacing w:after="240"/>
        <w:ind w:hanging="709"/>
      </w:pPr>
      <w:r w:rsidRPr="005D250A">
        <w:t>1.</w:t>
      </w:r>
      <w:r w:rsidR="006355F9" w:rsidRPr="005D250A">
        <w:t>59</w:t>
      </w:r>
      <w:r w:rsidR="00A05BDE" w:rsidRPr="005D250A">
        <w:t>.25</w:t>
      </w:r>
      <w:r w:rsidR="00FE6946" w:rsidRPr="005D250A">
        <w:t xml:space="preserve"> </w:t>
      </w:r>
      <w:r w:rsidR="007F4CF7" w:rsidRPr="005D250A">
        <w:t xml:space="preserve">The loading (L) for the remoteness categories is as follows: </w:t>
      </w:r>
    </w:p>
    <w:p w14:paraId="415C99A8" w14:textId="77777777" w:rsidR="007F4CF7" w:rsidRPr="005D250A" w:rsidRDefault="007F4CF7" w:rsidP="008A52E2">
      <w:pPr>
        <w:pStyle w:val="Item"/>
        <w:ind w:hanging="709"/>
      </w:pPr>
      <w:r w:rsidRPr="005D250A">
        <w:t> </w:t>
      </w:r>
    </w:p>
    <w:tbl>
      <w:tblPr>
        <w:tblW w:w="0" w:type="auto"/>
        <w:tblInd w:w="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9"/>
        <w:gridCol w:w="1577"/>
      </w:tblGrid>
      <w:tr w:rsidR="007F4CF7" w:rsidRPr="005D250A" w14:paraId="43AA0FB4" w14:textId="77777777" w:rsidTr="007F4CF7">
        <w:trPr>
          <w:cantSplit/>
        </w:trPr>
        <w:tc>
          <w:tcPr>
            <w:tcW w:w="4219" w:type="dxa"/>
            <w:tcBorders>
              <w:top w:val="single" w:sz="8" w:space="0" w:color="auto"/>
              <w:left w:val="nil"/>
              <w:bottom w:val="single" w:sz="12" w:space="0" w:color="auto"/>
              <w:right w:val="nil"/>
            </w:tcBorders>
            <w:tcMar>
              <w:top w:w="0" w:type="dxa"/>
              <w:left w:w="108" w:type="dxa"/>
              <w:bottom w:w="0" w:type="dxa"/>
              <w:right w:w="108" w:type="dxa"/>
            </w:tcMar>
            <w:hideMark/>
          </w:tcPr>
          <w:p w14:paraId="187F877E" w14:textId="77777777" w:rsidR="007F4CF7" w:rsidRPr="005D250A" w:rsidRDefault="007F4CF7" w:rsidP="008A52E2">
            <w:pPr>
              <w:pStyle w:val="Item"/>
              <w:ind w:hanging="709"/>
            </w:pPr>
            <w:r w:rsidRPr="005D250A">
              <w:t>Remoteness category</w:t>
            </w:r>
          </w:p>
        </w:tc>
        <w:tc>
          <w:tcPr>
            <w:tcW w:w="1577" w:type="dxa"/>
            <w:tcBorders>
              <w:top w:val="single" w:sz="8" w:space="0" w:color="auto"/>
              <w:left w:val="nil"/>
              <w:bottom w:val="single" w:sz="12" w:space="0" w:color="auto"/>
              <w:right w:val="nil"/>
            </w:tcBorders>
            <w:tcMar>
              <w:top w:w="0" w:type="dxa"/>
              <w:left w:w="108" w:type="dxa"/>
              <w:bottom w:w="0" w:type="dxa"/>
              <w:right w:w="108" w:type="dxa"/>
            </w:tcMar>
            <w:hideMark/>
          </w:tcPr>
          <w:p w14:paraId="6F7DAEDC" w14:textId="77777777" w:rsidR="007F4CF7" w:rsidRPr="005D250A" w:rsidRDefault="007F4CF7" w:rsidP="008A52E2">
            <w:pPr>
              <w:pStyle w:val="Item"/>
              <w:ind w:hanging="709"/>
            </w:pPr>
            <w:r w:rsidRPr="005D250A">
              <w:t>Loading (L)</w:t>
            </w:r>
          </w:p>
        </w:tc>
      </w:tr>
      <w:tr w:rsidR="007F4CF7" w:rsidRPr="005D250A" w14:paraId="542859CB" w14:textId="77777777" w:rsidTr="007F4CF7">
        <w:trPr>
          <w:cantSplit/>
        </w:trPr>
        <w:tc>
          <w:tcPr>
            <w:tcW w:w="4219" w:type="dxa"/>
            <w:tcBorders>
              <w:top w:val="nil"/>
              <w:left w:val="nil"/>
              <w:bottom w:val="single" w:sz="8" w:space="0" w:color="auto"/>
              <w:right w:val="nil"/>
            </w:tcBorders>
            <w:tcMar>
              <w:top w:w="0" w:type="dxa"/>
              <w:left w:w="108" w:type="dxa"/>
              <w:bottom w:w="0" w:type="dxa"/>
              <w:right w:w="108" w:type="dxa"/>
            </w:tcMar>
            <w:hideMark/>
          </w:tcPr>
          <w:p w14:paraId="6E2947E0" w14:textId="77777777" w:rsidR="007F4CF7" w:rsidRPr="005D250A" w:rsidRDefault="007F4CF7" w:rsidP="008A52E2">
            <w:pPr>
              <w:pStyle w:val="Item"/>
              <w:ind w:hanging="709"/>
            </w:pPr>
            <w:r w:rsidRPr="005D250A">
              <w:t>Remote and very remote</w:t>
            </w:r>
          </w:p>
        </w:tc>
        <w:tc>
          <w:tcPr>
            <w:tcW w:w="1577" w:type="dxa"/>
            <w:tcBorders>
              <w:top w:val="nil"/>
              <w:left w:val="nil"/>
              <w:bottom w:val="single" w:sz="8" w:space="0" w:color="auto"/>
              <w:right w:val="nil"/>
            </w:tcBorders>
            <w:tcMar>
              <w:top w:w="0" w:type="dxa"/>
              <w:left w:w="108" w:type="dxa"/>
              <w:bottom w:w="0" w:type="dxa"/>
              <w:right w:w="108" w:type="dxa"/>
            </w:tcMar>
            <w:hideMark/>
          </w:tcPr>
          <w:p w14:paraId="40B75443" w14:textId="77777777" w:rsidR="007F4CF7" w:rsidRPr="005D250A" w:rsidRDefault="007F4CF7" w:rsidP="008A52E2">
            <w:pPr>
              <w:pStyle w:val="Item"/>
              <w:ind w:hanging="709"/>
            </w:pPr>
            <w:r w:rsidRPr="005D250A">
              <w:t>20%</w:t>
            </w:r>
          </w:p>
        </w:tc>
      </w:tr>
      <w:tr w:rsidR="007F4CF7" w:rsidRPr="005D250A" w14:paraId="19090D92" w14:textId="77777777" w:rsidTr="007F4CF7">
        <w:trPr>
          <w:cantSplit/>
        </w:trPr>
        <w:tc>
          <w:tcPr>
            <w:tcW w:w="4219" w:type="dxa"/>
            <w:tcBorders>
              <w:top w:val="nil"/>
              <w:left w:val="nil"/>
              <w:bottom w:val="single" w:sz="8" w:space="0" w:color="auto"/>
              <w:right w:val="nil"/>
            </w:tcBorders>
            <w:tcMar>
              <w:top w:w="0" w:type="dxa"/>
              <w:left w:w="108" w:type="dxa"/>
              <w:bottom w:w="0" w:type="dxa"/>
              <w:right w:w="108" w:type="dxa"/>
            </w:tcMar>
            <w:hideMark/>
          </w:tcPr>
          <w:p w14:paraId="2B099737" w14:textId="77777777" w:rsidR="007F4CF7" w:rsidRPr="005D250A" w:rsidRDefault="007F4CF7" w:rsidP="008A52E2">
            <w:pPr>
              <w:pStyle w:val="Item"/>
              <w:ind w:hanging="709"/>
            </w:pPr>
            <w:r w:rsidRPr="005D250A">
              <w:t>Darwin region</w:t>
            </w:r>
          </w:p>
        </w:tc>
        <w:tc>
          <w:tcPr>
            <w:tcW w:w="1577" w:type="dxa"/>
            <w:tcBorders>
              <w:top w:val="nil"/>
              <w:left w:val="nil"/>
              <w:bottom w:val="single" w:sz="8" w:space="0" w:color="auto"/>
              <w:right w:val="nil"/>
            </w:tcBorders>
            <w:tcMar>
              <w:top w:w="0" w:type="dxa"/>
              <w:left w:w="108" w:type="dxa"/>
              <w:bottom w:w="0" w:type="dxa"/>
              <w:right w:w="108" w:type="dxa"/>
            </w:tcMar>
            <w:hideMark/>
          </w:tcPr>
          <w:p w14:paraId="29FAE3FC" w14:textId="77777777" w:rsidR="007F4CF7" w:rsidRPr="005D250A" w:rsidRDefault="007F4CF7" w:rsidP="008A52E2">
            <w:pPr>
              <w:pStyle w:val="Item"/>
              <w:ind w:hanging="709"/>
            </w:pPr>
            <w:r w:rsidRPr="005D250A">
              <w:t>15%</w:t>
            </w:r>
          </w:p>
        </w:tc>
      </w:tr>
      <w:tr w:rsidR="007F4CF7" w:rsidRPr="005D250A" w14:paraId="30C07715" w14:textId="77777777" w:rsidTr="007F4CF7">
        <w:trPr>
          <w:cantSplit/>
        </w:trPr>
        <w:tc>
          <w:tcPr>
            <w:tcW w:w="4219" w:type="dxa"/>
            <w:tcBorders>
              <w:top w:val="nil"/>
              <w:left w:val="nil"/>
              <w:bottom w:val="single" w:sz="8" w:space="0" w:color="auto"/>
              <w:right w:val="nil"/>
            </w:tcBorders>
            <w:tcMar>
              <w:top w:w="0" w:type="dxa"/>
              <w:left w:w="108" w:type="dxa"/>
              <w:bottom w:w="0" w:type="dxa"/>
              <w:right w:w="108" w:type="dxa"/>
            </w:tcMar>
            <w:hideMark/>
          </w:tcPr>
          <w:p w14:paraId="0B5A5769" w14:textId="77777777" w:rsidR="007F4CF7" w:rsidRPr="005D250A" w:rsidRDefault="007F4CF7" w:rsidP="008A52E2">
            <w:pPr>
              <w:pStyle w:val="Item"/>
              <w:ind w:hanging="709"/>
            </w:pPr>
            <w:r w:rsidRPr="005D250A">
              <w:t>Outer regional</w:t>
            </w:r>
          </w:p>
        </w:tc>
        <w:tc>
          <w:tcPr>
            <w:tcW w:w="1577" w:type="dxa"/>
            <w:tcBorders>
              <w:top w:val="nil"/>
              <w:left w:val="nil"/>
              <w:bottom w:val="single" w:sz="8" w:space="0" w:color="auto"/>
              <w:right w:val="nil"/>
            </w:tcBorders>
            <w:tcMar>
              <w:top w:w="0" w:type="dxa"/>
              <w:left w:w="108" w:type="dxa"/>
              <w:bottom w:w="0" w:type="dxa"/>
              <w:right w:w="108" w:type="dxa"/>
            </w:tcMar>
            <w:hideMark/>
          </w:tcPr>
          <w:p w14:paraId="23D8018E" w14:textId="77777777" w:rsidR="007F4CF7" w:rsidRPr="005D250A" w:rsidRDefault="007F4CF7" w:rsidP="008A52E2">
            <w:pPr>
              <w:pStyle w:val="Item"/>
              <w:ind w:hanging="709"/>
            </w:pPr>
            <w:r w:rsidRPr="005D250A">
              <w:t>10%</w:t>
            </w:r>
          </w:p>
        </w:tc>
      </w:tr>
      <w:tr w:rsidR="007F4CF7" w:rsidRPr="005D250A" w14:paraId="395527DC" w14:textId="77777777" w:rsidTr="007F4CF7">
        <w:trPr>
          <w:cantSplit/>
        </w:trPr>
        <w:tc>
          <w:tcPr>
            <w:tcW w:w="4219" w:type="dxa"/>
            <w:tcBorders>
              <w:top w:val="nil"/>
              <w:left w:val="nil"/>
              <w:bottom w:val="single" w:sz="8" w:space="0" w:color="auto"/>
              <w:right w:val="nil"/>
            </w:tcBorders>
            <w:tcMar>
              <w:top w:w="0" w:type="dxa"/>
              <w:left w:w="108" w:type="dxa"/>
              <w:bottom w:w="0" w:type="dxa"/>
              <w:right w:w="108" w:type="dxa"/>
            </w:tcMar>
            <w:hideMark/>
          </w:tcPr>
          <w:p w14:paraId="62A539F1" w14:textId="77777777" w:rsidR="007F4CF7" w:rsidRPr="005D250A" w:rsidRDefault="007F4CF7" w:rsidP="008A52E2">
            <w:pPr>
              <w:pStyle w:val="Item"/>
              <w:ind w:hanging="709"/>
            </w:pPr>
            <w:r w:rsidRPr="005D250A">
              <w:t>Inner regional</w:t>
            </w:r>
          </w:p>
        </w:tc>
        <w:tc>
          <w:tcPr>
            <w:tcW w:w="1577" w:type="dxa"/>
            <w:tcBorders>
              <w:top w:val="nil"/>
              <w:left w:val="nil"/>
              <w:bottom w:val="single" w:sz="8" w:space="0" w:color="auto"/>
              <w:right w:val="nil"/>
            </w:tcBorders>
            <w:tcMar>
              <w:top w:w="0" w:type="dxa"/>
              <w:left w:w="108" w:type="dxa"/>
              <w:bottom w:w="0" w:type="dxa"/>
              <w:right w:w="108" w:type="dxa"/>
            </w:tcMar>
            <w:hideMark/>
          </w:tcPr>
          <w:p w14:paraId="77ACC02B" w14:textId="77777777" w:rsidR="007F4CF7" w:rsidRPr="005D250A" w:rsidRDefault="007F4CF7" w:rsidP="008A52E2">
            <w:pPr>
              <w:pStyle w:val="Item"/>
              <w:ind w:hanging="709"/>
            </w:pPr>
            <w:r w:rsidRPr="005D250A">
              <w:t>5%</w:t>
            </w:r>
          </w:p>
        </w:tc>
      </w:tr>
      <w:tr w:rsidR="007F4CF7" w:rsidRPr="005D250A" w14:paraId="1E943589" w14:textId="77777777" w:rsidTr="007F4CF7">
        <w:trPr>
          <w:cantSplit/>
        </w:trPr>
        <w:tc>
          <w:tcPr>
            <w:tcW w:w="4219" w:type="dxa"/>
            <w:tcBorders>
              <w:top w:val="nil"/>
              <w:left w:val="nil"/>
              <w:bottom w:val="single" w:sz="8" w:space="0" w:color="auto"/>
              <w:right w:val="nil"/>
            </w:tcBorders>
            <w:tcMar>
              <w:top w:w="0" w:type="dxa"/>
              <w:left w:w="108" w:type="dxa"/>
              <w:bottom w:w="0" w:type="dxa"/>
              <w:right w:w="108" w:type="dxa"/>
            </w:tcMar>
            <w:hideMark/>
          </w:tcPr>
          <w:p w14:paraId="12E6EEAD" w14:textId="77777777" w:rsidR="007F4CF7" w:rsidRPr="005D250A" w:rsidRDefault="007F4CF7" w:rsidP="008A52E2">
            <w:pPr>
              <w:pStyle w:val="Item"/>
              <w:ind w:hanging="709"/>
            </w:pPr>
            <w:r w:rsidRPr="005D250A">
              <w:t>Major city and overseas</w:t>
            </w:r>
          </w:p>
        </w:tc>
        <w:tc>
          <w:tcPr>
            <w:tcW w:w="1577" w:type="dxa"/>
            <w:tcBorders>
              <w:top w:val="nil"/>
              <w:left w:val="nil"/>
              <w:bottom w:val="single" w:sz="8" w:space="0" w:color="auto"/>
              <w:right w:val="nil"/>
            </w:tcBorders>
            <w:tcMar>
              <w:top w:w="0" w:type="dxa"/>
              <w:left w:w="108" w:type="dxa"/>
              <w:bottom w:w="0" w:type="dxa"/>
              <w:right w:w="108" w:type="dxa"/>
            </w:tcMar>
            <w:hideMark/>
          </w:tcPr>
          <w:p w14:paraId="405F2ED3" w14:textId="77777777" w:rsidR="007F4CF7" w:rsidRPr="005D250A" w:rsidRDefault="007F4CF7" w:rsidP="008A52E2">
            <w:pPr>
              <w:pStyle w:val="Item"/>
              <w:ind w:hanging="709"/>
            </w:pPr>
            <w:r w:rsidRPr="005D250A">
              <w:t>0%</w:t>
            </w:r>
          </w:p>
        </w:tc>
      </w:tr>
    </w:tbl>
    <w:p w14:paraId="36D69D4A" w14:textId="77777777" w:rsidR="007F4CF7" w:rsidRPr="005D250A" w:rsidRDefault="007F4CF7" w:rsidP="008A52E2">
      <w:pPr>
        <w:pStyle w:val="Item"/>
        <w:ind w:hanging="709"/>
      </w:pPr>
      <w:r w:rsidRPr="005D250A">
        <w:t> </w:t>
      </w:r>
    </w:p>
    <w:p w14:paraId="625CF586" w14:textId="65789E5A" w:rsidR="00FE6946" w:rsidRPr="005D250A" w:rsidRDefault="00B17F5D" w:rsidP="00FE6946">
      <w:pPr>
        <w:pStyle w:val="Item"/>
        <w:ind w:hanging="709"/>
      </w:pPr>
      <w:r w:rsidRPr="005D250A">
        <w:t>1.</w:t>
      </w:r>
      <w:r w:rsidR="006355F9" w:rsidRPr="005D250A">
        <w:t>59</w:t>
      </w:r>
      <w:r w:rsidR="00A05BDE" w:rsidRPr="005D250A">
        <w:t>.30</w:t>
      </w:r>
      <w:r w:rsidR="00FE6946" w:rsidRPr="005D250A">
        <w:t xml:space="preserve"> </w:t>
      </w:r>
      <w:r w:rsidR="007F4CF7" w:rsidRPr="005D250A">
        <w:t xml:space="preserve">For purposes of </w:t>
      </w:r>
      <w:r w:rsidR="00FE6946" w:rsidRPr="005D250A">
        <w:t>this Division</w:t>
      </w:r>
      <w:r w:rsidR="007F4CF7" w:rsidRPr="005D250A">
        <w:t xml:space="preserve">, the Darwin region is defined as the area of the Northern Territory that is not remote or very remote. </w:t>
      </w:r>
    </w:p>
    <w:p w14:paraId="23440720" w14:textId="77777777" w:rsidR="00FE6946" w:rsidRPr="005D250A" w:rsidRDefault="00FE6946" w:rsidP="00FE6946">
      <w:pPr>
        <w:pStyle w:val="ItemHead"/>
        <w:spacing w:before="0"/>
      </w:pPr>
    </w:p>
    <w:p w14:paraId="03D20A41" w14:textId="7BF7D2FA" w:rsidR="00FE6946" w:rsidRPr="005D250A" w:rsidRDefault="00B17F5D" w:rsidP="00FE6946">
      <w:pPr>
        <w:pStyle w:val="Item"/>
        <w:spacing w:after="240"/>
        <w:ind w:hanging="709"/>
      </w:pPr>
      <w:r w:rsidRPr="005D250A">
        <w:t>1.</w:t>
      </w:r>
      <w:r w:rsidR="006355F9" w:rsidRPr="005D250A">
        <w:t>59</w:t>
      </w:r>
      <w:r w:rsidR="00A05BDE" w:rsidRPr="005D250A">
        <w:t>.35</w:t>
      </w:r>
      <w:r w:rsidR="00FE6946" w:rsidRPr="005D250A">
        <w:t xml:space="preserve"> </w:t>
      </w:r>
      <w:r w:rsidR="007F4CF7" w:rsidRPr="005D250A">
        <w:t xml:space="preserve">For purposes of </w:t>
      </w:r>
      <w:r w:rsidR="00FE6946" w:rsidRPr="005D250A">
        <w:t>this Division</w:t>
      </w:r>
      <w:r w:rsidR="007F4CF7" w:rsidRPr="005D250A">
        <w:t>, the Darwin region has been classified outside of the ABS Remoteness Structure as the additional costs of higher education provision in this region exceed its remoteness category which is outer regional.</w:t>
      </w:r>
      <w:bookmarkStart w:id="11" w:name="_Toc340826644"/>
    </w:p>
    <w:p w14:paraId="2BE018DC" w14:textId="77777777" w:rsidR="007F4CF7" w:rsidRPr="005D250A" w:rsidRDefault="00FE6946" w:rsidP="00FE6946">
      <w:pPr>
        <w:pStyle w:val="Item"/>
        <w:spacing w:after="240"/>
        <w:ind w:hanging="709"/>
        <w:rPr>
          <w:i/>
        </w:rPr>
      </w:pPr>
      <w:r w:rsidRPr="005D250A">
        <w:rPr>
          <w:i/>
        </w:rPr>
        <w:t>New regional loading distribution formula</w:t>
      </w:r>
      <w:bookmarkEnd w:id="11"/>
    </w:p>
    <w:p w14:paraId="4F268112" w14:textId="4484A508" w:rsidR="007F4CF7" w:rsidRPr="005D250A" w:rsidRDefault="00B17F5D" w:rsidP="008A52E2">
      <w:pPr>
        <w:pStyle w:val="Item"/>
        <w:ind w:hanging="709"/>
      </w:pPr>
      <w:r w:rsidRPr="005D250A">
        <w:t>1.</w:t>
      </w:r>
      <w:r w:rsidR="006355F9" w:rsidRPr="005D250A">
        <w:t>59</w:t>
      </w:r>
      <w:r w:rsidR="00A05BDE" w:rsidRPr="005D250A">
        <w:t>.40</w:t>
      </w:r>
      <w:r w:rsidR="00FE6946" w:rsidRPr="005D250A">
        <w:t xml:space="preserve"> Grants</w:t>
      </w:r>
      <w:r w:rsidR="007F4CF7" w:rsidRPr="005D250A">
        <w:t xml:space="preserve"> for eligible providers will be calculated using the following </w:t>
      </w:r>
      <w:r w:rsidR="000E0BAA" w:rsidRPr="005D250A">
        <w:t>formula:</w:t>
      </w:r>
    </w:p>
    <w:p w14:paraId="2EB2ECE4" w14:textId="600AA11E" w:rsidR="007F4CF7" w:rsidRPr="005D250A" w:rsidRDefault="008D439D" w:rsidP="008D439D">
      <w:pPr>
        <w:pStyle w:val="Item"/>
        <w:ind w:left="0"/>
      </w:pPr>
      <m:oMathPara>
        <m:oMath>
          <m:r>
            <m:rPr>
              <m:sty m:val="p"/>
            </m:rPr>
            <w:rPr>
              <w:rFonts w:ascii="Cambria Math" w:eastAsiaTheme="minorEastAsia" w:hAnsi="Cambria Math"/>
            </w:rPr>
            <w:br/>
          </m:r>
        </m:oMath>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p</m:t>
              </m:r>
            </m:sub>
          </m:sSub>
          <m:r>
            <w:rPr>
              <w:rFonts w:ascii="Cambria Math" w:eastAsiaTheme="minorEastAsia" w:hAnsi="Cambria Math"/>
            </w:rPr>
            <m:t xml:space="preserve"> = </m:t>
          </m:r>
          <m:d>
            <m:dPr>
              <m:ctrlPr>
                <w:rPr>
                  <w:rFonts w:ascii="Cambria Math" w:eastAsiaTheme="minorEastAsia" w:hAnsi="Cambria Math"/>
                  <w:i/>
                </w:rPr>
              </m:ctrlPr>
            </m:dPr>
            <m:e>
              <m:d>
                <m:dPr>
                  <m:ctrlPr>
                    <w:rPr>
                      <w:rFonts w:ascii="Cambria Math" w:eastAsiaTheme="minorEastAsia" w:hAnsi="Cambria Math"/>
                      <w:i/>
                    </w:rPr>
                  </m:ctrlPr>
                </m:dPr>
                <m:e>
                  <m:nary>
                    <m:naryPr>
                      <m:chr m:val="∑"/>
                      <m:supHide m:val="1"/>
                      <m:ctrlPr>
                        <w:rPr>
                          <w:rFonts w:ascii="Cambria Math" w:eastAsiaTheme="minorEastAsia" w:hAnsi="Cambria Math"/>
                          <w:i/>
                        </w:rPr>
                      </m:ctrlPr>
                    </m:naryPr>
                    <m:sub>
                      <m:r>
                        <w:rPr>
                          <w:rFonts w:ascii="Cambria Math" w:hAnsi="Cambria Math"/>
                        </w:rPr>
                        <m:t>c</m:t>
                      </m:r>
                    </m:sub>
                    <m:sup/>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c</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c</m:t>
                          </m:r>
                        </m:sub>
                      </m:sSub>
                    </m:e>
                  </m:nary>
                </m:e>
              </m:d>
              <m:r>
                <w:rPr>
                  <w:rFonts w:ascii="Cambria Math" w:eastAsiaTheme="minorEastAsia" w:hAnsi="Cambria Math"/>
                </w:rPr>
                <m:t xml:space="preserve"> +0.5</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h</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p</m:t>
                  </m:r>
                </m:sub>
              </m:sSub>
            </m:e>
          </m:d>
          <m:r>
            <w:rPr>
              <w:rFonts w:ascii="Cambria Math" w:eastAsiaTheme="minorEastAsia" w:hAnsi="Cambria Math"/>
            </w:rPr>
            <m:t xml:space="preserve"> V</m:t>
          </m:r>
        </m:oMath>
      </m:oMathPara>
    </w:p>
    <w:p w14:paraId="2136A519" w14:textId="0CBAC0D7" w:rsidR="007F4CF7" w:rsidRPr="005D250A" w:rsidRDefault="007F4CF7" w:rsidP="008A52E2">
      <w:pPr>
        <w:pStyle w:val="Item"/>
        <w:ind w:hanging="709"/>
      </w:pPr>
    </w:p>
    <w:p w14:paraId="48686162" w14:textId="77777777" w:rsidR="007F4CF7" w:rsidRPr="005D250A" w:rsidRDefault="007F4CF7" w:rsidP="008A52E2">
      <w:pPr>
        <w:pStyle w:val="Item"/>
        <w:ind w:hanging="709"/>
      </w:pPr>
      <w:r w:rsidRPr="005D250A">
        <w:t>Where:</w:t>
      </w:r>
    </w:p>
    <w:p w14:paraId="676CDA5F" w14:textId="77777777" w:rsidR="007F4CF7" w:rsidRPr="005D250A" w:rsidRDefault="007F4CF7" w:rsidP="008A52E2">
      <w:pPr>
        <w:pStyle w:val="Item"/>
        <w:ind w:hanging="709"/>
      </w:pPr>
      <w:r w:rsidRPr="005D250A">
        <w:t> </w:t>
      </w:r>
    </w:p>
    <w:p w14:paraId="56024C52" w14:textId="4E96C6E6" w:rsidR="007F4CF7" w:rsidRPr="005D250A" w:rsidRDefault="00C11FDF" w:rsidP="00DB189C">
      <w:pPr>
        <w:pStyle w:val="Item"/>
        <w:spacing w:after="240"/>
        <w:ind w:hanging="709"/>
      </w:pPr>
      <m:oMath>
        <m:sSub>
          <m:sSubPr>
            <m:ctrlPr>
              <w:rPr>
                <w:rFonts w:ascii="Cambria Math" w:hAnsi="Cambria Math"/>
                <w:i/>
              </w:rPr>
            </m:ctrlPr>
          </m:sSubPr>
          <m:e>
            <m:r>
              <w:rPr>
                <w:rFonts w:ascii="Cambria Math" w:hAnsi="Cambria Math"/>
              </w:rPr>
              <m:t>F</m:t>
            </m:r>
          </m:e>
          <m:sub>
            <m:r>
              <w:rPr>
                <w:rFonts w:ascii="Cambria Math" w:hAnsi="Cambria Math"/>
              </w:rPr>
              <m:t>p</m:t>
            </m:r>
          </m:sub>
        </m:sSub>
      </m:oMath>
      <w:r w:rsidR="007F4CF7" w:rsidRPr="005D250A">
        <w:t xml:space="preserve"> = the </w:t>
      </w:r>
      <w:r w:rsidR="006B119D" w:rsidRPr="005D250A">
        <w:t>RL</w:t>
      </w:r>
      <w:r w:rsidR="00DB54AF" w:rsidRPr="005D250A">
        <w:t>P</w:t>
      </w:r>
      <w:r w:rsidR="006B119D" w:rsidRPr="005D250A">
        <w:t xml:space="preserve"> grant</w:t>
      </w:r>
      <w:r w:rsidR="007F4CF7" w:rsidRPr="005D250A">
        <w:t xml:space="preserve"> for a provider (p)</w:t>
      </w:r>
      <w:r w:rsidR="00DB54AF" w:rsidRPr="005D250A">
        <w:t>;</w:t>
      </w:r>
    </w:p>
    <w:p w14:paraId="3136CF84" w14:textId="1B5FFE08" w:rsidR="007F4CF7" w:rsidRPr="005D250A" w:rsidRDefault="00C11FDF" w:rsidP="00DB189C">
      <w:pPr>
        <w:pStyle w:val="Item"/>
        <w:ind w:hanging="709"/>
      </w:pPr>
      <m:oMath>
        <m:sSub>
          <m:sSubPr>
            <m:ctrlPr>
              <w:rPr>
                <w:rFonts w:ascii="Cambria Math" w:hAnsi="Cambria Math"/>
                <w:i/>
              </w:rPr>
            </m:ctrlPr>
          </m:sSubPr>
          <m:e>
            <m:r>
              <w:rPr>
                <w:rFonts w:ascii="Cambria Math" w:hAnsi="Cambria Math"/>
              </w:rPr>
              <m:t>L</m:t>
            </m:r>
          </m:e>
          <m:sub>
            <m:r>
              <w:rPr>
                <w:rFonts w:ascii="Cambria Math" w:hAnsi="Cambria Math"/>
              </w:rPr>
              <m:t>c</m:t>
            </m:r>
          </m:sub>
        </m:sSub>
      </m:oMath>
      <w:r w:rsidR="007F4CF7" w:rsidRPr="005D250A">
        <w:t xml:space="preserve"> = the loading for the location of a provider’s </w:t>
      </w:r>
      <w:r w:rsidR="00D35AB9" w:rsidRPr="005D250A">
        <w:t xml:space="preserve">eligible campus(c) </w:t>
      </w:r>
      <w:r w:rsidR="007F4CF7" w:rsidRPr="005D250A">
        <w:t xml:space="preserve">according to section </w:t>
      </w:r>
      <w:r w:rsidR="00B17F5D" w:rsidRPr="005D250A">
        <w:t>1.</w:t>
      </w:r>
      <w:r w:rsidR="006355F9" w:rsidRPr="005D250A">
        <w:t>59</w:t>
      </w:r>
      <w:r w:rsidR="00A05BDE" w:rsidRPr="005D250A">
        <w:t>.25</w:t>
      </w:r>
      <w:r w:rsidR="00DB54AF" w:rsidRPr="005D250A">
        <w:t>;</w:t>
      </w:r>
    </w:p>
    <w:p w14:paraId="1EC3B9BF" w14:textId="11C0C281" w:rsidR="007F4CF7" w:rsidRPr="005D250A" w:rsidRDefault="00C11FDF" w:rsidP="00DB189C">
      <w:pPr>
        <w:pStyle w:val="Item"/>
        <w:spacing w:after="240"/>
        <w:ind w:hanging="709"/>
      </w:pPr>
      <m:oMath>
        <m:sSub>
          <m:sSubPr>
            <m:ctrlPr>
              <w:rPr>
                <w:rFonts w:ascii="Cambria Math" w:hAnsi="Cambria Math"/>
                <w:i/>
              </w:rPr>
            </m:ctrlPr>
          </m:sSubPr>
          <m:e>
            <m:r>
              <w:rPr>
                <w:rFonts w:ascii="Cambria Math" w:hAnsi="Cambria Math"/>
              </w:rPr>
              <m:t>S</m:t>
            </m:r>
          </m:e>
          <m:sub>
            <m:r>
              <w:rPr>
                <w:rFonts w:ascii="Cambria Math" w:hAnsi="Cambria Math"/>
              </w:rPr>
              <m:t>c</m:t>
            </m:r>
          </m:sub>
        </m:sSub>
      </m:oMath>
      <w:r w:rsidR="007F4CF7" w:rsidRPr="005D250A">
        <w:t> = the average student load based on the EFTSL of the internal and multi-modal Commonwealth supported student load enrolled at the relevant eligible campus (c)</w:t>
      </w:r>
      <w:r w:rsidR="00DB54AF" w:rsidRPr="005D250A">
        <w:t>;</w:t>
      </w:r>
    </w:p>
    <w:p w14:paraId="55B9901B" w14:textId="0523A2B7" w:rsidR="007F4CF7" w:rsidRPr="005D250A" w:rsidRDefault="00C11FDF" w:rsidP="00DB189C">
      <w:pPr>
        <w:pStyle w:val="Item"/>
        <w:spacing w:after="240"/>
        <w:ind w:hanging="709"/>
      </w:pPr>
      <m:oMath>
        <m:sSub>
          <m:sSubPr>
            <m:ctrlPr>
              <w:rPr>
                <w:rFonts w:ascii="Cambria Math" w:hAnsi="Cambria Math"/>
                <w:i/>
              </w:rPr>
            </m:ctrlPr>
          </m:sSubPr>
          <m:e>
            <m:r>
              <w:rPr>
                <w:rFonts w:ascii="Cambria Math" w:hAnsi="Cambria Math"/>
              </w:rPr>
              <m:t>L</m:t>
            </m:r>
          </m:e>
          <m:sub>
            <m:r>
              <w:rPr>
                <w:rFonts w:ascii="Cambria Math" w:hAnsi="Cambria Math"/>
              </w:rPr>
              <m:t>h</m:t>
            </m:r>
          </m:sub>
        </m:sSub>
      </m:oMath>
      <w:r w:rsidR="007F4CF7" w:rsidRPr="005D250A">
        <w:t xml:space="preserve"> = the loading for the location of a provider’s headquarters (h) campus according to section </w:t>
      </w:r>
      <w:r w:rsidR="00B17F5D" w:rsidRPr="005D250A">
        <w:t>1.</w:t>
      </w:r>
      <w:r w:rsidR="006355F9" w:rsidRPr="005D250A">
        <w:t>59</w:t>
      </w:r>
      <w:r w:rsidR="00A05BDE" w:rsidRPr="005D250A">
        <w:t>.25</w:t>
      </w:r>
      <w:r w:rsidR="00DB54AF" w:rsidRPr="005D250A">
        <w:t>;</w:t>
      </w:r>
    </w:p>
    <w:p w14:paraId="4ADA2CBB" w14:textId="215DE248" w:rsidR="007F4CF7" w:rsidRPr="005D250A" w:rsidRDefault="00C11FDF" w:rsidP="00DB189C">
      <w:pPr>
        <w:pStyle w:val="Item"/>
        <w:spacing w:after="240"/>
        <w:ind w:hanging="709"/>
      </w:pPr>
      <m:oMath>
        <m:sSub>
          <m:sSubPr>
            <m:ctrlPr>
              <w:rPr>
                <w:rFonts w:ascii="Cambria Math" w:hAnsi="Cambria Math"/>
                <w:i/>
              </w:rPr>
            </m:ctrlPr>
          </m:sSubPr>
          <m:e>
            <m:r>
              <w:rPr>
                <w:rFonts w:ascii="Cambria Math" w:hAnsi="Cambria Math"/>
              </w:rPr>
              <m:t>E</m:t>
            </m:r>
          </m:e>
          <m:sub>
            <m:r>
              <w:rPr>
                <w:rFonts w:ascii="Cambria Math" w:hAnsi="Cambria Math"/>
              </w:rPr>
              <m:t>p</m:t>
            </m:r>
          </m:sub>
        </m:sSub>
      </m:oMath>
      <w:r w:rsidR="007F4CF7" w:rsidRPr="005D250A">
        <w:t> = the average student load based on the EFTSL of a provider’s (p) external Commonwealth supported student load</w:t>
      </w:r>
      <w:r w:rsidR="00DB54AF" w:rsidRPr="005D250A">
        <w:t>;</w:t>
      </w:r>
      <w:r w:rsidR="007F4CF7" w:rsidRPr="005D250A">
        <w:t xml:space="preserve"> </w:t>
      </w:r>
    </w:p>
    <w:p w14:paraId="2EF2E25E" w14:textId="227C3D13" w:rsidR="00D93034" w:rsidRPr="005D250A" w:rsidRDefault="00B16FD7" w:rsidP="00555F36">
      <w:pPr>
        <w:pStyle w:val="Item"/>
        <w:spacing w:after="240"/>
        <w:ind w:hanging="709"/>
      </w:pPr>
      <m:oMath>
        <m:r>
          <w:rPr>
            <w:rFonts w:ascii="Cambria Math" w:hAnsi="Cambria Math"/>
          </w:rPr>
          <m:t>V</m:t>
        </m:r>
      </m:oMath>
      <w:r w:rsidR="007F4CF7" w:rsidRPr="005D250A">
        <w:t xml:space="preserve"> = the variation required to ensure the expenditure is within the </w:t>
      </w:r>
      <w:r w:rsidR="00EB3B11" w:rsidRPr="005D250A">
        <w:t>RL</w:t>
      </w:r>
      <w:r w:rsidR="008A6FF7" w:rsidRPr="005D250A">
        <w:t>P</w:t>
      </w:r>
      <w:r w:rsidR="00EB3B11" w:rsidRPr="005D250A">
        <w:t xml:space="preserve"> grant</w:t>
      </w:r>
      <w:r w:rsidR="007F4CF7" w:rsidRPr="005D250A">
        <w:t xml:space="preserve"> </w:t>
      </w:r>
      <w:r w:rsidR="00EB3B11" w:rsidRPr="005D250A">
        <w:t>made for that calendar year</w:t>
      </w:r>
      <w:r w:rsidR="00DB54AF" w:rsidRPr="005D250A">
        <w:t>.</w:t>
      </w:r>
    </w:p>
    <w:p w14:paraId="36E30139" w14:textId="77777777" w:rsidR="007F4CF7" w:rsidRPr="005D250A" w:rsidRDefault="007F4CF7" w:rsidP="006B119D">
      <w:pPr>
        <w:pStyle w:val="Item"/>
        <w:spacing w:after="240"/>
        <w:ind w:hanging="709"/>
        <w:rPr>
          <w:i/>
        </w:rPr>
      </w:pPr>
      <w:r w:rsidRPr="005D250A">
        <w:rPr>
          <w:i/>
        </w:rPr>
        <w:t>Detailed explanation of the formula</w:t>
      </w:r>
    </w:p>
    <w:p w14:paraId="3DB2AFB7" w14:textId="1882B6EC" w:rsidR="00EB3B11" w:rsidRPr="005D250A" w:rsidRDefault="00B17F5D" w:rsidP="00D93034">
      <w:pPr>
        <w:pStyle w:val="Item"/>
        <w:spacing w:after="240"/>
        <w:ind w:hanging="709"/>
      </w:pPr>
      <w:r w:rsidRPr="005D250A">
        <w:t>1.</w:t>
      </w:r>
      <w:r w:rsidR="006355F9" w:rsidRPr="005D250A">
        <w:t>59</w:t>
      </w:r>
      <w:r w:rsidR="00A05BDE" w:rsidRPr="005D250A">
        <w:t>.45</w:t>
      </w:r>
      <w:r w:rsidR="00EB3B11" w:rsidRPr="005D250A">
        <w:t xml:space="preserve"> </w:t>
      </w:r>
      <w:r w:rsidR="007F4CF7" w:rsidRPr="005D250A">
        <w:t xml:space="preserve">The formula </w:t>
      </w:r>
      <w:r w:rsidR="00041742" w:rsidRPr="005D250A">
        <w:t xml:space="preserve">in section </w:t>
      </w:r>
      <w:r w:rsidRPr="005D250A">
        <w:t>1.</w:t>
      </w:r>
      <w:r w:rsidR="007866E3" w:rsidRPr="005D250A">
        <w:t>59</w:t>
      </w:r>
      <w:r w:rsidR="00D93034" w:rsidRPr="005D250A">
        <w:t>.40</w:t>
      </w:r>
      <w:r w:rsidR="00041742" w:rsidRPr="005D250A">
        <w:t xml:space="preserve"> </w:t>
      </w:r>
      <w:r w:rsidR="007F4CF7" w:rsidRPr="005D250A">
        <w:t>has two components. The first is based on the EFTSL of the internal and multi-modal Commonwealth supported student load of each of a provider’s eligible campuses. The second is based on the provider’s external Commonwealth supported student load.</w:t>
      </w:r>
      <w:r w:rsidR="00041742" w:rsidRPr="005D250A">
        <w:t xml:space="preserve"> </w:t>
      </w:r>
    </w:p>
    <w:p w14:paraId="0B0BC850" w14:textId="31224592" w:rsidR="007F4CF7" w:rsidRPr="005D250A" w:rsidRDefault="00B17F5D" w:rsidP="00D93034">
      <w:pPr>
        <w:pStyle w:val="Item"/>
        <w:spacing w:after="240"/>
        <w:ind w:hanging="709"/>
      </w:pPr>
      <w:r w:rsidRPr="005D250A">
        <w:t>1.</w:t>
      </w:r>
      <w:r w:rsidR="006355F9" w:rsidRPr="005D250A">
        <w:t>59</w:t>
      </w:r>
      <w:r w:rsidR="00E918DB" w:rsidRPr="005D250A">
        <w:t>.5</w:t>
      </w:r>
      <w:r w:rsidR="00A05BDE" w:rsidRPr="005D250A">
        <w:t>0</w:t>
      </w:r>
      <w:r w:rsidR="00EB3B11" w:rsidRPr="005D250A">
        <w:t xml:space="preserve"> </w:t>
      </w:r>
      <w:r w:rsidR="007F4CF7" w:rsidRPr="005D250A">
        <w:t xml:space="preserve">The </w:t>
      </w:r>
      <w:r w:rsidR="00D93034" w:rsidRPr="005D250A">
        <w:t>RL</w:t>
      </w:r>
      <w:r w:rsidR="005B6F6F" w:rsidRPr="005D250A">
        <w:t>P</w:t>
      </w:r>
      <w:r w:rsidR="00D93034" w:rsidRPr="005D250A">
        <w:t xml:space="preserve"> grant</w:t>
      </w:r>
      <w:r w:rsidR="007F4CF7" w:rsidRPr="005D250A">
        <w:t xml:space="preserve"> for the first component of the formula for a provider is calculated by multiplying the average student load of a provider’s internal and multi-modal Commonwealth supported student load for each eligible campus by the remoteness loading (L) for the physical location of that eligible campus. The totals for each of a provider’s eligible campuses are added together to calculate the </w:t>
      </w:r>
      <w:r w:rsidR="00D93034" w:rsidRPr="005D250A">
        <w:t>grant amount</w:t>
      </w:r>
      <w:r w:rsidR="007F4CF7" w:rsidRPr="005D250A">
        <w:t xml:space="preserve"> for the provider for the first component of the formula.</w:t>
      </w:r>
    </w:p>
    <w:p w14:paraId="5E106DD1" w14:textId="0E048EFA" w:rsidR="007F4CF7" w:rsidRPr="005D250A" w:rsidRDefault="00B17F5D" w:rsidP="002D287B">
      <w:pPr>
        <w:pStyle w:val="Item"/>
        <w:spacing w:after="240"/>
        <w:ind w:hanging="709"/>
      </w:pPr>
      <w:r w:rsidRPr="005D250A">
        <w:t>1.</w:t>
      </w:r>
      <w:r w:rsidR="006355F9" w:rsidRPr="005D250A">
        <w:t>59</w:t>
      </w:r>
      <w:r w:rsidR="00920C99" w:rsidRPr="005D250A">
        <w:t xml:space="preserve">.55 </w:t>
      </w:r>
      <w:r w:rsidR="007F4CF7" w:rsidRPr="005D250A">
        <w:t xml:space="preserve">The </w:t>
      </w:r>
      <w:r w:rsidR="002D287B" w:rsidRPr="005D250A">
        <w:t>RL</w:t>
      </w:r>
      <w:r w:rsidR="005B6F6F" w:rsidRPr="005D250A">
        <w:t>P</w:t>
      </w:r>
      <w:r w:rsidR="002D287B" w:rsidRPr="005D250A">
        <w:t xml:space="preserve"> grant</w:t>
      </w:r>
      <w:r w:rsidR="007F4CF7" w:rsidRPr="005D250A">
        <w:t xml:space="preserve"> for the second component of the formula for a provider is calculated by multiplying 50 per cent of the average student load of a provider’s external Commonwealth supported student load by the remoteness loading (L) for the p</w:t>
      </w:r>
      <w:r w:rsidR="002D287B" w:rsidRPr="005D250A">
        <w:t>rovider’s headquarters campus. </w:t>
      </w:r>
      <w:r w:rsidR="007F4CF7" w:rsidRPr="005D250A">
        <w:t>The headquarters campus is the campus that has the highest average student load based on the EFTSL of the average internal and multi-modal Commonwealth supported student load.</w:t>
      </w:r>
    </w:p>
    <w:p w14:paraId="3751D314" w14:textId="3107B49F" w:rsidR="007F4CF7" w:rsidRPr="005D250A" w:rsidRDefault="00B17F5D" w:rsidP="00012D9E">
      <w:pPr>
        <w:pStyle w:val="Item"/>
        <w:spacing w:after="240"/>
        <w:ind w:hanging="709"/>
      </w:pPr>
      <w:r w:rsidRPr="005D250A">
        <w:t>1.</w:t>
      </w:r>
      <w:r w:rsidR="006355F9" w:rsidRPr="005D250A">
        <w:t>59</w:t>
      </w:r>
      <w:r w:rsidR="003B59B2" w:rsidRPr="005D250A">
        <w:t xml:space="preserve">.60 </w:t>
      </w:r>
      <w:r w:rsidR="007F4CF7" w:rsidRPr="005D250A">
        <w:t xml:space="preserve">As stated in section </w:t>
      </w:r>
      <w:r w:rsidRPr="005D250A">
        <w:t>1.</w:t>
      </w:r>
      <w:r w:rsidR="006355F9" w:rsidRPr="005D250A">
        <w:t>58</w:t>
      </w:r>
      <w:r w:rsidR="007F4CF7" w:rsidRPr="005D250A">
        <w:t xml:space="preserve"> above</w:t>
      </w:r>
      <w:r w:rsidR="003B59B2" w:rsidRPr="005D250A">
        <w:t>,</w:t>
      </w:r>
      <w:r w:rsidR="007F4CF7" w:rsidRPr="005D250A">
        <w:t xml:space="preserve"> the </w:t>
      </w:r>
      <w:r w:rsidR="003B59B2" w:rsidRPr="005D250A">
        <w:t>amount of funding available for the RL</w:t>
      </w:r>
      <w:r w:rsidR="008A6FF7" w:rsidRPr="005D250A">
        <w:t>P</w:t>
      </w:r>
      <w:r w:rsidR="003B59B2" w:rsidRPr="005D250A">
        <w:t xml:space="preserve"> is</w:t>
      </w:r>
      <w:r w:rsidR="007F4CF7" w:rsidRPr="005D250A">
        <w:t xml:space="preserve"> capped </w:t>
      </w:r>
      <w:r w:rsidR="003B59B2" w:rsidRPr="005D250A">
        <w:t>for each calendar year. </w:t>
      </w:r>
      <w:r w:rsidR="007F4CF7" w:rsidRPr="005D250A">
        <w:t xml:space="preserve">To ensure that the </w:t>
      </w:r>
      <w:r w:rsidR="003B59B2" w:rsidRPr="005D250A">
        <w:t>RL</w:t>
      </w:r>
      <w:r w:rsidR="008A6FF7" w:rsidRPr="005D250A">
        <w:t>P</w:t>
      </w:r>
      <w:r w:rsidR="003B59B2" w:rsidRPr="005D250A">
        <w:t xml:space="preserve"> funding </w:t>
      </w:r>
      <w:r w:rsidR="007F4CF7" w:rsidRPr="005D250A">
        <w:t xml:space="preserve">distributed in a calendar year does not exceed the </w:t>
      </w:r>
      <w:r w:rsidR="00012D9E" w:rsidRPr="005D250A">
        <w:t>capped amount</w:t>
      </w:r>
      <w:r w:rsidR="007F4CF7" w:rsidRPr="005D250A">
        <w:t xml:space="preserve"> approved for that year, the following process is used to adjust the final amount of </w:t>
      </w:r>
      <w:r w:rsidR="00012D9E" w:rsidRPr="005D250A">
        <w:t>the grant</w:t>
      </w:r>
      <w:r w:rsidR="007F4CF7" w:rsidRPr="005D250A">
        <w:t xml:space="preserve"> to be paid to each eligib</w:t>
      </w:r>
      <w:r w:rsidR="00012D9E" w:rsidRPr="005D250A">
        <w:t>le provider in a calendar year:</w:t>
      </w:r>
    </w:p>
    <w:p w14:paraId="591B6C2C" w14:textId="37B9066A" w:rsidR="007F4CF7" w:rsidRPr="005D250A" w:rsidRDefault="00AC3F8C" w:rsidP="007237A4">
      <w:pPr>
        <w:pStyle w:val="Item"/>
        <w:numPr>
          <w:ilvl w:val="0"/>
          <w:numId w:val="10"/>
        </w:numPr>
        <w:spacing w:before="0"/>
      </w:pPr>
      <w:r w:rsidRPr="005D250A">
        <w:t>i</w:t>
      </w:r>
      <w:r w:rsidR="007F4CF7" w:rsidRPr="005D250A">
        <w:t xml:space="preserve">nitially the preliminary </w:t>
      </w:r>
      <w:r w:rsidR="00012D9E" w:rsidRPr="005D250A">
        <w:t>grant amount</w:t>
      </w:r>
      <w:r w:rsidR="007F4CF7" w:rsidRPr="005D250A">
        <w:t xml:space="preserve"> for each provider is calculated using the formula at section </w:t>
      </w:r>
      <w:r w:rsidR="00012D9E" w:rsidRPr="005D250A">
        <w:t>1.</w:t>
      </w:r>
      <w:r w:rsidR="006355F9" w:rsidRPr="005D250A">
        <w:t>58</w:t>
      </w:r>
      <w:r w:rsidR="00012D9E" w:rsidRPr="005D250A">
        <w:t>.40</w:t>
      </w:r>
      <w:r w:rsidR="007F4CF7" w:rsidRPr="005D250A">
        <w:t>, above allowing</w:t>
      </w:r>
      <m:oMath>
        <m:r>
          <w:rPr>
            <w:rFonts w:ascii="Cambria Math" w:hAnsi="Cambria Math"/>
          </w:rPr>
          <m:t xml:space="preserve"> (</m:t>
        </m:r>
        <m:r>
          <w:rPr>
            <w:rFonts w:ascii="Cambria Math" w:eastAsiaTheme="minorEastAsia" w:hAnsi="Cambria Math"/>
          </w:rPr>
          <m:t xml:space="preserve"> V=1</m:t>
        </m:r>
      </m:oMath>
      <w:r w:rsidR="005B6F6F" w:rsidRPr="005D250A">
        <w:t>)</w:t>
      </w:r>
      <w:r w:rsidRPr="005D250A">
        <w:t>;</w:t>
      </w:r>
    </w:p>
    <w:p w14:paraId="0C11BFE2" w14:textId="6C9F8AB8" w:rsidR="007F4CF7" w:rsidRPr="005D250A" w:rsidRDefault="00AC3F8C" w:rsidP="007237A4">
      <w:pPr>
        <w:pStyle w:val="Item"/>
        <w:numPr>
          <w:ilvl w:val="0"/>
          <w:numId w:val="10"/>
        </w:numPr>
        <w:spacing w:before="0"/>
      </w:pPr>
      <w:r w:rsidRPr="005D250A">
        <w:t>t</w:t>
      </w:r>
      <w:r w:rsidR="00012D9E" w:rsidRPr="005D250A">
        <w:t xml:space="preserve">hen the preliminary grant </w:t>
      </w:r>
      <w:r w:rsidR="007F4CF7" w:rsidRPr="005D250A">
        <w:t xml:space="preserve">amount for each provider is added to determine the interim </w:t>
      </w:r>
      <w:r w:rsidR="00012D9E" w:rsidRPr="005D250A">
        <w:t>grant</w:t>
      </w:r>
      <w:r w:rsidR="007F4CF7" w:rsidRPr="005D250A">
        <w:t xml:space="preserve"> total (</w:t>
      </w:r>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m:t>
                </m:r>
              </m:e>
              <m:sub>
                <m:r>
                  <w:rPr>
                    <w:rFonts w:ascii="Cambria Math" w:hAnsi="Cambria Math"/>
                  </w:rPr>
                  <m:t>p</m:t>
                </m:r>
              </m:sub>
            </m:sSub>
          </m:e>
        </m:nary>
      </m:oMath>
      <w:r w:rsidR="007F4CF7" w:rsidRPr="005D250A">
        <w:t>)</w:t>
      </w:r>
      <w:r w:rsidRPr="005D250A">
        <w:t>;</w:t>
      </w:r>
    </w:p>
    <w:p w14:paraId="1FFB0A29" w14:textId="7408E2CC" w:rsidR="007F4CF7" w:rsidRPr="005D250A" w:rsidRDefault="00AC3F8C" w:rsidP="007237A4">
      <w:pPr>
        <w:pStyle w:val="Item"/>
        <w:numPr>
          <w:ilvl w:val="0"/>
          <w:numId w:val="10"/>
        </w:numPr>
        <w:spacing w:before="0"/>
      </w:pPr>
      <w:r w:rsidRPr="005D250A">
        <w:t>t</w:t>
      </w:r>
      <w:r w:rsidR="007F4CF7" w:rsidRPr="005D250A">
        <w:t>o establish the value of the variation (</w:t>
      </w:r>
      <m:oMath>
        <m:r>
          <w:rPr>
            <w:rFonts w:ascii="Cambria Math" w:hAnsi="Cambria Math"/>
          </w:rPr>
          <m:t>V</m:t>
        </m:r>
      </m:oMath>
      <w:r w:rsidR="007F4CF7" w:rsidRPr="005D250A">
        <w:t xml:space="preserve">) for determining the final </w:t>
      </w:r>
      <w:r w:rsidR="00012D9E" w:rsidRPr="005D250A">
        <w:t>grant</w:t>
      </w:r>
      <w:r w:rsidR="007F4CF7" w:rsidRPr="005D250A">
        <w:t xml:space="preserve"> amount, the </w:t>
      </w:r>
      <w:r w:rsidR="00012D9E" w:rsidRPr="005D250A">
        <w:t>grant amount</w:t>
      </w:r>
      <w:r w:rsidR="007F4CF7" w:rsidRPr="005D250A">
        <w:t xml:space="preserve"> available for the calendar year less any transitional support payment (</w:t>
      </w:r>
      <m:oMath>
        <m:r>
          <w:rPr>
            <w:rFonts w:ascii="Cambria Math" w:hAnsi="Cambria Math"/>
          </w:rPr>
          <m:t>A</m:t>
        </m:r>
      </m:oMath>
      <w:r w:rsidR="007F4CF7" w:rsidRPr="005D250A">
        <w:t xml:space="preserve">) is divided by the interim </w:t>
      </w:r>
      <w:r w:rsidR="00012D9E" w:rsidRPr="005D250A">
        <w:t>grant</w:t>
      </w:r>
      <w:r w:rsidR="007F4CF7" w:rsidRPr="005D250A">
        <w:t xml:space="preserve"> total (</w:t>
      </w:r>
      <m:oMath>
        <m:r>
          <w:rPr>
            <w:rFonts w:ascii="Cambria Math" w:hAnsi="Cambria Math"/>
          </w:rPr>
          <m:t xml:space="preserve">V= </m:t>
        </m:r>
        <m:f>
          <m:fPr>
            <m:ctrlPr>
              <w:rPr>
                <w:rFonts w:ascii="Cambria Math" w:hAnsi="Cambria Math"/>
                <w:i/>
              </w:rPr>
            </m:ctrlPr>
          </m:fPr>
          <m:num>
            <m:r>
              <w:rPr>
                <w:rFonts w:ascii="Cambria Math" w:hAnsi="Cambria Math"/>
              </w:rPr>
              <m:t>A</m:t>
            </m:r>
          </m:num>
          <m:den>
            <m:sSub>
              <m:sSubPr>
                <m:ctrlPr>
                  <w:rPr>
                    <w:rFonts w:ascii="Cambria Math" w:hAnsi="Cambria Math"/>
                    <w:i/>
                  </w:rPr>
                </m:ctrlPr>
              </m:sSubPr>
              <m:e>
                <m:r>
                  <w:rPr>
                    <w:rFonts w:ascii="Cambria Math" w:hAnsi="Cambria Math"/>
                  </w:rPr>
                  <m:t>F</m:t>
                </m:r>
              </m:e>
              <m:sub>
                <m:r>
                  <w:rPr>
                    <w:rFonts w:ascii="Cambria Math" w:hAnsi="Cambria Math"/>
                  </w:rPr>
                  <m:t>t</m:t>
                </m:r>
              </m:sub>
            </m:sSub>
          </m:den>
        </m:f>
      </m:oMath>
      <w:r w:rsidR="007F4CF7" w:rsidRPr="005D250A">
        <w:t>)</w:t>
      </w:r>
      <w:r w:rsidRPr="005D250A">
        <w:t>;</w:t>
      </w:r>
    </w:p>
    <w:p w14:paraId="3AFF68AD" w14:textId="5ACC30FA" w:rsidR="00A3158C" w:rsidRPr="005D250A" w:rsidRDefault="00AC3F8C" w:rsidP="007237A4">
      <w:pPr>
        <w:pStyle w:val="Item"/>
        <w:numPr>
          <w:ilvl w:val="0"/>
          <w:numId w:val="10"/>
        </w:numPr>
        <w:spacing w:before="0" w:after="240"/>
        <w:rPr>
          <w:i/>
        </w:rPr>
      </w:pPr>
      <w:r w:rsidRPr="005D250A">
        <w:t>t</w:t>
      </w:r>
      <w:r w:rsidR="007F4CF7" w:rsidRPr="005D250A">
        <w:t>o calculate the final</w:t>
      </w:r>
      <w:r w:rsidR="00012D9E" w:rsidRPr="005D250A">
        <w:t xml:space="preserve"> grant</w:t>
      </w:r>
      <w:r w:rsidR="007F4CF7" w:rsidRPr="005D250A">
        <w:t xml:space="preserve"> amount for each provider for the calendar year the formula in section </w:t>
      </w:r>
      <w:r w:rsidR="00012D9E" w:rsidRPr="005D250A">
        <w:t>1.</w:t>
      </w:r>
      <w:r w:rsidR="006355F9" w:rsidRPr="005D250A">
        <w:t>58</w:t>
      </w:r>
      <w:r w:rsidR="00012D9E" w:rsidRPr="005D250A">
        <w:t xml:space="preserve">.40 </w:t>
      </w:r>
      <w:r w:rsidR="007F4CF7" w:rsidRPr="005D250A">
        <w:t xml:space="preserve">is reapplied using the value for </w:t>
      </w:r>
      <m:oMath>
        <m:r>
          <w:rPr>
            <w:rFonts w:ascii="Cambria Math" w:hAnsi="Cambria Math"/>
            <w:noProof/>
          </w:rPr>
          <m:t>V</m:t>
        </m:r>
      </m:oMath>
      <w:r w:rsidR="007F4CF7" w:rsidRPr="005D250A">
        <w:t> as determined in (c) above.</w:t>
      </w:r>
      <w:bookmarkStart w:id="12" w:name="_Toc340826646"/>
    </w:p>
    <w:p w14:paraId="2612F997" w14:textId="26B2F8CC" w:rsidR="007F4CF7" w:rsidRPr="005D250A" w:rsidRDefault="008A6FF7" w:rsidP="002438DD">
      <w:pPr>
        <w:pStyle w:val="Item"/>
        <w:spacing w:after="240"/>
        <w:ind w:hanging="709"/>
        <w:rPr>
          <w:i/>
        </w:rPr>
      </w:pPr>
      <w:r w:rsidRPr="005D250A">
        <w:rPr>
          <w:i/>
        </w:rPr>
        <w:t xml:space="preserve">Calculation of grants </w:t>
      </w:r>
      <w:r w:rsidR="00C759D2" w:rsidRPr="005D250A">
        <w:rPr>
          <w:i/>
        </w:rPr>
        <w:t>for</w:t>
      </w:r>
      <w:r w:rsidRPr="005D250A">
        <w:rPr>
          <w:i/>
        </w:rPr>
        <w:t xml:space="preserve"> recently established campuses</w:t>
      </w:r>
      <w:bookmarkEnd w:id="12"/>
      <w:r w:rsidRPr="005D250A">
        <w:rPr>
          <w:i/>
        </w:rPr>
        <w:t xml:space="preserve"> </w:t>
      </w:r>
    </w:p>
    <w:p w14:paraId="6612B1AA" w14:textId="0EAF5592" w:rsidR="007F4CF7" w:rsidRPr="005D250A" w:rsidRDefault="00B17F5D" w:rsidP="00B032D1">
      <w:pPr>
        <w:pStyle w:val="Item"/>
        <w:spacing w:after="240"/>
        <w:ind w:hanging="709"/>
      </w:pPr>
      <w:r w:rsidRPr="005D250A">
        <w:t>1.</w:t>
      </w:r>
      <w:r w:rsidR="006355F9" w:rsidRPr="005D250A">
        <w:t>59</w:t>
      </w:r>
      <w:r w:rsidR="00B032D1" w:rsidRPr="005D250A">
        <w:t>.</w:t>
      </w:r>
      <w:r w:rsidR="00514B5A" w:rsidRPr="005D250A">
        <w:t>65</w:t>
      </w:r>
      <w:r w:rsidR="00B032D1" w:rsidRPr="005D250A">
        <w:t xml:space="preserve"> </w:t>
      </w:r>
      <w:r w:rsidR="007F4CF7" w:rsidRPr="005D250A">
        <w:t>Where the available HES</w:t>
      </w:r>
      <w:r w:rsidR="004315F1" w:rsidRPr="005D250A">
        <w:t>D</w:t>
      </w:r>
      <w:r w:rsidR="007F4CF7" w:rsidRPr="005D250A">
        <w:t>C full year student load data for a recently established campus is less than three years</w:t>
      </w:r>
      <w:r w:rsidR="00B032D1" w:rsidRPr="005D250A">
        <w:t>,</w:t>
      </w:r>
      <w:r w:rsidR="007F4CF7" w:rsidRPr="005D250A">
        <w:t xml:space="preserve"> the average student load will be </w:t>
      </w:r>
      <w:r w:rsidR="00514B5A" w:rsidRPr="005D250A">
        <w:t>calculated based on</w:t>
      </w:r>
      <w:r w:rsidR="007F4CF7" w:rsidRPr="005D250A">
        <w:t xml:space="preserve"> the Commonwealth supported student load</w:t>
      </w:r>
      <w:r w:rsidR="00514B5A" w:rsidRPr="005D250A">
        <w:t xml:space="preserve"> (EFTSL) over</w:t>
      </w:r>
      <w:r w:rsidR="007F4CF7" w:rsidRPr="005D250A">
        <w:t xml:space="preserve"> the number of years f</w:t>
      </w:r>
      <w:r w:rsidR="00B032D1" w:rsidRPr="005D250A">
        <w:t>or which the data is available.</w:t>
      </w:r>
    </w:p>
    <w:p w14:paraId="246C77BF" w14:textId="32F2DF29" w:rsidR="00A21D9E" w:rsidRPr="005D250A" w:rsidRDefault="00B17F5D" w:rsidP="007237A4">
      <w:pPr>
        <w:pStyle w:val="Item"/>
        <w:spacing w:after="240"/>
        <w:ind w:hanging="709"/>
        <w:rPr>
          <w:b/>
          <w:sz w:val="28"/>
        </w:rPr>
      </w:pPr>
      <w:r w:rsidRPr="005D250A">
        <w:lastRenderedPageBreak/>
        <w:t>1.</w:t>
      </w:r>
      <w:r w:rsidR="006355F9" w:rsidRPr="005D250A">
        <w:t>59</w:t>
      </w:r>
      <w:r w:rsidR="00B032D1" w:rsidRPr="005D250A">
        <w:t>.7</w:t>
      </w:r>
      <w:r w:rsidR="00514B5A" w:rsidRPr="005D250A">
        <w:t>0</w:t>
      </w:r>
      <w:r w:rsidR="00B032D1" w:rsidRPr="005D250A">
        <w:t xml:space="preserve"> </w:t>
      </w:r>
      <w:r w:rsidR="00C759D2" w:rsidRPr="005D250A">
        <w:t>A</w:t>
      </w:r>
      <w:r w:rsidR="007F4CF7" w:rsidRPr="005D250A">
        <w:t xml:space="preserve"> provider will be </w:t>
      </w:r>
      <w:r w:rsidR="00C759D2" w:rsidRPr="005D250A">
        <w:t>eligible for an RLP grant in relation to a new campus if the average</w:t>
      </w:r>
      <w:r w:rsidR="007F4CF7" w:rsidRPr="005D250A">
        <w:t xml:space="preserve"> </w:t>
      </w:r>
      <w:r w:rsidR="00514B5A" w:rsidRPr="005D250A">
        <w:t>student load for the campus, calculated using the method in section 1.59.65, is at least 50 EFTSL (for</w:t>
      </w:r>
      <w:r w:rsidR="007F4CF7" w:rsidRPr="005D250A">
        <w:t xml:space="preserve"> internal and multi-modal </w:t>
      </w:r>
      <w:r w:rsidR="00514B5A" w:rsidRPr="005D250A">
        <w:t>attendance)</w:t>
      </w:r>
      <w:r w:rsidR="007F4CF7" w:rsidRPr="005D250A">
        <w:t>.</w:t>
      </w:r>
    </w:p>
    <w:p w14:paraId="2D95A763" w14:textId="5A8466E6" w:rsidR="00BE74C7" w:rsidRPr="005D250A" w:rsidRDefault="000273B7" w:rsidP="001948C5">
      <w:pPr>
        <w:pStyle w:val="Item"/>
        <w:spacing w:before="0" w:after="240"/>
        <w:ind w:left="0"/>
        <w:rPr>
          <w:sz w:val="28"/>
        </w:rPr>
      </w:pPr>
      <w:r w:rsidRPr="005D250A">
        <w:rPr>
          <w:b/>
          <w:sz w:val="28"/>
        </w:rPr>
        <w:t xml:space="preserve">Division </w:t>
      </w:r>
      <w:r w:rsidR="00FA481F" w:rsidRPr="005D250A">
        <w:rPr>
          <w:b/>
          <w:sz w:val="28"/>
        </w:rPr>
        <w:t>5</w:t>
      </w:r>
      <w:r w:rsidR="00BE74C7" w:rsidRPr="005D250A">
        <w:rPr>
          <w:b/>
          <w:sz w:val="28"/>
        </w:rPr>
        <w:t xml:space="preserve"> – </w:t>
      </w:r>
      <w:r w:rsidR="009D04C4" w:rsidRPr="005D250A">
        <w:rPr>
          <w:b/>
          <w:sz w:val="28"/>
        </w:rPr>
        <w:t xml:space="preserve">Enabling Loading </w:t>
      </w:r>
      <w:r w:rsidR="00941165" w:rsidRPr="005D250A">
        <w:rPr>
          <w:b/>
          <w:sz w:val="28"/>
        </w:rPr>
        <w:t>P</w:t>
      </w:r>
      <w:r w:rsidR="009D04C4" w:rsidRPr="005D250A">
        <w:rPr>
          <w:b/>
          <w:sz w:val="28"/>
        </w:rPr>
        <w:t>rogram (EL</w:t>
      </w:r>
      <w:r w:rsidR="00941165" w:rsidRPr="005D250A">
        <w:rPr>
          <w:b/>
          <w:sz w:val="28"/>
        </w:rPr>
        <w:t>P</w:t>
      </w:r>
      <w:r w:rsidR="009D04C4" w:rsidRPr="005D250A">
        <w:rPr>
          <w:b/>
          <w:sz w:val="28"/>
        </w:rPr>
        <w:t>)</w:t>
      </w:r>
    </w:p>
    <w:p w14:paraId="61434AEB" w14:textId="4D874D39" w:rsidR="00BE74C7" w:rsidRPr="005D250A" w:rsidRDefault="00476A26" w:rsidP="00BE74C7">
      <w:pPr>
        <w:pStyle w:val="Item"/>
        <w:spacing w:after="240"/>
        <w:ind w:left="0"/>
        <w:rPr>
          <w:b/>
        </w:rPr>
      </w:pPr>
      <w:r w:rsidRPr="005D250A">
        <w:rPr>
          <w:b/>
        </w:rPr>
        <w:t>1.</w:t>
      </w:r>
      <w:r w:rsidR="006355F9" w:rsidRPr="005D250A">
        <w:rPr>
          <w:b/>
        </w:rPr>
        <w:t>6</w:t>
      </w:r>
      <w:r w:rsidR="00DF74C0" w:rsidRPr="005D250A">
        <w:rPr>
          <w:b/>
        </w:rPr>
        <w:t>0</w:t>
      </w:r>
      <w:r w:rsidR="00BE74C7" w:rsidRPr="005D250A">
        <w:rPr>
          <w:b/>
        </w:rPr>
        <w:t xml:space="preserve"> </w:t>
      </w:r>
      <w:r w:rsidR="00941165" w:rsidRPr="005D250A">
        <w:rPr>
          <w:b/>
        </w:rPr>
        <w:t>P</w:t>
      </w:r>
      <w:r w:rsidR="00BE74C7" w:rsidRPr="005D250A">
        <w:rPr>
          <w:b/>
        </w:rPr>
        <w:t xml:space="preserve">rogram objectives </w:t>
      </w:r>
    </w:p>
    <w:p w14:paraId="6D9DFDEC" w14:textId="57A51512" w:rsidR="00D33458" w:rsidRPr="005D250A" w:rsidRDefault="00476A26" w:rsidP="00DF74C0">
      <w:pPr>
        <w:pStyle w:val="Item"/>
        <w:spacing w:after="240"/>
        <w:ind w:hanging="709"/>
      </w:pPr>
      <w:r w:rsidRPr="005D250A">
        <w:t>1.</w:t>
      </w:r>
      <w:r w:rsidR="006355F9" w:rsidRPr="005D250A">
        <w:t>6</w:t>
      </w:r>
      <w:r w:rsidR="00DF74C0" w:rsidRPr="005D250A">
        <w:t>0</w:t>
      </w:r>
      <w:r w:rsidR="00D33458" w:rsidRPr="005D250A">
        <w:t xml:space="preserve">.1 </w:t>
      </w:r>
      <w:r w:rsidR="00223DBE" w:rsidRPr="005D250A">
        <w:t>The key objective of the EL</w:t>
      </w:r>
      <w:r w:rsidR="00941165" w:rsidRPr="005D250A">
        <w:t>P</w:t>
      </w:r>
      <w:r w:rsidR="00223DBE" w:rsidRPr="005D250A">
        <w:t xml:space="preserve"> is to promote equality of opportunity in higher education by providing additional funding to</w:t>
      </w:r>
      <w:r w:rsidR="009B6DF4" w:rsidRPr="005D250A">
        <w:t xml:space="preserve"> assist providers to enrol students in enabling courses, with a focus on students with educational disadvantage, such as those from a low SES background, regional areas and remote areas, and Indigenous people</w:t>
      </w:r>
      <w:r w:rsidR="00223DBE" w:rsidRPr="005D250A">
        <w:t>.</w:t>
      </w:r>
    </w:p>
    <w:p w14:paraId="61233DCB" w14:textId="1ACD123B" w:rsidR="00D33458" w:rsidRPr="005D250A" w:rsidRDefault="00476A26" w:rsidP="00D33458">
      <w:pPr>
        <w:pStyle w:val="Item"/>
        <w:spacing w:after="240"/>
        <w:ind w:left="0"/>
        <w:rPr>
          <w:b/>
        </w:rPr>
      </w:pPr>
      <w:r w:rsidRPr="005D250A">
        <w:rPr>
          <w:b/>
        </w:rPr>
        <w:t>1.</w:t>
      </w:r>
      <w:r w:rsidR="006355F9" w:rsidRPr="005D250A">
        <w:rPr>
          <w:b/>
        </w:rPr>
        <w:t>61</w:t>
      </w:r>
      <w:r w:rsidR="00D33458" w:rsidRPr="005D250A">
        <w:rPr>
          <w:b/>
        </w:rPr>
        <w:t xml:space="preserve"> Calculation of grant amounts </w:t>
      </w:r>
    </w:p>
    <w:p w14:paraId="200686B7" w14:textId="37D2BB94" w:rsidR="00D33458" w:rsidRPr="005D250A" w:rsidRDefault="00476A26" w:rsidP="00D33458">
      <w:pPr>
        <w:pStyle w:val="Item"/>
        <w:ind w:hanging="709"/>
      </w:pPr>
      <w:r w:rsidRPr="005D250A">
        <w:t>1.</w:t>
      </w:r>
      <w:r w:rsidR="006355F9" w:rsidRPr="005D250A">
        <w:t>61</w:t>
      </w:r>
      <w:r w:rsidR="00D33458" w:rsidRPr="005D250A">
        <w:t>.1</w:t>
      </w:r>
      <w:r w:rsidR="00D33458" w:rsidRPr="005D250A">
        <w:tab/>
        <w:t>Grants under the EL</w:t>
      </w:r>
      <w:r w:rsidR="005C6A54" w:rsidRPr="005D250A">
        <w:t>P</w:t>
      </w:r>
      <w:r w:rsidR="00D33458" w:rsidRPr="005D250A">
        <w:t xml:space="preserve"> will be calculated for a year in accordance with the following formula:</w:t>
      </w:r>
    </w:p>
    <w:p w14:paraId="1074ADC0" w14:textId="587B42B8" w:rsidR="006D5413" w:rsidRPr="005D250A" w:rsidRDefault="00E34844" w:rsidP="006D5413">
      <w:pPr>
        <w:pStyle w:val="Item"/>
        <w:spacing w:after="240"/>
        <w:ind w:left="0"/>
      </w:pPr>
      <m:oMathPara>
        <m:oMath>
          <m:r>
            <w:rPr>
              <w:rFonts w:ascii="Cambria Math" w:hAnsi="Cambria Math"/>
            </w:rPr>
            <m:t>ELP grant =B ×C</m:t>
          </m:r>
        </m:oMath>
      </m:oMathPara>
    </w:p>
    <w:p w14:paraId="5F014F70" w14:textId="1B2EE2B6" w:rsidR="00D33458" w:rsidRPr="005D250A" w:rsidRDefault="003C2C8B" w:rsidP="00D33458">
      <w:pPr>
        <w:pStyle w:val="Item"/>
        <w:spacing w:after="240"/>
        <w:ind w:left="0"/>
      </w:pPr>
      <w:r w:rsidRPr="005D250A">
        <w:t>W</w:t>
      </w:r>
      <w:r w:rsidR="00D33458" w:rsidRPr="005D250A">
        <w:t xml:space="preserve">here: </w:t>
      </w:r>
    </w:p>
    <w:p w14:paraId="69D32802" w14:textId="1FF072BB" w:rsidR="00EB4A60" w:rsidRPr="005D250A" w:rsidRDefault="00D33458" w:rsidP="00076757">
      <w:pPr>
        <w:pStyle w:val="Item"/>
        <w:spacing w:after="240"/>
        <w:ind w:hanging="709"/>
      </w:pPr>
      <w:r w:rsidRPr="005D250A">
        <w:t>B      </w:t>
      </w:r>
      <w:r w:rsidRPr="005D250A">
        <w:tab/>
      </w:r>
      <w:r w:rsidR="00D2448D" w:rsidRPr="005D250A">
        <w:t>is</w:t>
      </w:r>
      <w:r w:rsidR="00EB4A60" w:rsidRPr="005D250A">
        <w:t xml:space="preserve"> the lesser of:</w:t>
      </w:r>
      <w:r w:rsidR="00D2448D" w:rsidRPr="005D250A">
        <w:t xml:space="preserve"> </w:t>
      </w:r>
    </w:p>
    <w:p w14:paraId="6836B469" w14:textId="7A5E3245" w:rsidR="00EB4A60" w:rsidRPr="005D250A" w:rsidRDefault="00D2448D" w:rsidP="007237A4">
      <w:pPr>
        <w:pStyle w:val="Item"/>
        <w:numPr>
          <w:ilvl w:val="0"/>
          <w:numId w:val="15"/>
        </w:numPr>
        <w:spacing w:after="240"/>
      </w:pPr>
      <w:r w:rsidRPr="005D250A">
        <w:t xml:space="preserve">the number of Commonwealth supported places in enabling courses of study </w:t>
      </w:r>
      <w:r w:rsidR="00EF1259" w:rsidRPr="005D250A">
        <w:t>the provider</w:t>
      </w:r>
      <w:r w:rsidR="00004110" w:rsidRPr="005D250A">
        <w:t xml:space="preserve"> actually provide</w:t>
      </w:r>
      <w:r w:rsidR="00710320" w:rsidRPr="005D250A">
        <w:t>s in the grant year,</w:t>
      </w:r>
      <w:r w:rsidR="00004110" w:rsidRPr="005D250A">
        <w:t xml:space="preserve"> </w:t>
      </w:r>
      <w:r w:rsidR="00EB4A60" w:rsidRPr="005D250A">
        <w:t xml:space="preserve">and </w:t>
      </w:r>
    </w:p>
    <w:p w14:paraId="6021D5F9" w14:textId="7A915EA1" w:rsidR="00D33458" w:rsidRPr="005D250A" w:rsidRDefault="00F736F1" w:rsidP="007237A4">
      <w:pPr>
        <w:pStyle w:val="Item"/>
        <w:numPr>
          <w:ilvl w:val="0"/>
          <w:numId w:val="15"/>
        </w:numPr>
        <w:spacing w:after="240"/>
      </w:pPr>
      <w:r w:rsidRPr="005D250A">
        <w:t xml:space="preserve">the number of places </w:t>
      </w:r>
      <w:r w:rsidR="00163751" w:rsidRPr="005D250A">
        <w:t xml:space="preserve">allocated in writing by the Department </w:t>
      </w:r>
      <w:r w:rsidRPr="005D250A">
        <w:t xml:space="preserve">for </w:t>
      </w:r>
      <w:r w:rsidR="00D33458" w:rsidRPr="005D250A">
        <w:t>the provider for the grant year</w:t>
      </w:r>
      <w:r w:rsidR="00004110" w:rsidRPr="005D250A">
        <w:t xml:space="preserve"> for enabling courses</w:t>
      </w:r>
      <w:r w:rsidR="00EF1735" w:rsidRPr="005D250A">
        <w:t>;</w:t>
      </w:r>
    </w:p>
    <w:p w14:paraId="55EE1590" w14:textId="6BABD74B" w:rsidR="00710320" w:rsidRPr="005D250A" w:rsidRDefault="00D33458" w:rsidP="00C536ED">
      <w:pPr>
        <w:pStyle w:val="Item"/>
        <w:spacing w:after="240"/>
        <w:ind w:hanging="709"/>
      </w:pPr>
      <w:r w:rsidRPr="005D250A">
        <w:t>C      </w:t>
      </w:r>
      <w:r w:rsidRPr="005D250A">
        <w:tab/>
        <w:t xml:space="preserve">is the amount of enabling loading per Commonwealth supported place in enabling courses of study. </w:t>
      </w:r>
    </w:p>
    <w:p w14:paraId="3B44667E" w14:textId="157FE019" w:rsidR="00710320" w:rsidRPr="005D250A" w:rsidRDefault="00710320" w:rsidP="00C536ED">
      <w:pPr>
        <w:pStyle w:val="Item"/>
        <w:spacing w:after="240"/>
        <w:ind w:hanging="709"/>
      </w:pPr>
      <w:r w:rsidRPr="005D250A">
        <w:t>1.</w:t>
      </w:r>
      <w:r w:rsidR="006355F9" w:rsidRPr="005D250A">
        <w:t>61</w:t>
      </w:r>
      <w:r w:rsidRPr="005D250A">
        <w:t>.5</w:t>
      </w:r>
      <w:r w:rsidRPr="005D250A">
        <w:tab/>
      </w:r>
      <w:r w:rsidR="0009560D" w:rsidRPr="005D250A">
        <w:t>In 2020 the amount</w:t>
      </w:r>
      <w:r w:rsidRPr="005D250A">
        <w:t xml:space="preserve"> of enabling loading per Commonwealth supported place</w:t>
      </w:r>
      <w:r w:rsidR="0009560D" w:rsidRPr="005D250A">
        <w:t xml:space="preserve"> was $3,392. </w:t>
      </w:r>
    </w:p>
    <w:p w14:paraId="0D1AA5C0" w14:textId="65C4E045" w:rsidR="00D33458" w:rsidRPr="005D250A" w:rsidRDefault="00710320" w:rsidP="00C536ED">
      <w:pPr>
        <w:pStyle w:val="Item"/>
        <w:spacing w:after="240"/>
        <w:ind w:hanging="709"/>
      </w:pPr>
      <w:r w:rsidRPr="005D250A">
        <w:t>1.</w:t>
      </w:r>
      <w:r w:rsidR="006355F9" w:rsidRPr="005D250A">
        <w:t>61</w:t>
      </w:r>
      <w:r w:rsidRPr="005D250A">
        <w:t xml:space="preserve">.10 </w:t>
      </w:r>
      <w:r w:rsidR="0009560D" w:rsidRPr="005D250A">
        <w:t>For 2021 and later years, the amount is the 202</w:t>
      </w:r>
      <w:r w:rsidR="00F150C2" w:rsidRPr="005D250A">
        <w:t>0</w:t>
      </w:r>
      <w:r w:rsidR="0009560D" w:rsidRPr="005D250A">
        <w:t xml:space="preserve"> amount indexed in accordance with Part 5-6 of the Act</w:t>
      </w:r>
      <w:r w:rsidR="00EF1735" w:rsidRPr="005D250A">
        <w:t>.</w:t>
      </w:r>
    </w:p>
    <w:p w14:paraId="58207010" w14:textId="100CDCAA" w:rsidR="007D28A8" w:rsidRPr="005D250A" w:rsidRDefault="00AB7699" w:rsidP="00401B1D">
      <w:pPr>
        <w:pStyle w:val="ItemHead"/>
        <w:spacing w:after="240"/>
        <w:ind w:left="284" w:hanging="284"/>
      </w:pPr>
      <w:r w:rsidRPr="005D250A">
        <w:t>9</w:t>
      </w:r>
      <w:r w:rsidR="007D28A8" w:rsidRPr="005D250A">
        <w:tab/>
        <w:t>After Part 5 of Chapter 7 – Grants for activities that assure and enhance the quality of Australia’s higher education sector</w:t>
      </w:r>
    </w:p>
    <w:p w14:paraId="11AFAA58" w14:textId="2A67EB42" w:rsidR="007238B1" w:rsidRPr="005D250A" w:rsidRDefault="007D28A8" w:rsidP="007237A4">
      <w:pPr>
        <w:pStyle w:val="Item"/>
      </w:pPr>
      <w:r w:rsidRPr="005D250A">
        <w:t xml:space="preserve">Insert: </w:t>
      </w:r>
    </w:p>
    <w:p w14:paraId="4BEF0A3F" w14:textId="18DA81BB" w:rsidR="007D28A8" w:rsidRPr="005D250A" w:rsidRDefault="007D28A8" w:rsidP="003C2C8B">
      <w:pPr>
        <w:pStyle w:val="ItemHead"/>
        <w:spacing w:after="240"/>
      </w:pPr>
      <w:r w:rsidRPr="005D250A">
        <w:t xml:space="preserve">PART </w:t>
      </w:r>
      <w:r w:rsidR="00A951C6" w:rsidRPr="005D250A">
        <w:t>6</w:t>
      </w:r>
      <w:r w:rsidRPr="005D250A">
        <w:t xml:space="preserve"> – </w:t>
      </w:r>
      <w:r w:rsidR="00A951C6" w:rsidRPr="005D250A">
        <w:t xml:space="preserve">HIGHER EDUCATION CONTINUITY </w:t>
      </w:r>
      <w:r w:rsidRPr="005D250A">
        <w:t>GUARANTEE</w:t>
      </w:r>
      <w:r w:rsidR="00B37BD2" w:rsidRPr="005D250A">
        <w:t xml:space="preserve"> (HECG)</w:t>
      </w:r>
    </w:p>
    <w:p w14:paraId="2C68FC50" w14:textId="1E5F3FE7" w:rsidR="007D28A8" w:rsidRPr="005D250A" w:rsidRDefault="00A951C6" w:rsidP="007D28A8">
      <w:pPr>
        <w:pStyle w:val="Item"/>
        <w:spacing w:after="240"/>
        <w:ind w:hanging="709"/>
        <w:rPr>
          <w:b/>
        </w:rPr>
      </w:pPr>
      <w:r w:rsidRPr="005D250A">
        <w:rPr>
          <w:b/>
        </w:rPr>
        <w:t>7.160</w:t>
      </w:r>
      <w:r w:rsidR="007D28A8" w:rsidRPr="005D250A">
        <w:rPr>
          <w:b/>
        </w:rPr>
        <w:tab/>
        <w:t>Purpose</w:t>
      </w:r>
    </w:p>
    <w:p w14:paraId="52A45257" w14:textId="0F54653F" w:rsidR="007D28A8" w:rsidRPr="005D250A" w:rsidRDefault="00A951C6" w:rsidP="007D28A8">
      <w:pPr>
        <w:pStyle w:val="Item"/>
        <w:spacing w:after="240"/>
        <w:ind w:hanging="709"/>
      </w:pPr>
      <w:r w:rsidRPr="005D250A">
        <w:t>7</w:t>
      </w:r>
      <w:r w:rsidR="007D28A8" w:rsidRPr="005D250A">
        <w:t>.1</w:t>
      </w:r>
      <w:r w:rsidRPr="005D250A">
        <w:t>60</w:t>
      </w:r>
      <w:r w:rsidR="007D28A8" w:rsidRPr="005D250A">
        <w:t>.1</w:t>
      </w:r>
      <w:r w:rsidR="007D28A8" w:rsidRPr="005D250A">
        <w:tab/>
        <w:t xml:space="preserve">The </w:t>
      </w:r>
      <w:r w:rsidR="00B37BD2" w:rsidRPr="005D250A">
        <w:t xml:space="preserve">Higher Education Continuity </w:t>
      </w:r>
      <w:r w:rsidR="007D28A8" w:rsidRPr="005D250A">
        <w:t>Guarantee</w:t>
      </w:r>
      <w:r w:rsidR="00B37BD2" w:rsidRPr="005D250A">
        <w:t xml:space="preserve"> (HECG)</w:t>
      </w:r>
      <w:r w:rsidR="007D28A8" w:rsidRPr="005D250A">
        <w:t xml:space="preserve"> is specified as a program for the purposes of subsection 41</w:t>
      </w:r>
      <w:r w:rsidR="007D28A8" w:rsidRPr="005D250A">
        <w:noBreakHyphen/>
        <w:t>15(1) of the Act. This Part also specifies matters listed in subsection 41</w:t>
      </w:r>
      <w:r w:rsidR="007D28A8" w:rsidRPr="005D250A">
        <w:noBreakHyphen/>
        <w:t>15(2) of the Act in relation to that program.</w:t>
      </w:r>
    </w:p>
    <w:p w14:paraId="05EA8D3E" w14:textId="1114AFC1" w:rsidR="00471BFC" w:rsidRPr="005D250A" w:rsidRDefault="00327553" w:rsidP="00CC0D93">
      <w:pPr>
        <w:pStyle w:val="Item"/>
        <w:spacing w:after="240"/>
        <w:ind w:hanging="709"/>
      </w:pPr>
      <w:r w:rsidRPr="005D250A">
        <w:lastRenderedPageBreak/>
        <w:t>7</w:t>
      </w:r>
      <w:r w:rsidR="007D28A8" w:rsidRPr="005D250A">
        <w:t>.</w:t>
      </w:r>
      <w:r w:rsidRPr="005D250A">
        <w:t>160</w:t>
      </w:r>
      <w:r w:rsidR="007D28A8" w:rsidRPr="005D250A">
        <w:t>.</w:t>
      </w:r>
      <w:r w:rsidRPr="005D250A">
        <w:t>5</w:t>
      </w:r>
      <w:r w:rsidR="007D28A8" w:rsidRPr="005D250A">
        <w:tab/>
        <w:t xml:space="preserve">The purpose of the </w:t>
      </w:r>
      <w:r w:rsidR="00B37BD2" w:rsidRPr="005D250A">
        <w:t>HECG</w:t>
      </w:r>
      <w:r w:rsidR="007D28A8" w:rsidRPr="005D250A">
        <w:t xml:space="preserve"> is to provide grants to higher education providers</w:t>
      </w:r>
      <w:r w:rsidR="00AE48B8" w:rsidRPr="005D250A">
        <w:t xml:space="preserve"> </w:t>
      </w:r>
      <w:r w:rsidR="006629C6" w:rsidRPr="005D250A">
        <w:t xml:space="preserve">in 2021, 2022 and 2023 </w:t>
      </w:r>
      <w:r w:rsidR="00AE48B8" w:rsidRPr="005D250A">
        <w:rPr>
          <w:szCs w:val="22"/>
        </w:rPr>
        <w:t>t</w:t>
      </w:r>
      <w:r w:rsidR="00AE48B8" w:rsidRPr="005D250A">
        <w:t>o assure and enhance the quality of Australia’s higher education sector</w:t>
      </w:r>
      <w:r w:rsidR="007D28A8" w:rsidRPr="005D250A">
        <w:t>, in accordance with item 1</w:t>
      </w:r>
      <w:r w:rsidR="00B37BD2" w:rsidRPr="005D250A">
        <w:t>1(a)</w:t>
      </w:r>
      <w:r w:rsidR="007D28A8" w:rsidRPr="005D250A">
        <w:t xml:space="preserve"> of the table in subsection 41</w:t>
      </w:r>
      <w:r w:rsidR="007D28A8" w:rsidRPr="005D250A">
        <w:noBreakHyphen/>
        <w:t xml:space="preserve">10(1) of the Act, </w:t>
      </w:r>
      <w:r w:rsidR="00AE48B8" w:rsidRPr="005D250A">
        <w:t>in the aftermath of the COVID-19 pandemic</w:t>
      </w:r>
      <w:r w:rsidR="007D28A8" w:rsidRPr="005D250A">
        <w:t xml:space="preserve">. </w:t>
      </w:r>
    </w:p>
    <w:p w14:paraId="307A5569" w14:textId="42D1CE77" w:rsidR="007D28A8" w:rsidRPr="005D250A" w:rsidRDefault="008C08BC" w:rsidP="007D28A8">
      <w:pPr>
        <w:pStyle w:val="Item"/>
        <w:spacing w:after="240"/>
        <w:ind w:hanging="709"/>
        <w:rPr>
          <w:b/>
        </w:rPr>
      </w:pPr>
      <w:r w:rsidRPr="005D250A">
        <w:rPr>
          <w:b/>
        </w:rPr>
        <w:t>7</w:t>
      </w:r>
      <w:r w:rsidR="007D28A8" w:rsidRPr="005D250A">
        <w:rPr>
          <w:b/>
        </w:rPr>
        <w:t>.</w:t>
      </w:r>
      <w:r w:rsidRPr="005D250A">
        <w:rPr>
          <w:b/>
        </w:rPr>
        <w:t>165</w:t>
      </w:r>
      <w:r w:rsidR="007D28A8" w:rsidRPr="005D250A">
        <w:rPr>
          <w:b/>
        </w:rPr>
        <w:tab/>
        <w:t>Program objectives</w:t>
      </w:r>
    </w:p>
    <w:p w14:paraId="198E99FC" w14:textId="68E4D123" w:rsidR="00D72E5F" w:rsidRPr="005D250A" w:rsidRDefault="00C44EE8" w:rsidP="007D28A8">
      <w:pPr>
        <w:pStyle w:val="Item"/>
        <w:spacing w:after="240"/>
        <w:ind w:hanging="709"/>
      </w:pPr>
      <w:r w:rsidRPr="005D250A">
        <w:t>7</w:t>
      </w:r>
      <w:r w:rsidR="007D28A8" w:rsidRPr="005D250A">
        <w:t>.</w:t>
      </w:r>
      <w:r w:rsidRPr="005D250A">
        <w:t>165</w:t>
      </w:r>
      <w:r w:rsidR="007D28A8" w:rsidRPr="005D250A">
        <w:t>.1</w:t>
      </w:r>
      <w:r w:rsidR="007D28A8" w:rsidRPr="005D250A">
        <w:tab/>
      </w:r>
      <w:r w:rsidRPr="005D250A">
        <w:t>The H</w:t>
      </w:r>
      <w:r w:rsidR="003A61DB" w:rsidRPr="005D250A">
        <w:t>E</w:t>
      </w:r>
      <w:r w:rsidRPr="005D250A">
        <w:t xml:space="preserve">CG provides financial assistance to eligible higher education providers affected by the COVID-19 pandemic for activities to assist these providers to recover from the COVID-19 pandemic, and for specific activities identified in the conditions of grant made under </w:t>
      </w:r>
      <w:r w:rsidR="00B612E4" w:rsidRPr="005D250A">
        <w:t>section 7.180</w:t>
      </w:r>
      <w:r w:rsidRPr="005D250A">
        <w:t>.1 of these Guidelines</w:t>
      </w:r>
      <w:r w:rsidR="007D28A8" w:rsidRPr="005D250A">
        <w:t xml:space="preserve">. </w:t>
      </w:r>
    </w:p>
    <w:p w14:paraId="3C5143CD" w14:textId="02C2A789" w:rsidR="00B77112" w:rsidRPr="005D250A" w:rsidRDefault="00D72E5F" w:rsidP="005C765D">
      <w:pPr>
        <w:pStyle w:val="Item"/>
        <w:spacing w:after="240"/>
        <w:ind w:hanging="709"/>
      </w:pPr>
      <w:r w:rsidRPr="005D250A">
        <w:t>7.165.5</w:t>
      </w:r>
      <w:r w:rsidRPr="005D250A">
        <w:tab/>
        <w:t xml:space="preserve">The objective of this program is to </w:t>
      </w:r>
      <w:r w:rsidRPr="005D250A">
        <w:rPr>
          <w:lang w:val="en-GB"/>
        </w:rPr>
        <w:t>ensure that higher education providers are able to keep operating and employing staff in the aftermath of the COVID-19 pandemic, and to assure the ability of these providers to continue to provide quality education services into the future.</w:t>
      </w:r>
    </w:p>
    <w:p w14:paraId="7BDA11BC" w14:textId="7423622B" w:rsidR="007D28A8" w:rsidRPr="005D250A" w:rsidRDefault="00956405" w:rsidP="007D28A8">
      <w:pPr>
        <w:pStyle w:val="Item"/>
        <w:spacing w:after="240"/>
        <w:ind w:hanging="709"/>
        <w:rPr>
          <w:b/>
        </w:rPr>
      </w:pPr>
      <w:r w:rsidRPr="005D250A">
        <w:rPr>
          <w:b/>
        </w:rPr>
        <w:t>7</w:t>
      </w:r>
      <w:r w:rsidR="007D28A8" w:rsidRPr="005D250A">
        <w:rPr>
          <w:b/>
        </w:rPr>
        <w:t>.</w:t>
      </w:r>
      <w:r w:rsidRPr="005D250A">
        <w:rPr>
          <w:b/>
        </w:rPr>
        <w:t>170</w:t>
      </w:r>
      <w:r w:rsidR="007D28A8" w:rsidRPr="005D250A">
        <w:rPr>
          <w:b/>
        </w:rPr>
        <w:tab/>
        <w:t>Calculation of grant amounts</w:t>
      </w:r>
    </w:p>
    <w:p w14:paraId="77E76689" w14:textId="0DEF9864" w:rsidR="007D28A8" w:rsidRPr="005D250A" w:rsidRDefault="00956405" w:rsidP="005227D5">
      <w:pPr>
        <w:pStyle w:val="Item"/>
        <w:spacing w:after="240"/>
        <w:ind w:hanging="709"/>
      </w:pPr>
      <w:r w:rsidRPr="005D250A">
        <w:t>7</w:t>
      </w:r>
      <w:r w:rsidR="007D28A8" w:rsidRPr="005D250A">
        <w:t>.</w:t>
      </w:r>
      <w:r w:rsidRPr="005D250A">
        <w:t>170</w:t>
      </w:r>
      <w:r w:rsidR="007D28A8" w:rsidRPr="005D250A">
        <w:t>.1</w:t>
      </w:r>
      <w:r w:rsidR="007D28A8" w:rsidRPr="005D250A">
        <w:tab/>
        <w:t xml:space="preserve">The </w:t>
      </w:r>
      <w:r w:rsidR="00FC23A6" w:rsidRPr="005D250A">
        <w:t>HECG</w:t>
      </w:r>
      <w:r w:rsidR="007D28A8" w:rsidRPr="005D250A">
        <w:t xml:space="preserve"> for a </w:t>
      </w:r>
      <w:r w:rsidR="00FC23A6" w:rsidRPr="005D250A">
        <w:t>Table A</w:t>
      </w:r>
      <w:r w:rsidR="007D28A8" w:rsidRPr="005D250A">
        <w:t xml:space="preserve"> provider for </w:t>
      </w:r>
      <w:r w:rsidR="006629C6" w:rsidRPr="005D250A">
        <w:t>the</w:t>
      </w:r>
      <w:r w:rsidR="007D28A8" w:rsidRPr="005D250A">
        <w:t xml:space="preserve"> grant year</w:t>
      </w:r>
      <w:r w:rsidR="006629C6" w:rsidRPr="005D250A">
        <w:t>s 2021, 2022 and 2023</w:t>
      </w:r>
      <w:r w:rsidR="007D28A8" w:rsidRPr="005D250A">
        <w:t xml:space="preserve"> will be calculated as follows:</w:t>
      </w:r>
    </w:p>
    <w:p w14:paraId="03557EC0" w14:textId="3FF3BE32" w:rsidR="007D28A8" w:rsidRPr="005D250A" w:rsidRDefault="00FC23A6" w:rsidP="007D28A8">
      <w:pPr>
        <w:pStyle w:val="Item"/>
      </w:pPr>
      <m:oMathPara>
        <m:oMath>
          <m:r>
            <w:rPr>
              <w:rFonts w:ascii="Cambria Math" w:hAnsi="Cambria Math"/>
            </w:rPr>
            <m:t xml:space="preserve">HECG= </m:t>
          </m:r>
          <m:d>
            <m:dPr>
              <m:ctrlPr>
                <w:rPr>
                  <w:rFonts w:ascii="Cambria Math" w:hAnsi="Cambria Math"/>
                  <w:i/>
                </w:rPr>
              </m:ctrlPr>
            </m:dPr>
            <m:e>
              <m:r>
                <w:rPr>
                  <w:rFonts w:ascii="Cambria Math" w:hAnsi="Cambria Math"/>
                </w:rPr>
                <m:t>Max-CGS Payments for relevant grant year</m:t>
              </m:r>
            </m:e>
          </m:d>
        </m:oMath>
      </m:oMathPara>
    </w:p>
    <w:p w14:paraId="01EC2B4D" w14:textId="77777777" w:rsidR="007D28A8" w:rsidRPr="005D250A" w:rsidRDefault="007D28A8" w:rsidP="005227D5">
      <w:pPr>
        <w:pStyle w:val="Item"/>
        <w:spacing w:after="240"/>
        <w:ind w:left="0"/>
      </w:pPr>
      <w:r w:rsidRPr="005D250A">
        <w:t>Where:</w:t>
      </w:r>
    </w:p>
    <w:p w14:paraId="5C45C824" w14:textId="77777777" w:rsidR="007D28A8" w:rsidRPr="005D250A" w:rsidRDefault="007D28A8" w:rsidP="005227D5">
      <w:pPr>
        <w:pStyle w:val="Item"/>
        <w:spacing w:after="240"/>
        <w:ind w:left="0"/>
      </w:pPr>
      <w:r w:rsidRPr="005D250A">
        <w:t xml:space="preserve">Max = For the relevant year, </w:t>
      </w:r>
    </w:p>
    <w:p w14:paraId="7C1BFC7F" w14:textId="594F0731" w:rsidR="007D28A8" w:rsidRPr="005D250A" w:rsidRDefault="00401B1D" w:rsidP="00651F71">
      <w:pPr>
        <w:pStyle w:val="Item"/>
        <w:ind w:left="720"/>
      </w:pPr>
      <w:r w:rsidRPr="005D250A">
        <w:t>T</w:t>
      </w:r>
      <w:r w:rsidR="00651F71" w:rsidRPr="005D250A">
        <w:t>he</w:t>
      </w:r>
      <w:r w:rsidR="001122A7" w:rsidRPr="005D250A">
        <w:t xml:space="preserve"> provider’s Maximum Basic Grant Amount for higher education courses</w:t>
      </w:r>
    </w:p>
    <w:p w14:paraId="58B288CD" w14:textId="77777777" w:rsidR="007D28A8" w:rsidRPr="005D250A" w:rsidRDefault="007D28A8" w:rsidP="007D28A8">
      <w:pPr>
        <w:pStyle w:val="Item"/>
        <w:ind w:left="0"/>
      </w:pPr>
      <w:r w:rsidRPr="005D250A">
        <w:tab/>
      </w:r>
      <w:r w:rsidRPr="005D250A">
        <w:tab/>
      </w:r>
      <w:r w:rsidRPr="005D250A">
        <w:tab/>
      </w:r>
      <w:r w:rsidRPr="005D250A">
        <w:tab/>
        <w:t>+</w:t>
      </w:r>
    </w:p>
    <w:p w14:paraId="5436F344" w14:textId="4AF186D8" w:rsidR="007D28A8" w:rsidRPr="005D250A" w:rsidRDefault="001122A7" w:rsidP="00232D5E">
      <w:pPr>
        <w:pStyle w:val="Item"/>
        <w:ind w:firstLine="11"/>
      </w:pPr>
      <w:r w:rsidRPr="005D250A">
        <w:t xml:space="preserve">The provider’s </w:t>
      </w:r>
      <w:r w:rsidR="007D28A8" w:rsidRPr="005D250A">
        <w:t>Maximum Basic Grant Amount for designated higher education courses</w:t>
      </w:r>
    </w:p>
    <w:p w14:paraId="48B92C1A" w14:textId="77777777" w:rsidR="007D28A8" w:rsidRPr="005D250A" w:rsidRDefault="007D28A8" w:rsidP="007D28A8">
      <w:pPr>
        <w:pStyle w:val="ItemHead"/>
        <w:rPr>
          <w:rFonts w:ascii="Times New Roman" w:hAnsi="Times New Roman"/>
          <w:b w:val="0"/>
        </w:rPr>
      </w:pPr>
      <w:r w:rsidRPr="005D250A">
        <w:tab/>
      </w:r>
      <w:r w:rsidRPr="005D250A">
        <w:tab/>
      </w:r>
      <w:r w:rsidRPr="005D250A">
        <w:tab/>
      </w:r>
      <w:r w:rsidRPr="005D250A">
        <w:tab/>
      </w:r>
      <w:r w:rsidRPr="005D250A">
        <w:tab/>
      </w:r>
      <w:r w:rsidRPr="005D250A">
        <w:rPr>
          <w:rFonts w:ascii="Times New Roman" w:hAnsi="Times New Roman"/>
          <w:b w:val="0"/>
        </w:rPr>
        <w:t>+</w:t>
      </w:r>
    </w:p>
    <w:p w14:paraId="4B6D5B36" w14:textId="77777777" w:rsidR="0046128A" w:rsidRPr="005D250A" w:rsidRDefault="007D28A8" w:rsidP="005227D5">
      <w:pPr>
        <w:pStyle w:val="Item"/>
        <w:spacing w:after="240"/>
        <w:ind w:left="0" w:firstLine="720"/>
      </w:pPr>
      <w:r w:rsidRPr="005D250A">
        <w:t>Amounts worked out under paragraph 33-1(1)(b)</w:t>
      </w:r>
      <w:r w:rsidR="00B27100" w:rsidRPr="005D250A">
        <w:t>(ii)</w:t>
      </w:r>
      <w:r w:rsidRPr="005D250A">
        <w:t xml:space="preserve"> of the Act</w:t>
      </w:r>
    </w:p>
    <w:p w14:paraId="2780504D" w14:textId="298C8597" w:rsidR="008D290F" w:rsidRPr="005D250A" w:rsidRDefault="008D290F" w:rsidP="00232D5E">
      <w:pPr>
        <w:pStyle w:val="Item"/>
        <w:spacing w:after="240"/>
      </w:pPr>
      <w:r w:rsidRPr="005D250A">
        <w:tab/>
      </w:r>
      <w:r w:rsidRPr="005D250A">
        <w:tab/>
      </w:r>
      <w:r w:rsidRPr="005D250A">
        <w:tab/>
      </w:r>
      <w:r w:rsidRPr="005D250A">
        <w:tab/>
      </w:r>
      <w:bookmarkStart w:id="13" w:name="_Hlk57638957"/>
      <m:oMath>
        <m:r>
          <m:rPr>
            <m:sty m:val="bi"/>
          </m:rPr>
          <w:rPr>
            <w:rFonts w:ascii="Cambria Math" w:hAnsi="Cambria Math"/>
          </w:rPr>
          <m:t>-</m:t>
        </m:r>
      </m:oMath>
    </w:p>
    <w:p w14:paraId="02DDC554" w14:textId="2BFE809B" w:rsidR="007D28A8" w:rsidRPr="005D250A" w:rsidRDefault="008D290F" w:rsidP="000F4680">
      <w:pPr>
        <w:pStyle w:val="Item"/>
        <w:spacing w:after="240"/>
      </w:pPr>
      <w:r w:rsidRPr="005D250A">
        <w:t xml:space="preserve">Any funding allocated to the provider to support the delivery of ‘short courses’ </w:t>
      </w:r>
      <w:r w:rsidR="004B6DCF" w:rsidRPr="005D250A">
        <w:t>and</w:t>
      </w:r>
      <w:r w:rsidRPr="005D250A">
        <w:t xml:space="preserve"> ‘national priority places’, as set out in the provider’s funding agreement</w:t>
      </w:r>
      <w:bookmarkEnd w:id="13"/>
      <w:r w:rsidR="007D28A8" w:rsidRPr="005D250A">
        <w:t>;</w:t>
      </w:r>
    </w:p>
    <w:p w14:paraId="0D7EB2AD" w14:textId="3105F778" w:rsidR="000C206C" w:rsidRPr="005D250A" w:rsidRDefault="007D28A8" w:rsidP="000F4680">
      <w:pPr>
        <w:pStyle w:val="Item"/>
        <w:spacing w:after="240"/>
        <w:ind w:left="0"/>
      </w:pPr>
      <w:r w:rsidRPr="005D250A">
        <w:t>CGS Payments for relevant grant year = the amount a provider is entitled to be paid for higher education courses and designated higher education courses</w:t>
      </w:r>
      <w:r w:rsidR="0030715A" w:rsidRPr="005D250A">
        <w:t>,</w:t>
      </w:r>
      <w:r w:rsidRPr="005D250A">
        <w:t xml:space="preserve"> </w:t>
      </w:r>
      <w:r w:rsidR="0030715A" w:rsidRPr="005D250A">
        <w:t>plus the amount a provider is entitled to be paid</w:t>
      </w:r>
      <w:r w:rsidRPr="005D250A">
        <w:t xml:space="preserve"> under paragraph 33-1(1)(b)</w:t>
      </w:r>
      <w:r w:rsidR="00B27100" w:rsidRPr="005D250A">
        <w:t>(ii)</w:t>
      </w:r>
      <w:r w:rsidRPr="005D250A">
        <w:t xml:space="preserve"> of the Act</w:t>
      </w:r>
      <w:r w:rsidR="000F4680" w:rsidRPr="005D250A">
        <w:t xml:space="preserve">, minus any funding allocated to the provider to support the delivery of ‘short courses’ </w:t>
      </w:r>
      <w:r w:rsidR="004B6DCF" w:rsidRPr="005D250A">
        <w:t>and</w:t>
      </w:r>
      <w:r w:rsidR="000F4680" w:rsidRPr="005D250A">
        <w:t xml:space="preserve"> ‘national priority places’, as set out in the provider’s funding agreement</w:t>
      </w:r>
      <w:r w:rsidRPr="005D250A">
        <w:t>.</w:t>
      </w:r>
    </w:p>
    <w:p w14:paraId="277DF6AC" w14:textId="0097226D" w:rsidR="00FC23A6" w:rsidRPr="005D250A" w:rsidRDefault="00956405" w:rsidP="00FC23A6">
      <w:pPr>
        <w:pStyle w:val="Item"/>
        <w:ind w:hanging="709"/>
      </w:pPr>
      <w:r w:rsidRPr="005D250A">
        <w:t>7</w:t>
      </w:r>
      <w:r w:rsidR="00FC23A6" w:rsidRPr="005D250A">
        <w:t>.</w:t>
      </w:r>
      <w:r w:rsidRPr="005D250A">
        <w:t>170.5</w:t>
      </w:r>
      <w:r w:rsidR="00FC23A6" w:rsidRPr="005D250A">
        <w:tab/>
        <w:t xml:space="preserve">The HECG for a non-Table A provider for </w:t>
      </w:r>
      <w:r w:rsidR="00392737" w:rsidRPr="005D250A">
        <w:t>the</w:t>
      </w:r>
      <w:r w:rsidR="00FC23A6" w:rsidRPr="005D250A">
        <w:t xml:space="preserve"> grant year</w:t>
      </w:r>
      <w:r w:rsidR="00392737" w:rsidRPr="005D250A">
        <w:t>s 2021, 2022 and 2023</w:t>
      </w:r>
      <w:r w:rsidR="00FC23A6" w:rsidRPr="005D250A">
        <w:t xml:space="preserve"> will be calculated as follows: </w:t>
      </w:r>
    </w:p>
    <w:p w14:paraId="41104E2B" w14:textId="77777777" w:rsidR="00B657D7" w:rsidRPr="005D250A" w:rsidRDefault="00B657D7" w:rsidP="00B657D7">
      <w:pPr>
        <w:pStyle w:val="ItemHead"/>
        <w:spacing w:before="0"/>
      </w:pPr>
    </w:p>
    <w:p w14:paraId="05DCBAA4" w14:textId="77777777" w:rsidR="00B657D7" w:rsidRPr="005D250A" w:rsidRDefault="00B657D7" w:rsidP="00B657D7">
      <w:pPr>
        <w:pStyle w:val="Item"/>
      </w:pPr>
      <m:oMathPara>
        <m:oMath>
          <m:r>
            <w:rPr>
              <w:rFonts w:ascii="Cambria Math" w:hAnsi="Cambria Math"/>
            </w:rPr>
            <m:t xml:space="preserve">HECG= </m:t>
          </m:r>
          <m:d>
            <m:dPr>
              <m:ctrlPr>
                <w:rPr>
                  <w:rFonts w:ascii="Cambria Math" w:hAnsi="Cambria Math"/>
                  <w:i/>
                </w:rPr>
              </m:ctrlPr>
            </m:dPr>
            <m:e>
              <m:r>
                <w:rPr>
                  <w:rFonts w:ascii="Cambria Math" w:hAnsi="Cambria Math"/>
                </w:rPr>
                <m:t>Max-CGS Payments for relevant grant year</m:t>
              </m:r>
            </m:e>
          </m:d>
        </m:oMath>
      </m:oMathPara>
    </w:p>
    <w:p w14:paraId="4C8893DF" w14:textId="77777777" w:rsidR="00CC0D93" w:rsidRPr="005D250A" w:rsidRDefault="00CC0D93">
      <w:pPr>
        <w:spacing w:line="240" w:lineRule="auto"/>
        <w:rPr>
          <w:rFonts w:eastAsia="Times New Roman" w:cs="Times New Roman"/>
          <w:lang w:eastAsia="en-AU"/>
        </w:rPr>
      </w:pPr>
      <w:r w:rsidRPr="005D250A">
        <w:br w:type="page"/>
      </w:r>
    </w:p>
    <w:p w14:paraId="60AF4C8E" w14:textId="6B44E16A" w:rsidR="00FC23A6" w:rsidRPr="005D250A" w:rsidRDefault="00FC23A6" w:rsidP="005227D5">
      <w:pPr>
        <w:pStyle w:val="Item"/>
        <w:spacing w:after="240"/>
        <w:ind w:left="0"/>
      </w:pPr>
      <w:r w:rsidRPr="005D250A">
        <w:lastRenderedPageBreak/>
        <w:t>Where:</w:t>
      </w:r>
    </w:p>
    <w:p w14:paraId="4018C152" w14:textId="77777777" w:rsidR="00FC23A6" w:rsidRPr="005D250A" w:rsidRDefault="00FC23A6" w:rsidP="005227D5">
      <w:pPr>
        <w:pStyle w:val="Item"/>
        <w:spacing w:after="240"/>
        <w:ind w:left="0"/>
      </w:pPr>
      <w:r w:rsidRPr="005D250A">
        <w:t xml:space="preserve">Max = For the relevant year, </w:t>
      </w:r>
    </w:p>
    <w:p w14:paraId="52FD6146" w14:textId="29119590" w:rsidR="00FC23A6" w:rsidRPr="005D250A" w:rsidRDefault="00FC23A6" w:rsidP="00FC23A6">
      <w:pPr>
        <w:pStyle w:val="Item"/>
      </w:pPr>
      <w:r w:rsidRPr="005D250A">
        <w:t xml:space="preserve">The provider’s Maximum Basic Grant Amount </w:t>
      </w:r>
    </w:p>
    <w:p w14:paraId="5D898EDF" w14:textId="77777777" w:rsidR="00FC23A6" w:rsidRPr="005D250A" w:rsidRDefault="00FC23A6" w:rsidP="00FC23A6">
      <w:pPr>
        <w:pStyle w:val="Item"/>
        <w:ind w:left="0"/>
      </w:pPr>
      <w:r w:rsidRPr="005D250A">
        <w:rPr>
          <w:b/>
        </w:rPr>
        <w:tab/>
      </w:r>
      <w:r w:rsidRPr="005D250A">
        <w:rPr>
          <w:b/>
        </w:rPr>
        <w:tab/>
      </w:r>
      <w:r w:rsidRPr="005D250A">
        <w:rPr>
          <w:b/>
        </w:rPr>
        <w:tab/>
      </w:r>
      <w:r w:rsidRPr="005D250A">
        <w:rPr>
          <w:b/>
        </w:rPr>
        <w:tab/>
      </w:r>
      <w:r w:rsidRPr="005D250A">
        <w:rPr>
          <w:b/>
        </w:rPr>
        <w:tab/>
      </w:r>
      <w:r w:rsidRPr="005D250A">
        <w:t>+</w:t>
      </w:r>
    </w:p>
    <w:p w14:paraId="23243689" w14:textId="04F22669" w:rsidR="00155F71" w:rsidRPr="005D250A" w:rsidRDefault="00FC23A6" w:rsidP="001B407C">
      <w:pPr>
        <w:pStyle w:val="Item"/>
        <w:spacing w:after="240"/>
      </w:pPr>
      <w:r w:rsidRPr="005D250A">
        <w:t>Amounts worked out under paragraph 33-1(1)(b)</w:t>
      </w:r>
      <w:r w:rsidR="00645F91" w:rsidRPr="005D250A">
        <w:t>(ii)</w:t>
      </w:r>
      <w:r w:rsidRPr="005D250A">
        <w:t xml:space="preserve"> of the Act</w:t>
      </w:r>
    </w:p>
    <w:p w14:paraId="181C6156" w14:textId="53A212F0" w:rsidR="00115338" w:rsidRPr="005D250A" w:rsidRDefault="00115338" w:rsidP="00155F71">
      <w:pPr>
        <w:pStyle w:val="Item"/>
        <w:spacing w:after="240"/>
      </w:pPr>
      <w:r w:rsidRPr="005D250A">
        <w:tab/>
      </w:r>
      <w:r w:rsidRPr="005D250A">
        <w:tab/>
      </w:r>
      <w:r w:rsidRPr="005D250A">
        <w:tab/>
      </w:r>
      <w:r w:rsidRPr="005D250A">
        <w:tab/>
      </w:r>
      <w:r w:rsidRPr="005D250A">
        <w:tab/>
      </w:r>
      <m:oMath>
        <m:r>
          <m:rPr>
            <m:sty m:val="bi"/>
          </m:rPr>
          <w:rPr>
            <w:rFonts w:ascii="Cambria Math" w:hAnsi="Cambria Math"/>
          </w:rPr>
          <m:t>-</m:t>
        </m:r>
      </m:oMath>
    </w:p>
    <w:p w14:paraId="013AF60E" w14:textId="01EC3C4B" w:rsidR="00FC23A6" w:rsidRPr="005D250A" w:rsidRDefault="00155F71" w:rsidP="001B407C">
      <w:pPr>
        <w:pStyle w:val="Item"/>
        <w:spacing w:after="240"/>
      </w:pPr>
      <w:r w:rsidRPr="005D250A">
        <w:t xml:space="preserve">Any funding allocated to the provider to support the delivery of ‘short courses’ </w:t>
      </w:r>
      <w:r w:rsidR="004B6DCF" w:rsidRPr="005D250A">
        <w:t>and</w:t>
      </w:r>
      <w:r w:rsidRPr="005D250A">
        <w:t xml:space="preserve"> ‘national priority places’, as set out in the provider’s funding agreement</w:t>
      </w:r>
      <w:r w:rsidR="00FC23A6" w:rsidRPr="005D250A">
        <w:t>;</w:t>
      </w:r>
    </w:p>
    <w:p w14:paraId="00410954" w14:textId="4E436CE2" w:rsidR="00FC23A6" w:rsidRPr="005D250A" w:rsidRDefault="00FC23A6" w:rsidP="00D3403E">
      <w:pPr>
        <w:pStyle w:val="Item"/>
        <w:spacing w:after="240"/>
        <w:ind w:left="0"/>
      </w:pPr>
      <w:r w:rsidRPr="005D250A">
        <w:t xml:space="preserve">CGS Payments for relevant grant year = the amount a provider is entitled to be paid </w:t>
      </w:r>
      <w:r w:rsidR="0038137D" w:rsidRPr="005D250A">
        <w:t>under</w:t>
      </w:r>
      <w:r w:rsidR="00145E97" w:rsidRPr="005D250A">
        <w:t xml:space="preserve"> subsection 33-5(</w:t>
      </w:r>
      <w:r w:rsidR="0030715A" w:rsidRPr="005D250A">
        <w:t>7</w:t>
      </w:r>
      <w:r w:rsidR="00145E97" w:rsidRPr="005D250A">
        <w:t>)</w:t>
      </w:r>
      <w:r w:rsidR="0030715A" w:rsidRPr="005D250A">
        <w:t xml:space="preserve"> and of Act,</w:t>
      </w:r>
      <w:r w:rsidR="0038137D" w:rsidRPr="005D250A">
        <w:t xml:space="preserve"> </w:t>
      </w:r>
      <w:r w:rsidR="0030715A" w:rsidRPr="005D250A">
        <w:t>plus the</w:t>
      </w:r>
      <w:r w:rsidRPr="005D250A">
        <w:t xml:space="preserve"> </w:t>
      </w:r>
      <w:r w:rsidR="0030715A" w:rsidRPr="005D250A">
        <w:t xml:space="preserve">amount a provider is entitled to be paid </w:t>
      </w:r>
      <w:r w:rsidRPr="005D250A">
        <w:t>under paragraph 33-1(1)(b)</w:t>
      </w:r>
      <w:r w:rsidR="00645F91" w:rsidRPr="005D250A">
        <w:t>(ii)</w:t>
      </w:r>
      <w:r w:rsidRPr="005D250A">
        <w:t xml:space="preserve"> of the Act</w:t>
      </w:r>
      <w:r w:rsidR="00155F71" w:rsidRPr="005D250A">
        <w:t xml:space="preserve">; minus any funding allocated to the provider to support the delivery of ‘short courses’ </w:t>
      </w:r>
      <w:r w:rsidR="004B6DCF" w:rsidRPr="005D250A">
        <w:t>and</w:t>
      </w:r>
      <w:r w:rsidR="00155F71" w:rsidRPr="005D250A">
        <w:t xml:space="preserve"> ‘national priority places’, as set out in the provider’s funding agreement</w:t>
      </w:r>
      <w:r w:rsidRPr="005D250A">
        <w:t>.</w:t>
      </w:r>
    </w:p>
    <w:p w14:paraId="2A83EB8B" w14:textId="5BBAF079" w:rsidR="007D28A8" w:rsidRPr="005D250A" w:rsidRDefault="00956405" w:rsidP="007D28A8">
      <w:pPr>
        <w:pStyle w:val="Item"/>
        <w:spacing w:after="240"/>
        <w:ind w:hanging="709"/>
        <w:rPr>
          <w:b/>
        </w:rPr>
      </w:pPr>
      <w:r w:rsidRPr="005D250A">
        <w:rPr>
          <w:b/>
        </w:rPr>
        <w:t>7</w:t>
      </w:r>
      <w:r w:rsidR="007D28A8" w:rsidRPr="005D250A">
        <w:rPr>
          <w:b/>
        </w:rPr>
        <w:t>.</w:t>
      </w:r>
      <w:r w:rsidRPr="005D250A">
        <w:rPr>
          <w:b/>
        </w:rPr>
        <w:t>175</w:t>
      </w:r>
      <w:r w:rsidR="007D28A8" w:rsidRPr="005D250A">
        <w:rPr>
          <w:b/>
        </w:rPr>
        <w:tab/>
        <w:t>Extra conditions of eligibility</w:t>
      </w:r>
    </w:p>
    <w:p w14:paraId="21EFFE34" w14:textId="506DA3A5" w:rsidR="007D28A8" w:rsidRPr="005D250A" w:rsidRDefault="00956405" w:rsidP="00ED0B22">
      <w:pPr>
        <w:pStyle w:val="Item"/>
        <w:spacing w:after="240"/>
        <w:ind w:hanging="709"/>
      </w:pPr>
      <w:r w:rsidRPr="005D250A">
        <w:t>7</w:t>
      </w:r>
      <w:r w:rsidR="007D28A8" w:rsidRPr="005D250A">
        <w:t>.</w:t>
      </w:r>
      <w:r w:rsidRPr="005D250A">
        <w:t>175</w:t>
      </w:r>
      <w:r w:rsidR="007D28A8" w:rsidRPr="005D250A">
        <w:t>.1</w:t>
      </w:r>
      <w:r w:rsidR="007D28A8" w:rsidRPr="005D250A">
        <w:tab/>
      </w:r>
      <w:r w:rsidR="00ED0B22" w:rsidRPr="005D250A">
        <w:t xml:space="preserve">A higher education provider that has entered into a funding agreement under </w:t>
      </w:r>
      <w:r w:rsidR="00ED0B22" w:rsidRPr="005D250A">
        <w:br/>
        <w:t>section 30-25 of Part 2-2 of the Act for the period 2021 to 2023 is eligible for a grant under the HECG</w:t>
      </w:r>
      <w:r w:rsidR="00036C65" w:rsidRPr="005D250A">
        <w:t>.</w:t>
      </w:r>
    </w:p>
    <w:p w14:paraId="0EF7C80B" w14:textId="30DA4A71" w:rsidR="007D28A8" w:rsidRPr="005D250A" w:rsidRDefault="00956405" w:rsidP="007D28A8">
      <w:pPr>
        <w:pStyle w:val="Item"/>
        <w:spacing w:after="240"/>
        <w:ind w:hanging="709"/>
        <w:rPr>
          <w:b/>
        </w:rPr>
      </w:pPr>
      <w:r w:rsidRPr="005D250A">
        <w:rPr>
          <w:b/>
        </w:rPr>
        <w:t>7</w:t>
      </w:r>
      <w:r w:rsidR="007D28A8" w:rsidRPr="005D250A">
        <w:rPr>
          <w:b/>
        </w:rPr>
        <w:t>.</w:t>
      </w:r>
      <w:r w:rsidRPr="005D250A">
        <w:rPr>
          <w:b/>
        </w:rPr>
        <w:t>180</w:t>
      </w:r>
      <w:r w:rsidR="007D28A8" w:rsidRPr="005D250A">
        <w:rPr>
          <w:b/>
        </w:rPr>
        <w:tab/>
        <w:t>Conditions of grant</w:t>
      </w:r>
    </w:p>
    <w:p w14:paraId="795473BC" w14:textId="4EDDD522" w:rsidR="007D28A8" w:rsidRPr="005D250A" w:rsidRDefault="00956405" w:rsidP="007D28A8">
      <w:pPr>
        <w:pStyle w:val="Item"/>
        <w:spacing w:after="240"/>
        <w:ind w:hanging="709"/>
      </w:pPr>
      <w:r w:rsidRPr="005D250A">
        <w:t>7</w:t>
      </w:r>
      <w:r w:rsidR="007D28A8" w:rsidRPr="005D250A">
        <w:t>.</w:t>
      </w:r>
      <w:r w:rsidRPr="005D250A">
        <w:t>180</w:t>
      </w:r>
      <w:r w:rsidR="007D28A8" w:rsidRPr="005D250A">
        <w:t>.1</w:t>
      </w:r>
      <w:r w:rsidR="007D28A8" w:rsidRPr="005D250A">
        <w:tab/>
        <w:t xml:space="preserve">In addition to any conditions imposed by these Guidelines, the recipient of a grant under the </w:t>
      </w:r>
      <w:r w:rsidR="00327553" w:rsidRPr="005D250A">
        <w:t>HECG</w:t>
      </w:r>
      <w:r w:rsidR="007D28A8" w:rsidRPr="005D250A">
        <w:t xml:space="preserve"> must also comply with any terms of the grant approval imposed by the Minister.</w:t>
      </w:r>
    </w:p>
    <w:p w14:paraId="525566A1" w14:textId="587A1064" w:rsidR="00F90E1B" w:rsidRPr="005D250A" w:rsidRDefault="00AB7699" w:rsidP="005227D5">
      <w:pPr>
        <w:pStyle w:val="ItemHead"/>
        <w:spacing w:after="240"/>
        <w:ind w:left="284" w:hanging="284"/>
      </w:pPr>
      <w:r w:rsidRPr="005D250A">
        <w:t>10</w:t>
      </w:r>
      <w:r w:rsidR="006C05F0" w:rsidRPr="005D250A">
        <w:tab/>
        <w:t>Chapter 8 – Grants to assist with Transitional Costs of Changes to Maximum Student Contribution amounts</w:t>
      </w:r>
    </w:p>
    <w:p w14:paraId="314F0AF3" w14:textId="704C3053" w:rsidR="006C05F0" w:rsidRPr="005D250A" w:rsidRDefault="008B49E7" w:rsidP="006C05F0">
      <w:pPr>
        <w:pStyle w:val="Item"/>
      </w:pPr>
      <w:r w:rsidRPr="005D250A">
        <w:t xml:space="preserve">Repeal the </w:t>
      </w:r>
      <w:r w:rsidR="00D75B94" w:rsidRPr="005D250A">
        <w:t xml:space="preserve">Chapter, substitute: </w:t>
      </w:r>
    </w:p>
    <w:p w14:paraId="70B7807E" w14:textId="28A8726F" w:rsidR="002D7F05" w:rsidRPr="005D250A" w:rsidRDefault="002D7F05" w:rsidP="003608D3">
      <w:pPr>
        <w:pStyle w:val="ItemHead"/>
      </w:pPr>
      <w:r w:rsidRPr="005D250A">
        <w:t xml:space="preserve">CHAPTER </w:t>
      </w:r>
      <w:r w:rsidR="00D75B94" w:rsidRPr="005D250A">
        <w:t>8</w:t>
      </w:r>
      <w:r w:rsidRPr="005D250A">
        <w:t xml:space="preserve"> – GRANTS TO ENCOURAGE HIGHER EDUCATION PR</w:t>
      </w:r>
      <w:r w:rsidR="003608D3" w:rsidRPr="005D250A">
        <w:t>OVIDERS TO ENGAGE WITH INDUSTRY</w:t>
      </w:r>
    </w:p>
    <w:p w14:paraId="4AC95DDB" w14:textId="77777777" w:rsidR="002D7F05" w:rsidRPr="005D250A" w:rsidRDefault="002D7F05" w:rsidP="002D7F05">
      <w:pPr>
        <w:pStyle w:val="ItemHead"/>
      </w:pPr>
      <w:r w:rsidRPr="005D250A">
        <w:t>PART 1 – NATIONAL PRIORITIES AND INDUSTRY LINKAGE FUND (NPILF)</w:t>
      </w:r>
    </w:p>
    <w:p w14:paraId="2A226C9B" w14:textId="33D57CA4" w:rsidR="004A6FFF" w:rsidRPr="005D250A" w:rsidRDefault="00013854" w:rsidP="004A6FFF">
      <w:pPr>
        <w:pStyle w:val="Item"/>
        <w:spacing w:after="240"/>
        <w:ind w:hanging="709"/>
        <w:rPr>
          <w:b/>
        </w:rPr>
      </w:pPr>
      <w:r w:rsidRPr="005D250A">
        <w:rPr>
          <w:b/>
        </w:rPr>
        <w:t>8</w:t>
      </w:r>
      <w:r w:rsidR="004A6FFF" w:rsidRPr="005D250A">
        <w:rPr>
          <w:b/>
        </w:rPr>
        <w:t>.1</w:t>
      </w:r>
      <w:r w:rsidR="004A6FFF" w:rsidRPr="005D250A">
        <w:rPr>
          <w:b/>
        </w:rPr>
        <w:tab/>
        <w:t xml:space="preserve">Purpose </w:t>
      </w:r>
    </w:p>
    <w:p w14:paraId="05AD4C2E" w14:textId="1D1ABCC9" w:rsidR="00613490" w:rsidRPr="005D250A" w:rsidRDefault="00013854" w:rsidP="00613490">
      <w:pPr>
        <w:pStyle w:val="Item"/>
        <w:spacing w:after="240"/>
        <w:ind w:hanging="709"/>
      </w:pPr>
      <w:r w:rsidRPr="005D250A">
        <w:t>8</w:t>
      </w:r>
      <w:r w:rsidR="00613490" w:rsidRPr="005D250A">
        <w:t>.1.1</w:t>
      </w:r>
      <w:r w:rsidR="00613490" w:rsidRPr="005D250A">
        <w:tab/>
        <w:t>The National Priorities and Industry Linkage Fund (NPILF) is specified as a program for the purposes of subsection 41</w:t>
      </w:r>
      <w:r w:rsidR="00613490" w:rsidRPr="005D250A">
        <w:noBreakHyphen/>
        <w:t>15(1) of the Act. This Part also specifies matters listed in subsection 41</w:t>
      </w:r>
      <w:r w:rsidR="00613490" w:rsidRPr="005D250A">
        <w:noBreakHyphen/>
        <w:t>15(2) of the Act in relation to that program</w:t>
      </w:r>
      <w:r w:rsidR="00943BD7" w:rsidRPr="005D250A">
        <w:t>.</w:t>
      </w:r>
    </w:p>
    <w:p w14:paraId="64503A54" w14:textId="33E11D7C" w:rsidR="004A6FFF" w:rsidRPr="005D250A" w:rsidRDefault="00013854" w:rsidP="00613490">
      <w:pPr>
        <w:pStyle w:val="Item"/>
        <w:spacing w:after="240"/>
        <w:ind w:hanging="709"/>
      </w:pPr>
      <w:r w:rsidRPr="005D250A">
        <w:t>8</w:t>
      </w:r>
      <w:r w:rsidR="00613490" w:rsidRPr="005D250A">
        <w:t>.1.</w:t>
      </w:r>
      <w:r w:rsidR="00833108" w:rsidRPr="005D250A">
        <w:t>5</w:t>
      </w:r>
      <w:r w:rsidR="00613490" w:rsidRPr="005D250A">
        <w:tab/>
        <w:t>The purpose of the NPILF is to</w:t>
      </w:r>
      <w:r w:rsidR="00B81B00" w:rsidRPr="005D250A">
        <w:t xml:space="preserve"> provide grants to eligible higher education providers to</w:t>
      </w:r>
      <w:r w:rsidR="00613490" w:rsidRPr="005D250A">
        <w:t xml:space="preserve"> encourage </w:t>
      </w:r>
      <w:r w:rsidR="00B81B00" w:rsidRPr="005D250A">
        <w:t>those</w:t>
      </w:r>
      <w:r w:rsidR="00613490" w:rsidRPr="005D250A">
        <w:t xml:space="preserve"> providers to engage with industry</w:t>
      </w:r>
      <w:r w:rsidR="00337666" w:rsidRPr="005D250A">
        <w:t xml:space="preserve"> to produce job-ready graduates</w:t>
      </w:r>
      <w:r w:rsidR="00613490" w:rsidRPr="005D250A">
        <w:t>, in accordance with item 1</w:t>
      </w:r>
      <w:r w:rsidR="00852B89" w:rsidRPr="005D250A">
        <w:t>3</w:t>
      </w:r>
      <w:r w:rsidR="00613490" w:rsidRPr="005D250A">
        <w:t xml:space="preserve"> of the table in subsection 41</w:t>
      </w:r>
      <w:r w:rsidR="00613490" w:rsidRPr="005D250A">
        <w:noBreakHyphen/>
        <w:t>10(1) of the Act</w:t>
      </w:r>
      <w:r w:rsidR="004A6FFF" w:rsidRPr="005D250A">
        <w:t>.</w:t>
      </w:r>
    </w:p>
    <w:p w14:paraId="26BCD749" w14:textId="77777777" w:rsidR="00CC0D93" w:rsidRPr="005D250A" w:rsidRDefault="00CC0D93">
      <w:pPr>
        <w:spacing w:line="240" w:lineRule="auto"/>
        <w:rPr>
          <w:rFonts w:eastAsia="Times New Roman" w:cs="Times New Roman"/>
          <w:b/>
          <w:lang w:eastAsia="en-AU"/>
        </w:rPr>
      </w:pPr>
      <w:r w:rsidRPr="005D250A">
        <w:rPr>
          <w:b/>
        </w:rPr>
        <w:br w:type="page"/>
      </w:r>
    </w:p>
    <w:p w14:paraId="74DA9C80" w14:textId="70B68FF0" w:rsidR="004A6FFF" w:rsidRPr="005D250A" w:rsidRDefault="00013854" w:rsidP="007237A4">
      <w:pPr>
        <w:pStyle w:val="Item"/>
        <w:spacing w:after="240"/>
        <w:ind w:left="0"/>
        <w:rPr>
          <w:b/>
        </w:rPr>
      </w:pPr>
      <w:r w:rsidRPr="005D250A">
        <w:rPr>
          <w:b/>
        </w:rPr>
        <w:lastRenderedPageBreak/>
        <w:t>8</w:t>
      </w:r>
      <w:r w:rsidR="004A6FFF" w:rsidRPr="005D250A">
        <w:rPr>
          <w:b/>
        </w:rPr>
        <w:t>.</w:t>
      </w:r>
      <w:r w:rsidR="00833108" w:rsidRPr="005D250A">
        <w:rPr>
          <w:b/>
        </w:rPr>
        <w:t>5</w:t>
      </w:r>
      <w:r w:rsidR="004A6FFF" w:rsidRPr="005D250A">
        <w:rPr>
          <w:b/>
        </w:rPr>
        <w:t xml:space="preserve"> </w:t>
      </w:r>
      <w:r w:rsidR="004A6FFF" w:rsidRPr="005D250A">
        <w:rPr>
          <w:b/>
        </w:rPr>
        <w:tab/>
        <w:t>Program objectives</w:t>
      </w:r>
    </w:p>
    <w:p w14:paraId="01B2E19A" w14:textId="45F70ECA" w:rsidR="00016E26" w:rsidRPr="005D250A" w:rsidRDefault="00013854" w:rsidP="00016E26">
      <w:pPr>
        <w:pStyle w:val="Item"/>
        <w:spacing w:after="240"/>
        <w:ind w:left="0"/>
      </w:pPr>
      <w:r w:rsidRPr="005D250A">
        <w:t>8</w:t>
      </w:r>
      <w:r w:rsidR="00016E26" w:rsidRPr="005D250A">
        <w:t>.</w:t>
      </w:r>
      <w:r w:rsidR="00833108" w:rsidRPr="005D250A">
        <w:t>5</w:t>
      </w:r>
      <w:r w:rsidR="00016E26" w:rsidRPr="005D250A">
        <w:t>.1</w:t>
      </w:r>
      <w:r w:rsidR="00016E26" w:rsidRPr="005D250A">
        <w:tab/>
        <w:t>The key objectives of the NPILF are</w:t>
      </w:r>
      <w:r w:rsidR="0050274F" w:rsidRPr="005D250A">
        <w:t xml:space="preserve"> to</w:t>
      </w:r>
      <w:r w:rsidR="00016E26" w:rsidRPr="005D250A">
        <w:t>:</w:t>
      </w:r>
    </w:p>
    <w:p w14:paraId="510C5034" w14:textId="61D911F7" w:rsidR="0050274F" w:rsidRPr="005D250A" w:rsidRDefault="0050274F" w:rsidP="007237A4">
      <w:pPr>
        <w:pStyle w:val="Item"/>
        <w:numPr>
          <w:ilvl w:val="0"/>
          <w:numId w:val="11"/>
        </w:numPr>
        <w:spacing w:before="0" w:after="240"/>
        <w:rPr>
          <w:szCs w:val="22"/>
        </w:rPr>
      </w:pPr>
      <w:r w:rsidRPr="005D250A">
        <w:rPr>
          <w:szCs w:val="22"/>
        </w:rPr>
        <w:t xml:space="preserve">increase the number of internships, practicums and other innovative approaches to work integrated learning across all disciplines; </w:t>
      </w:r>
    </w:p>
    <w:p w14:paraId="606DC13E" w14:textId="5F127D6C" w:rsidR="0050274F" w:rsidRPr="005D250A" w:rsidRDefault="0050274F" w:rsidP="007237A4">
      <w:pPr>
        <w:pStyle w:val="Item"/>
        <w:numPr>
          <w:ilvl w:val="0"/>
          <w:numId w:val="11"/>
        </w:numPr>
        <w:spacing w:before="0" w:after="240"/>
        <w:rPr>
          <w:szCs w:val="22"/>
        </w:rPr>
      </w:pPr>
      <w:r w:rsidRPr="005D250A">
        <w:rPr>
          <w:szCs w:val="22"/>
        </w:rPr>
        <w:t>increase the number of STEM-skilled graduates and improve their employment outcomes; and</w:t>
      </w:r>
    </w:p>
    <w:p w14:paraId="4685713D" w14:textId="56858BA8" w:rsidR="004A6FFF" w:rsidRPr="005D250A" w:rsidRDefault="0050274F" w:rsidP="007237A4">
      <w:pPr>
        <w:pStyle w:val="Item"/>
        <w:numPr>
          <w:ilvl w:val="0"/>
          <w:numId w:val="11"/>
        </w:numPr>
        <w:spacing w:before="0" w:after="240"/>
        <w:rPr>
          <w:szCs w:val="22"/>
        </w:rPr>
      </w:pPr>
      <w:r w:rsidRPr="005D250A">
        <w:rPr>
          <w:szCs w:val="22"/>
        </w:rPr>
        <w:t>reward universities for the development of partnerships and collaborations with industry.</w:t>
      </w:r>
      <w:r w:rsidRPr="005D250A" w:rsidDel="0050274F">
        <w:t xml:space="preserve"> </w:t>
      </w:r>
    </w:p>
    <w:p w14:paraId="08561605" w14:textId="7488496C" w:rsidR="00613490" w:rsidRPr="005D250A" w:rsidRDefault="00013854" w:rsidP="004A6FFF">
      <w:pPr>
        <w:pStyle w:val="Item"/>
        <w:spacing w:after="240"/>
        <w:ind w:hanging="709"/>
        <w:rPr>
          <w:b/>
        </w:rPr>
      </w:pPr>
      <w:r w:rsidRPr="005D250A">
        <w:rPr>
          <w:b/>
        </w:rPr>
        <w:t>8</w:t>
      </w:r>
      <w:r w:rsidR="00613490" w:rsidRPr="005D250A">
        <w:rPr>
          <w:b/>
        </w:rPr>
        <w:t>.</w:t>
      </w:r>
      <w:r w:rsidR="00833108" w:rsidRPr="005D250A">
        <w:rPr>
          <w:b/>
        </w:rPr>
        <w:t>10</w:t>
      </w:r>
      <w:r w:rsidR="00613490" w:rsidRPr="005D250A">
        <w:rPr>
          <w:b/>
        </w:rPr>
        <w:tab/>
      </w:r>
      <w:r w:rsidR="00FA45E4" w:rsidRPr="005D250A">
        <w:rPr>
          <w:b/>
        </w:rPr>
        <w:t>Extra conditions of e</w:t>
      </w:r>
      <w:r w:rsidR="00613490" w:rsidRPr="005D250A">
        <w:rPr>
          <w:b/>
        </w:rPr>
        <w:t xml:space="preserve">ligibility </w:t>
      </w:r>
    </w:p>
    <w:p w14:paraId="3521BCB0" w14:textId="13F812E0" w:rsidR="003C6E5A" w:rsidRPr="005D250A" w:rsidRDefault="00013854" w:rsidP="00A3158C">
      <w:pPr>
        <w:pStyle w:val="Item"/>
        <w:spacing w:after="240"/>
        <w:ind w:hanging="709"/>
      </w:pPr>
      <w:r w:rsidRPr="005D250A">
        <w:t>8</w:t>
      </w:r>
      <w:r w:rsidR="00613490" w:rsidRPr="005D250A">
        <w:t>.</w:t>
      </w:r>
      <w:r w:rsidR="00833108" w:rsidRPr="005D250A">
        <w:t>10</w:t>
      </w:r>
      <w:r w:rsidR="00613490" w:rsidRPr="005D250A">
        <w:t>.1</w:t>
      </w:r>
      <w:r w:rsidR="00613490" w:rsidRPr="005D250A">
        <w:tab/>
        <w:t xml:space="preserve">Table A providers are eligible to receive a grant under the NPILF. </w:t>
      </w:r>
    </w:p>
    <w:p w14:paraId="17295A93" w14:textId="670D2F8D" w:rsidR="00514C3D" w:rsidRPr="005D250A" w:rsidRDefault="00514C3D" w:rsidP="004A6FFF">
      <w:pPr>
        <w:pStyle w:val="Item"/>
        <w:spacing w:after="240"/>
        <w:ind w:hanging="709"/>
        <w:rPr>
          <w:b/>
        </w:rPr>
      </w:pPr>
      <w:r w:rsidRPr="005D250A">
        <w:rPr>
          <w:b/>
        </w:rPr>
        <w:t>8.15</w:t>
      </w:r>
      <w:r w:rsidRPr="005D250A">
        <w:rPr>
          <w:b/>
        </w:rPr>
        <w:tab/>
        <w:t>Total NPILF funding</w:t>
      </w:r>
    </w:p>
    <w:p w14:paraId="7FE618FF" w14:textId="2200E42A" w:rsidR="00514C3D" w:rsidRPr="005D250A" w:rsidRDefault="00514C3D" w:rsidP="00514C3D">
      <w:pPr>
        <w:pStyle w:val="Item"/>
        <w:spacing w:after="240"/>
        <w:ind w:hanging="709"/>
      </w:pPr>
      <w:r w:rsidRPr="005D250A">
        <w:t>8.15.1</w:t>
      </w:r>
      <w:r w:rsidRPr="005D250A">
        <w:tab/>
      </w:r>
      <w:r w:rsidR="00C63002" w:rsidRPr="005D250A">
        <w:t xml:space="preserve">The total amount of </w:t>
      </w:r>
      <w:r w:rsidR="008203B9" w:rsidRPr="005D250A">
        <w:t xml:space="preserve">funding available for </w:t>
      </w:r>
      <w:r w:rsidR="00C63002" w:rsidRPr="005D250A">
        <w:t xml:space="preserve">grants under the NPILF </w:t>
      </w:r>
      <w:r w:rsidR="008203B9" w:rsidRPr="005D250A">
        <w:t>for the grant years</w:t>
      </w:r>
      <w:r w:rsidR="00C63002" w:rsidRPr="005D250A">
        <w:t xml:space="preserve"> 2021, 2022, 2023 </w:t>
      </w:r>
      <w:r w:rsidR="008203B9" w:rsidRPr="005D250A">
        <w:t>and</w:t>
      </w:r>
      <w:r w:rsidR="00C63002" w:rsidRPr="005D250A">
        <w:t xml:space="preserve"> 2024</w:t>
      </w:r>
      <w:r w:rsidR="008203B9" w:rsidRPr="005D250A">
        <w:rPr>
          <w:rFonts w:eastAsiaTheme="minorHAnsi" w:cstheme="minorBidi"/>
          <w:lang w:eastAsia="en-US"/>
        </w:rPr>
        <w:t xml:space="preserve"> </w:t>
      </w:r>
      <w:r w:rsidR="008203B9" w:rsidRPr="005D250A">
        <w:t>is $900 million,</w:t>
      </w:r>
      <w:r w:rsidR="00C63002" w:rsidRPr="005D250A">
        <w:t xml:space="preserve"> </w:t>
      </w:r>
      <w:r w:rsidR="008203B9" w:rsidRPr="005D250A">
        <w:t>with $222 million available in 2021</w:t>
      </w:r>
      <w:r w:rsidR="00C63002" w:rsidRPr="005D250A">
        <w:t xml:space="preserve">. </w:t>
      </w:r>
    </w:p>
    <w:p w14:paraId="198EEC16" w14:textId="2187588F" w:rsidR="00C63002" w:rsidRPr="005D250A" w:rsidRDefault="00C63002" w:rsidP="00C63002">
      <w:pPr>
        <w:pStyle w:val="Item"/>
        <w:spacing w:after="240"/>
        <w:ind w:hanging="709"/>
      </w:pPr>
      <w:r w:rsidRPr="005D250A">
        <w:t>8.15.5</w:t>
      </w:r>
      <w:r w:rsidRPr="005D250A">
        <w:tab/>
      </w:r>
      <w:r w:rsidR="00A30538" w:rsidRPr="005D250A">
        <w:t xml:space="preserve">The </w:t>
      </w:r>
      <w:r w:rsidR="008203B9" w:rsidRPr="005D250A">
        <w:t xml:space="preserve">total amount of funding available </w:t>
      </w:r>
      <w:r w:rsidR="000769EF" w:rsidRPr="005D250A">
        <w:t>for each of the</w:t>
      </w:r>
      <w:r w:rsidR="008203B9" w:rsidRPr="005D250A">
        <w:t xml:space="preserve"> 2022, 2023 and 2024 </w:t>
      </w:r>
      <w:r w:rsidR="000769EF" w:rsidRPr="005D250A">
        <w:t xml:space="preserve">grant years </w:t>
      </w:r>
      <w:r w:rsidR="00A30538" w:rsidRPr="005D250A">
        <w:t xml:space="preserve">will be </w:t>
      </w:r>
      <w:r w:rsidR="000769EF" w:rsidRPr="005D250A">
        <w:t xml:space="preserve">$222 million </w:t>
      </w:r>
      <w:r w:rsidR="00A30538" w:rsidRPr="005D250A">
        <w:t>adjusted each year from 1 January 2022, using the method of indexation set out in Part 5-6, Division 198 of the Act.</w:t>
      </w:r>
    </w:p>
    <w:p w14:paraId="72637618" w14:textId="77BFE1D6" w:rsidR="004A6FFF" w:rsidRPr="005D250A" w:rsidRDefault="00013854" w:rsidP="004A6FFF">
      <w:pPr>
        <w:pStyle w:val="Item"/>
        <w:spacing w:after="240"/>
        <w:ind w:hanging="709"/>
        <w:rPr>
          <w:b/>
        </w:rPr>
      </w:pPr>
      <w:r w:rsidRPr="005D250A">
        <w:rPr>
          <w:b/>
        </w:rPr>
        <w:t>8</w:t>
      </w:r>
      <w:r w:rsidR="00613490" w:rsidRPr="005D250A">
        <w:rPr>
          <w:b/>
        </w:rPr>
        <w:t>.</w:t>
      </w:r>
      <w:r w:rsidR="00514C3D" w:rsidRPr="005D250A">
        <w:rPr>
          <w:b/>
        </w:rPr>
        <w:t>20</w:t>
      </w:r>
      <w:r w:rsidR="004A6FFF" w:rsidRPr="005D250A">
        <w:rPr>
          <w:b/>
        </w:rPr>
        <w:tab/>
      </w:r>
      <w:r w:rsidR="00613490" w:rsidRPr="005D250A">
        <w:rPr>
          <w:b/>
        </w:rPr>
        <w:t>Calculation of grant amounts</w:t>
      </w:r>
      <w:r w:rsidR="004A6FFF" w:rsidRPr="005D250A">
        <w:rPr>
          <w:b/>
        </w:rPr>
        <w:t xml:space="preserve"> </w:t>
      </w:r>
    </w:p>
    <w:p w14:paraId="6CB67CD7" w14:textId="1747BE03" w:rsidR="004A6FFF" w:rsidRPr="005D250A" w:rsidRDefault="00013854" w:rsidP="00613490">
      <w:pPr>
        <w:pStyle w:val="Item"/>
        <w:spacing w:after="240"/>
        <w:ind w:hanging="709"/>
      </w:pPr>
      <w:r w:rsidRPr="005D250A">
        <w:t>8</w:t>
      </w:r>
      <w:r w:rsidR="00613490" w:rsidRPr="005D250A">
        <w:t>.</w:t>
      </w:r>
      <w:r w:rsidR="00514C3D" w:rsidRPr="005D250A">
        <w:t>20</w:t>
      </w:r>
      <w:r w:rsidR="00613490" w:rsidRPr="005D250A">
        <w:t>.1</w:t>
      </w:r>
      <w:r w:rsidR="00613490" w:rsidRPr="005D250A">
        <w:tab/>
      </w:r>
      <w:r w:rsidR="00B56606" w:rsidRPr="005D250A">
        <w:t xml:space="preserve">Eligible providers will receive </w:t>
      </w:r>
      <w:r w:rsidR="00D93101" w:rsidRPr="005D250A">
        <w:t>the relevant</w:t>
      </w:r>
      <w:r w:rsidR="00B56606" w:rsidRPr="005D250A">
        <w:t xml:space="preserve"> grant </w:t>
      </w:r>
      <w:r w:rsidR="00D93101" w:rsidRPr="005D250A">
        <w:t>amount specified in the table below,</w:t>
      </w:r>
      <w:r w:rsidR="004A6FFF" w:rsidRPr="005D250A">
        <w:t xml:space="preserve"> </w:t>
      </w:r>
      <w:r w:rsidR="00B56606" w:rsidRPr="005D250A">
        <w:t>based on the number of Commonwealth supported</w:t>
      </w:r>
      <w:r w:rsidR="009449C7" w:rsidRPr="005D250A">
        <w:t xml:space="preserve"> places (CSPs)</w:t>
      </w:r>
      <w:r w:rsidR="00B56606" w:rsidRPr="005D250A">
        <w:t xml:space="preserve"> the provider </w:t>
      </w:r>
      <w:r w:rsidR="009449C7" w:rsidRPr="005D250A">
        <w:t>has provided</w:t>
      </w:r>
      <w:r w:rsidR="00B56606" w:rsidRPr="005D250A">
        <w:t xml:space="preserve"> for a grant year (</w:t>
      </w:r>
      <w:r w:rsidR="00697532" w:rsidRPr="005D250A">
        <w:t xml:space="preserve">as calculated using </w:t>
      </w:r>
      <w:r w:rsidR="00B56606" w:rsidRPr="005D250A">
        <w:t xml:space="preserve">the latest year of verified data) in </w:t>
      </w:r>
      <w:r w:rsidR="004A6FFF" w:rsidRPr="005D250A">
        <w:t xml:space="preserve">the </w:t>
      </w:r>
      <w:r w:rsidR="00B56606" w:rsidRPr="005D250A">
        <w:t xml:space="preserve">relevant </w:t>
      </w:r>
      <w:r w:rsidR="004A6FFF" w:rsidRPr="005D250A">
        <w:t>enrolment band:</w:t>
      </w:r>
    </w:p>
    <w:tbl>
      <w:tblPr>
        <w:tblStyle w:val="TableGrid"/>
        <w:tblW w:w="0" w:type="auto"/>
        <w:tblInd w:w="720" w:type="dxa"/>
        <w:tblLook w:val="04A0" w:firstRow="1" w:lastRow="0" w:firstColumn="1" w:lastColumn="0" w:noHBand="0" w:noVBand="1"/>
      </w:tblPr>
      <w:tblGrid>
        <w:gridCol w:w="4886"/>
        <w:gridCol w:w="2697"/>
      </w:tblGrid>
      <w:tr w:rsidR="004A6FFF" w:rsidRPr="005D250A" w14:paraId="784661E0" w14:textId="77777777" w:rsidTr="00A47267">
        <w:tc>
          <w:tcPr>
            <w:tcW w:w="5371" w:type="dxa"/>
            <w:shd w:val="clear" w:color="auto" w:fill="262626" w:themeFill="text1" w:themeFillTint="D9"/>
          </w:tcPr>
          <w:p w14:paraId="2FE02357" w14:textId="77777777" w:rsidR="004A6FFF" w:rsidRPr="005D250A" w:rsidRDefault="004A6FFF" w:rsidP="00B56606">
            <w:pPr>
              <w:pStyle w:val="Item"/>
              <w:ind w:left="0"/>
            </w:pPr>
            <w:r w:rsidRPr="005D250A">
              <w:t xml:space="preserve">Enrolment band </w:t>
            </w:r>
          </w:p>
        </w:tc>
        <w:tc>
          <w:tcPr>
            <w:tcW w:w="2925" w:type="dxa"/>
            <w:shd w:val="clear" w:color="auto" w:fill="262626" w:themeFill="text1" w:themeFillTint="D9"/>
          </w:tcPr>
          <w:p w14:paraId="44B89559" w14:textId="0393E47A" w:rsidR="004A6FFF" w:rsidRPr="005D250A" w:rsidRDefault="002F3100" w:rsidP="004A6FFF">
            <w:pPr>
              <w:pStyle w:val="Item"/>
              <w:ind w:left="0"/>
            </w:pPr>
            <w:r w:rsidRPr="005D250A">
              <w:t>Amount of grant for the year</w:t>
            </w:r>
          </w:p>
        </w:tc>
      </w:tr>
      <w:tr w:rsidR="004A6FFF" w:rsidRPr="005D250A" w14:paraId="75B7EE8B" w14:textId="77777777" w:rsidTr="00A47267">
        <w:tc>
          <w:tcPr>
            <w:tcW w:w="5371" w:type="dxa"/>
          </w:tcPr>
          <w:p w14:paraId="3F25D9D1" w14:textId="77777777" w:rsidR="004A6FFF" w:rsidRPr="005D250A" w:rsidRDefault="004A6FFF" w:rsidP="004A6FFF">
            <w:pPr>
              <w:pStyle w:val="Item"/>
              <w:ind w:left="0"/>
            </w:pPr>
            <w:r w:rsidRPr="005D250A">
              <w:t xml:space="preserve">Less than 9,999 </w:t>
            </w:r>
            <w:r w:rsidR="009449C7" w:rsidRPr="005D250A">
              <w:t>CSPs</w:t>
            </w:r>
          </w:p>
        </w:tc>
        <w:tc>
          <w:tcPr>
            <w:tcW w:w="2925" w:type="dxa"/>
          </w:tcPr>
          <w:p w14:paraId="2A22021D" w14:textId="77777777" w:rsidR="004A6FFF" w:rsidRPr="005D250A" w:rsidRDefault="004A6FFF" w:rsidP="004A6FFF">
            <w:pPr>
              <w:pStyle w:val="Item"/>
              <w:ind w:left="0"/>
            </w:pPr>
            <w:r w:rsidRPr="005D250A">
              <w:t>$3.25 million</w:t>
            </w:r>
          </w:p>
        </w:tc>
      </w:tr>
      <w:tr w:rsidR="004A6FFF" w:rsidRPr="005D250A" w14:paraId="0637CF3B" w14:textId="77777777" w:rsidTr="00A47267">
        <w:tc>
          <w:tcPr>
            <w:tcW w:w="5371" w:type="dxa"/>
          </w:tcPr>
          <w:p w14:paraId="2C474CCC" w14:textId="77777777" w:rsidR="004A6FFF" w:rsidRPr="005D250A" w:rsidRDefault="004A6FFF" w:rsidP="004A6FFF">
            <w:pPr>
              <w:pStyle w:val="Item"/>
              <w:ind w:left="0"/>
            </w:pPr>
            <w:r w:rsidRPr="005D250A">
              <w:t>Between 10,000 – 14,999</w:t>
            </w:r>
            <w:r w:rsidR="009449C7" w:rsidRPr="005D250A">
              <w:t xml:space="preserve"> CSPs</w:t>
            </w:r>
          </w:p>
        </w:tc>
        <w:tc>
          <w:tcPr>
            <w:tcW w:w="2925" w:type="dxa"/>
          </w:tcPr>
          <w:p w14:paraId="465A0327" w14:textId="77777777" w:rsidR="004A6FFF" w:rsidRPr="005D250A" w:rsidRDefault="004A6FFF" w:rsidP="004A6FFF">
            <w:pPr>
              <w:pStyle w:val="Item"/>
              <w:ind w:left="0"/>
            </w:pPr>
            <w:r w:rsidRPr="005D250A">
              <w:t>$4.75 million</w:t>
            </w:r>
          </w:p>
        </w:tc>
      </w:tr>
      <w:tr w:rsidR="004A6FFF" w:rsidRPr="005D250A" w14:paraId="60B1B978" w14:textId="77777777" w:rsidTr="00A47267">
        <w:tc>
          <w:tcPr>
            <w:tcW w:w="5371" w:type="dxa"/>
          </w:tcPr>
          <w:p w14:paraId="2615B8AB" w14:textId="77777777" w:rsidR="004A6FFF" w:rsidRPr="005D250A" w:rsidRDefault="004A6FFF" w:rsidP="004A6FFF">
            <w:pPr>
              <w:pStyle w:val="Item"/>
              <w:ind w:left="0"/>
            </w:pPr>
            <w:r w:rsidRPr="005D250A">
              <w:t>Between 15,000 – 21,999</w:t>
            </w:r>
            <w:r w:rsidR="009449C7" w:rsidRPr="005D250A">
              <w:t xml:space="preserve"> CSPs</w:t>
            </w:r>
          </w:p>
        </w:tc>
        <w:tc>
          <w:tcPr>
            <w:tcW w:w="2925" w:type="dxa"/>
          </w:tcPr>
          <w:p w14:paraId="2A5A2E5F" w14:textId="77777777" w:rsidR="004A6FFF" w:rsidRPr="005D250A" w:rsidRDefault="004A6FFF" w:rsidP="004A6FFF">
            <w:pPr>
              <w:pStyle w:val="Item"/>
              <w:ind w:left="0"/>
            </w:pPr>
            <w:r w:rsidRPr="005D250A">
              <w:t>$7.0 million</w:t>
            </w:r>
          </w:p>
        </w:tc>
      </w:tr>
      <w:tr w:rsidR="004A6FFF" w:rsidRPr="005D250A" w14:paraId="085B9644" w14:textId="77777777" w:rsidTr="00A47267">
        <w:tc>
          <w:tcPr>
            <w:tcW w:w="5371" w:type="dxa"/>
          </w:tcPr>
          <w:p w14:paraId="1D250AF6" w14:textId="77777777" w:rsidR="004A6FFF" w:rsidRPr="005D250A" w:rsidRDefault="004A6FFF" w:rsidP="004A6FFF">
            <w:pPr>
              <w:pStyle w:val="Item"/>
              <w:ind w:left="0"/>
            </w:pPr>
            <w:r w:rsidRPr="005D250A">
              <w:t>Greater than 22,000</w:t>
            </w:r>
            <w:r w:rsidR="009449C7" w:rsidRPr="005D250A">
              <w:t xml:space="preserve"> CSPs</w:t>
            </w:r>
          </w:p>
        </w:tc>
        <w:tc>
          <w:tcPr>
            <w:tcW w:w="2925" w:type="dxa"/>
          </w:tcPr>
          <w:p w14:paraId="31223518" w14:textId="77777777" w:rsidR="004A6FFF" w:rsidRPr="005D250A" w:rsidRDefault="004A6FFF" w:rsidP="004A6FFF">
            <w:pPr>
              <w:pStyle w:val="Item"/>
              <w:ind w:left="0"/>
            </w:pPr>
            <w:r w:rsidRPr="005D250A">
              <w:t>$8.75 million</w:t>
            </w:r>
          </w:p>
        </w:tc>
      </w:tr>
    </w:tbl>
    <w:p w14:paraId="3CA05930" w14:textId="77777777" w:rsidR="00524F41" w:rsidRPr="005D250A" w:rsidRDefault="00524F41" w:rsidP="00524F41">
      <w:pPr>
        <w:pStyle w:val="Item"/>
        <w:spacing w:before="0"/>
        <w:ind w:left="0"/>
        <w:rPr>
          <w:b/>
        </w:rPr>
      </w:pPr>
    </w:p>
    <w:p w14:paraId="66AE49DF" w14:textId="67661776" w:rsidR="00B65D54" w:rsidRPr="005D250A" w:rsidRDefault="00013854" w:rsidP="00C2702B">
      <w:pPr>
        <w:pStyle w:val="Item"/>
        <w:spacing w:after="240"/>
        <w:ind w:hanging="709"/>
      </w:pPr>
      <w:r w:rsidRPr="005D250A">
        <w:t>8</w:t>
      </w:r>
      <w:r w:rsidR="00C2702B" w:rsidRPr="005D250A">
        <w:t>.</w:t>
      </w:r>
      <w:r w:rsidR="00514C3D" w:rsidRPr="005D250A">
        <w:t>20</w:t>
      </w:r>
      <w:r w:rsidR="00C2702B" w:rsidRPr="005D250A">
        <w:t>.</w:t>
      </w:r>
      <w:r w:rsidR="00833108" w:rsidRPr="005D250A">
        <w:t>5</w:t>
      </w:r>
      <w:r w:rsidR="00C2702B" w:rsidRPr="005D250A">
        <w:tab/>
        <w:t xml:space="preserve">The amounts in the table at </w:t>
      </w:r>
      <w:r w:rsidRPr="005D250A">
        <w:t>section 8</w:t>
      </w:r>
      <w:r w:rsidR="00D54476" w:rsidRPr="005D250A">
        <w:t>.</w:t>
      </w:r>
      <w:r w:rsidR="00A30538" w:rsidRPr="005D250A">
        <w:t>20</w:t>
      </w:r>
      <w:r w:rsidR="00C2702B" w:rsidRPr="005D250A">
        <w:t>.1 will be adjusted each year using the method of indexation set out in Part 5-6, Division 198 of the Act.</w:t>
      </w:r>
    </w:p>
    <w:p w14:paraId="6E8A5FE6" w14:textId="529EF264" w:rsidR="002D7F05" w:rsidRPr="005D250A" w:rsidRDefault="00013854" w:rsidP="00524F41">
      <w:pPr>
        <w:pStyle w:val="Item"/>
        <w:spacing w:after="240"/>
        <w:ind w:left="0"/>
        <w:rPr>
          <w:b/>
        </w:rPr>
      </w:pPr>
      <w:r w:rsidRPr="005D250A">
        <w:rPr>
          <w:b/>
        </w:rPr>
        <w:t>8</w:t>
      </w:r>
      <w:r w:rsidR="00524F41" w:rsidRPr="005D250A">
        <w:rPr>
          <w:b/>
        </w:rPr>
        <w:t>.</w:t>
      </w:r>
      <w:r w:rsidR="00833108" w:rsidRPr="005D250A">
        <w:rPr>
          <w:b/>
        </w:rPr>
        <w:t>2</w:t>
      </w:r>
      <w:r w:rsidR="00514C3D" w:rsidRPr="005D250A">
        <w:rPr>
          <w:b/>
        </w:rPr>
        <w:t>5</w:t>
      </w:r>
      <w:r w:rsidR="00524F41" w:rsidRPr="005D250A">
        <w:rPr>
          <w:b/>
        </w:rPr>
        <w:tab/>
        <w:t>Conditions of grant</w:t>
      </w:r>
    </w:p>
    <w:p w14:paraId="0CC58DF2" w14:textId="36C5CF14" w:rsidR="00A72083" w:rsidRPr="005D250A" w:rsidRDefault="00013854" w:rsidP="007F34A4">
      <w:pPr>
        <w:pStyle w:val="Item"/>
        <w:spacing w:after="240"/>
        <w:ind w:hanging="709"/>
      </w:pPr>
      <w:r w:rsidRPr="005D250A">
        <w:t>8</w:t>
      </w:r>
      <w:r w:rsidR="007F34A4" w:rsidRPr="005D250A">
        <w:t>.</w:t>
      </w:r>
      <w:r w:rsidR="00833108" w:rsidRPr="005D250A">
        <w:t>2</w:t>
      </w:r>
      <w:r w:rsidR="00514C3D" w:rsidRPr="005D250A">
        <w:t>5</w:t>
      </w:r>
      <w:r w:rsidR="007F34A4" w:rsidRPr="005D250A">
        <w:t>.1</w:t>
      </w:r>
      <w:r w:rsidR="007F34A4" w:rsidRPr="005D250A">
        <w:tab/>
      </w:r>
      <w:r w:rsidR="00A72083" w:rsidRPr="005D250A">
        <w:rPr>
          <w:iCs/>
        </w:rPr>
        <w:t>NPILF grants must be used by providers to achieve t</w:t>
      </w:r>
      <w:r w:rsidRPr="005D250A">
        <w:rPr>
          <w:iCs/>
        </w:rPr>
        <w:t>he objective listed in section 8</w:t>
      </w:r>
      <w:r w:rsidR="003C6494" w:rsidRPr="005D250A">
        <w:rPr>
          <w:iCs/>
        </w:rPr>
        <w:t>.5</w:t>
      </w:r>
      <w:r w:rsidR="00A72083" w:rsidRPr="005D250A">
        <w:rPr>
          <w:iCs/>
        </w:rPr>
        <w:t xml:space="preserve">.1. </w:t>
      </w:r>
    </w:p>
    <w:p w14:paraId="4D8DF61C" w14:textId="5DA6098E" w:rsidR="003F6F52" w:rsidRPr="00DA182D" w:rsidRDefault="00013854" w:rsidP="007F34A4">
      <w:pPr>
        <w:pStyle w:val="Item"/>
        <w:spacing w:after="240"/>
        <w:ind w:hanging="709"/>
      </w:pPr>
      <w:r w:rsidRPr="005D250A">
        <w:t>8</w:t>
      </w:r>
      <w:r w:rsidR="00A72083" w:rsidRPr="005D250A">
        <w:t>.</w:t>
      </w:r>
      <w:r w:rsidR="00833108" w:rsidRPr="005D250A">
        <w:t>2</w:t>
      </w:r>
      <w:r w:rsidR="00514C3D" w:rsidRPr="005D250A">
        <w:t>5</w:t>
      </w:r>
      <w:r w:rsidR="00A72083" w:rsidRPr="005D250A">
        <w:t>.</w:t>
      </w:r>
      <w:r w:rsidR="00833108" w:rsidRPr="005D250A">
        <w:t>5</w:t>
      </w:r>
      <w:r w:rsidR="00A72083" w:rsidRPr="005D250A">
        <w:tab/>
      </w:r>
      <w:r w:rsidR="007F34A4" w:rsidRPr="005D250A">
        <w:t>In addition to any conditions imposed by these Guidelines, the recipient of a grant under the NPILF must also comply with any terms of the grant approval imposed by the Minister.</w:t>
      </w:r>
    </w:p>
    <w:sectPr w:rsidR="003F6F52" w:rsidRPr="00DA182D" w:rsidSect="00B20990">
      <w:headerReference w:type="even" r:id="rId22"/>
      <w:headerReference w:type="default" r:id="rId23"/>
      <w:footerReference w:type="even" r:id="rId24"/>
      <w:footerReference w:type="defaul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B7A54" w14:textId="77777777" w:rsidR="00C97E82" w:rsidRDefault="00C97E82" w:rsidP="0048364F">
      <w:pPr>
        <w:spacing w:line="240" w:lineRule="auto"/>
      </w:pPr>
      <w:r>
        <w:separator/>
      </w:r>
    </w:p>
  </w:endnote>
  <w:endnote w:type="continuationSeparator" w:id="0">
    <w:p w14:paraId="448812F1" w14:textId="77777777" w:rsidR="00C97E82" w:rsidRDefault="00C97E8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Italic r:id="rId1" w:subsetted="1" w:fontKey="{8046A7AC-C165-4E32-B990-D16210A49B21}"/>
    <w:embedBoldItalic r:id="rId2" w:subsetted="1" w:fontKey="{94468DB2-5263-4217-AABB-1D681F7518D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8203B9" w14:paraId="5B01EE0C" w14:textId="77777777" w:rsidTr="002C6286">
      <w:tc>
        <w:tcPr>
          <w:tcW w:w="5000" w:type="pct"/>
        </w:tcPr>
        <w:p w14:paraId="6AA870F2" w14:textId="77777777" w:rsidR="008203B9" w:rsidRDefault="008203B9" w:rsidP="002C6286">
          <w:pPr>
            <w:rPr>
              <w:sz w:val="18"/>
            </w:rPr>
          </w:pPr>
        </w:p>
      </w:tc>
    </w:tr>
  </w:tbl>
  <w:p w14:paraId="74161F0B" w14:textId="77777777" w:rsidR="008203B9" w:rsidRPr="005F1388" w:rsidRDefault="008203B9"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8203B9" w14:paraId="0000884E" w14:textId="77777777" w:rsidTr="002C6286">
      <w:tc>
        <w:tcPr>
          <w:tcW w:w="5000" w:type="pct"/>
        </w:tcPr>
        <w:p w14:paraId="35830FC3" w14:textId="77777777" w:rsidR="008203B9" w:rsidRDefault="008203B9" w:rsidP="002C6286">
          <w:pPr>
            <w:rPr>
              <w:sz w:val="18"/>
            </w:rPr>
          </w:pPr>
        </w:p>
      </w:tc>
    </w:tr>
  </w:tbl>
  <w:p w14:paraId="2F79D15C" w14:textId="77777777" w:rsidR="008203B9" w:rsidRPr="006D3667" w:rsidRDefault="008203B9" w:rsidP="002C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1A091" w14:textId="77777777" w:rsidR="008203B9" w:rsidRDefault="008203B9" w:rsidP="002C6286">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8203B9" w14:paraId="42479729" w14:textId="77777777" w:rsidTr="002C6286">
      <w:tc>
        <w:tcPr>
          <w:tcW w:w="5000" w:type="pct"/>
        </w:tcPr>
        <w:p w14:paraId="54D9CAD8" w14:textId="77777777" w:rsidR="008203B9" w:rsidRDefault="008203B9" w:rsidP="002C6286">
          <w:pPr>
            <w:rPr>
              <w:sz w:val="18"/>
            </w:rPr>
          </w:pPr>
        </w:p>
      </w:tc>
    </w:tr>
  </w:tbl>
  <w:p w14:paraId="4F7EDFCD" w14:textId="77777777" w:rsidR="008203B9" w:rsidRPr="00486382" w:rsidRDefault="008203B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D81D" w14:textId="77777777" w:rsidR="008203B9" w:rsidRPr="00E33C1C" w:rsidRDefault="008203B9" w:rsidP="002C628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8203B9" w14:paraId="73373671" w14:textId="77777777" w:rsidTr="002C6286">
      <w:tc>
        <w:tcPr>
          <w:tcW w:w="365" w:type="pct"/>
          <w:tcBorders>
            <w:top w:val="nil"/>
            <w:left w:val="nil"/>
            <w:bottom w:val="nil"/>
            <w:right w:val="nil"/>
          </w:tcBorders>
        </w:tcPr>
        <w:p w14:paraId="3E7EC499" w14:textId="77777777" w:rsidR="008203B9" w:rsidRDefault="008203B9" w:rsidP="002C62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0490949" w14:textId="77777777" w:rsidR="008203B9" w:rsidRDefault="008203B9" w:rsidP="002C6286">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2CF5F7FB" w14:textId="77777777" w:rsidR="008203B9" w:rsidRDefault="008203B9" w:rsidP="002C6286">
          <w:pPr>
            <w:spacing w:line="0" w:lineRule="atLeast"/>
            <w:jc w:val="right"/>
            <w:rPr>
              <w:sz w:val="18"/>
            </w:rPr>
          </w:pPr>
        </w:p>
      </w:tc>
    </w:tr>
    <w:tr w:rsidR="008203B9" w14:paraId="66CDA935" w14:textId="77777777" w:rsidTr="002C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8307A39" w14:textId="77777777" w:rsidR="008203B9" w:rsidRDefault="008203B9" w:rsidP="002C6286">
          <w:pPr>
            <w:jc w:val="right"/>
            <w:rPr>
              <w:sz w:val="18"/>
            </w:rPr>
          </w:pPr>
        </w:p>
      </w:tc>
    </w:tr>
  </w:tbl>
  <w:p w14:paraId="7AE1418C" w14:textId="77777777" w:rsidR="008203B9" w:rsidRPr="00ED79B6" w:rsidRDefault="008203B9" w:rsidP="002C628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6851" w14:textId="77777777" w:rsidR="008203B9" w:rsidRPr="00E33C1C" w:rsidRDefault="008203B9" w:rsidP="002C628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8203B9" w14:paraId="4BE2D5D1" w14:textId="77777777" w:rsidTr="002C6286">
      <w:tc>
        <w:tcPr>
          <w:tcW w:w="947" w:type="pct"/>
          <w:tcBorders>
            <w:top w:val="nil"/>
            <w:left w:val="nil"/>
            <w:bottom w:val="nil"/>
            <w:right w:val="nil"/>
          </w:tcBorders>
        </w:tcPr>
        <w:p w14:paraId="6E65CB2E" w14:textId="77777777" w:rsidR="008203B9" w:rsidRDefault="008203B9" w:rsidP="002C6286">
          <w:pPr>
            <w:spacing w:line="0" w:lineRule="atLeast"/>
            <w:rPr>
              <w:sz w:val="18"/>
            </w:rPr>
          </w:pPr>
        </w:p>
      </w:tc>
      <w:tc>
        <w:tcPr>
          <w:tcW w:w="3688" w:type="pct"/>
          <w:tcBorders>
            <w:top w:val="nil"/>
            <w:left w:val="nil"/>
            <w:bottom w:val="nil"/>
            <w:right w:val="nil"/>
          </w:tcBorders>
        </w:tcPr>
        <w:p w14:paraId="5230A928" w14:textId="1D39274D" w:rsidR="008203B9" w:rsidRPr="00B20990" w:rsidRDefault="008203B9" w:rsidP="002C628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11FDF">
            <w:rPr>
              <w:i/>
              <w:noProof/>
              <w:sz w:val="18"/>
            </w:rPr>
            <w:t>Other Grants Guidelines (Education) Amendment (No. 3) 2020</w:t>
          </w:r>
          <w:r w:rsidRPr="00B20990">
            <w:rPr>
              <w:i/>
              <w:sz w:val="18"/>
            </w:rPr>
            <w:fldChar w:fldCharType="end"/>
          </w:r>
        </w:p>
      </w:tc>
      <w:tc>
        <w:tcPr>
          <w:tcW w:w="365" w:type="pct"/>
          <w:tcBorders>
            <w:top w:val="nil"/>
            <w:left w:val="nil"/>
            <w:bottom w:val="nil"/>
            <w:right w:val="nil"/>
          </w:tcBorders>
        </w:tcPr>
        <w:p w14:paraId="2FD650B4" w14:textId="6D2E2D4F" w:rsidR="008203B9" w:rsidRDefault="008203B9" w:rsidP="002C62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8203B9" w14:paraId="01847AC6" w14:textId="77777777" w:rsidTr="002C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8319741" w14:textId="77777777" w:rsidR="008203B9" w:rsidRDefault="008203B9" w:rsidP="002C6286">
          <w:pPr>
            <w:rPr>
              <w:sz w:val="18"/>
            </w:rPr>
          </w:pPr>
        </w:p>
      </w:tc>
    </w:tr>
  </w:tbl>
  <w:p w14:paraId="5266AF75" w14:textId="77777777" w:rsidR="008203B9" w:rsidRPr="00ED79B6" w:rsidRDefault="008203B9" w:rsidP="002C628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5824" w14:textId="77777777" w:rsidR="008203B9" w:rsidRPr="00E33C1C" w:rsidRDefault="008203B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203B9" w14:paraId="7E626BE2" w14:textId="77777777" w:rsidTr="007A6863">
      <w:tc>
        <w:tcPr>
          <w:tcW w:w="709" w:type="dxa"/>
          <w:tcBorders>
            <w:top w:val="nil"/>
            <w:left w:val="nil"/>
            <w:bottom w:val="nil"/>
            <w:right w:val="nil"/>
          </w:tcBorders>
        </w:tcPr>
        <w:p w14:paraId="2DBE3EF0" w14:textId="4D6658E0" w:rsidR="008203B9" w:rsidRDefault="008203B9"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c>
        <w:tcPr>
          <w:tcW w:w="6379" w:type="dxa"/>
          <w:tcBorders>
            <w:top w:val="nil"/>
            <w:left w:val="nil"/>
            <w:bottom w:val="nil"/>
            <w:right w:val="nil"/>
          </w:tcBorders>
        </w:tcPr>
        <w:p w14:paraId="76813934" w14:textId="7C35F80C" w:rsidR="008203B9" w:rsidRDefault="008203B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11FDF">
            <w:rPr>
              <w:i/>
              <w:noProof/>
              <w:sz w:val="18"/>
            </w:rPr>
            <w:t>Other Grants Guidelines (Education) Amendment (No. 3) 2020</w:t>
          </w:r>
          <w:r w:rsidRPr="00B20990">
            <w:rPr>
              <w:i/>
              <w:sz w:val="18"/>
            </w:rPr>
            <w:fldChar w:fldCharType="end"/>
          </w:r>
        </w:p>
      </w:tc>
      <w:tc>
        <w:tcPr>
          <w:tcW w:w="1383" w:type="dxa"/>
          <w:tcBorders>
            <w:top w:val="nil"/>
            <w:left w:val="nil"/>
            <w:bottom w:val="nil"/>
            <w:right w:val="nil"/>
          </w:tcBorders>
        </w:tcPr>
        <w:p w14:paraId="567C6CAF" w14:textId="77777777" w:rsidR="008203B9" w:rsidRDefault="008203B9" w:rsidP="00EE57E8">
          <w:pPr>
            <w:spacing w:line="0" w:lineRule="atLeast"/>
            <w:jc w:val="right"/>
            <w:rPr>
              <w:sz w:val="18"/>
            </w:rPr>
          </w:pPr>
        </w:p>
      </w:tc>
    </w:tr>
    <w:tr w:rsidR="008203B9" w14:paraId="284157B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0D1B60A" w14:textId="77777777" w:rsidR="008203B9" w:rsidRDefault="008203B9" w:rsidP="00EE57E8">
          <w:pPr>
            <w:jc w:val="right"/>
            <w:rPr>
              <w:sz w:val="18"/>
            </w:rPr>
          </w:pPr>
        </w:p>
      </w:tc>
    </w:tr>
  </w:tbl>
  <w:p w14:paraId="6DCE6576" w14:textId="77777777" w:rsidR="008203B9" w:rsidRPr="00ED79B6" w:rsidRDefault="008203B9"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14310" w14:textId="77777777" w:rsidR="008203B9" w:rsidRPr="00E33C1C" w:rsidRDefault="008203B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203B9" w14:paraId="2D57C14E" w14:textId="77777777" w:rsidTr="00EE57E8">
      <w:tc>
        <w:tcPr>
          <w:tcW w:w="1384" w:type="dxa"/>
          <w:tcBorders>
            <w:top w:val="nil"/>
            <w:left w:val="nil"/>
            <w:bottom w:val="nil"/>
            <w:right w:val="nil"/>
          </w:tcBorders>
        </w:tcPr>
        <w:p w14:paraId="5E16B2E6" w14:textId="77777777" w:rsidR="008203B9" w:rsidRDefault="008203B9" w:rsidP="00EE57E8">
          <w:pPr>
            <w:spacing w:line="0" w:lineRule="atLeast"/>
            <w:rPr>
              <w:sz w:val="18"/>
            </w:rPr>
          </w:pPr>
        </w:p>
      </w:tc>
      <w:tc>
        <w:tcPr>
          <w:tcW w:w="6379" w:type="dxa"/>
          <w:tcBorders>
            <w:top w:val="nil"/>
            <w:left w:val="nil"/>
            <w:bottom w:val="nil"/>
            <w:right w:val="nil"/>
          </w:tcBorders>
        </w:tcPr>
        <w:p w14:paraId="27DA0596" w14:textId="74C09069" w:rsidR="008203B9" w:rsidRDefault="008203B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11FDF">
            <w:rPr>
              <w:i/>
              <w:noProof/>
              <w:sz w:val="18"/>
            </w:rPr>
            <w:t>Other Grants Guidelines (Education) Amendment (No. 3) 2020</w:t>
          </w:r>
          <w:r w:rsidRPr="00B20990">
            <w:rPr>
              <w:i/>
              <w:sz w:val="18"/>
            </w:rPr>
            <w:fldChar w:fldCharType="end"/>
          </w:r>
        </w:p>
      </w:tc>
      <w:tc>
        <w:tcPr>
          <w:tcW w:w="709" w:type="dxa"/>
          <w:tcBorders>
            <w:top w:val="nil"/>
            <w:left w:val="nil"/>
            <w:bottom w:val="nil"/>
            <w:right w:val="nil"/>
          </w:tcBorders>
        </w:tcPr>
        <w:p w14:paraId="721511C6" w14:textId="4204107B" w:rsidR="008203B9" w:rsidRDefault="008203B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w:t>
          </w:r>
          <w:r w:rsidRPr="00ED79B6">
            <w:rPr>
              <w:i/>
              <w:sz w:val="18"/>
            </w:rPr>
            <w:fldChar w:fldCharType="end"/>
          </w:r>
        </w:p>
      </w:tc>
    </w:tr>
    <w:tr w:rsidR="008203B9" w14:paraId="7A05793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A9FA83A" w14:textId="77777777" w:rsidR="008203B9" w:rsidRDefault="008203B9" w:rsidP="00EE57E8">
          <w:pPr>
            <w:rPr>
              <w:sz w:val="18"/>
            </w:rPr>
          </w:pPr>
        </w:p>
      </w:tc>
    </w:tr>
  </w:tbl>
  <w:p w14:paraId="3F07D2AD" w14:textId="77777777" w:rsidR="008203B9" w:rsidRPr="00ED79B6" w:rsidRDefault="008203B9"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8C79" w14:textId="77777777" w:rsidR="008203B9" w:rsidRPr="00E33C1C" w:rsidRDefault="008203B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203B9" w14:paraId="10A0B3E1" w14:textId="77777777" w:rsidTr="007A6863">
      <w:tc>
        <w:tcPr>
          <w:tcW w:w="1384" w:type="dxa"/>
          <w:tcBorders>
            <w:top w:val="nil"/>
            <w:left w:val="nil"/>
            <w:bottom w:val="nil"/>
            <w:right w:val="nil"/>
          </w:tcBorders>
        </w:tcPr>
        <w:p w14:paraId="3362D83F" w14:textId="77777777" w:rsidR="008203B9" w:rsidRDefault="008203B9" w:rsidP="00EE57E8">
          <w:pPr>
            <w:spacing w:line="0" w:lineRule="atLeast"/>
            <w:rPr>
              <w:sz w:val="18"/>
            </w:rPr>
          </w:pPr>
        </w:p>
      </w:tc>
      <w:tc>
        <w:tcPr>
          <w:tcW w:w="6379" w:type="dxa"/>
          <w:tcBorders>
            <w:top w:val="nil"/>
            <w:left w:val="nil"/>
            <w:bottom w:val="nil"/>
            <w:right w:val="nil"/>
          </w:tcBorders>
        </w:tcPr>
        <w:p w14:paraId="720EBE01" w14:textId="77777777" w:rsidR="008203B9" w:rsidRDefault="008203B9"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A9C1364" w14:textId="77777777" w:rsidR="008203B9" w:rsidRDefault="008203B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8203B9" w14:paraId="1FAB883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0217C55" w14:textId="6FF8A170" w:rsidR="008203B9" w:rsidRDefault="008203B9"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Document4</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C234F">
            <w:rPr>
              <w:i/>
              <w:noProof/>
              <w:sz w:val="18"/>
            </w:rPr>
            <w:t>14/12/2020 11:23 AM</w:t>
          </w:r>
          <w:r w:rsidRPr="00ED79B6">
            <w:rPr>
              <w:i/>
              <w:sz w:val="18"/>
            </w:rPr>
            <w:fldChar w:fldCharType="end"/>
          </w:r>
        </w:p>
      </w:tc>
    </w:tr>
  </w:tbl>
  <w:p w14:paraId="1294AC4D" w14:textId="77777777" w:rsidR="008203B9" w:rsidRPr="00ED79B6" w:rsidRDefault="008203B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02D41" w14:textId="77777777" w:rsidR="00C97E82" w:rsidRDefault="00C97E82" w:rsidP="0048364F">
      <w:pPr>
        <w:spacing w:line="240" w:lineRule="auto"/>
      </w:pPr>
      <w:r>
        <w:separator/>
      </w:r>
    </w:p>
  </w:footnote>
  <w:footnote w:type="continuationSeparator" w:id="0">
    <w:p w14:paraId="2BA91919" w14:textId="77777777" w:rsidR="00C97E82" w:rsidRDefault="00C97E8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89CE" w14:textId="77777777" w:rsidR="008203B9" w:rsidRPr="005F1388" w:rsidRDefault="008203B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3529" w14:textId="77777777" w:rsidR="008203B9" w:rsidRPr="005F1388" w:rsidRDefault="008203B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CCE3" w14:textId="361CD69B" w:rsidR="008203B9" w:rsidRPr="005F1388" w:rsidRDefault="008203B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CEA0" w14:textId="77777777" w:rsidR="008203B9" w:rsidRPr="00ED79B6" w:rsidRDefault="008203B9" w:rsidP="002C628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DA12" w14:textId="77777777" w:rsidR="008203B9" w:rsidRPr="00ED79B6" w:rsidRDefault="008203B9" w:rsidP="002C6286">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E9D7" w14:textId="77777777" w:rsidR="008203B9" w:rsidRPr="00ED79B6" w:rsidRDefault="008203B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6649" w14:textId="77777777" w:rsidR="008203B9" w:rsidRPr="00A961C4" w:rsidRDefault="008203B9" w:rsidP="0048364F">
    <w:pPr>
      <w:rPr>
        <w:b/>
        <w:sz w:val="20"/>
      </w:rPr>
    </w:pPr>
  </w:p>
  <w:p w14:paraId="2B9FB5E5" w14:textId="73048CDE" w:rsidR="008203B9" w:rsidRPr="00A961C4" w:rsidRDefault="008203B9" w:rsidP="0048364F">
    <w:pPr>
      <w:rPr>
        <w:b/>
        <w:sz w:val="20"/>
      </w:rPr>
    </w:pPr>
    <w:r>
      <w:rPr>
        <w:b/>
        <w:sz w:val="20"/>
      </w:rPr>
      <w:tab/>
    </w:r>
    <w:r>
      <w:rPr>
        <w:b/>
        <w:sz w:val="20"/>
      </w:rPr>
      <w:tab/>
    </w:r>
    <w:r>
      <w:rPr>
        <w:b/>
        <w:sz w:val="20"/>
      </w:rPr>
      <w:tab/>
      <w:t xml:space="preserve"> </w:t>
    </w:r>
  </w:p>
  <w:p w14:paraId="2911CE96" w14:textId="77777777" w:rsidR="008203B9" w:rsidRPr="00A961C4" w:rsidRDefault="008203B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3820" w14:textId="77777777" w:rsidR="008203B9" w:rsidRPr="00A961C4" w:rsidRDefault="008203B9" w:rsidP="0048364F">
    <w:pPr>
      <w:jc w:val="right"/>
      <w:rPr>
        <w:sz w:val="20"/>
      </w:rPr>
    </w:pPr>
  </w:p>
  <w:p w14:paraId="76029936" w14:textId="77777777" w:rsidR="008203B9" w:rsidRPr="00A961C4" w:rsidRDefault="008203B9"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0062"/>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EE5AE2"/>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22C46EF7"/>
    <w:multiLevelType w:val="hybridMultilevel"/>
    <w:tmpl w:val="4788BD96"/>
    <w:lvl w:ilvl="0" w:tplc="A1F4BEEE">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31FD681A"/>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369C4ED3"/>
    <w:multiLevelType w:val="hybridMultilevel"/>
    <w:tmpl w:val="B68CC378"/>
    <w:lvl w:ilvl="0" w:tplc="4F1073E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36F92BC3"/>
    <w:multiLevelType w:val="hybridMultilevel"/>
    <w:tmpl w:val="40AA24D4"/>
    <w:lvl w:ilvl="0" w:tplc="D300200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8" w15:restartNumberingAfterBreak="0">
    <w:nsid w:val="4493000A"/>
    <w:multiLevelType w:val="hybridMultilevel"/>
    <w:tmpl w:val="C19E4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6847575"/>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4FE6668E"/>
    <w:multiLevelType w:val="multilevel"/>
    <w:tmpl w:val="5FC22B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781894"/>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4BA2C73"/>
    <w:multiLevelType w:val="multilevel"/>
    <w:tmpl w:val="9C9206AC"/>
    <w:lvl w:ilvl="0">
      <w:start w:val="1"/>
      <w:numFmt w:val="decimal"/>
      <w:lvlText w:val="%1."/>
      <w:lvlJc w:val="left"/>
      <w:pPr>
        <w:tabs>
          <w:tab w:val="num" w:pos="851"/>
        </w:tabs>
        <w:ind w:left="851" w:hanging="851"/>
      </w:pPr>
      <w:rPr>
        <w:rFonts w:cs="Times New Roman" w:hint="default"/>
        <w:b/>
      </w:rPr>
    </w:lvl>
    <w:lvl w:ilvl="1">
      <w:start w:val="1"/>
      <w:numFmt w:val="decimal"/>
      <w:lvlText w:val="%1.%2."/>
      <w:lvlJc w:val="left"/>
      <w:pPr>
        <w:tabs>
          <w:tab w:val="num" w:pos="907"/>
        </w:tabs>
        <w:ind w:left="907" w:hanging="510"/>
      </w:pPr>
      <w:rPr>
        <w:rFonts w:cs="Times New Roman" w:hint="default"/>
        <w:b w:val="0"/>
        <w:color w:val="auto"/>
      </w:rPr>
    </w:lvl>
    <w:lvl w:ilvl="2">
      <w:start w:val="1"/>
      <w:numFmt w:val="lowerLetter"/>
      <w:lvlText w:val="(%3)"/>
      <w:lvlJc w:val="left"/>
      <w:pPr>
        <w:tabs>
          <w:tab w:val="num" w:pos="907"/>
        </w:tabs>
        <w:ind w:left="907" w:firstLine="0"/>
      </w:pPr>
      <w:rPr>
        <w:rFonts w:cs="Times New Roman" w:hint="default"/>
        <w:b w:val="0"/>
        <w:i w:val="0"/>
        <w:color w:val="000000" w:themeColor="text1"/>
      </w:rPr>
    </w:lvl>
    <w:lvl w:ilvl="3">
      <w:start w:val="1"/>
      <w:numFmt w:val="decimal"/>
      <w:lvlText w:val="%1.%2.%3.%4."/>
      <w:lvlJc w:val="left"/>
      <w:pPr>
        <w:tabs>
          <w:tab w:val="num" w:pos="1960"/>
        </w:tabs>
        <w:ind w:left="1528" w:hanging="648"/>
      </w:pPr>
      <w:rPr>
        <w:rFonts w:cs="Times New Roman" w:hint="default"/>
      </w:rPr>
    </w:lvl>
    <w:lvl w:ilvl="4">
      <w:start w:val="1"/>
      <w:numFmt w:val="decimal"/>
      <w:lvlText w:val="%1.%2.%3.%4.%5."/>
      <w:lvlJc w:val="left"/>
      <w:pPr>
        <w:tabs>
          <w:tab w:val="num" w:pos="2320"/>
        </w:tabs>
        <w:ind w:left="2032" w:hanging="792"/>
      </w:pPr>
      <w:rPr>
        <w:rFonts w:cs="Times New Roman" w:hint="default"/>
      </w:rPr>
    </w:lvl>
    <w:lvl w:ilvl="5">
      <w:start w:val="1"/>
      <w:numFmt w:val="decimal"/>
      <w:lvlText w:val="%1.%2.%3.%4.%5.%6."/>
      <w:lvlJc w:val="left"/>
      <w:pPr>
        <w:tabs>
          <w:tab w:val="num" w:pos="3040"/>
        </w:tabs>
        <w:ind w:left="2536" w:hanging="936"/>
      </w:pPr>
      <w:rPr>
        <w:rFonts w:cs="Times New Roman" w:hint="default"/>
      </w:rPr>
    </w:lvl>
    <w:lvl w:ilvl="6">
      <w:start w:val="1"/>
      <w:numFmt w:val="decimal"/>
      <w:lvlText w:val="%1.%2.%3.%4.%5.%6.%7."/>
      <w:lvlJc w:val="left"/>
      <w:pPr>
        <w:tabs>
          <w:tab w:val="num" w:pos="3400"/>
        </w:tabs>
        <w:ind w:left="3040" w:hanging="1080"/>
      </w:pPr>
      <w:rPr>
        <w:rFonts w:cs="Times New Roman" w:hint="default"/>
      </w:rPr>
    </w:lvl>
    <w:lvl w:ilvl="7">
      <w:start w:val="1"/>
      <w:numFmt w:val="decimal"/>
      <w:lvlText w:val="%1.%2.%3.%4.%5.%6.%7.%8."/>
      <w:lvlJc w:val="left"/>
      <w:pPr>
        <w:tabs>
          <w:tab w:val="num" w:pos="4120"/>
        </w:tabs>
        <w:ind w:left="3544" w:hanging="1224"/>
      </w:pPr>
      <w:rPr>
        <w:rFonts w:cs="Times New Roman" w:hint="default"/>
      </w:rPr>
    </w:lvl>
    <w:lvl w:ilvl="8">
      <w:start w:val="1"/>
      <w:numFmt w:val="decimal"/>
      <w:lvlText w:val="%1.%2.%3.%4.%5.%6.%7.%8.%9."/>
      <w:lvlJc w:val="left"/>
      <w:pPr>
        <w:tabs>
          <w:tab w:val="num" w:pos="4480"/>
        </w:tabs>
        <w:ind w:left="4120" w:hanging="1440"/>
      </w:pPr>
      <w:rPr>
        <w:rFonts w:cs="Times New Roman" w:hint="default"/>
      </w:rPr>
    </w:lvl>
  </w:abstractNum>
  <w:abstractNum w:abstractNumId="13" w15:restartNumberingAfterBreak="0">
    <w:nsid w:val="575B0E18"/>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5A7A4A88"/>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5A9D14CD"/>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5C876156"/>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6A82443A"/>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6B51488B"/>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6C4F6AA5"/>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6FE56F13"/>
    <w:multiLevelType w:val="hybridMultilevel"/>
    <w:tmpl w:val="6E6A70F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774F54C8"/>
    <w:multiLevelType w:val="hybridMultilevel"/>
    <w:tmpl w:val="2710E6F4"/>
    <w:lvl w:ilvl="0" w:tplc="7BCA6116">
      <w:numFmt w:val="bullet"/>
      <w:lvlText w:val="-"/>
      <w:lvlJc w:val="left"/>
      <w:pPr>
        <w:ind w:left="3240" w:hanging="360"/>
      </w:pPr>
      <w:rPr>
        <w:rFonts w:ascii="Times New Roman" w:eastAsia="Times New Roman" w:hAnsi="Times New Roman" w:cs="Times New Roman"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abstractNumId w:val="7"/>
  </w:num>
  <w:num w:numId="2">
    <w:abstractNumId w:val="1"/>
  </w:num>
  <w:num w:numId="3">
    <w:abstractNumId w:val="16"/>
  </w:num>
  <w:num w:numId="4">
    <w:abstractNumId w:val="11"/>
  </w:num>
  <w:num w:numId="5">
    <w:abstractNumId w:val="4"/>
  </w:num>
  <w:num w:numId="6">
    <w:abstractNumId w:val="0"/>
  </w:num>
  <w:num w:numId="7">
    <w:abstractNumId w:val="13"/>
  </w:num>
  <w:num w:numId="8">
    <w:abstractNumId w:val="19"/>
  </w:num>
  <w:num w:numId="9">
    <w:abstractNumId w:val="2"/>
  </w:num>
  <w:num w:numId="10">
    <w:abstractNumId w:val="20"/>
  </w:num>
  <w:num w:numId="11">
    <w:abstractNumId w:val="9"/>
  </w:num>
  <w:num w:numId="12">
    <w:abstractNumId w:val="6"/>
  </w:num>
  <w:num w:numId="13">
    <w:abstractNumId w:val="18"/>
  </w:num>
  <w:num w:numId="14">
    <w:abstractNumId w:val="14"/>
  </w:num>
  <w:num w:numId="15">
    <w:abstractNumId w:val="5"/>
  </w:num>
  <w:num w:numId="16">
    <w:abstractNumId w:val="17"/>
  </w:num>
  <w:num w:numId="17">
    <w:abstractNumId w:val="15"/>
  </w:num>
  <w:num w:numId="18">
    <w:abstractNumId w:val="1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29"/>
    <w:rsid w:val="00000263"/>
    <w:rsid w:val="00002BCC"/>
    <w:rsid w:val="00004110"/>
    <w:rsid w:val="00004912"/>
    <w:rsid w:val="00004B18"/>
    <w:rsid w:val="00005B81"/>
    <w:rsid w:val="00006DD5"/>
    <w:rsid w:val="000113BC"/>
    <w:rsid w:val="0001199C"/>
    <w:rsid w:val="00011CA4"/>
    <w:rsid w:val="00012D9E"/>
    <w:rsid w:val="000136AF"/>
    <w:rsid w:val="00013854"/>
    <w:rsid w:val="0001650D"/>
    <w:rsid w:val="00016E26"/>
    <w:rsid w:val="000245D2"/>
    <w:rsid w:val="00024900"/>
    <w:rsid w:val="00026830"/>
    <w:rsid w:val="000273B7"/>
    <w:rsid w:val="000302E4"/>
    <w:rsid w:val="00030B6F"/>
    <w:rsid w:val="00031351"/>
    <w:rsid w:val="00034464"/>
    <w:rsid w:val="000346C2"/>
    <w:rsid w:val="00035C81"/>
    <w:rsid w:val="00036C65"/>
    <w:rsid w:val="0004044E"/>
    <w:rsid w:val="0004168C"/>
    <w:rsid w:val="00041742"/>
    <w:rsid w:val="00041C1E"/>
    <w:rsid w:val="0004793B"/>
    <w:rsid w:val="0005120E"/>
    <w:rsid w:val="00054577"/>
    <w:rsid w:val="00060EE8"/>
    <w:rsid w:val="000614BF"/>
    <w:rsid w:val="000628AB"/>
    <w:rsid w:val="0006524B"/>
    <w:rsid w:val="00066869"/>
    <w:rsid w:val="0007169C"/>
    <w:rsid w:val="0007229B"/>
    <w:rsid w:val="00072371"/>
    <w:rsid w:val="000726C1"/>
    <w:rsid w:val="00076757"/>
    <w:rsid w:val="000769EF"/>
    <w:rsid w:val="00077593"/>
    <w:rsid w:val="00081B53"/>
    <w:rsid w:val="00083CAC"/>
    <w:rsid w:val="00083F48"/>
    <w:rsid w:val="00084954"/>
    <w:rsid w:val="00090916"/>
    <w:rsid w:val="0009560D"/>
    <w:rsid w:val="000A479A"/>
    <w:rsid w:val="000A5564"/>
    <w:rsid w:val="000A63D6"/>
    <w:rsid w:val="000A6710"/>
    <w:rsid w:val="000A7DF9"/>
    <w:rsid w:val="000B2874"/>
    <w:rsid w:val="000B2DA3"/>
    <w:rsid w:val="000B3C93"/>
    <w:rsid w:val="000B5C85"/>
    <w:rsid w:val="000B78EF"/>
    <w:rsid w:val="000C206C"/>
    <w:rsid w:val="000C2106"/>
    <w:rsid w:val="000C7AF6"/>
    <w:rsid w:val="000D05EF"/>
    <w:rsid w:val="000D0966"/>
    <w:rsid w:val="000D1A6E"/>
    <w:rsid w:val="000D3A6E"/>
    <w:rsid w:val="000D3FB9"/>
    <w:rsid w:val="000D5485"/>
    <w:rsid w:val="000D75FC"/>
    <w:rsid w:val="000E0BAA"/>
    <w:rsid w:val="000E223A"/>
    <w:rsid w:val="000E4191"/>
    <w:rsid w:val="000E598E"/>
    <w:rsid w:val="000E5A3D"/>
    <w:rsid w:val="000F0ADA"/>
    <w:rsid w:val="000F150B"/>
    <w:rsid w:val="000F1ED4"/>
    <w:rsid w:val="000F21C1"/>
    <w:rsid w:val="000F4680"/>
    <w:rsid w:val="000F68A6"/>
    <w:rsid w:val="000F741E"/>
    <w:rsid w:val="000F7735"/>
    <w:rsid w:val="001012D5"/>
    <w:rsid w:val="0010745C"/>
    <w:rsid w:val="00110657"/>
    <w:rsid w:val="001122A7"/>
    <w:rsid w:val="001122FF"/>
    <w:rsid w:val="00112709"/>
    <w:rsid w:val="0011416B"/>
    <w:rsid w:val="00115338"/>
    <w:rsid w:val="00117AB8"/>
    <w:rsid w:val="00121BBE"/>
    <w:rsid w:val="0012253B"/>
    <w:rsid w:val="001244CE"/>
    <w:rsid w:val="00127760"/>
    <w:rsid w:val="001307B4"/>
    <w:rsid w:val="00131A1A"/>
    <w:rsid w:val="0013557C"/>
    <w:rsid w:val="0013737C"/>
    <w:rsid w:val="0014027A"/>
    <w:rsid w:val="00143EA6"/>
    <w:rsid w:val="00144DA0"/>
    <w:rsid w:val="00145E97"/>
    <w:rsid w:val="00146499"/>
    <w:rsid w:val="00151E8F"/>
    <w:rsid w:val="001537EC"/>
    <w:rsid w:val="00155F71"/>
    <w:rsid w:val="001564E7"/>
    <w:rsid w:val="00160BD7"/>
    <w:rsid w:val="00161450"/>
    <w:rsid w:val="00161C9D"/>
    <w:rsid w:val="00162A87"/>
    <w:rsid w:val="00163751"/>
    <w:rsid w:val="001643C9"/>
    <w:rsid w:val="00164A98"/>
    <w:rsid w:val="001652B8"/>
    <w:rsid w:val="00165568"/>
    <w:rsid w:val="00166082"/>
    <w:rsid w:val="00166B67"/>
    <w:rsid w:val="00166C2F"/>
    <w:rsid w:val="0017061A"/>
    <w:rsid w:val="00171045"/>
    <w:rsid w:val="001716C9"/>
    <w:rsid w:val="00174E46"/>
    <w:rsid w:val="00182830"/>
    <w:rsid w:val="00184261"/>
    <w:rsid w:val="00185917"/>
    <w:rsid w:val="00191234"/>
    <w:rsid w:val="00193461"/>
    <w:rsid w:val="00193888"/>
    <w:rsid w:val="001939E1"/>
    <w:rsid w:val="0019452E"/>
    <w:rsid w:val="001948C5"/>
    <w:rsid w:val="00195382"/>
    <w:rsid w:val="001A3B9F"/>
    <w:rsid w:val="001A5520"/>
    <w:rsid w:val="001A65C0"/>
    <w:rsid w:val="001A6E8F"/>
    <w:rsid w:val="001A7069"/>
    <w:rsid w:val="001A7333"/>
    <w:rsid w:val="001A77ED"/>
    <w:rsid w:val="001B18A8"/>
    <w:rsid w:val="001B3CE6"/>
    <w:rsid w:val="001B407C"/>
    <w:rsid w:val="001B460C"/>
    <w:rsid w:val="001B575D"/>
    <w:rsid w:val="001B59E7"/>
    <w:rsid w:val="001B78B2"/>
    <w:rsid w:val="001B7A5D"/>
    <w:rsid w:val="001C0199"/>
    <w:rsid w:val="001C0E32"/>
    <w:rsid w:val="001C5685"/>
    <w:rsid w:val="001C622C"/>
    <w:rsid w:val="001C69C4"/>
    <w:rsid w:val="001D152D"/>
    <w:rsid w:val="001D1D11"/>
    <w:rsid w:val="001D341A"/>
    <w:rsid w:val="001D4051"/>
    <w:rsid w:val="001D4273"/>
    <w:rsid w:val="001D7C14"/>
    <w:rsid w:val="001E0A8D"/>
    <w:rsid w:val="001E3590"/>
    <w:rsid w:val="001E7407"/>
    <w:rsid w:val="001F1A46"/>
    <w:rsid w:val="001F243C"/>
    <w:rsid w:val="001F4D27"/>
    <w:rsid w:val="00201D27"/>
    <w:rsid w:val="00202100"/>
    <w:rsid w:val="00203EFD"/>
    <w:rsid w:val="00204BDA"/>
    <w:rsid w:val="00204CAD"/>
    <w:rsid w:val="00205B40"/>
    <w:rsid w:val="0021153A"/>
    <w:rsid w:val="00211E1B"/>
    <w:rsid w:val="002163CF"/>
    <w:rsid w:val="00222CD7"/>
    <w:rsid w:val="00223DBE"/>
    <w:rsid w:val="002245A6"/>
    <w:rsid w:val="00224F44"/>
    <w:rsid w:val="002302EA"/>
    <w:rsid w:val="00232D5E"/>
    <w:rsid w:val="00233D0F"/>
    <w:rsid w:val="00237614"/>
    <w:rsid w:val="00240749"/>
    <w:rsid w:val="00241020"/>
    <w:rsid w:val="00241BA6"/>
    <w:rsid w:val="002438DD"/>
    <w:rsid w:val="002468D7"/>
    <w:rsid w:val="00247E97"/>
    <w:rsid w:val="0025004F"/>
    <w:rsid w:val="0025107C"/>
    <w:rsid w:val="00256C81"/>
    <w:rsid w:val="00257EB5"/>
    <w:rsid w:val="00267B1E"/>
    <w:rsid w:val="00267DDA"/>
    <w:rsid w:val="002759BC"/>
    <w:rsid w:val="00280435"/>
    <w:rsid w:val="00284178"/>
    <w:rsid w:val="00285CDD"/>
    <w:rsid w:val="00291167"/>
    <w:rsid w:val="00292015"/>
    <w:rsid w:val="00292CFA"/>
    <w:rsid w:val="00293355"/>
    <w:rsid w:val="002936DE"/>
    <w:rsid w:val="0029489E"/>
    <w:rsid w:val="0029679A"/>
    <w:rsid w:val="00297ECB"/>
    <w:rsid w:val="00297F72"/>
    <w:rsid w:val="002A3071"/>
    <w:rsid w:val="002A59EE"/>
    <w:rsid w:val="002A6A1B"/>
    <w:rsid w:val="002B1548"/>
    <w:rsid w:val="002B4FE3"/>
    <w:rsid w:val="002B6B8B"/>
    <w:rsid w:val="002C08CE"/>
    <w:rsid w:val="002C0F2A"/>
    <w:rsid w:val="002C152A"/>
    <w:rsid w:val="002C5150"/>
    <w:rsid w:val="002C6286"/>
    <w:rsid w:val="002D043A"/>
    <w:rsid w:val="002D10B5"/>
    <w:rsid w:val="002D287B"/>
    <w:rsid w:val="002D3047"/>
    <w:rsid w:val="002D437B"/>
    <w:rsid w:val="002D7F05"/>
    <w:rsid w:val="002E299F"/>
    <w:rsid w:val="002E2FFA"/>
    <w:rsid w:val="002E3B40"/>
    <w:rsid w:val="002E6FA8"/>
    <w:rsid w:val="002F0C3A"/>
    <w:rsid w:val="002F15DD"/>
    <w:rsid w:val="002F1D5A"/>
    <w:rsid w:val="002F3100"/>
    <w:rsid w:val="002F67DC"/>
    <w:rsid w:val="00305CF2"/>
    <w:rsid w:val="0030715A"/>
    <w:rsid w:val="00310C2C"/>
    <w:rsid w:val="00311AAA"/>
    <w:rsid w:val="00314E30"/>
    <w:rsid w:val="0031713F"/>
    <w:rsid w:val="0031717D"/>
    <w:rsid w:val="00317DB5"/>
    <w:rsid w:val="003222D1"/>
    <w:rsid w:val="0032750F"/>
    <w:rsid w:val="00327553"/>
    <w:rsid w:val="00336623"/>
    <w:rsid w:val="00337266"/>
    <w:rsid w:val="00337666"/>
    <w:rsid w:val="003415D3"/>
    <w:rsid w:val="003442F6"/>
    <w:rsid w:val="0034524E"/>
    <w:rsid w:val="00346335"/>
    <w:rsid w:val="00352101"/>
    <w:rsid w:val="00352B0F"/>
    <w:rsid w:val="003561B0"/>
    <w:rsid w:val="0035682E"/>
    <w:rsid w:val="003608D3"/>
    <w:rsid w:val="003658CB"/>
    <w:rsid w:val="00370A9D"/>
    <w:rsid w:val="00375589"/>
    <w:rsid w:val="0038137D"/>
    <w:rsid w:val="0038157A"/>
    <w:rsid w:val="00383702"/>
    <w:rsid w:val="0038493C"/>
    <w:rsid w:val="00385019"/>
    <w:rsid w:val="00385DF1"/>
    <w:rsid w:val="00390BD3"/>
    <w:rsid w:val="00392737"/>
    <w:rsid w:val="00393085"/>
    <w:rsid w:val="00394A3C"/>
    <w:rsid w:val="00396EDB"/>
    <w:rsid w:val="00397893"/>
    <w:rsid w:val="003A15AC"/>
    <w:rsid w:val="003A61DB"/>
    <w:rsid w:val="003B024F"/>
    <w:rsid w:val="003B0627"/>
    <w:rsid w:val="003B09BF"/>
    <w:rsid w:val="003B4B88"/>
    <w:rsid w:val="003B50C0"/>
    <w:rsid w:val="003B59B2"/>
    <w:rsid w:val="003C2C8B"/>
    <w:rsid w:val="003C31E3"/>
    <w:rsid w:val="003C4329"/>
    <w:rsid w:val="003C5244"/>
    <w:rsid w:val="003C5F2B"/>
    <w:rsid w:val="003C6494"/>
    <w:rsid w:val="003C6E5A"/>
    <w:rsid w:val="003C73E4"/>
    <w:rsid w:val="003C7CFE"/>
    <w:rsid w:val="003C7D35"/>
    <w:rsid w:val="003D0BFE"/>
    <w:rsid w:val="003D1D37"/>
    <w:rsid w:val="003D220C"/>
    <w:rsid w:val="003D28BA"/>
    <w:rsid w:val="003D5700"/>
    <w:rsid w:val="003E0608"/>
    <w:rsid w:val="003E1372"/>
    <w:rsid w:val="003E1498"/>
    <w:rsid w:val="003E40D9"/>
    <w:rsid w:val="003F0698"/>
    <w:rsid w:val="003F194F"/>
    <w:rsid w:val="003F1B26"/>
    <w:rsid w:val="003F1ED6"/>
    <w:rsid w:val="003F281C"/>
    <w:rsid w:val="003F3294"/>
    <w:rsid w:val="003F4CED"/>
    <w:rsid w:val="003F5229"/>
    <w:rsid w:val="003F58E6"/>
    <w:rsid w:val="003F6695"/>
    <w:rsid w:val="003F6F52"/>
    <w:rsid w:val="00401B1D"/>
    <w:rsid w:val="00401F04"/>
    <w:rsid w:val="004022CA"/>
    <w:rsid w:val="00407BBF"/>
    <w:rsid w:val="004116CD"/>
    <w:rsid w:val="00413871"/>
    <w:rsid w:val="00413879"/>
    <w:rsid w:val="00414ADE"/>
    <w:rsid w:val="00417FD1"/>
    <w:rsid w:val="004204EA"/>
    <w:rsid w:val="00420523"/>
    <w:rsid w:val="004245B5"/>
    <w:rsid w:val="00424CA9"/>
    <w:rsid w:val="004257BB"/>
    <w:rsid w:val="004315F1"/>
    <w:rsid w:val="00433843"/>
    <w:rsid w:val="00435BD0"/>
    <w:rsid w:val="0044291A"/>
    <w:rsid w:val="00447A4C"/>
    <w:rsid w:val="00451A03"/>
    <w:rsid w:val="00452933"/>
    <w:rsid w:val="00455E2E"/>
    <w:rsid w:val="004600B0"/>
    <w:rsid w:val="00460499"/>
    <w:rsid w:val="00460FBA"/>
    <w:rsid w:val="0046128A"/>
    <w:rsid w:val="00466F00"/>
    <w:rsid w:val="004675B8"/>
    <w:rsid w:val="00471BFC"/>
    <w:rsid w:val="00473524"/>
    <w:rsid w:val="00474835"/>
    <w:rsid w:val="004763E8"/>
    <w:rsid w:val="00476A26"/>
    <w:rsid w:val="00477ED3"/>
    <w:rsid w:val="004819C7"/>
    <w:rsid w:val="00481CC2"/>
    <w:rsid w:val="00482D88"/>
    <w:rsid w:val="0048364F"/>
    <w:rsid w:val="00483E2B"/>
    <w:rsid w:val="00485608"/>
    <w:rsid w:val="00485AC7"/>
    <w:rsid w:val="00486CFA"/>
    <w:rsid w:val="004877FC"/>
    <w:rsid w:val="00490F2E"/>
    <w:rsid w:val="00496C08"/>
    <w:rsid w:val="00496F97"/>
    <w:rsid w:val="00497355"/>
    <w:rsid w:val="004A3012"/>
    <w:rsid w:val="004A53EA"/>
    <w:rsid w:val="004A5C6E"/>
    <w:rsid w:val="004A6FFF"/>
    <w:rsid w:val="004B07CB"/>
    <w:rsid w:val="004B29D9"/>
    <w:rsid w:val="004B35E7"/>
    <w:rsid w:val="004B6DCF"/>
    <w:rsid w:val="004C5CA7"/>
    <w:rsid w:val="004C7D39"/>
    <w:rsid w:val="004D529A"/>
    <w:rsid w:val="004E1898"/>
    <w:rsid w:val="004E7089"/>
    <w:rsid w:val="004E721D"/>
    <w:rsid w:val="004E7757"/>
    <w:rsid w:val="004F1FAC"/>
    <w:rsid w:val="004F27D6"/>
    <w:rsid w:val="004F676E"/>
    <w:rsid w:val="004F71C0"/>
    <w:rsid w:val="005015E9"/>
    <w:rsid w:val="0050274F"/>
    <w:rsid w:val="00502C71"/>
    <w:rsid w:val="00503CF1"/>
    <w:rsid w:val="00507D85"/>
    <w:rsid w:val="005106F5"/>
    <w:rsid w:val="00511423"/>
    <w:rsid w:val="005126F2"/>
    <w:rsid w:val="00514B5A"/>
    <w:rsid w:val="00514C3D"/>
    <w:rsid w:val="00516B8D"/>
    <w:rsid w:val="00517F03"/>
    <w:rsid w:val="005227D5"/>
    <w:rsid w:val="00523F86"/>
    <w:rsid w:val="00524569"/>
    <w:rsid w:val="00524BD0"/>
    <w:rsid w:val="00524F41"/>
    <w:rsid w:val="0052756C"/>
    <w:rsid w:val="00530230"/>
    <w:rsid w:val="005305E8"/>
    <w:rsid w:val="00530CC9"/>
    <w:rsid w:val="00531A69"/>
    <w:rsid w:val="00531B46"/>
    <w:rsid w:val="005333BC"/>
    <w:rsid w:val="005337B7"/>
    <w:rsid w:val="00537FBC"/>
    <w:rsid w:val="00541D73"/>
    <w:rsid w:val="00542F5F"/>
    <w:rsid w:val="00543469"/>
    <w:rsid w:val="00543B11"/>
    <w:rsid w:val="00546ECC"/>
    <w:rsid w:val="00546FA3"/>
    <w:rsid w:val="00551560"/>
    <w:rsid w:val="005523E4"/>
    <w:rsid w:val="0055311F"/>
    <w:rsid w:val="00555F36"/>
    <w:rsid w:val="00556B66"/>
    <w:rsid w:val="00557C7A"/>
    <w:rsid w:val="005613B4"/>
    <w:rsid w:val="00561539"/>
    <w:rsid w:val="00561B26"/>
    <w:rsid w:val="00562A58"/>
    <w:rsid w:val="005633DD"/>
    <w:rsid w:val="00564FF8"/>
    <w:rsid w:val="0056541A"/>
    <w:rsid w:val="00565BB9"/>
    <w:rsid w:val="00570E5D"/>
    <w:rsid w:val="00572356"/>
    <w:rsid w:val="0057333A"/>
    <w:rsid w:val="00575DFC"/>
    <w:rsid w:val="00576AAE"/>
    <w:rsid w:val="00581211"/>
    <w:rsid w:val="00584811"/>
    <w:rsid w:val="00584E14"/>
    <w:rsid w:val="0059185D"/>
    <w:rsid w:val="00593915"/>
    <w:rsid w:val="00593AA6"/>
    <w:rsid w:val="00594161"/>
    <w:rsid w:val="00594749"/>
    <w:rsid w:val="00594956"/>
    <w:rsid w:val="005A14E1"/>
    <w:rsid w:val="005A36B7"/>
    <w:rsid w:val="005B0562"/>
    <w:rsid w:val="005B1555"/>
    <w:rsid w:val="005B2AF3"/>
    <w:rsid w:val="005B2C54"/>
    <w:rsid w:val="005B4067"/>
    <w:rsid w:val="005B56DD"/>
    <w:rsid w:val="005B656E"/>
    <w:rsid w:val="005B6F6F"/>
    <w:rsid w:val="005C0D64"/>
    <w:rsid w:val="005C3F41"/>
    <w:rsid w:val="005C4EF0"/>
    <w:rsid w:val="005C6A54"/>
    <w:rsid w:val="005C765D"/>
    <w:rsid w:val="005D250A"/>
    <w:rsid w:val="005D5EA1"/>
    <w:rsid w:val="005D7996"/>
    <w:rsid w:val="005E098C"/>
    <w:rsid w:val="005E1E27"/>
    <w:rsid w:val="005E1F8D"/>
    <w:rsid w:val="005E317F"/>
    <w:rsid w:val="005E43AD"/>
    <w:rsid w:val="005E4B08"/>
    <w:rsid w:val="005E61D3"/>
    <w:rsid w:val="005F02CD"/>
    <w:rsid w:val="005F1766"/>
    <w:rsid w:val="005F3FE0"/>
    <w:rsid w:val="005F5791"/>
    <w:rsid w:val="005F71FF"/>
    <w:rsid w:val="00600219"/>
    <w:rsid w:val="006022BE"/>
    <w:rsid w:val="006048BC"/>
    <w:rsid w:val="006065DA"/>
    <w:rsid w:val="00606AA4"/>
    <w:rsid w:val="00612229"/>
    <w:rsid w:val="00613490"/>
    <w:rsid w:val="0062733C"/>
    <w:rsid w:val="0063086F"/>
    <w:rsid w:val="006355F9"/>
    <w:rsid w:val="00637CA9"/>
    <w:rsid w:val="00640402"/>
    <w:rsid w:val="00640F78"/>
    <w:rsid w:val="0064265E"/>
    <w:rsid w:val="00644BFF"/>
    <w:rsid w:val="00645F91"/>
    <w:rsid w:val="00651337"/>
    <w:rsid w:val="00651F71"/>
    <w:rsid w:val="00654E85"/>
    <w:rsid w:val="00655D6A"/>
    <w:rsid w:val="00655E70"/>
    <w:rsid w:val="00656DE9"/>
    <w:rsid w:val="0065726A"/>
    <w:rsid w:val="006629C6"/>
    <w:rsid w:val="00662D84"/>
    <w:rsid w:val="00663298"/>
    <w:rsid w:val="006648FF"/>
    <w:rsid w:val="006704B0"/>
    <w:rsid w:val="00670D35"/>
    <w:rsid w:val="00670F2F"/>
    <w:rsid w:val="00672876"/>
    <w:rsid w:val="006740B7"/>
    <w:rsid w:val="006748C2"/>
    <w:rsid w:val="00677CC2"/>
    <w:rsid w:val="0068270B"/>
    <w:rsid w:val="00684162"/>
    <w:rsid w:val="00685F42"/>
    <w:rsid w:val="00686043"/>
    <w:rsid w:val="00690169"/>
    <w:rsid w:val="0069207B"/>
    <w:rsid w:val="00692337"/>
    <w:rsid w:val="006929E5"/>
    <w:rsid w:val="006968BC"/>
    <w:rsid w:val="006969D4"/>
    <w:rsid w:val="00697532"/>
    <w:rsid w:val="00697AB8"/>
    <w:rsid w:val="006A0765"/>
    <w:rsid w:val="006A1299"/>
    <w:rsid w:val="006A304E"/>
    <w:rsid w:val="006A5858"/>
    <w:rsid w:val="006A5C49"/>
    <w:rsid w:val="006B119D"/>
    <w:rsid w:val="006B18E7"/>
    <w:rsid w:val="006B62E7"/>
    <w:rsid w:val="006B7006"/>
    <w:rsid w:val="006C05F0"/>
    <w:rsid w:val="006C294E"/>
    <w:rsid w:val="006C2E2A"/>
    <w:rsid w:val="006C7078"/>
    <w:rsid w:val="006C7F8C"/>
    <w:rsid w:val="006D06FB"/>
    <w:rsid w:val="006D3795"/>
    <w:rsid w:val="006D5413"/>
    <w:rsid w:val="006D7AB9"/>
    <w:rsid w:val="006E2442"/>
    <w:rsid w:val="006E2A4C"/>
    <w:rsid w:val="006E3B5C"/>
    <w:rsid w:val="006E4B31"/>
    <w:rsid w:val="006F0AA8"/>
    <w:rsid w:val="006F1E7B"/>
    <w:rsid w:val="006F3B66"/>
    <w:rsid w:val="006F7F80"/>
    <w:rsid w:val="00700B2C"/>
    <w:rsid w:val="00701955"/>
    <w:rsid w:val="00703D4B"/>
    <w:rsid w:val="007101D6"/>
    <w:rsid w:val="00710320"/>
    <w:rsid w:val="00713084"/>
    <w:rsid w:val="00717463"/>
    <w:rsid w:val="00720FC2"/>
    <w:rsid w:val="00722E89"/>
    <w:rsid w:val="007237A4"/>
    <w:rsid w:val="007238B1"/>
    <w:rsid w:val="00731E00"/>
    <w:rsid w:val="00731E7F"/>
    <w:rsid w:val="007339C7"/>
    <w:rsid w:val="007353C9"/>
    <w:rsid w:val="00736406"/>
    <w:rsid w:val="00736A58"/>
    <w:rsid w:val="00741220"/>
    <w:rsid w:val="007440B7"/>
    <w:rsid w:val="00747993"/>
    <w:rsid w:val="00754377"/>
    <w:rsid w:val="007544BC"/>
    <w:rsid w:val="007634AD"/>
    <w:rsid w:val="00764243"/>
    <w:rsid w:val="007658B9"/>
    <w:rsid w:val="007664E2"/>
    <w:rsid w:val="007715C9"/>
    <w:rsid w:val="00771B0D"/>
    <w:rsid w:val="00774951"/>
    <w:rsid w:val="00774EDD"/>
    <w:rsid w:val="007757EC"/>
    <w:rsid w:val="00776D25"/>
    <w:rsid w:val="00780091"/>
    <w:rsid w:val="007816C9"/>
    <w:rsid w:val="007866E3"/>
    <w:rsid w:val="00790227"/>
    <w:rsid w:val="00790603"/>
    <w:rsid w:val="00791E4D"/>
    <w:rsid w:val="00793B8D"/>
    <w:rsid w:val="00793C06"/>
    <w:rsid w:val="00793D4D"/>
    <w:rsid w:val="0079639F"/>
    <w:rsid w:val="00797B8A"/>
    <w:rsid w:val="007A3643"/>
    <w:rsid w:val="007A4242"/>
    <w:rsid w:val="007A6863"/>
    <w:rsid w:val="007A6EDF"/>
    <w:rsid w:val="007B1518"/>
    <w:rsid w:val="007B2639"/>
    <w:rsid w:val="007B461F"/>
    <w:rsid w:val="007C5F47"/>
    <w:rsid w:val="007C6340"/>
    <w:rsid w:val="007C78B4"/>
    <w:rsid w:val="007D28A8"/>
    <w:rsid w:val="007D50F8"/>
    <w:rsid w:val="007D5619"/>
    <w:rsid w:val="007E1565"/>
    <w:rsid w:val="007E32B6"/>
    <w:rsid w:val="007E4799"/>
    <w:rsid w:val="007E486B"/>
    <w:rsid w:val="007E7D4A"/>
    <w:rsid w:val="007F2DCD"/>
    <w:rsid w:val="007F34A4"/>
    <w:rsid w:val="007F48ED"/>
    <w:rsid w:val="007F4CF7"/>
    <w:rsid w:val="007F5E3F"/>
    <w:rsid w:val="007F7FFE"/>
    <w:rsid w:val="00812F45"/>
    <w:rsid w:val="0081520E"/>
    <w:rsid w:val="0081537E"/>
    <w:rsid w:val="0081741B"/>
    <w:rsid w:val="008203B9"/>
    <w:rsid w:val="0082060E"/>
    <w:rsid w:val="008219CF"/>
    <w:rsid w:val="0082287A"/>
    <w:rsid w:val="00825989"/>
    <w:rsid w:val="008305DB"/>
    <w:rsid w:val="00831735"/>
    <w:rsid w:val="008328C3"/>
    <w:rsid w:val="00833108"/>
    <w:rsid w:val="008348E0"/>
    <w:rsid w:val="00836FE9"/>
    <w:rsid w:val="008379EF"/>
    <w:rsid w:val="00837C92"/>
    <w:rsid w:val="008411F4"/>
    <w:rsid w:val="0084172C"/>
    <w:rsid w:val="008448D8"/>
    <w:rsid w:val="0085175E"/>
    <w:rsid w:val="00852B89"/>
    <w:rsid w:val="0085432F"/>
    <w:rsid w:val="00854D37"/>
    <w:rsid w:val="00856A31"/>
    <w:rsid w:val="0085797B"/>
    <w:rsid w:val="00863245"/>
    <w:rsid w:val="008657E2"/>
    <w:rsid w:val="00872321"/>
    <w:rsid w:val="0087414D"/>
    <w:rsid w:val="00875324"/>
    <w:rsid w:val="0087547E"/>
    <w:rsid w:val="008754D0"/>
    <w:rsid w:val="00875D29"/>
    <w:rsid w:val="00877C69"/>
    <w:rsid w:val="00877D48"/>
    <w:rsid w:val="008821F9"/>
    <w:rsid w:val="0088345B"/>
    <w:rsid w:val="008869F1"/>
    <w:rsid w:val="008870D1"/>
    <w:rsid w:val="008968A1"/>
    <w:rsid w:val="008A16A5"/>
    <w:rsid w:val="008A52E2"/>
    <w:rsid w:val="008A5C57"/>
    <w:rsid w:val="008A6F04"/>
    <w:rsid w:val="008A6FF7"/>
    <w:rsid w:val="008B2C0B"/>
    <w:rsid w:val="008B3068"/>
    <w:rsid w:val="008B49E7"/>
    <w:rsid w:val="008B4AA5"/>
    <w:rsid w:val="008B586C"/>
    <w:rsid w:val="008B5B8C"/>
    <w:rsid w:val="008B731B"/>
    <w:rsid w:val="008B79BA"/>
    <w:rsid w:val="008C0629"/>
    <w:rsid w:val="008C08BC"/>
    <w:rsid w:val="008D0EE0"/>
    <w:rsid w:val="008D290F"/>
    <w:rsid w:val="008D38BF"/>
    <w:rsid w:val="008D400C"/>
    <w:rsid w:val="008D439D"/>
    <w:rsid w:val="008D4B81"/>
    <w:rsid w:val="008D70F8"/>
    <w:rsid w:val="008D7A27"/>
    <w:rsid w:val="008E39C2"/>
    <w:rsid w:val="008E4702"/>
    <w:rsid w:val="008E4F67"/>
    <w:rsid w:val="008E69AA"/>
    <w:rsid w:val="008E6BEA"/>
    <w:rsid w:val="008E7AC1"/>
    <w:rsid w:val="008F0EB9"/>
    <w:rsid w:val="008F4B76"/>
    <w:rsid w:val="008F4F1C"/>
    <w:rsid w:val="008F5EDD"/>
    <w:rsid w:val="009004DF"/>
    <w:rsid w:val="00900AA9"/>
    <w:rsid w:val="00900F61"/>
    <w:rsid w:val="009069AD"/>
    <w:rsid w:val="00906AB1"/>
    <w:rsid w:val="00906E9A"/>
    <w:rsid w:val="009105B2"/>
    <w:rsid w:val="00910E64"/>
    <w:rsid w:val="00913B79"/>
    <w:rsid w:val="00915A54"/>
    <w:rsid w:val="00920C99"/>
    <w:rsid w:val="00922764"/>
    <w:rsid w:val="00922FFA"/>
    <w:rsid w:val="0092362C"/>
    <w:rsid w:val="0092394B"/>
    <w:rsid w:val="009278C1"/>
    <w:rsid w:val="0093108D"/>
    <w:rsid w:val="00932377"/>
    <w:rsid w:val="0093416B"/>
    <w:rsid w:val="009346E3"/>
    <w:rsid w:val="00934DA9"/>
    <w:rsid w:val="009358CF"/>
    <w:rsid w:val="0093624B"/>
    <w:rsid w:val="00936752"/>
    <w:rsid w:val="009403BC"/>
    <w:rsid w:val="00941165"/>
    <w:rsid w:val="00942699"/>
    <w:rsid w:val="009437B1"/>
    <w:rsid w:val="009437D5"/>
    <w:rsid w:val="00943BD7"/>
    <w:rsid w:val="009449C7"/>
    <w:rsid w:val="0094523D"/>
    <w:rsid w:val="009452D6"/>
    <w:rsid w:val="00945750"/>
    <w:rsid w:val="00953A97"/>
    <w:rsid w:val="00956405"/>
    <w:rsid w:val="0095680B"/>
    <w:rsid w:val="00961DF7"/>
    <w:rsid w:val="00973D07"/>
    <w:rsid w:val="00976A63"/>
    <w:rsid w:val="00977077"/>
    <w:rsid w:val="00977986"/>
    <w:rsid w:val="00977B05"/>
    <w:rsid w:val="00980E9C"/>
    <w:rsid w:val="00985BA3"/>
    <w:rsid w:val="00990A9B"/>
    <w:rsid w:val="009919E9"/>
    <w:rsid w:val="00992615"/>
    <w:rsid w:val="009935A5"/>
    <w:rsid w:val="00994ADE"/>
    <w:rsid w:val="009A5C69"/>
    <w:rsid w:val="009A7953"/>
    <w:rsid w:val="009A7F03"/>
    <w:rsid w:val="009B2442"/>
    <w:rsid w:val="009B244D"/>
    <w:rsid w:val="009B2490"/>
    <w:rsid w:val="009B2FB9"/>
    <w:rsid w:val="009B311A"/>
    <w:rsid w:val="009B3E3B"/>
    <w:rsid w:val="009B4675"/>
    <w:rsid w:val="009B50E5"/>
    <w:rsid w:val="009B6DF4"/>
    <w:rsid w:val="009C3431"/>
    <w:rsid w:val="009C5989"/>
    <w:rsid w:val="009C5FFE"/>
    <w:rsid w:val="009C62AF"/>
    <w:rsid w:val="009C6A32"/>
    <w:rsid w:val="009D04C4"/>
    <w:rsid w:val="009D08DA"/>
    <w:rsid w:val="009D11B6"/>
    <w:rsid w:val="009D44DF"/>
    <w:rsid w:val="009D474F"/>
    <w:rsid w:val="009E0B20"/>
    <w:rsid w:val="009E3F22"/>
    <w:rsid w:val="009E4B8D"/>
    <w:rsid w:val="009E7BEA"/>
    <w:rsid w:val="009F296F"/>
    <w:rsid w:val="009F6192"/>
    <w:rsid w:val="009F7B71"/>
    <w:rsid w:val="00A04E5E"/>
    <w:rsid w:val="00A05BDE"/>
    <w:rsid w:val="00A06860"/>
    <w:rsid w:val="00A136F5"/>
    <w:rsid w:val="00A16ABB"/>
    <w:rsid w:val="00A21D9E"/>
    <w:rsid w:val="00A231E2"/>
    <w:rsid w:val="00A235AF"/>
    <w:rsid w:val="00A23A55"/>
    <w:rsid w:val="00A2550D"/>
    <w:rsid w:val="00A27813"/>
    <w:rsid w:val="00A27DFF"/>
    <w:rsid w:val="00A30538"/>
    <w:rsid w:val="00A3158C"/>
    <w:rsid w:val="00A315A5"/>
    <w:rsid w:val="00A32001"/>
    <w:rsid w:val="00A34A83"/>
    <w:rsid w:val="00A365E7"/>
    <w:rsid w:val="00A36887"/>
    <w:rsid w:val="00A36C71"/>
    <w:rsid w:val="00A372AC"/>
    <w:rsid w:val="00A379BB"/>
    <w:rsid w:val="00A37E99"/>
    <w:rsid w:val="00A4169B"/>
    <w:rsid w:val="00A47267"/>
    <w:rsid w:val="00A50045"/>
    <w:rsid w:val="00A50D55"/>
    <w:rsid w:val="00A51295"/>
    <w:rsid w:val="00A5287A"/>
    <w:rsid w:val="00A52FDA"/>
    <w:rsid w:val="00A615D4"/>
    <w:rsid w:val="00A6173E"/>
    <w:rsid w:val="00A64912"/>
    <w:rsid w:val="00A64A7A"/>
    <w:rsid w:val="00A65B38"/>
    <w:rsid w:val="00A70A74"/>
    <w:rsid w:val="00A72083"/>
    <w:rsid w:val="00A74ADE"/>
    <w:rsid w:val="00A75638"/>
    <w:rsid w:val="00A75DE8"/>
    <w:rsid w:val="00A87922"/>
    <w:rsid w:val="00A9231A"/>
    <w:rsid w:val="00A92CC4"/>
    <w:rsid w:val="00A951C6"/>
    <w:rsid w:val="00A95BC7"/>
    <w:rsid w:val="00A96954"/>
    <w:rsid w:val="00AA0343"/>
    <w:rsid w:val="00AA45DA"/>
    <w:rsid w:val="00AA7844"/>
    <w:rsid w:val="00AA78CE"/>
    <w:rsid w:val="00AA7B26"/>
    <w:rsid w:val="00AB3AAF"/>
    <w:rsid w:val="00AB3BFF"/>
    <w:rsid w:val="00AB74E2"/>
    <w:rsid w:val="00AB7699"/>
    <w:rsid w:val="00AB7740"/>
    <w:rsid w:val="00AC3F8C"/>
    <w:rsid w:val="00AC5121"/>
    <w:rsid w:val="00AC767C"/>
    <w:rsid w:val="00AD0A3B"/>
    <w:rsid w:val="00AD2731"/>
    <w:rsid w:val="00AD3467"/>
    <w:rsid w:val="00AD5641"/>
    <w:rsid w:val="00AD745C"/>
    <w:rsid w:val="00AE1E97"/>
    <w:rsid w:val="00AE48B8"/>
    <w:rsid w:val="00AF33DB"/>
    <w:rsid w:val="00AF5CC8"/>
    <w:rsid w:val="00B032D1"/>
    <w:rsid w:val="00B032D8"/>
    <w:rsid w:val="00B05D72"/>
    <w:rsid w:val="00B07125"/>
    <w:rsid w:val="00B07674"/>
    <w:rsid w:val="00B13952"/>
    <w:rsid w:val="00B14DB7"/>
    <w:rsid w:val="00B16782"/>
    <w:rsid w:val="00B1680E"/>
    <w:rsid w:val="00B16FD7"/>
    <w:rsid w:val="00B17253"/>
    <w:rsid w:val="00B17D18"/>
    <w:rsid w:val="00B17F5D"/>
    <w:rsid w:val="00B20990"/>
    <w:rsid w:val="00B20C6B"/>
    <w:rsid w:val="00B23FAF"/>
    <w:rsid w:val="00B266DF"/>
    <w:rsid w:val="00B27100"/>
    <w:rsid w:val="00B32AA9"/>
    <w:rsid w:val="00B33B3C"/>
    <w:rsid w:val="00B37BD2"/>
    <w:rsid w:val="00B40D74"/>
    <w:rsid w:val="00B42649"/>
    <w:rsid w:val="00B42ED9"/>
    <w:rsid w:val="00B44F06"/>
    <w:rsid w:val="00B46467"/>
    <w:rsid w:val="00B52663"/>
    <w:rsid w:val="00B52702"/>
    <w:rsid w:val="00B56606"/>
    <w:rsid w:val="00B56CCF"/>
    <w:rsid w:val="00B56DCB"/>
    <w:rsid w:val="00B612E4"/>
    <w:rsid w:val="00B61728"/>
    <w:rsid w:val="00B61FFA"/>
    <w:rsid w:val="00B657D7"/>
    <w:rsid w:val="00B65D54"/>
    <w:rsid w:val="00B678A9"/>
    <w:rsid w:val="00B67B44"/>
    <w:rsid w:val="00B67DCA"/>
    <w:rsid w:val="00B72807"/>
    <w:rsid w:val="00B75985"/>
    <w:rsid w:val="00B76B38"/>
    <w:rsid w:val="00B770D2"/>
    <w:rsid w:val="00B77112"/>
    <w:rsid w:val="00B77397"/>
    <w:rsid w:val="00B77478"/>
    <w:rsid w:val="00B81B00"/>
    <w:rsid w:val="00B85312"/>
    <w:rsid w:val="00B87AA8"/>
    <w:rsid w:val="00B9033D"/>
    <w:rsid w:val="00B93516"/>
    <w:rsid w:val="00B96776"/>
    <w:rsid w:val="00B96A2A"/>
    <w:rsid w:val="00B973E5"/>
    <w:rsid w:val="00BA47A3"/>
    <w:rsid w:val="00BA5026"/>
    <w:rsid w:val="00BA7B5B"/>
    <w:rsid w:val="00BB1D23"/>
    <w:rsid w:val="00BB5F05"/>
    <w:rsid w:val="00BB6E79"/>
    <w:rsid w:val="00BC0317"/>
    <w:rsid w:val="00BC234F"/>
    <w:rsid w:val="00BC6CFE"/>
    <w:rsid w:val="00BC7223"/>
    <w:rsid w:val="00BD17BC"/>
    <w:rsid w:val="00BD3FDE"/>
    <w:rsid w:val="00BD6618"/>
    <w:rsid w:val="00BE2C5A"/>
    <w:rsid w:val="00BE42C5"/>
    <w:rsid w:val="00BE67F1"/>
    <w:rsid w:val="00BE719A"/>
    <w:rsid w:val="00BE720A"/>
    <w:rsid w:val="00BE74C7"/>
    <w:rsid w:val="00BF0723"/>
    <w:rsid w:val="00BF6650"/>
    <w:rsid w:val="00C0614C"/>
    <w:rsid w:val="00C067E5"/>
    <w:rsid w:val="00C11FDF"/>
    <w:rsid w:val="00C164CA"/>
    <w:rsid w:val="00C21412"/>
    <w:rsid w:val="00C228B0"/>
    <w:rsid w:val="00C23393"/>
    <w:rsid w:val="00C23C8C"/>
    <w:rsid w:val="00C26051"/>
    <w:rsid w:val="00C2702B"/>
    <w:rsid w:val="00C30FA9"/>
    <w:rsid w:val="00C358BE"/>
    <w:rsid w:val="00C36D45"/>
    <w:rsid w:val="00C40813"/>
    <w:rsid w:val="00C42BF8"/>
    <w:rsid w:val="00C44339"/>
    <w:rsid w:val="00C44EE8"/>
    <w:rsid w:val="00C460AE"/>
    <w:rsid w:val="00C50043"/>
    <w:rsid w:val="00C5015F"/>
    <w:rsid w:val="00C50A0F"/>
    <w:rsid w:val="00C50AA5"/>
    <w:rsid w:val="00C50F4A"/>
    <w:rsid w:val="00C520C3"/>
    <w:rsid w:val="00C536ED"/>
    <w:rsid w:val="00C5462D"/>
    <w:rsid w:val="00C6090A"/>
    <w:rsid w:val="00C63002"/>
    <w:rsid w:val="00C70031"/>
    <w:rsid w:val="00C70B4A"/>
    <w:rsid w:val="00C717C5"/>
    <w:rsid w:val="00C72D10"/>
    <w:rsid w:val="00C7573B"/>
    <w:rsid w:val="00C759D2"/>
    <w:rsid w:val="00C761E3"/>
    <w:rsid w:val="00C76CF3"/>
    <w:rsid w:val="00C809A6"/>
    <w:rsid w:val="00C83D92"/>
    <w:rsid w:val="00C93205"/>
    <w:rsid w:val="00C945DC"/>
    <w:rsid w:val="00C97E82"/>
    <w:rsid w:val="00CA27F6"/>
    <w:rsid w:val="00CA7844"/>
    <w:rsid w:val="00CB02CC"/>
    <w:rsid w:val="00CB0385"/>
    <w:rsid w:val="00CB1C7A"/>
    <w:rsid w:val="00CB23FC"/>
    <w:rsid w:val="00CB58EF"/>
    <w:rsid w:val="00CC0D93"/>
    <w:rsid w:val="00CC1CC8"/>
    <w:rsid w:val="00CC2DE7"/>
    <w:rsid w:val="00CD0B7B"/>
    <w:rsid w:val="00CD142D"/>
    <w:rsid w:val="00CD1E4B"/>
    <w:rsid w:val="00CD2110"/>
    <w:rsid w:val="00CD2DBF"/>
    <w:rsid w:val="00CD4917"/>
    <w:rsid w:val="00CD5246"/>
    <w:rsid w:val="00CD52E6"/>
    <w:rsid w:val="00CD78A5"/>
    <w:rsid w:val="00CE0A93"/>
    <w:rsid w:val="00CE2F3E"/>
    <w:rsid w:val="00CE5471"/>
    <w:rsid w:val="00CE56AA"/>
    <w:rsid w:val="00CF05B0"/>
    <w:rsid w:val="00CF0BB2"/>
    <w:rsid w:val="00CF1FDB"/>
    <w:rsid w:val="00CF4496"/>
    <w:rsid w:val="00CF7DDF"/>
    <w:rsid w:val="00D003EE"/>
    <w:rsid w:val="00D0068B"/>
    <w:rsid w:val="00D00C64"/>
    <w:rsid w:val="00D03092"/>
    <w:rsid w:val="00D04601"/>
    <w:rsid w:val="00D056ED"/>
    <w:rsid w:val="00D079E1"/>
    <w:rsid w:val="00D111F9"/>
    <w:rsid w:val="00D125E7"/>
    <w:rsid w:val="00D12B0D"/>
    <w:rsid w:val="00D12E68"/>
    <w:rsid w:val="00D13441"/>
    <w:rsid w:val="00D20507"/>
    <w:rsid w:val="00D223EF"/>
    <w:rsid w:val="00D23FFD"/>
    <w:rsid w:val="00D243A3"/>
    <w:rsid w:val="00D2448D"/>
    <w:rsid w:val="00D25640"/>
    <w:rsid w:val="00D26EC2"/>
    <w:rsid w:val="00D26F97"/>
    <w:rsid w:val="00D273D4"/>
    <w:rsid w:val="00D27B19"/>
    <w:rsid w:val="00D308CF"/>
    <w:rsid w:val="00D32128"/>
    <w:rsid w:val="00D33440"/>
    <w:rsid w:val="00D33458"/>
    <w:rsid w:val="00D3403E"/>
    <w:rsid w:val="00D35818"/>
    <w:rsid w:val="00D35AB9"/>
    <w:rsid w:val="00D37FA6"/>
    <w:rsid w:val="00D41493"/>
    <w:rsid w:val="00D42B80"/>
    <w:rsid w:val="00D42D8D"/>
    <w:rsid w:val="00D44E1E"/>
    <w:rsid w:val="00D46C18"/>
    <w:rsid w:val="00D47D89"/>
    <w:rsid w:val="00D50AA0"/>
    <w:rsid w:val="00D52EFE"/>
    <w:rsid w:val="00D54476"/>
    <w:rsid w:val="00D5505B"/>
    <w:rsid w:val="00D559C9"/>
    <w:rsid w:val="00D56A0D"/>
    <w:rsid w:val="00D63EF6"/>
    <w:rsid w:val="00D66518"/>
    <w:rsid w:val="00D70258"/>
    <w:rsid w:val="00D70719"/>
    <w:rsid w:val="00D70DFB"/>
    <w:rsid w:val="00D71EEA"/>
    <w:rsid w:val="00D72E5F"/>
    <w:rsid w:val="00D735CD"/>
    <w:rsid w:val="00D736DE"/>
    <w:rsid w:val="00D73E54"/>
    <w:rsid w:val="00D75B94"/>
    <w:rsid w:val="00D766DF"/>
    <w:rsid w:val="00D76A29"/>
    <w:rsid w:val="00D867AF"/>
    <w:rsid w:val="00D86F48"/>
    <w:rsid w:val="00D870E4"/>
    <w:rsid w:val="00D90841"/>
    <w:rsid w:val="00D91B0D"/>
    <w:rsid w:val="00D9251D"/>
    <w:rsid w:val="00D93034"/>
    <w:rsid w:val="00D93101"/>
    <w:rsid w:val="00D93C83"/>
    <w:rsid w:val="00D97A7B"/>
    <w:rsid w:val="00DA2439"/>
    <w:rsid w:val="00DA6F05"/>
    <w:rsid w:val="00DA71FA"/>
    <w:rsid w:val="00DB072C"/>
    <w:rsid w:val="00DB189C"/>
    <w:rsid w:val="00DB54AF"/>
    <w:rsid w:val="00DB593F"/>
    <w:rsid w:val="00DB6199"/>
    <w:rsid w:val="00DB64FC"/>
    <w:rsid w:val="00DB75D1"/>
    <w:rsid w:val="00DC1CC2"/>
    <w:rsid w:val="00DC57ED"/>
    <w:rsid w:val="00DD279A"/>
    <w:rsid w:val="00DE149E"/>
    <w:rsid w:val="00DE4C98"/>
    <w:rsid w:val="00DF0D48"/>
    <w:rsid w:val="00DF74C0"/>
    <w:rsid w:val="00E034DB"/>
    <w:rsid w:val="00E04E49"/>
    <w:rsid w:val="00E05414"/>
    <w:rsid w:val="00E05704"/>
    <w:rsid w:val="00E1137D"/>
    <w:rsid w:val="00E12F1A"/>
    <w:rsid w:val="00E13ED4"/>
    <w:rsid w:val="00E14929"/>
    <w:rsid w:val="00E22935"/>
    <w:rsid w:val="00E23171"/>
    <w:rsid w:val="00E27D6B"/>
    <w:rsid w:val="00E27F07"/>
    <w:rsid w:val="00E30E54"/>
    <w:rsid w:val="00E32527"/>
    <w:rsid w:val="00E33E1B"/>
    <w:rsid w:val="00E347D5"/>
    <w:rsid w:val="00E34844"/>
    <w:rsid w:val="00E34851"/>
    <w:rsid w:val="00E34DE2"/>
    <w:rsid w:val="00E36557"/>
    <w:rsid w:val="00E400F1"/>
    <w:rsid w:val="00E41740"/>
    <w:rsid w:val="00E44DE2"/>
    <w:rsid w:val="00E4554C"/>
    <w:rsid w:val="00E47B67"/>
    <w:rsid w:val="00E5046C"/>
    <w:rsid w:val="00E53620"/>
    <w:rsid w:val="00E53A6A"/>
    <w:rsid w:val="00E54292"/>
    <w:rsid w:val="00E60191"/>
    <w:rsid w:val="00E62052"/>
    <w:rsid w:val="00E679C9"/>
    <w:rsid w:val="00E73EB5"/>
    <w:rsid w:val="00E74DC7"/>
    <w:rsid w:val="00E7509F"/>
    <w:rsid w:val="00E75183"/>
    <w:rsid w:val="00E7717E"/>
    <w:rsid w:val="00E77C9D"/>
    <w:rsid w:val="00E80B22"/>
    <w:rsid w:val="00E81BB4"/>
    <w:rsid w:val="00E83577"/>
    <w:rsid w:val="00E83887"/>
    <w:rsid w:val="00E85AC7"/>
    <w:rsid w:val="00E87699"/>
    <w:rsid w:val="00E918DB"/>
    <w:rsid w:val="00E92E27"/>
    <w:rsid w:val="00E93062"/>
    <w:rsid w:val="00E94DC6"/>
    <w:rsid w:val="00E9586B"/>
    <w:rsid w:val="00E97334"/>
    <w:rsid w:val="00EA3474"/>
    <w:rsid w:val="00EA4B5D"/>
    <w:rsid w:val="00EA6E97"/>
    <w:rsid w:val="00EB0CEC"/>
    <w:rsid w:val="00EB36AD"/>
    <w:rsid w:val="00EB3A99"/>
    <w:rsid w:val="00EB3B11"/>
    <w:rsid w:val="00EB4A60"/>
    <w:rsid w:val="00EB6512"/>
    <w:rsid w:val="00EB65F8"/>
    <w:rsid w:val="00EC261A"/>
    <w:rsid w:val="00EC3981"/>
    <w:rsid w:val="00EC3BCE"/>
    <w:rsid w:val="00EC3C52"/>
    <w:rsid w:val="00EC6787"/>
    <w:rsid w:val="00ED0B22"/>
    <w:rsid w:val="00ED1EE5"/>
    <w:rsid w:val="00ED2010"/>
    <w:rsid w:val="00ED4928"/>
    <w:rsid w:val="00ED6686"/>
    <w:rsid w:val="00EE1104"/>
    <w:rsid w:val="00EE3FFE"/>
    <w:rsid w:val="00EE5267"/>
    <w:rsid w:val="00EE57E8"/>
    <w:rsid w:val="00EE6190"/>
    <w:rsid w:val="00EE703C"/>
    <w:rsid w:val="00EF1259"/>
    <w:rsid w:val="00EF1735"/>
    <w:rsid w:val="00EF2E3A"/>
    <w:rsid w:val="00EF3E3A"/>
    <w:rsid w:val="00EF5D0A"/>
    <w:rsid w:val="00EF6402"/>
    <w:rsid w:val="00EF6813"/>
    <w:rsid w:val="00F00117"/>
    <w:rsid w:val="00F0078F"/>
    <w:rsid w:val="00F02216"/>
    <w:rsid w:val="00F047E2"/>
    <w:rsid w:val="00F04D57"/>
    <w:rsid w:val="00F06C87"/>
    <w:rsid w:val="00F078DC"/>
    <w:rsid w:val="00F10B56"/>
    <w:rsid w:val="00F10EF0"/>
    <w:rsid w:val="00F13E86"/>
    <w:rsid w:val="00F150C2"/>
    <w:rsid w:val="00F20B52"/>
    <w:rsid w:val="00F215C0"/>
    <w:rsid w:val="00F23556"/>
    <w:rsid w:val="00F319CD"/>
    <w:rsid w:val="00F32707"/>
    <w:rsid w:val="00F32FCB"/>
    <w:rsid w:val="00F33523"/>
    <w:rsid w:val="00F33B9A"/>
    <w:rsid w:val="00F416B6"/>
    <w:rsid w:val="00F426DC"/>
    <w:rsid w:val="00F43B80"/>
    <w:rsid w:val="00F43ED3"/>
    <w:rsid w:val="00F462D4"/>
    <w:rsid w:val="00F54039"/>
    <w:rsid w:val="00F61180"/>
    <w:rsid w:val="00F65E85"/>
    <w:rsid w:val="00F677A9"/>
    <w:rsid w:val="00F7111D"/>
    <w:rsid w:val="00F716F9"/>
    <w:rsid w:val="00F736F1"/>
    <w:rsid w:val="00F7404F"/>
    <w:rsid w:val="00F8121C"/>
    <w:rsid w:val="00F81B00"/>
    <w:rsid w:val="00F834A4"/>
    <w:rsid w:val="00F84CF5"/>
    <w:rsid w:val="00F8612E"/>
    <w:rsid w:val="00F8679E"/>
    <w:rsid w:val="00F90E1B"/>
    <w:rsid w:val="00F94583"/>
    <w:rsid w:val="00FA420B"/>
    <w:rsid w:val="00FA45E4"/>
    <w:rsid w:val="00FA481F"/>
    <w:rsid w:val="00FA5B7B"/>
    <w:rsid w:val="00FB12B0"/>
    <w:rsid w:val="00FB5FC7"/>
    <w:rsid w:val="00FB6AEE"/>
    <w:rsid w:val="00FC23A6"/>
    <w:rsid w:val="00FC3EAC"/>
    <w:rsid w:val="00FC61BB"/>
    <w:rsid w:val="00FC73B8"/>
    <w:rsid w:val="00FC7CB5"/>
    <w:rsid w:val="00FD2DB3"/>
    <w:rsid w:val="00FD2EE0"/>
    <w:rsid w:val="00FD3D95"/>
    <w:rsid w:val="00FD3D9D"/>
    <w:rsid w:val="00FD60F6"/>
    <w:rsid w:val="00FD77A8"/>
    <w:rsid w:val="00FE2542"/>
    <w:rsid w:val="00FE39F7"/>
    <w:rsid w:val="00FE5D91"/>
    <w:rsid w:val="00FE6946"/>
    <w:rsid w:val="00FF0942"/>
    <w:rsid w:val="00FF39DE"/>
    <w:rsid w:val="00FF48FE"/>
    <w:rsid w:val="00FF5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221C96"/>
  <w15:docId w15:val="{5B46AF67-32FF-4469-8919-F6E1C569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nhideWhenUsed/>
    <w:rsid w:val="00E44DE2"/>
    <w:rPr>
      <w:sz w:val="16"/>
      <w:szCs w:val="16"/>
    </w:rPr>
  </w:style>
  <w:style w:type="paragraph" w:styleId="CommentText">
    <w:name w:val="annotation text"/>
    <w:basedOn w:val="Normal"/>
    <w:link w:val="CommentTextChar"/>
    <w:uiPriority w:val="99"/>
    <w:unhideWhenUsed/>
    <w:rsid w:val="00E44DE2"/>
    <w:pPr>
      <w:spacing w:line="240" w:lineRule="auto"/>
    </w:pPr>
    <w:rPr>
      <w:sz w:val="20"/>
    </w:rPr>
  </w:style>
  <w:style w:type="character" w:customStyle="1" w:styleId="CommentTextChar">
    <w:name w:val="Comment Text Char"/>
    <w:basedOn w:val="DefaultParagraphFont"/>
    <w:link w:val="CommentText"/>
    <w:uiPriority w:val="99"/>
    <w:semiHidden/>
    <w:rsid w:val="00E44DE2"/>
  </w:style>
  <w:style w:type="paragraph" w:styleId="CommentSubject">
    <w:name w:val="annotation subject"/>
    <w:basedOn w:val="CommentText"/>
    <w:next w:val="CommentText"/>
    <w:link w:val="CommentSubjectChar"/>
    <w:uiPriority w:val="99"/>
    <w:semiHidden/>
    <w:unhideWhenUsed/>
    <w:rsid w:val="00E44DE2"/>
    <w:rPr>
      <w:b/>
      <w:bCs/>
    </w:rPr>
  </w:style>
  <w:style w:type="character" w:customStyle="1" w:styleId="CommentSubjectChar">
    <w:name w:val="Comment Subject Char"/>
    <w:basedOn w:val="CommentTextChar"/>
    <w:link w:val="CommentSubject"/>
    <w:uiPriority w:val="99"/>
    <w:semiHidden/>
    <w:rsid w:val="00E44DE2"/>
    <w:rPr>
      <w:b/>
      <w:bCs/>
    </w:rPr>
  </w:style>
  <w:style w:type="paragraph" w:styleId="ListParagraph">
    <w:name w:val="List Paragraph"/>
    <w:basedOn w:val="Normal"/>
    <w:uiPriority w:val="34"/>
    <w:qFormat/>
    <w:rsid w:val="00565BB9"/>
    <w:pPr>
      <w:ind w:left="720"/>
      <w:contextualSpacing/>
    </w:pPr>
  </w:style>
  <w:style w:type="paragraph" w:styleId="Revision">
    <w:name w:val="Revision"/>
    <w:hidden/>
    <w:uiPriority w:val="99"/>
    <w:semiHidden/>
    <w:rsid w:val="007B461F"/>
    <w:rPr>
      <w:sz w:val="22"/>
    </w:rPr>
  </w:style>
  <w:style w:type="character" w:styleId="PlaceholderText">
    <w:name w:val="Placeholder Text"/>
    <w:basedOn w:val="DefaultParagraphFont"/>
    <w:uiPriority w:val="99"/>
    <w:semiHidden/>
    <w:rsid w:val="00D736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10647">
      <w:bodyDiv w:val="1"/>
      <w:marLeft w:val="0"/>
      <w:marRight w:val="0"/>
      <w:marTop w:val="0"/>
      <w:marBottom w:val="0"/>
      <w:divBdr>
        <w:top w:val="none" w:sz="0" w:space="0" w:color="auto"/>
        <w:left w:val="none" w:sz="0" w:space="0" w:color="auto"/>
        <w:bottom w:val="none" w:sz="0" w:space="0" w:color="auto"/>
        <w:right w:val="none" w:sz="0" w:space="0" w:color="auto"/>
      </w:divBdr>
    </w:div>
    <w:div w:id="484857298">
      <w:bodyDiv w:val="1"/>
      <w:marLeft w:val="0"/>
      <w:marRight w:val="0"/>
      <w:marTop w:val="0"/>
      <w:marBottom w:val="0"/>
      <w:divBdr>
        <w:top w:val="none" w:sz="0" w:space="0" w:color="auto"/>
        <w:left w:val="none" w:sz="0" w:space="0" w:color="auto"/>
        <w:bottom w:val="none" w:sz="0" w:space="0" w:color="auto"/>
        <w:right w:val="none" w:sz="0" w:space="0" w:color="auto"/>
      </w:divBdr>
      <w:divsChild>
        <w:div w:id="1672834753">
          <w:marLeft w:val="0"/>
          <w:marRight w:val="0"/>
          <w:marTop w:val="0"/>
          <w:marBottom w:val="0"/>
          <w:divBdr>
            <w:top w:val="none" w:sz="0" w:space="0" w:color="auto"/>
            <w:left w:val="none" w:sz="0" w:space="0" w:color="auto"/>
            <w:bottom w:val="none" w:sz="0" w:space="0" w:color="auto"/>
            <w:right w:val="none" w:sz="0" w:space="0" w:color="auto"/>
          </w:divBdr>
          <w:divsChild>
            <w:div w:id="2129351371">
              <w:marLeft w:val="0"/>
              <w:marRight w:val="0"/>
              <w:marTop w:val="0"/>
              <w:marBottom w:val="0"/>
              <w:divBdr>
                <w:top w:val="none" w:sz="0" w:space="0" w:color="auto"/>
                <w:left w:val="none" w:sz="0" w:space="0" w:color="auto"/>
                <w:bottom w:val="none" w:sz="0" w:space="0" w:color="auto"/>
                <w:right w:val="none" w:sz="0" w:space="0" w:color="auto"/>
              </w:divBdr>
              <w:divsChild>
                <w:div w:id="146362534">
                  <w:marLeft w:val="0"/>
                  <w:marRight w:val="0"/>
                  <w:marTop w:val="0"/>
                  <w:marBottom w:val="0"/>
                  <w:divBdr>
                    <w:top w:val="none" w:sz="0" w:space="0" w:color="auto"/>
                    <w:left w:val="none" w:sz="0" w:space="0" w:color="auto"/>
                    <w:bottom w:val="none" w:sz="0" w:space="0" w:color="auto"/>
                    <w:right w:val="none" w:sz="0" w:space="0" w:color="auto"/>
                  </w:divBdr>
                  <w:divsChild>
                    <w:div w:id="418447467">
                      <w:marLeft w:val="0"/>
                      <w:marRight w:val="0"/>
                      <w:marTop w:val="0"/>
                      <w:marBottom w:val="0"/>
                      <w:divBdr>
                        <w:top w:val="none" w:sz="0" w:space="0" w:color="auto"/>
                        <w:left w:val="none" w:sz="0" w:space="0" w:color="auto"/>
                        <w:bottom w:val="none" w:sz="0" w:space="0" w:color="auto"/>
                        <w:right w:val="none" w:sz="0" w:space="0" w:color="auto"/>
                      </w:divBdr>
                      <w:divsChild>
                        <w:div w:id="1614510473">
                          <w:marLeft w:val="0"/>
                          <w:marRight w:val="0"/>
                          <w:marTop w:val="0"/>
                          <w:marBottom w:val="0"/>
                          <w:divBdr>
                            <w:top w:val="none" w:sz="0" w:space="0" w:color="auto"/>
                            <w:left w:val="none" w:sz="0" w:space="0" w:color="auto"/>
                            <w:bottom w:val="none" w:sz="0" w:space="0" w:color="auto"/>
                            <w:right w:val="none" w:sz="0" w:space="0" w:color="auto"/>
                          </w:divBdr>
                          <w:divsChild>
                            <w:div w:id="64499938">
                              <w:marLeft w:val="0"/>
                              <w:marRight w:val="0"/>
                              <w:marTop w:val="0"/>
                              <w:marBottom w:val="0"/>
                              <w:divBdr>
                                <w:top w:val="none" w:sz="0" w:space="0" w:color="auto"/>
                                <w:left w:val="none" w:sz="0" w:space="0" w:color="auto"/>
                                <w:bottom w:val="none" w:sz="0" w:space="0" w:color="auto"/>
                                <w:right w:val="none" w:sz="0" w:space="0" w:color="auto"/>
                              </w:divBdr>
                              <w:divsChild>
                                <w:div w:id="1150755259">
                                  <w:marLeft w:val="0"/>
                                  <w:marRight w:val="0"/>
                                  <w:marTop w:val="0"/>
                                  <w:marBottom w:val="0"/>
                                  <w:divBdr>
                                    <w:top w:val="none" w:sz="0" w:space="0" w:color="auto"/>
                                    <w:left w:val="none" w:sz="0" w:space="0" w:color="auto"/>
                                    <w:bottom w:val="none" w:sz="0" w:space="0" w:color="auto"/>
                                    <w:right w:val="none" w:sz="0" w:space="0" w:color="auto"/>
                                  </w:divBdr>
                                  <w:divsChild>
                                    <w:div w:id="1832988453">
                                      <w:marLeft w:val="0"/>
                                      <w:marRight w:val="0"/>
                                      <w:marTop w:val="0"/>
                                      <w:marBottom w:val="0"/>
                                      <w:divBdr>
                                        <w:top w:val="none" w:sz="0" w:space="0" w:color="auto"/>
                                        <w:left w:val="none" w:sz="0" w:space="0" w:color="auto"/>
                                        <w:bottom w:val="none" w:sz="0" w:space="0" w:color="auto"/>
                                        <w:right w:val="none" w:sz="0" w:space="0" w:color="auto"/>
                                      </w:divBdr>
                                      <w:divsChild>
                                        <w:div w:id="2118594249">
                                          <w:marLeft w:val="0"/>
                                          <w:marRight w:val="0"/>
                                          <w:marTop w:val="0"/>
                                          <w:marBottom w:val="0"/>
                                          <w:divBdr>
                                            <w:top w:val="none" w:sz="0" w:space="0" w:color="auto"/>
                                            <w:left w:val="none" w:sz="0" w:space="0" w:color="auto"/>
                                            <w:bottom w:val="none" w:sz="0" w:space="0" w:color="auto"/>
                                            <w:right w:val="none" w:sz="0" w:space="0" w:color="auto"/>
                                          </w:divBdr>
                                          <w:divsChild>
                                            <w:div w:id="664868448">
                                              <w:marLeft w:val="0"/>
                                              <w:marRight w:val="0"/>
                                              <w:marTop w:val="0"/>
                                              <w:marBottom w:val="0"/>
                                              <w:divBdr>
                                                <w:top w:val="none" w:sz="0" w:space="0" w:color="auto"/>
                                                <w:left w:val="none" w:sz="0" w:space="0" w:color="auto"/>
                                                <w:bottom w:val="none" w:sz="0" w:space="0" w:color="auto"/>
                                                <w:right w:val="none" w:sz="0" w:space="0" w:color="auto"/>
                                              </w:divBdr>
                                              <w:divsChild>
                                                <w:div w:id="1631324271">
                                                  <w:marLeft w:val="0"/>
                                                  <w:marRight w:val="0"/>
                                                  <w:marTop w:val="0"/>
                                                  <w:marBottom w:val="0"/>
                                                  <w:divBdr>
                                                    <w:top w:val="none" w:sz="0" w:space="0" w:color="auto"/>
                                                    <w:left w:val="none" w:sz="0" w:space="0" w:color="auto"/>
                                                    <w:bottom w:val="none" w:sz="0" w:space="0" w:color="auto"/>
                                                    <w:right w:val="none" w:sz="0" w:space="0" w:color="auto"/>
                                                  </w:divBdr>
                                                  <w:divsChild>
                                                    <w:div w:id="226189755">
                                                      <w:marLeft w:val="0"/>
                                                      <w:marRight w:val="0"/>
                                                      <w:marTop w:val="0"/>
                                                      <w:marBottom w:val="0"/>
                                                      <w:divBdr>
                                                        <w:top w:val="none" w:sz="0" w:space="0" w:color="auto"/>
                                                        <w:left w:val="none" w:sz="0" w:space="0" w:color="auto"/>
                                                        <w:bottom w:val="none" w:sz="0" w:space="0" w:color="auto"/>
                                                        <w:right w:val="none" w:sz="0" w:space="0" w:color="auto"/>
                                                      </w:divBdr>
                                                      <w:divsChild>
                                                        <w:div w:id="7520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4452954">
      <w:bodyDiv w:val="1"/>
      <w:marLeft w:val="0"/>
      <w:marRight w:val="0"/>
      <w:marTop w:val="0"/>
      <w:marBottom w:val="0"/>
      <w:divBdr>
        <w:top w:val="none" w:sz="0" w:space="0" w:color="auto"/>
        <w:left w:val="none" w:sz="0" w:space="0" w:color="auto"/>
        <w:bottom w:val="none" w:sz="0" w:space="0" w:color="auto"/>
        <w:right w:val="none" w:sz="0" w:space="0" w:color="auto"/>
      </w:divBdr>
      <w:divsChild>
        <w:div w:id="946624646">
          <w:marLeft w:val="0"/>
          <w:marRight w:val="0"/>
          <w:marTop w:val="0"/>
          <w:marBottom w:val="0"/>
          <w:divBdr>
            <w:top w:val="none" w:sz="0" w:space="0" w:color="auto"/>
            <w:left w:val="none" w:sz="0" w:space="0" w:color="auto"/>
            <w:bottom w:val="none" w:sz="0" w:space="0" w:color="auto"/>
            <w:right w:val="none" w:sz="0" w:space="0" w:color="auto"/>
          </w:divBdr>
          <w:divsChild>
            <w:div w:id="1086729714">
              <w:marLeft w:val="0"/>
              <w:marRight w:val="0"/>
              <w:marTop w:val="0"/>
              <w:marBottom w:val="0"/>
              <w:divBdr>
                <w:top w:val="none" w:sz="0" w:space="0" w:color="auto"/>
                <w:left w:val="none" w:sz="0" w:space="0" w:color="auto"/>
                <w:bottom w:val="none" w:sz="0" w:space="0" w:color="auto"/>
                <w:right w:val="none" w:sz="0" w:space="0" w:color="auto"/>
              </w:divBdr>
              <w:divsChild>
                <w:div w:id="2119133380">
                  <w:marLeft w:val="0"/>
                  <w:marRight w:val="0"/>
                  <w:marTop w:val="0"/>
                  <w:marBottom w:val="0"/>
                  <w:divBdr>
                    <w:top w:val="none" w:sz="0" w:space="0" w:color="auto"/>
                    <w:left w:val="none" w:sz="0" w:space="0" w:color="auto"/>
                    <w:bottom w:val="none" w:sz="0" w:space="0" w:color="auto"/>
                    <w:right w:val="none" w:sz="0" w:space="0" w:color="auto"/>
                  </w:divBdr>
                  <w:divsChild>
                    <w:div w:id="2052612019">
                      <w:marLeft w:val="0"/>
                      <w:marRight w:val="0"/>
                      <w:marTop w:val="0"/>
                      <w:marBottom w:val="0"/>
                      <w:divBdr>
                        <w:top w:val="none" w:sz="0" w:space="0" w:color="auto"/>
                        <w:left w:val="none" w:sz="0" w:space="0" w:color="auto"/>
                        <w:bottom w:val="none" w:sz="0" w:space="0" w:color="auto"/>
                        <w:right w:val="none" w:sz="0" w:space="0" w:color="auto"/>
                      </w:divBdr>
                      <w:divsChild>
                        <w:div w:id="1422294154">
                          <w:marLeft w:val="0"/>
                          <w:marRight w:val="0"/>
                          <w:marTop w:val="0"/>
                          <w:marBottom w:val="0"/>
                          <w:divBdr>
                            <w:top w:val="none" w:sz="0" w:space="0" w:color="auto"/>
                            <w:left w:val="none" w:sz="0" w:space="0" w:color="auto"/>
                            <w:bottom w:val="none" w:sz="0" w:space="0" w:color="auto"/>
                            <w:right w:val="none" w:sz="0" w:space="0" w:color="auto"/>
                          </w:divBdr>
                          <w:divsChild>
                            <w:div w:id="181551808">
                              <w:marLeft w:val="0"/>
                              <w:marRight w:val="0"/>
                              <w:marTop w:val="0"/>
                              <w:marBottom w:val="0"/>
                              <w:divBdr>
                                <w:top w:val="none" w:sz="0" w:space="0" w:color="auto"/>
                                <w:left w:val="none" w:sz="0" w:space="0" w:color="auto"/>
                                <w:bottom w:val="none" w:sz="0" w:space="0" w:color="auto"/>
                                <w:right w:val="none" w:sz="0" w:space="0" w:color="auto"/>
                              </w:divBdr>
                              <w:divsChild>
                                <w:div w:id="740567210">
                                  <w:marLeft w:val="0"/>
                                  <w:marRight w:val="0"/>
                                  <w:marTop w:val="0"/>
                                  <w:marBottom w:val="0"/>
                                  <w:divBdr>
                                    <w:top w:val="none" w:sz="0" w:space="0" w:color="auto"/>
                                    <w:left w:val="none" w:sz="0" w:space="0" w:color="auto"/>
                                    <w:bottom w:val="none" w:sz="0" w:space="0" w:color="auto"/>
                                    <w:right w:val="none" w:sz="0" w:space="0" w:color="auto"/>
                                  </w:divBdr>
                                  <w:divsChild>
                                    <w:div w:id="1397241290">
                                      <w:marLeft w:val="0"/>
                                      <w:marRight w:val="0"/>
                                      <w:marTop w:val="0"/>
                                      <w:marBottom w:val="0"/>
                                      <w:divBdr>
                                        <w:top w:val="none" w:sz="0" w:space="0" w:color="auto"/>
                                        <w:left w:val="none" w:sz="0" w:space="0" w:color="auto"/>
                                        <w:bottom w:val="none" w:sz="0" w:space="0" w:color="auto"/>
                                        <w:right w:val="none" w:sz="0" w:space="0" w:color="auto"/>
                                      </w:divBdr>
                                      <w:divsChild>
                                        <w:div w:id="978025833">
                                          <w:marLeft w:val="0"/>
                                          <w:marRight w:val="0"/>
                                          <w:marTop w:val="0"/>
                                          <w:marBottom w:val="0"/>
                                          <w:divBdr>
                                            <w:top w:val="none" w:sz="0" w:space="0" w:color="auto"/>
                                            <w:left w:val="none" w:sz="0" w:space="0" w:color="auto"/>
                                            <w:bottom w:val="none" w:sz="0" w:space="0" w:color="auto"/>
                                            <w:right w:val="none" w:sz="0" w:space="0" w:color="auto"/>
                                          </w:divBdr>
                                          <w:divsChild>
                                            <w:div w:id="1240402342">
                                              <w:marLeft w:val="0"/>
                                              <w:marRight w:val="0"/>
                                              <w:marTop w:val="0"/>
                                              <w:marBottom w:val="0"/>
                                              <w:divBdr>
                                                <w:top w:val="none" w:sz="0" w:space="0" w:color="auto"/>
                                                <w:left w:val="none" w:sz="0" w:space="0" w:color="auto"/>
                                                <w:bottom w:val="none" w:sz="0" w:space="0" w:color="auto"/>
                                                <w:right w:val="none" w:sz="0" w:space="0" w:color="auto"/>
                                              </w:divBdr>
                                              <w:divsChild>
                                                <w:div w:id="12804885">
                                                  <w:marLeft w:val="0"/>
                                                  <w:marRight w:val="0"/>
                                                  <w:marTop w:val="0"/>
                                                  <w:marBottom w:val="0"/>
                                                  <w:divBdr>
                                                    <w:top w:val="none" w:sz="0" w:space="0" w:color="auto"/>
                                                    <w:left w:val="none" w:sz="0" w:space="0" w:color="auto"/>
                                                    <w:bottom w:val="none" w:sz="0" w:space="0" w:color="auto"/>
                                                    <w:right w:val="none" w:sz="0" w:space="0" w:color="auto"/>
                                                  </w:divBdr>
                                                  <w:divsChild>
                                                    <w:div w:id="1660113355">
                                                      <w:marLeft w:val="0"/>
                                                      <w:marRight w:val="0"/>
                                                      <w:marTop w:val="0"/>
                                                      <w:marBottom w:val="0"/>
                                                      <w:divBdr>
                                                        <w:top w:val="none" w:sz="0" w:space="0" w:color="auto"/>
                                                        <w:left w:val="none" w:sz="0" w:space="0" w:color="auto"/>
                                                        <w:bottom w:val="none" w:sz="0" w:space="0" w:color="auto"/>
                                                        <w:right w:val="none" w:sz="0" w:space="0" w:color="auto"/>
                                                      </w:divBdr>
                                                      <w:divsChild>
                                                        <w:div w:id="1346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712148">
      <w:bodyDiv w:val="1"/>
      <w:marLeft w:val="0"/>
      <w:marRight w:val="0"/>
      <w:marTop w:val="0"/>
      <w:marBottom w:val="0"/>
      <w:divBdr>
        <w:top w:val="none" w:sz="0" w:space="0" w:color="auto"/>
        <w:left w:val="none" w:sz="0" w:space="0" w:color="auto"/>
        <w:bottom w:val="none" w:sz="0" w:space="0" w:color="auto"/>
        <w:right w:val="none" w:sz="0" w:space="0" w:color="auto"/>
      </w:divBdr>
      <w:divsChild>
        <w:div w:id="1527257058">
          <w:marLeft w:val="0"/>
          <w:marRight w:val="0"/>
          <w:marTop w:val="0"/>
          <w:marBottom w:val="0"/>
          <w:divBdr>
            <w:top w:val="none" w:sz="0" w:space="0" w:color="auto"/>
            <w:left w:val="none" w:sz="0" w:space="0" w:color="auto"/>
            <w:bottom w:val="none" w:sz="0" w:space="0" w:color="auto"/>
            <w:right w:val="none" w:sz="0" w:space="0" w:color="auto"/>
          </w:divBdr>
          <w:divsChild>
            <w:div w:id="532500224">
              <w:marLeft w:val="0"/>
              <w:marRight w:val="0"/>
              <w:marTop w:val="0"/>
              <w:marBottom w:val="0"/>
              <w:divBdr>
                <w:top w:val="none" w:sz="0" w:space="0" w:color="auto"/>
                <w:left w:val="none" w:sz="0" w:space="0" w:color="auto"/>
                <w:bottom w:val="none" w:sz="0" w:space="0" w:color="auto"/>
                <w:right w:val="none" w:sz="0" w:space="0" w:color="auto"/>
              </w:divBdr>
              <w:divsChild>
                <w:div w:id="1669677301">
                  <w:marLeft w:val="0"/>
                  <w:marRight w:val="0"/>
                  <w:marTop w:val="0"/>
                  <w:marBottom w:val="0"/>
                  <w:divBdr>
                    <w:top w:val="none" w:sz="0" w:space="0" w:color="auto"/>
                    <w:left w:val="none" w:sz="0" w:space="0" w:color="auto"/>
                    <w:bottom w:val="none" w:sz="0" w:space="0" w:color="auto"/>
                    <w:right w:val="none" w:sz="0" w:space="0" w:color="auto"/>
                  </w:divBdr>
                  <w:divsChild>
                    <w:div w:id="167402748">
                      <w:marLeft w:val="0"/>
                      <w:marRight w:val="0"/>
                      <w:marTop w:val="0"/>
                      <w:marBottom w:val="0"/>
                      <w:divBdr>
                        <w:top w:val="none" w:sz="0" w:space="0" w:color="auto"/>
                        <w:left w:val="none" w:sz="0" w:space="0" w:color="auto"/>
                        <w:bottom w:val="none" w:sz="0" w:space="0" w:color="auto"/>
                        <w:right w:val="none" w:sz="0" w:space="0" w:color="auto"/>
                      </w:divBdr>
                      <w:divsChild>
                        <w:div w:id="900554892">
                          <w:marLeft w:val="0"/>
                          <w:marRight w:val="0"/>
                          <w:marTop w:val="0"/>
                          <w:marBottom w:val="0"/>
                          <w:divBdr>
                            <w:top w:val="none" w:sz="0" w:space="0" w:color="auto"/>
                            <w:left w:val="none" w:sz="0" w:space="0" w:color="auto"/>
                            <w:bottom w:val="none" w:sz="0" w:space="0" w:color="auto"/>
                            <w:right w:val="none" w:sz="0" w:space="0" w:color="auto"/>
                          </w:divBdr>
                          <w:divsChild>
                            <w:div w:id="1780370702">
                              <w:marLeft w:val="0"/>
                              <w:marRight w:val="0"/>
                              <w:marTop w:val="0"/>
                              <w:marBottom w:val="0"/>
                              <w:divBdr>
                                <w:top w:val="none" w:sz="0" w:space="0" w:color="auto"/>
                                <w:left w:val="none" w:sz="0" w:space="0" w:color="auto"/>
                                <w:bottom w:val="none" w:sz="0" w:space="0" w:color="auto"/>
                                <w:right w:val="none" w:sz="0" w:space="0" w:color="auto"/>
                              </w:divBdr>
                              <w:divsChild>
                                <w:div w:id="1341927997">
                                  <w:marLeft w:val="0"/>
                                  <w:marRight w:val="0"/>
                                  <w:marTop w:val="0"/>
                                  <w:marBottom w:val="0"/>
                                  <w:divBdr>
                                    <w:top w:val="none" w:sz="0" w:space="0" w:color="auto"/>
                                    <w:left w:val="none" w:sz="0" w:space="0" w:color="auto"/>
                                    <w:bottom w:val="none" w:sz="0" w:space="0" w:color="auto"/>
                                    <w:right w:val="none" w:sz="0" w:space="0" w:color="auto"/>
                                  </w:divBdr>
                                  <w:divsChild>
                                    <w:div w:id="324475874">
                                      <w:marLeft w:val="0"/>
                                      <w:marRight w:val="0"/>
                                      <w:marTop w:val="0"/>
                                      <w:marBottom w:val="0"/>
                                      <w:divBdr>
                                        <w:top w:val="none" w:sz="0" w:space="0" w:color="auto"/>
                                        <w:left w:val="none" w:sz="0" w:space="0" w:color="auto"/>
                                        <w:bottom w:val="none" w:sz="0" w:space="0" w:color="auto"/>
                                        <w:right w:val="none" w:sz="0" w:space="0" w:color="auto"/>
                                      </w:divBdr>
                                      <w:divsChild>
                                        <w:div w:id="857888838">
                                          <w:marLeft w:val="0"/>
                                          <w:marRight w:val="0"/>
                                          <w:marTop w:val="0"/>
                                          <w:marBottom w:val="0"/>
                                          <w:divBdr>
                                            <w:top w:val="none" w:sz="0" w:space="0" w:color="auto"/>
                                            <w:left w:val="none" w:sz="0" w:space="0" w:color="auto"/>
                                            <w:bottom w:val="none" w:sz="0" w:space="0" w:color="auto"/>
                                            <w:right w:val="none" w:sz="0" w:space="0" w:color="auto"/>
                                          </w:divBdr>
                                          <w:divsChild>
                                            <w:div w:id="659164819">
                                              <w:marLeft w:val="0"/>
                                              <w:marRight w:val="0"/>
                                              <w:marTop w:val="0"/>
                                              <w:marBottom w:val="0"/>
                                              <w:divBdr>
                                                <w:top w:val="none" w:sz="0" w:space="0" w:color="auto"/>
                                                <w:left w:val="none" w:sz="0" w:space="0" w:color="auto"/>
                                                <w:bottom w:val="none" w:sz="0" w:space="0" w:color="auto"/>
                                                <w:right w:val="none" w:sz="0" w:space="0" w:color="auto"/>
                                              </w:divBdr>
                                              <w:divsChild>
                                                <w:div w:id="826361078">
                                                  <w:marLeft w:val="0"/>
                                                  <w:marRight w:val="0"/>
                                                  <w:marTop w:val="0"/>
                                                  <w:marBottom w:val="0"/>
                                                  <w:divBdr>
                                                    <w:top w:val="none" w:sz="0" w:space="0" w:color="auto"/>
                                                    <w:left w:val="none" w:sz="0" w:space="0" w:color="auto"/>
                                                    <w:bottom w:val="none" w:sz="0" w:space="0" w:color="auto"/>
                                                    <w:right w:val="none" w:sz="0" w:space="0" w:color="auto"/>
                                                  </w:divBdr>
                                                  <w:divsChild>
                                                    <w:div w:id="1012877742">
                                                      <w:marLeft w:val="0"/>
                                                      <w:marRight w:val="0"/>
                                                      <w:marTop w:val="0"/>
                                                      <w:marBottom w:val="0"/>
                                                      <w:divBdr>
                                                        <w:top w:val="none" w:sz="0" w:space="0" w:color="auto"/>
                                                        <w:left w:val="none" w:sz="0" w:space="0" w:color="auto"/>
                                                        <w:bottom w:val="none" w:sz="0" w:space="0" w:color="auto"/>
                                                        <w:right w:val="none" w:sz="0" w:space="0" w:color="auto"/>
                                                      </w:divBdr>
                                                      <w:divsChild>
                                                        <w:div w:id="20272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385128">
      <w:bodyDiv w:val="1"/>
      <w:marLeft w:val="0"/>
      <w:marRight w:val="0"/>
      <w:marTop w:val="0"/>
      <w:marBottom w:val="0"/>
      <w:divBdr>
        <w:top w:val="none" w:sz="0" w:space="0" w:color="auto"/>
        <w:left w:val="none" w:sz="0" w:space="0" w:color="auto"/>
        <w:bottom w:val="none" w:sz="0" w:space="0" w:color="auto"/>
        <w:right w:val="none" w:sz="0" w:space="0" w:color="auto"/>
      </w:divBdr>
    </w:div>
    <w:div w:id="1540781877">
      <w:bodyDiv w:val="1"/>
      <w:marLeft w:val="0"/>
      <w:marRight w:val="0"/>
      <w:marTop w:val="0"/>
      <w:marBottom w:val="0"/>
      <w:divBdr>
        <w:top w:val="none" w:sz="0" w:space="0" w:color="auto"/>
        <w:left w:val="none" w:sz="0" w:space="0" w:color="auto"/>
        <w:bottom w:val="none" w:sz="0" w:space="0" w:color="auto"/>
        <w:right w:val="none" w:sz="0" w:space="0" w:color="auto"/>
      </w:divBdr>
    </w:div>
    <w:div w:id="1964649344">
      <w:bodyDiv w:val="1"/>
      <w:marLeft w:val="0"/>
      <w:marRight w:val="0"/>
      <w:marTop w:val="0"/>
      <w:marBottom w:val="0"/>
      <w:divBdr>
        <w:top w:val="none" w:sz="0" w:space="0" w:color="auto"/>
        <w:left w:val="none" w:sz="0" w:space="0" w:color="auto"/>
        <w:bottom w:val="none" w:sz="0" w:space="0" w:color="auto"/>
        <w:right w:val="none" w:sz="0" w:space="0" w:color="auto"/>
      </w:divBdr>
      <w:divsChild>
        <w:div w:id="450125270">
          <w:marLeft w:val="0"/>
          <w:marRight w:val="0"/>
          <w:marTop w:val="0"/>
          <w:marBottom w:val="0"/>
          <w:divBdr>
            <w:top w:val="none" w:sz="0" w:space="0" w:color="auto"/>
            <w:left w:val="none" w:sz="0" w:space="0" w:color="auto"/>
            <w:bottom w:val="none" w:sz="0" w:space="0" w:color="auto"/>
            <w:right w:val="none" w:sz="0" w:space="0" w:color="auto"/>
          </w:divBdr>
          <w:divsChild>
            <w:div w:id="1774782515">
              <w:marLeft w:val="0"/>
              <w:marRight w:val="0"/>
              <w:marTop w:val="0"/>
              <w:marBottom w:val="0"/>
              <w:divBdr>
                <w:top w:val="none" w:sz="0" w:space="0" w:color="auto"/>
                <w:left w:val="none" w:sz="0" w:space="0" w:color="auto"/>
                <w:bottom w:val="none" w:sz="0" w:space="0" w:color="auto"/>
                <w:right w:val="none" w:sz="0" w:space="0" w:color="auto"/>
              </w:divBdr>
              <w:divsChild>
                <w:div w:id="1125925035">
                  <w:marLeft w:val="0"/>
                  <w:marRight w:val="0"/>
                  <w:marTop w:val="0"/>
                  <w:marBottom w:val="0"/>
                  <w:divBdr>
                    <w:top w:val="none" w:sz="0" w:space="0" w:color="auto"/>
                    <w:left w:val="none" w:sz="0" w:space="0" w:color="auto"/>
                    <w:bottom w:val="none" w:sz="0" w:space="0" w:color="auto"/>
                    <w:right w:val="none" w:sz="0" w:space="0" w:color="auto"/>
                  </w:divBdr>
                  <w:divsChild>
                    <w:div w:id="1180898437">
                      <w:marLeft w:val="0"/>
                      <w:marRight w:val="0"/>
                      <w:marTop w:val="0"/>
                      <w:marBottom w:val="0"/>
                      <w:divBdr>
                        <w:top w:val="none" w:sz="0" w:space="0" w:color="auto"/>
                        <w:left w:val="none" w:sz="0" w:space="0" w:color="auto"/>
                        <w:bottom w:val="none" w:sz="0" w:space="0" w:color="auto"/>
                        <w:right w:val="none" w:sz="0" w:space="0" w:color="auto"/>
                      </w:divBdr>
                      <w:divsChild>
                        <w:div w:id="50815388">
                          <w:marLeft w:val="0"/>
                          <w:marRight w:val="0"/>
                          <w:marTop w:val="0"/>
                          <w:marBottom w:val="0"/>
                          <w:divBdr>
                            <w:top w:val="none" w:sz="0" w:space="0" w:color="auto"/>
                            <w:left w:val="none" w:sz="0" w:space="0" w:color="auto"/>
                            <w:bottom w:val="none" w:sz="0" w:space="0" w:color="auto"/>
                            <w:right w:val="none" w:sz="0" w:space="0" w:color="auto"/>
                          </w:divBdr>
                          <w:divsChild>
                            <w:div w:id="397049">
                              <w:marLeft w:val="0"/>
                              <w:marRight w:val="0"/>
                              <w:marTop w:val="0"/>
                              <w:marBottom w:val="0"/>
                              <w:divBdr>
                                <w:top w:val="none" w:sz="0" w:space="0" w:color="auto"/>
                                <w:left w:val="none" w:sz="0" w:space="0" w:color="auto"/>
                                <w:bottom w:val="none" w:sz="0" w:space="0" w:color="auto"/>
                                <w:right w:val="none" w:sz="0" w:space="0" w:color="auto"/>
                              </w:divBdr>
                              <w:divsChild>
                                <w:div w:id="893976913">
                                  <w:marLeft w:val="0"/>
                                  <w:marRight w:val="0"/>
                                  <w:marTop w:val="0"/>
                                  <w:marBottom w:val="0"/>
                                  <w:divBdr>
                                    <w:top w:val="none" w:sz="0" w:space="0" w:color="auto"/>
                                    <w:left w:val="none" w:sz="0" w:space="0" w:color="auto"/>
                                    <w:bottom w:val="none" w:sz="0" w:space="0" w:color="auto"/>
                                    <w:right w:val="none" w:sz="0" w:space="0" w:color="auto"/>
                                  </w:divBdr>
                                  <w:divsChild>
                                    <w:div w:id="2088069559">
                                      <w:marLeft w:val="0"/>
                                      <w:marRight w:val="0"/>
                                      <w:marTop w:val="0"/>
                                      <w:marBottom w:val="0"/>
                                      <w:divBdr>
                                        <w:top w:val="none" w:sz="0" w:space="0" w:color="auto"/>
                                        <w:left w:val="none" w:sz="0" w:space="0" w:color="auto"/>
                                        <w:bottom w:val="none" w:sz="0" w:space="0" w:color="auto"/>
                                        <w:right w:val="none" w:sz="0" w:space="0" w:color="auto"/>
                                      </w:divBdr>
                                      <w:divsChild>
                                        <w:div w:id="1304850750">
                                          <w:marLeft w:val="0"/>
                                          <w:marRight w:val="0"/>
                                          <w:marTop w:val="0"/>
                                          <w:marBottom w:val="0"/>
                                          <w:divBdr>
                                            <w:top w:val="none" w:sz="0" w:space="0" w:color="auto"/>
                                            <w:left w:val="none" w:sz="0" w:space="0" w:color="auto"/>
                                            <w:bottom w:val="none" w:sz="0" w:space="0" w:color="auto"/>
                                            <w:right w:val="none" w:sz="0" w:space="0" w:color="auto"/>
                                          </w:divBdr>
                                          <w:divsChild>
                                            <w:div w:id="311759795">
                                              <w:marLeft w:val="0"/>
                                              <w:marRight w:val="0"/>
                                              <w:marTop w:val="0"/>
                                              <w:marBottom w:val="0"/>
                                              <w:divBdr>
                                                <w:top w:val="none" w:sz="0" w:space="0" w:color="auto"/>
                                                <w:left w:val="none" w:sz="0" w:space="0" w:color="auto"/>
                                                <w:bottom w:val="none" w:sz="0" w:space="0" w:color="auto"/>
                                                <w:right w:val="none" w:sz="0" w:space="0" w:color="auto"/>
                                              </w:divBdr>
                                              <w:divsChild>
                                                <w:div w:id="1159535725">
                                                  <w:marLeft w:val="0"/>
                                                  <w:marRight w:val="0"/>
                                                  <w:marTop w:val="0"/>
                                                  <w:marBottom w:val="0"/>
                                                  <w:divBdr>
                                                    <w:top w:val="none" w:sz="0" w:space="0" w:color="auto"/>
                                                    <w:left w:val="none" w:sz="0" w:space="0" w:color="auto"/>
                                                    <w:bottom w:val="none" w:sz="0" w:space="0" w:color="auto"/>
                                                    <w:right w:val="none" w:sz="0" w:space="0" w:color="auto"/>
                                                  </w:divBdr>
                                                  <w:divsChild>
                                                    <w:div w:id="2124766563">
                                                      <w:marLeft w:val="0"/>
                                                      <w:marRight w:val="0"/>
                                                      <w:marTop w:val="0"/>
                                                      <w:marBottom w:val="0"/>
                                                      <w:divBdr>
                                                        <w:top w:val="none" w:sz="0" w:space="0" w:color="auto"/>
                                                        <w:left w:val="none" w:sz="0" w:space="0" w:color="auto"/>
                                                        <w:bottom w:val="none" w:sz="0" w:space="0" w:color="auto"/>
                                                        <w:right w:val="none" w:sz="0" w:space="0" w:color="auto"/>
                                                      </w:divBdr>
                                                      <w:divsChild>
                                                        <w:div w:id="8287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2937\AppData\Local\Microsoft\Windows\INetCache\IE\V1A9OBBJ\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9BF9B2883124598ABE3329268DB45" ma:contentTypeVersion="4" ma:contentTypeDescription="Create a new document." ma:contentTypeScope="" ma:versionID="112021dea55407d1352e21975ce0eb99">
  <xsd:schema xmlns:xsd="http://www.w3.org/2001/XMLSchema" xmlns:xs="http://www.w3.org/2001/XMLSchema" xmlns:p="http://schemas.microsoft.com/office/2006/metadata/properties" xmlns:ns3="2ccae5fa-19e2-410c-9927-e9b203bf454a" targetNamespace="http://schemas.microsoft.com/office/2006/metadata/properties" ma:root="true" ma:fieldsID="b29dc2ec7ac652afb93d0da7482d2fcf" ns3:_="">
    <xsd:import namespace="2ccae5fa-19e2-410c-9927-e9b203bf45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ae5fa-19e2-410c-9927-e9b203bf4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019FA-A7E6-4336-A1CC-BA7C88834DA7}">
  <ds:schemaRefs>
    <ds:schemaRef ds:uri="http://schemas.microsoft.com/sharepoint/v3/contenttype/forms"/>
  </ds:schemaRefs>
</ds:datastoreItem>
</file>

<file path=customXml/itemProps2.xml><?xml version="1.0" encoding="utf-8"?>
<ds:datastoreItem xmlns:ds="http://schemas.openxmlformats.org/officeDocument/2006/customXml" ds:itemID="{7F7A54CF-5834-43D9-865C-7D8B575E7147}">
  <ds:schemaRefs>
    <ds:schemaRef ds:uri="http://schemas.openxmlformats.org/package/2006/metadata/core-properties"/>
    <ds:schemaRef ds:uri="2ccae5fa-19e2-410c-9927-e9b203bf454a"/>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0E60704-7247-4580-8D03-1941C9074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ae5fa-19e2-410c-9927-e9b203bf4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1</TotalTime>
  <Pages>18</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HAYNES,Natalie</dc:creator>
  <cp:lastModifiedBy>BAKER,Fiona</cp:lastModifiedBy>
  <cp:revision>3</cp:revision>
  <dcterms:created xsi:type="dcterms:W3CDTF">2020-12-14T00:24:00Z</dcterms:created>
  <dcterms:modified xsi:type="dcterms:W3CDTF">2020-12-14T00:24:00Z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0x0101007849BF9B2883124598ABE3329268DB45</vt:lpwstr>
  </property>
</Properties>
</file>