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1650C" w14:textId="6EE4DC51" w:rsidR="0078659F" w:rsidRPr="00FC15DE" w:rsidRDefault="00CC2AAA" w:rsidP="0078659F">
      <w:pPr>
        <w:jc w:val="center"/>
        <w:rPr>
          <w:rFonts w:ascii="Times New Roman" w:hAnsi="Times New Roman"/>
          <w:b/>
          <w:color w:val="000000"/>
          <w:sz w:val="24"/>
          <w:szCs w:val="24"/>
          <w:u w:val="single"/>
        </w:rPr>
      </w:pPr>
      <w:r w:rsidRPr="00FC15DE">
        <w:rPr>
          <w:rFonts w:ascii="Times New Roman" w:hAnsi="Times New Roman"/>
          <w:b/>
          <w:color w:val="000000"/>
          <w:sz w:val="24"/>
          <w:szCs w:val="24"/>
          <w:u w:val="single"/>
        </w:rPr>
        <w:t xml:space="preserve">REPLACEMENT </w:t>
      </w:r>
      <w:r w:rsidR="0078659F" w:rsidRPr="00FC15DE">
        <w:rPr>
          <w:rFonts w:ascii="Times New Roman" w:hAnsi="Times New Roman"/>
          <w:b/>
          <w:color w:val="000000"/>
          <w:sz w:val="24"/>
          <w:szCs w:val="24"/>
          <w:u w:val="single"/>
        </w:rPr>
        <w:t>EXPLANATORY STATEMENT</w:t>
      </w:r>
    </w:p>
    <w:p w14:paraId="3B2E4597" w14:textId="77777777" w:rsidR="0078659F" w:rsidRPr="00FC15DE" w:rsidRDefault="0078659F" w:rsidP="0078659F">
      <w:pPr>
        <w:rPr>
          <w:rFonts w:ascii="Times New Roman" w:hAnsi="Times New Roman"/>
          <w:color w:val="000000"/>
          <w:sz w:val="24"/>
          <w:szCs w:val="24"/>
        </w:rPr>
      </w:pPr>
    </w:p>
    <w:p w14:paraId="79308F96" w14:textId="77777777" w:rsidR="0078659F" w:rsidRPr="00FC15DE" w:rsidRDefault="0078659F" w:rsidP="0078659F">
      <w:pPr>
        <w:jc w:val="center"/>
        <w:rPr>
          <w:rFonts w:ascii="Times New Roman" w:hAnsi="Times New Roman"/>
          <w:i/>
          <w:color w:val="000000"/>
          <w:sz w:val="24"/>
          <w:szCs w:val="24"/>
        </w:rPr>
      </w:pPr>
      <w:r w:rsidRPr="00FC15DE">
        <w:rPr>
          <w:rFonts w:ascii="Times New Roman" w:hAnsi="Times New Roman"/>
          <w:i/>
          <w:color w:val="000000"/>
          <w:sz w:val="24"/>
          <w:szCs w:val="24"/>
        </w:rPr>
        <w:t>Guidelines issued under section 238-10 of the Higher Education Support Act 2003</w:t>
      </w:r>
    </w:p>
    <w:p w14:paraId="5701769C" w14:textId="77777777" w:rsidR="0078659F" w:rsidRPr="00FC15DE" w:rsidRDefault="0078659F" w:rsidP="0078659F">
      <w:pPr>
        <w:jc w:val="center"/>
        <w:rPr>
          <w:rFonts w:ascii="Times New Roman" w:hAnsi="Times New Roman"/>
          <w:color w:val="000000"/>
          <w:sz w:val="24"/>
          <w:szCs w:val="24"/>
          <w:u w:val="single"/>
        </w:rPr>
      </w:pPr>
    </w:p>
    <w:p w14:paraId="6E302818" w14:textId="77777777" w:rsidR="0078659F" w:rsidRPr="00FC15DE" w:rsidRDefault="0078659F" w:rsidP="0078659F">
      <w:pPr>
        <w:jc w:val="center"/>
        <w:rPr>
          <w:rFonts w:ascii="Times New Roman" w:hAnsi="Times New Roman"/>
          <w:color w:val="000000"/>
          <w:sz w:val="24"/>
          <w:szCs w:val="24"/>
        </w:rPr>
      </w:pPr>
      <w:r w:rsidRPr="00FC15DE">
        <w:rPr>
          <w:rFonts w:ascii="Times New Roman" w:hAnsi="Times New Roman"/>
          <w:i/>
          <w:color w:val="000000"/>
          <w:sz w:val="24"/>
          <w:szCs w:val="24"/>
        </w:rPr>
        <w:t>Commonwealth Grant Schemes Guidelines 2020</w:t>
      </w:r>
    </w:p>
    <w:p w14:paraId="487F105D" w14:textId="77777777" w:rsidR="0078659F" w:rsidRPr="00FC15DE" w:rsidRDefault="0078659F" w:rsidP="0078659F">
      <w:pPr>
        <w:rPr>
          <w:rFonts w:ascii="Times New Roman" w:hAnsi="Times New Roman"/>
          <w:color w:val="000000"/>
          <w:sz w:val="24"/>
          <w:szCs w:val="24"/>
          <w:u w:val="single"/>
        </w:rPr>
      </w:pPr>
    </w:p>
    <w:p w14:paraId="4DA38C23" w14:textId="77777777" w:rsidR="0078659F" w:rsidRPr="00FC15DE" w:rsidRDefault="0078659F" w:rsidP="0078659F">
      <w:pPr>
        <w:rPr>
          <w:rFonts w:ascii="Times New Roman" w:hAnsi="Times New Roman"/>
          <w:color w:val="000000"/>
          <w:sz w:val="24"/>
          <w:szCs w:val="24"/>
        </w:rPr>
      </w:pPr>
    </w:p>
    <w:p w14:paraId="1643F814" w14:textId="77777777" w:rsidR="0078659F" w:rsidRPr="00FC15DE" w:rsidRDefault="0078659F" w:rsidP="0078659F">
      <w:pPr>
        <w:rPr>
          <w:rFonts w:ascii="Times New Roman" w:hAnsi="Times New Roman"/>
          <w:b/>
          <w:color w:val="000000"/>
          <w:sz w:val="24"/>
          <w:szCs w:val="24"/>
        </w:rPr>
      </w:pPr>
      <w:r w:rsidRPr="00FC15DE">
        <w:rPr>
          <w:rFonts w:ascii="Times New Roman" w:hAnsi="Times New Roman"/>
          <w:b/>
          <w:color w:val="000000"/>
          <w:sz w:val="24"/>
          <w:szCs w:val="24"/>
        </w:rPr>
        <w:t>Authority</w:t>
      </w:r>
    </w:p>
    <w:p w14:paraId="5CF656A5" w14:textId="77777777" w:rsidR="006E2545" w:rsidRPr="00FC15DE" w:rsidRDefault="006E2545" w:rsidP="0078659F">
      <w:pPr>
        <w:rPr>
          <w:rFonts w:ascii="Times New Roman" w:hAnsi="Times New Roman"/>
          <w:color w:val="000000"/>
          <w:sz w:val="24"/>
          <w:szCs w:val="24"/>
        </w:rPr>
      </w:pPr>
    </w:p>
    <w:p w14:paraId="4890D72E" w14:textId="5E3FEB50" w:rsidR="0078659F" w:rsidRPr="00FC15DE" w:rsidRDefault="0078659F" w:rsidP="0078659F">
      <w:pPr>
        <w:rPr>
          <w:rFonts w:ascii="Times New Roman" w:hAnsi="Times New Roman"/>
          <w:color w:val="000000"/>
          <w:sz w:val="24"/>
          <w:szCs w:val="24"/>
        </w:rPr>
      </w:pPr>
      <w:r w:rsidRPr="00FC15DE">
        <w:rPr>
          <w:rFonts w:ascii="Times New Roman" w:hAnsi="Times New Roman"/>
          <w:color w:val="000000"/>
          <w:sz w:val="24"/>
          <w:szCs w:val="24"/>
        </w:rPr>
        <w:t xml:space="preserve">Section 238-10 of the </w:t>
      </w:r>
      <w:r w:rsidRPr="00FC15DE">
        <w:rPr>
          <w:rFonts w:ascii="Times New Roman" w:hAnsi="Times New Roman"/>
          <w:i/>
          <w:color w:val="000000"/>
          <w:sz w:val="24"/>
          <w:szCs w:val="24"/>
        </w:rPr>
        <w:t>Higher Education Support Act 2003</w:t>
      </w:r>
      <w:r w:rsidRPr="00FC15DE">
        <w:rPr>
          <w:rFonts w:ascii="Times New Roman" w:hAnsi="Times New Roman"/>
          <w:color w:val="000000"/>
          <w:sz w:val="24"/>
          <w:szCs w:val="24"/>
        </w:rPr>
        <w:t xml:space="preserve"> (the Act) provides that the Minister may make guidelines for the purposes of the Act. </w:t>
      </w:r>
      <w:proofErr w:type="gramStart"/>
      <w:r w:rsidRPr="00FC15DE">
        <w:rPr>
          <w:rFonts w:ascii="Times New Roman" w:hAnsi="Times New Roman"/>
          <w:color w:val="000000"/>
          <w:sz w:val="24"/>
          <w:szCs w:val="24"/>
        </w:rPr>
        <w:t>In particular, item</w:t>
      </w:r>
      <w:proofErr w:type="gramEnd"/>
      <w:r w:rsidRPr="00FC15DE">
        <w:rPr>
          <w:rFonts w:ascii="Times New Roman" w:hAnsi="Times New Roman"/>
          <w:color w:val="000000"/>
          <w:sz w:val="24"/>
          <w:szCs w:val="24"/>
        </w:rPr>
        <w:t xml:space="preserve"> 2 of the table in subsection 238-10(1) specifies the Minister may make Commonwealth Grant Scheme Guidelines to give effect to matters set out in Part 2-2</w:t>
      </w:r>
      <w:r w:rsidR="000E3C59" w:rsidRPr="00FC15DE">
        <w:rPr>
          <w:rFonts w:ascii="Times New Roman" w:hAnsi="Times New Roman"/>
          <w:color w:val="000000"/>
          <w:sz w:val="24"/>
          <w:szCs w:val="24"/>
        </w:rPr>
        <w:t xml:space="preserve"> (Commonwealth Grant Scheme)</w:t>
      </w:r>
      <w:r w:rsidRPr="00FC15DE">
        <w:rPr>
          <w:rFonts w:ascii="Times New Roman" w:hAnsi="Times New Roman"/>
          <w:color w:val="000000"/>
          <w:sz w:val="24"/>
          <w:szCs w:val="24"/>
        </w:rPr>
        <w:t xml:space="preserve"> of the Act.  </w:t>
      </w:r>
    </w:p>
    <w:p w14:paraId="779BD739" w14:textId="77777777" w:rsidR="0078659F" w:rsidRPr="00FC15DE" w:rsidRDefault="0078659F" w:rsidP="0078659F">
      <w:pPr>
        <w:rPr>
          <w:rFonts w:ascii="Times New Roman" w:hAnsi="Times New Roman"/>
          <w:color w:val="000000"/>
          <w:sz w:val="24"/>
          <w:szCs w:val="24"/>
        </w:rPr>
      </w:pPr>
    </w:p>
    <w:p w14:paraId="309CABE8" w14:textId="11AAA9EE" w:rsidR="0078659F" w:rsidRPr="00FC15DE" w:rsidRDefault="0078659F" w:rsidP="0078659F">
      <w:pPr>
        <w:rPr>
          <w:rFonts w:ascii="Times New Roman" w:hAnsi="Times New Roman"/>
          <w:iCs/>
          <w:color w:val="000000"/>
          <w:sz w:val="24"/>
          <w:szCs w:val="24"/>
        </w:rPr>
      </w:pPr>
      <w:r w:rsidRPr="00FC15DE">
        <w:rPr>
          <w:rFonts w:ascii="Times New Roman" w:hAnsi="Times New Roman"/>
          <w:color w:val="000000"/>
          <w:sz w:val="24"/>
          <w:szCs w:val="24"/>
        </w:rPr>
        <w:t>S</w:t>
      </w:r>
      <w:r w:rsidR="00E05ED8" w:rsidRPr="00FC15DE">
        <w:rPr>
          <w:rFonts w:ascii="Times New Roman" w:hAnsi="Times New Roman"/>
          <w:color w:val="000000"/>
          <w:sz w:val="24"/>
          <w:szCs w:val="24"/>
        </w:rPr>
        <w:t>ubs</w:t>
      </w:r>
      <w:r w:rsidRPr="00FC15DE">
        <w:rPr>
          <w:rFonts w:ascii="Times New Roman" w:hAnsi="Times New Roman"/>
          <w:color w:val="000000"/>
          <w:sz w:val="24"/>
          <w:szCs w:val="24"/>
        </w:rPr>
        <w:t xml:space="preserve">ection 33(3) of the </w:t>
      </w:r>
      <w:r w:rsidRPr="00FC15DE">
        <w:rPr>
          <w:rFonts w:ascii="Times New Roman" w:hAnsi="Times New Roman"/>
          <w:i/>
          <w:color w:val="000000"/>
          <w:sz w:val="24"/>
          <w:szCs w:val="24"/>
        </w:rPr>
        <w:t>Acts Interpretation Act 1901</w:t>
      </w:r>
      <w:r w:rsidRPr="00FC15DE">
        <w:rPr>
          <w:rFonts w:ascii="Times New Roman" w:hAnsi="Times New Roman"/>
          <w:color w:val="000000"/>
          <w:sz w:val="24"/>
          <w:szCs w:val="24"/>
        </w:rPr>
        <w:t xml:space="preserve"> also provides that where an Act confers a power to make, grant or issue any instrument of a legislative or administrative character—including rules, regulations or by-laws—the power shall be construed as including the power exercisable in the like manner and subject to the like conditions (if any) to repeal, rescind, revoke, amend, or vary any such instrument. </w:t>
      </w:r>
      <w:r w:rsidR="00E05ED8" w:rsidRPr="00FC15DE">
        <w:rPr>
          <w:rFonts w:ascii="Times New Roman" w:hAnsi="Times New Roman"/>
          <w:color w:val="000000"/>
          <w:sz w:val="24"/>
          <w:szCs w:val="24"/>
        </w:rPr>
        <w:t xml:space="preserve">The repeal of the </w:t>
      </w:r>
      <w:r w:rsidR="00E05ED8" w:rsidRPr="00FC15DE">
        <w:rPr>
          <w:rFonts w:ascii="Times New Roman" w:hAnsi="Times New Roman"/>
          <w:i/>
          <w:iCs/>
          <w:color w:val="000000"/>
          <w:sz w:val="24"/>
          <w:szCs w:val="24"/>
        </w:rPr>
        <w:t>Commonwealth Grant Scheme Guidelines 2012</w:t>
      </w:r>
      <w:r w:rsidR="00E05ED8" w:rsidRPr="00FC15DE">
        <w:rPr>
          <w:rFonts w:ascii="Times New Roman" w:hAnsi="Times New Roman"/>
          <w:iCs/>
          <w:color w:val="000000"/>
          <w:sz w:val="24"/>
          <w:szCs w:val="24"/>
        </w:rPr>
        <w:t xml:space="preserve"> by the Schedule to this instrument relies on that provision.</w:t>
      </w:r>
    </w:p>
    <w:p w14:paraId="057BA30D" w14:textId="77777777" w:rsidR="0078659F" w:rsidRPr="00FC15DE" w:rsidRDefault="0078659F" w:rsidP="0078659F">
      <w:pPr>
        <w:rPr>
          <w:rFonts w:ascii="Times New Roman" w:hAnsi="Times New Roman"/>
          <w:color w:val="000000"/>
          <w:sz w:val="24"/>
          <w:szCs w:val="24"/>
        </w:rPr>
      </w:pPr>
    </w:p>
    <w:p w14:paraId="732ACCF0" w14:textId="77777777" w:rsidR="0078659F" w:rsidRPr="00FC15DE" w:rsidRDefault="0078659F" w:rsidP="0078659F">
      <w:pPr>
        <w:rPr>
          <w:rFonts w:ascii="Times New Roman" w:hAnsi="Times New Roman"/>
          <w:b/>
          <w:color w:val="000000"/>
          <w:sz w:val="24"/>
          <w:szCs w:val="24"/>
        </w:rPr>
      </w:pPr>
      <w:r w:rsidRPr="00FC15DE">
        <w:rPr>
          <w:rFonts w:ascii="Times New Roman" w:hAnsi="Times New Roman"/>
          <w:b/>
          <w:color w:val="000000"/>
          <w:sz w:val="24"/>
          <w:szCs w:val="24"/>
        </w:rPr>
        <w:t>Purpose</w:t>
      </w:r>
    </w:p>
    <w:p w14:paraId="08B46ADB" w14:textId="77777777" w:rsidR="006E2545" w:rsidRPr="00FC15DE" w:rsidRDefault="006E2545" w:rsidP="0078659F">
      <w:pPr>
        <w:tabs>
          <w:tab w:val="left" w:pos="851"/>
        </w:tabs>
        <w:rPr>
          <w:rFonts w:ascii="Times New Roman" w:hAnsi="Times New Roman"/>
          <w:iCs/>
          <w:color w:val="000000"/>
          <w:sz w:val="24"/>
          <w:szCs w:val="24"/>
        </w:rPr>
      </w:pPr>
    </w:p>
    <w:p w14:paraId="4C04FB43" w14:textId="0F741F7C" w:rsidR="0078659F" w:rsidRPr="00FC15DE" w:rsidRDefault="0078659F" w:rsidP="0078659F">
      <w:pPr>
        <w:tabs>
          <w:tab w:val="left" w:pos="851"/>
        </w:tabs>
        <w:rPr>
          <w:rFonts w:ascii="Times New Roman" w:hAnsi="Times New Roman"/>
          <w:iCs/>
          <w:color w:val="000000"/>
          <w:sz w:val="24"/>
          <w:szCs w:val="24"/>
        </w:rPr>
      </w:pPr>
      <w:r w:rsidRPr="00FC15DE">
        <w:rPr>
          <w:rFonts w:ascii="Times New Roman" w:hAnsi="Times New Roman"/>
          <w:iCs/>
          <w:color w:val="000000"/>
          <w:sz w:val="24"/>
          <w:szCs w:val="24"/>
        </w:rPr>
        <w:t xml:space="preserve">The purpose of this instrument is to </w:t>
      </w:r>
      <w:r w:rsidR="005136FC" w:rsidRPr="00FC15DE">
        <w:rPr>
          <w:rFonts w:ascii="Times New Roman" w:hAnsi="Times New Roman"/>
          <w:iCs/>
          <w:color w:val="000000"/>
          <w:sz w:val="24"/>
          <w:szCs w:val="24"/>
        </w:rPr>
        <w:t xml:space="preserve">repeal </w:t>
      </w:r>
      <w:r w:rsidRPr="00FC15DE">
        <w:rPr>
          <w:rFonts w:ascii="Times New Roman" w:hAnsi="Times New Roman"/>
          <w:iCs/>
          <w:color w:val="000000"/>
          <w:sz w:val="24"/>
          <w:szCs w:val="24"/>
        </w:rPr>
        <w:t xml:space="preserve">the </w:t>
      </w:r>
      <w:r w:rsidRPr="00FC15DE">
        <w:rPr>
          <w:rFonts w:ascii="Times New Roman" w:hAnsi="Times New Roman"/>
          <w:i/>
          <w:iCs/>
          <w:color w:val="000000"/>
          <w:sz w:val="24"/>
          <w:szCs w:val="24"/>
        </w:rPr>
        <w:t xml:space="preserve">Commonwealth Grant Scheme Guidelines </w:t>
      </w:r>
      <w:r w:rsidR="001005C1" w:rsidRPr="00FC15DE">
        <w:rPr>
          <w:rFonts w:ascii="Times New Roman" w:hAnsi="Times New Roman"/>
          <w:i/>
          <w:iCs/>
          <w:color w:val="000000"/>
          <w:sz w:val="24"/>
          <w:szCs w:val="24"/>
        </w:rPr>
        <w:t>2012</w:t>
      </w:r>
      <w:r w:rsidR="001005C1" w:rsidRPr="00FC15DE">
        <w:rPr>
          <w:rFonts w:ascii="Times New Roman" w:hAnsi="Times New Roman"/>
          <w:iCs/>
          <w:color w:val="000000"/>
          <w:sz w:val="24"/>
          <w:szCs w:val="24"/>
        </w:rPr>
        <w:t xml:space="preserve"> </w:t>
      </w:r>
      <w:r w:rsidRPr="00FC15DE">
        <w:rPr>
          <w:rFonts w:ascii="Times New Roman" w:hAnsi="Times New Roman"/>
          <w:iCs/>
          <w:color w:val="000000"/>
          <w:sz w:val="24"/>
          <w:szCs w:val="24"/>
        </w:rPr>
        <w:t xml:space="preserve">made on </w:t>
      </w:r>
      <w:r w:rsidR="005B1988" w:rsidRPr="00FC15DE">
        <w:rPr>
          <w:rFonts w:ascii="Times New Roman" w:hAnsi="Times New Roman"/>
          <w:iCs/>
          <w:color w:val="000000"/>
          <w:sz w:val="24"/>
          <w:szCs w:val="24"/>
        </w:rPr>
        <w:t>27 November 2012</w:t>
      </w:r>
      <w:r w:rsidRPr="00FC15DE">
        <w:rPr>
          <w:rFonts w:ascii="Times New Roman" w:hAnsi="Times New Roman"/>
          <w:iCs/>
          <w:color w:val="000000"/>
          <w:sz w:val="24"/>
          <w:szCs w:val="24"/>
        </w:rPr>
        <w:t xml:space="preserve"> and </w:t>
      </w:r>
      <w:r w:rsidR="00E0765C" w:rsidRPr="00FC15DE">
        <w:rPr>
          <w:rFonts w:ascii="Times New Roman" w:hAnsi="Times New Roman"/>
          <w:iCs/>
          <w:color w:val="000000"/>
          <w:sz w:val="24"/>
          <w:szCs w:val="24"/>
        </w:rPr>
        <w:t>registered on 13 December 2012</w:t>
      </w:r>
      <w:r w:rsidRPr="00FC15DE">
        <w:rPr>
          <w:rFonts w:ascii="Times New Roman" w:hAnsi="Times New Roman"/>
          <w:iCs/>
          <w:color w:val="000000"/>
          <w:sz w:val="24"/>
          <w:szCs w:val="24"/>
        </w:rPr>
        <w:t xml:space="preserve"> (the Former Guidelines)</w:t>
      </w:r>
      <w:r w:rsidR="00E0765C" w:rsidRPr="00FC15DE">
        <w:rPr>
          <w:rFonts w:ascii="Times New Roman" w:hAnsi="Times New Roman"/>
          <w:iCs/>
          <w:color w:val="000000"/>
          <w:sz w:val="24"/>
          <w:szCs w:val="24"/>
        </w:rPr>
        <w:t>,</w:t>
      </w:r>
      <w:r w:rsidRPr="00FC15DE">
        <w:rPr>
          <w:rFonts w:ascii="Times New Roman" w:hAnsi="Times New Roman"/>
          <w:iCs/>
          <w:color w:val="000000"/>
          <w:sz w:val="24"/>
          <w:szCs w:val="24"/>
        </w:rPr>
        <w:t xml:space="preserve"> and all subsequent amendments</w:t>
      </w:r>
      <w:r w:rsidR="00E0765C" w:rsidRPr="00FC15DE">
        <w:rPr>
          <w:rFonts w:ascii="Times New Roman" w:hAnsi="Times New Roman"/>
          <w:iCs/>
          <w:color w:val="000000"/>
          <w:sz w:val="24"/>
          <w:szCs w:val="24"/>
        </w:rPr>
        <w:t>,</w:t>
      </w:r>
      <w:r w:rsidRPr="00FC15DE">
        <w:rPr>
          <w:rFonts w:ascii="Times New Roman" w:hAnsi="Times New Roman"/>
          <w:iCs/>
          <w:color w:val="000000"/>
          <w:sz w:val="24"/>
          <w:szCs w:val="24"/>
        </w:rPr>
        <w:t xml:space="preserve"> and make the </w:t>
      </w:r>
      <w:r w:rsidRPr="00FC15DE">
        <w:rPr>
          <w:rFonts w:ascii="Times New Roman" w:hAnsi="Times New Roman"/>
          <w:i/>
          <w:iCs/>
          <w:color w:val="000000"/>
          <w:sz w:val="24"/>
          <w:szCs w:val="24"/>
        </w:rPr>
        <w:t>Commonwealth Grant Scheme Guidelines 2020</w:t>
      </w:r>
      <w:r w:rsidRPr="00FC15DE">
        <w:rPr>
          <w:rFonts w:ascii="Times New Roman" w:hAnsi="Times New Roman"/>
          <w:iCs/>
          <w:color w:val="000000"/>
          <w:sz w:val="24"/>
          <w:szCs w:val="24"/>
        </w:rPr>
        <w:t xml:space="preserve"> (the Guidelines).</w:t>
      </w:r>
    </w:p>
    <w:p w14:paraId="76281EB7" w14:textId="77777777" w:rsidR="0078659F" w:rsidRPr="00FC15DE" w:rsidRDefault="0078659F" w:rsidP="0078659F">
      <w:pPr>
        <w:tabs>
          <w:tab w:val="left" w:pos="851"/>
        </w:tabs>
        <w:rPr>
          <w:rFonts w:ascii="Times New Roman" w:hAnsi="Times New Roman"/>
          <w:iCs/>
          <w:color w:val="000000"/>
          <w:sz w:val="24"/>
          <w:szCs w:val="24"/>
        </w:rPr>
      </w:pPr>
    </w:p>
    <w:p w14:paraId="18918C7B" w14:textId="2305BCFB" w:rsidR="008D1BBF" w:rsidRPr="00FC15DE" w:rsidRDefault="0078659F" w:rsidP="0078659F">
      <w:pPr>
        <w:tabs>
          <w:tab w:val="left" w:pos="851"/>
        </w:tabs>
        <w:rPr>
          <w:rFonts w:ascii="Times New Roman" w:hAnsi="Times New Roman"/>
          <w:iCs/>
          <w:color w:val="000000"/>
          <w:sz w:val="24"/>
          <w:szCs w:val="24"/>
        </w:rPr>
      </w:pPr>
      <w:r w:rsidRPr="00FC15DE">
        <w:rPr>
          <w:rFonts w:ascii="Times New Roman" w:hAnsi="Times New Roman"/>
          <w:iCs/>
          <w:color w:val="000000"/>
          <w:sz w:val="24"/>
          <w:szCs w:val="24"/>
        </w:rPr>
        <w:t>The changes made in re</w:t>
      </w:r>
      <w:r w:rsidR="009D2178" w:rsidRPr="00FC15DE">
        <w:rPr>
          <w:rFonts w:ascii="Times New Roman" w:hAnsi="Times New Roman"/>
          <w:iCs/>
          <w:color w:val="000000"/>
          <w:sz w:val="24"/>
          <w:szCs w:val="24"/>
        </w:rPr>
        <w:t>pealing</w:t>
      </w:r>
      <w:r w:rsidRPr="00FC15DE">
        <w:rPr>
          <w:rFonts w:ascii="Times New Roman" w:hAnsi="Times New Roman"/>
          <w:iCs/>
          <w:color w:val="000000"/>
          <w:sz w:val="24"/>
          <w:szCs w:val="24"/>
        </w:rPr>
        <w:t xml:space="preserve"> and remaking the Guidelines are</w:t>
      </w:r>
      <w:r w:rsidR="008D1BBF" w:rsidRPr="00FC15DE">
        <w:rPr>
          <w:rFonts w:ascii="Times New Roman" w:hAnsi="Times New Roman"/>
          <w:iCs/>
          <w:color w:val="000000"/>
          <w:sz w:val="24"/>
          <w:szCs w:val="24"/>
        </w:rPr>
        <w:t xml:space="preserve"> primarily</w:t>
      </w:r>
      <w:r w:rsidRPr="00FC15DE">
        <w:rPr>
          <w:rFonts w:ascii="Times New Roman" w:hAnsi="Times New Roman"/>
          <w:iCs/>
          <w:color w:val="000000"/>
          <w:sz w:val="24"/>
          <w:szCs w:val="24"/>
        </w:rPr>
        <w:t xml:space="preserve"> intended to give effect to the amendments to the Act made by the </w:t>
      </w:r>
      <w:r w:rsidRPr="00FC15DE">
        <w:rPr>
          <w:rFonts w:ascii="Times New Roman" w:hAnsi="Times New Roman"/>
          <w:i/>
          <w:iCs/>
          <w:color w:val="000000"/>
          <w:sz w:val="24"/>
          <w:szCs w:val="24"/>
        </w:rPr>
        <w:t xml:space="preserve">Higher Education Support Amendment </w:t>
      </w:r>
      <w:r w:rsidR="00AD6572" w:rsidRPr="00FC15DE">
        <w:rPr>
          <w:rFonts w:ascii="Times New Roman" w:hAnsi="Times New Roman"/>
          <w:i/>
          <w:iCs/>
          <w:color w:val="000000"/>
          <w:sz w:val="24"/>
          <w:szCs w:val="24"/>
        </w:rPr>
        <w:br/>
      </w:r>
      <w:r w:rsidRPr="00FC15DE">
        <w:rPr>
          <w:rFonts w:ascii="Times New Roman" w:hAnsi="Times New Roman"/>
          <w:i/>
          <w:iCs/>
          <w:color w:val="000000"/>
          <w:sz w:val="24"/>
          <w:szCs w:val="24"/>
        </w:rPr>
        <w:t>(Job-Ready Graduates and Supporting Regional and Remote Students) Act 2020</w:t>
      </w:r>
      <w:r w:rsidRPr="00FC15DE">
        <w:rPr>
          <w:rFonts w:ascii="Times New Roman" w:hAnsi="Times New Roman"/>
          <w:iCs/>
          <w:color w:val="000000"/>
          <w:sz w:val="24"/>
          <w:szCs w:val="24"/>
        </w:rPr>
        <w:t xml:space="preserve"> (the </w:t>
      </w:r>
      <w:r w:rsidR="00AD6572" w:rsidRPr="00FC15DE">
        <w:rPr>
          <w:rFonts w:ascii="Times New Roman" w:hAnsi="Times New Roman"/>
          <w:iCs/>
          <w:color w:val="000000"/>
          <w:sz w:val="24"/>
          <w:szCs w:val="24"/>
        </w:rPr>
        <w:br/>
      </w:r>
      <w:r w:rsidRPr="00FC15DE">
        <w:rPr>
          <w:rFonts w:ascii="Times New Roman" w:hAnsi="Times New Roman"/>
          <w:iCs/>
          <w:color w:val="000000"/>
          <w:sz w:val="24"/>
          <w:szCs w:val="24"/>
        </w:rPr>
        <w:t>Job-Ready Graduates Act).</w:t>
      </w:r>
      <w:r w:rsidR="008D1BBF" w:rsidRPr="00FC15DE">
        <w:rPr>
          <w:rFonts w:ascii="Times New Roman" w:hAnsi="Times New Roman"/>
          <w:iCs/>
          <w:color w:val="000000"/>
          <w:sz w:val="24"/>
          <w:szCs w:val="24"/>
        </w:rPr>
        <w:t xml:space="preserve"> </w:t>
      </w:r>
      <w:r w:rsidR="00C4145F" w:rsidRPr="00FC15DE">
        <w:rPr>
          <w:rFonts w:ascii="Times New Roman" w:hAnsi="Times New Roman"/>
          <w:iCs/>
          <w:color w:val="000000"/>
          <w:sz w:val="24"/>
          <w:szCs w:val="24"/>
        </w:rPr>
        <w:t>T</w:t>
      </w:r>
      <w:r w:rsidR="008D1BBF" w:rsidRPr="00FC15DE">
        <w:rPr>
          <w:rFonts w:ascii="Times New Roman" w:hAnsi="Times New Roman"/>
          <w:iCs/>
          <w:color w:val="000000"/>
          <w:sz w:val="24"/>
          <w:szCs w:val="24"/>
        </w:rPr>
        <w:t>he Guidelines</w:t>
      </w:r>
      <w:r w:rsidR="00C4145F" w:rsidRPr="00FC15DE">
        <w:rPr>
          <w:rFonts w:ascii="Times New Roman" w:hAnsi="Times New Roman"/>
          <w:iCs/>
          <w:color w:val="000000"/>
          <w:sz w:val="24"/>
          <w:szCs w:val="24"/>
        </w:rPr>
        <w:t>, as compared to the Former Guidelines,</w:t>
      </w:r>
      <w:r w:rsidR="008D1BBF" w:rsidRPr="00FC15DE">
        <w:rPr>
          <w:rFonts w:ascii="Times New Roman" w:hAnsi="Times New Roman"/>
          <w:iCs/>
          <w:color w:val="000000"/>
          <w:sz w:val="24"/>
          <w:szCs w:val="24"/>
        </w:rPr>
        <w:t xml:space="preserve"> </w:t>
      </w:r>
      <w:r w:rsidR="00C4145F" w:rsidRPr="00FC15DE">
        <w:rPr>
          <w:rFonts w:ascii="Times New Roman" w:hAnsi="Times New Roman"/>
          <w:iCs/>
          <w:color w:val="000000"/>
          <w:sz w:val="24"/>
          <w:szCs w:val="24"/>
        </w:rPr>
        <w:t>also</w:t>
      </w:r>
      <w:r w:rsidR="008D1BBF" w:rsidRPr="00FC15DE">
        <w:rPr>
          <w:rFonts w:ascii="Times New Roman" w:hAnsi="Times New Roman"/>
          <w:iCs/>
          <w:color w:val="000000"/>
          <w:sz w:val="24"/>
          <w:szCs w:val="24"/>
        </w:rPr>
        <w:t xml:space="preserve"> reflect changes in</w:t>
      </w:r>
      <w:r w:rsidR="0039414B" w:rsidRPr="00FC15DE">
        <w:rPr>
          <w:rFonts w:ascii="Times New Roman" w:hAnsi="Times New Roman"/>
          <w:iCs/>
          <w:color w:val="000000"/>
          <w:sz w:val="24"/>
          <w:szCs w:val="24"/>
        </w:rPr>
        <w:t xml:space="preserve"> terminology and </w:t>
      </w:r>
      <w:r w:rsidR="00C4145F" w:rsidRPr="00FC15DE">
        <w:rPr>
          <w:rFonts w:ascii="Times New Roman" w:hAnsi="Times New Roman"/>
          <w:iCs/>
          <w:color w:val="000000"/>
          <w:sz w:val="24"/>
          <w:szCs w:val="24"/>
        </w:rPr>
        <w:t>use simpler language</w:t>
      </w:r>
      <w:r w:rsidR="008D1BBF" w:rsidRPr="00FC15DE">
        <w:rPr>
          <w:rFonts w:ascii="Times New Roman" w:hAnsi="Times New Roman"/>
          <w:iCs/>
          <w:color w:val="000000"/>
          <w:sz w:val="24"/>
          <w:szCs w:val="24"/>
        </w:rPr>
        <w:t>.</w:t>
      </w:r>
      <w:r w:rsidRPr="00FC15DE">
        <w:rPr>
          <w:rFonts w:ascii="Times New Roman" w:hAnsi="Times New Roman"/>
          <w:iCs/>
          <w:color w:val="000000"/>
          <w:sz w:val="24"/>
          <w:szCs w:val="24"/>
        </w:rPr>
        <w:t xml:space="preserve"> </w:t>
      </w:r>
    </w:p>
    <w:p w14:paraId="4676038D" w14:textId="77777777" w:rsidR="008D1BBF" w:rsidRPr="00FC15DE" w:rsidRDefault="008D1BBF" w:rsidP="0078659F">
      <w:pPr>
        <w:tabs>
          <w:tab w:val="left" w:pos="851"/>
        </w:tabs>
        <w:rPr>
          <w:rFonts w:ascii="Times New Roman" w:hAnsi="Times New Roman"/>
          <w:iCs/>
          <w:color w:val="000000"/>
          <w:sz w:val="24"/>
          <w:szCs w:val="24"/>
        </w:rPr>
      </w:pPr>
    </w:p>
    <w:p w14:paraId="7C2F4977" w14:textId="22C6FA1E" w:rsidR="0078659F" w:rsidRPr="00FC15DE" w:rsidRDefault="0078659F" w:rsidP="0078659F">
      <w:pPr>
        <w:tabs>
          <w:tab w:val="left" w:pos="851"/>
        </w:tabs>
        <w:rPr>
          <w:rFonts w:ascii="Times New Roman" w:hAnsi="Times New Roman"/>
          <w:iCs/>
          <w:color w:val="000000"/>
          <w:sz w:val="24"/>
          <w:szCs w:val="24"/>
        </w:rPr>
      </w:pPr>
      <w:r w:rsidRPr="00FC15DE">
        <w:rPr>
          <w:rFonts w:ascii="Times New Roman" w:hAnsi="Times New Roman"/>
          <w:iCs/>
          <w:color w:val="000000"/>
          <w:sz w:val="24"/>
          <w:szCs w:val="24"/>
        </w:rPr>
        <w:t>Key changes in remaking the Guidelines include:</w:t>
      </w:r>
    </w:p>
    <w:p w14:paraId="46619767" w14:textId="399D6182" w:rsidR="006B1B44" w:rsidRPr="00FC15DE" w:rsidRDefault="0078659F" w:rsidP="007538FF">
      <w:pPr>
        <w:pStyle w:val="ListParagraph"/>
        <w:numPr>
          <w:ilvl w:val="0"/>
          <w:numId w:val="1"/>
        </w:numPr>
        <w:tabs>
          <w:tab w:val="left" w:pos="851"/>
        </w:tabs>
        <w:rPr>
          <w:rFonts w:ascii="Times New Roman" w:hAnsi="Times New Roman"/>
          <w:iCs/>
          <w:color w:val="000000"/>
          <w:sz w:val="24"/>
          <w:szCs w:val="24"/>
        </w:rPr>
      </w:pPr>
      <w:r w:rsidRPr="00FC15DE">
        <w:rPr>
          <w:rFonts w:ascii="Times New Roman" w:hAnsi="Times New Roman"/>
          <w:iCs/>
          <w:color w:val="000000"/>
          <w:sz w:val="24"/>
          <w:szCs w:val="24"/>
        </w:rPr>
        <w:t xml:space="preserve">removing </w:t>
      </w:r>
      <w:r w:rsidR="008D1BBF" w:rsidRPr="00FC15DE">
        <w:rPr>
          <w:rFonts w:ascii="Times New Roman" w:hAnsi="Times New Roman"/>
          <w:iCs/>
          <w:color w:val="000000"/>
          <w:sz w:val="24"/>
          <w:szCs w:val="24"/>
        </w:rPr>
        <w:t>the</w:t>
      </w:r>
      <w:r w:rsidRPr="00FC15DE">
        <w:rPr>
          <w:rFonts w:ascii="Times New Roman" w:hAnsi="Times New Roman"/>
          <w:iCs/>
          <w:color w:val="000000"/>
          <w:sz w:val="24"/>
          <w:szCs w:val="24"/>
        </w:rPr>
        <w:t xml:space="preserve"> ‘enabling loading’ and ‘regional loading’</w:t>
      </w:r>
      <w:r w:rsidR="008D1BBF" w:rsidRPr="00FC15DE">
        <w:rPr>
          <w:rFonts w:ascii="Times New Roman" w:hAnsi="Times New Roman"/>
          <w:iCs/>
          <w:color w:val="000000"/>
          <w:sz w:val="24"/>
          <w:szCs w:val="24"/>
        </w:rPr>
        <w:t xml:space="preserve"> chapters </w:t>
      </w:r>
      <w:r w:rsidRPr="00FC15DE">
        <w:rPr>
          <w:rFonts w:ascii="Times New Roman" w:hAnsi="Times New Roman"/>
          <w:iCs/>
          <w:color w:val="000000"/>
          <w:sz w:val="24"/>
          <w:szCs w:val="24"/>
        </w:rPr>
        <w:t>as these</w:t>
      </w:r>
      <w:r w:rsidR="008D1BBF" w:rsidRPr="00FC15DE">
        <w:rPr>
          <w:rFonts w:ascii="Times New Roman" w:hAnsi="Times New Roman"/>
          <w:iCs/>
          <w:color w:val="000000"/>
          <w:sz w:val="24"/>
          <w:szCs w:val="24"/>
        </w:rPr>
        <w:t xml:space="preserve"> loadings will no longer be provided under Part 2-2 of the Act</w:t>
      </w:r>
      <w:r w:rsidR="006F5F1C" w:rsidRPr="00FC15DE">
        <w:rPr>
          <w:rFonts w:ascii="Times New Roman" w:hAnsi="Times New Roman"/>
          <w:iCs/>
          <w:color w:val="000000"/>
          <w:sz w:val="24"/>
          <w:szCs w:val="24"/>
        </w:rPr>
        <w:t xml:space="preserve">. Instead, they </w:t>
      </w:r>
      <w:r w:rsidRPr="00FC15DE">
        <w:rPr>
          <w:rFonts w:ascii="Times New Roman" w:hAnsi="Times New Roman"/>
          <w:iCs/>
          <w:color w:val="000000"/>
          <w:sz w:val="24"/>
          <w:szCs w:val="24"/>
        </w:rPr>
        <w:t xml:space="preserve">will now be </w:t>
      </w:r>
      <w:r w:rsidR="008D1BBF" w:rsidRPr="00FC15DE">
        <w:rPr>
          <w:rFonts w:ascii="Times New Roman" w:hAnsi="Times New Roman"/>
          <w:iCs/>
          <w:color w:val="000000"/>
          <w:sz w:val="24"/>
          <w:szCs w:val="24"/>
        </w:rPr>
        <w:t>provided as grants</w:t>
      </w:r>
      <w:r w:rsidR="0045235B" w:rsidRPr="00FC15DE">
        <w:rPr>
          <w:rFonts w:ascii="Times New Roman" w:hAnsi="Times New Roman"/>
          <w:iCs/>
          <w:color w:val="000000"/>
          <w:sz w:val="24"/>
          <w:szCs w:val="24"/>
        </w:rPr>
        <w:t xml:space="preserve"> until 2023</w:t>
      </w:r>
      <w:r w:rsidR="008D1BBF" w:rsidRPr="00FC15DE">
        <w:rPr>
          <w:rFonts w:ascii="Times New Roman" w:hAnsi="Times New Roman"/>
          <w:iCs/>
          <w:color w:val="000000"/>
          <w:sz w:val="24"/>
          <w:szCs w:val="24"/>
        </w:rPr>
        <w:t xml:space="preserve"> under </w:t>
      </w:r>
      <w:r w:rsidRPr="00FC15DE">
        <w:rPr>
          <w:rFonts w:ascii="Times New Roman" w:hAnsi="Times New Roman"/>
          <w:iCs/>
          <w:color w:val="000000"/>
          <w:sz w:val="24"/>
          <w:szCs w:val="24"/>
        </w:rPr>
        <w:t xml:space="preserve">the Government’s Indigenous, Regional and Low Socio-Economic </w:t>
      </w:r>
      <w:r w:rsidR="006B1B44" w:rsidRPr="00FC15DE">
        <w:rPr>
          <w:rFonts w:ascii="Times New Roman" w:hAnsi="Times New Roman"/>
          <w:iCs/>
          <w:color w:val="000000"/>
          <w:sz w:val="24"/>
          <w:szCs w:val="24"/>
        </w:rPr>
        <w:t xml:space="preserve">Status </w:t>
      </w:r>
      <w:r w:rsidR="004C7157" w:rsidRPr="00FC15DE">
        <w:rPr>
          <w:rFonts w:ascii="Times New Roman" w:hAnsi="Times New Roman"/>
          <w:iCs/>
          <w:color w:val="000000"/>
          <w:sz w:val="24"/>
          <w:szCs w:val="24"/>
        </w:rPr>
        <w:t xml:space="preserve">Attainment </w:t>
      </w:r>
      <w:r w:rsidRPr="00FC15DE">
        <w:rPr>
          <w:rFonts w:ascii="Times New Roman" w:hAnsi="Times New Roman"/>
          <w:iCs/>
          <w:color w:val="000000"/>
          <w:sz w:val="24"/>
          <w:szCs w:val="24"/>
        </w:rPr>
        <w:t>Fund (IRLSAF)</w:t>
      </w:r>
      <w:r w:rsidR="008D1BBF" w:rsidRPr="00FC15DE">
        <w:rPr>
          <w:rFonts w:ascii="Times New Roman" w:hAnsi="Times New Roman"/>
          <w:iCs/>
          <w:color w:val="000000"/>
          <w:sz w:val="24"/>
          <w:szCs w:val="24"/>
        </w:rPr>
        <w:t xml:space="preserve"> which is</w:t>
      </w:r>
      <w:r w:rsidR="002C18FE" w:rsidRPr="00FC15DE">
        <w:rPr>
          <w:rFonts w:ascii="Times New Roman" w:hAnsi="Times New Roman"/>
          <w:iCs/>
          <w:color w:val="000000"/>
          <w:sz w:val="24"/>
          <w:szCs w:val="24"/>
        </w:rPr>
        <w:t xml:space="preserve"> a </w:t>
      </w:r>
      <w:r w:rsidR="000C436D" w:rsidRPr="00FC15DE">
        <w:rPr>
          <w:rFonts w:ascii="Times New Roman" w:hAnsi="Times New Roman"/>
          <w:iCs/>
          <w:color w:val="000000"/>
          <w:sz w:val="24"/>
          <w:szCs w:val="24"/>
        </w:rPr>
        <w:t>program established under Part 2-3 (Other grants) of the Act and is</w:t>
      </w:r>
      <w:r w:rsidR="008D1BBF" w:rsidRPr="00FC15DE">
        <w:rPr>
          <w:rFonts w:ascii="Times New Roman" w:hAnsi="Times New Roman"/>
          <w:iCs/>
          <w:color w:val="000000"/>
          <w:sz w:val="24"/>
          <w:szCs w:val="24"/>
        </w:rPr>
        <w:t xml:space="preserve"> set out in the </w:t>
      </w:r>
      <w:r w:rsidR="008D1BBF" w:rsidRPr="00FC15DE">
        <w:rPr>
          <w:rFonts w:ascii="Times New Roman" w:hAnsi="Times New Roman"/>
          <w:i/>
          <w:iCs/>
          <w:color w:val="000000"/>
          <w:sz w:val="24"/>
          <w:szCs w:val="24"/>
        </w:rPr>
        <w:t>Other Grants Guidelines (Education) 2012</w:t>
      </w:r>
      <w:r w:rsidR="0096451D" w:rsidRPr="00FC15DE">
        <w:rPr>
          <w:rFonts w:ascii="Times New Roman" w:hAnsi="Times New Roman"/>
          <w:iCs/>
          <w:color w:val="000000"/>
          <w:sz w:val="24"/>
          <w:szCs w:val="24"/>
        </w:rPr>
        <w:t xml:space="preserve">. The IRLSAF for 2024 and later years will be co-designed with the </w:t>
      </w:r>
      <w:r w:rsidR="00FC08F8" w:rsidRPr="00FC15DE">
        <w:rPr>
          <w:rFonts w:ascii="Times New Roman" w:hAnsi="Times New Roman"/>
          <w:iCs/>
          <w:color w:val="000000"/>
          <w:sz w:val="24"/>
          <w:szCs w:val="24"/>
        </w:rPr>
        <w:t xml:space="preserve">higher education </w:t>
      </w:r>
      <w:proofErr w:type="gramStart"/>
      <w:r w:rsidR="0096451D" w:rsidRPr="00FC15DE">
        <w:rPr>
          <w:rFonts w:ascii="Times New Roman" w:hAnsi="Times New Roman"/>
          <w:iCs/>
          <w:color w:val="000000"/>
          <w:sz w:val="24"/>
          <w:szCs w:val="24"/>
        </w:rPr>
        <w:t>sector</w:t>
      </w:r>
      <w:r w:rsidR="008D1BBF" w:rsidRPr="00FC15DE">
        <w:rPr>
          <w:rFonts w:ascii="Times New Roman" w:hAnsi="Times New Roman"/>
          <w:iCs/>
          <w:color w:val="000000"/>
          <w:sz w:val="24"/>
          <w:szCs w:val="24"/>
        </w:rPr>
        <w:t>;</w:t>
      </w:r>
      <w:proofErr w:type="gramEnd"/>
      <w:r w:rsidR="007538FF" w:rsidRPr="00FC15DE">
        <w:rPr>
          <w:rFonts w:ascii="Times New Roman" w:hAnsi="Times New Roman"/>
          <w:iCs/>
          <w:color w:val="000000"/>
          <w:sz w:val="24"/>
          <w:szCs w:val="24"/>
        </w:rPr>
        <w:t xml:space="preserve"> </w:t>
      </w:r>
      <w:r w:rsidR="006B1B44" w:rsidRPr="00FC15DE">
        <w:rPr>
          <w:rFonts w:ascii="Times New Roman" w:hAnsi="Times New Roman"/>
          <w:iCs/>
          <w:color w:val="000000"/>
          <w:sz w:val="24"/>
          <w:szCs w:val="24"/>
        </w:rPr>
        <w:t xml:space="preserve">   </w:t>
      </w:r>
    </w:p>
    <w:p w14:paraId="65117370" w14:textId="7731E2B5" w:rsidR="008D1BBF" w:rsidRPr="00FC15DE" w:rsidRDefault="008D1BBF" w:rsidP="0078659F">
      <w:pPr>
        <w:pStyle w:val="ListParagraph"/>
        <w:numPr>
          <w:ilvl w:val="0"/>
          <w:numId w:val="1"/>
        </w:numPr>
        <w:tabs>
          <w:tab w:val="left" w:pos="851"/>
        </w:tabs>
        <w:rPr>
          <w:rFonts w:ascii="Times New Roman" w:hAnsi="Times New Roman"/>
          <w:iCs/>
          <w:color w:val="000000"/>
          <w:sz w:val="24"/>
          <w:szCs w:val="24"/>
        </w:rPr>
      </w:pPr>
      <w:r w:rsidRPr="00FC15DE">
        <w:rPr>
          <w:rFonts w:ascii="Times New Roman" w:hAnsi="Times New Roman"/>
          <w:iCs/>
          <w:color w:val="000000"/>
          <w:sz w:val="24"/>
          <w:szCs w:val="24"/>
        </w:rPr>
        <w:t xml:space="preserve">updating the description of the units included in each funding cluster to reflect the changes made by the Job-Ready Graduates </w:t>
      </w:r>
      <w:proofErr w:type="gramStart"/>
      <w:r w:rsidRPr="00FC15DE">
        <w:rPr>
          <w:rFonts w:ascii="Times New Roman" w:hAnsi="Times New Roman"/>
          <w:iCs/>
          <w:color w:val="000000"/>
          <w:sz w:val="24"/>
          <w:szCs w:val="24"/>
        </w:rPr>
        <w:t>Act;</w:t>
      </w:r>
      <w:proofErr w:type="gramEnd"/>
      <w:r w:rsidRPr="00FC15DE">
        <w:rPr>
          <w:rFonts w:ascii="Times New Roman" w:hAnsi="Times New Roman"/>
          <w:iCs/>
          <w:color w:val="000000"/>
          <w:sz w:val="24"/>
          <w:szCs w:val="24"/>
        </w:rPr>
        <w:t xml:space="preserve"> </w:t>
      </w:r>
    </w:p>
    <w:p w14:paraId="66C3CACC" w14:textId="09D8A838" w:rsidR="0078659F" w:rsidRPr="00FC15DE" w:rsidRDefault="008D1BBF" w:rsidP="0078659F">
      <w:pPr>
        <w:pStyle w:val="ListParagraph"/>
        <w:numPr>
          <w:ilvl w:val="0"/>
          <w:numId w:val="1"/>
        </w:numPr>
        <w:tabs>
          <w:tab w:val="left" w:pos="851"/>
        </w:tabs>
        <w:rPr>
          <w:rFonts w:ascii="Times New Roman" w:hAnsi="Times New Roman"/>
          <w:iCs/>
          <w:color w:val="000000"/>
          <w:sz w:val="24"/>
          <w:szCs w:val="24"/>
        </w:rPr>
      </w:pPr>
      <w:r w:rsidRPr="00FC15DE">
        <w:rPr>
          <w:rFonts w:ascii="Times New Roman" w:hAnsi="Times New Roman"/>
          <w:iCs/>
          <w:color w:val="000000"/>
          <w:sz w:val="24"/>
          <w:szCs w:val="24"/>
        </w:rPr>
        <w:t xml:space="preserve">providing the method for working out </w:t>
      </w:r>
      <w:r w:rsidR="0078659F" w:rsidRPr="00FC15DE">
        <w:rPr>
          <w:rFonts w:ascii="Times New Roman" w:hAnsi="Times New Roman"/>
          <w:iCs/>
          <w:color w:val="000000"/>
          <w:sz w:val="24"/>
          <w:szCs w:val="24"/>
        </w:rPr>
        <w:t>the Transition Fund Loading</w:t>
      </w:r>
      <w:r w:rsidRPr="00FC15DE">
        <w:rPr>
          <w:rFonts w:ascii="Times New Roman" w:hAnsi="Times New Roman"/>
          <w:iCs/>
          <w:color w:val="000000"/>
          <w:sz w:val="24"/>
          <w:szCs w:val="24"/>
        </w:rPr>
        <w:t>, which will</w:t>
      </w:r>
      <w:r w:rsidR="0078659F" w:rsidRPr="00FC15DE">
        <w:rPr>
          <w:rFonts w:ascii="Times New Roman" w:hAnsi="Times New Roman"/>
          <w:iCs/>
          <w:color w:val="000000"/>
          <w:sz w:val="24"/>
          <w:szCs w:val="24"/>
        </w:rPr>
        <w:t xml:space="preserve"> </w:t>
      </w:r>
      <w:r w:rsidR="0039414B" w:rsidRPr="00FC15DE">
        <w:rPr>
          <w:rFonts w:ascii="Times New Roman" w:hAnsi="Times New Roman"/>
          <w:iCs/>
          <w:color w:val="000000"/>
          <w:sz w:val="24"/>
          <w:szCs w:val="24"/>
        </w:rPr>
        <w:t xml:space="preserve">provide funding to </w:t>
      </w:r>
      <w:r w:rsidR="0078659F" w:rsidRPr="00FC15DE">
        <w:rPr>
          <w:rFonts w:ascii="Times New Roman" w:hAnsi="Times New Roman"/>
          <w:iCs/>
          <w:color w:val="000000"/>
          <w:sz w:val="24"/>
          <w:szCs w:val="24"/>
        </w:rPr>
        <w:t xml:space="preserve">support eligible providers following the commencement of the Job-Ready Graduates Act for the grant years 2021, 2022 and </w:t>
      </w:r>
      <w:proofErr w:type="gramStart"/>
      <w:r w:rsidR="0078659F" w:rsidRPr="00FC15DE">
        <w:rPr>
          <w:rFonts w:ascii="Times New Roman" w:hAnsi="Times New Roman"/>
          <w:iCs/>
          <w:color w:val="000000"/>
          <w:sz w:val="24"/>
          <w:szCs w:val="24"/>
        </w:rPr>
        <w:t>2023</w:t>
      </w:r>
      <w:r w:rsidR="00BE1587" w:rsidRPr="00FC15DE">
        <w:rPr>
          <w:rFonts w:ascii="Times New Roman" w:hAnsi="Times New Roman"/>
          <w:iCs/>
          <w:color w:val="000000"/>
          <w:sz w:val="24"/>
          <w:szCs w:val="24"/>
        </w:rPr>
        <w:t>;</w:t>
      </w:r>
      <w:proofErr w:type="gramEnd"/>
      <w:r w:rsidR="0078659F" w:rsidRPr="00FC15DE">
        <w:rPr>
          <w:rFonts w:ascii="Times New Roman" w:hAnsi="Times New Roman"/>
          <w:iCs/>
          <w:color w:val="000000"/>
          <w:sz w:val="24"/>
          <w:szCs w:val="24"/>
        </w:rPr>
        <w:t xml:space="preserve"> </w:t>
      </w:r>
    </w:p>
    <w:p w14:paraId="6CE333EB" w14:textId="5B9290F7" w:rsidR="00BE1587" w:rsidRPr="00FC15DE" w:rsidRDefault="00BE1587" w:rsidP="0078659F">
      <w:pPr>
        <w:pStyle w:val="ListParagraph"/>
        <w:numPr>
          <w:ilvl w:val="0"/>
          <w:numId w:val="1"/>
        </w:numPr>
        <w:tabs>
          <w:tab w:val="left" w:pos="851"/>
        </w:tabs>
        <w:rPr>
          <w:rFonts w:ascii="Times New Roman" w:hAnsi="Times New Roman"/>
          <w:iCs/>
          <w:color w:val="000000"/>
          <w:sz w:val="24"/>
          <w:szCs w:val="24"/>
        </w:rPr>
      </w:pPr>
      <w:r w:rsidRPr="00FC15DE">
        <w:rPr>
          <w:rFonts w:ascii="Times New Roman" w:hAnsi="Times New Roman"/>
          <w:iCs/>
          <w:color w:val="000000"/>
          <w:sz w:val="24"/>
          <w:szCs w:val="24"/>
        </w:rPr>
        <w:t>removing the chapter relating to the ‘Performance Funding Grant Amount – Facilitation Funding’ as this funding ceased after 2013; and</w:t>
      </w:r>
    </w:p>
    <w:p w14:paraId="5926D74C" w14:textId="0E5A8B1C" w:rsidR="005E2085" w:rsidRPr="00FC15DE" w:rsidRDefault="0078659F" w:rsidP="00E0165A">
      <w:pPr>
        <w:pStyle w:val="ListParagraph"/>
        <w:numPr>
          <w:ilvl w:val="0"/>
          <w:numId w:val="1"/>
        </w:numPr>
        <w:tabs>
          <w:tab w:val="left" w:pos="851"/>
        </w:tabs>
        <w:rPr>
          <w:rFonts w:ascii="Times New Roman" w:hAnsi="Times New Roman"/>
          <w:b/>
          <w:iCs/>
          <w:color w:val="000000"/>
          <w:sz w:val="24"/>
          <w:szCs w:val="24"/>
        </w:rPr>
      </w:pPr>
      <w:r w:rsidRPr="00FC15DE">
        <w:rPr>
          <w:rFonts w:ascii="Times New Roman" w:hAnsi="Times New Roman"/>
          <w:iCs/>
          <w:color w:val="000000"/>
          <w:sz w:val="24"/>
          <w:szCs w:val="24"/>
        </w:rPr>
        <w:lastRenderedPageBreak/>
        <w:t xml:space="preserve">specifying </w:t>
      </w:r>
      <w:r w:rsidR="008D1BBF" w:rsidRPr="00FC15DE">
        <w:rPr>
          <w:rFonts w:ascii="Times New Roman" w:hAnsi="Times New Roman"/>
          <w:iCs/>
          <w:color w:val="000000"/>
          <w:sz w:val="24"/>
          <w:szCs w:val="24"/>
        </w:rPr>
        <w:t xml:space="preserve">the </w:t>
      </w:r>
      <w:r w:rsidR="00174F75" w:rsidRPr="00FC15DE">
        <w:rPr>
          <w:rFonts w:ascii="Times New Roman" w:hAnsi="Times New Roman"/>
          <w:iCs/>
          <w:color w:val="000000"/>
          <w:sz w:val="24"/>
          <w:szCs w:val="24"/>
        </w:rPr>
        <w:t xml:space="preserve">amounts for the purposes of subsection 30-27(2) and paragraph </w:t>
      </w:r>
      <w:r w:rsidR="00174F75" w:rsidRPr="00FC15DE">
        <w:rPr>
          <w:rFonts w:ascii="Times New Roman" w:hAnsi="Times New Roman"/>
          <w:iCs/>
          <w:color w:val="000000"/>
          <w:sz w:val="24"/>
          <w:szCs w:val="24"/>
        </w:rPr>
        <w:br/>
        <w:t>30-27(3)(a) of the Act, which provide that the maximum basic grant amount for a Table A provider for higher education courses for the grant years 2021, 2022, 2023 and 2024 must not be less than the amount specified in the Guidelines</w:t>
      </w:r>
      <w:r w:rsidRPr="00FC15DE">
        <w:rPr>
          <w:rFonts w:ascii="Times New Roman" w:hAnsi="Times New Roman"/>
          <w:iCs/>
          <w:color w:val="000000"/>
          <w:sz w:val="24"/>
          <w:szCs w:val="24"/>
        </w:rPr>
        <w:t xml:space="preserve">.  </w:t>
      </w:r>
    </w:p>
    <w:p w14:paraId="7FCCE109" w14:textId="77777777" w:rsidR="006F5AAE" w:rsidRPr="00FC15DE" w:rsidRDefault="006F5AAE" w:rsidP="0078659F">
      <w:pPr>
        <w:rPr>
          <w:rFonts w:ascii="Times New Roman" w:hAnsi="Times New Roman"/>
          <w:b/>
          <w:iCs/>
          <w:sz w:val="24"/>
          <w:szCs w:val="24"/>
        </w:rPr>
      </w:pPr>
    </w:p>
    <w:p w14:paraId="72002FBA" w14:textId="5C5FC059" w:rsidR="0078659F" w:rsidRPr="00FC15DE" w:rsidRDefault="0078659F" w:rsidP="0078659F">
      <w:pPr>
        <w:rPr>
          <w:rFonts w:ascii="Times New Roman" w:hAnsi="Times New Roman"/>
          <w:b/>
          <w:iCs/>
          <w:color w:val="000000"/>
          <w:sz w:val="24"/>
          <w:szCs w:val="24"/>
        </w:rPr>
      </w:pPr>
      <w:r w:rsidRPr="00FC15DE">
        <w:rPr>
          <w:rFonts w:ascii="Times New Roman" w:hAnsi="Times New Roman"/>
          <w:b/>
          <w:iCs/>
          <w:color w:val="000000"/>
          <w:sz w:val="24"/>
          <w:szCs w:val="24"/>
        </w:rPr>
        <w:t>Commencement</w:t>
      </w:r>
    </w:p>
    <w:p w14:paraId="2038C386" w14:textId="77777777" w:rsidR="006E2545" w:rsidRPr="00FC15DE" w:rsidRDefault="006E2545" w:rsidP="0078659F">
      <w:pPr>
        <w:tabs>
          <w:tab w:val="left" w:pos="851"/>
        </w:tabs>
        <w:rPr>
          <w:rFonts w:ascii="Times New Roman" w:hAnsi="Times New Roman"/>
          <w:bCs/>
          <w:color w:val="000000"/>
          <w:sz w:val="24"/>
          <w:szCs w:val="24"/>
        </w:rPr>
      </w:pPr>
    </w:p>
    <w:p w14:paraId="0C33DE19" w14:textId="2355C491" w:rsidR="0078659F" w:rsidRPr="00FC15DE" w:rsidRDefault="0078659F" w:rsidP="0078659F">
      <w:pPr>
        <w:tabs>
          <w:tab w:val="left" w:pos="851"/>
        </w:tabs>
        <w:rPr>
          <w:rFonts w:ascii="Times New Roman" w:hAnsi="Times New Roman"/>
          <w:bCs/>
          <w:sz w:val="24"/>
          <w:szCs w:val="24"/>
        </w:rPr>
      </w:pPr>
      <w:r w:rsidRPr="00FC15DE">
        <w:rPr>
          <w:rFonts w:ascii="Times New Roman" w:hAnsi="Times New Roman"/>
          <w:bCs/>
          <w:color w:val="000000"/>
          <w:sz w:val="24"/>
          <w:szCs w:val="24"/>
        </w:rPr>
        <w:t xml:space="preserve">The </w:t>
      </w:r>
      <w:r w:rsidR="00B36044" w:rsidRPr="00FC15DE">
        <w:rPr>
          <w:rFonts w:ascii="Times New Roman" w:hAnsi="Times New Roman"/>
          <w:bCs/>
          <w:color w:val="000000"/>
          <w:sz w:val="24"/>
          <w:szCs w:val="24"/>
        </w:rPr>
        <w:t xml:space="preserve">Guidelines </w:t>
      </w:r>
      <w:r w:rsidR="0026314F" w:rsidRPr="00FC15DE">
        <w:rPr>
          <w:rFonts w:ascii="Times New Roman" w:hAnsi="Times New Roman"/>
          <w:bCs/>
          <w:color w:val="000000"/>
          <w:sz w:val="24"/>
          <w:szCs w:val="24"/>
        </w:rPr>
        <w:t>commence</w:t>
      </w:r>
      <w:r w:rsidRPr="00FC15DE">
        <w:rPr>
          <w:rFonts w:ascii="Times New Roman" w:hAnsi="Times New Roman"/>
          <w:bCs/>
          <w:color w:val="000000"/>
          <w:sz w:val="24"/>
          <w:szCs w:val="24"/>
        </w:rPr>
        <w:t xml:space="preserve"> on</w:t>
      </w:r>
      <w:r w:rsidR="00FC3E51" w:rsidRPr="00FC15DE">
        <w:rPr>
          <w:rFonts w:ascii="Times New Roman" w:hAnsi="Times New Roman"/>
          <w:bCs/>
          <w:color w:val="000000"/>
          <w:sz w:val="24"/>
          <w:szCs w:val="24"/>
        </w:rPr>
        <w:t xml:space="preserve"> the day after they are registered on the Federal Register of Legislation</w:t>
      </w:r>
      <w:r w:rsidRPr="00FC15DE">
        <w:rPr>
          <w:rFonts w:ascii="Times New Roman" w:hAnsi="Times New Roman"/>
          <w:bCs/>
          <w:color w:val="000000"/>
          <w:sz w:val="24"/>
          <w:szCs w:val="24"/>
        </w:rPr>
        <w:t xml:space="preserve">. </w:t>
      </w:r>
    </w:p>
    <w:p w14:paraId="3CDC0B5F" w14:textId="77777777" w:rsidR="0078659F" w:rsidRPr="00FC15DE" w:rsidRDefault="0078659F" w:rsidP="0078659F">
      <w:pPr>
        <w:rPr>
          <w:rFonts w:ascii="Times New Roman" w:hAnsi="Times New Roman"/>
          <w:color w:val="000000"/>
          <w:sz w:val="24"/>
          <w:szCs w:val="24"/>
        </w:rPr>
      </w:pPr>
    </w:p>
    <w:p w14:paraId="75087B86" w14:textId="479A6C7D" w:rsidR="001C2B8F" w:rsidRPr="00FC15DE" w:rsidRDefault="001C2B8F" w:rsidP="0078659F">
      <w:pPr>
        <w:rPr>
          <w:rFonts w:ascii="Times New Roman" w:hAnsi="Times New Roman"/>
          <w:b/>
          <w:color w:val="000000"/>
          <w:sz w:val="24"/>
          <w:szCs w:val="24"/>
        </w:rPr>
      </w:pPr>
      <w:r w:rsidRPr="00FC15DE">
        <w:rPr>
          <w:rFonts w:ascii="Times New Roman" w:hAnsi="Times New Roman"/>
          <w:b/>
          <w:color w:val="000000"/>
          <w:sz w:val="24"/>
          <w:szCs w:val="24"/>
        </w:rPr>
        <w:t>Availability of merits review</w:t>
      </w:r>
    </w:p>
    <w:p w14:paraId="0A40DA9E" w14:textId="750FA5C1" w:rsidR="001C2B8F" w:rsidRPr="00FC15DE" w:rsidRDefault="001C2B8F" w:rsidP="0078659F">
      <w:pPr>
        <w:rPr>
          <w:rFonts w:ascii="Times New Roman" w:hAnsi="Times New Roman"/>
          <w:b/>
          <w:color w:val="000000"/>
          <w:sz w:val="24"/>
          <w:szCs w:val="24"/>
        </w:rPr>
      </w:pPr>
    </w:p>
    <w:p w14:paraId="7456CC74" w14:textId="612B948C" w:rsidR="001C2B8F" w:rsidRPr="00FC15DE" w:rsidRDefault="003A2964" w:rsidP="0078659F">
      <w:pPr>
        <w:rPr>
          <w:rFonts w:ascii="Times New Roman" w:hAnsi="Times New Roman"/>
          <w:color w:val="000000"/>
          <w:sz w:val="24"/>
          <w:szCs w:val="24"/>
        </w:rPr>
      </w:pPr>
      <w:r w:rsidRPr="00FC15DE">
        <w:rPr>
          <w:rFonts w:ascii="Times New Roman" w:hAnsi="Times New Roman"/>
          <w:color w:val="000000"/>
          <w:sz w:val="24"/>
          <w:szCs w:val="24"/>
        </w:rPr>
        <w:t>The Commonwealth makes grants to eligible providers under Part 2-2 (Commonwealth Grant Scheme) of the Act. These decisions are not mad</w:t>
      </w:r>
      <w:r w:rsidR="00DB5F0D" w:rsidRPr="00FC15DE">
        <w:rPr>
          <w:rFonts w:ascii="Times New Roman" w:hAnsi="Times New Roman"/>
          <w:color w:val="000000"/>
          <w:sz w:val="24"/>
          <w:szCs w:val="24"/>
        </w:rPr>
        <w:t xml:space="preserve">e under the </w:t>
      </w:r>
      <w:proofErr w:type="gramStart"/>
      <w:r w:rsidR="00DB5F0D" w:rsidRPr="00FC15DE">
        <w:rPr>
          <w:rFonts w:ascii="Times New Roman" w:hAnsi="Times New Roman"/>
          <w:color w:val="000000"/>
          <w:sz w:val="24"/>
          <w:szCs w:val="24"/>
        </w:rPr>
        <w:t>Guidelines, but</w:t>
      </w:r>
      <w:proofErr w:type="gramEnd"/>
      <w:r w:rsidR="00DB5F0D" w:rsidRPr="00FC15DE">
        <w:rPr>
          <w:rFonts w:ascii="Times New Roman" w:hAnsi="Times New Roman"/>
          <w:color w:val="000000"/>
          <w:sz w:val="24"/>
          <w:szCs w:val="24"/>
        </w:rPr>
        <w:t xml:space="preserve"> are made consistent</w:t>
      </w:r>
      <w:r w:rsidR="00332716" w:rsidRPr="00FC15DE">
        <w:rPr>
          <w:rFonts w:ascii="Times New Roman" w:hAnsi="Times New Roman"/>
          <w:color w:val="000000"/>
          <w:sz w:val="24"/>
          <w:szCs w:val="24"/>
        </w:rPr>
        <w:t>ly</w:t>
      </w:r>
      <w:r w:rsidR="00DB5F0D" w:rsidRPr="00FC15DE">
        <w:rPr>
          <w:rFonts w:ascii="Times New Roman" w:hAnsi="Times New Roman"/>
          <w:color w:val="000000"/>
          <w:sz w:val="24"/>
          <w:szCs w:val="24"/>
        </w:rPr>
        <w:t xml:space="preserve"> with the </w:t>
      </w:r>
      <w:r w:rsidRPr="00FC15DE">
        <w:rPr>
          <w:rFonts w:ascii="Times New Roman" w:hAnsi="Times New Roman"/>
          <w:color w:val="000000"/>
          <w:sz w:val="24"/>
          <w:szCs w:val="24"/>
        </w:rPr>
        <w:t xml:space="preserve">matters set out in the </w:t>
      </w:r>
      <w:r w:rsidR="00DB5F0D" w:rsidRPr="00FC15DE">
        <w:rPr>
          <w:rFonts w:ascii="Times New Roman" w:hAnsi="Times New Roman"/>
          <w:color w:val="000000"/>
          <w:sz w:val="24"/>
          <w:szCs w:val="24"/>
        </w:rPr>
        <w:t xml:space="preserve">Guidelines. </w:t>
      </w:r>
    </w:p>
    <w:p w14:paraId="5679A1A3" w14:textId="133ADC42" w:rsidR="00E837DA" w:rsidRPr="00FC15DE" w:rsidRDefault="00E837DA" w:rsidP="0078659F">
      <w:pPr>
        <w:rPr>
          <w:rFonts w:ascii="Times New Roman" w:hAnsi="Times New Roman"/>
          <w:color w:val="000000"/>
          <w:sz w:val="24"/>
          <w:szCs w:val="24"/>
        </w:rPr>
      </w:pPr>
    </w:p>
    <w:p w14:paraId="6CEF3F67" w14:textId="6EB656A1" w:rsidR="005E7B59" w:rsidRPr="00FC15DE" w:rsidRDefault="005E7B59" w:rsidP="003D3049">
      <w:pPr>
        <w:rPr>
          <w:rFonts w:ascii="Times New Roman" w:hAnsi="Times New Roman"/>
          <w:color w:val="000000"/>
          <w:sz w:val="24"/>
          <w:szCs w:val="24"/>
        </w:rPr>
      </w:pPr>
      <w:r w:rsidRPr="00FC15DE">
        <w:rPr>
          <w:rFonts w:ascii="Times New Roman" w:hAnsi="Times New Roman"/>
          <w:color w:val="000000"/>
          <w:sz w:val="24"/>
          <w:szCs w:val="24"/>
        </w:rPr>
        <w:t>Section 206-1 of the Act specifies the types of decisions made under the Act that are reviewable decisions. This is an exhaustive list. Funding decisions made under Part 2-2 of the Act are not specified at section 206-1 as decisions that are reviewable.</w:t>
      </w:r>
      <w:r w:rsidR="006A1FB1" w:rsidRPr="00FC15DE">
        <w:rPr>
          <w:rFonts w:ascii="Times New Roman" w:hAnsi="Times New Roman"/>
          <w:color w:val="000000"/>
          <w:sz w:val="24"/>
          <w:szCs w:val="24"/>
        </w:rPr>
        <w:t xml:space="preserve"> The Guidelines do not create new decision making </w:t>
      </w:r>
      <w:proofErr w:type="gramStart"/>
      <w:r w:rsidR="006A1FB1" w:rsidRPr="00FC15DE">
        <w:rPr>
          <w:rFonts w:ascii="Times New Roman" w:hAnsi="Times New Roman"/>
          <w:color w:val="000000"/>
          <w:sz w:val="24"/>
          <w:szCs w:val="24"/>
        </w:rPr>
        <w:t>powers, or</w:t>
      </w:r>
      <w:proofErr w:type="gramEnd"/>
      <w:r w:rsidR="006A1FB1" w:rsidRPr="00FC15DE">
        <w:rPr>
          <w:rFonts w:ascii="Times New Roman" w:hAnsi="Times New Roman"/>
          <w:color w:val="000000"/>
          <w:sz w:val="24"/>
          <w:szCs w:val="24"/>
        </w:rPr>
        <w:t xml:space="preserve"> provide the Minister with the power to </w:t>
      </w:r>
      <w:r w:rsidR="00126A52" w:rsidRPr="00FC15DE">
        <w:rPr>
          <w:rFonts w:ascii="Times New Roman" w:hAnsi="Times New Roman"/>
          <w:color w:val="000000"/>
          <w:sz w:val="24"/>
          <w:szCs w:val="24"/>
        </w:rPr>
        <w:t>establish a new review mechanism in addition to the review process available under the Act</w:t>
      </w:r>
      <w:r w:rsidR="00710959" w:rsidRPr="00FC15DE">
        <w:rPr>
          <w:rFonts w:ascii="Times New Roman" w:hAnsi="Times New Roman"/>
          <w:color w:val="000000"/>
          <w:sz w:val="24"/>
          <w:szCs w:val="24"/>
        </w:rPr>
        <w:t xml:space="preserve">. </w:t>
      </w:r>
    </w:p>
    <w:p w14:paraId="17FECCE4" w14:textId="1A1FF6E8" w:rsidR="001C2B8F" w:rsidRPr="00FC15DE" w:rsidRDefault="001C2B8F" w:rsidP="0078659F">
      <w:pPr>
        <w:rPr>
          <w:rFonts w:ascii="Times New Roman" w:hAnsi="Times New Roman"/>
          <w:b/>
          <w:color w:val="000000"/>
          <w:sz w:val="24"/>
          <w:szCs w:val="24"/>
        </w:rPr>
      </w:pPr>
    </w:p>
    <w:p w14:paraId="60AD0E61" w14:textId="553889BA" w:rsidR="0078659F" w:rsidRPr="00FC15DE" w:rsidRDefault="0078659F" w:rsidP="0078659F">
      <w:pPr>
        <w:rPr>
          <w:rFonts w:ascii="Times New Roman" w:hAnsi="Times New Roman"/>
          <w:b/>
          <w:color w:val="000000"/>
          <w:sz w:val="24"/>
          <w:szCs w:val="24"/>
        </w:rPr>
      </w:pPr>
      <w:r w:rsidRPr="00FC15DE">
        <w:rPr>
          <w:rFonts w:ascii="Times New Roman" w:hAnsi="Times New Roman"/>
          <w:b/>
          <w:color w:val="000000"/>
          <w:sz w:val="24"/>
          <w:szCs w:val="24"/>
        </w:rPr>
        <w:t>Consultation</w:t>
      </w:r>
    </w:p>
    <w:p w14:paraId="591AFEAD" w14:textId="77777777" w:rsidR="006E2545" w:rsidRPr="00FC15DE" w:rsidRDefault="006E2545" w:rsidP="0078659F">
      <w:pPr>
        <w:rPr>
          <w:rFonts w:ascii="Times New Roman" w:hAnsi="Times New Roman"/>
          <w:color w:val="000000"/>
          <w:sz w:val="24"/>
          <w:szCs w:val="24"/>
        </w:rPr>
      </w:pPr>
    </w:p>
    <w:p w14:paraId="6A0D9B64" w14:textId="7B246565" w:rsidR="0078659F" w:rsidRPr="00FC15DE" w:rsidRDefault="0078659F" w:rsidP="0078659F">
      <w:pPr>
        <w:rPr>
          <w:rFonts w:ascii="Times New Roman" w:hAnsi="Times New Roman"/>
          <w:color w:val="000000" w:themeColor="text1"/>
          <w:sz w:val="24"/>
          <w:szCs w:val="24"/>
        </w:rPr>
      </w:pPr>
      <w:r w:rsidRPr="00FC15DE">
        <w:rPr>
          <w:rFonts w:ascii="Times New Roman" w:hAnsi="Times New Roman"/>
          <w:color w:val="000000"/>
          <w:sz w:val="24"/>
          <w:szCs w:val="24"/>
        </w:rPr>
        <w:t xml:space="preserve">A discussion paper outlining the </w:t>
      </w:r>
      <w:r w:rsidRPr="00FC15DE">
        <w:rPr>
          <w:rFonts w:ascii="Times New Roman" w:hAnsi="Times New Roman"/>
          <w:sz w:val="24"/>
          <w:szCs w:val="24"/>
        </w:rPr>
        <w:t xml:space="preserve">measures in the Government’s Job-ready Graduates Package (the Package) was released </w:t>
      </w:r>
      <w:r w:rsidR="00A946C2" w:rsidRPr="00FC15DE">
        <w:rPr>
          <w:rFonts w:ascii="Times New Roman" w:hAnsi="Times New Roman"/>
          <w:sz w:val="24"/>
          <w:szCs w:val="24"/>
        </w:rPr>
        <w:t>on the Department</w:t>
      </w:r>
      <w:r w:rsidR="00C156F2" w:rsidRPr="00FC15DE">
        <w:rPr>
          <w:rFonts w:ascii="Times New Roman" w:hAnsi="Times New Roman"/>
          <w:sz w:val="24"/>
          <w:szCs w:val="24"/>
        </w:rPr>
        <w:t xml:space="preserve"> of Education, Skills and Employment (Department)</w:t>
      </w:r>
      <w:r w:rsidR="00A946C2" w:rsidRPr="00FC15DE">
        <w:rPr>
          <w:rFonts w:ascii="Times New Roman" w:hAnsi="Times New Roman"/>
          <w:sz w:val="24"/>
          <w:szCs w:val="24"/>
        </w:rPr>
        <w:t xml:space="preserve"> website (see: </w:t>
      </w:r>
      <w:hyperlink r:id="rId10" w:history="1">
        <w:r w:rsidR="003021F4" w:rsidRPr="00FC15DE">
          <w:rPr>
            <w:rStyle w:val="Hyperlink"/>
            <w:rFonts w:ascii="Times New Roman" w:hAnsi="Times New Roman"/>
            <w:color w:val="auto"/>
            <w:sz w:val="24"/>
            <w:szCs w:val="24"/>
          </w:rPr>
          <w:t>https://www.dese.gov.au/document/job-ready-graduates-discussion-paper</w:t>
        </w:r>
      </w:hyperlink>
      <w:r w:rsidR="00A946C2" w:rsidRPr="00FC15DE">
        <w:rPr>
          <w:rFonts w:ascii="Times New Roman" w:hAnsi="Times New Roman"/>
          <w:sz w:val="24"/>
          <w:szCs w:val="24"/>
        </w:rPr>
        <w:t xml:space="preserve">) </w:t>
      </w:r>
      <w:r w:rsidRPr="00FC15DE">
        <w:rPr>
          <w:rFonts w:ascii="Times New Roman" w:hAnsi="Times New Roman"/>
          <w:sz w:val="24"/>
          <w:szCs w:val="24"/>
        </w:rPr>
        <w:t xml:space="preserve">alongside the </w:t>
      </w:r>
      <w:r w:rsidR="006F5F1C" w:rsidRPr="00FC15DE">
        <w:rPr>
          <w:rFonts w:ascii="Times New Roman" w:hAnsi="Times New Roman"/>
          <w:sz w:val="24"/>
          <w:szCs w:val="24"/>
        </w:rPr>
        <w:t xml:space="preserve">announcement by the </w:t>
      </w:r>
      <w:r w:rsidRPr="00FC15DE">
        <w:rPr>
          <w:rFonts w:ascii="Times New Roman" w:hAnsi="Times New Roman"/>
          <w:sz w:val="24"/>
          <w:szCs w:val="24"/>
        </w:rPr>
        <w:t xml:space="preserve">Minister for Education, the Hon Dan Tehan MP, of the Package at the National </w:t>
      </w:r>
      <w:r w:rsidRPr="00FC15DE">
        <w:rPr>
          <w:rFonts w:ascii="Times New Roman" w:hAnsi="Times New Roman"/>
          <w:color w:val="000000" w:themeColor="text1"/>
          <w:sz w:val="24"/>
          <w:szCs w:val="24"/>
        </w:rPr>
        <w:t xml:space="preserve">Press Club on 19 June 2020. </w:t>
      </w:r>
    </w:p>
    <w:p w14:paraId="270F4AB5" w14:textId="77777777" w:rsidR="0078659F" w:rsidRPr="00FC15DE" w:rsidRDefault="0078659F" w:rsidP="0078659F">
      <w:pPr>
        <w:rPr>
          <w:rFonts w:ascii="Times New Roman" w:hAnsi="Times New Roman"/>
          <w:color w:val="000000" w:themeColor="text1"/>
          <w:sz w:val="24"/>
          <w:szCs w:val="24"/>
        </w:rPr>
      </w:pPr>
    </w:p>
    <w:p w14:paraId="10B1D381" w14:textId="2A6A4186" w:rsidR="0078659F" w:rsidRPr="00FC15DE" w:rsidRDefault="0078659F" w:rsidP="0078659F">
      <w:pPr>
        <w:rPr>
          <w:rFonts w:ascii="Times New Roman" w:hAnsi="Times New Roman"/>
          <w:color w:val="000000" w:themeColor="text1"/>
          <w:sz w:val="24"/>
          <w:szCs w:val="24"/>
        </w:rPr>
      </w:pPr>
      <w:r w:rsidRPr="00FC15DE">
        <w:rPr>
          <w:rFonts w:ascii="Times New Roman" w:hAnsi="Times New Roman"/>
          <w:color w:val="000000" w:themeColor="text1"/>
          <w:sz w:val="24"/>
          <w:szCs w:val="24"/>
        </w:rPr>
        <w:t>In developing the Guidelines, the Department</w:t>
      </w:r>
      <w:r w:rsidR="00A96623" w:rsidRPr="00FC15DE">
        <w:rPr>
          <w:rFonts w:ascii="Times New Roman" w:hAnsi="Times New Roman"/>
          <w:color w:val="000000" w:themeColor="text1"/>
          <w:sz w:val="24"/>
          <w:szCs w:val="24"/>
        </w:rPr>
        <w:t xml:space="preserve"> </w:t>
      </w:r>
      <w:r w:rsidRPr="00FC15DE">
        <w:rPr>
          <w:rFonts w:ascii="Times New Roman" w:hAnsi="Times New Roman"/>
          <w:color w:val="000000" w:themeColor="text1"/>
          <w:sz w:val="24"/>
          <w:szCs w:val="24"/>
        </w:rPr>
        <w:t xml:space="preserve">had ongoing conversations in relation to the Package with individual universities and peak bodies, including through the Regional Universities Roundtables convened by the Minister for Decentralisation and Regional Education, the Hon Andrew Gee MP. </w:t>
      </w:r>
      <w:r w:rsidR="00C11418" w:rsidRPr="00FC15DE">
        <w:rPr>
          <w:rFonts w:ascii="Times New Roman" w:hAnsi="Times New Roman"/>
          <w:color w:val="000000" w:themeColor="text1"/>
          <w:sz w:val="24"/>
          <w:szCs w:val="24"/>
        </w:rPr>
        <w:t xml:space="preserve"> A draft of the </w:t>
      </w:r>
      <w:r w:rsidR="00E93F55" w:rsidRPr="00FC15DE">
        <w:rPr>
          <w:rFonts w:ascii="Times New Roman" w:hAnsi="Times New Roman"/>
          <w:color w:val="000000" w:themeColor="text1"/>
          <w:sz w:val="24"/>
          <w:szCs w:val="24"/>
        </w:rPr>
        <w:t>Guidelines</w:t>
      </w:r>
      <w:r w:rsidR="00C11418" w:rsidRPr="00FC15DE">
        <w:rPr>
          <w:rFonts w:ascii="Times New Roman" w:hAnsi="Times New Roman"/>
          <w:color w:val="000000" w:themeColor="text1"/>
          <w:sz w:val="24"/>
          <w:szCs w:val="24"/>
        </w:rPr>
        <w:t xml:space="preserve"> was also published on the Department’s website (see: </w:t>
      </w:r>
      <w:hyperlink r:id="rId11" w:history="1">
        <w:r w:rsidR="00C11418" w:rsidRPr="00FC15DE">
          <w:rPr>
            <w:rStyle w:val="Hyperlink"/>
            <w:rFonts w:ascii="Times New Roman" w:hAnsi="Times New Roman"/>
            <w:color w:val="000000" w:themeColor="text1"/>
            <w:sz w:val="24"/>
            <w:szCs w:val="24"/>
          </w:rPr>
          <w:t>https://www.dese.gov.au/job-ready</w:t>
        </w:r>
      </w:hyperlink>
      <w:r w:rsidR="00C11418" w:rsidRPr="00FC15DE">
        <w:rPr>
          <w:rFonts w:ascii="Times New Roman" w:hAnsi="Times New Roman"/>
          <w:color w:val="000000" w:themeColor="text1"/>
          <w:sz w:val="24"/>
          <w:szCs w:val="24"/>
        </w:rPr>
        <w:t xml:space="preserve">) for consultation on 30 September 2020. </w:t>
      </w:r>
      <w:r w:rsidR="00E93F55" w:rsidRPr="00FC15DE">
        <w:rPr>
          <w:rFonts w:ascii="Times New Roman" w:hAnsi="Times New Roman"/>
          <w:color w:val="000000" w:themeColor="text1"/>
          <w:sz w:val="24"/>
          <w:szCs w:val="24"/>
        </w:rPr>
        <w:t xml:space="preserve">The Guidelines have been updated to reflect feedback from the </w:t>
      </w:r>
      <w:r w:rsidR="006E15CD" w:rsidRPr="00FC15DE">
        <w:rPr>
          <w:rFonts w:ascii="Times New Roman" w:hAnsi="Times New Roman"/>
          <w:color w:val="000000" w:themeColor="text1"/>
          <w:sz w:val="24"/>
          <w:szCs w:val="24"/>
        </w:rPr>
        <w:t xml:space="preserve">higher education </w:t>
      </w:r>
      <w:r w:rsidR="00E93F55" w:rsidRPr="00FC15DE">
        <w:rPr>
          <w:rFonts w:ascii="Times New Roman" w:hAnsi="Times New Roman"/>
          <w:color w:val="000000" w:themeColor="text1"/>
          <w:sz w:val="24"/>
          <w:szCs w:val="24"/>
        </w:rPr>
        <w:t>sector.</w:t>
      </w:r>
    </w:p>
    <w:p w14:paraId="496070C5" w14:textId="13D30D29" w:rsidR="006E15CD" w:rsidRPr="00FC15DE" w:rsidRDefault="006E15CD" w:rsidP="0078659F">
      <w:pPr>
        <w:rPr>
          <w:rFonts w:ascii="Times New Roman" w:hAnsi="Times New Roman"/>
          <w:color w:val="000000" w:themeColor="text1"/>
          <w:sz w:val="24"/>
          <w:szCs w:val="24"/>
        </w:rPr>
      </w:pPr>
    </w:p>
    <w:p w14:paraId="22AC9E56" w14:textId="125B3F50" w:rsidR="006E15CD" w:rsidRPr="00FC15DE" w:rsidRDefault="006E15CD" w:rsidP="0078659F">
      <w:pPr>
        <w:rPr>
          <w:rFonts w:ascii="Times New Roman" w:hAnsi="Times New Roman"/>
          <w:color w:val="000000"/>
          <w:sz w:val="24"/>
          <w:szCs w:val="24"/>
        </w:rPr>
      </w:pPr>
      <w:r w:rsidRPr="00FC15DE">
        <w:rPr>
          <w:rFonts w:ascii="Times New Roman" w:hAnsi="Times New Roman"/>
          <w:color w:val="000000" w:themeColor="text1"/>
          <w:sz w:val="24"/>
          <w:szCs w:val="24"/>
        </w:rPr>
        <w:t xml:space="preserve">The Department engaged a working group of university vice-chancellors to consult with peak bodies in the areas of psychology and social work to finalise the details of the Professional Pathways policy. The peak bodies consulted were the Australian Psychological Society (APS), the Australian Clinical Psychology Association (ACPA), the Australian Association of Psychologists (AAP), the Psychology Board of Australia, Heads of Departments and Schools on Psychology Association (HODSPA), the Australian Psychology </w:t>
      </w:r>
      <w:r w:rsidRPr="00FC15DE">
        <w:rPr>
          <w:rFonts w:ascii="Times New Roman" w:hAnsi="Times New Roman"/>
          <w:color w:val="000000"/>
          <w:sz w:val="24"/>
          <w:szCs w:val="24"/>
        </w:rPr>
        <w:t xml:space="preserve">Accreditation Council (APAC), the Australian Association of Social Workers (AASW), the Australian Council of Heads of Schools of Social Work (ACHSSW), the Australian Services Union (ASU), the Commonwealth Alliance of Youth Workers Associations (CAYWA), the Youth Workers’ Association (YWA), the Australian Counselling Association (ACA), the Psychotherapy and Counselling Federation of Australia (PACFA), and the Australian </w:t>
      </w:r>
      <w:r w:rsidRPr="00FC15DE">
        <w:rPr>
          <w:rFonts w:ascii="Times New Roman" w:hAnsi="Times New Roman"/>
          <w:color w:val="000000"/>
          <w:sz w:val="24"/>
          <w:szCs w:val="24"/>
        </w:rPr>
        <w:lastRenderedPageBreak/>
        <w:t>Community Workers Association. The consultations informed the working group’s advice to Government on the Professional Pathways policy.</w:t>
      </w:r>
    </w:p>
    <w:p w14:paraId="2DAE3ACE" w14:textId="77777777" w:rsidR="005E7B59" w:rsidRPr="00FC15DE" w:rsidRDefault="005E7B59" w:rsidP="0078659F">
      <w:pPr>
        <w:rPr>
          <w:rFonts w:ascii="Times New Roman" w:hAnsi="Times New Roman"/>
          <w:b/>
          <w:color w:val="000000"/>
          <w:sz w:val="24"/>
          <w:szCs w:val="24"/>
        </w:rPr>
      </w:pPr>
    </w:p>
    <w:p w14:paraId="094C8308" w14:textId="574FDBC0" w:rsidR="0078659F" w:rsidRPr="00FC15DE" w:rsidRDefault="0078659F" w:rsidP="0078659F">
      <w:pPr>
        <w:rPr>
          <w:rFonts w:ascii="Times New Roman" w:hAnsi="Times New Roman"/>
          <w:b/>
          <w:color w:val="000000"/>
          <w:sz w:val="24"/>
          <w:szCs w:val="24"/>
        </w:rPr>
      </w:pPr>
      <w:r w:rsidRPr="00FC15DE">
        <w:rPr>
          <w:rFonts w:ascii="Times New Roman" w:hAnsi="Times New Roman"/>
          <w:b/>
          <w:color w:val="000000"/>
          <w:sz w:val="24"/>
          <w:szCs w:val="24"/>
        </w:rPr>
        <w:t>Regulatory impact statement</w:t>
      </w:r>
    </w:p>
    <w:p w14:paraId="19A28683" w14:textId="77777777" w:rsidR="006E2545" w:rsidRPr="00FC15DE" w:rsidRDefault="006E2545" w:rsidP="0078659F">
      <w:pPr>
        <w:rPr>
          <w:rFonts w:ascii="Times New Roman" w:hAnsi="Times New Roman"/>
          <w:color w:val="000000"/>
          <w:sz w:val="24"/>
          <w:szCs w:val="24"/>
        </w:rPr>
      </w:pPr>
    </w:p>
    <w:p w14:paraId="574B6FAB" w14:textId="4504C25C" w:rsidR="0078659F" w:rsidRPr="00FC15DE" w:rsidRDefault="0078659F" w:rsidP="0078659F">
      <w:pPr>
        <w:rPr>
          <w:rFonts w:ascii="Times New Roman" w:hAnsi="Times New Roman"/>
          <w:color w:val="000000"/>
          <w:sz w:val="24"/>
          <w:szCs w:val="24"/>
        </w:rPr>
      </w:pPr>
      <w:r w:rsidRPr="00FC15DE">
        <w:rPr>
          <w:rFonts w:ascii="Times New Roman" w:hAnsi="Times New Roman"/>
          <w:color w:val="000000"/>
          <w:sz w:val="24"/>
          <w:szCs w:val="24"/>
        </w:rPr>
        <w:t>The measures in the Job</w:t>
      </w:r>
      <w:r w:rsidR="004A1ABE" w:rsidRPr="00FC15DE">
        <w:rPr>
          <w:rFonts w:ascii="Times New Roman" w:hAnsi="Times New Roman"/>
          <w:color w:val="000000"/>
          <w:sz w:val="24"/>
          <w:szCs w:val="24"/>
        </w:rPr>
        <w:t>-</w:t>
      </w:r>
      <w:r w:rsidRPr="00FC15DE">
        <w:rPr>
          <w:rFonts w:ascii="Times New Roman" w:hAnsi="Times New Roman"/>
          <w:color w:val="000000"/>
          <w:sz w:val="24"/>
          <w:szCs w:val="24"/>
        </w:rPr>
        <w:t>Ready Graduates Act</w:t>
      </w:r>
      <w:r w:rsidR="004D6BA0" w:rsidRPr="00FC15DE">
        <w:rPr>
          <w:rFonts w:ascii="Times New Roman" w:hAnsi="Times New Roman"/>
          <w:color w:val="000000"/>
          <w:sz w:val="24"/>
          <w:szCs w:val="24"/>
        </w:rPr>
        <w:t xml:space="preserve"> and the Package</w:t>
      </w:r>
      <w:r w:rsidRPr="00FC15DE">
        <w:rPr>
          <w:rFonts w:ascii="Times New Roman" w:hAnsi="Times New Roman"/>
          <w:color w:val="000000"/>
          <w:sz w:val="24"/>
          <w:szCs w:val="24"/>
        </w:rPr>
        <w:t xml:space="preserve">, including the changes made in revoking and remaking the Guidelines, have minimal regulatory impact. </w:t>
      </w:r>
      <w:r w:rsidR="001005C1" w:rsidRPr="00FC15DE">
        <w:rPr>
          <w:rFonts w:ascii="Times New Roman" w:hAnsi="Times New Roman"/>
          <w:color w:val="000000"/>
          <w:sz w:val="24"/>
          <w:szCs w:val="24"/>
        </w:rPr>
        <w:t>The Office of Best Practice Regulation has determined that a regulation impact statement is not required.</w:t>
      </w:r>
    </w:p>
    <w:p w14:paraId="0407E1F2" w14:textId="77777777" w:rsidR="0078659F" w:rsidRPr="00FC15DE" w:rsidRDefault="0078659F"/>
    <w:p w14:paraId="77FA1F73" w14:textId="77777777" w:rsidR="00857ADC" w:rsidRPr="00FC15DE" w:rsidRDefault="00857ADC">
      <w:pPr>
        <w:spacing w:after="160" w:line="259" w:lineRule="auto"/>
        <w:rPr>
          <w:rFonts w:ascii="Times New Roman" w:hAnsi="Times New Roman"/>
          <w:b/>
          <w:color w:val="000000"/>
          <w:sz w:val="24"/>
          <w:szCs w:val="24"/>
        </w:rPr>
      </w:pPr>
      <w:r w:rsidRPr="00FC15DE">
        <w:rPr>
          <w:rFonts w:ascii="Times New Roman" w:hAnsi="Times New Roman"/>
          <w:b/>
          <w:color w:val="000000"/>
          <w:sz w:val="24"/>
          <w:szCs w:val="24"/>
        </w:rPr>
        <w:br w:type="page"/>
      </w:r>
    </w:p>
    <w:p w14:paraId="3D73A6D4" w14:textId="0CC83732" w:rsidR="0078659F" w:rsidRPr="00FC15DE" w:rsidRDefault="0078659F">
      <w:pPr>
        <w:rPr>
          <w:rFonts w:ascii="Times New Roman" w:hAnsi="Times New Roman"/>
          <w:b/>
          <w:color w:val="000000"/>
          <w:sz w:val="24"/>
          <w:szCs w:val="24"/>
        </w:rPr>
      </w:pPr>
      <w:r w:rsidRPr="00FC15DE">
        <w:rPr>
          <w:rFonts w:ascii="Times New Roman" w:hAnsi="Times New Roman"/>
          <w:b/>
          <w:color w:val="000000"/>
          <w:sz w:val="24"/>
          <w:szCs w:val="24"/>
        </w:rPr>
        <w:lastRenderedPageBreak/>
        <w:t xml:space="preserve">Explanation of provisions </w:t>
      </w:r>
    </w:p>
    <w:p w14:paraId="18D3E969" w14:textId="77777777" w:rsidR="005B1988" w:rsidRPr="00FC15DE" w:rsidRDefault="005B1988" w:rsidP="0078659F">
      <w:pPr>
        <w:ind w:left="1418" w:hanging="1418"/>
        <w:rPr>
          <w:rFonts w:ascii="Times New Roman" w:hAnsi="Times New Roman"/>
          <w:bCs/>
          <w:color w:val="000000"/>
          <w:sz w:val="24"/>
          <w:szCs w:val="24"/>
          <w:u w:val="single"/>
        </w:rPr>
      </w:pPr>
    </w:p>
    <w:p w14:paraId="14AE252F" w14:textId="263ED09C" w:rsidR="005B1988" w:rsidRPr="00FC15DE" w:rsidRDefault="005B1988" w:rsidP="005B1988">
      <w:pPr>
        <w:ind w:left="1418" w:hanging="1418"/>
        <w:rPr>
          <w:rFonts w:ascii="Times New Roman" w:hAnsi="Times New Roman"/>
          <w:bCs/>
          <w:i/>
          <w:color w:val="000000"/>
          <w:sz w:val="24"/>
          <w:szCs w:val="24"/>
        </w:rPr>
      </w:pPr>
      <w:r w:rsidRPr="00FC15DE">
        <w:rPr>
          <w:rFonts w:ascii="Times New Roman" w:hAnsi="Times New Roman"/>
          <w:bCs/>
          <w:i/>
          <w:color w:val="000000"/>
          <w:sz w:val="24"/>
          <w:szCs w:val="24"/>
        </w:rPr>
        <w:t>Chapter 1 – Preliminary</w:t>
      </w:r>
    </w:p>
    <w:p w14:paraId="52D5AF16" w14:textId="77777777" w:rsidR="00DC1218" w:rsidRPr="00FC15DE" w:rsidRDefault="00DC1218" w:rsidP="005B1988">
      <w:pPr>
        <w:ind w:left="1418" w:hanging="1418"/>
        <w:rPr>
          <w:rFonts w:ascii="Times New Roman" w:hAnsi="Times New Roman"/>
          <w:bCs/>
          <w:i/>
          <w:color w:val="000000"/>
          <w:sz w:val="24"/>
          <w:szCs w:val="24"/>
        </w:rPr>
      </w:pPr>
    </w:p>
    <w:p w14:paraId="77D52CD9" w14:textId="55455FFB" w:rsidR="0078659F" w:rsidRPr="00FC15DE" w:rsidRDefault="00750C22" w:rsidP="0078659F">
      <w:pPr>
        <w:ind w:left="1418" w:hanging="1418"/>
        <w:rPr>
          <w:rFonts w:ascii="Times New Roman" w:hAnsi="Times New Roman"/>
          <w:bCs/>
          <w:color w:val="000000"/>
          <w:sz w:val="24"/>
          <w:szCs w:val="24"/>
        </w:rPr>
      </w:pPr>
      <w:r w:rsidRPr="00FC15DE">
        <w:rPr>
          <w:rFonts w:ascii="Times New Roman" w:hAnsi="Times New Roman"/>
          <w:b/>
          <w:bCs/>
          <w:color w:val="000000"/>
          <w:sz w:val="24"/>
          <w:szCs w:val="24"/>
        </w:rPr>
        <w:t>Section</w:t>
      </w:r>
      <w:r w:rsidR="0078659F" w:rsidRPr="00FC15DE">
        <w:rPr>
          <w:rFonts w:ascii="Times New Roman" w:hAnsi="Times New Roman"/>
          <w:b/>
          <w:bCs/>
          <w:color w:val="000000"/>
          <w:sz w:val="24"/>
          <w:szCs w:val="24"/>
        </w:rPr>
        <w:t xml:space="preserve"> 1</w:t>
      </w:r>
      <w:r w:rsidR="0078659F" w:rsidRPr="00FC15DE">
        <w:rPr>
          <w:rFonts w:ascii="Times New Roman" w:hAnsi="Times New Roman"/>
          <w:bCs/>
          <w:color w:val="000000"/>
          <w:sz w:val="24"/>
          <w:szCs w:val="24"/>
        </w:rPr>
        <w:t xml:space="preserve"> provides the name of the </w:t>
      </w:r>
      <w:r w:rsidR="006D79F1" w:rsidRPr="00FC15DE">
        <w:rPr>
          <w:rFonts w:ascii="Times New Roman" w:hAnsi="Times New Roman"/>
          <w:bCs/>
          <w:color w:val="000000"/>
          <w:sz w:val="24"/>
          <w:szCs w:val="24"/>
        </w:rPr>
        <w:t>Guidelines</w:t>
      </w:r>
      <w:r w:rsidR="0078659F" w:rsidRPr="00FC15DE">
        <w:rPr>
          <w:rFonts w:ascii="Times New Roman" w:hAnsi="Times New Roman"/>
          <w:bCs/>
          <w:color w:val="000000"/>
          <w:sz w:val="24"/>
          <w:szCs w:val="24"/>
        </w:rPr>
        <w:t>.</w:t>
      </w:r>
    </w:p>
    <w:p w14:paraId="48268A8D" w14:textId="77777777" w:rsidR="0078659F" w:rsidRPr="00FC15DE" w:rsidRDefault="0078659F" w:rsidP="0078659F">
      <w:pPr>
        <w:ind w:left="1418" w:hanging="1418"/>
        <w:rPr>
          <w:rFonts w:ascii="Times New Roman" w:hAnsi="Times New Roman"/>
          <w:bCs/>
          <w:color w:val="000000"/>
          <w:sz w:val="24"/>
          <w:szCs w:val="24"/>
        </w:rPr>
      </w:pPr>
    </w:p>
    <w:p w14:paraId="099E17AC" w14:textId="586ACEDC" w:rsidR="0078659F" w:rsidRPr="00FC15DE" w:rsidRDefault="00750C22" w:rsidP="00EE7DCC">
      <w:pPr>
        <w:rPr>
          <w:rFonts w:ascii="Times New Roman" w:hAnsi="Times New Roman"/>
          <w:color w:val="000000"/>
          <w:sz w:val="24"/>
          <w:szCs w:val="24"/>
        </w:rPr>
      </w:pPr>
      <w:r w:rsidRPr="00FC15DE">
        <w:rPr>
          <w:rFonts w:ascii="Times New Roman" w:hAnsi="Times New Roman"/>
          <w:b/>
          <w:bCs/>
          <w:color w:val="000000"/>
          <w:sz w:val="24"/>
          <w:szCs w:val="24"/>
        </w:rPr>
        <w:t>Section</w:t>
      </w:r>
      <w:r w:rsidR="0078659F" w:rsidRPr="00FC15DE">
        <w:rPr>
          <w:rFonts w:ascii="Times New Roman" w:hAnsi="Times New Roman"/>
          <w:b/>
          <w:bCs/>
          <w:color w:val="000000"/>
          <w:sz w:val="24"/>
          <w:szCs w:val="24"/>
        </w:rPr>
        <w:t xml:space="preserve"> 2</w:t>
      </w:r>
      <w:r w:rsidR="0078659F" w:rsidRPr="00FC15DE">
        <w:rPr>
          <w:rFonts w:ascii="Times New Roman" w:hAnsi="Times New Roman"/>
          <w:color w:val="000000"/>
          <w:sz w:val="24"/>
          <w:szCs w:val="24"/>
        </w:rPr>
        <w:t xml:space="preserve"> provides for the commencement of the Guidelines</w:t>
      </w:r>
      <w:r w:rsidR="00E0765C" w:rsidRPr="00FC15DE">
        <w:rPr>
          <w:rFonts w:ascii="Times New Roman" w:hAnsi="Times New Roman"/>
          <w:color w:val="000000"/>
          <w:sz w:val="24"/>
          <w:szCs w:val="24"/>
        </w:rPr>
        <w:t xml:space="preserve"> </w:t>
      </w:r>
      <w:r w:rsidR="000F518D" w:rsidRPr="00FC15DE">
        <w:rPr>
          <w:rFonts w:ascii="Times New Roman" w:hAnsi="Times New Roman"/>
          <w:color w:val="000000"/>
          <w:sz w:val="24"/>
          <w:szCs w:val="24"/>
        </w:rPr>
        <w:t>the day after they are registered on the Federal Register of Legislation</w:t>
      </w:r>
      <w:r w:rsidR="0078659F" w:rsidRPr="00FC15DE">
        <w:rPr>
          <w:rFonts w:ascii="Times New Roman" w:hAnsi="Times New Roman"/>
          <w:color w:val="000000"/>
          <w:sz w:val="24"/>
          <w:szCs w:val="24"/>
        </w:rPr>
        <w:t xml:space="preserve">. </w:t>
      </w:r>
      <w:r w:rsidR="000000DB" w:rsidRPr="00FC15DE">
        <w:rPr>
          <w:rFonts w:ascii="Times New Roman" w:hAnsi="Times New Roman"/>
          <w:color w:val="000000"/>
          <w:sz w:val="24"/>
          <w:szCs w:val="24"/>
        </w:rPr>
        <w:t>This commencement date will allow the Department to finalise funding agreements with providers in 2020 for the period 2021 to 2023.</w:t>
      </w:r>
      <w:r w:rsidR="0078659F" w:rsidRPr="00FC15DE">
        <w:rPr>
          <w:rFonts w:ascii="Times New Roman" w:hAnsi="Times New Roman"/>
          <w:color w:val="000000"/>
          <w:sz w:val="24"/>
          <w:szCs w:val="24"/>
        </w:rPr>
        <w:t xml:space="preserve"> </w:t>
      </w:r>
    </w:p>
    <w:p w14:paraId="10FEC9CD" w14:textId="77777777" w:rsidR="0078659F" w:rsidRPr="00FC15DE" w:rsidRDefault="0078659F" w:rsidP="0078659F">
      <w:pPr>
        <w:ind w:left="1418" w:hanging="1418"/>
        <w:rPr>
          <w:rFonts w:ascii="Times New Roman" w:hAnsi="Times New Roman"/>
          <w:bCs/>
          <w:color w:val="000000"/>
          <w:sz w:val="24"/>
          <w:szCs w:val="24"/>
        </w:rPr>
      </w:pPr>
    </w:p>
    <w:p w14:paraId="19906650" w14:textId="16D96929" w:rsidR="0078659F" w:rsidRPr="00FC15DE" w:rsidRDefault="00750C22" w:rsidP="0078659F">
      <w:pPr>
        <w:ind w:left="1418" w:hanging="1418"/>
        <w:rPr>
          <w:rFonts w:ascii="Times New Roman" w:hAnsi="Times New Roman"/>
          <w:bCs/>
          <w:color w:val="000000"/>
          <w:sz w:val="24"/>
          <w:szCs w:val="24"/>
        </w:rPr>
      </w:pPr>
      <w:r w:rsidRPr="00FC15DE">
        <w:rPr>
          <w:rFonts w:ascii="Times New Roman" w:hAnsi="Times New Roman"/>
          <w:b/>
          <w:bCs/>
          <w:color w:val="000000"/>
          <w:sz w:val="24"/>
          <w:szCs w:val="24"/>
        </w:rPr>
        <w:t>Section</w:t>
      </w:r>
      <w:r w:rsidR="0078659F" w:rsidRPr="00FC15DE">
        <w:rPr>
          <w:rFonts w:ascii="Times New Roman" w:hAnsi="Times New Roman"/>
          <w:b/>
          <w:bCs/>
          <w:color w:val="000000"/>
          <w:sz w:val="24"/>
          <w:szCs w:val="24"/>
        </w:rPr>
        <w:t xml:space="preserve"> 3</w:t>
      </w:r>
      <w:r w:rsidR="0078659F" w:rsidRPr="00FC15DE">
        <w:rPr>
          <w:rFonts w:ascii="Times New Roman" w:hAnsi="Times New Roman"/>
          <w:bCs/>
          <w:color w:val="000000"/>
          <w:sz w:val="24"/>
          <w:szCs w:val="24"/>
        </w:rPr>
        <w:t xml:space="preserve"> states that the Guidelines are made under section 238-10 of the Act.</w:t>
      </w:r>
    </w:p>
    <w:p w14:paraId="53B1BE50" w14:textId="77777777" w:rsidR="0078659F" w:rsidRPr="00FC15DE" w:rsidRDefault="0078659F" w:rsidP="0078659F">
      <w:pPr>
        <w:ind w:left="1418" w:hanging="1418"/>
        <w:rPr>
          <w:rFonts w:ascii="Times New Roman" w:hAnsi="Times New Roman"/>
          <w:bCs/>
          <w:color w:val="000000"/>
          <w:sz w:val="24"/>
          <w:szCs w:val="24"/>
        </w:rPr>
      </w:pPr>
    </w:p>
    <w:p w14:paraId="64DEE631" w14:textId="403A74E9" w:rsidR="0078659F" w:rsidRPr="00FC15DE" w:rsidRDefault="00750C22" w:rsidP="00E0165A">
      <w:pPr>
        <w:rPr>
          <w:rFonts w:ascii="Times New Roman" w:hAnsi="Times New Roman"/>
          <w:color w:val="000000"/>
          <w:sz w:val="24"/>
          <w:szCs w:val="24"/>
        </w:rPr>
      </w:pPr>
      <w:r w:rsidRPr="00FC15DE">
        <w:rPr>
          <w:rFonts w:ascii="Times New Roman" w:hAnsi="Times New Roman"/>
          <w:b/>
          <w:color w:val="000000"/>
          <w:sz w:val="24"/>
          <w:szCs w:val="24"/>
        </w:rPr>
        <w:t>Section</w:t>
      </w:r>
      <w:r w:rsidR="0078659F" w:rsidRPr="00FC15DE">
        <w:rPr>
          <w:rFonts w:ascii="Times New Roman" w:hAnsi="Times New Roman"/>
          <w:b/>
          <w:color w:val="000000"/>
          <w:sz w:val="24"/>
          <w:szCs w:val="24"/>
        </w:rPr>
        <w:t xml:space="preserve"> 4</w:t>
      </w:r>
      <w:r w:rsidR="0078659F" w:rsidRPr="00FC15DE">
        <w:rPr>
          <w:rFonts w:ascii="Times New Roman" w:hAnsi="Times New Roman"/>
          <w:color w:val="000000"/>
          <w:sz w:val="24"/>
          <w:szCs w:val="24"/>
        </w:rPr>
        <w:t xml:space="preserve"> provides definitions for</w:t>
      </w:r>
      <w:r w:rsidR="002625C9" w:rsidRPr="00FC15DE">
        <w:rPr>
          <w:rFonts w:ascii="Times New Roman" w:hAnsi="Times New Roman"/>
          <w:color w:val="000000"/>
          <w:sz w:val="24"/>
          <w:szCs w:val="24"/>
        </w:rPr>
        <w:t xml:space="preserve"> certain</w:t>
      </w:r>
      <w:r w:rsidR="0078659F" w:rsidRPr="00FC15DE">
        <w:rPr>
          <w:rFonts w:ascii="Times New Roman" w:hAnsi="Times New Roman"/>
          <w:color w:val="000000"/>
          <w:sz w:val="24"/>
          <w:szCs w:val="24"/>
        </w:rPr>
        <w:t xml:space="preserve"> expressions used in the Guidelines, </w:t>
      </w:r>
      <w:r w:rsidR="002625C9" w:rsidRPr="00FC15DE">
        <w:rPr>
          <w:rFonts w:ascii="Times New Roman" w:hAnsi="Times New Roman"/>
          <w:color w:val="000000"/>
          <w:sz w:val="24"/>
          <w:szCs w:val="24"/>
        </w:rPr>
        <w:t xml:space="preserve">and notes that </w:t>
      </w:r>
      <w:proofErr w:type="gramStart"/>
      <w:r w:rsidR="002625C9" w:rsidRPr="00FC15DE">
        <w:rPr>
          <w:rFonts w:ascii="Times New Roman" w:hAnsi="Times New Roman"/>
          <w:color w:val="000000"/>
          <w:sz w:val="24"/>
          <w:szCs w:val="24"/>
        </w:rPr>
        <w:t>a number of</w:t>
      </w:r>
      <w:proofErr w:type="gramEnd"/>
      <w:r w:rsidR="002625C9" w:rsidRPr="00FC15DE">
        <w:rPr>
          <w:rFonts w:ascii="Times New Roman" w:hAnsi="Times New Roman"/>
          <w:color w:val="000000"/>
          <w:sz w:val="24"/>
          <w:szCs w:val="24"/>
        </w:rPr>
        <w:t xml:space="preserve"> expressions used in the Guidelines are already defined </w:t>
      </w:r>
      <w:r w:rsidR="0078659F" w:rsidRPr="00FC15DE">
        <w:rPr>
          <w:rFonts w:ascii="Times New Roman" w:hAnsi="Times New Roman"/>
          <w:color w:val="000000"/>
          <w:sz w:val="24"/>
          <w:szCs w:val="24"/>
        </w:rPr>
        <w:t xml:space="preserve">in </w:t>
      </w:r>
      <w:r w:rsidR="002625C9" w:rsidRPr="00FC15DE">
        <w:rPr>
          <w:rFonts w:ascii="Times New Roman" w:hAnsi="Times New Roman"/>
          <w:color w:val="000000"/>
          <w:sz w:val="24"/>
          <w:szCs w:val="24"/>
        </w:rPr>
        <w:t xml:space="preserve">Schedule 1 </w:t>
      </w:r>
      <w:r w:rsidR="006F215B" w:rsidRPr="00FC15DE">
        <w:rPr>
          <w:rFonts w:ascii="Times New Roman" w:hAnsi="Times New Roman"/>
          <w:color w:val="000000"/>
          <w:sz w:val="24"/>
          <w:szCs w:val="24"/>
        </w:rPr>
        <w:t>to</w:t>
      </w:r>
      <w:r w:rsidR="0078659F" w:rsidRPr="00FC15DE">
        <w:rPr>
          <w:rFonts w:ascii="Times New Roman" w:hAnsi="Times New Roman"/>
          <w:color w:val="000000"/>
          <w:sz w:val="24"/>
          <w:szCs w:val="24"/>
        </w:rPr>
        <w:t xml:space="preserve"> the Act. </w:t>
      </w:r>
    </w:p>
    <w:p w14:paraId="5631CB8D" w14:textId="77777777" w:rsidR="0078659F" w:rsidRPr="00FC15DE" w:rsidRDefault="0078659F" w:rsidP="0078659F">
      <w:pPr>
        <w:ind w:left="1418" w:hanging="1418"/>
        <w:rPr>
          <w:rFonts w:ascii="Times New Roman" w:hAnsi="Times New Roman"/>
          <w:bCs/>
          <w:color w:val="000000"/>
          <w:sz w:val="24"/>
          <w:szCs w:val="24"/>
        </w:rPr>
      </w:pPr>
    </w:p>
    <w:p w14:paraId="7FD2794F" w14:textId="77777777" w:rsidR="00EE7DCC" w:rsidRPr="00FC15DE" w:rsidRDefault="00750C22" w:rsidP="00E0165A">
      <w:pPr>
        <w:rPr>
          <w:rFonts w:ascii="Times New Roman" w:hAnsi="Times New Roman"/>
          <w:color w:val="000000"/>
          <w:sz w:val="24"/>
          <w:szCs w:val="24"/>
        </w:rPr>
      </w:pPr>
      <w:r w:rsidRPr="00FC15DE">
        <w:rPr>
          <w:rFonts w:ascii="Times New Roman" w:hAnsi="Times New Roman"/>
          <w:b/>
          <w:color w:val="000000"/>
          <w:sz w:val="24"/>
          <w:szCs w:val="24"/>
        </w:rPr>
        <w:t>Section</w:t>
      </w:r>
      <w:r w:rsidR="0078659F" w:rsidRPr="00FC15DE">
        <w:rPr>
          <w:rFonts w:ascii="Times New Roman" w:hAnsi="Times New Roman"/>
          <w:b/>
          <w:color w:val="000000"/>
          <w:sz w:val="24"/>
          <w:szCs w:val="24"/>
        </w:rPr>
        <w:t xml:space="preserve"> 5</w:t>
      </w:r>
      <w:r w:rsidR="0078659F" w:rsidRPr="00FC15DE">
        <w:rPr>
          <w:rFonts w:ascii="Times New Roman" w:hAnsi="Times New Roman"/>
          <w:color w:val="000000"/>
          <w:sz w:val="24"/>
          <w:szCs w:val="24"/>
        </w:rPr>
        <w:t xml:space="preserve"> provides that </w:t>
      </w:r>
      <w:r w:rsidR="004E440C" w:rsidRPr="00FC15DE">
        <w:rPr>
          <w:rFonts w:ascii="Times New Roman" w:hAnsi="Times New Roman"/>
          <w:color w:val="000000"/>
          <w:sz w:val="24"/>
          <w:szCs w:val="24"/>
        </w:rPr>
        <w:t xml:space="preserve">the </w:t>
      </w:r>
      <w:r w:rsidR="0078659F" w:rsidRPr="00FC15DE">
        <w:rPr>
          <w:rFonts w:ascii="Times New Roman" w:hAnsi="Times New Roman"/>
          <w:color w:val="000000"/>
          <w:sz w:val="24"/>
          <w:szCs w:val="24"/>
        </w:rPr>
        <w:t xml:space="preserve">instrument specified in </w:t>
      </w:r>
      <w:r w:rsidR="004E440C" w:rsidRPr="00FC15DE">
        <w:rPr>
          <w:rFonts w:ascii="Times New Roman" w:hAnsi="Times New Roman"/>
          <w:color w:val="000000"/>
          <w:sz w:val="24"/>
          <w:szCs w:val="24"/>
        </w:rPr>
        <w:t>the</w:t>
      </w:r>
      <w:r w:rsidR="0078659F" w:rsidRPr="00FC15DE">
        <w:rPr>
          <w:rFonts w:ascii="Times New Roman" w:hAnsi="Times New Roman"/>
          <w:color w:val="000000"/>
          <w:sz w:val="24"/>
          <w:szCs w:val="24"/>
        </w:rPr>
        <w:t xml:space="preserve"> Schedule to the Guidelines is</w:t>
      </w:r>
      <w:r w:rsidR="002625C9" w:rsidRPr="00FC15DE">
        <w:rPr>
          <w:rFonts w:ascii="Times New Roman" w:hAnsi="Times New Roman"/>
          <w:color w:val="000000"/>
          <w:sz w:val="24"/>
          <w:szCs w:val="24"/>
        </w:rPr>
        <w:t xml:space="preserve"> </w:t>
      </w:r>
      <w:r w:rsidR="0078659F" w:rsidRPr="00FC15DE">
        <w:rPr>
          <w:rFonts w:ascii="Times New Roman" w:hAnsi="Times New Roman"/>
          <w:color w:val="000000"/>
          <w:sz w:val="24"/>
          <w:szCs w:val="24"/>
        </w:rPr>
        <w:t xml:space="preserve">repealed. </w:t>
      </w:r>
    </w:p>
    <w:p w14:paraId="29FF49B3" w14:textId="77777777" w:rsidR="00EE7DCC" w:rsidRPr="00FC15DE" w:rsidRDefault="00EE7DCC" w:rsidP="00E0165A">
      <w:pPr>
        <w:rPr>
          <w:rFonts w:ascii="Times New Roman" w:hAnsi="Times New Roman"/>
          <w:color w:val="000000"/>
          <w:sz w:val="24"/>
          <w:szCs w:val="24"/>
        </w:rPr>
      </w:pPr>
    </w:p>
    <w:p w14:paraId="4F5AD3B0" w14:textId="444613B4" w:rsidR="0078659F" w:rsidRPr="00FC15DE" w:rsidRDefault="00EE7DCC" w:rsidP="00E0165A">
      <w:pPr>
        <w:rPr>
          <w:rFonts w:ascii="Times New Roman" w:hAnsi="Times New Roman"/>
          <w:color w:val="000000"/>
          <w:sz w:val="24"/>
          <w:szCs w:val="24"/>
        </w:rPr>
      </w:pPr>
      <w:r w:rsidRPr="00FC15DE">
        <w:rPr>
          <w:rFonts w:ascii="Times New Roman" w:hAnsi="Times New Roman"/>
          <w:b/>
          <w:bCs/>
          <w:color w:val="000000"/>
          <w:sz w:val="24"/>
          <w:szCs w:val="24"/>
        </w:rPr>
        <w:t>Section 6</w:t>
      </w:r>
      <w:r w:rsidRPr="00FC15DE">
        <w:rPr>
          <w:rFonts w:ascii="Times New Roman" w:hAnsi="Times New Roman"/>
          <w:color w:val="000000"/>
          <w:sz w:val="24"/>
          <w:szCs w:val="24"/>
        </w:rPr>
        <w:t xml:space="preserve"> provides that, </w:t>
      </w:r>
      <w:bookmarkStart w:id="0" w:name="_Hlk54711506"/>
      <w:r w:rsidRPr="00FC15DE">
        <w:rPr>
          <w:rFonts w:ascii="Times New Roman" w:hAnsi="Times New Roman"/>
          <w:color w:val="000000"/>
          <w:sz w:val="24"/>
          <w:szCs w:val="24"/>
        </w:rPr>
        <w:t xml:space="preserve">despite the repeal of the </w:t>
      </w:r>
      <w:r w:rsidR="00BE1A9F" w:rsidRPr="00FC15DE">
        <w:rPr>
          <w:rFonts w:ascii="Times New Roman" w:hAnsi="Times New Roman"/>
          <w:color w:val="000000"/>
          <w:sz w:val="24"/>
          <w:szCs w:val="24"/>
        </w:rPr>
        <w:t>Former Guidelines</w:t>
      </w:r>
      <w:r w:rsidRPr="00FC15DE">
        <w:rPr>
          <w:rFonts w:ascii="Times New Roman" w:hAnsi="Times New Roman"/>
          <w:color w:val="000000"/>
          <w:sz w:val="24"/>
          <w:szCs w:val="24"/>
        </w:rPr>
        <w:t xml:space="preserve"> made by Schedule 1 of the Guidelines, the </w:t>
      </w:r>
      <w:r w:rsidR="00BE1A9F" w:rsidRPr="00FC15DE">
        <w:rPr>
          <w:rFonts w:ascii="Times New Roman" w:hAnsi="Times New Roman"/>
          <w:color w:val="000000"/>
          <w:sz w:val="24"/>
          <w:szCs w:val="24"/>
        </w:rPr>
        <w:t>Former G</w:t>
      </w:r>
      <w:r w:rsidRPr="00FC15DE">
        <w:rPr>
          <w:rFonts w:ascii="Times New Roman" w:hAnsi="Times New Roman"/>
          <w:color w:val="000000"/>
          <w:sz w:val="24"/>
          <w:szCs w:val="24"/>
        </w:rPr>
        <w:t xml:space="preserve">uidelines, as in force immediately before the commencement of </w:t>
      </w:r>
      <w:r w:rsidR="00734012" w:rsidRPr="00FC15DE">
        <w:rPr>
          <w:rFonts w:ascii="Times New Roman" w:hAnsi="Times New Roman"/>
          <w:color w:val="000000"/>
          <w:sz w:val="24"/>
          <w:szCs w:val="24"/>
        </w:rPr>
        <w:t>the Guidelines</w:t>
      </w:r>
      <w:r w:rsidRPr="00FC15DE">
        <w:rPr>
          <w:rFonts w:ascii="Times New Roman" w:hAnsi="Times New Roman"/>
          <w:color w:val="000000"/>
          <w:sz w:val="24"/>
          <w:szCs w:val="24"/>
        </w:rPr>
        <w:t>, continue to apply on and after that commencement in relation to a grant made under Part 2-2 of the Act for the 2020 grant year</w:t>
      </w:r>
      <w:bookmarkEnd w:id="0"/>
      <w:r w:rsidRPr="00FC15DE">
        <w:rPr>
          <w:rFonts w:ascii="Times New Roman" w:hAnsi="Times New Roman"/>
          <w:color w:val="000000"/>
          <w:sz w:val="24"/>
          <w:szCs w:val="24"/>
        </w:rPr>
        <w:t xml:space="preserve">. </w:t>
      </w:r>
      <w:r w:rsidR="00734012" w:rsidRPr="00FC15DE">
        <w:rPr>
          <w:rFonts w:ascii="Times New Roman" w:hAnsi="Times New Roman"/>
          <w:color w:val="000000"/>
          <w:sz w:val="24"/>
          <w:szCs w:val="24"/>
        </w:rPr>
        <w:t xml:space="preserve">This means that the Former Guidelines will continue to apply to any Commonwealth Grant Scheme payments made to providers </w:t>
      </w:r>
      <w:r w:rsidR="005A2AB3" w:rsidRPr="00FC15DE">
        <w:rPr>
          <w:rFonts w:ascii="Times New Roman" w:hAnsi="Times New Roman"/>
          <w:color w:val="000000"/>
          <w:sz w:val="24"/>
          <w:szCs w:val="24"/>
        </w:rPr>
        <w:t>for</w:t>
      </w:r>
      <w:r w:rsidR="00734012" w:rsidRPr="00FC15DE">
        <w:rPr>
          <w:rFonts w:ascii="Times New Roman" w:hAnsi="Times New Roman"/>
          <w:color w:val="000000"/>
          <w:sz w:val="24"/>
          <w:szCs w:val="24"/>
        </w:rPr>
        <w:t xml:space="preserve"> </w:t>
      </w:r>
      <w:r w:rsidR="005A2AB3" w:rsidRPr="00FC15DE">
        <w:rPr>
          <w:rFonts w:ascii="Times New Roman" w:hAnsi="Times New Roman"/>
          <w:color w:val="000000"/>
          <w:sz w:val="24"/>
          <w:szCs w:val="24"/>
        </w:rPr>
        <w:t xml:space="preserve">the </w:t>
      </w:r>
      <w:r w:rsidR="00734012" w:rsidRPr="00FC15DE">
        <w:rPr>
          <w:rFonts w:ascii="Times New Roman" w:hAnsi="Times New Roman"/>
          <w:color w:val="000000"/>
          <w:sz w:val="24"/>
          <w:szCs w:val="24"/>
        </w:rPr>
        <w:t>2020</w:t>
      </w:r>
      <w:r w:rsidR="005A2AB3" w:rsidRPr="00FC15DE">
        <w:rPr>
          <w:rFonts w:ascii="Times New Roman" w:hAnsi="Times New Roman"/>
          <w:color w:val="000000"/>
          <w:sz w:val="24"/>
          <w:szCs w:val="24"/>
        </w:rPr>
        <w:t xml:space="preserve"> grant year</w:t>
      </w:r>
      <w:r w:rsidR="00734012" w:rsidRPr="00FC15DE">
        <w:rPr>
          <w:rFonts w:ascii="Times New Roman" w:hAnsi="Times New Roman"/>
          <w:color w:val="000000"/>
          <w:sz w:val="24"/>
          <w:szCs w:val="24"/>
        </w:rPr>
        <w:t xml:space="preserve">. </w:t>
      </w:r>
      <w:r w:rsidR="0078659F" w:rsidRPr="00FC15DE">
        <w:rPr>
          <w:rFonts w:ascii="Times New Roman" w:hAnsi="Times New Roman"/>
          <w:color w:val="000000"/>
          <w:sz w:val="24"/>
          <w:szCs w:val="24"/>
        </w:rPr>
        <w:t xml:space="preserve"> </w:t>
      </w:r>
    </w:p>
    <w:p w14:paraId="6A77DD41" w14:textId="77777777" w:rsidR="004F08B6" w:rsidRPr="00FC15DE" w:rsidRDefault="004F08B6" w:rsidP="004F08B6">
      <w:pPr>
        <w:ind w:left="1418" w:hanging="1418"/>
        <w:rPr>
          <w:rFonts w:ascii="Times New Roman" w:hAnsi="Times New Roman"/>
          <w:bCs/>
          <w:color w:val="000000"/>
          <w:sz w:val="24"/>
          <w:szCs w:val="24"/>
        </w:rPr>
      </w:pPr>
    </w:p>
    <w:p w14:paraId="136FEA0C" w14:textId="63B5BB67" w:rsidR="0078659F" w:rsidRPr="00FC15DE" w:rsidRDefault="0078659F" w:rsidP="0078659F">
      <w:pPr>
        <w:ind w:left="1418" w:hanging="1418"/>
        <w:rPr>
          <w:rFonts w:ascii="Times New Roman" w:hAnsi="Times New Roman"/>
          <w:bCs/>
          <w:i/>
          <w:color w:val="000000"/>
          <w:sz w:val="24"/>
          <w:szCs w:val="24"/>
        </w:rPr>
      </w:pPr>
      <w:r w:rsidRPr="00FC15DE">
        <w:rPr>
          <w:rFonts w:ascii="Times New Roman" w:hAnsi="Times New Roman"/>
          <w:bCs/>
          <w:i/>
          <w:color w:val="000000"/>
          <w:sz w:val="24"/>
          <w:szCs w:val="24"/>
        </w:rPr>
        <w:t>Chapter 2 – Higher Education Providers</w:t>
      </w:r>
    </w:p>
    <w:p w14:paraId="4DE35B9F" w14:textId="77777777" w:rsidR="00DC1218" w:rsidRPr="00FC15DE" w:rsidRDefault="00DC1218" w:rsidP="0078659F">
      <w:pPr>
        <w:ind w:left="1418" w:hanging="1418"/>
        <w:rPr>
          <w:rFonts w:ascii="Times New Roman" w:hAnsi="Times New Roman"/>
          <w:bCs/>
          <w:i/>
          <w:color w:val="000000"/>
          <w:sz w:val="24"/>
          <w:szCs w:val="24"/>
        </w:rPr>
      </w:pPr>
    </w:p>
    <w:p w14:paraId="47728342" w14:textId="4557040B" w:rsidR="0078659F" w:rsidRPr="00FC15DE" w:rsidRDefault="00750C22" w:rsidP="00E0165A">
      <w:pPr>
        <w:rPr>
          <w:rFonts w:ascii="Times New Roman" w:hAnsi="Times New Roman"/>
          <w:color w:val="000000"/>
          <w:sz w:val="24"/>
          <w:szCs w:val="24"/>
        </w:rPr>
      </w:pPr>
      <w:r w:rsidRPr="00FC15DE">
        <w:rPr>
          <w:rFonts w:ascii="Times New Roman" w:hAnsi="Times New Roman"/>
          <w:b/>
          <w:color w:val="000000"/>
          <w:sz w:val="24"/>
          <w:szCs w:val="24"/>
        </w:rPr>
        <w:t>Section</w:t>
      </w:r>
      <w:r w:rsidR="0078659F" w:rsidRPr="00FC15DE">
        <w:rPr>
          <w:rFonts w:ascii="Times New Roman" w:hAnsi="Times New Roman"/>
          <w:b/>
          <w:color w:val="000000"/>
          <w:sz w:val="24"/>
          <w:szCs w:val="24"/>
        </w:rPr>
        <w:t xml:space="preserve"> </w:t>
      </w:r>
      <w:r w:rsidR="00590886" w:rsidRPr="00FC15DE">
        <w:rPr>
          <w:rFonts w:ascii="Times New Roman" w:hAnsi="Times New Roman"/>
          <w:b/>
          <w:color w:val="000000"/>
          <w:sz w:val="24"/>
          <w:szCs w:val="24"/>
        </w:rPr>
        <w:t>7</w:t>
      </w:r>
      <w:r w:rsidR="0078659F" w:rsidRPr="00FC15DE">
        <w:rPr>
          <w:rFonts w:ascii="Times New Roman" w:hAnsi="Times New Roman"/>
          <w:color w:val="000000"/>
          <w:sz w:val="24"/>
          <w:szCs w:val="24"/>
        </w:rPr>
        <w:t xml:space="preserve"> </w:t>
      </w:r>
      <w:r w:rsidR="002A5576" w:rsidRPr="00FC15DE">
        <w:rPr>
          <w:rFonts w:ascii="Times New Roman" w:hAnsi="Times New Roman"/>
          <w:color w:val="000000"/>
          <w:sz w:val="24"/>
          <w:szCs w:val="24"/>
        </w:rPr>
        <w:t>provides that</w:t>
      </w:r>
      <w:r w:rsidR="0078659F" w:rsidRPr="00FC15DE">
        <w:rPr>
          <w:rFonts w:ascii="Times New Roman" w:hAnsi="Times New Roman"/>
          <w:color w:val="000000"/>
          <w:sz w:val="24"/>
          <w:szCs w:val="24"/>
        </w:rPr>
        <w:t xml:space="preserve"> the purpose of </w:t>
      </w:r>
      <w:r w:rsidR="002A5576" w:rsidRPr="00FC15DE">
        <w:rPr>
          <w:rFonts w:ascii="Times New Roman" w:hAnsi="Times New Roman"/>
          <w:color w:val="000000"/>
          <w:sz w:val="24"/>
          <w:szCs w:val="24"/>
        </w:rPr>
        <w:t>C</w:t>
      </w:r>
      <w:r w:rsidR="0078659F" w:rsidRPr="00FC15DE">
        <w:rPr>
          <w:rFonts w:ascii="Times New Roman" w:hAnsi="Times New Roman"/>
          <w:color w:val="000000"/>
          <w:sz w:val="24"/>
          <w:szCs w:val="24"/>
        </w:rPr>
        <w:t>hapter</w:t>
      </w:r>
      <w:r w:rsidR="002A5576" w:rsidRPr="00FC15DE">
        <w:rPr>
          <w:rFonts w:ascii="Times New Roman" w:hAnsi="Times New Roman"/>
          <w:color w:val="000000"/>
          <w:sz w:val="24"/>
          <w:szCs w:val="24"/>
        </w:rPr>
        <w:t xml:space="preserve"> 2</w:t>
      </w:r>
      <w:r w:rsidR="0078659F" w:rsidRPr="00FC15DE">
        <w:rPr>
          <w:rFonts w:ascii="Times New Roman" w:hAnsi="Times New Roman"/>
          <w:color w:val="000000"/>
          <w:sz w:val="24"/>
          <w:szCs w:val="24"/>
        </w:rPr>
        <w:t xml:space="preserve"> is to specify</w:t>
      </w:r>
      <w:r w:rsidR="0026454B" w:rsidRPr="00FC15DE">
        <w:rPr>
          <w:rFonts w:ascii="Times New Roman" w:hAnsi="Times New Roman"/>
          <w:color w:val="000000"/>
          <w:sz w:val="24"/>
          <w:szCs w:val="24"/>
        </w:rPr>
        <w:t>, for the purposes of subparagraph 30-1(1)(b)(</w:t>
      </w:r>
      <w:proofErr w:type="spellStart"/>
      <w:r w:rsidR="0026454B" w:rsidRPr="00FC15DE">
        <w:rPr>
          <w:rFonts w:ascii="Times New Roman" w:hAnsi="Times New Roman"/>
          <w:color w:val="000000"/>
          <w:sz w:val="24"/>
          <w:szCs w:val="24"/>
        </w:rPr>
        <w:t>i</w:t>
      </w:r>
      <w:proofErr w:type="spellEnd"/>
      <w:r w:rsidR="0026454B" w:rsidRPr="00FC15DE">
        <w:rPr>
          <w:rFonts w:ascii="Times New Roman" w:hAnsi="Times New Roman"/>
          <w:color w:val="000000"/>
          <w:sz w:val="24"/>
          <w:szCs w:val="24"/>
        </w:rPr>
        <w:t>) of the Act,</w:t>
      </w:r>
      <w:r w:rsidR="0078659F" w:rsidRPr="00FC15DE">
        <w:rPr>
          <w:rFonts w:ascii="Times New Roman" w:hAnsi="Times New Roman"/>
          <w:color w:val="000000"/>
          <w:sz w:val="24"/>
          <w:szCs w:val="24"/>
        </w:rPr>
        <w:t xml:space="preserve"> providers, other than Table A providers</w:t>
      </w:r>
      <w:r w:rsidR="0026454B" w:rsidRPr="00FC15DE">
        <w:rPr>
          <w:rFonts w:ascii="Times New Roman" w:hAnsi="Times New Roman"/>
          <w:color w:val="000000"/>
          <w:sz w:val="24"/>
          <w:szCs w:val="24"/>
        </w:rPr>
        <w:t>,</w:t>
      </w:r>
      <w:r w:rsidR="0078659F" w:rsidRPr="00FC15DE">
        <w:rPr>
          <w:rFonts w:ascii="Times New Roman" w:hAnsi="Times New Roman"/>
          <w:color w:val="000000"/>
          <w:sz w:val="24"/>
          <w:szCs w:val="24"/>
        </w:rPr>
        <w:t xml:space="preserve"> that can be paid </w:t>
      </w:r>
      <w:r w:rsidR="0026454B" w:rsidRPr="00FC15DE">
        <w:rPr>
          <w:rFonts w:ascii="Times New Roman" w:hAnsi="Times New Roman"/>
          <w:color w:val="000000"/>
          <w:sz w:val="24"/>
          <w:szCs w:val="24"/>
        </w:rPr>
        <w:t>grants under Part 2-2 of the Act</w:t>
      </w:r>
      <w:r w:rsidR="0078659F" w:rsidRPr="00FC15DE">
        <w:rPr>
          <w:rFonts w:ascii="Times New Roman" w:hAnsi="Times New Roman"/>
          <w:color w:val="000000"/>
          <w:sz w:val="24"/>
          <w:szCs w:val="24"/>
        </w:rPr>
        <w:t xml:space="preserve">. </w:t>
      </w:r>
    </w:p>
    <w:p w14:paraId="0F225DF6" w14:textId="77777777" w:rsidR="0078659F" w:rsidRPr="00FC15DE" w:rsidRDefault="0078659F" w:rsidP="00E0165A">
      <w:pPr>
        <w:rPr>
          <w:rFonts w:ascii="Times New Roman" w:hAnsi="Times New Roman"/>
          <w:color w:val="000000"/>
          <w:sz w:val="24"/>
          <w:szCs w:val="24"/>
        </w:rPr>
      </w:pPr>
    </w:p>
    <w:p w14:paraId="347B57D2" w14:textId="3A84E45C" w:rsidR="0078659F" w:rsidRPr="00FC15DE" w:rsidRDefault="00750C22" w:rsidP="00E0165A">
      <w:pPr>
        <w:rPr>
          <w:rFonts w:ascii="Times New Roman" w:hAnsi="Times New Roman"/>
          <w:color w:val="000000"/>
          <w:sz w:val="24"/>
          <w:szCs w:val="24"/>
        </w:rPr>
      </w:pPr>
      <w:r w:rsidRPr="00FC15DE">
        <w:rPr>
          <w:rFonts w:ascii="Times New Roman" w:hAnsi="Times New Roman"/>
          <w:b/>
          <w:color w:val="000000"/>
          <w:sz w:val="24"/>
          <w:szCs w:val="24"/>
        </w:rPr>
        <w:t>Section</w:t>
      </w:r>
      <w:r w:rsidR="0078659F" w:rsidRPr="00FC15DE">
        <w:rPr>
          <w:rFonts w:ascii="Times New Roman" w:hAnsi="Times New Roman"/>
          <w:b/>
          <w:color w:val="000000"/>
          <w:sz w:val="24"/>
          <w:szCs w:val="24"/>
        </w:rPr>
        <w:t xml:space="preserve"> </w:t>
      </w:r>
      <w:r w:rsidR="00590886" w:rsidRPr="00FC15DE">
        <w:rPr>
          <w:rFonts w:ascii="Times New Roman" w:hAnsi="Times New Roman"/>
          <w:b/>
          <w:color w:val="000000"/>
          <w:sz w:val="24"/>
          <w:szCs w:val="24"/>
        </w:rPr>
        <w:t>8</w:t>
      </w:r>
      <w:r w:rsidR="0078659F" w:rsidRPr="00FC15DE">
        <w:rPr>
          <w:rFonts w:ascii="Times New Roman" w:hAnsi="Times New Roman"/>
          <w:color w:val="000000"/>
          <w:sz w:val="24"/>
          <w:szCs w:val="24"/>
        </w:rPr>
        <w:t xml:space="preserve"> lists the higher education providers that can be paid grants under Part 2-2 of the Act. </w:t>
      </w:r>
      <w:r w:rsidR="00A96623" w:rsidRPr="00FC15DE">
        <w:rPr>
          <w:rFonts w:ascii="Times New Roman" w:hAnsi="Times New Roman"/>
          <w:color w:val="000000"/>
          <w:sz w:val="24"/>
          <w:szCs w:val="24"/>
        </w:rPr>
        <w:t xml:space="preserve">Providers that </w:t>
      </w:r>
      <w:r w:rsidR="00F15974" w:rsidRPr="00FC15DE">
        <w:rPr>
          <w:rFonts w:ascii="Times New Roman" w:hAnsi="Times New Roman"/>
          <w:color w:val="000000"/>
          <w:sz w:val="24"/>
          <w:szCs w:val="24"/>
        </w:rPr>
        <w:t xml:space="preserve">do </w:t>
      </w:r>
      <w:r w:rsidR="00A96623" w:rsidRPr="00FC15DE">
        <w:rPr>
          <w:rFonts w:ascii="Times New Roman" w:hAnsi="Times New Roman"/>
          <w:color w:val="000000"/>
          <w:sz w:val="24"/>
          <w:szCs w:val="24"/>
        </w:rPr>
        <w:t xml:space="preserve">not </w:t>
      </w:r>
      <w:r w:rsidR="00EA6FEB" w:rsidRPr="00FC15DE">
        <w:rPr>
          <w:rFonts w:ascii="Times New Roman" w:hAnsi="Times New Roman"/>
          <w:color w:val="000000"/>
          <w:sz w:val="24"/>
          <w:szCs w:val="24"/>
        </w:rPr>
        <w:t>have</w:t>
      </w:r>
      <w:r w:rsidR="00A96623" w:rsidRPr="00FC15DE">
        <w:rPr>
          <w:rFonts w:ascii="Times New Roman" w:hAnsi="Times New Roman"/>
          <w:color w:val="000000"/>
          <w:sz w:val="24"/>
          <w:szCs w:val="24"/>
        </w:rPr>
        <w:t xml:space="preserve"> a funding agreement with the Commonwealth</w:t>
      </w:r>
      <w:r w:rsidR="004E0819" w:rsidRPr="00FC15DE">
        <w:rPr>
          <w:rFonts w:ascii="Times New Roman" w:hAnsi="Times New Roman"/>
          <w:color w:val="000000"/>
          <w:sz w:val="24"/>
          <w:szCs w:val="24"/>
        </w:rPr>
        <w:t xml:space="preserve"> for the years 2021 to 2023</w:t>
      </w:r>
      <w:r w:rsidR="00A96623" w:rsidRPr="00FC15DE">
        <w:rPr>
          <w:rFonts w:ascii="Times New Roman" w:hAnsi="Times New Roman"/>
          <w:color w:val="000000"/>
          <w:sz w:val="24"/>
          <w:szCs w:val="24"/>
        </w:rPr>
        <w:t xml:space="preserve"> have been removed from this list. This includes some private higher education providers </w:t>
      </w:r>
      <w:r w:rsidR="006F5F1C" w:rsidRPr="00FC15DE">
        <w:rPr>
          <w:rFonts w:ascii="Times New Roman" w:hAnsi="Times New Roman"/>
          <w:color w:val="000000"/>
          <w:sz w:val="24"/>
          <w:szCs w:val="24"/>
        </w:rPr>
        <w:t xml:space="preserve">that </w:t>
      </w:r>
      <w:r w:rsidR="00A96623" w:rsidRPr="00FC15DE">
        <w:rPr>
          <w:rFonts w:ascii="Times New Roman" w:hAnsi="Times New Roman"/>
          <w:color w:val="000000"/>
          <w:sz w:val="24"/>
          <w:szCs w:val="24"/>
        </w:rPr>
        <w:t>received funding under Part 2-2 of the Act in 2020 for the purposes of providing ‘short courses’</w:t>
      </w:r>
      <w:r w:rsidR="003310EF" w:rsidRPr="00FC15DE">
        <w:rPr>
          <w:rFonts w:ascii="Times New Roman" w:hAnsi="Times New Roman"/>
          <w:color w:val="000000"/>
          <w:sz w:val="24"/>
          <w:szCs w:val="24"/>
        </w:rPr>
        <w:t xml:space="preserve"> (for example, undergraduate certificates as now described under the Australian Qualifications Framework)</w:t>
      </w:r>
      <w:r w:rsidR="00A96623" w:rsidRPr="00FC15DE">
        <w:rPr>
          <w:rFonts w:ascii="Times New Roman" w:hAnsi="Times New Roman"/>
          <w:color w:val="000000"/>
          <w:sz w:val="24"/>
          <w:szCs w:val="24"/>
        </w:rPr>
        <w:t xml:space="preserve"> in 2020. </w:t>
      </w:r>
      <w:r w:rsidR="00CA0207" w:rsidRPr="00FC15DE">
        <w:rPr>
          <w:rFonts w:ascii="Times New Roman" w:hAnsi="Times New Roman"/>
          <w:color w:val="000000"/>
          <w:sz w:val="24"/>
          <w:szCs w:val="24"/>
        </w:rPr>
        <w:t xml:space="preserve"> </w:t>
      </w:r>
    </w:p>
    <w:p w14:paraId="7AE4E8A1" w14:textId="77777777" w:rsidR="0078659F" w:rsidRPr="00FC15DE" w:rsidRDefault="0078659F" w:rsidP="0078659F">
      <w:pPr>
        <w:rPr>
          <w:rFonts w:ascii="Times New Roman" w:hAnsi="Times New Roman"/>
          <w:bCs/>
          <w:color w:val="000000"/>
          <w:sz w:val="24"/>
          <w:szCs w:val="24"/>
        </w:rPr>
      </w:pPr>
    </w:p>
    <w:p w14:paraId="3ABD646C" w14:textId="3AB4600C" w:rsidR="0078659F" w:rsidRPr="00FC15DE" w:rsidRDefault="0078659F" w:rsidP="0078659F">
      <w:pPr>
        <w:ind w:left="1418" w:hanging="1418"/>
        <w:rPr>
          <w:rFonts w:ascii="Times New Roman" w:hAnsi="Times New Roman"/>
          <w:bCs/>
          <w:i/>
          <w:color w:val="000000"/>
          <w:sz w:val="24"/>
          <w:szCs w:val="24"/>
        </w:rPr>
      </w:pPr>
      <w:r w:rsidRPr="00FC15DE">
        <w:rPr>
          <w:rFonts w:ascii="Times New Roman" w:hAnsi="Times New Roman"/>
          <w:bCs/>
          <w:i/>
          <w:color w:val="000000"/>
          <w:sz w:val="24"/>
          <w:szCs w:val="24"/>
        </w:rPr>
        <w:t>Chapter 3 – National Priorities</w:t>
      </w:r>
    </w:p>
    <w:p w14:paraId="34D572DE" w14:textId="77777777" w:rsidR="00E0165A" w:rsidRPr="00FC15DE" w:rsidRDefault="00E0165A" w:rsidP="0078659F">
      <w:pPr>
        <w:ind w:left="1418" w:hanging="1418"/>
        <w:rPr>
          <w:rFonts w:ascii="Times New Roman" w:hAnsi="Times New Roman"/>
          <w:bCs/>
          <w:i/>
          <w:color w:val="000000"/>
          <w:sz w:val="24"/>
          <w:szCs w:val="24"/>
        </w:rPr>
      </w:pPr>
    </w:p>
    <w:p w14:paraId="0EC2477F" w14:textId="17395DB7" w:rsidR="0078659F" w:rsidRPr="00FC15DE" w:rsidRDefault="00750C22" w:rsidP="00E0165A">
      <w:pPr>
        <w:rPr>
          <w:rFonts w:ascii="Times New Roman" w:hAnsi="Times New Roman"/>
          <w:color w:val="000000"/>
          <w:sz w:val="24"/>
          <w:szCs w:val="24"/>
        </w:rPr>
      </w:pPr>
      <w:r w:rsidRPr="00FC15DE">
        <w:rPr>
          <w:rFonts w:ascii="Times New Roman" w:hAnsi="Times New Roman"/>
          <w:b/>
          <w:color w:val="000000"/>
          <w:sz w:val="24"/>
          <w:szCs w:val="24"/>
        </w:rPr>
        <w:t>Section</w:t>
      </w:r>
      <w:r w:rsidR="0078659F" w:rsidRPr="00FC15DE">
        <w:rPr>
          <w:rFonts w:ascii="Times New Roman" w:hAnsi="Times New Roman"/>
          <w:b/>
          <w:color w:val="000000"/>
          <w:sz w:val="24"/>
          <w:szCs w:val="24"/>
        </w:rPr>
        <w:t xml:space="preserve"> </w:t>
      </w:r>
      <w:r w:rsidR="00590886" w:rsidRPr="00FC15DE">
        <w:rPr>
          <w:rFonts w:ascii="Times New Roman" w:hAnsi="Times New Roman"/>
          <w:b/>
          <w:color w:val="000000"/>
          <w:sz w:val="24"/>
          <w:szCs w:val="24"/>
        </w:rPr>
        <w:t>9</w:t>
      </w:r>
      <w:r w:rsidR="0078659F" w:rsidRPr="00FC15DE">
        <w:rPr>
          <w:rFonts w:ascii="Times New Roman" w:hAnsi="Times New Roman"/>
          <w:color w:val="000000"/>
          <w:sz w:val="24"/>
          <w:szCs w:val="24"/>
        </w:rPr>
        <w:t xml:space="preserve"> </w:t>
      </w:r>
      <w:r w:rsidR="00057F0F" w:rsidRPr="00FC15DE">
        <w:rPr>
          <w:rFonts w:ascii="Times New Roman" w:hAnsi="Times New Roman"/>
          <w:color w:val="000000"/>
          <w:sz w:val="24"/>
          <w:szCs w:val="24"/>
        </w:rPr>
        <w:t>provides that</w:t>
      </w:r>
      <w:r w:rsidR="0078659F" w:rsidRPr="00FC15DE">
        <w:rPr>
          <w:rFonts w:ascii="Times New Roman" w:hAnsi="Times New Roman"/>
          <w:color w:val="000000"/>
          <w:sz w:val="24"/>
          <w:szCs w:val="24"/>
        </w:rPr>
        <w:t xml:space="preserve"> the purpose of </w:t>
      </w:r>
      <w:r w:rsidR="00057F0F" w:rsidRPr="00FC15DE">
        <w:rPr>
          <w:rFonts w:ascii="Times New Roman" w:hAnsi="Times New Roman"/>
          <w:color w:val="000000"/>
          <w:sz w:val="24"/>
          <w:szCs w:val="24"/>
        </w:rPr>
        <w:t>C</w:t>
      </w:r>
      <w:r w:rsidR="0078659F" w:rsidRPr="00FC15DE">
        <w:rPr>
          <w:rFonts w:ascii="Times New Roman" w:hAnsi="Times New Roman"/>
          <w:color w:val="000000"/>
          <w:sz w:val="24"/>
          <w:szCs w:val="24"/>
        </w:rPr>
        <w:t>hapter</w:t>
      </w:r>
      <w:r w:rsidR="00057F0F" w:rsidRPr="00FC15DE">
        <w:rPr>
          <w:rFonts w:ascii="Times New Roman" w:hAnsi="Times New Roman"/>
          <w:color w:val="000000"/>
          <w:sz w:val="24"/>
          <w:szCs w:val="24"/>
        </w:rPr>
        <w:t xml:space="preserve"> 3</w:t>
      </w:r>
      <w:r w:rsidR="0078659F" w:rsidRPr="00FC15DE">
        <w:rPr>
          <w:rFonts w:ascii="Times New Roman" w:hAnsi="Times New Roman"/>
          <w:color w:val="000000"/>
          <w:sz w:val="24"/>
          <w:szCs w:val="24"/>
        </w:rPr>
        <w:t xml:space="preserve"> is to specify, for the purposes of paragraph </w:t>
      </w:r>
      <w:r w:rsidR="0078659F" w:rsidRPr="00FC15DE">
        <w:rPr>
          <w:rFonts w:ascii="Times New Roman" w:hAnsi="Times New Roman"/>
          <w:color w:val="000000"/>
          <w:sz w:val="24"/>
          <w:szCs w:val="24"/>
        </w:rPr>
        <w:br/>
        <w:t>30-20(b) of the Act, outcomes in the provision of higher education as national priorities.</w:t>
      </w:r>
    </w:p>
    <w:p w14:paraId="4E3D98D2" w14:textId="77777777" w:rsidR="0078659F" w:rsidRPr="00FC15DE" w:rsidRDefault="0078659F" w:rsidP="0078659F">
      <w:pPr>
        <w:ind w:left="1418" w:hanging="1418"/>
        <w:rPr>
          <w:rFonts w:ascii="Times New Roman" w:hAnsi="Times New Roman"/>
          <w:bCs/>
          <w:color w:val="000000"/>
          <w:sz w:val="24"/>
          <w:szCs w:val="24"/>
        </w:rPr>
      </w:pPr>
    </w:p>
    <w:p w14:paraId="0F2A6F0F" w14:textId="7C80A8F7" w:rsidR="009F25AD" w:rsidRPr="00FC15DE" w:rsidRDefault="00750C22" w:rsidP="009E6899">
      <w:pPr>
        <w:rPr>
          <w:rFonts w:ascii="Times New Roman" w:hAnsi="Times New Roman"/>
          <w:bCs/>
          <w:i/>
          <w:color w:val="000000"/>
          <w:sz w:val="24"/>
          <w:szCs w:val="24"/>
        </w:rPr>
      </w:pPr>
      <w:r w:rsidRPr="00FC15DE">
        <w:rPr>
          <w:rFonts w:ascii="Times New Roman" w:hAnsi="Times New Roman"/>
          <w:b/>
          <w:color w:val="000000"/>
          <w:sz w:val="24"/>
          <w:szCs w:val="24"/>
        </w:rPr>
        <w:t>Section</w:t>
      </w:r>
      <w:r w:rsidR="0078659F" w:rsidRPr="00FC15DE">
        <w:rPr>
          <w:rFonts w:ascii="Times New Roman" w:hAnsi="Times New Roman"/>
          <w:b/>
          <w:color w:val="000000"/>
          <w:sz w:val="24"/>
          <w:szCs w:val="24"/>
        </w:rPr>
        <w:t xml:space="preserve"> </w:t>
      </w:r>
      <w:r w:rsidR="00590886" w:rsidRPr="00FC15DE">
        <w:rPr>
          <w:rFonts w:ascii="Times New Roman" w:hAnsi="Times New Roman"/>
          <w:b/>
          <w:color w:val="000000"/>
          <w:sz w:val="24"/>
          <w:szCs w:val="24"/>
        </w:rPr>
        <w:t>10</w:t>
      </w:r>
      <w:r w:rsidR="0078659F" w:rsidRPr="00FC15DE">
        <w:rPr>
          <w:rFonts w:ascii="Times New Roman" w:hAnsi="Times New Roman"/>
          <w:color w:val="000000"/>
          <w:sz w:val="24"/>
          <w:szCs w:val="24"/>
        </w:rPr>
        <w:t xml:space="preserve"> lists the outcomes considered to be national priorities</w:t>
      </w:r>
      <w:r w:rsidR="007927A0" w:rsidRPr="00FC15DE">
        <w:rPr>
          <w:rFonts w:ascii="Times New Roman" w:hAnsi="Times New Roman"/>
          <w:color w:val="000000"/>
          <w:sz w:val="24"/>
          <w:szCs w:val="24"/>
        </w:rPr>
        <w:t xml:space="preserve"> which include increasing the number of persons undertaking Education and Nursing courses of study, and supporting persons proposing to undertake certain courses of study at the University of Notre Dame Australia</w:t>
      </w:r>
      <w:r w:rsidR="0078659F" w:rsidRPr="00FC15DE">
        <w:rPr>
          <w:rFonts w:ascii="Times New Roman" w:hAnsi="Times New Roman"/>
          <w:color w:val="000000"/>
          <w:sz w:val="24"/>
          <w:szCs w:val="24"/>
        </w:rPr>
        <w:t>.</w:t>
      </w:r>
      <w:r w:rsidR="00305AC5" w:rsidRPr="00FC15DE">
        <w:rPr>
          <w:rFonts w:ascii="Times New Roman" w:hAnsi="Times New Roman"/>
          <w:color w:val="000000"/>
          <w:sz w:val="24"/>
          <w:szCs w:val="24"/>
        </w:rPr>
        <w:t xml:space="preserve"> </w:t>
      </w:r>
      <w:r w:rsidR="00902A65" w:rsidRPr="00FC15DE">
        <w:rPr>
          <w:rFonts w:ascii="Times New Roman" w:hAnsi="Times New Roman"/>
          <w:color w:val="000000"/>
          <w:sz w:val="24"/>
          <w:szCs w:val="24"/>
        </w:rPr>
        <w:t>Under the Act, non-Table A providers can only receive Commonwealth Grant Scheme funding in relation to the national priorities set out in the Guidelines and this is a key mechanism used to ensure that limited Commonwealth funding is appropriately targeted to improving education outcomes in areas of national priority</w:t>
      </w:r>
      <w:r w:rsidR="00073AD0" w:rsidRPr="00FC15DE">
        <w:rPr>
          <w:rFonts w:ascii="Times New Roman" w:hAnsi="Times New Roman"/>
          <w:color w:val="000000"/>
          <w:sz w:val="24"/>
          <w:szCs w:val="24"/>
        </w:rPr>
        <w:t>, such as nursing and education</w:t>
      </w:r>
      <w:r w:rsidR="00902A65" w:rsidRPr="00FC15DE">
        <w:rPr>
          <w:rFonts w:ascii="Times New Roman" w:hAnsi="Times New Roman"/>
          <w:color w:val="000000"/>
          <w:sz w:val="24"/>
          <w:szCs w:val="24"/>
        </w:rPr>
        <w:t xml:space="preserve">. National priorities may change as Australia’s workforce evolves over time, and therefore, it is </w:t>
      </w:r>
      <w:r w:rsidR="00902A65" w:rsidRPr="00FC15DE">
        <w:rPr>
          <w:rFonts w:ascii="Times New Roman" w:hAnsi="Times New Roman"/>
          <w:color w:val="000000"/>
          <w:sz w:val="24"/>
          <w:szCs w:val="24"/>
        </w:rPr>
        <w:lastRenderedPageBreak/>
        <w:t xml:space="preserve">vital that there is flexibility to specify new and different national priorities through the Guidelines. </w:t>
      </w:r>
      <w:r w:rsidR="009E6899" w:rsidRPr="00FC15DE">
        <w:rPr>
          <w:rFonts w:ascii="Times New Roman" w:hAnsi="Times New Roman"/>
          <w:color w:val="000000"/>
          <w:sz w:val="24"/>
          <w:szCs w:val="24"/>
        </w:rPr>
        <w:t xml:space="preserve">This flexibility will ensure the rapid implementation of Government funding decisions. </w:t>
      </w:r>
      <w:r w:rsidR="00902A65" w:rsidRPr="00FC15DE">
        <w:rPr>
          <w:rFonts w:ascii="Times New Roman" w:hAnsi="Times New Roman"/>
          <w:color w:val="000000"/>
          <w:sz w:val="24"/>
          <w:szCs w:val="24"/>
        </w:rPr>
        <w:t xml:space="preserve">It is </w:t>
      </w:r>
      <w:r w:rsidR="002A65F4" w:rsidRPr="00FC15DE">
        <w:rPr>
          <w:rFonts w:ascii="Times New Roman" w:hAnsi="Times New Roman"/>
          <w:color w:val="000000"/>
          <w:sz w:val="24"/>
          <w:szCs w:val="24"/>
        </w:rPr>
        <w:t xml:space="preserve">therefore </w:t>
      </w:r>
      <w:r w:rsidR="00902A65" w:rsidRPr="00FC15DE">
        <w:rPr>
          <w:rFonts w:ascii="Times New Roman" w:hAnsi="Times New Roman"/>
          <w:color w:val="000000"/>
          <w:sz w:val="24"/>
          <w:szCs w:val="24"/>
        </w:rPr>
        <w:t>appropriate for the national priorities to be specified in delegated legislation, noting that paragraph 30-20(b) of the Act expressly allows for the Minister to specify national priorities in the Guidelines.</w:t>
      </w:r>
    </w:p>
    <w:p w14:paraId="37638907" w14:textId="77777777" w:rsidR="009F25AD" w:rsidRPr="00FC15DE" w:rsidRDefault="009F25AD" w:rsidP="0078659F">
      <w:pPr>
        <w:ind w:left="1418" w:hanging="1418"/>
        <w:rPr>
          <w:rFonts w:ascii="Times New Roman" w:hAnsi="Times New Roman"/>
          <w:bCs/>
          <w:i/>
          <w:color w:val="000000"/>
          <w:sz w:val="24"/>
          <w:szCs w:val="24"/>
        </w:rPr>
      </w:pPr>
    </w:p>
    <w:p w14:paraId="5F62A5F0" w14:textId="69F35728" w:rsidR="0078659F" w:rsidRPr="00FC15DE" w:rsidRDefault="0078659F" w:rsidP="0078659F">
      <w:pPr>
        <w:ind w:left="1418" w:hanging="1418"/>
        <w:rPr>
          <w:rFonts w:ascii="Times New Roman" w:hAnsi="Times New Roman"/>
          <w:bCs/>
          <w:i/>
          <w:color w:val="000000"/>
          <w:sz w:val="24"/>
          <w:szCs w:val="24"/>
        </w:rPr>
      </w:pPr>
      <w:r w:rsidRPr="00FC15DE">
        <w:rPr>
          <w:rFonts w:ascii="Times New Roman" w:hAnsi="Times New Roman"/>
          <w:bCs/>
          <w:i/>
          <w:color w:val="000000"/>
          <w:sz w:val="24"/>
          <w:szCs w:val="24"/>
        </w:rPr>
        <w:t>Chapter 4 – Medical Student Loading</w:t>
      </w:r>
    </w:p>
    <w:p w14:paraId="476F65F4" w14:textId="77777777" w:rsidR="00040B71" w:rsidRPr="00FC15DE" w:rsidRDefault="00040B71" w:rsidP="0078659F">
      <w:pPr>
        <w:ind w:left="1418" w:hanging="1418"/>
        <w:rPr>
          <w:rFonts w:ascii="Times New Roman" w:hAnsi="Times New Roman"/>
          <w:bCs/>
          <w:i/>
          <w:color w:val="000000"/>
          <w:sz w:val="24"/>
          <w:szCs w:val="24"/>
        </w:rPr>
      </w:pPr>
    </w:p>
    <w:p w14:paraId="6684CE8A" w14:textId="2EEA9E51" w:rsidR="0078659F" w:rsidRPr="00FC15DE" w:rsidRDefault="00750C22" w:rsidP="00F9648D">
      <w:pPr>
        <w:keepNext/>
        <w:keepLines/>
        <w:tabs>
          <w:tab w:val="left" w:pos="851"/>
        </w:tabs>
        <w:rPr>
          <w:rFonts w:ascii="Times New Roman" w:hAnsi="Times New Roman"/>
          <w:color w:val="000000"/>
          <w:sz w:val="24"/>
          <w:szCs w:val="24"/>
        </w:rPr>
      </w:pPr>
      <w:r w:rsidRPr="00FC15DE">
        <w:rPr>
          <w:rFonts w:ascii="Times New Roman" w:hAnsi="Times New Roman"/>
          <w:b/>
          <w:color w:val="000000"/>
          <w:sz w:val="24"/>
          <w:szCs w:val="24"/>
        </w:rPr>
        <w:t>Section</w:t>
      </w:r>
      <w:r w:rsidR="0078659F" w:rsidRPr="00FC15DE">
        <w:rPr>
          <w:rFonts w:ascii="Times New Roman" w:hAnsi="Times New Roman"/>
          <w:b/>
          <w:color w:val="000000"/>
          <w:sz w:val="24"/>
          <w:szCs w:val="24"/>
        </w:rPr>
        <w:t xml:space="preserve"> 1</w:t>
      </w:r>
      <w:r w:rsidR="00590886" w:rsidRPr="00FC15DE">
        <w:rPr>
          <w:rFonts w:ascii="Times New Roman" w:hAnsi="Times New Roman"/>
          <w:b/>
          <w:color w:val="000000"/>
          <w:sz w:val="24"/>
          <w:szCs w:val="24"/>
        </w:rPr>
        <w:t>1</w:t>
      </w:r>
      <w:r w:rsidR="0078659F" w:rsidRPr="00FC15DE">
        <w:rPr>
          <w:rFonts w:ascii="Times New Roman" w:hAnsi="Times New Roman"/>
          <w:color w:val="000000"/>
          <w:sz w:val="24"/>
          <w:szCs w:val="24"/>
        </w:rPr>
        <w:t xml:space="preserve"> provides that the purpose of </w:t>
      </w:r>
      <w:r w:rsidR="006D0E65" w:rsidRPr="00FC15DE">
        <w:rPr>
          <w:rFonts w:ascii="Times New Roman" w:hAnsi="Times New Roman"/>
          <w:color w:val="000000"/>
          <w:sz w:val="24"/>
          <w:szCs w:val="24"/>
        </w:rPr>
        <w:t>C</w:t>
      </w:r>
      <w:r w:rsidR="0078659F" w:rsidRPr="00FC15DE">
        <w:rPr>
          <w:rFonts w:ascii="Times New Roman" w:hAnsi="Times New Roman"/>
          <w:color w:val="000000"/>
          <w:sz w:val="24"/>
          <w:szCs w:val="24"/>
        </w:rPr>
        <w:t>hapter</w:t>
      </w:r>
      <w:r w:rsidR="006D0E65" w:rsidRPr="00FC15DE">
        <w:rPr>
          <w:rFonts w:ascii="Times New Roman" w:hAnsi="Times New Roman"/>
          <w:color w:val="000000"/>
          <w:sz w:val="24"/>
          <w:szCs w:val="24"/>
        </w:rPr>
        <w:t xml:space="preserve"> 4</w:t>
      </w:r>
      <w:r w:rsidR="0078659F" w:rsidRPr="00FC15DE">
        <w:rPr>
          <w:rFonts w:ascii="Times New Roman" w:hAnsi="Times New Roman"/>
          <w:color w:val="000000"/>
          <w:sz w:val="24"/>
          <w:szCs w:val="24"/>
        </w:rPr>
        <w:t xml:space="preserve"> is to specify how the amount of medical student loading is to be worked out for the purposes of subparagraph 33-1(1)(b)(ii) of the Act.</w:t>
      </w:r>
      <w:r w:rsidR="00F9648D" w:rsidRPr="00FC15DE">
        <w:rPr>
          <w:rFonts w:ascii="Times New Roman" w:hAnsi="Times New Roman"/>
          <w:color w:val="000000"/>
          <w:sz w:val="24"/>
          <w:szCs w:val="24"/>
        </w:rPr>
        <w:t xml:space="preserve"> </w:t>
      </w:r>
    </w:p>
    <w:p w14:paraId="0FF4629F" w14:textId="77777777" w:rsidR="0078659F" w:rsidRPr="00FC15DE" w:rsidRDefault="0078659F" w:rsidP="00D237D5">
      <w:pPr>
        <w:rPr>
          <w:rFonts w:ascii="Times New Roman" w:hAnsi="Times New Roman"/>
          <w:color w:val="000000"/>
          <w:sz w:val="24"/>
          <w:szCs w:val="24"/>
        </w:rPr>
      </w:pPr>
      <w:r w:rsidRPr="00FC15DE">
        <w:rPr>
          <w:rFonts w:ascii="Times New Roman" w:hAnsi="Times New Roman"/>
          <w:color w:val="000000"/>
          <w:sz w:val="24"/>
          <w:szCs w:val="24"/>
        </w:rPr>
        <w:t xml:space="preserve"> </w:t>
      </w:r>
    </w:p>
    <w:p w14:paraId="2D78231D" w14:textId="3B0B12C4" w:rsidR="0078659F" w:rsidRPr="00FC15DE" w:rsidRDefault="00750C22" w:rsidP="00D237D5">
      <w:pPr>
        <w:rPr>
          <w:rFonts w:ascii="Times New Roman" w:hAnsi="Times New Roman"/>
          <w:color w:val="000000"/>
          <w:sz w:val="24"/>
          <w:szCs w:val="24"/>
        </w:rPr>
      </w:pPr>
      <w:r w:rsidRPr="00FC15DE">
        <w:rPr>
          <w:rFonts w:ascii="Times New Roman" w:hAnsi="Times New Roman"/>
          <w:b/>
          <w:color w:val="000000"/>
          <w:sz w:val="24"/>
          <w:szCs w:val="24"/>
        </w:rPr>
        <w:t>S</w:t>
      </w:r>
      <w:r w:rsidR="00244E19" w:rsidRPr="00FC15DE">
        <w:rPr>
          <w:rFonts w:ascii="Times New Roman" w:hAnsi="Times New Roman"/>
          <w:b/>
          <w:color w:val="000000"/>
          <w:sz w:val="24"/>
          <w:szCs w:val="24"/>
        </w:rPr>
        <w:t>ubs</w:t>
      </w:r>
      <w:r w:rsidRPr="00FC15DE">
        <w:rPr>
          <w:rFonts w:ascii="Times New Roman" w:hAnsi="Times New Roman"/>
          <w:b/>
          <w:color w:val="000000"/>
          <w:sz w:val="24"/>
          <w:szCs w:val="24"/>
        </w:rPr>
        <w:t>ection</w:t>
      </w:r>
      <w:r w:rsidR="0078659F" w:rsidRPr="00FC15DE">
        <w:rPr>
          <w:rFonts w:ascii="Times New Roman" w:hAnsi="Times New Roman"/>
          <w:b/>
          <w:color w:val="000000"/>
          <w:sz w:val="24"/>
          <w:szCs w:val="24"/>
        </w:rPr>
        <w:t xml:space="preserve"> </w:t>
      </w:r>
      <w:r w:rsidR="004E602E" w:rsidRPr="00FC15DE">
        <w:rPr>
          <w:rFonts w:ascii="Times New Roman" w:hAnsi="Times New Roman"/>
          <w:b/>
          <w:color w:val="000000"/>
          <w:sz w:val="24"/>
          <w:szCs w:val="24"/>
        </w:rPr>
        <w:t>1</w:t>
      </w:r>
      <w:r w:rsidR="00590886" w:rsidRPr="00FC15DE">
        <w:rPr>
          <w:rFonts w:ascii="Times New Roman" w:hAnsi="Times New Roman"/>
          <w:b/>
          <w:color w:val="000000"/>
          <w:sz w:val="24"/>
          <w:szCs w:val="24"/>
        </w:rPr>
        <w:t>2</w:t>
      </w:r>
      <w:r w:rsidR="0078659F" w:rsidRPr="00FC15DE">
        <w:rPr>
          <w:rFonts w:ascii="Times New Roman" w:hAnsi="Times New Roman"/>
          <w:b/>
          <w:color w:val="000000"/>
          <w:sz w:val="24"/>
          <w:szCs w:val="24"/>
        </w:rPr>
        <w:t>(1)</w:t>
      </w:r>
      <w:r w:rsidR="0078659F" w:rsidRPr="00FC15DE">
        <w:rPr>
          <w:rFonts w:ascii="Times New Roman" w:hAnsi="Times New Roman"/>
          <w:color w:val="000000"/>
          <w:sz w:val="24"/>
          <w:szCs w:val="24"/>
        </w:rPr>
        <w:t xml:space="preserve"> states that </w:t>
      </w:r>
      <w:r w:rsidR="005931CC" w:rsidRPr="00FC15DE">
        <w:rPr>
          <w:rFonts w:ascii="Times New Roman" w:hAnsi="Times New Roman"/>
          <w:color w:val="000000"/>
          <w:sz w:val="24"/>
          <w:szCs w:val="24"/>
        </w:rPr>
        <w:t>the medical student loading for a provider for Commonwealth supported ‘medical student EFTSL’ for the allocated number of medical student places in 2021 and later years is the medical student loading in 2020 (of $1,465 per place) indexed in accordance with Part 5-6 of the Act</w:t>
      </w:r>
      <w:r w:rsidR="0078659F" w:rsidRPr="00FC15DE">
        <w:rPr>
          <w:rFonts w:ascii="Times New Roman" w:hAnsi="Times New Roman"/>
          <w:color w:val="000000"/>
          <w:sz w:val="24"/>
          <w:szCs w:val="24"/>
        </w:rPr>
        <w:t xml:space="preserve">. </w:t>
      </w:r>
    </w:p>
    <w:p w14:paraId="74E7CF99" w14:textId="77777777" w:rsidR="0078659F" w:rsidRPr="00FC15DE" w:rsidRDefault="0078659F" w:rsidP="0078659F">
      <w:pPr>
        <w:rPr>
          <w:rFonts w:ascii="Times New Roman" w:hAnsi="Times New Roman"/>
          <w:color w:val="000000"/>
          <w:sz w:val="24"/>
          <w:szCs w:val="24"/>
        </w:rPr>
      </w:pPr>
    </w:p>
    <w:p w14:paraId="137328F8" w14:textId="7752E8AC" w:rsidR="00F9648D" w:rsidRPr="00FC15DE" w:rsidRDefault="00750C22" w:rsidP="00E13371">
      <w:pPr>
        <w:keepNext/>
        <w:keepLines/>
        <w:tabs>
          <w:tab w:val="left" w:pos="851"/>
        </w:tabs>
        <w:rPr>
          <w:rFonts w:ascii="Times New Roman" w:hAnsi="Times New Roman"/>
          <w:iCs/>
          <w:sz w:val="24"/>
          <w:szCs w:val="24"/>
          <w:u w:val="single"/>
        </w:rPr>
      </w:pPr>
      <w:r w:rsidRPr="00FC15DE">
        <w:rPr>
          <w:rFonts w:ascii="Times New Roman" w:hAnsi="Times New Roman"/>
          <w:b/>
          <w:color w:val="000000"/>
          <w:sz w:val="24"/>
          <w:szCs w:val="24"/>
        </w:rPr>
        <w:t>S</w:t>
      </w:r>
      <w:r w:rsidR="00244E19" w:rsidRPr="00FC15DE">
        <w:rPr>
          <w:rFonts w:ascii="Times New Roman" w:hAnsi="Times New Roman"/>
          <w:b/>
          <w:color w:val="000000"/>
          <w:sz w:val="24"/>
          <w:szCs w:val="24"/>
        </w:rPr>
        <w:t>ubs</w:t>
      </w:r>
      <w:r w:rsidRPr="00FC15DE">
        <w:rPr>
          <w:rFonts w:ascii="Times New Roman" w:hAnsi="Times New Roman"/>
          <w:b/>
          <w:color w:val="000000"/>
          <w:sz w:val="24"/>
          <w:szCs w:val="24"/>
        </w:rPr>
        <w:t>ection</w:t>
      </w:r>
      <w:r w:rsidR="0078659F" w:rsidRPr="00FC15DE">
        <w:rPr>
          <w:rFonts w:ascii="Times New Roman" w:hAnsi="Times New Roman"/>
          <w:b/>
          <w:color w:val="000000"/>
          <w:sz w:val="24"/>
          <w:szCs w:val="24"/>
        </w:rPr>
        <w:t xml:space="preserve"> </w:t>
      </w:r>
      <w:r w:rsidR="004E602E" w:rsidRPr="00FC15DE">
        <w:rPr>
          <w:rFonts w:ascii="Times New Roman" w:hAnsi="Times New Roman"/>
          <w:b/>
          <w:color w:val="000000"/>
          <w:sz w:val="24"/>
          <w:szCs w:val="24"/>
        </w:rPr>
        <w:t>1</w:t>
      </w:r>
      <w:r w:rsidR="00590886" w:rsidRPr="00FC15DE">
        <w:rPr>
          <w:rFonts w:ascii="Times New Roman" w:hAnsi="Times New Roman"/>
          <w:b/>
          <w:color w:val="000000"/>
          <w:sz w:val="24"/>
          <w:szCs w:val="24"/>
        </w:rPr>
        <w:t>2</w:t>
      </w:r>
      <w:r w:rsidR="0078659F" w:rsidRPr="00FC15DE">
        <w:rPr>
          <w:rFonts w:ascii="Times New Roman" w:hAnsi="Times New Roman"/>
          <w:b/>
          <w:color w:val="000000"/>
          <w:sz w:val="24"/>
          <w:szCs w:val="24"/>
        </w:rPr>
        <w:t>(2)</w:t>
      </w:r>
      <w:r w:rsidR="0078659F" w:rsidRPr="00FC15DE">
        <w:rPr>
          <w:rFonts w:ascii="Times New Roman" w:hAnsi="Times New Roman"/>
          <w:color w:val="000000"/>
          <w:sz w:val="24"/>
          <w:szCs w:val="24"/>
        </w:rPr>
        <w:t xml:space="preserve"> </w:t>
      </w:r>
      <w:r w:rsidR="009D32C3" w:rsidRPr="00FC15DE">
        <w:rPr>
          <w:rFonts w:ascii="Times New Roman" w:hAnsi="Times New Roman"/>
          <w:color w:val="000000"/>
          <w:sz w:val="24"/>
          <w:szCs w:val="24"/>
        </w:rPr>
        <w:t>provides that, for the purposes of determining</w:t>
      </w:r>
      <w:r w:rsidR="0078659F" w:rsidRPr="00FC15DE">
        <w:rPr>
          <w:rFonts w:ascii="Times New Roman" w:hAnsi="Times New Roman"/>
          <w:color w:val="000000"/>
          <w:sz w:val="24"/>
          <w:szCs w:val="24"/>
        </w:rPr>
        <w:t xml:space="preserve"> a provider’s medical student EFTSL</w:t>
      </w:r>
      <w:r w:rsidR="009D32C3" w:rsidRPr="00FC15DE">
        <w:rPr>
          <w:rFonts w:ascii="Times New Roman" w:hAnsi="Times New Roman"/>
          <w:color w:val="000000"/>
          <w:sz w:val="24"/>
          <w:szCs w:val="24"/>
        </w:rPr>
        <w:t xml:space="preserve">, only students undertaking certain medical units of study in a course of study in medicine are </w:t>
      </w:r>
      <w:proofErr w:type="gramStart"/>
      <w:r w:rsidR="009D32C3" w:rsidRPr="00FC15DE">
        <w:rPr>
          <w:rFonts w:ascii="Times New Roman" w:hAnsi="Times New Roman"/>
          <w:color w:val="000000"/>
          <w:sz w:val="24"/>
          <w:szCs w:val="24"/>
        </w:rPr>
        <w:t>taken into account</w:t>
      </w:r>
      <w:proofErr w:type="gramEnd"/>
      <w:r w:rsidR="0078659F" w:rsidRPr="00FC15DE">
        <w:rPr>
          <w:rFonts w:ascii="Times New Roman" w:hAnsi="Times New Roman"/>
          <w:color w:val="000000"/>
          <w:sz w:val="24"/>
          <w:szCs w:val="24"/>
        </w:rPr>
        <w:t xml:space="preserve">. </w:t>
      </w:r>
      <w:r w:rsidR="00F9648D" w:rsidRPr="00FC15DE">
        <w:rPr>
          <w:rFonts w:ascii="Times New Roman" w:hAnsi="Times New Roman"/>
          <w:color w:val="000000"/>
          <w:sz w:val="24"/>
          <w:szCs w:val="24"/>
        </w:rPr>
        <w:t xml:space="preserve">The subsection also incorporates by reference the </w:t>
      </w:r>
      <w:r w:rsidR="00F9648D" w:rsidRPr="00FC15DE">
        <w:rPr>
          <w:rFonts w:ascii="Times New Roman" w:hAnsi="Times New Roman"/>
          <w:iCs/>
          <w:color w:val="000000"/>
          <w:sz w:val="24"/>
          <w:szCs w:val="24"/>
        </w:rPr>
        <w:t xml:space="preserve">Australian Bureau of Statistics (ABS) </w:t>
      </w:r>
      <w:r w:rsidR="00F9648D" w:rsidRPr="00FC15DE">
        <w:rPr>
          <w:rFonts w:ascii="Times New Roman" w:hAnsi="Times New Roman"/>
          <w:i/>
          <w:color w:val="000000"/>
          <w:sz w:val="24"/>
          <w:szCs w:val="24"/>
        </w:rPr>
        <w:t xml:space="preserve">Australian Standard Classification of </w:t>
      </w:r>
      <w:r w:rsidR="00F9648D" w:rsidRPr="00FC15DE">
        <w:rPr>
          <w:rFonts w:ascii="Times New Roman" w:hAnsi="Times New Roman"/>
          <w:i/>
          <w:sz w:val="24"/>
          <w:szCs w:val="24"/>
        </w:rPr>
        <w:t xml:space="preserve">Education 2001 </w:t>
      </w:r>
      <w:r w:rsidR="00F9648D" w:rsidRPr="00FC15DE">
        <w:rPr>
          <w:rFonts w:ascii="Times New Roman" w:hAnsi="Times New Roman"/>
          <w:iCs/>
          <w:sz w:val="24"/>
          <w:szCs w:val="24"/>
        </w:rPr>
        <w:t xml:space="preserve">(ABS document), as in force or existing from time to time, in accordance with section 14 of the </w:t>
      </w:r>
      <w:r w:rsidR="00F9648D" w:rsidRPr="00FC15DE">
        <w:rPr>
          <w:rFonts w:ascii="Times New Roman" w:hAnsi="Times New Roman"/>
          <w:i/>
          <w:sz w:val="24"/>
          <w:szCs w:val="24"/>
        </w:rPr>
        <w:t>Legislation Act 2003</w:t>
      </w:r>
      <w:r w:rsidR="00F9648D" w:rsidRPr="00FC15DE">
        <w:rPr>
          <w:rFonts w:ascii="Times New Roman" w:hAnsi="Times New Roman"/>
          <w:iCs/>
          <w:sz w:val="24"/>
          <w:szCs w:val="24"/>
        </w:rPr>
        <w:t xml:space="preserve">. The ABS document is freely available to the public (see: </w:t>
      </w:r>
      <w:hyperlink r:id="rId12" w:history="1">
        <w:r w:rsidR="00F9648D" w:rsidRPr="00FC15DE">
          <w:rPr>
            <w:rStyle w:val="Hyperlink"/>
            <w:rFonts w:ascii="Times New Roman" w:hAnsi="Times New Roman"/>
            <w:iCs/>
            <w:color w:val="auto"/>
            <w:sz w:val="24"/>
            <w:szCs w:val="24"/>
          </w:rPr>
          <w:t>https://www.abs.gov.au/ausstats/abs@.nsf/0/E7779A9FD5C8D846CA256AAF001FCA5C</w:t>
        </w:r>
      </w:hyperlink>
      <w:r w:rsidR="00F9648D" w:rsidRPr="00FC15DE">
        <w:rPr>
          <w:rFonts w:ascii="Times New Roman" w:hAnsi="Times New Roman"/>
          <w:iCs/>
          <w:sz w:val="24"/>
          <w:szCs w:val="24"/>
        </w:rPr>
        <w:t>).</w:t>
      </w:r>
    </w:p>
    <w:p w14:paraId="27385F03" w14:textId="77777777" w:rsidR="0078659F" w:rsidRPr="00FC15DE" w:rsidRDefault="0078659F" w:rsidP="00D237D5">
      <w:pPr>
        <w:rPr>
          <w:rFonts w:ascii="Times New Roman" w:hAnsi="Times New Roman"/>
          <w:color w:val="000000"/>
          <w:sz w:val="24"/>
          <w:szCs w:val="24"/>
        </w:rPr>
      </w:pPr>
    </w:p>
    <w:p w14:paraId="601A59F6" w14:textId="337772F0" w:rsidR="00EC245B" w:rsidRPr="00FC15DE" w:rsidRDefault="00750C22" w:rsidP="00BD56FF">
      <w:pPr>
        <w:rPr>
          <w:rFonts w:ascii="Times New Roman" w:hAnsi="Times New Roman"/>
          <w:bCs/>
          <w:i/>
          <w:color w:val="000000"/>
          <w:sz w:val="24"/>
          <w:szCs w:val="24"/>
        </w:rPr>
      </w:pPr>
      <w:r w:rsidRPr="00FC15DE">
        <w:rPr>
          <w:rFonts w:ascii="Times New Roman" w:hAnsi="Times New Roman"/>
          <w:b/>
          <w:color w:val="000000"/>
          <w:sz w:val="24"/>
          <w:szCs w:val="24"/>
        </w:rPr>
        <w:t>S</w:t>
      </w:r>
      <w:r w:rsidR="00244E19" w:rsidRPr="00FC15DE">
        <w:rPr>
          <w:rFonts w:ascii="Times New Roman" w:hAnsi="Times New Roman"/>
          <w:b/>
          <w:color w:val="000000"/>
          <w:sz w:val="24"/>
          <w:szCs w:val="24"/>
        </w:rPr>
        <w:t>ubs</w:t>
      </w:r>
      <w:r w:rsidRPr="00FC15DE">
        <w:rPr>
          <w:rFonts w:ascii="Times New Roman" w:hAnsi="Times New Roman"/>
          <w:b/>
          <w:color w:val="000000"/>
          <w:sz w:val="24"/>
          <w:szCs w:val="24"/>
        </w:rPr>
        <w:t>ection</w:t>
      </w:r>
      <w:r w:rsidR="0078659F" w:rsidRPr="00FC15DE">
        <w:rPr>
          <w:rFonts w:ascii="Times New Roman" w:hAnsi="Times New Roman"/>
          <w:b/>
          <w:color w:val="000000"/>
          <w:sz w:val="24"/>
          <w:szCs w:val="24"/>
        </w:rPr>
        <w:t xml:space="preserve"> </w:t>
      </w:r>
      <w:r w:rsidR="004E602E" w:rsidRPr="00FC15DE">
        <w:rPr>
          <w:rFonts w:ascii="Times New Roman" w:hAnsi="Times New Roman"/>
          <w:b/>
          <w:color w:val="000000"/>
          <w:sz w:val="24"/>
          <w:szCs w:val="24"/>
        </w:rPr>
        <w:t>1</w:t>
      </w:r>
      <w:r w:rsidR="00590886" w:rsidRPr="00FC15DE">
        <w:rPr>
          <w:rFonts w:ascii="Times New Roman" w:hAnsi="Times New Roman"/>
          <w:b/>
          <w:color w:val="000000"/>
          <w:sz w:val="24"/>
          <w:szCs w:val="24"/>
        </w:rPr>
        <w:t>2</w:t>
      </w:r>
      <w:r w:rsidR="0078659F" w:rsidRPr="00FC15DE">
        <w:rPr>
          <w:rFonts w:ascii="Times New Roman" w:hAnsi="Times New Roman"/>
          <w:b/>
          <w:color w:val="000000"/>
          <w:sz w:val="24"/>
          <w:szCs w:val="24"/>
        </w:rPr>
        <w:t>(3)</w:t>
      </w:r>
      <w:r w:rsidR="0078659F" w:rsidRPr="00FC15DE">
        <w:rPr>
          <w:rFonts w:ascii="Times New Roman" w:hAnsi="Times New Roman"/>
          <w:color w:val="000000"/>
          <w:sz w:val="24"/>
          <w:szCs w:val="24"/>
        </w:rPr>
        <w:t xml:space="preserve"> </w:t>
      </w:r>
      <w:r w:rsidRPr="00FC15DE">
        <w:rPr>
          <w:rFonts w:ascii="Times New Roman" w:hAnsi="Times New Roman"/>
          <w:color w:val="000000"/>
          <w:sz w:val="24"/>
          <w:szCs w:val="24"/>
        </w:rPr>
        <w:t>provides that</w:t>
      </w:r>
      <w:r w:rsidR="0078659F" w:rsidRPr="00FC15DE">
        <w:rPr>
          <w:rFonts w:ascii="Times New Roman" w:hAnsi="Times New Roman"/>
          <w:color w:val="000000"/>
          <w:sz w:val="24"/>
          <w:szCs w:val="24"/>
        </w:rPr>
        <w:t xml:space="preserve"> medical student places are allocated </w:t>
      </w:r>
      <w:r w:rsidRPr="00FC15DE">
        <w:rPr>
          <w:rFonts w:ascii="Times New Roman" w:hAnsi="Times New Roman"/>
          <w:color w:val="000000"/>
          <w:sz w:val="24"/>
          <w:szCs w:val="24"/>
        </w:rPr>
        <w:t xml:space="preserve">for a </w:t>
      </w:r>
      <w:r w:rsidR="0078659F" w:rsidRPr="00FC15DE">
        <w:rPr>
          <w:rFonts w:ascii="Times New Roman" w:hAnsi="Times New Roman"/>
          <w:color w:val="000000"/>
          <w:sz w:val="24"/>
          <w:szCs w:val="24"/>
        </w:rPr>
        <w:t>year</w:t>
      </w:r>
      <w:r w:rsidRPr="00FC15DE">
        <w:rPr>
          <w:rFonts w:ascii="Times New Roman" w:hAnsi="Times New Roman"/>
          <w:color w:val="000000"/>
          <w:sz w:val="24"/>
          <w:szCs w:val="24"/>
        </w:rPr>
        <w:t xml:space="preserve"> based on the most recent full year student load data reported by the provider through the Higher Education Student Data Collection (HESDC) and cleared as final by the Department, plus any subsequent approved variations for a course of study in medicine not yet reported in the HESDC and specifically allocated to the provider by the Minister</w:t>
      </w:r>
      <w:r w:rsidR="0078659F" w:rsidRPr="00FC15DE">
        <w:rPr>
          <w:rFonts w:ascii="Times New Roman" w:hAnsi="Times New Roman"/>
          <w:color w:val="000000"/>
          <w:sz w:val="24"/>
          <w:szCs w:val="24"/>
        </w:rPr>
        <w:t xml:space="preserve">. </w:t>
      </w:r>
    </w:p>
    <w:p w14:paraId="2C3A645C" w14:textId="77777777" w:rsidR="00EC245B" w:rsidRPr="00FC15DE" w:rsidRDefault="00EC245B" w:rsidP="0078659F">
      <w:pPr>
        <w:ind w:left="1418" w:hanging="1418"/>
        <w:rPr>
          <w:rFonts w:ascii="Times New Roman" w:hAnsi="Times New Roman"/>
          <w:bCs/>
          <w:i/>
          <w:color w:val="000000"/>
          <w:sz w:val="24"/>
          <w:szCs w:val="24"/>
        </w:rPr>
      </w:pPr>
    </w:p>
    <w:p w14:paraId="1226A55D" w14:textId="7B9E4CE0" w:rsidR="0078659F" w:rsidRPr="00FC15DE" w:rsidRDefault="0078659F" w:rsidP="0078659F">
      <w:pPr>
        <w:ind w:left="1418" w:hanging="1418"/>
        <w:rPr>
          <w:rFonts w:ascii="Times New Roman" w:hAnsi="Times New Roman"/>
          <w:bCs/>
          <w:i/>
          <w:color w:val="000000"/>
          <w:sz w:val="24"/>
          <w:szCs w:val="24"/>
        </w:rPr>
      </w:pPr>
      <w:r w:rsidRPr="00FC15DE">
        <w:rPr>
          <w:rFonts w:ascii="Times New Roman" w:hAnsi="Times New Roman"/>
          <w:bCs/>
          <w:i/>
          <w:color w:val="000000"/>
          <w:sz w:val="24"/>
          <w:szCs w:val="24"/>
        </w:rPr>
        <w:t xml:space="preserve">Chapter 5 – Determining the Funding Clusters </w:t>
      </w:r>
    </w:p>
    <w:p w14:paraId="7FFB992E" w14:textId="77777777" w:rsidR="00040B71" w:rsidRPr="00FC15DE" w:rsidRDefault="00040B71" w:rsidP="0078659F">
      <w:pPr>
        <w:ind w:left="1418" w:hanging="1418"/>
        <w:rPr>
          <w:rFonts w:ascii="Times New Roman" w:hAnsi="Times New Roman"/>
          <w:bCs/>
          <w:color w:val="000000"/>
          <w:sz w:val="24"/>
          <w:szCs w:val="24"/>
          <w:u w:val="single"/>
        </w:rPr>
      </w:pPr>
    </w:p>
    <w:p w14:paraId="6FA29C6D" w14:textId="0881291F" w:rsidR="0078659F" w:rsidRPr="00FC15DE" w:rsidRDefault="00EF78C1" w:rsidP="00D237D5">
      <w:pPr>
        <w:rPr>
          <w:rFonts w:ascii="Times New Roman" w:hAnsi="Times New Roman"/>
          <w:color w:val="000000"/>
          <w:sz w:val="24"/>
          <w:szCs w:val="24"/>
        </w:rPr>
      </w:pPr>
      <w:r w:rsidRPr="00FC15DE">
        <w:rPr>
          <w:rFonts w:ascii="Times New Roman" w:hAnsi="Times New Roman"/>
          <w:b/>
          <w:color w:val="000000"/>
          <w:sz w:val="24"/>
          <w:szCs w:val="24"/>
        </w:rPr>
        <w:t>S</w:t>
      </w:r>
      <w:r w:rsidR="00244E19" w:rsidRPr="00FC15DE">
        <w:rPr>
          <w:rFonts w:ascii="Times New Roman" w:hAnsi="Times New Roman"/>
          <w:b/>
          <w:color w:val="000000"/>
          <w:sz w:val="24"/>
          <w:szCs w:val="24"/>
        </w:rPr>
        <w:t>ubs</w:t>
      </w:r>
      <w:r w:rsidRPr="00FC15DE">
        <w:rPr>
          <w:rFonts w:ascii="Times New Roman" w:hAnsi="Times New Roman"/>
          <w:b/>
          <w:color w:val="000000"/>
          <w:sz w:val="24"/>
          <w:szCs w:val="24"/>
        </w:rPr>
        <w:t>ection</w:t>
      </w:r>
      <w:r w:rsidR="0078659F" w:rsidRPr="00FC15DE">
        <w:rPr>
          <w:rFonts w:ascii="Times New Roman" w:hAnsi="Times New Roman"/>
          <w:b/>
          <w:color w:val="000000"/>
          <w:sz w:val="24"/>
          <w:szCs w:val="24"/>
        </w:rPr>
        <w:t xml:space="preserve"> 1</w:t>
      </w:r>
      <w:r w:rsidR="00590886" w:rsidRPr="00FC15DE">
        <w:rPr>
          <w:rFonts w:ascii="Times New Roman" w:hAnsi="Times New Roman"/>
          <w:b/>
          <w:color w:val="000000"/>
          <w:sz w:val="24"/>
          <w:szCs w:val="24"/>
        </w:rPr>
        <w:t>3</w:t>
      </w:r>
      <w:r w:rsidR="0078659F" w:rsidRPr="00FC15DE">
        <w:rPr>
          <w:rFonts w:ascii="Times New Roman" w:hAnsi="Times New Roman"/>
          <w:b/>
          <w:color w:val="000000"/>
          <w:sz w:val="24"/>
          <w:szCs w:val="24"/>
        </w:rPr>
        <w:t>(1)</w:t>
      </w:r>
      <w:r w:rsidR="0078659F" w:rsidRPr="00FC15DE">
        <w:rPr>
          <w:rFonts w:ascii="Times New Roman" w:hAnsi="Times New Roman"/>
          <w:color w:val="000000"/>
          <w:sz w:val="24"/>
          <w:szCs w:val="24"/>
        </w:rPr>
        <w:t xml:space="preserve"> provides that the purpose of </w:t>
      </w:r>
      <w:r w:rsidRPr="00FC15DE">
        <w:rPr>
          <w:rFonts w:ascii="Times New Roman" w:hAnsi="Times New Roman"/>
          <w:color w:val="000000"/>
          <w:sz w:val="24"/>
          <w:szCs w:val="24"/>
        </w:rPr>
        <w:t>C</w:t>
      </w:r>
      <w:r w:rsidR="0078659F" w:rsidRPr="00FC15DE">
        <w:rPr>
          <w:rFonts w:ascii="Times New Roman" w:hAnsi="Times New Roman"/>
          <w:color w:val="000000"/>
          <w:sz w:val="24"/>
          <w:szCs w:val="24"/>
        </w:rPr>
        <w:t>hapter</w:t>
      </w:r>
      <w:r w:rsidRPr="00FC15DE">
        <w:rPr>
          <w:rFonts w:ascii="Times New Roman" w:hAnsi="Times New Roman"/>
          <w:color w:val="000000"/>
          <w:sz w:val="24"/>
          <w:szCs w:val="24"/>
        </w:rPr>
        <w:t xml:space="preserve"> 5</w:t>
      </w:r>
      <w:r w:rsidR="0078659F" w:rsidRPr="00FC15DE">
        <w:rPr>
          <w:rFonts w:ascii="Times New Roman" w:hAnsi="Times New Roman"/>
          <w:color w:val="000000"/>
          <w:sz w:val="24"/>
          <w:szCs w:val="24"/>
        </w:rPr>
        <w:t xml:space="preserve"> is to specify</w:t>
      </w:r>
      <w:r w:rsidRPr="00FC15DE">
        <w:rPr>
          <w:rFonts w:ascii="Times New Roman" w:hAnsi="Times New Roman"/>
          <w:color w:val="000000"/>
          <w:sz w:val="24"/>
          <w:szCs w:val="24"/>
        </w:rPr>
        <w:t>,</w:t>
      </w:r>
      <w:r w:rsidR="0078659F" w:rsidRPr="00FC15DE">
        <w:rPr>
          <w:rFonts w:ascii="Times New Roman" w:hAnsi="Times New Roman"/>
          <w:color w:val="000000"/>
          <w:sz w:val="24"/>
          <w:szCs w:val="24"/>
        </w:rPr>
        <w:t xml:space="preserve"> for the purposes of </w:t>
      </w:r>
      <w:r w:rsidR="0078659F" w:rsidRPr="00FC15DE">
        <w:rPr>
          <w:rFonts w:ascii="Times New Roman" w:hAnsi="Times New Roman"/>
          <w:color w:val="000000"/>
          <w:sz w:val="24"/>
          <w:szCs w:val="24"/>
        </w:rPr>
        <w:br/>
        <w:t>section 33-35 of the Act</w:t>
      </w:r>
      <w:r w:rsidRPr="00FC15DE">
        <w:rPr>
          <w:rFonts w:ascii="Times New Roman" w:hAnsi="Times New Roman"/>
          <w:color w:val="000000"/>
          <w:sz w:val="24"/>
          <w:szCs w:val="24"/>
        </w:rPr>
        <w:t>,</w:t>
      </w:r>
      <w:r w:rsidR="0078659F" w:rsidRPr="00FC15DE">
        <w:rPr>
          <w:rFonts w:ascii="Times New Roman" w:hAnsi="Times New Roman"/>
          <w:color w:val="000000"/>
          <w:sz w:val="24"/>
          <w:szCs w:val="24"/>
        </w:rPr>
        <w:t xml:space="preserve"> how to determine the funding cluster—or part of a funding cluster—</w:t>
      </w:r>
      <w:r w:rsidRPr="00FC15DE">
        <w:rPr>
          <w:rFonts w:ascii="Times New Roman" w:hAnsi="Times New Roman"/>
          <w:color w:val="000000"/>
          <w:sz w:val="24"/>
          <w:szCs w:val="24"/>
        </w:rPr>
        <w:t>in which</w:t>
      </w:r>
      <w:r w:rsidR="0078659F" w:rsidRPr="00FC15DE">
        <w:rPr>
          <w:rFonts w:ascii="Times New Roman" w:hAnsi="Times New Roman"/>
          <w:color w:val="000000"/>
          <w:sz w:val="24"/>
          <w:szCs w:val="24"/>
        </w:rPr>
        <w:t xml:space="preserve"> unit</w:t>
      </w:r>
      <w:r w:rsidRPr="00FC15DE">
        <w:rPr>
          <w:rFonts w:ascii="Times New Roman" w:hAnsi="Times New Roman"/>
          <w:color w:val="000000"/>
          <w:sz w:val="24"/>
          <w:szCs w:val="24"/>
        </w:rPr>
        <w:t>s</w:t>
      </w:r>
      <w:r w:rsidR="0078659F" w:rsidRPr="00FC15DE">
        <w:rPr>
          <w:rFonts w:ascii="Times New Roman" w:hAnsi="Times New Roman"/>
          <w:color w:val="000000"/>
          <w:sz w:val="24"/>
          <w:szCs w:val="24"/>
        </w:rPr>
        <w:t xml:space="preserve"> of study</w:t>
      </w:r>
      <w:r w:rsidRPr="00FC15DE">
        <w:rPr>
          <w:rFonts w:ascii="Times New Roman" w:hAnsi="Times New Roman"/>
          <w:color w:val="000000"/>
          <w:sz w:val="24"/>
          <w:szCs w:val="24"/>
        </w:rPr>
        <w:t xml:space="preserve"> are included</w:t>
      </w:r>
      <w:r w:rsidR="0078659F" w:rsidRPr="00FC15DE">
        <w:rPr>
          <w:rFonts w:ascii="Times New Roman" w:hAnsi="Times New Roman"/>
          <w:color w:val="000000"/>
          <w:sz w:val="24"/>
          <w:szCs w:val="24"/>
        </w:rPr>
        <w:t xml:space="preserve">. </w:t>
      </w:r>
    </w:p>
    <w:p w14:paraId="35FF1E82" w14:textId="77777777" w:rsidR="00C81761" w:rsidRPr="00FC15DE" w:rsidRDefault="00C81761" w:rsidP="00D237D5">
      <w:pPr>
        <w:rPr>
          <w:rFonts w:ascii="Times New Roman" w:hAnsi="Times New Roman"/>
          <w:color w:val="000000"/>
          <w:sz w:val="24"/>
          <w:szCs w:val="24"/>
        </w:rPr>
      </w:pPr>
    </w:p>
    <w:p w14:paraId="4C57F1EA" w14:textId="0EDAFAB9" w:rsidR="0078659F" w:rsidRPr="00FC15DE" w:rsidRDefault="00EF78C1" w:rsidP="00D237D5">
      <w:pPr>
        <w:rPr>
          <w:rFonts w:ascii="Times New Roman" w:hAnsi="Times New Roman"/>
          <w:sz w:val="24"/>
          <w:szCs w:val="24"/>
        </w:rPr>
      </w:pPr>
      <w:r w:rsidRPr="00FC15DE">
        <w:rPr>
          <w:rFonts w:ascii="Times New Roman" w:hAnsi="Times New Roman"/>
          <w:b/>
          <w:color w:val="000000"/>
          <w:sz w:val="24"/>
          <w:szCs w:val="24"/>
        </w:rPr>
        <w:t>S</w:t>
      </w:r>
      <w:r w:rsidR="00244E19" w:rsidRPr="00FC15DE">
        <w:rPr>
          <w:rFonts w:ascii="Times New Roman" w:hAnsi="Times New Roman"/>
          <w:b/>
          <w:color w:val="000000"/>
          <w:sz w:val="24"/>
          <w:szCs w:val="24"/>
        </w:rPr>
        <w:t>ubs</w:t>
      </w:r>
      <w:r w:rsidRPr="00FC15DE">
        <w:rPr>
          <w:rFonts w:ascii="Times New Roman" w:hAnsi="Times New Roman"/>
          <w:b/>
          <w:color w:val="000000"/>
          <w:sz w:val="24"/>
          <w:szCs w:val="24"/>
        </w:rPr>
        <w:t>ection</w:t>
      </w:r>
      <w:r w:rsidR="0078659F" w:rsidRPr="00FC15DE">
        <w:rPr>
          <w:rFonts w:ascii="Times New Roman" w:hAnsi="Times New Roman"/>
          <w:b/>
          <w:color w:val="000000"/>
          <w:sz w:val="24"/>
          <w:szCs w:val="24"/>
        </w:rPr>
        <w:t xml:space="preserve"> 1</w:t>
      </w:r>
      <w:r w:rsidR="00590886" w:rsidRPr="00FC15DE">
        <w:rPr>
          <w:rFonts w:ascii="Times New Roman" w:hAnsi="Times New Roman"/>
          <w:b/>
          <w:color w:val="000000"/>
          <w:sz w:val="24"/>
          <w:szCs w:val="24"/>
        </w:rPr>
        <w:t>3</w:t>
      </w:r>
      <w:r w:rsidR="0078659F" w:rsidRPr="00FC15DE">
        <w:rPr>
          <w:rFonts w:ascii="Times New Roman" w:hAnsi="Times New Roman"/>
          <w:b/>
          <w:color w:val="000000"/>
          <w:sz w:val="24"/>
          <w:szCs w:val="24"/>
        </w:rPr>
        <w:t>(2)</w:t>
      </w:r>
      <w:r w:rsidR="0078659F" w:rsidRPr="00FC15DE">
        <w:rPr>
          <w:rFonts w:ascii="Times New Roman" w:hAnsi="Times New Roman"/>
          <w:color w:val="000000"/>
          <w:sz w:val="24"/>
          <w:szCs w:val="24"/>
        </w:rPr>
        <w:t xml:space="preserve"> states</w:t>
      </w:r>
      <w:r w:rsidRPr="00FC15DE">
        <w:rPr>
          <w:rFonts w:ascii="Times New Roman" w:hAnsi="Times New Roman"/>
          <w:color w:val="000000"/>
          <w:sz w:val="24"/>
          <w:szCs w:val="24"/>
        </w:rPr>
        <w:t xml:space="preserve"> that</w:t>
      </w:r>
      <w:r w:rsidR="0078659F" w:rsidRPr="00FC15DE">
        <w:rPr>
          <w:rFonts w:ascii="Times New Roman" w:hAnsi="Times New Roman"/>
          <w:color w:val="000000"/>
          <w:sz w:val="24"/>
          <w:szCs w:val="24"/>
        </w:rPr>
        <w:t xml:space="preserve"> funding cluster</w:t>
      </w:r>
      <w:r w:rsidRPr="00FC15DE">
        <w:rPr>
          <w:rFonts w:ascii="Times New Roman" w:hAnsi="Times New Roman"/>
          <w:color w:val="000000"/>
          <w:sz w:val="24"/>
          <w:szCs w:val="24"/>
        </w:rPr>
        <w:t>s</w:t>
      </w:r>
      <w:r w:rsidR="0078659F" w:rsidRPr="00FC15DE">
        <w:rPr>
          <w:rFonts w:ascii="Times New Roman" w:hAnsi="Times New Roman"/>
          <w:color w:val="000000"/>
          <w:sz w:val="24"/>
          <w:szCs w:val="24"/>
        </w:rPr>
        <w:t xml:space="preserve"> </w:t>
      </w:r>
      <w:r w:rsidRPr="00FC15DE">
        <w:rPr>
          <w:rFonts w:ascii="Times New Roman" w:hAnsi="Times New Roman"/>
          <w:color w:val="000000"/>
          <w:sz w:val="24"/>
          <w:szCs w:val="24"/>
        </w:rPr>
        <w:t>are</w:t>
      </w:r>
      <w:r w:rsidR="0078659F" w:rsidRPr="00FC15DE">
        <w:rPr>
          <w:rFonts w:ascii="Times New Roman" w:hAnsi="Times New Roman"/>
          <w:color w:val="000000"/>
          <w:sz w:val="24"/>
          <w:szCs w:val="24"/>
        </w:rPr>
        <w:t xml:space="preserve"> defined by reference to the field of education</w:t>
      </w:r>
      <w:r w:rsidRPr="00FC15DE">
        <w:rPr>
          <w:rFonts w:ascii="Times New Roman" w:hAnsi="Times New Roman"/>
          <w:color w:val="000000"/>
          <w:sz w:val="24"/>
          <w:szCs w:val="24"/>
        </w:rPr>
        <w:t xml:space="preserve"> (FOE)</w:t>
      </w:r>
      <w:r w:rsidR="0078659F" w:rsidRPr="00FC15DE">
        <w:rPr>
          <w:rFonts w:ascii="Times New Roman" w:hAnsi="Times New Roman"/>
          <w:color w:val="000000"/>
          <w:sz w:val="24"/>
          <w:szCs w:val="24"/>
        </w:rPr>
        <w:t xml:space="preserve"> code contained in the </w:t>
      </w:r>
      <w:r w:rsidR="00F9648D" w:rsidRPr="00FC15DE">
        <w:rPr>
          <w:rFonts w:ascii="Times New Roman" w:hAnsi="Times New Roman"/>
          <w:color w:val="000000"/>
          <w:sz w:val="24"/>
          <w:szCs w:val="24"/>
        </w:rPr>
        <w:t>ABS document (which is incorporat</w:t>
      </w:r>
      <w:r w:rsidR="003A4753" w:rsidRPr="00FC15DE">
        <w:rPr>
          <w:rFonts w:ascii="Times New Roman" w:hAnsi="Times New Roman"/>
          <w:color w:val="000000"/>
          <w:sz w:val="24"/>
          <w:szCs w:val="24"/>
        </w:rPr>
        <w:t xml:space="preserve">ed by reference as in force or existing from time to time, in accordance with section 14 of the </w:t>
      </w:r>
      <w:r w:rsidR="003A4753" w:rsidRPr="00FC15DE">
        <w:rPr>
          <w:rFonts w:ascii="Times New Roman" w:hAnsi="Times New Roman"/>
          <w:i/>
          <w:iCs/>
          <w:color w:val="000000"/>
          <w:sz w:val="24"/>
          <w:szCs w:val="24"/>
        </w:rPr>
        <w:t>Legislation Act 2003</w:t>
      </w:r>
      <w:r w:rsidR="003A4753" w:rsidRPr="00FC15DE">
        <w:rPr>
          <w:rFonts w:ascii="Times New Roman" w:hAnsi="Times New Roman"/>
          <w:color w:val="000000"/>
          <w:sz w:val="24"/>
          <w:szCs w:val="24"/>
        </w:rPr>
        <w:t>)</w:t>
      </w:r>
      <w:r w:rsidRPr="00FC15DE">
        <w:rPr>
          <w:rFonts w:ascii="Times New Roman" w:hAnsi="Times New Roman"/>
          <w:color w:val="000000"/>
          <w:sz w:val="24"/>
          <w:szCs w:val="24"/>
        </w:rPr>
        <w:t xml:space="preserve">, and as set out in the table at section </w:t>
      </w:r>
      <w:r w:rsidR="00D66EDC" w:rsidRPr="00FC15DE">
        <w:rPr>
          <w:rFonts w:ascii="Times New Roman" w:hAnsi="Times New Roman"/>
          <w:color w:val="000000"/>
          <w:sz w:val="24"/>
          <w:szCs w:val="24"/>
        </w:rPr>
        <w:t>1</w:t>
      </w:r>
      <w:r w:rsidR="0016209F" w:rsidRPr="00FC15DE">
        <w:rPr>
          <w:rFonts w:ascii="Times New Roman" w:hAnsi="Times New Roman"/>
          <w:color w:val="000000"/>
          <w:sz w:val="24"/>
          <w:szCs w:val="24"/>
        </w:rPr>
        <w:t>4</w:t>
      </w:r>
      <w:r w:rsidR="0078659F" w:rsidRPr="00FC15DE">
        <w:rPr>
          <w:rFonts w:ascii="Times New Roman" w:hAnsi="Times New Roman"/>
          <w:color w:val="000000"/>
          <w:sz w:val="24"/>
          <w:szCs w:val="24"/>
        </w:rPr>
        <w:t>.</w:t>
      </w:r>
      <w:r w:rsidR="00BE3164" w:rsidRPr="00FC15DE">
        <w:rPr>
          <w:rFonts w:ascii="Times New Roman" w:hAnsi="Times New Roman"/>
          <w:color w:val="000000"/>
          <w:sz w:val="24"/>
          <w:szCs w:val="24"/>
        </w:rPr>
        <w:t xml:space="preserve"> The Department of Education, Skills and Employment’s website also includes information about the allocation of units to funding clusters (see</w:t>
      </w:r>
      <w:r w:rsidR="00BE3164" w:rsidRPr="00FC15DE">
        <w:rPr>
          <w:rFonts w:ascii="Times New Roman" w:hAnsi="Times New Roman"/>
          <w:sz w:val="24"/>
          <w:szCs w:val="24"/>
        </w:rPr>
        <w:t xml:space="preserve">: </w:t>
      </w:r>
      <w:hyperlink r:id="rId13" w:history="1">
        <w:r w:rsidR="00BE3164" w:rsidRPr="00FC15DE">
          <w:rPr>
            <w:rStyle w:val="Hyperlink"/>
            <w:rFonts w:ascii="Times New Roman" w:hAnsi="Times New Roman"/>
            <w:color w:val="auto"/>
            <w:sz w:val="24"/>
            <w:szCs w:val="24"/>
          </w:rPr>
          <w:t>http://www.dese.gov.au/higher-education-loan-program/resources/2021-allocation-units-study-funding-clusters</w:t>
        </w:r>
      </w:hyperlink>
      <w:r w:rsidR="00BE3164" w:rsidRPr="00FC15DE">
        <w:rPr>
          <w:rFonts w:ascii="Times New Roman" w:hAnsi="Times New Roman"/>
          <w:sz w:val="24"/>
          <w:szCs w:val="24"/>
        </w:rPr>
        <w:t>).</w:t>
      </w:r>
      <w:r w:rsidR="0078659F" w:rsidRPr="00FC15DE">
        <w:rPr>
          <w:rFonts w:ascii="Times New Roman" w:hAnsi="Times New Roman"/>
          <w:sz w:val="24"/>
          <w:szCs w:val="24"/>
        </w:rPr>
        <w:t xml:space="preserve"> </w:t>
      </w:r>
    </w:p>
    <w:p w14:paraId="63CF621D" w14:textId="77777777" w:rsidR="00C81761" w:rsidRPr="00FC15DE" w:rsidRDefault="00C81761" w:rsidP="00D237D5">
      <w:pPr>
        <w:rPr>
          <w:rFonts w:ascii="Times New Roman" w:hAnsi="Times New Roman"/>
          <w:color w:val="000000"/>
          <w:sz w:val="24"/>
          <w:szCs w:val="24"/>
        </w:rPr>
      </w:pPr>
    </w:p>
    <w:p w14:paraId="64E882A2" w14:textId="6CCC3F38" w:rsidR="0078659F" w:rsidRPr="00FC15DE" w:rsidRDefault="00EF78C1" w:rsidP="00D237D5">
      <w:pPr>
        <w:rPr>
          <w:rFonts w:ascii="Times New Roman" w:hAnsi="Times New Roman"/>
          <w:color w:val="000000"/>
          <w:sz w:val="24"/>
          <w:szCs w:val="24"/>
        </w:rPr>
      </w:pPr>
      <w:r w:rsidRPr="00FC15DE">
        <w:rPr>
          <w:rFonts w:ascii="Times New Roman" w:hAnsi="Times New Roman"/>
          <w:b/>
          <w:color w:val="000000"/>
          <w:sz w:val="24"/>
          <w:szCs w:val="24"/>
        </w:rPr>
        <w:t>Section</w:t>
      </w:r>
      <w:r w:rsidR="0078659F" w:rsidRPr="00FC15DE">
        <w:rPr>
          <w:rFonts w:ascii="Times New Roman" w:hAnsi="Times New Roman"/>
          <w:b/>
          <w:color w:val="000000"/>
          <w:sz w:val="24"/>
          <w:szCs w:val="24"/>
        </w:rPr>
        <w:t xml:space="preserve"> </w:t>
      </w:r>
      <w:r w:rsidR="004E602E" w:rsidRPr="00FC15DE">
        <w:rPr>
          <w:rFonts w:ascii="Times New Roman" w:hAnsi="Times New Roman"/>
          <w:b/>
          <w:color w:val="000000"/>
          <w:sz w:val="24"/>
          <w:szCs w:val="24"/>
        </w:rPr>
        <w:t>1</w:t>
      </w:r>
      <w:r w:rsidR="00590886" w:rsidRPr="00FC15DE">
        <w:rPr>
          <w:rFonts w:ascii="Times New Roman" w:hAnsi="Times New Roman"/>
          <w:b/>
          <w:color w:val="000000"/>
          <w:sz w:val="24"/>
          <w:szCs w:val="24"/>
        </w:rPr>
        <w:t>4</w:t>
      </w:r>
      <w:r w:rsidR="0078659F" w:rsidRPr="00FC15DE">
        <w:rPr>
          <w:rFonts w:ascii="Times New Roman" w:hAnsi="Times New Roman"/>
          <w:color w:val="000000"/>
          <w:sz w:val="24"/>
          <w:szCs w:val="24"/>
        </w:rPr>
        <w:t xml:space="preserve"> sets out </w:t>
      </w:r>
      <w:r w:rsidR="009C193B" w:rsidRPr="00FC15DE">
        <w:rPr>
          <w:rFonts w:ascii="Times New Roman" w:hAnsi="Times New Roman"/>
          <w:color w:val="000000"/>
          <w:sz w:val="24"/>
          <w:szCs w:val="24"/>
        </w:rPr>
        <w:t xml:space="preserve">parts or subparts of </w:t>
      </w:r>
      <w:r w:rsidR="0078659F" w:rsidRPr="00FC15DE">
        <w:rPr>
          <w:rFonts w:ascii="Times New Roman" w:hAnsi="Times New Roman"/>
          <w:color w:val="000000"/>
          <w:sz w:val="24"/>
          <w:szCs w:val="24"/>
        </w:rPr>
        <w:t>the funding clusters,</w:t>
      </w:r>
      <w:r w:rsidR="009C193B" w:rsidRPr="00FC15DE">
        <w:rPr>
          <w:rFonts w:ascii="Times New Roman" w:hAnsi="Times New Roman"/>
          <w:color w:val="000000"/>
          <w:sz w:val="24"/>
          <w:szCs w:val="24"/>
        </w:rPr>
        <w:t xml:space="preserve"> and the</w:t>
      </w:r>
      <w:r w:rsidR="0078659F" w:rsidRPr="00FC15DE">
        <w:rPr>
          <w:rFonts w:ascii="Times New Roman" w:hAnsi="Times New Roman"/>
          <w:color w:val="000000"/>
          <w:sz w:val="24"/>
          <w:szCs w:val="24"/>
        </w:rPr>
        <w:t xml:space="preserve"> unit descriptions and </w:t>
      </w:r>
      <w:r w:rsidR="00080B2D" w:rsidRPr="00FC15DE">
        <w:rPr>
          <w:rFonts w:ascii="Times New Roman" w:hAnsi="Times New Roman"/>
          <w:color w:val="000000"/>
          <w:sz w:val="24"/>
          <w:szCs w:val="24"/>
        </w:rPr>
        <w:t>FOE</w:t>
      </w:r>
      <w:r w:rsidR="0078659F" w:rsidRPr="00FC15DE">
        <w:rPr>
          <w:rFonts w:ascii="Times New Roman" w:hAnsi="Times New Roman"/>
          <w:color w:val="000000"/>
          <w:sz w:val="24"/>
          <w:szCs w:val="24"/>
        </w:rPr>
        <w:t xml:space="preserve"> codes for each </w:t>
      </w:r>
      <w:r w:rsidR="009C193B" w:rsidRPr="00FC15DE">
        <w:rPr>
          <w:rFonts w:ascii="Times New Roman" w:hAnsi="Times New Roman"/>
          <w:color w:val="000000"/>
          <w:sz w:val="24"/>
          <w:szCs w:val="24"/>
        </w:rPr>
        <w:t xml:space="preserve">part of subpart of each </w:t>
      </w:r>
      <w:r w:rsidR="0078659F" w:rsidRPr="00FC15DE">
        <w:rPr>
          <w:rFonts w:ascii="Times New Roman" w:hAnsi="Times New Roman"/>
          <w:color w:val="000000"/>
          <w:sz w:val="24"/>
          <w:szCs w:val="24"/>
        </w:rPr>
        <w:t xml:space="preserve">funding cluster. </w:t>
      </w:r>
      <w:r w:rsidR="003028FA" w:rsidRPr="00FC15DE">
        <w:rPr>
          <w:rFonts w:ascii="Times New Roman" w:hAnsi="Times New Roman"/>
          <w:color w:val="000000"/>
          <w:sz w:val="24"/>
          <w:szCs w:val="24"/>
        </w:rPr>
        <w:t xml:space="preserve">This table is different to the table that was included in Chapter 7 of the Former Guidelines. The key changes are: </w:t>
      </w:r>
    </w:p>
    <w:p w14:paraId="0EA67DE4" w14:textId="2FCD0BC1" w:rsidR="003028FA" w:rsidRPr="00FC15DE" w:rsidRDefault="003028FA" w:rsidP="00D237D5">
      <w:pPr>
        <w:pStyle w:val="ListParagraph"/>
        <w:numPr>
          <w:ilvl w:val="0"/>
          <w:numId w:val="3"/>
        </w:numPr>
        <w:rPr>
          <w:rFonts w:ascii="Times New Roman" w:hAnsi="Times New Roman"/>
          <w:color w:val="000000"/>
          <w:sz w:val="24"/>
          <w:szCs w:val="24"/>
        </w:rPr>
      </w:pPr>
      <w:r w:rsidRPr="00FC15DE">
        <w:rPr>
          <w:rFonts w:ascii="Times New Roman" w:hAnsi="Times New Roman"/>
          <w:color w:val="000000"/>
          <w:sz w:val="24"/>
          <w:szCs w:val="24"/>
        </w:rPr>
        <w:t xml:space="preserve">there are now only four funding clusters – previously </w:t>
      </w:r>
      <w:r w:rsidR="00F20511" w:rsidRPr="00FC15DE">
        <w:rPr>
          <w:rFonts w:ascii="Times New Roman" w:hAnsi="Times New Roman"/>
          <w:color w:val="000000"/>
          <w:sz w:val="24"/>
          <w:szCs w:val="24"/>
        </w:rPr>
        <w:t xml:space="preserve">there were eight funding </w:t>
      </w:r>
      <w:proofErr w:type="gramStart"/>
      <w:r w:rsidR="00F20511" w:rsidRPr="00FC15DE">
        <w:rPr>
          <w:rFonts w:ascii="Times New Roman" w:hAnsi="Times New Roman"/>
          <w:color w:val="000000"/>
          <w:sz w:val="24"/>
          <w:szCs w:val="24"/>
        </w:rPr>
        <w:t>clusters;</w:t>
      </w:r>
      <w:proofErr w:type="gramEnd"/>
      <w:r w:rsidR="00F20511" w:rsidRPr="00FC15DE">
        <w:rPr>
          <w:rFonts w:ascii="Times New Roman" w:hAnsi="Times New Roman"/>
          <w:color w:val="000000"/>
          <w:sz w:val="24"/>
          <w:szCs w:val="24"/>
        </w:rPr>
        <w:t xml:space="preserve"> </w:t>
      </w:r>
    </w:p>
    <w:p w14:paraId="298682BE" w14:textId="3841AE4A" w:rsidR="00975209" w:rsidRPr="00FC15DE" w:rsidRDefault="00975209" w:rsidP="00D237D5">
      <w:pPr>
        <w:pStyle w:val="ListParagraph"/>
        <w:numPr>
          <w:ilvl w:val="0"/>
          <w:numId w:val="3"/>
        </w:numPr>
        <w:rPr>
          <w:rFonts w:ascii="Times New Roman" w:hAnsi="Times New Roman"/>
          <w:color w:val="000000"/>
          <w:sz w:val="24"/>
          <w:szCs w:val="24"/>
        </w:rPr>
      </w:pPr>
      <w:r w:rsidRPr="00FC15DE">
        <w:rPr>
          <w:rFonts w:ascii="Times New Roman" w:hAnsi="Times New Roman"/>
          <w:color w:val="000000"/>
          <w:sz w:val="24"/>
          <w:szCs w:val="24"/>
        </w:rPr>
        <w:lastRenderedPageBreak/>
        <w:t xml:space="preserve">the former ‘Humanities’ part of funding cluster two in the Former Guidelines will now be included in the </w:t>
      </w:r>
      <w:r w:rsidR="008825FF" w:rsidRPr="00FC15DE">
        <w:rPr>
          <w:rFonts w:ascii="Times New Roman" w:hAnsi="Times New Roman"/>
          <w:color w:val="000000"/>
          <w:sz w:val="24"/>
          <w:szCs w:val="24"/>
        </w:rPr>
        <w:t>‘</w:t>
      </w:r>
      <w:r w:rsidRPr="00FC15DE">
        <w:rPr>
          <w:rFonts w:ascii="Times New Roman" w:hAnsi="Times New Roman"/>
          <w:color w:val="000000"/>
          <w:sz w:val="24"/>
          <w:szCs w:val="24"/>
        </w:rPr>
        <w:t>Society and Culture</w:t>
      </w:r>
      <w:r w:rsidR="008825FF" w:rsidRPr="00FC15DE">
        <w:rPr>
          <w:rFonts w:ascii="Times New Roman" w:hAnsi="Times New Roman"/>
          <w:color w:val="000000"/>
          <w:sz w:val="24"/>
          <w:szCs w:val="24"/>
        </w:rPr>
        <w:t>’</w:t>
      </w:r>
      <w:r w:rsidRPr="00FC15DE">
        <w:rPr>
          <w:rFonts w:ascii="Times New Roman" w:hAnsi="Times New Roman"/>
          <w:color w:val="000000"/>
          <w:sz w:val="24"/>
          <w:szCs w:val="24"/>
        </w:rPr>
        <w:t xml:space="preserve"> part of funding cluster </w:t>
      </w:r>
      <w:proofErr w:type="gramStart"/>
      <w:r w:rsidRPr="00FC15DE">
        <w:rPr>
          <w:rFonts w:ascii="Times New Roman" w:hAnsi="Times New Roman"/>
          <w:color w:val="000000"/>
          <w:sz w:val="24"/>
          <w:szCs w:val="24"/>
        </w:rPr>
        <w:t>one;</w:t>
      </w:r>
      <w:proofErr w:type="gramEnd"/>
      <w:r w:rsidRPr="00FC15DE">
        <w:rPr>
          <w:rFonts w:ascii="Times New Roman" w:hAnsi="Times New Roman"/>
          <w:color w:val="000000"/>
          <w:sz w:val="24"/>
          <w:szCs w:val="24"/>
        </w:rPr>
        <w:t xml:space="preserve">  </w:t>
      </w:r>
    </w:p>
    <w:p w14:paraId="258A9886" w14:textId="77777777" w:rsidR="00975209" w:rsidRPr="00FC15DE" w:rsidRDefault="00975209" w:rsidP="00D237D5">
      <w:pPr>
        <w:pStyle w:val="ListParagraph"/>
        <w:numPr>
          <w:ilvl w:val="0"/>
          <w:numId w:val="3"/>
        </w:numPr>
        <w:rPr>
          <w:rFonts w:ascii="Times New Roman" w:hAnsi="Times New Roman"/>
          <w:color w:val="000000"/>
          <w:sz w:val="24"/>
          <w:szCs w:val="24"/>
        </w:rPr>
      </w:pPr>
      <w:r w:rsidRPr="00FC15DE">
        <w:rPr>
          <w:rFonts w:ascii="Times New Roman" w:hAnsi="Times New Roman"/>
          <w:color w:val="000000"/>
          <w:sz w:val="24"/>
          <w:szCs w:val="24"/>
        </w:rPr>
        <w:t xml:space="preserve">the former ‘Social Studies’ and ‘Behavioural Science’ parts of funding cluster three in the Former Guidelines will now be included as subparts of the Society and Culture part of funding cluster one – the Society and Culture part of funding cluster one has been described in this way to ensure that the correct Commonwealth contribution amount is paid to providers in respect of grandfathered students undertaking units of study in the fields of Social Studies and Behavioural Science; </w:t>
      </w:r>
    </w:p>
    <w:p w14:paraId="6980E4B8" w14:textId="49BEB247" w:rsidR="006E786D" w:rsidRPr="00FC15DE" w:rsidRDefault="006E786D" w:rsidP="00D237D5">
      <w:pPr>
        <w:pStyle w:val="ListParagraph"/>
        <w:numPr>
          <w:ilvl w:val="0"/>
          <w:numId w:val="3"/>
        </w:numPr>
        <w:rPr>
          <w:rFonts w:ascii="Times New Roman" w:hAnsi="Times New Roman"/>
          <w:color w:val="000000"/>
          <w:sz w:val="24"/>
          <w:szCs w:val="24"/>
        </w:rPr>
      </w:pPr>
      <w:r w:rsidRPr="00FC15DE">
        <w:rPr>
          <w:rFonts w:ascii="Times New Roman" w:hAnsi="Times New Roman"/>
          <w:color w:val="000000"/>
          <w:sz w:val="24"/>
          <w:szCs w:val="24"/>
        </w:rPr>
        <w:t xml:space="preserve">‘Human movement’ units with FOE code 069903 are now in the Society and Culture part of funding cluster </w:t>
      </w:r>
      <w:proofErr w:type="gramStart"/>
      <w:r w:rsidRPr="00FC15DE">
        <w:rPr>
          <w:rFonts w:ascii="Times New Roman" w:hAnsi="Times New Roman"/>
          <w:color w:val="000000"/>
          <w:sz w:val="24"/>
          <w:szCs w:val="24"/>
        </w:rPr>
        <w:t>one;</w:t>
      </w:r>
      <w:proofErr w:type="gramEnd"/>
      <w:r w:rsidRPr="00FC15DE">
        <w:rPr>
          <w:rFonts w:ascii="Times New Roman" w:hAnsi="Times New Roman"/>
          <w:color w:val="000000"/>
          <w:sz w:val="24"/>
          <w:szCs w:val="24"/>
        </w:rPr>
        <w:t xml:space="preserve"> </w:t>
      </w:r>
    </w:p>
    <w:p w14:paraId="33CA1893" w14:textId="6B07515C" w:rsidR="00CA40CF" w:rsidRPr="00FC15DE" w:rsidRDefault="00CA40CF" w:rsidP="00CA40CF">
      <w:pPr>
        <w:pStyle w:val="ListParagraph"/>
        <w:numPr>
          <w:ilvl w:val="0"/>
          <w:numId w:val="3"/>
        </w:numPr>
        <w:rPr>
          <w:rFonts w:ascii="Times New Roman" w:hAnsi="Times New Roman"/>
          <w:color w:val="000000"/>
          <w:sz w:val="24"/>
          <w:szCs w:val="24"/>
        </w:rPr>
      </w:pPr>
      <w:r w:rsidRPr="00FC15DE">
        <w:rPr>
          <w:rFonts w:ascii="Times New Roman" w:hAnsi="Times New Roman"/>
          <w:color w:val="000000"/>
          <w:sz w:val="24"/>
          <w:szCs w:val="24"/>
        </w:rPr>
        <w:t xml:space="preserve">‘Indigenous and Foreign Languages’ is included as part of funding cluster 3. The Act refers to ‘Foreign Languages’ as being the relevant part of this funding cluster in error. The Act will be amended at the earliest opportunity to change references to ‘Foreign Languages’ to ‘Indigenous and Foreign Languages’ consistent with the terminology used in the </w:t>
      </w:r>
      <w:proofErr w:type="gramStart"/>
      <w:r w:rsidRPr="00FC15DE">
        <w:rPr>
          <w:rFonts w:ascii="Times New Roman" w:hAnsi="Times New Roman"/>
          <w:color w:val="000000"/>
          <w:sz w:val="24"/>
          <w:szCs w:val="24"/>
        </w:rPr>
        <w:t>Guidelines;</w:t>
      </w:r>
      <w:proofErr w:type="gramEnd"/>
    </w:p>
    <w:p w14:paraId="645CD572" w14:textId="26C00E29" w:rsidR="00241505" w:rsidRPr="00FC15DE" w:rsidRDefault="00241505" w:rsidP="00D237D5">
      <w:pPr>
        <w:pStyle w:val="ListParagraph"/>
        <w:numPr>
          <w:ilvl w:val="0"/>
          <w:numId w:val="3"/>
        </w:numPr>
        <w:rPr>
          <w:rFonts w:ascii="Times New Roman" w:hAnsi="Times New Roman"/>
          <w:color w:val="000000"/>
          <w:sz w:val="24"/>
          <w:szCs w:val="24"/>
        </w:rPr>
      </w:pPr>
      <w:r w:rsidRPr="00FC15DE">
        <w:rPr>
          <w:rFonts w:ascii="Times New Roman" w:hAnsi="Times New Roman"/>
          <w:color w:val="000000"/>
          <w:sz w:val="24"/>
          <w:szCs w:val="24"/>
        </w:rPr>
        <w:t>two new parts have been created in funding cluster two: ‘Professional Pathway Psychology’ and ‘Professional Pathway Social Work</w:t>
      </w:r>
      <w:proofErr w:type="gramStart"/>
      <w:r w:rsidRPr="00FC15DE">
        <w:rPr>
          <w:rFonts w:ascii="Times New Roman" w:hAnsi="Times New Roman"/>
          <w:color w:val="000000"/>
          <w:sz w:val="24"/>
          <w:szCs w:val="24"/>
        </w:rPr>
        <w:t>’;</w:t>
      </w:r>
      <w:proofErr w:type="gramEnd"/>
      <w:r w:rsidRPr="00FC15DE">
        <w:rPr>
          <w:rFonts w:ascii="Times New Roman" w:hAnsi="Times New Roman"/>
          <w:color w:val="000000"/>
          <w:sz w:val="24"/>
          <w:szCs w:val="24"/>
        </w:rPr>
        <w:t xml:space="preserve"> </w:t>
      </w:r>
    </w:p>
    <w:p w14:paraId="39181A58" w14:textId="56AB1716" w:rsidR="00241505" w:rsidRPr="00FC15DE" w:rsidRDefault="00241505" w:rsidP="00D237D5">
      <w:pPr>
        <w:pStyle w:val="ListParagraph"/>
        <w:numPr>
          <w:ilvl w:val="0"/>
          <w:numId w:val="3"/>
        </w:numPr>
        <w:rPr>
          <w:rFonts w:ascii="Times New Roman" w:hAnsi="Times New Roman"/>
          <w:color w:val="000000"/>
          <w:sz w:val="24"/>
          <w:szCs w:val="24"/>
        </w:rPr>
      </w:pPr>
      <w:r w:rsidRPr="00FC15DE">
        <w:rPr>
          <w:rFonts w:ascii="Times New Roman" w:hAnsi="Times New Roman"/>
          <w:color w:val="000000"/>
          <w:sz w:val="24"/>
          <w:szCs w:val="24"/>
        </w:rPr>
        <w:t xml:space="preserve">Behavioural Science units with FOE codes starting with 0907 that are included in the Society and Culture part of funding cluster one do not include ‘Postgraduate Clinical Psychology’ units, which are in funding cluster two, and Professional Pathway Psychology units with FOE codes starting with 0907 which are in cluster two; </w:t>
      </w:r>
    </w:p>
    <w:p w14:paraId="6EF14D29" w14:textId="77777777" w:rsidR="00241505" w:rsidRPr="00FC15DE" w:rsidRDefault="00241505" w:rsidP="00D237D5">
      <w:pPr>
        <w:pStyle w:val="ListParagraph"/>
        <w:numPr>
          <w:ilvl w:val="0"/>
          <w:numId w:val="3"/>
        </w:numPr>
        <w:rPr>
          <w:rFonts w:ascii="Times New Roman" w:hAnsi="Times New Roman"/>
          <w:color w:val="000000"/>
          <w:sz w:val="24"/>
          <w:szCs w:val="24"/>
        </w:rPr>
      </w:pPr>
      <w:r w:rsidRPr="00FC15DE">
        <w:rPr>
          <w:rFonts w:ascii="Times New Roman" w:hAnsi="Times New Roman"/>
          <w:color w:val="000000"/>
          <w:sz w:val="24"/>
          <w:szCs w:val="24"/>
        </w:rPr>
        <w:t xml:space="preserve">‘Human Welfare Studies and Services’ units with FOE codes starting with 0905 that are included in the Society and Culture part of funding cluster one </w:t>
      </w:r>
      <w:proofErr w:type="gramStart"/>
      <w:r w:rsidRPr="00FC15DE">
        <w:rPr>
          <w:rFonts w:ascii="Times New Roman" w:hAnsi="Times New Roman"/>
          <w:color w:val="000000"/>
          <w:sz w:val="24"/>
          <w:szCs w:val="24"/>
        </w:rPr>
        <w:t>do</w:t>
      </w:r>
      <w:proofErr w:type="gramEnd"/>
      <w:r w:rsidRPr="00FC15DE">
        <w:rPr>
          <w:rFonts w:ascii="Times New Roman" w:hAnsi="Times New Roman"/>
          <w:color w:val="000000"/>
          <w:sz w:val="24"/>
          <w:szCs w:val="24"/>
        </w:rPr>
        <w:t xml:space="preserve"> not include</w:t>
      </w:r>
      <w:r w:rsidRPr="00FC15DE">
        <w:rPr>
          <w:rFonts w:ascii="Times New Roman" w:eastAsiaTheme="minorHAnsi" w:hAnsi="Times New Roman" w:cstheme="minorBidi"/>
          <w:sz w:val="18"/>
          <w:szCs w:val="18"/>
        </w:rPr>
        <w:t xml:space="preserve"> </w:t>
      </w:r>
      <w:r w:rsidRPr="00FC15DE">
        <w:rPr>
          <w:rFonts w:ascii="Times New Roman" w:hAnsi="Times New Roman"/>
          <w:color w:val="000000"/>
          <w:sz w:val="24"/>
          <w:szCs w:val="24"/>
        </w:rPr>
        <w:t xml:space="preserve">Professional Pathway Social Work units with FOE codes starting with 0905 which are in cluster two; </w:t>
      </w:r>
    </w:p>
    <w:p w14:paraId="21B91107" w14:textId="22B2C479" w:rsidR="00241505" w:rsidRPr="00FC15DE" w:rsidRDefault="00241505" w:rsidP="00D237D5">
      <w:pPr>
        <w:pStyle w:val="ListParagraph"/>
        <w:numPr>
          <w:ilvl w:val="0"/>
          <w:numId w:val="3"/>
        </w:numPr>
        <w:rPr>
          <w:rFonts w:ascii="Times New Roman" w:hAnsi="Times New Roman"/>
          <w:color w:val="000000"/>
          <w:sz w:val="24"/>
          <w:szCs w:val="24"/>
        </w:rPr>
      </w:pPr>
      <w:r w:rsidRPr="00FC15DE">
        <w:rPr>
          <w:rFonts w:ascii="Times New Roman" w:hAnsi="Times New Roman"/>
          <w:color w:val="000000"/>
          <w:sz w:val="24"/>
          <w:szCs w:val="24"/>
        </w:rPr>
        <w:t xml:space="preserve">Professional Pathway Psychology units of study are Behavioural Science units (with FOE codes starting with 0907) that contribute to </w:t>
      </w:r>
      <w:r w:rsidR="009F25AD" w:rsidRPr="00FC15DE">
        <w:rPr>
          <w:rFonts w:ascii="Times New Roman" w:hAnsi="Times New Roman"/>
          <w:color w:val="000000"/>
          <w:sz w:val="24"/>
          <w:szCs w:val="24"/>
        </w:rPr>
        <w:t xml:space="preserve">a </w:t>
      </w:r>
      <w:r w:rsidRPr="00FC15DE">
        <w:rPr>
          <w:rFonts w:ascii="Times New Roman" w:hAnsi="Times New Roman"/>
          <w:color w:val="000000"/>
          <w:sz w:val="24"/>
          <w:szCs w:val="24"/>
        </w:rPr>
        <w:t>course of study that lead</w:t>
      </w:r>
      <w:r w:rsidR="009F25AD" w:rsidRPr="00FC15DE">
        <w:rPr>
          <w:rFonts w:ascii="Times New Roman" w:hAnsi="Times New Roman"/>
          <w:color w:val="000000"/>
          <w:sz w:val="24"/>
          <w:szCs w:val="24"/>
        </w:rPr>
        <w:t>s</w:t>
      </w:r>
      <w:r w:rsidRPr="00FC15DE">
        <w:rPr>
          <w:rFonts w:ascii="Times New Roman" w:hAnsi="Times New Roman"/>
          <w:color w:val="000000"/>
          <w:sz w:val="24"/>
          <w:szCs w:val="24"/>
        </w:rPr>
        <w:t xml:space="preserve"> to a bachelor degree</w:t>
      </w:r>
      <w:r w:rsidR="009F25AD" w:rsidRPr="00FC15DE">
        <w:rPr>
          <w:rFonts w:ascii="Times New Roman" w:hAnsi="Times New Roman"/>
          <w:color w:val="000000"/>
          <w:sz w:val="24"/>
          <w:szCs w:val="24"/>
        </w:rPr>
        <w:t xml:space="preserve"> or</w:t>
      </w:r>
      <w:r w:rsidRPr="00FC15DE">
        <w:rPr>
          <w:rFonts w:ascii="Times New Roman" w:hAnsi="Times New Roman"/>
          <w:color w:val="000000"/>
          <w:sz w:val="24"/>
          <w:szCs w:val="24"/>
        </w:rPr>
        <w:t xml:space="preserve"> honours degree in psychology with a course structure </w:t>
      </w:r>
      <w:r w:rsidR="00E41F31" w:rsidRPr="00FC15DE">
        <w:rPr>
          <w:rFonts w:ascii="Times New Roman" w:hAnsi="Times New Roman"/>
          <w:color w:val="000000"/>
          <w:sz w:val="24"/>
          <w:szCs w:val="24"/>
        </w:rPr>
        <w:t xml:space="preserve">that </w:t>
      </w:r>
      <w:r w:rsidR="009F25AD" w:rsidRPr="00FC15DE">
        <w:rPr>
          <w:rFonts w:ascii="Times New Roman" w:hAnsi="Times New Roman"/>
          <w:color w:val="000000"/>
          <w:sz w:val="24"/>
          <w:szCs w:val="24"/>
        </w:rPr>
        <w:t>makes it compulsory to study units relevant</w:t>
      </w:r>
      <w:r w:rsidR="006263FA" w:rsidRPr="00FC15DE">
        <w:rPr>
          <w:rFonts w:ascii="Times New Roman" w:hAnsi="Times New Roman"/>
          <w:color w:val="000000"/>
          <w:sz w:val="24"/>
          <w:szCs w:val="24"/>
        </w:rPr>
        <w:t xml:space="preserve"> to professional registration as a psychologist</w:t>
      </w:r>
      <w:r w:rsidR="009F25AD" w:rsidRPr="00FC15DE">
        <w:rPr>
          <w:rFonts w:ascii="Times New Roman" w:hAnsi="Times New Roman"/>
          <w:color w:val="000000"/>
          <w:sz w:val="24"/>
          <w:szCs w:val="24"/>
        </w:rPr>
        <w:t xml:space="preserve"> by the Psychology Board or Australia, and the course of study represents a pathway to professional registration as a psychologist</w:t>
      </w:r>
      <w:r w:rsidRPr="00FC15DE">
        <w:rPr>
          <w:rFonts w:ascii="Times New Roman" w:hAnsi="Times New Roman"/>
          <w:color w:val="000000"/>
          <w:sz w:val="24"/>
          <w:szCs w:val="24"/>
        </w:rPr>
        <w:t xml:space="preserve">; and </w:t>
      </w:r>
    </w:p>
    <w:p w14:paraId="6848C686" w14:textId="1B075230" w:rsidR="00F20511" w:rsidRPr="00FC15DE" w:rsidRDefault="00241505" w:rsidP="009B6F02">
      <w:pPr>
        <w:pStyle w:val="ListParagraph"/>
        <w:numPr>
          <w:ilvl w:val="0"/>
          <w:numId w:val="3"/>
        </w:numPr>
        <w:rPr>
          <w:rFonts w:ascii="Times New Roman" w:hAnsi="Times New Roman"/>
          <w:color w:val="000000"/>
          <w:sz w:val="24"/>
          <w:szCs w:val="24"/>
        </w:rPr>
      </w:pPr>
      <w:r w:rsidRPr="00FC15DE">
        <w:rPr>
          <w:rFonts w:ascii="Times New Roman" w:hAnsi="Times New Roman"/>
          <w:color w:val="000000"/>
          <w:sz w:val="24"/>
          <w:szCs w:val="24"/>
        </w:rPr>
        <w:t>Professional Pathway Social Work units of study are ‘Human Welfare Studies and Services’ units (with FOE codes starting with 0905) that contribute to courses of study that lead to a bachelor degree, honours degree or master</w:t>
      </w:r>
      <w:r w:rsidR="001E1646" w:rsidRPr="00FC15DE">
        <w:rPr>
          <w:rFonts w:ascii="Times New Roman" w:hAnsi="Times New Roman"/>
          <w:color w:val="000000"/>
          <w:sz w:val="24"/>
          <w:szCs w:val="24"/>
        </w:rPr>
        <w:t>’</w:t>
      </w:r>
      <w:r w:rsidRPr="00FC15DE">
        <w:rPr>
          <w:rFonts w:ascii="Times New Roman" w:hAnsi="Times New Roman"/>
          <w:color w:val="000000"/>
          <w:sz w:val="24"/>
          <w:szCs w:val="24"/>
        </w:rPr>
        <w:t>s degree in</w:t>
      </w:r>
      <w:r w:rsidR="004C6F71" w:rsidRPr="00FC15DE">
        <w:rPr>
          <w:rFonts w:ascii="Times New Roman" w:hAnsi="Times New Roman"/>
          <w:color w:val="000000"/>
          <w:sz w:val="24"/>
          <w:szCs w:val="24"/>
        </w:rPr>
        <w:t xml:space="preserve"> </w:t>
      </w:r>
      <w:r w:rsidR="00EA3A8E" w:rsidRPr="00FC15DE">
        <w:rPr>
          <w:rFonts w:ascii="Times New Roman" w:hAnsi="Times New Roman"/>
          <w:color w:val="000000"/>
          <w:sz w:val="24"/>
          <w:szCs w:val="24"/>
        </w:rPr>
        <w:t>social work accredited by the Australian Association of Social Workers</w:t>
      </w:r>
      <w:r w:rsidR="006263FA" w:rsidRPr="00FC15DE">
        <w:rPr>
          <w:rFonts w:ascii="Times New Roman" w:hAnsi="Times New Roman"/>
          <w:color w:val="000000"/>
          <w:sz w:val="24"/>
          <w:szCs w:val="24"/>
        </w:rPr>
        <w:t>.</w:t>
      </w:r>
    </w:p>
    <w:p w14:paraId="1772101E" w14:textId="2182D5C3" w:rsidR="00700EC4" w:rsidRPr="00FC15DE" w:rsidRDefault="00700EC4" w:rsidP="00D237D5">
      <w:pPr>
        <w:rPr>
          <w:rFonts w:ascii="Times New Roman" w:hAnsi="Times New Roman"/>
          <w:color w:val="000000"/>
          <w:sz w:val="24"/>
          <w:szCs w:val="24"/>
        </w:rPr>
      </w:pPr>
    </w:p>
    <w:p w14:paraId="534D3A21" w14:textId="0D9D71B0" w:rsidR="00700EC4" w:rsidRPr="00FC15DE" w:rsidRDefault="00700EC4" w:rsidP="00700EC4">
      <w:pPr>
        <w:rPr>
          <w:rFonts w:ascii="Times New Roman" w:hAnsi="Times New Roman"/>
          <w:color w:val="000000"/>
          <w:sz w:val="24"/>
          <w:szCs w:val="24"/>
        </w:rPr>
      </w:pPr>
      <w:r w:rsidRPr="00FC15DE">
        <w:rPr>
          <w:rFonts w:ascii="Times New Roman" w:hAnsi="Times New Roman"/>
          <w:color w:val="000000"/>
          <w:sz w:val="24"/>
          <w:szCs w:val="24"/>
        </w:rPr>
        <w:t>The funding clusters have been redesigned to better align</w:t>
      </w:r>
      <w:r w:rsidR="00151FD0" w:rsidRPr="00FC15DE">
        <w:rPr>
          <w:rFonts w:ascii="Times New Roman" w:hAnsi="Times New Roman"/>
          <w:color w:val="000000"/>
          <w:sz w:val="24"/>
          <w:szCs w:val="24"/>
        </w:rPr>
        <w:t xml:space="preserve"> Commonwealth funding to emerging labour market priority areas and align</w:t>
      </w:r>
      <w:r w:rsidRPr="00FC15DE">
        <w:rPr>
          <w:rFonts w:ascii="Times New Roman" w:hAnsi="Times New Roman"/>
          <w:color w:val="000000"/>
          <w:sz w:val="24"/>
          <w:szCs w:val="24"/>
        </w:rPr>
        <w:t xml:space="preserve"> funding per student place to the cost of delivering university education</w:t>
      </w:r>
      <w:r w:rsidR="00151FD0" w:rsidRPr="00FC15DE">
        <w:rPr>
          <w:rFonts w:ascii="Times New Roman" w:hAnsi="Times New Roman"/>
          <w:color w:val="000000"/>
          <w:sz w:val="24"/>
          <w:szCs w:val="24"/>
        </w:rPr>
        <w:t>,</w:t>
      </w:r>
      <w:r w:rsidRPr="00FC15DE">
        <w:rPr>
          <w:rFonts w:ascii="Times New Roman" w:hAnsi="Times New Roman"/>
          <w:color w:val="000000"/>
          <w:sz w:val="24"/>
          <w:szCs w:val="24"/>
        </w:rPr>
        <w:t xml:space="preserve"> and to rebalance contributions across fields of study to address a number of growing economic imperatives because:</w:t>
      </w:r>
    </w:p>
    <w:p w14:paraId="54BBE911" w14:textId="77777777" w:rsidR="00700EC4" w:rsidRPr="00FC15DE" w:rsidRDefault="00700EC4" w:rsidP="00700EC4">
      <w:pPr>
        <w:numPr>
          <w:ilvl w:val="0"/>
          <w:numId w:val="4"/>
        </w:numPr>
        <w:rPr>
          <w:rFonts w:ascii="Times New Roman" w:hAnsi="Times New Roman"/>
          <w:bCs/>
          <w:color w:val="000000"/>
          <w:sz w:val="24"/>
          <w:szCs w:val="24"/>
        </w:rPr>
      </w:pPr>
      <w:r w:rsidRPr="00FC15DE">
        <w:rPr>
          <w:rFonts w:ascii="Times New Roman" w:hAnsi="Times New Roman"/>
          <w:bCs/>
          <w:color w:val="000000"/>
          <w:sz w:val="24"/>
          <w:szCs w:val="24"/>
        </w:rPr>
        <w:t>the relative costs of delivering different courses have changed over recent years; and</w:t>
      </w:r>
    </w:p>
    <w:p w14:paraId="47E90C4A" w14:textId="77777777" w:rsidR="00700EC4" w:rsidRPr="00FC15DE" w:rsidRDefault="00700EC4" w:rsidP="00700EC4">
      <w:pPr>
        <w:numPr>
          <w:ilvl w:val="0"/>
          <w:numId w:val="4"/>
        </w:numPr>
        <w:rPr>
          <w:rFonts w:ascii="Times New Roman" w:hAnsi="Times New Roman"/>
          <w:bCs/>
          <w:color w:val="000000"/>
          <w:sz w:val="24"/>
          <w:szCs w:val="24"/>
        </w:rPr>
      </w:pPr>
      <w:r w:rsidRPr="00FC15DE">
        <w:rPr>
          <w:rFonts w:ascii="Times New Roman" w:hAnsi="Times New Roman"/>
          <w:bCs/>
          <w:color w:val="000000"/>
          <w:sz w:val="24"/>
          <w:szCs w:val="24"/>
        </w:rPr>
        <w:t xml:space="preserve">the economy is changing and there is a need to increase the level of support going to fields of study that will contribute to national priorities and future prosperity. </w:t>
      </w:r>
    </w:p>
    <w:p w14:paraId="528947ED" w14:textId="77777777" w:rsidR="00700EC4" w:rsidRPr="00FC15DE" w:rsidRDefault="00700EC4" w:rsidP="00700EC4">
      <w:pPr>
        <w:rPr>
          <w:rFonts w:ascii="Times New Roman" w:hAnsi="Times New Roman"/>
          <w:bCs/>
          <w:color w:val="000000"/>
          <w:sz w:val="24"/>
          <w:szCs w:val="24"/>
        </w:rPr>
      </w:pPr>
    </w:p>
    <w:p w14:paraId="334F4EBE" w14:textId="77992F27" w:rsidR="00700EC4" w:rsidRPr="00FC15DE" w:rsidRDefault="00700EC4" w:rsidP="00D237D5">
      <w:pPr>
        <w:rPr>
          <w:rFonts w:ascii="Times New Roman" w:hAnsi="Times New Roman"/>
          <w:color w:val="000000"/>
          <w:sz w:val="24"/>
          <w:szCs w:val="24"/>
        </w:rPr>
      </w:pPr>
      <w:r w:rsidRPr="00FC15DE">
        <w:rPr>
          <w:rFonts w:ascii="Times New Roman" w:hAnsi="Times New Roman"/>
          <w:bCs/>
          <w:color w:val="000000"/>
          <w:sz w:val="24"/>
          <w:szCs w:val="24"/>
        </w:rPr>
        <w:t>Funding reform is needed to create room for further growth in places, which is critical if Australia is to maintain attainment rates and growth in productivity to support a globally competitive economy into the future.</w:t>
      </w:r>
    </w:p>
    <w:p w14:paraId="46E87EE1" w14:textId="77777777" w:rsidR="0078659F" w:rsidRPr="00FC15DE" w:rsidRDefault="0078659F" w:rsidP="0078659F">
      <w:pPr>
        <w:rPr>
          <w:rFonts w:ascii="Times New Roman" w:hAnsi="Times New Roman"/>
          <w:bCs/>
          <w:color w:val="000000"/>
          <w:sz w:val="24"/>
          <w:szCs w:val="24"/>
        </w:rPr>
      </w:pPr>
    </w:p>
    <w:p w14:paraId="60586B82" w14:textId="7862DD3B" w:rsidR="0078659F" w:rsidRPr="00FC15DE" w:rsidRDefault="0078659F" w:rsidP="0078659F">
      <w:pPr>
        <w:ind w:left="1418" w:hanging="1418"/>
        <w:rPr>
          <w:rFonts w:ascii="Times New Roman" w:hAnsi="Times New Roman"/>
          <w:bCs/>
          <w:i/>
          <w:color w:val="000000"/>
          <w:sz w:val="24"/>
          <w:szCs w:val="24"/>
        </w:rPr>
      </w:pPr>
      <w:r w:rsidRPr="00FC15DE">
        <w:rPr>
          <w:rFonts w:ascii="Times New Roman" w:hAnsi="Times New Roman"/>
          <w:bCs/>
          <w:i/>
          <w:color w:val="000000"/>
          <w:sz w:val="24"/>
          <w:szCs w:val="24"/>
        </w:rPr>
        <w:t xml:space="preserve">Chapter 6 – </w:t>
      </w:r>
      <w:r w:rsidR="00B81260" w:rsidRPr="00FC15DE">
        <w:rPr>
          <w:rFonts w:ascii="Times New Roman" w:hAnsi="Times New Roman"/>
          <w:bCs/>
          <w:i/>
          <w:color w:val="000000"/>
          <w:sz w:val="24"/>
          <w:szCs w:val="24"/>
        </w:rPr>
        <w:t>Advances for Certain Purposes</w:t>
      </w:r>
    </w:p>
    <w:p w14:paraId="3B388677" w14:textId="77777777" w:rsidR="00EA7DFA" w:rsidRPr="00FC15DE" w:rsidRDefault="00EA7DFA" w:rsidP="00D237D5">
      <w:pPr>
        <w:rPr>
          <w:rFonts w:ascii="Times New Roman" w:hAnsi="Times New Roman"/>
          <w:color w:val="000000"/>
          <w:sz w:val="24"/>
          <w:szCs w:val="24"/>
          <w:u w:val="single"/>
        </w:rPr>
      </w:pPr>
    </w:p>
    <w:p w14:paraId="3B21380A" w14:textId="70F4CAE7" w:rsidR="0078659F" w:rsidRPr="00FC15DE" w:rsidRDefault="00EA7DFA" w:rsidP="00D237D5">
      <w:pPr>
        <w:rPr>
          <w:rFonts w:ascii="Times New Roman" w:hAnsi="Times New Roman"/>
          <w:color w:val="000000"/>
          <w:sz w:val="24"/>
          <w:szCs w:val="24"/>
        </w:rPr>
      </w:pPr>
      <w:r w:rsidRPr="00FC15DE">
        <w:rPr>
          <w:rFonts w:ascii="Times New Roman" w:hAnsi="Times New Roman"/>
          <w:b/>
          <w:color w:val="000000"/>
          <w:sz w:val="24"/>
          <w:szCs w:val="24"/>
        </w:rPr>
        <w:t>Section</w:t>
      </w:r>
      <w:r w:rsidR="0078659F" w:rsidRPr="00FC15DE">
        <w:rPr>
          <w:rFonts w:ascii="Times New Roman" w:hAnsi="Times New Roman"/>
          <w:b/>
          <w:color w:val="000000"/>
          <w:sz w:val="24"/>
          <w:szCs w:val="24"/>
        </w:rPr>
        <w:t xml:space="preserve"> 1</w:t>
      </w:r>
      <w:r w:rsidR="00590886" w:rsidRPr="00FC15DE">
        <w:rPr>
          <w:rFonts w:ascii="Times New Roman" w:hAnsi="Times New Roman"/>
          <w:b/>
          <w:color w:val="000000"/>
          <w:sz w:val="24"/>
          <w:szCs w:val="24"/>
        </w:rPr>
        <w:t>5</w:t>
      </w:r>
      <w:r w:rsidR="0078659F" w:rsidRPr="00FC15DE">
        <w:rPr>
          <w:rFonts w:ascii="Times New Roman" w:hAnsi="Times New Roman"/>
          <w:color w:val="000000"/>
          <w:sz w:val="24"/>
          <w:szCs w:val="24"/>
        </w:rPr>
        <w:t xml:space="preserve"> provides that the purpose of the chapter is to specify</w:t>
      </w:r>
      <w:r w:rsidR="00B81260" w:rsidRPr="00FC15DE">
        <w:rPr>
          <w:rFonts w:ascii="Times New Roman" w:hAnsi="Times New Roman"/>
          <w:color w:val="000000"/>
          <w:sz w:val="24"/>
          <w:szCs w:val="24"/>
        </w:rPr>
        <w:t xml:space="preserve">, </w:t>
      </w:r>
      <w:r w:rsidR="0078659F" w:rsidRPr="00FC15DE">
        <w:rPr>
          <w:rFonts w:ascii="Times New Roman" w:hAnsi="Times New Roman"/>
          <w:color w:val="000000"/>
          <w:sz w:val="24"/>
          <w:szCs w:val="24"/>
        </w:rPr>
        <w:t xml:space="preserve">for the purposes of subsection 33-40(5) </w:t>
      </w:r>
      <w:r w:rsidR="00B81260" w:rsidRPr="00FC15DE">
        <w:rPr>
          <w:rFonts w:ascii="Times New Roman" w:hAnsi="Times New Roman"/>
          <w:color w:val="000000"/>
          <w:sz w:val="24"/>
          <w:szCs w:val="24"/>
        </w:rPr>
        <w:t xml:space="preserve">of the Act, how advances </w:t>
      </w:r>
      <w:r w:rsidR="0078659F" w:rsidRPr="00FC15DE">
        <w:rPr>
          <w:rFonts w:ascii="Times New Roman" w:hAnsi="Times New Roman"/>
          <w:color w:val="000000"/>
          <w:sz w:val="24"/>
          <w:szCs w:val="24"/>
        </w:rPr>
        <w:t xml:space="preserve">are </w:t>
      </w:r>
      <w:r w:rsidR="00B81260" w:rsidRPr="00FC15DE">
        <w:rPr>
          <w:rFonts w:ascii="Times New Roman" w:hAnsi="Times New Roman"/>
          <w:color w:val="000000"/>
          <w:sz w:val="24"/>
          <w:szCs w:val="24"/>
        </w:rPr>
        <w:t xml:space="preserve">to be </w:t>
      </w:r>
      <w:r w:rsidR="0078659F" w:rsidRPr="00FC15DE">
        <w:rPr>
          <w:rFonts w:ascii="Times New Roman" w:hAnsi="Times New Roman"/>
          <w:color w:val="000000"/>
          <w:sz w:val="24"/>
          <w:szCs w:val="24"/>
        </w:rPr>
        <w:t>determined</w:t>
      </w:r>
      <w:r w:rsidR="00B81260" w:rsidRPr="00FC15DE">
        <w:rPr>
          <w:rFonts w:ascii="Times New Roman" w:hAnsi="Times New Roman"/>
          <w:color w:val="000000"/>
          <w:sz w:val="24"/>
          <w:szCs w:val="24"/>
        </w:rPr>
        <w:t xml:space="preserve"> by the Minister</w:t>
      </w:r>
      <w:r w:rsidR="0078659F" w:rsidRPr="00FC15DE">
        <w:rPr>
          <w:rFonts w:ascii="Times New Roman" w:hAnsi="Times New Roman"/>
          <w:color w:val="000000"/>
          <w:sz w:val="24"/>
          <w:szCs w:val="24"/>
        </w:rPr>
        <w:t xml:space="preserve"> </w:t>
      </w:r>
      <w:r w:rsidR="00B81260" w:rsidRPr="00FC15DE">
        <w:rPr>
          <w:rFonts w:ascii="Times New Roman" w:hAnsi="Times New Roman"/>
          <w:color w:val="000000"/>
          <w:sz w:val="24"/>
          <w:szCs w:val="24"/>
        </w:rPr>
        <w:t>under subsection 33</w:t>
      </w:r>
      <w:r w:rsidR="00151FD0" w:rsidRPr="00FC15DE">
        <w:rPr>
          <w:rFonts w:ascii="Times New Roman" w:hAnsi="Times New Roman"/>
          <w:color w:val="000000"/>
          <w:sz w:val="24"/>
          <w:szCs w:val="24"/>
        </w:rPr>
        <w:noBreakHyphen/>
      </w:r>
      <w:r w:rsidR="00B81260" w:rsidRPr="00FC15DE">
        <w:rPr>
          <w:rFonts w:ascii="Times New Roman" w:hAnsi="Times New Roman"/>
          <w:color w:val="000000"/>
          <w:sz w:val="24"/>
          <w:szCs w:val="24"/>
        </w:rPr>
        <w:t xml:space="preserve">40(1) of the Act, </w:t>
      </w:r>
      <w:r w:rsidR="0078659F" w:rsidRPr="00FC15DE">
        <w:rPr>
          <w:rFonts w:ascii="Times New Roman" w:hAnsi="Times New Roman"/>
          <w:color w:val="000000"/>
          <w:sz w:val="24"/>
          <w:szCs w:val="24"/>
        </w:rPr>
        <w:t xml:space="preserve">and how </w:t>
      </w:r>
      <w:r w:rsidR="00B81260" w:rsidRPr="00FC15DE">
        <w:rPr>
          <w:rFonts w:ascii="Times New Roman" w:hAnsi="Times New Roman"/>
          <w:color w:val="000000"/>
          <w:sz w:val="24"/>
          <w:szCs w:val="24"/>
        </w:rPr>
        <w:t>amounts of grant payable to providers under section 33-1 of the Act in the three years following the making of the advance are to be reduced</w:t>
      </w:r>
      <w:r w:rsidR="0078659F" w:rsidRPr="00FC15DE">
        <w:rPr>
          <w:rFonts w:ascii="Times New Roman" w:hAnsi="Times New Roman"/>
          <w:color w:val="000000"/>
          <w:sz w:val="24"/>
          <w:szCs w:val="24"/>
        </w:rPr>
        <w:t>.</w:t>
      </w:r>
    </w:p>
    <w:p w14:paraId="046F9AFF" w14:textId="77777777" w:rsidR="0078659F" w:rsidRPr="00FC15DE" w:rsidRDefault="0078659F" w:rsidP="00D237D5">
      <w:pPr>
        <w:rPr>
          <w:rFonts w:ascii="Times New Roman" w:hAnsi="Times New Roman"/>
          <w:color w:val="000000"/>
          <w:sz w:val="24"/>
          <w:szCs w:val="24"/>
        </w:rPr>
      </w:pPr>
    </w:p>
    <w:p w14:paraId="4899E76D" w14:textId="7A18F8ED" w:rsidR="0078659F" w:rsidRPr="00FC15DE" w:rsidRDefault="00EA7DFA" w:rsidP="00D237D5">
      <w:pPr>
        <w:rPr>
          <w:rFonts w:ascii="Times New Roman" w:hAnsi="Times New Roman"/>
          <w:color w:val="000000"/>
          <w:sz w:val="24"/>
          <w:szCs w:val="24"/>
        </w:rPr>
      </w:pPr>
      <w:r w:rsidRPr="00FC15DE">
        <w:rPr>
          <w:rFonts w:ascii="Times New Roman" w:hAnsi="Times New Roman"/>
          <w:b/>
          <w:color w:val="000000"/>
          <w:sz w:val="24"/>
          <w:szCs w:val="24"/>
        </w:rPr>
        <w:t>Section</w:t>
      </w:r>
      <w:r w:rsidR="0078659F" w:rsidRPr="00FC15DE">
        <w:rPr>
          <w:rFonts w:ascii="Times New Roman" w:hAnsi="Times New Roman"/>
          <w:b/>
          <w:color w:val="000000"/>
          <w:sz w:val="24"/>
          <w:szCs w:val="24"/>
        </w:rPr>
        <w:t xml:space="preserve"> </w:t>
      </w:r>
      <w:r w:rsidR="004E602E" w:rsidRPr="00FC15DE">
        <w:rPr>
          <w:rFonts w:ascii="Times New Roman" w:hAnsi="Times New Roman"/>
          <w:b/>
          <w:color w:val="000000"/>
          <w:sz w:val="24"/>
          <w:szCs w:val="24"/>
        </w:rPr>
        <w:t>1</w:t>
      </w:r>
      <w:r w:rsidR="00590886" w:rsidRPr="00FC15DE">
        <w:rPr>
          <w:rFonts w:ascii="Times New Roman" w:hAnsi="Times New Roman"/>
          <w:b/>
          <w:color w:val="000000"/>
          <w:sz w:val="24"/>
          <w:szCs w:val="24"/>
        </w:rPr>
        <w:t>6</w:t>
      </w:r>
      <w:r w:rsidR="0078659F" w:rsidRPr="00FC15DE">
        <w:rPr>
          <w:rFonts w:ascii="Times New Roman" w:hAnsi="Times New Roman"/>
          <w:color w:val="000000"/>
          <w:sz w:val="24"/>
          <w:szCs w:val="24"/>
        </w:rPr>
        <w:t xml:space="preserve"> sets out </w:t>
      </w:r>
      <w:r w:rsidR="009079E3" w:rsidRPr="00FC15DE">
        <w:rPr>
          <w:rFonts w:ascii="Times New Roman" w:hAnsi="Times New Roman"/>
          <w:color w:val="000000"/>
          <w:sz w:val="24"/>
          <w:szCs w:val="24"/>
        </w:rPr>
        <w:t xml:space="preserve">some of </w:t>
      </w:r>
      <w:r w:rsidR="0078659F" w:rsidRPr="00FC15DE">
        <w:rPr>
          <w:rFonts w:ascii="Times New Roman" w:hAnsi="Times New Roman"/>
          <w:color w:val="000000"/>
          <w:sz w:val="24"/>
          <w:szCs w:val="24"/>
        </w:rPr>
        <w:t xml:space="preserve">the purposes </w:t>
      </w:r>
      <w:r w:rsidR="009079E3" w:rsidRPr="00FC15DE">
        <w:rPr>
          <w:rFonts w:ascii="Times New Roman" w:hAnsi="Times New Roman"/>
          <w:color w:val="000000"/>
          <w:sz w:val="24"/>
          <w:szCs w:val="24"/>
        </w:rPr>
        <w:t xml:space="preserve">for which </w:t>
      </w:r>
      <w:r w:rsidR="0078659F" w:rsidRPr="00FC15DE">
        <w:rPr>
          <w:rFonts w:ascii="Times New Roman" w:hAnsi="Times New Roman"/>
          <w:color w:val="000000"/>
          <w:sz w:val="24"/>
          <w:szCs w:val="24"/>
        </w:rPr>
        <w:t>the Minister may approve advances</w:t>
      </w:r>
      <w:r w:rsidR="00335610" w:rsidRPr="00FC15DE">
        <w:rPr>
          <w:rFonts w:ascii="Times New Roman" w:hAnsi="Times New Roman"/>
          <w:color w:val="000000"/>
          <w:sz w:val="24"/>
          <w:szCs w:val="24"/>
        </w:rPr>
        <w:t xml:space="preserve"> to providers</w:t>
      </w:r>
      <w:r w:rsidR="0078659F" w:rsidRPr="00FC15DE">
        <w:rPr>
          <w:rFonts w:ascii="Times New Roman" w:hAnsi="Times New Roman"/>
          <w:color w:val="000000"/>
          <w:sz w:val="24"/>
          <w:szCs w:val="24"/>
        </w:rPr>
        <w:t xml:space="preserve"> </w:t>
      </w:r>
      <w:r w:rsidR="009079E3" w:rsidRPr="00FC15DE">
        <w:rPr>
          <w:rFonts w:ascii="Times New Roman" w:hAnsi="Times New Roman"/>
          <w:color w:val="000000"/>
          <w:sz w:val="24"/>
          <w:szCs w:val="24"/>
        </w:rPr>
        <w:t>under</w:t>
      </w:r>
      <w:r w:rsidR="0078659F" w:rsidRPr="00FC15DE">
        <w:rPr>
          <w:rFonts w:ascii="Times New Roman" w:hAnsi="Times New Roman"/>
          <w:color w:val="000000"/>
          <w:sz w:val="24"/>
          <w:szCs w:val="24"/>
        </w:rPr>
        <w:t xml:space="preserve"> </w:t>
      </w:r>
      <w:r w:rsidR="009079E3" w:rsidRPr="00FC15DE">
        <w:rPr>
          <w:rFonts w:ascii="Times New Roman" w:hAnsi="Times New Roman"/>
          <w:color w:val="000000"/>
          <w:sz w:val="24"/>
          <w:szCs w:val="24"/>
        </w:rPr>
        <w:t>sub</w:t>
      </w:r>
      <w:r w:rsidR="0078659F" w:rsidRPr="00FC15DE">
        <w:rPr>
          <w:rFonts w:ascii="Times New Roman" w:hAnsi="Times New Roman"/>
          <w:color w:val="000000"/>
          <w:sz w:val="24"/>
          <w:szCs w:val="24"/>
        </w:rPr>
        <w:t>section 33-40(1) of the Act.</w:t>
      </w:r>
      <w:r w:rsidR="004C4D9F" w:rsidRPr="00FC15DE">
        <w:rPr>
          <w:rFonts w:ascii="Times New Roman" w:hAnsi="Times New Roman"/>
          <w:color w:val="000000"/>
          <w:sz w:val="24"/>
          <w:szCs w:val="24"/>
        </w:rPr>
        <w:t xml:space="preserve"> This is not an exhaustive list. </w:t>
      </w:r>
    </w:p>
    <w:p w14:paraId="535022AE" w14:textId="77777777" w:rsidR="0078659F" w:rsidRPr="00FC15DE" w:rsidRDefault="0078659F" w:rsidP="00D237D5">
      <w:pPr>
        <w:rPr>
          <w:rFonts w:ascii="Times New Roman" w:hAnsi="Times New Roman"/>
          <w:color w:val="000000"/>
          <w:sz w:val="24"/>
          <w:szCs w:val="24"/>
        </w:rPr>
      </w:pPr>
    </w:p>
    <w:p w14:paraId="444F3E22" w14:textId="2B12836D" w:rsidR="0078659F" w:rsidRPr="00FC15DE" w:rsidRDefault="00EA7DFA" w:rsidP="00D237D5">
      <w:pPr>
        <w:rPr>
          <w:rFonts w:ascii="Times New Roman" w:hAnsi="Times New Roman"/>
          <w:color w:val="000000"/>
          <w:sz w:val="24"/>
          <w:szCs w:val="24"/>
        </w:rPr>
      </w:pPr>
      <w:r w:rsidRPr="00FC15DE">
        <w:rPr>
          <w:rFonts w:ascii="Times New Roman" w:hAnsi="Times New Roman"/>
          <w:b/>
          <w:color w:val="000000"/>
          <w:sz w:val="24"/>
          <w:szCs w:val="24"/>
        </w:rPr>
        <w:t>S</w:t>
      </w:r>
      <w:r w:rsidR="00244E19" w:rsidRPr="00FC15DE">
        <w:rPr>
          <w:rFonts w:ascii="Times New Roman" w:hAnsi="Times New Roman"/>
          <w:b/>
          <w:color w:val="000000"/>
          <w:sz w:val="24"/>
          <w:szCs w:val="24"/>
        </w:rPr>
        <w:t>ubs</w:t>
      </w:r>
      <w:r w:rsidRPr="00FC15DE">
        <w:rPr>
          <w:rFonts w:ascii="Times New Roman" w:hAnsi="Times New Roman"/>
          <w:b/>
          <w:color w:val="000000"/>
          <w:sz w:val="24"/>
          <w:szCs w:val="24"/>
        </w:rPr>
        <w:t>ection</w:t>
      </w:r>
      <w:r w:rsidR="0078659F" w:rsidRPr="00FC15DE">
        <w:rPr>
          <w:rFonts w:ascii="Times New Roman" w:hAnsi="Times New Roman"/>
          <w:b/>
          <w:color w:val="000000"/>
          <w:sz w:val="24"/>
          <w:szCs w:val="24"/>
        </w:rPr>
        <w:t xml:space="preserve"> </w:t>
      </w:r>
      <w:r w:rsidR="004E602E" w:rsidRPr="00FC15DE">
        <w:rPr>
          <w:rFonts w:ascii="Times New Roman" w:hAnsi="Times New Roman"/>
          <w:b/>
          <w:color w:val="000000"/>
          <w:sz w:val="24"/>
          <w:szCs w:val="24"/>
        </w:rPr>
        <w:t>1</w:t>
      </w:r>
      <w:r w:rsidR="00590886" w:rsidRPr="00FC15DE">
        <w:rPr>
          <w:rFonts w:ascii="Times New Roman" w:hAnsi="Times New Roman"/>
          <w:b/>
          <w:color w:val="000000"/>
          <w:sz w:val="24"/>
          <w:szCs w:val="24"/>
        </w:rPr>
        <w:t>7</w:t>
      </w:r>
      <w:r w:rsidR="0078659F" w:rsidRPr="00FC15DE">
        <w:rPr>
          <w:rFonts w:ascii="Times New Roman" w:hAnsi="Times New Roman"/>
          <w:b/>
          <w:color w:val="000000"/>
          <w:sz w:val="24"/>
          <w:szCs w:val="24"/>
        </w:rPr>
        <w:t>(1)</w:t>
      </w:r>
      <w:r w:rsidR="0078659F" w:rsidRPr="00FC15DE">
        <w:rPr>
          <w:rFonts w:ascii="Times New Roman" w:hAnsi="Times New Roman"/>
          <w:color w:val="000000"/>
          <w:sz w:val="24"/>
          <w:szCs w:val="24"/>
        </w:rPr>
        <w:t xml:space="preserve"> provides that a reduction</w:t>
      </w:r>
      <w:r w:rsidR="00437D24" w:rsidRPr="00FC15DE">
        <w:rPr>
          <w:rFonts w:ascii="Times New Roman" w:hAnsi="Times New Roman"/>
          <w:color w:val="000000"/>
          <w:sz w:val="24"/>
          <w:szCs w:val="24"/>
        </w:rPr>
        <w:t>,</w:t>
      </w:r>
      <w:r w:rsidR="0078659F" w:rsidRPr="00FC15DE">
        <w:rPr>
          <w:rFonts w:ascii="Times New Roman" w:hAnsi="Times New Roman"/>
          <w:color w:val="000000"/>
          <w:sz w:val="24"/>
          <w:szCs w:val="24"/>
        </w:rPr>
        <w:t xml:space="preserve"> </w:t>
      </w:r>
      <w:r w:rsidR="00437D24" w:rsidRPr="00FC15DE">
        <w:rPr>
          <w:rFonts w:ascii="Times New Roman" w:hAnsi="Times New Roman"/>
          <w:color w:val="000000"/>
          <w:sz w:val="24"/>
          <w:szCs w:val="24"/>
        </w:rPr>
        <w:t xml:space="preserve">for the purposes of subsection 33-40(4) of the Act, </w:t>
      </w:r>
      <w:r w:rsidR="0078659F" w:rsidRPr="00FC15DE">
        <w:rPr>
          <w:rFonts w:ascii="Times New Roman" w:hAnsi="Times New Roman"/>
          <w:color w:val="000000"/>
          <w:sz w:val="24"/>
          <w:szCs w:val="24"/>
        </w:rPr>
        <w:t xml:space="preserve">in the amount of a grant payable to a provider </w:t>
      </w:r>
      <w:r w:rsidR="00437D24" w:rsidRPr="00FC15DE">
        <w:rPr>
          <w:rFonts w:ascii="Times New Roman" w:hAnsi="Times New Roman"/>
          <w:color w:val="000000"/>
          <w:sz w:val="24"/>
          <w:szCs w:val="24"/>
        </w:rPr>
        <w:t>under</w:t>
      </w:r>
      <w:r w:rsidR="0078659F" w:rsidRPr="00FC15DE">
        <w:rPr>
          <w:rFonts w:ascii="Times New Roman" w:hAnsi="Times New Roman"/>
          <w:color w:val="000000"/>
          <w:sz w:val="24"/>
          <w:szCs w:val="24"/>
        </w:rPr>
        <w:t xml:space="preserve"> section 33-1 of the Act for each of the years (up to a maximum of 3 years) following the year an advance was made</w:t>
      </w:r>
      <w:r w:rsidR="00437D24" w:rsidRPr="00FC15DE">
        <w:rPr>
          <w:rFonts w:ascii="Times New Roman" w:hAnsi="Times New Roman"/>
          <w:color w:val="000000"/>
          <w:sz w:val="24"/>
          <w:szCs w:val="24"/>
        </w:rPr>
        <w:t xml:space="preserve"> to the provider,</w:t>
      </w:r>
      <w:r w:rsidR="0078659F" w:rsidRPr="00FC15DE">
        <w:rPr>
          <w:rFonts w:ascii="Times New Roman" w:hAnsi="Times New Roman"/>
          <w:color w:val="000000"/>
          <w:sz w:val="24"/>
          <w:szCs w:val="24"/>
        </w:rPr>
        <w:t xml:space="preserve"> </w:t>
      </w:r>
      <w:r w:rsidR="00437D24" w:rsidRPr="00FC15DE">
        <w:rPr>
          <w:rFonts w:ascii="Times New Roman" w:hAnsi="Times New Roman"/>
          <w:color w:val="000000"/>
          <w:sz w:val="24"/>
          <w:szCs w:val="24"/>
        </w:rPr>
        <w:t>will</w:t>
      </w:r>
      <w:r w:rsidR="0078659F" w:rsidRPr="00FC15DE">
        <w:rPr>
          <w:rFonts w:ascii="Times New Roman" w:hAnsi="Times New Roman"/>
          <w:color w:val="000000"/>
          <w:sz w:val="24"/>
          <w:szCs w:val="24"/>
        </w:rPr>
        <w:t xml:space="preserve"> be decided by the Minister. </w:t>
      </w:r>
    </w:p>
    <w:p w14:paraId="2F0F7EC9" w14:textId="77777777" w:rsidR="0078659F" w:rsidRPr="00FC15DE" w:rsidRDefault="0078659F" w:rsidP="00D237D5">
      <w:pPr>
        <w:rPr>
          <w:rFonts w:ascii="Times New Roman" w:hAnsi="Times New Roman"/>
          <w:color w:val="000000"/>
          <w:sz w:val="24"/>
          <w:szCs w:val="24"/>
        </w:rPr>
      </w:pPr>
    </w:p>
    <w:p w14:paraId="373C4661" w14:textId="0048B2A9" w:rsidR="00151FD0" w:rsidRPr="00FC15DE" w:rsidRDefault="00EA7DFA" w:rsidP="00BD56FF">
      <w:pPr>
        <w:rPr>
          <w:rFonts w:ascii="Times New Roman" w:hAnsi="Times New Roman"/>
          <w:color w:val="000000"/>
          <w:sz w:val="24"/>
          <w:szCs w:val="24"/>
        </w:rPr>
      </w:pPr>
      <w:r w:rsidRPr="00FC15DE">
        <w:rPr>
          <w:rFonts w:ascii="Times New Roman" w:hAnsi="Times New Roman"/>
          <w:b/>
          <w:color w:val="000000"/>
          <w:sz w:val="24"/>
          <w:szCs w:val="24"/>
        </w:rPr>
        <w:t>S</w:t>
      </w:r>
      <w:r w:rsidR="00244E19" w:rsidRPr="00FC15DE">
        <w:rPr>
          <w:rFonts w:ascii="Times New Roman" w:hAnsi="Times New Roman"/>
          <w:b/>
          <w:color w:val="000000"/>
          <w:sz w:val="24"/>
          <w:szCs w:val="24"/>
        </w:rPr>
        <w:t>ubs</w:t>
      </w:r>
      <w:r w:rsidRPr="00FC15DE">
        <w:rPr>
          <w:rFonts w:ascii="Times New Roman" w:hAnsi="Times New Roman"/>
          <w:b/>
          <w:color w:val="000000"/>
          <w:sz w:val="24"/>
          <w:szCs w:val="24"/>
        </w:rPr>
        <w:t>ection</w:t>
      </w:r>
      <w:r w:rsidR="0078659F" w:rsidRPr="00FC15DE">
        <w:rPr>
          <w:rFonts w:ascii="Times New Roman" w:hAnsi="Times New Roman"/>
          <w:b/>
          <w:color w:val="000000"/>
          <w:sz w:val="24"/>
          <w:szCs w:val="24"/>
        </w:rPr>
        <w:t xml:space="preserve"> </w:t>
      </w:r>
      <w:r w:rsidR="004E602E" w:rsidRPr="00FC15DE">
        <w:rPr>
          <w:rFonts w:ascii="Times New Roman" w:hAnsi="Times New Roman"/>
          <w:b/>
          <w:color w:val="000000"/>
          <w:sz w:val="24"/>
          <w:szCs w:val="24"/>
        </w:rPr>
        <w:t>1</w:t>
      </w:r>
      <w:r w:rsidR="00590886" w:rsidRPr="00FC15DE">
        <w:rPr>
          <w:rFonts w:ascii="Times New Roman" w:hAnsi="Times New Roman"/>
          <w:b/>
          <w:color w:val="000000"/>
          <w:sz w:val="24"/>
          <w:szCs w:val="24"/>
        </w:rPr>
        <w:t>7</w:t>
      </w:r>
      <w:r w:rsidR="0078659F" w:rsidRPr="00FC15DE">
        <w:rPr>
          <w:rFonts w:ascii="Times New Roman" w:hAnsi="Times New Roman"/>
          <w:b/>
          <w:color w:val="000000"/>
          <w:sz w:val="24"/>
          <w:szCs w:val="24"/>
        </w:rPr>
        <w:t>(2)</w:t>
      </w:r>
      <w:r w:rsidR="0078659F" w:rsidRPr="00FC15DE">
        <w:rPr>
          <w:rFonts w:ascii="Times New Roman" w:hAnsi="Times New Roman"/>
          <w:color w:val="000000"/>
          <w:sz w:val="24"/>
          <w:szCs w:val="24"/>
        </w:rPr>
        <w:t xml:space="preserve"> provides a formula for </w:t>
      </w:r>
      <w:r w:rsidR="0087128E" w:rsidRPr="00FC15DE">
        <w:rPr>
          <w:rFonts w:ascii="Times New Roman" w:hAnsi="Times New Roman"/>
          <w:color w:val="000000"/>
          <w:sz w:val="24"/>
          <w:szCs w:val="24"/>
        </w:rPr>
        <w:t>reducing the amount of grant payable to the provider for a year under section 33-1 of the Act, in the three years following the year in which the advance is made to the provider under subsection 33-40(1)</w:t>
      </w:r>
      <w:r w:rsidR="0078659F" w:rsidRPr="00FC15DE">
        <w:rPr>
          <w:rFonts w:ascii="Times New Roman" w:hAnsi="Times New Roman"/>
          <w:color w:val="000000"/>
          <w:sz w:val="24"/>
          <w:szCs w:val="24"/>
        </w:rPr>
        <w:t>.</w:t>
      </w:r>
      <w:r w:rsidR="00BA15A5" w:rsidRPr="00FC15DE">
        <w:rPr>
          <w:rFonts w:ascii="Times New Roman" w:hAnsi="Times New Roman"/>
          <w:color w:val="000000"/>
          <w:sz w:val="24"/>
          <w:szCs w:val="24"/>
        </w:rPr>
        <w:t xml:space="preserve"> </w:t>
      </w:r>
      <w:r w:rsidR="0087557E" w:rsidRPr="00FC15DE">
        <w:rPr>
          <w:rFonts w:ascii="Times New Roman" w:hAnsi="Times New Roman"/>
          <w:color w:val="000000"/>
          <w:sz w:val="24"/>
          <w:szCs w:val="24"/>
        </w:rPr>
        <w:t xml:space="preserve"> </w:t>
      </w:r>
    </w:p>
    <w:p w14:paraId="71AAF743" w14:textId="77777777" w:rsidR="008C21E0" w:rsidRPr="00FC15DE" w:rsidRDefault="008C21E0" w:rsidP="0078659F">
      <w:pPr>
        <w:ind w:left="1418" w:hanging="1418"/>
        <w:rPr>
          <w:rFonts w:ascii="Times New Roman" w:hAnsi="Times New Roman"/>
          <w:bCs/>
          <w:i/>
          <w:color w:val="000000"/>
          <w:sz w:val="24"/>
          <w:szCs w:val="24"/>
        </w:rPr>
      </w:pPr>
    </w:p>
    <w:p w14:paraId="55FF6E67" w14:textId="18864252" w:rsidR="0078659F" w:rsidRPr="00FC15DE" w:rsidRDefault="0078659F" w:rsidP="0078659F">
      <w:pPr>
        <w:ind w:left="1418" w:hanging="1418"/>
        <w:rPr>
          <w:rFonts w:ascii="Times New Roman" w:hAnsi="Times New Roman"/>
          <w:bCs/>
          <w:i/>
          <w:color w:val="000000"/>
          <w:sz w:val="24"/>
          <w:szCs w:val="24"/>
        </w:rPr>
      </w:pPr>
      <w:r w:rsidRPr="00FC15DE">
        <w:rPr>
          <w:rFonts w:ascii="Times New Roman" w:hAnsi="Times New Roman"/>
          <w:bCs/>
          <w:i/>
          <w:color w:val="000000"/>
          <w:sz w:val="24"/>
          <w:szCs w:val="24"/>
        </w:rPr>
        <w:t xml:space="preserve">Chapter 7 – Transition Fund Loading </w:t>
      </w:r>
    </w:p>
    <w:p w14:paraId="2F0BFB7F" w14:textId="77777777" w:rsidR="00B81260" w:rsidRPr="00FC15DE" w:rsidRDefault="00B81260" w:rsidP="0078659F">
      <w:pPr>
        <w:ind w:left="1418" w:hanging="1418"/>
        <w:rPr>
          <w:rFonts w:ascii="Times New Roman" w:hAnsi="Times New Roman"/>
          <w:bCs/>
          <w:i/>
          <w:color w:val="000000"/>
          <w:sz w:val="24"/>
          <w:szCs w:val="24"/>
        </w:rPr>
      </w:pPr>
    </w:p>
    <w:p w14:paraId="433B39A3" w14:textId="7FFAAA7F" w:rsidR="0078659F" w:rsidRPr="00FC15DE" w:rsidRDefault="000E3B2E" w:rsidP="00D237D5">
      <w:pPr>
        <w:rPr>
          <w:rFonts w:ascii="Times New Roman" w:hAnsi="Times New Roman"/>
          <w:color w:val="000000"/>
          <w:sz w:val="24"/>
          <w:szCs w:val="24"/>
        </w:rPr>
      </w:pPr>
      <w:r w:rsidRPr="00FC15DE">
        <w:rPr>
          <w:rFonts w:ascii="Times New Roman" w:hAnsi="Times New Roman"/>
          <w:b/>
          <w:color w:val="000000"/>
          <w:sz w:val="24"/>
          <w:szCs w:val="24"/>
        </w:rPr>
        <w:t>Section</w:t>
      </w:r>
      <w:r w:rsidR="0078659F" w:rsidRPr="00FC15DE">
        <w:rPr>
          <w:rFonts w:ascii="Times New Roman" w:hAnsi="Times New Roman"/>
          <w:b/>
          <w:color w:val="000000"/>
          <w:sz w:val="24"/>
          <w:szCs w:val="24"/>
        </w:rPr>
        <w:t xml:space="preserve"> 1</w:t>
      </w:r>
      <w:r w:rsidR="00590886" w:rsidRPr="00FC15DE">
        <w:rPr>
          <w:rFonts w:ascii="Times New Roman" w:hAnsi="Times New Roman"/>
          <w:b/>
          <w:color w:val="000000"/>
          <w:sz w:val="24"/>
          <w:szCs w:val="24"/>
        </w:rPr>
        <w:t>8</w:t>
      </w:r>
      <w:r w:rsidR="0078659F" w:rsidRPr="00FC15DE">
        <w:rPr>
          <w:rFonts w:ascii="Times New Roman" w:hAnsi="Times New Roman"/>
          <w:color w:val="000000"/>
          <w:sz w:val="24"/>
          <w:szCs w:val="24"/>
        </w:rPr>
        <w:t xml:space="preserve"> provides that the purpose of </w:t>
      </w:r>
      <w:r w:rsidR="000D7C38" w:rsidRPr="00FC15DE">
        <w:rPr>
          <w:rFonts w:ascii="Times New Roman" w:hAnsi="Times New Roman"/>
          <w:color w:val="000000"/>
          <w:sz w:val="24"/>
          <w:szCs w:val="24"/>
        </w:rPr>
        <w:t>C</w:t>
      </w:r>
      <w:r w:rsidR="0078659F" w:rsidRPr="00FC15DE">
        <w:rPr>
          <w:rFonts w:ascii="Times New Roman" w:hAnsi="Times New Roman"/>
          <w:color w:val="000000"/>
          <w:sz w:val="24"/>
          <w:szCs w:val="24"/>
        </w:rPr>
        <w:t xml:space="preserve">hapter </w:t>
      </w:r>
      <w:r w:rsidR="000D7C38" w:rsidRPr="00FC15DE">
        <w:rPr>
          <w:rFonts w:ascii="Times New Roman" w:hAnsi="Times New Roman"/>
          <w:color w:val="000000"/>
          <w:sz w:val="24"/>
          <w:szCs w:val="24"/>
        </w:rPr>
        <w:t xml:space="preserve">7 </w:t>
      </w:r>
      <w:r w:rsidR="0078659F" w:rsidRPr="00FC15DE">
        <w:rPr>
          <w:rFonts w:ascii="Times New Roman" w:hAnsi="Times New Roman"/>
          <w:color w:val="000000"/>
          <w:sz w:val="24"/>
          <w:szCs w:val="24"/>
        </w:rPr>
        <w:t xml:space="preserve">is to specify how the Transition Fund Loading (TFL) </w:t>
      </w:r>
      <w:r w:rsidR="000D7C38" w:rsidRPr="00FC15DE">
        <w:rPr>
          <w:rFonts w:ascii="Times New Roman" w:hAnsi="Times New Roman"/>
          <w:color w:val="000000"/>
          <w:sz w:val="24"/>
          <w:szCs w:val="24"/>
        </w:rPr>
        <w:t>will be worked out</w:t>
      </w:r>
      <w:r w:rsidR="0078659F" w:rsidRPr="00FC15DE">
        <w:rPr>
          <w:rFonts w:ascii="Times New Roman" w:hAnsi="Times New Roman"/>
          <w:color w:val="000000"/>
          <w:sz w:val="24"/>
          <w:szCs w:val="24"/>
        </w:rPr>
        <w:t xml:space="preserve"> for the purposes of subparagraph 33-1(b)(iv)</w:t>
      </w:r>
      <w:r w:rsidR="000D7C38" w:rsidRPr="00FC15DE">
        <w:rPr>
          <w:rFonts w:ascii="Times New Roman" w:hAnsi="Times New Roman"/>
          <w:color w:val="000000"/>
          <w:sz w:val="24"/>
          <w:szCs w:val="24"/>
        </w:rPr>
        <w:t xml:space="preserve"> of the Act</w:t>
      </w:r>
      <w:r w:rsidR="0078659F" w:rsidRPr="00FC15DE">
        <w:rPr>
          <w:rFonts w:ascii="Times New Roman" w:hAnsi="Times New Roman"/>
          <w:color w:val="000000"/>
          <w:sz w:val="24"/>
          <w:szCs w:val="24"/>
        </w:rPr>
        <w:t>.</w:t>
      </w:r>
    </w:p>
    <w:p w14:paraId="521F0259" w14:textId="77777777" w:rsidR="0078659F" w:rsidRPr="00FC15DE" w:rsidRDefault="0078659F" w:rsidP="00D237D5">
      <w:pPr>
        <w:rPr>
          <w:rFonts w:ascii="Times New Roman" w:hAnsi="Times New Roman"/>
          <w:color w:val="000000"/>
          <w:sz w:val="24"/>
          <w:szCs w:val="24"/>
        </w:rPr>
      </w:pPr>
    </w:p>
    <w:p w14:paraId="0AA9EBE6" w14:textId="7BD67C42" w:rsidR="0078659F" w:rsidRPr="00FC15DE" w:rsidRDefault="000E3B2E" w:rsidP="00D237D5">
      <w:pPr>
        <w:rPr>
          <w:rFonts w:ascii="Times New Roman" w:hAnsi="Times New Roman"/>
          <w:color w:val="000000"/>
          <w:sz w:val="24"/>
          <w:szCs w:val="24"/>
        </w:rPr>
      </w:pPr>
      <w:r w:rsidRPr="00FC15DE">
        <w:rPr>
          <w:rFonts w:ascii="Times New Roman" w:hAnsi="Times New Roman"/>
          <w:b/>
          <w:color w:val="000000"/>
          <w:sz w:val="24"/>
          <w:szCs w:val="24"/>
        </w:rPr>
        <w:t>S</w:t>
      </w:r>
      <w:r w:rsidR="00244E19" w:rsidRPr="00FC15DE">
        <w:rPr>
          <w:rFonts w:ascii="Times New Roman" w:hAnsi="Times New Roman"/>
          <w:b/>
          <w:color w:val="000000"/>
          <w:sz w:val="24"/>
          <w:szCs w:val="24"/>
        </w:rPr>
        <w:t>ubs</w:t>
      </w:r>
      <w:r w:rsidRPr="00FC15DE">
        <w:rPr>
          <w:rFonts w:ascii="Times New Roman" w:hAnsi="Times New Roman"/>
          <w:b/>
          <w:color w:val="000000"/>
          <w:sz w:val="24"/>
          <w:szCs w:val="24"/>
        </w:rPr>
        <w:t>ection</w:t>
      </w:r>
      <w:r w:rsidR="0078659F" w:rsidRPr="00FC15DE">
        <w:rPr>
          <w:rFonts w:ascii="Times New Roman" w:hAnsi="Times New Roman"/>
          <w:b/>
          <w:color w:val="000000"/>
          <w:sz w:val="24"/>
          <w:szCs w:val="24"/>
        </w:rPr>
        <w:t xml:space="preserve"> </w:t>
      </w:r>
      <w:r w:rsidR="004E602E" w:rsidRPr="00FC15DE">
        <w:rPr>
          <w:rFonts w:ascii="Times New Roman" w:hAnsi="Times New Roman"/>
          <w:b/>
          <w:color w:val="000000"/>
          <w:sz w:val="24"/>
          <w:szCs w:val="24"/>
        </w:rPr>
        <w:t>1</w:t>
      </w:r>
      <w:r w:rsidR="00590886" w:rsidRPr="00FC15DE">
        <w:rPr>
          <w:rFonts w:ascii="Times New Roman" w:hAnsi="Times New Roman"/>
          <w:b/>
          <w:color w:val="000000"/>
          <w:sz w:val="24"/>
          <w:szCs w:val="24"/>
        </w:rPr>
        <w:t>9</w:t>
      </w:r>
      <w:r w:rsidR="0078659F" w:rsidRPr="00FC15DE">
        <w:rPr>
          <w:rFonts w:ascii="Times New Roman" w:hAnsi="Times New Roman"/>
          <w:b/>
          <w:color w:val="000000"/>
          <w:sz w:val="24"/>
          <w:szCs w:val="24"/>
        </w:rPr>
        <w:t>(1)</w:t>
      </w:r>
      <w:r w:rsidR="0078659F" w:rsidRPr="00FC15DE">
        <w:rPr>
          <w:rFonts w:ascii="Times New Roman" w:hAnsi="Times New Roman"/>
          <w:color w:val="000000"/>
          <w:sz w:val="24"/>
          <w:szCs w:val="24"/>
        </w:rPr>
        <w:t xml:space="preserve"> provides that the TFL is payable to </w:t>
      </w:r>
      <w:r w:rsidR="000D7C38" w:rsidRPr="00FC15DE">
        <w:rPr>
          <w:rFonts w:ascii="Times New Roman" w:hAnsi="Times New Roman"/>
          <w:color w:val="000000"/>
          <w:sz w:val="24"/>
          <w:szCs w:val="24"/>
        </w:rPr>
        <w:t xml:space="preserve">Table A </w:t>
      </w:r>
      <w:r w:rsidR="0078659F" w:rsidRPr="00FC15DE">
        <w:rPr>
          <w:rFonts w:ascii="Times New Roman" w:hAnsi="Times New Roman"/>
          <w:color w:val="000000"/>
          <w:sz w:val="24"/>
          <w:szCs w:val="24"/>
        </w:rPr>
        <w:t>providers</w:t>
      </w:r>
      <w:r w:rsidR="000D7C38" w:rsidRPr="00FC15DE">
        <w:rPr>
          <w:rFonts w:ascii="Times New Roman" w:hAnsi="Times New Roman"/>
          <w:color w:val="000000"/>
          <w:sz w:val="24"/>
          <w:szCs w:val="24"/>
        </w:rPr>
        <w:t xml:space="preserve"> and the University of Notre Dame Australia</w:t>
      </w:r>
      <w:r w:rsidR="0078659F" w:rsidRPr="00FC15DE">
        <w:rPr>
          <w:rFonts w:ascii="Times New Roman" w:hAnsi="Times New Roman"/>
          <w:color w:val="000000"/>
          <w:sz w:val="24"/>
          <w:szCs w:val="24"/>
        </w:rPr>
        <w:t xml:space="preserve"> for the 2021, 2022 and 2023 grant years, and sets out </w:t>
      </w:r>
      <w:r w:rsidR="000D7C38" w:rsidRPr="00FC15DE">
        <w:rPr>
          <w:rFonts w:ascii="Times New Roman" w:hAnsi="Times New Roman"/>
          <w:color w:val="000000"/>
          <w:sz w:val="24"/>
          <w:szCs w:val="24"/>
        </w:rPr>
        <w:t xml:space="preserve">the formula for calculating the TFL </w:t>
      </w:r>
      <w:r w:rsidR="00627D5C" w:rsidRPr="00FC15DE">
        <w:rPr>
          <w:rFonts w:ascii="Times New Roman" w:hAnsi="Times New Roman"/>
          <w:color w:val="000000"/>
          <w:sz w:val="24"/>
          <w:szCs w:val="24"/>
        </w:rPr>
        <w:t>payable to a provider</w:t>
      </w:r>
      <w:r w:rsidR="0078659F" w:rsidRPr="00FC15DE">
        <w:rPr>
          <w:rFonts w:ascii="Times New Roman" w:hAnsi="Times New Roman"/>
          <w:color w:val="000000"/>
          <w:sz w:val="24"/>
          <w:szCs w:val="24"/>
        </w:rPr>
        <w:t xml:space="preserve">. </w:t>
      </w:r>
      <w:r w:rsidR="0086042B" w:rsidRPr="00FC15DE">
        <w:rPr>
          <w:rFonts w:ascii="Times New Roman" w:hAnsi="Times New Roman"/>
          <w:color w:val="000000"/>
          <w:sz w:val="24"/>
          <w:szCs w:val="24"/>
        </w:rPr>
        <w:t xml:space="preserve">The purpose of the TFL is to ensure that eligible providers can maintain their revenue over the grant years 2021 to 2023, whilst the </w:t>
      </w:r>
      <w:r w:rsidR="00D47B48" w:rsidRPr="00FC15DE">
        <w:rPr>
          <w:rFonts w:ascii="Times New Roman" w:hAnsi="Times New Roman"/>
          <w:color w:val="000000"/>
          <w:sz w:val="24"/>
          <w:szCs w:val="24"/>
        </w:rPr>
        <w:br/>
      </w:r>
      <w:r w:rsidR="0086042B" w:rsidRPr="00FC15DE">
        <w:rPr>
          <w:rFonts w:ascii="Times New Roman" w:hAnsi="Times New Roman"/>
          <w:color w:val="000000"/>
          <w:sz w:val="24"/>
          <w:szCs w:val="24"/>
        </w:rPr>
        <w:t>Job-</w:t>
      </w:r>
      <w:r w:rsidR="00792160" w:rsidRPr="00FC15DE">
        <w:rPr>
          <w:rFonts w:ascii="Times New Roman" w:hAnsi="Times New Roman"/>
          <w:color w:val="000000"/>
          <w:sz w:val="24"/>
          <w:szCs w:val="24"/>
        </w:rPr>
        <w:t>R</w:t>
      </w:r>
      <w:r w:rsidR="0086042B" w:rsidRPr="00FC15DE">
        <w:rPr>
          <w:rFonts w:ascii="Times New Roman" w:hAnsi="Times New Roman"/>
          <w:color w:val="000000"/>
          <w:sz w:val="24"/>
          <w:szCs w:val="24"/>
        </w:rPr>
        <w:t xml:space="preserve">eady Graduates Act is being implemented. </w:t>
      </w:r>
    </w:p>
    <w:p w14:paraId="33CB88AF" w14:textId="77777777" w:rsidR="0078659F" w:rsidRPr="00FC15DE" w:rsidRDefault="0078659F" w:rsidP="00D237D5">
      <w:pPr>
        <w:rPr>
          <w:rFonts w:ascii="Times New Roman" w:hAnsi="Times New Roman"/>
          <w:color w:val="000000"/>
          <w:sz w:val="24"/>
          <w:szCs w:val="24"/>
        </w:rPr>
      </w:pPr>
    </w:p>
    <w:p w14:paraId="09D0A84E" w14:textId="073BFB67" w:rsidR="007B0CE6" w:rsidRPr="00FC15DE" w:rsidRDefault="000E3B2E" w:rsidP="00D237D5">
      <w:pPr>
        <w:rPr>
          <w:rFonts w:ascii="Times New Roman" w:hAnsi="Times New Roman"/>
          <w:color w:val="000000"/>
          <w:sz w:val="24"/>
          <w:szCs w:val="24"/>
        </w:rPr>
      </w:pPr>
      <w:r w:rsidRPr="00FC15DE">
        <w:rPr>
          <w:rFonts w:ascii="Times New Roman" w:hAnsi="Times New Roman"/>
          <w:b/>
          <w:color w:val="000000"/>
          <w:sz w:val="24"/>
          <w:szCs w:val="24"/>
        </w:rPr>
        <w:t>S</w:t>
      </w:r>
      <w:r w:rsidR="00244E19" w:rsidRPr="00FC15DE">
        <w:rPr>
          <w:rFonts w:ascii="Times New Roman" w:hAnsi="Times New Roman"/>
          <w:b/>
          <w:color w:val="000000"/>
          <w:sz w:val="24"/>
          <w:szCs w:val="24"/>
        </w:rPr>
        <w:t>ubs</w:t>
      </w:r>
      <w:r w:rsidRPr="00FC15DE">
        <w:rPr>
          <w:rFonts w:ascii="Times New Roman" w:hAnsi="Times New Roman"/>
          <w:b/>
          <w:color w:val="000000"/>
          <w:sz w:val="24"/>
          <w:szCs w:val="24"/>
        </w:rPr>
        <w:t>ection</w:t>
      </w:r>
      <w:r w:rsidR="0078659F" w:rsidRPr="00FC15DE">
        <w:rPr>
          <w:rFonts w:ascii="Times New Roman" w:hAnsi="Times New Roman"/>
          <w:b/>
          <w:color w:val="000000"/>
          <w:sz w:val="24"/>
          <w:szCs w:val="24"/>
        </w:rPr>
        <w:t xml:space="preserve"> </w:t>
      </w:r>
      <w:r w:rsidR="004E602E" w:rsidRPr="00FC15DE">
        <w:rPr>
          <w:rFonts w:ascii="Times New Roman" w:hAnsi="Times New Roman"/>
          <w:b/>
          <w:color w:val="000000"/>
          <w:sz w:val="24"/>
          <w:szCs w:val="24"/>
        </w:rPr>
        <w:t>1</w:t>
      </w:r>
      <w:r w:rsidR="00590886" w:rsidRPr="00FC15DE">
        <w:rPr>
          <w:rFonts w:ascii="Times New Roman" w:hAnsi="Times New Roman"/>
          <w:b/>
          <w:color w:val="000000"/>
          <w:sz w:val="24"/>
          <w:szCs w:val="24"/>
        </w:rPr>
        <w:t>9</w:t>
      </w:r>
      <w:r w:rsidR="0078659F" w:rsidRPr="00FC15DE">
        <w:rPr>
          <w:rFonts w:ascii="Times New Roman" w:hAnsi="Times New Roman"/>
          <w:b/>
          <w:color w:val="000000"/>
          <w:sz w:val="24"/>
          <w:szCs w:val="24"/>
        </w:rPr>
        <w:t>(2)</w:t>
      </w:r>
      <w:r w:rsidR="0078659F" w:rsidRPr="00FC15DE">
        <w:rPr>
          <w:rFonts w:ascii="Times New Roman" w:hAnsi="Times New Roman"/>
          <w:color w:val="000000"/>
          <w:sz w:val="24"/>
          <w:szCs w:val="24"/>
        </w:rPr>
        <w:t xml:space="preserve"> states that</w:t>
      </w:r>
      <w:r w:rsidR="00C45F9F" w:rsidRPr="00FC15DE">
        <w:rPr>
          <w:rFonts w:ascii="Times New Roman" w:hAnsi="Times New Roman"/>
          <w:color w:val="000000"/>
          <w:sz w:val="24"/>
          <w:szCs w:val="24"/>
        </w:rPr>
        <w:t>,</w:t>
      </w:r>
      <w:r w:rsidR="0078659F" w:rsidRPr="00FC15DE">
        <w:rPr>
          <w:rFonts w:ascii="Times New Roman" w:hAnsi="Times New Roman"/>
          <w:color w:val="000000"/>
          <w:sz w:val="24"/>
          <w:szCs w:val="24"/>
        </w:rPr>
        <w:t xml:space="preserve"> if </w:t>
      </w:r>
      <w:r w:rsidR="000D7C38" w:rsidRPr="00FC15DE">
        <w:rPr>
          <w:rFonts w:ascii="Times New Roman" w:hAnsi="Times New Roman"/>
          <w:color w:val="000000"/>
          <w:sz w:val="24"/>
          <w:szCs w:val="24"/>
        </w:rPr>
        <w:t>the</w:t>
      </w:r>
      <w:r w:rsidR="0078659F" w:rsidRPr="00FC15DE">
        <w:rPr>
          <w:rFonts w:ascii="Times New Roman" w:hAnsi="Times New Roman"/>
          <w:color w:val="000000"/>
          <w:sz w:val="24"/>
          <w:szCs w:val="24"/>
        </w:rPr>
        <w:t xml:space="preserve"> TFL </w:t>
      </w:r>
      <w:r w:rsidR="000D7C38" w:rsidRPr="00FC15DE">
        <w:rPr>
          <w:rFonts w:ascii="Times New Roman" w:hAnsi="Times New Roman"/>
          <w:color w:val="000000"/>
          <w:sz w:val="24"/>
          <w:szCs w:val="24"/>
        </w:rPr>
        <w:t xml:space="preserve">for a provider </w:t>
      </w:r>
      <w:r w:rsidR="0078659F" w:rsidRPr="00FC15DE">
        <w:rPr>
          <w:rFonts w:ascii="Times New Roman" w:hAnsi="Times New Roman"/>
          <w:color w:val="000000"/>
          <w:sz w:val="24"/>
          <w:szCs w:val="24"/>
        </w:rPr>
        <w:t xml:space="preserve">is calculated to be less than zero, the provider will not </w:t>
      </w:r>
      <w:proofErr w:type="gramStart"/>
      <w:r w:rsidR="000D7C38" w:rsidRPr="00FC15DE">
        <w:rPr>
          <w:rFonts w:ascii="Times New Roman" w:hAnsi="Times New Roman"/>
          <w:color w:val="000000"/>
          <w:sz w:val="24"/>
          <w:szCs w:val="24"/>
        </w:rPr>
        <w:t>paid</w:t>
      </w:r>
      <w:proofErr w:type="gramEnd"/>
      <w:r w:rsidR="000D7C38" w:rsidRPr="00FC15DE">
        <w:rPr>
          <w:rFonts w:ascii="Times New Roman" w:hAnsi="Times New Roman"/>
          <w:color w:val="000000"/>
          <w:sz w:val="24"/>
          <w:szCs w:val="24"/>
        </w:rPr>
        <w:t xml:space="preserve"> any </w:t>
      </w:r>
      <w:r w:rsidR="0078659F" w:rsidRPr="00FC15DE">
        <w:rPr>
          <w:rFonts w:ascii="Times New Roman" w:hAnsi="Times New Roman"/>
          <w:color w:val="000000"/>
          <w:sz w:val="24"/>
          <w:szCs w:val="24"/>
        </w:rPr>
        <w:t>TFL.</w:t>
      </w:r>
    </w:p>
    <w:p w14:paraId="28906320" w14:textId="77777777" w:rsidR="0078659F" w:rsidRPr="00FC15DE" w:rsidRDefault="0078659F" w:rsidP="0078659F">
      <w:pPr>
        <w:ind w:left="1418" w:hanging="1418"/>
        <w:rPr>
          <w:rFonts w:ascii="Times New Roman" w:hAnsi="Times New Roman"/>
          <w:bCs/>
          <w:color w:val="000000"/>
          <w:sz w:val="24"/>
          <w:szCs w:val="24"/>
        </w:rPr>
      </w:pPr>
    </w:p>
    <w:p w14:paraId="46378A1B" w14:textId="0DA180B9" w:rsidR="0078659F" w:rsidRPr="00FC15DE" w:rsidRDefault="0078659F" w:rsidP="0078659F">
      <w:pPr>
        <w:ind w:left="1418" w:hanging="1418"/>
        <w:rPr>
          <w:rFonts w:ascii="Times New Roman" w:hAnsi="Times New Roman"/>
          <w:bCs/>
          <w:i/>
          <w:color w:val="000000"/>
          <w:sz w:val="24"/>
          <w:szCs w:val="24"/>
        </w:rPr>
      </w:pPr>
      <w:r w:rsidRPr="00FC15DE">
        <w:rPr>
          <w:rFonts w:ascii="Times New Roman" w:hAnsi="Times New Roman"/>
          <w:bCs/>
          <w:i/>
          <w:color w:val="000000"/>
          <w:sz w:val="24"/>
          <w:szCs w:val="24"/>
        </w:rPr>
        <w:t>Chapter 8 – Maximum basic grant amount for higher education courses</w:t>
      </w:r>
    </w:p>
    <w:p w14:paraId="07D3FF32" w14:textId="77777777" w:rsidR="00ED0167" w:rsidRPr="00FC15DE" w:rsidRDefault="00ED0167" w:rsidP="0078659F">
      <w:pPr>
        <w:ind w:left="1418" w:hanging="1418"/>
        <w:rPr>
          <w:rFonts w:ascii="Times New Roman" w:hAnsi="Times New Roman"/>
          <w:bCs/>
          <w:i/>
          <w:color w:val="000000"/>
          <w:sz w:val="24"/>
          <w:szCs w:val="24"/>
        </w:rPr>
      </w:pPr>
    </w:p>
    <w:p w14:paraId="5BBA1296" w14:textId="5C36C04A" w:rsidR="0078659F" w:rsidRPr="00FC15DE" w:rsidRDefault="00E13EE4" w:rsidP="00D237D5">
      <w:pPr>
        <w:rPr>
          <w:rFonts w:ascii="Times New Roman" w:hAnsi="Times New Roman"/>
          <w:color w:val="000000"/>
          <w:sz w:val="24"/>
          <w:szCs w:val="24"/>
        </w:rPr>
      </w:pPr>
      <w:r w:rsidRPr="00FC15DE">
        <w:rPr>
          <w:rFonts w:ascii="Times New Roman" w:hAnsi="Times New Roman"/>
          <w:b/>
          <w:color w:val="000000"/>
          <w:sz w:val="24"/>
          <w:szCs w:val="24"/>
        </w:rPr>
        <w:t>Section</w:t>
      </w:r>
      <w:r w:rsidR="0078659F" w:rsidRPr="00FC15DE">
        <w:rPr>
          <w:rFonts w:ascii="Times New Roman" w:hAnsi="Times New Roman"/>
          <w:b/>
          <w:color w:val="000000"/>
          <w:sz w:val="24"/>
          <w:szCs w:val="24"/>
        </w:rPr>
        <w:t xml:space="preserve"> </w:t>
      </w:r>
      <w:r w:rsidR="00590886" w:rsidRPr="00FC15DE">
        <w:rPr>
          <w:rFonts w:ascii="Times New Roman" w:hAnsi="Times New Roman"/>
          <w:b/>
          <w:color w:val="000000"/>
          <w:sz w:val="24"/>
          <w:szCs w:val="24"/>
        </w:rPr>
        <w:t>20</w:t>
      </w:r>
      <w:r w:rsidR="0078659F" w:rsidRPr="00FC15DE">
        <w:rPr>
          <w:rFonts w:ascii="Times New Roman" w:hAnsi="Times New Roman"/>
          <w:color w:val="000000"/>
          <w:sz w:val="24"/>
          <w:szCs w:val="24"/>
        </w:rPr>
        <w:t xml:space="preserve"> provides that the purpose of </w:t>
      </w:r>
      <w:r w:rsidR="001A35D8" w:rsidRPr="00FC15DE">
        <w:rPr>
          <w:rFonts w:ascii="Times New Roman" w:hAnsi="Times New Roman"/>
          <w:color w:val="000000"/>
          <w:sz w:val="24"/>
          <w:szCs w:val="24"/>
        </w:rPr>
        <w:t>C</w:t>
      </w:r>
      <w:r w:rsidR="0078659F" w:rsidRPr="00FC15DE">
        <w:rPr>
          <w:rFonts w:ascii="Times New Roman" w:hAnsi="Times New Roman"/>
          <w:color w:val="000000"/>
          <w:sz w:val="24"/>
          <w:szCs w:val="24"/>
        </w:rPr>
        <w:t>hapter</w:t>
      </w:r>
      <w:r w:rsidR="001A35D8" w:rsidRPr="00FC15DE">
        <w:rPr>
          <w:rFonts w:ascii="Times New Roman" w:hAnsi="Times New Roman"/>
          <w:color w:val="000000"/>
          <w:sz w:val="24"/>
          <w:szCs w:val="24"/>
        </w:rPr>
        <w:t xml:space="preserve"> 8</w:t>
      </w:r>
      <w:r w:rsidR="0078659F" w:rsidRPr="00FC15DE">
        <w:rPr>
          <w:rFonts w:ascii="Times New Roman" w:hAnsi="Times New Roman"/>
          <w:color w:val="000000"/>
          <w:sz w:val="24"/>
          <w:szCs w:val="24"/>
        </w:rPr>
        <w:t xml:space="preserve"> is to specify </w:t>
      </w:r>
      <w:r w:rsidR="001A35D8" w:rsidRPr="00FC15DE">
        <w:rPr>
          <w:rFonts w:ascii="Times New Roman" w:hAnsi="Times New Roman"/>
          <w:color w:val="000000"/>
          <w:sz w:val="24"/>
          <w:szCs w:val="24"/>
        </w:rPr>
        <w:t>amounts for the purposes of subsection 30-27(2) and paragraph 30-27(3)(a) of the Act, which provide that the maximum basic grant amount</w:t>
      </w:r>
      <w:r w:rsidR="003926D7" w:rsidRPr="00FC15DE">
        <w:rPr>
          <w:rFonts w:ascii="Times New Roman" w:hAnsi="Times New Roman"/>
          <w:color w:val="000000"/>
          <w:sz w:val="24"/>
          <w:szCs w:val="24"/>
        </w:rPr>
        <w:t xml:space="preserve"> (MBGA)</w:t>
      </w:r>
      <w:r w:rsidR="001A35D8" w:rsidRPr="00FC15DE">
        <w:rPr>
          <w:rFonts w:ascii="Times New Roman" w:hAnsi="Times New Roman"/>
          <w:color w:val="000000"/>
          <w:sz w:val="24"/>
          <w:szCs w:val="24"/>
        </w:rPr>
        <w:t xml:space="preserve"> for a Table A provider for higher education courses for the grant years 2021, 2022, 2023 and 2024 must not be less than the amount specified in these Guidelines</w:t>
      </w:r>
      <w:r w:rsidR="0078659F" w:rsidRPr="00FC15DE">
        <w:rPr>
          <w:rFonts w:ascii="Times New Roman" w:hAnsi="Times New Roman"/>
          <w:color w:val="000000"/>
          <w:sz w:val="24"/>
          <w:szCs w:val="24"/>
        </w:rPr>
        <w:t>.</w:t>
      </w:r>
    </w:p>
    <w:p w14:paraId="0C67EA19" w14:textId="77777777" w:rsidR="0078659F" w:rsidRPr="00FC15DE" w:rsidRDefault="0078659F" w:rsidP="00D237D5">
      <w:pPr>
        <w:rPr>
          <w:rFonts w:ascii="Times New Roman" w:hAnsi="Times New Roman"/>
          <w:color w:val="000000"/>
          <w:sz w:val="24"/>
          <w:szCs w:val="24"/>
        </w:rPr>
      </w:pPr>
    </w:p>
    <w:p w14:paraId="41437C1F" w14:textId="77777777" w:rsidR="007460BF" w:rsidRPr="00FC15DE" w:rsidRDefault="00E13EE4" w:rsidP="00D237D5">
      <w:pPr>
        <w:rPr>
          <w:rFonts w:ascii="Times New Roman" w:hAnsi="Times New Roman"/>
          <w:color w:val="000000"/>
          <w:sz w:val="24"/>
          <w:szCs w:val="24"/>
        </w:rPr>
      </w:pPr>
      <w:r w:rsidRPr="00FC15DE">
        <w:rPr>
          <w:rFonts w:ascii="Times New Roman" w:hAnsi="Times New Roman"/>
          <w:b/>
          <w:color w:val="000000"/>
          <w:sz w:val="24"/>
          <w:szCs w:val="24"/>
        </w:rPr>
        <w:t>Section</w:t>
      </w:r>
      <w:r w:rsidR="0078659F" w:rsidRPr="00FC15DE">
        <w:rPr>
          <w:rFonts w:ascii="Times New Roman" w:hAnsi="Times New Roman"/>
          <w:b/>
          <w:color w:val="000000"/>
          <w:sz w:val="24"/>
          <w:szCs w:val="24"/>
        </w:rPr>
        <w:t xml:space="preserve"> 2</w:t>
      </w:r>
      <w:r w:rsidR="00590886" w:rsidRPr="00FC15DE">
        <w:rPr>
          <w:rFonts w:ascii="Times New Roman" w:hAnsi="Times New Roman"/>
          <w:b/>
          <w:color w:val="000000"/>
          <w:sz w:val="24"/>
          <w:szCs w:val="24"/>
        </w:rPr>
        <w:t>1</w:t>
      </w:r>
      <w:r w:rsidR="0078659F" w:rsidRPr="00FC15DE">
        <w:rPr>
          <w:rFonts w:ascii="Times New Roman" w:hAnsi="Times New Roman"/>
          <w:color w:val="000000"/>
          <w:sz w:val="24"/>
          <w:szCs w:val="24"/>
        </w:rPr>
        <w:t xml:space="preserve"> states that a provider’s MBGA for higher education courses for a grant year must not be less than the amount specified in the table. </w:t>
      </w:r>
      <w:r w:rsidR="003926D7" w:rsidRPr="00FC15DE">
        <w:rPr>
          <w:rFonts w:ascii="Times New Roman" w:hAnsi="Times New Roman"/>
          <w:color w:val="000000"/>
          <w:sz w:val="24"/>
          <w:szCs w:val="24"/>
        </w:rPr>
        <w:t>The amounts specified for each provider in the table represent the</w:t>
      </w:r>
      <w:r w:rsidR="0078659F" w:rsidRPr="00FC15DE">
        <w:rPr>
          <w:rFonts w:ascii="Times New Roman" w:hAnsi="Times New Roman"/>
          <w:color w:val="000000"/>
          <w:sz w:val="24"/>
          <w:szCs w:val="24"/>
        </w:rPr>
        <w:t xml:space="preserve"> </w:t>
      </w:r>
      <w:r w:rsidR="003926D7" w:rsidRPr="00FC15DE">
        <w:rPr>
          <w:rFonts w:ascii="Times New Roman" w:hAnsi="Times New Roman"/>
          <w:color w:val="000000"/>
          <w:sz w:val="24"/>
          <w:szCs w:val="24"/>
        </w:rPr>
        <w:t>MBGA ‘floor’ for higher education courses for each provider (i.e. a guaranteed baseline for MBGAs for those courses). This means that the MBGA for a provider for hi</w:t>
      </w:r>
      <w:r w:rsidR="009602AD" w:rsidRPr="00FC15DE">
        <w:rPr>
          <w:rFonts w:ascii="Times New Roman" w:hAnsi="Times New Roman"/>
          <w:color w:val="000000"/>
          <w:sz w:val="24"/>
          <w:szCs w:val="24"/>
        </w:rPr>
        <w:t>gher education courses for the relevant</w:t>
      </w:r>
      <w:r w:rsidR="003926D7" w:rsidRPr="00FC15DE">
        <w:rPr>
          <w:rFonts w:ascii="Times New Roman" w:hAnsi="Times New Roman"/>
          <w:color w:val="000000"/>
          <w:sz w:val="24"/>
          <w:szCs w:val="24"/>
        </w:rPr>
        <w:t xml:space="preserve"> grant years, which will be specified in the provider’s funding agreement, must not be less than the amount specified in the table. </w:t>
      </w:r>
    </w:p>
    <w:p w14:paraId="2015BBDE" w14:textId="77777777" w:rsidR="007460BF" w:rsidRPr="00FC15DE" w:rsidRDefault="007460BF" w:rsidP="00D237D5">
      <w:pPr>
        <w:rPr>
          <w:rFonts w:ascii="Times New Roman" w:hAnsi="Times New Roman"/>
          <w:color w:val="000000"/>
          <w:sz w:val="24"/>
          <w:szCs w:val="24"/>
        </w:rPr>
      </w:pPr>
    </w:p>
    <w:p w14:paraId="098C8040" w14:textId="2AF26089" w:rsidR="0078659F" w:rsidRPr="00FC15DE" w:rsidRDefault="00095166" w:rsidP="00D237D5">
      <w:pPr>
        <w:rPr>
          <w:rFonts w:ascii="Times New Roman" w:hAnsi="Times New Roman"/>
          <w:color w:val="000000"/>
          <w:sz w:val="24"/>
          <w:szCs w:val="24"/>
        </w:rPr>
      </w:pPr>
      <w:r w:rsidRPr="00FC15DE">
        <w:rPr>
          <w:rFonts w:ascii="Times New Roman" w:hAnsi="Times New Roman"/>
          <w:color w:val="000000"/>
          <w:sz w:val="24"/>
          <w:szCs w:val="24"/>
        </w:rPr>
        <w:t>The table only includes the amounts for the years 2021 to 2023. The table will be updated to include an amount for 2024, once the indexation factor for 2024 is known</w:t>
      </w:r>
      <w:r w:rsidR="004B3743" w:rsidRPr="00FC15DE">
        <w:rPr>
          <w:rFonts w:ascii="Times New Roman" w:hAnsi="Times New Roman"/>
          <w:color w:val="000000"/>
          <w:sz w:val="24"/>
          <w:szCs w:val="24"/>
        </w:rPr>
        <w:t xml:space="preserve">.  </w:t>
      </w:r>
    </w:p>
    <w:p w14:paraId="6E20CF72" w14:textId="77777777" w:rsidR="0078659F" w:rsidRPr="00FC15DE" w:rsidRDefault="0078659F" w:rsidP="0078659F">
      <w:pPr>
        <w:ind w:left="1418" w:hanging="1418"/>
        <w:rPr>
          <w:rFonts w:ascii="Times New Roman" w:hAnsi="Times New Roman"/>
          <w:bCs/>
          <w:i/>
          <w:color w:val="000000"/>
          <w:sz w:val="24"/>
          <w:szCs w:val="24"/>
        </w:rPr>
      </w:pPr>
    </w:p>
    <w:p w14:paraId="7BC32B17" w14:textId="6AF1D2CD" w:rsidR="0078659F" w:rsidRPr="00FC15DE" w:rsidRDefault="0078659F" w:rsidP="0078659F">
      <w:pPr>
        <w:ind w:left="1418" w:hanging="1418"/>
        <w:rPr>
          <w:rFonts w:ascii="Times New Roman" w:hAnsi="Times New Roman"/>
          <w:bCs/>
          <w:i/>
          <w:color w:val="000000"/>
          <w:sz w:val="24"/>
          <w:szCs w:val="24"/>
        </w:rPr>
      </w:pPr>
      <w:r w:rsidRPr="00FC15DE">
        <w:rPr>
          <w:rFonts w:ascii="Times New Roman" w:hAnsi="Times New Roman"/>
          <w:bCs/>
          <w:i/>
          <w:color w:val="000000"/>
          <w:sz w:val="24"/>
          <w:szCs w:val="24"/>
        </w:rPr>
        <w:lastRenderedPageBreak/>
        <w:t>Schedule 1</w:t>
      </w:r>
    </w:p>
    <w:p w14:paraId="5A30FC6B" w14:textId="77777777" w:rsidR="00ED0167" w:rsidRPr="00FC15DE" w:rsidRDefault="00ED0167" w:rsidP="0078659F">
      <w:pPr>
        <w:ind w:left="1418" w:hanging="1418"/>
        <w:rPr>
          <w:rFonts w:ascii="Times New Roman" w:hAnsi="Times New Roman"/>
          <w:bCs/>
          <w:i/>
          <w:color w:val="000000"/>
          <w:sz w:val="24"/>
          <w:szCs w:val="24"/>
        </w:rPr>
      </w:pPr>
    </w:p>
    <w:p w14:paraId="09591A1A" w14:textId="7A035512" w:rsidR="0078659F" w:rsidRPr="00FC15DE" w:rsidRDefault="00ED0167" w:rsidP="0078659F">
      <w:pPr>
        <w:rPr>
          <w:rFonts w:ascii="Times New Roman" w:hAnsi="Times New Roman"/>
          <w:bCs/>
          <w:color w:val="000000"/>
          <w:sz w:val="24"/>
          <w:szCs w:val="24"/>
        </w:rPr>
      </w:pPr>
      <w:r w:rsidRPr="00FC15DE">
        <w:rPr>
          <w:rFonts w:ascii="Times New Roman" w:hAnsi="Times New Roman"/>
          <w:b/>
          <w:bCs/>
          <w:color w:val="000000"/>
          <w:sz w:val="24"/>
          <w:szCs w:val="24"/>
        </w:rPr>
        <w:t>Section</w:t>
      </w:r>
      <w:r w:rsidR="0078659F" w:rsidRPr="00FC15DE">
        <w:rPr>
          <w:rFonts w:ascii="Times New Roman" w:hAnsi="Times New Roman"/>
          <w:b/>
          <w:bCs/>
          <w:color w:val="000000"/>
          <w:sz w:val="24"/>
          <w:szCs w:val="24"/>
        </w:rPr>
        <w:t xml:space="preserve"> 1</w:t>
      </w:r>
      <w:r w:rsidR="0078659F" w:rsidRPr="00FC15DE">
        <w:rPr>
          <w:rFonts w:ascii="Times New Roman" w:hAnsi="Times New Roman"/>
          <w:bCs/>
          <w:color w:val="000000"/>
          <w:sz w:val="24"/>
          <w:szCs w:val="24"/>
        </w:rPr>
        <w:t xml:space="preserve"> repeals the </w:t>
      </w:r>
      <w:r w:rsidR="0078659F" w:rsidRPr="00FC15DE">
        <w:rPr>
          <w:rFonts w:ascii="Times New Roman" w:hAnsi="Times New Roman"/>
          <w:bCs/>
          <w:i/>
          <w:color w:val="000000"/>
          <w:sz w:val="24"/>
          <w:szCs w:val="24"/>
        </w:rPr>
        <w:t>Commonwealth Grant Scheme Guidelines 2012</w:t>
      </w:r>
      <w:r w:rsidR="0078659F" w:rsidRPr="00FC15DE">
        <w:rPr>
          <w:rFonts w:ascii="Times New Roman" w:hAnsi="Times New Roman"/>
          <w:bCs/>
          <w:color w:val="000000"/>
          <w:sz w:val="24"/>
          <w:szCs w:val="24"/>
        </w:rPr>
        <w:t xml:space="preserve">. </w:t>
      </w:r>
    </w:p>
    <w:p w14:paraId="3A4B1DF4" w14:textId="77777777" w:rsidR="0078659F" w:rsidRPr="00FC15DE" w:rsidRDefault="0078659F" w:rsidP="0078659F">
      <w:pPr>
        <w:ind w:left="1418" w:hanging="1418"/>
        <w:rPr>
          <w:rFonts w:ascii="Times New Roman" w:hAnsi="Times New Roman"/>
          <w:b/>
          <w:bCs/>
          <w:color w:val="000000"/>
          <w:sz w:val="24"/>
          <w:szCs w:val="24"/>
        </w:rPr>
      </w:pPr>
    </w:p>
    <w:p w14:paraId="6EC8F08E" w14:textId="77777777" w:rsidR="0078659F" w:rsidRPr="00FC15DE" w:rsidRDefault="0078659F" w:rsidP="0078659F">
      <w:pPr>
        <w:rPr>
          <w:rFonts w:ascii="Times New Roman" w:hAnsi="Times New Roman"/>
          <w:color w:val="000000"/>
          <w:sz w:val="24"/>
          <w:szCs w:val="24"/>
        </w:rPr>
      </w:pPr>
    </w:p>
    <w:p w14:paraId="2DC16C67" w14:textId="77777777" w:rsidR="0078659F" w:rsidRPr="00FC15DE" w:rsidRDefault="005B1988" w:rsidP="0078659F">
      <w:pPr>
        <w:jc w:val="center"/>
        <w:rPr>
          <w:rFonts w:ascii="Times New Roman" w:hAnsi="Times New Roman"/>
          <w:b/>
          <w:sz w:val="24"/>
          <w:szCs w:val="24"/>
        </w:rPr>
      </w:pPr>
      <w:r w:rsidRPr="00FC15DE">
        <w:rPr>
          <w:rFonts w:ascii="Times New Roman" w:hAnsi="Times New Roman"/>
          <w:b/>
          <w:sz w:val="24"/>
          <w:szCs w:val="24"/>
        </w:rPr>
        <w:br w:type="column"/>
      </w:r>
      <w:r w:rsidR="0078659F" w:rsidRPr="00FC15DE">
        <w:rPr>
          <w:rFonts w:ascii="Times New Roman" w:hAnsi="Times New Roman"/>
          <w:b/>
          <w:sz w:val="24"/>
          <w:szCs w:val="24"/>
        </w:rPr>
        <w:lastRenderedPageBreak/>
        <w:t>Statement of Compatibility with Human Rights</w:t>
      </w:r>
    </w:p>
    <w:p w14:paraId="706865C9" w14:textId="77777777" w:rsidR="0078659F" w:rsidRPr="00FC15DE" w:rsidRDefault="0078659F" w:rsidP="0078659F">
      <w:pPr>
        <w:jc w:val="center"/>
        <w:rPr>
          <w:rFonts w:ascii="Times New Roman" w:hAnsi="Times New Roman"/>
          <w:i/>
          <w:sz w:val="24"/>
          <w:szCs w:val="24"/>
        </w:rPr>
      </w:pPr>
    </w:p>
    <w:p w14:paraId="7015BCF6" w14:textId="77777777" w:rsidR="0078659F" w:rsidRPr="00FC15DE" w:rsidRDefault="0078659F" w:rsidP="0078659F">
      <w:pPr>
        <w:jc w:val="center"/>
        <w:rPr>
          <w:rFonts w:ascii="Times New Roman" w:hAnsi="Times New Roman"/>
          <w:sz w:val="24"/>
          <w:szCs w:val="24"/>
        </w:rPr>
      </w:pPr>
      <w:r w:rsidRPr="00FC15DE">
        <w:rPr>
          <w:rFonts w:ascii="Times New Roman" w:hAnsi="Times New Roman"/>
          <w:i/>
          <w:sz w:val="24"/>
          <w:szCs w:val="24"/>
        </w:rPr>
        <w:t>Prepared in accordance with Part 3 of the Human Rights (Parliamentary Scrutiny) Act 2011</w:t>
      </w:r>
    </w:p>
    <w:p w14:paraId="0CFF2DC5" w14:textId="77777777" w:rsidR="0078659F" w:rsidRPr="00FC15DE" w:rsidRDefault="0078659F" w:rsidP="0078659F">
      <w:pPr>
        <w:jc w:val="center"/>
        <w:rPr>
          <w:rFonts w:ascii="Times New Roman" w:hAnsi="Times New Roman"/>
          <w:sz w:val="24"/>
          <w:szCs w:val="24"/>
        </w:rPr>
      </w:pPr>
    </w:p>
    <w:p w14:paraId="348B908B" w14:textId="6CE38DF8" w:rsidR="0078659F" w:rsidRPr="00FC15DE" w:rsidRDefault="000235D9" w:rsidP="0078659F">
      <w:pPr>
        <w:jc w:val="center"/>
        <w:rPr>
          <w:rFonts w:ascii="Times New Roman" w:hAnsi="Times New Roman"/>
          <w:sz w:val="24"/>
          <w:szCs w:val="24"/>
        </w:rPr>
      </w:pPr>
      <w:r w:rsidRPr="00FC15DE">
        <w:rPr>
          <w:rFonts w:ascii="Times New Roman" w:hAnsi="Times New Roman"/>
          <w:b/>
          <w:sz w:val="24"/>
          <w:szCs w:val="24"/>
        </w:rPr>
        <w:t>Commonwealth Grant Scheme Guidelines</w:t>
      </w:r>
      <w:r w:rsidR="0078659F" w:rsidRPr="00FC15DE">
        <w:rPr>
          <w:rFonts w:ascii="Times New Roman" w:hAnsi="Times New Roman"/>
          <w:b/>
          <w:sz w:val="24"/>
          <w:szCs w:val="24"/>
        </w:rPr>
        <w:t xml:space="preserve"> 2020</w:t>
      </w:r>
      <w:r w:rsidR="0078659F" w:rsidRPr="00FC15DE">
        <w:rPr>
          <w:rFonts w:ascii="Times New Roman" w:hAnsi="Times New Roman"/>
          <w:b/>
          <w:sz w:val="24"/>
          <w:szCs w:val="24"/>
        </w:rPr>
        <w:br/>
      </w:r>
    </w:p>
    <w:p w14:paraId="69350441" w14:textId="4B7F14EF" w:rsidR="0078659F" w:rsidRPr="00FC15DE" w:rsidRDefault="0078659F" w:rsidP="0078659F">
      <w:pPr>
        <w:rPr>
          <w:rFonts w:ascii="Times New Roman" w:hAnsi="Times New Roman"/>
          <w:sz w:val="24"/>
          <w:szCs w:val="24"/>
        </w:rPr>
      </w:pPr>
      <w:r w:rsidRPr="00FC15DE">
        <w:rPr>
          <w:rFonts w:ascii="Times New Roman" w:hAnsi="Times New Roman"/>
          <w:sz w:val="24"/>
          <w:szCs w:val="24"/>
        </w:rPr>
        <w:t xml:space="preserve">The </w:t>
      </w:r>
      <w:r w:rsidRPr="00FC15DE">
        <w:rPr>
          <w:rFonts w:ascii="Times New Roman" w:hAnsi="Times New Roman"/>
          <w:i/>
          <w:sz w:val="24"/>
          <w:szCs w:val="24"/>
        </w:rPr>
        <w:t>Commonwealth Grant Scheme Guidelines 2020</w:t>
      </w:r>
      <w:r w:rsidRPr="00FC15DE">
        <w:rPr>
          <w:rFonts w:ascii="Times New Roman" w:hAnsi="Times New Roman"/>
          <w:sz w:val="24"/>
          <w:szCs w:val="24"/>
        </w:rPr>
        <w:t xml:space="preserve"> </w:t>
      </w:r>
      <w:r w:rsidR="00CC7529" w:rsidRPr="00FC15DE">
        <w:rPr>
          <w:rFonts w:ascii="Times New Roman" w:hAnsi="Times New Roman"/>
          <w:sz w:val="24"/>
          <w:szCs w:val="24"/>
        </w:rPr>
        <w:t xml:space="preserve">(the Guidelines) </w:t>
      </w:r>
      <w:r w:rsidR="00FD345B" w:rsidRPr="00FC15DE">
        <w:rPr>
          <w:rFonts w:ascii="Times New Roman" w:hAnsi="Times New Roman"/>
          <w:sz w:val="24"/>
          <w:szCs w:val="24"/>
        </w:rPr>
        <w:t>are</w:t>
      </w:r>
      <w:r w:rsidRPr="00FC15DE">
        <w:rPr>
          <w:rFonts w:ascii="Times New Roman" w:hAnsi="Times New Roman"/>
          <w:sz w:val="24"/>
          <w:szCs w:val="24"/>
        </w:rPr>
        <w:t xml:space="preserve"> compatible with the human rights and freedoms recognised or declared in the international instruments listed in section 3 of the </w:t>
      </w:r>
      <w:r w:rsidRPr="00FC15DE">
        <w:rPr>
          <w:rFonts w:ascii="Times New Roman" w:hAnsi="Times New Roman"/>
          <w:i/>
          <w:sz w:val="24"/>
          <w:szCs w:val="24"/>
        </w:rPr>
        <w:t>Human Rights (Parliamentary Scrutiny) Act 2011</w:t>
      </w:r>
      <w:r w:rsidRPr="00FC15DE">
        <w:rPr>
          <w:rFonts w:ascii="Times New Roman" w:hAnsi="Times New Roman"/>
          <w:sz w:val="24"/>
          <w:szCs w:val="24"/>
        </w:rPr>
        <w:t>.</w:t>
      </w:r>
    </w:p>
    <w:p w14:paraId="31F110B3" w14:textId="77777777" w:rsidR="0078659F" w:rsidRPr="00FC15DE" w:rsidRDefault="0078659F" w:rsidP="0078659F">
      <w:pPr>
        <w:rPr>
          <w:rFonts w:ascii="Times New Roman" w:hAnsi="Times New Roman"/>
          <w:sz w:val="24"/>
          <w:szCs w:val="24"/>
        </w:rPr>
      </w:pPr>
    </w:p>
    <w:p w14:paraId="081A69C3" w14:textId="1E30B94B" w:rsidR="0078659F" w:rsidRPr="00FC15DE" w:rsidRDefault="0078659F" w:rsidP="005B1988">
      <w:pPr>
        <w:keepNext/>
        <w:rPr>
          <w:rFonts w:ascii="Times New Roman" w:hAnsi="Times New Roman"/>
          <w:sz w:val="24"/>
          <w:szCs w:val="24"/>
        </w:rPr>
      </w:pPr>
      <w:r w:rsidRPr="00FC15DE">
        <w:rPr>
          <w:rFonts w:ascii="Times New Roman" w:hAnsi="Times New Roman"/>
          <w:b/>
          <w:sz w:val="24"/>
          <w:szCs w:val="24"/>
        </w:rPr>
        <w:t xml:space="preserve">Overview of the </w:t>
      </w:r>
      <w:r w:rsidR="00CC7529" w:rsidRPr="00FC15DE">
        <w:rPr>
          <w:rFonts w:ascii="Times New Roman" w:hAnsi="Times New Roman"/>
          <w:b/>
          <w:sz w:val="24"/>
          <w:szCs w:val="24"/>
        </w:rPr>
        <w:t>Guidelines</w:t>
      </w:r>
    </w:p>
    <w:p w14:paraId="3DCDE68B" w14:textId="77777777" w:rsidR="00CC7529" w:rsidRPr="00FC15DE" w:rsidRDefault="00CC7529" w:rsidP="0078659F">
      <w:pPr>
        <w:rPr>
          <w:rFonts w:ascii="Times New Roman" w:hAnsi="Times New Roman"/>
          <w:sz w:val="24"/>
          <w:szCs w:val="24"/>
        </w:rPr>
      </w:pPr>
    </w:p>
    <w:p w14:paraId="286E9716" w14:textId="3A77729C" w:rsidR="00CC7529" w:rsidRPr="00FC15DE" w:rsidRDefault="00CC7529" w:rsidP="00CC7529">
      <w:pPr>
        <w:tabs>
          <w:tab w:val="left" w:pos="851"/>
        </w:tabs>
        <w:rPr>
          <w:rFonts w:ascii="Times New Roman" w:hAnsi="Times New Roman"/>
          <w:iCs/>
          <w:color w:val="000000"/>
          <w:sz w:val="24"/>
          <w:szCs w:val="24"/>
        </w:rPr>
      </w:pPr>
      <w:r w:rsidRPr="00FC15DE">
        <w:rPr>
          <w:rFonts w:ascii="Times New Roman" w:hAnsi="Times New Roman"/>
          <w:iCs/>
          <w:color w:val="000000"/>
          <w:sz w:val="24"/>
          <w:szCs w:val="24"/>
        </w:rPr>
        <w:t>The purpose of the Guidelines is to re</w:t>
      </w:r>
      <w:r w:rsidR="00CF74AF" w:rsidRPr="00FC15DE">
        <w:rPr>
          <w:rFonts w:ascii="Times New Roman" w:hAnsi="Times New Roman"/>
          <w:iCs/>
          <w:color w:val="000000"/>
          <w:sz w:val="24"/>
          <w:szCs w:val="24"/>
        </w:rPr>
        <w:t>peal</w:t>
      </w:r>
      <w:r w:rsidRPr="00FC15DE">
        <w:rPr>
          <w:rFonts w:ascii="Times New Roman" w:hAnsi="Times New Roman"/>
          <w:iCs/>
          <w:color w:val="000000"/>
          <w:sz w:val="24"/>
          <w:szCs w:val="24"/>
        </w:rPr>
        <w:t xml:space="preserve"> the </w:t>
      </w:r>
      <w:r w:rsidRPr="00FC15DE">
        <w:rPr>
          <w:rFonts w:ascii="Times New Roman" w:hAnsi="Times New Roman"/>
          <w:i/>
          <w:iCs/>
          <w:color w:val="000000"/>
          <w:sz w:val="24"/>
          <w:szCs w:val="24"/>
        </w:rPr>
        <w:t>Commonwealth Grant Scheme Guidelines 2012</w:t>
      </w:r>
      <w:r w:rsidRPr="00FC15DE">
        <w:rPr>
          <w:rFonts w:ascii="Times New Roman" w:hAnsi="Times New Roman"/>
          <w:iCs/>
          <w:color w:val="000000"/>
          <w:sz w:val="24"/>
          <w:szCs w:val="24"/>
        </w:rPr>
        <w:t xml:space="preserve"> made on 27 November 2012 and registered on 13 December 2012 (the Former Guidelines), and all subsequent amendments, and make the Guidelines.</w:t>
      </w:r>
    </w:p>
    <w:p w14:paraId="35A6FD63" w14:textId="77777777" w:rsidR="00CC7529" w:rsidRPr="00FC15DE" w:rsidRDefault="00CC7529" w:rsidP="00CC7529">
      <w:pPr>
        <w:tabs>
          <w:tab w:val="left" w:pos="851"/>
        </w:tabs>
        <w:rPr>
          <w:rFonts w:ascii="Times New Roman" w:hAnsi="Times New Roman"/>
          <w:iCs/>
          <w:color w:val="000000"/>
          <w:sz w:val="24"/>
          <w:szCs w:val="24"/>
        </w:rPr>
      </w:pPr>
    </w:p>
    <w:p w14:paraId="625382FF" w14:textId="3F15BABA" w:rsidR="00CC7529" w:rsidRPr="00FC15DE" w:rsidRDefault="00CC7529" w:rsidP="00CC7529">
      <w:pPr>
        <w:tabs>
          <w:tab w:val="left" w:pos="851"/>
        </w:tabs>
        <w:rPr>
          <w:rFonts w:ascii="Times New Roman" w:hAnsi="Times New Roman"/>
          <w:iCs/>
          <w:color w:val="000000"/>
          <w:sz w:val="24"/>
          <w:szCs w:val="24"/>
        </w:rPr>
      </w:pPr>
      <w:r w:rsidRPr="00FC15DE">
        <w:rPr>
          <w:rFonts w:ascii="Times New Roman" w:hAnsi="Times New Roman"/>
          <w:iCs/>
          <w:color w:val="000000"/>
          <w:sz w:val="24"/>
          <w:szCs w:val="24"/>
        </w:rPr>
        <w:t>The changes made in re</w:t>
      </w:r>
      <w:r w:rsidR="00886E5F" w:rsidRPr="00FC15DE">
        <w:rPr>
          <w:rFonts w:ascii="Times New Roman" w:hAnsi="Times New Roman"/>
          <w:iCs/>
          <w:color w:val="000000"/>
          <w:sz w:val="24"/>
          <w:szCs w:val="24"/>
        </w:rPr>
        <w:t>pealing</w:t>
      </w:r>
      <w:r w:rsidRPr="00FC15DE">
        <w:rPr>
          <w:rFonts w:ascii="Times New Roman" w:hAnsi="Times New Roman"/>
          <w:iCs/>
          <w:color w:val="000000"/>
          <w:sz w:val="24"/>
          <w:szCs w:val="24"/>
        </w:rPr>
        <w:t xml:space="preserve"> and remaking the Guidelines are primarily intended to give effect to the amendments to the Act made by the </w:t>
      </w:r>
      <w:r w:rsidRPr="00FC15DE">
        <w:rPr>
          <w:rFonts w:ascii="Times New Roman" w:hAnsi="Times New Roman"/>
          <w:i/>
          <w:iCs/>
          <w:color w:val="000000"/>
          <w:sz w:val="24"/>
          <w:szCs w:val="24"/>
        </w:rPr>
        <w:t xml:space="preserve">Higher Education Support Amendment </w:t>
      </w:r>
      <w:r w:rsidR="00412553" w:rsidRPr="00FC15DE">
        <w:rPr>
          <w:rFonts w:ascii="Times New Roman" w:hAnsi="Times New Roman"/>
          <w:i/>
          <w:iCs/>
          <w:color w:val="000000"/>
          <w:sz w:val="24"/>
          <w:szCs w:val="24"/>
        </w:rPr>
        <w:br/>
      </w:r>
      <w:r w:rsidRPr="00FC15DE">
        <w:rPr>
          <w:rFonts w:ascii="Times New Roman" w:hAnsi="Times New Roman"/>
          <w:i/>
          <w:iCs/>
          <w:color w:val="000000"/>
          <w:sz w:val="24"/>
          <w:szCs w:val="24"/>
        </w:rPr>
        <w:t>(Job-Ready Graduates and Supporting Regional and Remote Students) Act 2020</w:t>
      </w:r>
      <w:r w:rsidRPr="00FC15DE">
        <w:rPr>
          <w:rFonts w:ascii="Times New Roman" w:hAnsi="Times New Roman"/>
          <w:iCs/>
          <w:color w:val="000000"/>
          <w:sz w:val="24"/>
          <w:szCs w:val="24"/>
        </w:rPr>
        <w:t xml:space="preserve"> (the </w:t>
      </w:r>
      <w:r w:rsidR="00412553" w:rsidRPr="00FC15DE">
        <w:rPr>
          <w:rFonts w:ascii="Times New Roman" w:hAnsi="Times New Roman"/>
          <w:iCs/>
          <w:color w:val="000000"/>
          <w:sz w:val="24"/>
          <w:szCs w:val="24"/>
        </w:rPr>
        <w:br/>
      </w:r>
      <w:r w:rsidRPr="00FC15DE">
        <w:rPr>
          <w:rFonts w:ascii="Times New Roman" w:hAnsi="Times New Roman"/>
          <w:iCs/>
          <w:color w:val="000000"/>
          <w:sz w:val="24"/>
          <w:szCs w:val="24"/>
        </w:rPr>
        <w:t xml:space="preserve">Job-Ready Graduates Act). </w:t>
      </w:r>
      <w:r w:rsidR="00955B01" w:rsidRPr="00FC15DE">
        <w:rPr>
          <w:rFonts w:ascii="Times New Roman" w:hAnsi="Times New Roman"/>
          <w:iCs/>
          <w:color w:val="000000"/>
          <w:sz w:val="24"/>
          <w:szCs w:val="24"/>
        </w:rPr>
        <w:t>T</w:t>
      </w:r>
      <w:r w:rsidRPr="00FC15DE">
        <w:rPr>
          <w:rFonts w:ascii="Times New Roman" w:hAnsi="Times New Roman"/>
          <w:iCs/>
          <w:color w:val="000000"/>
          <w:sz w:val="24"/>
          <w:szCs w:val="24"/>
        </w:rPr>
        <w:t>he Guidelines</w:t>
      </w:r>
      <w:r w:rsidR="00CF74AF" w:rsidRPr="00FC15DE">
        <w:rPr>
          <w:rFonts w:ascii="Times New Roman" w:hAnsi="Times New Roman"/>
          <w:iCs/>
          <w:color w:val="000000"/>
          <w:sz w:val="24"/>
          <w:szCs w:val="24"/>
        </w:rPr>
        <w:t>, as compared to the Former Guidelines,</w:t>
      </w:r>
      <w:r w:rsidRPr="00FC15DE">
        <w:rPr>
          <w:rFonts w:ascii="Times New Roman" w:hAnsi="Times New Roman"/>
          <w:iCs/>
          <w:color w:val="000000"/>
          <w:sz w:val="24"/>
          <w:szCs w:val="24"/>
        </w:rPr>
        <w:t xml:space="preserve"> </w:t>
      </w:r>
      <w:r w:rsidR="00955B01" w:rsidRPr="00FC15DE">
        <w:rPr>
          <w:rFonts w:ascii="Times New Roman" w:hAnsi="Times New Roman"/>
          <w:iCs/>
          <w:color w:val="000000"/>
          <w:sz w:val="24"/>
          <w:szCs w:val="24"/>
        </w:rPr>
        <w:t>also</w:t>
      </w:r>
      <w:r w:rsidRPr="00FC15DE">
        <w:rPr>
          <w:rFonts w:ascii="Times New Roman" w:hAnsi="Times New Roman"/>
          <w:iCs/>
          <w:color w:val="000000"/>
          <w:sz w:val="24"/>
          <w:szCs w:val="24"/>
        </w:rPr>
        <w:t xml:space="preserve"> reflect changes in terminology and </w:t>
      </w:r>
      <w:r w:rsidR="00CF74AF" w:rsidRPr="00FC15DE">
        <w:rPr>
          <w:rFonts w:ascii="Times New Roman" w:hAnsi="Times New Roman"/>
          <w:iCs/>
          <w:color w:val="000000"/>
          <w:sz w:val="24"/>
          <w:szCs w:val="24"/>
        </w:rPr>
        <w:t>use simpler language</w:t>
      </w:r>
      <w:r w:rsidRPr="00FC15DE">
        <w:rPr>
          <w:rFonts w:ascii="Times New Roman" w:hAnsi="Times New Roman"/>
          <w:iCs/>
          <w:color w:val="000000"/>
          <w:sz w:val="24"/>
          <w:szCs w:val="24"/>
        </w:rPr>
        <w:t xml:space="preserve">. </w:t>
      </w:r>
    </w:p>
    <w:p w14:paraId="38D56E24" w14:textId="77777777" w:rsidR="00CC7529" w:rsidRPr="00FC15DE" w:rsidRDefault="00CC7529" w:rsidP="00CC7529">
      <w:pPr>
        <w:tabs>
          <w:tab w:val="left" w:pos="851"/>
        </w:tabs>
        <w:rPr>
          <w:rFonts w:ascii="Times New Roman" w:hAnsi="Times New Roman"/>
          <w:iCs/>
          <w:color w:val="000000"/>
          <w:sz w:val="24"/>
          <w:szCs w:val="24"/>
        </w:rPr>
      </w:pPr>
    </w:p>
    <w:p w14:paraId="6EEF3E6E" w14:textId="77777777" w:rsidR="00CC7529" w:rsidRPr="00FC15DE" w:rsidRDefault="00CC7529" w:rsidP="00CC7529">
      <w:pPr>
        <w:tabs>
          <w:tab w:val="left" w:pos="851"/>
        </w:tabs>
        <w:rPr>
          <w:rFonts w:ascii="Times New Roman" w:hAnsi="Times New Roman"/>
          <w:iCs/>
          <w:color w:val="000000"/>
          <w:sz w:val="24"/>
          <w:szCs w:val="24"/>
        </w:rPr>
      </w:pPr>
      <w:r w:rsidRPr="00FC15DE">
        <w:rPr>
          <w:rFonts w:ascii="Times New Roman" w:hAnsi="Times New Roman"/>
          <w:iCs/>
          <w:color w:val="000000"/>
          <w:sz w:val="24"/>
          <w:szCs w:val="24"/>
        </w:rPr>
        <w:t>Key changes in remaking the Guidelines include:</w:t>
      </w:r>
    </w:p>
    <w:p w14:paraId="6B3AFC9E" w14:textId="09F0F28F" w:rsidR="00CC7529" w:rsidRPr="00FC15DE" w:rsidRDefault="00CC7529" w:rsidP="00CC7529">
      <w:pPr>
        <w:pStyle w:val="ListParagraph"/>
        <w:numPr>
          <w:ilvl w:val="0"/>
          <w:numId w:val="1"/>
        </w:numPr>
        <w:tabs>
          <w:tab w:val="left" w:pos="851"/>
        </w:tabs>
        <w:rPr>
          <w:rFonts w:ascii="Times New Roman" w:hAnsi="Times New Roman"/>
          <w:iCs/>
          <w:color w:val="000000"/>
          <w:sz w:val="24"/>
          <w:szCs w:val="24"/>
        </w:rPr>
      </w:pPr>
      <w:r w:rsidRPr="00FC15DE">
        <w:rPr>
          <w:rFonts w:ascii="Times New Roman" w:hAnsi="Times New Roman"/>
          <w:iCs/>
          <w:color w:val="000000"/>
          <w:sz w:val="24"/>
          <w:szCs w:val="24"/>
        </w:rPr>
        <w:t>removing the ‘enabling loading’ and ‘regional loading’ chapters as these loadings will no longer be provided under Part 2-2 of the Act</w:t>
      </w:r>
      <w:r w:rsidR="00123049" w:rsidRPr="00FC15DE">
        <w:rPr>
          <w:rFonts w:ascii="Times New Roman" w:hAnsi="Times New Roman"/>
          <w:iCs/>
          <w:color w:val="000000"/>
          <w:sz w:val="24"/>
          <w:szCs w:val="24"/>
        </w:rPr>
        <w:t xml:space="preserve">. Instead they </w:t>
      </w:r>
      <w:r w:rsidRPr="00FC15DE">
        <w:rPr>
          <w:rFonts w:ascii="Times New Roman" w:hAnsi="Times New Roman"/>
          <w:iCs/>
          <w:color w:val="000000"/>
          <w:sz w:val="24"/>
          <w:szCs w:val="24"/>
        </w:rPr>
        <w:t xml:space="preserve">will now be provided as grants </w:t>
      </w:r>
      <w:r w:rsidR="0079052E" w:rsidRPr="00FC15DE">
        <w:rPr>
          <w:rFonts w:ascii="Times New Roman" w:hAnsi="Times New Roman"/>
          <w:iCs/>
          <w:color w:val="000000"/>
          <w:sz w:val="24"/>
          <w:szCs w:val="24"/>
        </w:rPr>
        <w:t>until</w:t>
      </w:r>
      <w:r w:rsidR="00CA3C4C" w:rsidRPr="00FC15DE">
        <w:rPr>
          <w:rFonts w:ascii="Times New Roman" w:hAnsi="Times New Roman"/>
          <w:iCs/>
          <w:color w:val="000000"/>
          <w:sz w:val="24"/>
          <w:szCs w:val="24"/>
        </w:rPr>
        <w:t xml:space="preserve"> 2023 </w:t>
      </w:r>
      <w:r w:rsidRPr="00FC15DE">
        <w:rPr>
          <w:rFonts w:ascii="Times New Roman" w:hAnsi="Times New Roman"/>
          <w:iCs/>
          <w:color w:val="000000"/>
          <w:sz w:val="24"/>
          <w:szCs w:val="24"/>
        </w:rPr>
        <w:t>under the Government’s Indigenous, Regional and Low Socio-Economic</w:t>
      </w:r>
      <w:r w:rsidR="00E26BBE" w:rsidRPr="00FC15DE">
        <w:rPr>
          <w:rFonts w:ascii="Times New Roman" w:hAnsi="Times New Roman"/>
          <w:iCs/>
          <w:color w:val="000000"/>
          <w:sz w:val="24"/>
          <w:szCs w:val="24"/>
        </w:rPr>
        <w:t xml:space="preserve"> </w:t>
      </w:r>
      <w:r w:rsidR="00BD6EDE" w:rsidRPr="00FC15DE">
        <w:rPr>
          <w:rFonts w:ascii="Times New Roman" w:hAnsi="Times New Roman"/>
          <w:iCs/>
          <w:color w:val="000000"/>
          <w:sz w:val="24"/>
          <w:szCs w:val="24"/>
        </w:rPr>
        <w:t xml:space="preserve">Status </w:t>
      </w:r>
      <w:r w:rsidR="00E26BBE" w:rsidRPr="00FC15DE">
        <w:rPr>
          <w:rFonts w:ascii="Times New Roman" w:hAnsi="Times New Roman"/>
          <w:iCs/>
          <w:color w:val="000000"/>
          <w:sz w:val="24"/>
          <w:szCs w:val="24"/>
        </w:rPr>
        <w:t>Attainment</w:t>
      </w:r>
      <w:r w:rsidRPr="00FC15DE">
        <w:rPr>
          <w:rFonts w:ascii="Times New Roman" w:hAnsi="Times New Roman"/>
          <w:iCs/>
          <w:color w:val="000000"/>
          <w:sz w:val="24"/>
          <w:szCs w:val="24"/>
        </w:rPr>
        <w:t xml:space="preserve"> Fund (IRLSAF) which is </w:t>
      </w:r>
      <w:r w:rsidR="009D2178" w:rsidRPr="00FC15DE">
        <w:rPr>
          <w:rFonts w:ascii="Times New Roman" w:hAnsi="Times New Roman"/>
          <w:iCs/>
          <w:color w:val="000000"/>
          <w:sz w:val="24"/>
          <w:szCs w:val="24"/>
        </w:rPr>
        <w:t xml:space="preserve">a grants program established under Part 2-3 (Other grants) of the Act and is </w:t>
      </w:r>
      <w:r w:rsidRPr="00FC15DE">
        <w:rPr>
          <w:rFonts w:ascii="Times New Roman" w:hAnsi="Times New Roman"/>
          <w:iCs/>
          <w:color w:val="000000"/>
          <w:sz w:val="24"/>
          <w:szCs w:val="24"/>
        </w:rPr>
        <w:t xml:space="preserve">set out in the </w:t>
      </w:r>
      <w:r w:rsidRPr="00FC15DE">
        <w:rPr>
          <w:rFonts w:ascii="Times New Roman" w:hAnsi="Times New Roman"/>
          <w:i/>
          <w:iCs/>
          <w:color w:val="000000"/>
          <w:sz w:val="24"/>
          <w:szCs w:val="24"/>
        </w:rPr>
        <w:t>Other Grants Guidelines (Education) 2012</w:t>
      </w:r>
      <w:r w:rsidR="00CA3C4C" w:rsidRPr="00FC15DE">
        <w:rPr>
          <w:rFonts w:ascii="Times New Roman" w:hAnsi="Times New Roman"/>
          <w:iCs/>
          <w:color w:val="000000"/>
          <w:sz w:val="24"/>
          <w:szCs w:val="24"/>
        </w:rPr>
        <w:t xml:space="preserve">. The IRLSAF for 2024 and later years will be co-designed with the higher education </w:t>
      </w:r>
      <w:proofErr w:type="gramStart"/>
      <w:r w:rsidR="00CA3C4C" w:rsidRPr="00FC15DE">
        <w:rPr>
          <w:rFonts w:ascii="Times New Roman" w:hAnsi="Times New Roman"/>
          <w:iCs/>
          <w:color w:val="000000"/>
          <w:sz w:val="24"/>
          <w:szCs w:val="24"/>
        </w:rPr>
        <w:t>sector</w:t>
      </w:r>
      <w:r w:rsidRPr="00FC15DE">
        <w:rPr>
          <w:rFonts w:ascii="Times New Roman" w:hAnsi="Times New Roman"/>
          <w:iCs/>
          <w:color w:val="000000"/>
          <w:sz w:val="24"/>
          <w:szCs w:val="24"/>
        </w:rPr>
        <w:t>;</w:t>
      </w:r>
      <w:proofErr w:type="gramEnd"/>
    </w:p>
    <w:p w14:paraId="50FA2093" w14:textId="53ADF55E" w:rsidR="00CC7529" w:rsidRPr="00FC15DE" w:rsidRDefault="00CC7529" w:rsidP="00CC7529">
      <w:pPr>
        <w:pStyle w:val="ListParagraph"/>
        <w:numPr>
          <w:ilvl w:val="0"/>
          <w:numId w:val="1"/>
        </w:numPr>
        <w:tabs>
          <w:tab w:val="left" w:pos="851"/>
        </w:tabs>
        <w:rPr>
          <w:rFonts w:ascii="Times New Roman" w:hAnsi="Times New Roman"/>
          <w:iCs/>
          <w:color w:val="000000"/>
          <w:sz w:val="24"/>
          <w:szCs w:val="24"/>
        </w:rPr>
      </w:pPr>
      <w:r w:rsidRPr="00FC15DE">
        <w:rPr>
          <w:rFonts w:ascii="Times New Roman" w:hAnsi="Times New Roman"/>
          <w:iCs/>
          <w:color w:val="000000"/>
          <w:sz w:val="24"/>
          <w:szCs w:val="24"/>
        </w:rPr>
        <w:t xml:space="preserve">updating the description of the units included in each funding cluster to reflect the changes made by the Job-Ready Graduates </w:t>
      </w:r>
      <w:proofErr w:type="gramStart"/>
      <w:r w:rsidRPr="00FC15DE">
        <w:rPr>
          <w:rFonts w:ascii="Times New Roman" w:hAnsi="Times New Roman"/>
          <w:iCs/>
          <w:color w:val="000000"/>
          <w:sz w:val="24"/>
          <w:szCs w:val="24"/>
        </w:rPr>
        <w:t>Act;</w:t>
      </w:r>
      <w:proofErr w:type="gramEnd"/>
      <w:r w:rsidRPr="00FC15DE">
        <w:rPr>
          <w:rFonts w:ascii="Times New Roman" w:hAnsi="Times New Roman"/>
          <w:iCs/>
          <w:color w:val="000000"/>
          <w:sz w:val="24"/>
          <w:szCs w:val="24"/>
        </w:rPr>
        <w:t xml:space="preserve"> </w:t>
      </w:r>
    </w:p>
    <w:p w14:paraId="26C085E4" w14:textId="77777777" w:rsidR="00CC7529" w:rsidRPr="00FC15DE" w:rsidRDefault="00CC7529" w:rsidP="00CC7529">
      <w:pPr>
        <w:pStyle w:val="ListParagraph"/>
        <w:numPr>
          <w:ilvl w:val="0"/>
          <w:numId w:val="1"/>
        </w:numPr>
        <w:tabs>
          <w:tab w:val="left" w:pos="851"/>
        </w:tabs>
        <w:rPr>
          <w:rFonts w:ascii="Times New Roman" w:hAnsi="Times New Roman"/>
          <w:iCs/>
          <w:color w:val="000000"/>
          <w:sz w:val="24"/>
          <w:szCs w:val="24"/>
        </w:rPr>
      </w:pPr>
      <w:r w:rsidRPr="00FC15DE">
        <w:rPr>
          <w:rFonts w:ascii="Times New Roman" w:hAnsi="Times New Roman"/>
          <w:iCs/>
          <w:color w:val="000000"/>
          <w:sz w:val="24"/>
          <w:szCs w:val="24"/>
        </w:rPr>
        <w:t xml:space="preserve">providing the method for working out the Transition Fund Loading, which will provide funding to support eligible providers following the commencement of the Job-Ready Graduates Act for the grant years 2021, 2022 and </w:t>
      </w:r>
      <w:proofErr w:type="gramStart"/>
      <w:r w:rsidRPr="00FC15DE">
        <w:rPr>
          <w:rFonts w:ascii="Times New Roman" w:hAnsi="Times New Roman"/>
          <w:iCs/>
          <w:color w:val="000000"/>
          <w:sz w:val="24"/>
          <w:szCs w:val="24"/>
        </w:rPr>
        <w:t>2023;</w:t>
      </w:r>
      <w:proofErr w:type="gramEnd"/>
      <w:r w:rsidRPr="00FC15DE">
        <w:rPr>
          <w:rFonts w:ascii="Times New Roman" w:hAnsi="Times New Roman"/>
          <w:iCs/>
          <w:color w:val="000000"/>
          <w:sz w:val="24"/>
          <w:szCs w:val="24"/>
        </w:rPr>
        <w:t xml:space="preserve"> </w:t>
      </w:r>
    </w:p>
    <w:p w14:paraId="1B82D7E6" w14:textId="77777777" w:rsidR="00E07236" w:rsidRPr="00FC15DE" w:rsidRDefault="00CC7529" w:rsidP="00D237D5">
      <w:pPr>
        <w:pStyle w:val="ListParagraph"/>
        <w:numPr>
          <w:ilvl w:val="0"/>
          <w:numId w:val="1"/>
        </w:numPr>
        <w:tabs>
          <w:tab w:val="left" w:pos="851"/>
        </w:tabs>
        <w:rPr>
          <w:rFonts w:ascii="Times New Roman" w:hAnsi="Times New Roman"/>
          <w:iCs/>
          <w:color w:val="000000"/>
          <w:sz w:val="24"/>
          <w:szCs w:val="24"/>
        </w:rPr>
      </w:pPr>
      <w:r w:rsidRPr="00FC15DE">
        <w:rPr>
          <w:rFonts w:ascii="Times New Roman" w:hAnsi="Times New Roman"/>
          <w:iCs/>
          <w:color w:val="000000"/>
          <w:sz w:val="24"/>
          <w:szCs w:val="24"/>
        </w:rPr>
        <w:t>removing the chapter relating to the ‘Performance Funding Grant Amount – Facilitation Funding’ as this funding ceased after 2013; and</w:t>
      </w:r>
    </w:p>
    <w:p w14:paraId="1657A301" w14:textId="30E9FC5A" w:rsidR="00E07236" w:rsidRPr="00FC15DE" w:rsidRDefault="00CC7529" w:rsidP="00D237D5">
      <w:pPr>
        <w:pStyle w:val="ListParagraph"/>
        <w:numPr>
          <w:ilvl w:val="0"/>
          <w:numId w:val="1"/>
        </w:numPr>
        <w:tabs>
          <w:tab w:val="left" w:pos="851"/>
        </w:tabs>
        <w:rPr>
          <w:rFonts w:ascii="Times New Roman" w:hAnsi="Times New Roman"/>
          <w:iCs/>
          <w:color w:val="000000"/>
          <w:sz w:val="24"/>
          <w:szCs w:val="24"/>
        </w:rPr>
      </w:pPr>
      <w:r w:rsidRPr="00FC15DE">
        <w:rPr>
          <w:rFonts w:ascii="Times New Roman" w:hAnsi="Times New Roman"/>
          <w:iCs/>
          <w:color w:val="000000"/>
          <w:sz w:val="24"/>
          <w:szCs w:val="24"/>
        </w:rPr>
        <w:t xml:space="preserve">specifying the amounts for the purposes of subsection 30-27(2) and paragraph </w:t>
      </w:r>
      <w:r w:rsidRPr="00FC15DE">
        <w:rPr>
          <w:rFonts w:ascii="Times New Roman" w:hAnsi="Times New Roman"/>
          <w:iCs/>
          <w:color w:val="000000"/>
          <w:sz w:val="24"/>
          <w:szCs w:val="24"/>
        </w:rPr>
        <w:br/>
        <w:t xml:space="preserve">30-27(3)(a) of the Act, which provide that the maximum basic grant amount for a Table A provider for higher education courses for the grant years 2021, 2022, 2023 and 2024 must not be less than the amount specified in the Guidelines.  </w:t>
      </w:r>
    </w:p>
    <w:p w14:paraId="5E31C59B" w14:textId="77777777" w:rsidR="00F55345" w:rsidRPr="00FC15DE" w:rsidRDefault="00F55345" w:rsidP="0078659F">
      <w:pPr>
        <w:rPr>
          <w:rFonts w:ascii="Times New Roman" w:hAnsi="Times New Roman"/>
          <w:sz w:val="24"/>
          <w:szCs w:val="24"/>
        </w:rPr>
      </w:pPr>
    </w:p>
    <w:p w14:paraId="77803B68" w14:textId="77777777" w:rsidR="0078659F" w:rsidRPr="00FC15DE" w:rsidRDefault="0078659F" w:rsidP="005B1988">
      <w:pPr>
        <w:keepNext/>
        <w:rPr>
          <w:rFonts w:ascii="Times New Roman" w:hAnsi="Times New Roman"/>
          <w:sz w:val="24"/>
          <w:szCs w:val="24"/>
        </w:rPr>
      </w:pPr>
      <w:r w:rsidRPr="00FC15DE">
        <w:rPr>
          <w:rFonts w:ascii="Times New Roman" w:hAnsi="Times New Roman"/>
          <w:b/>
          <w:sz w:val="24"/>
          <w:szCs w:val="24"/>
        </w:rPr>
        <w:t>Human rights implications</w:t>
      </w:r>
    </w:p>
    <w:p w14:paraId="4B57C1A3" w14:textId="77777777" w:rsidR="004C7FBB" w:rsidRPr="00FC15DE" w:rsidRDefault="004C7FBB" w:rsidP="0078659F">
      <w:pPr>
        <w:rPr>
          <w:rFonts w:ascii="Times New Roman" w:hAnsi="Times New Roman"/>
          <w:i/>
          <w:sz w:val="24"/>
          <w:szCs w:val="24"/>
          <w:u w:val="single"/>
        </w:rPr>
      </w:pPr>
    </w:p>
    <w:p w14:paraId="0D73F04F" w14:textId="0D492D33" w:rsidR="0078659F" w:rsidRPr="00FC15DE" w:rsidRDefault="0078659F" w:rsidP="0078659F">
      <w:pPr>
        <w:rPr>
          <w:rFonts w:ascii="Times New Roman" w:hAnsi="Times New Roman"/>
          <w:sz w:val="24"/>
          <w:szCs w:val="24"/>
          <w:u w:val="single"/>
        </w:rPr>
      </w:pPr>
      <w:r w:rsidRPr="00FC15DE">
        <w:rPr>
          <w:rFonts w:ascii="Times New Roman" w:hAnsi="Times New Roman"/>
          <w:i/>
          <w:sz w:val="24"/>
          <w:szCs w:val="24"/>
          <w:u w:val="single"/>
        </w:rPr>
        <w:t>Right to education</w:t>
      </w:r>
    </w:p>
    <w:p w14:paraId="33D6ACFD" w14:textId="6A5A4D19" w:rsidR="0078659F" w:rsidRPr="00FC15DE" w:rsidRDefault="0078659F" w:rsidP="0078659F">
      <w:pPr>
        <w:shd w:val="clear" w:color="auto" w:fill="FFFFFF"/>
        <w:spacing w:before="100" w:beforeAutospacing="1" w:after="100" w:afterAutospacing="1"/>
        <w:textAlignment w:val="top"/>
        <w:rPr>
          <w:rFonts w:ascii="Times New Roman" w:hAnsi="Times New Roman"/>
          <w:sz w:val="24"/>
          <w:szCs w:val="24"/>
        </w:rPr>
      </w:pPr>
      <w:r w:rsidRPr="00FC15DE">
        <w:rPr>
          <w:rFonts w:ascii="Times New Roman" w:hAnsi="Times New Roman"/>
          <w:sz w:val="24"/>
          <w:szCs w:val="24"/>
        </w:rPr>
        <w:t xml:space="preserve">The </w:t>
      </w:r>
      <w:r w:rsidR="004F08B6" w:rsidRPr="00FC15DE">
        <w:rPr>
          <w:rFonts w:ascii="Times New Roman" w:hAnsi="Times New Roman"/>
          <w:sz w:val="24"/>
          <w:szCs w:val="24"/>
        </w:rPr>
        <w:t xml:space="preserve">Guidelines engage the right to education contained in Article 13 of the </w:t>
      </w:r>
      <w:r w:rsidR="004F08B6" w:rsidRPr="00FC15DE">
        <w:rPr>
          <w:rFonts w:ascii="Times New Roman" w:hAnsi="Times New Roman"/>
          <w:i/>
          <w:sz w:val="24"/>
          <w:szCs w:val="24"/>
        </w:rPr>
        <w:t xml:space="preserve">International Covenant on Economic, Social and Cultural Rights </w:t>
      </w:r>
      <w:r w:rsidR="004F08B6" w:rsidRPr="00FC15DE">
        <w:rPr>
          <w:rFonts w:ascii="Times New Roman" w:hAnsi="Times New Roman"/>
          <w:sz w:val="24"/>
          <w:szCs w:val="24"/>
        </w:rPr>
        <w:t xml:space="preserve">(ICESCR). </w:t>
      </w:r>
      <w:r w:rsidR="00522BC4" w:rsidRPr="00FC15DE">
        <w:rPr>
          <w:rFonts w:ascii="Times New Roman" w:hAnsi="Times New Roman"/>
          <w:sz w:val="24"/>
          <w:szCs w:val="24"/>
          <w:lang w:val="en-US"/>
        </w:rPr>
        <w:t xml:space="preserve">Article 13(2)(c) of the ICESCR provides that ‘higher education shall be made equally accessible to all, </w:t>
      </w:r>
      <w:proofErr w:type="gramStart"/>
      <w:r w:rsidR="00522BC4" w:rsidRPr="00FC15DE">
        <w:rPr>
          <w:rFonts w:ascii="Times New Roman" w:hAnsi="Times New Roman"/>
          <w:sz w:val="24"/>
          <w:szCs w:val="24"/>
          <w:lang w:val="en-US"/>
        </w:rPr>
        <w:t xml:space="preserve">on the basis </w:t>
      </w:r>
      <w:r w:rsidR="00522BC4" w:rsidRPr="00FC15DE">
        <w:rPr>
          <w:rFonts w:ascii="Times New Roman" w:hAnsi="Times New Roman"/>
          <w:sz w:val="24"/>
          <w:szCs w:val="24"/>
          <w:lang w:val="en-US"/>
        </w:rPr>
        <w:lastRenderedPageBreak/>
        <w:t>of</w:t>
      </w:r>
      <w:proofErr w:type="gramEnd"/>
      <w:r w:rsidR="00522BC4" w:rsidRPr="00FC15DE">
        <w:rPr>
          <w:rFonts w:ascii="Times New Roman" w:hAnsi="Times New Roman"/>
          <w:sz w:val="24"/>
          <w:szCs w:val="24"/>
          <w:lang w:val="en-US"/>
        </w:rPr>
        <w:t xml:space="preserve"> capacity, by every appropriate means, and in particular by the progressive introduction of free education.’</w:t>
      </w:r>
    </w:p>
    <w:p w14:paraId="5EA46D77" w14:textId="26F4F854" w:rsidR="000F38F5" w:rsidRPr="00FC15DE" w:rsidRDefault="00115901" w:rsidP="004C33A1">
      <w:pPr>
        <w:shd w:val="clear" w:color="auto" w:fill="FFFFFF"/>
        <w:spacing w:before="100" w:beforeAutospacing="1" w:after="100" w:afterAutospacing="1"/>
        <w:textAlignment w:val="top"/>
        <w:rPr>
          <w:rFonts w:ascii="Times New Roman" w:hAnsi="Times New Roman"/>
          <w:sz w:val="24"/>
          <w:szCs w:val="24"/>
        </w:rPr>
      </w:pPr>
      <w:r w:rsidRPr="00FC15DE">
        <w:rPr>
          <w:rFonts w:ascii="Times New Roman" w:hAnsi="Times New Roman"/>
          <w:sz w:val="24"/>
          <w:szCs w:val="24"/>
        </w:rPr>
        <w:t>T</w:t>
      </w:r>
      <w:r w:rsidR="004F08B6" w:rsidRPr="00FC15DE">
        <w:rPr>
          <w:rFonts w:ascii="Times New Roman" w:hAnsi="Times New Roman"/>
          <w:sz w:val="24"/>
          <w:szCs w:val="24"/>
        </w:rPr>
        <w:t>he Guidelines</w:t>
      </w:r>
      <w:r w:rsidRPr="00FC15DE">
        <w:rPr>
          <w:rFonts w:ascii="Times New Roman" w:hAnsi="Times New Roman"/>
          <w:sz w:val="24"/>
          <w:szCs w:val="24"/>
        </w:rPr>
        <w:t xml:space="preserve"> improve access to higher education by</w:t>
      </w:r>
      <w:r w:rsidR="004F08B6" w:rsidRPr="00FC15DE">
        <w:rPr>
          <w:rFonts w:ascii="Times New Roman" w:hAnsi="Times New Roman"/>
          <w:sz w:val="24"/>
          <w:szCs w:val="24"/>
        </w:rPr>
        <w:t xml:space="preserve"> list</w:t>
      </w:r>
      <w:r w:rsidRPr="00FC15DE">
        <w:rPr>
          <w:rFonts w:ascii="Times New Roman" w:hAnsi="Times New Roman"/>
          <w:sz w:val="24"/>
          <w:szCs w:val="24"/>
        </w:rPr>
        <w:t>ing</w:t>
      </w:r>
      <w:r w:rsidR="004F08B6" w:rsidRPr="00FC15DE">
        <w:rPr>
          <w:rFonts w:ascii="Times New Roman" w:hAnsi="Times New Roman"/>
          <w:sz w:val="24"/>
          <w:szCs w:val="24"/>
        </w:rPr>
        <w:t xml:space="preserve"> non-Table A providers that can receive </w:t>
      </w:r>
      <w:r w:rsidR="0021183C" w:rsidRPr="00FC15DE">
        <w:rPr>
          <w:rFonts w:ascii="Times New Roman" w:hAnsi="Times New Roman"/>
          <w:sz w:val="24"/>
          <w:szCs w:val="24"/>
        </w:rPr>
        <w:t xml:space="preserve">grants under Part 2-2 of the Act for the purposes of supporting Commonwealth supported students. </w:t>
      </w:r>
      <w:r w:rsidR="00DD22A0" w:rsidRPr="00FC15DE">
        <w:rPr>
          <w:rFonts w:ascii="Times New Roman" w:hAnsi="Times New Roman"/>
          <w:sz w:val="24"/>
          <w:szCs w:val="24"/>
        </w:rPr>
        <w:t>This gives students more choice when consideri</w:t>
      </w:r>
      <w:r w:rsidR="00FC6C3D" w:rsidRPr="00FC15DE">
        <w:rPr>
          <w:rFonts w:ascii="Times New Roman" w:hAnsi="Times New Roman"/>
          <w:sz w:val="24"/>
          <w:szCs w:val="24"/>
        </w:rPr>
        <w:t xml:space="preserve">ng undertaking higher education, by ensuring that more providers </w:t>
      </w:r>
      <w:proofErr w:type="gramStart"/>
      <w:r w:rsidR="00FC6C3D" w:rsidRPr="00FC15DE">
        <w:rPr>
          <w:rFonts w:ascii="Times New Roman" w:hAnsi="Times New Roman"/>
          <w:sz w:val="24"/>
          <w:szCs w:val="24"/>
        </w:rPr>
        <w:t>are able to</w:t>
      </w:r>
      <w:proofErr w:type="gramEnd"/>
      <w:r w:rsidR="00FC6C3D" w:rsidRPr="00FC15DE">
        <w:rPr>
          <w:rFonts w:ascii="Times New Roman" w:hAnsi="Times New Roman"/>
          <w:sz w:val="24"/>
          <w:szCs w:val="24"/>
        </w:rPr>
        <w:t xml:space="preserve"> offer students subsidised</w:t>
      </w:r>
      <w:r w:rsidR="00A72A11" w:rsidRPr="00FC15DE">
        <w:rPr>
          <w:rFonts w:ascii="Times New Roman" w:hAnsi="Times New Roman"/>
          <w:sz w:val="24"/>
          <w:szCs w:val="24"/>
        </w:rPr>
        <w:t xml:space="preserve"> places</w:t>
      </w:r>
      <w:r w:rsidR="00FC6C3D" w:rsidRPr="00FC15DE">
        <w:rPr>
          <w:rFonts w:ascii="Times New Roman" w:hAnsi="Times New Roman"/>
          <w:sz w:val="24"/>
          <w:szCs w:val="24"/>
        </w:rPr>
        <w:t xml:space="preserve"> </w:t>
      </w:r>
      <w:r w:rsidRPr="00FC15DE">
        <w:rPr>
          <w:rFonts w:ascii="Times New Roman" w:hAnsi="Times New Roman"/>
          <w:sz w:val="24"/>
          <w:szCs w:val="24"/>
        </w:rPr>
        <w:t xml:space="preserve">in a range of different locations. </w:t>
      </w:r>
    </w:p>
    <w:p w14:paraId="4DB738C8" w14:textId="6403C646" w:rsidR="0021183C" w:rsidRPr="00FC15DE" w:rsidRDefault="0021183C" w:rsidP="004C33A1">
      <w:pPr>
        <w:shd w:val="clear" w:color="auto" w:fill="FFFFFF"/>
        <w:spacing w:before="100" w:beforeAutospacing="1" w:after="100" w:afterAutospacing="1"/>
        <w:textAlignment w:val="top"/>
        <w:rPr>
          <w:rFonts w:ascii="Times New Roman" w:hAnsi="Times New Roman"/>
          <w:sz w:val="24"/>
          <w:szCs w:val="24"/>
        </w:rPr>
      </w:pPr>
      <w:r w:rsidRPr="00FC15DE">
        <w:rPr>
          <w:rFonts w:ascii="Times New Roman" w:hAnsi="Times New Roman"/>
          <w:sz w:val="24"/>
          <w:szCs w:val="24"/>
        </w:rPr>
        <w:t>The Guidelines also allow the Minister to advance a higher education provider their grant under Part 2-2 of the Act in particular circumstances</w:t>
      </w:r>
      <w:r w:rsidR="006C2B3C" w:rsidRPr="00FC15DE">
        <w:rPr>
          <w:rFonts w:ascii="Times New Roman" w:hAnsi="Times New Roman"/>
          <w:sz w:val="24"/>
          <w:szCs w:val="24"/>
        </w:rPr>
        <w:t>,</w:t>
      </w:r>
      <w:r w:rsidRPr="00FC15DE">
        <w:rPr>
          <w:rFonts w:ascii="Times New Roman" w:hAnsi="Times New Roman"/>
          <w:sz w:val="24"/>
          <w:szCs w:val="24"/>
        </w:rPr>
        <w:t xml:space="preserve"> such as to assist a provider with the cash flow implications of restructuring, thereby ensuring support and access is maintained for higher education students.</w:t>
      </w:r>
    </w:p>
    <w:p w14:paraId="77BB5F76" w14:textId="4370F653" w:rsidR="00656B4C" w:rsidRPr="00FC15DE" w:rsidRDefault="00115901" w:rsidP="0021183C">
      <w:pPr>
        <w:tabs>
          <w:tab w:val="left" w:pos="851"/>
        </w:tabs>
        <w:rPr>
          <w:rFonts w:ascii="Times New Roman" w:hAnsi="Times New Roman"/>
          <w:iCs/>
          <w:color w:val="000000"/>
          <w:sz w:val="24"/>
          <w:szCs w:val="24"/>
        </w:rPr>
      </w:pPr>
      <w:r w:rsidRPr="00FC15DE">
        <w:rPr>
          <w:rFonts w:ascii="Times New Roman" w:hAnsi="Times New Roman"/>
          <w:iCs/>
          <w:color w:val="000000"/>
          <w:sz w:val="24"/>
          <w:szCs w:val="24"/>
        </w:rPr>
        <w:t>Further, t</w:t>
      </w:r>
      <w:r w:rsidR="00C464B5" w:rsidRPr="00FC15DE">
        <w:rPr>
          <w:rFonts w:ascii="Times New Roman" w:hAnsi="Times New Roman"/>
          <w:iCs/>
          <w:color w:val="000000"/>
          <w:sz w:val="24"/>
          <w:szCs w:val="24"/>
        </w:rPr>
        <w:t>he insertion of the TFL</w:t>
      </w:r>
      <w:r w:rsidR="0021183C" w:rsidRPr="00FC15DE">
        <w:rPr>
          <w:rFonts w:ascii="Times New Roman" w:hAnsi="Times New Roman"/>
          <w:iCs/>
          <w:color w:val="000000"/>
          <w:sz w:val="24"/>
          <w:szCs w:val="24"/>
        </w:rPr>
        <w:t xml:space="preserve"> in the Guidelines </w:t>
      </w:r>
      <w:r w:rsidR="00BC79F9" w:rsidRPr="00FC15DE">
        <w:rPr>
          <w:rFonts w:ascii="Times New Roman" w:hAnsi="Times New Roman"/>
          <w:iCs/>
          <w:color w:val="000000"/>
          <w:sz w:val="24"/>
          <w:szCs w:val="24"/>
        </w:rPr>
        <w:t xml:space="preserve">also </w:t>
      </w:r>
      <w:r w:rsidR="0021183C" w:rsidRPr="00FC15DE">
        <w:rPr>
          <w:rFonts w:ascii="Times New Roman" w:hAnsi="Times New Roman"/>
          <w:iCs/>
          <w:color w:val="000000"/>
          <w:sz w:val="24"/>
          <w:szCs w:val="24"/>
        </w:rPr>
        <w:t xml:space="preserve">has a </w:t>
      </w:r>
      <w:r w:rsidR="00656B4C" w:rsidRPr="00FC15DE">
        <w:rPr>
          <w:rFonts w:ascii="Times New Roman" w:hAnsi="Times New Roman"/>
          <w:iCs/>
          <w:color w:val="000000"/>
          <w:sz w:val="24"/>
          <w:szCs w:val="24"/>
        </w:rPr>
        <w:t>positive impact on the right to education.</w:t>
      </w:r>
      <w:r w:rsidR="00BC79F9" w:rsidRPr="00FC15DE">
        <w:rPr>
          <w:rFonts w:ascii="Times New Roman" w:hAnsi="Times New Roman"/>
          <w:iCs/>
          <w:color w:val="000000"/>
          <w:sz w:val="24"/>
          <w:szCs w:val="24"/>
        </w:rPr>
        <w:t xml:space="preserve"> </w:t>
      </w:r>
      <w:r w:rsidR="00656B4C" w:rsidRPr="00FC15DE">
        <w:rPr>
          <w:rFonts w:ascii="Times New Roman" w:hAnsi="Times New Roman"/>
          <w:iCs/>
          <w:color w:val="000000"/>
          <w:sz w:val="24"/>
          <w:szCs w:val="24"/>
        </w:rPr>
        <w:t xml:space="preserve">The TFL is aimed at ensuring eligible providers do not receive less funding for Commonwealth supported places </w:t>
      </w:r>
      <w:proofErr w:type="gramStart"/>
      <w:r w:rsidR="00656B4C" w:rsidRPr="00FC15DE">
        <w:rPr>
          <w:rFonts w:ascii="Times New Roman" w:hAnsi="Times New Roman"/>
          <w:iCs/>
          <w:color w:val="000000"/>
          <w:sz w:val="24"/>
          <w:szCs w:val="24"/>
        </w:rPr>
        <w:t>as a result of</w:t>
      </w:r>
      <w:proofErr w:type="gramEnd"/>
      <w:r w:rsidR="00656B4C" w:rsidRPr="00FC15DE">
        <w:rPr>
          <w:rFonts w:ascii="Times New Roman" w:hAnsi="Times New Roman"/>
          <w:iCs/>
          <w:color w:val="000000"/>
          <w:sz w:val="24"/>
          <w:szCs w:val="24"/>
        </w:rPr>
        <w:t xml:space="preserve"> the measures contained in the </w:t>
      </w:r>
      <w:r w:rsidR="00247114" w:rsidRPr="00FC15DE">
        <w:rPr>
          <w:rFonts w:ascii="Times New Roman" w:hAnsi="Times New Roman"/>
          <w:iCs/>
          <w:color w:val="000000"/>
          <w:sz w:val="24"/>
          <w:szCs w:val="24"/>
        </w:rPr>
        <w:t>Job-Ready Graduate</w:t>
      </w:r>
      <w:r w:rsidR="002D045E" w:rsidRPr="00FC15DE">
        <w:rPr>
          <w:rFonts w:ascii="Times New Roman" w:hAnsi="Times New Roman"/>
          <w:iCs/>
          <w:color w:val="000000"/>
          <w:sz w:val="24"/>
          <w:szCs w:val="24"/>
        </w:rPr>
        <w:t>s</w:t>
      </w:r>
      <w:r w:rsidR="00247114" w:rsidRPr="00FC15DE">
        <w:rPr>
          <w:rFonts w:ascii="Times New Roman" w:hAnsi="Times New Roman"/>
          <w:iCs/>
          <w:color w:val="000000"/>
          <w:sz w:val="24"/>
          <w:szCs w:val="24"/>
        </w:rPr>
        <w:t xml:space="preserve"> Act</w:t>
      </w:r>
      <w:r w:rsidR="00656B4C" w:rsidRPr="00FC15DE">
        <w:rPr>
          <w:rFonts w:ascii="Times New Roman" w:hAnsi="Times New Roman"/>
          <w:iCs/>
          <w:color w:val="000000"/>
          <w:sz w:val="24"/>
          <w:szCs w:val="24"/>
        </w:rPr>
        <w:t xml:space="preserve"> for the 2021, 2022 and 2023 grant years.</w:t>
      </w:r>
      <w:r w:rsidR="00C94889" w:rsidRPr="00FC15DE">
        <w:rPr>
          <w:rFonts w:ascii="Times New Roman" w:hAnsi="Times New Roman"/>
          <w:iCs/>
          <w:color w:val="000000"/>
          <w:sz w:val="24"/>
          <w:szCs w:val="24"/>
        </w:rPr>
        <w:t xml:space="preserve"> This funding will ensure that providers can continue to provide quality higher education services to students during a period in which major reforms are being made to higher education funding. </w:t>
      </w:r>
    </w:p>
    <w:p w14:paraId="0D885CB7" w14:textId="77777777" w:rsidR="00E63FE1" w:rsidRPr="00FC15DE" w:rsidRDefault="00E63FE1" w:rsidP="00E63FE1">
      <w:pPr>
        <w:tabs>
          <w:tab w:val="left" w:pos="851"/>
        </w:tabs>
        <w:rPr>
          <w:rFonts w:ascii="Times New Roman" w:hAnsi="Times New Roman"/>
          <w:iCs/>
          <w:color w:val="000000"/>
          <w:sz w:val="24"/>
          <w:szCs w:val="24"/>
          <w:u w:val="single"/>
        </w:rPr>
      </w:pPr>
    </w:p>
    <w:p w14:paraId="1D480174" w14:textId="587712F5" w:rsidR="00E63FE1" w:rsidRPr="00FC15DE" w:rsidRDefault="00E63FE1" w:rsidP="0021183C">
      <w:pPr>
        <w:tabs>
          <w:tab w:val="left" w:pos="851"/>
        </w:tabs>
        <w:rPr>
          <w:rFonts w:ascii="Times New Roman" w:hAnsi="Times New Roman"/>
          <w:sz w:val="24"/>
          <w:szCs w:val="24"/>
        </w:rPr>
      </w:pPr>
      <w:r w:rsidRPr="00FC15DE">
        <w:rPr>
          <w:rFonts w:ascii="Times New Roman" w:hAnsi="Times New Roman"/>
          <w:iCs/>
          <w:color w:val="000000"/>
          <w:sz w:val="24"/>
          <w:szCs w:val="24"/>
        </w:rPr>
        <w:t xml:space="preserve">Chapter 5 of the Guidelines implements changes being made to the funding clusters by the Job-Ready Graduates Act. These changes </w:t>
      </w:r>
      <w:r w:rsidRPr="00FC15DE">
        <w:rPr>
          <w:rFonts w:ascii="Times New Roman" w:hAnsi="Times New Roman"/>
          <w:iCs/>
          <w:color w:val="000000"/>
          <w:sz w:val="24"/>
          <w:szCs w:val="24"/>
          <w:lang w:val="en-US"/>
        </w:rPr>
        <w:t xml:space="preserve">better align Commonwealth funding for Commonwealth supported places to the cost of course delivery, which is aimed at improving efficiency in Commonwealth spending in higher education </w:t>
      </w:r>
      <w:proofErr w:type="gramStart"/>
      <w:r w:rsidRPr="00FC15DE">
        <w:rPr>
          <w:rFonts w:ascii="Times New Roman" w:hAnsi="Times New Roman"/>
          <w:iCs/>
          <w:color w:val="000000"/>
          <w:sz w:val="24"/>
          <w:szCs w:val="24"/>
          <w:lang w:val="en-US"/>
        </w:rPr>
        <w:t>in order to</w:t>
      </w:r>
      <w:proofErr w:type="gramEnd"/>
      <w:r w:rsidRPr="00FC15DE">
        <w:rPr>
          <w:rFonts w:ascii="Times New Roman" w:hAnsi="Times New Roman"/>
          <w:iCs/>
          <w:color w:val="000000"/>
          <w:sz w:val="24"/>
          <w:szCs w:val="24"/>
          <w:lang w:val="en-US"/>
        </w:rPr>
        <w:t xml:space="preserve"> maximise the number of available places. As a result of these changes, the Commonwealth will be able to support more university places, thus providing better, and more affordable, access to higher education to a greater number of students. </w:t>
      </w:r>
    </w:p>
    <w:p w14:paraId="52AC5B1A" w14:textId="77777777" w:rsidR="00E63FE1" w:rsidRPr="00FC15DE" w:rsidRDefault="00E63FE1" w:rsidP="0021183C">
      <w:pPr>
        <w:tabs>
          <w:tab w:val="left" w:pos="851"/>
        </w:tabs>
        <w:rPr>
          <w:rFonts w:ascii="Times New Roman" w:hAnsi="Times New Roman"/>
          <w:iCs/>
          <w:color w:val="000000"/>
          <w:sz w:val="24"/>
          <w:szCs w:val="24"/>
          <w:u w:val="single"/>
        </w:rPr>
      </w:pPr>
    </w:p>
    <w:p w14:paraId="6C121D03" w14:textId="71026D33" w:rsidR="00E63FE1" w:rsidRPr="00FC15DE" w:rsidRDefault="00E63FE1" w:rsidP="00D237D5">
      <w:pPr>
        <w:tabs>
          <w:tab w:val="left" w:pos="851"/>
        </w:tabs>
        <w:rPr>
          <w:rFonts w:ascii="Times New Roman" w:hAnsi="Times New Roman"/>
          <w:sz w:val="24"/>
          <w:szCs w:val="24"/>
          <w:lang w:val="en-US"/>
        </w:rPr>
      </w:pPr>
      <w:r w:rsidRPr="00FC15DE">
        <w:rPr>
          <w:rFonts w:ascii="Times New Roman" w:hAnsi="Times New Roman"/>
          <w:sz w:val="24"/>
          <w:szCs w:val="24"/>
        </w:rPr>
        <w:t xml:space="preserve">However, the changes made by Chapter 5 of the Guidelines </w:t>
      </w:r>
      <w:r w:rsidRPr="00FC15DE">
        <w:rPr>
          <w:rFonts w:ascii="Times New Roman" w:hAnsi="Times New Roman"/>
          <w:sz w:val="24"/>
          <w:szCs w:val="24"/>
          <w:lang w:val="en-US"/>
        </w:rPr>
        <w:t>may—or may appear to—limit the right to education. These changes reflect increases in student contribution amounts for students studying in certain fields, for example law and history. This means that courses of study that consist of units with these higher student contribution amounts will cost students more overall. Whilst these changes may be perceived as restricting access to higher education, this is not the case as the students affected by these changes are able to defer their student contribution amounts through the Higher Education Loan Program (HELP) scheme.</w:t>
      </w:r>
      <w:r w:rsidR="00461FB9" w:rsidRPr="00FC15DE">
        <w:rPr>
          <w:rFonts w:ascii="Times New Roman" w:hAnsi="Times New Roman"/>
          <w:sz w:val="24"/>
          <w:szCs w:val="24"/>
          <w:lang w:val="en-US"/>
        </w:rPr>
        <w:t xml:space="preserve"> That is, students will still be able to access higher education, regardless of the cost of their degree, and will only be required to pay back their HELP debt once they earn over the repayment threshold (for the </w:t>
      </w:r>
      <w:r w:rsidR="00461FB9" w:rsidRPr="00FC15DE">
        <w:rPr>
          <w:rFonts w:ascii="Times New Roman" w:hAnsi="Times New Roman"/>
          <w:sz w:val="24"/>
          <w:szCs w:val="24"/>
          <w:lang w:val="en"/>
        </w:rPr>
        <w:t>2020-21 income year</w:t>
      </w:r>
      <w:r w:rsidR="00CB1620" w:rsidRPr="00FC15DE">
        <w:rPr>
          <w:rFonts w:ascii="Times New Roman" w:hAnsi="Times New Roman"/>
          <w:sz w:val="24"/>
          <w:szCs w:val="24"/>
          <w:lang w:val="en"/>
        </w:rPr>
        <w:t>,</w:t>
      </w:r>
      <w:r w:rsidR="00461FB9" w:rsidRPr="00FC15DE">
        <w:rPr>
          <w:rFonts w:ascii="Times New Roman" w:hAnsi="Times New Roman"/>
          <w:sz w:val="24"/>
          <w:szCs w:val="24"/>
          <w:lang w:val="en"/>
        </w:rPr>
        <w:t xml:space="preserve"> the threshold is $46,620).</w:t>
      </w:r>
      <w:r w:rsidR="00461FB9" w:rsidRPr="00FC15DE">
        <w:rPr>
          <w:rFonts w:ascii="Times New Roman" w:hAnsi="Times New Roman"/>
          <w:sz w:val="24"/>
          <w:szCs w:val="24"/>
          <w:lang w:val="en-US"/>
        </w:rPr>
        <w:t xml:space="preserve"> Existing students will not have to pay the increased student contribution </w:t>
      </w:r>
      <w:proofErr w:type="gramStart"/>
      <w:r w:rsidR="00461FB9" w:rsidRPr="00FC15DE">
        <w:rPr>
          <w:rFonts w:ascii="Times New Roman" w:hAnsi="Times New Roman"/>
          <w:sz w:val="24"/>
          <w:szCs w:val="24"/>
          <w:lang w:val="en-US"/>
        </w:rPr>
        <w:t>amounts, and</w:t>
      </w:r>
      <w:proofErr w:type="gramEnd"/>
      <w:r w:rsidR="00461FB9" w:rsidRPr="00FC15DE">
        <w:rPr>
          <w:rFonts w:ascii="Times New Roman" w:hAnsi="Times New Roman"/>
          <w:sz w:val="24"/>
          <w:szCs w:val="24"/>
          <w:lang w:val="en-US"/>
        </w:rPr>
        <w:t xml:space="preserve"> will continue to pay current rates.</w:t>
      </w:r>
      <w:r w:rsidRPr="00FC15DE">
        <w:rPr>
          <w:rFonts w:ascii="Times New Roman" w:hAnsi="Times New Roman"/>
          <w:sz w:val="24"/>
          <w:szCs w:val="24"/>
          <w:lang w:val="en-US"/>
        </w:rPr>
        <w:t xml:space="preserve"> Further, this measure is intended to maximise efficiency in Commonwealth spending for higher education and support a significant expansion in the number of Commonwealth supported places</w:t>
      </w:r>
      <w:r w:rsidR="00123049" w:rsidRPr="00FC15DE">
        <w:rPr>
          <w:rFonts w:ascii="Times New Roman" w:hAnsi="Times New Roman"/>
          <w:sz w:val="24"/>
          <w:szCs w:val="24"/>
          <w:lang w:val="en-US"/>
        </w:rPr>
        <w:t>. This</w:t>
      </w:r>
      <w:r w:rsidRPr="00FC15DE">
        <w:rPr>
          <w:rFonts w:ascii="Times New Roman" w:hAnsi="Times New Roman"/>
          <w:sz w:val="24"/>
          <w:szCs w:val="24"/>
          <w:lang w:val="en-US"/>
        </w:rPr>
        <w:t xml:space="preserve"> will not only improve access to university education but also enable more people to </w:t>
      </w:r>
      <w:r w:rsidR="00D831DD" w:rsidRPr="00FC15DE">
        <w:rPr>
          <w:rFonts w:ascii="Times New Roman" w:hAnsi="Times New Roman"/>
          <w:sz w:val="24"/>
          <w:szCs w:val="24"/>
          <w:lang w:val="en-US"/>
        </w:rPr>
        <w:t xml:space="preserve">benefit from </w:t>
      </w:r>
      <w:r w:rsidRPr="00FC15DE">
        <w:rPr>
          <w:rFonts w:ascii="Times New Roman" w:hAnsi="Times New Roman"/>
          <w:sz w:val="24"/>
          <w:szCs w:val="24"/>
          <w:lang w:val="en-US"/>
        </w:rPr>
        <w:t xml:space="preserve">the opportunities it creates.  </w:t>
      </w:r>
    </w:p>
    <w:p w14:paraId="7C487E53" w14:textId="77777777" w:rsidR="00E63FE1" w:rsidRPr="00FC15DE" w:rsidRDefault="00E63FE1" w:rsidP="00D237D5">
      <w:pPr>
        <w:tabs>
          <w:tab w:val="left" w:pos="851"/>
        </w:tabs>
        <w:rPr>
          <w:rFonts w:ascii="Times New Roman" w:hAnsi="Times New Roman"/>
          <w:sz w:val="24"/>
          <w:szCs w:val="24"/>
          <w:lang w:val="en-US"/>
        </w:rPr>
      </w:pPr>
    </w:p>
    <w:p w14:paraId="3E71304D" w14:textId="76FAE85D" w:rsidR="0078659F" w:rsidRPr="00FC15DE" w:rsidRDefault="00CB1620" w:rsidP="0078659F">
      <w:pPr>
        <w:rPr>
          <w:rFonts w:ascii="Times New Roman" w:hAnsi="Times New Roman"/>
          <w:sz w:val="24"/>
          <w:szCs w:val="24"/>
        </w:rPr>
      </w:pPr>
      <w:r w:rsidRPr="00FC15DE">
        <w:rPr>
          <w:rFonts w:ascii="Times New Roman" w:hAnsi="Times New Roman"/>
          <w:sz w:val="24"/>
          <w:szCs w:val="24"/>
        </w:rPr>
        <w:t xml:space="preserve">To the extent it could be argued that the changes made by Chapter 5 limit the right to education, these limits are justifiable as they are reasonable, necessary and proportionate to achieving the legitimate objectives of the </w:t>
      </w:r>
      <w:r w:rsidRPr="00FC15DE">
        <w:rPr>
          <w:rFonts w:ascii="Times New Roman" w:hAnsi="Times New Roman"/>
          <w:iCs/>
          <w:color w:val="000000"/>
          <w:sz w:val="24"/>
          <w:szCs w:val="24"/>
        </w:rPr>
        <w:t>Job-Ready Graduates Act</w:t>
      </w:r>
      <w:r w:rsidRPr="00FC15DE" w:rsidDel="00CB1620">
        <w:rPr>
          <w:rFonts w:ascii="Times New Roman" w:hAnsi="Times New Roman"/>
          <w:sz w:val="24"/>
          <w:szCs w:val="24"/>
          <w:lang w:val="en-US"/>
        </w:rPr>
        <w:t xml:space="preserve"> </w:t>
      </w:r>
      <w:r w:rsidRPr="00FC15DE">
        <w:rPr>
          <w:rFonts w:ascii="Times New Roman" w:hAnsi="Times New Roman"/>
          <w:sz w:val="24"/>
          <w:szCs w:val="24"/>
          <w:lang w:val="en-US"/>
        </w:rPr>
        <w:t>that are described above</w:t>
      </w:r>
      <w:r w:rsidR="00E63FE1" w:rsidRPr="00FC15DE">
        <w:rPr>
          <w:rFonts w:ascii="Times New Roman" w:hAnsi="Times New Roman"/>
          <w:sz w:val="24"/>
          <w:szCs w:val="24"/>
          <w:lang w:val="en-US"/>
        </w:rPr>
        <w:t>.</w:t>
      </w:r>
    </w:p>
    <w:p w14:paraId="528333A5" w14:textId="77777777" w:rsidR="00982492" w:rsidRPr="00FC15DE" w:rsidRDefault="00982492" w:rsidP="0078659F">
      <w:pPr>
        <w:rPr>
          <w:rFonts w:ascii="Times New Roman" w:hAnsi="Times New Roman"/>
          <w:sz w:val="24"/>
          <w:szCs w:val="24"/>
        </w:rPr>
      </w:pPr>
    </w:p>
    <w:p w14:paraId="1756DA09" w14:textId="77777777" w:rsidR="0078659F" w:rsidRPr="00FC15DE" w:rsidRDefault="0078659F" w:rsidP="0078659F">
      <w:pPr>
        <w:keepNext/>
        <w:rPr>
          <w:rFonts w:ascii="Times New Roman" w:hAnsi="Times New Roman"/>
          <w:b/>
          <w:sz w:val="24"/>
          <w:szCs w:val="24"/>
        </w:rPr>
      </w:pPr>
      <w:r w:rsidRPr="00FC15DE">
        <w:rPr>
          <w:rFonts w:ascii="Times New Roman" w:hAnsi="Times New Roman"/>
          <w:b/>
          <w:sz w:val="24"/>
          <w:szCs w:val="24"/>
        </w:rPr>
        <w:lastRenderedPageBreak/>
        <w:t>Conclusion</w:t>
      </w:r>
    </w:p>
    <w:p w14:paraId="55B06A14" w14:textId="77777777" w:rsidR="002D045E" w:rsidRPr="00FC15DE" w:rsidRDefault="002D045E" w:rsidP="0078659F">
      <w:pPr>
        <w:rPr>
          <w:rFonts w:ascii="Times New Roman" w:hAnsi="Times New Roman"/>
          <w:sz w:val="24"/>
          <w:szCs w:val="24"/>
        </w:rPr>
      </w:pPr>
    </w:p>
    <w:p w14:paraId="79F7397F" w14:textId="3750AC50" w:rsidR="0078659F" w:rsidRPr="00FC15DE" w:rsidRDefault="00522BC4" w:rsidP="00D237D5">
      <w:pPr>
        <w:rPr>
          <w:rFonts w:ascii="Times New Roman" w:hAnsi="Times New Roman"/>
          <w:sz w:val="24"/>
          <w:szCs w:val="24"/>
        </w:rPr>
      </w:pPr>
      <w:r w:rsidRPr="00FC15DE">
        <w:rPr>
          <w:rFonts w:ascii="Times New Roman" w:hAnsi="Times New Roman"/>
          <w:sz w:val="24"/>
          <w:szCs w:val="24"/>
        </w:rPr>
        <w:t>The Guidelines are</w:t>
      </w:r>
      <w:r w:rsidR="0078659F" w:rsidRPr="00FC15DE">
        <w:rPr>
          <w:rFonts w:ascii="Times New Roman" w:hAnsi="Times New Roman"/>
          <w:sz w:val="24"/>
          <w:szCs w:val="24"/>
        </w:rPr>
        <w:t xml:space="preserve"> compatible with human rights because </w:t>
      </w:r>
      <w:r w:rsidRPr="00FC15DE">
        <w:rPr>
          <w:rFonts w:ascii="Times New Roman" w:hAnsi="Times New Roman"/>
          <w:sz w:val="24"/>
          <w:szCs w:val="24"/>
        </w:rPr>
        <w:t>the instrument</w:t>
      </w:r>
      <w:r w:rsidR="0078659F" w:rsidRPr="00FC15DE">
        <w:rPr>
          <w:rFonts w:ascii="Times New Roman" w:hAnsi="Times New Roman"/>
          <w:sz w:val="24"/>
          <w:szCs w:val="24"/>
        </w:rPr>
        <w:t xml:space="preserve"> advances the protection of human rights</w:t>
      </w:r>
      <w:r w:rsidR="00DB1639" w:rsidRPr="00FC15DE">
        <w:rPr>
          <w:rFonts w:ascii="Times New Roman" w:hAnsi="Times New Roman"/>
          <w:sz w:val="24"/>
          <w:szCs w:val="24"/>
        </w:rPr>
        <w:t xml:space="preserve"> in the delivery of higher education in Australia</w:t>
      </w:r>
      <w:r w:rsidR="0078659F" w:rsidRPr="00FC15DE">
        <w:rPr>
          <w:rFonts w:ascii="Times New Roman" w:hAnsi="Times New Roman"/>
          <w:sz w:val="24"/>
          <w:szCs w:val="24"/>
        </w:rPr>
        <w:t>, including the right to education</w:t>
      </w:r>
      <w:r w:rsidR="00851A56" w:rsidRPr="00FC15DE">
        <w:rPr>
          <w:rFonts w:ascii="Times New Roman" w:hAnsi="Times New Roman"/>
          <w:sz w:val="24"/>
          <w:szCs w:val="24"/>
        </w:rPr>
        <w:t>.</w:t>
      </w:r>
      <w:r w:rsidR="00DB1639" w:rsidRPr="00FC15DE">
        <w:rPr>
          <w:rFonts w:cs="Arial"/>
          <w:sz w:val="24"/>
          <w:szCs w:val="24"/>
          <w:lang w:eastAsia="en-AU"/>
        </w:rPr>
        <w:t xml:space="preserve"> </w:t>
      </w:r>
      <w:r w:rsidR="00DB1639" w:rsidRPr="00FC15DE">
        <w:rPr>
          <w:rFonts w:ascii="Times New Roman" w:hAnsi="Times New Roman"/>
          <w:sz w:val="24"/>
          <w:szCs w:val="24"/>
        </w:rPr>
        <w:t>To the extent that it may limit human rights, these limitations are reasonable, necessary, and proportionate</w:t>
      </w:r>
    </w:p>
    <w:p w14:paraId="1C65C01D" w14:textId="77777777" w:rsidR="0078659F" w:rsidRPr="00FC15DE" w:rsidRDefault="0078659F" w:rsidP="0078659F">
      <w:pPr>
        <w:rPr>
          <w:rFonts w:ascii="Times New Roman" w:hAnsi="Times New Roman"/>
          <w:sz w:val="24"/>
          <w:szCs w:val="24"/>
        </w:rPr>
      </w:pPr>
    </w:p>
    <w:p w14:paraId="0687DF7F" w14:textId="6EDEF959" w:rsidR="0078659F" w:rsidRPr="009F1E40" w:rsidRDefault="0078659F" w:rsidP="0078659F">
      <w:pPr>
        <w:jc w:val="center"/>
        <w:rPr>
          <w:rFonts w:ascii="Times New Roman" w:hAnsi="Times New Roman"/>
          <w:color w:val="000000"/>
          <w:sz w:val="24"/>
          <w:szCs w:val="24"/>
        </w:rPr>
      </w:pPr>
      <w:r w:rsidRPr="00FC15DE">
        <w:rPr>
          <w:rFonts w:ascii="Times New Roman" w:hAnsi="Times New Roman"/>
          <w:b/>
          <w:sz w:val="24"/>
          <w:szCs w:val="24"/>
        </w:rPr>
        <w:t xml:space="preserve">Hon </w:t>
      </w:r>
      <w:r w:rsidR="00305AC5" w:rsidRPr="00FC15DE">
        <w:rPr>
          <w:rFonts w:ascii="Times New Roman" w:hAnsi="Times New Roman"/>
          <w:b/>
          <w:sz w:val="24"/>
          <w:szCs w:val="24"/>
        </w:rPr>
        <w:t>Alan Tudge</w:t>
      </w:r>
      <w:r w:rsidRPr="00FC15DE">
        <w:rPr>
          <w:rFonts w:ascii="Times New Roman" w:hAnsi="Times New Roman"/>
          <w:b/>
          <w:sz w:val="24"/>
          <w:szCs w:val="24"/>
        </w:rPr>
        <w:t xml:space="preserve"> MP, Minister for Education </w:t>
      </w:r>
      <w:r w:rsidR="00305AC5" w:rsidRPr="00FC15DE">
        <w:rPr>
          <w:rFonts w:ascii="Times New Roman" w:hAnsi="Times New Roman"/>
          <w:b/>
          <w:sz w:val="24"/>
          <w:szCs w:val="24"/>
        </w:rPr>
        <w:t>and Youth</w:t>
      </w:r>
    </w:p>
    <w:p w14:paraId="2595BF24" w14:textId="77777777" w:rsidR="0078659F" w:rsidRDefault="0078659F"/>
    <w:sectPr w:rsidR="0078659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E73AB" w14:textId="77777777" w:rsidR="00EB5EA6" w:rsidRDefault="00EB5EA6" w:rsidP="00EB5EA6">
      <w:r>
        <w:separator/>
      </w:r>
    </w:p>
  </w:endnote>
  <w:endnote w:type="continuationSeparator" w:id="0">
    <w:p w14:paraId="0569F938" w14:textId="77777777" w:rsidR="00EB5EA6" w:rsidRDefault="00EB5EA6" w:rsidP="00EB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9527765"/>
      <w:docPartObj>
        <w:docPartGallery w:val="Page Numbers (Bottom of Page)"/>
        <w:docPartUnique/>
      </w:docPartObj>
    </w:sdtPr>
    <w:sdtEndPr>
      <w:rPr>
        <w:noProof/>
      </w:rPr>
    </w:sdtEndPr>
    <w:sdtContent>
      <w:p w14:paraId="1B458D57" w14:textId="1635601F" w:rsidR="00EB5EA6" w:rsidRDefault="00EB5EA6">
        <w:pPr>
          <w:pStyle w:val="Footer"/>
          <w:jc w:val="right"/>
        </w:pPr>
        <w:r>
          <w:fldChar w:fldCharType="begin"/>
        </w:r>
        <w:r>
          <w:instrText xml:space="preserve"> PAGE   \* MERGEFORMAT </w:instrText>
        </w:r>
        <w:r>
          <w:fldChar w:fldCharType="separate"/>
        </w:r>
        <w:r w:rsidR="00E40A49">
          <w:rPr>
            <w:noProof/>
          </w:rPr>
          <w:t>3</w:t>
        </w:r>
        <w:r>
          <w:rPr>
            <w:noProof/>
          </w:rPr>
          <w:fldChar w:fldCharType="end"/>
        </w:r>
      </w:p>
    </w:sdtContent>
  </w:sdt>
  <w:p w14:paraId="5EA9A2E2" w14:textId="77777777" w:rsidR="00EB5EA6" w:rsidRDefault="00EB5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AA0B6C" w14:textId="77777777" w:rsidR="00EB5EA6" w:rsidRDefault="00EB5EA6" w:rsidP="00EB5EA6">
      <w:r>
        <w:separator/>
      </w:r>
    </w:p>
  </w:footnote>
  <w:footnote w:type="continuationSeparator" w:id="0">
    <w:p w14:paraId="1A4EF376" w14:textId="77777777" w:rsidR="00EB5EA6" w:rsidRDefault="00EB5EA6" w:rsidP="00EB5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371D45"/>
    <w:multiLevelType w:val="hybridMultilevel"/>
    <w:tmpl w:val="101A05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301219"/>
    <w:multiLevelType w:val="hybridMultilevel"/>
    <w:tmpl w:val="FD2E8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D37661"/>
    <w:multiLevelType w:val="hybridMultilevel"/>
    <w:tmpl w:val="53A8BF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65A0FA8"/>
    <w:multiLevelType w:val="hybridMultilevel"/>
    <w:tmpl w:val="98C09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FB41294"/>
    <w:multiLevelType w:val="hybridMultilevel"/>
    <w:tmpl w:val="D49C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59F"/>
    <w:rsid w:val="000000DB"/>
    <w:rsid w:val="000052D0"/>
    <w:rsid w:val="00014337"/>
    <w:rsid w:val="000235D9"/>
    <w:rsid w:val="00040B71"/>
    <w:rsid w:val="00051D7A"/>
    <w:rsid w:val="00057F0F"/>
    <w:rsid w:val="00057F30"/>
    <w:rsid w:val="00073AD0"/>
    <w:rsid w:val="00073B5B"/>
    <w:rsid w:val="00080B2D"/>
    <w:rsid w:val="00095166"/>
    <w:rsid w:val="000C436D"/>
    <w:rsid w:val="000D7C38"/>
    <w:rsid w:val="000E3B2E"/>
    <w:rsid w:val="000E3C59"/>
    <w:rsid w:val="000F38F5"/>
    <w:rsid w:val="000F518D"/>
    <w:rsid w:val="001005C1"/>
    <w:rsid w:val="001067C9"/>
    <w:rsid w:val="00115901"/>
    <w:rsid w:val="00123049"/>
    <w:rsid w:val="00126A52"/>
    <w:rsid w:val="00142A06"/>
    <w:rsid w:val="00144D02"/>
    <w:rsid w:val="00151FD0"/>
    <w:rsid w:val="00154B90"/>
    <w:rsid w:val="0016209F"/>
    <w:rsid w:val="00174F75"/>
    <w:rsid w:val="00175EA9"/>
    <w:rsid w:val="00190098"/>
    <w:rsid w:val="00193082"/>
    <w:rsid w:val="001A35D8"/>
    <w:rsid w:val="001C2B8F"/>
    <w:rsid w:val="001E1646"/>
    <w:rsid w:val="001E6FC2"/>
    <w:rsid w:val="001F437B"/>
    <w:rsid w:val="0021183C"/>
    <w:rsid w:val="00240FBC"/>
    <w:rsid w:val="00241505"/>
    <w:rsid w:val="00244E19"/>
    <w:rsid w:val="0024640E"/>
    <w:rsid w:val="00247114"/>
    <w:rsid w:val="002625C9"/>
    <w:rsid w:val="0026314F"/>
    <w:rsid w:val="0026454B"/>
    <w:rsid w:val="00273678"/>
    <w:rsid w:val="00273C86"/>
    <w:rsid w:val="00274E52"/>
    <w:rsid w:val="00291A88"/>
    <w:rsid w:val="002A0304"/>
    <w:rsid w:val="002A5576"/>
    <w:rsid w:val="002A65F4"/>
    <w:rsid w:val="002B1416"/>
    <w:rsid w:val="002C18FE"/>
    <w:rsid w:val="002D045E"/>
    <w:rsid w:val="003021F4"/>
    <w:rsid w:val="003028FA"/>
    <w:rsid w:val="00305AC5"/>
    <w:rsid w:val="00325DA5"/>
    <w:rsid w:val="003310EF"/>
    <w:rsid w:val="00332716"/>
    <w:rsid w:val="00335610"/>
    <w:rsid w:val="003926D7"/>
    <w:rsid w:val="0039414B"/>
    <w:rsid w:val="0039532A"/>
    <w:rsid w:val="003A2964"/>
    <w:rsid w:val="003A4753"/>
    <w:rsid w:val="003B7CD8"/>
    <w:rsid w:val="003D3049"/>
    <w:rsid w:val="0040027F"/>
    <w:rsid w:val="00412553"/>
    <w:rsid w:val="00433C28"/>
    <w:rsid w:val="00437D24"/>
    <w:rsid w:val="00445E32"/>
    <w:rsid w:val="0045235B"/>
    <w:rsid w:val="00461FB9"/>
    <w:rsid w:val="00462F61"/>
    <w:rsid w:val="0046444A"/>
    <w:rsid w:val="00464BBF"/>
    <w:rsid w:val="00471E46"/>
    <w:rsid w:val="00495018"/>
    <w:rsid w:val="004A1ABE"/>
    <w:rsid w:val="004B3743"/>
    <w:rsid w:val="004C33A1"/>
    <w:rsid w:val="004C4D9F"/>
    <w:rsid w:val="004C6F71"/>
    <w:rsid w:val="004C7157"/>
    <w:rsid w:val="004C7D13"/>
    <w:rsid w:val="004C7FBB"/>
    <w:rsid w:val="004D4A55"/>
    <w:rsid w:val="004D5BA0"/>
    <w:rsid w:val="004D6BA0"/>
    <w:rsid w:val="004E0819"/>
    <w:rsid w:val="004E440C"/>
    <w:rsid w:val="004E602E"/>
    <w:rsid w:val="004F08B6"/>
    <w:rsid w:val="005136FC"/>
    <w:rsid w:val="00515BED"/>
    <w:rsid w:val="00520388"/>
    <w:rsid w:val="005222CA"/>
    <w:rsid w:val="00522BC4"/>
    <w:rsid w:val="0057448F"/>
    <w:rsid w:val="00590886"/>
    <w:rsid w:val="005931CC"/>
    <w:rsid w:val="005A2445"/>
    <w:rsid w:val="005A2AB3"/>
    <w:rsid w:val="005B1988"/>
    <w:rsid w:val="005D65D1"/>
    <w:rsid w:val="005E1BCE"/>
    <w:rsid w:val="005E1BF1"/>
    <w:rsid w:val="005E2085"/>
    <w:rsid w:val="005E7B59"/>
    <w:rsid w:val="005F04EB"/>
    <w:rsid w:val="005F71AB"/>
    <w:rsid w:val="006037DB"/>
    <w:rsid w:val="00607BE2"/>
    <w:rsid w:val="006254E8"/>
    <w:rsid w:val="006263FA"/>
    <w:rsid w:val="00627D5C"/>
    <w:rsid w:val="00656B4C"/>
    <w:rsid w:val="006A1FB1"/>
    <w:rsid w:val="006B1B44"/>
    <w:rsid w:val="006B7EF9"/>
    <w:rsid w:val="006C2B3C"/>
    <w:rsid w:val="006C36BD"/>
    <w:rsid w:val="006D0E65"/>
    <w:rsid w:val="006D36E3"/>
    <w:rsid w:val="006D79F1"/>
    <w:rsid w:val="006E15CD"/>
    <w:rsid w:val="006E2545"/>
    <w:rsid w:val="006E786D"/>
    <w:rsid w:val="006F215B"/>
    <w:rsid w:val="006F5AAE"/>
    <w:rsid w:val="006F5F1C"/>
    <w:rsid w:val="00700EC4"/>
    <w:rsid w:val="00701DD8"/>
    <w:rsid w:val="00710959"/>
    <w:rsid w:val="00732C83"/>
    <w:rsid w:val="00734012"/>
    <w:rsid w:val="0074281F"/>
    <w:rsid w:val="007460BF"/>
    <w:rsid w:val="00750C22"/>
    <w:rsid w:val="00751B5F"/>
    <w:rsid w:val="00752D49"/>
    <w:rsid w:val="007538FF"/>
    <w:rsid w:val="007735D8"/>
    <w:rsid w:val="00780BB2"/>
    <w:rsid w:val="0078659F"/>
    <w:rsid w:val="0079052E"/>
    <w:rsid w:val="00792160"/>
    <w:rsid w:val="007927A0"/>
    <w:rsid w:val="00793FA8"/>
    <w:rsid w:val="007B0CE6"/>
    <w:rsid w:val="007E5CA8"/>
    <w:rsid w:val="00813023"/>
    <w:rsid w:val="00834F8B"/>
    <w:rsid w:val="008512D4"/>
    <w:rsid w:val="00851A56"/>
    <w:rsid w:val="00857ADC"/>
    <w:rsid w:val="0086042B"/>
    <w:rsid w:val="00866138"/>
    <w:rsid w:val="0087128E"/>
    <w:rsid w:val="0087557E"/>
    <w:rsid w:val="0088193C"/>
    <w:rsid w:val="008825FF"/>
    <w:rsid w:val="00886E5F"/>
    <w:rsid w:val="008C21E0"/>
    <w:rsid w:val="008D1BBF"/>
    <w:rsid w:val="008D7781"/>
    <w:rsid w:val="008E0DAC"/>
    <w:rsid w:val="00902A65"/>
    <w:rsid w:val="009079E3"/>
    <w:rsid w:val="009118B0"/>
    <w:rsid w:val="009207B0"/>
    <w:rsid w:val="00922FAB"/>
    <w:rsid w:val="00955B01"/>
    <w:rsid w:val="009602AD"/>
    <w:rsid w:val="0096451D"/>
    <w:rsid w:val="009667E7"/>
    <w:rsid w:val="00975209"/>
    <w:rsid w:val="00982492"/>
    <w:rsid w:val="009A3E3D"/>
    <w:rsid w:val="009B6F02"/>
    <w:rsid w:val="009C158C"/>
    <w:rsid w:val="009C193B"/>
    <w:rsid w:val="009C377C"/>
    <w:rsid w:val="009D2178"/>
    <w:rsid w:val="009D32C3"/>
    <w:rsid w:val="009E6899"/>
    <w:rsid w:val="009F25AD"/>
    <w:rsid w:val="00A1033E"/>
    <w:rsid w:val="00A45C99"/>
    <w:rsid w:val="00A6563B"/>
    <w:rsid w:val="00A72A11"/>
    <w:rsid w:val="00A946C2"/>
    <w:rsid w:val="00A96623"/>
    <w:rsid w:val="00AA5000"/>
    <w:rsid w:val="00AC53F8"/>
    <w:rsid w:val="00AD6572"/>
    <w:rsid w:val="00B36044"/>
    <w:rsid w:val="00B56064"/>
    <w:rsid w:val="00B6394B"/>
    <w:rsid w:val="00B74584"/>
    <w:rsid w:val="00B81260"/>
    <w:rsid w:val="00BA15A5"/>
    <w:rsid w:val="00BA5C9A"/>
    <w:rsid w:val="00BC3BF6"/>
    <w:rsid w:val="00BC79F9"/>
    <w:rsid w:val="00BD09FF"/>
    <w:rsid w:val="00BD56FF"/>
    <w:rsid w:val="00BD6EDE"/>
    <w:rsid w:val="00BE1587"/>
    <w:rsid w:val="00BE1A9F"/>
    <w:rsid w:val="00BE3164"/>
    <w:rsid w:val="00BE4EA8"/>
    <w:rsid w:val="00C11418"/>
    <w:rsid w:val="00C156F2"/>
    <w:rsid w:val="00C32848"/>
    <w:rsid w:val="00C4145F"/>
    <w:rsid w:val="00C45F9F"/>
    <w:rsid w:val="00C464B5"/>
    <w:rsid w:val="00C67091"/>
    <w:rsid w:val="00C74C28"/>
    <w:rsid w:val="00C75ED1"/>
    <w:rsid w:val="00C81761"/>
    <w:rsid w:val="00C94889"/>
    <w:rsid w:val="00CA0207"/>
    <w:rsid w:val="00CA3C4C"/>
    <w:rsid w:val="00CA40CF"/>
    <w:rsid w:val="00CA67C3"/>
    <w:rsid w:val="00CB1620"/>
    <w:rsid w:val="00CC2AAA"/>
    <w:rsid w:val="00CC7529"/>
    <w:rsid w:val="00CD144E"/>
    <w:rsid w:val="00CE6193"/>
    <w:rsid w:val="00CE71E7"/>
    <w:rsid w:val="00CF5BDE"/>
    <w:rsid w:val="00CF74AF"/>
    <w:rsid w:val="00D20912"/>
    <w:rsid w:val="00D237D5"/>
    <w:rsid w:val="00D263EB"/>
    <w:rsid w:val="00D34864"/>
    <w:rsid w:val="00D422FB"/>
    <w:rsid w:val="00D46FDA"/>
    <w:rsid w:val="00D47B48"/>
    <w:rsid w:val="00D561E2"/>
    <w:rsid w:val="00D66EDC"/>
    <w:rsid w:val="00D831DD"/>
    <w:rsid w:val="00D940FB"/>
    <w:rsid w:val="00D9444A"/>
    <w:rsid w:val="00DB1639"/>
    <w:rsid w:val="00DB5F0D"/>
    <w:rsid w:val="00DC1218"/>
    <w:rsid w:val="00DC6752"/>
    <w:rsid w:val="00DC7EE6"/>
    <w:rsid w:val="00DD22A0"/>
    <w:rsid w:val="00DF6A38"/>
    <w:rsid w:val="00DF7B47"/>
    <w:rsid w:val="00E00149"/>
    <w:rsid w:val="00E0165A"/>
    <w:rsid w:val="00E05ED8"/>
    <w:rsid w:val="00E07236"/>
    <w:rsid w:val="00E0765C"/>
    <w:rsid w:val="00E12AFF"/>
    <w:rsid w:val="00E13371"/>
    <w:rsid w:val="00E13EE4"/>
    <w:rsid w:val="00E26BBE"/>
    <w:rsid w:val="00E40A49"/>
    <w:rsid w:val="00E41F31"/>
    <w:rsid w:val="00E4496B"/>
    <w:rsid w:val="00E609B7"/>
    <w:rsid w:val="00E63FE1"/>
    <w:rsid w:val="00E64A25"/>
    <w:rsid w:val="00E72539"/>
    <w:rsid w:val="00E76313"/>
    <w:rsid w:val="00E837DA"/>
    <w:rsid w:val="00E93F55"/>
    <w:rsid w:val="00EA3A8E"/>
    <w:rsid w:val="00EA6FEB"/>
    <w:rsid w:val="00EA7DFA"/>
    <w:rsid w:val="00EB5609"/>
    <w:rsid w:val="00EB5EA6"/>
    <w:rsid w:val="00EC245B"/>
    <w:rsid w:val="00ED0167"/>
    <w:rsid w:val="00EE6163"/>
    <w:rsid w:val="00EE7DCC"/>
    <w:rsid w:val="00EF78C1"/>
    <w:rsid w:val="00F15974"/>
    <w:rsid w:val="00F20511"/>
    <w:rsid w:val="00F246BE"/>
    <w:rsid w:val="00F340A1"/>
    <w:rsid w:val="00F55345"/>
    <w:rsid w:val="00F63AAD"/>
    <w:rsid w:val="00F91AFE"/>
    <w:rsid w:val="00F9648D"/>
    <w:rsid w:val="00FA4E12"/>
    <w:rsid w:val="00FC08F8"/>
    <w:rsid w:val="00FC15DE"/>
    <w:rsid w:val="00FC2196"/>
    <w:rsid w:val="00FC3E51"/>
    <w:rsid w:val="00FC6C3D"/>
    <w:rsid w:val="00FD066A"/>
    <w:rsid w:val="00FD1963"/>
    <w:rsid w:val="00FD3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A6EB9"/>
  <w15:chartTrackingRefBased/>
  <w15:docId w15:val="{518BF941-C7B8-4351-82A8-CAE0A7BB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59F"/>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8659F"/>
    <w:pPr>
      <w:ind w:left="567"/>
    </w:pPr>
  </w:style>
  <w:style w:type="character" w:customStyle="1" w:styleId="ListParagraphChar">
    <w:name w:val="List Paragraph Char"/>
    <w:link w:val="ListParagraph"/>
    <w:uiPriority w:val="34"/>
    <w:locked/>
    <w:rsid w:val="0078659F"/>
    <w:rPr>
      <w:rFonts w:ascii="Arial" w:eastAsia="Times New Roman" w:hAnsi="Arial" w:cs="Times New Roman"/>
      <w:szCs w:val="20"/>
    </w:rPr>
  </w:style>
  <w:style w:type="character" w:styleId="CommentReference">
    <w:name w:val="annotation reference"/>
    <w:basedOn w:val="DefaultParagraphFont"/>
    <w:uiPriority w:val="99"/>
    <w:semiHidden/>
    <w:unhideWhenUsed/>
    <w:rsid w:val="00F246BE"/>
    <w:rPr>
      <w:sz w:val="16"/>
      <w:szCs w:val="16"/>
    </w:rPr>
  </w:style>
  <w:style w:type="paragraph" w:styleId="CommentText">
    <w:name w:val="annotation text"/>
    <w:basedOn w:val="Normal"/>
    <w:link w:val="CommentTextChar"/>
    <w:uiPriority w:val="99"/>
    <w:unhideWhenUsed/>
    <w:rsid w:val="00F246BE"/>
    <w:rPr>
      <w:sz w:val="20"/>
    </w:rPr>
  </w:style>
  <w:style w:type="character" w:customStyle="1" w:styleId="CommentTextChar">
    <w:name w:val="Comment Text Char"/>
    <w:basedOn w:val="DefaultParagraphFont"/>
    <w:link w:val="CommentText"/>
    <w:uiPriority w:val="99"/>
    <w:rsid w:val="00F246B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246BE"/>
    <w:rPr>
      <w:b/>
      <w:bCs/>
    </w:rPr>
  </w:style>
  <w:style w:type="character" w:customStyle="1" w:styleId="CommentSubjectChar">
    <w:name w:val="Comment Subject Char"/>
    <w:basedOn w:val="CommentTextChar"/>
    <w:link w:val="CommentSubject"/>
    <w:uiPriority w:val="99"/>
    <w:semiHidden/>
    <w:rsid w:val="00F246BE"/>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246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6BE"/>
    <w:rPr>
      <w:rFonts w:ascii="Segoe UI" w:eastAsia="Times New Roman" w:hAnsi="Segoe UI" w:cs="Segoe UI"/>
      <w:sz w:val="18"/>
      <w:szCs w:val="18"/>
    </w:rPr>
  </w:style>
  <w:style w:type="paragraph" w:styleId="Header">
    <w:name w:val="header"/>
    <w:basedOn w:val="Normal"/>
    <w:link w:val="HeaderChar"/>
    <w:uiPriority w:val="99"/>
    <w:unhideWhenUsed/>
    <w:rsid w:val="00EB5EA6"/>
    <w:pPr>
      <w:tabs>
        <w:tab w:val="center" w:pos="4513"/>
        <w:tab w:val="right" w:pos="9026"/>
      </w:tabs>
    </w:pPr>
  </w:style>
  <w:style w:type="character" w:customStyle="1" w:styleId="HeaderChar">
    <w:name w:val="Header Char"/>
    <w:basedOn w:val="DefaultParagraphFont"/>
    <w:link w:val="Header"/>
    <w:uiPriority w:val="99"/>
    <w:rsid w:val="00EB5EA6"/>
    <w:rPr>
      <w:rFonts w:ascii="Arial" w:eastAsia="Times New Roman" w:hAnsi="Arial" w:cs="Times New Roman"/>
      <w:szCs w:val="20"/>
    </w:rPr>
  </w:style>
  <w:style w:type="paragraph" w:styleId="Footer">
    <w:name w:val="footer"/>
    <w:basedOn w:val="Normal"/>
    <w:link w:val="FooterChar"/>
    <w:uiPriority w:val="99"/>
    <w:unhideWhenUsed/>
    <w:rsid w:val="00EB5EA6"/>
    <w:pPr>
      <w:tabs>
        <w:tab w:val="center" w:pos="4513"/>
        <w:tab w:val="right" w:pos="9026"/>
      </w:tabs>
    </w:pPr>
  </w:style>
  <w:style w:type="character" w:customStyle="1" w:styleId="FooterChar">
    <w:name w:val="Footer Char"/>
    <w:basedOn w:val="DefaultParagraphFont"/>
    <w:link w:val="Footer"/>
    <w:uiPriority w:val="99"/>
    <w:rsid w:val="00EB5EA6"/>
    <w:rPr>
      <w:rFonts w:ascii="Arial" w:eastAsia="Times New Roman" w:hAnsi="Arial" w:cs="Times New Roman"/>
      <w:szCs w:val="20"/>
    </w:rPr>
  </w:style>
  <w:style w:type="character" w:styleId="Hyperlink">
    <w:name w:val="Hyperlink"/>
    <w:rsid w:val="00A946C2"/>
    <w:rPr>
      <w:color w:val="0000FF"/>
      <w:u w:val="single"/>
    </w:rPr>
  </w:style>
  <w:style w:type="character" w:customStyle="1" w:styleId="BodyTextChar">
    <w:name w:val="Body Text Char"/>
    <w:link w:val="BodyText"/>
    <w:rsid w:val="00D46FDA"/>
    <w:rPr>
      <w:rFonts w:ascii="Arial" w:hAnsi="Arial"/>
      <w:color w:val="0000FF"/>
    </w:rPr>
  </w:style>
  <w:style w:type="paragraph" w:styleId="BodyText">
    <w:name w:val="Body Text"/>
    <w:basedOn w:val="Normal"/>
    <w:link w:val="BodyTextChar"/>
    <w:rsid w:val="00D46FDA"/>
    <w:pPr>
      <w:keepLines/>
      <w:widowControl w:val="0"/>
      <w:ind w:right="-567"/>
    </w:pPr>
    <w:rPr>
      <w:rFonts w:eastAsiaTheme="minorHAnsi" w:cstheme="minorBidi"/>
      <w:color w:val="0000FF"/>
      <w:szCs w:val="22"/>
    </w:rPr>
  </w:style>
  <w:style w:type="character" w:customStyle="1" w:styleId="BodyTextChar1">
    <w:name w:val="Body Text Char1"/>
    <w:basedOn w:val="DefaultParagraphFont"/>
    <w:uiPriority w:val="99"/>
    <w:semiHidden/>
    <w:rsid w:val="00D46FDA"/>
    <w:rPr>
      <w:rFonts w:ascii="Arial" w:eastAsia="Times New Roman" w:hAnsi="Arial" w:cs="Times New Roman"/>
      <w:szCs w:val="20"/>
    </w:rPr>
  </w:style>
  <w:style w:type="character" w:styleId="FollowedHyperlink">
    <w:name w:val="FollowedHyperlink"/>
    <w:basedOn w:val="DefaultParagraphFont"/>
    <w:uiPriority w:val="99"/>
    <w:semiHidden/>
    <w:unhideWhenUsed/>
    <w:rsid w:val="00A6563B"/>
    <w:rPr>
      <w:color w:val="954F72" w:themeColor="followedHyperlink"/>
      <w:u w:val="single"/>
    </w:rPr>
  </w:style>
  <w:style w:type="character" w:styleId="UnresolvedMention">
    <w:name w:val="Unresolved Mention"/>
    <w:basedOn w:val="DefaultParagraphFont"/>
    <w:uiPriority w:val="99"/>
    <w:semiHidden/>
    <w:unhideWhenUsed/>
    <w:rsid w:val="00302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491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se.gov.au/higher-education-loan-program/resources/2021-allocation-units-study-funding-clust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s.gov.au/ausstats/abs@.nsf/0/E7779A9FD5C8D846CA256AAF001FCA5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se.gov.au/job-read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ese.gov.au/document/job-ready-graduates-discussion-pap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D19B1ACE-5573-4B9E-9A95-9504C38360E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9C798EC36926548A06CB1B460E27008" ma:contentTypeVersion="" ma:contentTypeDescription="PDMS Document Site Content Type" ma:contentTypeScope="" ma:versionID="1d42496f7dd1c1b22c46478c88014bde">
  <xsd:schema xmlns:xsd="http://www.w3.org/2001/XMLSchema" xmlns:xs="http://www.w3.org/2001/XMLSchema" xmlns:p="http://schemas.microsoft.com/office/2006/metadata/properties" xmlns:ns2="D19B1ACE-5573-4B9E-9A95-9504C38360E9" targetNamespace="http://schemas.microsoft.com/office/2006/metadata/properties" ma:root="true" ma:fieldsID="c911e7e15c6fe4d40cd2f3fea07302c9" ns2:_="">
    <xsd:import namespace="D19B1ACE-5573-4B9E-9A95-9504C38360E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B1ACE-5573-4B9E-9A95-9504C38360E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28F34B-F913-4373-A114-A0B498AD4297}">
  <ds:schemaRefs>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D19B1ACE-5573-4B9E-9A95-9504C38360E9"/>
    <ds:schemaRef ds:uri="http://www.w3.org/XML/1998/namespace"/>
  </ds:schemaRefs>
</ds:datastoreItem>
</file>

<file path=customXml/itemProps2.xml><?xml version="1.0" encoding="utf-8"?>
<ds:datastoreItem xmlns:ds="http://schemas.openxmlformats.org/officeDocument/2006/customXml" ds:itemID="{DD374FD6-B4AC-402D-8AA9-2700F9736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B1ACE-5573-4B9E-9A95-9504C3836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85620-5B59-4294-9F11-1DC0452097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3869</Words>
  <Characters>22057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COBURN,Gabriel</dc:creator>
  <cp:keywords/>
  <dc:description/>
  <cp:lastModifiedBy>HERBERT,Callum</cp:lastModifiedBy>
  <cp:revision>3</cp:revision>
  <cp:lastPrinted>2020-12-06T23:23:00Z</cp:lastPrinted>
  <dcterms:created xsi:type="dcterms:W3CDTF">2021-07-29T23:44:00Z</dcterms:created>
  <dcterms:modified xsi:type="dcterms:W3CDTF">2021-07-29T23:44:00Z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0x010100266966F133664895A6EE3632470D45F50069C798EC36926548A06CB1B460E27008</vt:lpwstr>
  </property>
</Properties>
</file>