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3645E214"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D434D2">
        <w:rPr>
          <w:rFonts w:ascii="Times New Roman" w:eastAsia="Times New Roman" w:hAnsi="Times New Roman" w:cs="Times New Roman"/>
          <w:bCs/>
          <w:i/>
          <w:sz w:val="24"/>
          <w:szCs w:val="24"/>
          <w:lang w:eastAsia="en-AU"/>
        </w:rPr>
        <w:t>4</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20</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35DCC3C6"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FD645B3"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41A26DE8"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 xml:space="preserve">ible Ingredients) Determination (No. </w:t>
      </w:r>
      <w:r w:rsidR="00D434D2">
        <w:rPr>
          <w:rFonts w:ascii="Times New Roman" w:eastAsia="Times New Roman" w:hAnsi="Times New Roman" w:cs="Times New Roman"/>
          <w:bCs/>
          <w:i/>
          <w:sz w:val="24"/>
          <w:szCs w:val="24"/>
          <w:lang w:eastAsia="en-AU"/>
        </w:rPr>
        <w:t>4</w:t>
      </w:r>
      <w:r w:rsidR="00E60C26">
        <w:rPr>
          <w:rFonts w:ascii="Times New Roman" w:eastAsia="Times New Roman" w:hAnsi="Times New Roman" w:cs="Times New Roman"/>
          <w:bCs/>
          <w:i/>
          <w:sz w:val="24"/>
          <w:szCs w:val="24"/>
          <w:lang w:eastAsia="en-AU"/>
        </w:rPr>
        <w:t xml:space="preserve">) </w:t>
      </w:r>
      <w:r w:rsidR="00E60C26" w:rsidRPr="008727AB">
        <w:rPr>
          <w:rFonts w:ascii="Times New Roman" w:eastAsia="Times New Roman" w:hAnsi="Times New Roman" w:cs="Times New Roman"/>
          <w:bCs/>
          <w:i/>
          <w:sz w:val="24"/>
          <w:szCs w:val="24"/>
          <w:lang w:eastAsia="en-AU"/>
        </w:rPr>
        <w:t>20</w:t>
      </w:r>
      <w:r w:rsidR="00E60C26">
        <w:rPr>
          <w:rFonts w:ascii="Times New Roman" w:eastAsia="Times New Roman" w:hAnsi="Times New Roman" w:cs="Times New Roman"/>
          <w:bCs/>
          <w:i/>
          <w:sz w:val="24"/>
          <w:szCs w:val="24"/>
          <w:lang w:eastAsia="en-AU"/>
        </w:rPr>
        <w:t xml:space="preserve">20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D434D2">
        <w:rPr>
          <w:rFonts w:ascii="Times New Roman" w:eastAsia="Times New Roman" w:hAnsi="Times New Roman" w:cs="Times New Roman"/>
          <w:i/>
          <w:sz w:val="24"/>
          <w:szCs w:val="24"/>
          <w:lang w:eastAsia="en-AU"/>
        </w:rPr>
        <w:t>3</w:t>
      </w:r>
      <w:r w:rsidRPr="004E05C9">
        <w:rPr>
          <w:rFonts w:ascii="Times New Roman" w:eastAsia="Times New Roman" w:hAnsi="Times New Roman" w:cs="Times New Roman"/>
          <w:i/>
          <w:sz w:val="24"/>
          <w:szCs w:val="24"/>
          <w:lang w:eastAsia="en-AU"/>
        </w:rPr>
        <w:t>) 20</w:t>
      </w:r>
      <w:r w:rsidR="00E96741">
        <w:rPr>
          <w:rFonts w:ascii="Times New Roman" w:eastAsia="Times New Roman" w:hAnsi="Times New Roman" w:cs="Times New Roman"/>
          <w:i/>
          <w:sz w:val="24"/>
          <w:szCs w:val="24"/>
          <w:lang w:eastAsia="en-AU"/>
        </w:rPr>
        <w:t>20</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8FA808C"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In particular, medicines listed under section 26A and 26AE may only contain 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lastRenderedPageBreak/>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57E8D02B"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57CB284D"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1C9706BC" w14:textId="2A0B2702" w:rsidR="006D4AB8" w:rsidRDefault="006D4AB8" w:rsidP="001A7C14">
      <w:pPr>
        <w:keepNext/>
        <w:spacing w:before="100" w:beforeAutospacing="1" w:after="12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062E45EA" w14:textId="19939E27" w:rsidR="00D43F14" w:rsidRDefault="00D43F14" w:rsidP="00963DE6">
      <w:pPr>
        <w:pStyle w:val="ListParagraph"/>
        <w:numPr>
          <w:ilvl w:val="0"/>
          <w:numId w:val="11"/>
        </w:numPr>
        <w:spacing w:before="0" w:beforeAutospacing="0"/>
      </w:pPr>
      <w:r>
        <w:t>the introduction of 27</w:t>
      </w:r>
      <w:r w:rsidR="008D09AA">
        <w:t xml:space="preserve"> new</w:t>
      </w:r>
      <w:r>
        <w:t xml:space="preserve"> ingredients for use</w:t>
      </w:r>
      <w:r w:rsidR="008D09AA">
        <w:t xml:space="preserve"> in</w:t>
      </w:r>
      <w:r>
        <w:t xml:space="preserve"> </w:t>
      </w:r>
      <w:r w:rsidR="00064FDE">
        <w:t>listed and assessed listed medicines. These ingredients reflect</w:t>
      </w:r>
      <w:r>
        <w:t xml:space="preserve"> </w:t>
      </w:r>
      <w:r w:rsidR="00064FDE">
        <w:t xml:space="preserve">particular </w:t>
      </w:r>
      <w:r>
        <w:t xml:space="preserve">proprietary formulations </w:t>
      </w:r>
      <w:r w:rsidR="00064FDE">
        <w:t xml:space="preserve">that are and have been </w:t>
      </w:r>
      <w:r>
        <w:t xml:space="preserve">included in </w:t>
      </w:r>
      <w:r w:rsidR="00064FDE">
        <w:t xml:space="preserve">listed </w:t>
      </w:r>
      <w:r>
        <w:t xml:space="preserve">medicines </w:t>
      </w:r>
      <w:r w:rsidR="00064FDE">
        <w:t xml:space="preserve">in Australia for some time but were inadvertently omitted </w:t>
      </w:r>
      <w:r w:rsidR="00064FDE">
        <w:lastRenderedPageBreak/>
        <w:t xml:space="preserve">from </w:t>
      </w:r>
      <w:r>
        <w:t xml:space="preserve">the first </w:t>
      </w:r>
      <w:r w:rsidR="00AE2955">
        <w:t>(and subsequent)</w:t>
      </w:r>
      <w:r w:rsidR="00AE2955" w:rsidRPr="00FE5514">
        <w:t xml:space="preserve"> </w:t>
      </w:r>
      <w:r w:rsidR="00064FDE">
        <w:t>determination</w:t>
      </w:r>
      <w:r w:rsidR="00AE2955">
        <w:t>s</w:t>
      </w:r>
      <w:r w:rsidR="00064FDE">
        <w:t xml:space="preserve"> under section 26BB of the Act</w:t>
      </w:r>
      <w:r w:rsidR="00963DE6">
        <w:t>.</w:t>
      </w:r>
      <w:r w:rsidR="00963DE6" w:rsidRPr="00963DE6">
        <w:t xml:space="preserve"> </w:t>
      </w:r>
      <w:r w:rsidR="00963DE6">
        <w:t xml:space="preserve">These ingredient </w:t>
      </w:r>
      <w:r w:rsidR="00963DE6" w:rsidRPr="00963DE6">
        <w:t>were reviewed by the TGA and determined to be appropriate for the existing use in listed medicines</w:t>
      </w:r>
      <w:r>
        <w:t>;</w:t>
      </w:r>
    </w:p>
    <w:p w14:paraId="383CC839" w14:textId="017C533C" w:rsidR="00D43F14" w:rsidRDefault="00D43F14" w:rsidP="00D43F14">
      <w:pPr>
        <w:pStyle w:val="ListParagraph"/>
        <w:numPr>
          <w:ilvl w:val="0"/>
          <w:numId w:val="11"/>
        </w:numPr>
        <w:spacing w:before="120" w:beforeAutospacing="0" w:after="120" w:afterAutospacing="0"/>
      </w:pPr>
      <w:r>
        <w:t xml:space="preserve">the amendment of </w:t>
      </w:r>
      <w:r w:rsidRPr="007F2ED8">
        <w:t xml:space="preserve">requirements related to </w:t>
      </w:r>
      <w:r w:rsidR="004F5517">
        <w:t xml:space="preserve">the ingredient </w:t>
      </w:r>
      <w:r w:rsidRPr="007F2ED8">
        <w:t xml:space="preserve">arbutin </w:t>
      </w:r>
      <w:r w:rsidR="004F5517">
        <w:t>(</w:t>
      </w:r>
      <w:r w:rsidRPr="007F2ED8">
        <w:t>a component of 11</w:t>
      </w:r>
      <w:r>
        <w:t xml:space="preserve"> herbal</w:t>
      </w:r>
      <w:r w:rsidRPr="007F2ED8">
        <w:t xml:space="preserve"> ingredients</w:t>
      </w:r>
      <w:r w:rsidR="004F5517">
        <w:t>)</w:t>
      </w:r>
      <w:r w:rsidRPr="007F2ED8">
        <w:t xml:space="preserve"> to align with updated specifications </w:t>
      </w:r>
      <w:r w:rsidR="004F5517">
        <w:t xml:space="preserve">in </w:t>
      </w:r>
      <w:r w:rsidRPr="007F2ED8">
        <w:t xml:space="preserve">the </w:t>
      </w:r>
      <w:r w:rsidRPr="00E0403C">
        <w:rPr>
          <w:i/>
        </w:rPr>
        <w:t>Poisons Standard October 2020</w:t>
      </w:r>
      <w:r w:rsidRPr="007F2ED8">
        <w:t xml:space="preserve"> </w:t>
      </w:r>
      <w:r w:rsidR="004F5517">
        <w:t xml:space="preserve">for </w:t>
      </w:r>
      <w:r w:rsidRPr="007F2ED8">
        <w:t>arbutin derivatives including beta-arbutin;</w:t>
      </w:r>
    </w:p>
    <w:p w14:paraId="71524957" w14:textId="578D265B" w:rsidR="00ED7851" w:rsidRPr="007F2ED8" w:rsidRDefault="00ED7851" w:rsidP="00ED7851">
      <w:pPr>
        <w:pStyle w:val="ListParagraph"/>
        <w:numPr>
          <w:ilvl w:val="0"/>
          <w:numId w:val="11"/>
        </w:numPr>
        <w:spacing w:before="120" w:beforeAutospacing="0" w:after="120" w:afterAutospacing="0"/>
      </w:pPr>
      <w:r>
        <w:t>m</w:t>
      </w:r>
      <w:r w:rsidRPr="00ED7851">
        <w:t>inor amendments to 31 ingredients to reflect the expiry of transition periods for requirements relating to those ingredients</w:t>
      </w:r>
      <w:r>
        <w:t>;</w:t>
      </w:r>
    </w:p>
    <w:p w14:paraId="5C098096" w14:textId="32EB0ADE" w:rsidR="00D43F14" w:rsidRPr="007F2ED8" w:rsidRDefault="00D43F14" w:rsidP="00D43F14">
      <w:pPr>
        <w:pStyle w:val="ListParagraph"/>
        <w:numPr>
          <w:ilvl w:val="0"/>
          <w:numId w:val="11"/>
        </w:numPr>
        <w:spacing w:before="120" w:beforeAutospacing="0" w:after="120" w:afterAutospacing="0"/>
      </w:pPr>
      <w:r>
        <w:t>updat</w:t>
      </w:r>
      <w:r w:rsidR="001A3695">
        <w:t>ing</w:t>
      </w:r>
      <w:r>
        <w:t xml:space="preserve"> </w:t>
      </w:r>
      <w:r w:rsidR="001A3695">
        <w:t xml:space="preserve">the names of </w:t>
      </w:r>
      <w:r w:rsidR="004A4AB5">
        <w:t>9</w:t>
      </w:r>
      <w:r w:rsidR="001A3695">
        <w:t xml:space="preserve"> </w:t>
      </w:r>
      <w:r>
        <w:t>herbal ingredient</w:t>
      </w:r>
      <w:r w:rsidR="00EB4211">
        <w:t>s</w:t>
      </w:r>
      <w:r w:rsidR="001A3695">
        <w:t xml:space="preserve"> </w:t>
      </w:r>
      <w:r>
        <w:t>to align them with current taxonomy;</w:t>
      </w:r>
    </w:p>
    <w:p w14:paraId="53BDBE7C" w14:textId="2BCA0459" w:rsidR="00A11A09" w:rsidRDefault="00D43F14" w:rsidP="00D43F14">
      <w:pPr>
        <w:pStyle w:val="ListParagraph"/>
        <w:keepNext/>
        <w:numPr>
          <w:ilvl w:val="0"/>
          <w:numId w:val="11"/>
        </w:numPr>
        <w:spacing w:before="120" w:beforeAutospacing="0" w:after="120" w:afterAutospacing="0"/>
      </w:pPr>
      <w:r>
        <w:t xml:space="preserve">the removal of requirements </w:t>
      </w:r>
      <w:r w:rsidR="00EB4211">
        <w:t>for the following three ingredients</w:t>
      </w:r>
      <w:r>
        <w:t xml:space="preserve"> to</w:t>
      </w:r>
      <w:r w:rsidRPr="00D43F14">
        <w:t xml:space="preserve"> </w:t>
      </w:r>
      <w:r w:rsidR="00EB4211">
        <w:t xml:space="preserve">reflect the expiry of periods of </w:t>
      </w:r>
      <w:r>
        <w:t>exclusiv</w:t>
      </w:r>
      <w:r w:rsidR="00EB4211">
        <w:t>e</w:t>
      </w:r>
      <w:r>
        <w:t xml:space="preserve"> </w:t>
      </w:r>
      <w:r w:rsidR="00EB4211">
        <w:t>uses</w:t>
      </w:r>
      <w:r>
        <w:t xml:space="preserve"> for</w:t>
      </w:r>
      <w:r w:rsidR="00EB4211">
        <w:t xml:space="preserve"> sponsors</w:t>
      </w:r>
      <w:r w:rsidR="00A11A09">
        <w:t>:</w:t>
      </w:r>
    </w:p>
    <w:p w14:paraId="5B43EF52" w14:textId="719128A2" w:rsidR="00A11A09" w:rsidRPr="00A11A09" w:rsidRDefault="00D43F14" w:rsidP="00A11A09">
      <w:pPr>
        <w:pStyle w:val="ListParagraph"/>
        <w:keepNext/>
        <w:numPr>
          <w:ilvl w:val="1"/>
          <w:numId w:val="11"/>
        </w:numPr>
        <w:spacing w:before="120" w:beforeAutospacing="0" w:after="120" w:afterAutospacing="0"/>
      </w:pPr>
      <w:r w:rsidRPr="00D43F14">
        <w:rPr>
          <w:i/>
        </w:rPr>
        <w:t>Khaya senegalensis</w:t>
      </w:r>
      <w:r w:rsidR="00A11A09">
        <w:t>;</w:t>
      </w:r>
    </w:p>
    <w:p w14:paraId="2B392EA2" w14:textId="546C1434" w:rsidR="00A11A09" w:rsidRDefault="00D43F14" w:rsidP="00A11A09">
      <w:pPr>
        <w:pStyle w:val="ListParagraph"/>
        <w:keepNext/>
        <w:numPr>
          <w:ilvl w:val="1"/>
          <w:numId w:val="11"/>
        </w:numPr>
        <w:spacing w:before="120" w:beforeAutospacing="0" w:after="120" w:afterAutospacing="0"/>
      </w:pPr>
      <w:r>
        <w:t>sodium polyacrylate starch</w:t>
      </w:r>
      <w:r w:rsidR="00A11A09">
        <w:t>;</w:t>
      </w:r>
      <w:r>
        <w:t xml:space="preserve"> and</w:t>
      </w:r>
    </w:p>
    <w:p w14:paraId="7396D321" w14:textId="04725FAA" w:rsidR="00D43F14" w:rsidRDefault="00D43F14" w:rsidP="00A11A09">
      <w:pPr>
        <w:pStyle w:val="ListParagraph"/>
        <w:keepNext/>
        <w:numPr>
          <w:ilvl w:val="1"/>
          <w:numId w:val="11"/>
        </w:numPr>
        <w:spacing w:before="120" w:beforeAutospacing="0" w:after="120" w:afterAutospacing="0"/>
      </w:pPr>
      <w:r>
        <w:t>capryloyl glycerine sebacic acid copolymer</w:t>
      </w:r>
      <w:r w:rsidR="0026650C">
        <w:t>;</w:t>
      </w:r>
      <w:r w:rsidR="00ED7851">
        <w:t xml:space="preserve"> and</w:t>
      </w:r>
    </w:p>
    <w:p w14:paraId="7C2E949E" w14:textId="14B4C096" w:rsidR="00D43F14" w:rsidRDefault="00D43F14" w:rsidP="00D43F14">
      <w:pPr>
        <w:pStyle w:val="ListParagraph"/>
        <w:numPr>
          <w:ilvl w:val="0"/>
          <w:numId w:val="11"/>
        </w:numPr>
        <w:spacing w:before="120" w:beforeAutospacing="0" w:after="120" w:afterAutospacing="0"/>
      </w:pPr>
      <w:r>
        <w:t xml:space="preserve">the removal of </w:t>
      </w:r>
      <w:r w:rsidR="008D09AA">
        <w:t xml:space="preserve">the following </w:t>
      </w:r>
      <w:r w:rsidR="00E0403C">
        <w:t>t</w:t>
      </w:r>
      <w:r w:rsidR="004A4AB5">
        <w:t>hree</w:t>
      </w:r>
      <w:r w:rsidR="00E0403C">
        <w:t xml:space="preserve"> </w:t>
      </w:r>
      <w:r>
        <w:t>ingredients</w:t>
      </w:r>
      <w:r w:rsidR="00E0403C">
        <w:t xml:space="preserve"> to reflect safety and consistency concerns</w:t>
      </w:r>
      <w:r>
        <w:t>:</w:t>
      </w:r>
    </w:p>
    <w:p w14:paraId="22086683" w14:textId="7EA90514" w:rsidR="00D43F14" w:rsidRDefault="00D43F14" w:rsidP="00D43F14">
      <w:pPr>
        <w:pStyle w:val="ListParagraph"/>
        <w:numPr>
          <w:ilvl w:val="1"/>
          <w:numId w:val="11"/>
        </w:numPr>
        <w:spacing w:before="120" w:beforeAutospacing="0" w:after="120" w:afterAutospacing="0"/>
      </w:pPr>
      <w:r>
        <w:rPr>
          <w:i/>
        </w:rPr>
        <w:t>Fallopia multiflora</w:t>
      </w:r>
      <w:r w:rsidR="00E0403C">
        <w:t>,</w:t>
      </w:r>
      <w:r>
        <w:rPr>
          <w:i/>
        </w:rPr>
        <w:t xml:space="preserve"> </w:t>
      </w:r>
      <w:r>
        <w:t xml:space="preserve">due to the risk of severe liver damage associated with its use; </w:t>
      </w:r>
    </w:p>
    <w:p w14:paraId="06D7B674" w14:textId="701C3CDC" w:rsidR="00ED7851" w:rsidRDefault="00D43F14" w:rsidP="00ED7851">
      <w:pPr>
        <w:pStyle w:val="ListParagraph"/>
        <w:numPr>
          <w:ilvl w:val="1"/>
          <w:numId w:val="11"/>
        </w:numPr>
        <w:spacing w:before="120" w:beforeAutospacing="0" w:after="120" w:afterAutospacing="0"/>
      </w:pPr>
      <w:r>
        <w:t xml:space="preserve">methyldibromo glutaronitrile, </w:t>
      </w:r>
      <w:r w:rsidR="00E0403C">
        <w:t xml:space="preserve">to reflect that this ingredient is </w:t>
      </w:r>
      <w:r>
        <w:t xml:space="preserve">included in Schedule 10 to the Poisons Standard </w:t>
      </w:r>
      <w:r w:rsidR="00E0403C">
        <w:t>and that the eligibility criteria for listing in</w:t>
      </w:r>
      <w:r>
        <w:t xml:space="preserve"> </w:t>
      </w:r>
      <w:r w:rsidRPr="007F2ED8">
        <w:t xml:space="preserve">Schedule 4 </w:t>
      </w:r>
      <w:r w:rsidR="00E0403C">
        <w:t>to</w:t>
      </w:r>
      <w:r w:rsidRPr="007F2ED8">
        <w:t xml:space="preserve"> the</w:t>
      </w:r>
      <w:r w:rsidR="00877FA7">
        <w:t xml:space="preserve"> Regulations</w:t>
      </w:r>
      <w:r w:rsidRPr="007F2ED8">
        <w:t xml:space="preserve"> require that </w:t>
      </w:r>
      <w:r w:rsidR="00EC7788">
        <w:t xml:space="preserve">to be </w:t>
      </w:r>
      <w:r w:rsidRPr="007F2ED8">
        <w:t>list</w:t>
      </w:r>
      <w:r w:rsidR="00E0403C">
        <w:t>able</w:t>
      </w:r>
      <w:r w:rsidRPr="007F2ED8">
        <w:t xml:space="preserve"> </w:t>
      </w:r>
      <w:r w:rsidR="00EC7788">
        <w:t xml:space="preserve">a </w:t>
      </w:r>
      <w:r w:rsidRPr="007F2ED8">
        <w:t xml:space="preserve">medicine must not contain a substance  </w:t>
      </w:r>
      <w:r w:rsidR="00E0403C">
        <w:t xml:space="preserve">that is included in a schedule to </w:t>
      </w:r>
      <w:r w:rsidRPr="007F2ED8">
        <w:t>the Poisons Standard</w:t>
      </w:r>
      <w:r w:rsidR="006E29EE">
        <w:t>; and</w:t>
      </w:r>
    </w:p>
    <w:p w14:paraId="07CBA380" w14:textId="3966FF15" w:rsidR="00C531BD" w:rsidRPr="00C531BD" w:rsidRDefault="006E29EE" w:rsidP="00ED7851">
      <w:pPr>
        <w:pStyle w:val="ListParagraph"/>
        <w:numPr>
          <w:ilvl w:val="1"/>
          <w:numId w:val="11"/>
        </w:numPr>
        <w:spacing w:before="120" w:beforeAutospacing="0" w:after="120" w:afterAutospacing="0"/>
      </w:pPr>
      <w:r>
        <w:t>d</w:t>
      </w:r>
      <w:r w:rsidRPr="006E29EE">
        <w:t>imethyl sulfate</w:t>
      </w:r>
      <w:r>
        <w:t xml:space="preserve">, </w:t>
      </w:r>
      <w:r w:rsidRPr="006E29EE">
        <w:t xml:space="preserve">to reflect that this ingredient is included in Schedule </w:t>
      </w:r>
      <w:r>
        <w:t>7</w:t>
      </w:r>
      <w:r w:rsidRPr="006E29EE">
        <w:t xml:space="preserve"> to the Poisons Standard and that the eligibility criteria for listing in Schedule 4 to the Regulations require that to be listable a medicine must not contain a substance  that is included in a schedule to the Poisons Standard</w:t>
      </w:r>
      <w:r w:rsidR="0053757F">
        <w:t>.</w:t>
      </w:r>
    </w:p>
    <w:p w14:paraId="55ABF547" w14:textId="77777777" w:rsidR="00C531BD" w:rsidRDefault="00C531BD" w:rsidP="0026650C">
      <w:pPr>
        <w:autoSpaceDE w:val="0"/>
        <w:autoSpaceDN w:val="0"/>
        <w:adjustRightInd w:val="0"/>
        <w:spacing w:after="0"/>
        <w:rPr>
          <w:rFonts w:ascii="Times New Roman" w:eastAsia="Times New Roman" w:hAnsi="Times New Roman" w:cs="Times New Roman"/>
          <w:b/>
          <w:bCs/>
          <w:sz w:val="24"/>
          <w:szCs w:val="24"/>
          <w:lang w:eastAsia="en-AU"/>
        </w:rPr>
      </w:pPr>
    </w:p>
    <w:p w14:paraId="43BACDC7" w14:textId="689F3FF6" w:rsidR="00EF1F18" w:rsidRPr="00C531BD" w:rsidRDefault="00EF1F18" w:rsidP="0026650C">
      <w:pPr>
        <w:autoSpaceDE w:val="0"/>
        <w:autoSpaceDN w:val="0"/>
        <w:adjustRightInd w:val="0"/>
        <w:spacing w:after="0"/>
        <w:rPr>
          <w:rFonts w:ascii="Times New Roman" w:eastAsia="Times New Roman" w:hAnsi="Times New Roman" w:cs="Times New Roman"/>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051EAD9A"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5EB68E72" w14:textId="5F0DFEC0" w:rsidR="005B70D2" w:rsidRDefault="00D43F14"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Public consultation </w:t>
      </w:r>
      <w:r w:rsidR="007310BB">
        <w:rPr>
          <w:rFonts w:ascii="Times New Roman" w:eastAsia="Times New Roman" w:hAnsi="Times New Roman" w:cs="Times New Roman"/>
          <w:sz w:val="24"/>
          <w:szCs w:val="24"/>
          <w:lang w:eastAsia="en-AU"/>
        </w:rPr>
        <w:t>was undertaken</w:t>
      </w:r>
      <w:r>
        <w:rPr>
          <w:rFonts w:ascii="Times New Roman" w:eastAsia="Times New Roman" w:hAnsi="Times New Roman" w:cs="Times New Roman"/>
          <w:sz w:val="24"/>
          <w:szCs w:val="24"/>
          <w:lang w:eastAsia="en-AU"/>
        </w:rPr>
        <w:t xml:space="preserve"> in accordance with </w:t>
      </w:r>
      <w:r w:rsidR="007310BB">
        <w:rPr>
          <w:rFonts w:ascii="Times New Roman" w:eastAsia="Times New Roman" w:hAnsi="Times New Roman" w:cs="Times New Roman"/>
          <w:sz w:val="24"/>
          <w:szCs w:val="24"/>
          <w:lang w:eastAsia="en-AU"/>
        </w:rPr>
        <w:t>Subdivision 3D.2 of Division 6 of the Regulations</w:t>
      </w:r>
      <w:r>
        <w:rPr>
          <w:rFonts w:ascii="Times New Roman" w:eastAsia="Times New Roman" w:hAnsi="Times New Roman" w:cs="Times New Roman"/>
          <w:sz w:val="24"/>
          <w:szCs w:val="24"/>
          <w:lang w:eastAsia="en-AU"/>
        </w:rPr>
        <w:t xml:space="preserve"> on the </w:t>
      </w:r>
      <w:r w:rsidR="007310BB">
        <w:rPr>
          <w:rFonts w:ascii="Times New Roman" w:eastAsia="Times New Roman" w:hAnsi="Times New Roman" w:cs="Times New Roman"/>
          <w:sz w:val="24"/>
          <w:szCs w:val="24"/>
          <w:lang w:eastAsia="en-AU"/>
        </w:rPr>
        <w:t>proposed</w:t>
      </w:r>
      <w:r>
        <w:rPr>
          <w:rFonts w:ascii="Times New Roman" w:eastAsia="Times New Roman" w:hAnsi="Times New Roman" w:cs="Times New Roman"/>
          <w:sz w:val="24"/>
          <w:szCs w:val="24"/>
          <w:lang w:eastAsia="en-AU"/>
        </w:rPr>
        <w:t xml:space="preserve"> inclusion of arbutin derivatives in the </w:t>
      </w:r>
      <w:r w:rsidRPr="007310BB">
        <w:rPr>
          <w:rFonts w:ascii="Times New Roman" w:eastAsia="Times New Roman" w:hAnsi="Times New Roman" w:cs="Times New Roman"/>
          <w:i/>
          <w:sz w:val="24"/>
          <w:szCs w:val="24"/>
          <w:lang w:eastAsia="en-AU"/>
        </w:rPr>
        <w:t>Poisons Standard</w:t>
      </w:r>
      <w:r w:rsidR="007310BB" w:rsidRPr="007310BB">
        <w:rPr>
          <w:rFonts w:ascii="Times New Roman" w:eastAsia="Times New Roman" w:hAnsi="Times New Roman" w:cs="Times New Roman"/>
          <w:i/>
          <w:sz w:val="24"/>
          <w:szCs w:val="24"/>
          <w:lang w:eastAsia="en-AU"/>
        </w:rPr>
        <w:t xml:space="preserve"> October 2020</w:t>
      </w:r>
      <w:r>
        <w:rPr>
          <w:rFonts w:ascii="Times New Roman" w:eastAsia="Times New Roman" w:hAnsi="Times New Roman" w:cs="Times New Roman"/>
          <w:sz w:val="24"/>
          <w:szCs w:val="24"/>
          <w:lang w:eastAsia="en-AU"/>
        </w:rPr>
        <w:t xml:space="preserve">. The TGA engaged </w:t>
      </w:r>
      <w:r w:rsidR="007310BB">
        <w:rPr>
          <w:rFonts w:ascii="Times New Roman" w:eastAsia="Times New Roman" w:hAnsi="Times New Roman" w:cs="Times New Roman"/>
          <w:sz w:val="24"/>
          <w:szCs w:val="24"/>
          <w:lang w:eastAsia="en-AU"/>
        </w:rPr>
        <w:t xml:space="preserve">directly </w:t>
      </w:r>
      <w:r>
        <w:rPr>
          <w:rFonts w:ascii="Times New Roman" w:eastAsia="Times New Roman" w:hAnsi="Times New Roman" w:cs="Times New Roman"/>
          <w:sz w:val="24"/>
          <w:szCs w:val="24"/>
          <w:lang w:eastAsia="en-AU"/>
        </w:rPr>
        <w:t xml:space="preserve">with the applicant for the inclusion of arbutin derivatives in the </w:t>
      </w:r>
      <w:r w:rsidRPr="007310BB">
        <w:rPr>
          <w:rFonts w:ascii="Times New Roman" w:eastAsia="Times New Roman" w:hAnsi="Times New Roman" w:cs="Times New Roman"/>
          <w:i/>
          <w:sz w:val="24"/>
          <w:szCs w:val="24"/>
          <w:lang w:eastAsia="en-AU"/>
        </w:rPr>
        <w:t>Poisons Standard</w:t>
      </w:r>
      <w:r w:rsidR="007310BB" w:rsidRPr="007310BB">
        <w:rPr>
          <w:rFonts w:ascii="Times New Roman" w:eastAsia="Times New Roman" w:hAnsi="Times New Roman" w:cs="Times New Roman"/>
          <w:i/>
          <w:sz w:val="24"/>
          <w:szCs w:val="24"/>
          <w:lang w:eastAsia="en-AU"/>
        </w:rPr>
        <w:t xml:space="preserve"> October 2020</w:t>
      </w:r>
      <w:r>
        <w:rPr>
          <w:rFonts w:ascii="Times New Roman" w:eastAsia="Times New Roman" w:hAnsi="Times New Roman" w:cs="Times New Roman"/>
          <w:sz w:val="24"/>
          <w:szCs w:val="24"/>
          <w:lang w:eastAsia="en-AU"/>
        </w:rPr>
        <w:t xml:space="preserve"> in connection with aligning the Determination with that inclusion</w:t>
      </w:r>
      <w:r w:rsidRPr="007F3304">
        <w:rPr>
          <w:rFonts w:ascii="Times New Roman" w:eastAsia="Times New Roman" w:hAnsi="Times New Roman" w:cs="Times New Roman"/>
          <w:sz w:val="24"/>
          <w:szCs w:val="24"/>
          <w:lang w:eastAsia="en-AU"/>
        </w:rPr>
        <w:t>.</w:t>
      </w:r>
    </w:p>
    <w:p w14:paraId="4B830C99" w14:textId="1A977BC2" w:rsidR="00D43F14" w:rsidRPr="007A52D3" w:rsidRDefault="00D43F14" w:rsidP="001A7C14">
      <w:pPr>
        <w:autoSpaceDE w:val="0"/>
        <w:autoSpaceDN w:val="0"/>
        <w:adjustRightInd w:val="0"/>
        <w:spacing w:after="0"/>
        <w:rPr>
          <w:rFonts w:ascii="Times New Roman" w:eastAsia="Times New Roman" w:hAnsi="Times New Roman" w:cs="Times New Roman"/>
          <w:sz w:val="24"/>
          <w:szCs w:val="24"/>
          <w:lang w:eastAsia="en-AU"/>
        </w:rPr>
      </w:pPr>
    </w:p>
    <w:p w14:paraId="1CD5837F" w14:textId="511F279F" w:rsidR="001A7C14" w:rsidRDefault="002156A0"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TGA published </w:t>
      </w:r>
      <w:r w:rsidR="00D43F14" w:rsidRPr="004041EC">
        <w:rPr>
          <w:rFonts w:ascii="Times New Roman" w:eastAsia="Times New Roman" w:hAnsi="Times New Roman" w:cs="Times New Roman"/>
          <w:sz w:val="24"/>
          <w:szCs w:val="24"/>
          <w:lang w:eastAsia="en-AU"/>
        </w:rPr>
        <w:t>safety advi</w:t>
      </w:r>
      <w:r>
        <w:rPr>
          <w:rFonts w:ascii="Times New Roman" w:eastAsia="Times New Roman" w:hAnsi="Times New Roman" w:cs="Times New Roman"/>
          <w:sz w:val="24"/>
          <w:szCs w:val="24"/>
          <w:lang w:eastAsia="en-AU"/>
        </w:rPr>
        <w:t>ce</w:t>
      </w:r>
      <w:r w:rsidR="00D43F14" w:rsidRPr="004041E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on the ingredient </w:t>
      </w:r>
      <w:r>
        <w:rPr>
          <w:rFonts w:ascii="Times New Roman" w:eastAsia="Times New Roman" w:hAnsi="Times New Roman" w:cs="Times New Roman"/>
          <w:i/>
          <w:sz w:val="24"/>
          <w:szCs w:val="24"/>
          <w:lang w:eastAsia="en-AU"/>
        </w:rPr>
        <w:t>Fallopia multiflora</w:t>
      </w:r>
      <w:r w:rsidR="00D43F1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on the TGA’s website </w:t>
      </w:r>
      <w:r w:rsidR="00D43F14" w:rsidRPr="004041EC">
        <w:rPr>
          <w:rFonts w:ascii="Times New Roman" w:eastAsia="Times New Roman" w:hAnsi="Times New Roman" w:cs="Times New Roman"/>
          <w:sz w:val="24"/>
          <w:szCs w:val="24"/>
          <w:lang w:eastAsia="en-AU"/>
        </w:rPr>
        <w:t>in April 2019</w:t>
      </w:r>
      <w:r w:rsidR="00D43F14">
        <w:rPr>
          <w:rFonts w:ascii="Times New Roman" w:eastAsia="Times New Roman" w:hAnsi="Times New Roman" w:cs="Times New Roman"/>
          <w:sz w:val="24"/>
          <w:szCs w:val="24"/>
          <w:lang w:eastAsia="en-AU"/>
        </w:rPr>
        <w:t xml:space="preserve">, </w:t>
      </w:r>
      <w:r w:rsidR="00D43F14" w:rsidRPr="004041EC">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lerting</w:t>
      </w:r>
      <w:r w:rsidR="00D43F14" w:rsidRPr="004041EC">
        <w:rPr>
          <w:rFonts w:ascii="Times New Roman" w:eastAsia="Times New Roman" w:hAnsi="Times New Roman" w:cs="Times New Roman"/>
          <w:sz w:val="24"/>
          <w:szCs w:val="24"/>
          <w:lang w:eastAsia="en-AU"/>
        </w:rPr>
        <w:t xml:space="preserve"> consumers and health professionals of the potential for liver damage associated with </w:t>
      </w:r>
      <w:r w:rsidR="00D43F14">
        <w:rPr>
          <w:rFonts w:ascii="Times New Roman" w:eastAsia="Times New Roman" w:hAnsi="Times New Roman" w:cs="Times New Roman"/>
          <w:i/>
          <w:sz w:val="24"/>
          <w:szCs w:val="24"/>
          <w:lang w:eastAsia="en-AU"/>
        </w:rPr>
        <w:t>Fallopia multiflora</w:t>
      </w:r>
      <w:r w:rsidR="00D43F14">
        <w:rPr>
          <w:rFonts w:ascii="Times New Roman" w:eastAsia="Times New Roman" w:hAnsi="Times New Roman" w:cs="Times New Roman"/>
          <w:sz w:val="24"/>
          <w:szCs w:val="24"/>
          <w:lang w:eastAsia="en-AU"/>
        </w:rPr>
        <w:t xml:space="preserve"> and that a review of the issue was</w:t>
      </w:r>
      <w:r w:rsidR="00D43F14" w:rsidRPr="004041EC">
        <w:rPr>
          <w:rFonts w:ascii="Times New Roman" w:eastAsia="Times New Roman" w:hAnsi="Times New Roman" w:cs="Times New Roman"/>
          <w:sz w:val="24"/>
          <w:szCs w:val="24"/>
          <w:lang w:eastAsia="en-AU"/>
        </w:rPr>
        <w:t xml:space="preserve"> ongoing.</w:t>
      </w:r>
      <w:r w:rsidR="008D09AA">
        <w:rPr>
          <w:rFonts w:ascii="Times New Roman" w:eastAsia="Times New Roman" w:hAnsi="Times New Roman" w:cs="Times New Roman"/>
          <w:sz w:val="24"/>
          <w:szCs w:val="24"/>
          <w:lang w:eastAsia="en-AU"/>
        </w:rPr>
        <w:t xml:space="preserve"> </w:t>
      </w:r>
      <w:r w:rsidR="00D43F14" w:rsidRPr="004041EC">
        <w:rPr>
          <w:rFonts w:ascii="Times New Roman" w:eastAsia="Times New Roman" w:hAnsi="Times New Roman" w:cs="Times New Roman"/>
          <w:sz w:val="24"/>
          <w:szCs w:val="24"/>
          <w:lang w:eastAsia="en-AU"/>
        </w:rPr>
        <w:t xml:space="preserve">The TGA </w:t>
      </w:r>
      <w:r>
        <w:rPr>
          <w:rFonts w:ascii="Times New Roman" w:eastAsia="Times New Roman" w:hAnsi="Times New Roman" w:cs="Times New Roman"/>
          <w:sz w:val="24"/>
          <w:szCs w:val="24"/>
          <w:lang w:eastAsia="en-AU"/>
        </w:rPr>
        <w:t xml:space="preserve">also </w:t>
      </w:r>
      <w:r w:rsidR="00D43F14" w:rsidRPr="004041EC">
        <w:rPr>
          <w:rFonts w:ascii="Times New Roman" w:eastAsia="Times New Roman" w:hAnsi="Times New Roman" w:cs="Times New Roman"/>
          <w:sz w:val="24"/>
          <w:szCs w:val="24"/>
          <w:lang w:eastAsia="en-AU"/>
        </w:rPr>
        <w:t>sought advice on this issue</w:t>
      </w:r>
      <w:r w:rsidR="00BD2F63">
        <w:rPr>
          <w:rFonts w:ascii="Times New Roman" w:eastAsia="Times New Roman" w:hAnsi="Times New Roman" w:cs="Times New Roman"/>
          <w:sz w:val="24"/>
          <w:szCs w:val="24"/>
          <w:lang w:eastAsia="en-AU"/>
        </w:rPr>
        <w:t xml:space="preserve"> of the safety of this ingredient</w:t>
      </w:r>
      <w:r w:rsidR="00D43F14" w:rsidRPr="004041EC">
        <w:rPr>
          <w:rFonts w:ascii="Times New Roman" w:eastAsia="Times New Roman" w:hAnsi="Times New Roman" w:cs="Times New Roman"/>
          <w:sz w:val="24"/>
          <w:szCs w:val="24"/>
          <w:lang w:eastAsia="en-AU"/>
        </w:rPr>
        <w:t xml:space="preserve"> from the </w:t>
      </w:r>
      <w:hyperlink r:id="rId8" w:history="1">
        <w:r w:rsidR="00D43F14" w:rsidRPr="004041EC">
          <w:rPr>
            <w:rFonts w:ascii="Times New Roman" w:hAnsi="Times New Roman" w:cs="Times New Roman"/>
            <w:sz w:val="24"/>
            <w:szCs w:val="24"/>
            <w:lang w:eastAsia="en-AU"/>
          </w:rPr>
          <w:t>Advisory Committee on Complementary Medicines (</w:t>
        </w:r>
        <w:r w:rsidR="00E0554F">
          <w:rPr>
            <w:rFonts w:ascii="Times New Roman" w:hAnsi="Times New Roman" w:cs="Times New Roman"/>
            <w:sz w:val="24"/>
            <w:szCs w:val="24"/>
            <w:lang w:eastAsia="en-AU"/>
          </w:rPr>
          <w:t>“</w:t>
        </w:r>
        <w:r w:rsidR="00AD13D6">
          <w:rPr>
            <w:rFonts w:ascii="Times New Roman" w:hAnsi="Times New Roman" w:cs="Times New Roman"/>
            <w:sz w:val="24"/>
            <w:szCs w:val="24"/>
            <w:lang w:eastAsia="en-AU"/>
          </w:rPr>
          <w:t xml:space="preserve">the </w:t>
        </w:r>
        <w:r w:rsidR="00D43F14" w:rsidRPr="004041EC">
          <w:rPr>
            <w:rFonts w:ascii="Times New Roman" w:hAnsi="Times New Roman" w:cs="Times New Roman"/>
            <w:sz w:val="24"/>
            <w:szCs w:val="24"/>
            <w:lang w:eastAsia="en-AU"/>
          </w:rPr>
          <w:t>ACCM</w:t>
        </w:r>
        <w:r w:rsidR="00E0554F">
          <w:rPr>
            <w:rFonts w:ascii="Times New Roman" w:hAnsi="Times New Roman" w:cs="Times New Roman"/>
            <w:sz w:val="24"/>
            <w:szCs w:val="24"/>
            <w:lang w:eastAsia="en-AU"/>
          </w:rPr>
          <w:t>”</w:t>
        </w:r>
        <w:r w:rsidR="00D43F14" w:rsidRPr="004041EC">
          <w:rPr>
            <w:rFonts w:ascii="Times New Roman" w:hAnsi="Times New Roman" w:cs="Times New Roman"/>
            <w:sz w:val="24"/>
            <w:szCs w:val="24"/>
            <w:lang w:eastAsia="en-AU"/>
          </w:rPr>
          <w:t>)</w:t>
        </w:r>
      </w:hyperlink>
      <w:r w:rsidR="00D43F14" w:rsidRPr="004041EC">
        <w:rPr>
          <w:rFonts w:ascii="Times New Roman" w:eastAsia="Times New Roman" w:hAnsi="Times New Roman" w:cs="Times New Roman"/>
          <w:sz w:val="24"/>
          <w:szCs w:val="24"/>
          <w:lang w:eastAsia="en-AU"/>
        </w:rPr>
        <w:t xml:space="preserve"> at its </w:t>
      </w:r>
      <w:hyperlink r:id="rId9" w:history="1">
        <w:r w:rsidR="00D43F14" w:rsidRPr="004041EC">
          <w:rPr>
            <w:rFonts w:ascii="Times New Roman" w:hAnsi="Times New Roman" w:cs="Times New Roman"/>
            <w:sz w:val="24"/>
            <w:szCs w:val="24"/>
            <w:lang w:eastAsia="en-AU"/>
          </w:rPr>
          <w:t>24th meeting</w:t>
        </w:r>
      </w:hyperlink>
      <w:r w:rsidR="00AD13D6">
        <w:rPr>
          <w:rFonts w:ascii="Times New Roman" w:hAnsi="Times New Roman" w:cs="Times New Roman"/>
          <w:sz w:val="24"/>
          <w:szCs w:val="24"/>
          <w:lang w:eastAsia="en-AU"/>
        </w:rPr>
        <w:t xml:space="preserve"> on</w:t>
      </w:r>
      <w:r w:rsidR="0070320C">
        <w:rPr>
          <w:rFonts w:ascii="Times New Roman" w:hAnsi="Times New Roman" w:cs="Times New Roman"/>
          <w:sz w:val="24"/>
          <w:szCs w:val="24"/>
          <w:lang w:eastAsia="en-AU"/>
        </w:rPr>
        <w:t xml:space="preserve"> </w:t>
      </w:r>
      <w:r w:rsidR="006B6E14">
        <w:rPr>
          <w:rFonts w:ascii="Times New Roman" w:hAnsi="Times New Roman" w:cs="Times New Roman"/>
          <w:sz w:val="24"/>
          <w:szCs w:val="24"/>
          <w:lang w:eastAsia="en-AU"/>
        </w:rPr>
        <w:t>19 March 2020.</w:t>
      </w:r>
      <w:r w:rsidR="00D43F14" w:rsidRPr="004041EC">
        <w:rPr>
          <w:rFonts w:ascii="Times New Roman" w:eastAsia="Times New Roman" w:hAnsi="Times New Roman" w:cs="Times New Roman"/>
          <w:sz w:val="24"/>
          <w:szCs w:val="24"/>
          <w:lang w:eastAsia="en-AU"/>
        </w:rPr>
        <w:t xml:space="preserve"> </w:t>
      </w:r>
    </w:p>
    <w:p w14:paraId="652062FE" w14:textId="77777777" w:rsidR="001A7C14" w:rsidRDefault="001A7C14" w:rsidP="001A7C14">
      <w:pPr>
        <w:autoSpaceDE w:val="0"/>
        <w:autoSpaceDN w:val="0"/>
        <w:adjustRightInd w:val="0"/>
        <w:spacing w:after="0"/>
        <w:rPr>
          <w:rFonts w:ascii="Times New Roman" w:eastAsia="Times New Roman" w:hAnsi="Times New Roman" w:cs="Times New Roman"/>
          <w:sz w:val="24"/>
          <w:szCs w:val="24"/>
          <w:lang w:eastAsia="en-AU"/>
        </w:rPr>
      </w:pPr>
    </w:p>
    <w:p w14:paraId="7D8720CC" w14:textId="5059121C" w:rsidR="00D43F14" w:rsidRDefault="00D43F14" w:rsidP="001A7C14">
      <w:pPr>
        <w:autoSpaceDE w:val="0"/>
        <w:autoSpaceDN w:val="0"/>
        <w:adjustRightInd w:val="0"/>
        <w:spacing w:after="0"/>
        <w:rPr>
          <w:rFonts w:ascii="Times New Roman" w:eastAsia="Times New Roman" w:hAnsi="Times New Roman" w:cs="Times New Roman"/>
          <w:sz w:val="24"/>
          <w:szCs w:val="24"/>
          <w:lang w:eastAsia="en-AU"/>
        </w:rPr>
      </w:pPr>
      <w:r w:rsidRPr="004041EC">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advice from </w:t>
      </w:r>
      <w:r w:rsidR="00AD13D6">
        <w:rPr>
          <w:rFonts w:ascii="Times New Roman" w:eastAsia="Times New Roman" w:hAnsi="Times New Roman" w:cs="Times New Roman"/>
          <w:sz w:val="24"/>
          <w:szCs w:val="24"/>
          <w:lang w:eastAsia="en-AU"/>
        </w:rPr>
        <w:t xml:space="preserve">the </w:t>
      </w:r>
      <w:r w:rsidRPr="004041EC">
        <w:rPr>
          <w:rFonts w:ascii="Times New Roman" w:eastAsia="Times New Roman" w:hAnsi="Times New Roman" w:cs="Times New Roman"/>
          <w:sz w:val="24"/>
          <w:szCs w:val="24"/>
          <w:lang w:eastAsia="en-AU"/>
        </w:rPr>
        <w:t xml:space="preserve">ACCM </w:t>
      </w:r>
      <w:r>
        <w:rPr>
          <w:rFonts w:ascii="Times New Roman" w:eastAsia="Times New Roman" w:hAnsi="Times New Roman" w:cs="Times New Roman"/>
          <w:sz w:val="24"/>
          <w:szCs w:val="24"/>
          <w:lang w:eastAsia="en-AU"/>
        </w:rPr>
        <w:t xml:space="preserve">included </w:t>
      </w:r>
      <w:r w:rsidRPr="004041EC">
        <w:rPr>
          <w:rFonts w:ascii="Times New Roman" w:eastAsia="Times New Roman" w:hAnsi="Times New Roman" w:cs="Times New Roman"/>
          <w:sz w:val="24"/>
          <w:szCs w:val="24"/>
          <w:lang w:eastAsia="en-AU"/>
        </w:rPr>
        <w:t>that</w:t>
      </w:r>
      <w:r w:rsidR="005873CF">
        <w:rPr>
          <w:rFonts w:ascii="Times New Roman" w:eastAsia="Times New Roman" w:hAnsi="Times New Roman" w:cs="Times New Roman"/>
          <w:sz w:val="24"/>
          <w:szCs w:val="24"/>
          <w:lang w:eastAsia="en-AU"/>
        </w:rPr>
        <w:t>,</w:t>
      </w:r>
      <w:r w:rsidR="00AD13D6">
        <w:rPr>
          <w:rFonts w:ascii="Times New Roman" w:eastAsia="Times New Roman" w:hAnsi="Times New Roman" w:cs="Times New Roman"/>
          <w:sz w:val="24"/>
          <w:szCs w:val="24"/>
          <w:lang w:eastAsia="en-AU"/>
        </w:rPr>
        <w:t xml:space="preserve"> in light of those safety concerns</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w:t>
      </w:r>
      <w:r w:rsidRPr="004041EC">
        <w:rPr>
          <w:rFonts w:ascii="Times New Roman" w:eastAsia="Times New Roman" w:hAnsi="Times New Roman" w:cs="Times New Roman"/>
          <w:sz w:val="24"/>
          <w:szCs w:val="24"/>
          <w:lang w:eastAsia="en-AU"/>
        </w:rPr>
        <w:t xml:space="preserve">he </w:t>
      </w:r>
      <w:r>
        <w:rPr>
          <w:rFonts w:ascii="Times New Roman" w:eastAsia="Times New Roman" w:hAnsi="Times New Roman" w:cs="Times New Roman"/>
          <w:sz w:val="24"/>
          <w:szCs w:val="24"/>
          <w:lang w:eastAsia="en-AU"/>
        </w:rPr>
        <w:t xml:space="preserve">currently </w:t>
      </w:r>
      <w:r w:rsidRPr="004041EC">
        <w:rPr>
          <w:rFonts w:ascii="Times New Roman" w:eastAsia="Times New Roman" w:hAnsi="Times New Roman" w:cs="Times New Roman"/>
          <w:sz w:val="24"/>
          <w:szCs w:val="24"/>
          <w:lang w:eastAsia="en-AU"/>
        </w:rPr>
        <w:t>available form</w:t>
      </w:r>
      <w:r>
        <w:rPr>
          <w:rFonts w:ascii="Times New Roman" w:eastAsia="Times New Roman" w:hAnsi="Times New Roman" w:cs="Times New Roman"/>
          <w:sz w:val="24"/>
          <w:szCs w:val="24"/>
          <w:lang w:eastAsia="en-AU"/>
        </w:rPr>
        <w:t>s</w:t>
      </w:r>
      <w:r w:rsidRPr="004041EC">
        <w:rPr>
          <w:rFonts w:ascii="Times New Roman" w:eastAsia="Times New Roman" w:hAnsi="Times New Roman" w:cs="Times New Roman"/>
          <w:sz w:val="24"/>
          <w:szCs w:val="24"/>
          <w:lang w:eastAsia="en-AU"/>
        </w:rPr>
        <w:t xml:space="preserve"> of </w:t>
      </w:r>
      <w:r w:rsidRPr="00166D53">
        <w:rPr>
          <w:rFonts w:ascii="Times New Roman" w:eastAsia="Times New Roman" w:hAnsi="Times New Roman" w:cs="Times New Roman"/>
          <w:i/>
          <w:sz w:val="24"/>
          <w:szCs w:val="24"/>
          <w:lang w:eastAsia="en-AU"/>
        </w:rPr>
        <w:t>Fallopia multiflora</w:t>
      </w:r>
      <w:r w:rsidRPr="004041E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are</w:t>
      </w:r>
      <w:r w:rsidRPr="004041EC">
        <w:rPr>
          <w:rFonts w:ascii="Times New Roman" w:eastAsia="Times New Roman" w:hAnsi="Times New Roman" w:cs="Times New Roman"/>
          <w:sz w:val="24"/>
          <w:szCs w:val="24"/>
          <w:lang w:eastAsia="en-AU"/>
        </w:rPr>
        <w:t xml:space="preserve"> not suitable </w:t>
      </w:r>
      <w:r>
        <w:rPr>
          <w:rFonts w:ascii="Times New Roman" w:eastAsia="Times New Roman" w:hAnsi="Times New Roman" w:cs="Times New Roman"/>
          <w:sz w:val="24"/>
          <w:szCs w:val="24"/>
          <w:lang w:eastAsia="en-AU"/>
        </w:rPr>
        <w:t xml:space="preserve">for use in listed </w:t>
      </w:r>
      <w:r w:rsidR="00AD13D6">
        <w:rPr>
          <w:rFonts w:ascii="Times New Roman" w:eastAsia="Times New Roman" w:hAnsi="Times New Roman" w:cs="Times New Roman"/>
          <w:sz w:val="24"/>
          <w:szCs w:val="24"/>
          <w:lang w:eastAsia="en-AU"/>
        </w:rPr>
        <w:t xml:space="preserve">or assessed listed </w:t>
      </w:r>
      <w:r>
        <w:rPr>
          <w:rFonts w:ascii="Times New Roman" w:eastAsia="Times New Roman" w:hAnsi="Times New Roman" w:cs="Times New Roman"/>
          <w:sz w:val="24"/>
          <w:szCs w:val="24"/>
          <w:lang w:eastAsia="en-AU"/>
        </w:rPr>
        <w:t xml:space="preserve">medicines, and </w:t>
      </w:r>
      <w:r w:rsidR="00AD13D6">
        <w:rPr>
          <w:rFonts w:ascii="Times New Roman" w:eastAsia="Times New Roman" w:hAnsi="Times New Roman" w:cs="Times New Roman"/>
          <w:sz w:val="24"/>
          <w:szCs w:val="24"/>
          <w:lang w:eastAsia="en-AU"/>
        </w:rPr>
        <w:t xml:space="preserve">the ACCM </w:t>
      </w:r>
      <w:r w:rsidRPr="004041EC">
        <w:rPr>
          <w:rFonts w:ascii="Times New Roman" w:eastAsia="Times New Roman" w:hAnsi="Times New Roman" w:cs="Times New Roman"/>
          <w:sz w:val="24"/>
          <w:szCs w:val="24"/>
          <w:lang w:eastAsia="en-AU"/>
        </w:rPr>
        <w:t>recommended healthcare professional</w:t>
      </w:r>
      <w:r w:rsidR="00AD13D6">
        <w:rPr>
          <w:rFonts w:ascii="Times New Roman" w:eastAsia="Times New Roman" w:hAnsi="Times New Roman" w:cs="Times New Roman"/>
          <w:sz w:val="24"/>
          <w:szCs w:val="24"/>
          <w:lang w:eastAsia="en-AU"/>
        </w:rPr>
        <w:t>s be notified about</w:t>
      </w:r>
      <w:r w:rsidRPr="004041EC">
        <w:rPr>
          <w:rFonts w:ascii="Times New Roman" w:eastAsia="Times New Roman" w:hAnsi="Times New Roman" w:cs="Times New Roman"/>
          <w:sz w:val="24"/>
          <w:szCs w:val="24"/>
          <w:lang w:eastAsia="en-AU"/>
        </w:rPr>
        <w:t xml:space="preserve"> the risk</w:t>
      </w:r>
      <w:r w:rsidR="00AD13D6">
        <w:rPr>
          <w:rFonts w:ascii="Times New Roman" w:eastAsia="Times New Roman" w:hAnsi="Times New Roman" w:cs="Times New Roman"/>
          <w:sz w:val="24"/>
          <w:szCs w:val="24"/>
          <w:lang w:eastAsia="en-AU"/>
        </w:rPr>
        <w:t>s</w:t>
      </w:r>
      <w:r w:rsidRPr="004041EC">
        <w:rPr>
          <w:rFonts w:ascii="Times New Roman" w:eastAsia="Times New Roman" w:hAnsi="Times New Roman" w:cs="Times New Roman"/>
          <w:sz w:val="24"/>
          <w:szCs w:val="24"/>
          <w:lang w:eastAsia="en-AU"/>
        </w:rPr>
        <w:t xml:space="preserve"> </w:t>
      </w:r>
      <w:r w:rsidR="00AD13D6">
        <w:rPr>
          <w:rFonts w:ascii="Times New Roman" w:eastAsia="Times New Roman" w:hAnsi="Times New Roman" w:cs="Times New Roman"/>
          <w:sz w:val="24"/>
          <w:szCs w:val="24"/>
          <w:lang w:eastAsia="en-AU"/>
        </w:rPr>
        <w:t>of such products for</w:t>
      </w:r>
      <w:r w:rsidRPr="004041EC">
        <w:rPr>
          <w:rFonts w:ascii="Times New Roman" w:eastAsia="Times New Roman" w:hAnsi="Times New Roman" w:cs="Times New Roman"/>
          <w:sz w:val="24"/>
          <w:szCs w:val="24"/>
          <w:lang w:eastAsia="en-AU"/>
        </w:rPr>
        <w:t xml:space="preserve"> consumers.</w:t>
      </w:r>
      <w:r>
        <w:rPr>
          <w:rFonts w:ascii="Times New Roman" w:eastAsia="Times New Roman" w:hAnsi="Times New Roman" w:cs="Times New Roman"/>
          <w:sz w:val="24"/>
          <w:szCs w:val="24"/>
          <w:lang w:eastAsia="en-AU"/>
        </w:rPr>
        <w:t xml:space="preserve"> </w:t>
      </w:r>
      <w:r w:rsidR="00AD13D6">
        <w:rPr>
          <w:rFonts w:ascii="Times New Roman" w:eastAsia="Times New Roman" w:hAnsi="Times New Roman" w:cs="Times New Roman"/>
          <w:sz w:val="24"/>
          <w:szCs w:val="24"/>
          <w:lang w:eastAsia="en-AU"/>
        </w:rPr>
        <w:t>Following that advice, t</w:t>
      </w:r>
      <w:r>
        <w:rPr>
          <w:rFonts w:ascii="Times New Roman" w:eastAsia="Times New Roman" w:hAnsi="Times New Roman" w:cs="Times New Roman"/>
          <w:sz w:val="24"/>
          <w:szCs w:val="24"/>
          <w:lang w:eastAsia="en-AU"/>
        </w:rPr>
        <w:t xml:space="preserve">he TGA </w:t>
      </w:r>
      <w:r w:rsidR="00B4014F">
        <w:rPr>
          <w:rFonts w:ascii="Times New Roman" w:eastAsia="Times New Roman" w:hAnsi="Times New Roman" w:cs="Times New Roman"/>
          <w:sz w:val="24"/>
          <w:szCs w:val="24"/>
          <w:lang w:eastAsia="en-AU"/>
        </w:rPr>
        <w:t>alerted</w:t>
      </w:r>
      <w:r>
        <w:rPr>
          <w:rFonts w:ascii="Times New Roman" w:eastAsia="Times New Roman" w:hAnsi="Times New Roman" w:cs="Times New Roman"/>
          <w:sz w:val="24"/>
          <w:szCs w:val="24"/>
          <w:lang w:eastAsia="en-AU"/>
        </w:rPr>
        <w:t xml:space="preserve"> the Chinese </w:t>
      </w:r>
      <w:r>
        <w:rPr>
          <w:rFonts w:ascii="Times New Roman" w:eastAsia="Times New Roman" w:hAnsi="Times New Roman" w:cs="Times New Roman"/>
          <w:sz w:val="24"/>
          <w:szCs w:val="24"/>
          <w:lang w:eastAsia="en-AU"/>
        </w:rPr>
        <w:lastRenderedPageBreak/>
        <w:t>Medicine Board</w:t>
      </w:r>
      <w:r w:rsidR="006B6E14">
        <w:rPr>
          <w:rFonts w:ascii="Times New Roman" w:eastAsia="Times New Roman" w:hAnsi="Times New Roman" w:cs="Times New Roman"/>
          <w:sz w:val="24"/>
          <w:szCs w:val="24"/>
          <w:lang w:eastAsia="en-AU"/>
        </w:rPr>
        <w:t xml:space="preserve"> of Australia</w:t>
      </w:r>
      <w:r w:rsidR="0070320C">
        <w:rPr>
          <w:rFonts w:ascii="Times New Roman" w:eastAsia="Times New Roman" w:hAnsi="Times New Roman" w:cs="Times New Roman"/>
          <w:sz w:val="24"/>
          <w:szCs w:val="24"/>
          <w:lang w:eastAsia="en-AU"/>
        </w:rPr>
        <w:t xml:space="preserve"> on </w:t>
      </w:r>
      <w:r w:rsidR="006B6E14">
        <w:rPr>
          <w:rFonts w:ascii="Times New Roman" w:eastAsia="Times New Roman" w:hAnsi="Times New Roman" w:cs="Times New Roman"/>
          <w:sz w:val="24"/>
          <w:szCs w:val="24"/>
          <w:lang w:eastAsia="en-AU"/>
        </w:rPr>
        <w:t>18 November 2020</w:t>
      </w:r>
      <w:r>
        <w:rPr>
          <w:rFonts w:ascii="Times New Roman" w:eastAsia="Times New Roman" w:hAnsi="Times New Roman" w:cs="Times New Roman"/>
          <w:sz w:val="24"/>
          <w:szCs w:val="24"/>
          <w:lang w:eastAsia="en-AU"/>
        </w:rPr>
        <w:t xml:space="preserve">, who advised </w:t>
      </w:r>
      <w:r w:rsidR="00B4014F">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 xml:space="preserve">they would communicate the risk </w:t>
      </w:r>
      <w:r w:rsidR="00B4014F">
        <w:rPr>
          <w:rFonts w:ascii="Times New Roman" w:eastAsia="Times New Roman" w:hAnsi="Times New Roman" w:cs="Times New Roman"/>
          <w:sz w:val="24"/>
          <w:szCs w:val="24"/>
          <w:lang w:eastAsia="en-AU"/>
        </w:rPr>
        <w:t>to</w:t>
      </w:r>
      <w:r w:rsidRPr="00166D53">
        <w:rPr>
          <w:rFonts w:ascii="Times New Roman" w:eastAsia="Times New Roman" w:hAnsi="Times New Roman" w:cs="Times New Roman"/>
          <w:sz w:val="24"/>
          <w:szCs w:val="24"/>
          <w:lang w:eastAsia="en-AU"/>
        </w:rPr>
        <w:t xml:space="preserve"> </w:t>
      </w:r>
      <w:r w:rsidR="00B4014F">
        <w:rPr>
          <w:rFonts w:ascii="Times New Roman" w:eastAsia="Times New Roman" w:hAnsi="Times New Roman" w:cs="Times New Roman"/>
          <w:sz w:val="24"/>
          <w:szCs w:val="24"/>
          <w:lang w:eastAsia="en-AU"/>
        </w:rPr>
        <w:t xml:space="preserve">their </w:t>
      </w:r>
      <w:r w:rsidRPr="00166D53">
        <w:rPr>
          <w:rFonts w:ascii="Times New Roman" w:eastAsia="Times New Roman" w:hAnsi="Times New Roman" w:cs="Times New Roman"/>
          <w:sz w:val="24"/>
          <w:szCs w:val="24"/>
          <w:lang w:eastAsia="en-AU"/>
        </w:rPr>
        <w:t>registered practitioners and other key stakeholders</w:t>
      </w:r>
      <w:r>
        <w:rPr>
          <w:rFonts w:ascii="Times New Roman" w:eastAsia="Times New Roman" w:hAnsi="Times New Roman" w:cs="Times New Roman"/>
          <w:sz w:val="24"/>
          <w:szCs w:val="24"/>
          <w:lang w:eastAsia="en-AU"/>
        </w:rPr>
        <w:t>.</w:t>
      </w:r>
    </w:p>
    <w:p w14:paraId="5CA6091A"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25ED539F" w14:textId="77777777" w:rsidR="001A7C14" w:rsidRDefault="001A7C14"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 22 July 2020 t</w:t>
      </w:r>
      <w:r w:rsidRPr="004041EC">
        <w:rPr>
          <w:rFonts w:ascii="Times New Roman" w:eastAsia="Times New Roman" w:hAnsi="Times New Roman" w:cs="Times New Roman"/>
          <w:sz w:val="24"/>
          <w:szCs w:val="24"/>
          <w:lang w:eastAsia="en-AU"/>
        </w:rPr>
        <w:t xml:space="preserve">he TGA </w:t>
      </w:r>
      <w:r>
        <w:rPr>
          <w:rFonts w:ascii="Times New Roman" w:eastAsia="Times New Roman" w:hAnsi="Times New Roman" w:cs="Times New Roman"/>
          <w:sz w:val="24"/>
          <w:szCs w:val="24"/>
          <w:lang w:eastAsia="en-AU"/>
        </w:rPr>
        <w:t>wrote directly to</w:t>
      </w:r>
      <w:r w:rsidRPr="004041EC">
        <w:rPr>
          <w:rFonts w:ascii="Times New Roman" w:eastAsia="Times New Roman" w:hAnsi="Times New Roman" w:cs="Times New Roman"/>
          <w:sz w:val="24"/>
          <w:szCs w:val="24"/>
          <w:lang w:eastAsia="en-AU"/>
        </w:rPr>
        <w:t xml:space="preserve"> all sponsors of listed medicines containing </w:t>
      </w:r>
      <w:r w:rsidRPr="00166D53">
        <w:rPr>
          <w:rFonts w:ascii="Times New Roman" w:eastAsia="Times New Roman" w:hAnsi="Times New Roman" w:cs="Times New Roman"/>
          <w:i/>
          <w:sz w:val="24"/>
          <w:szCs w:val="24"/>
          <w:lang w:eastAsia="en-AU"/>
        </w:rPr>
        <w:t>Fallopia multiflora</w:t>
      </w:r>
      <w:r w:rsidRPr="004041E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about the risk </w:t>
      </w:r>
      <w:r w:rsidRPr="004041EC">
        <w:rPr>
          <w:rFonts w:ascii="Times New Roman" w:eastAsia="Times New Roman" w:hAnsi="Times New Roman" w:cs="Times New Roman"/>
          <w:sz w:val="24"/>
          <w:szCs w:val="24"/>
          <w:lang w:eastAsia="en-AU"/>
        </w:rPr>
        <w:t xml:space="preserve">and encouraged </w:t>
      </w:r>
      <w:r>
        <w:rPr>
          <w:rFonts w:ascii="Times New Roman" w:eastAsia="Times New Roman" w:hAnsi="Times New Roman" w:cs="Times New Roman"/>
          <w:sz w:val="24"/>
          <w:szCs w:val="24"/>
          <w:lang w:eastAsia="en-AU"/>
        </w:rPr>
        <w:t>them</w:t>
      </w:r>
      <w:r w:rsidRPr="004041EC">
        <w:rPr>
          <w:rFonts w:ascii="Times New Roman" w:eastAsia="Times New Roman" w:hAnsi="Times New Roman" w:cs="Times New Roman"/>
          <w:sz w:val="24"/>
          <w:szCs w:val="24"/>
          <w:lang w:eastAsia="en-AU"/>
        </w:rPr>
        <w:t xml:space="preserve"> to provide information to support the safety of their medicines. </w:t>
      </w:r>
      <w:r>
        <w:rPr>
          <w:rFonts w:ascii="Times New Roman" w:eastAsia="Times New Roman" w:hAnsi="Times New Roman" w:cs="Times New Roman"/>
          <w:sz w:val="24"/>
          <w:szCs w:val="24"/>
          <w:lang w:eastAsia="en-AU"/>
        </w:rPr>
        <w:t>The r</w:t>
      </w:r>
      <w:r w:rsidRPr="004041EC">
        <w:rPr>
          <w:rFonts w:ascii="Times New Roman" w:eastAsia="Times New Roman" w:hAnsi="Times New Roman" w:cs="Times New Roman"/>
          <w:sz w:val="24"/>
          <w:szCs w:val="24"/>
          <w:lang w:eastAsia="en-AU"/>
        </w:rPr>
        <w:t xml:space="preserve">esponses received did not establish that the safety </w:t>
      </w:r>
      <w:r>
        <w:rPr>
          <w:rFonts w:ascii="Times New Roman" w:eastAsia="Times New Roman" w:hAnsi="Times New Roman" w:cs="Times New Roman"/>
          <w:sz w:val="24"/>
          <w:szCs w:val="24"/>
          <w:lang w:eastAsia="en-AU"/>
        </w:rPr>
        <w:t xml:space="preserve">profile </w:t>
      </w:r>
      <w:r w:rsidRPr="004041EC">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listed</w:t>
      </w:r>
      <w:r w:rsidRPr="004041EC">
        <w:rPr>
          <w:rFonts w:ascii="Times New Roman" w:eastAsia="Times New Roman" w:hAnsi="Times New Roman" w:cs="Times New Roman"/>
          <w:sz w:val="24"/>
          <w:szCs w:val="24"/>
          <w:lang w:eastAsia="en-AU"/>
        </w:rPr>
        <w:t xml:space="preserve"> medicines </w:t>
      </w:r>
      <w:r>
        <w:rPr>
          <w:rFonts w:ascii="Times New Roman" w:eastAsia="Times New Roman" w:hAnsi="Times New Roman" w:cs="Times New Roman"/>
          <w:sz w:val="24"/>
          <w:szCs w:val="24"/>
          <w:lang w:eastAsia="en-AU"/>
        </w:rPr>
        <w:t xml:space="preserve">containing this ingredient </w:t>
      </w:r>
      <w:r w:rsidRPr="004041EC">
        <w:rPr>
          <w:rFonts w:ascii="Times New Roman" w:eastAsia="Times New Roman" w:hAnsi="Times New Roman" w:cs="Times New Roman"/>
          <w:sz w:val="24"/>
          <w:szCs w:val="24"/>
          <w:lang w:eastAsia="en-AU"/>
        </w:rPr>
        <w:t xml:space="preserve">was appropriate, and </w:t>
      </w:r>
      <w:r>
        <w:rPr>
          <w:rFonts w:ascii="Times New Roman" w:eastAsia="Times New Roman" w:hAnsi="Times New Roman" w:cs="Times New Roman"/>
          <w:sz w:val="24"/>
          <w:szCs w:val="24"/>
          <w:lang w:eastAsia="en-AU"/>
        </w:rPr>
        <w:t>the medicines were cancelled from the Register and recalled from the Australian market, in light of the safety concerns.</w:t>
      </w:r>
    </w:p>
    <w:p w14:paraId="1C77BAF4" w14:textId="77777777" w:rsidR="001A7C14" w:rsidRDefault="001A7C14" w:rsidP="001A7C14">
      <w:pPr>
        <w:autoSpaceDE w:val="0"/>
        <w:autoSpaceDN w:val="0"/>
        <w:adjustRightInd w:val="0"/>
        <w:spacing w:after="0"/>
        <w:rPr>
          <w:rFonts w:ascii="Times New Roman" w:eastAsia="Times New Roman" w:hAnsi="Times New Roman" w:cs="Times New Roman"/>
          <w:sz w:val="24"/>
          <w:szCs w:val="24"/>
          <w:lang w:eastAsia="en-AU"/>
        </w:rPr>
      </w:pPr>
    </w:p>
    <w:p w14:paraId="00FFA042" w14:textId="6BF2A84E" w:rsidR="00B4014F" w:rsidRDefault="0070320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 4 August 2020</w:t>
      </w:r>
      <w:r w:rsidR="00BE58EA">
        <w:rPr>
          <w:rFonts w:ascii="Times New Roman" w:eastAsia="Times New Roman" w:hAnsi="Times New Roman" w:cs="Times New Roman"/>
          <w:sz w:val="24"/>
          <w:szCs w:val="24"/>
          <w:lang w:eastAsia="en-AU"/>
        </w:rPr>
        <w:t xml:space="preserve"> t</w:t>
      </w:r>
      <w:r w:rsidR="00B4014F">
        <w:rPr>
          <w:rFonts w:ascii="Times New Roman" w:eastAsia="Times New Roman" w:hAnsi="Times New Roman" w:cs="Times New Roman"/>
          <w:sz w:val="24"/>
          <w:szCs w:val="24"/>
          <w:lang w:eastAsia="en-AU"/>
        </w:rPr>
        <w:t>he TGA contacted Complementary Medicines Australia</w:t>
      </w:r>
      <w:r>
        <w:rPr>
          <w:rFonts w:ascii="Times New Roman" w:eastAsia="Times New Roman" w:hAnsi="Times New Roman" w:cs="Times New Roman"/>
          <w:sz w:val="24"/>
          <w:szCs w:val="24"/>
          <w:lang w:eastAsia="en-AU"/>
        </w:rPr>
        <w:t xml:space="preserve"> (CMA),</w:t>
      </w:r>
      <w:r w:rsidR="00B4014F">
        <w:rPr>
          <w:rFonts w:ascii="Times New Roman" w:eastAsia="Times New Roman" w:hAnsi="Times New Roman" w:cs="Times New Roman"/>
          <w:sz w:val="24"/>
          <w:szCs w:val="24"/>
          <w:lang w:eastAsia="en-AU"/>
        </w:rPr>
        <w:t xml:space="preserve"> the Chinese Medicines Industry Council</w:t>
      </w:r>
      <w:r>
        <w:rPr>
          <w:rFonts w:ascii="Times New Roman" w:eastAsia="Times New Roman" w:hAnsi="Times New Roman" w:cs="Times New Roman"/>
          <w:sz w:val="24"/>
          <w:szCs w:val="24"/>
          <w:lang w:eastAsia="en-AU"/>
        </w:rPr>
        <w:t xml:space="preserve"> (CMIC) and Consumer Healthcare Products Australia</w:t>
      </w:r>
      <w:r w:rsidR="00B4014F">
        <w:rPr>
          <w:rFonts w:ascii="Times New Roman" w:eastAsia="Times New Roman" w:hAnsi="Times New Roman" w:cs="Times New Roman"/>
          <w:sz w:val="24"/>
          <w:szCs w:val="24"/>
          <w:lang w:eastAsia="en-AU"/>
        </w:rPr>
        <w:t xml:space="preserve"> in relation to the issue</w:t>
      </w:r>
      <w:r>
        <w:rPr>
          <w:rFonts w:ascii="Times New Roman" w:eastAsia="Times New Roman" w:hAnsi="Times New Roman" w:cs="Times New Roman"/>
          <w:sz w:val="24"/>
          <w:szCs w:val="24"/>
          <w:lang w:eastAsia="en-AU"/>
        </w:rPr>
        <w:t>. CMA and CMIC</w:t>
      </w:r>
      <w:r w:rsidR="00B4014F">
        <w:rPr>
          <w:rFonts w:ascii="Times New Roman" w:eastAsia="Times New Roman" w:hAnsi="Times New Roman" w:cs="Times New Roman"/>
          <w:sz w:val="24"/>
          <w:szCs w:val="24"/>
          <w:lang w:eastAsia="en-AU"/>
        </w:rPr>
        <w:t xml:space="preserve"> suggested the possible inclusion of requirements relating to the use of the ingredient </w:t>
      </w:r>
      <w:r w:rsidR="00B4014F" w:rsidRPr="004041EC">
        <w:rPr>
          <w:rFonts w:ascii="Times New Roman" w:eastAsia="Times New Roman" w:hAnsi="Times New Roman" w:cs="Times New Roman"/>
          <w:sz w:val="24"/>
          <w:szCs w:val="24"/>
          <w:lang w:eastAsia="en-AU"/>
        </w:rPr>
        <w:t xml:space="preserve">of </w:t>
      </w:r>
      <w:r w:rsidR="00B4014F" w:rsidRPr="00166D53">
        <w:rPr>
          <w:rFonts w:ascii="Times New Roman" w:eastAsia="Times New Roman" w:hAnsi="Times New Roman" w:cs="Times New Roman"/>
          <w:i/>
          <w:sz w:val="24"/>
          <w:szCs w:val="24"/>
          <w:lang w:eastAsia="en-AU"/>
        </w:rPr>
        <w:t>Fallopia multiflora</w:t>
      </w:r>
      <w:r w:rsidR="00B4014F">
        <w:rPr>
          <w:rFonts w:ascii="Times New Roman" w:eastAsia="Times New Roman" w:hAnsi="Times New Roman" w:cs="Times New Roman"/>
          <w:sz w:val="24"/>
          <w:szCs w:val="24"/>
          <w:lang w:eastAsia="en-AU"/>
        </w:rPr>
        <w:t xml:space="preserve"> in listed or listed assessed medicines to mitigate the risks associated with the use of the ingredient. Those suggestions were carefully considered, but there did not appear to be sufficient evidence to support a conclusion that the serious risk of liver damage associated with the ingredient could be effectively managed </w:t>
      </w:r>
      <w:r w:rsidR="00BE58EA">
        <w:rPr>
          <w:rFonts w:ascii="Times New Roman" w:eastAsia="Times New Roman" w:hAnsi="Times New Roman" w:cs="Times New Roman"/>
          <w:sz w:val="24"/>
          <w:szCs w:val="24"/>
          <w:lang w:eastAsia="en-AU"/>
        </w:rPr>
        <w:t>in the context of the listed and assessed listed medicines framework.</w:t>
      </w:r>
      <w:r w:rsidR="00B4014F">
        <w:rPr>
          <w:rFonts w:ascii="Times New Roman" w:eastAsia="Times New Roman" w:hAnsi="Times New Roman" w:cs="Times New Roman"/>
          <w:sz w:val="24"/>
          <w:szCs w:val="24"/>
          <w:lang w:eastAsia="en-AU"/>
        </w:rPr>
        <w:t xml:space="preserve"> </w:t>
      </w:r>
    </w:p>
    <w:p w14:paraId="6D139C47"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9D64B1C" w14:textId="5B7C3F06" w:rsidR="005B70D2" w:rsidRDefault="00D43F14"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changes in the Determination in compariso</w:t>
      </w:r>
      <w:r w:rsidR="00ED7851">
        <w:rPr>
          <w:rFonts w:ascii="Times New Roman" w:eastAsia="Times New Roman" w:hAnsi="Times New Roman" w:cs="Times New Roman"/>
          <w:sz w:val="24"/>
          <w:szCs w:val="24"/>
          <w:lang w:eastAsia="en-AU"/>
        </w:rPr>
        <w:t>n with the former Determination</w:t>
      </w:r>
      <w:r w:rsidR="00ED7851" w:rsidRPr="00ED7851">
        <w:t xml:space="preserve"> </w:t>
      </w:r>
      <w:r w:rsidR="00ED7851" w:rsidRPr="00ED7851">
        <w:rPr>
          <w:rFonts w:ascii="Times New Roman" w:eastAsia="Times New Roman" w:hAnsi="Times New Roman" w:cs="Times New Roman"/>
          <w:sz w:val="24"/>
          <w:szCs w:val="24"/>
          <w:lang w:eastAsia="en-AU"/>
        </w:rPr>
        <w:t>to reflect the expiry of transition periods</w:t>
      </w:r>
      <w:r>
        <w:rPr>
          <w:rFonts w:ascii="Times New Roman" w:eastAsia="Times New Roman" w:hAnsi="Times New Roman" w:cs="Times New Roman"/>
          <w:sz w:val="24"/>
          <w:szCs w:val="24"/>
          <w:lang w:eastAsia="en-AU"/>
        </w:rPr>
        <w:t xml:space="preserve"> for ingredient requirements were the subject of </w:t>
      </w:r>
      <w:r w:rsidR="00197FE9">
        <w:rPr>
          <w:rFonts w:ascii="Times New Roman" w:eastAsia="Times New Roman" w:hAnsi="Times New Roman" w:cs="Times New Roman"/>
          <w:sz w:val="24"/>
          <w:szCs w:val="24"/>
          <w:lang w:eastAsia="en-AU"/>
        </w:rPr>
        <w:t>discussions between</w:t>
      </w:r>
      <w:r>
        <w:rPr>
          <w:rFonts w:ascii="Times New Roman" w:eastAsia="Times New Roman" w:hAnsi="Times New Roman" w:cs="Times New Roman"/>
          <w:sz w:val="24"/>
          <w:szCs w:val="24"/>
          <w:lang w:eastAsia="en-AU"/>
        </w:rPr>
        <w:t xml:space="preserve"> the TGA</w:t>
      </w:r>
      <w:r w:rsidR="00197FE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DD5989">
        <w:rPr>
          <w:rFonts w:ascii="Times New Roman" w:eastAsia="Times New Roman" w:hAnsi="Times New Roman" w:cs="Times New Roman"/>
          <w:sz w:val="24"/>
          <w:szCs w:val="24"/>
          <w:lang w:eastAsia="en-AU"/>
        </w:rPr>
        <w:t xml:space="preserve">CMA and </w:t>
      </w:r>
      <w:r w:rsidR="00197FE9">
        <w:rPr>
          <w:rFonts w:ascii="Times New Roman" w:eastAsia="Times New Roman" w:hAnsi="Times New Roman" w:cs="Times New Roman"/>
          <w:sz w:val="24"/>
          <w:szCs w:val="24"/>
          <w:lang w:eastAsia="en-AU"/>
        </w:rPr>
        <w:t xml:space="preserve">medicine </w:t>
      </w:r>
      <w:r w:rsidR="00DD5989">
        <w:rPr>
          <w:rFonts w:ascii="Times New Roman" w:eastAsia="Times New Roman" w:hAnsi="Times New Roman" w:cs="Times New Roman"/>
          <w:sz w:val="24"/>
          <w:szCs w:val="24"/>
          <w:lang w:eastAsia="en-AU"/>
        </w:rPr>
        <w:t>sponsors</w:t>
      </w:r>
      <w:r>
        <w:rPr>
          <w:rFonts w:ascii="Times New Roman" w:eastAsia="Times New Roman" w:hAnsi="Times New Roman" w:cs="Times New Roman"/>
          <w:sz w:val="24"/>
          <w:szCs w:val="24"/>
          <w:lang w:eastAsia="en-AU"/>
        </w:rPr>
        <w:t>.</w:t>
      </w:r>
      <w:r w:rsidR="00ED7851" w:rsidRPr="00ED7851">
        <w:t xml:space="preserve"> </w:t>
      </w:r>
    </w:p>
    <w:p w14:paraId="2C15357C" w14:textId="76923255" w:rsidR="00D43F14" w:rsidRPr="00AD562B" w:rsidRDefault="00D43F14" w:rsidP="001A7C14">
      <w:pPr>
        <w:autoSpaceDE w:val="0"/>
        <w:autoSpaceDN w:val="0"/>
        <w:adjustRightInd w:val="0"/>
        <w:spacing w:after="0"/>
        <w:rPr>
          <w:rFonts w:ascii="Times New Roman" w:eastAsia="Times New Roman" w:hAnsi="Times New Roman" w:cs="Times New Roman"/>
          <w:sz w:val="24"/>
          <w:szCs w:val="24"/>
          <w:lang w:eastAsia="en-AU"/>
        </w:rPr>
      </w:pPr>
    </w:p>
    <w:p w14:paraId="44B1A5D8" w14:textId="5D27396E" w:rsidR="00D43F14" w:rsidRDefault="00D43F14"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other changes in the Determination in comparison with the former Determination were minor and machinery in nature, e.g. to correct errors or remove irrelevant requirements, and were not the subject of consultation.</w:t>
      </w:r>
    </w:p>
    <w:p w14:paraId="44D32A7F"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71C5634A" w14:textId="5B15CDDE" w:rsidR="003E5AEA" w:rsidRDefault="003E5AEA" w:rsidP="001A7C14">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or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28613D5A"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1A7C14">
      <w:pPr>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0926D797"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That pharmacopoeia may </w:t>
      </w:r>
      <w:r>
        <w:rPr>
          <w:rFonts w:ascii="Times New Roman" w:hAnsi="Times New Roman" w:cs="Times New Roman"/>
          <w:sz w:val="24"/>
          <w:szCs w:val="24"/>
        </w:rPr>
        <w:lastRenderedPageBreak/>
        <w:t xml:space="preserve">be accessed from </w:t>
      </w:r>
      <w:hyperlink r:id="rId10"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1" w:history="1">
        <w:r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2"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E0BD165" w14:textId="1EAA0EDB" w:rsidR="0050197A" w:rsidRDefault="0050197A" w:rsidP="001A7C14">
      <w:pPr>
        <w:autoSpaceDE w:val="0"/>
        <w:autoSpaceDN w:val="0"/>
        <w:adjustRightInd w:val="0"/>
        <w:spacing w:after="0"/>
        <w:rPr>
          <w:rStyle w:val="Hyperlink"/>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3" w:history="1">
        <w:r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4" w:history="1">
        <w:r w:rsidRPr="00BB66B5">
          <w:rPr>
            <w:rStyle w:val="Hyperlink"/>
            <w:rFonts w:ascii="Times New Roman" w:hAnsi="Times New Roman" w:cs="Times New Roman"/>
            <w:sz w:val="24"/>
            <w:szCs w:val="24"/>
          </w:rPr>
          <w:t>www.legislation.govt.nz/</w:t>
        </w:r>
      </w:hyperlink>
      <w:r>
        <w:rPr>
          <w:rStyle w:val="Hyperlink"/>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5"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77777777" w:rsidR="005B70D2" w:rsidRPr="001A7C14"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73E9EAB5"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025BA7AF"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6"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7"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lastRenderedPageBreak/>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77777777"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9F78E6" w:rsidRPr="00B16682">
        <w:rPr>
          <w:rFonts w:ascii="Times New Roman" w:hAnsi="Times New Roman" w:cs="Times New Roman"/>
          <w:sz w:val="24"/>
          <w:szCs w:val="24"/>
        </w:rPr>
        <w:t>the day after registration</w:t>
      </w:r>
      <w:r w:rsidRPr="00B16682">
        <w:rPr>
          <w:rFonts w:ascii="Times New Roman" w:eastAsia="Times New Roman" w:hAnsi="Times New Roman" w:cs="Times New Roman"/>
          <w:sz w:val="24"/>
          <w:szCs w:val="24"/>
          <w:lang w:eastAsia="en-AU"/>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53F16E1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D434D2">
        <w:rPr>
          <w:rFonts w:ascii="Times New Roman" w:eastAsia="Times New Roman" w:hAnsi="Times New Roman" w:cs="Times New Roman"/>
          <w:b/>
          <w:i/>
          <w:sz w:val="24"/>
          <w:szCs w:val="24"/>
          <w:lang w:eastAsia="en-AU"/>
        </w:rPr>
        <w:t>4</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20</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751EDAA7"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D434D2">
        <w:rPr>
          <w:rFonts w:ascii="Times New Roman" w:eastAsia="Times New Roman" w:hAnsi="Times New Roman" w:cs="Times New Roman"/>
          <w:i/>
          <w:sz w:val="24"/>
          <w:szCs w:val="24"/>
          <w:lang w:eastAsia="en-AU"/>
        </w:rPr>
        <w:t>4</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726AD4C7"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9F78E6" w:rsidRPr="00607014">
        <w:rPr>
          <w:rFonts w:ascii="Times New Roman" w:eastAsia="Times New Roman" w:hAnsi="Times New Roman" w:cs="Times New Roman"/>
          <w:sz w:val="24"/>
          <w:szCs w:val="24"/>
          <w:lang w:eastAsia="en-AU"/>
        </w:rPr>
        <w:t>the day after registration</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7B18BDB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 xml:space="preserve">Permissible ingredients </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These include, for example, that the 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07E844EE"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86FF46B" w14:textId="3ACC9A59" w:rsidR="00045C71"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64A11C3"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23BE486" w14:textId="37716564" w:rsidR="00CA2F70" w:rsidRDefault="00CA2F70" w:rsidP="001A7C14">
      <w:pPr>
        <w:autoSpaceDE w:val="0"/>
        <w:autoSpaceDN w:val="0"/>
        <w:adjustRightInd w:val="0"/>
        <w:spacing w:after="0"/>
        <w:rPr>
          <w:rFonts w:ascii="Times New Roman" w:eastAsia="Times New Roman" w:hAnsi="Times New Roman" w:cs="Times New Roman"/>
          <w:b/>
          <w:bCs/>
          <w:sz w:val="24"/>
          <w:szCs w:val="24"/>
          <w:lang w:eastAsia="en-AU"/>
        </w:rPr>
      </w:pPr>
      <w:r w:rsidRPr="00CA2F70">
        <w:rPr>
          <w:rFonts w:ascii="Times New Roman" w:eastAsia="Times New Roman" w:hAnsi="Times New Roman" w:cs="Times New Roman"/>
          <w:b/>
          <w:bCs/>
          <w:sz w:val="24"/>
          <w:szCs w:val="24"/>
          <w:lang w:eastAsia="en-AU"/>
        </w:rPr>
        <w:t>Schedule 2 – Repeals</w:t>
      </w:r>
    </w:p>
    <w:p w14:paraId="144B8479" w14:textId="77777777" w:rsidR="0036611B" w:rsidRPr="00CA2F70" w:rsidRDefault="0036611B" w:rsidP="001A7C14">
      <w:pPr>
        <w:autoSpaceDE w:val="0"/>
        <w:autoSpaceDN w:val="0"/>
        <w:adjustRightInd w:val="0"/>
        <w:spacing w:after="0"/>
        <w:rPr>
          <w:rFonts w:ascii="Times New Roman" w:eastAsia="Times New Roman" w:hAnsi="Times New Roman" w:cs="Times New Roman"/>
          <w:sz w:val="24"/>
          <w:szCs w:val="24"/>
          <w:lang w:val="en-US" w:eastAsia="en-AU"/>
        </w:rPr>
      </w:pPr>
    </w:p>
    <w:p w14:paraId="09B08BCF" w14:textId="5DB61A78" w:rsidR="00045C71" w:rsidRDefault="00CA2F70" w:rsidP="001A7C14">
      <w:pPr>
        <w:autoSpaceDE w:val="0"/>
        <w:autoSpaceDN w:val="0"/>
        <w:adjustRightInd w:val="0"/>
        <w:spacing w:after="0"/>
        <w:rPr>
          <w:rFonts w:ascii="Times New Roman" w:eastAsia="Times New Roman" w:hAnsi="Times New Roman" w:cs="Times New Roman"/>
          <w:i/>
          <w:iCs/>
          <w:sz w:val="24"/>
          <w:szCs w:val="24"/>
          <w:lang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D434D2">
        <w:rPr>
          <w:rFonts w:ascii="Times New Roman" w:eastAsia="Times New Roman" w:hAnsi="Times New Roman" w:cs="Times New Roman"/>
          <w:i/>
          <w:iCs/>
          <w:sz w:val="24"/>
          <w:szCs w:val="24"/>
          <w:lang w:eastAsia="en-AU"/>
        </w:rPr>
        <w:t>3</w:t>
      </w:r>
      <w:r w:rsidRPr="00CA2F70">
        <w:rPr>
          <w:rFonts w:ascii="Times New Roman" w:eastAsia="Times New Roman" w:hAnsi="Times New Roman" w:cs="Times New Roman"/>
          <w:i/>
          <w:iCs/>
          <w:sz w:val="24"/>
          <w:szCs w:val="24"/>
          <w:lang w:eastAsia="en-AU"/>
        </w:rPr>
        <w:t>) 20</w:t>
      </w:r>
      <w:r w:rsidR="00FA7084">
        <w:rPr>
          <w:rFonts w:ascii="Times New Roman" w:eastAsia="Times New Roman" w:hAnsi="Times New Roman" w:cs="Times New Roman"/>
          <w:i/>
          <w:iCs/>
          <w:sz w:val="24"/>
          <w:szCs w:val="24"/>
          <w:lang w:eastAsia="en-AU"/>
        </w:rPr>
        <w:t>20</w:t>
      </w:r>
      <w:r w:rsidRPr="00CA2F70">
        <w:rPr>
          <w:rFonts w:ascii="Times New Roman" w:eastAsia="Times New Roman" w:hAnsi="Times New Roman" w:cs="Times New Roman"/>
          <w:i/>
          <w:iCs/>
          <w:sz w:val="24"/>
          <w:szCs w:val="24"/>
          <w:lang w:eastAsia="en-AU"/>
        </w:rPr>
        <w:t>.</w:t>
      </w:r>
    </w:p>
    <w:p w14:paraId="443DB472" w14:textId="77777777" w:rsidR="0036611B" w:rsidRPr="00607014"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3BB7EA49"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D434D2">
        <w:rPr>
          <w:rFonts w:ascii="Times New Roman" w:eastAsia="Times New Roman" w:hAnsi="Times New Roman" w:cs="Times New Roman"/>
          <w:b/>
          <w:i/>
          <w:sz w:val="24"/>
          <w:szCs w:val="24"/>
          <w:lang w:eastAsia="en-AU"/>
        </w:rPr>
        <w:t>4</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20</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6D281F46"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D434D2">
        <w:rPr>
          <w:rFonts w:ascii="Times New Roman" w:eastAsia="Times New Roman" w:hAnsi="Times New Roman" w:cs="Times New Roman"/>
          <w:i/>
          <w:sz w:val="24"/>
          <w:szCs w:val="24"/>
          <w:lang w:eastAsia="en-AU"/>
        </w:rPr>
        <w:t>4</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543704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3364B2">
        <w:rPr>
          <w:rFonts w:ascii="Times New Roman" w:eastAsia="Times New Roman" w:hAnsi="Times New Roman" w:cs="Times New Roman"/>
          <w:i/>
          <w:iCs/>
          <w:sz w:val="24"/>
          <w:szCs w:val="24"/>
          <w:lang w:eastAsia="en-AU"/>
        </w:rPr>
        <w:t>3</w:t>
      </w:r>
      <w:r w:rsidRPr="00D731D4">
        <w:rPr>
          <w:rFonts w:ascii="Times New Roman" w:eastAsia="Times New Roman" w:hAnsi="Times New Roman" w:cs="Times New Roman"/>
          <w:i/>
          <w:iCs/>
          <w:sz w:val="24"/>
          <w:szCs w:val="24"/>
          <w:lang w:eastAsia="en-AU"/>
        </w:rPr>
        <w:t xml:space="preserve">) </w:t>
      </w:r>
      <w:r w:rsidR="00E96741" w:rsidRPr="00D731D4">
        <w:rPr>
          <w:rFonts w:ascii="Times New Roman" w:eastAsia="Times New Roman" w:hAnsi="Times New Roman" w:cs="Times New Roman"/>
          <w:sz w:val="24"/>
          <w:szCs w:val="24"/>
          <w:lang w:eastAsia="en-AU"/>
        </w:rPr>
        <w:t>20</w:t>
      </w:r>
      <w:r w:rsidR="00E96741">
        <w:rPr>
          <w:rFonts w:ascii="Times New Roman" w:eastAsia="Times New Roman" w:hAnsi="Times New Roman" w:cs="Times New Roman"/>
          <w:sz w:val="24"/>
          <w:szCs w:val="24"/>
          <w:lang w:eastAsia="en-AU"/>
        </w:rPr>
        <w:t>20</w:t>
      </w:r>
      <w:r w:rsidR="00E96741"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12364193" w14:textId="493F6D93" w:rsidR="00FE5514" w:rsidRPr="00FE5514" w:rsidRDefault="00D731D4" w:rsidP="001A7C14">
      <w:pPr>
        <w:autoSpaceDE w:val="0"/>
        <w:autoSpaceDN w:val="0"/>
        <w:adjustRightInd w:val="0"/>
        <w:spacing w:after="120"/>
        <w:rPr>
          <w:rFonts w:ascii="Times New Roman" w:eastAsia="Times New Roman" w:hAnsi="Times New Roman" w:cs="Times New Roman"/>
          <w:sz w:val="24"/>
          <w:szCs w:val="24"/>
          <w:lang w:eastAsia="en-AU"/>
        </w:rPr>
      </w:pPr>
      <w:r w:rsidRPr="00D731D4">
        <w:rPr>
          <w:rFonts w:ascii="Times New Roman" w:eastAsia="Times New Roman" w:hAnsi="Times New Roman" w:cs="Times New Roman"/>
          <w:sz w:val="24"/>
          <w:szCs w:val="24"/>
          <w:lang w:eastAsia="en-AU"/>
        </w:rPr>
        <w:t>The instrument repeals and replaces the former instrument, and incorporates a number of changes in comparison to the former instrument, including in particular:</w:t>
      </w:r>
    </w:p>
    <w:p w14:paraId="1ADD6309" w14:textId="77777777" w:rsidR="00ED7851" w:rsidRDefault="00ED7851" w:rsidP="00ED7851">
      <w:pPr>
        <w:pStyle w:val="ListParagraph"/>
        <w:numPr>
          <w:ilvl w:val="0"/>
          <w:numId w:val="11"/>
        </w:numPr>
        <w:spacing w:before="0" w:beforeAutospacing="0"/>
      </w:pPr>
      <w:r>
        <w:t>the introduction of 27 new ingredients for use in listed and assessed listed medicines. These ingredients reflect particular proprietary formulations that are and have been included in listed medicines in Australia for some time but were inadvertently omitted from the first (and subsequent)</w:t>
      </w:r>
      <w:r w:rsidRPr="00FE5514">
        <w:t xml:space="preserve"> </w:t>
      </w:r>
      <w:r>
        <w:t>determinations under section 26BB of the Act.</w:t>
      </w:r>
      <w:r w:rsidRPr="00963DE6">
        <w:t xml:space="preserve"> </w:t>
      </w:r>
      <w:r>
        <w:t xml:space="preserve">These ingredient </w:t>
      </w:r>
      <w:r w:rsidRPr="00963DE6">
        <w:t>were reviewed by the TGA and determined to be appropriate for the existing use in listed medicines</w:t>
      </w:r>
      <w:r>
        <w:t>;</w:t>
      </w:r>
    </w:p>
    <w:p w14:paraId="3A2D1DE5" w14:textId="77777777" w:rsidR="00ED7851" w:rsidRDefault="00ED7851" w:rsidP="00ED7851">
      <w:pPr>
        <w:pStyle w:val="ListParagraph"/>
        <w:numPr>
          <w:ilvl w:val="0"/>
          <w:numId w:val="11"/>
        </w:numPr>
        <w:spacing w:before="120" w:beforeAutospacing="0" w:after="120" w:afterAutospacing="0"/>
      </w:pPr>
      <w:r>
        <w:t xml:space="preserve">the amendment of </w:t>
      </w:r>
      <w:r w:rsidRPr="007F2ED8">
        <w:t xml:space="preserve">requirements related to </w:t>
      </w:r>
      <w:r>
        <w:t xml:space="preserve">the ingredient </w:t>
      </w:r>
      <w:r w:rsidRPr="007F2ED8">
        <w:t xml:space="preserve">arbutin </w:t>
      </w:r>
      <w:r>
        <w:t>(</w:t>
      </w:r>
      <w:r w:rsidRPr="007F2ED8">
        <w:t>a component of 11</w:t>
      </w:r>
      <w:r>
        <w:t xml:space="preserve"> herbal</w:t>
      </w:r>
      <w:r w:rsidRPr="007F2ED8">
        <w:t xml:space="preserve"> ingredients</w:t>
      </w:r>
      <w:r>
        <w:t>)</w:t>
      </w:r>
      <w:r w:rsidRPr="007F2ED8">
        <w:t xml:space="preserve"> to align with updated specifications </w:t>
      </w:r>
      <w:r>
        <w:t xml:space="preserve">in </w:t>
      </w:r>
      <w:r w:rsidRPr="007F2ED8">
        <w:t xml:space="preserve">the </w:t>
      </w:r>
      <w:r w:rsidRPr="00E0403C">
        <w:rPr>
          <w:i/>
        </w:rPr>
        <w:t>Poisons Standard October 2020</w:t>
      </w:r>
      <w:r w:rsidRPr="007F2ED8">
        <w:t xml:space="preserve"> </w:t>
      </w:r>
      <w:r>
        <w:t xml:space="preserve">for </w:t>
      </w:r>
      <w:r w:rsidRPr="007F2ED8">
        <w:t>arbutin derivatives including beta-arbutin;</w:t>
      </w:r>
    </w:p>
    <w:p w14:paraId="6FE0BAEC" w14:textId="77777777" w:rsidR="00ED7851" w:rsidRPr="007F2ED8" w:rsidRDefault="00ED7851" w:rsidP="00ED7851">
      <w:pPr>
        <w:pStyle w:val="ListParagraph"/>
        <w:numPr>
          <w:ilvl w:val="0"/>
          <w:numId w:val="11"/>
        </w:numPr>
        <w:spacing w:before="120" w:beforeAutospacing="0" w:after="120" w:afterAutospacing="0"/>
      </w:pPr>
      <w:r>
        <w:t>m</w:t>
      </w:r>
      <w:r w:rsidRPr="00ED7851">
        <w:t>inor amendments to 31 ingredients to reflect the expiry of transition periods for requirements relating to those ingredients</w:t>
      </w:r>
      <w:r>
        <w:t>;</w:t>
      </w:r>
    </w:p>
    <w:p w14:paraId="1B6FDCAF" w14:textId="77777777" w:rsidR="00ED7851" w:rsidRPr="007F2ED8" w:rsidRDefault="00ED7851" w:rsidP="00ED7851">
      <w:pPr>
        <w:pStyle w:val="ListParagraph"/>
        <w:numPr>
          <w:ilvl w:val="0"/>
          <w:numId w:val="11"/>
        </w:numPr>
        <w:spacing w:before="120" w:beforeAutospacing="0" w:after="120" w:afterAutospacing="0"/>
      </w:pPr>
      <w:r>
        <w:t>updating the names of 9 herbal ingredients to align them with current taxonomy;</w:t>
      </w:r>
    </w:p>
    <w:p w14:paraId="2D71DD3F" w14:textId="77777777" w:rsidR="00ED7851" w:rsidRDefault="00ED7851" w:rsidP="00ED7851">
      <w:pPr>
        <w:pStyle w:val="ListParagraph"/>
        <w:keepNext/>
        <w:numPr>
          <w:ilvl w:val="0"/>
          <w:numId w:val="11"/>
        </w:numPr>
        <w:spacing w:before="120" w:beforeAutospacing="0" w:after="120" w:afterAutospacing="0"/>
      </w:pPr>
      <w:r>
        <w:lastRenderedPageBreak/>
        <w:t>the removal of requirements for the following three ingredients to</w:t>
      </w:r>
      <w:r w:rsidRPr="00D43F14">
        <w:t xml:space="preserve"> </w:t>
      </w:r>
      <w:r>
        <w:t>reflect the expiry of periods of exclusive uses for sponsors:</w:t>
      </w:r>
    </w:p>
    <w:p w14:paraId="04419228" w14:textId="77777777" w:rsidR="00ED7851" w:rsidRPr="00A11A09" w:rsidRDefault="00ED7851" w:rsidP="00ED7851">
      <w:pPr>
        <w:pStyle w:val="ListParagraph"/>
        <w:keepNext/>
        <w:numPr>
          <w:ilvl w:val="1"/>
          <w:numId w:val="11"/>
        </w:numPr>
        <w:spacing w:before="120" w:beforeAutospacing="0" w:after="120" w:afterAutospacing="0"/>
      </w:pPr>
      <w:r w:rsidRPr="00D43F14">
        <w:rPr>
          <w:i/>
        </w:rPr>
        <w:t>Khaya senegalensis</w:t>
      </w:r>
      <w:r>
        <w:t>;</w:t>
      </w:r>
    </w:p>
    <w:p w14:paraId="6290BAF5" w14:textId="77777777" w:rsidR="00ED7851" w:rsidRDefault="00ED7851" w:rsidP="00ED7851">
      <w:pPr>
        <w:pStyle w:val="ListParagraph"/>
        <w:keepNext/>
        <w:numPr>
          <w:ilvl w:val="1"/>
          <w:numId w:val="11"/>
        </w:numPr>
        <w:spacing w:before="120" w:beforeAutospacing="0" w:after="120" w:afterAutospacing="0"/>
      </w:pPr>
      <w:r>
        <w:t>sodium polyacrylate starch; and</w:t>
      </w:r>
    </w:p>
    <w:p w14:paraId="65612C35" w14:textId="77777777" w:rsidR="00ED7851" w:rsidRDefault="00ED7851" w:rsidP="00ED7851">
      <w:pPr>
        <w:pStyle w:val="ListParagraph"/>
        <w:keepNext/>
        <w:numPr>
          <w:ilvl w:val="1"/>
          <w:numId w:val="11"/>
        </w:numPr>
        <w:spacing w:before="120" w:beforeAutospacing="0" w:after="120" w:afterAutospacing="0"/>
      </w:pPr>
      <w:r>
        <w:t>capryloyl glycerine sebacic acid copolymer; and</w:t>
      </w:r>
    </w:p>
    <w:p w14:paraId="5BE9D9F9" w14:textId="77777777" w:rsidR="00ED7851" w:rsidRDefault="00ED7851" w:rsidP="00ED7851">
      <w:pPr>
        <w:pStyle w:val="ListParagraph"/>
        <w:numPr>
          <w:ilvl w:val="0"/>
          <w:numId w:val="11"/>
        </w:numPr>
        <w:spacing w:before="120" w:beforeAutospacing="0" w:after="120" w:afterAutospacing="0"/>
      </w:pPr>
      <w:r>
        <w:t>the removal of the following three ingredients to reflect safety and consistency concerns:</w:t>
      </w:r>
    </w:p>
    <w:p w14:paraId="355C14CD" w14:textId="77777777" w:rsidR="00ED7851" w:rsidRDefault="00ED7851" w:rsidP="00ED7851">
      <w:pPr>
        <w:pStyle w:val="ListParagraph"/>
        <w:numPr>
          <w:ilvl w:val="1"/>
          <w:numId w:val="11"/>
        </w:numPr>
        <w:spacing w:before="120" w:beforeAutospacing="0" w:after="120" w:afterAutospacing="0"/>
      </w:pPr>
      <w:r>
        <w:rPr>
          <w:i/>
        </w:rPr>
        <w:t>Fallopia multiflora</w:t>
      </w:r>
      <w:r>
        <w:t>,</w:t>
      </w:r>
      <w:r>
        <w:rPr>
          <w:i/>
        </w:rPr>
        <w:t xml:space="preserve"> </w:t>
      </w:r>
      <w:r>
        <w:t xml:space="preserve">due to the risk of severe liver damage associated with its use; </w:t>
      </w:r>
    </w:p>
    <w:p w14:paraId="2896D32B" w14:textId="77777777" w:rsidR="00ED7851" w:rsidRDefault="00ED7851" w:rsidP="00ED7851">
      <w:pPr>
        <w:pStyle w:val="ListParagraph"/>
        <w:numPr>
          <w:ilvl w:val="1"/>
          <w:numId w:val="11"/>
        </w:numPr>
        <w:spacing w:before="120" w:beforeAutospacing="0" w:after="120" w:afterAutospacing="0"/>
      </w:pPr>
      <w:r>
        <w:t xml:space="preserve">methyldibromo glutaronitrile, to reflect that this ingredient is included in Schedule 10 to the Poisons Standard and that the eligibility criteria for listing in </w:t>
      </w:r>
      <w:r w:rsidRPr="007F2ED8">
        <w:t xml:space="preserve">Schedule 4 </w:t>
      </w:r>
      <w:r>
        <w:t>to</w:t>
      </w:r>
      <w:r w:rsidRPr="007F2ED8">
        <w:t xml:space="preserve"> the</w:t>
      </w:r>
      <w:r>
        <w:t xml:space="preserve"> Regulations</w:t>
      </w:r>
      <w:r w:rsidRPr="007F2ED8">
        <w:t xml:space="preserve"> require that </w:t>
      </w:r>
      <w:r>
        <w:t xml:space="preserve">to be </w:t>
      </w:r>
      <w:r w:rsidRPr="007F2ED8">
        <w:t>list</w:t>
      </w:r>
      <w:r>
        <w:t>able</w:t>
      </w:r>
      <w:r w:rsidRPr="007F2ED8">
        <w:t xml:space="preserve"> </w:t>
      </w:r>
      <w:r>
        <w:t xml:space="preserve">a </w:t>
      </w:r>
      <w:r w:rsidRPr="007F2ED8">
        <w:t xml:space="preserve">medicine must not contain a substance  </w:t>
      </w:r>
      <w:r>
        <w:t xml:space="preserve">that is included in a schedule to </w:t>
      </w:r>
      <w:r w:rsidRPr="007F2ED8">
        <w:t>the Poisons Standard</w:t>
      </w:r>
      <w:r>
        <w:t>; and</w:t>
      </w:r>
    </w:p>
    <w:p w14:paraId="3D2FD22B" w14:textId="77777777" w:rsidR="00ED7851" w:rsidRPr="00C531BD" w:rsidRDefault="00ED7851" w:rsidP="00ED7851">
      <w:pPr>
        <w:pStyle w:val="ListParagraph"/>
        <w:numPr>
          <w:ilvl w:val="1"/>
          <w:numId w:val="11"/>
        </w:numPr>
        <w:spacing w:before="120" w:beforeAutospacing="0" w:after="120" w:afterAutospacing="0"/>
      </w:pPr>
      <w:r>
        <w:t>d</w:t>
      </w:r>
      <w:r w:rsidRPr="006E29EE">
        <w:t>imethyl sulfate</w:t>
      </w:r>
      <w:r>
        <w:t xml:space="preserve">, </w:t>
      </w:r>
      <w:r w:rsidRPr="006E29EE">
        <w:t xml:space="preserve">to reflect that this ingredient is included in Schedule </w:t>
      </w:r>
      <w:r>
        <w:t>7</w:t>
      </w:r>
      <w:r w:rsidRPr="006E29EE">
        <w:t xml:space="preserve"> to the Poisons Standard and that the eligibility criteria for listing in Schedule 4 to the Regulations require that to be listable a medicine must not contain a substance  that is included in a schedule to the Poisons Standard</w:t>
      </w:r>
      <w:r>
        <w:t>.</w:t>
      </w:r>
    </w:p>
    <w:p w14:paraId="06C4501A" w14:textId="77777777" w:rsidR="00B8782A" w:rsidRDefault="00B8782A" w:rsidP="00D731D4">
      <w:pPr>
        <w:autoSpaceDE w:val="0"/>
        <w:autoSpaceDN w:val="0"/>
        <w:adjustRightInd w:val="0"/>
        <w:spacing w:after="0"/>
        <w:rPr>
          <w:rFonts w:ascii="Times New Roman" w:eastAsia="Times New Roman" w:hAnsi="Times New Roman" w:cs="Times New Roman"/>
          <w:sz w:val="24"/>
          <w:szCs w:val="24"/>
          <w:lang w:eastAsia="en-AU"/>
        </w:rPr>
      </w:pPr>
    </w:p>
    <w:p w14:paraId="685A0A7D" w14:textId="1647C11C"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lastRenderedPageBreak/>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4E1E7F6D" w14:textId="77777777" w:rsidR="00EF1F18" w:rsidRPr="0034672A" w:rsidRDefault="00EF1F18" w:rsidP="00712EA4">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63D98AB2" w14:textId="5C417AA2" w:rsidR="008C0845" w:rsidRDefault="008C0845">
      <w:pPr>
        <w:spacing w:before="120" w:after="120"/>
      </w:pPr>
    </w:p>
    <w:sectPr w:rsidR="008C0845" w:rsidSect="00680B29">
      <w:footerReference w:type="default" r:id="rId1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D9FC" w14:textId="77777777" w:rsidR="00B4014F" w:rsidRDefault="00B4014F" w:rsidP="008939B1">
      <w:pPr>
        <w:spacing w:after="0" w:line="240" w:lineRule="auto"/>
      </w:pPr>
      <w:r>
        <w:separator/>
      </w:r>
    </w:p>
  </w:endnote>
  <w:endnote w:type="continuationSeparator" w:id="0">
    <w:p w14:paraId="5911F7C5" w14:textId="77777777" w:rsidR="00B4014F" w:rsidRDefault="00B4014F"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2084" w14:textId="0EB830C4" w:rsidR="00B4014F" w:rsidRPr="00AC5813" w:rsidRDefault="00B4014F"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sidR="004904F7">
      <w:rPr>
        <w:rFonts w:ascii="Times New Roman" w:hAnsi="Times New Roman" w:cs="Times New Roman"/>
        <w:noProof/>
        <w:sz w:val="24"/>
        <w:szCs w:val="24"/>
      </w:rPr>
      <w:t>1</w:t>
    </w:r>
    <w:r w:rsidRPr="00AC581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EDE" w14:textId="77777777" w:rsidR="00B4014F" w:rsidRDefault="00B4014F" w:rsidP="008939B1">
      <w:pPr>
        <w:spacing w:after="0" w:line="240" w:lineRule="auto"/>
      </w:pPr>
      <w:r>
        <w:separator/>
      </w:r>
    </w:p>
  </w:footnote>
  <w:footnote w:type="continuationSeparator" w:id="0">
    <w:p w14:paraId="15FEDFBC" w14:textId="77777777" w:rsidR="00B4014F" w:rsidRDefault="00B4014F" w:rsidP="0089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3762D3"/>
    <w:multiLevelType w:val="hybridMultilevel"/>
    <w:tmpl w:val="F1A26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7"/>
  </w:num>
  <w:num w:numId="4">
    <w:abstractNumId w:val="0"/>
  </w:num>
  <w:num w:numId="5">
    <w:abstractNumId w:val="3"/>
  </w:num>
  <w:num w:numId="6">
    <w:abstractNumId w:val="7"/>
  </w:num>
  <w:num w:numId="7">
    <w:abstractNumId w:val="14"/>
  </w:num>
  <w:num w:numId="8">
    <w:abstractNumId w:val="11"/>
  </w:num>
  <w:num w:numId="9">
    <w:abstractNumId w:val="4"/>
  </w:num>
  <w:num w:numId="10">
    <w:abstractNumId w:val="8"/>
  </w:num>
  <w:num w:numId="11">
    <w:abstractNumId w:val="9"/>
  </w:num>
  <w:num w:numId="12">
    <w:abstractNumId w:val="18"/>
  </w:num>
  <w:num w:numId="13">
    <w:abstractNumId w:val="2"/>
  </w:num>
  <w:num w:numId="14">
    <w:abstractNumId w:val="1"/>
  </w:num>
  <w:num w:numId="15">
    <w:abstractNumId w:val="10"/>
  </w:num>
  <w:num w:numId="16">
    <w:abstractNumId w:val="5"/>
  </w:num>
  <w:num w:numId="17">
    <w:abstractNumId w:val="1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5"/>
    <w:rsid w:val="00000508"/>
    <w:rsid w:val="000011FE"/>
    <w:rsid w:val="00005653"/>
    <w:rsid w:val="00007539"/>
    <w:rsid w:val="00014A86"/>
    <w:rsid w:val="00020744"/>
    <w:rsid w:val="000253EC"/>
    <w:rsid w:val="00027571"/>
    <w:rsid w:val="00032FAE"/>
    <w:rsid w:val="00042274"/>
    <w:rsid w:val="00045C71"/>
    <w:rsid w:val="00050B0F"/>
    <w:rsid w:val="00055505"/>
    <w:rsid w:val="00055DF5"/>
    <w:rsid w:val="0006051F"/>
    <w:rsid w:val="00063951"/>
    <w:rsid w:val="00064FDE"/>
    <w:rsid w:val="00066B2F"/>
    <w:rsid w:val="00066CCA"/>
    <w:rsid w:val="00072A36"/>
    <w:rsid w:val="00073166"/>
    <w:rsid w:val="00073AFE"/>
    <w:rsid w:val="000743AA"/>
    <w:rsid w:val="000805C8"/>
    <w:rsid w:val="00082CAB"/>
    <w:rsid w:val="00083EC1"/>
    <w:rsid w:val="00092EDD"/>
    <w:rsid w:val="0009412D"/>
    <w:rsid w:val="000A6A62"/>
    <w:rsid w:val="000A7327"/>
    <w:rsid w:val="000C363D"/>
    <w:rsid w:val="000D25BE"/>
    <w:rsid w:val="000D3185"/>
    <w:rsid w:val="000D444D"/>
    <w:rsid w:val="000D45A0"/>
    <w:rsid w:val="000D56EB"/>
    <w:rsid w:val="000E1C1C"/>
    <w:rsid w:val="000E3020"/>
    <w:rsid w:val="000F4D51"/>
    <w:rsid w:val="000F7DDF"/>
    <w:rsid w:val="00104D9E"/>
    <w:rsid w:val="00113AE2"/>
    <w:rsid w:val="00114578"/>
    <w:rsid w:val="001160DE"/>
    <w:rsid w:val="00123510"/>
    <w:rsid w:val="001260D9"/>
    <w:rsid w:val="00126D3F"/>
    <w:rsid w:val="0013266B"/>
    <w:rsid w:val="0013620C"/>
    <w:rsid w:val="00142FE8"/>
    <w:rsid w:val="00143BEC"/>
    <w:rsid w:val="00145ED6"/>
    <w:rsid w:val="001503DB"/>
    <w:rsid w:val="0015083D"/>
    <w:rsid w:val="00151C11"/>
    <w:rsid w:val="0015421F"/>
    <w:rsid w:val="001632C0"/>
    <w:rsid w:val="00166D53"/>
    <w:rsid w:val="00180117"/>
    <w:rsid w:val="00187288"/>
    <w:rsid w:val="00187B3D"/>
    <w:rsid w:val="00192658"/>
    <w:rsid w:val="0019281D"/>
    <w:rsid w:val="00197C3F"/>
    <w:rsid w:val="00197FE9"/>
    <w:rsid w:val="001A1891"/>
    <w:rsid w:val="001A3695"/>
    <w:rsid w:val="001A7C14"/>
    <w:rsid w:val="001B0FC8"/>
    <w:rsid w:val="001B2279"/>
    <w:rsid w:val="001B4017"/>
    <w:rsid w:val="001B7598"/>
    <w:rsid w:val="001B7ED3"/>
    <w:rsid w:val="001C1EC4"/>
    <w:rsid w:val="001C3292"/>
    <w:rsid w:val="001C38AF"/>
    <w:rsid w:val="001C5A13"/>
    <w:rsid w:val="001C5E65"/>
    <w:rsid w:val="001D15A8"/>
    <w:rsid w:val="001D3782"/>
    <w:rsid w:val="001D5FD1"/>
    <w:rsid w:val="001D6B26"/>
    <w:rsid w:val="001D75F6"/>
    <w:rsid w:val="001D7A4F"/>
    <w:rsid w:val="001E00EE"/>
    <w:rsid w:val="001E0B7A"/>
    <w:rsid w:val="001F063F"/>
    <w:rsid w:val="001F1830"/>
    <w:rsid w:val="001F626E"/>
    <w:rsid w:val="0020180F"/>
    <w:rsid w:val="00201DC1"/>
    <w:rsid w:val="00202641"/>
    <w:rsid w:val="0020404A"/>
    <w:rsid w:val="00207B8A"/>
    <w:rsid w:val="00210E3C"/>
    <w:rsid w:val="00211A66"/>
    <w:rsid w:val="002156A0"/>
    <w:rsid w:val="00216B37"/>
    <w:rsid w:val="00226F3C"/>
    <w:rsid w:val="002323CF"/>
    <w:rsid w:val="00232972"/>
    <w:rsid w:val="00233242"/>
    <w:rsid w:val="00236ECD"/>
    <w:rsid w:val="0023720D"/>
    <w:rsid w:val="002374AC"/>
    <w:rsid w:val="00247B5E"/>
    <w:rsid w:val="00254970"/>
    <w:rsid w:val="0025627C"/>
    <w:rsid w:val="0025799D"/>
    <w:rsid w:val="0026142F"/>
    <w:rsid w:val="0026650C"/>
    <w:rsid w:val="00272FA2"/>
    <w:rsid w:val="002751D3"/>
    <w:rsid w:val="00275D92"/>
    <w:rsid w:val="00284FF6"/>
    <w:rsid w:val="002855E1"/>
    <w:rsid w:val="00285CFE"/>
    <w:rsid w:val="00287D9F"/>
    <w:rsid w:val="0029115B"/>
    <w:rsid w:val="00293C0C"/>
    <w:rsid w:val="002968E0"/>
    <w:rsid w:val="0029743B"/>
    <w:rsid w:val="00297C07"/>
    <w:rsid w:val="002B4F6A"/>
    <w:rsid w:val="002B741E"/>
    <w:rsid w:val="002B7A34"/>
    <w:rsid w:val="002C1322"/>
    <w:rsid w:val="002C4652"/>
    <w:rsid w:val="002D1160"/>
    <w:rsid w:val="002D3CD4"/>
    <w:rsid w:val="002D3CE9"/>
    <w:rsid w:val="002D67DA"/>
    <w:rsid w:val="002E6160"/>
    <w:rsid w:val="002F5583"/>
    <w:rsid w:val="002F6548"/>
    <w:rsid w:val="00312C88"/>
    <w:rsid w:val="00316B98"/>
    <w:rsid w:val="00322EC3"/>
    <w:rsid w:val="0032369E"/>
    <w:rsid w:val="003260F5"/>
    <w:rsid w:val="003307B8"/>
    <w:rsid w:val="003327D3"/>
    <w:rsid w:val="003364B2"/>
    <w:rsid w:val="00337FDB"/>
    <w:rsid w:val="00340F3C"/>
    <w:rsid w:val="00345822"/>
    <w:rsid w:val="0034672A"/>
    <w:rsid w:val="003650CC"/>
    <w:rsid w:val="0036611B"/>
    <w:rsid w:val="003811C0"/>
    <w:rsid w:val="0038203D"/>
    <w:rsid w:val="00383396"/>
    <w:rsid w:val="003A0BFB"/>
    <w:rsid w:val="003A20C5"/>
    <w:rsid w:val="003A2811"/>
    <w:rsid w:val="003A3E75"/>
    <w:rsid w:val="003A4D8C"/>
    <w:rsid w:val="003A533A"/>
    <w:rsid w:val="003A59EA"/>
    <w:rsid w:val="003A7110"/>
    <w:rsid w:val="003A73A0"/>
    <w:rsid w:val="003B4F23"/>
    <w:rsid w:val="003B7DAB"/>
    <w:rsid w:val="003C6D6E"/>
    <w:rsid w:val="003C7446"/>
    <w:rsid w:val="003D610C"/>
    <w:rsid w:val="003E1A83"/>
    <w:rsid w:val="003E5AEA"/>
    <w:rsid w:val="003F01C5"/>
    <w:rsid w:val="004028BD"/>
    <w:rsid w:val="00402AD7"/>
    <w:rsid w:val="0040312B"/>
    <w:rsid w:val="004031E5"/>
    <w:rsid w:val="00403263"/>
    <w:rsid w:val="00403F5E"/>
    <w:rsid w:val="004041EC"/>
    <w:rsid w:val="0040435E"/>
    <w:rsid w:val="0040482D"/>
    <w:rsid w:val="00406749"/>
    <w:rsid w:val="00410EC3"/>
    <w:rsid w:val="00414CD9"/>
    <w:rsid w:val="00422C56"/>
    <w:rsid w:val="00424E87"/>
    <w:rsid w:val="0042665D"/>
    <w:rsid w:val="004325B5"/>
    <w:rsid w:val="00432CF7"/>
    <w:rsid w:val="004341E5"/>
    <w:rsid w:val="004369BE"/>
    <w:rsid w:val="00437C00"/>
    <w:rsid w:val="00437C42"/>
    <w:rsid w:val="00444741"/>
    <w:rsid w:val="0044599A"/>
    <w:rsid w:val="00446EA8"/>
    <w:rsid w:val="00456FF8"/>
    <w:rsid w:val="00461ED8"/>
    <w:rsid w:val="00465227"/>
    <w:rsid w:val="0046549C"/>
    <w:rsid w:val="00473C48"/>
    <w:rsid w:val="004761AE"/>
    <w:rsid w:val="00477283"/>
    <w:rsid w:val="004904F7"/>
    <w:rsid w:val="00490585"/>
    <w:rsid w:val="00495C5F"/>
    <w:rsid w:val="0049672B"/>
    <w:rsid w:val="004A4AB5"/>
    <w:rsid w:val="004A68BB"/>
    <w:rsid w:val="004A7F16"/>
    <w:rsid w:val="004B4DF3"/>
    <w:rsid w:val="004C6EFE"/>
    <w:rsid w:val="004D7D5D"/>
    <w:rsid w:val="004E03D6"/>
    <w:rsid w:val="004E05C9"/>
    <w:rsid w:val="004E2CE6"/>
    <w:rsid w:val="004F11F8"/>
    <w:rsid w:val="004F2366"/>
    <w:rsid w:val="004F52D9"/>
    <w:rsid w:val="004F5517"/>
    <w:rsid w:val="004F5754"/>
    <w:rsid w:val="004F601B"/>
    <w:rsid w:val="0050197A"/>
    <w:rsid w:val="00503A36"/>
    <w:rsid w:val="00504F4D"/>
    <w:rsid w:val="005058A2"/>
    <w:rsid w:val="00510EB5"/>
    <w:rsid w:val="005110EF"/>
    <w:rsid w:val="00511E85"/>
    <w:rsid w:val="00516446"/>
    <w:rsid w:val="00522A66"/>
    <w:rsid w:val="005300AF"/>
    <w:rsid w:val="00530B7D"/>
    <w:rsid w:val="00530C81"/>
    <w:rsid w:val="0053757F"/>
    <w:rsid w:val="00537597"/>
    <w:rsid w:val="00543F77"/>
    <w:rsid w:val="00546044"/>
    <w:rsid w:val="00546C0E"/>
    <w:rsid w:val="0055006E"/>
    <w:rsid w:val="00553D8E"/>
    <w:rsid w:val="005647D9"/>
    <w:rsid w:val="00567C3B"/>
    <w:rsid w:val="00567F6F"/>
    <w:rsid w:val="00571AF3"/>
    <w:rsid w:val="00576EB4"/>
    <w:rsid w:val="0058050E"/>
    <w:rsid w:val="00586D07"/>
    <w:rsid w:val="005873CF"/>
    <w:rsid w:val="00587C76"/>
    <w:rsid w:val="005950FC"/>
    <w:rsid w:val="005A5867"/>
    <w:rsid w:val="005A5B1A"/>
    <w:rsid w:val="005B70D2"/>
    <w:rsid w:val="005C1073"/>
    <w:rsid w:val="005C1E01"/>
    <w:rsid w:val="005C30DC"/>
    <w:rsid w:val="005C3927"/>
    <w:rsid w:val="005C475C"/>
    <w:rsid w:val="005D2839"/>
    <w:rsid w:val="005D7A92"/>
    <w:rsid w:val="005E1A47"/>
    <w:rsid w:val="005E4E3D"/>
    <w:rsid w:val="005F1175"/>
    <w:rsid w:val="005F192D"/>
    <w:rsid w:val="005F2423"/>
    <w:rsid w:val="005F516E"/>
    <w:rsid w:val="005F524B"/>
    <w:rsid w:val="006003F5"/>
    <w:rsid w:val="0060127F"/>
    <w:rsid w:val="00601754"/>
    <w:rsid w:val="00603428"/>
    <w:rsid w:val="006068A0"/>
    <w:rsid w:val="00607014"/>
    <w:rsid w:val="006161DC"/>
    <w:rsid w:val="0062190F"/>
    <w:rsid w:val="00622033"/>
    <w:rsid w:val="006320B2"/>
    <w:rsid w:val="00632471"/>
    <w:rsid w:val="00632A23"/>
    <w:rsid w:val="00633529"/>
    <w:rsid w:val="00634921"/>
    <w:rsid w:val="0063789C"/>
    <w:rsid w:val="00644F7C"/>
    <w:rsid w:val="006469D8"/>
    <w:rsid w:val="00652960"/>
    <w:rsid w:val="00653B08"/>
    <w:rsid w:val="00663231"/>
    <w:rsid w:val="00664338"/>
    <w:rsid w:val="00664CE0"/>
    <w:rsid w:val="00665E71"/>
    <w:rsid w:val="00673DE0"/>
    <w:rsid w:val="00680B29"/>
    <w:rsid w:val="006850DB"/>
    <w:rsid w:val="00685980"/>
    <w:rsid w:val="00686884"/>
    <w:rsid w:val="0069146E"/>
    <w:rsid w:val="00696602"/>
    <w:rsid w:val="006A3A8C"/>
    <w:rsid w:val="006A6288"/>
    <w:rsid w:val="006A63BE"/>
    <w:rsid w:val="006B6D92"/>
    <w:rsid w:val="006B6E14"/>
    <w:rsid w:val="006C1D61"/>
    <w:rsid w:val="006C6DF0"/>
    <w:rsid w:val="006C704D"/>
    <w:rsid w:val="006D48D4"/>
    <w:rsid w:val="006D4AB8"/>
    <w:rsid w:val="006D5E19"/>
    <w:rsid w:val="006D768D"/>
    <w:rsid w:val="006E0828"/>
    <w:rsid w:val="006E29EE"/>
    <w:rsid w:val="006E3745"/>
    <w:rsid w:val="006E6BF8"/>
    <w:rsid w:val="006E787D"/>
    <w:rsid w:val="006F0BA2"/>
    <w:rsid w:val="006F49F6"/>
    <w:rsid w:val="006F4A40"/>
    <w:rsid w:val="006F6F98"/>
    <w:rsid w:val="007011A9"/>
    <w:rsid w:val="0070320C"/>
    <w:rsid w:val="007040CD"/>
    <w:rsid w:val="0070680E"/>
    <w:rsid w:val="00706B96"/>
    <w:rsid w:val="007075E6"/>
    <w:rsid w:val="00712EA4"/>
    <w:rsid w:val="00716D98"/>
    <w:rsid w:val="00720518"/>
    <w:rsid w:val="007228A6"/>
    <w:rsid w:val="00726DAE"/>
    <w:rsid w:val="00727228"/>
    <w:rsid w:val="00730B3D"/>
    <w:rsid w:val="007310BB"/>
    <w:rsid w:val="007313BA"/>
    <w:rsid w:val="007323F5"/>
    <w:rsid w:val="0073245E"/>
    <w:rsid w:val="00737E1D"/>
    <w:rsid w:val="00740B2A"/>
    <w:rsid w:val="0074268C"/>
    <w:rsid w:val="007445FE"/>
    <w:rsid w:val="0074493B"/>
    <w:rsid w:val="0075281F"/>
    <w:rsid w:val="007537FC"/>
    <w:rsid w:val="00753C5B"/>
    <w:rsid w:val="007541DC"/>
    <w:rsid w:val="00763767"/>
    <w:rsid w:val="00766F34"/>
    <w:rsid w:val="0077437F"/>
    <w:rsid w:val="0077454E"/>
    <w:rsid w:val="00774E0F"/>
    <w:rsid w:val="00781FEC"/>
    <w:rsid w:val="00784A51"/>
    <w:rsid w:val="00786056"/>
    <w:rsid w:val="007925F3"/>
    <w:rsid w:val="00794D3C"/>
    <w:rsid w:val="007A06F8"/>
    <w:rsid w:val="007A0C05"/>
    <w:rsid w:val="007A251F"/>
    <w:rsid w:val="007A52D3"/>
    <w:rsid w:val="007B019E"/>
    <w:rsid w:val="007B1478"/>
    <w:rsid w:val="007B76BB"/>
    <w:rsid w:val="007C503B"/>
    <w:rsid w:val="007C5ACA"/>
    <w:rsid w:val="007C6937"/>
    <w:rsid w:val="007C7B0A"/>
    <w:rsid w:val="007D161A"/>
    <w:rsid w:val="007E62AA"/>
    <w:rsid w:val="007E7331"/>
    <w:rsid w:val="007F2ED8"/>
    <w:rsid w:val="007F3304"/>
    <w:rsid w:val="007F6345"/>
    <w:rsid w:val="00804BAA"/>
    <w:rsid w:val="00807896"/>
    <w:rsid w:val="00810BFB"/>
    <w:rsid w:val="00814F7B"/>
    <w:rsid w:val="00815399"/>
    <w:rsid w:val="00822DF8"/>
    <w:rsid w:val="008238B7"/>
    <w:rsid w:val="008403C0"/>
    <w:rsid w:val="008416DD"/>
    <w:rsid w:val="008452B5"/>
    <w:rsid w:val="00845A4E"/>
    <w:rsid w:val="00845A80"/>
    <w:rsid w:val="00850146"/>
    <w:rsid w:val="008501F3"/>
    <w:rsid w:val="008515B1"/>
    <w:rsid w:val="00852814"/>
    <w:rsid w:val="00856471"/>
    <w:rsid w:val="008666FC"/>
    <w:rsid w:val="008727AB"/>
    <w:rsid w:val="00873780"/>
    <w:rsid w:val="00873CEF"/>
    <w:rsid w:val="00877FA7"/>
    <w:rsid w:val="008833F0"/>
    <w:rsid w:val="00887720"/>
    <w:rsid w:val="00890B01"/>
    <w:rsid w:val="008939B1"/>
    <w:rsid w:val="00893D80"/>
    <w:rsid w:val="00894393"/>
    <w:rsid w:val="00895420"/>
    <w:rsid w:val="008957CE"/>
    <w:rsid w:val="008A5EAC"/>
    <w:rsid w:val="008B20FC"/>
    <w:rsid w:val="008B341F"/>
    <w:rsid w:val="008C0845"/>
    <w:rsid w:val="008C1892"/>
    <w:rsid w:val="008C64E0"/>
    <w:rsid w:val="008C7CA5"/>
    <w:rsid w:val="008D09AA"/>
    <w:rsid w:val="008D19CC"/>
    <w:rsid w:val="008D2E76"/>
    <w:rsid w:val="008D3A14"/>
    <w:rsid w:val="008D4189"/>
    <w:rsid w:val="008E082F"/>
    <w:rsid w:val="008E298E"/>
    <w:rsid w:val="008E5682"/>
    <w:rsid w:val="008E6A84"/>
    <w:rsid w:val="008E75B9"/>
    <w:rsid w:val="008F25EE"/>
    <w:rsid w:val="008F4502"/>
    <w:rsid w:val="008F596A"/>
    <w:rsid w:val="008F5C4E"/>
    <w:rsid w:val="00903A99"/>
    <w:rsid w:val="0090458F"/>
    <w:rsid w:val="00905BC7"/>
    <w:rsid w:val="00907B73"/>
    <w:rsid w:val="00910190"/>
    <w:rsid w:val="0091180B"/>
    <w:rsid w:val="009127C8"/>
    <w:rsid w:val="009139B4"/>
    <w:rsid w:val="00913CF7"/>
    <w:rsid w:val="00916D96"/>
    <w:rsid w:val="00917AD5"/>
    <w:rsid w:val="009357A3"/>
    <w:rsid w:val="0094113C"/>
    <w:rsid w:val="0094479A"/>
    <w:rsid w:val="00945858"/>
    <w:rsid w:val="00955B2F"/>
    <w:rsid w:val="00955E93"/>
    <w:rsid w:val="00960091"/>
    <w:rsid w:val="00960206"/>
    <w:rsid w:val="009629C3"/>
    <w:rsid w:val="00962BDC"/>
    <w:rsid w:val="00963DE6"/>
    <w:rsid w:val="00967425"/>
    <w:rsid w:val="00972F19"/>
    <w:rsid w:val="009766DD"/>
    <w:rsid w:val="00977431"/>
    <w:rsid w:val="00977EF7"/>
    <w:rsid w:val="00987467"/>
    <w:rsid w:val="00990D02"/>
    <w:rsid w:val="009959B1"/>
    <w:rsid w:val="00996D14"/>
    <w:rsid w:val="009A1C10"/>
    <w:rsid w:val="009A32B6"/>
    <w:rsid w:val="009A530B"/>
    <w:rsid w:val="009A537D"/>
    <w:rsid w:val="009A7678"/>
    <w:rsid w:val="009B1DA1"/>
    <w:rsid w:val="009B31D6"/>
    <w:rsid w:val="009C086A"/>
    <w:rsid w:val="009D3627"/>
    <w:rsid w:val="009D51D2"/>
    <w:rsid w:val="009E5A87"/>
    <w:rsid w:val="009F1E49"/>
    <w:rsid w:val="009F2BD2"/>
    <w:rsid w:val="009F3777"/>
    <w:rsid w:val="009F78E6"/>
    <w:rsid w:val="00A01E31"/>
    <w:rsid w:val="00A03B13"/>
    <w:rsid w:val="00A04B65"/>
    <w:rsid w:val="00A06715"/>
    <w:rsid w:val="00A0787D"/>
    <w:rsid w:val="00A10B2D"/>
    <w:rsid w:val="00A10F78"/>
    <w:rsid w:val="00A11A09"/>
    <w:rsid w:val="00A268EA"/>
    <w:rsid w:val="00A34A44"/>
    <w:rsid w:val="00A409E1"/>
    <w:rsid w:val="00A419EA"/>
    <w:rsid w:val="00A4560C"/>
    <w:rsid w:val="00A46E76"/>
    <w:rsid w:val="00A47C69"/>
    <w:rsid w:val="00A521FE"/>
    <w:rsid w:val="00A62B26"/>
    <w:rsid w:val="00A63D97"/>
    <w:rsid w:val="00A63F95"/>
    <w:rsid w:val="00A641CC"/>
    <w:rsid w:val="00A65FD1"/>
    <w:rsid w:val="00A679F3"/>
    <w:rsid w:val="00A70EDF"/>
    <w:rsid w:val="00A73FA2"/>
    <w:rsid w:val="00A84DEA"/>
    <w:rsid w:val="00A8608C"/>
    <w:rsid w:val="00A94F6E"/>
    <w:rsid w:val="00AB4D85"/>
    <w:rsid w:val="00AB7E03"/>
    <w:rsid w:val="00AC0E83"/>
    <w:rsid w:val="00AC3DBC"/>
    <w:rsid w:val="00AC41A5"/>
    <w:rsid w:val="00AC4380"/>
    <w:rsid w:val="00AC5813"/>
    <w:rsid w:val="00AC7BC0"/>
    <w:rsid w:val="00AD01A3"/>
    <w:rsid w:val="00AD13D6"/>
    <w:rsid w:val="00AD562B"/>
    <w:rsid w:val="00AE2955"/>
    <w:rsid w:val="00AE2E87"/>
    <w:rsid w:val="00AF2374"/>
    <w:rsid w:val="00AF3859"/>
    <w:rsid w:val="00AF44AF"/>
    <w:rsid w:val="00AF6578"/>
    <w:rsid w:val="00AF70C1"/>
    <w:rsid w:val="00B028DC"/>
    <w:rsid w:val="00B03322"/>
    <w:rsid w:val="00B043F6"/>
    <w:rsid w:val="00B06A14"/>
    <w:rsid w:val="00B136FA"/>
    <w:rsid w:val="00B141F3"/>
    <w:rsid w:val="00B16543"/>
    <w:rsid w:val="00B16682"/>
    <w:rsid w:val="00B17AB3"/>
    <w:rsid w:val="00B229D8"/>
    <w:rsid w:val="00B245F6"/>
    <w:rsid w:val="00B4014F"/>
    <w:rsid w:val="00B43CEF"/>
    <w:rsid w:val="00B4506D"/>
    <w:rsid w:val="00B46639"/>
    <w:rsid w:val="00B5769D"/>
    <w:rsid w:val="00B60F0C"/>
    <w:rsid w:val="00B66E04"/>
    <w:rsid w:val="00B72803"/>
    <w:rsid w:val="00B74C77"/>
    <w:rsid w:val="00B7641E"/>
    <w:rsid w:val="00B80545"/>
    <w:rsid w:val="00B82A8D"/>
    <w:rsid w:val="00B830CE"/>
    <w:rsid w:val="00B877B0"/>
    <w:rsid w:val="00B8782A"/>
    <w:rsid w:val="00B95A3B"/>
    <w:rsid w:val="00BA016B"/>
    <w:rsid w:val="00BA150B"/>
    <w:rsid w:val="00BA3FDB"/>
    <w:rsid w:val="00BB0C79"/>
    <w:rsid w:val="00BB3518"/>
    <w:rsid w:val="00BC1EFA"/>
    <w:rsid w:val="00BC40E4"/>
    <w:rsid w:val="00BD02A2"/>
    <w:rsid w:val="00BD2902"/>
    <w:rsid w:val="00BD2F63"/>
    <w:rsid w:val="00BE184C"/>
    <w:rsid w:val="00BE58EA"/>
    <w:rsid w:val="00BE7EA1"/>
    <w:rsid w:val="00BF0F92"/>
    <w:rsid w:val="00BF7DD9"/>
    <w:rsid w:val="00C1038C"/>
    <w:rsid w:val="00C10BAC"/>
    <w:rsid w:val="00C15104"/>
    <w:rsid w:val="00C15D1A"/>
    <w:rsid w:val="00C30116"/>
    <w:rsid w:val="00C37F4E"/>
    <w:rsid w:val="00C531BD"/>
    <w:rsid w:val="00C55EE9"/>
    <w:rsid w:val="00C56E2C"/>
    <w:rsid w:val="00C666E3"/>
    <w:rsid w:val="00C72397"/>
    <w:rsid w:val="00C72689"/>
    <w:rsid w:val="00C74D38"/>
    <w:rsid w:val="00C75B7D"/>
    <w:rsid w:val="00C77F38"/>
    <w:rsid w:val="00C85FBC"/>
    <w:rsid w:val="00C86005"/>
    <w:rsid w:val="00C87CCD"/>
    <w:rsid w:val="00C92827"/>
    <w:rsid w:val="00C93C1A"/>
    <w:rsid w:val="00CA2F70"/>
    <w:rsid w:val="00CA566F"/>
    <w:rsid w:val="00CA768A"/>
    <w:rsid w:val="00CC09B3"/>
    <w:rsid w:val="00CC6EC4"/>
    <w:rsid w:val="00CC7D63"/>
    <w:rsid w:val="00CD268A"/>
    <w:rsid w:val="00CD3676"/>
    <w:rsid w:val="00CD6D87"/>
    <w:rsid w:val="00CE0B2D"/>
    <w:rsid w:val="00CE1E8C"/>
    <w:rsid w:val="00CE49AE"/>
    <w:rsid w:val="00CE5103"/>
    <w:rsid w:val="00D00D43"/>
    <w:rsid w:val="00D054A9"/>
    <w:rsid w:val="00D064A3"/>
    <w:rsid w:val="00D06C24"/>
    <w:rsid w:val="00D104BF"/>
    <w:rsid w:val="00D132B4"/>
    <w:rsid w:val="00D202AD"/>
    <w:rsid w:val="00D25169"/>
    <w:rsid w:val="00D25D18"/>
    <w:rsid w:val="00D2675E"/>
    <w:rsid w:val="00D31199"/>
    <w:rsid w:val="00D3180C"/>
    <w:rsid w:val="00D40842"/>
    <w:rsid w:val="00D434D2"/>
    <w:rsid w:val="00D43F14"/>
    <w:rsid w:val="00D450ED"/>
    <w:rsid w:val="00D460EB"/>
    <w:rsid w:val="00D4773E"/>
    <w:rsid w:val="00D506AB"/>
    <w:rsid w:val="00D71DFE"/>
    <w:rsid w:val="00D731D4"/>
    <w:rsid w:val="00D732D5"/>
    <w:rsid w:val="00D73363"/>
    <w:rsid w:val="00D73E6B"/>
    <w:rsid w:val="00D84DF2"/>
    <w:rsid w:val="00D8538B"/>
    <w:rsid w:val="00D9710A"/>
    <w:rsid w:val="00DA0372"/>
    <w:rsid w:val="00DA2CCD"/>
    <w:rsid w:val="00DA4B10"/>
    <w:rsid w:val="00DA5DA3"/>
    <w:rsid w:val="00DB09C5"/>
    <w:rsid w:val="00DB1E17"/>
    <w:rsid w:val="00DB706A"/>
    <w:rsid w:val="00DB7FF6"/>
    <w:rsid w:val="00DC4741"/>
    <w:rsid w:val="00DC4C8C"/>
    <w:rsid w:val="00DC56A0"/>
    <w:rsid w:val="00DD12DA"/>
    <w:rsid w:val="00DD5989"/>
    <w:rsid w:val="00DD5F7F"/>
    <w:rsid w:val="00DD7962"/>
    <w:rsid w:val="00DE0E9F"/>
    <w:rsid w:val="00DE4154"/>
    <w:rsid w:val="00DE6363"/>
    <w:rsid w:val="00DE79DF"/>
    <w:rsid w:val="00DF0880"/>
    <w:rsid w:val="00DF112F"/>
    <w:rsid w:val="00DF5293"/>
    <w:rsid w:val="00DF6C2A"/>
    <w:rsid w:val="00E01934"/>
    <w:rsid w:val="00E0403C"/>
    <w:rsid w:val="00E040B3"/>
    <w:rsid w:val="00E0554F"/>
    <w:rsid w:val="00E05ACE"/>
    <w:rsid w:val="00E06731"/>
    <w:rsid w:val="00E1152E"/>
    <w:rsid w:val="00E1463E"/>
    <w:rsid w:val="00E16E69"/>
    <w:rsid w:val="00E2024D"/>
    <w:rsid w:val="00E20723"/>
    <w:rsid w:val="00E20AC6"/>
    <w:rsid w:val="00E21E29"/>
    <w:rsid w:val="00E32ED1"/>
    <w:rsid w:val="00E33DD5"/>
    <w:rsid w:val="00E35A16"/>
    <w:rsid w:val="00E36564"/>
    <w:rsid w:val="00E368A6"/>
    <w:rsid w:val="00E3727D"/>
    <w:rsid w:val="00E41C3E"/>
    <w:rsid w:val="00E436CF"/>
    <w:rsid w:val="00E501C6"/>
    <w:rsid w:val="00E50E9C"/>
    <w:rsid w:val="00E516A3"/>
    <w:rsid w:val="00E5765F"/>
    <w:rsid w:val="00E60C26"/>
    <w:rsid w:val="00E663A0"/>
    <w:rsid w:val="00E67371"/>
    <w:rsid w:val="00E715AB"/>
    <w:rsid w:val="00E757B0"/>
    <w:rsid w:val="00E77437"/>
    <w:rsid w:val="00E82B82"/>
    <w:rsid w:val="00E83143"/>
    <w:rsid w:val="00E87D5E"/>
    <w:rsid w:val="00E93B09"/>
    <w:rsid w:val="00E9519B"/>
    <w:rsid w:val="00E96741"/>
    <w:rsid w:val="00E97E68"/>
    <w:rsid w:val="00EA670C"/>
    <w:rsid w:val="00EB1BE3"/>
    <w:rsid w:val="00EB25AF"/>
    <w:rsid w:val="00EB4211"/>
    <w:rsid w:val="00EB67BE"/>
    <w:rsid w:val="00EC37BF"/>
    <w:rsid w:val="00EC4FAB"/>
    <w:rsid w:val="00EC7788"/>
    <w:rsid w:val="00EC7FEA"/>
    <w:rsid w:val="00ED02ED"/>
    <w:rsid w:val="00ED081D"/>
    <w:rsid w:val="00ED0A40"/>
    <w:rsid w:val="00ED0E94"/>
    <w:rsid w:val="00ED137F"/>
    <w:rsid w:val="00ED2878"/>
    <w:rsid w:val="00ED7851"/>
    <w:rsid w:val="00EE4214"/>
    <w:rsid w:val="00EF01F6"/>
    <w:rsid w:val="00EF1F18"/>
    <w:rsid w:val="00EF2A8C"/>
    <w:rsid w:val="00EF617F"/>
    <w:rsid w:val="00EF6D39"/>
    <w:rsid w:val="00EF6E66"/>
    <w:rsid w:val="00F0557E"/>
    <w:rsid w:val="00F07674"/>
    <w:rsid w:val="00F111D7"/>
    <w:rsid w:val="00F125E1"/>
    <w:rsid w:val="00F12793"/>
    <w:rsid w:val="00F211CC"/>
    <w:rsid w:val="00F340FC"/>
    <w:rsid w:val="00F3590F"/>
    <w:rsid w:val="00F37123"/>
    <w:rsid w:val="00F464DC"/>
    <w:rsid w:val="00F52A03"/>
    <w:rsid w:val="00F56EA0"/>
    <w:rsid w:val="00F610A7"/>
    <w:rsid w:val="00F67EF7"/>
    <w:rsid w:val="00F70C6F"/>
    <w:rsid w:val="00F84B7B"/>
    <w:rsid w:val="00F86FEE"/>
    <w:rsid w:val="00F951C9"/>
    <w:rsid w:val="00F954D2"/>
    <w:rsid w:val="00F96347"/>
    <w:rsid w:val="00F96537"/>
    <w:rsid w:val="00F977F5"/>
    <w:rsid w:val="00FA19D6"/>
    <w:rsid w:val="00FA555C"/>
    <w:rsid w:val="00FA7084"/>
    <w:rsid w:val="00FB1FD6"/>
    <w:rsid w:val="00FB27F5"/>
    <w:rsid w:val="00FB4355"/>
    <w:rsid w:val="00FB538B"/>
    <w:rsid w:val="00FB59B2"/>
    <w:rsid w:val="00FC1764"/>
    <w:rsid w:val="00FC26CD"/>
    <w:rsid w:val="00FC38CE"/>
    <w:rsid w:val="00FC394E"/>
    <w:rsid w:val="00FC54A7"/>
    <w:rsid w:val="00FE5514"/>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mmittee/advisory-committee-complementary-medicines-accm" TargetMode="External"/><Relationship Id="rId13" Type="http://schemas.openxmlformats.org/officeDocument/2006/relationships/hyperlink" Target="http://www.online.foodchemicalscodex.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pnf.com/" TargetMode="External"/><Relationship Id="rId17" Type="http://schemas.openxmlformats.org/officeDocument/2006/relationships/hyperlink" Target="http://www.openlibrary.org/books/OL22071008M/European_pharmacopoeia" TargetMode="External"/><Relationship Id="rId2" Type="http://schemas.openxmlformats.org/officeDocument/2006/relationships/numbering" Target="numbering.xml"/><Relationship Id="rId16" Type="http://schemas.openxmlformats.org/officeDocument/2006/relationships/hyperlink" Target="http://www.trove.nl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qm.eu/en/european-pharmacopoeia-ph-eur-9th-edition" TargetMode="External"/><Relationship Id="rId5" Type="http://schemas.openxmlformats.org/officeDocument/2006/relationships/webSettings" Target="webSettings.xml"/><Relationship Id="rId15" Type="http://schemas.openxmlformats.org/officeDocument/2006/relationships/hyperlink" Target="http://www.rehydrate.org/ors/expert-consultation.html" TargetMode="External"/><Relationship Id="rId10" Type="http://schemas.openxmlformats.org/officeDocument/2006/relationships/hyperlink" Target="http://www.pharmacopoei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committee-meeting-info/accm-meeting-statement-meeting-24-19-march-2020" TargetMode="External"/><Relationship Id="rId14"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12D1-FB54-4CAF-9FD6-922A62C3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2020-12-14T05:53:00Z</cp:lastPrinted>
  <dcterms:created xsi:type="dcterms:W3CDTF">2020-12-14T05:53:00Z</dcterms:created>
  <dcterms:modified xsi:type="dcterms:W3CDTF">2020-12-14T05:53:00Z</dcterms:modified>
</cp:coreProperties>
</file>