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D2246" w14:textId="2F1C1CB8" w:rsidR="00892701" w:rsidRPr="00190498" w:rsidRDefault="00AB5039" w:rsidP="000C6A6F">
      <w:pPr>
        <w:pStyle w:val="Heading1"/>
        <w:rPr>
          <w:rFonts w:asciiTheme="minorHAnsi" w:eastAsia="Times New Roman" w:hAnsiTheme="minorHAnsi" w:cstheme="minorHAnsi"/>
          <w:b w:val="0"/>
          <w:u w:val="single"/>
          <w:lang w:eastAsia="en-AU"/>
        </w:rPr>
      </w:pPr>
      <w:r w:rsidRPr="00190498">
        <w:rPr>
          <w:rFonts w:asciiTheme="minorHAnsi" w:eastAsia="Times New Roman" w:hAnsiTheme="minorHAnsi" w:cstheme="minorHAnsi"/>
          <w:u w:val="single"/>
          <w:lang w:eastAsia="en-AU"/>
        </w:rPr>
        <w:t>EXPLANATORY STATEMENT</w:t>
      </w:r>
    </w:p>
    <w:p w14:paraId="09D1EE27" w14:textId="7D969E38" w:rsidR="00CD769B" w:rsidRPr="00190498" w:rsidRDefault="00CD769B" w:rsidP="00CD769B">
      <w:pPr>
        <w:jc w:val="center"/>
        <w:rPr>
          <w:rFonts w:asciiTheme="minorHAnsi" w:hAnsiTheme="minorHAnsi" w:cstheme="minorHAnsi"/>
          <w:szCs w:val="24"/>
          <w:u w:val="single"/>
        </w:rPr>
      </w:pPr>
      <w:r w:rsidRPr="00190498">
        <w:rPr>
          <w:rFonts w:asciiTheme="minorHAnsi" w:hAnsiTheme="minorHAnsi" w:cstheme="minorHAnsi"/>
          <w:szCs w:val="24"/>
          <w:u w:val="single"/>
        </w:rPr>
        <w:t>Issued by the authority of the Minister of Education</w:t>
      </w:r>
    </w:p>
    <w:p w14:paraId="55A9FA99" w14:textId="49822AE7" w:rsidR="00CD769B" w:rsidRPr="00190498" w:rsidRDefault="00CD769B" w:rsidP="00CD769B">
      <w:pPr>
        <w:jc w:val="center"/>
        <w:rPr>
          <w:rFonts w:asciiTheme="minorHAnsi" w:hAnsiTheme="minorHAnsi" w:cstheme="minorHAnsi"/>
          <w:b/>
          <w:i/>
          <w:szCs w:val="24"/>
        </w:rPr>
      </w:pPr>
      <w:r w:rsidRPr="00190498">
        <w:rPr>
          <w:rFonts w:asciiTheme="minorHAnsi" w:hAnsiTheme="minorHAnsi" w:cstheme="minorHAnsi"/>
          <w:b/>
          <w:i/>
          <w:szCs w:val="24"/>
        </w:rPr>
        <w:t>Higher Education Support Act 2003</w:t>
      </w:r>
    </w:p>
    <w:p w14:paraId="749A00A8" w14:textId="7527431E" w:rsidR="00892701" w:rsidRPr="00190498" w:rsidRDefault="003650AC" w:rsidP="00D1079C">
      <w:pPr>
        <w:pStyle w:val="Title"/>
        <w:jc w:val="center"/>
        <w:rPr>
          <w:rFonts w:asciiTheme="minorHAnsi" w:eastAsia="Times New Roman" w:hAnsiTheme="minorHAnsi" w:cstheme="minorHAnsi"/>
          <w:sz w:val="24"/>
          <w:szCs w:val="52"/>
          <w:lang w:eastAsia="en-AU"/>
        </w:rPr>
      </w:pPr>
      <w:r w:rsidRPr="00190498">
        <w:rPr>
          <w:rFonts w:asciiTheme="minorHAnsi" w:eastAsia="Times New Roman" w:hAnsiTheme="minorHAnsi" w:cstheme="minorHAnsi"/>
          <w:sz w:val="24"/>
          <w:szCs w:val="52"/>
          <w:lang w:eastAsia="en-AU"/>
        </w:rPr>
        <w:t>Higher Education Provider Amendment (</w:t>
      </w:r>
      <w:r w:rsidR="001E6627" w:rsidRPr="00190498">
        <w:rPr>
          <w:rFonts w:asciiTheme="minorHAnsi" w:eastAsia="Times New Roman" w:hAnsiTheme="minorHAnsi" w:cstheme="minorHAnsi"/>
          <w:sz w:val="24"/>
          <w:szCs w:val="52"/>
          <w:lang w:eastAsia="en-AU"/>
        </w:rPr>
        <w:t>Tuition Protection</w:t>
      </w:r>
      <w:r w:rsidR="000A7FC7" w:rsidRPr="00190498">
        <w:rPr>
          <w:rFonts w:asciiTheme="minorHAnsi" w:eastAsia="Times New Roman" w:hAnsiTheme="minorHAnsi" w:cstheme="minorHAnsi"/>
          <w:sz w:val="24"/>
          <w:szCs w:val="52"/>
          <w:lang w:eastAsia="en-AU"/>
        </w:rPr>
        <w:t xml:space="preserve"> and Other Measures</w:t>
      </w:r>
      <w:r w:rsidRPr="00190498">
        <w:rPr>
          <w:rFonts w:asciiTheme="minorHAnsi" w:eastAsia="Times New Roman" w:hAnsiTheme="minorHAnsi" w:cstheme="minorHAnsi"/>
          <w:sz w:val="24"/>
          <w:szCs w:val="52"/>
          <w:lang w:eastAsia="en-AU"/>
        </w:rPr>
        <w:t>)</w:t>
      </w:r>
      <w:r w:rsidR="001E6627" w:rsidRPr="00190498">
        <w:rPr>
          <w:rFonts w:asciiTheme="minorHAnsi" w:eastAsia="Times New Roman" w:hAnsiTheme="minorHAnsi" w:cstheme="minorHAnsi"/>
          <w:sz w:val="24"/>
          <w:szCs w:val="52"/>
          <w:lang w:eastAsia="en-AU"/>
        </w:rPr>
        <w:t xml:space="preserve"> </w:t>
      </w:r>
      <w:r w:rsidRPr="00190498">
        <w:rPr>
          <w:rFonts w:asciiTheme="minorHAnsi" w:eastAsia="Times New Roman" w:hAnsiTheme="minorHAnsi" w:cstheme="minorHAnsi"/>
          <w:sz w:val="24"/>
          <w:szCs w:val="52"/>
          <w:lang w:eastAsia="en-AU"/>
        </w:rPr>
        <w:t>Guidelines</w:t>
      </w:r>
      <w:r w:rsidR="001E6627" w:rsidRPr="00190498">
        <w:rPr>
          <w:rFonts w:asciiTheme="minorHAnsi" w:eastAsia="Times New Roman" w:hAnsiTheme="minorHAnsi" w:cstheme="minorHAnsi"/>
          <w:sz w:val="24"/>
          <w:szCs w:val="52"/>
          <w:lang w:eastAsia="en-AU"/>
        </w:rPr>
        <w:t xml:space="preserve"> 2020</w:t>
      </w:r>
    </w:p>
    <w:p w14:paraId="5318193A" w14:textId="722734E4" w:rsidR="00892701" w:rsidRPr="00190498" w:rsidRDefault="00550379" w:rsidP="00A42E69">
      <w:pPr>
        <w:pStyle w:val="Heading2"/>
        <w:rPr>
          <w:rFonts w:asciiTheme="minorHAnsi" w:eastAsia="Times New Roman" w:hAnsiTheme="minorHAnsi" w:cstheme="minorHAnsi"/>
          <w:lang w:eastAsia="en-AU"/>
        </w:rPr>
      </w:pPr>
      <w:r w:rsidRPr="00190498">
        <w:rPr>
          <w:rFonts w:asciiTheme="minorHAnsi" w:eastAsia="Times New Roman" w:hAnsiTheme="minorHAnsi" w:cstheme="minorHAnsi"/>
          <w:lang w:eastAsia="en-AU"/>
        </w:rPr>
        <w:t>Purpose</w:t>
      </w:r>
    </w:p>
    <w:p w14:paraId="25790C6D" w14:textId="1C459191" w:rsidR="001E6627" w:rsidRPr="00190498" w:rsidRDefault="00892701" w:rsidP="000945BE">
      <w:pPr>
        <w:rPr>
          <w:rFonts w:asciiTheme="minorHAnsi" w:hAnsiTheme="minorHAnsi" w:cstheme="minorHAnsi"/>
          <w:lang w:eastAsia="en-AU"/>
        </w:rPr>
      </w:pPr>
      <w:r w:rsidRPr="00190498">
        <w:rPr>
          <w:rFonts w:asciiTheme="minorHAnsi" w:hAnsiTheme="minorHAnsi" w:cstheme="minorHAnsi"/>
          <w:lang w:eastAsia="en-AU"/>
        </w:rPr>
        <w:t>The</w:t>
      </w:r>
      <w:r w:rsidR="000C6A6F" w:rsidRPr="00190498">
        <w:rPr>
          <w:rFonts w:asciiTheme="minorHAnsi" w:hAnsiTheme="minorHAnsi" w:cstheme="minorHAnsi"/>
          <w:lang w:eastAsia="en-AU"/>
        </w:rPr>
        <w:t xml:space="preserve"> </w:t>
      </w:r>
      <w:r w:rsidR="000A7FC7" w:rsidRPr="00190498">
        <w:rPr>
          <w:rFonts w:asciiTheme="minorHAnsi" w:hAnsiTheme="minorHAnsi" w:cstheme="minorHAnsi"/>
          <w:lang w:eastAsia="en-AU"/>
        </w:rPr>
        <w:t xml:space="preserve">primary </w:t>
      </w:r>
      <w:r w:rsidR="00550379" w:rsidRPr="00190498">
        <w:rPr>
          <w:rFonts w:asciiTheme="minorHAnsi" w:hAnsiTheme="minorHAnsi" w:cstheme="minorHAnsi"/>
          <w:lang w:eastAsia="en-AU"/>
        </w:rPr>
        <w:t xml:space="preserve">purpose of the </w:t>
      </w:r>
      <w:r w:rsidR="003650AC" w:rsidRPr="00190498">
        <w:rPr>
          <w:rFonts w:asciiTheme="minorHAnsi" w:hAnsiTheme="minorHAnsi" w:cstheme="minorHAnsi"/>
          <w:i/>
          <w:lang w:eastAsia="en-AU"/>
        </w:rPr>
        <w:t>Higher Education Provider Amendment (Tuition Protection</w:t>
      </w:r>
      <w:r w:rsidR="000A7FC7" w:rsidRPr="00190498">
        <w:rPr>
          <w:rFonts w:asciiTheme="minorHAnsi" w:hAnsiTheme="minorHAnsi" w:cstheme="minorHAnsi"/>
          <w:i/>
          <w:lang w:eastAsia="en-AU"/>
        </w:rPr>
        <w:t xml:space="preserve"> and Other Measures</w:t>
      </w:r>
      <w:r w:rsidR="003650AC" w:rsidRPr="00190498">
        <w:rPr>
          <w:rFonts w:asciiTheme="minorHAnsi" w:hAnsiTheme="minorHAnsi" w:cstheme="minorHAnsi"/>
          <w:i/>
          <w:lang w:eastAsia="en-AU"/>
        </w:rPr>
        <w:t>) Guidelines</w:t>
      </w:r>
      <w:r w:rsidR="001E6627" w:rsidRPr="00190498">
        <w:rPr>
          <w:rFonts w:asciiTheme="minorHAnsi" w:hAnsiTheme="minorHAnsi" w:cstheme="minorHAnsi"/>
          <w:i/>
          <w:lang w:eastAsia="en-AU"/>
        </w:rPr>
        <w:t xml:space="preserve"> 2020</w:t>
      </w:r>
      <w:r w:rsidR="000C6A6F" w:rsidRPr="00190498">
        <w:rPr>
          <w:rFonts w:asciiTheme="minorHAnsi" w:hAnsiTheme="minorHAnsi" w:cstheme="minorHAnsi"/>
          <w:i/>
          <w:lang w:eastAsia="en-AU"/>
        </w:rPr>
        <w:t xml:space="preserve"> </w:t>
      </w:r>
      <w:r w:rsidR="000945BE" w:rsidRPr="00190498">
        <w:rPr>
          <w:rFonts w:asciiTheme="minorHAnsi" w:hAnsiTheme="minorHAnsi" w:cstheme="minorHAnsi"/>
          <w:lang w:eastAsia="en-AU"/>
        </w:rPr>
        <w:t xml:space="preserve">(the </w:t>
      </w:r>
      <w:r w:rsidR="001570F9" w:rsidRPr="00190498">
        <w:rPr>
          <w:rFonts w:asciiTheme="minorHAnsi" w:hAnsiTheme="minorHAnsi" w:cstheme="minorHAnsi"/>
          <w:b/>
          <w:bCs/>
          <w:lang w:eastAsia="en-AU"/>
        </w:rPr>
        <w:t xml:space="preserve">Amendment </w:t>
      </w:r>
      <w:r w:rsidR="000945BE" w:rsidRPr="00190498">
        <w:rPr>
          <w:rFonts w:asciiTheme="minorHAnsi" w:hAnsiTheme="minorHAnsi" w:cstheme="minorHAnsi"/>
          <w:b/>
          <w:lang w:eastAsia="en-AU"/>
        </w:rPr>
        <w:t>Guidelines</w:t>
      </w:r>
      <w:r w:rsidR="000945BE" w:rsidRPr="00190498">
        <w:rPr>
          <w:rFonts w:asciiTheme="minorHAnsi" w:hAnsiTheme="minorHAnsi" w:cstheme="minorHAnsi"/>
          <w:lang w:eastAsia="en-AU"/>
        </w:rPr>
        <w:t xml:space="preserve">) </w:t>
      </w:r>
      <w:r w:rsidR="00550379" w:rsidRPr="00190498">
        <w:rPr>
          <w:rFonts w:asciiTheme="minorHAnsi" w:hAnsiTheme="minorHAnsi" w:cstheme="minorHAnsi"/>
          <w:lang w:eastAsia="en-AU"/>
        </w:rPr>
        <w:t xml:space="preserve">is to </w:t>
      </w:r>
      <w:r w:rsidR="001570F9" w:rsidRPr="00190498">
        <w:rPr>
          <w:rFonts w:asciiTheme="minorHAnsi" w:hAnsiTheme="minorHAnsi" w:cstheme="minorHAnsi"/>
          <w:lang w:eastAsia="en-AU"/>
        </w:rPr>
        <w:t xml:space="preserve">amend the </w:t>
      </w:r>
      <w:r w:rsidR="001570F9" w:rsidRPr="00190498">
        <w:rPr>
          <w:rFonts w:asciiTheme="minorHAnsi" w:hAnsiTheme="minorHAnsi" w:cstheme="minorHAnsi"/>
          <w:i/>
          <w:iCs/>
          <w:lang w:eastAsia="en-AU"/>
        </w:rPr>
        <w:t xml:space="preserve">Higher Education Provider Guidelines 2012 </w:t>
      </w:r>
      <w:r w:rsidR="001570F9" w:rsidRPr="00190498">
        <w:rPr>
          <w:rFonts w:asciiTheme="minorHAnsi" w:hAnsiTheme="minorHAnsi" w:cstheme="minorHAnsi"/>
          <w:lang w:eastAsia="en-AU"/>
        </w:rPr>
        <w:t>(</w:t>
      </w:r>
      <w:r w:rsidR="001570F9" w:rsidRPr="00190498">
        <w:rPr>
          <w:rFonts w:asciiTheme="minorHAnsi" w:hAnsiTheme="minorHAnsi" w:cstheme="minorHAnsi"/>
          <w:b/>
          <w:bCs/>
          <w:lang w:eastAsia="en-AU"/>
        </w:rPr>
        <w:t>Guidelines</w:t>
      </w:r>
      <w:r w:rsidR="001570F9" w:rsidRPr="00190498">
        <w:rPr>
          <w:rFonts w:asciiTheme="minorHAnsi" w:hAnsiTheme="minorHAnsi" w:cstheme="minorHAnsi"/>
          <w:lang w:eastAsia="en-AU"/>
        </w:rPr>
        <w:t>)</w:t>
      </w:r>
      <w:r w:rsidR="001570F9" w:rsidRPr="00190498">
        <w:rPr>
          <w:rFonts w:asciiTheme="minorHAnsi" w:hAnsiTheme="minorHAnsi" w:cstheme="minorHAnsi"/>
          <w:i/>
          <w:iCs/>
          <w:lang w:eastAsia="en-AU"/>
        </w:rPr>
        <w:t xml:space="preserve"> </w:t>
      </w:r>
      <w:r w:rsidR="001570F9" w:rsidRPr="00190498">
        <w:rPr>
          <w:rFonts w:asciiTheme="minorHAnsi" w:hAnsiTheme="minorHAnsi" w:cstheme="minorHAnsi"/>
          <w:lang w:eastAsia="en-AU"/>
        </w:rPr>
        <w:t xml:space="preserve">to </w:t>
      </w:r>
      <w:r w:rsidR="000C6A6F" w:rsidRPr="00190498">
        <w:rPr>
          <w:rFonts w:asciiTheme="minorHAnsi" w:hAnsiTheme="minorHAnsi" w:cstheme="minorHAnsi"/>
          <w:lang w:eastAsia="en-AU"/>
        </w:rPr>
        <w:t xml:space="preserve">put in place administrative </w:t>
      </w:r>
      <w:r w:rsidR="001E6627" w:rsidRPr="00190498">
        <w:rPr>
          <w:rFonts w:asciiTheme="minorHAnsi" w:hAnsiTheme="minorHAnsi" w:cstheme="minorHAnsi"/>
          <w:lang w:eastAsia="en-AU"/>
        </w:rPr>
        <w:t xml:space="preserve">and operational provisions to support </w:t>
      </w:r>
      <w:r w:rsidR="001570F9" w:rsidRPr="00190498">
        <w:rPr>
          <w:rFonts w:asciiTheme="minorHAnsi" w:hAnsiTheme="minorHAnsi" w:cstheme="minorHAnsi"/>
          <w:lang w:eastAsia="en-AU"/>
        </w:rPr>
        <w:t xml:space="preserve">the amendments made to the </w:t>
      </w:r>
      <w:r w:rsidR="001570F9" w:rsidRPr="00190498">
        <w:rPr>
          <w:rFonts w:asciiTheme="minorHAnsi" w:hAnsiTheme="minorHAnsi" w:cstheme="minorHAnsi"/>
          <w:i/>
          <w:iCs/>
          <w:lang w:eastAsia="en-AU"/>
        </w:rPr>
        <w:t xml:space="preserve">Higher Education Support Act 2003 </w:t>
      </w:r>
      <w:r w:rsidR="001570F9" w:rsidRPr="00190498">
        <w:rPr>
          <w:rFonts w:asciiTheme="minorHAnsi" w:hAnsiTheme="minorHAnsi" w:cstheme="minorHAnsi"/>
          <w:lang w:eastAsia="en-AU"/>
        </w:rPr>
        <w:t>(</w:t>
      </w:r>
      <w:r w:rsidR="001570F9" w:rsidRPr="00190498">
        <w:rPr>
          <w:rFonts w:asciiTheme="minorHAnsi" w:hAnsiTheme="minorHAnsi" w:cstheme="minorHAnsi"/>
          <w:b/>
          <w:bCs/>
          <w:lang w:eastAsia="en-AU"/>
        </w:rPr>
        <w:t>HESA</w:t>
      </w:r>
      <w:r w:rsidR="001570F9" w:rsidRPr="00190498">
        <w:rPr>
          <w:rFonts w:asciiTheme="minorHAnsi" w:hAnsiTheme="minorHAnsi" w:cstheme="minorHAnsi"/>
          <w:lang w:eastAsia="en-AU"/>
        </w:rPr>
        <w:t xml:space="preserve">) through </w:t>
      </w:r>
      <w:r w:rsidR="008E65EC" w:rsidRPr="00190498">
        <w:rPr>
          <w:rFonts w:asciiTheme="minorHAnsi" w:hAnsiTheme="minorHAnsi" w:cstheme="minorHAnsi"/>
          <w:lang w:eastAsia="en-AU"/>
        </w:rPr>
        <w:t>Schedule</w:t>
      </w:r>
      <w:r w:rsidR="001570F9" w:rsidRPr="00190498">
        <w:rPr>
          <w:rFonts w:asciiTheme="minorHAnsi" w:hAnsiTheme="minorHAnsi" w:cstheme="minorHAnsi"/>
          <w:lang w:eastAsia="en-AU"/>
        </w:rPr>
        <w:t xml:space="preserve"> </w:t>
      </w:r>
      <w:r w:rsidR="008E65EC" w:rsidRPr="00190498">
        <w:rPr>
          <w:rFonts w:asciiTheme="minorHAnsi" w:hAnsiTheme="minorHAnsi" w:cstheme="minorHAnsi"/>
          <w:lang w:eastAsia="en-AU"/>
        </w:rPr>
        <w:t>2 of the</w:t>
      </w:r>
      <w:r w:rsidR="001E6627" w:rsidRPr="00190498">
        <w:rPr>
          <w:rFonts w:asciiTheme="minorHAnsi" w:hAnsiTheme="minorHAnsi" w:cstheme="minorHAnsi"/>
          <w:lang w:eastAsia="en-AU"/>
        </w:rPr>
        <w:t xml:space="preserve"> </w:t>
      </w:r>
      <w:r w:rsidR="001E6627" w:rsidRPr="00190498">
        <w:rPr>
          <w:rFonts w:asciiTheme="minorHAnsi" w:hAnsiTheme="minorHAnsi" w:cstheme="minorHAnsi"/>
          <w:i/>
          <w:lang w:eastAsia="en-AU"/>
        </w:rPr>
        <w:t>Education Legislation</w:t>
      </w:r>
      <w:bookmarkStart w:id="0" w:name="_GoBack"/>
      <w:bookmarkEnd w:id="0"/>
      <w:r w:rsidR="001E6627" w:rsidRPr="00190498">
        <w:rPr>
          <w:rFonts w:asciiTheme="minorHAnsi" w:hAnsiTheme="minorHAnsi" w:cstheme="minorHAnsi"/>
          <w:i/>
          <w:lang w:eastAsia="en-AU"/>
        </w:rPr>
        <w:t xml:space="preserve"> Amendment (Up-front Payments Tuition Protection) </w:t>
      </w:r>
      <w:r w:rsidR="00906A16" w:rsidRPr="00190498">
        <w:rPr>
          <w:rFonts w:asciiTheme="minorHAnsi" w:hAnsiTheme="minorHAnsi" w:cstheme="minorHAnsi"/>
          <w:i/>
          <w:lang w:eastAsia="en-AU"/>
        </w:rPr>
        <w:t>Act</w:t>
      </w:r>
      <w:r w:rsidR="001E6627" w:rsidRPr="00190498">
        <w:rPr>
          <w:rFonts w:asciiTheme="minorHAnsi" w:hAnsiTheme="minorHAnsi" w:cstheme="minorHAnsi"/>
          <w:i/>
          <w:lang w:eastAsia="en-AU"/>
        </w:rPr>
        <w:t xml:space="preserve"> 2020</w:t>
      </w:r>
      <w:r w:rsidR="00CD2657" w:rsidRPr="00190498">
        <w:rPr>
          <w:rFonts w:asciiTheme="minorHAnsi" w:hAnsiTheme="minorHAnsi" w:cstheme="minorHAnsi"/>
          <w:lang w:eastAsia="en-AU"/>
        </w:rPr>
        <w:t xml:space="preserve"> (</w:t>
      </w:r>
      <w:r w:rsidR="008E65EC" w:rsidRPr="00190498">
        <w:rPr>
          <w:rFonts w:asciiTheme="minorHAnsi" w:hAnsiTheme="minorHAnsi" w:cstheme="minorHAnsi"/>
          <w:lang w:eastAsia="en-AU"/>
        </w:rPr>
        <w:t xml:space="preserve">the </w:t>
      </w:r>
      <w:r w:rsidR="00CD2657" w:rsidRPr="00190498">
        <w:rPr>
          <w:rFonts w:asciiTheme="minorHAnsi" w:hAnsiTheme="minorHAnsi" w:cstheme="minorHAnsi"/>
          <w:b/>
          <w:lang w:eastAsia="en-AU"/>
        </w:rPr>
        <w:t xml:space="preserve">Tuition Protection </w:t>
      </w:r>
      <w:r w:rsidR="00906A16" w:rsidRPr="00190498">
        <w:rPr>
          <w:rFonts w:asciiTheme="minorHAnsi" w:hAnsiTheme="minorHAnsi" w:cstheme="minorHAnsi"/>
          <w:b/>
          <w:lang w:eastAsia="en-AU"/>
        </w:rPr>
        <w:t>Act</w:t>
      </w:r>
      <w:r w:rsidR="008E65EC" w:rsidRPr="00190498">
        <w:rPr>
          <w:rFonts w:asciiTheme="minorHAnsi" w:hAnsiTheme="minorHAnsi" w:cstheme="minorHAnsi"/>
          <w:lang w:eastAsia="en-AU"/>
        </w:rPr>
        <w:t>)</w:t>
      </w:r>
      <w:r w:rsidR="001570F9" w:rsidRPr="00190498">
        <w:rPr>
          <w:rFonts w:asciiTheme="minorHAnsi" w:hAnsiTheme="minorHAnsi" w:cstheme="minorHAnsi"/>
          <w:lang w:eastAsia="en-AU"/>
        </w:rPr>
        <w:t>.</w:t>
      </w:r>
    </w:p>
    <w:p w14:paraId="212C50EE" w14:textId="5FC3B0B0" w:rsidR="001570F9" w:rsidRPr="00190498" w:rsidRDefault="001570F9" w:rsidP="000945BE">
      <w:pPr>
        <w:rPr>
          <w:rFonts w:asciiTheme="minorHAnsi" w:hAnsiTheme="minorHAnsi" w:cstheme="minorHAnsi"/>
          <w:lang w:eastAsia="en-AU"/>
        </w:rPr>
      </w:pPr>
      <w:r w:rsidRPr="00190498">
        <w:rPr>
          <w:rFonts w:asciiTheme="minorHAnsi" w:hAnsiTheme="minorHAnsi" w:cstheme="minorHAnsi"/>
          <w:lang w:eastAsia="en-AU"/>
        </w:rPr>
        <w:t xml:space="preserve">Under section 19-66A of HESA, a higher education provider to whom Part 5-1A applies must comply with the tuition protection requirements. Section 16-30 of HESA provides that the tuition protection requirements include the requirements set out in the Guidelines. The Amendment Guidelines set out additional tuition protection requirements.  </w:t>
      </w:r>
    </w:p>
    <w:p w14:paraId="2F85563D" w14:textId="639CB8E5" w:rsidR="00AD2F4D" w:rsidRPr="00190498" w:rsidRDefault="00AD2F4D" w:rsidP="000945BE">
      <w:pPr>
        <w:rPr>
          <w:rFonts w:asciiTheme="minorHAnsi" w:hAnsiTheme="minorHAnsi" w:cstheme="minorHAnsi"/>
          <w:lang w:eastAsia="en-AU"/>
        </w:rPr>
      </w:pPr>
      <w:r w:rsidRPr="00190498">
        <w:rPr>
          <w:rFonts w:asciiTheme="minorHAnsi" w:hAnsiTheme="minorHAnsi" w:cstheme="minorHAnsi"/>
          <w:lang w:eastAsia="en-AU"/>
        </w:rPr>
        <w:t xml:space="preserve">The </w:t>
      </w:r>
      <w:r w:rsidR="001570F9" w:rsidRPr="00190498">
        <w:rPr>
          <w:rFonts w:asciiTheme="minorHAnsi" w:hAnsiTheme="minorHAnsi" w:cstheme="minorHAnsi"/>
          <w:lang w:eastAsia="en-AU"/>
        </w:rPr>
        <w:t xml:space="preserve">Amendment </w:t>
      </w:r>
      <w:r w:rsidRPr="00190498">
        <w:rPr>
          <w:rFonts w:asciiTheme="minorHAnsi" w:hAnsiTheme="minorHAnsi" w:cstheme="minorHAnsi"/>
          <w:lang w:eastAsia="en-AU"/>
        </w:rPr>
        <w:t xml:space="preserve">Guidelines also contain technical provisions to support </w:t>
      </w:r>
      <w:r w:rsidR="007526A7" w:rsidRPr="00190498">
        <w:rPr>
          <w:rFonts w:asciiTheme="minorHAnsi" w:hAnsiTheme="minorHAnsi" w:cstheme="minorHAnsi"/>
          <w:lang w:eastAsia="en-AU"/>
        </w:rPr>
        <w:t xml:space="preserve">changes made to HESA through </w:t>
      </w:r>
      <w:r w:rsidRPr="00190498">
        <w:rPr>
          <w:rFonts w:asciiTheme="minorHAnsi" w:hAnsiTheme="minorHAnsi" w:cstheme="minorHAnsi"/>
          <w:lang w:eastAsia="en-AU"/>
        </w:rPr>
        <w:t xml:space="preserve">Schedule 4 of the </w:t>
      </w:r>
      <w:r w:rsidRPr="00190498">
        <w:rPr>
          <w:rFonts w:asciiTheme="minorHAnsi" w:hAnsiTheme="minorHAnsi" w:cstheme="minorHAnsi"/>
          <w:i/>
          <w:iCs/>
          <w:lang w:eastAsia="en-AU"/>
        </w:rPr>
        <w:t>Higher Education Support Amendment (Job-Ready Graduates and Supporting Regional and Remote Students) Act 2020</w:t>
      </w:r>
      <w:r w:rsidRPr="00190498">
        <w:rPr>
          <w:rFonts w:asciiTheme="minorHAnsi" w:hAnsiTheme="minorHAnsi" w:cstheme="minorHAnsi"/>
          <w:lang w:eastAsia="en-AU"/>
        </w:rPr>
        <w:t xml:space="preserve"> (</w:t>
      </w:r>
      <w:r w:rsidRPr="00190498">
        <w:rPr>
          <w:rFonts w:asciiTheme="minorHAnsi" w:hAnsiTheme="minorHAnsi" w:cstheme="minorHAnsi"/>
          <w:b/>
          <w:bCs/>
          <w:lang w:eastAsia="en-AU"/>
        </w:rPr>
        <w:t>Job-Ready Graduates Act</w:t>
      </w:r>
      <w:r w:rsidRPr="00190498">
        <w:rPr>
          <w:rFonts w:asciiTheme="minorHAnsi" w:hAnsiTheme="minorHAnsi" w:cstheme="minorHAnsi"/>
          <w:lang w:eastAsia="en-AU"/>
        </w:rPr>
        <w:t xml:space="preserve">).  </w:t>
      </w:r>
    </w:p>
    <w:p w14:paraId="55F499DD" w14:textId="77777777" w:rsidR="00906A16" w:rsidRPr="00190498" w:rsidRDefault="00906A16" w:rsidP="00906A16">
      <w:pPr>
        <w:pStyle w:val="Heading2"/>
        <w:rPr>
          <w:rFonts w:asciiTheme="minorHAnsi" w:eastAsia="Times New Roman" w:hAnsiTheme="minorHAnsi" w:cstheme="minorHAnsi"/>
          <w:lang w:eastAsia="en-AU"/>
        </w:rPr>
      </w:pPr>
      <w:r w:rsidRPr="00190498">
        <w:rPr>
          <w:rFonts w:asciiTheme="minorHAnsi" w:eastAsia="Times New Roman" w:hAnsiTheme="minorHAnsi" w:cstheme="minorHAnsi"/>
          <w:lang w:eastAsia="en-AU"/>
        </w:rPr>
        <w:t>Authority</w:t>
      </w:r>
    </w:p>
    <w:p w14:paraId="4AFED8EE" w14:textId="7D578E58" w:rsidR="00906A16" w:rsidRPr="00190498" w:rsidRDefault="00906A16" w:rsidP="000945BE">
      <w:pPr>
        <w:rPr>
          <w:rFonts w:asciiTheme="minorHAnsi" w:hAnsiTheme="minorHAnsi" w:cstheme="minorHAnsi"/>
          <w:lang w:eastAsia="en-AU"/>
        </w:rPr>
      </w:pPr>
      <w:r w:rsidRPr="00190498">
        <w:rPr>
          <w:rFonts w:asciiTheme="minorHAnsi" w:hAnsiTheme="minorHAnsi" w:cstheme="minorHAnsi"/>
          <w:lang w:eastAsia="en-AU"/>
        </w:rPr>
        <w:t>The</w:t>
      </w:r>
      <w:r w:rsidR="007526A7" w:rsidRPr="00190498">
        <w:rPr>
          <w:rFonts w:asciiTheme="minorHAnsi" w:hAnsiTheme="minorHAnsi" w:cstheme="minorHAnsi"/>
          <w:lang w:eastAsia="en-AU"/>
        </w:rPr>
        <w:t xml:space="preserve"> Amendment Guidelines</w:t>
      </w:r>
      <w:r w:rsidRPr="00190498">
        <w:rPr>
          <w:rFonts w:asciiTheme="minorHAnsi" w:hAnsiTheme="minorHAnsi" w:cstheme="minorHAnsi"/>
          <w:lang w:eastAsia="en-AU"/>
        </w:rPr>
        <w:t xml:space="preserve"> </w:t>
      </w:r>
      <w:r w:rsidR="00715298" w:rsidRPr="00190498">
        <w:rPr>
          <w:rFonts w:asciiTheme="minorHAnsi" w:hAnsiTheme="minorHAnsi" w:cstheme="minorHAnsi"/>
          <w:lang w:eastAsia="en-AU"/>
        </w:rPr>
        <w:t>are</w:t>
      </w:r>
      <w:r w:rsidRPr="00190498">
        <w:rPr>
          <w:rFonts w:asciiTheme="minorHAnsi" w:hAnsiTheme="minorHAnsi" w:cstheme="minorHAnsi"/>
          <w:lang w:eastAsia="en-AU"/>
        </w:rPr>
        <w:t xml:space="preserve"> made under section 238-10 of </w:t>
      </w:r>
      <w:r w:rsidR="007526A7" w:rsidRPr="00190498">
        <w:rPr>
          <w:rFonts w:asciiTheme="minorHAnsi" w:hAnsiTheme="minorHAnsi" w:cstheme="minorHAnsi"/>
          <w:lang w:eastAsia="en-AU"/>
        </w:rPr>
        <w:t>HESA</w:t>
      </w:r>
      <w:r w:rsidR="00FD6532" w:rsidRPr="00190498">
        <w:rPr>
          <w:rFonts w:asciiTheme="minorHAnsi" w:hAnsiTheme="minorHAnsi" w:cstheme="minorHAnsi"/>
          <w:lang w:eastAsia="en-AU"/>
        </w:rPr>
        <w:t>, specifically item 6 of the table which specifies that the Minister may make Higher Education Provider Guidelines to give effect to matters under various provisions in HESA</w:t>
      </w:r>
      <w:r w:rsidR="007526A7" w:rsidRPr="00190498">
        <w:rPr>
          <w:rFonts w:asciiTheme="minorHAnsi" w:hAnsiTheme="minorHAnsi" w:cstheme="minorHAnsi"/>
          <w:lang w:eastAsia="en-AU"/>
        </w:rPr>
        <w:t xml:space="preserve">. </w:t>
      </w:r>
    </w:p>
    <w:p w14:paraId="49262B9E" w14:textId="489F5967" w:rsidR="00216F37" w:rsidRPr="00190498" w:rsidRDefault="00216F37" w:rsidP="000945BE">
      <w:pPr>
        <w:rPr>
          <w:rFonts w:asciiTheme="minorHAnsi" w:hAnsiTheme="minorHAnsi" w:cstheme="minorHAnsi"/>
          <w:lang w:eastAsia="en-AU"/>
        </w:rPr>
      </w:pPr>
      <w:r w:rsidRPr="00190498">
        <w:rPr>
          <w:rFonts w:asciiTheme="minorHAnsi" w:hAnsiTheme="minorHAnsi" w:cstheme="minorHAnsi"/>
          <w:lang w:eastAsia="en-AU"/>
        </w:rPr>
        <w:t xml:space="preserve">Subsection 33(3) of the </w:t>
      </w:r>
      <w:r w:rsidRPr="00190498">
        <w:rPr>
          <w:rFonts w:asciiTheme="minorHAnsi" w:hAnsiTheme="minorHAnsi" w:cstheme="minorHAnsi"/>
          <w:i/>
          <w:iCs/>
          <w:lang w:eastAsia="en-AU"/>
        </w:rPr>
        <w:t>Acts Interpretation Act 1901</w:t>
      </w:r>
      <w:r w:rsidRPr="00190498">
        <w:rPr>
          <w:rFonts w:asciiTheme="minorHAnsi" w:hAnsiTheme="minorHAnsi" w:cstheme="minorHAnsi"/>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amendment of the Guidelines </w:t>
      </w:r>
      <w:r w:rsidRPr="00190498">
        <w:rPr>
          <w:rFonts w:asciiTheme="minorHAnsi" w:hAnsiTheme="minorHAnsi" w:cstheme="minorHAnsi"/>
          <w:iCs/>
          <w:lang w:eastAsia="en-AU"/>
        </w:rPr>
        <w:t>by the Schedule to this instrument relies on that provision.</w:t>
      </w:r>
    </w:p>
    <w:p w14:paraId="0E4CF65A" w14:textId="7D0386F0" w:rsidR="00550379" w:rsidRPr="00190498" w:rsidRDefault="00550379" w:rsidP="00550379">
      <w:pPr>
        <w:pStyle w:val="Heading2"/>
        <w:rPr>
          <w:rFonts w:asciiTheme="minorHAnsi" w:eastAsia="Times New Roman" w:hAnsiTheme="minorHAnsi" w:cstheme="minorHAnsi"/>
          <w:lang w:eastAsia="en-AU"/>
        </w:rPr>
      </w:pPr>
      <w:r w:rsidRPr="00190498">
        <w:rPr>
          <w:rFonts w:asciiTheme="minorHAnsi" w:eastAsia="Times New Roman" w:hAnsiTheme="minorHAnsi" w:cstheme="minorHAnsi"/>
          <w:lang w:eastAsia="en-AU"/>
        </w:rPr>
        <w:t>Overview</w:t>
      </w:r>
    </w:p>
    <w:p w14:paraId="33360FEE" w14:textId="56B842BD" w:rsidR="002008DC" w:rsidRPr="00190498" w:rsidRDefault="00174F39" w:rsidP="000945BE">
      <w:pPr>
        <w:rPr>
          <w:rFonts w:asciiTheme="minorHAnsi" w:hAnsiTheme="minorHAnsi" w:cstheme="minorHAnsi"/>
          <w:lang w:eastAsia="en-AU"/>
        </w:rPr>
      </w:pPr>
      <w:r w:rsidRPr="00190498">
        <w:rPr>
          <w:rFonts w:asciiTheme="minorHAnsi" w:hAnsiTheme="minorHAnsi" w:cstheme="minorHAnsi"/>
          <w:lang w:eastAsia="en-AU"/>
        </w:rPr>
        <w:t xml:space="preserve">The tuition protection requirements </w:t>
      </w:r>
      <w:r w:rsidR="000A274F" w:rsidRPr="00190498">
        <w:rPr>
          <w:rFonts w:asciiTheme="minorHAnsi" w:hAnsiTheme="minorHAnsi" w:cstheme="minorHAnsi"/>
          <w:lang w:eastAsia="en-AU"/>
        </w:rPr>
        <w:t>set out in</w:t>
      </w:r>
      <w:r w:rsidRPr="00190498">
        <w:rPr>
          <w:rFonts w:asciiTheme="minorHAnsi" w:hAnsiTheme="minorHAnsi" w:cstheme="minorHAnsi"/>
          <w:lang w:eastAsia="en-AU"/>
        </w:rPr>
        <w:t xml:space="preserve"> </w:t>
      </w:r>
      <w:r w:rsidR="00B221DA" w:rsidRPr="00190498">
        <w:rPr>
          <w:rFonts w:asciiTheme="minorHAnsi" w:hAnsiTheme="minorHAnsi" w:cstheme="minorHAnsi"/>
          <w:lang w:eastAsia="en-AU"/>
        </w:rPr>
        <w:t>the Amendment Guidelines</w:t>
      </w:r>
      <w:r w:rsidRPr="00190498">
        <w:rPr>
          <w:rFonts w:asciiTheme="minorHAnsi" w:hAnsiTheme="minorHAnsi" w:cstheme="minorHAnsi"/>
          <w:lang w:eastAsia="en-AU"/>
        </w:rPr>
        <w:t xml:space="preserve"> </w:t>
      </w:r>
      <w:r w:rsidR="009D3129" w:rsidRPr="00190498">
        <w:rPr>
          <w:rFonts w:asciiTheme="minorHAnsi" w:hAnsiTheme="minorHAnsi" w:cstheme="minorHAnsi"/>
          <w:lang w:eastAsia="en-AU"/>
        </w:rPr>
        <w:t xml:space="preserve">specify </w:t>
      </w:r>
      <w:r w:rsidR="00D04C55" w:rsidRPr="00190498">
        <w:rPr>
          <w:rFonts w:asciiTheme="minorHAnsi" w:hAnsiTheme="minorHAnsi" w:cstheme="minorHAnsi"/>
          <w:lang w:eastAsia="en-AU"/>
        </w:rPr>
        <w:t xml:space="preserve">matters with which </w:t>
      </w:r>
      <w:r w:rsidRPr="00190498">
        <w:rPr>
          <w:rFonts w:asciiTheme="minorHAnsi" w:hAnsiTheme="minorHAnsi" w:cstheme="minorHAnsi"/>
          <w:lang w:eastAsia="en-AU"/>
        </w:rPr>
        <w:t>higher education providers to whom Part 5</w:t>
      </w:r>
      <w:r w:rsidR="003650AC" w:rsidRPr="00190498">
        <w:rPr>
          <w:rFonts w:asciiTheme="minorHAnsi" w:hAnsiTheme="minorHAnsi" w:cstheme="minorHAnsi"/>
          <w:lang w:eastAsia="en-AU"/>
        </w:rPr>
        <w:t>-1</w:t>
      </w:r>
      <w:r w:rsidRPr="00190498">
        <w:rPr>
          <w:rFonts w:asciiTheme="minorHAnsi" w:hAnsiTheme="minorHAnsi" w:cstheme="minorHAnsi"/>
          <w:lang w:eastAsia="en-AU"/>
        </w:rPr>
        <w:t xml:space="preserve">A of the </w:t>
      </w:r>
      <w:r w:rsidR="003650AC" w:rsidRPr="00190498">
        <w:rPr>
          <w:rFonts w:asciiTheme="minorHAnsi" w:hAnsiTheme="minorHAnsi" w:cstheme="minorHAnsi"/>
          <w:lang w:eastAsia="en-AU"/>
        </w:rPr>
        <w:t>HESA</w:t>
      </w:r>
      <w:r w:rsidR="0023406A" w:rsidRPr="00190498">
        <w:rPr>
          <w:rFonts w:asciiTheme="minorHAnsi" w:hAnsiTheme="minorHAnsi" w:cstheme="minorHAnsi"/>
          <w:lang w:eastAsia="en-AU"/>
        </w:rPr>
        <w:t xml:space="preserve"> </w:t>
      </w:r>
      <w:r w:rsidRPr="00190498">
        <w:rPr>
          <w:rFonts w:asciiTheme="minorHAnsi" w:hAnsiTheme="minorHAnsi" w:cstheme="minorHAnsi"/>
          <w:lang w:eastAsia="en-AU"/>
        </w:rPr>
        <w:t>applies</w:t>
      </w:r>
      <w:r w:rsidR="00EF215D" w:rsidRPr="00190498">
        <w:rPr>
          <w:rFonts w:asciiTheme="minorHAnsi" w:hAnsiTheme="minorHAnsi" w:cstheme="minorHAnsi"/>
          <w:lang w:eastAsia="en-AU"/>
        </w:rPr>
        <w:t xml:space="preserve"> must comply,</w:t>
      </w:r>
      <w:r w:rsidRPr="00190498">
        <w:rPr>
          <w:rFonts w:asciiTheme="minorHAnsi" w:hAnsiTheme="minorHAnsi" w:cstheme="minorHAnsi"/>
          <w:lang w:eastAsia="en-AU"/>
        </w:rPr>
        <w:t xml:space="preserve"> </w:t>
      </w:r>
      <w:r w:rsidR="00D04C55" w:rsidRPr="00190498">
        <w:rPr>
          <w:rFonts w:asciiTheme="minorHAnsi" w:hAnsiTheme="minorHAnsi" w:cstheme="minorHAnsi"/>
          <w:lang w:eastAsia="en-AU"/>
        </w:rPr>
        <w:t>including</w:t>
      </w:r>
      <w:r w:rsidR="0023406A" w:rsidRPr="00190498">
        <w:rPr>
          <w:rFonts w:asciiTheme="minorHAnsi" w:hAnsiTheme="minorHAnsi" w:cstheme="minorHAnsi"/>
          <w:lang w:eastAsia="en-AU"/>
        </w:rPr>
        <w:t>:</w:t>
      </w:r>
    </w:p>
    <w:p w14:paraId="3B501B2A" w14:textId="3B9063E3" w:rsidR="00BD77C7" w:rsidRPr="00190498" w:rsidRDefault="00BD77C7" w:rsidP="00BD77C7">
      <w:pPr>
        <w:pStyle w:val="ListParagraph"/>
        <w:numPr>
          <w:ilvl w:val="0"/>
          <w:numId w:val="10"/>
        </w:numPr>
        <w:rPr>
          <w:rFonts w:asciiTheme="minorHAnsi" w:hAnsiTheme="minorHAnsi" w:cstheme="minorHAnsi"/>
          <w:lang w:eastAsia="en-AU"/>
        </w:rPr>
      </w:pPr>
      <w:r w:rsidRPr="00190498">
        <w:rPr>
          <w:rFonts w:asciiTheme="minorHAnsi" w:hAnsiTheme="minorHAnsi" w:cstheme="minorHAnsi"/>
          <w:lang w:eastAsia="en-AU"/>
        </w:rPr>
        <w:t xml:space="preserve">requirements for the collection and recovery of </w:t>
      </w:r>
      <w:r w:rsidR="00B221DA" w:rsidRPr="00190498">
        <w:rPr>
          <w:rFonts w:asciiTheme="minorHAnsi" w:hAnsiTheme="minorHAnsi" w:cstheme="minorHAnsi"/>
          <w:lang w:eastAsia="en-AU"/>
        </w:rPr>
        <w:t>the HELP tuition protection levy (</w:t>
      </w:r>
      <w:r w:rsidR="00B221DA" w:rsidRPr="00190498">
        <w:rPr>
          <w:rFonts w:asciiTheme="minorHAnsi" w:hAnsiTheme="minorHAnsi" w:cstheme="minorHAnsi"/>
          <w:b/>
          <w:bCs/>
          <w:lang w:eastAsia="en-AU"/>
        </w:rPr>
        <w:t>Levy</w:t>
      </w:r>
      <w:r w:rsidR="00B221DA" w:rsidRPr="00190498">
        <w:rPr>
          <w:rFonts w:asciiTheme="minorHAnsi" w:hAnsiTheme="minorHAnsi" w:cstheme="minorHAnsi"/>
          <w:lang w:eastAsia="en-AU"/>
        </w:rPr>
        <w:t>)</w:t>
      </w:r>
      <w:r w:rsidRPr="00190498">
        <w:rPr>
          <w:rFonts w:asciiTheme="minorHAnsi" w:hAnsiTheme="minorHAnsi" w:cstheme="minorHAnsi"/>
          <w:lang w:eastAsia="en-AU"/>
        </w:rPr>
        <w:t xml:space="preserve">, including the issuing of </w:t>
      </w:r>
      <w:r w:rsidR="00B221DA" w:rsidRPr="00190498">
        <w:rPr>
          <w:rFonts w:asciiTheme="minorHAnsi" w:hAnsiTheme="minorHAnsi" w:cstheme="minorHAnsi"/>
          <w:lang w:eastAsia="en-AU"/>
        </w:rPr>
        <w:t>L</w:t>
      </w:r>
      <w:r w:rsidRPr="00190498">
        <w:rPr>
          <w:rFonts w:asciiTheme="minorHAnsi" w:hAnsiTheme="minorHAnsi" w:cstheme="minorHAnsi"/>
          <w:lang w:eastAsia="en-AU"/>
        </w:rPr>
        <w:t>evy notices by the Higher Education Tuition Protection Director (the</w:t>
      </w:r>
      <w:r w:rsidRPr="00190498">
        <w:rPr>
          <w:rFonts w:asciiTheme="minorHAnsi" w:hAnsiTheme="minorHAnsi" w:cstheme="minorHAnsi"/>
          <w:b/>
          <w:bCs/>
          <w:lang w:eastAsia="en-AU"/>
        </w:rPr>
        <w:t xml:space="preserve"> Director</w:t>
      </w:r>
      <w:r w:rsidRPr="00190498">
        <w:rPr>
          <w:rFonts w:asciiTheme="minorHAnsi" w:hAnsiTheme="minorHAnsi" w:cstheme="minorHAnsi"/>
          <w:lang w:eastAsia="en-AU"/>
        </w:rPr>
        <w:t>)</w:t>
      </w:r>
      <w:r w:rsidR="00B221DA" w:rsidRPr="00190498">
        <w:rPr>
          <w:rFonts w:asciiTheme="minorHAnsi" w:hAnsiTheme="minorHAnsi" w:cstheme="minorHAnsi"/>
          <w:lang w:eastAsia="en-AU"/>
        </w:rPr>
        <w:t>;</w:t>
      </w:r>
    </w:p>
    <w:p w14:paraId="035E2E6B" w14:textId="2D54BF20" w:rsidR="00BD77C7" w:rsidRPr="00190498" w:rsidRDefault="00BD77C7" w:rsidP="00BD77C7">
      <w:pPr>
        <w:pStyle w:val="ListParagraph"/>
        <w:numPr>
          <w:ilvl w:val="0"/>
          <w:numId w:val="10"/>
        </w:numPr>
        <w:rPr>
          <w:rFonts w:asciiTheme="minorHAnsi" w:hAnsiTheme="minorHAnsi" w:cstheme="minorHAnsi"/>
          <w:lang w:eastAsia="en-AU"/>
        </w:rPr>
      </w:pPr>
      <w:r w:rsidRPr="00190498">
        <w:rPr>
          <w:rFonts w:asciiTheme="minorHAnsi" w:hAnsiTheme="minorHAnsi" w:cstheme="minorHAnsi"/>
          <w:lang w:eastAsia="en-AU"/>
        </w:rPr>
        <w:lastRenderedPageBreak/>
        <w:t>detail around the written notices that higher education providers that default must give to students and the Director</w:t>
      </w:r>
      <w:r w:rsidR="00B221DA" w:rsidRPr="00190498">
        <w:rPr>
          <w:rFonts w:asciiTheme="minorHAnsi" w:hAnsiTheme="minorHAnsi" w:cstheme="minorHAnsi"/>
          <w:lang w:eastAsia="en-AU"/>
        </w:rPr>
        <w:t>;</w:t>
      </w:r>
    </w:p>
    <w:p w14:paraId="46ACF856" w14:textId="0F4F4B75" w:rsidR="00BD77C7" w:rsidRPr="00190498" w:rsidRDefault="00B221DA" w:rsidP="00BD77C7">
      <w:pPr>
        <w:pStyle w:val="ListParagraph"/>
        <w:numPr>
          <w:ilvl w:val="0"/>
          <w:numId w:val="10"/>
        </w:numPr>
        <w:rPr>
          <w:rFonts w:asciiTheme="minorHAnsi" w:hAnsiTheme="minorHAnsi" w:cstheme="minorHAnsi"/>
          <w:lang w:eastAsia="en-AU"/>
        </w:rPr>
      </w:pPr>
      <w:r w:rsidRPr="00190498">
        <w:rPr>
          <w:rFonts w:asciiTheme="minorHAnsi" w:hAnsiTheme="minorHAnsi" w:cstheme="minorHAnsi"/>
          <w:lang w:eastAsia="en-AU"/>
        </w:rPr>
        <w:t>o</w:t>
      </w:r>
      <w:r w:rsidR="00BD77C7" w:rsidRPr="00190498">
        <w:rPr>
          <w:rFonts w:asciiTheme="minorHAnsi" w:hAnsiTheme="minorHAnsi" w:cstheme="minorHAnsi"/>
          <w:lang w:eastAsia="en-AU"/>
        </w:rPr>
        <w:t xml:space="preserve">ther circumstances when a provider defaults in relation to a student that is additional </w:t>
      </w:r>
      <w:r w:rsidR="00A025AF" w:rsidRPr="00190498">
        <w:rPr>
          <w:rFonts w:asciiTheme="minorHAnsi" w:hAnsiTheme="minorHAnsi" w:cstheme="minorHAnsi"/>
          <w:lang w:eastAsia="en-AU"/>
        </w:rPr>
        <w:t>to sub</w:t>
      </w:r>
      <w:r w:rsidR="00BD77C7" w:rsidRPr="00190498">
        <w:rPr>
          <w:rFonts w:asciiTheme="minorHAnsi" w:hAnsiTheme="minorHAnsi" w:cstheme="minorHAnsi"/>
          <w:lang w:eastAsia="en-AU"/>
        </w:rPr>
        <w:t>section</w:t>
      </w:r>
      <w:r w:rsidR="00A025AF" w:rsidRPr="00190498">
        <w:rPr>
          <w:rFonts w:asciiTheme="minorHAnsi" w:hAnsiTheme="minorHAnsi" w:cstheme="minorHAnsi"/>
          <w:lang w:eastAsia="en-AU"/>
        </w:rPr>
        <w:t>s 166-10(1) and (2)</w:t>
      </w:r>
      <w:r w:rsidR="00BD77C7" w:rsidRPr="00190498">
        <w:rPr>
          <w:rFonts w:asciiTheme="minorHAnsi" w:hAnsiTheme="minorHAnsi" w:cstheme="minorHAnsi"/>
          <w:lang w:eastAsia="en-AU"/>
        </w:rPr>
        <w:t xml:space="preserve"> of </w:t>
      </w:r>
      <w:r w:rsidR="00A025AF" w:rsidRPr="00190498">
        <w:rPr>
          <w:rFonts w:asciiTheme="minorHAnsi" w:hAnsiTheme="minorHAnsi" w:cstheme="minorHAnsi"/>
          <w:lang w:eastAsia="en-AU"/>
        </w:rPr>
        <w:t>HESA</w:t>
      </w:r>
      <w:r w:rsidRPr="00190498">
        <w:rPr>
          <w:rFonts w:asciiTheme="minorHAnsi" w:hAnsiTheme="minorHAnsi" w:cstheme="minorHAnsi"/>
          <w:lang w:eastAsia="en-AU"/>
        </w:rPr>
        <w:t>;</w:t>
      </w:r>
    </w:p>
    <w:p w14:paraId="42BF79B5" w14:textId="77E3F198" w:rsidR="00BD77C7" w:rsidRPr="00190498" w:rsidRDefault="00B221DA" w:rsidP="00BD77C7">
      <w:pPr>
        <w:pStyle w:val="ListParagraph"/>
        <w:numPr>
          <w:ilvl w:val="0"/>
          <w:numId w:val="10"/>
        </w:numPr>
        <w:rPr>
          <w:rFonts w:asciiTheme="minorHAnsi" w:hAnsiTheme="minorHAnsi" w:cstheme="minorHAnsi"/>
          <w:lang w:eastAsia="en-AU"/>
        </w:rPr>
      </w:pPr>
      <w:r w:rsidRPr="00190498">
        <w:rPr>
          <w:rFonts w:asciiTheme="minorHAnsi" w:hAnsiTheme="minorHAnsi" w:cstheme="minorHAnsi"/>
          <w:lang w:eastAsia="en-AU"/>
        </w:rPr>
        <w:t>d</w:t>
      </w:r>
      <w:r w:rsidR="0018277F" w:rsidRPr="00190498">
        <w:rPr>
          <w:rFonts w:asciiTheme="minorHAnsi" w:hAnsiTheme="minorHAnsi" w:cstheme="minorHAnsi"/>
          <w:lang w:eastAsia="en-AU"/>
        </w:rPr>
        <w:t>etail around the Director’s payments that are made in connection with tuition protection</w:t>
      </w:r>
      <w:r w:rsidRPr="00190498">
        <w:rPr>
          <w:rFonts w:asciiTheme="minorHAnsi" w:hAnsiTheme="minorHAnsi" w:cstheme="minorHAnsi"/>
          <w:lang w:eastAsia="en-AU"/>
        </w:rPr>
        <w:t>;</w:t>
      </w:r>
      <w:r w:rsidR="0018277F" w:rsidRPr="00190498">
        <w:rPr>
          <w:rFonts w:asciiTheme="minorHAnsi" w:hAnsiTheme="minorHAnsi" w:cstheme="minorHAnsi"/>
          <w:lang w:eastAsia="en-AU"/>
        </w:rPr>
        <w:t xml:space="preserve"> </w:t>
      </w:r>
    </w:p>
    <w:p w14:paraId="5D878D42" w14:textId="77777777" w:rsidR="005A6F1A" w:rsidRPr="00190498" w:rsidRDefault="00B221DA" w:rsidP="000945BE">
      <w:pPr>
        <w:pStyle w:val="ListParagraph"/>
        <w:numPr>
          <w:ilvl w:val="0"/>
          <w:numId w:val="10"/>
        </w:numPr>
        <w:rPr>
          <w:rFonts w:asciiTheme="minorHAnsi" w:hAnsiTheme="minorHAnsi" w:cstheme="minorHAnsi"/>
          <w:lang w:eastAsia="en-AU"/>
        </w:rPr>
      </w:pPr>
      <w:r w:rsidRPr="00190498">
        <w:rPr>
          <w:rFonts w:asciiTheme="minorHAnsi" w:hAnsiTheme="minorHAnsi" w:cstheme="minorHAnsi"/>
          <w:lang w:eastAsia="en-AU"/>
        </w:rPr>
        <w:t>d</w:t>
      </w:r>
      <w:r w:rsidR="0018277F" w:rsidRPr="00190498">
        <w:rPr>
          <w:rFonts w:asciiTheme="minorHAnsi" w:hAnsiTheme="minorHAnsi" w:cstheme="minorHAnsi"/>
          <w:lang w:eastAsia="en-AU"/>
        </w:rPr>
        <w:t>etail around the written notice that default</w:t>
      </w:r>
      <w:r w:rsidRPr="00190498">
        <w:rPr>
          <w:rFonts w:asciiTheme="minorHAnsi" w:hAnsiTheme="minorHAnsi" w:cstheme="minorHAnsi"/>
          <w:lang w:eastAsia="en-AU"/>
        </w:rPr>
        <w:t>ing</w:t>
      </w:r>
      <w:r w:rsidR="0018277F" w:rsidRPr="00190498">
        <w:rPr>
          <w:rFonts w:asciiTheme="minorHAnsi" w:hAnsiTheme="minorHAnsi" w:cstheme="minorHAnsi"/>
          <w:lang w:eastAsia="en-AU"/>
        </w:rPr>
        <w:t xml:space="preserve"> higher education providers must give to the Director in notifying the outcome of discharging their </w:t>
      </w:r>
      <w:r w:rsidR="00CD0711" w:rsidRPr="00190498">
        <w:rPr>
          <w:rFonts w:asciiTheme="minorHAnsi" w:hAnsiTheme="minorHAnsi" w:cstheme="minorHAnsi"/>
          <w:lang w:eastAsia="en-AU"/>
        </w:rPr>
        <w:t xml:space="preserve">obligations to the student in accordance with section 166-26A </w:t>
      </w:r>
      <w:r w:rsidR="0018277F" w:rsidRPr="00190498">
        <w:rPr>
          <w:rFonts w:asciiTheme="minorHAnsi" w:hAnsiTheme="minorHAnsi" w:cstheme="minorHAnsi"/>
          <w:lang w:eastAsia="en-AU"/>
        </w:rPr>
        <w:t>of HESA</w:t>
      </w:r>
      <w:r w:rsidR="005A6F1A" w:rsidRPr="00190498">
        <w:rPr>
          <w:rFonts w:asciiTheme="minorHAnsi" w:hAnsiTheme="minorHAnsi" w:cstheme="minorHAnsi"/>
          <w:lang w:eastAsia="en-AU"/>
        </w:rPr>
        <w:t>;</w:t>
      </w:r>
    </w:p>
    <w:p w14:paraId="3F6DCECE" w14:textId="71BE9D7F" w:rsidR="004E1D22" w:rsidRPr="00190498" w:rsidRDefault="005A6F1A" w:rsidP="000945BE">
      <w:pPr>
        <w:pStyle w:val="ListParagraph"/>
        <w:numPr>
          <w:ilvl w:val="0"/>
          <w:numId w:val="10"/>
        </w:numPr>
        <w:rPr>
          <w:rFonts w:asciiTheme="minorHAnsi" w:hAnsiTheme="minorHAnsi" w:cstheme="minorHAnsi"/>
          <w:lang w:eastAsia="en-AU"/>
        </w:rPr>
      </w:pPr>
      <w:r w:rsidRPr="00190498">
        <w:rPr>
          <w:rFonts w:asciiTheme="minorHAnsi" w:hAnsiTheme="minorHAnsi" w:cstheme="minorHAnsi"/>
          <w:lang w:eastAsia="en-AU"/>
        </w:rPr>
        <w:t>other tuition protection requirements related to special circumstances.</w:t>
      </w:r>
    </w:p>
    <w:p w14:paraId="1840BCFC" w14:textId="11D41D63" w:rsidR="00AD2F4D" w:rsidRPr="00190498" w:rsidRDefault="00AD2F4D" w:rsidP="00AD2F4D">
      <w:pPr>
        <w:rPr>
          <w:rFonts w:asciiTheme="minorHAnsi" w:hAnsiTheme="minorHAnsi" w:cstheme="minorHAnsi"/>
          <w:lang w:eastAsia="en-AU"/>
        </w:rPr>
      </w:pPr>
      <w:r w:rsidRPr="00190498">
        <w:rPr>
          <w:rFonts w:asciiTheme="minorHAnsi" w:hAnsiTheme="minorHAnsi" w:cstheme="minorHAnsi"/>
          <w:lang w:eastAsia="en-AU"/>
        </w:rPr>
        <w:t xml:space="preserve">The </w:t>
      </w:r>
      <w:r w:rsidR="00B221DA" w:rsidRPr="00190498">
        <w:rPr>
          <w:rFonts w:asciiTheme="minorHAnsi" w:hAnsiTheme="minorHAnsi" w:cstheme="minorHAnsi"/>
          <w:lang w:eastAsia="en-AU"/>
        </w:rPr>
        <w:t xml:space="preserve">Amendment Guidelines </w:t>
      </w:r>
      <w:r w:rsidRPr="00190498">
        <w:rPr>
          <w:rFonts w:asciiTheme="minorHAnsi" w:hAnsiTheme="minorHAnsi" w:cstheme="minorHAnsi"/>
          <w:lang w:eastAsia="en-AU"/>
        </w:rPr>
        <w:t>also make technical amendments to the Guidelines</w:t>
      </w:r>
      <w:r w:rsidR="00B221DA" w:rsidRPr="00190498">
        <w:rPr>
          <w:rFonts w:asciiTheme="minorHAnsi" w:hAnsiTheme="minorHAnsi" w:cstheme="minorHAnsi"/>
          <w:lang w:eastAsia="en-AU"/>
        </w:rPr>
        <w:t xml:space="preserve"> </w:t>
      </w:r>
      <w:r w:rsidRPr="00190498">
        <w:rPr>
          <w:rFonts w:asciiTheme="minorHAnsi" w:hAnsiTheme="minorHAnsi" w:cstheme="minorHAnsi"/>
          <w:lang w:eastAsia="en-AU"/>
        </w:rPr>
        <w:t xml:space="preserve">to </w:t>
      </w:r>
      <w:r w:rsidR="00BD0406" w:rsidRPr="00190498">
        <w:rPr>
          <w:rFonts w:asciiTheme="minorHAnsi" w:hAnsiTheme="minorHAnsi" w:cstheme="minorHAnsi"/>
          <w:lang w:eastAsia="en-AU"/>
        </w:rPr>
        <w:t xml:space="preserve">reflect changes made to HESA through Schedule 4 of the Job-Ready Graduates Act, including extending the application of certain provisions in the Guidelines to all higher education providers and updating references to sections of HESA.  </w:t>
      </w:r>
    </w:p>
    <w:p w14:paraId="5F77D55D" w14:textId="18CDEA17" w:rsidR="00892701" w:rsidRPr="00190498" w:rsidRDefault="00892701" w:rsidP="00A42E69">
      <w:pPr>
        <w:pStyle w:val="Heading2"/>
        <w:rPr>
          <w:rFonts w:asciiTheme="minorHAnsi" w:eastAsia="Times New Roman" w:hAnsiTheme="minorHAnsi" w:cstheme="minorHAnsi"/>
          <w:lang w:eastAsia="en-AU"/>
        </w:rPr>
      </w:pPr>
      <w:r w:rsidRPr="00190498">
        <w:rPr>
          <w:rFonts w:asciiTheme="minorHAnsi" w:eastAsia="Times New Roman" w:hAnsiTheme="minorHAnsi" w:cstheme="minorHAnsi"/>
          <w:lang w:eastAsia="en-AU"/>
        </w:rPr>
        <w:t>Background</w:t>
      </w:r>
    </w:p>
    <w:p w14:paraId="58FE3988" w14:textId="104F10A2" w:rsidR="00364095" w:rsidRPr="00190498" w:rsidRDefault="00364095" w:rsidP="00A42E69">
      <w:pPr>
        <w:rPr>
          <w:rFonts w:asciiTheme="minorHAnsi" w:hAnsiTheme="minorHAnsi" w:cstheme="minorHAnsi"/>
        </w:rPr>
      </w:pPr>
      <w:r w:rsidRPr="00190498">
        <w:rPr>
          <w:rFonts w:asciiTheme="minorHAnsi" w:hAnsiTheme="minorHAnsi" w:cstheme="minorHAnsi"/>
        </w:rPr>
        <w:t xml:space="preserve">The HELP Tuition Protection </w:t>
      </w:r>
      <w:r w:rsidR="007743EC" w:rsidRPr="00190498">
        <w:rPr>
          <w:rFonts w:asciiTheme="minorHAnsi" w:hAnsiTheme="minorHAnsi" w:cstheme="minorHAnsi"/>
        </w:rPr>
        <w:t xml:space="preserve">Service </w:t>
      </w:r>
      <w:r w:rsidR="00B74A45" w:rsidRPr="00190498">
        <w:rPr>
          <w:rFonts w:asciiTheme="minorHAnsi" w:hAnsiTheme="minorHAnsi" w:cstheme="minorHAnsi"/>
        </w:rPr>
        <w:t>(</w:t>
      </w:r>
      <w:r w:rsidR="00B74A45" w:rsidRPr="00190498">
        <w:rPr>
          <w:rFonts w:asciiTheme="minorHAnsi" w:hAnsiTheme="minorHAnsi" w:cstheme="minorHAnsi"/>
          <w:b/>
          <w:bCs/>
        </w:rPr>
        <w:t>TPS</w:t>
      </w:r>
      <w:r w:rsidR="00B74A45" w:rsidRPr="00190498">
        <w:rPr>
          <w:rFonts w:asciiTheme="minorHAnsi" w:hAnsiTheme="minorHAnsi" w:cstheme="minorHAnsi"/>
        </w:rPr>
        <w:t>)</w:t>
      </w:r>
      <w:r w:rsidR="00D04C55" w:rsidRPr="00190498">
        <w:rPr>
          <w:rFonts w:asciiTheme="minorHAnsi" w:hAnsiTheme="minorHAnsi" w:cstheme="minorHAnsi"/>
        </w:rPr>
        <w:t>, which commenced on 1 January 2020,</w:t>
      </w:r>
      <w:r w:rsidR="00B74A45" w:rsidRPr="00190498">
        <w:rPr>
          <w:rFonts w:asciiTheme="minorHAnsi" w:hAnsiTheme="minorHAnsi" w:cstheme="minorHAnsi"/>
        </w:rPr>
        <w:t xml:space="preserve"> </w:t>
      </w:r>
      <w:r w:rsidRPr="00190498">
        <w:rPr>
          <w:rFonts w:asciiTheme="minorHAnsi" w:hAnsiTheme="minorHAnsi" w:cstheme="minorHAnsi"/>
        </w:rPr>
        <w:t xml:space="preserve">provides tuition protection to domestic higher education students that take out </w:t>
      </w:r>
      <w:r w:rsidR="00B221DA" w:rsidRPr="00190498">
        <w:rPr>
          <w:rFonts w:asciiTheme="minorHAnsi" w:hAnsiTheme="minorHAnsi" w:cstheme="minorHAnsi"/>
        </w:rPr>
        <w:t xml:space="preserve">a </w:t>
      </w:r>
      <w:r w:rsidRPr="00190498">
        <w:rPr>
          <w:rFonts w:asciiTheme="minorHAnsi" w:hAnsiTheme="minorHAnsi" w:cstheme="minorHAnsi"/>
        </w:rPr>
        <w:t xml:space="preserve">HECS-HELP and/or FEE-HELP loan for their study costs at a private higher education provider. Part 5-1A and </w:t>
      </w:r>
      <w:r w:rsidR="00D04C55" w:rsidRPr="00190498">
        <w:rPr>
          <w:rFonts w:asciiTheme="minorHAnsi" w:hAnsiTheme="minorHAnsi" w:cstheme="minorHAnsi"/>
        </w:rPr>
        <w:br/>
      </w:r>
      <w:r w:rsidRPr="00190498">
        <w:rPr>
          <w:rFonts w:asciiTheme="minorHAnsi" w:hAnsiTheme="minorHAnsi" w:cstheme="minorHAnsi"/>
        </w:rPr>
        <w:t xml:space="preserve">5-1B of HESA, and the </w:t>
      </w:r>
      <w:r w:rsidR="00B221DA" w:rsidRPr="00190498">
        <w:rPr>
          <w:rFonts w:asciiTheme="minorHAnsi" w:hAnsiTheme="minorHAnsi" w:cstheme="minorHAnsi"/>
          <w:i/>
          <w:iCs/>
        </w:rPr>
        <w:t xml:space="preserve">Higher Education Support (HELP Tuition Protection Levy) Act 2020 </w:t>
      </w:r>
      <w:r w:rsidRPr="00190498">
        <w:rPr>
          <w:rFonts w:asciiTheme="minorHAnsi" w:hAnsiTheme="minorHAnsi" w:cstheme="minorHAnsi"/>
        </w:rPr>
        <w:t xml:space="preserve">set out the HELP Tuition Protection Scheme requirements, and the </w:t>
      </w:r>
      <w:r w:rsidR="00B221DA" w:rsidRPr="00190498">
        <w:rPr>
          <w:rFonts w:asciiTheme="minorHAnsi" w:hAnsiTheme="minorHAnsi" w:cstheme="minorHAnsi"/>
        </w:rPr>
        <w:t xml:space="preserve">Guidelines </w:t>
      </w:r>
      <w:r w:rsidRPr="00190498">
        <w:rPr>
          <w:rFonts w:asciiTheme="minorHAnsi" w:hAnsiTheme="minorHAnsi" w:cstheme="minorHAnsi"/>
        </w:rPr>
        <w:t>set out the</w:t>
      </w:r>
      <w:r w:rsidR="00FF1401" w:rsidRPr="00190498">
        <w:rPr>
          <w:rFonts w:asciiTheme="minorHAnsi" w:hAnsiTheme="minorHAnsi" w:cstheme="minorHAnsi"/>
        </w:rPr>
        <w:t xml:space="preserve"> administrative</w:t>
      </w:r>
      <w:r w:rsidRPr="00190498">
        <w:rPr>
          <w:rFonts w:asciiTheme="minorHAnsi" w:hAnsiTheme="minorHAnsi" w:cstheme="minorHAnsi"/>
        </w:rPr>
        <w:t xml:space="preserve"> details for that scheme. </w:t>
      </w:r>
    </w:p>
    <w:p w14:paraId="3801A3FB" w14:textId="0FC9F3D4" w:rsidR="00364095" w:rsidRPr="00190498" w:rsidRDefault="00364095" w:rsidP="00A42E69">
      <w:pPr>
        <w:rPr>
          <w:rFonts w:asciiTheme="minorHAnsi" w:hAnsiTheme="minorHAnsi" w:cstheme="minorHAnsi"/>
          <w:iCs/>
          <w:lang w:eastAsia="en-AU"/>
        </w:rPr>
      </w:pPr>
      <w:r w:rsidRPr="00190498">
        <w:rPr>
          <w:rFonts w:asciiTheme="minorHAnsi" w:hAnsiTheme="minorHAnsi" w:cstheme="minorHAnsi"/>
        </w:rPr>
        <w:t xml:space="preserve">Based on feedback from higher education providers and peak bodies in 2019, the </w:t>
      </w:r>
      <w:r w:rsidR="00FF1401" w:rsidRPr="00190498">
        <w:rPr>
          <w:rFonts w:asciiTheme="minorHAnsi" w:hAnsiTheme="minorHAnsi" w:cstheme="minorHAnsi"/>
        </w:rPr>
        <w:t xml:space="preserve">Commonwealth </w:t>
      </w:r>
      <w:r w:rsidRPr="00190498">
        <w:rPr>
          <w:rFonts w:asciiTheme="minorHAnsi" w:hAnsiTheme="minorHAnsi" w:cstheme="minorHAnsi"/>
        </w:rPr>
        <w:t xml:space="preserve">made a commitment to consider expanding </w:t>
      </w:r>
      <w:r w:rsidR="00082D9A" w:rsidRPr="00190498">
        <w:rPr>
          <w:rFonts w:asciiTheme="minorHAnsi" w:hAnsiTheme="minorHAnsi" w:cstheme="minorHAnsi"/>
        </w:rPr>
        <w:t xml:space="preserve">the </w:t>
      </w:r>
      <w:r w:rsidR="00FF1401" w:rsidRPr="00190498">
        <w:rPr>
          <w:rFonts w:asciiTheme="minorHAnsi" w:hAnsiTheme="minorHAnsi" w:cstheme="minorHAnsi"/>
        </w:rPr>
        <w:t xml:space="preserve">Commonwealth </w:t>
      </w:r>
      <w:r w:rsidRPr="00190498">
        <w:rPr>
          <w:rFonts w:asciiTheme="minorHAnsi" w:hAnsiTheme="minorHAnsi" w:cstheme="minorHAnsi"/>
        </w:rPr>
        <w:t xml:space="preserve">managed </w:t>
      </w:r>
      <w:r w:rsidR="00827192" w:rsidRPr="00190498">
        <w:rPr>
          <w:rFonts w:asciiTheme="minorHAnsi" w:hAnsiTheme="minorHAnsi" w:cstheme="minorHAnsi"/>
        </w:rPr>
        <w:t xml:space="preserve">TPS </w:t>
      </w:r>
      <w:r w:rsidRPr="00190498">
        <w:rPr>
          <w:rFonts w:asciiTheme="minorHAnsi" w:hAnsiTheme="minorHAnsi" w:cstheme="minorHAnsi"/>
        </w:rPr>
        <w:t xml:space="preserve">to domestic up-front paying students in the higher education </w:t>
      </w:r>
      <w:r w:rsidR="00F02F50" w:rsidRPr="00190498">
        <w:rPr>
          <w:rFonts w:asciiTheme="minorHAnsi" w:hAnsiTheme="minorHAnsi" w:cstheme="minorHAnsi"/>
        </w:rPr>
        <w:t xml:space="preserve">sector. </w:t>
      </w:r>
      <w:r w:rsidR="00175A9B" w:rsidRPr="00190498">
        <w:rPr>
          <w:rFonts w:asciiTheme="minorHAnsi" w:hAnsiTheme="minorHAnsi" w:cstheme="minorHAnsi"/>
        </w:rPr>
        <w:t>T</w:t>
      </w:r>
      <w:r w:rsidR="00F02F50" w:rsidRPr="00190498">
        <w:rPr>
          <w:rFonts w:asciiTheme="minorHAnsi" w:hAnsiTheme="minorHAnsi" w:cstheme="minorHAnsi"/>
        </w:rPr>
        <w:t xml:space="preserve">he Tuition Protection </w:t>
      </w:r>
      <w:r w:rsidR="00906A16" w:rsidRPr="00190498">
        <w:rPr>
          <w:rFonts w:asciiTheme="minorHAnsi" w:hAnsiTheme="minorHAnsi" w:cstheme="minorHAnsi"/>
        </w:rPr>
        <w:t>Act</w:t>
      </w:r>
      <w:r w:rsidR="00F02F50" w:rsidRPr="00190498">
        <w:rPr>
          <w:rFonts w:asciiTheme="minorHAnsi" w:hAnsiTheme="minorHAnsi" w:cstheme="minorHAnsi"/>
        </w:rPr>
        <w:t xml:space="preserve"> and the</w:t>
      </w:r>
      <w:r w:rsidR="00827192" w:rsidRPr="00190498">
        <w:rPr>
          <w:rFonts w:asciiTheme="minorHAnsi" w:hAnsiTheme="minorHAnsi" w:cstheme="minorHAnsi"/>
        </w:rPr>
        <w:t xml:space="preserve"> </w:t>
      </w:r>
      <w:r w:rsidR="00827192" w:rsidRPr="00190498">
        <w:rPr>
          <w:rFonts w:asciiTheme="minorHAnsi" w:hAnsiTheme="minorHAnsi" w:cstheme="minorHAnsi"/>
          <w:i/>
          <w:iCs/>
        </w:rPr>
        <w:t>Higher Education (</w:t>
      </w:r>
      <w:r w:rsidR="00F02F50" w:rsidRPr="00190498">
        <w:rPr>
          <w:rFonts w:asciiTheme="minorHAnsi" w:hAnsiTheme="minorHAnsi" w:cstheme="minorHAnsi"/>
          <w:i/>
          <w:iCs/>
          <w:lang w:eastAsia="en-AU"/>
        </w:rPr>
        <w:t>Up-front Payments Tuition Protection Levy</w:t>
      </w:r>
      <w:r w:rsidR="00827192" w:rsidRPr="00190498">
        <w:rPr>
          <w:rFonts w:asciiTheme="minorHAnsi" w:hAnsiTheme="minorHAnsi" w:cstheme="minorHAnsi"/>
          <w:i/>
          <w:iCs/>
          <w:lang w:eastAsia="en-AU"/>
        </w:rPr>
        <w:t>)</w:t>
      </w:r>
      <w:r w:rsidR="00F02F50" w:rsidRPr="00190498">
        <w:rPr>
          <w:rFonts w:asciiTheme="minorHAnsi" w:hAnsiTheme="minorHAnsi" w:cstheme="minorHAnsi"/>
          <w:i/>
          <w:iCs/>
          <w:lang w:eastAsia="en-AU"/>
        </w:rPr>
        <w:t xml:space="preserve"> </w:t>
      </w:r>
      <w:r w:rsidR="00906A16" w:rsidRPr="00190498">
        <w:rPr>
          <w:rFonts w:asciiTheme="minorHAnsi" w:hAnsiTheme="minorHAnsi" w:cstheme="minorHAnsi"/>
          <w:i/>
          <w:iCs/>
          <w:lang w:eastAsia="en-AU"/>
        </w:rPr>
        <w:t>Act</w:t>
      </w:r>
      <w:r w:rsidR="00F02F50" w:rsidRPr="00190498">
        <w:rPr>
          <w:rFonts w:asciiTheme="minorHAnsi" w:hAnsiTheme="minorHAnsi" w:cstheme="minorHAnsi"/>
          <w:i/>
          <w:iCs/>
          <w:lang w:eastAsia="en-AU"/>
        </w:rPr>
        <w:t xml:space="preserve"> 2020</w:t>
      </w:r>
      <w:r w:rsidR="00FF13AB" w:rsidRPr="00190498">
        <w:rPr>
          <w:rFonts w:asciiTheme="minorHAnsi" w:hAnsiTheme="minorHAnsi" w:cstheme="minorHAnsi"/>
          <w:i/>
          <w:iCs/>
          <w:lang w:eastAsia="en-AU"/>
        </w:rPr>
        <w:t xml:space="preserve"> </w:t>
      </w:r>
      <w:r w:rsidR="00175A9B" w:rsidRPr="00190498">
        <w:rPr>
          <w:rFonts w:asciiTheme="minorHAnsi" w:hAnsiTheme="minorHAnsi" w:cstheme="minorHAnsi"/>
          <w:lang w:eastAsia="en-AU"/>
        </w:rPr>
        <w:t>will commence on 1 January 2021 to</w:t>
      </w:r>
      <w:r w:rsidR="00F02F50" w:rsidRPr="00190498">
        <w:rPr>
          <w:rFonts w:asciiTheme="minorHAnsi" w:hAnsiTheme="minorHAnsi" w:cstheme="minorHAnsi"/>
          <w:iCs/>
          <w:lang w:eastAsia="en-AU"/>
        </w:rPr>
        <w:t xml:space="preserve"> </w:t>
      </w:r>
      <w:r w:rsidR="00D3476F" w:rsidRPr="00190498">
        <w:rPr>
          <w:rFonts w:asciiTheme="minorHAnsi" w:hAnsiTheme="minorHAnsi" w:cstheme="minorHAnsi"/>
          <w:iCs/>
          <w:lang w:eastAsia="en-AU"/>
        </w:rPr>
        <w:t>deliver on this commitment</w:t>
      </w:r>
      <w:r w:rsidR="00F02F50" w:rsidRPr="00190498">
        <w:rPr>
          <w:rFonts w:asciiTheme="minorHAnsi" w:hAnsiTheme="minorHAnsi" w:cstheme="minorHAnsi"/>
          <w:iCs/>
          <w:lang w:eastAsia="en-AU"/>
        </w:rPr>
        <w:t xml:space="preserve">. </w:t>
      </w:r>
    </w:p>
    <w:p w14:paraId="234C4DAC" w14:textId="414C8624" w:rsidR="00827192" w:rsidRPr="00190498" w:rsidRDefault="00827192" w:rsidP="00A42E69">
      <w:pPr>
        <w:rPr>
          <w:rFonts w:asciiTheme="minorHAnsi" w:hAnsiTheme="minorHAnsi" w:cstheme="minorHAnsi"/>
        </w:rPr>
      </w:pPr>
      <w:r w:rsidRPr="00190498">
        <w:rPr>
          <w:rFonts w:asciiTheme="minorHAnsi" w:hAnsiTheme="minorHAnsi" w:cstheme="minorHAnsi"/>
        </w:rPr>
        <w:t xml:space="preserve">These new tuition protection arrangements are modelled on the successful TPS for international students under the </w:t>
      </w:r>
      <w:r w:rsidRPr="00190498">
        <w:rPr>
          <w:rFonts w:asciiTheme="minorHAnsi" w:hAnsiTheme="minorHAnsi" w:cstheme="minorHAnsi"/>
          <w:i/>
        </w:rPr>
        <w:t>Education Services for Overseas Students Act 2000</w:t>
      </w:r>
      <w:r w:rsidRPr="00190498">
        <w:rPr>
          <w:rFonts w:asciiTheme="minorHAnsi" w:hAnsiTheme="minorHAnsi" w:cstheme="minorHAnsi"/>
        </w:rPr>
        <w:t xml:space="preserve">.  </w:t>
      </w:r>
    </w:p>
    <w:p w14:paraId="13E9EA93" w14:textId="026EB5DE" w:rsidR="00A42E69" w:rsidRPr="00190498" w:rsidRDefault="003650AC" w:rsidP="00A42E69">
      <w:pPr>
        <w:rPr>
          <w:rFonts w:asciiTheme="minorHAnsi" w:hAnsiTheme="minorHAnsi" w:cstheme="minorHAnsi"/>
        </w:rPr>
      </w:pPr>
      <w:r w:rsidRPr="00190498">
        <w:rPr>
          <w:rFonts w:asciiTheme="minorHAnsi" w:hAnsiTheme="minorHAnsi" w:cstheme="minorHAnsi"/>
        </w:rPr>
        <w:t xml:space="preserve">Schedule </w:t>
      </w:r>
      <w:r w:rsidR="008E65EC" w:rsidRPr="00190498">
        <w:rPr>
          <w:rFonts w:asciiTheme="minorHAnsi" w:hAnsiTheme="minorHAnsi" w:cstheme="minorHAnsi"/>
        </w:rPr>
        <w:t>1</w:t>
      </w:r>
      <w:r w:rsidRPr="00190498">
        <w:rPr>
          <w:rFonts w:asciiTheme="minorHAnsi" w:hAnsiTheme="minorHAnsi" w:cstheme="minorHAnsi"/>
        </w:rPr>
        <w:t xml:space="preserve"> of t</w:t>
      </w:r>
      <w:r w:rsidR="002008DC" w:rsidRPr="00190498">
        <w:rPr>
          <w:rFonts w:asciiTheme="minorHAnsi" w:hAnsiTheme="minorHAnsi" w:cstheme="minorHAnsi"/>
        </w:rPr>
        <w:t>he</w:t>
      </w:r>
      <w:r w:rsidR="00A42E69" w:rsidRPr="00190498">
        <w:rPr>
          <w:rFonts w:asciiTheme="minorHAnsi" w:hAnsiTheme="minorHAnsi" w:cstheme="minorHAnsi"/>
        </w:rPr>
        <w:t xml:space="preserve"> </w:t>
      </w:r>
      <w:r w:rsidR="002008DC" w:rsidRPr="00190498">
        <w:rPr>
          <w:rFonts w:asciiTheme="minorHAnsi" w:hAnsiTheme="minorHAnsi" w:cstheme="minorHAnsi"/>
          <w:iCs/>
        </w:rPr>
        <w:t>T</w:t>
      </w:r>
      <w:r w:rsidR="008310DA" w:rsidRPr="00190498">
        <w:rPr>
          <w:rFonts w:asciiTheme="minorHAnsi" w:hAnsiTheme="minorHAnsi" w:cstheme="minorHAnsi"/>
          <w:iCs/>
        </w:rPr>
        <w:t xml:space="preserve">uition Protection </w:t>
      </w:r>
      <w:r w:rsidR="00906A16" w:rsidRPr="00190498">
        <w:rPr>
          <w:rFonts w:asciiTheme="minorHAnsi" w:hAnsiTheme="minorHAnsi" w:cstheme="minorHAnsi"/>
          <w:iCs/>
        </w:rPr>
        <w:t>Act</w:t>
      </w:r>
      <w:r w:rsidR="002008DC" w:rsidRPr="00190498">
        <w:rPr>
          <w:rFonts w:asciiTheme="minorHAnsi" w:hAnsiTheme="minorHAnsi" w:cstheme="minorHAnsi"/>
        </w:rPr>
        <w:t xml:space="preserve"> </w:t>
      </w:r>
      <w:r w:rsidR="004E1D22" w:rsidRPr="00190498">
        <w:rPr>
          <w:rFonts w:asciiTheme="minorHAnsi" w:hAnsiTheme="minorHAnsi" w:cstheme="minorHAnsi"/>
        </w:rPr>
        <w:t>extends</w:t>
      </w:r>
      <w:r w:rsidR="002008DC" w:rsidRPr="00190498">
        <w:rPr>
          <w:rFonts w:asciiTheme="minorHAnsi" w:hAnsiTheme="minorHAnsi" w:cstheme="minorHAnsi"/>
        </w:rPr>
        <w:t xml:space="preserve"> </w:t>
      </w:r>
      <w:r w:rsidR="002E722D" w:rsidRPr="00190498">
        <w:rPr>
          <w:rFonts w:asciiTheme="minorHAnsi" w:hAnsiTheme="minorHAnsi" w:cstheme="minorHAnsi"/>
        </w:rPr>
        <w:t>the TPS</w:t>
      </w:r>
      <w:r w:rsidR="002008DC" w:rsidRPr="00190498">
        <w:rPr>
          <w:rFonts w:asciiTheme="minorHAnsi" w:hAnsiTheme="minorHAnsi" w:cstheme="minorHAnsi"/>
        </w:rPr>
        <w:t xml:space="preserve"> to domestic up</w:t>
      </w:r>
      <w:r w:rsidR="002E722D" w:rsidRPr="00190498">
        <w:rPr>
          <w:rFonts w:asciiTheme="minorHAnsi" w:hAnsiTheme="minorHAnsi" w:cstheme="minorHAnsi"/>
        </w:rPr>
        <w:noBreakHyphen/>
      </w:r>
      <w:r w:rsidR="002008DC" w:rsidRPr="00190498">
        <w:rPr>
          <w:rFonts w:asciiTheme="minorHAnsi" w:hAnsiTheme="minorHAnsi" w:cstheme="minorHAnsi"/>
        </w:rPr>
        <w:t>front fee</w:t>
      </w:r>
      <w:r w:rsidR="00374A90" w:rsidRPr="00190498">
        <w:rPr>
          <w:rFonts w:asciiTheme="minorHAnsi" w:hAnsiTheme="minorHAnsi" w:cstheme="minorHAnsi"/>
        </w:rPr>
        <w:t xml:space="preserve"> </w:t>
      </w:r>
      <w:r w:rsidR="002008DC" w:rsidRPr="00190498">
        <w:rPr>
          <w:rFonts w:asciiTheme="minorHAnsi" w:hAnsiTheme="minorHAnsi" w:cstheme="minorHAnsi"/>
        </w:rPr>
        <w:t xml:space="preserve">paying higher education students, </w:t>
      </w:r>
      <w:r w:rsidR="002E722D" w:rsidRPr="00190498">
        <w:rPr>
          <w:rFonts w:asciiTheme="minorHAnsi" w:hAnsiTheme="minorHAnsi" w:cstheme="minorHAnsi"/>
        </w:rPr>
        <w:t xml:space="preserve">by amending the </w:t>
      </w:r>
      <w:r w:rsidR="008310DA" w:rsidRPr="00190498">
        <w:rPr>
          <w:rFonts w:asciiTheme="minorHAnsi" w:hAnsiTheme="minorHAnsi" w:cstheme="minorHAnsi"/>
          <w:i/>
          <w:iCs/>
        </w:rPr>
        <w:t>T</w:t>
      </w:r>
      <w:r w:rsidR="008E65EC" w:rsidRPr="00190498">
        <w:rPr>
          <w:rFonts w:asciiTheme="minorHAnsi" w:hAnsiTheme="minorHAnsi" w:cstheme="minorHAnsi"/>
          <w:i/>
          <w:iCs/>
        </w:rPr>
        <w:t xml:space="preserve">ertiary Education Quality and Standards Agency Act 2011 </w:t>
      </w:r>
      <w:r w:rsidR="008E65EC" w:rsidRPr="00190498">
        <w:rPr>
          <w:rFonts w:asciiTheme="minorHAnsi" w:hAnsiTheme="minorHAnsi" w:cstheme="minorHAnsi"/>
        </w:rPr>
        <w:t>(</w:t>
      </w:r>
      <w:r w:rsidR="008E65EC" w:rsidRPr="00190498">
        <w:rPr>
          <w:rFonts w:asciiTheme="minorHAnsi" w:hAnsiTheme="minorHAnsi" w:cstheme="minorHAnsi"/>
          <w:b/>
        </w:rPr>
        <w:t>T</w:t>
      </w:r>
      <w:r w:rsidR="008310DA" w:rsidRPr="00190498">
        <w:rPr>
          <w:rFonts w:asciiTheme="minorHAnsi" w:hAnsiTheme="minorHAnsi" w:cstheme="minorHAnsi"/>
          <w:b/>
        </w:rPr>
        <w:t>EQSA Act</w:t>
      </w:r>
      <w:r w:rsidR="008E65EC" w:rsidRPr="00190498">
        <w:rPr>
          <w:rFonts w:asciiTheme="minorHAnsi" w:hAnsiTheme="minorHAnsi" w:cstheme="minorHAnsi"/>
        </w:rPr>
        <w:t>)</w:t>
      </w:r>
      <w:r w:rsidR="005A020A" w:rsidRPr="00190498">
        <w:rPr>
          <w:rFonts w:asciiTheme="minorHAnsi" w:hAnsiTheme="minorHAnsi" w:cstheme="minorHAnsi"/>
        </w:rPr>
        <w:t>.</w:t>
      </w:r>
      <w:r w:rsidR="002008DC" w:rsidRPr="00190498">
        <w:rPr>
          <w:rFonts w:asciiTheme="minorHAnsi" w:hAnsiTheme="minorHAnsi" w:cstheme="minorHAnsi"/>
        </w:rPr>
        <w:t xml:space="preserve"> </w:t>
      </w:r>
      <w:r w:rsidR="00FF1401" w:rsidRPr="00190498">
        <w:rPr>
          <w:rFonts w:asciiTheme="minorHAnsi" w:hAnsiTheme="minorHAnsi" w:cstheme="minorHAnsi"/>
        </w:rPr>
        <w:t xml:space="preserve">The expansion </w:t>
      </w:r>
      <w:r w:rsidR="002008DC" w:rsidRPr="00190498">
        <w:rPr>
          <w:rFonts w:asciiTheme="minorHAnsi" w:hAnsiTheme="minorHAnsi" w:cstheme="minorHAnsi"/>
        </w:rPr>
        <w:t>ensur</w:t>
      </w:r>
      <w:r w:rsidR="00FF1401" w:rsidRPr="00190498">
        <w:rPr>
          <w:rFonts w:asciiTheme="minorHAnsi" w:hAnsiTheme="minorHAnsi" w:cstheme="minorHAnsi"/>
        </w:rPr>
        <w:t>es</w:t>
      </w:r>
      <w:r w:rsidR="002008DC" w:rsidRPr="00190498">
        <w:rPr>
          <w:rFonts w:asciiTheme="minorHAnsi" w:hAnsiTheme="minorHAnsi" w:cstheme="minorHAnsi"/>
        </w:rPr>
        <w:t xml:space="preserve"> domestic higher education students that take out a HELP loan and/or pay up-front for their study costs</w:t>
      </w:r>
      <w:r w:rsidR="007A37CE" w:rsidRPr="00190498">
        <w:rPr>
          <w:rFonts w:asciiTheme="minorHAnsi" w:hAnsiTheme="minorHAnsi" w:cstheme="minorHAnsi"/>
        </w:rPr>
        <w:t xml:space="preserve"> at a private higher education provider</w:t>
      </w:r>
      <w:r w:rsidR="002008DC" w:rsidRPr="00190498">
        <w:rPr>
          <w:rFonts w:asciiTheme="minorHAnsi" w:hAnsiTheme="minorHAnsi" w:cstheme="minorHAnsi"/>
        </w:rPr>
        <w:t xml:space="preserve"> are assisted</w:t>
      </w:r>
      <w:r w:rsidR="002E722D" w:rsidRPr="00190498">
        <w:rPr>
          <w:rFonts w:asciiTheme="minorHAnsi" w:hAnsiTheme="minorHAnsi" w:cstheme="minorHAnsi"/>
        </w:rPr>
        <w:t xml:space="preserve"> by either a recredit, refund or suitable replacement unit and course</w:t>
      </w:r>
      <w:r w:rsidR="002008DC" w:rsidRPr="00190498">
        <w:rPr>
          <w:rFonts w:asciiTheme="minorHAnsi" w:hAnsiTheme="minorHAnsi" w:cstheme="minorHAnsi"/>
        </w:rPr>
        <w:t xml:space="preserve"> in the event that their provider defaults in </w:t>
      </w:r>
      <w:r w:rsidR="007A37CE" w:rsidRPr="00190498">
        <w:rPr>
          <w:rFonts w:asciiTheme="minorHAnsi" w:hAnsiTheme="minorHAnsi" w:cstheme="minorHAnsi"/>
        </w:rPr>
        <w:t xml:space="preserve">failing to commence or </w:t>
      </w:r>
      <w:r w:rsidR="002008DC" w:rsidRPr="00190498">
        <w:rPr>
          <w:rFonts w:asciiTheme="minorHAnsi" w:hAnsiTheme="minorHAnsi" w:cstheme="minorHAnsi"/>
        </w:rPr>
        <w:t xml:space="preserve">ceasing </w:t>
      </w:r>
      <w:r w:rsidR="002E722D" w:rsidRPr="00190498">
        <w:rPr>
          <w:rFonts w:asciiTheme="minorHAnsi" w:hAnsiTheme="minorHAnsi" w:cstheme="minorHAnsi"/>
        </w:rPr>
        <w:t xml:space="preserve">to </w:t>
      </w:r>
      <w:r w:rsidR="002008DC" w:rsidRPr="00190498">
        <w:rPr>
          <w:rFonts w:asciiTheme="minorHAnsi" w:hAnsiTheme="minorHAnsi" w:cstheme="minorHAnsi"/>
        </w:rPr>
        <w:t xml:space="preserve">provide </w:t>
      </w:r>
      <w:r w:rsidR="00175A9B" w:rsidRPr="00190498">
        <w:rPr>
          <w:rFonts w:asciiTheme="minorHAnsi" w:hAnsiTheme="minorHAnsi" w:cstheme="minorHAnsi"/>
        </w:rPr>
        <w:t xml:space="preserve">a </w:t>
      </w:r>
      <w:r w:rsidR="002008DC" w:rsidRPr="00190498">
        <w:rPr>
          <w:rFonts w:asciiTheme="minorHAnsi" w:hAnsiTheme="minorHAnsi" w:cstheme="minorHAnsi"/>
        </w:rPr>
        <w:t xml:space="preserve">unit of study and/or course. </w:t>
      </w:r>
    </w:p>
    <w:p w14:paraId="4304D8D7" w14:textId="477B9545" w:rsidR="003650AC" w:rsidRPr="00190498" w:rsidRDefault="003650AC" w:rsidP="0068184A">
      <w:pPr>
        <w:spacing w:after="0"/>
        <w:rPr>
          <w:rFonts w:asciiTheme="minorHAnsi" w:hAnsiTheme="minorHAnsi" w:cstheme="minorHAnsi"/>
        </w:rPr>
      </w:pPr>
      <w:r w:rsidRPr="00190498">
        <w:rPr>
          <w:rFonts w:asciiTheme="minorHAnsi" w:hAnsiTheme="minorHAnsi" w:cstheme="minorHAnsi"/>
        </w:rPr>
        <w:t xml:space="preserve">Schedule </w:t>
      </w:r>
      <w:r w:rsidR="008E65EC" w:rsidRPr="00190498">
        <w:rPr>
          <w:rFonts w:asciiTheme="minorHAnsi" w:hAnsiTheme="minorHAnsi" w:cstheme="minorHAnsi"/>
        </w:rPr>
        <w:t>2</w:t>
      </w:r>
      <w:r w:rsidRPr="00190498">
        <w:rPr>
          <w:rFonts w:asciiTheme="minorHAnsi" w:hAnsiTheme="minorHAnsi" w:cstheme="minorHAnsi"/>
        </w:rPr>
        <w:t xml:space="preserve"> of the Tuition Protection </w:t>
      </w:r>
      <w:r w:rsidR="00906A16" w:rsidRPr="00190498">
        <w:rPr>
          <w:rFonts w:asciiTheme="minorHAnsi" w:hAnsiTheme="minorHAnsi" w:cstheme="minorHAnsi"/>
        </w:rPr>
        <w:t>Act</w:t>
      </w:r>
      <w:r w:rsidRPr="00190498">
        <w:rPr>
          <w:rFonts w:asciiTheme="minorHAnsi" w:hAnsiTheme="minorHAnsi" w:cstheme="minorHAnsi"/>
        </w:rPr>
        <w:t xml:space="preserve"> </w:t>
      </w:r>
      <w:r w:rsidR="00175A9B" w:rsidRPr="00190498">
        <w:rPr>
          <w:rFonts w:asciiTheme="minorHAnsi" w:hAnsiTheme="minorHAnsi" w:cstheme="minorHAnsi"/>
        </w:rPr>
        <w:t>amends</w:t>
      </w:r>
      <w:r w:rsidRPr="00190498">
        <w:rPr>
          <w:rFonts w:asciiTheme="minorHAnsi" w:hAnsiTheme="minorHAnsi" w:cstheme="minorHAnsi"/>
        </w:rPr>
        <w:t xml:space="preserve"> HESA to </w:t>
      </w:r>
      <w:r w:rsidR="008E65EC" w:rsidRPr="00190498">
        <w:rPr>
          <w:rFonts w:asciiTheme="minorHAnsi" w:hAnsiTheme="minorHAnsi" w:cstheme="minorHAnsi"/>
        </w:rPr>
        <w:t>give effect to</w:t>
      </w:r>
      <w:r w:rsidR="0068184A" w:rsidRPr="00190498">
        <w:rPr>
          <w:rFonts w:asciiTheme="minorHAnsi" w:hAnsiTheme="minorHAnsi" w:cstheme="minorHAnsi"/>
        </w:rPr>
        <w:t>:</w:t>
      </w:r>
    </w:p>
    <w:p w14:paraId="0C386950" w14:textId="20D7B03D" w:rsidR="0068184A" w:rsidRPr="00190498" w:rsidRDefault="0068184A" w:rsidP="0068184A">
      <w:pPr>
        <w:pStyle w:val="ListParagraph"/>
        <w:numPr>
          <w:ilvl w:val="0"/>
          <w:numId w:val="11"/>
        </w:numPr>
        <w:rPr>
          <w:rFonts w:asciiTheme="minorHAnsi" w:hAnsiTheme="minorHAnsi" w:cstheme="minorHAnsi"/>
        </w:rPr>
      </w:pPr>
      <w:r w:rsidRPr="00190498">
        <w:rPr>
          <w:rFonts w:asciiTheme="minorHAnsi" w:hAnsiTheme="minorHAnsi" w:cstheme="minorHAnsi"/>
        </w:rPr>
        <w:t xml:space="preserve">renaming the ‘HELP Tuition Protection Director’ to be the ‘Higher Education Tuition Protection Director’ to </w:t>
      </w:r>
      <w:r w:rsidR="00FF1401" w:rsidRPr="00190498">
        <w:rPr>
          <w:rFonts w:asciiTheme="minorHAnsi" w:hAnsiTheme="minorHAnsi" w:cstheme="minorHAnsi"/>
        </w:rPr>
        <w:t>clarify that there is a</w:t>
      </w:r>
      <w:r w:rsidRPr="00190498">
        <w:rPr>
          <w:rFonts w:asciiTheme="minorHAnsi" w:hAnsiTheme="minorHAnsi" w:cstheme="minorHAnsi"/>
        </w:rPr>
        <w:t xml:space="preserve"> single</w:t>
      </w:r>
      <w:r w:rsidR="00827192" w:rsidRPr="00190498">
        <w:rPr>
          <w:rFonts w:asciiTheme="minorHAnsi" w:hAnsiTheme="minorHAnsi" w:cstheme="minorHAnsi"/>
        </w:rPr>
        <w:t xml:space="preserve"> </w:t>
      </w:r>
      <w:r w:rsidRPr="00190498">
        <w:rPr>
          <w:rFonts w:asciiTheme="minorHAnsi" w:hAnsiTheme="minorHAnsi" w:cstheme="minorHAnsi"/>
        </w:rPr>
        <w:t>Director administering tuition protection for domestic up-front fee paying students and HELP students across the higher education sector</w:t>
      </w:r>
      <w:r w:rsidR="00827192" w:rsidRPr="00190498">
        <w:rPr>
          <w:rFonts w:asciiTheme="minorHAnsi" w:hAnsiTheme="minorHAnsi" w:cstheme="minorHAnsi"/>
        </w:rPr>
        <w:t>;</w:t>
      </w:r>
    </w:p>
    <w:p w14:paraId="56DAD135" w14:textId="0D90CD1C" w:rsidR="0068184A" w:rsidRPr="00190498" w:rsidRDefault="0068184A" w:rsidP="0068184A">
      <w:pPr>
        <w:pStyle w:val="ListParagraph"/>
        <w:numPr>
          <w:ilvl w:val="0"/>
          <w:numId w:val="11"/>
        </w:numPr>
        <w:rPr>
          <w:rFonts w:asciiTheme="minorHAnsi" w:hAnsiTheme="minorHAnsi" w:cstheme="minorHAnsi"/>
        </w:rPr>
      </w:pPr>
      <w:r w:rsidRPr="00190498">
        <w:rPr>
          <w:rFonts w:asciiTheme="minorHAnsi" w:hAnsiTheme="minorHAnsi" w:cstheme="minorHAnsi"/>
        </w:rPr>
        <w:t>renaming the ‘HELP Tuition Protection Fund Advisory Board’ to be the ‘Higher Education Tuition Protection Fund Advisory Board’ (</w:t>
      </w:r>
      <w:r w:rsidRPr="00190498">
        <w:rPr>
          <w:rFonts w:asciiTheme="minorHAnsi" w:hAnsiTheme="minorHAnsi" w:cstheme="minorHAnsi"/>
          <w:b/>
          <w:bCs/>
        </w:rPr>
        <w:t>Advisory Board</w:t>
      </w:r>
      <w:r w:rsidRPr="00190498">
        <w:rPr>
          <w:rFonts w:asciiTheme="minorHAnsi" w:hAnsiTheme="minorHAnsi" w:cstheme="minorHAnsi"/>
        </w:rPr>
        <w:t xml:space="preserve">), to </w:t>
      </w:r>
      <w:r w:rsidR="00FF1401" w:rsidRPr="00190498">
        <w:rPr>
          <w:rFonts w:asciiTheme="minorHAnsi" w:hAnsiTheme="minorHAnsi" w:cstheme="minorHAnsi"/>
        </w:rPr>
        <w:t xml:space="preserve">clarify that </w:t>
      </w:r>
      <w:r w:rsidR="00FF1401" w:rsidRPr="00190498">
        <w:rPr>
          <w:rFonts w:asciiTheme="minorHAnsi" w:hAnsiTheme="minorHAnsi" w:cstheme="minorHAnsi"/>
        </w:rPr>
        <w:lastRenderedPageBreak/>
        <w:t xml:space="preserve">there is an </w:t>
      </w:r>
      <w:r w:rsidRPr="00190498">
        <w:rPr>
          <w:rFonts w:asciiTheme="minorHAnsi" w:hAnsiTheme="minorHAnsi" w:cstheme="minorHAnsi"/>
        </w:rPr>
        <w:t>Advisory Board providing support, advice and recommendations to the Director on tuition protection arrangements for domestic up-front fee paying students and HELP students</w:t>
      </w:r>
      <w:r w:rsidR="00827192" w:rsidRPr="00190498">
        <w:rPr>
          <w:rFonts w:asciiTheme="minorHAnsi" w:hAnsiTheme="minorHAnsi" w:cstheme="minorHAnsi"/>
        </w:rPr>
        <w:t>;</w:t>
      </w:r>
      <w:r w:rsidRPr="00190498">
        <w:rPr>
          <w:rFonts w:asciiTheme="minorHAnsi" w:hAnsiTheme="minorHAnsi" w:cstheme="minorHAnsi"/>
        </w:rPr>
        <w:t xml:space="preserve"> </w:t>
      </w:r>
    </w:p>
    <w:p w14:paraId="2DE14872" w14:textId="0565520D" w:rsidR="0068184A" w:rsidRPr="00190498" w:rsidRDefault="0068184A" w:rsidP="0068184A">
      <w:pPr>
        <w:pStyle w:val="ListParagraph"/>
        <w:numPr>
          <w:ilvl w:val="0"/>
          <w:numId w:val="11"/>
        </w:numPr>
        <w:rPr>
          <w:rFonts w:asciiTheme="minorHAnsi" w:hAnsiTheme="minorHAnsi" w:cstheme="minorHAnsi"/>
          <w:color w:val="000000"/>
          <w:sz w:val="23"/>
          <w:szCs w:val="23"/>
        </w:rPr>
      </w:pPr>
      <w:r w:rsidRPr="00190498">
        <w:rPr>
          <w:rFonts w:asciiTheme="minorHAnsi" w:hAnsiTheme="minorHAnsi" w:cstheme="minorHAnsi"/>
        </w:rPr>
        <w:t>renaming the existing ‘HELP Tuition Protection Fund’ established under subsection 167-1(1) of HESA, to be the ‘Higher Education Tuition Protection Fund’. This special account will be used to make payments in relation to the arrangements to support affected domestic students in the higher education sector, regardless of whether they pay their tuition fees up-front or defer them through a HELP loan and for the remuneration and allowances of the</w:t>
      </w:r>
      <w:r w:rsidR="00827192" w:rsidRPr="00190498">
        <w:rPr>
          <w:rFonts w:asciiTheme="minorHAnsi" w:hAnsiTheme="minorHAnsi" w:cstheme="minorHAnsi"/>
        </w:rPr>
        <w:t xml:space="preserve"> </w:t>
      </w:r>
      <w:r w:rsidRPr="00190498">
        <w:rPr>
          <w:rFonts w:asciiTheme="minorHAnsi" w:hAnsiTheme="minorHAnsi" w:cstheme="minorHAnsi"/>
        </w:rPr>
        <w:t>Director and Advisory Board</w:t>
      </w:r>
      <w:r w:rsidR="00827192" w:rsidRPr="00190498">
        <w:rPr>
          <w:rFonts w:asciiTheme="minorHAnsi" w:hAnsiTheme="minorHAnsi" w:cstheme="minorHAnsi"/>
        </w:rPr>
        <w:t>;</w:t>
      </w:r>
      <w:r w:rsidRPr="00190498">
        <w:rPr>
          <w:rFonts w:asciiTheme="minorHAnsi" w:hAnsiTheme="minorHAnsi" w:cstheme="minorHAnsi"/>
        </w:rPr>
        <w:t xml:space="preserve"> </w:t>
      </w:r>
    </w:p>
    <w:p w14:paraId="734AF9C9" w14:textId="7395D4DF" w:rsidR="0068184A" w:rsidRPr="00190498" w:rsidRDefault="0068184A" w:rsidP="003F741A">
      <w:pPr>
        <w:pStyle w:val="ListParagraph"/>
        <w:numPr>
          <w:ilvl w:val="0"/>
          <w:numId w:val="11"/>
        </w:numPr>
        <w:rPr>
          <w:rFonts w:asciiTheme="minorHAnsi" w:hAnsiTheme="minorHAnsi" w:cstheme="minorHAnsi"/>
        </w:rPr>
      </w:pPr>
      <w:r w:rsidRPr="00190498">
        <w:rPr>
          <w:rFonts w:asciiTheme="minorHAnsi" w:hAnsiTheme="minorHAnsi" w:cstheme="minorHAnsi"/>
        </w:rPr>
        <w:t>requiring providers</w:t>
      </w:r>
      <w:r w:rsidR="003F741A" w:rsidRPr="00190498">
        <w:rPr>
          <w:rFonts w:asciiTheme="minorHAnsi" w:hAnsiTheme="minorHAnsi" w:cstheme="minorHAnsi"/>
        </w:rPr>
        <w:t xml:space="preserve"> under the HELP Tuition Protection Scheme </w:t>
      </w:r>
      <w:r w:rsidRPr="00190498">
        <w:rPr>
          <w:rFonts w:asciiTheme="minorHAnsi" w:hAnsiTheme="minorHAnsi" w:cstheme="minorHAnsi"/>
        </w:rPr>
        <w:t>to discharge their tuition protection obligations upon default in relation to their affected students, and if not discharged then the Director mu</w:t>
      </w:r>
      <w:r w:rsidR="003F741A" w:rsidRPr="00190498">
        <w:rPr>
          <w:rFonts w:asciiTheme="minorHAnsi" w:hAnsiTheme="minorHAnsi" w:cstheme="minorHAnsi"/>
        </w:rPr>
        <w:t xml:space="preserve">st assist the affected students. </w:t>
      </w:r>
      <w:r w:rsidR="00FF1401" w:rsidRPr="00190498">
        <w:rPr>
          <w:rFonts w:asciiTheme="minorHAnsi" w:hAnsiTheme="minorHAnsi" w:cstheme="minorHAnsi"/>
        </w:rPr>
        <w:t xml:space="preserve">This </w:t>
      </w:r>
      <w:r w:rsidR="003F741A" w:rsidRPr="00190498">
        <w:rPr>
          <w:rFonts w:asciiTheme="minorHAnsi" w:hAnsiTheme="minorHAnsi" w:cstheme="minorHAnsi"/>
        </w:rPr>
        <w:t>ensur</w:t>
      </w:r>
      <w:r w:rsidR="00FF1401" w:rsidRPr="00190498">
        <w:rPr>
          <w:rFonts w:asciiTheme="minorHAnsi" w:hAnsiTheme="minorHAnsi" w:cstheme="minorHAnsi"/>
        </w:rPr>
        <w:t>es</w:t>
      </w:r>
      <w:r w:rsidR="003F741A" w:rsidRPr="00190498">
        <w:rPr>
          <w:rFonts w:asciiTheme="minorHAnsi" w:hAnsiTheme="minorHAnsi" w:cstheme="minorHAnsi"/>
        </w:rPr>
        <w:t xml:space="preserve"> </w:t>
      </w:r>
      <w:r w:rsidR="00FF1401" w:rsidRPr="00190498">
        <w:rPr>
          <w:rFonts w:asciiTheme="minorHAnsi" w:hAnsiTheme="minorHAnsi" w:cstheme="minorHAnsi"/>
        </w:rPr>
        <w:t xml:space="preserve">that </w:t>
      </w:r>
      <w:r w:rsidR="003F741A" w:rsidRPr="00190498">
        <w:rPr>
          <w:rFonts w:asciiTheme="minorHAnsi" w:hAnsiTheme="minorHAnsi" w:cstheme="minorHAnsi"/>
        </w:rPr>
        <w:t xml:space="preserve">the tuition protection process is consistent for all affected higher education students, regardless of if they pay their tuition fees up-front or defer them through a HELP loan. </w:t>
      </w:r>
      <w:r w:rsidRPr="00190498">
        <w:rPr>
          <w:rFonts w:asciiTheme="minorHAnsi" w:hAnsiTheme="minorHAnsi" w:cstheme="minorHAnsi"/>
          <w:color w:val="000000"/>
          <w:sz w:val="23"/>
          <w:szCs w:val="23"/>
        </w:rPr>
        <w:t xml:space="preserve"> </w:t>
      </w:r>
    </w:p>
    <w:p w14:paraId="59114087" w14:textId="77777777" w:rsidR="00BE5AC2" w:rsidRPr="00190498" w:rsidRDefault="00F31337" w:rsidP="004E1D22">
      <w:pPr>
        <w:rPr>
          <w:rFonts w:asciiTheme="minorHAnsi" w:hAnsiTheme="minorHAnsi" w:cstheme="minorHAnsi"/>
        </w:rPr>
      </w:pPr>
      <w:r w:rsidRPr="00190498">
        <w:rPr>
          <w:rFonts w:asciiTheme="minorHAnsi" w:hAnsiTheme="minorHAnsi" w:cstheme="minorHAnsi"/>
        </w:rPr>
        <w:t xml:space="preserve">Schedule 4 of the Job-Ready Graduates Act amended the </w:t>
      </w:r>
      <w:r w:rsidRPr="00190498">
        <w:rPr>
          <w:rFonts w:asciiTheme="minorHAnsi" w:hAnsiTheme="minorHAnsi" w:cstheme="minorHAnsi"/>
          <w:i/>
          <w:iCs/>
        </w:rPr>
        <w:t>Education Legislation Amendment (Provider Integrity and Other Measures) Act 2017</w:t>
      </w:r>
      <w:r w:rsidRPr="00190498">
        <w:rPr>
          <w:rFonts w:asciiTheme="minorHAnsi" w:hAnsiTheme="minorHAnsi" w:cstheme="minorHAnsi"/>
        </w:rPr>
        <w:t xml:space="preserve"> to extend various quality and accountability requirements contained in HESA to all higher education providers, and introduced new student protection measures in HESA (that would again apply to all providers). These amendments support work being done in the higher education sector around best practice approaches to student enrolment and progression, and re-signal the quality of Australia’s higher education sector both domestically and internationally. </w:t>
      </w:r>
    </w:p>
    <w:p w14:paraId="3D8C053E" w14:textId="72F0F829" w:rsidR="00BE5AC2" w:rsidRPr="00190498" w:rsidRDefault="00BE5AC2" w:rsidP="00BE5AC2">
      <w:pPr>
        <w:rPr>
          <w:rFonts w:asciiTheme="minorHAnsi" w:hAnsiTheme="minorHAnsi" w:cstheme="minorHAnsi"/>
        </w:rPr>
      </w:pPr>
      <w:r w:rsidRPr="00190498">
        <w:rPr>
          <w:rFonts w:asciiTheme="minorHAnsi" w:hAnsiTheme="minorHAnsi" w:cstheme="minorHAnsi"/>
        </w:rPr>
        <w:t>Specifically, the measures contained in Schedule 4:</w:t>
      </w:r>
    </w:p>
    <w:p w14:paraId="3FB1E3E8"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 xml:space="preserve">prohibit all providers from engaging in unscrupulous marketing practices and from submitting requests for Commonwealth assistance on behalf of students; </w:t>
      </w:r>
    </w:p>
    <w:p w14:paraId="26810098"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 xml:space="preserve">require a person to be a ‘genuine student’ in order to receive Commonwealth assistance; </w:t>
      </w:r>
    </w:p>
    <w:p w14:paraId="3E007B5F"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require providers to assess a person’s academic suitability to undertake a unit of study prior to that person receiving Commonwealth assistance for that unit;</w:t>
      </w:r>
    </w:p>
    <w:p w14:paraId="3389AF2C" w14:textId="437577E0"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prevent providers from pursuing ineligible students for student contribution amounts or tuition amounts where the provider is at fault;</w:t>
      </w:r>
    </w:p>
    <w:p w14:paraId="441205A6"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 xml:space="preserve">require a provider to re-credit a person’s HELP balance in a range of circumstances including where the provider completes any part of the person’s request for Commonwealth assistance for the relevant unit of study, or where the person was not entitled to HECS-HELP assistance in the first place; </w:t>
      </w:r>
    </w:p>
    <w:p w14:paraId="026F82E8"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allow the Minister to audit all higher education providers for matters of compliance with HESA;</w:t>
      </w:r>
    </w:p>
    <w:p w14:paraId="0AFDAA58"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enhance financial reporting requirements for, and improve assessment of the financial viability of providers;</w:t>
      </w:r>
    </w:p>
    <w:p w14:paraId="407C9DF4"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apply civil penalties to existing obligations on providers under Division 19 of HESA;</w:t>
      </w:r>
    </w:p>
    <w:p w14:paraId="07C47C04"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preclude providers from imposing financial or administrative barriers to a student withdrawing from study;</w:t>
      </w:r>
    </w:p>
    <w:p w14:paraId="17D65C9A" w14:textId="11E654B9"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require all higher education providers to co-operate with HESA and Tertiary Education Quality and Standards Agency investigators;</w:t>
      </w:r>
    </w:p>
    <w:p w14:paraId="15AB4DCC" w14:textId="0C84AF22"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lastRenderedPageBreak/>
        <w:t>require all higher education providers to keep records of a kind, in the manner and for the period required by the Guidelines, and publish information as required by those guidelines;</w:t>
      </w:r>
    </w:p>
    <w:p w14:paraId="67D45A62" w14:textId="77777777" w:rsidR="00BE5AC2" w:rsidRPr="00190498" w:rsidRDefault="00BE5AC2" w:rsidP="00877518">
      <w:pPr>
        <w:pStyle w:val="ListParagraph"/>
        <w:numPr>
          <w:ilvl w:val="0"/>
          <w:numId w:val="11"/>
        </w:numPr>
        <w:rPr>
          <w:rFonts w:asciiTheme="minorHAnsi" w:hAnsiTheme="minorHAnsi" w:cstheme="minorHAnsi"/>
        </w:rPr>
      </w:pPr>
      <w:r w:rsidRPr="00190498">
        <w:rPr>
          <w:rFonts w:asciiTheme="minorHAnsi" w:hAnsiTheme="minorHAnsi" w:cstheme="minorHAnsi"/>
        </w:rPr>
        <w:t>require a student to maintain an overall pass rate of 50 per cent to remain eligible for Commonwealth assistance; and</w:t>
      </w:r>
    </w:p>
    <w:p w14:paraId="22F3D0F6" w14:textId="45A76745" w:rsidR="00364095" w:rsidRPr="00190498" w:rsidRDefault="00BE5AC2" w:rsidP="00F16863">
      <w:pPr>
        <w:pStyle w:val="ListParagraph"/>
        <w:numPr>
          <w:ilvl w:val="0"/>
          <w:numId w:val="11"/>
        </w:numPr>
        <w:rPr>
          <w:rFonts w:asciiTheme="minorHAnsi" w:hAnsiTheme="minorHAnsi" w:cstheme="minorHAnsi"/>
        </w:rPr>
      </w:pPr>
      <w:r w:rsidRPr="00190498">
        <w:rPr>
          <w:rFonts w:asciiTheme="minorHAnsi" w:hAnsiTheme="minorHAnsi" w:cstheme="minorHAnsi"/>
        </w:rPr>
        <w:t>require providers to assess a student’s capability to enrol in a concurrent study load above 2.0 Equivalent Full Time Study Load</w:t>
      </w:r>
      <w:r w:rsidR="00DC0EE0" w:rsidRPr="00190498">
        <w:rPr>
          <w:rFonts w:asciiTheme="minorHAnsi" w:hAnsiTheme="minorHAnsi" w:cstheme="minorHAnsi"/>
        </w:rPr>
        <w:t xml:space="preserve"> (EFTSL)</w:t>
      </w:r>
      <w:r w:rsidRPr="00190498">
        <w:rPr>
          <w:rFonts w:asciiTheme="minorHAnsi" w:hAnsiTheme="minorHAnsi" w:cstheme="minorHAnsi"/>
        </w:rPr>
        <w:t xml:space="preserve">. </w:t>
      </w:r>
    </w:p>
    <w:p w14:paraId="6AC572AD" w14:textId="01354180" w:rsidR="00892701" w:rsidRPr="00190498" w:rsidRDefault="00892701" w:rsidP="005A020A">
      <w:pPr>
        <w:pStyle w:val="Heading2"/>
        <w:rPr>
          <w:rFonts w:asciiTheme="minorHAnsi" w:eastAsia="Times New Roman" w:hAnsiTheme="minorHAnsi" w:cstheme="minorHAnsi"/>
          <w:lang w:eastAsia="en-AU"/>
        </w:rPr>
      </w:pPr>
      <w:r w:rsidRPr="00190498">
        <w:rPr>
          <w:rFonts w:asciiTheme="minorHAnsi" w:eastAsia="Times New Roman" w:hAnsiTheme="minorHAnsi" w:cstheme="minorHAnsi"/>
          <w:lang w:eastAsia="en-AU"/>
        </w:rPr>
        <w:t>Consultation</w:t>
      </w:r>
    </w:p>
    <w:p w14:paraId="5125C4CD" w14:textId="0FF45939" w:rsidR="006702BC" w:rsidRPr="00190498" w:rsidRDefault="005E409A" w:rsidP="005A020A">
      <w:pPr>
        <w:rPr>
          <w:rFonts w:asciiTheme="minorHAnsi" w:hAnsiTheme="minorHAnsi" w:cstheme="minorHAnsi"/>
        </w:rPr>
      </w:pPr>
      <w:r w:rsidRPr="00190498">
        <w:rPr>
          <w:rFonts w:asciiTheme="minorHAnsi" w:hAnsiTheme="minorHAnsi" w:cstheme="minorHAnsi"/>
        </w:rPr>
        <w:t xml:space="preserve">The </w:t>
      </w:r>
      <w:r w:rsidR="00827192" w:rsidRPr="00190498">
        <w:rPr>
          <w:rFonts w:asciiTheme="minorHAnsi" w:hAnsiTheme="minorHAnsi" w:cstheme="minorHAnsi"/>
        </w:rPr>
        <w:t xml:space="preserve">Amendment </w:t>
      </w:r>
      <w:r w:rsidRPr="00190498">
        <w:rPr>
          <w:rFonts w:asciiTheme="minorHAnsi" w:hAnsiTheme="minorHAnsi" w:cstheme="minorHAnsi"/>
        </w:rPr>
        <w:t>Guidelines provide procedural detail to support the</w:t>
      </w:r>
      <w:r w:rsidR="003650AC" w:rsidRPr="00190498">
        <w:rPr>
          <w:rFonts w:asciiTheme="minorHAnsi" w:hAnsiTheme="minorHAnsi" w:cstheme="minorHAnsi"/>
        </w:rPr>
        <w:t xml:space="preserve"> HELP tuition protection scheme changes</w:t>
      </w:r>
      <w:r w:rsidRPr="00190498">
        <w:rPr>
          <w:rFonts w:asciiTheme="minorHAnsi" w:hAnsiTheme="minorHAnsi" w:cstheme="minorHAnsi"/>
        </w:rPr>
        <w:t xml:space="preserve">, as set out in </w:t>
      </w:r>
      <w:r w:rsidR="003650AC" w:rsidRPr="00190498">
        <w:rPr>
          <w:rFonts w:asciiTheme="minorHAnsi" w:hAnsiTheme="minorHAnsi" w:cstheme="minorHAnsi"/>
        </w:rPr>
        <w:t xml:space="preserve">Schedule </w:t>
      </w:r>
      <w:r w:rsidR="008E65EC" w:rsidRPr="00190498">
        <w:rPr>
          <w:rFonts w:asciiTheme="minorHAnsi" w:hAnsiTheme="minorHAnsi" w:cstheme="minorHAnsi"/>
        </w:rPr>
        <w:t>2</w:t>
      </w:r>
      <w:r w:rsidR="003650AC" w:rsidRPr="00190498">
        <w:rPr>
          <w:rFonts w:asciiTheme="minorHAnsi" w:hAnsiTheme="minorHAnsi" w:cstheme="minorHAnsi"/>
        </w:rPr>
        <w:t xml:space="preserve"> of</w:t>
      </w:r>
      <w:r w:rsidRPr="00190498">
        <w:rPr>
          <w:rFonts w:asciiTheme="minorHAnsi" w:hAnsiTheme="minorHAnsi" w:cstheme="minorHAnsi"/>
        </w:rPr>
        <w:t xml:space="preserve"> Tuition Protection Act</w:t>
      </w:r>
      <w:r w:rsidR="003650AC" w:rsidRPr="00190498">
        <w:rPr>
          <w:rFonts w:asciiTheme="minorHAnsi" w:hAnsiTheme="minorHAnsi" w:cstheme="minorHAnsi"/>
        </w:rPr>
        <w:t xml:space="preserve">. </w:t>
      </w:r>
      <w:r w:rsidRPr="00190498">
        <w:rPr>
          <w:rFonts w:asciiTheme="minorHAnsi" w:hAnsiTheme="minorHAnsi" w:cstheme="minorHAnsi"/>
        </w:rPr>
        <w:t xml:space="preserve">Peak industry bodies and higher education providers were consulted </w:t>
      </w:r>
      <w:r w:rsidR="00324AA1" w:rsidRPr="00190498">
        <w:rPr>
          <w:rFonts w:asciiTheme="minorHAnsi" w:hAnsiTheme="minorHAnsi" w:cstheme="minorHAnsi"/>
        </w:rPr>
        <w:t xml:space="preserve">in November 2020 </w:t>
      </w:r>
      <w:r w:rsidR="00FF1401" w:rsidRPr="00190498">
        <w:rPr>
          <w:rFonts w:asciiTheme="minorHAnsi" w:hAnsiTheme="minorHAnsi" w:cstheme="minorHAnsi"/>
        </w:rPr>
        <w:t>by</w:t>
      </w:r>
      <w:r w:rsidR="00324AA1" w:rsidRPr="00190498">
        <w:rPr>
          <w:rFonts w:asciiTheme="minorHAnsi" w:hAnsiTheme="minorHAnsi" w:cstheme="minorHAnsi"/>
        </w:rPr>
        <w:t xml:space="preserve"> email </w:t>
      </w:r>
      <w:r w:rsidRPr="00190498">
        <w:rPr>
          <w:rFonts w:asciiTheme="minorHAnsi" w:hAnsiTheme="minorHAnsi" w:cstheme="minorHAnsi"/>
        </w:rPr>
        <w:t xml:space="preserve">in relation to </w:t>
      </w:r>
      <w:r w:rsidR="00F179FD" w:rsidRPr="00190498">
        <w:rPr>
          <w:rFonts w:asciiTheme="minorHAnsi" w:hAnsiTheme="minorHAnsi" w:cstheme="minorHAnsi"/>
        </w:rPr>
        <w:t xml:space="preserve">this aspect of </w:t>
      </w:r>
      <w:r w:rsidR="00FF1401" w:rsidRPr="00190498">
        <w:rPr>
          <w:rFonts w:asciiTheme="minorHAnsi" w:hAnsiTheme="minorHAnsi" w:cstheme="minorHAnsi"/>
        </w:rPr>
        <w:t>the Amendment Guidelines</w:t>
      </w:r>
      <w:r w:rsidR="00324AA1" w:rsidRPr="00190498">
        <w:rPr>
          <w:rFonts w:asciiTheme="minorHAnsi" w:hAnsiTheme="minorHAnsi" w:cstheme="minorHAnsi"/>
        </w:rPr>
        <w:t>. The feedback received was positive and supportive of the procedural and administrative requirements contained in this instrument</w:t>
      </w:r>
      <w:r w:rsidRPr="00190498">
        <w:rPr>
          <w:rFonts w:asciiTheme="minorHAnsi" w:hAnsiTheme="minorHAnsi" w:cstheme="minorHAnsi"/>
        </w:rPr>
        <w:t xml:space="preserve">. </w:t>
      </w:r>
      <w:r w:rsidR="001D6301" w:rsidRPr="00190498">
        <w:rPr>
          <w:rFonts w:asciiTheme="minorHAnsi" w:hAnsiTheme="minorHAnsi" w:cstheme="minorHAnsi"/>
        </w:rPr>
        <w:t xml:space="preserve">   </w:t>
      </w:r>
    </w:p>
    <w:p w14:paraId="254524AA" w14:textId="18190960" w:rsidR="0082232A" w:rsidRPr="00190498" w:rsidRDefault="00B646E3" w:rsidP="005A020A">
      <w:pPr>
        <w:rPr>
          <w:rFonts w:asciiTheme="minorHAnsi" w:hAnsiTheme="minorHAnsi" w:cstheme="minorHAnsi"/>
        </w:rPr>
      </w:pPr>
      <w:r w:rsidRPr="00190498">
        <w:rPr>
          <w:rFonts w:asciiTheme="minorHAnsi" w:hAnsiTheme="minorHAnsi" w:cstheme="minorHAnsi"/>
        </w:rPr>
        <w:t xml:space="preserve">An exposure draft of </w:t>
      </w:r>
      <w:r w:rsidR="00845DAF" w:rsidRPr="00190498">
        <w:rPr>
          <w:rFonts w:asciiTheme="minorHAnsi" w:hAnsiTheme="minorHAnsi" w:cstheme="minorHAnsi"/>
        </w:rPr>
        <w:t xml:space="preserve">Schedule 4 of the </w:t>
      </w:r>
      <w:r w:rsidR="00DB30ED" w:rsidRPr="00190498">
        <w:rPr>
          <w:rFonts w:asciiTheme="minorHAnsi" w:hAnsiTheme="minorHAnsi" w:cstheme="minorHAnsi"/>
        </w:rPr>
        <w:t>Job-Ready Graduates Act was released on the department’s website (</w:t>
      </w:r>
      <w:hyperlink r:id="rId11" w:history="1">
        <w:r w:rsidR="00DB30ED" w:rsidRPr="00190498">
          <w:rPr>
            <w:rStyle w:val="Hyperlink"/>
            <w:rFonts w:asciiTheme="minorHAnsi" w:hAnsiTheme="minorHAnsi" w:cstheme="minorHAnsi"/>
          </w:rPr>
          <w:t>https://www.dese.gov.au/job-ready/consultations/jobready-graduates-package-draft-legislation-submissions</w:t>
        </w:r>
      </w:hyperlink>
      <w:r w:rsidR="00DB30ED" w:rsidRPr="00190498">
        <w:rPr>
          <w:rFonts w:asciiTheme="minorHAnsi" w:hAnsiTheme="minorHAnsi" w:cstheme="minorHAnsi"/>
        </w:rPr>
        <w:t xml:space="preserve">) on </w:t>
      </w:r>
      <w:r w:rsidR="00DB30ED" w:rsidRPr="00190498">
        <w:rPr>
          <w:rFonts w:asciiTheme="minorHAnsi" w:hAnsiTheme="minorHAnsi" w:cstheme="minorHAnsi"/>
          <w:lang w:val="en"/>
        </w:rPr>
        <w:t>11 August 2020 for public consultation. A number of submissions were received on the draft legislation during the consultation period and these submissions were considered when finalising the Job-Ready Graduates Act.</w:t>
      </w:r>
      <w:r w:rsidR="00BD2122" w:rsidRPr="00190498">
        <w:rPr>
          <w:rFonts w:asciiTheme="minorHAnsi" w:hAnsiTheme="minorHAnsi" w:cstheme="minorHAnsi"/>
          <w:lang w:val="en"/>
        </w:rPr>
        <w:t xml:space="preserve"> Noting that the changes in the Amendment Guidelines are minor technical amendments to implement changes made to HESA by the Job-Ready Graduates Act, it </w:t>
      </w:r>
      <w:r w:rsidR="00FF1401" w:rsidRPr="00190498">
        <w:rPr>
          <w:rFonts w:asciiTheme="minorHAnsi" w:hAnsiTheme="minorHAnsi" w:cstheme="minorHAnsi"/>
          <w:lang w:val="en"/>
        </w:rPr>
        <w:t xml:space="preserve">was </w:t>
      </w:r>
      <w:r w:rsidR="00BD2122" w:rsidRPr="00190498">
        <w:rPr>
          <w:rFonts w:asciiTheme="minorHAnsi" w:hAnsiTheme="minorHAnsi" w:cstheme="minorHAnsi"/>
          <w:lang w:val="en"/>
        </w:rPr>
        <w:t>not</w:t>
      </w:r>
      <w:r w:rsidR="00FF1401" w:rsidRPr="00190498">
        <w:rPr>
          <w:rFonts w:asciiTheme="minorHAnsi" w:hAnsiTheme="minorHAnsi" w:cstheme="minorHAnsi"/>
          <w:lang w:val="en"/>
        </w:rPr>
        <w:t xml:space="preserve"> considered</w:t>
      </w:r>
      <w:r w:rsidR="00BD2122" w:rsidRPr="00190498">
        <w:rPr>
          <w:rFonts w:asciiTheme="minorHAnsi" w:hAnsiTheme="minorHAnsi" w:cstheme="minorHAnsi"/>
          <w:lang w:val="en"/>
        </w:rPr>
        <w:t xml:space="preserve"> necessary or appropriate to consult on </w:t>
      </w:r>
      <w:r w:rsidR="00F179FD" w:rsidRPr="00190498">
        <w:rPr>
          <w:rFonts w:asciiTheme="minorHAnsi" w:hAnsiTheme="minorHAnsi" w:cstheme="minorHAnsi"/>
          <w:lang w:val="en"/>
        </w:rPr>
        <w:t xml:space="preserve">this aspect of </w:t>
      </w:r>
      <w:r w:rsidR="00BD2122" w:rsidRPr="00190498">
        <w:rPr>
          <w:rFonts w:asciiTheme="minorHAnsi" w:hAnsiTheme="minorHAnsi" w:cstheme="minorHAnsi"/>
          <w:lang w:val="en"/>
        </w:rPr>
        <w:t xml:space="preserve">the draft Amendment Guidelines. </w:t>
      </w:r>
      <w:r w:rsidR="00DB30ED" w:rsidRPr="00190498">
        <w:rPr>
          <w:rFonts w:asciiTheme="minorHAnsi" w:hAnsiTheme="minorHAnsi" w:cstheme="minorHAnsi"/>
          <w:lang w:val="en"/>
        </w:rPr>
        <w:t xml:space="preserve"> </w:t>
      </w:r>
    </w:p>
    <w:p w14:paraId="710B30B0" w14:textId="77777777" w:rsidR="00950531" w:rsidRPr="00190498" w:rsidRDefault="00950531" w:rsidP="00950531">
      <w:pPr>
        <w:pStyle w:val="Heading2"/>
        <w:rPr>
          <w:rFonts w:asciiTheme="minorHAnsi" w:eastAsiaTheme="minorHAnsi" w:hAnsiTheme="minorHAnsi" w:cstheme="minorHAnsi"/>
        </w:rPr>
      </w:pPr>
      <w:r w:rsidRPr="00190498">
        <w:rPr>
          <w:rFonts w:asciiTheme="minorHAnsi" w:eastAsiaTheme="minorHAnsi" w:hAnsiTheme="minorHAnsi" w:cstheme="minorHAnsi"/>
        </w:rPr>
        <w:t>Regulatory Impact Statement</w:t>
      </w:r>
    </w:p>
    <w:p w14:paraId="4E61E7ED" w14:textId="31608185" w:rsidR="00950531" w:rsidRPr="00190498" w:rsidRDefault="00950531" w:rsidP="00950531">
      <w:pPr>
        <w:rPr>
          <w:rFonts w:asciiTheme="minorHAnsi" w:hAnsiTheme="minorHAnsi" w:cstheme="minorHAnsi"/>
          <w:szCs w:val="24"/>
        </w:rPr>
      </w:pPr>
      <w:r w:rsidRPr="00190498">
        <w:rPr>
          <w:rFonts w:asciiTheme="minorHAnsi" w:hAnsiTheme="minorHAnsi" w:cstheme="minorHAnsi"/>
          <w:szCs w:val="24"/>
        </w:rPr>
        <w:t>The Office of Best Practice Regulation (</w:t>
      </w:r>
      <w:r w:rsidRPr="00190498">
        <w:rPr>
          <w:rFonts w:asciiTheme="minorHAnsi" w:hAnsiTheme="minorHAnsi" w:cstheme="minorHAnsi"/>
          <w:b/>
          <w:szCs w:val="24"/>
        </w:rPr>
        <w:t>OBPR</w:t>
      </w:r>
      <w:r w:rsidRPr="00190498">
        <w:rPr>
          <w:rFonts w:asciiTheme="minorHAnsi" w:hAnsiTheme="minorHAnsi" w:cstheme="minorHAnsi"/>
          <w:szCs w:val="24"/>
        </w:rPr>
        <w:t>) has been consulted. Based on their advice that the proposal</w:t>
      </w:r>
      <w:r w:rsidR="00485227" w:rsidRPr="00190498">
        <w:rPr>
          <w:rFonts w:asciiTheme="minorHAnsi" w:hAnsiTheme="minorHAnsi" w:cstheme="minorHAnsi"/>
          <w:szCs w:val="24"/>
        </w:rPr>
        <w:t xml:space="preserve"> relating to the tuition protection requirements</w:t>
      </w:r>
      <w:r w:rsidRPr="00190498">
        <w:rPr>
          <w:rFonts w:asciiTheme="minorHAnsi" w:hAnsiTheme="minorHAnsi" w:cstheme="minorHAnsi"/>
          <w:szCs w:val="24"/>
        </w:rPr>
        <w:t xml:space="preserve"> does not appear to have a more than minor regulatory impact on business, community organisations or individuals, </w:t>
      </w:r>
      <w:r w:rsidR="00FE6177" w:rsidRPr="00190498">
        <w:rPr>
          <w:rFonts w:asciiTheme="minorHAnsi" w:hAnsiTheme="minorHAnsi" w:cstheme="minorHAnsi"/>
          <w:szCs w:val="24"/>
        </w:rPr>
        <w:t>no</w:t>
      </w:r>
      <w:r w:rsidR="00877A4B" w:rsidRPr="00190498">
        <w:rPr>
          <w:rFonts w:asciiTheme="minorHAnsi" w:hAnsiTheme="minorHAnsi" w:cstheme="minorHAnsi"/>
          <w:szCs w:val="24"/>
        </w:rPr>
        <w:t xml:space="preserve"> Regulation Impact Statement</w:t>
      </w:r>
      <w:r w:rsidRPr="00190498">
        <w:rPr>
          <w:rFonts w:asciiTheme="minorHAnsi" w:hAnsiTheme="minorHAnsi" w:cstheme="minorHAnsi"/>
          <w:szCs w:val="24"/>
        </w:rPr>
        <w:t xml:space="preserve"> </w:t>
      </w:r>
      <w:r w:rsidR="001E1190" w:rsidRPr="00190498">
        <w:rPr>
          <w:rFonts w:asciiTheme="minorHAnsi" w:hAnsiTheme="minorHAnsi" w:cstheme="minorHAnsi"/>
          <w:szCs w:val="24"/>
        </w:rPr>
        <w:t>(</w:t>
      </w:r>
      <w:r w:rsidR="001E1190" w:rsidRPr="00190498">
        <w:rPr>
          <w:rFonts w:asciiTheme="minorHAnsi" w:hAnsiTheme="minorHAnsi" w:cstheme="minorHAnsi"/>
          <w:b/>
          <w:bCs/>
          <w:szCs w:val="24"/>
        </w:rPr>
        <w:t>RIS</w:t>
      </w:r>
      <w:r w:rsidR="001E1190" w:rsidRPr="00190498">
        <w:rPr>
          <w:rFonts w:asciiTheme="minorHAnsi" w:hAnsiTheme="minorHAnsi" w:cstheme="minorHAnsi"/>
          <w:szCs w:val="24"/>
        </w:rPr>
        <w:t xml:space="preserve">) </w:t>
      </w:r>
      <w:r w:rsidRPr="00190498">
        <w:rPr>
          <w:rFonts w:asciiTheme="minorHAnsi" w:hAnsiTheme="minorHAnsi" w:cstheme="minorHAnsi"/>
          <w:szCs w:val="24"/>
        </w:rPr>
        <w:t xml:space="preserve">was required (OBPR ID No. </w:t>
      </w:r>
      <w:r w:rsidR="00877A4B" w:rsidRPr="00190498">
        <w:rPr>
          <w:rFonts w:asciiTheme="minorHAnsi" w:hAnsiTheme="minorHAnsi" w:cstheme="minorHAnsi"/>
          <w:szCs w:val="24"/>
        </w:rPr>
        <w:t>42730</w:t>
      </w:r>
      <w:r w:rsidRPr="00190498">
        <w:rPr>
          <w:rFonts w:asciiTheme="minorHAnsi" w:hAnsiTheme="minorHAnsi" w:cstheme="minorHAnsi"/>
          <w:szCs w:val="24"/>
        </w:rPr>
        <w:t xml:space="preserve">). </w:t>
      </w:r>
    </w:p>
    <w:p w14:paraId="7C919320" w14:textId="3A88CCCE" w:rsidR="00AB5039" w:rsidRPr="00190498" w:rsidRDefault="001B6211" w:rsidP="00950531">
      <w:pPr>
        <w:rPr>
          <w:rFonts w:asciiTheme="minorHAnsi" w:hAnsiTheme="minorHAnsi" w:cstheme="minorHAnsi"/>
          <w:szCs w:val="24"/>
        </w:rPr>
      </w:pPr>
      <w:r w:rsidRPr="00190498">
        <w:rPr>
          <w:rFonts w:asciiTheme="minorHAnsi" w:hAnsiTheme="minorHAnsi" w:cstheme="minorHAnsi"/>
          <w:szCs w:val="24"/>
        </w:rPr>
        <w:t xml:space="preserve">The measures in Schedule 4 of the Job-Ready Graduates Act, including the changes made in </w:t>
      </w:r>
      <w:r w:rsidR="002B61D4" w:rsidRPr="00190498">
        <w:rPr>
          <w:rFonts w:asciiTheme="minorHAnsi" w:hAnsiTheme="minorHAnsi" w:cstheme="minorHAnsi"/>
          <w:szCs w:val="24"/>
        </w:rPr>
        <w:t>Amendment</w:t>
      </w:r>
      <w:r w:rsidRPr="00190498">
        <w:rPr>
          <w:rFonts w:asciiTheme="minorHAnsi" w:hAnsiTheme="minorHAnsi" w:cstheme="minorHAnsi"/>
          <w:szCs w:val="24"/>
        </w:rPr>
        <w:t xml:space="preserve"> Guidelines, have minimal regulatory impact. </w:t>
      </w:r>
      <w:r w:rsidR="002B61D4" w:rsidRPr="00190498">
        <w:rPr>
          <w:rFonts w:asciiTheme="minorHAnsi" w:hAnsiTheme="minorHAnsi" w:cstheme="minorHAnsi"/>
          <w:szCs w:val="24"/>
        </w:rPr>
        <w:t xml:space="preserve">OBRP </w:t>
      </w:r>
      <w:r w:rsidRPr="00190498">
        <w:rPr>
          <w:rFonts w:asciiTheme="minorHAnsi" w:hAnsiTheme="minorHAnsi" w:cstheme="minorHAnsi"/>
          <w:szCs w:val="24"/>
        </w:rPr>
        <w:t xml:space="preserve">has determined that a </w:t>
      </w:r>
      <w:r w:rsidR="001E1190" w:rsidRPr="00190498">
        <w:rPr>
          <w:rFonts w:asciiTheme="minorHAnsi" w:hAnsiTheme="minorHAnsi" w:cstheme="minorHAnsi"/>
          <w:szCs w:val="24"/>
        </w:rPr>
        <w:t>RIS</w:t>
      </w:r>
      <w:r w:rsidRPr="00190498">
        <w:rPr>
          <w:rFonts w:asciiTheme="minorHAnsi" w:hAnsiTheme="minorHAnsi" w:cstheme="minorHAnsi"/>
          <w:szCs w:val="24"/>
        </w:rPr>
        <w:t xml:space="preserve"> is not required</w:t>
      </w:r>
      <w:r w:rsidR="001E1190" w:rsidRPr="00190498">
        <w:rPr>
          <w:rFonts w:asciiTheme="minorHAnsi" w:hAnsiTheme="minorHAnsi" w:cstheme="minorHAnsi"/>
          <w:szCs w:val="24"/>
        </w:rPr>
        <w:t xml:space="preserve"> (</w:t>
      </w:r>
      <w:r w:rsidR="002B61D4" w:rsidRPr="00190498">
        <w:rPr>
          <w:rFonts w:asciiTheme="minorHAnsi" w:hAnsiTheme="minorHAnsi" w:cstheme="minorHAnsi"/>
          <w:szCs w:val="24"/>
        </w:rPr>
        <w:t xml:space="preserve">OBPR </w:t>
      </w:r>
      <w:r w:rsidR="00EE7D9F" w:rsidRPr="00190498">
        <w:rPr>
          <w:rFonts w:asciiTheme="minorHAnsi" w:hAnsiTheme="minorHAnsi" w:cstheme="minorHAnsi"/>
          <w:szCs w:val="24"/>
        </w:rPr>
        <w:t xml:space="preserve">ID </w:t>
      </w:r>
      <w:r w:rsidR="006159E6" w:rsidRPr="00190498">
        <w:rPr>
          <w:rFonts w:asciiTheme="minorHAnsi" w:hAnsiTheme="minorHAnsi" w:cstheme="minorHAnsi"/>
          <w:szCs w:val="24"/>
        </w:rPr>
        <w:t xml:space="preserve">No. </w:t>
      </w:r>
      <w:r w:rsidR="00EE7D9F" w:rsidRPr="00190498">
        <w:rPr>
          <w:rFonts w:asciiTheme="minorHAnsi" w:hAnsiTheme="minorHAnsi" w:cstheme="minorHAnsi"/>
          <w:szCs w:val="24"/>
        </w:rPr>
        <w:t xml:space="preserve">25577; ID </w:t>
      </w:r>
      <w:r w:rsidR="006159E6" w:rsidRPr="00190498">
        <w:rPr>
          <w:rFonts w:asciiTheme="minorHAnsi" w:hAnsiTheme="minorHAnsi" w:cstheme="minorHAnsi"/>
          <w:szCs w:val="24"/>
        </w:rPr>
        <w:t xml:space="preserve">No. </w:t>
      </w:r>
      <w:r w:rsidR="00EE7D9F" w:rsidRPr="00190498">
        <w:rPr>
          <w:rFonts w:asciiTheme="minorHAnsi" w:hAnsiTheme="minorHAnsi" w:cstheme="minorHAnsi"/>
          <w:szCs w:val="24"/>
        </w:rPr>
        <w:t>42717)</w:t>
      </w:r>
      <w:r w:rsidRPr="00190498">
        <w:rPr>
          <w:rFonts w:asciiTheme="minorHAnsi" w:hAnsiTheme="minorHAnsi" w:cstheme="minorHAnsi"/>
          <w:szCs w:val="24"/>
        </w:rPr>
        <w:t>.</w:t>
      </w:r>
    </w:p>
    <w:p w14:paraId="3CA6DCA8" w14:textId="77777777" w:rsidR="00AB5039" w:rsidRPr="00190498" w:rsidRDefault="00AB5039">
      <w:pPr>
        <w:spacing w:line="276" w:lineRule="auto"/>
        <w:rPr>
          <w:rFonts w:asciiTheme="minorHAnsi" w:hAnsiTheme="minorHAnsi" w:cstheme="minorHAnsi"/>
          <w:szCs w:val="24"/>
        </w:rPr>
      </w:pPr>
      <w:r w:rsidRPr="00190498">
        <w:rPr>
          <w:rFonts w:asciiTheme="minorHAnsi" w:hAnsiTheme="minorHAnsi" w:cstheme="minorHAnsi"/>
          <w:szCs w:val="24"/>
        </w:rPr>
        <w:br w:type="page"/>
      </w:r>
    </w:p>
    <w:p w14:paraId="458325EE" w14:textId="77777777" w:rsidR="00CD769B" w:rsidRPr="00190498" w:rsidRDefault="00CD769B" w:rsidP="00CD769B">
      <w:pPr>
        <w:pStyle w:val="Title"/>
        <w:jc w:val="center"/>
        <w:rPr>
          <w:rFonts w:asciiTheme="minorHAnsi" w:eastAsia="Times New Roman" w:hAnsiTheme="minorHAnsi" w:cstheme="minorHAnsi"/>
          <w:lang w:eastAsia="en-AU"/>
        </w:rPr>
      </w:pPr>
      <w:r w:rsidRPr="00190498">
        <w:rPr>
          <w:rFonts w:asciiTheme="minorHAnsi" w:eastAsia="Times New Roman" w:hAnsiTheme="minorHAnsi" w:cstheme="minorHAnsi"/>
          <w:lang w:eastAsia="en-AU"/>
        </w:rPr>
        <w:lastRenderedPageBreak/>
        <w:t>Higher Education Provider Amendment (Tuition Protection and Other Measures) Guidelines 2020</w:t>
      </w:r>
    </w:p>
    <w:p w14:paraId="5318F3FF" w14:textId="40353614" w:rsidR="00892701" w:rsidRPr="00190498" w:rsidRDefault="00892701" w:rsidP="0040556C">
      <w:pPr>
        <w:pStyle w:val="Heading2"/>
        <w:jc w:val="center"/>
        <w:rPr>
          <w:rFonts w:asciiTheme="minorHAnsi" w:eastAsia="Times New Roman" w:hAnsiTheme="minorHAnsi" w:cstheme="minorHAnsi"/>
          <w:lang w:eastAsia="en-AU"/>
        </w:rPr>
      </w:pPr>
      <w:r w:rsidRPr="00190498">
        <w:rPr>
          <w:rFonts w:asciiTheme="minorHAnsi" w:eastAsia="Times New Roman" w:hAnsiTheme="minorHAnsi" w:cstheme="minorHAnsi"/>
          <w:lang w:eastAsia="en-AU"/>
        </w:rPr>
        <w:t>Explanation of Provisions</w:t>
      </w:r>
    </w:p>
    <w:p w14:paraId="01A3EFA2" w14:textId="77777777" w:rsidR="00CD769B" w:rsidRPr="00190498" w:rsidRDefault="00CD769B" w:rsidP="00FD2672">
      <w:pPr>
        <w:rPr>
          <w:rFonts w:asciiTheme="minorHAnsi" w:hAnsiTheme="minorHAnsi" w:cstheme="minorHAnsi"/>
          <w:b/>
          <w:bCs/>
          <w:lang w:eastAsia="en-AU"/>
        </w:rPr>
      </w:pPr>
    </w:p>
    <w:p w14:paraId="2ADFD90B" w14:textId="57DD58E8" w:rsidR="00CD769B" w:rsidRPr="00190498" w:rsidRDefault="0049597A" w:rsidP="00FD2672">
      <w:pPr>
        <w:rPr>
          <w:rFonts w:asciiTheme="minorHAnsi" w:hAnsiTheme="minorHAnsi" w:cstheme="minorHAnsi"/>
          <w:b/>
          <w:bCs/>
          <w:lang w:eastAsia="en-AU"/>
        </w:rPr>
      </w:pPr>
      <w:r w:rsidRPr="00190498">
        <w:rPr>
          <w:rFonts w:asciiTheme="minorHAnsi" w:hAnsiTheme="minorHAnsi" w:cstheme="minorHAnsi"/>
          <w:b/>
          <w:bCs/>
          <w:lang w:eastAsia="en-AU"/>
        </w:rPr>
        <w:t>Section 1</w:t>
      </w:r>
      <w:r w:rsidR="00CD769B" w:rsidRPr="00190498">
        <w:rPr>
          <w:rFonts w:asciiTheme="minorHAnsi" w:hAnsiTheme="minorHAnsi" w:cstheme="minorHAnsi"/>
          <w:b/>
          <w:bCs/>
          <w:lang w:eastAsia="en-AU"/>
        </w:rPr>
        <w:t>: Name</w:t>
      </w:r>
    </w:p>
    <w:p w14:paraId="7CC148B1" w14:textId="67DD3680" w:rsidR="00CD769B" w:rsidRPr="00190498" w:rsidRDefault="00CD769B" w:rsidP="00CD769B">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This is a formal provision specifying the name of the instrument as the </w:t>
      </w:r>
      <w:r w:rsidRPr="00190498">
        <w:rPr>
          <w:rFonts w:asciiTheme="minorHAnsi" w:hAnsiTheme="minorHAnsi" w:cstheme="minorHAnsi"/>
          <w:i/>
          <w:iCs/>
          <w:lang w:eastAsia="en-AU"/>
        </w:rPr>
        <w:t xml:space="preserve">Higher Education Provider Amendment (Tuition Protection and Other Measures) Guidelines 2020 </w:t>
      </w:r>
      <w:r w:rsidRPr="00190498">
        <w:rPr>
          <w:rFonts w:asciiTheme="minorHAnsi" w:hAnsiTheme="minorHAnsi" w:cstheme="minorHAnsi"/>
          <w:lang w:eastAsia="en-AU"/>
        </w:rPr>
        <w:t>(</w:t>
      </w:r>
      <w:r w:rsidRPr="00190498">
        <w:rPr>
          <w:rFonts w:asciiTheme="minorHAnsi" w:hAnsiTheme="minorHAnsi" w:cstheme="minorHAnsi"/>
          <w:b/>
          <w:bCs/>
          <w:lang w:eastAsia="en-AU"/>
        </w:rPr>
        <w:t>Amendment Guidelines</w:t>
      </w:r>
      <w:r w:rsidRPr="00190498">
        <w:rPr>
          <w:rFonts w:asciiTheme="minorHAnsi" w:hAnsiTheme="minorHAnsi" w:cstheme="minorHAnsi"/>
          <w:lang w:eastAsia="en-AU"/>
        </w:rPr>
        <w:t xml:space="preserve">). </w:t>
      </w:r>
    </w:p>
    <w:p w14:paraId="35E46A31" w14:textId="60CF80C8" w:rsidR="00CD769B" w:rsidRPr="00190498" w:rsidRDefault="00CD769B" w:rsidP="009D3129">
      <w:pPr>
        <w:rPr>
          <w:rFonts w:asciiTheme="minorHAnsi" w:hAnsiTheme="minorHAnsi" w:cstheme="minorHAnsi"/>
          <w:b/>
          <w:bCs/>
          <w:lang w:eastAsia="en-AU"/>
        </w:rPr>
      </w:pPr>
      <w:r w:rsidRPr="00190498">
        <w:rPr>
          <w:rFonts w:asciiTheme="minorHAnsi" w:hAnsiTheme="minorHAnsi" w:cstheme="minorHAnsi"/>
          <w:b/>
          <w:bCs/>
          <w:lang w:eastAsia="en-AU"/>
        </w:rPr>
        <w:t>Section 2: Commencement</w:t>
      </w:r>
    </w:p>
    <w:p w14:paraId="2F7E9B03" w14:textId="5507BF1D" w:rsidR="00CD769B" w:rsidRPr="00190498" w:rsidRDefault="00CD769B" w:rsidP="00CD769B">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Section 2 provides the Amendment Guidelines commence on 1 January 2021. </w:t>
      </w:r>
    </w:p>
    <w:p w14:paraId="253BAABB" w14:textId="1A12CF74" w:rsidR="00CD769B" w:rsidRPr="00190498" w:rsidRDefault="00CD769B" w:rsidP="009D3129">
      <w:pPr>
        <w:rPr>
          <w:rFonts w:asciiTheme="minorHAnsi" w:hAnsiTheme="minorHAnsi" w:cstheme="minorHAnsi"/>
          <w:b/>
          <w:bCs/>
          <w:lang w:eastAsia="en-AU"/>
        </w:rPr>
      </w:pPr>
      <w:r w:rsidRPr="00190498">
        <w:rPr>
          <w:rFonts w:asciiTheme="minorHAnsi" w:hAnsiTheme="minorHAnsi" w:cstheme="minorHAnsi"/>
          <w:b/>
          <w:bCs/>
          <w:lang w:eastAsia="en-AU"/>
        </w:rPr>
        <w:t xml:space="preserve">Section 3: Authority </w:t>
      </w:r>
    </w:p>
    <w:p w14:paraId="001D84D9" w14:textId="1FC80870" w:rsidR="00E14CA0" w:rsidRPr="00190498" w:rsidRDefault="00CD769B" w:rsidP="009D3129">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Section 3 provides the Amendment Guidelines are made under section 238-10 of the </w:t>
      </w:r>
      <w:r w:rsidRPr="00190498">
        <w:rPr>
          <w:rFonts w:asciiTheme="minorHAnsi" w:hAnsiTheme="minorHAnsi" w:cstheme="minorHAnsi"/>
          <w:i/>
          <w:iCs/>
          <w:lang w:eastAsia="en-AU"/>
        </w:rPr>
        <w:t xml:space="preserve">Higher Education Support Act 2003 </w:t>
      </w:r>
      <w:r w:rsidRPr="00190498">
        <w:rPr>
          <w:rFonts w:asciiTheme="minorHAnsi" w:hAnsiTheme="minorHAnsi" w:cstheme="minorHAnsi"/>
          <w:lang w:eastAsia="en-AU"/>
        </w:rPr>
        <w:t>(</w:t>
      </w:r>
      <w:r w:rsidRPr="00190498">
        <w:rPr>
          <w:rFonts w:asciiTheme="minorHAnsi" w:hAnsiTheme="minorHAnsi" w:cstheme="minorHAnsi"/>
          <w:b/>
          <w:bCs/>
          <w:lang w:eastAsia="en-AU"/>
        </w:rPr>
        <w:t>HESA</w:t>
      </w:r>
      <w:r w:rsidRPr="00190498">
        <w:rPr>
          <w:rFonts w:asciiTheme="minorHAnsi" w:hAnsiTheme="minorHAnsi" w:cstheme="minorHAnsi"/>
          <w:lang w:eastAsia="en-AU"/>
        </w:rPr>
        <w:t xml:space="preserve">). </w:t>
      </w:r>
    </w:p>
    <w:p w14:paraId="192F1746" w14:textId="77777777" w:rsidR="00CD769B" w:rsidRPr="00190498" w:rsidRDefault="00FD2672" w:rsidP="0040556C">
      <w:pPr>
        <w:rPr>
          <w:rFonts w:asciiTheme="minorHAnsi" w:hAnsiTheme="minorHAnsi" w:cstheme="minorHAnsi"/>
          <w:b/>
          <w:lang w:eastAsia="en-AU"/>
        </w:rPr>
      </w:pPr>
      <w:r w:rsidRPr="00190498">
        <w:rPr>
          <w:rFonts w:asciiTheme="minorHAnsi" w:hAnsiTheme="minorHAnsi" w:cstheme="minorHAnsi"/>
          <w:b/>
          <w:lang w:eastAsia="en-AU"/>
        </w:rPr>
        <w:t>Section 4</w:t>
      </w:r>
      <w:r w:rsidR="00CD769B" w:rsidRPr="00190498">
        <w:rPr>
          <w:rFonts w:asciiTheme="minorHAnsi" w:hAnsiTheme="minorHAnsi" w:cstheme="minorHAnsi"/>
          <w:b/>
          <w:lang w:eastAsia="en-AU"/>
        </w:rPr>
        <w:t>: Schedules</w:t>
      </w:r>
    </w:p>
    <w:p w14:paraId="2C59EBD0" w14:textId="0C50F62F" w:rsidR="00A20656" w:rsidRPr="00190498" w:rsidRDefault="00CD769B" w:rsidP="009D3129">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Section 4 </w:t>
      </w:r>
      <w:r w:rsidR="00F26A59" w:rsidRPr="00190498">
        <w:rPr>
          <w:rFonts w:asciiTheme="minorHAnsi" w:hAnsiTheme="minorHAnsi" w:cstheme="minorHAnsi"/>
          <w:lang w:eastAsia="en-AU"/>
        </w:rPr>
        <w:t xml:space="preserve">provides that each instrument specified in a </w:t>
      </w:r>
      <w:r w:rsidR="000A031D" w:rsidRPr="00190498">
        <w:rPr>
          <w:rFonts w:asciiTheme="minorHAnsi" w:hAnsiTheme="minorHAnsi" w:cstheme="minorHAnsi"/>
          <w:lang w:eastAsia="en-AU"/>
        </w:rPr>
        <w:t>Schedule to th</w:t>
      </w:r>
      <w:r w:rsidR="00C72AD0" w:rsidRPr="00190498">
        <w:rPr>
          <w:rFonts w:asciiTheme="minorHAnsi" w:hAnsiTheme="minorHAnsi" w:cstheme="minorHAnsi"/>
          <w:lang w:eastAsia="en-AU"/>
        </w:rPr>
        <w:t>e</w:t>
      </w:r>
      <w:r w:rsidR="000A031D" w:rsidRPr="00190498">
        <w:rPr>
          <w:rFonts w:asciiTheme="minorHAnsi" w:hAnsiTheme="minorHAnsi" w:cstheme="minorHAnsi"/>
          <w:lang w:eastAsia="en-AU"/>
        </w:rPr>
        <w:t xml:space="preserve"> </w:t>
      </w:r>
      <w:r w:rsidR="00C72AD0" w:rsidRPr="00190498">
        <w:rPr>
          <w:rFonts w:asciiTheme="minorHAnsi" w:hAnsiTheme="minorHAnsi" w:cstheme="minorHAnsi"/>
          <w:lang w:eastAsia="en-AU"/>
        </w:rPr>
        <w:t>Amendment Guidelines</w:t>
      </w:r>
      <w:r w:rsidR="000A031D" w:rsidRPr="00190498">
        <w:rPr>
          <w:rFonts w:asciiTheme="minorHAnsi" w:hAnsiTheme="minorHAnsi" w:cstheme="minorHAnsi"/>
          <w:lang w:eastAsia="en-AU"/>
        </w:rPr>
        <w:t xml:space="preserve"> is taken to be amended or repealed as provided in the applicable items in the Schedule concerned, and that any </w:t>
      </w:r>
      <w:r w:rsidR="00C72AD0" w:rsidRPr="00190498">
        <w:rPr>
          <w:rFonts w:asciiTheme="minorHAnsi" w:hAnsiTheme="minorHAnsi" w:cstheme="minorHAnsi"/>
          <w:lang w:eastAsia="en-AU"/>
        </w:rPr>
        <w:t>other</w:t>
      </w:r>
      <w:r w:rsidR="000A031D" w:rsidRPr="00190498">
        <w:rPr>
          <w:rFonts w:asciiTheme="minorHAnsi" w:hAnsiTheme="minorHAnsi" w:cstheme="minorHAnsi"/>
          <w:lang w:eastAsia="en-AU"/>
        </w:rPr>
        <w:t xml:space="preserve"> item</w:t>
      </w:r>
      <w:r w:rsidR="00C72AD0" w:rsidRPr="00190498">
        <w:rPr>
          <w:rFonts w:asciiTheme="minorHAnsi" w:hAnsiTheme="minorHAnsi" w:cstheme="minorHAnsi"/>
          <w:lang w:eastAsia="en-AU"/>
        </w:rPr>
        <w:t xml:space="preserve"> in a Schedule</w:t>
      </w:r>
      <w:r w:rsidR="000A031D" w:rsidRPr="00190498">
        <w:rPr>
          <w:rFonts w:asciiTheme="minorHAnsi" w:hAnsiTheme="minorHAnsi" w:cstheme="minorHAnsi"/>
          <w:lang w:eastAsia="en-AU"/>
        </w:rPr>
        <w:t xml:space="preserve"> to </w:t>
      </w:r>
      <w:r w:rsidR="00C72AD0" w:rsidRPr="00190498">
        <w:rPr>
          <w:rFonts w:asciiTheme="minorHAnsi" w:hAnsiTheme="minorHAnsi" w:cstheme="minorHAnsi"/>
          <w:lang w:eastAsia="en-AU"/>
        </w:rPr>
        <w:t>the Amendment Guidelines</w:t>
      </w:r>
      <w:r w:rsidR="000A031D" w:rsidRPr="00190498">
        <w:rPr>
          <w:rFonts w:asciiTheme="minorHAnsi" w:hAnsiTheme="minorHAnsi" w:cstheme="minorHAnsi"/>
          <w:lang w:eastAsia="en-AU"/>
        </w:rPr>
        <w:t xml:space="preserve"> has effect according to its terms. </w:t>
      </w:r>
    </w:p>
    <w:p w14:paraId="053FF8C8" w14:textId="77777777" w:rsidR="00CD769B" w:rsidRPr="00190498" w:rsidRDefault="00C72AD0" w:rsidP="00FD2672">
      <w:pPr>
        <w:rPr>
          <w:rFonts w:asciiTheme="minorHAnsi" w:hAnsiTheme="minorHAnsi" w:cstheme="minorHAnsi"/>
          <w:b/>
          <w:bCs/>
        </w:rPr>
      </w:pPr>
      <w:r w:rsidRPr="00190498">
        <w:rPr>
          <w:rFonts w:asciiTheme="minorHAnsi" w:hAnsiTheme="minorHAnsi" w:cstheme="minorHAnsi"/>
          <w:b/>
          <w:bCs/>
        </w:rPr>
        <w:t>Section 5</w:t>
      </w:r>
      <w:r w:rsidR="00CD769B" w:rsidRPr="00190498">
        <w:rPr>
          <w:rFonts w:asciiTheme="minorHAnsi" w:hAnsiTheme="minorHAnsi" w:cstheme="minorHAnsi"/>
          <w:b/>
          <w:bCs/>
        </w:rPr>
        <w:t>: Application of amendments</w:t>
      </w:r>
    </w:p>
    <w:p w14:paraId="5F8E824C" w14:textId="2BA3504A" w:rsidR="00C72AD0" w:rsidRPr="00190498" w:rsidRDefault="00CD769B" w:rsidP="009D3129">
      <w:pPr>
        <w:pStyle w:val="ListParagraph"/>
        <w:numPr>
          <w:ilvl w:val="0"/>
          <w:numId w:val="14"/>
        </w:numPr>
        <w:rPr>
          <w:rFonts w:asciiTheme="minorHAnsi" w:hAnsiTheme="minorHAnsi" w:cstheme="minorHAnsi"/>
        </w:rPr>
      </w:pPr>
      <w:r w:rsidRPr="00190498">
        <w:rPr>
          <w:rFonts w:asciiTheme="minorHAnsi" w:hAnsiTheme="minorHAnsi" w:cstheme="minorHAnsi"/>
        </w:rPr>
        <w:t>Section 5</w:t>
      </w:r>
      <w:r w:rsidR="00C72AD0" w:rsidRPr="00190498">
        <w:rPr>
          <w:rFonts w:asciiTheme="minorHAnsi" w:hAnsiTheme="minorHAnsi" w:cstheme="minorHAnsi"/>
        </w:rPr>
        <w:t xml:space="preserve"> </w:t>
      </w:r>
      <w:r w:rsidR="00B9008E" w:rsidRPr="00190498">
        <w:rPr>
          <w:rFonts w:asciiTheme="minorHAnsi" w:hAnsiTheme="minorHAnsi" w:cstheme="minorHAnsi"/>
        </w:rPr>
        <w:t xml:space="preserve">provides that the amendments in items 3 and 4 of </w:t>
      </w:r>
      <w:r w:rsidRPr="00190498">
        <w:rPr>
          <w:rFonts w:asciiTheme="minorHAnsi" w:hAnsiTheme="minorHAnsi" w:cstheme="minorHAnsi"/>
        </w:rPr>
        <w:t>S</w:t>
      </w:r>
      <w:r w:rsidR="00B9008E" w:rsidRPr="00190498">
        <w:rPr>
          <w:rFonts w:asciiTheme="minorHAnsi" w:hAnsiTheme="minorHAnsi" w:cstheme="minorHAnsi"/>
        </w:rPr>
        <w:t xml:space="preserve">chedule </w:t>
      </w:r>
      <w:r w:rsidRPr="00190498">
        <w:rPr>
          <w:rFonts w:asciiTheme="minorHAnsi" w:hAnsiTheme="minorHAnsi" w:cstheme="minorHAnsi"/>
        </w:rPr>
        <w:t xml:space="preserve">1 </w:t>
      </w:r>
      <w:r w:rsidR="00B9008E" w:rsidRPr="00190498">
        <w:rPr>
          <w:rFonts w:asciiTheme="minorHAnsi" w:hAnsiTheme="minorHAnsi" w:cstheme="minorHAnsi"/>
        </w:rPr>
        <w:t xml:space="preserve">to the Amendment Guidelines </w:t>
      </w:r>
      <w:r w:rsidR="00B9008E" w:rsidRPr="00190498">
        <w:rPr>
          <w:rFonts w:asciiTheme="minorHAnsi" w:hAnsiTheme="minorHAnsi" w:cstheme="minorHAnsi"/>
          <w:bCs/>
        </w:rPr>
        <w:t>apply in relation to provider defaults that occur on or after the commencement of the Amendment Guidelines.</w:t>
      </w:r>
      <w:r w:rsidR="00C90F28" w:rsidRPr="00190498">
        <w:rPr>
          <w:rFonts w:asciiTheme="minorHAnsi" w:hAnsiTheme="minorHAnsi" w:cstheme="minorHAnsi"/>
          <w:bCs/>
        </w:rPr>
        <w:t xml:space="preserve"> The tuition protection requirements in the </w:t>
      </w:r>
      <w:r w:rsidRPr="00190498">
        <w:rPr>
          <w:rFonts w:asciiTheme="minorHAnsi" w:hAnsiTheme="minorHAnsi" w:cstheme="minorHAnsi"/>
          <w:bCs/>
          <w:i/>
          <w:iCs/>
        </w:rPr>
        <w:t xml:space="preserve">Higher Education Provider Guidelines 2012 </w:t>
      </w:r>
      <w:r w:rsidRPr="00190498">
        <w:rPr>
          <w:rFonts w:asciiTheme="minorHAnsi" w:hAnsiTheme="minorHAnsi" w:cstheme="minorHAnsi"/>
          <w:bCs/>
        </w:rPr>
        <w:t>(</w:t>
      </w:r>
      <w:r w:rsidRPr="00190498">
        <w:rPr>
          <w:rFonts w:asciiTheme="minorHAnsi" w:hAnsiTheme="minorHAnsi" w:cstheme="minorHAnsi"/>
          <w:b/>
        </w:rPr>
        <w:t>Guidelines</w:t>
      </w:r>
      <w:r w:rsidRPr="00190498">
        <w:rPr>
          <w:rFonts w:asciiTheme="minorHAnsi" w:hAnsiTheme="minorHAnsi" w:cstheme="minorHAnsi"/>
          <w:bCs/>
        </w:rPr>
        <w:t xml:space="preserve">) </w:t>
      </w:r>
      <w:r w:rsidR="00C90F28" w:rsidRPr="00190498">
        <w:rPr>
          <w:rFonts w:asciiTheme="minorHAnsi" w:hAnsiTheme="minorHAnsi" w:cstheme="minorHAnsi"/>
          <w:bCs/>
        </w:rPr>
        <w:t xml:space="preserve">as in force immediately before the commencement of the Amendment Guidelines will continue to apply to provider defaults that occur before 1 January 2021. </w:t>
      </w:r>
    </w:p>
    <w:p w14:paraId="386AEE2C" w14:textId="60AF95D4" w:rsidR="008F3DC3" w:rsidRPr="00190498" w:rsidRDefault="00790554" w:rsidP="00A20656">
      <w:pPr>
        <w:pStyle w:val="Heading3"/>
        <w:rPr>
          <w:rFonts w:asciiTheme="minorHAnsi" w:hAnsiTheme="minorHAnsi" w:cstheme="minorHAnsi"/>
          <w:sz w:val="28"/>
          <w:szCs w:val="28"/>
          <w:lang w:eastAsia="en-AU"/>
        </w:rPr>
      </w:pPr>
      <w:r w:rsidRPr="00190498">
        <w:rPr>
          <w:rFonts w:asciiTheme="minorHAnsi" w:hAnsiTheme="minorHAnsi" w:cstheme="minorHAnsi"/>
          <w:sz w:val="28"/>
          <w:szCs w:val="28"/>
          <w:lang w:eastAsia="en-AU"/>
        </w:rPr>
        <w:t xml:space="preserve">Schedule 1 </w:t>
      </w:r>
      <w:r w:rsidRPr="00190498">
        <w:rPr>
          <w:rFonts w:asciiTheme="minorHAnsi" w:hAnsiTheme="minorHAnsi" w:cstheme="minorHAnsi"/>
        </w:rPr>
        <w:t>–</w:t>
      </w:r>
      <w:r w:rsidRPr="00190498">
        <w:rPr>
          <w:rFonts w:asciiTheme="minorHAnsi" w:eastAsia="Times New Roman" w:hAnsiTheme="minorHAnsi" w:cstheme="minorHAnsi"/>
          <w:sz w:val="28"/>
          <w:szCs w:val="28"/>
          <w:lang w:eastAsia="en-AU"/>
        </w:rPr>
        <w:t xml:space="preserve"> Amendments</w:t>
      </w:r>
    </w:p>
    <w:p w14:paraId="19DCB163" w14:textId="729E1856" w:rsidR="00E14CA0" w:rsidRPr="00190498" w:rsidRDefault="00790554" w:rsidP="0040556C">
      <w:pPr>
        <w:pStyle w:val="Heading3"/>
        <w:rPr>
          <w:rFonts w:asciiTheme="minorHAnsi" w:eastAsia="Times New Roman" w:hAnsiTheme="minorHAnsi" w:cstheme="minorHAnsi"/>
          <w:lang w:eastAsia="en-AU"/>
        </w:rPr>
      </w:pPr>
      <w:r w:rsidRPr="00190498">
        <w:rPr>
          <w:rFonts w:asciiTheme="minorHAnsi" w:hAnsiTheme="minorHAnsi" w:cstheme="minorHAnsi"/>
          <w:i/>
          <w:lang w:eastAsia="en-AU"/>
        </w:rPr>
        <w:t>Higher Education Provider Guidelines 2012</w:t>
      </w:r>
    </w:p>
    <w:p w14:paraId="6AF7F427" w14:textId="3A5E1F77" w:rsidR="00E14CA0" w:rsidRPr="00190498" w:rsidRDefault="00E14CA0" w:rsidP="008F3DC3">
      <w:pPr>
        <w:rPr>
          <w:rFonts w:asciiTheme="minorHAnsi" w:hAnsiTheme="minorHAnsi" w:cstheme="minorHAnsi"/>
          <w:b/>
          <w:bCs/>
          <w:lang w:eastAsia="en-AU"/>
        </w:rPr>
      </w:pPr>
      <w:r w:rsidRPr="00190498">
        <w:rPr>
          <w:rFonts w:asciiTheme="minorHAnsi" w:hAnsiTheme="minorHAnsi" w:cstheme="minorHAnsi"/>
          <w:b/>
          <w:bCs/>
          <w:lang w:eastAsia="en-AU"/>
        </w:rPr>
        <w:t>Item 1 - Item (ii) (Authority</w:t>
      </w:r>
      <w:r w:rsidR="00180436" w:rsidRPr="00190498">
        <w:rPr>
          <w:rFonts w:asciiTheme="minorHAnsi" w:hAnsiTheme="minorHAnsi" w:cstheme="minorHAnsi"/>
          <w:b/>
          <w:bCs/>
          <w:lang w:eastAsia="en-AU"/>
        </w:rPr>
        <w:t>)</w:t>
      </w:r>
    </w:p>
    <w:p w14:paraId="69136F3B" w14:textId="7E847C2F" w:rsidR="00E14CA0" w:rsidRPr="00190498" w:rsidRDefault="00D63D23"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Item 1 of </w:t>
      </w:r>
      <w:r w:rsidR="0090531A" w:rsidRPr="00190498">
        <w:rPr>
          <w:rFonts w:asciiTheme="minorHAnsi" w:hAnsiTheme="minorHAnsi" w:cstheme="minorHAnsi"/>
          <w:lang w:eastAsia="en-AU"/>
        </w:rPr>
        <w:t>Schedule 1</w:t>
      </w:r>
      <w:r w:rsidRPr="00190498">
        <w:rPr>
          <w:rFonts w:asciiTheme="minorHAnsi" w:hAnsiTheme="minorHAnsi" w:cstheme="minorHAnsi"/>
          <w:lang w:eastAsia="en-AU"/>
        </w:rPr>
        <w:t xml:space="preserve"> </w:t>
      </w:r>
      <w:r w:rsidR="000A43E0" w:rsidRPr="00190498">
        <w:rPr>
          <w:rFonts w:asciiTheme="minorHAnsi" w:hAnsiTheme="minorHAnsi" w:cstheme="minorHAnsi"/>
          <w:lang w:eastAsia="en-AU"/>
        </w:rPr>
        <w:t>updates</w:t>
      </w:r>
      <w:r w:rsidRPr="00190498">
        <w:rPr>
          <w:rFonts w:asciiTheme="minorHAnsi" w:hAnsiTheme="minorHAnsi" w:cstheme="minorHAnsi"/>
          <w:lang w:eastAsia="en-AU"/>
        </w:rPr>
        <w:t xml:space="preserve"> item </w:t>
      </w:r>
      <w:r w:rsidR="00CD769B" w:rsidRPr="00190498">
        <w:rPr>
          <w:rFonts w:asciiTheme="minorHAnsi" w:hAnsiTheme="minorHAnsi" w:cstheme="minorHAnsi"/>
          <w:lang w:eastAsia="en-AU"/>
        </w:rPr>
        <w:t>(</w:t>
      </w:r>
      <w:r w:rsidRPr="00190498">
        <w:rPr>
          <w:rFonts w:asciiTheme="minorHAnsi" w:hAnsiTheme="minorHAnsi" w:cstheme="minorHAnsi"/>
          <w:lang w:eastAsia="en-AU"/>
        </w:rPr>
        <w:t>ii</w:t>
      </w:r>
      <w:r w:rsidR="00CD769B" w:rsidRPr="00190498">
        <w:rPr>
          <w:rFonts w:asciiTheme="minorHAnsi" w:hAnsiTheme="minorHAnsi" w:cstheme="minorHAnsi"/>
          <w:lang w:eastAsia="en-AU"/>
        </w:rPr>
        <w:t>)</w:t>
      </w:r>
      <w:r w:rsidRPr="00190498">
        <w:rPr>
          <w:rFonts w:asciiTheme="minorHAnsi" w:hAnsiTheme="minorHAnsi" w:cstheme="minorHAnsi"/>
          <w:lang w:eastAsia="en-AU"/>
        </w:rPr>
        <w:t xml:space="preserve"> (Authority) at the start of the Guidelines to </w:t>
      </w:r>
      <w:r w:rsidR="000A43E0" w:rsidRPr="00190498">
        <w:rPr>
          <w:rFonts w:asciiTheme="minorHAnsi" w:hAnsiTheme="minorHAnsi" w:cstheme="minorHAnsi"/>
          <w:lang w:eastAsia="en-AU"/>
        </w:rPr>
        <w:t xml:space="preserve">remove the reference to Part 2-1 of HESA. This is a technical amendment to reflect the fact that the Guidelines deal with matters in other parts of HESA, not just Part </w:t>
      </w:r>
      <w:r w:rsidR="006954CA" w:rsidRPr="00190498">
        <w:rPr>
          <w:rFonts w:asciiTheme="minorHAnsi" w:hAnsiTheme="minorHAnsi" w:cstheme="minorHAnsi"/>
          <w:lang w:eastAsia="en-AU"/>
        </w:rPr>
        <w:br/>
      </w:r>
      <w:r w:rsidR="000A43E0" w:rsidRPr="00190498">
        <w:rPr>
          <w:rFonts w:asciiTheme="minorHAnsi" w:hAnsiTheme="minorHAnsi" w:cstheme="minorHAnsi"/>
          <w:lang w:eastAsia="en-AU"/>
        </w:rPr>
        <w:t>2-1.</w:t>
      </w:r>
    </w:p>
    <w:p w14:paraId="19EC6191" w14:textId="77777777" w:rsidR="00F179FD" w:rsidRPr="00190498" w:rsidRDefault="00F179FD">
      <w:pPr>
        <w:spacing w:line="276" w:lineRule="auto"/>
        <w:rPr>
          <w:rFonts w:asciiTheme="minorHAnsi" w:hAnsiTheme="minorHAnsi" w:cstheme="minorHAnsi"/>
          <w:b/>
          <w:bCs/>
          <w:lang w:eastAsia="en-AU"/>
        </w:rPr>
      </w:pPr>
      <w:r w:rsidRPr="00190498">
        <w:rPr>
          <w:rFonts w:asciiTheme="minorHAnsi" w:hAnsiTheme="minorHAnsi" w:cstheme="minorHAnsi"/>
          <w:b/>
          <w:bCs/>
          <w:lang w:eastAsia="en-AU"/>
        </w:rPr>
        <w:br w:type="page"/>
      </w:r>
    </w:p>
    <w:p w14:paraId="1509F882" w14:textId="13896B77" w:rsidR="008F3DC3" w:rsidRPr="00190498" w:rsidRDefault="00E14CA0" w:rsidP="0040556C">
      <w:pPr>
        <w:rPr>
          <w:rFonts w:asciiTheme="minorHAnsi" w:hAnsiTheme="minorHAnsi" w:cstheme="minorHAnsi"/>
          <w:b/>
          <w:bCs/>
          <w:lang w:eastAsia="en-AU"/>
        </w:rPr>
      </w:pPr>
      <w:r w:rsidRPr="00190498">
        <w:rPr>
          <w:rFonts w:asciiTheme="minorHAnsi" w:hAnsiTheme="minorHAnsi" w:cstheme="minorHAnsi"/>
          <w:b/>
          <w:bCs/>
          <w:lang w:eastAsia="en-AU"/>
        </w:rPr>
        <w:lastRenderedPageBreak/>
        <w:t>Item 2 – Section 1.1 (Purpose)</w:t>
      </w:r>
    </w:p>
    <w:p w14:paraId="46EDDA89" w14:textId="7E3CD26B" w:rsidR="0090531A" w:rsidRPr="00190498" w:rsidRDefault="0090531A"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Item 2 of Schedule 1 deletes section 1.1 (Purpose) of the Guidelines. This section is outdated and is no longer needed in the Guidelines. </w:t>
      </w:r>
    </w:p>
    <w:p w14:paraId="21FC7BF4" w14:textId="5122A0E1" w:rsidR="00E14CA0" w:rsidRPr="00190498" w:rsidRDefault="00C90F28" w:rsidP="008F3DC3">
      <w:pPr>
        <w:rPr>
          <w:rFonts w:asciiTheme="minorHAnsi" w:hAnsiTheme="minorHAnsi" w:cstheme="minorHAnsi"/>
          <w:b/>
          <w:bCs/>
          <w:lang w:eastAsia="en-AU"/>
        </w:rPr>
      </w:pPr>
      <w:r w:rsidRPr="00190498">
        <w:rPr>
          <w:rFonts w:asciiTheme="minorHAnsi" w:hAnsiTheme="minorHAnsi" w:cstheme="minorHAnsi"/>
          <w:b/>
          <w:bCs/>
          <w:lang w:eastAsia="en-AU"/>
        </w:rPr>
        <w:t xml:space="preserve">Item 3 </w:t>
      </w:r>
      <w:r w:rsidR="00E14CA0" w:rsidRPr="00190498">
        <w:rPr>
          <w:rFonts w:asciiTheme="minorHAnsi" w:hAnsiTheme="minorHAnsi" w:cstheme="minorHAnsi"/>
          <w:b/>
          <w:bCs/>
          <w:lang w:eastAsia="en-AU"/>
        </w:rPr>
        <w:t>– Paragraph 1.5.10</w:t>
      </w:r>
    </w:p>
    <w:p w14:paraId="53D8ED3C" w14:textId="06150743" w:rsidR="0090531A" w:rsidRPr="00190498" w:rsidRDefault="00E14CA0"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Item 3 </w:t>
      </w:r>
      <w:r w:rsidR="00C90F28" w:rsidRPr="00190498">
        <w:rPr>
          <w:rFonts w:asciiTheme="minorHAnsi" w:hAnsiTheme="minorHAnsi" w:cstheme="minorHAnsi"/>
          <w:lang w:eastAsia="en-AU"/>
        </w:rPr>
        <w:t>of Schedule 1 deletes the definition of ‘</w:t>
      </w:r>
      <w:r w:rsidR="002B61D4" w:rsidRPr="00190498">
        <w:rPr>
          <w:rFonts w:asciiTheme="minorHAnsi" w:hAnsiTheme="minorHAnsi" w:cstheme="minorHAnsi"/>
          <w:lang w:eastAsia="en-AU"/>
        </w:rPr>
        <w:t>A</w:t>
      </w:r>
      <w:r w:rsidR="00C90F28" w:rsidRPr="00190498">
        <w:rPr>
          <w:rFonts w:asciiTheme="minorHAnsi" w:hAnsiTheme="minorHAnsi" w:cstheme="minorHAnsi"/>
          <w:lang w:eastAsia="en-AU"/>
        </w:rPr>
        <w:t xml:space="preserve">ffected </w:t>
      </w:r>
      <w:r w:rsidR="002B61D4" w:rsidRPr="00190498">
        <w:rPr>
          <w:rFonts w:asciiTheme="minorHAnsi" w:hAnsiTheme="minorHAnsi" w:cstheme="minorHAnsi"/>
          <w:lang w:eastAsia="en-AU"/>
        </w:rPr>
        <w:t>S</w:t>
      </w:r>
      <w:r w:rsidR="00C90F28" w:rsidRPr="00190498">
        <w:rPr>
          <w:rFonts w:asciiTheme="minorHAnsi" w:hAnsiTheme="minorHAnsi" w:cstheme="minorHAnsi"/>
          <w:lang w:eastAsia="en-AU"/>
        </w:rPr>
        <w:t xml:space="preserve">tudent’ in the Guidelines as the term is no longer used in the Guidelines. </w:t>
      </w:r>
    </w:p>
    <w:p w14:paraId="7350C334" w14:textId="17235D87" w:rsidR="00E14CA0" w:rsidRPr="00190498" w:rsidRDefault="00C90F28" w:rsidP="008F3DC3">
      <w:pPr>
        <w:rPr>
          <w:rFonts w:asciiTheme="minorHAnsi" w:hAnsiTheme="minorHAnsi" w:cstheme="minorHAnsi"/>
          <w:b/>
          <w:bCs/>
          <w:lang w:eastAsia="en-AU"/>
        </w:rPr>
      </w:pPr>
      <w:r w:rsidRPr="00190498">
        <w:rPr>
          <w:rFonts w:asciiTheme="minorHAnsi" w:hAnsiTheme="minorHAnsi" w:cstheme="minorHAnsi"/>
          <w:b/>
          <w:bCs/>
          <w:lang w:eastAsia="en-AU"/>
        </w:rPr>
        <w:t xml:space="preserve">Item 4 </w:t>
      </w:r>
      <w:r w:rsidR="00E14CA0" w:rsidRPr="00190498">
        <w:rPr>
          <w:rFonts w:asciiTheme="minorHAnsi" w:hAnsiTheme="minorHAnsi" w:cstheme="minorHAnsi"/>
          <w:b/>
          <w:bCs/>
          <w:lang w:eastAsia="en-AU"/>
        </w:rPr>
        <w:t xml:space="preserve">– Chapter 2 </w:t>
      </w:r>
    </w:p>
    <w:p w14:paraId="5E8A7496" w14:textId="11A9D036" w:rsidR="00CD769B" w:rsidRPr="00190498" w:rsidRDefault="00E14CA0"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Item 4 </w:t>
      </w:r>
      <w:r w:rsidR="00C90F28" w:rsidRPr="00190498">
        <w:rPr>
          <w:rFonts w:asciiTheme="minorHAnsi" w:hAnsiTheme="minorHAnsi" w:cstheme="minorHAnsi"/>
          <w:lang w:eastAsia="en-AU"/>
        </w:rPr>
        <w:t xml:space="preserve">of Schedule 1 replaces Chapter 2 (The Tuition Protection Requirements) of the Guidelines with new tuition protection requirements to support the changes made to the HELP tuition protection scheme in HESA as amended through the </w:t>
      </w:r>
      <w:r w:rsidR="00F179FD" w:rsidRPr="00190498">
        <w:rPr>
          <w:rFonts w:asciiTheme="minorHAnsi" w:hAnsiTheme="minorHAnsi" w:cstheme="minorHAnsi"/>
          <w:i/>
          <w:lang w:eastAsia="en-AU"/>
        </w:rPr>
        <w:t>Education Legislation Amendment (Up-front Payments Tuition Protection) Act 2020</w:t>
      </w:r>
      <w:r w:rsidR="00F179FD" w:rsidRPr="00190498">
        <w:rPr>
          <w:rFonts w:asciiTheme="minorHAnsi" w:hAnsiTheme="minorHAnsi" w:cstheme="minorHAnsi"/>
          <w:lang w:eastAsia="en-AU"/>
        </w:rPr>
        <w:t xml:space="preserve"> (the </w:t>
      </w:r>
      <w:r w:rsidR="00C90F28" w:rsidRPr="00190498">
        <w:rPr>
          <w:rFonts w:asciiTheme="minorHAnsi" w:hAnsiTheme="minorHAnsi" w:cstheme="minorHAnsi"/>
          <w:b/>
          <w:bCs/>
          <w:lang w:eastAsia="en-AU"/>
        </w:rPr>
        <w:t>Tuition Protection Act</w:t>
      </w:r>
      <w:r w:rsidR="00F179FD" w:rsidRPr="00190498">
        <w:rPr>
          <w:rFonts w:asciiTheme="minorHAnsi" w:hAnsiTheme="minorHAnsi" w:cstheme="minorHAnsi"/>
          <w:lang w:eastAsia="en-AU"/>
        </w:rPr>
        <w:t>)</w:t>
      </w:r>
      <w:r w:rsidR="00C90F28" w:rsidRPr="00190498">
        <w:rPr>
          <w:rFonts w:asciiTheme="minorHAnsi" w:hAnsiTheme="minorHAnsi" w:cstheme="minorHAnsi"/>
          <w:lang w:eastAsia="en-AU"/>
        </w:rPr>
        <w:t xml:space="preserve">. </w:t>
      </w:r>
    </w:p>
    <w:p w14:paraId="44A014C7" w14:textId="55B9EC51" w:rsidR="004A6DDA" w:rsidRPr="00190498" w:rsidRDefault="004A6DDA" w:rsidP="008F3DC3">
      <w:pPr>
        <w:rPr>
          <w:rFonts w:asciiTheme="minorHAnsi" w:hAnsiTheme="minorHAnsi" w:cstheme="minorHAnsi"/>
          <w:i/>
          <w:iCs/>
          <w:lang w:eastAsia="en-AU"/>
        </w:rPr>
      </w:pPr>
      <w:r w:rsidRPr="00190498">
        <w:rPr>
          <w:rFonts w:asciiTheme="minorHAnsi" w:hAnsiTheme="minorHAnsi" w:cstheme="minorHAnsi"/>
          <w:i/>
          <w:iCs/>
          <w:lang w:eastAsia="en-AU"/>
        </w:rPr>
        <w:t xml:space="preserve">2.1 Purpose and application </w:t>
      </w:r>
    </w:p>
    <w:p w14:paraId="69CA9B8A" w14:textId="6FC44810" w:rsidR="00CD769B" w:rsidRPr="00190498" w:rsidRDefault="00C90F28"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Ne</w:t>
      </w:r>
      <w:r w:rsidR="00F21C6E" w:rsidRPr="00190498">
        <w:rPr>
          <w:rFonts w:asciiTheme="minorHAnsi" w:hAnsiTheme="minorHAnsi" w:cstheme="minorHAnsi"/>
          <w:lang w:eastAsia="en-AU"/>
        </w:rPr>
        <w:t xml:space="preserve">w Chapter 2 sets out the tuition protection requirements for the purposes of section 16-30 of HESA. New paragraph 2.1.5 prescribes the kind of providers to whom Part 5-1A of HESA does not apply, which includes Commonwealth, State and Territory owned higher education providers. This reflects </w:t>
      </w:r>
      <w:r w:rsidR="00E14CA0" w:rsidRPr="00190498">
        <w:rPr>
          <w:rFonts w:asciiTheme="minorHAnsi" w:hAnsiTheme="minorHAnsi" w:cstheme="minorHAnsi"/>
          <w:lang w:eastAsia="en-AU"/>
        </w:rPr>
        <w:t>existing section 2.5 of the Guidelines which is repealed by this item.</w:t>
      </w:r>
    </w:p>
    <w:p w14:paraId="4111C6E7" w14:textId="0B324AF5" w:rsidR="004A6DDA" w:rsidRPr="00190498" w:rsidRDefault="004A6DDA" w:rsidP="008F3DC3">
      <w:pPr>
        <w:rPr>
          <w:rFonts w:asciiTheme="minorHAnsi" w:hAnsiTheme="minorHAnsi" w:cstheme="minorHAnsi"/>
          <w:i/>
          <w:iCs/>
          <w:lang w:eastAsia="en-AU"/>
        </w:rPr>
      </w:pPr>
      <w:r w:rsidRPr="00190498">
        <w:rPr>
          <w:rFonts w:asciiTheme="minorHAnsi" w:hAnsiTheme="minorHAnsi" w:cstheme="minorHAnsi"/>
          <w:i/>
          <w:iCs/>
          <w:lang w:eastAsia="en-AU"/>
        </w:rPr>
        <w:t xml:space="preserve">2.5 HELP tuition protection levy </w:t>
      </w:r>
    </w:p>
    <w:p w14:paraId="6F382468" w14:textId="580D8CE4" w:rsidR="004A6DDA" w:rsidRPr="00190498" w:rsidRDefault="00E14CA0" w:rsidP="00CD769B">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New section 2.5 includes requirements relating to the collection or recovery of the </w:t>
      </w:r>
      <w:r w:rsidR="00F85F2A" w:rsidRPr="00190498">
        <w:rPr>
          <w:rFonts w:asciiTheme="minorHAnsi" w:hAnsiTheme="minorHAnsi" w:cstheme="minorHAnsi"/>
          <w:lang w:eastAsia="en-AU"/>
        </w:rPr>
        <w:t>HELP tuition protection levy (</w:t>
      </w:r>
      <w:r w:rsidR="00060D14" w:rsidRPr="00190498">
        <w:rPr>
          <w:rFonts w:asciiTheme="minorHAnsi" w:hAnsiTheme="minorHAnsi" w:cstheme="minorHAnsi"/>
          <w:b/>
          <w:bCs/>
          <w:lang w:eastAsia="en-AU"/>
        </w:rPr>
        <w:t>Levy</w:t>
      </w:r>
      <w:r w:rsidR="00F85F2A" w:rsidRPr="00190498">
        <w:rPr>
          <w:rFonts w:asciiTheme="minorHAnsi" w:hAnsiTheme="minorHAnsi" w:cstheme="minorHAnsi"/>
          <w:lang w:eastAsia="en-AU"/>
        </w:rPr>
        <w:t>)</w:t>
      </w:r>
      <w:r w:rsidR="00060D14" w:rsidRPr="00190498">
        <w:rPr>
          <w:rFonts w:asciiTheme="minorHAnsi" w:hAnsiTheme="minorHAnsi" w:cstheme="minorHAnsi"/>
          <w:lang w:eastAsia="en-AU"/>
        </w:rPr>
        <w:t xml:space="preserve">. </w:t>
      </w:r>
    </w:p>
    <w:p w14:paraId="0536B764" w14:textId="77777777" w:rsidR="00CD769B" w:rsidRPr="00190498" w:rsidRDefault="00CD769B" w:rsidP="005A6F1A">
      <w:pPr>
        <w:pStyle w:val="ListParagraph"/>
        <w:rPr>
          <w:rFonts w:asciiTheme="minorHAnsi" w:hAnsiTheme="minorHAnsi" w:cstheme="minorHAnsi"/>
          <w:lang w:eastAsia="en-AU"/>
        </w:rPr>
      </w:pPr>
    </w:p>
    <w:p w14:paraId="3C61A106" w14:textId="57B20C9D" w:rsidR="00CD769B" w:rsidRPr="00190498" w:rsidRDefault="00901636"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P</w:t>
      </w:r>
      <w:r w:rsidR="004A6DDA" w:rsidRPr="00190498">
        <w:rPr>
          <w:rFonts w:asciiTheme="minorHAnsi" w:hAnsiTheme="minorHAnsi" w:cstheme="minorHAnsi"/>
          <w:lang w:eastAsia="en-AU"/>
        </w:rPr>
        <w:t>aragraph 2.5.5 sets out the matters which the</w:t>
      </w:r>
      <w:r w:rsidR="00F85F2A" w:rsidRPr="00190498">
        <w:rPr>
          <w:rFonts w:asciiTheme="minorHAnsi" w:hAnsiTheme="minorHAnsi" w:cstheme="minorHAnsi"/>
          <w:lang w:eastAsia="en-AU"/>
        </w:rPr>
        <w:t xml:space="preserve"> Higher Education Tuition Protection</w:t>
      </w:r>
      <w:r w:rsidR="004A6DDA" w:rsidRPr="00190498">
        <w:rPr>
          <w:rFonts w:asciiTheme="minorHAnsi" w:hAnsiTheme="minorHAnsi" w:cstheme="minorHAnsi"/>
          <w:lang w:eastAsia="en-AU"/>
        </w:rPr>
        <w:t xml:space="preserve"> Director </w:t>
      </w:r>
      <w:r w:rsidR="00F85F2A" w:rsidRPr="00190498">
        <w:rPr>
          <w:rFonts w:asciiTheme="minorHAnsi" w:hAnsiTheme="minorHAnsi" w:cstheme="minorHAnsi"/>
          <w:lang w:eastAsia="en-AU"/>
        </w:rPr>
        <w:t>(</w:t>
      </w:r>
      <w:r w:rsidR="00F85F2A" w:rsidRPr="00190498">
        <w:rPr>
          <w:rFonts w:asciiTheme="minorHAnsi" w:hAnsiTheme="minorHAnsi" w:cstheme="minorHAnsi"/>
          <w:b/>
          <w:bCs/>
          <w:lang w:eastAsia="en-AU"/>
        </w:rPr>
        <w:t>Director</w:t>
      </w:r>
      <w:r w:rsidR="00F85F2A" w:rsidRPr="00190498">
        <w:rPr>
          <w:rFonts w:asciiTheme="minorHAnsi" w:hAnsiTheme="minorHAnsi" w:cstheme="minorHAnsi"/>
          <w:lang w:eastAsia="en-AU"/>
        </w:rPr>
        <w:t xml:space="preserve">) </w:t>
      </w:r>
      <w:r w:rsidR="004A6DDA" w:rsidRPr="00190498">
        <w:rPr>
          <w:rFonts w:asciiTheme="minorHAnsi" w:hAnsiTheme="minorHAnsi" w:cstheme="minorHAnsi"/>
          <w:lang w:eastAsia="en-AU"/>
        </w:rPr>
        <w:t xml:space="preserve">must include in a written notice to each provider who is liable to pay the Levy. Paragraph 2.5.10 clarifies that even if the Director does not give a provider a notice in accordance with paragraph 2.5.5, the provider is still liable to pay the Levy. The notes under paragraph 2.5.10 outline that the Levy is imposed on a higher education provider to whom Part 5-1A of </w:t>
      </w:r>
      <w:r w:rsidR="00060D14" w:rsidRPr="00190498">
        <w:rPr>
          <w:rFonts w:asciiTheme="minorHAnsi" w:hAnsiTheme="minorHAnsi" w:cstheme="minorHAnsi"/>
          <w:lang w:eastAsia="en-AU"/>
        </w:rPr>
        <w:t>HESA</w:t>
      </w:r>
      <w:r w:rsidR="004A6DDA" w:rsidRPr="00190498">
        <w:rPr>
          <w:rFonts w:asciiTheme="minorHAnsi" w:hAnsiTheme="minorHAnsi" w:cstheme="minorHAnsi"/>
          <w:lang w:eastAsia="en-AU"/>
        </w:rPr>
        <w:t xml:space="preserve"> applies and a provider </w:t>
      </w:r>
      <w:r w:rsidR="00060D14" w:rsidRPr="00190498">
        <w:rPr>
          <w:rFonts w:asciiTheme="minorHAnsi" w:hAnsiTheme="minorHAnsi" w:cstheme="minorHAnsi"/>
          <w:lang w:eastAsia="en-AU"/>
        </w:rPr>
        <w:t xml:space="preserve">is required </w:t>
      </w:r>
      <w:r w:rsidR="004A6DDA" w:rsidRPr="00190498">
        <w:rPr>
          <w:rFonts w:asciiTheme="minorHAnsi" w:hAnsiTheme="minorHAnsi" w:cstheme="minorHAnsi"/>
          <w:lang w:eastAsia="en-AU"/>
        </w:rPr>
        <w:t>to pay the Levy when it is due and payable</w:t>
      </w:r>
      <w:r w:rsidR="00060D14" w:rsidRPr="00190498">
        <w:rPr>
          <w:rFonts w:asciiTheme="minorHAnsi" w:hAnsiTheme="minorHAnsi" w:cstheme="minorHAnsi"/>
          <w:lang w:eastAsia="en-AU"/>
        </w:rPr>
        <w:t>.</w:t>
      </w:r>
    </w:p>
    <w:p w14:paraId="40D846D6" w14:textId="77777777" w:rsidR="00CD769B" w:rsidRPr="00190498" w:rsidRDefault="00CD769B" w:rsidP="005A6F1A">
      <w:pPr>
        <w:pStyle w:val="ListParagraph"/>
        <w:rPr>
          <w:rFonts w:asciiTheme="minorHAnsi" w:hAnsiTheme="minorHAnsi" w:cstheme="minorHAnsi"/>
          <w:lang w:eastAsia="en-AU"/>
        </w:rPr>
      </w:pPr>
    </w:p>
    <w:p w14:paraId="5B30A37A" w14:textId="5D077DE6" w:rsidR="00CD769B" w:rsidRPr="00190498" w:rsidRDefault="004A6DDA"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Paragraph 2.5.15 explains that a notice under paragraph 2.5.5 does not need to be given to the provider if the provider’s liability to pay the Levy is waived under paragraphs 2.5.30 or 2.5.35.</w:t>
      </w:r>
    </w:p>
    <w:p w14:paraId="56FDE08B" w14:textId="77777777" w:rsidR="00CD769B" w:rsidRPr="00190498" w:rsidRDefault="00CD769B" w:rsidP="005A6F1A">
      <w:pPr>
        <w:pStyle w:val="ListParagraph"/>
        <w:rPr>
          <w:rFonts w:asciiTheme="minorHAnsi" w:hAnsiTheme="minorHAnsi" w:cstheme="minorHAnsi"/>
          <w:lang w:eastAsia="en-AU"/>
        </w:rPr>
      </w:pPr>
    </w:p>
    <w:p w14:paraId="6DB056F3" w14:textId="0375BDC5" w:rsidR="004A6DDA" w:rsidRPr="00190498" w:rsidRDefault="004A6DDA"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Paragraph 2.5.20 provides</w:t>
      </w:r>
      <w:r w:rsidR="00060D14" w:rsidRPr="00190498">
        <w:rPr>
          <w:rFonts w:asciiTheme="minorHAnsi" w:hAnsiTheme="minorHAnsi" w:cstheme="minorHAnsi"/>
          <w:lang w:eastAsia="en-AU"/>
        </w:rPr>
        <w:t xml:space="preserve"> that</w:t>
      </w:r>
      <w:r w:rsidRPr="00190498">
        <w:rPr>
          <w:rFonts w:asciiTheme="minorHAnsi" w:hAnsiTheme="minorHAnsi" w:cstheme="minorHAnsi"/>
          <w:lang w:eastAsia="en-AU"/>
        </w:rPr>
        <w:t xml:space="preserve"> the Director may give a written overdue notice to a provider to comply with a notice issued under paragraph 2.5.5 after the date the </w:t>
      </w:r>
      <w:r w:rsidR="00060D14" w:rsidRPr="00190498">
        <w:rPr>
          <w:rFonts w:asciiTheme="minorHAnsi" w:hAnsiTheme="minorHAnsi" w:cstheme="minorHAnsi"/>
          <w:lang w:eastAsia="en-AU"/>
        </w:rPr>
        <w:t>L</w:t>
      </w:r>
      <w:r w:rsidRPr="00190498">
        <w:rPr>
          <w:rFonts w:asciiTheme="minorHAnsi" w:hAnsiTheme="minorHAnsi" w:cstheme="minorHAnsi"/>
          <w:lang w:eastAsia="en-AU"/>
        </w:rPr>
        <w:t xml:space="preserve">evy is due and payable. Paragraph 2.5.25 specifies the matters the overdue notice must include. </w:t>
      </w:r>
    </w:p>
    <w:p w14:paraId="517A19E8" w14:textId="77777777" w:rsidR="00CD769B" w:rsidRPr="00190498" w:rsidRDefault="00CD769B" w:rsidP="005A6F1A">
      <w:pPr>
        <w:pStyle w:val="ListParagraph"/>
        <w:rPr>
          <w:rFonts w:asciiTheme="minorHAnsi" w:hAnsiTheme="minorHAnsi" w:cstheme="minorHAnsi"/>
          <w:lang w:eastAsia="en-AU"/>
        </w:rPr>
      </w:pPr>
    </w:p>
    <w:p w14:paraId="54806F1D" w14:textId="519BC243" w:rsidR="00CD769B" w:rsidRPr="00190498" w:rsidRDefault="004A6DDA" w:rsidP="00E47726">
      <w:pPr>
        <w:pStyle w:val="ListParagraph"/>
        <w:numPr>
          <w:ilvl w:val="0"/>
          <w:numId w:val="14"/>
        </w:numPr>
        <w:spacing w:before="240"/>
        <w:rPr>
          <w:rFonts w:asciiTheme="minorHAnsi" w:hAnsiTheme="minorHAnsi" w:cstheme="minorHAnsi"/>
          <w:lang w:eastAsia="en-AU"/>
        </w:rPr>
      </w:pPr>
      <w:r w:rsidRPr="00190498">
        <w:rPr>
          <w:rFonts w:asciiTheme="minorHAnsi" w:hAnsiTheme="minorHAnsi" w:cstheme="minorHAnsi"/>
          <w:lang w:eastAsia="en-AU"/>
        </w:rPr>
        <w:t>Paragraph 2.5.30 provides that liability to pay the Levy is waived for all higher education providers for the calendar year 2020. This reflects</w:t>
      </w:r>
      <w:r w:rsidR="005652A0" w:rsidRPr="00190498">
        <w:rPr>
          <w:rFonts w:asciiTheme="minorHAnsi" w:hAnsiTheme="minorHAnsi" w:cstheme="minorHAnsi"/>
          <w:lang w:eastAsia="en-AU"/>
        </w:rPr>
        <w:t xml:space="preserve"> the</w:t>
      </w:r>
      <w:r w:rsidRPr="00190498">
        <w:rPr>
          <w:rFonts w:asciiTheme="minorHAnsi" w:hAnsiTheme="minorHAnsi" w:cstheme="minorHAnsi"/>
          <w:lang w:eastAsia="en-AU"/>
        </w:rPr>
        <w:t xml:space="preserve"> waiver under </w:t>
      </w:r>
      <w:r w:rsidR="005652A0" w:rsidRPr="00190498">
        <w:rPr>
          <w:rFonts w:asciiTheme="minorHAnsi" w:hAnsiTheme="minorHAnsi" w:cstheme="minorHAnsi"/>
          <w:lang w:eastAsia="en-AU"/>
        </w:rPr>
        <w:lastRenderedPageBreak/>
        <w:t xml:space="preserve">existing </w:t>
      </w:r>
      <w:r w:rsidRPr="00190498">
        <w:rPr>
          <w:rFonts w:asciiTheme="minorHAnsi" w:hAnsiTheme="minorHAnsi" w:cstheme="minorHAnsi"/>
          <w:lang w:eastAsia="en-AU"/>
        </w:rPr>
        <w:t>paragraph 2.10.45A</w:t>
      </w:r>
      <w:r w:rsidR="00525833" w:rsidRPr="00190498">
        <w:rPr>
          <w:rFonts w:asciiTheme="minorHAnsi" w:hAnsiTheme="minorHAnsi" w:cstheme="minorHAnsi"/>
          <w:lang w:eastAsia="en-AU"/>
        </w:rPr>
        <w:t xml:space="preserve"> </w:t>
      </w:r>
      <w:r w:rsidR="005652A0" w:rsidRPr="00190498">
        <w:rPr>
          <w:rFonts w:asciiTheme="minorHAnsi" w:hAnsiTheme="minorHAnsi" w:cstheme="minorHAnsi"/>
          <w:lang w:eastAsia="en-AU"/>
        </w:rPr>
        <w:t>of the Guidelines (as repealed by this item)</w:t>
      </w:r>
      <w:r w:rsidR="002B61D4" w:rsidRPr="00190498">
        <w:rPr>
          <w:rFonts w:asciiTheme="minorHAnsi" w:hAnsiTheme="minorHAnsi" w:cstheme="minorHAnsi"/>
          <w:lang w:eastAsia="en-AU"/>
        </w:rPr>
        <w:t xml:space="preserve"> which was introduced through the </w:t>
      </w:r>
      <w:r w:rsidR="002B61D4" w:rsidRPr="00190498">
        <w:rPr>
          <w:rFonts w:asciiTheme="minorHAnsi" w:hAnsiTheme="minorHAnsi" w:cstheme="minorHAnsi"/>
          <w:i/>
          <w:iCs/>
          <w:lang w:eastAsia="en-AU"/>
        </w:rPr>
        <w:t xml:space="preserve">Higher Education Provider Amendment (Levy Waiver) Guidelines 2020 </w:t>
      </w:r>
      <w:r w:rsidR="002B61D4" w:rsidRPr="00190498">
        <w:rPr>
          <w:rFonts w:asciiTheme="minorHAnsi" w:hAnsiTheme="minorHAnsi" w:cstheme="minorHAnsi"/>
          <w:lang w:eastAsia="en-AU"/>
        </w:rPr>
        <w:t>to support providers during the COVID-19 pandemic</w:t>
      </w:r>
      <w:r w:rsidR="005652A0" w:rsidRPr="00190498">
        <w:rPr>
          <w:rFonts w:asciiTheme="minorHAnsi" w:hAnsiTheme="minorHAnsi" w:cstheme="minorHAnsi"/>
          <w:lang w:eastAsia="en-AU"/>
        </w:rPr>
        <w:t>.</w:t>
      </w:r>
      <w:r w:rsidRPr="00190498">
        <w:rPr>
          <w:rFonts w:asciiTheme="minorHAnsi" w:hAnsiTheme="minorHAnsi" w:cstheme="minorHAnsi"/>
          <w:lang w:eastAsia="en-AU"/>
        </w:rPr>
        <w:t xml:space="preserve"> </w:t>
      </w:r>
      <w:r w:rsidR="005652A0" w:rsidRPr="00190498">
        <w:rPr>
          <w:rFonts w:asciiTheme="minorHAnsi" w:hAnsiTheme="minorHAnsi" w:cstheme="minorHAnsi"/>
          <w:lang w:eastAsia="en-AU"/>
        </w:rPr>
        <w:t xml:space="preserve">Paragraph 2.5.35 provides that the liability to pay the Levy is also waived if prior to the time the Director issues a notice under paragraph 2.5.5, the provider’s approval is revoked under HESA, the provider’s registration is cancelled under </w:t>
      </w:r>
      <w:r w:rsidR="00AF47E3" w:rsidRPr="00190498">
        <w:rPr>
          <w:rFonts w:asciiTheme="minorHAnsi" w:hAnsiTheme="minorHAnsi" w:cstheme="minorHAnsi"/>
          <w:lang w:eastAsia="en-AU"/>
        </w:rPr>
        <w:t xml:space="preserve">the </w:t>
      </w:r>
      <w:r w:rsidR="00AF47E3" w:rsidRPr="00190498">
        <w:rPr>
          <w:rFonts w:asciiTheme="minorHAnsi" w:hAnsiTheme="minorHAnsi" w:cstheme="minorHAnsi"/>
          <w:i/>
          <w:iCs/>
          <w:lang w:eastAsia="en-AU"/>
        </w:rPr>
        <w:t xml:space="preserve">Tertiary Education Quality and Standards Agency Act 2011 </w:t>
      </w:r>
      <w:r w:rsidR="00AF47E3" w:rsidRPr="00190498">
        <w:rPr>
          <w:rFonts w:asciiTheme="minorHAnsi" w:hAnsiTheme="minorHAnsi" w:cstheme="minorHAnsi"/>
          <w:lang w:eastAsia="en-AU"/>
        </w:rPr>
        <w:t>(</w:t>
      </w:r>
      <w:r w:rsidR="005652A0" w:rsidRPr="00190498">
        <w:rPr>
          <w:rFonts w:asciiTheme="minorHAnsi" w:hAnsiTheme="minorHAnsi" w:cstheme="minorHAnsi"/>
          <w:b/>
          <w:bCs/>
          <w:lang w:eastAsia="en-AU"/>
        </w:rPr>
        <w:t>TEQSA Act</w:t>
      </w:r>
      <w:r w:rsidR="00AF47E3" w:rsidRPr="00190498">
        <w:rPr>
          <w:rFonts w:asciiTheme="minorHAnsi" w:hAnsiTheme="minorHAnsi" w:cstheme="minorHAnsi"/>
          <w:lang w:eastAsia="en-AU"/>
        </w:rPr>
        <w:t>)</w:t>
      </w:r>
      <w:r w:rsidR="005652A0" w:rsidRPr="00190498">
        <w:rPr>
          <w:rFonts w:asciiTheme="minorHAnsi" w:hAnsiTheme="minorHAnsi" w:cstheme="minorHAnsi"/>
          <w:lang w:eastAsia="en-AU"/>
        </w:rPr>
        <w:t xml:space="preserve"> or the provider is no longer in operation. </w:t>
      </w:r>
    </w:p>
    <w:p w14:paraId="42B45F6A" w14:textId="77777777" w:rsidR="00CD769B" w:rsidRPr="00190498" w:rsidRDefault="00CD769B" w:rsidP="005A6F1A">
      <w:pPr>
        <w:pStyle w:val="ListParagraph"/>
        <w:rPr>
          <w:rFonts w:asciiTheme="minorHAnsi" w:hAnsiTheme="minorHAnsi" w:cstheme="minorHAnsi"/>
          <w:lang w:eastAsia="en-AU"/>
        </w:rPr>
      </w:pPr>
    </w:p>
    <w:p w14:paraId="38205FD4" w14:textId="4721A5CF" w:rsidR="00CD769B" w:rsidRPr="00190498" w:rsidRDefault="00901636"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The existing internal and external review of Levy decisions in paragraphs 2.10.35 to 2.10.40 of the Guidelines (as repealed by this item) is replaced by new paragraphs </w:t>
      </w:r>
      <w:r w:rsidR="005652A0" w:rsidRPr="00190498">
        <w:rPr>
          <w:rFonts w:asciiTheme="minorHAnsi" w:hAnsiTheme="minorHAnsi" w:cstheme="minorHAnsi"/>
          <w:lang w:eastAsia="en-AU"/>
        </w:rPr>
        <w:t xml:space="preserve">2.5.40 to 2.5.65 </w:t>
      </w:r>
      <w:r w:rsidRPr="00190498">
        <w:rPr>
          <w:rFonts w:asciiTheme="minorHAnsi" w:hAnsiTheme="minorHAnsi" w:cstheme="minorHAnsi"/>
          <w:lang w:eastAsia="en-AU"/>
        </w:rPr>
        <w:t>which provides a more robust i</w:t>
      </w:r>
      <w:r w:rsidR="005652A0" w:rsidRPr="00190498">
        <w:rPr>
          <w:rFonts w:asciiTheme="minorHAnsi" w:hAnsiTheme="minorHAnsi" w:cstheme="minorHAnsi"/>
          <w:lang w:eastAsia="en-AU"/>
        </w:rPr>
        <w:t>nternal review proce</w:t>
      </w:r>
      <w:r w:rsidRPr="00190498">
        <w:rPr>
          <w:rFonts w:asciiTheme="minorHAnsi" w:hAnsiTheme="minorHAnsi" w:cstheme="minorHAnsi"/>
          <w:lang w:eastAsia="en-AU"/>
        </w:rPr>
        <w:t xml:space="preserve">ss </w:t>
      </w:r>
      <w:r w:rsidR="005652A0" w:rsidRPr="00190498">
        <w:rPr>
          <w:rFonts w:asciiTheme="minorHAnsi" w:hAnsiTheme="minorHAnsi" w:cstheme="minorHAnsi"/>
          <w:lang w:eastAsia="en-AU"/>
        </w:rPr>
        <w:t>for</w:t>
      </w:r>
      <w:r w:rsidRPr="00190498">
        <w:rPr>
          <w:rFonts w:asciiTheme="minorHAnsi" w:hAnsiTheme="minorHAnsi" w:cstheme="minorHAnsi"/>
          <w:lang w:eastAsia="en-AU"/>
        </w:rPr>
        <w:t xml:space="preserve"> higher education providers to seek a reconsideration of</w:t>
      </w:r>
      <w:r w:rsidR="005652A0" w:rsidRPr="00190498">
        <w:rPr>
          <w:rFonts w:asciiTheme="minorHAnsi" w:hAnsiTheme="minorHAnsi" w:cstheme="minorHAnsi"/>
          <w:lang w:eastAsia="en-AU"/>
        </w:rPr>
        <w:t xml:space="preserve"> a notice issued under paragraph 2.5.5</w:t>
      </w:r>
      <w:r w:rsidRPr="00190498">
        <w:rPr>
          <w:rFonts w:asciiTheme="minorHAnsi" w:hAnsiTheme="minorHAnsi" w:cstheme="minorHAnsi"/>
          <w:lang w:eastAsia="en-AU"/>
        </w:rPr>
        <w:t xml:space="preserve"> and retains the existing availability of external merits review under new paragraph 2.5.65</w:t>
      </w:r>
      <w:r w:rsidR="005652A0" w:rsidRPr="00190498">
        <w:rPr>
          <w:rFonts w:asciiTheme="minorHAnsi" w:hAnsiTheme="minorHAnsi" w:cstheme="minorHAnsi"/>
          <w:lang w:eastAsia="en-AU"/>
        </w:rPr>
        <w:t xml:space="preserve">. </w:t>
      </w:r>
    </w:p>
    <w:p w14:paraId="4AB26604" w14:textId="77777777" w:rsidR="00CD769B" w:rsidRPr="00190498" w:rsidRDefault="00CD769B" w:rsidP="005A6F1A">
      <w:pPr>
        <w:pStyle w:val="ListParagraph"/>
        <w:rPr>
          <w:rFonts w:asciiTheme="minorHAnsi" w:hAnsiTheme="minorHAnsi" w:cstheme="minorHAnsi"/>
          <w:lang w:eastAsia="en-AU"/>
        </w:rPr>
      </w:pPr>
    </w:p>
    <w:p w14:paraId="18711435" w14:textId="70E2DFD8" w:rsidR="00901636" w:rsidRPr="00190498" w:rsidRDefault="005652A0"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A higher education provider may request the Director to reconsider a notice issued under paragraph 2.5.5 in relation to the determination of any components of the Levy (paragraph 2.5.40). </w:t>
      </w:r>
    </w:p>
    <w:p w14:paraId="0A7B2B40" w14:textId="77777777" w:rsidR="00CD769B" w:rsidRPr="00190498" w:rsidRDefault="00CD769B" w:rsidP="005A6F1A">
      <w:pPr>
        <w:pStyle w:val="ListParagraph"/>
        <w:rPr>
          <w:rFonts w:asciiTheme="minorHAnsi" w:hAnsiTheme="minorHAnsi" w:cstheme="minorHAnsi"/>
          <w:lang w:eastAsia="en-AU"/>
        </w:rPr>
      </w:pPr>
    </w:p>
    <w:p w14:paraId="63318A78" w14:textId="038B1A43" w:rsidR="005652A0" w:rsidRPr="00190498" w:rsidRDefault="005652A0"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Paragraphs 2.5.45 to 2.5.60 sets out the internal review process. </w:t>
      </w:r>
      <w:r w:rsidR="00901636" w:rsidRPr="00190498">
        <w:rPr>
          <w:rFonts w:asciiTheme="minorHAnsi" w:hAnsiTheme="minorHAnsi" w:cstheme="minorHAnsi"/>
          <w:lang w:eastAsia="en-AU"/>
        </w:rPr>
        <w:t xml:space="preserve">A </w:t>
      </w:r>
      <w:r w:rsidR="008C78FC" w:rsidRPr="00190498">
        <w:rPr>
          <w:rFonts w:asciiTheme="minorHAnsi" w:hAnsiTheme="minorHAnsi" w:cstheme="minorHAnsi"/>
          <w:lang w:eastAsia="en-AU"/>
        </w:rPr>
        <w:t xml:space="preserve">higher education </w:t>
      </w:r>
      <w:r w:rsidR="00901636" w:rsidRPr="00190498">
        <w:rPr>
          <w:rFonts w:asciiTheme="minorHAnsi" w:hAnsiTheme="minorHAnsi" w:cstheme="minorHAnsi"/>
          <w:lang w:eastAsia="en-AU"/>
        </w:rPr>
        <w:t>provider must make a request for an internal review in writing and give to the Director within 14 days after the day on which the provider received the notice. Paragraph 2.5.50 provides that the Director must reconsider the decision and confirm, vary or set the decision aside and substitute a new decision. The Director must give the provider written notice of the Director’s internal review decision within 7 days after the decision is made, including a statement of reasons and new notice under paragraph 2.5.5 where the Director varies or substitutes the original notice</w:t>
      </w:r>
      <w:r w:rsidR="008C78FC" w:rsidRPr="00190498">
        <w:rPr>
          <w:rFonts w:asciiTheme="minorHAnsi" w:hAnsiTheme="minorHAnsi" w:cstheme="minorHAnsi"/>
          <w:lang w:eastAsia="en-AU"/>
        </w:rPr>
        <w:t>.</w:t>
      </w:r>
    </w:p>
    <w:p w14:paraId="216A4FA3" w14:textId="77777777" w:rsidR="00CD769B" w:rsidRPr="00190498" w:rsidRDefault="00CD769B" w:rsidP="005A6F1A">
      <w:pPr>
        <w:pStyle w:val="ListParagraph"/>
        <w:rPr>
          <w:rFonts w:asciiTheme="minorHAnsi" w:hAnsiTheme="minorHAnsi" w:cstheme="minorHAnsi"/>
          <w:lang w:eastAsia="en-AU"/>
        </w:rPr>
      </w:pPr>
    </w:p>
    <w:p w14:paraId="2EE98437" w14:textId="1D034492" w:rsidR="00DB049E" w:rsidRPr="00190498" w:rsidRDefault="00DB049E"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Paragraph 2.5.65 provides that a</w:t>
      </w:r>
      <w:r w:rsidR="008C78FC" w:rsidRPr="00190498">
        <w:rPr>
          <w:rFonts w:asciiTheme="minorHAnsi" w:hAnsiTheme="minorHAnsi" w:cstheme="minorHAnsi"/>
          <w:lang w:eastAsia="en-AU"/>
        </w:rPr>
        <w:t xml:space="preserve"> higher education</w:t>
      </w:r>
      <w:r w:rsidRPr="00190498">
        <w:rPr>
          <w:rFonts w:asciiTheme="minorHAnsi" w:hAnsiTheme="minorHAnsi" w:cstheme="minorHAnsi"/>
          <w:lang w:eastAsia="en-AU"/>
        </w:rPr>
        <w:t xml:space="preserve"> provide</w:t>
      </w:r>
      <w:r w:rsidR="008C78FC" w:rsidRPr="00190498">
        <w:rPr>
          <w:rFonts w:asciiTheme="minorHAnsi" w:hAnsiTheme="minorHAnsi" w:cstheme="minorHAnsi"/>
          <w:lang w:eastAsia="en-AU"/>
        </w:rPr>
        <w:t>r</w:t>
      </w:r>
      <w:r w:rsidRPr="00190498">
        <w:rPr>
          <w:rFonts w:asciiTheme="minorHAnsi" w:hAnsiTheme="minorHAnsi" w:cstheme="minorHAnsi"/>
          <w:lang w:eastAsia="en-AU"/>
        </w:rPr>
        <w:t xml:space="preserve"> may make an application to the Administrative Appeals Tribunal for the review of a decision that has been confirmed, varied or set aside under paragraph 2.5.50. Paragraph 2.5.65 allows a provider to apply for independent merits review at the Administrative Appeals Tribunal of the Director’s internal review decision. </w:t>
      </w:r>
    </w:p>
    <w:p w14:paraId="5904AC07" w14:textId="77777777" w:rsidR="00DB049E" w:rsidRPr="00190498" w:rsidRDefault="00DB049E" w:rsidP="008F3DC3">
      <w:pPr>
        <w:rPr>
          <w:rFonts w:asciiTheme="minorHAnsi" w:hAnsiTheme="minorHAnsi" w:cstheme="minorHAnsi"/>
          <w:i/>
          <w:iCs/>
          <w:lang w:eastAsia="en-AU"/>
        </w:rPr>
      </w:pPr>
      <w:r w:rsidRPr="00190498">
        <w:rPr>
          <w:rFonts w:asciiTheme="minorHAnsi" w:hAnsiTheme="minorHAnsi" w:cstheme="minorHAnsi"/>
          <w:i/>
          <w:iCs/>
          <w:lang w:eastAsia="en-AU"/>
        </w:rPr>
        <w:t>2.10 When a higher education provider defaults in relation to a student</w:t>
      </w:r>
    </w:p>
    <w:p w14:paraId="0365E10F" w14:textId="161049A0" w:rsidR="00901636" w:rsidRPr="00190498" w:rsidRDefault="00DB049E"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 2.10.1 sets out additional circumstances where a higher education provider defaults in relation to a student. A provider defaults where a student is enrolled in a course of study with the provider and is not enrolled in any units of study within that course and the provider fails to commence the course on the day the course was scheduled to start or ceases to provide the course on a day after the course starts but before it is completed. </w:t>
      </w:r>
    </w:p>
    <w:p w14:paraId="6CC5C75B" w14:textId="77777777" w:rsidR="00CD769B" w:rsidRPr="00190498" w:rsidRDefault="00CD769B" w:rsidP="005A6F1A">
      <w:pPr>
        <w:pStyle w:val="ListParagraph"/>
        <w:rPr>
          <w:rFonts w:asciiTheme="minorHAnsi" w:hAnsiTheme="minorHAnsi" w:cstheme="minorHAnsi"/>
          <w:lang w:eastAsia="en-AU"/>
        </w:rPr>
      </w:pPr>
    </w:p>
    <w:p w14:paraId="3B3D13D0" w14:textId="284EA968" w:rsidR="00DB049E" w:rsidRPr="00190498" w:rsidRDefault="00DB049E"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For example, if a student is enrolled in a course of study but deferred a semester (therefore not enrolled in any units) and the provider ceases to provide the course during that semester, the student would still be offered tuition protection under </w:t>
      </w:r>
      <w:r w:rsidRPr="00190498">
        <w:rPr>
          <w:rFonts w:asciiTheme="minorHAnsi" w:hAnsiTheme="minorHAnsi" w:cstheme="minorHAnsi"/>
          <w:lang w:eastAsia="en-AU"/>
        </w:rPr>
        <w:lastRenderedPageBreak/>
        <w:t>HESA in the form of a suitable replacement course to assist the student to complete their course of study.</w:t>
      </w:r>
    </w:p>
    <w:p w14:paraId="3D369B3F" w14:textId="77777777" w:rsidR="00CD769B" w:rsidRPr="00190498" w:rsidRDefault="00CD769B" w:rsidP="005A6F1A">
      <w:pPr>
        <w:pStyle w:val="ListParagraph"/>
        <w:rPr>
          <w:rFonts w:asciiTheme="minorHAnsi" w:hAnsiTheme="minorHAnsi" w:cstheme="minorHAnsi"/>
          <w:lang w:eastAsia="en-AU"/>
        </w:rPr>
      </w:pPr>
    </w:p>
    <w:p w14:paraId="326C4509" w14:textId="5962C544" w:rsidR="00CA031E" w:rsidRPr="00190498" w:rsidRDefault="00CA031E"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Similarly, if a student is enrolled in a course of study, and it is a semester break but the student has not yet enrolled in any units, and the provider defaults in delivering the student’s course, then the student would also be provided with tuition protection under </w:t>
      </w:r>
      <w:r w:rsidR="00A35A77" w:rsidRPr="00190498">
        <w:rPr>
          <w:rFonts w:asciiTheme="minorHAnsi" w:hAnsiTheme="minorHAnsi" w:cstheme="minorHAnsi"/>
          <w:lang w:eastAsia="en-AU"/>
        </w:rPr>
        <w:t>HESA</w:t>
      </w:r>
      <w:r w:rsidRPr="00190498">
        <w:rPr>
          <w:rFonts w:asciiTheme="minorHAnsi" w:hAnsiTheme="minorHAnsi" w:cstheme="minorHAnsi"/>
          <w:lang w:eastAsia="en-AU"/>
        </w:rPr>
        <w:t xml:space="preserve"> in the form of a suitable replacement course to enable the student to continue their course of study.</w:t>
      </w:r>
    </w:p>
    <w:p w14:paraId="32CDE3CC" w14:textId="1788DDF3" w:rsidR="00DB049E" w:rsidRPr="00190498" w:rsidRDefault="00DB049E" w:rsidP="00DB049E">
      <w:pPr>
        <w:rPr>
          <w:rFonts w:asciiTheme="minorHAnsi" w:hAnsiTheme="minorHAnsi" w:cstheme="minorHAnsi"/>
          <w:i/>
          <w:iCs/>
          <w:lang w:eastAsia="en-AU"/>
        </w:rPr>
      </w:pPr>
      <w:r w:rsidRPr="00190498">
        <w:rPr>
          <w:rFonts w:asciiTheme="minorHAnsi" w:hAnsiTheme="minorHAnsi" w:cstheme="minorHAnsi"/>
          <w:i/>
          <w:iCs/>
          <w:lang w:eastAsia="en-AU"/>
        </w:rPr>
        <w:t xml:space="preserve">2.15 Notifying the Higher Education Tuition Protection Director of the details of the default </w:t>
      </w:r>
    </w:p>
    <w:p w14:paraId="78B7834C" w14:textId="2D99EE18" w:rsidR="00DB049E" w:rsidRPr="00190498" w:rsidRDefault="00931DF5" w:rsidP="00CD769B">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 2.15.1 sets out the additional requirements that a </w:t>
      </w:r>
      <w:r w:rsidR="008C78FC" w:rsidRPr="00190498">
        <w:rPr>
          <w:rFonts w:asciiTheme="minorHAnsi" w:hAnsiTheme="minorHAnsi" w:cstheme="minorHAnsi"/>
          <w:lang w:eastAsia="en-AU"/>
        </w:rPr>
        <w:t xml:space="preserve">higher education </w:t>
      </w:r>
      <w:r w:rsidRPr="00190498">
        <w:rPr>
          <w:rFonts w:asciiTheme="minorHAnsi" w:hAnsiTheme="minorHAnsi" w:cstheme="minorHAnsi"/>
          <w:lang w:eastAsia="en-AU"/>
        </w:rPr>
        <w:t xml:space="preserve">provider must notify the Director about in the written notice given under subsection 166-15(3) of HESA. The additional information is necessary for the Director to promptly assist a student if a provider fails to discharge its obligations under HESA. </w:t>
      </w:r>
      <w:r w:rsidR="008C78FC" w:rsidRPr="00190498">
        <w:rPr>
          <w:rFonts w:asciiTheme="minorHAnsi" w:hAnsiTheme="minorHAnsi" w:cstheme="minorHAnsi"/>
          <w:lang w:eastAsia="en-AU"/>
        </w:rPr>
        <w:t xml:space="preserve">In particular, the collection of the student’s personal information (including contact information) is reasonably necessary for the Director to contact students and take steps to assist the student should the provider fail to discharge its obligations under HESA. </w:t>
      </w:r>
    </w:p>
    <w:p w14:paraId="054FD348" w14:textId="77777777" w:rsidR="005A6F1A" w:rsidRPr="00190498" w:rsidRDefault="005A6F1A" w:rsidP="005A6F1A">
      <w:pPr>
        <w:pStyle w:val="ListParagraph"/>
        <w:rPr>
          <w:rFonts w:asciiTheme="minorHAnsi" w:hAnsiTheme="minorHAnsi" w:cstheme="minorHAnsi"/>
          <w:lang w:eastAsia="en-AU"/>
        </w:rPr>
      </w:pPr>
    </w:p>
    <w:p w14:paraId="659E329C" w14:textId="52D02CBF" w:rsidR="005A6F1A" w:rsidRPr="00190498" w:rsidRDefault="005A6F1A"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Paragraphs 2.15.5 and 2.15.10 specify other requirements for the notices given under subsections 166-15(2) and 166-15(3). </w:t>
      </w:r>
    </w:p>
    <w:p w14:paraId="7949CAFF" w14:textId="69B931E0" w:rsidR="00931DF5" w:rsidRPr="00190498" w:rsidRDefault="00931DF5" w:rsidP="008F3DC3">
      <w:pPr>
        <w:rPr>
          <w:rFonts w:asciiTheme="minorHAnsi" w:hAnsiTheme="minorHAnsi" w:cstheme="minorHAnsi"/>
          <w:lang w:eastAsia="en-AU"/>
        </w:rPr>
      </w:pPr>
      <w:r w:rsidRPr="00190498">
        <w:rPr>
          <w:rFonts w:asciiTheme="minorHAnsi" w:hAnsiTheme="minorHAnsi" w:cstheme="minorHAnsi"/>
          <w:i/>
          <w:iCs/>
          <w:lang w:eastAsia="en-AU"/>
        </w:rPr>
        <w:t xml:space="preserve">2.20 Requirements of notice to student </w:t>
      </w:r>
    </w:p>
    <w:p w14:paraId="00BB5823" w14:textId="16D7EA77" w:rsidR="00931DF5" w:rsidRPr="00190498" w:rsidRDefault="00931DF5"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 2.20.1 specifies the matters a </w:t>
      </w:r>
      <w:r w:rsidR="008C78FC" w:rsidRPr="00190498">
        <w:rPr>
          <w:rFonts w:asciiTheme="minorHAnsi" w:hAnsiTheme="minorHAnsi" w:cstheme="minorHAnsi"/>
          <w:lang w:eastAsia="en-AU"/>
        </w:rPr>
        <w:t xml:space="preserve">higher education </w:t>
      </w:r>
      <w:r w:rsidRPr="00190498">
        <w:rPr>
          <w:rFonts w:asciiTheme="minorHAnsi" w:hAnsiTheme="minorHAnsi" w:cstheme="minorHAnsi"/>
          <w:lang w:eastAsia="en-AU"/>
        </w:rPr>
        <w:t xml:space="preserve">provider must include in a written notice of default to students under </w:t>
      </w:r>
      <w:r w:rsidR="00A91783" w:rsidRPr="00190498">
        <w:rPr>
          <w:rFonts w:asciiTheme="minorHAnsi" w:hAnsiTheme="minorHAnsi" w:cstheme="minorHAnsi"/>
          <w:lang w:eastAsia="en-AU"/>
        </w:rPr>
        <w:t xml:space="preserve">section 166-20 of HESA. Paragraph 2.20.5 provides the manner the provider must send the notice. </w:t>
      </w:r>
    </w:p>
    <w:p w14:paraId="13FD2EB7" w14:textId="619B3E72" w:rsidR="00A91783" w:rsidRPr="00190498" w:rsidRDefault="00A91783" w:rsidP="008F3DC3">
      <w:pPr>
        <w:rPr>
          <w:rFonts w:asciiTheme="minorHAnsi" w:hAnsiTheme="minorHAnsi" w:cstheme="minorHAnsi"/>
          <w:i/>
          <w:iCs/>
          <w:lang w:eastAsia="en-AU"/>
        </w:rPr>
      </w:pPr>
      <w:r w:rsidRPr="00190498">
        <w:rPr>
          <w:rFonts w:asciiTheme="minorHAnsi" w:hAnsiTheme="minorHAnsi" w:cstheme="minorHAnsi"/>
          <w:i/>
          <w:iCs/>
          <w:lang w:eastAsia="en-AU"/>
        </w:rPr>
        <w:t>2.25 Providers to notify of outcome of discharge of obligations</w:t>
      </w:r>
    </w:p>
    <w:p w14:paraId="1BB77B06" w14:textId="7616B212" w:rsidR="00A91783" w:rsidRPr="00190498" w:rsidRDefault="00E37048"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 2.25.1 sets out additional matters a </w:t>
      </w:r>
      <w:r w:rsidR="008C78FC" w:rsidRPr="00190498">
        <w:rPr>
          <w:rFonts w:asciiTheme="minorHAnsi" w:hAnsiTheme="minorHAnsi" w:cstheme="minorHAnsi"/>
          <w:lang w:eastAsia="en-AU"/>
        </w:rPr>
        <w:t xml:space="preserve">higher education </w:t>
      </w:r>
      <w:r w:rsidRPr="00190498">
        <w:rPr>
          <w:rFonts w:asciiTheme="minorHAnsi" w:hAnsiTheme="minorHAnsi" w:cstheme="minorHAnsi"/>
          <w:lang w:eastAsia="en-AU"/>
        </w:rPr>
        <w:t>provider must include in its written notice to the Direct</w:t>
      </w:r>
      <w:r w:rsidR="008C78FC" w:rsidRPr="00190498">
        <w:rPr>
          <w:rFonts w:asciiTheme="minorHAnsi" w:hAnsiTheme="minorHAnsi" w:cstheme="minorHAnsi"/>
          <w:lang w:eastAsia="en-AU"/>
        </w:rPr>
        <w:t>or</w:t>
      </w:r>
      <w:r w:rsidRPr="00190498">
        <w:rPr>
          <w:rFonts w:asciiTheme="minorHAnsi" w:hAnsiTheme="minorHAnsi" w:cstheme="minorHAnsi"/>
          <w:lang w:eastAsia="en-AU"/>
        </w:rPr>
        <w:t xml:space="preserve"> under section 166-26A of HESA. </w:t>
      </w:r>
    </w:p>
    <w:p w14:paraId="5F94961A" w14:textId="4B587D7D" w:rsidR="00E37048" w:rsidRPr="00190498" w:rsidRDefault="00E37048" w:rsidP="008F3DC3">
      <w:pPr>
        <w:rPr>
          <w:rFonts w:asciiTheme="minorHAnsi" w:hAnsiTheme="minorHAnsi" w:cstheme="minorHAnsi"/>
          <w:i/>
          <w:iCs/>
          <w:lang w:eastAsia="en-AU"/>
        </w:rPr>
      </w:pPr>
      <w:r w:rsidRPr="00190498">
        <w:rPr>
          <w:rFonts w:asciiTheme="minorHAnsi" w:hAnsiTheme="minorHAnsi" w:cstheme="minorHAnsi"/>
          <w:i/>
          <w:iCs/>
          <w:lang w:eastAsia="en-AU"/>
        </w:rPr>
        <w:t>2.30 Payments in connection with tuition protection</w:t>
      </w:r>
    </w:p>
    <w:p w14:paraId="021ADB4E" w14:textId="31376EA3" w:rsidR="002E313A" w:rsidRPr="00190498" w:rsidRDefault="00E37048" w:rsidP="00CD769B">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 2.30.1 provides that if a student accepts an offer of a replacement unit or replacement course, the Director may make a payment to the replacement provider or to another person in order to facilitate a student’s placement in a replacement unit or replacement course. The Director should consider the matters at paragraph 2.30.5 in determining whether to make a payment and the amount of such a payment. </w:t>
      </w:r>
      <w:r w:rsidR="002B61D4" w:rsidRPr="00190498">
        <w:rPr>
          <w:rFonts w:asciiTheme="minorHAnsi" w:hAnsiTheme="minorHAnsi" w:cstheme="minorHAnsi"/>
          <w:lang w:eastAsia="en-AU"/>
        </w:rPr>
        <w:t xml:space="preserve">The Director may make this payment out of the Higher Education Tuition Protection Fund </w:t>
      </w:r>
      <w:r w:rsidR="00F85F2A" w:rsidRPr="00190498">
        <w:rPr>
          <w:rFonts w:asciiTheme="minorHAnsi" w:hAnsiTheme="minorHAnsi" w:cstheme="minorHAnsi"/>
          <w:lang w:eastAsia="en-AU"/>
        </w:rPr>
        <w:t>(</w:t>
      </w:r>
      <w:r w:rsidR="00F85F2A" w:rsidRPr="00190498">
        <w:rPr>
          <w:rFonts w:asciiTheme="minorHAnsi" w:hAnsiTheme="minorHAnsi" w:cstheme="minorHAnsi"/>
          <w:b/>
          <w:bCs/>
          <w:lang w:eastAsia="en-AU"/>
        </w:rPr>
        <w:t>Fund</w:t>
      </w:r>
      <w:r w:rsidR="00F85F2A" w:rsidRPr="00190498">
        <w:rPr>
          <w:rFonts w:asciiTheme="minorHAnsi" w:hAnsiTheme="minorHAnsi" w:cstheme="minorHAnsi"/>
          <w:lang w:eastAsia="en-AU"/>
        </w:rPr>
        <w:t xml:space="preserve">) </w:t>
      </w:r>
      <w:r w:rsidR="002B61D4" w:rsidRPr="00190498">
        <w:rPr>
          <w:rFonts w:asciiTheme="minorHAnsi" w:hAnsiTheme="minorHAnsi" w:cstheme="minorHAnsi"/>
          <w:lang w:eastAsia="en-AU"/>
        </w:rPr>
        <w:t xml:space="preserve">for the purposes of making payments in connection with tuition protection (paragraph 167-10(1)(a) of HESA). </w:t>
      </w:r>
    </w:p>
    <w:p w14:paraId="40CA5B55" w14:textId="3705A42C" w:rsidR="0024407E" w:rsidRPr="00190498" w:rsidRDefault="0024407E" w:rsidP="005A6F1A">
      <w:pPr>
        <w:rPr>
          <w:rFonts w:asciiTheme="minorHAnsi" w:hAnsiTheme="minorHAnsi" w:cstheme="minorHAnsi"/>
          <w:i/>
          <w:iCs/>
          <w:lang w:eastAsia="en-AU"/>
        </w:rPr>
      </w:pPr>
      <w:r w:rsidRPr="00190498">
        <w:rPr>
          <w:rFonts w:asciiTheme="minorHAnsi" w:hAnsiTheme="minorHAnsi" w:cstheme="minorHAnsi"/>
          <w:i/>
          <w:iCs/>
          <w:lang w:eastAsia="en-AU"/>
        </w:rPr>
        <w:t xml:space="preserve">2.40 Other tuition protection requirements – special circumstances </w:t>
      </w:r>
    </w:p>
    <w:p w14:paraId="295EF994" w14:textId="3B997E54" w:rsidR="001A5BC5" w:rsidRPr="00190498" w:rsidRDefault="0024407E" w:rsidP="00CD769B">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Paragraphs 2.40.1 to 2.40.10 set out tuition protection requirements for the purposes of subsection 36-20</w:t>
      </w:r>
      <w:r w:rsidR="001A5BC5" w:rsidRPr="00190498">
        <w:rPr>
          <w:rFonts w:asciiTheme="minorHAnsi" w:hAnsiTheme="minorHAnsi" w:cstheme="minorHAnsi"/>
          <w:lang w:eastAsia="en-AU"/>
        </w:rPr>
        <w:t xml:space="preserve">(4) of HESA. </w:t>
      </w:r>
    </w:p>
    <w:p w14:paraId="0A903502" w14:textId="77777777" w:rsidR="001A5BC5" w:rsidRPr="00190498" w:rsidRDefault="001A5BC5" w:rsidP="005A6F1A">
      <w:pPr>
        <w:pStyle w:val="ListParagraph"/>
        <w:rPr>
          <w:rFonts w:asciiTheme="minorHAnsi" w:hAnsiTheme="minorHAnsi" w:cstheme="minorHAnsi"/>
          <w:lang w:eastAsia="en-AU"/>
        </w:rPr>
      </w:pPr>
    </w:p>
    <w:p w14:paraId="5A2A56C1" w14:textId="21E97F83" w:rsidR="001A5BC5" w:rsidRPr="00190498" w:rsidRDefault="001A5BC5" w:rsidP="00CD769B">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lastRenderedPageBreak/>
        <w:t>If a higher education provider (the replacement provider) determines that section 36-20 of HESA applies to a person (i.e. amongst other requirements, is satisfied that special circumstances apply to the person under section 36-21 of HESA)) and the person enrolled in the unit as a replacement unit, then the defaulting provider (see paragraph 2.40.20 of the Amendment Guidelines) must:</w:t>
      </w:r>
    </w:p>
    <w:p w14:paraId="45884408" w14:textId="3A66E79D" w:rsidR="0024407E" w:rsidRPr="00190498" w:rsidRDefault="001A5BC5" w:rsidP="005A6F1A">
      <w:pPr>
        <w:pStyle w:val="ListParagraph"/>
        <w:numPr>
          <w:ilvl w:val="0"/>
          <w:numId w:val="19"/>
        </w:numPr>
        <w:spacing w:before="240"/>
        <w:rPr>
          <w:rFonts w:asciiTheme="minorHAnsi" w:hAnsiTheme="minorHAnsi" w:cstheme="minorHAnsi"/>
          <w:lang w:eastAsia="en-AU"/>
        </w:rPr>
      </w:pPr>
      <w:r w:rsidRPr="00190498">
        <w:rPr>
          <w:rFonts w:asciiTheme="minorHAnsi" w:hAnsiTheme="minorHAnsi" w:cstheme="minorHAnsi"/>
          <w:lang w:eastAsia="en-AU"/>
        </w:rPr>
        <w:t>pay the person an amount equal to the payment (or sum of payments) that the person made in relation to their student contribution amount for the affected unit. As the student would have paid any student contribution amount</w:t>
      </w:r>
      <w:r w:rsidR="00F85F2A" w:rsidRPr="00190498">
        <w:rPr>
          <w:rFonts w:asciiTheme="minorHAnsi" w:hAnsiTheme="minorHAnsi" w:cstheme="minorHAnsi"/>
          <w:lang w:eastAsia="en-AU"/>
        </w:rPr>
        <w:t>s</w:t>
      </w:r>
      <w:r w:rsidRPr="00190498">
        <w:rPr>
          <w:rFonts w:asciiTheme="minorHAnsi" w:hAnsiTheme="minorHAnsi" w:cstheme="minorHAnsi"/>
          <w:lang w:eastAsia="en-AU"/>
        </w:rPr>
        <w:t xml:space="preserve"> for the affected unit to the defaulting provider, as opposed to </w:t>
      </w:r>
      <w:r w:rsidR="00F85F2A" w:rsidRPr="00190498">
        <w:rPr>
          <w:rFonts w:asciiTheme="minorHAnsi" w:hAnsiTheme="minorHAnsi" w:cstheme="minorHAnsi"/>
          <w:lang w:eastAsia="en-AU"/>
        </w:rPr>
        <w:t xml:space="preserve">in respect of </w:t>
      </w:r>
      <w:r w:rsidRPr="00190498">
        <w:rPr>
          <w:rFonts w:asciiTheme="minorHAnsi" w:hAnsiTheme="minorHAnsi" w:cstheme="minorHAnsi"/>
          <w:lang w:eastAsia="en-AU"/>
        </w:rPr>
        <w:t xml:space="preserve">the replacement unit, it is appropriate that the defaulting provider is responsible for this repayment; and </w:t>
      </w:r>
    </w:p>
    <w:p w14:paraId="1F3019BC" w14:textId="0D6EE80C" w:rsidR="001A5BC5" w:rsidRPr="00190498" w:rsidRDefault="001A5BC5" w:rsidP="001A5BC5">
      <w:pPr>
        <w:pStyle w:val="ListParagraph"/>
        <w:numPr>
          <w:ilvl w:val="0"/>
          <w:numId w:val="19"/>
        </w:numPr>
        <w:rPr>
          <w:rFonts w:asciiTheme="minorHAnsi" w:hAnsiTheme="minorHAnsi" w:cstheme="minorHAnsi"/>
          <w:lang w:eastAsia="en-AU"/>
        </w:rPr>
      </w:pPr>
      <w:r w:rsidRPr="00190498">
        <w:rPr>
          <w:rFonts w:asciiTheme="minorHAnsi" w:hAnsiTheme="minorHAnsi" w:cstheme="minorHAnsi"/>
          <w:lang w:eastAsia="en-AU"/>
        </w:rPr>
        <w:t xml:space="preserve">pay to the Commonwealth an amount equal to any HECS-HELP assistance to which the person was entitled to for the affected unit. Note section 97-25 of HESA deals with re-crediting a person’s HELP balance in relation to </w:t>
      </w:r>
      <w:r w:rsidR="001653A1" w:rsidRPr="00190498">
        <w:rPr>
          <w:rFonts w:asciiTheme="minorHAnsi" w:hAnsiTheme="minorHAnsi" w:cstheme="minorHAnsi"/>
          <w:lang w:eastAsia="en-AU"/>
        </w:rPr>
        <w:br/>
      </w:r>
      <w:r w:rsidRPr="00190498">
        <w:rPr>
          <w:rFonts w:asciiTheme="minorHAnsi" w:hAnsiTheme="minorHAnsi" w:cstheme="minorHAnsi"/>
          <w:lang w:eastAsia="en-AU"/>
        </w:rPr>
        <w:t xml:space="preserve">HECS-HELP assistance in the circumstances of special circumstances. </w:t>
      </w:r>
    </w:p>
    <w:p w14:paraId="5F8A8879" w14:textId="77777777" w:rsidR="001A5BC5" w:rsidRPr="00190498" w:rsidRDefault="001A5BC5" w:rsidP="005A6F1A">
      <w:pPr>
        <w:pStyle w:val="ListParagraph"/>
        <w:ind w:left="1494"/>
        <w:rPr>
          <w:rFonts w:asciiTheme="minorHAnsi" w:hAnsiTheme="minorHAnsi" w:cstheme="minorHAnsi"/>
          <w:lang w:eastAsia="en-AU"/>
        </w:rPr>
      </w:pPr>
    </w:p>
    <w:p w14:paraId="0A12E4EE" w14:textId="7D8503B1" w:rsidR="00F85F2A" w:rsidRPr="00190498" w:rsidRDefault="001A5BC5" w:rsidP="001A5BC5">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 Paragraph 2.40.5 provides that if the defaulting provider is unable to repay the person for the purposes of subparagraph 2.40.1(a), the Director must pay the person an amount </w:t>
      </w:r>
      <w:r w:rsidR="00F85F2A" w:rsidRPr="00190498">
        <w:rPr>
          <w:rFonts w:asciiTheme="minorHAnsi" w:hAnsiTheme="minorHAnsi" w:cstheme="minorHAnsi"/>
          <w:lang w:eastAsia="en-AU"/>
        </w:rPr>
        <w:t xml:space="preserve">equal to the payment (or sum of payments) that the person made in relation to their student contribution amount for the affected unit. The Director may make this payment out of the Fund for the purposes of making payments in connection with tuition protection (paragraph 167-10(1)(a) of HESA). </w:t>
      </w:r>
    </w:p>
    <w:p w14:paraId="22C4BE53" w14:textId="77777777" w:rsidR="00F85F2A" w:rsidRPr="00190498" w:rsidRDefault="00F85F2A" w:rsidP="005A6F1A">
      <w:pPr>
        <w:pStyle w:val="ListParagraph"/>
        <w:rPr>
          <w:rFonts w:asciiTheme="minorHAnsi" w:hAnsiTheme="minorHAnsi" w:cstheme="minorHAnsi"/>
          <w:lang w:eastAsia="en-AU"/>
        </w:rPr>
      </w:pPr>
    </w:p>
    <w:p w14:paraId="2C247047" w14:textId="160799CD" w:rsidR="001A5BC5" w:rsidRPr="00190498" w:rsidRDefault="00F85F2A" w:rsidP="001A5BC5">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 2.40.10 provides that if the Director makes a payment under paragraph 2.40.5, the defaulting provider must repay that amount to the Commonwealth for the purposes of the Fund. Paragraph 167-5(e) of HESA provides each amount received by the Commonwealth for the purposes of the Fund must be credited to the Fund. </w:t>
      </w:r>
    </w:p>
    <w:p w14:paraId="7DD8D883" w14:textId="77777777" w:rsidR="00F85F2A" w:rsidRPr="00190498" w:rsidRDefault="00F85F2A" w:rsidP="005A6F1A">
      <w:pPr>
        <w:pStyle w:val="ListParagraph"/>
        <w:rPr>
          <w:rFonts w:asciiTheme="minorHAnsi" w:hAnsiTheme="minorHAnsi" w:cstheme="minorHAnsi"/>
          <w:lang w:eastAsia="en-AU"/>
        </w:rPr>
      </w:pPr>
    </w:p>
    <w:p w14:paraId="3CA4157B" w14:textId="0D189B33" w:rsidR="00F85F2A" w:rsidRPr="00190498" w:rsidRDefault="00F85F2A" w:rsidP="001A5BC5">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 2.40.15 sets out the tuition protection requirements for the purposes of subsection 110-5(1B) of HESA to provide that where the circumstances at subsection 110-5(1A) of HESA apply, then the defaulting provider must pay to the Commonwealth an amount equal to any FEE-HELP assistance to which the person was entitled to for the affected unit which the replacement unit replaces. </w:t>
      </w:r>
    </w:p>
    <w:p w14:paraId="0FF0CFA4" w14:textId="77777777" w:rsidR="00F85F2A" w:rsidRPr="00190498" w:rsidRDefault="00F85F2A" w:rsidP="005A6F1A">
      <w:pPr>
        <w:pStyle w:val="ListParagraph"/>
        <w:rPr>
          <w:rFonts w:asciiTheme="minorHAnsi" w:hAnsiTheme="minorHAnsi" w:cstheme="minorHAnsi"/>
          <w:lang w:eastAsia="en-AU"/>
        </w:rPr>
      </w:pPr>
    </w:p>
    <w:p w14:paraId="0406B23F" w14:textId="1C47BB0D" w:rsidR="00F85F2A" w:rsidRPr="00190498" w:rsidRDefault="00F85F2A"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Paragraph 2.40.20 defines the meaning of ‘defaulting provider’ for the purposes of section 2.40. </w:t>
      </w:r>
    </w:p>
    <w:p w14:paraId="06E6A960" w14:textId="77777777" w:rsidR="008C78FC" w:rsidRPr="00190498" w:rsidRDefault="008C78FC" w:rsidP="008C78FC">
      <w:pPr>
        <w:rPr>
          <w:rFonts w:asciiTheme="minorHAnsi" w:hAnsiTheme="minorHAnsi" w:cstheme="minorHAnsi"/>
          <w:b/>
          <w:bCs/>
          <w:lang w:eastAsia="en-AU"/>
        </w:rPr>
      </w:pPr>
      <w:r w:rsidRPr="00190498">
        <w:rPr>
          <w:rFonts w:asciiTheme="minorHAnsi" w:hAnsiTheme="minorHAnsi" w:cstheme="minorHAnsi"/>
          <w:b/>
          <w:bCs/>
          <w:lang w:eastAsia="en-AU"/>
        </w:rPr>
        <w:t>Items 5, 6 and 13</w:t>
      </w:r>
      <w:r w:rsidRPr="00190498">
        <w:rPr>
          <w:rFonts w:asciiTheme="minorHAnsi" w:hAnsiTheme="minorHAnsi" w:cstheme="minorHAnsi"/>
          <w:lang w:eastAsia="en-AU"/>
        </w:rPr>
        <w:t xml:space="preserve"> – </w:t>
      </w:r>
      <w:r w:rsidRPr="00190498">
        <w:rPr>
          <w:rFonts w:asciiTheme="minorHAnsi" w:hAnsiTheme="minorHAnsi" w:cstheme="minorHAnsi"/>
          <w:b/>
          <w:bCs/>
          <w:lang w:eastAsia="en-AU"/>
        </w:rPr>
        <w:t xml:space="preserve">Chapter 8 (heading) and paragraphs 8.1.1 and 9.1.1  </w:t>
      </w:r>
    </w:p>
    <w:p w14:paraId="7E7FC648" w14:textId="369C3D6E" w:rsidR="008C78FC" w:rsidRPr="00190498" w:rsidRDefault="008C78FC" w:rsidP="005A6F1A">
      <w:pPr>
        <w:pStyle w:val="ListParagraph"/>
        <w:numPr>
          <w:ilvl w:val="0"/>
          <w:numId w:val="14"/>
        </w:numPr>
        <w:rPr>
          <w:rFonts w:asciiTheme="minorHAnsi" w:hAnsiTheme="minorHAnsi" w:cstheme="minorHAnsi"/>
          <w:b/>
          <w:bCs/>
          <w:lang w:eastAsia="en-AU"/>
        </w:rPr>
      </w:pPr>
      <w:r w:rsidRPr="00190498">
        <w:rPr>
          <w:rFonts w:asciiTheme="minorHAnsi" w:hAnsiTheme="minorHAnsi" w:cstheme="minorHAnsi"/>
          <w:lang w:eastAsia="en-AU"/>
        </w:rPr>
        <w:t xml:space="preserve">Items 5, 6 and 13 of Schedule 1 amend the heading of Chapter 8 and paragraphs 8.1.1 and 9.1.1 of the Guidelines to reflect the fact that the matters set out in Chapters 8 and 9 of the Guidelines are relevant to all higher education providers under HESA, not just those providers approved under section 16-25. </w:t>
      </w:r>
    </w:p>
    <w:p w14:paraId="1F13E6F9" w14:textId="77777777" w:rsidR="001653A1" w:rsidRPr="00190498" w:rsidRDefault="001653A1">
      <w:pPr>
        <w:spacing w:line="276" w:lineRule="auto"/>
        <w:rPr>
          <w:rFonts w:asciiTheme="minorHAnsi" w:hAnsiTheme="minorHAnsi" w:cstheme="minorHAnsi"/>
          <w:b/>
          <w:bCs/>
          <w:lang w:eastAsia="en-AU"/>
        </w:rPr>
      </w:pPr>
      <w:r w:rsidRPr="00190498">
        <w:rPr>
          <w:rFonts w:asciiTheme="minorHAnsi" w:hAnsiTheme="minorHAnsi" w:cstheme="minorHAnsi"/>
          <w:b/>
          <w:bCs/>
          <w:lang w:eastAsia="en-AU"/>
        </w:rPr>
        <w:br w:type="page"/>
      </w:r>
    </w:p>
    <w:p w14:paraId="6A9BD498" w14:textId="72C8DEAF" w:rsidR="00E14CA0" w:rsidRPr="00190498" w:rsidRDefault="002E313A" w:rsidP="008F3DC3">
      <w:pPr>
        <w:rPr>
          <w:rFonts w:asciiTheme="minorHAnsi" w:hAnsiTheme="minorHAnsi" w:cstheme="minorHAnsi"/>
          <w:b/>
          <w:bCs/>
          <w:lang w:eastAsia="en-AU"/>
        </w:rPr>
      </w:pPr>
      <w:r w:rsidRPr="00190498">
        <w:rPr>
          <w:rFonts w:asciiTheme="minorHAnsi" w:hAnsiTheme="minorHAnsi" w:cstheme="minorHAnsi"/>
          <w:b/>
          <w:bCs/>
          <w:lang w:eastAsia="en-AU"/>
        </w:rPr>
        <w:lastRenderedPageBreak/>
        <w:t>Items 7 and 8</w:t>
      </w:r>
      <w:r w:rsidRPr="00190498">
        <w:rPr>
          <w:rFonts w:asciiTheme="minorHAnsi" w:hAnsiTheme="minorHAnsi" w:cstheme="minorHAnsi"/>
          <w:lang w:eastAsia="en-AU"/>
        </w:rPr>
        <w:t xml:space="preserve"> </w:t>
      </w:r>
      <w:r w:rsidR="00E14CA0" w:rsidRPr="00190498">
        <w:rPr>
          <w:rFonts w:asciiTheme="minorHAnsi" w:hAnsiTheme="minorHAnsi" w:cstheme="minorHAnsi"/>
          <w:lang w:eastAsia="en-AU"/>
        </w:rPr>
        <w:t xml:space="preserve">– </w:t>
      </w:r>
      <w:r w:rsidR="00E14CA0" w:rsidRPr="00190498">
        <w:rPr>
          <w:rFonts w:asciiTheme="minorHAnsi" w:hAnsiTheme="minorHAnsi" w:cstheme="minorHAnsi"/>
          <w:b/>
          <w:bCs/>
          <w:lang w:eastAsia="en-AU"/>
        </w:rPr>
        <w:t xml:space="preserve">Paragraphs 8.2.1 and 8.3.1 </w:t>
      </w:r>
    </w:p>
    <w:p w14:paraId="5F62F6F0" w14:textId="7C5B7B38" w:rsidR="002C2B27" w:rsidRPr="00190498" w:rsidRDefault="00E14CA0" w:rsidP="005A6F1A">
      <w:pPr>
        <w:pStyle w:val="ListParagraph"/>
        <w:numPr>
          <w:ilvl w:val="0"/>
          <w:numId w:val="14"/>
        </w:numPr>
        <w:rPr>
          <w:rFonts w:asciiTheme="minorHAnsi" w:hAnsiTheme="minorHAnsi" w:cstheme="minorHAnsi"/>
          <w:lang w:eastAsia="en-AU"/>
        </w:rPr>
      </w:pPr>
      <w:bookmarkStart w:id="1" w:name="_Hlk57820111"/>
      <w:r w:rsidRPr="00190498">
        <w:rPr>
          <w:rFonts w:asciiTheme="minorHAnsi" w:hAnsiTheme="minorHAnsi" w:cstheme="minorHAnsi"/>
          <w:lang w:eastAsia="en-AU"/>
        </w:rPr>
        <w:t xml:space="preserve">Items 7 and 8 </w:t>
      </w:r>
      <w:r w:rsidR="002E313A" w:rsidRPr="00190498">
        <w:rPr>
          <w:rFonts w:asciiTheme="minorHAnsi" w:hAnsiTheme="minorHAnsi" w:cstheme="minorHAnsi"/>
          <w:lang w:eastAsia="en-AU"/>
        </w:rPr>
        <w:t xml:space="preserve">of Schedule 1 amend paragraphs 8.2.1 and 8.3.1 of the Guidelines to provide </w:t>
      </w:r>
      <w:r w:rsidR="00122DDF" w:rsidRPr="00190498">
        <w:rPr>
          <w:rFonts w:asciiTheme="minorHAnsi" w:hAnsiTheme="minorHAnsi" w:cstheme="minorHAnsi"/>
          <w:lang w:eastAsia="en-AU"/>
        </w:rPr>
        <w:t xml:space="preserve">that the requirements related to financial statements and financial viability set out in Chapter 8 of the Guidelines only apply to providers approved under section 16-25 of the </w:t>
      </w:r>
      <w:r w:rsidR="009F4A6B" w:rsidRPr="00190498">
        <w:rPr>
          <w:rFonts w:asciiTheme="minorHAnsi" w:hAnsiTheme="minorHAnsi" w:cstheme="minorHAnsi"/>
          <w:lang w:eastAsia="en-AU"/>
        </w:rPr>
        <w:t xml:space="preserve">HESA </w:t>
      </w:r>
      <w:r w:rsidR="00E15E80" w:rsidRPr="00190498">
        <w:rPr>
          <w:rFonts w:asciiTheme="minorHAnsi" w:hAnsiTheme="minorHAnsi" w:cstheme="minorHAnsi"/>
          <w:lang w:eastAsia="en-AU"/>
        </w:rPr>
        <w:t>and not to Table A, B and C providers</w:t>
      </w:r>
      <w:r w:rsidR="00122DDF" w:rsidRPr="00190498">
        <w:rPr>
          <w:rFonts w:asciiTheme="minorHAnsi" w:hAnsiTheme="minorHAnsi" w:cstheme="minorHAnsi"/>
          <w:lang w:eastAsia="en-AU"/>
        </w:rPr>
        <w:t xml:space="preserve">. </w:t>
      </w:r>
      <w:r w:rsidR="000C7D79" w:rsidRPr="00190498">
        <w:rPr>
          <w:rFonts w:asciiTheme="minorHAnsi" w:hAnsiTheme="minorHAnsi" w:cstheme="minorHAnsi"/>
          <w:lang w:eastAsia="en-AU"/>
        </w:rPr>
        <w:t xml:space="preserve"> </w:t>
      </w:r>
    </w:p>
    <w:p w14:paraId="365674D5" w14:textId="77777777" w:rsidR="00CD769B" w:rsidRPr="00190498" w:rsidRDefault="00CD769B" w:rsidP="005A6F1A">
      <w:pPr>
        <w:pStyle w:val="ListParagraph"/>
        <w:rPr>
          <w:rFonts w:asciiTheme="minorHAnsi" w:hAnsiTheme="minorHAnsi" w:cstheme="minorHAnsi"/>
          <w:lang w:eastAsia="en-AU"/>
        </w:rPr>
      </w:pPr>
    </w:p>
    <w:p w14:paraId="620B3AF1" w14:textId="08EE78AC" w:rsidR="00CD769B" w:rsidRPr="00190498" w:rsidRDefault="000C7D79"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This is because </w:t>
      </w:r>
      <w:r w:rsidR="00E15E80" w:rsidRPr="00190498">
        <w:rPr>
          <w:rFonts w:asciiTheme="minorHAnsi" w:hAnsiTheme="minorHAnsi" w:cstheme="minorHAnsi"/>
        </w:rPr>
        <w:t xml:space="preserve">Table A, B and C </w:t>
      </w:r>
      <w:r w:rsidR="002C2B27" w:rsidRPr="00190498">
        <w:rPr>
          <w:rFonts w:asciiTheme="minorHAnsi" w:hAnsiTheme="minorHAnsi" w:cstheme="minorHAnsi"/>
          <w:lang w:eastAsia="en-AU"/>
        </w:rPr>
        <w:t xml:space="preserve">providers must already comply with the </w:t>
      </w:r>
      <w:r w:rsidR="00565FF3" w:rsidRPr="00190498">
        <w:rPr>
          <w:rFonts w:asciiTheme="minorHAnsi" w:hAnsiTheme="minorHAnsi" w:cstheme="minorHAnsi"/>
          <w:lang w:eastAsia="en-AU"/>
        </w:rPr>
        <w:t xml:space="preserve">financial reporting requirements as prescribed </w:t>
      </w:r>
      <w:r w:rsidR="00E15E80" w:rsidRPr="00190498">
        <w:rPr>
          <w:rFonts w:asciiTheme="minorHAnsi" w:hAnsiTheme="minorHAnsi" w:cstheme="minorHAnsi"/>
          <w:lang w:eastAsia="en-AU"/>
        </w:rPr>
        <w:t xml:space="preserve">by the Minister </w:t>
      </w:r>
      <w:r w:rsidR="00565FF3" w:rsidRPr="00190498">
        <w:rPr>
          <w:rFonts w:asciiTheme="minorHAnsi" w:hAnsiTheme="minorHAnsi" w:cstheme="minorHAnsi"/>
          <w:lang w:eastAsia="en-AU"/>
        </w:rPr>
        <w:t>under</w:t>
      </w:r>
      <w:r w:rsidR="009F4A6B" w:rsidRPr="00190498">
        <w:rPr>
          <w:rFonts w:asciiTheme="minorHAnsi" w:hAnsiTheme="minorHAnsi" w:cstheme="minorHAnsi"/>
          <w:lang w:eastAsia="en-AU"/>
        </w:rPr>
        <w:t xml:space="preserve"> paragraph</w:t>
      </w:r>
      <w:r w:rsidR="00565FF3" w:rsidRPr="00190498">
        <w:rPr>
          <w:rFonts w:asciiTheme="minorHAnsi" w:hAnsiTheme="minorHAnsi" w:cstheme="minorHAnsi"/>
          <w:lang w:eastAsia="en-AU"/>
        </w:rPr>
        <w:t xml:space="preserve"> 19-10(2)(a)</w:t>
      </w:r>
      <w:r w:rsidR="009F4A6B" w:rsidRPr="00190498">
        <w:rPr>
          <w:rFonts w:asciiTheme="minorHAnsi" w:hAnsiTheme="minorHAnsi" w:cstheme="minorHAnsi"/>
          <w:lang w:eastAsia="en-AU"/>
        </w:rPr>
        <w:t xml:space="preserve"> of HESA</w:t>
      </w:r>
      <w:r w:rsidR="00565FF3" w:rsidRPr="00190498">
        <w:rPr>
          <w:rFonts w:asciiTheme="minorHAnsi" w:hAnsiTheme="minorHAnsi" w:cstheme="minorHAnsi"/>
          <w:lang w:eastAsia="en-AU"/>
        </w:rPr>
        <w:t>. Table A providers are required to prepare general purpose financial statements and comply with the Financial Statement Guidelines</w:t>
      </w:r>
      <w:r w:rsidR="002C2B27" w:rsidRPr="00190498">
        <w:rPr>
          <w:rFonts w:asciiTheme="minorHAnsi" w:hAnsiTheme="minorHAnsi" w:cstheme="minorHAnsi"/>
          <w:lang w:eastAsia="en-AU"/>
        </w:rPr>
        <w:t xml:space="preserve">, which are more comprehensive than </w:t>
      </w:r>
      <w:r w:rsidR="00E15E80" w:rsidRPr="00190498">
        <w:rPr>
          <w:rFonts w:asciiTheme="minorHAnsi" w:hAnsiTheme="minorHAnsi" w:cstheme="minorHAnsi"/>
          <w:lang w:eastAsia="en-AU"/>
        </w:rPr>
        <w:t xml:space="preserve">the requirements </w:t>
      </w:r>
      <w:r w:rsidR="002C2B27" w:rsidRPr="00190498">
        <w:rPr>
          <w:rFonts w:asciiTheme="minorHAnsi" w:hAnsiTheme="minorHAnsi" w:cstheme="minorHAnsi"/>
          <w:lang w:eastAsia="en-AU"/>
        </w:rPr>
        <w:t xml:space="preserve">under </w:t>
      </w:r>
      <w:r w:rsidR="00E15E80" w:rsidRPr="00190498">
        <w:rPr>
          <w:rFonts w:asciiTheme="minorHAnsi" w:hAnsiTheme="minorHAnsi" w:cstheme="minorHAnsi"/>
          <w:lang w:eastAsia="en-AU"/>
        </w:rPr>
        <w:t xml:space="preserve">sections </w:t>
      </w:r>
      <w:r w:rsidR="002C2B27" w:rsidRPr="00190498">
        <w:rPr>
          <w:rFonts w:asciiTheme="minorHAnsi" w:hAnsiTheme="minorHAnsi" w:cstheme="minorHAnsi"/>
          <w:lang w:eastAsia="en-AU"/>
        </w:rPr>
        <w:t>8.2 and 8.3 of the Guidelines. Th</w:t>
      </w:r>
      <w:r w:rsidRPr="00190498">
        <w:rPr>
          <w:rFonts w:asciiTheme="minorHAnsi" w:hAnsiTheme="minorHAnsi" w:cstheme="minorHAnsi"/>
          <w:lang w:eastAsia="en-AU"/>
        </w:rPr>
        <w:t xml:space="preserve">e requirements under </w:t>
      </w:r>
      <w:r w:rsidR="00E15E80" w:rsidRPr="00190498">
        <w:rPr>
          <w:rFonts w:asciiTheme="minorHAnsi" w:hAnsiTheme="minorHAnsi" w:cstheme="minorHAnsi"/>
          <w:lang w:eastAsia="en-AU"/>
        </w:rPr>
        <w:t xml:space="preserve">sections </w:t>
      </w:r>
      <w:r w:rsidRPr="00190498">
        <w:rPr>
          <w:rFonts w:asciiTheme="minorHAnsi" w:hAnsiTheme="minorHAnsi" w:cstheme="minorHAnsi"/>
          <w:lang w:eastAsia="en-AU"/>
        </w:rPr>
        <w:t xml:space="preserve">8.2 and 8.3 were drafted specifically to address financial viability </w:t>
      </w:r>
      <w:r w:rsidR="00E80938" w:rsidRPr="00190498">
        <w:rPr>
          <w:rFonts w:asciiTheme="minorHAnsi" w:hAnsiTheme="minorHAnsi" w:cstheme="minorHAnsi"/>
          <w:lang w:eastAsia="en-AU"/>
        </w:rPr>
        <w:t xml:space="preserve">and transparency </w:t>
      </w:r>
      <w:r w:rsidRPr="00190498">
        <w:rPr>
          <w:rFonts w:asciiTheme="minorHAnsi" w:hAnsiTheme="minorHAnsi" w:cstheme="minorHAnsi"/>
          <w:lang w:eastAsia="en-AU"/>
        </w:rPr>
        <w:t>concerns relating to the providers approved under section 16-25</w:t>
      </w:r>
      <w:r w:rsidR="009F4A6B" w:rsidRPr="00190498">
        <w:rPr>
          <w:rFonts w:asciiTheme="minorHAnsi" w:hAnsiTheme="minorHAnsi" w:cstheme="minorHAnsi"/>
          <w:lang w:eastAsia="en-AU"/>
        </w:rPr>
        <w:t xml:space="preserve"> of HESA</w:t>
      </w:r>
      <w:r w:rsidRPr="00190498">
        <w:rPr>
          <w:rFonts w:asciiTheme="minorHAnsi" w:hAnsiTheme="minorHAnsi" w:cstheme="minorHAnsi"/>
          <w:lang w:eastAsia="en-AU"/>
        </w:rPr>
        <w:t xml:space="preserve">. </w:t>
      </w:r>
    </w:p>
    <w:p w14:paraId="47D70309" w14:textId="77777777" w:rsidR="00CD769B" w:rsidRPr="00190498" w:rsidRDefault="00CD769B" w:rsidP="005A6F1A">
      <w:pPr>
        <w:pStyle w:val="ListParagraph"/>
        <w:rPr>
          <w:rFonts w:asciiTheme="minorHAnsi" w:hAnsiTheme="minorHAnsi" w:cstheme="minorHAnsi"/>
          <w:lang w:eastAsia="en-AU"/>
        </w:rPr>
      </w:pPr>
    </w:p>
    <w:p w14:paraId="2E144854" w14:textId="085432A0" w:rsidR="00122DDF" w:rsidRPr="00190498" w:rsidRDefault="002C2B27" w:rsidP="005A6F1A">
      <w:pPr>
        <w:pStyle w:val="ListParagraph"/>
        <w:numPr>
          <w:ilvl w:val="0"/>
          <w:numId w:val="14"/>
        </w:numPr>
        <w:rPr>
          <w:lang w:eastAsia="en-AU"/>
        </w:rPr>
      </w:pPr>
      <w:r w:rsidRPr="00190498">
        <w:rPr>
          <w:rFonts w:asciiTheme="minorHAnsi" w:hAnsiTheme="minorHAnsi" w:cstheme="minorHAnsi"/>
          <w:lang w:eastAsia="en-AU"/>
        </w:rPr>
        <w:t>T</w:t>
      </w:r>
      <w:r w:rsidR="00336F3A" w:rsidRPr="00190498">
        <w:rPr>
          <w:rFonts w:asciiTheme="minorHAnsi" w:hAnsiTheme="minorHAnsi" w:cstheme="minorHAnsi"/>
          <w:lang w:eastAsia="en-AU"/>
        </w:rPr>
        <w:t xml:space="preserve">he student protection </w:t>
      </w:r>
      <w:r w:rsidRPr="00190498">
        <w:rPr>
          <w:rFonts w:asciiTheme="minorHAnsi" w:hAnsiTheme="minorHAnsi" w:cstheme="minorHAnsi"/>
          <w:lang w:eastAsia="en-AU"/>
        </w:rPr>
        <w:t>measures</w:t>
      </w:r>
      <w:r w:rsidR="00336F3A" w:rsidRPr="00190498">
        <w:rPr>
          <w:rFonts w:asciiTheme="minorHAnsi" w:hAnsiTheme="minorHAnsi" w:cstheme="minorHAnsi"/>
          <w:lang w:eastAsia="en-AU"/>
        </w:rPr>
        <w:t xml:space="preserve"> extended or strengthened through the </w:t>
      </w:r>
      <w:r w:rsidR="00336F3A" w:rsidRPr="00190498">
        <w:rPr>
          <w:rFonts w:asciiTheme="minorHAnsi" w:hAnsiTheme="minorHAnsi" w:cstheme="minorHAnsi"/>
        </w:rPr>
        <w:t xml:space="preserve">Job-Ready Graduates Act were not related to financial viability or transparency concerns for </w:t>
      </w:r>
      <w:r w:rsidR="00E15E80" w:rsidRPr="00190498">
        <w:rPr>
          <w:rFonts w:asciiTheme="minorHAnsi" w:hAnsiTheme="minorHAnsi" w:cstheme="minorHAnsi"/>
        </w:rPr>
        <w:t xml:space="preserve">Table A, B and C </w:t>
      </w:r>
      <w:r w:rsidR="00336F3A" w:rsidRPr="00190498">
        <w:rPr>
          <w:rFonts w:asciiTheme="minorHAnsi" w:hAnsiTheme="minorHAnsi" w:cstheme="minorHAnsi"/>
        </w:rPr>
        <w:t>providers.</w:t>
      </w:r>
      <w:r w:rsidR="00FE6BF7" w:rsidRPr="00190498">
        <w:rPr>
          <w:rFonts w:asciiTheme="minorHAnsi" w:hAnsiTheme="minorHAnsi" w:cstheme="minorHAnsi"/>
        </w:rPr>
        <w:t xml:space="preserve"> </w:t>
      </w:r>
      <w:r w:rsidRPr="00190498">
        <w:rPr>
          <w:rFonts w:asciiTheme="minorHAnsi" w:hAnsiTheme="minorHAnsi" w:cstheme="minorHAnsi"/>
        </w:rPr>
        <w:t>However, t</w:t>
      </w:r>
      <w:r w:rsidR="000C7D79" w:rsidRPr="00190498">
        <w:rPr>
          <w:rFonts w:asciiTheme="minorHAnsi" w:hAnsiTheme="minorHAnsi" w:cstheme="minorHAnsi"/>
        </w:rPr>
        <w:t xml:space="preserve">he powers extended under the </w:t>
      </w:r>
      <w:r w:rsidR="001653A1" w:rsidRPr="00190498">
        <w:rPr>
          <w:rFonts w:asciiTheme="minorHAnsi" w:hAnsiTheme="minorHAnsi" w:cstheme="minorHAnsi"/>
          <w:i/>
          <w:iCs/>
        </w:rPr>
        <w:t>Higher Education Support Amendment (Job-Ready Graduates and Supporting Regional and Remote Students) Act 2020</w:t>
      </w:r>
      <w:r w:rsidR="001653A1" w:rsidRPr="00190498">
        <w:rPr>
          <w:rFonts w:asciiTheme="minorHAnsi" w:hAnsiTheme="minorHAnsi" w:cstheme="minorHAnsi"/>
        </w:rPr>
        <w:t xml:space="preserve"> (</w:t>
      </w:r>
      <w:r w:rsidR="000C7D79" w:rsidRPr="00190498">
        <w:rPr>
          <w:rFonts w:asciiTheme="minorHAnsi" w:hAnsiTheme="minorHAnsi" w:cstheme="minorHAnsi"/>
          <w:b/>
          <w:bCs/>
        </w:rPr>
        <w:t>Job-Ready Graduates Act</w:t>
      </w:r>
      <w:r w:rsidR="001653A1" w:rsidRPr="00190498">
        <w:rPr>
          <w:rFonts w:asciiTheme="minorHAnsi" w:hAnsiTheme="minorHAnsi" w:cstheme="minorHAnsi"/>
        </w:rPr>
        <w:t>)</w:t>
      </w:r>
      <w:r w:rsidR="000C7D79" w:rsidRPr="00190498">
        <w:rPr>
          <w:rFonts w:asciiTheme="minorHAnsi" w:hAnsiTheme="minorHAnsi" w:cstheme="minorHAnsi"/>
        </w:rPr>
        <w:t xml:space="preserve"> </w:t>
      </w:r>
      <w:r w:rsidR="00E15E80" w:rsidRPr="00190498">
        <w:rPr>
          <w:rFonts w:asciiTheme="minorHAnsi" w:hAnsiTheme="minorHAnsi" w:cstheme="minorHAnsi"/>
        </w:rPr>
        <w:t xml:space="preserve">give </w:t>
      </w:r>
      <w:r w:rsidR="000C7D79" w:rsidRPr="00190498">
        <w:rPr>
          <w:rFonts w:asciiTheme="minorHAnsi" w:hAnsiTheme="minorHAnsi" w:cstheme="minorHAnsi"/>
        </w:rPr>
        <w:t xml:space="preserve">the </w:t>
      </w:r>
      <w:r w:rsidR="00E15E80" w:rsidRPr="00190498">
        <w:rPr>
          <w:rFonts w:asciiTheme="minorHAnsi" w:hAnsiTheme="minorHAnsi" w:cstheme="minorHAnsi"/>
        </w:rPr>
        <w:t>G</w:t>
      </w:r>
      <w:r w:rsidR="000C7D79" w:rsidRPr="00190498">
        <w:rPr>
          <w:rFonts w:asciiTheme="minorHAnsi" w:hAnsiTheme="minorHAnsi" w:cstheme="minorHAnsi"/>
        </w:rPr>
        <w:t>overnment the</w:t>
      </w:r>
      <w:r w:rsidRPr="00190498">
        <w:rPr>
          <w:rFonts w:asciiTheme="minorHAnsi" w:hAnsiTheme="minorHAnsi" w:cstheme="minorHAnsi"/>
        </w:rPr>
        <w:t xml:space="preserve"> </w:t>
      </w:r>
      <w:r w:rsidR="000C7D79" w:rsidRPr="00190498">
        <w:rPr>
          <w:rFonts w:asciiTheme="minorHAnsi" w:hAnsiTheme="minorHAnsi" w:cstheme="minorHAnsi"/>
        </w:rPr>
        <w:t xml:space="preserve">ability to prescribe </w:t>
      </w:r>
      <w:r w:rsidRPr="00190498">
        <w:rPr>
          <w:rFonts w:asciiTheme="minorHAnsi" w:hAnsiTheme="minorHAnsi" w:cstheme="minorHAnsi"/>
        </w:rPr>
        <w:t>specific</w:t>
      </w:r>
      <w:r w:rsidR="000C7D79" w:rsidRPr="00190498">
        <w:rPr>
          <w:rFonts w:asciiTheme="minorHAnsi" w:hAnsiTheme="minorHAnsi" w:cstheme="minorHAnsi"/>
        </w:rPr>
        <w:t xml:space="preserve"> financial requirements for </w:t>
      </w:r>
      <w:r w:rsidR="00E15E80" w:rsidRPr="00190498">
        <w:rPr>
          <w:rFonts w:asciiTheme="minorHAnsi" w:hAnsiTheme="minorHAnsi" w:cstheme="minorHAnsi"/>
        </w:rPr>
        <w:t xml:space="preserve">these </w:t>
      </w:r>
      <w:r w:rsidR="000C7D79" w:rsidRPr="00190498">
        <w:rPr>
          <w:rFonts w:asciiTheme="minorHAnsi" w:hAnsiTheme="minorHAnsi" w:cstheme="minorHAnsi"/>
        </w:rPr>
        <w:t xml:space="preserve">providers </w:t>
      </w:r>
      <w:r w:rsidRPr="00190498">
        <w:rPr>
          <w:rFonts w:asciiTheme="minorHAnsi" w:hAnsiTheme="minorHAnsi" w:cstheme="minorHAnsi"/>
        </w:rPr>
        <w:t>in</w:t>
      </w:r>
      <w:r w:rsidR="000C7D79" w:rsidRPr="00190498">
        <w:rPr>
          <w:rFonts w:asciiTheme="minorHAnsi" w:hAnsiTheme="minorHAnsi" w:cstheme="minorHAnsi"/>
        </w:rPr>
        <w:t xml:space="preserve"> the Guidelines if financial concerns </w:t>
      </w:r>
      <w:r w:rsidRPr="00190498">
        <w:rPr>
          <w:rFonts w:asciiTheme="minorHAnsi" w:hAnsiTheme="minorHAnsi" w:cstheme="minorHAnsi"/>
        </w:rPr>
        <w:t>relating to</w:t>
      </w:r>
      <w:r w:rsidR="000C7D79" w:rsidRPr="00190498">
        <w:rPr>
          <w:rFonts w:asciiTheme="minorHAnsi" w:hAnsiTheme="minorHAnsi" w:cstheme="minorHAnsi"/>
        </w:rPr>
        <w:t xml:space="preserve"> </w:t>
      </w:r>
      <w:r w:rsidR="00E15E80" w:rsidRPr="00190498">
        <w:rPr>
          <w:rFonts w:asciiTheme="minorHAnsi" w:hAnsiTheme="minorHAnsi" w:cstheme="minorHAnsi"/>
        </w:rPr>
        <w:t xml:space="preserve">these </w:t>
      </w:r>
      <w:r w:rsidR="000C7D79" w:rsidRPr="00190498">
        <w:rPr>
          <w:rFonts w:asciiTheme="minorHAnsi" w:hAnsiTheme="minorHAnsi" w:cstheme="minorHAnsi"/>
        </w:rPr>
        <w:t xml:space="preserve">providers </w:t>
      </w:r>
      <w:r w:rsidRPr="00190498">
        <w:rPr>
          <w:rFonts w:asciiTheme="minorHAnsi" w:hAnsiTheme="minorHAnsi" w:cstheme="minorHAnsi"/>
        </w:rPr>
        <w:t xml:space="preserve">arise </w:t>
      </w:r>
      <w:r w:rsidR="000C7D79" w:rsidRPr="00190498">
        <w:rPr>
          <w:rFonts w:asciiTheme="minorHAnsi" w:hAnsiTheme="minorHAnsi" w:cstheme="minorHAnsi"/>
        </w:rPr>
        <w:t xml:space="preserve">in the future.  </w:t>
      </w:r>
      <w:bookmarkEnd w:id="1"/>
    </w:p>
    <w:p w14:paraId="1323D894" w14:textId="57659E2A" w:rsidR="00E14CA0" w:rsidRPr="00190498" w:rsidRDefault="004B47A1" w:rsidP="008F3DC3">
      <w:pPr>
        <w:rPr>
          <w:rFonts w:asciiTheme="minorHAnsi" w:hAnsiTheme="minorHAnsi" w:cstheme="minorHAnsi"/>
          <w:b/>
          <w:bCs/>
          <w:lang w:eastAsia="en-AU"/>
        </w:rPr>
      </w:pPr>
      <w:r w:rsidRPr="00190498">
        <w:rPr>
          <w:rFonts w:asciiTheme="minorHAnsi" w:hAnsiTheme="minorHAnsi" w:cstheme="minorHAnsi"/>
          <w:b/>
          <w:bCs/>
          <w:lang w:eastAsia="en-AU"/>
        </w:rPr>
        <w:t>Items 9, 11 and 12</w:t>
      </w:r>
      <w:r w:rsidRPr="00190498">
        <w:rPr>
          <w:rFonts w:asciiTheme="minorHAnsi" w:hAnsiTheme="minorHAnsi" w:cstheme="minorHAnsi"/>
          <w:lang w:eastAsia="en-AU"/>
        </w:rPr>
        <w:t xml:space="preserve"> </w:t>
      </w:r>
      <w:r w:rsidR="00E14CA0" w:rsidRPr="00190498">
        <w:rPr>
          <w:rFonts w:asciiTheme="minorHAnsi" w:hAnsiTheme="minorHAnsi" w:cstheme="minorHAnsi"/>
          <w:b/>
          <w:bCs/>
          <w:lang w:eastAsia="en-AU"/>
        </w:rPr>
        <w:t xml:space="preserve">- Subparagraphs 8.4.1(c), 8.7.5(c) and 8.7.5(d)  </w:t>
      </w:r>
    </w:p>
    <w:p w14:paraId="50B23160" w14:textId="67987030" w:rsidR="000D61BE" w:rsidRPr="00190498" w:rsidRDefault="00E14CA0"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Items 9, 11 and 12 </w:t>
      </w:r>
      <w:r w:rsidR="004B47A1" w:rsidRPr="00190498">
        <w:rPr>
          <w:rFonts w:asciiTheme="minorHAnsi" w:hAnsiTheme="minorHAnsi" w:cstheme="minorHAnsi"/>
          <w:lang w:eastAsia="en-AU"/>
        </w:rPr>
        <w:t xml:space="preserve">of Schedule 1 amend subparagraphs 8.4.1(c), </w:t>
      </w:r>
      <w:r w:rsidR="003E71E7" w:rsidRPr="00190498">
        <w:rPr>
          <w:rFonts w:asciiTheme="minorHAnsi" w:hAnsiTheme="minorHAnsi" w:cstheme="minorHAnsi"/>
          <w:lang w:eastAsia="en-AU"/>
        </w:rPr>
        <w:t xml:space="preserve">8.7.5(c) and 8.7.5(d) to expand these provisions to include references to both FEE-HELP assistance and HECS-HELP assistance (and Commonwealth support where relevant). These changes reflect </w:t>
      </w:r>
      <w:r w:rsidR="00923921" w:rsidRPr="00190498">
        <w:rPr>
          <w:rFonts w:asciiTheme="minorHAnsi" w:hAnsiTheme="minorHAnsi" w:cstheme="minorHAnsi"/>
          <w:lang w:eastAsia="en-AU"/>
        </w:rPr>
        <w:t xml:space="preserve">the fact that the requirements of section 19-36A regarding offering inducements, and </w:t>
      </w:r>
      <w:r w:rsidR="00AF3A1A" w:rsidRPr="00190498">
        <w:rPr>
          <w:rFonts w:asciiTheme="minorHAnsi" w:hAnsiTheme="minorHAnsi" w:cstheme="minorHAnsi"/>
          <w:lang w:eastAsia="en-AU"/>
        </w:rPr>
        <w:t>section 19-73 regarding the publication of information by providers, have been extended to cover all higher education providers who may offer</w:t>
      </w:r>
      <w:r w:rsidR="00636A83" w:rsidRPr="00190498">
        <w:rPr>
          <w:rFonts w:asciiTheme="minorHAnsi" w:hAnsiTheme="minorHAnsi" w:cstheme="minorHAnsi"/>
          <w:lang w:eastAsia="en-AU"/>
        </w:rPr>
        <w:t xml:space="preserve"> both</w:t>
      </w:r>
      <w:r w:rsidR="00AF3A1A" w:rsidRPr="00190498">
        <w:rPr>
          <w:rFonts w:asciiTheme="minorHAnsi" w:hAnsiTheme="minorHAnsi" w:cstheme="minorHAnsi"/>
          <w:lang w:eastAsia="en-AU"/>
        </w:rPr>
        <w:t xml:space="preserve"> FEE-HELP assistance and HECS-HELP assistance for their units of study. </w:t>
      </w:r>
    </w:p>
    <w:p w14:paraId="2E458333" w14:textId="309DF593" w:rsidR="00E14CA0" w:rsidRPr="00190498" w:rsidRDefault="008A30F0" w:rsidP="008F3DC3">
      <w:pPr>
        <w:rPr>
          <w:rFonts w:asciiTheme="minorHAnsi" w:hAnsiTheme="minorHAnsi" w:cstheme="minorHAnsi"/>
          <w:b/>
          <w:bCs/>
          <w:lang w:eastAsia="en-AU"/>
        </w:rPr>
      </w:pPr>
      <w:r w:rsidRPr="00190498">
        <w:rPr>
          <w:rFonts w:asciiTheme="minorHAnsi" w:hAnsiTheme="minorHAnsi" w:cstheme="minorHAnsi"/>
          <w:b/>
          <w:bCs/>
          <w:lang w:eastAsia="en-AU"/>
        </w:rPr>
        <w:t>Item 10</w:t>
      </w:r>
      <w:r w:rsidRPr="00190498">
        <w:rPr>
          <w:rFonts w:asciiTheme="minorHAnsi" w:hAnsiTheme="minorHAnsi" w:cstheme="minorHAnsi"/>
          <w:lang w:eastAsia="en-AU"/>
        </w:rPr>
        <w:t xml:space="preserve"> </w:t>
      </w:r>
      <w:r w:rsidR="00E14CA0" w:rsidRPr="00190498">
        <w:rPr>
          <w:rFonts w:asciiTheme="minorHAnsi" w:hAnsiTheme="minorHAnsi" w:cstheme="minorHAnsi"/>
          <w:lang w:eastAsia="en-AU"/>
        </w:rPr>
        <w:t xml:space="preserve">– </w:t>
      </w:r>
      <w:r w:rsidR="00E14CA0" w:rsidRPr="00190498">
        <w:rPr>
          <w:rFonts w:asciiTheme="minorHAnsi" w:hAnsiTheme="minorHAnsi" w:cstheme="minorHAnsi"/>
          <w:b/>
          <w:bCs/>
          <w:lang w:eastAsia="en-AU"/>
        </w:rPr>
        <w:t>After subparagraph 8.6.5(b)</w:t>
      </w:r>
    </w:p>
    <w:p w14:paraId="181B7CED" w14:textId="492F3C59" w:rsidR="008758CF" w:rsidRPr="00190498" w:rsidRDefault="00E14CA0"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Item 10 </w:t>
      </w:r>
      <w:r w:rsidR="008A30F0" w:rsidRPr="00190498">
        <w:rPr>
          <w:rFonts w:asciiTheme="minorHAnsi" w:hAnsiTheme="minorHAnsi" w:cstheme="minorHAnsi"/>
          <w:lang w:eastAsia="en-AU"/>
        </w:rPr>
        <w:t xml:space="preserve">of Schedule 1 amends paragraph 8.6.5 of the Guidelines to insert a new paragraph </w:t>
      </w:r>
      <w:r w:rsidR="000F19CB" w:rsidRPr="00190498">
        <w:rPr>
          <w:rFonts w:asciiTheme="minorHAnsi" w:hAnsiTheme="minorHAnsi" w:cstheme="minorHAnsi"/>
          <w:lang w:eastAsia="en-AU"/>
        </w:rPr>
        <w:t>(</w:t>
      </w:r>
      <w:r w:rsidR="008A30F0" w:rsidRPr="00190498">
        <w:rPr>
          <w:rFonts w:asciiTheme="minorHAnsi" w:hAnsiTheme="minorHAnsi" w:cstheme="minorHAnsi"/>
          <w:lang w:eastAsia="en-AU"/>
        </w:rPr>
        <w:t xml:space="preserve">c) requiring providers to </w:t>
      </w:r>
      <w:r w:rsidR="00287F45" w:rsidRPr="00190498">
        <w:rPr>
          <w:rFonts w:asciiTheme="minorHAnsi" w:hAnsiTheme="minorHAnsi" w:cstheme="minorHAnsi"/>
          <w:lang w:eastAsia="en-AU"/>
        </w:rPr>
        <w:t xml:space="preserve">keep records relating to a determination by the provider that undertaking a unit will not impose an unreasonable study load on a person for the purposes of subsections 36-12(2) and 104-1AA(2) of HESA. </w:t>
      </w:r>
      <w:r w:rsidR="00DC0EE0" w:rsidRPr="00190498">
        <w:rPr>
          <w:rFonts w:asciiTheme="minorHAnsi" w:hAnsiTheme="minorHAnsi" w:cstheme="minorHAnsi"/>
          <w:lang w:eastAsia="en-AU"/>
        </w:rPr>
        <w:t>Sections 36-12 and 104-1AA are new provisions that require providers to assess a student’s capability to enrol in a concurrent study load above 2.0 EFTSL</w:t>
      </w:r>
      <w:r w:rsidR="003E3E3A" w:rsidRPr="00190498">
        <w:rPr>
          <w:rFonts w:asciiTheme="minorHAnsi" w:hAnsiTheme="minorHAnsi" w:cstheme="minorHAnsi"/>
          <w:lang w:eastAsia="en-AU"/>
        </w:rPr>
        <w:t xml:space="preserve">. </w:t>
      </w:r>
    </w:p>
    <w:p w14:paraId="71893ACA" w14:textId="77777777" w:rsidR="00CD769B" w:rsidRPr="00190498" w:rsidRDefault="00CD769B" w:rsidP="005A6F1A">
      <w:pPr>
        <w:pStyle w:val="ListParagraph"/>
        <w:rPr>
          <w:rFonts w:asciiTheme="minorHAnsi" w:hAnsiTheme="minorHAnsi" w:cstheme="minorHAnsi"/>
          <w:lang w:eastAsia="en-AU"/>
        </w:rPr>
      </w:pPr>
    </w:p>
    <w:p w14:paraId="17D8B706" w14:textId="3A873F03" w:rsidR="000D61BE" w:rsidRPr="00190498" w:rsidRDefault="003E3E3A"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If the provider does not determine that undertaking a unit will not impose an unreasonable study load on a person for the purposes of subsections 36-12(2) and 104-1AA(2) (i.e. undertaking a study load of 2 EFTSL would impose an unreasonable study load on the person), the person is not eligible to be a Commonwealth supported student or to receive FEE-HELP assistance in relation to the relevant unit. Item 10 only requires the provider to report on determinations made under </w:t>
      </w:r>
      <w:r w:rsidRPr="00190498">
        <w:rPr>
          <w:rFonts w:asciiTheme="minorHAnsi" w:hAnsiTheme="minorHAnsi" w:cstheme="minorHAnsi"/>
          <w:lang w:eastAsia="en-AU"/>
        </w:rPr>
        <w:lastRenderedPageBreak/>
        <w:t xml:space="preserve">subsections 36-12(2) and 104-1AA(2), it does not have any effect on a provider’s decision making in relation to these determinations. </w:t>
      </w:r>
    </w:p>
    <w:p w14:paraId="304A5B2F" w14:textId="2C233D79" w:rsidR="00E14CA0" w:rsidRPr="00190498" w:rsidRDefault="00F2331E" w:rsidP="009B2BB8">
      <w:pPr>
        <w:rPr>
          <w:rFonts w:asciiTheme="minorHAnsi" w:hAnsiTheme="minorHAnsi" w:cstheme="minorHAnsi"/>
          <w:b/>
          <w:bCs/>
          <w:lang w:eastAsia="en-AU"/>
        </w:rPr>
      </w:pPr>
      <w:r w:rsidRPr="00190498">
        <w:rPr>
          <w:rFonts w:asciiTheme="minorHAnsi" w:hAnsiTheme="minorHAnsi" w:cstheme="minorHAnsi"/>
          <w:b/>
          <w:bCs/>
          <w:lang w:eastAsia="en-AU"/>
        </w:rPr>
        <w:t>Item 14</w:t>
      </w:r>
      <w:r w:rsidRPr="00190498">
        <w:rPr>
          <w:rFonts w:asciiTheme="minorHAnsi" w:hAnsiTheme="minorHAnsi" w:cstheme="minorHAnsi"/>
          <w:lang w:eastAsia="en-AU"/>
        </w:rPr>
        <w:t xml:space="preserve"> </w:t>
      </w:r>
      <w:r w:rsidR="00E14CA0" w:rsidRPr="00190498">
        <w:rPr>
          <w:rFonts w:asciiTheme="minorHAnsi" w:hAnsiTheme="minorHAnsi" w:cstheme="minorHAnsi"/>
          <w:lang w:eastAsia="en-AU"/>
        </w:rPr>
        <w:t xml:space="preserve">– </w:t>
      </w:r>
      <w:r w:rsidR="00E14CA0" w:rsidRPr="00190498">
        <w:rPr>
          <w:rFonts w:asciiTheme="minorHAnsi" w:hAnsiTheme="minorHAnsi" w:cstheme="minorHAnsi"/>
          <w:b/>
          <w:bCs/>
          <w:lang w:eastAsia="en-AU"/>
        </w:rPr>
        <w:t>Paragraph 9.2.1</w:t>
      </w:r>
    </w:p>
    <w:p w14:paraId="62276027" w14:textId="4200E76C" w:rsidR="009B2BB8" w:rsidRPr="00190498" w:rsidRDefault="00E14CA0" w:rsidP="005A6F1A">
      <w:pPr>
        <w:pStyle w:val="ListParagraph"/>
        <w:numPr>
          <w:ilvl w:val="0"/>
          <w:numId w:val="14"/>
        </w:numPr>
        <w:rPr>
          <w:rFonts w:asciiTheme="minorHAnsi" w:hAnsiTheme="minorHAnsi" w:cstheme="minorHAnsi"/>
          <w:lang w:eastAsia="en-AU"/>
        </w:rPr>
      </w:pPr>
      <w:r w:rsidRPr="00190498">
        <w:rPr>
          <w:rFonts w:asciiTheme="minorHAnsi" w:hAnsiTheme="minorHAnsi" w:cstheme="minorHAnsi"/>
          <w:lang w:eastAsia="en-AU"/>
        </w:rPr>
        <w:t xml:space="preserve">Item 14 </w:t>
      </w:r>
      <w:r w:rsidR="00F2331E" w:rsidRPr="00190498">
        <w:rPr>
          <w:rFonts w:asciiTheme="minorHAnsi" w:hAnsiTheme="minorHAnsi" w:cstheme="minorHAnsi"/>
          <w:lang w:eastAsia="en-AU"/>
        </w:rPr>
        <w:t>of Schedule 1 amends paragraph 9.2.1 to</w:t>
      </w:r>
      <w:r w:rsidR="002B279A" w:rsidRPr="00190498">
        <w:rPr>
          <w:rFonts w:asciiTheme="minorHAnsi" w:hAnsiTheme="minorHAnsi" w:cstheme="minorHAnsi"/>
          <w:lang w:eastAsia="en-AU"/>
        </w:rPr>
        <w:t xml:space="preserve"> update references to </w:t>
      </w:r>
      <w:r w:rsidR="007901B5" w:rsidRPr="00190498">
        <w:rPr>
          <w:rFonts w:asciiTheme="minorHAnsi" w:hAnsiTheme="minorHAnsi" w:cstheme="minorHAnsi"/>
          <w:lang w:eastAsia="en-AU"/>
        </w:rPr>
        <w:t xml:space="preserve">sections of HESA to </w:t>
      </w:r>
      <w:r w:rsidR="002B279A" w:rsidRPr="00190498">
        <w:rPr>
          <w:rFonts w:asciiTheme="minorHAnsi" w:hAnsiTheme="minorHAnsi" w:cstheme="minorHAnsi"/>
          <w:lang w:eastAsia="en-AU"/>
        </w:rPr>
        <w:t xml:space="preserve">reflect changes to the genuine student requirements </w:t>
      </w:r>
      <w:r w:rsidR="007901B5" w:rsidRPr="00190498">
        <w:rPr>
          <w:rFonts w:asciiTheme="minorHAnsi" w:hAnsiTheme="minorHAnsi" w:cstheme="minorHAnsi"/>
          <w:lang w:eastAsia="en-AU"/>
        </w:rPr>
        <w:t xml:space="preserve">made by the </w:t>
      </w:r>
      <w:r w:rsidR="007901B5" w:rsidRPr="00190498">
        <w:rPr>
          <w:rFonts w:asciiTheme="minorHAnsi" w:hAnsiTheme="minorHAnsi" w:cstheme="minorHAnsi"/>
          <w:lang w:eastAsia="en-AU"/>
        </w:rPr>
        <w:br/>
        <w:t>Job-Ready Graduates Act</w:t>
      </w:r>
      <w:r w:rsidR="002B279A" w:rsidRPr="00190498">
        <w:rPr>
          <w:rFonts w:asciiTheme="minorHAnsi" w:hAnsiTheme="minorHAnsi" w:cstheme="minorHAnsi"/>
          <w:lang w:eastAsia="en-AU"/>
        </w:rPr>
        <w:t xml:space="preserve">. The Job-Ready Graduates Act repealed subsection </w:t>
      </w:r>
      <w:r w:rsidR="007901B5" w:rsidRPr="00190498">
        <w:rPr>
          <w:rFonts w:asciiTheme="minorHAnsi" w:hAnsiTheme="minorHAnsi" w:cstheme="minorHAnsi"/>
          <w:lang w:eastAsia="en-AU"/>
        </w:rPr>
        <w:br/>
      </w:r>
      <w:r w:rsidR="002B279A" w:rsidRPr="00190498">
        <w:rPr>
          <w:rFonts w:asciiTheme="minorHAnsi" w:hAnsiTheme="minorHAnsi" w:cstheme="minorHAnsi"/>
          <w:lang w:eastAsia="en-AU"/>
        </w:rPr>
        <w:t xml:space="preserve">104-1(1A) and replaced it with new subsection 104-1(1AB), and also created new subsection 36-5(6). </w:t>
      </w:r>
      <w:r w:rsidR="007901B5" w:rsidRPr="00190498">
        <w:rPr>
          <w:rFonts w:asciiTheme="minorHAnsi" w:hAnsiTheme="minorHAnsi" w:cstheme="minorHAnsi"/>
          <w:lang w:eastAsia="en-AU"/>
        </w:rPr>
        <w:t xml:space="preserve">These changes aligned the application of the genuine student requirements across both HECS-HELP/Commonwealth support and FEE-HELP. </w:t>
      </w:r>
    </w:p>
    <w:p w14:paraId="581823FC" w14:textId="429ED392" w:rsidR="009B2BB8" w:rsidRPr="00190498" w:rsidRDefault="009B2BB8" w:rsidP="009B2BB8">
      <w:pPr>
        <w:rPr>
          <w:rFonts w:asciiTheme="minorHAnsi" w:hAnsiTheme="minorHAnsi" w:cstheme="minorHAnsi"/>
          <w:lang w:eastAsia="en-AU"/>
        </w:rPr>
        <w:sectPr w:rsidR="009B2BB8" w:rsidRPr="00190498" w:rsidSect="005A020A">
          <w:footerReference w:type="default" r:id="rId12"/>
          <w:pgSz w:w="11906" w:h="16838"/>
          <w:pgMar w:top="1440" w:right="1440" w:bottom="1440" w:left="1440" w:header="284" w:footer="708" w:gutter="0"/>
          <w:cols w:space="708"/>
          <w:docGrid w:linePitch="360"/>
        </w:sectPr>
      </w:pPr>
    </w:p>
    <w:p w14:paraId="5C97EB2B" w14:textId="77777777" w:rsidR="00E410C4" w:rsidRPr="00190498" w:rsidRDefault="00E410C4" w:rsidP="00E410C4">
      <w:pPr>
        <w:pStyle w:val="Heading2"/>
        <w:jc w:val="center"/>
        <w:rPr>
          <w:rFonts w:asciiTheme="minorHAnsi" w:hAnsiTheme="minorHAnsi" w:cstheme="minorHAnsi"/>
        </w:rPr>
      </w:pPr>
      <w:r w:rsidRPr="00190498">
        <w:rPr>
          <w:rFonts w:asciiTheme="minorHAnsi" w:hAnsiTheme="minorHAnsi" w:cstheme="minorHAnsi"/>
        </w:rPr>
        <w:lastRenderedPageBreak/>
        <w:t>STATEMENT OF COMPATIBILITY WITH HUMAN RIGHTS</w:t>
      </w:r>
    </w:p>
    <w:p w14:paraId="4B25BFD0" w14:textId="77777777" w:rsidR="00E410C4" w:rsidRPr="00190498" w:rsidRDefault="00E410C4" w:rsidP="005A6F1A">
      <w:pPr>
        <w:spacing w:after="120"/>
        <w:jc w:val="center"/>
        <w:rPr>
          <w:rFonts w:asciiTheme="minorHAnsi" w:hAnsiTheme="minorHAnsi" w:cstheme="minorHAnsi"/>
          <w:szCs w:val="24"/>
        </w:rPr>
      </w:pPr>
      <w:r w:rsidRPr="00190498">
        <w:rPr>
          <w:rFonts w:asciiTheme="minorHAnsi" w:hAnsiTheme="minorHAnsi" w:cstheme="minorHAnsi"/>
          <w:i/>
          <w:szCs w:val="24"/>
        </w:rPr>
        <w:t>Prepared in accordance with Part 3 of the Human Rights (Parliamentary Scrutiny) Act 2011</w:t>
      </w:r>
    </w:p>
    <w:p w14:paraId="396FC4BB" w14:textId="6B947D1F" w:rsidR="00B81294" w:rsidRPr="00190498" w:rsidRDefault="00790554" w:rsidP="00F85F2A">
      <w:pPr>
        <w:spacing w:after="0"/>
        <w:jc w:val="center"/>
        <w:rPr>
          <w:rFonts w:asciiTheme="minorHAnsi" w:eastAsia="Calibri" w:hAnsiTheme="minorHAnsi" w:cstheme="minorHAnsi"/>
          <w:b/>
          <w:i/>
          <w:szCs w:val="24"/>
        </w:rPr>
      </w:pPr>
      <w:r w:rsidRPr="00190498">
        <w:rPr>
          <w:rFonts w:asciiTheme="minorHAnsi" w:eastAsia="Calibri" w:hAnsiTheme="minorHAnsi" w:cstheme="minorHAnsi"/>
          <w:b/>
          <w:i/>
          <w:szCs w:val="24"/>
        </w:rPr>
        <w:t>Higher Education Amendment (</w:t>
      </w:r>
      <w:r w:rsidR="00B373A6" w:rsidRPr="00190498">
        <w:rPr>
          <w:rFonts w:asciiTheme="minorHAnsi" w:eastAsia="Calibri" w:hAnsiTheme="minorHAnsi" w:cstheme="minorHAnsi"/>
          <w:b/>
          <w:i/>
          <w:szCs w:val="24"/>
        </w:rPr>
        <w:t>Tuition Protection</w:t>
      </w:r>
      <w:r w:rsidR="00743D09" w:rsidRPr="00190498">
        <w:rPr>
          <w:rFonts w:asciiTheme="minorHAnsi" w:eastAsia="Calibri" w:hAnsiTheme="minorHAnsi" w:cstheme="minorHAnsi"/>
          <w:b/>
          <w:i/>
          <w:szCs w:val="24"/>
        </w:rPr>
        <w:t xml:space="preserve"> and Other Measures</w:t>
      </w:r>
      <w:r w:rsidRPr="00190498">
        <w:rPr>
          <w:rFonts w:asciiTheme="minorHAnsi" w:eastAsia="Calibri" w:hAnsiTheme="minorHAnsi" w:cstheme="minorHAnsi"/>
          <w:b/>
          <w:i/>
          <w:szCs w:val="24"/>
        </w:rPr>
        <w:t>)</w:t>
      </w:r>
      <w:r w:rsidR="00B373A6" w:rsidRPr="00190498">
        <w:rPr>
          <w:rFonts w:asciiTheme="minorHAnsi" w:eastAsia="Calibri" w:hAnsiTheme="minorHAnsi" w:cstheme="minorHAnsi"/>
          <w:b/>
          <w:i/>
          <w:szCs w:val="24"/>
        </w:rPr>
        <w:t xml:space="preserve"> </w:t>
      </w:r>
      <w:r w:rsidR="00743FA0" w:rsidRPr="00190498">
        <w:rPr>
          <w:rFonts w:asciiTheme="minorHAnsi" w:eastAsia="Calibri" w:hAnsiTheme="minorHAnsi" w:cstheme="minorHAnsi"/>
          <w:b/>
          <w:i/>
          <w:szCs w:val="24"/>
        </w:rPr>
        <w:t>Guidelines</w:t>
      </w:r>
      <w:r w:rsidR="00B373A6" w:rsidRPr="00190498">
        <w:rPr>
          <w:rFonts w:asciiTheme="minorHAnsi" w:eastAsia="Calibri" w:hAnsiTheme="minorHAnsi" w:cstheme="minorHAnsi"/>
          <w:b/>
          <w:i/>
          <w:szCs w:val="24"/>
        </w:rPr>
        <w:t xml:space="preserve"> 2020</w:t>
      </w:r>
    </w:p>
    <w:p w14:paraId="0FDB05D7" w14:textId="77777777" w:rsidR="00B81294" w:rsidRPr="00190498" w:rsidRDefault="00B81294" w:rsidP="00B81294">
      <w:pPr>
        <w:spacing w:after="0"/>
        <w:jc w:val="both"/>
        <w:rPr>
          <w:rFonts w:asciiTheme="minorHAnsi" w:eastAsia="Calibri" w:hAnsiTheme="minorHAnsi" w:cstheme="minorHAnsi"/>
          <w:szCs w:val="24"/>
        </w:rPr>
      </w:pPr>
    </w:p>
    <w:p w14:paraId="607BBCA8" w14:textId="5680F7C8" w:rsidR="00B81294" w:rsidRPr="00190498" w:rsidRDefault="00B81294" w:rsidP="00B81294">
      <w:pPr>
        <w:spacing w:after="0"/>
        <w:jc w:val="both"/>
        <w:rPr>
          <w:rFonts w:asciiTheme="minorHAnsi" w:eastAsia="Calibri" w:hAnsiTheme="minorHAnsi" w:cstheme="minorHAnsi"/>
          <w:szCs w:val="24"/>
        </w:rPr>
      </w:pPr>
      <w:r w:rsidRPr="00190498">
        <w:rPr>
          <w:rFonts w:asciiTheme="minorHAnsi" w:eastAsia="Calibri" w:hAnsiTheme="minorHAnsi" w:cstheme="minorHAnsi"/>
          <w:szCs w:val="24"/>
        </w:rPr>
        <w:t>Th</w:t>
      </w:r>
      <w:r w:rsidR="005A3E85" w:rsidRPr="00190498">
        <w:rPr>
          <w:rFonts w:asciiTheme="minorHAnsi" w:eastAsia="Calibri" w:hAnsiTheme="minorHAnsi" w:cstheme="minorHAnsi"/>
          <w:szCs w:val="24"/>
        </w:rPr>
        <w:t>e</w:t>
      </w:r>
      <w:r w:rsidRPr="00190498">
        <w:rPr>
          <w:rFonts w:asciiTheme="minorHAnsi" w:eastAsia="Calibri" w:hAnsiTheme="minorHAnsi" w:cstheme="minorHAnsi"/>
          <w:szCs w:val="24"/>
        </w:rPr>
        <w:t xml:space="preserve"> </w:t>
      </w:r>
      <w:r w:rsidR="00743D09" w:rsidRPr="00190498">
        <w:rPr>
          <w:rFonts w:asciiTheme="minorHAnsi" w:eastAsia="Calibri" w:hAnsiTheme="minorHAnsi" w:cstheme="minorHAnsi"/>
          <w:i/>
          <w:szCs w:val="24"/>
        </w:rPr>
        <w:t xml:space="preserve">Higher Education Provider Amendment (Tuition Protection and Other Measures) Guidelines 2020 </w:t>
      </w:r>
      <w:r w:rsidR="00743D09" w:rsidRPr="00190498">
        <w:rPr>
          <w:rFonts w:asciiTheme="minorHAnsi" w:eastAsia="Calibri" w:hAnsiTheme="minorHAnsi" w:cstheme="minorHAnsi"/>
          <w:iCs/>
          <w:szCs w:val="24"/>
        </w:rPr>
        <w:t xml:space="preserve">(the </w:t>
      </w:r>
      <w:r w:rsidR="00743D09" w:rsidRPr="00190498">
        <w:rPr>
          <w:rFonts w:asciiTheme="minorHAnsi" w:eastAsia="Calibri" w:hAnsiTheme="minorHAnsi" w:cstheme="minorHAnsi"/>
          <w:b/>
          <w:bCs/>
          <w:iCs/>
          <w:szCs w:val="24"/>
        </w:rPr>
        <w:t>Amendment Guidelines</w:t>
      </w:r>
      <w:r w:rsidR="00743D09" w:rsidRPr="00190498">
        <w:rPr>
          <w:rFonts w:asciiTheme="minorHAnsi" w:eastAsia="Calibri" w:hAnsiTheme="minorHAnsi" w:cstheme="minorHAnsi"/>
          <w:iCs/>
          <w:szCs w:val="24"/>
        </w:rPr>
        <w:t>)</w:t>
      </w:r>
      <w:r w:rsidR="00743D09" w:rsidRPr="00190498">
        <w:rPr>
          <w:rFonts w:asciiTheme="minorHAnsi" w:eastAsia="Calibri" w:hAnsiTheme="minorHAnsi" w:cstheme="minorHAnsi"/>
          <w:i/>
          <w:szCs w:val="24"/>
        </w:rPr>
        <w:t xml:space="preserve"> </w:t>
      </w:r>
      <w:r w:rsidR="005A3E85" w:rsidRPr="00190498">
        <w:rPr>
          <w:rFonts w:asciiTheme="minorHAnsi" w:eastAsia="Calibri" w:hAnsiTheme="minorHAnsi" w:cstheme="minorHAnsi"/>
          <w:szCs w:val="24"/>
        </w:rPr>
        <w:t>are</w:t>
      </w:r>
      <w:r w:rsidRPr="00190498">
        <w:rPr>
          <w:rFonts w:asciiTheme="minorHAnsi" w:eastAsia="Calibri" w:hAnsiTheme="minorHAnsi" w:cstheme="minorHAnsi"/>
          <w:szCs w:val="24"/>
        </w:rPr>
        <w:t xml:space="preserve"> compatible with the human rights and freedoms recognised or declared in the international instruments listed in section 3 of the </w:t>
      </w:r>
      <w:r w:rsidRPr="00190498">
        <w:rPr>
          <w:rFonts w:asciiTheme="minorHAnsi" w:eastAsia="Calibri" w:hAnsiTheme="minorHAnsi" w:cstheme="minorHAnsi"/>
          <w:i/>
          <w:szCs w:val="24"/>
        </w:rPr>
        <w:t>Human Rights (Parliamentary Scrutiny) Act 2011</w:t>
      </w:r>
      <w:r w:rsidRPr="00190498">
        <w:rPr>
          <w:rFonts w:asciiTheme="minorHAnsi" w:eastAsia="Calibri" w:hAnsiTheme="minorHAnsi" w:cstheme="minorHAnsi"/>
          <w:szCs w:val="24"/>
        </w:rPr>
        <w:t>.</w:t>
      </w:r>
    </w:p>
    <w:p w14:paraId="7BA708C0" w14:textId="43B45B14" w:rsidR="00B81294" w:rsidRPr="00190498" w:rsidRDefault="00E410C4" w:rsidP="00B81294">
      <w:pPr>
        <w:keepNext/>
        <w:keepLines/>
        <w:spacing w:before="240" w:after="120"/>
        <w:outlineLvl w:val="1"/>
        <w:rPr>
          <w:rFonts w:asciiTheme="minorHAnsi" w:eastAsiaTheme="majorEastAsia" w:hAnsiTheme="minorHAnsi" w:cstheme="minorHAnsi"/>
          <w:b/>
          <w:bCs/>
          <w:sz w:val="26"/>
          <w:szCs w:val="26"/>
        </w:rPr>
      </w:pPr>
      <w:r w:rsidRPr="00190498">
        <w:rPr>
          <w:rFonts w:asciiTheme="minorHAnsi" w:eastAsiaTheme="majorEastAsia" w:hAnsiTheme="minorHAnsi" w:cstheme="minorHAnsi"/>
          <w:b/>
          <w:bCs/>
          <w:sz w:val="26"/>
          <w:szCs w:val="26"/>
        </w:rPr>
        <w:t>Overview</w:t>
      </w:r>
    </w:p>
    <w:p w14:paraId="08440F42" w14:textId="06B5593B" w:rsidR="00743D09" w:rsidRPr="00190498" w:rsidRDefault="00743D09" w:rsidP="00743D09">
      <w:pPr>
        <w:rPr>
          <w:rFonts w:asciiTheme="minorHAnsi" w:hAnsiTheme="minorHAnsi" w:cstheme="minorHAnsi"/>
          <w:lang w:eastAsia="en-AU"/>
        </w:rPr>
      </w:pPr>
      <w:r w:rsidRPr="00190498">
        <w:rPr>
          <w:rFonts w:asciiTheme="minorHAnsi" w:hAnsiTheme="minorHAnsi" w:cstheme="minorHAnsi"/>
          <w:lang w:eastAsia="en-AU"/>
        </w:rPr>
        <w:t xml:space="preserve">The primary purpose of the Amendment Guidelines is to amend the </w:t>
      </w:r>
      <w:r w:rsidRPr="00190498">
        <w:rPr>
          <w:rFonts w:asciiTheme="minorHAnsi" w:hAnsiTheme="minorHAnsi" w:cstheme="minorHAnsi"/>
          <w:i/>
          <w:iCs/>
          <w:lang w:eastAsia="en-AU"/>
        </w:rPr>
        <w:t xml:space="preserve">Higher Education Provider Guidelines 2012 </w:t>
      </w:r>
      <w:r w:rsidRPr="00190498">
        <w:rPr>
          <w:rFonts w:asciiTheme="minorHAnsi" w:hAnsiTheme="minorHAnsi" w:cstheme="minorHAnsi"/>
          <w:lang w:eastAsia="en-AU"/>
        </w:rPr>
        <w:t>(</w:t>
      </w:r>
      <w:r w:rsidRPr="00190498">
        <w:rPr>
          <w:rFonts w:asciiTheme="minorHAnsi" w:hAnsiTheme="minorHAnsi" w:cstheme="minorHAnsi"/>
          <w:b/>
          <w:bCs/>
          <w:lang w:eastAsia="en-AU"/>
        </w:rPr>
        <w:t>Guidelines</w:t>
      </w:r>
      <w:r w:rsidRPr="00190498">
        <w:rPr>
          <w:rFonts w:asciiTheme="minorHAnsi" w:hAnsiTheme="minorHAnsi" w:cstheme="minorHAnsi"/>
          <w:lang w:eastAsia="en-AU"/>
        </w:rPr>
        <w:t>)</w:t>
      </w:r>
      <w:r w:rsidRPr="00190498">
        <w:rPr>
          <w:rFonts w:asciiTheme="minorHAnsi" w:hAnsiTheme="minorHAnsi" w:cstheme="minorHAnsi"/>
          <w:i/>
          <w:iCs/>
          <w:lang w:eastAsia="en-AU"/>
        </w:rPr>
        <w:t xml:space="preserve"> </w:t>
      </w:r>
      <w:r w:rsidRPr="00190498">
        <w:rPr>
          <w:rFonts w:asciiTheme="minorHAnsi" w:hAnsiTheme="minorHAnsi" w:cstheme="minorHAnsi"/>
          <w:lang w:eastAsia="en-AU"/>
        </w:rPr>
        <w:t xml:space="preserve">to put in place administrative and operational provisions to support the amendments made to the </w:t>
      </w:r>
      <w:r w:rsidRPr="00190498">
        <w:rPr>
          <w:rFonts w:asciiTheme="minorHAnsi" w:hAnsiTheme="minorHAnsi" w:cstheme="minorHAnsi"/>
          <w:i/>
          <w:iCs/>
          <w:lang w:eastAsia="en-AU"/>
        </w:rPr>
        <w:t xml:space="preserve">Higher Education Support Act 2003 </w:t>
      </w:r>
      <w:r w:rsidRPr="00190498">
        <w:rPr>
          <w:rFonts w:asciiTheme="minorHAnsi" w:hAnsiTheme="minorHAnsi" w:cstheme="minorHAnsi"/>
          <w:lang w:eastAsia="en-AU"/>
        </w:rPr>
        <w:t>(</w:t>
      </w:r>
      <w:r w:rsidRPr="00190498">
        <w:rPr>
          <w:rFonts w:asciiTheme="minorHAnsi" w:hAnsiTheme="minorHAnsi" w:cstheme="minorHAnsi"/>
          <w:b/>
          <w:bCs/>
          <w:lang w:eastAsia="en-AU"/>
        </w:rPr>
        <w:t>HESA</w:t>
      </w:r>
      <w:r w:rsidRPr="00190498">
        <w:rPr>
          <w:rFonts w:asciiTheme="minorHAnsi" w:hAnsiTheme="minorHAnsi" w:cstheme="minorHAnsi"/>
          <w:lang w:eastAsia="en-AU"/>
        </w:rPr>
        <w:t xml:space="preserve">) through Schedule 2 of the </w:t>
      </w:r>
      <w:r w:rsidRPr="00190498">
        <w:rPr>
          <w:rFonts w:asciiTheme="minorHAnsi" w:hAnsiTheme="minorHAnsi" w:cstheme="minorHAnsi"/>
          <w:i/>
          <w:lang w:eastAsia="en-AU"/>
        </w:rPr>
        <w:t>Education Legislation Amendment (Up-front Payments Tuition Protection) Act 2020</w:t>
      </w:r>
      <w:r w:rsidRPr="00190498">
        <w:rPr>
          <w:rFonts w:asciiTheme="minorHAnsi" w:hAnsiTheme="minorHAnsi" w:cstheme="minorHAnsi"/>
          <w:lang w:eastAsia="en-AU"/>
        </w:rPr>
        <w:t xml:space="preserve"> (the </w:t>
      </w:r>
      <w:r w:rsidRPr="00190498">
        <w:rPr>
          <w:rFonts w:asciiTheme="minorHAnsi" w:hAnsiTheme="minorHAnsi" w:cstheme="minorHAnsi"/>
          <w:b/>
          <w:lang w:eastAsia="en-AU"/>
        </w:rPr>
        <w:t>Tuition Protection Act</w:t>
      </w:r>
      <w:r w:rsidRPr="00190498">
        <w:rPr>
          <w:rFonts w:asciiTheme="minorHAnsi" w:hAnsiTheme="minorHAnsi" w:cstheme="minorHAnsi"/>
          <w:lang w:eastAsia="en-AU"/>
        </w:rPr>
        <w:t>).</w:t>
      </w:r>
    </w:p>
    <w:p w14:paraId="360A044F" w14:textId="77777777" w:rsidR="00743D09" w:rsidRPr="00190498" w:rsidRDefault="00743D09" w:rsidP="00743D09">
      <w:pPr>
        <w:rPr>
          <w:rFonts w:asciiTheme="minorHAnsi" w:hAnsiTheme="minorHAnsi" w:cstheme="minorHAnsi"/>
          <w:lang w:eastAsia="en-AU"/>
        </w:rPr>
      </w:pPr>
      <w:r w:rsidRPr="00190498">
        <w:rPr>
          <w:rFonts w:asciiTheme="minorHAnsi" w:hAnsiTheme="minorHAnsi" w:cstheme="minorHAnsi"/>
          <w:lang w:eastAsia="en-AU"/>
        </w:rPr>
        <w:t xml:space="preserve">Under section 19-66A of HESA, a higher education provider to whom Part 5-1A applies must comply with the tuition protection requirements. Section 16-30 of HESA provides that the tuition protection requirements include the requirements set out in the Guidelines. The Amendment Guidelines set out additional tuition protection requirements.  </w:t>
      </w:r>
    </w:p>
    <w:p w14:paraId="3954206B" w14:textId="77777777" w:rsidR="00743D09" w:rsidRPr="00190498" w:rsidRDefault="00743D09" w:rsidP="00743D09">
      <w:pPr>
        <w:rPr>
          <w:rFonts w:asciiTheme="minorHAnsi" w:hAnsiTheme="minorHAnsi" w:cstheme="minorHAnsi"/>
          <w:lang w:eastAsia="en-AU"/>
        </w:rPr>
      </w:pPr>
      <w:r w:rsidRPr="00190498">
        <w:rPr>
          <w:rFonts w:asciiTheme="minorHAnsi" w:hAnsiTheme="minorHAnsi" w:cstheme="minorHAnsi"/>
          <w:lang w:eastAsia="en-AU"/>
        </w:rPr>
        <w:t xml:space="preserve">The Amendment Guidelines also contain technical provisions to support changes made to HESA through Schedule 4 of the </w:t>
      </w:r>
      <w:r w:rsidRPr="00190498">
        <w:rPr>
          <w:rFonts w:asciiTheme="minorHAnsi" w:hAnsiTheme="minorHAnsi" w:cstheme="minorHAnsi"/>
          <w:i/>
          <w:iCs/>
          <w:lang w:eastAsia="en-AU"/>
        </w:rPr>
        <w:t>Higher Education Support Amendment (Job-Ready Graduates and Supporting Regional and Remote Students) Act 2020</w:t>
      </w:r>
      <w:r w:rsidRPr="00190498">
        <w:rPr>
          <w:rFonts w:asciiTheme="minorHAnsi" w:hAnsiTheme="minorHAnsi" w:cstheme="minorHAnsi"/>
          <w:lang w:eastAsia="en-AU"/>
        </w:rPr>
        <w:t xml:space="preserve"> (</w:t>
      </w:r>
      <w:r w:rsidRPr="00190498">
        <w:rPr>
          <w:rFonts w:asciiTheme="minorHAnsi" w:hAnsiTheme="minorHAnsi" w:cstheme="minorHAnsi"/>
          <w:b/>
          <w:bCs/>
          <w:lang w:eastAsia="en-AU"/>
        </w:rPr>
        <w:t>Job-Ready Graduates Act</w:t>
      </w:r>
      <w:r w:rsidRPr="00190498">
        <w:rPr>
          <w:rFonts w:asciiTheme="minorHAnsi" w:hAnsiTheme="minorHAnsi" w:cstheme="minorHAnsi"/>
          <w:lang w:eastAsia="en-AU"/>
        </w:rPr>
        <w:t xml:space="preserve">).  </w:t>
      </w:r>
    </w:p>
    <w:p w14:paraId="1F3D6D7C" w14:textId="04CBB931" w:rsidR="00743D09" w:rsidRPr="00190498" w:rsidRDefault="00743D09" w:rsidP="00743D09">
      <w:pPr>
        <w:rPr>
          <w:rFonts w:asciiTheme="minorHAnsi" w:hAnsiTheme="minorHAnsi" w:cstheme="minorHAnsi"/>
          <w:lang w:eastAsia="en-AU"/>
        </w:rPr>
      </w:pPr>
      <w:r w:rsidRPr="00190498">
        <w:rPr>
          <w:rFonts w:asciiTheme="minorHAnsi" w:hAnsiTheme="minorHAnsi" w:cstheme="minorHAnsi"/>
          <w:lang w:eastAsia="en-AU"/>
        </w:rPr>
        <w:t xml:space="preserve">The tuition protection requirements set out in the Amendment Guidelines </w:t>
      </w:r>
      <w:r w:rsidR="005A6F1A" w:rsidRPr="00190498">
        <w:rPr>
          <w:rFonts w:asciiTheme="minorHAnsi" w:hAnsiTheme="minorHAnsi" w:cstheme="minorHAnsi"/>
          <w:lang w:eastAsia="en-AU"/>
        </w:rPr>
        <w:t xml:space="preserve">specify </w:t>
      </w:r>
      <w:r w:rsidR="00EF215D" w:rsidRPr="00190498">
        <w:rPr>
          <w:rFonts w:asciiTheme="minorHAnsi" w:hAnsiTheme="minorHAnsi" w:cstheme="minorHAnsi"/>
          <w:lang w:eastAsia="en-AU"/>
        </w:rPr>
        <w:t xml:space="preserve">matters with which </w:t>
      </w:r>
      <w:r w:rsidRPr="00190498">
        <w:rPr>
          <w:rFonts w:asciiTheme="minorHAnsi" w:hAnsiTheme="minorHAnsi" w:cstheme="minorHAnsi"/>
          <w:lang w:eastAsia="en-AU"/>
        </w:rPr>
        <w:t xml:space="preserve">higher education providers to whom Part 5-1A of the HESA applies </w:t>
      </w:r>
      <w:r w:rsidR="00EF215D" w:rsidRPr="00190498">
        <w:rPr>
          <w:rFonts w:asciiTheme="minorHAnsi" w:hAnsiTheme="minorHAnsi" w:cstheme="minorHAnsi"/>
          <w:lang w:eastAsia="en-AU"/>
        </w:rPr>
        <w:t>must comply, including</w:t>
      </w:r>
      <w:r w:rsidRPr="00190498">
        <w:rPr>
          <w:rFonts w:asciiTheme="minorHAnsi" w:hAnsiTheme="minorHAnsi" w:cstheme="minorHAnsi"/>
          <w:lang w:eastAsia="en-AU"/>
        </w:rPr>
        <w:t>:</w:t>
      </w:r>
    </w:p>
    <w:p w14:paraId="129DE26D" w14:textId="77777777" w:rsidR="00743D09" w:rsidRPr="00190498" w:rsidRDefault="00743D09" w:rsidP="00AF4446">
      <w:pPr>
        <w:numPr>
          <w:ilvl w:val="0"/>
          <w:numId w:val="10"/>
        </w:numPr>
        <w:spacing w:after="0"/>
        <w:rPr>
          <w:rFonts w:asciiTheme="minorHAnsi" w:hAnsiTheme="minorHAnsi" w:cstheme="minorHAnsi"/>
          <w:lang w:eastAsia="en-AU"/>
        </w:rPr>
      </w:pPr>
      <w:r w:rsidRPr="00190498">
        <w:rPr>
          <w:rFonts w:asciiTheme="minorHAnsi" w:hAnsiTheme="minorHAnsi" w:cstheme="minorHAnsi"/>
          <w:lang w:eastAsia="en-AU"/>
        </w:rPr>
        <w:t>requirements for the collection and recovery of the HELP tuition protection levy (</w:t>
      </w:r>
      <w:r w:rsidRPr="00190498">
        <w:rPr>
          <w:rFonts w:asciiTheme="minorHAnsi" w:hAnsiTheme="minorHAnsi" w:cstheme="minorHAnsi"/>
          <w:b/>
          <w:bCs/>
          <w:lang w:eastAsia="en-AU"/>
        </w:rPr>
        <w:t>Levy</w:t>
      </w:r>
      <w:r w:rsidRPr="00190498">
        <w:rPr>
          <w:rFonts w:asciiTheme="minorHAnsi" w:hAnsiTheme="minorHAnsi" w:cstheme="minorHAnsi"/>
          <w:lang w:eastAsia="en-AU"/>
        </w:rPr>
        <w:t>), including the issuing of Levy notices by the Higher Education Tuition Protection Director (the</w:t>
      </w:r>
      <w:r w:rsidRPr="00190498">
        <w:rPr>
          <w:rFonts w:asciiTheme="minorHAnsi" w:hAnsiTheme="minorHAnsi" w:cstheme="minorHAnsi"/>
          <w:b/>
          <w:bCs/>
          <w:lang w:eastAsia="en-AU"/>
        </w:rPr>
        <w:t xml:space="preserve"> Director</w:t>
      </w:r>
      <w:r w:rsidRPr="00190498">
        <w:rPr>
          <w:rFonts w:asciiTheme="minorHAnsi" w:hAnsiTheme="minorHAnsi" w:cstheme="minorHAnsi"/>
          <w:lang w:eastAsia="en-AU"/>
        </w:rPr>
        <w:t>);</w:t>
      </w:r>
    </w:p>
    <w:p w14:paraId="4E0421CD" w14:textId="77777777" w:rsidR="00743D09" w:rsidRPr="00190498" w:rsidRDefault="00743D09" w:rsidP="00AF4446">
      <w:pPr>
        <w:numPr>
          <w:ilvl w:val="0"/>
          <w:numId w:val="10"/>
        </w:numPr>
        <w:spacing w:after="0"/>
        <w:rPr>
          <w:rFonts w:asciiTheme="minorHAnsi" w:hAnsiTheme="minorHAnsi" w:cstheme="minorHAnsi"/>
          <w:lang w:eastAsia="en-AU"/>
        </w:rPr>
      </w:pPr>
      <w:r w:rsidRPr="00190498">
        <w:rPr>
          <w:rFonts w:asciiTheme="minorHAnsi" w:hAnsiTheme="minorHAnsi" w:cstheme="minorHAnsi"/>
          <w:lang w:eastAsia="en-AU"/>
        </w:rPr>
        <w:t>detail around the written notices that higher education providers that default must give to students and the Director;</w:t>
      </w:r>
    </w:p>
    <w:p w14:paraId="0F9183C7" w14:textId="77777777" w:rsidR="00743D09" w:rsidRPr="00190498" w:rsidRDefault="00743D09" w:rsidP="00AF4446">
      <w:pPr>
        <w:numPr>
          <w:ilvl w:val="0"/>
          <w:numId w:val="10"/>
        </w:numPr>
        <w:spacing w:after="0"/>
        <w:rPr>
          <w:rFonts w:asciiTheme="minorHAnsi" w:hAnsiTheme="minorHAnsi" w:cstheme="minorHAnsi"/>
          <w:lang w:eastAsia="en-AU"/>
        </w:rPr>
      </w:pPr>
      <w:r w:rsidRPr="00190498">
        <w:rPr>
          <w:rFonts w:asciiTheme="minorHAnsi" w:hAnsiTheme="minorHAnsi" w:cstheme="minorHAnsi"/>
          <w:lang w:eastAsia="en-AU"/>
        </w:rPr>
        <w:t>other circumstances when a provider defaults in relation to a student that is additional to subsections 166-10(1) and (2) of HESA;</w:t>
      </w:r>
    </w:p>
    <w:p w14:paraId="5C7915A6" w14:textId="77777777" w:rsidR="00743D09" w:rsidRPr="00190498" w:rsidRDefault="00743D09" w:rsidP="00AF4446">
      <w:pPr>
        <w:numPr>
          <w:ilvl w:val="0"/>
          <w:numId w:val="10"/>
        </w:numPr>
        <w:spacing w:after="0"/>
        <w:rPr>
          <w:rFonts w:asciiTheme="minorHAnsi" w:hAnsiTheme="minorHAnsi" w:cstheme="minorHAnsi"/>
          <w:lang w:eastAsia="en-AU"/>
        </w:rPr>
      </w:pPr>
      <w:r w:rsidRPr="00190498">
        <w:rPr>
          <w:rFonts w:asciiTheme="minorHAnsi" w:hAnsiTheme="minorHAnsi" w:cstheme="minorHAnsi"/>
          <w:lang w:eastAsia="en-AU"/>
        </w:rPr>
        <w:t xml:space="preserve">detail around the Director’s payments that are made in connection with tuition protection; </w:t>
      </w:r>
    </w:p>
    <w:p w14:paraId="5BE97EAF" w14:textId="77777777" w:rsidR="005A6F1A" w:rsidRPr="00190498" w:rsidRDefault="00743D09" w:rsidP="00AF4446">
      <w:pPr>
        <w:numPr>
          <w:ilvl w:val="0"/>
          <w:numId w:val="10"/>
        </w:numPr>
        <w:spacing w:after="0"/>
        <w:rPr>
          <w:rFonts w:asciiTheme="minorHAnsi" w:hAnsiTheme="minorHAnsi" w:cstheme="minorHAnsi"/>
          <w:lang w:eastAsia="en-AU"/>
        </w:rPr>
      </w:pPr>
      <w:r w:rsidRPr="00190498">
        <w:rPr>
          <w:rFonts w:asciiTheme="minorHAnsi" w:hAnsiTheme="minorHAnsi" w:cstheme="minorHAnsi"/>
          <w:lang w:eastAsia="en-AU"/>
        </w:rPr>
        <w:t>detail around the written notice that defaulting higher education providers must give to the Director in notifying the outcome of discharging their obligations to the student in accordance with section 166-26A of HESA</w:t>
      </w:r>
      <w:r w:rsidR="005A6F1A" w:rsidRPr="00190498">
        <w:rPr>
          <w:rFonts w:asciiTheme="minorHAnsi" w:hAnsiTheme="minorHAnsi" w:cstheme="minorHAnsi"/>
          <w:lang w:eastAsia="en-AU"/>
        </w:rPr>
        <w:t>;</w:t>
      </w:r>
    </w:p>
    <w:p w14:paraId="2C406F87" w14:textId="2BD8F3FC" w:rsidR="00743D09" w:rsidRPr="00190498" w:rsidRDefault="005A6F1A" w:rsidP="00AF4446">
      <w:pPr>
        <w:pStyle w:val="ListParagraph"/>
        <w:numPr>
          <w:ilvl w:val="0"/>
          <w:numId w:val="10"/>
        </w:numPr>
        <w:spacing w:after="0"/>
        <w:rPr>
          <w:rFonts w:asciiTheme="minorHAnsi" w:hAnsiTheme="minorHAnsi" w:cstheme="minorHAnsi"/>
          <w:lang w:eastAsia="en-AU"/>
        </w:rPr>
      </w:pPr>
      <w:r w:rsidRPr="00190498">
        <w:rPr>
          <w:rFonts w:asciiTheme="minorHAnsi" w:hAnsiTheme="minorHAnsi" w:cstheme="minorHAnsi"/>
          <w:lang w:eastAsia="en-AU"/>
        </w:rPr>
        <w:t>other tuition protection requirements related to special circumstances.</w:t>
      </w:r>
    </w:p>
    <w:p w14:paraId="7DD35F0B" w14:textId="77777777" w:rsidR="00AF4446" w:rsidRPr="00190498" w:rsidRDefault="00AF4446" w:rsidP="00743D09">
      <w:pPr>
        <w:rPr>
          <w:rFonts w:asciiTheme="minorHAnsi" w:hAnsiTheme="minorHAnsi" w:cstheme="minorHAnsi"/>
          <w:lang w:eastAsia="en-AU"/>
        </w:rPr>
      </w:pPr>
    </w:p>
    <w:p w14:paraId="3F0348F0" w14:textId="68396B39" w:rsidR="00743D09" w:rsidRPr="00190498" w:rsidRDefault="00743D09" w:rsidP="00743D09">
      <w:pPr>
        <w:rPr>
          <w:rFonts w:asciiTheme="minorHAnsi" w:hAnsiTheme="minorHAnsi" w:cstheme="minorHAnsi"/>
          <w:lang w:eastAsia="en-AU"/>
        </w:rPr>
      </w:pPr>
      <w:r w:rsidRPr="00190498">
        <w:rPr>
          <w:rFonts w:asciiTheme="minorHAnsi" w:hAnsiTheme="minorHAnsi" w:cstheme="minorHAnsi"/>
          <w:lang w:eastAsia="en-AU"/>
        </w:rPr>
        <w:t xml:space="preserve">The Amendment Guidelines also make technical amendments to the Guidelines to reflect changes made to HESA through Schedule 4 of the Job-Ready Graduates Act, including </w:t>
      </w:r>
      <w:r w:rsidRPr="00190498">
        <w:rPr>
          <w:rFonts w:asciiTheme="minorHAnsi" w:hAnsiTheme="minorHAnsi" w:cstheme="minorHAnsi"/>
          <w:lang w:eastAsia="en-AU"/>
        </w:rPr>
        <w:lastRenderedPageBreak/>
        <w:t xml:space="preserve">extending the application of certain provisions in the Guidelines to all higher education providers and updating references to sections of HESA.  </w:t>
      </w:r>
    </w:p>
    <w:p w14:paraId="223518BB" w14:textId="74104530" w:rsidR="00E67973" w:rsidRPr="00190498" w:rsidRDefault="00E67973" w:rsidP="00E67973">
      <w:pPr>
        <w:pStyle w:val="Heading2"/>
        <w:rPr>
          <w:rFonts w:asciiTheme="minorHAnsi" w:hAnsiTheme="minorHAnsi" w:cstheme="minorHAnsi"/>
        </w:rPr>
      </w:pPr>
      <w:r w:rsidRPr="00190498">
        <w:rPr>
          <w:rFonts w:asciiTheme="minorHAnsi" w:hAnsiTheme="minorHAnsi" w:cstheme="minorHAnsi"/>
        </w:rPr>
        <w:t>Human rights implications</w:t>
      </w:r>
    </w:p>
    <w:p w14:paraId="49F6EF8C" w14:textId="1D0D9E06" w:rsidR="00E410C4" w:rsidRPr="00190498" w:rsidRDefault="00E410C4" w:rsidP="00E67973">
      <w:pPr>
        <w:rPr>
          <w:rFonts w:asciiTheme="minorHAnsi" w:hAnsiTheme="minorHAnsi" w:cstheme="minorHAnsi"/>
          <w:i/>
          <w:iCs/>
        </w:rPr>
      </w:pPr>
      <w:r w:rsidRPr="00190498">
        <w:rPr>
          <w:rFonts w:asciiTheme="minorHAnsi" w:hAnsiTheme="minorHAnsi" w:cstheme="minorHAnsi"/>
          <w:i/>
          <w:iCs/>
        </w:rPr>
        <w:t xml:space="preserve">Right to Education </w:t>
      </w:r>
    </w:p>
    <w:p w14:paraId="587DDA3C" w14:textId="168C32CB" w:rsidR="002B61D4" w:rsidRPr="00190498" w:rsidRDefault="002B61D4" w:rsidP="002B61D4">
      <w:pPr>
        <w:rPr>
          <w:rFonts w:asciiTheme="minorHAnsi" w:hAnsiTheme="minorHAnsi" w:cstheme="minorHAnsi"/>
        </w:rPr>
      </w:pPr>
      <w:r w:rsidRPr="00190498">
        <w:rPr>
          <w:rFonts w:asciiTheme="minorHAnsi" w:hAnsiTheme="minorHAnsi" w:cstheme="minorHAnsi"/>
        </w:rPr>
        <w:t xml:space="preserve">The Amendment Guidelines engage the right to education, which is set out in Article 13 of the </w:t>
      </w:r>
      <w:r w:rsidR="0024407E" w:rsidRPr="00190498">
        <w:rPr>
          <w:rFonts w:asciiTheme="minorHAnsi" w:hAnsiTheme="minorHAnsi" w:cstheme="minorHAnsi"/>
        </w:rPr>
        <w:t>International Covenant on Economic, Social and Cultural Rights (</w:t>
      </w:r>
      <w:r w:rsidRPr="00190498">
        <w:rPr>
          <w:rFonts w:asciiTheme="minorHAnsi" w:hAnsiTheme="minorHAnsi" w:cstheme="minorHAnsi"/>
          <w:b/>
          <w:bCs/>
        </w:rPr>
        <w:t>ICESCR</w:t>
      </w:r>
      <w:r w:rsidR="0024407E" w:rsidRPr="00190498">
        <w:rPr>
          <w:rFonts w:asciiTheme="minorHAnsi" w:hAnsiTheme="minorHAnsi" w:cstheme="minorHAnsi"/>
        </w:rPr>
        <w:t>)</w:t>
      </w:r>
      <w:r w:rsidRPr="00190498">
        <w:rPr>
          <w:rFonts w:asciiTheme="minorHAnsi" w:hAnsiTheme="minorHAnsi" w:cstheme="minorHAnsi"/>
        </w:rPr>
        <w:t xml:space="preserve">. Article 13 recognises the important personal, societal, economic and intellectual benefits of education. Article 13 provides that secondary education in its different forms, including higher education, shall be made generally available and accessible to all by every appropriate means. </w:t>
      </w:r>
    </w:p>
    <w:p w14:paraId="2E740C8B" w14:textId="63DDFB4C" w:rsidR="00E410C4" w:rsidRPr="00190498" w:rsidRDefault="0024407E" w:rsidP="00E67973">
      <w:pPr>
        <w:rPr>
          <w:rFonts w:asciiTheme="minorHAnsi" w:hAnsiTheme="minorHAnsi" w:cstheme="minorHAnsi"/>
        </w:rPr>
      </w:pPr>
      <w:r w:rsidRPr="00190498">
        <w:rPr>
          <w:rFonts w:asciiTheme="minorHAnsi" w:hAnsiTheme="minorHAnsi" w:cstheme="minorHAnsi"/>
        </w:rPr>
        <w:t xml:space="preserve">The Amendment Guidelines set out the administrative and technical details to support the changes made to HESA made through the Tuition Protection Act and Job-Ready Graduates Act. As a result, the Amendment Guidelines also promote the right to education as </w:t>
      </w:r>
      <w:r w:rsidR="007D46EB" w:rsidRPr="00190498">
        <w:rPr>
          <w:rFonts w:asciiTheme="minorHAnsi" w:hAnsiTheme="minorHAnsi" w:cstheme="minorHAnsi"/>
        </w:rPr>
        <w:t>they are</w:t>
      </w:r>
      <w:r w:rsidRPr="00190498">
        <w:rPr>
          <w:rFonts w:asciiTheme="minorHAnsi" w:hAnsiTheme="minorHAnsi" w:cstheme="minorHAnsi"/>
        </w:rPr>
        <w:t xml:space="preserve"> designed to support students in the event of a provider default (through tuition protection requirements) and give effect to the changes made through the Job-Ready Graduates Act to improve access to higher education for students.</w:t>
      </w:r>
    </w:p>
    <w:p w14:paraId="01A82841" w14:textId="3F0550BB" w:rsidR="001E5591" w:rsidRPr="00190498" w:rsidRDefault="001E5591" w:rsidP="00E67973">
      <w:pPr>
        <w:rPr>
          <w:rFonts w:asciiTheme="minorHAnsi" w:hAnsiTheme="minorHAnsi" w:cstheme="minorHAnsi"/>
          <w:i/>
          <w:iCs/>
        </w:rPr>
      </w:pPr>
      <w:r w:rsidRPr="00190498">
        <w:rPr>
          <w:rFonts w:asciiTheme="minorHAnsi" w:hAnsiTheme="minorHAnsi" w:cstheme="minorHAnsi"/>
          <w:i/>
          <w:iCs/>
        </w:rPr>
        <w:t>Right to Privacy</w:t>
      </w:r>
    </w:p>
    <w:p w14:paraId="24F79D60" w14:textId="26AA8588" w:rsidR="00F57398" w:rsidRPr="00190498" w:rsidRDefault="00F57398" w:rsidP="00F57398">
      <w:pPr>
        <w:rPr>
          <w:rStyle w:val="Hyperlink"/>
          <w:rFonts w:asciiTheme="minorHAnsi" w:hAnsiTheme="minorHAnsi" w:cstheme="minorHAnsi"/>
          <w:color w:val="auto"/>
          <w:u w:val="none"/>
        </w:rPr>
      </w:pPr>
      <w:r w:rsidRPr="00190498">
        <w:rPr>
          <w:rStyle w:val="Hyperlink"/>
          <w:rFonts w:asciiTheme="minorHAnsi" w:hAnsiTheme="minorHAnsi" w:cstheme="minorHAnsi"/>
          <w:color w:val="auto"/>
          <w:u w:val="none"/>
        </w:rPr>
        <w:t xml:space="preserve">The Amendment Guidelines indirectly engage the right to privacy, under Article 17 of the </w:t>
      </w:r>
      <w:r w:rsidRPr="00190498">
        <w:rPr>
          <w:rStyle w:val="Hyperlink"/>
          <w:rFonts w:asciiTheme="minorHAnsi" w:hAnsiTheme="minorHAnsi" w:cstheme="minorHAnsi"/>
          <w:i/>
          <w:color w:val="auto"/>
          <w:u w:val="none"/>
        </w:rPr>
        <w:t>International Covenant on Civil and Political Rights</w:t>
      </w:r>
      <w:r w:rsidRPr="00190498">
        <w:rPr>
          <w:rStyle w:val="Hyperlink"/>
          <w:rFonts w:asciiTheme="minorHAnsi" w:hAnsiTheme="minorHAnsi" w:cstheme="minorHAnsi"/>
          <w:color w:val="auto"/>
          <w:u w:val="none"/>
        </w:rPr>
        <w:t xml:space="preserve"> (</w:t>
      </w:r>
      <w:r w:rsidRPr="00190498">
        <w:rPr>
          <w:rStyle w:val="Hyperlink"/>
          <w:rFonts w:asciiTheme="minorHAnsi" w:hAnsiTheme="minorHAnsi" w:cstheme="minorHAnsi"/>
          <w:b/>
          <w:bCs/>
          <w:color w:val="auto"/>
          <w:u w:val="none"/>
        </w:rPr>
        <w:t>ICCPR</w:t>
      </w:r>
      <w:r w:rsidRPr="00190498">
        <w:rPr>
          <w:rStyle w:val="Hyperlink"/>
          <w:rFonts w:asciiTheme="minorHAnsi" w:hAnsiTheme="minorHAnsi" w:cstheme="minorHAnsi"/>
          <w:color w:val="auto"/>
          <w:u w:val="none"/>
        </w:rPr>
        <w:t xml:space="preserve">), which provides that no one shall be subjected to arbitrary or unlawful interference with their privacy, family, home or correspondence, nor to unlawful attacks on their honour and reputation and that everyone has the right to the protection of the law against such interference or attacks. </w:t>
      </w:r>
    </w:p>
    <w:p w14:paraId="74E0AC54" w14:textId="77777777" w:rsidR="00F57398" w:rsidRPr="00190498" w:rsidRDefault="00F57398" w:rsidP="00F57398">
      <w:pPr>
        <w:rPr>
          <w:rFonts w:asciiTheme="minorHAnsi" w:hAnsiTheme="minorHAnsi" w:cstheme="minorHAnsi"/>
        </w:rPr>
      </w:pPr>
      <w:r w:rsidRPr="00190498">
        <w:rPr>
          <w:rFonts w:asciiTheme="minorHAnsi" w:hAnsiTheme="minorHAnsi" w:cstheme="minorHAnsi"/>
        </w:rPr>
        <w:t>The right to privacy can be permissibly limited in order to achieve a legitimate objective and where the limitations are lawful and not arbitrary. Authorised disclosure of personal information also invokes the exception in Australian Privacy Principle (</w:t>
      </w:r>
      <w:r w:rsidRPr="00190498">
        <w:rPr>
          <w:rFonts w:asciiTheme="minorHAnsi" w:hAnsiTheme="minorHAnsi" w:cstheme="minorHAnsi"/>
          <w:b/>
          <w:bCs/>
        </w:rPr>
        <w:t>APP</w:t>
      </w:r>
      <w:r w:rsidRPr="00190498">
        <w:rPr>
          <w:rFonts w:asciiTheme="minorHAnsi" w:hAnsiTheme="minorHAnsi" w:cstheme="minorHAnsi"/>
        </w:rPr>
        <w:t xml:space="preserve">) 6.2(b) in Schedule 1 to the </w:t>
      </w:r>
      <w:r w:rsidRPr="00190498">
        <w:rPr>
          <w:rFonts w:asciiTheme="minorHAnsi" w:hAnsiTheme="minorHAnsi" w:cstheme="minorHAnsi"/>
          <w:i/>
          <w:iCs/>
        </w:rPr>
        <w:t>Privacy Act 1988</w:t>
      </w:r>
      <w:r w:rsidRPr="00190498">
        <w:rPr>
          <w:rFonts w:asciiTheme="minorHAnsi" w:hAnsiTheme="minorHAnsi" w:cstheme="minorHAnsi"/>
        </w:rPr>
        <w:t xml:space="preserve"> (</w:t>
      </w:r>
      <w:r w:rsidRPr="00190498">
        <w:rPr>
          <w:rFonts w:asciiTheme="minorHAnsi" w:hAnsiTheme="minorHAnsi" w:cstheme="minorHAnsi"/>
          <w:b/>
          <w:bCs/>
        </w:rPr>
        <w:t>Privacy Act</w:t>
      </w:r>
      <w:r w:rsidRPr="00190498">
        <w:rPr>
          <w:rFonts w:asciiTheme="minorHAnsi" w:hAnsiTheme="minorHAnsi" w:cstheme="minorHAnsi"/>
        </w:rPr>
        <w:t>), which permits the disclosure of an individual’s personal information for a secondary purpose where the disclosure is authorised by law.</w:t>
      </w:r>
    </w:p>
    <w:p w14:paraId="3759FA55" w14:textId="55FE907D" w:rsidR="00F57398" w:rsidRPr="00190498" w:rsidRDefault="00F57398" w:rsidP="00F57398">
      <w:pPr>
        <w:rPr>
          <w:rStyle w:val="Hyperlink"/>
          <w:rFonts w:asciiTheme="minorHAnsi" w:hAnsiTheme="minorHAnsi" w:cstheme="minorHAnsi"/>
        </w:rPr>
      </w:pPr>
      <w:r w:rsidRPr="00190498">
        <w:rPr>
          <w:rFonts w:asciiTheme="minorHAnsi" w:hAnsiTheme="minorHAnsi" w:cstheme="minorHAnsi"/>
        </w:rPr>
        <w:t xml:space="preserve">In this case, the legitimate objective is the protection and support of </w:t>
      </w:r>
      <w:r w:rsidR="007A37CE" w:rsidRPr="00190498">
        <w:rPr>
          <w:rFonts w:asciiTheme="minorHAnsi" w:hAnsiTheme="minorHAnsi" w:cstheme="minorHAnsi"/>
        </w:rPr>
        <w:t xml:space="preserve">FEE-HELP and </w:t>
      </w:r>
      <w:r w:rsidR="007D46EB" w:rsidRPr="00190498">
        <w:rPr>
          <w:rFonts w:asciiTheme="minorHAnsi" w:hAnsiTheme="minorHAnsi" w:cstheme="minorHAnsi"/>
        </w:rPr>
        <w:br/>
      </w:r>
      <w:r w:rsidR="007A37CE" w:rsidRPr="00190498">
        <w:rPr>
          <w:rFonts w:asciiTheme="minorHAnsi" w:hAnsiTheme="minorHAnsi" w:cstheme="minorHAnsi"/>
        </w:rPr>
        <w:t>HECS-HELP</w:t>
      </w:r>
      <w:r w:rsidRPr="00190498">
        <w:rPr>
          <w:rFonts w:asciiTheme="minorHAnsi" w:hAnsiTheme="minorHAnsi" w:cstheme="minorHAnsi"/>
        </w:rPr>
        <w:t xml:space="preserve"> students in the event that their private higher education provider defaults, through the Australian Government’s </w:t>
      </w:r>
      <w:r w:rsidR="007D46EB" w:rsidRPr="00190498">
        <w:rPr>
          <w:rFonts w:asciiTheme="minorHAnsi" w:hAnsiTheme="minorHAnsi" w:cstheme="minorHAnsi"/>
        </w:rPr>
        <w:t>Tuition Protection Service (</w:t>
      </w:r>
      <w:r w:rsidRPr="00190498">
        <w:rPr>
          <w:rFonts w:asciiTheme="minorHAnsi" w:hAnsiTheme="minorHAnsi" w:cstheme="minorHAnsi"/>
          <w:b/>
          <w:bCs/>
        </w:rPr>
        <w:t>TPS</w:t>
      </w:r>
      <w:r w:rsidR="007D46EB" w:rsidRPr="00190498">
        <w:rPr>
          <w:rFonts w:asciiTheme="minorHAnsi" w:hAnsiTheme="minorHAnsi" w:cstheme="minorHAnsi"/>
        </w:rPr>
        <w:t>)</w:t>
      </w:r>
      <w:r w:rsidRPr="00190498">
        <w:rPr>
          <w:rFonts w:asciiTheme="minorHAnsi" w:hAnsiTheme="minorHAnsi" w:cstheme="minorHAnsi"/>
        </w:rPr>
        <w:t xml:space="preserve"> arrangements, which the Amendment Guidelines </w:t>
      </w:r>
      <w:r w:rsidR="007D46EB" w:rsidRPr="00190498">
        <w:rPr>
          <w:rFonts w:asciiTheme="minorHAnsi" w:hAnsiTheme="minorHAnsi" w:cstheme="minorHAnsi"/>
        </w:rPr>
        <w:t xml:space="preserve">supports by </w:t>
      </w:r>
      <w:r w:rsidRPr="00190498">
        <w:rPr>
          <w:rFonts w:asciiTheme="minorHAnsi" w:hAnsiTheme="minorHAnsi" w:cstheme="minorHAnsi"/>
        </w:rPr>
        <w:t>set</w:t>
      </w:r>
      <w:r w:rsidR="007D46EB" w:rsidRPr="00190498">
        <w:rPr>
          <w:rFonts w:asciiTheme="minorHAnsi" w:hAnsiTheme="minorHAnsi" w:cstheme="minorHAnsi"/>
        </w:rPr>
        <w:t>ting</w:t>
      </w:r>
      <w:r w:rsidRPr="00190498">
        <w:rPr>
          <w:rFonts w:asciiTheme="minorHAnsi" w:hAnsiTheme="minorHAnsi" w:cstheme="minorHAnsi"/>
        </w:rPr>
        <w:t xml:space="preserve"> out the procedural and administrative requirements to </w:t>
      </w:r>
      <w:r w:rsidR="007D46EB" w:rsidRPr="00190498">
        <w:rPr>
          <w:rFonts w:asciiTheme="minorHAnsi" w:hAnsiTheme="minorHAnsi" w:cstheme="minorHAnsi"/>
        </w:rPr>
        <w:t xml:space="preserve">reflect </w:t>
      </w:r>
      <w:r w:rsidRPr="00190498">
        <w:rPr>
          <w:rFonts w:asciiTheme="minorHAnsi" w:hAnsiTheme="minorHAnsi" w:cstheme="minorHAnsi"/>
        </w:rPr>
        <w:t xml:space="preserve">the amendments made to HESA through Schedule 2 of the Tuition Protection Act. </w:t>
      </w:r>
    </w:p>
    <w:p w14:paraId="7341C7D3" w14:textId="0BC28F94" w:rsidR="0094071B" w:rsidRPr="00190498" w:rsidRDefault="00F57398" w:rsidP="0094071B">
      <w:pPr>
        <w:spacing w:after="0"/>
        <w:rPr>
          <w:rFonts w:asciiTheme="minorHAnsi" w:hAnsiTheme="minorHAnsi" w:cstheme="minorHAnsi"/>
        </w:rPr>
      </w:pPr>
      <w:r w:rsidRPr="00190498">
        <w:rPr>
          <w:rFonts w:asciiTheme="minorHAnsi" w:hAnsiTheme="minorHAnsi" w:cstheme="minorHAnsi"/>
        </w:rPr>
        <w:t xml:space="preserve">Higher </w:t>
      </w:r>
      <w:r w:rsidR="007A37CE" w:rsidRPr="00190498">
        <w:rPr>
          <w:rFonts w:asciiTheme="minorHAnsi" w:hAnsiTheme="minorHAnsi" w:cstheme="minorHAnsi"/>
        </w:rPr>
        <w:t>e</w:t>
      </w:r>
      <w:r w:rsidRPr="00190498">
        <w:rPr>
          <w:rFonts w:asciiTheme="minorHAnsi" w:hAnsiTheme="minorHAnsi" w:cstheme="minorHAnsi"/>
        </w:rPr>
        <w:t xml:space="preserve">ducation providers to whom Part 5-1A applies, will have additional requirements to meet in notifying the Director in the written notice given under subsection 166-15(3) of HESA. It will include collection of a student’s personal information (including contact information), which is reasonably necessary to be collected to enable the Director to contact students and take steps to assist the student should the provider fail to discharge its obligations under HESA. </w:t>
      </w:r>
      <w:r w:rsidR="0094071B" w:rsidRPr="00190498">
        <w:rPr>
          <w:rFonts w:asciiTheme="minorHAnsi" w:hAnsiTheme="minorHAnsi" w:cstheme="minorHAnsi"/>
        </w:rPr>
        <w:t xml:space="preserve">Subsequently, the Director’s collection, use and disclosure of personal information from providers about their domestic higher education students </w:t>
      </w:r>
      <w:r w:rsidR="0094071B" w:rsidRPr="00190498">
        <w:rPr>
          <w:rFonts w:asciiTheme="minorHAnsi" w:hAnsiTheme="minorHAnsi" w:cstheme="minorHAnsi"/>
        </w:rPr>
        <w:lastRenderedPageBreak/>
        <w:t>affected by provider default is reasonable, proportionate and necessary to support the effective administration of tuition protection to quickly and effectively assist students when a provider defaults. The Director is also required to comply with the relevant APPs regarding the collection, use and disclosure of this personal information.</w:t>
      </w:r>
      <w:r w:rsidR="00AA50E5" w:rsidRPr="00190498">
        <w:rPr>
          <w:rFonts w:asciiTheme="minorHAnsi" w:hAnsiTheme="minorHAnsi" w:cstheme="minorHAnsi"/>
        </w:rPr>
        <w:t xml:space="preserve"> </w:t>
      </w:r>
      <w:r w:rsidR="0094071B" w:rsidRPr="00190498">
        <w:rPr>
          <w:rFonts w:asciiTheme="minorHAnsi" w:hAnsiTheme="minorHAnsi" w:cstheme="minorHAnsi"/>
        </w:rPr>
        <w:t xml:space="preserve">Thus, the Amendment Guidelines </w:t>
      </w:r>
      <w:r w:rsidR="007D46EB" w:rsidRPr="00190498">
        <w:rPr>
          <w:rFonts w:asciiTheme="minorHAnsi" w:hAnsiTheme="minorHAnsi" w:cstheme="minorHAnsi"/>
        </w:rPr>
        <w:t>are</w:t>
      </w:r>
      <w:r w:rsidR="0094071B" w:rsidRPr="00190498">
        <w:rPr>
          <w:rFonts w:asciiTheme="minorHAnsi" w:hAnsiTheme="minorHAnsi" w:cstheme="minorHAnsi"/>
        </w:rPr>
        <w:t xml:space="preserve"> compatible with the right to privacy by ensuring that appropriate safeguards and limitations apply to persons who use and disclose personal information specified in the Amendment Guidelines</w:t>
      </w:r>
      <w:r w:rsidR="00AA50E5" w:rsidRPr="00190498">
        <w:rPr>
          <w:rFonts w:asciiTheme="minorHAnsi" w:hAnsiTheme="minorHAnsi" w:cstheme="minorHAnsi"/>
        </w:rPr>
        <w:t xml:space="preserve">. </w:t>
      </w:r>
    </w:p>
    <w:p w14:paraId="1D896C0B" w14:textId="3C02995E" w:rsidR="00AA50E5" w:rsidRPr="00190498" w:rsidRDefault="00AA50E5" w:rsidP="0094071B">
      <w:pPr>
        <w:spacing w:after="0"/>
        <w:rPr>
          <w:rFonts w:asciiTheme="minorHAnsi" w:hAnsiTheme="minorHAnsi" w:cstheme="minorHAnsi"/>
        </w:rPr>
      </w:pPr>
    </w:p>
    <w:p w14:paraId="24CAC032" w14:textId="352A256D" w:rsidR="00AA50E5" w:rsidRPr="00190498" w:rsidRDefault="00AA50E5" w:rsidP="00AA50E5">
      <w:pPr>
        <w:spacing w:after="0"/>
        <w:rPr>
          <w:rFonts w:asciiTheme="minorHAnsi" w:hAnsiTheme="minorHAnsi" w:cstheme="minorHAnsi"/>
        </w:rPr>
      </w:pPr>
      <w:r w:rsidRPr="00190498">
        <w:rPr>
          <w:rFonts w:asciiTheme="minorHAnsi" w:hAnsiTheme="minorHAnsi" w:cstheme="minorHAnsi"/>
        </w:rPr>
        <w:t xml:space="preserve">The Amendment Guidelines do not otherwise engage any human rights noting that the changes made to the Guidelines impose obligations on higher education providers, but do not impose obligations on, or </w:t>
      </w:r>
      <w:r w:rsidR="003D18B0" w:rsidRPr="00190498">
        <w:rPr>
          <w:rFonts w:asciiTheme="minorHAnsi" w:hAnsiTheme="minorHAnsi" w:cstheme="minorHAnsi"/>
        </w:rPr>
        <w:t xml:space="preserve">otherwise </w:t>
      </w:r>
      <w:r w:rsidRPr="00190498">
        <w:rPr>
          <w:rFonts w:asciiTheme="minorHAnsi" w:hAnsiTheme="minorHAnsi" w:cstheme="minorHAnsi"/>
        </w:rPr>
        <w:t>affect the rights of, individuals</w:t>
      </w:r>
      <w:r w:rsidR="003D18B0" w:rsidRPr="00190498">
        <w:rPr>
          <w:rFonts w:asciiTheme="minorHAnsi" w:hAnsiTheme="minorHAnsi" w:cstheme="minorHAnsi"/>
        </w:rPr>
        <w:t xml:space="preserve"> (subject to the discussion above)</w:t>
      </w:r>
      <w:r w:rsidRPr="00190498">
        <w:rPr>
          <w:rFonts w:asciiTheme="minorHAnsi" w:hAnsiTheme="minorHAnsi" w:cstheme="minorHAnsi"/>
        </w:rPr>
        <w:t xml:space="preserve">. </w:t>
      </w:r>
    </w:p>
    <w:p w14:paraId="55F799D8" w14:textId="77777777" w:rsidR="00AA50E5" w:rsidRPr="00190498" w:rsidRDefault="00AA50E5" w:rsidP="00AA50E5">
      <w:pPr>
        <w:spacing w:after="0"/>
        <w:rPr>
          <w:rFonts w:asciiTheme="minorHAnsi" w:hAnsiTheme="minorHAnsi" w:cstheme="minorHAnsi"/>
        </w:rPr>
      </w:pPr>
    </w:p>
    <w:p w14:paraId="113BF983" w14:textId="5C04D6A1" w:rsidR="00AA50E5" w:rsidRPr="00190498" w:rsidRDefault="00AA50E5" w:rsidP="00AA50E5">
      <w:pPr>
        <w:spacing w:after="0"/>
        <w:rPr>
          <w:rFonts w:asciiTheme="minorHAnsi" w:hAnsiTheme="minorHAnsi" w:cstheme="minorHAnsi"/>
        </w:rPr>
      </w:pPr>
      <w:bookmarkStart w:id="2" w:name="_Hlk58327893"/>
      <w:r w:rsidRPr="00190498">
        <w:rPr>
          <w:rFonts w:asciiTheme="minorHAnsi" w:hAnsiTheme="minorHAnsi" w:cstheme="minorHAnsi"/>
        </w:rPr>
        <w:t xml:space="preserve">A detailed explanation of the human rights engaged by the enabling legislation is set out in the </w:t>
      </w:r>
      <w:r w:rsidRPr="00190498">
        <w:rPr>
          <w:rFonts w:asciiTheme="minorHAnsi" w:hAnsiTheme="minorHAnsi" w:cstheme="minorHAnsi"/>
          <w:i/>
        </w:rPr>
        <w:t>Statement of Compatibility with Humans Rights</w:t>
      </w:r>
      <w:r w:rsidRPr="00190498">
        <w:rPr>
          <w:rFonts w:asciiTheme="minorHAnsi" w:hAnsiTheme="minorHAnsi" w:cstheme="minorHAnsi"/>
        </w:rPr>
        <w:t xml:space="preserve"> for the Education Legislation Amendment (Up-front Payments Tuition Protection) Bill 2020 and appended to the Explanatory Memorandum for that Bill. The Explanatory Memorandum can be found at:</w:t>
      </w:r>
    </w:p>
    <w:p w14:paraId="44DFC4AC" w14:textId="16D5CEF6" w:rsidR="00AA50E5" w:rsidRPr="00190498" w:rsidRDefault="00AA18F1" w:rsidP="00AA50E5">
      <w:pPr>
        <w:spacing w:after="0"/>
        <w:rPr>
          <w:rFonts w:asciiTheme="minorHAnsi" w:hAnsiTheme="minorHAnsi" w:cstheme="minorHAnsi"/>
        </w:rPr>
      </w:pPr>
      <w:hyperlink r:id="rId13" w:history="1">
        <w:r w:rsidR="00AA50E5" w:rsidRPr="00190498">
          <w:rPr>
            <w:rStyle w:val="Hyperlink"/>
            <w:rFonts w:asciiTheme="minorHAnsi" w:hAnsiTheme="minorHAnsi" w:cstheme="minorHAnsi"/>
          </w:rPr>
          <w:t>https://www.aph.gov.au/Parliamentary_Business/Bills_Legislation/Bills_Search_Results/Result?bId=r6576</w:t>
        </w:r>
      </w:hyperlink>
    </w:p>
    <w:bookmarkEnd w:id="2"/>
    <w:p w14:paraId="23715E87" w14:textId="77777777" w:rsidR="00AA50E5" w:rsidRPr="00190498" w:rsidRDefault="00AA50E5" w:rsidP="00AA50E5">
      <w:pPr>
        <w:spacing w:after="0"/>
        <w:rPr>
          <w:rFonts w:asciiTheme="minorHAnsi" w:hAnsiTheme="minorHAnsi" w:cstheme="minorHAnsi"/>
          <w:u w:val="single"/>
        </w:rPr>
      </w:pPr>
    </w:p>
    <w:p w14:paraId="5788C928" w14:textId="77777777" w:rsidR="00AA50E5" w:rsidRPr="00190498" w:rsidRDefault="00AA50E5" w:rsidP="00AA50E5">
      <w:pPr>
        <w:spacing w:after="0"/>
        <w:rPr>
          <w:rFonts w:asciiTheme="minorHAnsi" w:hAnsiTheme="minorHAnsi" w:cstheme="minorHAnsi"/>
        </w:rPr>
      </w:pPr>
      <w:r w:rsidRPr="00190498">
        <w:rPr>
          <w:rFonts w:asciiTheme="minorHAnsi" w:hAnsiTheme="minorHAnsi" w:cstheme="minorHAnsi"/>
        </w:rPr>
        <w:t xml:space="preserve">Similarly, a </w:t>
      </w:r>
      <w:r w:rsidRPr="00190498">
        <w:rPr>
          <w:rFonts w:asciiTheme="minorHAnsi" w:hAnsiTheme="minorHAnsi" w:cstheme="minorHAnsi"/>
          <w:i/>
        </w:rPr>
        <w:t>Statement of Compatibility with Humans Rights</w:t>
      </w:r>
      <w:r w:rsidRPr="00190498">
        <w:rPr>
          <w:rFonts w:asciiTheme="minorHAnsi" w:hAnsiTheme="minorHAnsi" w:cstheme="minorHAnsi"/>
        </w:rPr>
        <w:t xml:space="preserve"> was prepared for the Higher Education Support Amendment (Job-Ready Graduates and Supporting Regional and Remote Students) Bill 2020 and appended to the Explanatory Memorandum for that Bill. The Explanatory Memorandum can be found at:</w:t>
      </w:r>
    </w:p>
    <w:p w14:paraId="4AC28DE7" w14:textId="437A771D" w:rsidR="00AA50E5" w:rsidRPr="00190498" w:rsidRDefault="00AA18F1" w:rsidP="0094071B">
      <w:pPr>
        <w:spacing w:after="0"/>
        <w:rPr>
          <w:rFonts w:asciiTheme="minorHAnsi" w:hAnsiTheme="minorHAnsi" w:cstheme="minorHAnsi"/>
        </w:rPr>
      </w:pPr>
      <w:hyperlink r:id="rId14" w:history="1">
        <w:r w:rsidR="00AA50E5" w:rsidRPr="00190498">
          <w:rPr>
            <w:rStyle w:val="Hyperlink"/>
            <w:rFonts w:asciiTheme="minorHAnsi" w:hAnsiTheme="minorHAnsi" w:cstheme="minorHAnsi"/>
          </w:rPr>
          <w:t>https://www.aph.gov.au/Parliamentary_Business/Bills_LEGislation/Bills_Search_Results/Result?bId=r6584</w:t>
        </w:r>
      </w:hyperlink>
      <w:r w:rsidR="00AA50E5" w:rsidRPr="00190498">
        <w:rPr>
          <w:rFonts w:asciiTheme="minorHAnsi" w:hAnsiTheme="minorHAnsi" w:cstheme="minorHAnsi"/>
        </w:rPr>
        <w:t xml:space="preserve"> </w:t>
      </w:r>
    </w:p>
    <w:p w14:paraId="3F992CBE" w14:textId="77777777" w:rsidR="00E67973" w:rsidRPr="00190498" w:rsidRDefault="00E67973" w:rsidP="00E67973">
      <w:pPr>
        <w:pStyle w:val="Heading2"/>
        <w:rPr>
          <w:rFonts w:asciiTheme="minorHAnsi" w:hAnsiTheme="minorHAnsi" w:cstheme="minorHAnsi"/>
        </w:rPr>
      </w:pPr>
      <w:r w:rsidRPr="00190498">
        <w:rPr>
          <w:rFonts w:asciiTheme="minorHAnsi" w:hAnsiTheme="minorHAnsi" w:cstheme="minorHAnsi"/>
        </w:rPr>
        <w:t>Conclusion</w:t>
      </w:r>
    </w:p>
    <w:p w14:paraId="267D1823" w14:textId="36C1C613" w:rsidR="00FF13AB" w:rsidRPr="00190498" w:rsidRDefault="005A3E85">
      <w:pPr>
        <w:rPr>
          <w:rFonts w:asciiTheme="minorHAnsi" w:hAnsiTheme="minorHAnsi" w:cstheme="minorHAnsi"/>
        </w:rPr>
      </w:pPr>
      <w:r w:rsidRPr="00190498">
        <w:rPr>
          <w:rFonts w:asciiTheme="minorHAnsi" w:hAnsiTheme="minorHAnsi" w:cstheme="minorHAnsi"/>
        </w:rPr>
        <w:t>The Amendment Guidelines</w:t>
      </w:r>
      <w:r w:rsidR="0059751B" w:rsidRPr="00190498">
        <w:rPr>
          <w:rFonts w:asciiTheme="minorHAnsi" w:hAnsiTheme="minorHAnsi" w:cstheme="minorHAnsi"/>
        </w:rPr>
        <w:t xml:space="preserve"> </w:t>
      </w:r>
      <w:r w:rsidRPr="00190498">
        <w:rPr>
          <w:rFonts w:asciiTheme="minorHAnsi" w:hAnsiTheme="minorHAnsi" w:cstheme="minorHAnsi"/>
        </w:rPr>
        <w:t>are</w:t>
      </w:r>
      <w:r w:rsidR="0059751B" w:rsidRPr="00190498">
        <w:rPr>
          <w:rFonts w:asciiTheme="minorHAnsi" w:hAnsiTheme="minorHAnsi" w:cstheme="minorHAnsi"/>
        </w:rPr>
        <w:t xml:space="preserve"> </w:t>
      </w:r>
      <w:r w:rsidR="00E67973" w:rsidRPr="00190498">
        <w:rPr>
          <w:rFonts w:asciiTheme="minorHAnsi" w:hAnsiTheme="minorHAnsi" w:cstheme="minorHAnsi"/>
        </w:rPr>
        <w:t>compatible with human rights</w:t>
      </w:r>
      <w:r w:rsidR="00E410C4" w:rsidRPr="00190498">
        <w:rPr>
          <w:rFonts w:asciiTheme="minorHAnsi" w:hAnsiTheme="minorHAnsi" w:cstheme="minorHAnsi"/>
        </w:rPr>
        <w:t xml:space="preserve"> because </w:t>
      </w:r>
      <w:r w:rsidR="007D46EB" w:rsidRPr="00190498">
        <w:rPr>
          <w:rFonts w:asciiTheme="minorHAnsi" w:hAnsiTheme="minorHAnsi" w:cstheme="minorHAnsi"/>
        </w:rPr>
        <w:t>they</w:t>
      </w:r>
      <w:r w:rsidR="00E410C4" w:rsidRPr="00190498">
        <w:rPr>
          <w:rFonts w:asciiTheme="minorHAnsi" w:hAnsiTheme="minorHAnsi" w:cstheme="minorHAnsi"/>
        </w:rPr>
        <w:t xml:space="preserve"> promote the protection of human rights</w:t>
      </w:r>
      <w:r w:rsidR="00E67973" w:rsidRPr="00190498">
        <w:rPr>
          <w:rFonts w:asciiTheme="minorHAnsi" w:hAnsiTheme="minorHAnsi" w:cstheme="minorHAnsi"/>
        </w:rPr>
        <w:t>.</w:t>
      </w:r>
    </w:p>
    <w:p w14:paraId="210FE89A" w14:textId="77777777" w:rsidR="00E410C4" w:rsidRPr="00190498" w:rsidRDefault="00E410C4">
      <w:pPr>
        <w:rPr>
          <w:rFonts w:asciiTheme="minorHAnsi" w:hAnsiTheme="minorHAnsi" w:cstheme="minorHAnsi"/>
        </w:rPr>
      </w:pPr>
    </w:p>
    <w:p w14:paraId="7E30A591" w14:textId="51EA2593" w:rsidR="00E410C4" w:rsidRPr="00190498" w:rsidRDefault="00E410C4" w:rsidP="00AF4446">
      <w:pPr>
        <w:spacing w:after="0"/>
        <w:jc w:val="center"/>
        <w:rPr>
          <w:rFonts w:asciiTheme="minorHAnsi" w:hAnsiTheme="minorHAnsi" w:cstheme="minorHAnsi"/>
          <w:b/>
          <w:bCs/>
        </w:rPr>
      </w:pPr>
      <w:r w:rsidRPr="00190498">
        <w:rPr>
          <w:rFonts w:asciiTheme="minorHAnsi" w:hAnsiTheme="minorHAnsi" w:cstheme="minorHAnsi"/>
          <w:b/>
          <w:bCs/>
        </w:rPr>
        <w:t>Minister for Education</w:t>
      </w:r>
    </w:p>
    <w:p w14:paraId="1EB0528B" w14:textId="418D8EC8" w:rsidR="00E410C4" w:rsidRPr="00AF4446" w:rsidRDefault="00E410C4" w:rsidP="00AF4446">
      <w:pPr>
        <w:spacing w:after="0"/>
        <w:jc w:val="center"/>
        <w:rPr>
          <w:rFonts w:asciiTheme="minorHAnsi" w:hAnsiTheme="minorHAnsi" w:cstheme="minorHAnsi"/>
          <w:b/>
          <w:bCs/>
        </w:rPr>
      </w:pPr>
      <w:r w:rsidRPr="00190498">
        <w:rPr>
          <w:rFonts w:asciiTheme="minorHAnsi" w:hAnsiTheme="minorHAnsi" w:cstheme="minorHAnsi"/>
          <w:b/>
          <w:bCs/>
        </w:rPr>
        <w:t>The Hon Dan Tehan</w:t>
      </w:r>
      <w:r w:rsidRPr="00AF4446">
        <w:rPr>
          <w:rFonts w:asciiTheme="minorHAnsi" w:hAnsiTheme="minorHAnsi" w:cstheme="minorHAnsi"/>
          <w:b/>
          <w:bCs/>
        </w:rPr>
        <w:t xml:space="preserve"> </w:t>
      </w:r>
    </w:p>
    <w:p w14:paraId="520C02E4" w14:textId="77777777" w:rsidR="00E67973" w:rsidRPr="00AF4446" w:rsidRDefault="00E67973">
      <w:pPr>
        <w:rPr>
          <w:rFonts w:asciiTheme="minorHAnsi" w:hAnsiTheme="minorHAnsi" w:cstheme="minorHAnsi"/>
        </w:rPr>
      </w:pPr>
    </w:p>
    <w:sectPr w:rsidR="00E67973" w:rsidRPr="00AF4446" w:rsidSect="005A020A">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C247" w14:textId="77777777" w:rsidR="00AA18F1" w:rsidRDefault="00AA18F1">
      <w:pPr>
        <w:spacing w:after="0"/>
      </w:pPr>
      <w:r>
        <w:separator/>
      </w:r>
    </w:p>
  </w:endnote>
  <w:endnote w:type="continuationSeparator" w:id="0">
    <w:p w14:paraId="4F655716" w14:textId="77777777" w:rsidR="00AA18F1" w:rsidRDefault="00AA18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559045"/>
      <w:docPartObj>
        <w:docPartGallery w:val="Page Numbers (Bottom of Page)"/>
        <w:docPartUnique/>
      </w:docPartObj>
    </w:sdtPr>
    <w:sdtEndPr>
      <w:rPr>
        <w:noProof/>
      </w:rPr>
    </w:sdtEndPr>
    <w:sdtContent>
      <w:p w14:paraId="5399CB12" w14:textId="09BF112F" w:rsidR="00931DF5" w:rsidRDefault="00931DF5">
        <w:pPr>
          <w:pStyle w:val="Footer"/>
          <w:jc w:val="center"/>
        </w:pPr>
        <w:r>
          <w:fldChar w:fldCharType="begin"/>
        </w:r>
        <w:r>
          <w:instrText xml:space="preserve"> PAGE   \* MERGEFORMAT </w:instrText>
        </w:r>
        <w:r>
          <w:fldChar w:fldCharType="separate"/>
        </w:r>
        <w:r w:rsidR="000F19CB">
          <w:rPr>
            <w:noProof/>
          </w:rPr>
          <w:t>14</w:t>
        </w:r>
        <w:r>
          <w:rPr>
            <w:noProof/>
          </w:rPr>
          <w:fldChar w:fldCharType="end"/>
        </w:r>
      </w:p>
    </w:sdtContent>
  </w:sdt>
  <w:p w14:paraId="189D2FF3" w14:textId="77777777" w:rsidR="00931DF5" w:rsidRDefault="0093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C7C2F" w14:textId="77777777" w:rsidR="00AA18F1" w:rsidRDefault="00AA18F1">
      <w:pPr>
        <w:spacing w:after="0"/>
      </w:pPr>
      <w:r>
        <w:separator/>
      </w:r>
    </w:p>
  </w:footnote>
  <w:footnote w:type="continuationSeparator" w:id="0">
    <w:p w14:paraId="26F9E243" w14:textId="77777777" w:rsidR="00AA18F1" w:rsidRDefault="00AA18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75F"/>
    <w:multiLevelType w:val="hybridMultilevel"/>
    <w:tmpl w:val="7EE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D246D"/>
    <w:multiLevelType w:val="hybridMultilevel"/>
    <w:tmpl w:val="680AA6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7E08DD"/>
    <w:multiLevelType w:val="hybridMultilevel"/>
    <w:tmpl w:val="72EC6230"/>
    <w:lvl w:ilvl="0" w:tplc="61A8C00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962BD"/>
    <w:multiLevelType w:val="hybridMultilevel"/>
    <w:tmpl w:val="CF42D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E07C16"/>
    <w:multiLevelType w:val="hybridMultilevel"/>
    <w:tmpl w:val="91060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0F4B81"/>
    <w:multiLevelType w:val="hybridMultilevel"/>
    <w:tmpl w:val="95B02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1A6A0E"/>
    <w:multiLevelType w:val="hybridMultilevel"/>
    <w:tmpl w:val="F2CC3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9C6D01"/>
    <w:multiLevelType w:val="hybridMultilevel"/>
    <w:tmpl w:val="F91645F2"/>
    <w:lvl w:ilvl="0" w:tplc="D5D6F76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F21258"/>
    <w:multiLevelType w:val="hybridMultilevel"/>
    <w:tmpl w:val="972A9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4E6661"/>
    <w:multiLevelType w:val="hybridMultilevel"/>
    <w:tmpl w:val="D4BEF76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15:restartNumberingAfterBreak="0">
    <w:nsid w:val="38A02161"/>
    <w:multiLevelType w:val="hybridMultilevel"/>
    <w:tmpl w:val="8564EF78"/>
    <w:lvl w:ilvl="0" w:tplc="D5D6F76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43F24C1F"/>
    <w:multiLevelType w:val="hybridMultilevel"/>
    <w:tmpl w:val="0BF8907C"/>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3" w15:restartNumberingAfterBreak="0">
    <w:nsid w:val="4B8A332B"/>
    <w:multiLevelType w:val="hybridMultilevel"/>
    <w:tmpl w:val="1BA6F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04FCE"/>
    <w:multiLevelType w:val="hybridMultilevel"/>
    <w:tmpl w:val="37702910"/>
    <w:lvl w:ilvl="0" w:tplc="1BB8D23C">
      <w:start w:val="1"/>
      <w:numFmt w:val="decimal"/>
      <w:lvlText w:val="%1."/>
      <w:lvlJc w:val="left"/>
      <w:pPr>
        <w:ind w:left="-207" w:hanging="360"/>
      </w:pPr>
      <w:rPr>
        <w:rFonts w:hint="default"/>
        <w:b w:val="0"/>
      </w:rPr>
    </w:lvl>
    <w:lvl w:ilvl="1" w:tplc="DCCE49F4">
      <w:start w:val="1"/>
      <w:numFmt w:val="lowerLetter"/>
      <w:lvlText w:val="%2."/>
      <w:lvlJc w:val="left"/>
      <w:pPr>
        <w:ind w:left="513" w:hanging="360"/>
      </w:pPr>
    </w:lvl>
    <w:lvl w:ilvl="2" w:tplc="8B5A7732" w:tentative="1">
      <w:start w:val="1"/>
      <w:numFmt w:val="lowerRoman"/>
      <w:lvlText w:val="%3."/>
      <w:lvlJc w:val="right"/>
      <w:pPr>
        <w:ind w:left="1233" w:hanging="180"/>
      </w:pPr>
    </w:lvl>
    <w:lvl w:ilvl="3" w:tplc="3BD0F6FA" w:tentative="1">
      <w:start w:val="1"/>
      <w:numFmt w:val="decimal"/>
      <w:lvlText w:val="%4."/>
      <w:lvlJc w:val="left"/>
      <w:pPr>
        <w:ind w:left="1953" w:hanging="360"/>
      </w:pPr>
    </w:lvl>
    <w:lvl w:ilvl="4" w:tplc="66E49FDC" w:tentative="1">
      <w:start w:val="1"/>
      <w:numFmt w:val="lowerLetter"/>
      <w:lvlText w:val="%5."/>
      <w:lvlJc w:val="left"/>
      <w:pPr>
        <w:ind w:left="2673" w:hanging="360"/>
      </w:pPr>
    </w:lvl>
    <w:lvl w:ilvl="5" w:tplc="6B6C8D44" w:tentative="1">
      <w:start w:val="1"/>
      <w:numFmt w:val="lowerRoman"/>
      <w:lvlText w:val="%6."/>
      <w:lvlJc w:val="right"/>
      <w:pPr>
        <w:ind w:left="3393" w:hanging="180"/>
      </w:pPr>
    </w:lvl>
    <w:lvl w:ilvl="6" w:tplc="0D667040" w:tentative="1">
      <w:start w:val="1"/>
      <w:numFmt w:val="decimal"/>
      <w:lvlText w:val="%7."/>
      <w:lvlJc w:val="left"/>
      <w:pPr>
        <w:ind w:left="4113" w:hanging="360"/>
      </w:pPr>
    </w:lvl>
    <w:lvl w:ilvl="7" w:tplc="A0ECE6F2" w:tentative="1">
      <w:start w:val="1"/>
      <w:numFmt w:val="lowerLetter"/>
      <w:lvlText w:val="%8."/>
      <w:lvlJc w:val="left"/>
      <w:pPr>
        <w:ind w:left="4833" w:hanging="360"/>
      </w:pPr>
    </w:lvl>
    <w:lvl w:ilvl="8" w:tplc="5ED0AA1A" w:tentative="1">
      <w:start w:val="1"/>
      <w:numFmt w:val="lowerRoman"/>
      <w:lvlText w:val="%9."/>
      <w:lvlJc w:val="right"/>
      <w:pPr>
        <w:ind w:left="5553" w:hanging="180"/>
      </w:pPr>
    </w:lvl>
  </w:abstractNum>
  <w:abstractNum w:abstractNumId="15"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90EB5"/>
    <w:multiLevelType w:val="hybridMultilevel"/>
    <w:tmpl w:val="81A2B86E"/>
    <w:lvl w:ilvl="0" w:tplc="090C5E1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D4497"/>
    <w:multiLevelType w:val="hybridMultilevel"/>
    <w:tmpl w:val="35265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9A379D"/>
    <w:multiLevelType w:val="hybridMultilevel"/>
    <w:tmpl w:val="1452D168"/>
    <w:lvl w:ilvl="0" w:tplc="D5D6F76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3"/>
  </w:num>
  <w:num w:numId="4">
    <w:abstractNumId w:val="8"/>
  </w:num>
  <w:num w:numId="5">
    <w:abstractNumId w:val="4"/>
  </w:num>
  <w:num w:numId="6">
    <w:abstractNumId w:val="5"/>
  </w:num>
  <w:num w:numId="7">
    <w:abstractNumId w:val="0"/>
  </w:num>
  <w:num w:numId="8">
    <w:abstractNumId w:val="15"/>
  </w:num>
  <w:num w:numId="9">
    <w:abstractNumId w:val="13"/>
  </w:num>
  <w:num w:numId="10">
    <w:abstractNumId w:val="2"/>
  </w:num>
  <w:num w:numId="11">
    <w:abstractNumId w:val="16"/>
  </w:num>
  <w:num w:numId="12">
    <w:abstractNumId w:val="12"/>
  </w:num>
  <w:num w:numId="13">
    <w:abstractNumId w:val="6"/>
  </w:num>
  <w:num w:numId="14">
    <w:abstractNumId w:val="18"/>
  </w:num>
  <w:num w:numId="15">
    <w:abstractNumId w:val="1"/>
  </w:num>
  <w:num w:numId="16">
    <w:abstractNumId w:val="17"/>
  </w:num>
  <w:num w:numId="17">
    <w:abstractNumId w:val="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01"/>
    <w:rsid w:val="00001A5A"/>
    <w:rsid w:val="00012B80"/>
    <w:rsid w:val="00013411"/>
    <w:rsid w:val="000172DD"/>
    <w:rsid w:val="00024B6F"/>
    <w:rsid w:val="00024D9A"/>
    <w:rsid w:val="00040CBC"/>
    <w:rsid w:val="00041782"/>
    <w:rsid w:val="00042AFF"/>
    <w:rsid w:val="00044BFB"/>
    <w:rsid w:val="00060AC1"/>
    <w:rsid w:val="00060D14"/>
    <w:rsid w:val="00067795"/>
    <w:rsid w:val="00073421"/>
    <w:rsid w:val="00074DC9"/>
    <w:rsid w:val="00076A9B"/>
    <w:rsid w:val="00082D9A"/>
    <w:rsid w:val="000945BE"/>
    <w:rsid w:val="00097545"/>
    <w:rsid w:val="0009782F"/>
    <w:rsid w:val="000A031D"/>
    <w:rsid w:val="000A0672"/>
    <w:rsid w:val="000A069A"/>
    <w:rsid w:val="000A2517"/>
    <w:rsid w:val="000A274F"/>
    <w:rsid w:val="000A43E0"/>
    <w:rsid w:val="000A5F72"/>
    <w:rsid w:val="000A6962"/>
    <w:rsid w:val="000A7FC7"/>
    <w:rsid w:val="000B08F4"/>
    <w:rsid w:val="000C68D7"/>
    <w:rsid w:val="000C69B2"/>
    <w:rsid w:val="000C6A6F"/>
    <w:rsid w:val="000C7D79"/>
    <w:rsid w:val="000D61BE"/>
    <w:rsid w:val="000E447D"/>
    <w:rsid w:val="000F0256"/>
    <w:rsid w:val="000F19CB"/>
    <w:rsid w:val="000F31C1"/>
    <w:rsid w:val="00102A96"/>
    <w:rsid w:val="0010502F"/>
    <w:rsid w:val="0010785F"/>
    <w:rsid w:val="00110B3A"/>
    <w:rsid w:val="0011276D"/>
    <w:rsid w:val="00114B3B"/>
    <w:rsid w:val="00122DDF"/>
    <w:rsid w:val="0012332D"/>
    <w:rsid w:val="00132647"/>
    <w:rsid w:val="001330F3"/>
    <w:rsid w:val="00133699"/>
    <w:rsid w:val="001442E0"/>
    <w:rsid w:val="00151DF0"/>
    <w:rsid w:val="00156A6B"/>
    <w:rsid w:val="001570F9"/>
    <w:rsid w:val="00162BC6"/>
    <w:rsid w:val="001653A1"/>
    <w:rsid w:val="00166359"/>
    <w:rsid w:val="00173C77"/>
    <w:rsid w:val="00174F39"/>
    <w:rsid w:val="00175A9B"/>
    <w:rsid w:val="00177B96"/>
    <w:rsid w:val="00180436"/>
    <w:rsid w:val="0018277F"/>
    <w:rsid w:val="001868A2"/>
    <w:rsid w:val="00186B85"/>
    <w:rsid w:val="00190498"/>
    <w:rsid w:val="00192D75"/>
    <w:rsid w:val="0019511A"/>
    <w:rsid w:val="001A5BC5"/>
    <w:rsid w:val="001A7ADF"/>
    <w:rsid w:val="001B260F"/>
    <w:rsid w:val="001B2A71"/>
    <w:rsid w:val="001B6211"/>
    <w:rsid w:val="001B7B7E"/>
    <w:rsid w:val="001C7D87"/>
    <w:rsid w:val="001D15A7"/>
    <w:rsid w:val="001D6301"/>
    <w:rsid w:val="001D7729"/>
    <w:rsid w:val="001E1190"/>
    <w:rsid w:val="001E158B"/>
    <w:rsid w:val="001E3DD1"/>
    <w:rsid w:val="001E5591"/>
    <w:rsid w:val="001E6627"/>
    <w:rsid w:val="001F32E9"/>
    <w:rsid w:val="002008DC"/>
    <w:rsid w:val="0020323E"/>
    <w:rsid w:val="00206BFD"/>
    <w:rsid w:val="00216F37"/>
    <w:rsid w:val="002236A4"/>
    <w:rsid w:val="0023406A"/>
    <w:rsid w:val="0024407E"/>
    <w:rsid w:val="00246E02"/>
    <w:rsid w:val="00253A8E"/>
    <w:rsid w:val="00264846"/>
    <w:rsid w:val="00266345"/>
    <w:rsid w:val="00274530"/>
    <w:rsid w:val="00274A31"/>
    <w:rsid w:val="002851BC"/>
    <w:rsid w:val="00287F45"/>
    <w:rsid w:val="00290A1F"/>
    <w:rsid w:val="002A1C41"/>
    <w:rsid w:val="002B0572"/>
    <w:rsid w:val="002B279A"/>
    <w:rsid w:val="002B374F"/>
    <w:rsid w:val="002B61D4"/>
    <w:rsid w:val="002C2B27"/>
    <w:rsid w:val="002D72E9"/>
    <w:rsid w:val="002E313A"/>
    <w:rsid w:val="002E722D"/>
    <w:rsid w:val="002F2485"/>
    <w:rsid w:val="002F2901"/>
    <w:rsid w:val="002F2960"/>
    <w:rsid w:val="002F5F19"/>
    <w:rsid w:val="002F79AF"/>
    <w:rsid w:val="00304A8F"/>
    <w:rsid w:val="00322861"/>
    <w:rsid w:val="00324AA1"/>
    <w:rsid w:val="003253D2"/>
    <w:rsid w:val="00327D7E"/>
    <w:rsid w:val="00330C5F"/>
    <w:rsid w:val="00332A7D"/>
    <w:rsid w:val="00335DE5"/>
    <w:rsid w:val="00336F3A"/>
    <w:rsid w:val="003405E7"/>
    <w:rsid w:val="00356FDF"/>
    <w:rsid w:val="003578CF"/>
    <w:rsid w:val="00364095"/>
    <w:rsid w:val="003650AC"/>
    <w:rsid w:val="00372B6F"/>
    <w:rsid w:val="00374A90"/>
    <w:rsid w:val="00375A19"/>
    <w:rsid w:val="0038031E"/>
    <w:rsid w:val="00381787"/>
    <w:rsid w:val="003836BD"/>
    <w:rsid w:val="00387D8D"/>
    <w:rsid w:val="00394B3F"/>
    <w:rsid w:val="003A43CB"/>
    <w:rsid w:val="003B4579"/>
    <w:rsid w:val="003B6FDA"/>
    <w:rsid w:val="003C0921"/>
    <w:rsid w:val="003C25CA"/>
    <w:rsid w:val="003C2C40"/>
    <w:rsid w:val="003C7102"/>
    <w:rsid w:val="003D18B0"/>
    <w:rsid w:val="003E1B53"/>
    <w:rsid w:val="003E2896"/>
    <w:rsid w:val="003E3E3A"/>
    <w:rsid w:val="003E69DF"/>
    <w:rsid w:val="003E71E7"/>
    <w:rsid w:val="003F66F0"/>
    <w:rsid w:val="003F741A"/>
    <w:rsid w:val="00400D84"/>
    <w:rsid w:val="00402F04"/>
    <w:rsid w:val="0040556C"/>
    <w:rsid w:val="0041253A"/>
    <w:rsid w:val="00422510"/>
    <w:rsid w:val="004265E9"/>
    <w:rsid w:val="004469ED"/>
    <w:rsid w:val="00451B6A"/>
    <w:rsid w:val="004544F5"/>
    <w:rsid w:val="00454829"/>
    <w:rsid w:val="00461080"/>
    <w:rsid w:val="00461167"/>
    <w:rsid w:val="0046653B"/>
    <w:rsid w:val="00485227"/>
    <w:rsid w:val="0049597A"/>
    <w:rsid w:val="00496F29"/>
    <w:rsid w:val="004A017B"/>
    <w:rsid w:val="004A3BFF"/>
    <w:rsid w:val="004A6DDA"/>
    <w:rsid w:val="004B3C4C"/>
    <w:rsid w:val="004B47A1"/>
    <w:rsid w:val="004B48AC"/>
    <w:rsid w:val="004C4E9A"/>
    <w:rsid w:val="004C694C"/>
    <w:rsid w:val="004D2749"/>
    <w:rsid w:val="004D5A7B"/>
    <w:rsid w:val="004D6FF3"/>
    <w:rsid w:val="004E1D22"/>
    <w:rsid w:val="004F1576"/>
    <w:rsid w:val="004F4E1D"/>
    <w:rsid w:val="005054BD"/>
    <w:rsid w:val="00506C39"/>
    <w:rsid w:val="00507956"/>
    <w:rsid w:val="0051284A"/>
    <w:rsid w:val="00522351"/>
    <w:rsid w:val="00522961"/>
    <w:rsid w:val="00525833"/>
    <w:rsid w:val="00533F2E"/>
    <w:rsid w:val="005445DD"/>
    <w:rsid w:val="00546E48"/>
    <w:rsid w:val="00550379"/>
    <w:rsid w:val="0055251F"/>
    <w:rsid w:val="005569E9"/>
    <w:rsid w:val="0056421E"/>
    <w:rsid w:val="005652A0"/>
    <w:rsid w:val="00565FF3"/>
    <w:rsid w:val="0056723A"/>
    <w:rsid w:val="0058401D"/>
    <w:rsid w:val="00594A2C"/>
    <w:rsid w:val="00595C61"/>
    <w:rsid w:val="0059751B"/>
    <w:rsid w:val="005A020A"/>
    <w:rsid w:val="005A3E85"/>
    <w:rsid w:val="005A6F1A"/>
    <w:rsid w:val="005B214C"/>
    <w:rsid w:val="005C2252"/>
    <w:rsid w:val="005C6F4A"/>
    <w:rsid w:val="005D1D50"/>
    <w:rsid w:val="005D418E"/>
    <w:rsid w:val="005E0F1E"/>
    <w:rsid w:val="005E409A"/>
    <w:rsid w:val="005E5CE0"/>
    <w:rsid w:val="005E5E6A"/>
    <w:rsid w:val="005F31E9"/>
    <w:rsid w:val="005F5E42"/>
    <w:rsid w:val="005F7F99"/>
    <w:rsid w:val="006012E9"/>
    <w:rsid w:val="00606B9B"/>
    <w:rsid w:val="00607958"/>
    <w:rsid w:val="00613AE6"/>
    <w:rsid w:val="006159E6"/>
    <w:rsid w:val="00621581"/>
    <w:rsid w:val="00623360"/>
    <w:rsid w:val="0062341C"/>
    <w:rsid w:val="0062476D"/>
    <w:rsid w:val="00633295"/>
    <w:rsid w:val="00636A83"/>
    <w:rsid w:val="006456CD"/>
    <w:rsid w:val="00654494"/>
    <w:rsid w:val="0065744B"/>
    <w:rsid w:val="006702BC"/>
    <w:rsid w:val="00674CD0"/>
    <w:rsid w:val="0068184A"/>
    <w:rsid w:val="00686583"/>
    <w:rsid w:val="006907A6"/>
    <w:rsid w:val="00690DEB"/>
    <w:rsid w:val="00692CD6"/>
    <w:rsid w:val="006954CA"/>
    <w:rsid w:val="006A1C95"/>
    <w:rsid w:val="006A2815"/>
    <w:rsid w:val="006B0718"/>
    <w:rsid w:val="006B1AB4"/>
    <w:rsid w:val="006B7482"/>
    <w:rsid w:val="006C49AA"/>
    <w:rsid w:val="006C4BF6"/>
    <w:rsid w:val="006C7013"/>
    <w:rsid w:val="006D6BD8"/>
    <w:rsid w:val="006E3681"/>
    <w:rsid w:val="006E5353"/>
    <w:rsid w:val="006E595F"/>
    <w:rsid w:val="006E7CFE"/>
    <w:rsid w:val="006F5000"/>
    <w:rsid w:val="006F5CC5"/>
    <w:rsid w:val="00700970"/>
    <w:rsid w:val="00707C47"/>
    <w:rsid w:val="007125A8"/>
    <w:rsid w:val="007130C2"/>
    <w:rsid w:val="00715298"/>
    <w:rsid w:val="00722F00"/>
    <w:rsid w:val="007236F4"/>
    <w:rsid w:val="007258A6"/>
    <w:rsid w:val="00732829"/>
    <w:rsid w:val="00736CBA"/>
    <w:rsid w:val="00743D09"/>
    <w:rsid w:val="00743FA0"/>
    <w:rsid w:val="007526A7"/>
    <w:rsid w:val="0075722E"/>
    <w:rsid w:val="00765C89"/>
    <w:rsid w:val="007743EC"/>
    <w:rsid w:val="00785501"/>
    <w:rsid w:val="007863A4"/>
    <w:rsid w:val="007901B5"/>
    <w:rsid w:val="00790554"/>
    <w:rsid w:val="00790E03"/>
    <w:rsid w:val="00793855"/>
    <w:rsid w:val="007A37CE"/>
    <w:rsid w:val="007A4AF8"/>
    <w:rsid w:val="007B0BD8"/>
    <w:rsid w:val="007B1CAF"/>
    <w:rsid w:val="007B56C2"/>
    <w:rsid w:val="007B5826"/>
    <w:rsid w:val="007C2CC6"/>
    <w:rsid w:val="007C3665"/>
    <w:rsid w:val="007C3E93"/>
    <w:rsid w:val="007D46EB"/>
    <w:rsid w:val="007E3D0E"/>
    <w:rsid w:val="007F7BC7"/>
    <w:rsid w:val="008030E5"/>
    <w:rsid w:val="00803FE0"/>
    <w:rsid w:val="00813649"/>
    <w:rsid w:val="00815062"/>
    <w:rsid w:val="00817454"/>
    <w:rsid w:val="008176D4"/>
    <w:rsid w:val="0082232A"/>
    <w:rsid w:val="00827192"/>
    <w:rsid w:val="008310DA"/>
    <w:rsid w:val="00837F60"/>
    <w:rsid w:val="00840585"/>
    <w:rsid w:val="00845DAF"/>
    <w:rsid w:val="00846AD1"/>
    <w:rsid w:val="00870313"/>
    <w:rsid w:val="008716B0"/>
    <w:rsid w:val="008724C3"/>
    <w:rsid w:val="008758CF"/>
    <w:rsid w:val="0087691A"/>
    <w:rsid w:val="00877518"/>
    <w:rsid w:val="00877A4B"/>
    <w:rsid w:val="00892701"/>
    <w:rsid w:val="00893E51"/>
    <w:rsid w:val="008963C5"/>
    <w:rsid w:val="00897163"/>
    <w:rsid w:val="008A2D68"/>
    <w:rsid w:val="008A30F0"/>
    <w:rsid w:val="008A7873"/>
    <w:rsid w:val="008B0ACD"/>
    <w:rsid w:val="008C2603"/>
    <w:rsid w:val="008C425A"/>
    <w:rsid w:val="008C6E2A"/>
    <w:rsid w:val="008C78FC"/>
    <w:rsid w:val="008D0C2F"/>
    <w:rsid w:val="008D2429"/>
    <w:rsid w:val="008D77ED"/>
    <w:rsid w:val="008D7A8C"/>
    <w:rsid w:val="008E65EC"/>
    <w:rsid w:val="008E7A5E"/>
    <w:rsid w:val="008F3DC3"/>
    <w:rsid w:val="00901636"/>
    <w:rsid w:val="00903351"/>
    <w:rsid w:val="00904993"/>
    <w:rsid w:val="0090531A"/>
    <w:rsid w:val="00906A16"/>
    <w:rsid w:val="00921AC3"/>
    <w:rsid w:val="00923921"/>
    <w:rsid w:val="00931DF5"/>
    <w:rsid w:val="009337B0"/>
    <w:rsid w:val="0094071B"/>
    <w:rsid w:val="00950531"/>
    <w:rsid w:val="00950CD4"/>
    <w:rsid w:val="00951F90"/>
    <w:rsid w:val="00960AC4"/>
    <w:rsid w:val="009761BD"/>
    <w:rsid w:val="009766F7"/>
    <w:rsid w:val="009777A2"/>
    <w:rsid w:val="009777A8"/>
    <w:rsid w:val="0098745D"/>
    <w:rsid w:val="00987AF7"/>
    <w:rsid w:val="0099310F"/>
    <w:rsid w:val="00994A75"/>
    <w:rsid w:val="009A3150"/>
    <w:rsid w:val="009A5893"/>
    <w:rsid w:val="009A69AA"/>
    <w:rsid w:val="009B0F53"/>
    <w:rsid w:val="009B2BB8"/>
    <w:rsid w:val="009B46D2"/>
    <w:rsid w:val="009B6964"/>
    <w:rsid w:val="009C0D35"/>
    <w:rsid w:val="009D1795"/>
    <w:rsid w:val="009D3129"/>
    <w:rsid w:val="009E4C54"/>
    <w:rsid w:val="009F17D3"/>
    <w:rsid w:val="009F4A6B"/>
    <w:rsid w:val="009F7CE0"/>
    <w:rsid w:val="00A025AF"/>
    <w:rsid w:val="00A031C3"/>
    <w:rsid w:val="00A1041D"/>
    <w:rsid w:val="00A15BF4"/>
    <w:rsid w:val="00A20656"/>
    <w:rsid w:val="00A2743C"/>
    <w:rsid w:val="00A31A79"/>
    <w:rsid w:val="00A350A8"/>
    <w:rsid w:val="00A35A77"/>
    <w:rsid w:val="00A42E69"/>
    <w:rsid w:val="00A50C53"/>
    <w:rsid w:val="00A511A5"/>
    <w:rsid w:val="00A5597F"/>
    <w:rsid w:val="00A62842"/>
    <w:rsid w:val="00A62FC1"/>
    <w:rsid w:val="00A63870"/>
    <w:rsid w:val="00A643FF"/>
    <w:rsid w:val="00A726A1"/>
    <w:rsid w:val="00A72CC2"/>
    <w:rsid w:val="00A91783"/>
    <w:rsid w:val="00A94010"/>
    <w:rsid w:val="00A9513C"/>
    <w:rsid w:val="00AA18F1"/>
    <w:rsid w:val="00AA4B89"/>
    <w:rsid w:val="00AA50E5"/>
    <w:rsid w:val="00AB1A44"/>
    <w:rsid w:val="00AB228D"/>
    <w:rsid w:val="00AB5039"/>
    <w:rsid w:val="00AB7722"/>
    <w:rsid w:val="00AC39EA"/>
    <w:rsid w:val="00AD2F4D"/>
    <w:rsid w:val="00AD4F96"/>
    <w:rsid w:val="00AF3A1A"/>
    <w:rsid w:val="00AF4446"/>
    <w:rsid w:val="00AF47E3"/>
    <w:rsid w:val="00B04CAB"/>
    <w:rsid w:val="00B21520"/>
    <w:rsid w:val="00B2174D"/>
    <w:rsid w:val="00B221DA"/>
    <w:rsid w:val="00B25755"/>
    <w:rsid w:val="00B26098"/>
    <w:rsid w:val="00B31F42"/>
    <w:rsid w:val="00B32D05"/>
    <w:rsid w:val="00B360A3"/>
    <w:rsid w:val="00B373A6"/>
    <w:rsid w:val="00B4070F"/>
    <w:rsid w:val="00B40751"/>
    <w:rsid w:val="00B42B04"/>
    <w:rsid w:val="00B51781"/>
    <w:rsid w:val="00B576C7"/>
    <w:rsid w:val="00B6373B"/>
    <w:rsid w:val="00B646E3"/>
    <w:rsid w:val="00B74A45"/>
    <w:rsid w:val="00B81294"/>
    <w:rsid w:val="00B843BC"/>
    <w:rsid w:val="00B9008E"/>
    <w:rsid w:val="00BA3B06"/>
    <w:rsid w:val="00BA4C4A"/>
    <w:rsid w:val="00BC3EFA"/>
    <w:rsid w:val="00BC4E73"/>
    <w:rsid w:val="00BC6FCD"/>
    <w:rsid w:val="00BD0295"/>
    <w:rsid w:val="00BD0406"/>
    <w:rsid w:val="00BD2122"/>
    <w:rsid w:val="00BD77C7"/>
    <w:rsid w:val="00BE0C2F"/>
    <w:rsid w:val="00BE5AC2"/>
    <w:rsid w:val="00BF2CBD"/>
    <w:rsid w:val="00BF7447"/>
    <w:rsid w:val="00C15750"/>
    <w:rsid w:val="00C306A3"/>
    <w:rsid w:val="00C306F2"/>
    <w:rsid w:val="00C406DD"/>
    <w:rsid w:val="00C41893"/>
    <w:rsid w:val="00C50370"/>
    <w:rsid w:val="00C7213B"/>
    <w:rsid w:val="00C72AD0"/>
    <w:rsid w:val="00C90F28"/>
    <w:rsid w:val="00C919B9"/>
    <w:rsid w:val="00C92062"/>
    <w:rsid w:val="00C92460"/>
    <w:rsid w:val="00C938F0"/>
    <w:rsid w:val="00C940CE"/>
    <w:rsid w:val="00C956FF"/>
    <w:rsid w:val="00CA031E"/>
    <w:rsid w:val="00CA0553"/>
    <w:rsid w:val="00CA0DDD"/>
    <w:rsid w:val="00CA3F2F"/>
    <w:rsid w:val="00CB275A"/>
    <w:rsid w:val="00CB630E"/>
    <w:rsid w:val="00CC6DA5"/>
    <w:rsid w:val="00CD0711"/>
    <w:rsid w:val="00CD2305"/>
    <w:rsid w:val="00CD2657"/>
    <w:rsid w:val="00CD769B"/>
    <w:rsid w:val="00CE3F2D"/>
    <w:rsid w:val="00CE4997"/>
    <w:rsid w:val="00CE4B6D"/>
    <w:rsid w:val="00CF0ABE"/>
    <w:rsid w:val="00D009C1"/>
    <w:rsid w:val="00D0406B"/>
    <w:rsid w:val="00D04C55"/>
    <w:rsid w:val="00D1079C"/>
    <w:rsid w:val="00D16446"/>
    <w:rsid w:val="00D218E8"/>
    <w:rsid w:val="00D22175"/>
    <w:rsid w:val="00D23683"/>
    <w:rsid w:val="00D3245C"/>
    <w:rsid w:val="00D3476F"/>
    <w:rsid w:val="00D36599"/>
    <w:rsid w:val="00D502D0"/>
    <w:rsid w:val="00D52401"/>
    <w:rsid w:val="00D560B5"/>
    <w:rsid w:val="00D63D23"/>
    <w:rsid w:val="00D702B4"/>
    <w:rsid w:val="00D74385"/>
    <w:rsid w:val="00D750E6"/>
    <w:rsid w:val="00D859BA"/>
    <w:rsid w:val="00D9179C"/>
    <w:rsid w:val="00DA1EBD"/>
    <w:rsid w:val="00DA3E88"/>
    <w:rsid w:val="00DA727D"/>
    <w:rsid w:val="00DB049E"/>
    <w:rsid w:val="00DB0EC6"/>
    <w:rsid w:val="00DB30ED"/>
    <w:rsid w:val="00DC0EE0"/>
    <w:rsid w:val="00DD41B9"/>
    <w:rsid w:val="00DE1BC5"/>
    <w:rsid w:val="00DE510B"/>
    <w:rsid w:val="00DF045E"/>
    <w:rsid w:val="00E054C3"/>
    <w:rsid w:val="00E056A4"/>
    <w:rsid w:val="00E14CA0"/>
    <w:rsid w:val="00E15E80"/>
    <w:rsid w:val="00E201F3"/>
    <w:rsid w:val="00E25F9C"/>
    <w:rsid w:val="00E2726F"/>
    <w:rsid w:val="00E37048"/>
    <w:rsid w:val="00E410C4"/>
    <w:rsid w:val="00E46040"/>
    <w:rsid w:val="00E470EC"/>
    <w:rsid w:val="00E47726"/>
    <w:rsid w:val="00E50763"/>
    <w:rsid w:val="00E50E36"/>
    <w:rsid w:val="00E52ED0"/>
    <w:rsid w:val="00E60380"/>
    <w:rsid w:val="00E67973"/>
    <w:rsid w:val="00E710E3"/>
    <w:rsid w:val="00E712D1"/>
    <w:rsid w:val="00E80938"/>
    <w:rsid w:val="00E8544C"/>
    <w:rsid w:val="00E949FF"/>
    <w:rsid w:val="00EA36AB"/>
    <w:rsid w:val="00EA70BA"/>
    <w:rsid w:val="00ED0325"/>
    <w:rsid w:val="00EE09F7"/>
    <w:rsid w:val="00EE2069"/>
    <w:rsid w:val="00EE7D9F"/>
    <w:rsid w:val="00EF215D"/>
    <w:rsid w:val="00EF52DD"/>
    <w:rsid w:val="00F02F50"/>
    <w:rsid w:val="00F11BDD"/>
    <w:rsid w:val="00F126D8"/>
    <w:rsid w:val="00F16863"/>
    <w:rsid w:val="00F179FD"/>
    <w:rsid w:val="00F21C6E"/>
    <w:rsid w:val="00F222D7"/>
    <w:rsid w:val="00F2331E"/>
    <w:rsid w:val="00F26A59"/>
    <w:rsid w:val="00F31337"/>
    <w:rsid w:val="00F41B62"/>
    <w:rsid w:val="00F54252"/>
    <w:rsid w:val="00F57398"/>
    <w:rsid w:val="00F747A1"/>
    <w:rsid w:val="00F77B1F"/>
    <w:rsid w:val="00F85F2A"/>
    <w:rsid w:val="00F941C9"/>
    <w:rsid w:val="00FB2372"/>
    <w:rsid w:val="00FC7E32"/>
    <w:rsid w:val="00FD2672"/>
    <w:rsid w:val="00FD6532"/>
    <w:rsid w:val="00FE1746"/>
    <w:rsid w:val="00FE6177"/>
    <w:rsid w:val="00FE6BF7"/>
    <w:rsid w:val="00FF0C87"/>
    <w:rsid w:val="00FF13AB"/>
    <w:rsid w:val="00FF1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28A3"/>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672"/>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0C6A6F"/>
    <w:pPr>
      <w:keepNext/>
      <w:keepLines/>
      <w:spacing w:before="360" w:after="120"/>
      <w:jc w:val="center"/>
      <w:outlineLvl w:val="0"/>
    </w:pPr>
    <w:rPr>
      <w:rFonts w:ascii="Arial" w:eastAsiaTheme="majorEastAsia" w:hAnsi="Arial" w:cstheme="majorBidi"/>
      <w:b/>
      <w:sz w:val="32"/>
      <w:szCs w:val="32"/>
    </w:rPr>
  </w:style>
  <w:style w:type="paragraph" w:styleId="Heading2">
    <w:name w:val="heading 2"/>
    <w:basedOn w:val="Heading1"/>
    <w:next w:val="Normal"/>
    <w:link w:val="Heading2Char"/>
    <w:uiPriority w:val="9"/>
    <w:unhideWhenUsed/>
    <w:qFormat/>
    <w:rsid w:val="00A42E69"/>
    <w:pPr>
      <w:jc w:val="left"/>
      <w:outlineLvl w:val="1"/>
    </w:pPr>
    <w:rPr>
      <w:sz w:val="28"/>
      <w:szCs w:val="26"/>
    </w:rPr>
  </w:style>
  <w:style w:type="paragraph" w:styleId="Heading3">
    <w:name w:val="heading 3"/>
    <w:basedOn w:val="Heading2"/>
    <w:next w:val="Normal"/>
    <w:link w:val="Heading3Char"/>
    <w:uiPriority w:val="9"/>
    <w:unhideWhenUsed/>
    <w:qFormat/>
    <w:rsid w:val="00FD2672"/>
    <w:pPr>
      <w:spacing w:before="240"/>
      <w:outlineLvl w:val="2"/>
    </w:pPr>
    <w:rPr>
      <w:sz w:val="26"/>
      <w:szCs w:val="24"/>
    </w:rPr>
  </w:style>
  <w:style w:type="paragraph" w:styleId="Heading4">
    <w:name w:val="heading 4"/>
    <w:basedOn w:val="Normal"/>
    <w:next w:val="Normal"/>
    <w:link w:val="Heading4Char"/>
    <w:uiPriority w:val="9"/>
    <w:unhideWhenUsed/>
    <w:qFormat/>
    <w:rsid w:val="00FD2672"/>
    <w:pPr>
      <w:keepNext/>
      <w:keepLines/>
      <w:spacing w:before="240" w:after="120"/>
      <w:outlineLvl w:val="3"/>
    </w:pPr>
    <w:rPr>
      <w:rFonts w:ascii="Arial" w:eastAsiaTheme="majorEastAsia" w:hAnsi="Arial" w:cstheme="majorBidi"/>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aliases w:val="L,List Paragraph1,List Paragraph11,Recommendation,bullet point list,Bullet point,List Paragraph2,Indented bullet,0Bullet,Bullet Point,Bullet points,Content descriptions,DDM Gen Text,Dot point 1.5 line spacing,List Paragraph - bullets"/>
    <w:basedOn w:val="Normal"/>
    <w:link w:val="ListParagraphChar"/>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unhideWhenUsed/>
    <w:rsid w:val="00264846"/>
    <w:rPr>
      <w:sz w:val="20"/>
      <w:szCs w:val="20"/>
    </w:rPr>
  </w:style>
  <w:style w:type="character" w:customStyle="1" w:styleId="CommentTextChar">
    <w:name w:val="Comment Text Char"/>
    <w:basedOn w:val="DefaultParagraphFont"/>
    <w:link w:val="CommentText"/>
    <w:uiPriority w:val="99"/>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 w:type="paragraph" w:customStyle="1" w:styleId="Default">
    <w:name w:val="Default"/>
    <w:rsid w:val="0079385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FootnoteText">
    <w:name w:val="footnote text"/>
    <w:basedOn w:val="Normal"/>
    <w:link w:val="FootnoteTextChar"/>
    <w:uiPriority w:val="99"/>
    <w:semiHidden/>
    <w:unhideWhenUsed/>
    <w:rsid w:val="00024B6F"/>
    <w:pPr>
      <w:spacing w:after="0"/>
    </w:pPr>
    <w:rPr>
      <w:sz w:val="20"/>
      <w:szCs w:val="20"/>
    </w:rPr>
  </w:style>
  <w:style w:type="character" w:customStyle="1" w:styleId="FootnoteTextChar">
    <w:name w:val="Footnote Text Char"/>
    <w:basedOn w:val="DefaultParagraphFont"/>
    <w:link w:val="FootnoteText"/>
    <w:uiPriority w:val="99"/>
    <w:semiHidden/>
    <w:rsid w:val="00024B6F"/>
    <w:rPr>
      <w:sz w:val="20"/>
      <w:szCs w:val="20"/>
    </w:rPr>
  </w:style>
  <w:style w:type="character" w:styleId="FootnoteReference">
    <w:name w:val="footnote reference"/>
    <w:basedOn w:val="DefaultParagraphFont"/>
    <w:uiPriority w:val="99"/>
    <w:semiHidden/>
    <w:unhideWhenUsed/>
    <w:rsid w:val="00024B6F"/>
    <w:rPr>
      <w:vertAlign w:val="superscript"/>
    </w:rPr>
  </w:style>
  <w:style w:type="character" w:customStyle="1" w:styleId="ListParagraphChar">
    <w:name w:val="List Paragraph Char"/>
    <w:aliases w:val="L Char,List Paragraph1 Char,List Paragraph11 Char,Recommendation Char,bullet point list Char,Bullet point Char,List Paragraph2 Char,Indented bullet Char,0Bullet Char,Bullet Point Char,Bullet points Char,Content descriptions Char"/>
    <w:link w:val="ListParagraph"/>
    <w:uiPriority w:val="34"/>
    <w:locked/>
    <w:rsid w:val="00024B6F"/>
  </w:style>
  <w:style w:type="character" w:customStyle="1" w:styleId="Heading1Char">
    <w:name w:val="Heading 1 Char"/>
    <w:basedOn w:val="DefaultParagraphFont"/>
    <w:link w:val="Heading1"/>
    <w:uiPriority w:val="9"/>
    <w:rsid w:val="000C6A6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42E69"/>
    <w:rPr>
      <w:rFonts w:ascii="Arial" w:eastAsiaTheme="majorEastAsia" w:hAnsi="Arial" w:cstheme="majorBidi"/>
      <w:b/>
      <w:sz w:val="28"/>
      <w:szCs w:val="26"/>
    </w:rPr>
  </w:style>
  <w:style w:type="paragraph" w:styleId="Title">
    <w:name w:val="Title"/>
    <w:basedOn w:val="Normal"/>
    <w:next w:val="Normal"/>
    <w:link w:val="TitleChar"/>
    <w:uiPriority w:val="10"/>
    <w:qFormat/>
    <w:rsid w:val="00A42E69"/>
    <w:pPr>
      <w:keepNext/>
      <w:keepLines/>
      <w:spacing w:after="0"/>
    </w:pPr>
    <w:rPr>
      <w:rFonts w:ascii="Arial" w:eastAsiaTheme="majorEastAsia" w:hAnsi="Arial" w:cstheme="majorBidi"/>
      <w:b/>
      <w:i/>
      <w:spacing w:val="-10"/>
      <w:kern w:val="28"/>
      <w:sz w:val="28"/>
      <w:szCs w:val="56"/>
    </w:rPr>
  </w:style>
  <w:style w:type="character" w:customStyle="1" w:styleId="TitleChar">
    <w:name w:val="Title Char"/>
    <w:basedOn w:val="DefaultParagraphFont"/>
    <w:link w:val="Title"/>
    <w:uiPriority w:val="10"/>
    <w:rsid w:val="00A42E69"/>
    <w:rPr>
      <w:rFonts w:ascii="Arial" w:eastAsiaTheme="majorEastAsia" w:hAnsi="Arial" w:cstheme="majorBidi"/>
      <w:b/>
      <w:i/>
      <w:spacing w:val="-10"/>
      <w:kern w:val="28"/>
      <w:sz w:val="28"/>
      <w:szCs w:val="56"/>
    </w:rPr>
  </w:style>
  <w:style w:type="character" w:customStyle="1" w:styleId="Heading3Char">
    <w:name w:val="Heading 3 Char"/>
    <w:basedOn w:val="DefaultParagraphFont"/>
    <w:link w:val="Heading3"/>
    <w:uiPriority w:val="9"/>
    <w:rsid w:val="00FD2672"/>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FD2672"/>
    <w:rPr>
      <w:rFonts w:ascii="Arial" w:eastAsiaTheme="majorEastAsia" w:hAnsi="Arial" w:cstheme="majorBidi"/>
      <w:iCs/>
      <w:smallCaps/>
      <w:sz w:val="24"/>
    </w:rPr>
  </w:style>
  <w:style w:type="paragraph" w:styleId="Revision">
    <w:name w:val="Revision"/>
    <w:hidden/>
    <w:uiPriority w:val="99"/>
    <w:semiHidden/>
    <w:rsid w:val="004C694C"/>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D74385"/>
    <w:rPr>
      <w:color w:val="605E5C"/>
      <w:shd w:val="clear" w:color="auto" w:fill="E1DFDD"/>
    </w:rPr>
  </w:style>
  <w:style w:type="character" w:customStyle="1" w:styleId="UnresolvedMention2">
    <w:name w:val="Unresolved Mention2"/>
    <w:basedOn w:val="DefaultParagraphFont"/>
    <w:uiPriority w:val="99"/>
    <w:semiHidden/>
    <w:unhideWhenUsed/>
    <w:rsid w:val="00DB30ED"/>
    <w:rPr>
      <w:color w:val="605E5C"/>
      <w:shd w:val="clear" w:color="auto" w:fill="E1DFDD"/>
    </w:rPr>
  </w:style>
  <w:style w:type="character" w:customStyle="1" w:styleId="UnresolvedMention3">
    <w:name w:val="Unresolved Mention3"/>
    <w:basedOn w:val="DefaultParagraphFont"/>
    <w:uiPriority w:val="99"/>
    <w:semiHidden/>
    <w:unhideWhenUsed/>
    <w:rsid w:val="00AA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6835">
      <w:bodyDiv w:val="1"/>
      <w:marLeft w:val="0"/>
      <w:marRight w:val="0"/>
      <w:marTop w:val="0"/>
      <w:marBottom w:val="0"/>
      <w:divBdr>
        <w:top w:val="none" w:sz="0" w:space="0" w:color="auto"/>
        <w:left w:val="none" w:sz="0" w:space="0" w:color="auto"/>
        <w:bottom w:val="none" w:sz="0" w:space="0" w:color="auto"/>
        <w:right w:val="none" w:sz="0" w:space="0" w:color="auto"/>
      </w:divBdr>
    </w:div>
    <w:div w:id="666441935">
      <w:bodyDiv w:val="1"/>
      <w:marLeft w:val="0"/>
      <w:marRight w:val="0"/>
      <w:marTop w:val="0"/>
      <w:marBottom w:val="0"/>
      <w:divBdr>
        <w:top w:val="none" w:sz="0" w:space="0" w:color="auto"/>
        <w:left w:val="none" w:sz="0" w:space="0" w:color="auto"/>
        <w:bottom w:val="none" w:sz="0" w:space="0" w:color="auto"/>
        <w:right w:val="none" w:sz="0" w:space="0" w:color="auto"/>
      </w:divBdr>
      <w:divsChild>
        <w:div w:id="389619355">
          <w:marLeft w:val="0"/>
          <w:marRight w:val="0"/>
          <w:marTop w:val="0"/>
          <w:marBottom w:val="0"/>
          <w:divBdr>
            <w:top w:val="none" w:sz="0" w:space="0" w:color="auto"/>
            <w:left w:val="none" w:sz="0" w:space="0" w:color="auto"/>
            <w:bottom w:val="none" w:sz="0" w:space="0" w:color="auto"/>
            <w:right w:val="none" w:sz="0" w:space="0" w:color="auto"/>
          </w:divBdr>
          <w:divsChild>
            <w:div w:id="578515336">
              <w:marLeft w:val="0"/>
              <w:marRight w:val="0"/>
              <w:marTop w:val="0"/>
              <w:marBottom w:val="0"/>
              <w:divBdr>
                <w:top w:val="none" w:sz="0" w:space="0" w:color="auto"/>
                <w:left w:val="none" w:sz="0" w:space="0" w:color="auto"/>
                <w:bottom w:val="none" w:sz="0" w:space="0" w:color="auto"/>
                <w:right w:val="none" w:sz="0" w:space="0" w:color="auto"/>
              </w:divBdr>
              <w:divsChild>
                <w:div w:id="866286712">
                  <w:marLeft w:val="0"/>
                  <w:marRight w:val="0"/>
                  <w:marTop w:val="0"/>
                  <w:marBottom w:val="0"/>
                  <w:divBdr>
                    <w:top w:val="none" w:sz="0" w:space="0" w:color="auto"/>
                    <w:left w:val="none" w:sz="0" w:space="0" w:color="auto"/>
                    <w:bottom w:val="none" w:sz="0" w:space="0" w:color="auto"/>
                    <w:right w:val="none" w:sz="0" w:space="0" w:color="auto"/>
                  </w:divBdr>
                  <w:divsChild>
                    <w:div w:id="256837647">
                      <w:marLeft w:val="0"/>
                      <w:marRight w:val="0"/>
                      <w:marTop w:val="0"/>
                      <w:marBottom w:val="0"/>
                      <w:divBdr>
                        <w:top w:val="none" w:sz="0" w:space="0" w:color="auto"/>
                        <w:left w:val="none" w:sz="0" w:space="0" w:color="auto"/>
                        <w:bottom w:val="none" w:sz="0" w:space="0" w:color="auto"/>
                        <w:right w:val="none" w:sz="0" w:space="0" w:color="auto"/>
                      </w:divBdr>
                      <w:divsChild>
                        <w:div w:id="522136509">
                          <w:marLeft w:val="0"/>
                          <w:marRight w:val="0"/>
                          <w:marTop w:val="0"/>
                          <w:marBottom w:val="0"/>
                          <w:divBdr>
                            <w:top w:val="none" w:sz="0" w:space="0" w:color="auto"/>
                            <w:left w:val="none" w:sz="0" w:space="0" w:color="auto"/>
                            <w:bottom w:val="none" w:sz="0" w:space="0" w:color="auto"/>
                            <w:right w:val="none" w:sz="0" w:space="0" w:color="auto"/>
                          </w:divBdr>
                          <w:divsChild>
                            <w:div w:id="696080344">
                              <w:marLeft w:val="0"/>
                              <w:marRight w:val="0"/>
                              <w:marTop w:val="0"/>
                              <w:marBottom w:val="0"/>
                              <w:divBdr>
                                <w:top w:val="none" w:sz="0" w:space="0" w:color="auto"/>
                                <w:left w:val="none" w:sz="0" w:space="0" w:color="auto"/>
                                <w:bottom w:val="none" w:sz="0" w:space="0" w:color="auto"/>
                                <w:right w:val="none" w:sz="0" w:space="0" w:color="auto"/>
                              </w:divBdr>
                              <w:divsChild>
                                <w:div w:id="492331446">
                                  <w:marLeft w:val="0"/>
                                  <w:marRight w:val="0"/>
                                  <w:marTop w:val="0"/>
                                  <w:marBottom w:val="0"/>
                                  <w:divBdr>
                                    <w:top w:val="none" w:sz="0" w:space="0" w:color="auto"/>
                                    <w:left w:val="none" w:sz="0" w:space="0" w:color="auto"/>
                                    <w:bottom w:val="none" w:sz="0" w:space="0" w:color="auto"/>
                                    <w:right w:val="none" w:sz="0" w:space="0" w:color="auto"/>
                                  </w:divBdr>
                                  <w:divsChild>
                                    <w:div w:id="1546213383">
                                      <w:marLeft w:val="0"/>
                                      <w:marRight w:val="0"/>
                                      <w:marTop w:val="0"/>
                                      <w:marBottom w:val="0"/>
                                      <w:divBdr>
                                        <w:top w:val="none" w:sz="0" w:space="0" w:color="auto"/>
                                        <w:left w:val="none" w:sz="0" w:space="0" w:color="auto"/>
                                        <w:bottom w:val="none" w:sz="0" w:space="0" w:color="auto"/>
                                        <w:right w:val="none" w:sz="0" w:space="0" w:color="auto"/>
                                      </w:divBdr>
                                      <w:divsChild>
                                        <w:div w:id="1743025106">
                                          <w:marLeft w:val="0"/>
                                          <w:marRight w:val="0"/>
                                          <w:marTop w:val="0"/>
                                          <w:marBottom w:val="0"/>
                                          <w:divBdr>
                                            <w:top w:val="none" w:sz="0" w:space="0" w:color="auto"/>
                                            <w:left w:val="none" w:sz="0" w:space="0" w:color="auto"/>
                                            <w:bottom w:val="none" w:sz="0" w:space="0" w:color="auto"/>
                                            <w:right w:val="none" w:sz="0" w:space="0" w:color="auto"/>
                                          </w:divBdr>
                                          <w:divsChild>
                                            <w:div w:id="1280145062">
                                              <w:marLeft w:val="0"/>
                                              <w:marRight w:val="0"/>
                                              <w:marTop w:val="0"/>
                                              <w:marBottom w:val="0"/>
                                              <w:divBdr>
                                                <w:top w:val="none" w:sz="0" w:space="0" w:color="auto"/>
                                                <w:left w:val="none" w:sz="0" w:space="0" w:color="auto"/>
                                                <w:bottom w:val="none" w:sz="0" w:space="0" w:color="auto"/>
                                                <w:right w:val="none" w:sz="0" w:space="0" w:color="auto"/>
                                              </w:divBdr>
                                              <w:divsChild>
                                                <w:div w:id="236744440">
                                                  <w:marLeft w:val="0"/>
                                                  <w:marRight w:val="0"/>
                                                  <w:marTop w:val="0"/>
                                                  <w:marBottom w:val="0"/>
                                                  <w:divBdr>
                                                    <w:top w:val="none" w:sz="0" w:space="0" w:color="auto"/>
                                                    <w:left w:val="none" w:sz="0" w:space="0" w:color="auto"/>
                                                    <w:bottom w:val="none" w:sz="0" w:space="0" w:color="auto"/>
                                                    <w:right w:val="none" w:sz="0" w:space="0" w:color="auto"/>
                                                  </w:divBdr>
                                                  <w:divsChild>
                                                    <w:div w:id="1993412616">
                                                      <w:marLeft w:val="0"/>
                                                      <w:marRight w:val="0"/>
                                                      <w:marTop w:val="0"/>
                                                      <w:marBottom w:val="0"/>
                                                      <w:divBdr>
                                                        <w:top w:val="none" w:sz="0" w:space="0" w:color="auto"/>
                                                        <w:left w:val="none" w:sz="0" w:space="0" w:color="auto"/>
                                                        <w:bottom w:val="none" w:sz="0" w:space="0" w:color="auto"/>
                                                        <w:right w:val="none" w:sz="0" w:space="0" w:color="auto"/>
                                                      </w:divBdr>
                                                      <w:divsChild>
                                                        <w:div w:id="1671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028981">
      <w:bodyDiv w:val="1"/>
      <w:marLeft w:val="0"/>
      <w:marRight w:val="0"/>
      <w:marTop w:val="0"/>
      <w:marBottom w:val="0"/>
      <w:divBdr>
        <w:top w:val="none" w:sz="0" w:space="0" w:color="auto"/>
        <w:left w:val="none" w:sz="0" w:space="0" w:color="auto"/>
        <w:bottom w:val="none" w:sz="0" w:space="0" w:color="auto"/>
        <w:right w:val="none" w:sz="0" w:space="0" w:color="auto"/>
      </w:divBdr>
    </w:div>
    <w:div w:id="15331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h.gov.au/Parliamentary_Business/Bills_Legislation/Bills_Search_Results/Result?bId=r65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job-ready/consultations/jobready-graduates-package-draft-legislation-submiss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Parliamentary_Business/Bills_LEGislation/Bills_Search_Results/Result?bId=r6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E0051E6-47F5-43F3-B2FA-BA5164BAD4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4586722B0D2444A44575C430C70AA6" ma:contentTypeVersion="" ma:contentTypeDescription="PDMS Document Site Content Type" ma:contentTypeScope="" ma:versionID="e0ebc29b4a2c94dd4253ab9dd8761197">
  <xsd:schema xmlns:xsd="http://www.w3.org/2001/XMLSchema" xmlns:xs="http://www.w3.org/2001/XMLSchema" xmlns:p="http://schemas.microsoft.com/office/2006/metadata/properties" xmlns:ns2="CE0051E6-47F5-43F3-B2FA-BA5164BAD461" targetNamespace="http://schemas.microsoft.com/office/2006/metadata/properties" ma:root="true" ma:fieldsID="9635b63b1f1cf9a7ecfec028a452bb6c" ns2:_="">
    <xsd:import namespace="CE0051E6-47F5-43F3-B2FA-BA5164BAD4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051E6-47F5-43F3-B2FA-BA5164BAD4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5154-BB73-4B42-B556-9B72C1ED0E67}">
  <ds:schemaRefs>
    <ds:schemaRef ds:uri="http://schemas.microsoft.com/sharepoint/v3/contenttype/forms"/>
  </ds:schemaRefs>
</ds:datastoreItem>
</file>

<file path=customXml/itemProps2.xml><?xml version="1.0" encoding="utf-8"?>
<ds:datastoreItem xmlns:ds="http://schemas.openxmlformats.org/officeDocument/2006/customXml" ds:itemID="{A48B6BFC-9FD1-4BA5-8663-DFA80A665069}">
  <ds:schemaRefs>
    <ds:schemaRef ds:uri="http://schemas.microsoft.com/office/2006/metadata/properties"/>
    <ds:schemaRef ds:uri="http://schemas.microsoft.com/office/infopath/2007/PartnerControls"/>
    <ds:schemaRef ds:uri="CE0051E6-47F5-43F3-B2FA-BA5164BAD461"/>
  </ds:schemaRefs>
</ds:datastoreItem>
</file>

<file path=customXml/itemProps3.xml><?xml version="1.0" encoding="utf-8"?>
<ds:datastoreItem xmlns:ds="http://schemas.openxmlformats.org/officeDocument/2006/customXml" ds:itemID="{E6EE4458-D098-40ED-A63C-387476C19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051E6-47F5-43F3-B2FA-BA5164BA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EDBE1-074C-4900-A0B8-C7B32391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5245</Words>
  <Characters>29902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Blackman</dc:creator>
  <cp:lastModifiedBy>HERBERT,Callum</cp:lastModifiedBy>
  <cp:revision>3</cp:revision>
  <cp:lastPrinted>2019-02-14T00:49:00Z</cp:lastPrinted>
  <dcterms:created xsi:type="dcterms:W3CDTF">2020-12-16T06:33:00Z</dcterms:created>
  <dcterms:modified xsi:type="dcterms:W3CDTF">2020-12-16T06:42:00Z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0x010100266966F133664895A6EE3632470D45F500094586722B0D2444A44575C430C70AA6</vt:lpwstr>
  </property>
</Properties>
</file>