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898F0" w14:textId="4E337F38" w:rsidR="00CF3BA4" w:rsidRPr="00F6451E" w:rsidRDefault="00892701" w:rsidP="00CF3BA4">
      <w:pPr>
        <w:pStyle w:val="Heading1"/>
        <w:rPr>
          <w:rFonts w:asciiTheme="minorHAnsi" w:eastAsia="Times New Roman" w:hAnsiTheme="minorHAnsi" w:cstheme="minorHAnsi"/>
          <w:sz w:val="28"/>
          <w:szCs w:val="28"/>
          <w:u w:val="single"/>
          <w:lang w:eastAsia="en-AU"/>
        </w:rPr>
      </w:pPr>
      <w:bookmarkStart w:id="0" w:name="_GoBack"/>
      <w:bookmarkEnd w:id="0"/>
      <w:r w:rsidRPr="00F6451E">
        <w:rPr>
          <w:rFonts w:asciiTheme="minorHAnsi" w:eastAsia="Times New Roman" w:hAnsiTheme="minorHAnsi" w:cstheme="minorHAnsi"/>
          <w:sz w:val="28"/>
          <w:szCs w:val="28"/>
          <w:u w:val="single"/>
          <w:lang w:eastAsia="en-AU"/>
        </w:rPr>
        <w:t>E</w:t>
      </w:r>
      <w:r w:rsidR="00AC7224" w:rsidRPr="00F6451E">
        <w:rPr>
          <w:rFonts w:asciiTheme="minorHAnsi" w:eastAsia="Times New Roman" w:hAnsiTheme="minorHAnsi" w:cstheme="minorHAnsi"/>
          <w:sz w:val="28"/>
          <w:szCs w:val="28"/>
          <w:u w:val="single"/>
          <w:lang w:eastAsia="en-AU"/>
        </w:rPr>
        <w:t>XPLAN</w:t>
      </w:r>
      <w:r w:rsidR="007F494D" w:rsidRPr="00F6451E">
        <w:rPr>
          <w:rFonts w:asciiTheme="minorHAnsi" w:eastAsia="Times New Roman" w:hAnsiTheme="minorHAnsi" w:cstheme="minorHAnsi"/>
          <w:sz w:val="28"/>
          <w:szCs w:val="28"/>
          <w:u w:val="single"/>
          <w:lang w:eastAsia="en-AU"/>
        </w:rPr>
        <w:t>A</w:t>
      </w:r>
      <w:r w:rsidR="00AC7224" w:rsidRPr="00F6451E">
        <w:rPr>
          <w:rFonts w:asciiTheme="minorHAnsi" w:eastAsia="Times New Roman" w:hAnsiTheme="minorHAnsi" w:cstheme="minorHAnsi"/>
          <w:sz w:val="28"/>
          <w:szCs w:val="28"/>
          <w:u w:val="single"/>
          <w:lang w:eastAsia="en-AU"/>
        </w:rPr>
        <w:t>TORY STATEMENT</w:t>
      </w:r>
    </w:p>
    <w:p w14:paraId="5AED538D" w14:textId="4C5F7054" w:rsidR="00AC7224" w:rsidRPr="00F6451E" w:rsidRDefault="00AC7224" w:rsidP="00AC7224">
      <w:pPr>
        <w:jc w:val="center"/>
        <w:rPr>
          <w:rFonts w:asciiTheme="minorHAnsi" w:hAnsiTheme="minorHAnsi" w:cstheme="minorHAnsi"/>
          <w:u w:val="single"/>
          <w:lang w:eastAsia="en-AU"/>
        </w:rPr>
      </w:pPr>
      <w:r w:rsidRPr="00F6451E">
        <w:rPr>
          <w:rFonts w:asciiTheme="minorHAnsi" w:hAnsiTheme="minorHAnsi" w:cstheme="minorHAnsi"/>
          <w:u w:val="single"/>
          <w:lang w:eastAsia="en-AU"/>
        </w:rPr>
        <w:t>Issued by the authority of the Minister for Education</w:t>
      </w:r>
    </w:p>
    <w:p w14:paraId="33EE81F1" w14:textId="39A4F18E" w:rsidR="00AC7224" w:rsidRPr="00F6451E" w:rsidRDefault="00AC7224" w:rsidP="00CF3BA4">
      <w:pPr>
        <w:jc w:val="center"/>
        <w:rPr>
          <w:rFonts w:asciiTheme="minorHAnsi" w:hAnsiTheme="minorHAnsi" w:cstheme="minorHAnsi"/>
          <w:b/>
          <w:bCs/>
          <w:i/>
          <w:iCs/>
          <w:lang w:eastAsia="en-AU"/>
        </w:rPr>
      </w:pPr>
      <w:r w:rsidRPr="00F6451E">
        <w:rPr>
          <w:rFonts w:asciiTheme="minorHAnsi" w:hAnsiTheme="minorHAnsi" w:cstheme="minorHAnsi"/>
          <w:b/>
          <w:bCs/>
          <w:i/>
          <w:iCs/>
          <w:lang w:eastAsia="en-AU"/>
        </w:rPr>
        <w:t xml:space="preserve">Tertiary Education Quality and Standards Agency Act 2011 </w:t>
      </w:r>
    </w:p>
    <w:p w14:paraId="749A00A8" w14:textId="655FA424" w:rsidR="00892701" w:rsidRPr="00F6451E" w:rsidRDefault="001E6627" w:rsidP="00CF3BA4">
      <w:pPr>
        <w:pStyle w:val="Title"/>
        <w:jc w:val="center"/>
        <w:rPr>
          <w:rFonts w:asciiTheme="minorHAnsi" w:eastAsia="Times New Roman" w:hAnsiTheme="minorHAnsi" w:cstheme="minorHAnsi"/>
          <w:sz w:val="24"/>
          <w:szCs w:val="52"/>
          <w:lang w:eastAsia="en-AU"/>
        </w:rPr>
      </w:pPr>
      <w:bookmarkStart w:id="1" w:name="_Hlk58410646"/>
      <w:r w:rsidRPr="00F6451E">
        <w:rPr>
          <w:rFonts w:asciiTheme="minorHAnsi" w:eastAsia="Times New Roman" w:hAnsiTheme="minorHAnsi" w:cstheme="minorHAnsi"/>
          <w:sz w:val="24"/>
          <w:szCs w:val="52"/>
          <w:lang w:eastAsia="en-AU"/>
        </w:rPr>
        <w:t>Tuition Protection (Up-front Payment</w:t>
      </w:r>
      <w:r w:rsidR="00AC7224" w:rsidRPr="00F6451E">
        <w:rPr>
          <w:rFonts w:asciiTheme="minorHAnsi" w:eastAsia="Times New Roman" w:hAnsiTheme="minorHAnsi" w:cstheme="minorHAnsi"/>
          <w:sz w:val="24"/>
          <w:szCs w:val="52"/>
          <w:lang w:eastAsia="en-AU"/>
        </w:rPr>
        <w:t>s</w:t>
      </w:r>
      <w:r w:rsidRPr="00F6451E">
        <w:rPr>
          <w:rFonts w:asciiTheme="minorHAnsi" w:eastAsia="Times New Roman" w:hAnsiTheme="minorHAnsi" w:cstheme="minorHAnsi"/>
          <w:sz w:val="24"/>
          <w:szCs w:val="52"/>
          <w:lang w:eastAsia="en-AU"/>
        </w:rPr>
        <w:t xml:space="preserve"> Guidelines) 2020</w:t>
      </w:r>
    </w:p>
    <w:bookmarkEnd w:id="1"/>
    <w:p w14:paraId="5318193A" w14:textId="722734E4" w:rsidR="00892701" w:rsidRPr="00F6451E" w:rsidRDefault="00550379" w:rsidP="00A42E69">
      <w:pPr>
        <w:pStyle w:val="Heading2"/>
        <w:rPr>
          <w:rFonts w:asciiTheme="minorHAnsi" w:eastAsia="Times New Roman" w:hAnsiTheme="minorHAnsi" w:cstheme="minorHAnsi"/>
          <w:lang w:eastAsia="en-AU"/>
        </w:rPr>
      </w:pPr>
      <w:r w:rsidRPr="00F6451E">
        <w:rPr>
          <w:rFonts w:asciiTheme="minorHAnsi" w:eastAsia="Times New Roman" w:hAnsiTheme="minorHAnsi" w:cstheme="minorHAnsi"/>
          <w:lang w:eastAsia="en-AU"/>
        </w:rPr>
        <w:t>Purpose</w:t>
      </w:r>
    </w:p>
    <w:p w14:paraId="25790C6D" w14:textId="5BC49E23" w:rsidR="001E6627" w:rsidRPr="00F6451E" w:rsidRDefault="00892701" w:rsidP="000945BE">
      <w:pPr>
        <w:rPr>
          <w:rFonts w:asciiTheme="minorHAnsi" w:hAnsiTheme="minorHAnsi" w:cstheme="minorHAnsi"/>
          <w:lang w:eastAsia="en-AU"/>
        </w:rPr>
      </w:pPr>
      <w:r w:rsidRPr="00F6451E">
        <w:rPr>
          <w:rFonts w:asciiTheme="minorHAnsi" w:hAnsiTheme="minorHAnsi" w:cstheme="minorHAnsi"/>
          <w:lang w:eastAsia="en-AU"/>
        </w:rPr>
        <w:t>The</w:t>
      </w:r>
      <w:r w:rsidR="000C6A6F" w:rsidRPr="00F6451E">
        <w:rPr>
          <w:rFonts w:asciiTheme="minorHAnsi" w:hAnsiTheme="minorHAnsi" w:cstheme="minorHAnsi"/>
          <w:lang w:eastAsia="en-AU"/>
        </w:rPr>
        <w:t xml:space="preserve"> </w:t>
      </w:r>
      <w:r w:rsidR="00550379" w:rsidRPr="00F6451E">
        <w:rPr>
          <w:rFonts w:asciiTheme="minorHAnsi" w:hAnsiTheme="minorHAnsi" w:cstheme="minorHAnsi"/>
          <w:lang w:eastAsia="en-AU"/>
        </w:rPr>
        <w:t xml:space="preserve">purpose of the </w:t>
      </w:r>
      <w:r w:rsidR="001E6627" w:rsidRPr="00F6451E">
        <w:rPr>
          <w:rFonts w:asciiTheme="minorHAnsi" w:hAnsiTheme="minorHAnsi" w:cstheme="minorHAnsi"/>
          <w:i/>
          <w:lang w:eastAsia="en-AU"/>
        </w:rPr>
        <w:t>Tuition Protection (Up-front Payment</w:t>
      </w:r>
      <w:r w:rsidR="00CF3BA4" w:rsidRPr="00F6451E">
        <w:rPr>
          <w:rFonts w:asciiTheme="minorHAnsi" w:hAnsiTheme="minorHAnsi" w:cstheme="minorHAnsi"/>
          <w:i/>
          <w:lang w:eastAsia="en-AU"/>
        </w:rPr>
        <w:t>s</w:t>
      </w:r>
      <w:r w:rsidR="001E6627" w:rsidRPr="00F6451E">
        <w:rPr>
          <w:rFonts w:asciiTheme="minorHAnsi" w:hAnsiTheme="minorHAnsi" w:cstheme="minorHAnsi"/>
          <w:i/>
          <w:lang w:eastAsia="en-AU"/>
        </w:rPr>
        <w:t xml:space="preserve"> Guidelines) 2020</w:t>
      </w:r>
      <w:r w:rsidR="000C6A6F" w:rsidRPr="00F6451E">
        <w:rPr>
          <w:rFonts w:asciiTheme="minorHAnsi" w:hAnsiTheme="minorHAnsi" w:cstheme="minorHAnsi"/>
          <w:i/>
          <w:lang w:eastAsia="en-AU"/>
        </w:rPr>
        <w:t xml:space="preserve"> </w:t>
      </w:r>
      <w:r w:rsidR="000945BE" w:rsidRPr="00F6451E">
        <w:rPr>
          <w:rFonts w:asciiTheme="minorHAnsi" w:hAnsiTheme="minorHAnsi" w:cstheme="minorHAnsi"/>
          <w:lang w:eastAsia="en-AU"/>
        </w:rPr>
        <w:t xml:space="preserve">(the </w:t>
      </w:r>
      <w:r w:rsidR="000945BE" w:rsidRPr="00F6451E">
        <w:rPr>
          <w:rFonts w:asciiTheme="minorHAnsi" w:hAnsiTheme="minorHAnsi" w:cstheme="minorHAnsi"/>
          <w:b/>
          <w:lang w:eastAsia="en-AU"/>
        </w:rPr>
        <w:t>Guidelines</w:t>
      </w:r>
      <w:r w:rsidR="000945BE" w:rsidRPr="00F6451E">
        <w:rPr>
          <w:rFonts w:asciiTheme="minorHAnsi" w:hAnsiTheme="minorHAnsi" w:cstheme="minorHAnsi"/>
          <w:lang w:eastAsia="en-AU"/>
        </w:rPr>
        <w:t xml:space="preserve">) </w:t>
      </w:r>
      <w:r w:rsidR="00550379" w:rsidRPr="00F6451E">
        <w:rPr>
          <w:rFonts w:asciiTheme="minorHAnsi" w:hAnsiTheme="minorHAnsi" w:cstheme="minorHAnsi"/>
          <w:lang w:eastAsia="en-AU"/>
        </w:rPr>
        <w:t xml:space="preserve">is to </w:t>
      </w:r>
      <w:r w:rsidR="000C6A6F" w:rsidRPr="00F6451E">
        <w:rPr>
          <w:rFonts w:asciiTheme="minorHAnsi" w:hAnsiTheme="minorHAnsi" w:cstheme="minorHAnsi"/>
          <w:lang w:eastAsia="en-AU"/>
        </w:rPr>
        <w:t xml:space="preserve">put in place administrative </w:t>
      </w:r>
      <w:r w:rsidR="001E6627" w:rsidRPr="00F6451E">
        <w:rPr>
          <w:rFonts w:asciiTheme="minorHAnsi" w:hAnsiTheme="minorHAnsi" w:cstheme="minorHAnsi"/>
          <w:lang w:eastAsia="en-AU"/>
        </w:rPr>
        <w:t xml:space="preserve">and operational provisions to support </w:t>
      </w:r>
      <w:r w:rsidR="003E2AFF" w:rsidRPr="00F6451E">
        <w:rPr>
          <w:rFonts w:asciiTheme="minorHAnsi" w:hAnsiTheme="minorHAnsi" w:cstheme="minorHAnsi"/>
          <w:lang w:eastAsia="en-AU"/>
        </w:rPr>
        <w:t xml:space="preserve">amendments to the </w:t>
      </w:r>
      <w:r w:rsidR="003E2AFF" w:rsidRPr="00F6451E">
        <w:rPr>
          <w:rFonts w:asciiTheme="minorHAnsi" w:hAnsiTheme="minorHAnsi" w:cstheme="minorHAnsi"/>
          <w:i/>
          <w:iCs/>
          <w:lang w:eastAsia="en-AU"/>
        </w:rPr>
        <w:t xml:space="preserve">Tertiary Education Quality and Standards Agency Act 2011 </w:t>
      </w:r>
      <w:r w:rsidR="003E2AFF" w:rsidRPr="00F6451E">
        <w:rPr>
          <w:rFonts w:asciiTheme="minorHAnsi" w:hAnsiTheme="minorHAnsi" w:cstheme="minorHAnsi"/>
          <w:lang w:eastAsia="en-AU"/>
        </w:rPr>
        <w:t>(</w:t>
      </w:r>
      <w:r w:rsidR="003E2AFF" w:rsidRPr="00F6451E">
        <w:rPr>
          <w:rFonts w:asciiTheme="minorHAnsi" w:hAnsiTheme="minorHAnsi" w:cstheme="minorHAnsi"/>
          <w:b/>
          <w:bCs/>
          <w:lang w:eastAsia="en-AU"/>
        </w:rPr>
        <w:t>TEQSA Act</w:t>
      </w:r>
      <w:r w:rsidR="003E2AFF" w:rsidRPr="00F6451E">
        <w:rPr>
          <w:rFonts w:asciiTheme="minorHAnsi" w:hAnsiTheme="minorHAnsi" w:cstheme="minorHAnsi"/>
          <w:lang w:eastAsia="en-AU"/>
        </w:rPr>
        <w:t xml:space="preserve">) made by </w:t>
      </w:r>
      <w:r w:rsidR="001E6627" w:rsidRPr="00F6451E">
        <w:rPr>
          <w:rFonts w:asciiTheme="minorHAnsi" w:hAnsiTheme="minorHAnsi" w:cstheme="minorHAnsi"/>
          <w:lang w:eastAsia="en-AU"/>
        </w:rPr>
        <w:t xml:space="preserve">the </w:t>
      </w:r>
      <w:r w:rsidR="001E6627" w:rsidRPr="00F6451E">
        <w:rPr>
          <w:rFonts w:asciiTheme="minorHAnsi" w:hAnsiTheme="minorHAnsi" w:cstheme="minorHAnsi"/>
          <w:i/>
          <w:lang w:eastAsia="en-AU"/>
        </w:rPr>
        <w:t xml:space="preserve">Education Legislation Amendment (Up-front Payments Tuition Protection) </w:t>
      </w:r>
      <w:r w:rsidR="005D1D50" w:rsidRPr="00F6451E">
        <w:rPr>
          <w:rFonts w:asciiTheme="minorHAnsi" w:hAnsiTheme="minorHAnsi" w:cstheme="minorHAnsi"/>
          <w:i/>
          <w:lang w:eastAsia="en-AU"/>
        </w:rPr>
        <w:t>Act</w:t>
      </w:r>
      <w:r w:rsidR="001E6627" w:rsidRPr="00F6451E">
        <w:rPr>
          <w:rFonts w:asciiTheme="minorHAnsi" w:hAnsiTheme="minorHAnsi" w:cstheme="minorHAnsi"/>
          <w:i/>
          <w:lang w:eastAsia="en-AU"/>
        </w:rPr>
        <w:t xml:space="preserve"> 2020</w:t>
      </w:r>
      <w:r w:rsidR="00CD2657" w:rsidRPr="00F6451E">
        <w:rPr>
          <w:rFonts w:asciiTheme="minorHAnsi" w:hAnsiTheme="minorHAnsi" w:cstheme="minorHAnsi"/>
          <w:i/>
          <w:lang w:eastAsia="en-AU"/>
        </w:rPr>
        <w:t xml:space="preserve"> </w:t>
      </w:r>
      <w:r w:rsidR="00CD2657" w:rsidRPr="00F6451E">
        <w:rPr>
          <w:rFonts w:asciiTheme="minorHAnsi" w:hAnsiTheme="minorHAnsi" w:cstheme="minorHAnsi"/>
          <w:lang w:eastAsia="en-AU"/>
        </w:rPr>
        <w:t>(</w:t>
      </w:r>
      <w:r w:rsidR="001B260F" w:rsidRPr="00F6451E">
        <w:rPr>
          <w:rFonts w:asciiTheme="minorHAnsi" w:hAnsiTheme="minorHAnsi" w:cstheme="minorHAnsi"/>
          <w:lang w:eastAsia="en-AU"/>
        </w:rPr>
        <w:t xml:space="preserve">the </w:t>
      </w:r>
      <w:r w:rsidR="00CD2657" w:rsidRPr="00F6451E">
        <w:rPr>
          <w:rFonts w:asciiTheme="minorHAnsi" w:hAnsiTheme="minorHAnsi" w:cstheme="minorHAnsi"/>
          <w:b/>
          <w:lang w:eastAsia="en-AU"/>
        </w:rPr>
        <w:t xml:space="preserve">Tuition Protection </w:t>
      </w:r>
      <w:r w:rsidR="005D1D50" w:rsidRPr="00F6451E">
        <w:rPr>
          <w:rFonts w:asciiTheme="minorHAnsi" w:hAnsiTheme="minorHAnsi" w:cstheme="minorHAnsi"/>
          <w:b/>
          <w:lang w:eastAsia="en-AU"/>
        </w:rPr>
        <w:t>Act</w:t>
      </w:r>
      <w:r w:rsidR="00CD2657" w:rsidRPr="00F6451E">
        <w:rPr>
          <w:rFonts w:asciiTheme="minorHAnsi" w:hAnsiTheme="minorHAnsi" w:cstheme="minorHAnsi"/>
          <w:lang w:eastAsia="en-AU"/>
        </w:rPr>
        <w:t>)</w:t>
      </w:r>
      <w:r w:rsidR="001E6627" w:rsidRPr="00F6451E">
        <w:rPr>
          <w:rFonts w:asciiTheme="minorHAnsi" w:hAnsiTheme="minorHAnsi" w:cstheme="minorHAnsi"/>
          <w:lang w:eastAsia="en-AU"/>
        </w:rPr>
        <w:t xml:space="preserve">, and the </w:t>
      </w:r>
      <w:r w:rsidR="001E6627" w:rsidRPr="00F6451E">
        <w:rPr>
          <w:rFonts w:asciiTheme="minorHAnsi" w:hAnsiTheme="minorHAnsi" w:cstheme="minorHAnsi"/>
          <w:i/>
          <w:lang w:eastAsia="en-AU"/>
        </w:rPr>
        <w:t>Higher Education (Up-front Payments Tuition Protection Levy)</w:t>
      </w:r>
      <w:r w:rsidR="00AC7224" w:rsidRPr="00F6451E">
        <w:rPr>
          <w:rFonts w:asciiTheme="minorHAnsi" w:hAnsiTheme="minorHAnsi" w:cstheme="minorHAnsi"/>
          <w:i/>
          <w:lang w:eastAsia="en-AU"/>
        </w:rPr>
        <w:t xml:space="preserve"> Act</w:t>
      </w:r>
      <w:r w:rsidR="001E6627" w:rsidRPr="00F6451E">
        <w:rPr>
          <w:rFonts w:asciiTheme="minorHAnsi" w:hAnsiTheme="minorHAnsi" w:cstheme="minorHAnsi"/>
          <w:i/>
          <w:lang w:eastAsia="en-AU"/>
        </w:rPr>
        <w:t xml:space="preserve"> 2020</w:t>
      </w:r>
      <w:r w:rsidR="00CD2657" w:rsidRPr="00F6451E">
        <w:rPr>
          <w:rFonts w:asciiTheme="minorHAnsi" w:hAnsiTheme="minorHAnsi" w:cstheme="minorHAnsi"/>
          <w:i/>
          <w:lang w:eastAsia="en-AU"/>
        </w:rPr>
        <w:t xml:space="preserve"> </w:t>
      </w:r>
      <w:r w:rsidR="00CD2657" w:rsidRPr="00F6451E">
        <w:rPr>
          <w:rFonts w:asciiTheme="minorHAnsi" w:hAnsiTheme="minorHAnsi" w:cstheme="minorHAnsi"/>
          <w:lang w:eastAsia="en-AU"/>
        </w:rPr>
        <w:t>(</w:t>
      </w:r>
      <w:r w:rsidR="001B260F" w:rsidRPr="00F6451E">
        <w:rPr>
          <w:rFonts w:asciiTheme="minorHAnsi" w:hAnsiTheme="minorHAnsi" w:cstheme="minorHAnsi"/>
          <w:lang w:eastAsia="en-AU"/>
        </w:rPr>
        <w:t xml:space="preserve">the </w:t>
      </w:r>
      <w:r w:rsidR="00CD2657" w:rsidRPr="00F6451E">
        <w:rPr>
          <w:rFonts w:asciiTheme="minorHAnsi" w:hAnsiTheme="minorHAnsi" w:cstheme="minorHAnsi"/>
          <w:b/>
          <w:lang w:eastAsia="en-AU"/>
        </w:rPr>
        <w:t>Levy</w:t>
      </w:r>
      <w:r w:rsidR="001B260F" w:rsidRPr="00F6451E">
        <w:rPr>
          <w:rFonts w:asciiTheme="minorHAnsi" w:hAnsiTheme="minorHAnsi" w:cstheme="minorHAnsi"/>
          <w:b/>
          <w:lang w:eastAsia="en-AU"/>
        </w:rPr>
        <w:t xml:space="preserve"> </w:t>
      </w:r>
      <w:r w:rsidR="005D1D50" w:rsidRPr="00F6451E">
        <w:rPr>
          <w:rFonts w:asciiTheme="minorHAnsi" w:hAnsiTheme="minorHAnsi" w:cstheme="minorHAnsi"/>
          <w:b/>
          <w:lang w:eastAsia="en-AU"/>
        </w:rPr>
        <w:t>Act</w:t>
      </w:r>
      <w:r w:rsidR="001B260F" w:rsidRPr="00F6451E">
        <w:rPr>
          <w:rFonts w:asciiTheme="minorHAnsi" w:hAnsiTheme="minorHAnsi" w:cstheme="minorHAnsi"/>
          <w:lang w:eastAsia="en-AU"/>
        </w:rPr>
        <w:t>)</w:t>
      </w:r>
      <w:r w:rsidR="000C6A6F" w:rsidRPr="00F6451E">
        <w:rPr>
          <w:rFonts w:asciiTheme="minorHAnsi" w:hAnsiTheme="minorHAnsi" w:cstheme="minorHAnsi"/>
          <w:lang w:eastAsia="en-AU"/>
        </w:rPr>
        <w:t>.</w:t>
      </w:r>
      <w:r w:rsidR="000945BE" w:rsidRPr="00F6451E">
        <w:rPr>
          <w:rFonts w:asciiTheme="minorHAnsi" w:hAnsiTheme="minorHAnsi" w:cstheme="minorHAnsi"/>
          <w:lang w:eastAsia="en-AU"/>
        </w:rPr>
        <w:t xml:space="preserve"> </w:t>
      </w:r>
    </w:p>
    <w:p w14:paraId="165AC4BC" w14:textId="5390F48F" w:rsidR="005A0588" w:rsidRPr="00F6451E" w:rsidRDefault="005A0588" w:rsidP="000945BE">
      <w:pPr>
        <w:rPr>
          <w:rFonts w:asciiTheme="minorHAnsi" w:hAnsiTheme="minorHAnsi" w:cstheme="minorHAnsi"/>
          <w:lang w:eastAsia="en-AU"/>
        </w:rPr>
      </w:pPr>
      <w:r w:rsidRPr="00F6451E">
        <w:rPr>
          <w:rFonts w:asciiTheme="minorHAnsi" w:hAnsiTheme="minorHAnsi" w:cstheme="minorHAnsi"/>
          <w:lang w:eastAsia="en-AU"/>
        </w:rPr>
        <w:t>A registered higher education provider (</w:t>
      </w:r>
      <w:r w:rsidRPr="00F6451E">
        <w:rPr>
          <w:rFonts w:asciiTheme="minorHAnsi" w:hAnsiTheme="minorHAnsi" w:cstheme="minorHAnsi"/>
          <w:b/>
          <w:bCs/>
          <w:lang w:eastAsia="en-AU"/>
        </w:rPr>
        <w:t>provider</w:t>
      </w:r>
      <w:r w:rsidRPr="00F6451E">
        <w:rPr>
          <w:rFonts w:asciiTheme="minorHAnsi" w:hAnsiTheme="minorHAnsi" w:cstheme="minorHAnsi"/>
          <w:lang w:eastAsia="en-AU"/>
        </w:rPr>
        <w:t xml:space="preserve">) must comply with conditions imposed on the provider’s registration under section 24 of the </w:t>
      </w:r>
      <w:r w:rsidRPr="00F6451E">
        <w:rPr>
          <w:rFonts w:asciiTheme="minorHAnsi" w:eastAsia="Calibri" w:hAnsiTheme="minorHAnsi" w:cstheme="minorHAnsi"/>
          <w:szCs w:val="24"/>
          <w:lang w:eastAsia="en-AU"/>
        </w:rPr>
        <w:t>TEQSA Act. Section 26A of the TEQSA Act</w:t>
      </w:r>
      <w:r w:rsidR="004C3F19" w:rsidRPr="00F6451E">
        <w:rPr>
          <w:rFonts w:asciiTheme="minorHAnsi" w:eastAsia="Calibri" w:hAnsiTheme="minorHAnsi" w:cstheme="minorHAnsi"/>
          <w:szCs w:val="24"/>
          <w:lang w:eastAsia="en-AU"/>
        </w:rPr>
        <w:t>, as introduced through the Tuition Protection Act,</w:t>
      </w:r>
      <w:r w:rsidRPr="00F6451E">
        <w:rPr>
          <w:rFonts w:asciiTheme="minorHAnsi" w:eastAsia="Calibri" w:hAnsiTheme="minorHAnsi" w:cstheme="minorHAnsi"/>
          <w:szCs w:val="24"/>
          <w:lang w:eastAsia="en-AU"/>
        </w:rPr>
        <w:t xml:space="preserve"> includes </w:t>
      </w:r>
      <w:r w:rsidR="004C3F19" w:rsidRPr="00F6451E">
        <w:rPr>
          <w:rFonts w:asciiTheme="minorHAnsi" w:eastAsia="Calibri" w:hAnsiTheme="minorHAnsi" w:cstheme="minorHAnsi"/>
          <w:szCs w:val="24"/>
          <w:lang w:eastAsia="en-AU"/>
        </w:rPr>
        <w:t xml:space="preserve">a new </w:t>
      </w:r>
      <w:r w:rsidRPr="00F6451E">
        <w:rPr>
          <w:rFonts w:asciiTheme="minorHAnsi" w:eastAsia="Calibri" w:hAnsiTheme="minorHAnsi" w:cstheme="minorHAnsi"/>
          <w:szCs w:val="24"/>
          <w:lang w:eastAsia="en-AU"/>
        </w:rPr>
        <w:t xml:space="preserve">condition – compliance with the tuition protection requirements. The tuition protection requirements include </w:t>
      </w:r>
      <w:r w:rsidR="007A6E8C" w:rsidRPr="00F6451E">
        <w:rPr>
          <w:rFonts w:asciiTheme="minorHAnsi" w:eastAsia="Calibri" w:hAnsiTheme="minorHAnsi" w:cstheme="minorHAnsi"/>
          <w:szCs w:val="24"/>
          <w:lang w:eastAsia="en-AU"/>
        </w:rPr>
        <w:t xml:space="preserve">requirements set out in these Guidelines (subsection 26A(3) of the TEQSA Act). </w:t>
      </w:r>
      <w:r w:rsidRPr="00F6451E">
        <w:rPr>
          <w:rFonts w:asciiTheme="minorHAnsi" w:eastAsia="Calibri" w:hAnsiTheme="minorHAnsi" w:cstheme="minorHAnsi"/>
          <w:szCs w:val="24"/>
          <w:lang w:eastAsia="en-AU"/>
        </w:rPr>
        <w:t xml:space="preserve"> </w:t>
      </w:r>
    </w:p>
    <w:p w14:paraId="139D9E7E" w14:textId="77777777" w:rsidR="00AC7224" w:rsidRPr="00F6451E" w:rsidRDefault="00AC7224" w:rsidP="00AC7224">
      <w:pPr>
        <w:pStyle w:val="Heading2"/>
        <w:rPr>
          <w:rFonts w:asciiTheme="minorHAnsi" w:eastAsia="Times New Roman" w:hAnsiTheme="minorHAnsi" w:cstheme="minorHAnsi"/>
          <w:lang w:eastAsia="en-AU"/>
        </w:rPr>
      </w:pPr>
      <w:r w:rsidRPr="00F6451E">
        <w:rPr>
          <w:rFonts w:asciiTheme="minorHAnsi" w:eastAsia="Times New Roman" w:hAnsiTheme="minorHAnsi" w:cstheme="minorHAnsi"/>
          <w:lang w:eastAsia="en-AU"/>
        </w:rPr>
        <w:t>Authority</w:t>
      </w:r>
    </w:p>
    <w:p w14:paraId="20D60152" w14:textId="4C793E49" w:rsidR="00AC7224" w:rsidRPr="00F6451E" w:rsidRDefault="00AC7224" w:rsidP="00AC7224">
      <w:pPr>
        <w:spacing w:after="0"/>
        <w:rPr>
          <w:rFonts w:asciiTheme="minorHAnsi" w:hAnsiTheme="minorHAnsi" w:cstheme="minorHAnsi"/>
        </w:rPr>
      </w:pPr>
      <w:r w:rsidRPr="00F6451E">
        <w:rPr>
          <w:rFonts w:asciiTheme="minorHAnsi" w:eastAsia="Calibri" w:hAnsiTheme="minorHAnsi" w:cstheme="minorHAnsi"/>
          <w:szCs w:val="24"/>
          <w:lang w:eastAsia="en-AU"/>
        </w:rPr>
        <w:t xml:space="preserve">The Guidelines are made under section 26B of the TEQSA Act, as </w:t>
      </w:r>
      <w:r w:rsidR="003E2AFF" w:rsidRPr="00F6451E">
        <w:rPr>
          <w:rFonts w:asciiTheme="minorHAnsi" w:eastAsia="Calibri" w:hAnsiTheme="minorHAnsi" w:cstheme="minorHAnsi"/>
          <w:szCs w:val="24"/>
          <w:lang w:eastAsia="en-AU"/>
        </w:rPr>
        <w:t xml:space="preserve">enabled </w:t>
      </w:r>
      <w:r w:rsidRPr="00F6451E">
        <w:rPr>
          <w:rFonts w:asciiTheme="minorHAnsi" w:eastAsia="Calibri" w:hAnsiTheme="minorHAnsi" w:cstheme="minorHAnsi"/>
          <w:szCs w:val="24"/>
          <w:lang w:eastAsia="en-AU"/>
        </w:rPr>
        <w:t xml:space="preserve">by section 4 of the </w:t>
      </w:r>
      <w:r w:rsidRPr="00F6451E">
        <w:rPr>
          <w:rFonts w:asciiTheme="minorHAnsi" w:eastAsia="Calibri" w:hAnsiTheme="minorHAnsi" w:cstheme="minorHAnsi"/>
          <w:i/>
          <w:szCs w:val="24"/>
          <w:lang w:eastAsia="en-AU"/>
        </w:rPr>
        <w:t xml:space="preserve">Acts Interpretation Act 1901 </w:t>
      </w:r>
      <w:r w:rsidRPr="00F6451E">
        <w:rPr>
          <w:rFonts w:asciiTheme="minorHAnsi" w:eastAsia="Calibri" w:hAnsiTheme="minorHAnsi" w:cstheme="minorHAnsi"/>
          <w:iCs/>
          <w:szCs w:val="24"/>
          <w:lang w:eastAsia="en-AU"/>
        </w:rPr>
        <w:t>(</w:t>
      </w:r>
      <w:r w:rsidRPr="00F6451E">
        <w:rPr>
          <w:rFonts w:asciiTheme="minorHAnsi" w:eastAsia="Calibri" w:hAnsiTheme="minorHAnsi" w:cstheme="minorHAnsi"/>
          <w:b/>
          <w:bCs/>
          <w:iCs/>
          <w:szCs w:val="24"/>
          <w:lang w:eastAsia="en-AU"/>
        </w:rPr>
        <w:t>Acts Interpretation Act</w:t>
      </w:r>
      <w:r w:rsidRPr="00F6451E">
        <w:rPr>
          <w:rFonts w:asciiTheme="minorHAnsi" w:eastAsia="Calibri" w:hAnsiTheme="minorHAnsi" w:cstheme="minorHAnsi"/>
          <w:iCs/>
          <w:szCs w:val="24"/>
          <w:lang w:eastAsia="en-AU"/>
        </w:rPr>
        <w:t>)</w:t>
      </w:r>
      <w:r w:rsidRPr="00F6451E">
        <w:rPr>
          <w:rFonts w:asciiTheme="minorHAnsi" w:eastAsia="Calibri" w:hAnsiTheme="minorHAnsi" w:cstheme="minorHAnsi"/>
          <w:szCs w:val="24"/>
          <w:lang w:eastAsia="en-AU"/>
        </w:rPr>
        <w:t xml:space="preserve">. Amongst other things, section 4 of the Acts Interpretation Act provides that a power in an Act to make an instrument of legislative character (such as the Guidelines) may be exercised prior to the commencement of that power, as if it had commenced. </w:t>
      </w:r>
      <w:r w:rsidR="003E2AFF" w:rsidRPr="00F6451E">
        <w:rPr>
          <w:rFonts w:asciiTheme="minorHAnsi" w:eastAsia="Calibri" w:hAnsiTheme="minorHAnsi" w:cstheme="minorHAnsi"/>
          <w:szCs w:val="24"/>
          <w:lang w:eastAsia="en-AU"/>
        </w:rPr>
        <w:t>Section 4 of the Acts Interpretation Act allows for the Guidelines to be made prior to the commencement of the Tuition Protection Act so that they can be effective for commencement on 1 January 2021.</w:t>
      </w:r>
    </w:p>
    <w:p w14:paraId="0E4CF65A" w14:textId="7D0386F0" w:rsidR="00550379" w:rsidRPr="00F6451E" w:rsidRDefault="00550379" w:rsidP="00550379">
      <w:pPr>
        <w:pStyle w:val="Heading2"/>
        <w:rPr>
          <w:rFonts w:asciiTheme="minorHAnsi" w:eastAsia="Times New Roman" w:hAnsiTheme="minorHAnsi" w:cstheme="minorHAnsi"/>
          <w:lang w:eastAsia="en-AU"/>
        </w:rPr>
      </w:pPr>
      <w:r w:rsidRPr="00F6451E">
        <w:rPr>
          <w:rFonts w:asciiTheme="minorHAnsi" w:eastAsia="Times New Roman" w:hAnsiTheme="minorHAnsi" w:cstheme="minorHAnsi"/>
          <w:lang w:eastAsia="en-AU"/>
        </w:rPr>
        <w:t>Overview</w:t>
      </w:r>
    </w:p>
    <w:p w14:paraId="33360FEE" w14:textId="71D415A2" w:rsidR="002008DC" w:rsidRPr="00F6451E" w:rsidRDefault="00174F39" w:rsidP="000945BE">
      <w:pPr>
        <w:rPr>
          <w:rFonts w:asciiTheme="minorHAnsi" w:hAnsiTheme="minorHAnsi" w:cstheme="minorHAnsi"/>
          <w:lang w:eastAsia="en-AU"/>
        </w:rPr>
      </w:pPr>
      <w:r w:rsidRPr="00F6451E">
        <w:rPr>
          <w:rFonts w:asciiTheme="minorHAnsi" w:hAnsiTheme="minorHAnsi" w:cstheme="minorHAnsi"/>
          <w:lang w:eastAsia="en-AU"/>
        </w:rPr>
        <w:t xml:space="preserve">The tuition protection requirements introduced by </w:t>
      </w:r>
      <w:r w:rsidR="00AC7224" w:rsidRPr="00F6451E">
        <w:rPr>
          <w:rFonts w:asciiTheme="minorHAnsi" w:hAnsiTheme="minorHAnsi" w:cstheme="minorHAnsi"/>
          <w:lang w:eastAsia="en-AU"/>
        </w:rPr>
        <w:t>the Guidelines</w:t>
      </w:r>
      <w:r w:rsidRPr="00F6451E">
        <w:rPr>
          <w:rFonts w:asciiTheme="minorHAnsi" w:hAnsiTheme="minorHAnsi" w:cstheme="minorHAnsi"/>
          <w:lang w:eastAsia="en-AU"/>
        </w:rPr>
        <w:t xml:space="preserve"> </w:t>
      </w:r>
      <w:r w:rsidR="003E2AFF" w:rsidRPr="00F6451E">
        <w:rPr>
          <w:rFonts w:asciiTheme="minorHAnsi" w:hAnsiTheme="minorHAnsi" w:cstheme="minorHAnsi"/>
          <w:lang w:eastAsia="en-AU"/>
        </w:rPr>
        <w:t xml:space="preserve">specify requirements </w:t>
      </w:r>
      <w:r w:rsidR="0059797E" w:rsidRPr="00F6451E">
        <w:rPr>
          <w:rFonts w:asciiTheme="minorHAnsi" w:hAnsiTheme="minorHAnsi" w:cstheme="minorHAnsi"/>
          <w:lang w:eastAsia="en-AU"/>
        </w:rPr>
        <w:t xml:space="preserve">on </w:t>
      </w:r>
      <w:r w:rsidRPr="00F6451E">
        <w:rPr>
          <w:rFonts w:asciiTheme="minorHAnsi" w:hAnsiTheme="minorHAnsi" w:cstheme="minorHAnsi"/>
          <w:lang w:eastAsia="en-AU"/>
        </w:rPr>
        <w:t xml:space="preserve">higher education providers to whom Part 5A of the </w:t>
      </w:r>
      <w:r w:rsidR="0023406A" w:rsidRPr="00F6451E">
        <w:rPr>
          <w:rFonts w:asciiTheme="minorHAnsi" w:hAnsiTheme="minorHAnsi" w:cstheme="minorHAnsi"/>
          <w:lang w:eastAsia="en-AU"/>
        </w:rPr>
        <w:t>TEQSA Act</w:t>
      </w:r>
      <w:r w:rsidRPr="00F6451E">
        <w:rPr>
          <w:rFonts w:asciiTheme="minorHAnsi" w:hAnsiTheme="minorHAnsi" w:cstheme="minorHAnsi"/>
          <w:lang w:eastAsia="en-AU"/>
        </w:rPr>
        <w:t xml:space="preserve"> applies</w:t>
      </w:r>
      <w:r w:rsidR="006850D7" w:rsidRPr="00F6451E">
        <w:rPr>
          <w:rFonts w:asciiTheme="minorHAnsi" w:hAnsiTheme="minorHAnsi" w:cstheme="minorHAnsi"/>
          <w:lang w:eastAsia="en-AU"/>
        </w:rPr>
        <w:t>,</w:t>
      </w:r>
      <w:r w:rsidRPr="00F6451E">
        <w:rPr>
          <w:rFonts w:asciiTheme="minorHAnsi" w:hAnsiTheme="minorHAnsi" w:cstheme="minorHAnsi"/>
          <w:lang w:eastAsia="en-AU"/>
        </w:rPr>
        <w:t xml:space="preserve"> of</w:t>
      </w:r>
      <w:r w:rsidR="0023406A" w:rsidRPr="00F6451E">
        <w:rPr>
          <w:rFonts w:asciiTheme="minorHAnsi" w:hAnsiTheme="minorHAnsi" w:cstheme="minorHAnsi"/>
          <w:lang w:eastAsia="en-AU"/>
        </w:rPr>
        <w:t>:</w:t>
      </w:r>
    </w:p>
    <w:p w14:paraId="24CDDC08" w14:textId="25C9EF49" w:rsidR="0023406A" w:rsidRPr="00F6451E" w:rsidRDefault="0023406A" w:rsidP="0023406A">
      <w:pPr>
        <w:pStyle w:val="ListParagraph"/>
        <w:numPr>
          <w:ilvl w:val="0"/>
          <w:numId w:val="10"/>
        </w:numPr>
        <w:rPr>
          <w:rFonts w:asciiTheme="minorHAnsi" w:hAnsiTheme="minorHAnsi" w:cstheme="minorHAnsi"/>
          <w:lang w:eastAsia="en-AU"/>
        </w:rPr>
      </w:pPr>
      <w:r w:rsidRPr="00F6451E">
        <w:rPr>
          <w:rFonts w:asciiTheme="minorHAnsi" w:hAnsiTheme="minorHAnsi" w:cstheme="minorHAnsi"/>
          <w:lang w:eastAsia="en-AU"/>
        </w:rPr>
        <w:t>determining tuition fees that are included and excluded for the purposes of paragraph (c) of the definition of ‘tuition fees’ in section 5 of the TEQSA Act</w:t>
      </w:r>
      <w:r w:rsidR="00AC7224" w:rsidRPr="00F6451E">
        <w:rPr>
          <w:rFonts w:asciiTheme="minorHAnsi" w:hAnsiTheme="minorHAnsi" w:cstheme="minorHAnsi"/>
          <w:lang w:eastAsia="en-AU"/>
        </w:rPr>
        <w:t>;</w:t>
      </w:r>
      <w:r w:rsidRPr="00F6451E">
        <w:rPr>
          <w:rFonts w:asciiTheme="minorHAnsi" w:hAnsiTheme="minorHAnsi" w:cstheme="minorHAnsi"/>
          <w:lang w:eastAsia="en-AU"/>
        </w:rPr>
        <w:t xml:space="preserve"> </w:t>
      </w:r>
    </w:p>
    <w:p w14:paraId="6AE6A20C" w14:textId="563E3710" w:rsidR="0023406A" w:rsidRPr="00F6451E" w:rsidRDefault="0023406A" w:rsidP="0023406A">
      <w:pPr>
        <w:pStyle w:val="ListParagraph"/>
        <w:numPr>
          <w:ilvl w:val="0"/>
          <w:numId w:val="10"/>
        </w:numPr>
        <w:rPr>
          <w:rFonts w:asciiTheme="minorHAnsi" w:hAnsiTheme="minorHAnsi" w:cstheme="minorHAnsi"/>
          <w:lang w:eastAsia="en-AU"/>
        </w:rPr>
      </w:pPr>
      <w:r w:rsidRPr="00F6451E">
        <w:rPr>
          <w:rFonts w:asciiTheme="minorHAnsi" w:hAnsiTheme="minorHAnsi" w:cstheme="minorHAnsi"/>
          <w:lang w:eastAsia="en-AU"/>
        </w:rPr>
        <w:t xml:space="preserve">requirements for the collection and recovery of </w:t>
      </w:r>
      <w:r w:rsidR="00AC7224" w:rsidRPr="00F6451E">
        <w:rPr>
          <w:rFonts w:asciiTheme="minorHAnsi" w:hAnsiTheme="minorHAnsi" w:cstheme="minorHAnsi"/>
          <w:lang w:eastAsia="en-AU"/>
        </w:rPr>
        <w:t>the up-front tuition protection levy (</w:t>
      </w:r>
      <w:r w:rsidR="00AC7224" w:rsidRPr="00F6451E">
        <w:rPr>
          <w:rFonts w:asciiTheme="minorHAnsi" w:hAnsiTheme="minorHAnsi" w:cstheme="minorHAnsi"/>
          <w:b/>
          <w:bCs/>
          <w:lang w:eastAsia="en-AU"/>
        </w:rPr>
        <w:t>Levy</w:t>
      </w:r>
      <w:r w:rsidR="00AC7224" w:rsidRPr="00F6451E">
        <w:rPr>
          <w:rFonts w:asciiTheme="minorHAnsi" w:hAnsiTheme="minorHAnsi" w:cstheme="minorHAnsi"/>
          <w:lang w:eastAsia="en-AU"/>
        </w:rPr>
        <w:t>)</w:t>
      </w:r>
      <w:r w:rsidRPr="00F6451E">
        <w:rPr>
          <w:rFonts w:asciiTheme="minorHAnsi" w:hAnsiTheme="minorHAnsi" w:cstheme="minorHAnsi"/>
          <w:lang w:eastAsia="en-AU"/>
        </w:rPr>
        <w:t xml:space="preserve">, including the issuing of </w:t>
      </w:r>
      <w:r w:rsidR="000B0B20" w:rsidRPr="00F6451E">
        <w:rPr>
          <w:rFonts w:asciiTheme="minorHAnsi" w:hAnsiTheme="minorHAnsi" w:cstheme="minorHAnsi"/>
          <w:lang w:eastAsia="en-AU"/>
        </w:rPr>
        <w:t>L</w:t>
      </w:r>
      <w:r w:rsidRPr="00F6451E">
        <w:rPr>
          <w:rFonts w:asciiTheme="minorHAnsi" w:hAnsiTheme="minorHAnsi" w:cstheme="minorHAnsi"/>
          <w:lang w:eastAsia="en-AU"/>
        </w:rPr>
        <w:t>evy notices by the Higher Education Tuition Protection Director</w:t>
      </w:r>
      <w:r w:rsidR="00921AC3" w:rsidRPr="00F6451E">
        <w:rPr>
          <w:rFonts w:asciiTheme="minorHAnsi" w:hAnsiTheme="minorHAnsi" w:cstheme="minorHAnsi"/>
          <w:lang w:eastAsia="en-AU"/>
        </w:rPr>
        <w:t xml:space="preserve"> (the</w:t>
      </w:r>
      <w:r w:rsidR="00921AC3" w:rsidRPr="00F6451E">
        <w:rPr>
          <w:rFonts w:asciiTheme="minorHAnsi" w:hAnsiTheme="minorHAnsi" w:cstheme="minorHAnsi"/>
          <w:b/>
          <w:bCs/>
          <w:lang w:eastAsia="en-AU"/>
        </w:rPr>
        <w:t xml:space="preserve"> Director</w:t>
      </w:r>
      <w:r w:rsidR="00921AC3" w:rsidRPr="00F6451E">
        <w:rPr>
          <w:rFonts w:asciiTheme="minorHAnsi" w:hAnsiTheme="minorHAnsi" w:cstheme="minorHAnsi"/>
          <w:lang w:eastAsia="en-AU"/>
        </w:rPr>
        <w:t>)</w:t>
      </w:r>
      <w:r w:rsidR="000B0B20" w:rsidRPr="00F6451E">
        <w:rPr>
          <w:rFonts w:asciiTheme="minorHAnsi" w:hAnsiTheme="minorHAnsi" w:cstheme="minorHAnsi"/>
          <w:lang w:eastAsia="en-AU"/>
        </w:rPr>
        <w:t>;</w:t>
      </w:r>
    </w:p>
    <w:p w14:paraId="65B9EAA3" w14:textId="63C57016" w:rsidR="0023406A" w:rsidRPr="00F6451E" w:rsidRDefault="008724C3" w:rsidP="0023406A">
      <w:pPr>
        <w:pStyle w:val="ListParagraph"/>
        <w:numPr>
          <w:ilvl w:val="0"/>
          <w:numId w:val="10"/>
        </w:numPr>
        <w:rPr>
          <w:rFonts w:asciiTheme="minorHAnsi" w:hAnsiTheme="minorHAnsi" w:cstheme="minorHAnsi"/>
          <w:lang w:eastAsia="en-AU"/>
        </w:rPr>
      </w:pPr>
      <w:r w:rsidRPr="00F6451E">
        <w:rPr>
          <w:rFonts w:asciiTheme="minorHAnsi" w:hAnsiTheme="minorHAnsi" w:cstheme="minorHAnsi"/>
          <w:lang w:eastAsia="en-AU"/>
        </w:rPr>
        <w:t xml:space="preserve">detail on the internal and external review processes in relation to a </w:t>
      </w:r>
      <w:r w:rsidR="000B0B20" w:rsidRPr="00F6451E">
        <w:rPr>
          <w:rFonts w:asciiTheme="minorHAnsi" w:hAnsiTheme="minorHAnsi" w:cstheme="minorHAnsi"/>
          <w:lang w:eastAsia="en-AU"/>
        </w:rPr>
        <w:t>L</w:t>
      </w:r>
      <w:r w:rsidRPr="00F6451E">
        <w:rPr>
          <w:rFonts w:asciiTheme="minorHAnsi" w:hAnsiTheme="minorHAnsi" w:cstheme="minorHAnsi"/>
          <w:lang w:eastAsia="en-AU"/>
        </w:rPr>
        <w:t>evy decision</w:t>
      </w:r>
      <w:r w:rsidR="000B0B20" w:rsidRPr="00F6451E">
        <w:rPr>
          <w:rFonts w:asciiTheme="minorHAnsi" w:hAnsiTheme="minorHAnsi" w:cstheme="minorHAnsi"/>
          <w:lang w:eastAsia="en-AU"/>
        </w:rPr>
        <w:t>;</w:t>
      </w:r>
      <w:r w:rsidRPr="00F6451E">
        <w:rPr>
          <w:rFonts w:asciiTheme="minorHAnsi" w:hAnsiTheme="minorHAnsi" w:cstheme="minorHAnsi"/>
          <w:lang w:eastAsia="en-AU"/>
        </w:rPr>
        <w:t xml:space="preserve"> </w:t>
      </w:r>
    </w:p>
    <w:p w14:paraId="19250E5E" w14:textId="2869DCCD" w:rsidR="008724C3" w:rsidRPr="00F6451E" w:rsidRDefault="00B31F42" w:rsidP="001B51AB">
      <w:pPr>
        <w:pStyle w:val="ListParagraph"/>
        <w:numPr>
          <w:ilvl w:val="0"/>
          <w:numId w:val="10"/>
        </w:numPr>
        <w:rPr>
          <w:rFonts w:asciiTheme="minorHAnsi" w:hAnsiTheme="minorHAnsi" w:cstheme="minorHAnsi"/>
          <w:sz w:val="23"/>
          <w:szCs w:val="23"/>
        </w:rPr>
      </w:pPr>
      <w:r w:rsidRPr="00F6451E">
        <w:rPr>
          <w:rFonts w:asciiTheme="minorHAnsi" w:hAnsiTheme="minorHAnsi" w:cstheme="minorHAnsi"/>
          <w:lang w:eastAsia="en-AU"/>
        </w:rPr>
        <w:t>r</w:t>
      </w:r>
      <w:r w:rsidR="008724C3" w:rsidRPr="00F6451E">
        <w:rPr>
          <w:rFonts w:asciiTheme="minorHAnsi" w:hAnsiTheme="minorHAnsi" w:cstheme="minorHAnsi"/>
          <w:lang w:eastAsia="en-AU"/>
        </w:rPr>
        <w:t xml:space="preserve">equirements for providers to keep </w:t>
      </w:r>
      <w:r w:rsidR="000B0B20" w:rsidRPr="00F6451E">
        <w:rPr>
          <w:rFonts w:asciiTheme="minorHAnsi" w:hAnsiTheme="minorHAnsi" w:cstheme="minorHAnsi"/>
          <w:lang w:eastAsia="en-AU"/>
        </w:rPr>
        <w:t xml:space="preserve">records of </w:t>
      </w:r>
      <w:r w:rsidR="008724C3" w:rsidRPr="00F6451E">
        <w:rPr>
          <w:rFonts w:asciiTheme="minorHAnsi" w:hAnsiTheme="minorHAnsi" w:cstheme="minorHAnsi"/>
          <w:lang w:eastAsia="en-AU"/>
        </w:rPr>
        <w:t xml:space="preserve">certain information and documents related to tuition protection for each domestic student enrolled in a unit of study or Australian </w:t>
      </w:r>
      <w:r w:rsidRPr="00F6451E">
        <w:rPr>
          <w:rFonts w:asciiTheme="minorHAnsi" w:hAnsiTheme="minorHAnsi" w:cstheme="minorHAnsi"/>
          <w:lang w:eastAsia="en-AU"/>
        </w:rPr>
        <w:t>c</w:t>
      </w:r>
      <w:r w:rsidR="008724C3" w:rsidRPr="00F6451E">
        <w:rPr>
          <w:rFonts w:asciiTheme="minorHAnsi" w:hAnsiTheme="minorHAnsi" w:cstheme="minorHAnsi"/>
          <w:lang w:eastAsia="en-AU"/>
        </w:rPr>
        <w:t xml:space="preserve">ourse of </w:t>
      </w:r>
      <w:r w:rsidRPr="00F6451E">
        <w:rPr>
          <w:rFonts w:asciiTheme="minorHAnsi" w:hAnsiTheme="minorHAnsi" w:cstheme="minorHAnsi"/>
          <w:lang w:eastAsia="en-AU"/>
        </w:rPr>
        <w:t>s</w:t>
      </w:r>
      <w:r w:rsidR="008724C3" w:rsidRPr="00F6451E">
        <w:rPr>
          <w:rFonts w:asciiTheme="minorHAnsi" w:hAnsiTheme="minorHAnsi" w:cstheme="minorHAnsi"/>
          <w:lang w:eastAsia="en-AU"/>
        </w:rPr>
        <w:t>tudy with the provider or who has paid up-front payments to the provider</w:t>
      </w:r>
      <w:r w:rsidR="000B0B20" w:rsidRPr="00F6451E">
        <w:rPr>
          <w:rFonts w:asciiTheme="minorHAnsi" w:hAnsiTheme="minorHAnsi" w:cstheme="minorHAnsi"/>
          <w:lang w:eastAsia="en-AU"/>
        </w:rPr>
        <w:t xml:space="preserve">; </w:t>
      </w:r>
    </w:p>
    <w:p w14:paraId="48FD9F28" w14:textId="00487207" w:rsidR="00B31F42" w:rsidRPr="00F6451E" w:rsidRDefault="00B31F42" w:rsidP="00B31F42">
      <w:pPr>
        <w:pStyle w:val="ListParagraph"/>
        <w:numPr>
          <w:ilvl w:val="0"/>
          <w:numId w:val="10"/>
        </w:numPr>
        <w:rPr>
          <w:rFonts w:asciiTheme="minorHAnsi" w:hAnsiTheme="minorHAnsi" w:cstheme="minorHAnsi"/>
          <w:lang w:eastAsia="en-AU"/>
        </w:rPr>
      </w:pPr>
      <w:r w:rsidRPr="00F6451E">
        <w:rPr>
          <w:rFonts w:asciiTheme="minorHAnsi" w:hAnsiTheme="minorHAnsi" w:cstheme="minorHAnsi"/>
          <w:lang w:eastAsia="en-AU"/>
        </w:rPr>
        <w:lastRenderedPageBreak/>
        <w:t>requirements for providers to disclose certain information and documents related to tuition protection to the Secretary about each domestic student enrolled in a unit of study or Australian course of study with the provider</w:t>
      </w:r>
      <w:r w:rsidR="000B0B20" w:rsidRPr="00F6451E">
        <w:rPr>
          <w:rFonts w:asciiTheme="minorHAnsi" w:hAnsiTheme="minorHAnsi" w:cstheme="minorHAnsi"/>
          <w:lang w:eastAsia="en-AU"/>
        </w:rPr>
        <w:t>;</w:t>
      </w:r>
      <w:r w:rsidRPr="00F6451E">
        <w:rPr>
          <w:rFonts w:asciiTheme="minorHAnsi" w:hAnsiTheme="minorHAnsi" w:cstheme="minorHAnsi"/>
          <w:lang w:eastAsia="en-AU"/>
        </w:rPr>
        <w:t xml:space="preserve"> </w:t>
      </w:r>
    </w:p>
    <w:p w14:paraId="476EEEBB" w14:textId="77282BDC" w:rsidR="00B31F42" w:rsidRPr="00F6451E" w:rsidRDefault="000B0B20" w:rsidP="001B51AB">
      <w:pPr>
        <w:pStyle w:val="ListParagraph"/>
        <w:numPr>
          <w:ilvl w:val="0"/>
          <w:numId w:val="10"/>
        </w:numPr>
        <w:rPr>
          <w:rFonts w:asciiTheme="minorHAnsi" w:hAnsiTheme="minorHAnsi" w:cstheme="minorHAnsi"/>
          <w:lang w:eastAsia="en-AU"/>
        </w:rPr>
      </w:pPr>
      <w:r w:rsidRPr="00F6451E">
        <w:rPr>
          <w:rFonts w:asciiTheme="minorHAnsi" w:hAnsiTheme="minorHAnsi" w:cstheme="minorHAnsi"/>
          <w:lang w:eastAsia="en-AU"/>
        </w:rPr>
        <w:t>o</w:t>
      </w:r>
      <w:r w:rsidR="00B31F42" w:rsidRPr="00F6451E">
        <w:rPr>
          <w:rFonts w:asciiTheme="minorHAnsi" w:hAnsiTheme="minorHAnsi" w:cstheme="minorHAnsi"/>
          <w:lang w:eastAsia="en-AU"/>
        </w:rPr>
        <w:t>ther circumstances when a provider defaults in relation to a student</w:t>
      </w:r>
      <w:r w:rsidR="00921AC3" w:rsidRPr="00F6451E">
        <w:rPr>
          <w:rFonts w:asciiTheme="minorHAnsi" w:hAnsiTheme="minorHAnsi" w:cstheme="minorHAnsi"/>
          <w:lang w:eastAsia="en-AU"/>
        </w:rPr>
        <w:t xml:space="preserve"> that is </w:t>
      </w:r>
      <w:r w:rsidR="001C7184" w:rsidRPr="00F6451E">
        <w:rPr>
          <w:rFonts w:asciiTheme="minorHAnsi" w:hAnsiTheme="minorHAnsi" w:cstheme="minorHAnsi"/>
          <w:lang w:eastAsia="en-AU"/>
        </w:rPr>
        <w:t xml:space="preserve">in </w:t>
      </w:r>
      <w:r w:rsidR="00921AC3" w:rsidRPr="00F6451E">
        <w:rPr>
          <w:rFonts w:asciiTheme="minorHAnsi" w:hAnsiTheme="minorHAnsi" w:cstheme="minorHAnsi"/>
          <w:lang w:eastAsia="en-AU"/>
        </w:rPr>
        <w:t>addition</w:t>
      </w:r>
      <w:r w:rsidR="001C7184" w:rsidRPr="00F6451E">
        <w:rPr>
          <w:rFonts w:asciiTheme="minorHAnsi" w:hAnsiTheme="minorHAnsi" w:cstheme="minorHAnsi"/>
          <w:lang w:eastAsia="en-AU"/>
        </w:rPr>
        <w:t xml:space="preserve"> to</w:t>
      </w:r>
      <w:r w:rsidR="00921AC3" w:rsidRPr="00F6451E">
        <w:rPr>
          <w:rFonts w:asciiTheme="minorHAnsi" w:hAnsiTheme="minorHAnsi" w:cstheme="minorHAnsi"/>
          <w:lang w:eastAsia="en-AU"/>
        </w:rPr>
        <w:t xml:space="preserve"> section 62C</w:t>
      </w:r>
      <w:r w:rsidR="00B31F42" w:rsidRPr="00F6451E">
        <w:rPr>
          <w:rFonts w:asciiTheme="minorHAnsi" w:hAnsiTheme="minorHAnsi" w:cstheme="minorHAnsi"/>
          <w:lang w:eastAsia="en-AU"/>
        </w:rPr>
        <w:t xml:space="preserve"> </w:t>
      </w:r>
      <w:r w:rsidR="001D7729" w:rsidRPr="00F6451E">
        <w:rPr>
          <w:rFonts w:asciiTheme="minorHAnsi" w:hAnsiTheme="minorHAnsi" w:cstheme="minorHAnsi"/>
          <w:lang w:eastAsia="en-AU"/>
        </w:rPr>
        <w:t>of the TEQSA Act</w:t>
      </w:r>
      <w:r w:rsidRPr="00F6451E">
        <w:rPr>
          <w:rFonts w:asciiTheme="minorHAnsi" w:hAnsiTheme="minorHAnsi" w:cstheme="minorHAnsi"/>
          <w:lang w:eastAsia="en-AU"/>
        </w:rPr>
        <w:t>;</w:t>
      </w:r>
    </w:p>
    <w:p w14:paraId="2C9D0A4A" w14:textId="1722CC4A" w:rsidR="00B31F42" w:rsidRPr="00F6451E" w:rsidRDefault="000E447D" w:rsidP="00B31F42">
      <w:pPr>
        <w:pStyle w:val="ListParagraph"/>
        <w:numPr>
          <w:ilvl w:val="0"/>
          <w:numId w:val="10"/>
        </w:numPr>
        <w:rPr>
          <w:rFonts w:asciiTheme="minorHAnsi" w:hAnsiTheme="minorHAnsi" w:cstheme="minorHAnsi"/>
          <w:lang w:eastAsia="en-AU"/>
        </w:rPr>
      </w:pPr>
      <w:r w:rsidRPr="00F6451E">
        <w:rPr>
          <w:rFonts w:asciiTheme="minorHAnsi" w:hAnsiTheme="minorHAnsi" w:cstheme="minorHAnsi"/>
          <w:lang w:eastAsia="en-AU"/>
        </w:rPr>
        <w:t>d</w:t>
      </w:r>
      <w:r w:rsidR="00921AC3" w:rsidRPr="00F6451E">
        <w:rPr>
          <w:rFonts w:asciiTheme="minorHAnsi" w:hAnsiTheme="minorHAnsi" w:cstheme="minorHAnsi"/>
          <w:lang w:eastAsia="en-AU"/>
        </w:rPr>
        <w:t>etail around the written notices that providers that default must give to students and the Director</w:t>
      </w:r>
      <w:r w:rsidR="000B0B20" w:rsidRPr="00F6451E">
        <w:rPr>
          <w:rFonts w:asciiTheme="minorHAnsi" w:hAnsiTheme="minorHAnsi" w:cstheme="minorHAnsi"/>
          <w:lang w:eastAsia="en-AU"/>
        </w:rPr>
        <w:t xml:space="preserve">; </w:t>
      </w:r>
    </w:p>
    <w:p w14:paraId="1850369D" w14:textId="2D0401B5" w:rsidR="00921AC3" w:rsidRPr="00F6451E" w:rsidRDefault="000E447D" w:rsidP="00B31F42">
      <w:pPr>
        <w:pStyle w:val="ListParagraph"/>
        <w:numPr>
          <w:ilvl w:val="0"/>
          <w:numId w:val="10"/>
        </w:numPr>
        <w:rPr>
          <w:rFonts w:asciiTheme="minorHAnsi" w:hAnsiTheme="minorHAnsi" w:cstheme="minorHAnsi"/>
          <w:lang w:eastAsia="en-AU"/>
        </w:rPr>
      </w:pPr>
      <w:r w:rsidRPr="00F6451E">
        <w:rPr>
          <w:rFonts w:asciiTheme="minorHAnsi" w:hAnsiTheme="minorHAnsi" w:cstheme="minorHAnsi"/>
          <w:lang w:eastAsia="en-AU"/>
        </w:rPr>
        <w:t>r</w:t>
      </w:r>
      <w:r w:rsidR="009A69AA" w:rsidRPr="00F6451E">
        <w:rPr>
          <w:rFonts w:asciiTheme="minorHAnsi" w:hAnsiTheme="minorHAnsi" w:cstheme="minorHAnsi"/>
          <w:lang w:eastAsia="en-AU"/>
        </w:rPr>
        <w:t>equirements for providers to give evidence within their written notice to the Director of the outcome of discharge of obligations that is in addition to subsection 62H(2) of the TEQSA Act</w:t>
      </w:r>
      <w:r w:rsidR="000B0B20" w:rsidRPr="00F6451E">
        <w:rPr>
          <w:rFonts w:asciiTheme="minorHAnsi" w:hAnsiTheme="minorHAnsi" w:cstheme="minorHAnsi"/>
          <w:lang w:eastAsia="en-AU"/>
        </w:rPr>
        <w:t>;</w:t>
      </w:r>
      <w:r w:rsidR="009A69AA" w:rsidRPr="00F6451E">
        <w:rPr>
          <w:rFonts w:asciiTheme="minorHAnsi" w:hAnsiTheme="minorHAnsi" w:cstheme="minorHAnsi"/>
          <w:lang w:eastAsia="en-AU"/>
        </w:rPr>
        <w:t xml:space="preserve"> </w:t>
      </w:r>
    </w:p>
    <w:p w14:paraId="075BCDFD" w14:textId="0F7C0CE7" w:rsidR="009A69AA" w:rsidRPr="00F6451E" w:rsidRDefault="000B0B20" w:rsidP="00B31F42">
      <w:pPr>
        <w:pStyle w:val="ListParagraph"/>
        <w:numPr>
          <w:ilvl w:val="0"/>
          <w:numId w:val="10"/>
        </w:numPr>
        <w:rPr>
          <w:rFonts w:asciiTheme="minorHAnsi" w:hAnsiTheme="minorHAnsi" w:cstheme="minorHAnsi"/>
          <w:lang w:eastAsia="en-AU"/>
        </w:rPr>
      </w:pPr>
      <w:r w:rsidRPr="00F6451E">
        <w:rPr>
          <w:rFonts w:asciiTheme="minorHAnsi" w:hAnsiTheme="minorHAnsi" w:cstheme="minorHAnsi"/>
          <w:lang w:eastAsia="en-AU"/>
        </w:rPr>
        <w:t xml:space="preserve">other tuition protection requirements for providers to notify students of certain matters. </w:t>
      </w:r>
    </w:p>
    <w:p w14:paraId="5F77D55D" w14:textId="18CDEA17" w:rsidR="00892701" w:rsidRPr="00F6451E" w:rsidRDefault="00892701" w:rsidP="00A42E69">
      <w:pPr>
        <w:pStyle w:val="Heading2"/>
        <w:rPr>
          <w:rFonts w:asciiTheme="minorHAnsi" w:eastAsia="Times New Roman" w:hAnsiTheme="minorHAnsi" w:cstheme="minorHAnsi"/>
          <w:lang w:eastAsia="en-AU"/>
        </w:rPr>
      </w:pPr>
      <w:r w:rsidRPr="00F6451E">
        <w:rPr>
          <w:rFonts w:asciiTheme="minorHAnsi" w:eastAsia="Times New Roman" w:hAnsiTheme="minorHAnsi" w:cstheme="minorHAnsi"/>
          <w:lang w:eastAsia="en-AU"/>
        </w:rPr>
        <w:t>Background</w:t>
      </w:r>
    </w:p>
    <w:p w14:paraId="13E9EA93" w14:textId="27D91A1E" w:rsidR="00A42E69" w:rsidRPr="00F6451E" w:rsidRDefault="002008DC" w:rsidP="00C31248">
      <w:pPr>
        <w:keepNext/>
        <w:rPr>
          <w:rFonts w:asciiTheme="minorHAnsi" w:hAnsiTheme="minorHAnsi" w:cstheme="minorHAnsi"/>
        </w:rPr>
      </w:pPr>
      <w:r w:rsidRPr="00F6451E">
        <w:rPr>
          <w:rFonts w:asciiTheme="minorHAnsi" w:hAnsiTheme="minorHAnsi" w:cstheme="minorHAnsi"/>
        </w:rPr>
        <w:t>The</w:t>
      </w:r>
      <w:r w:rsidR="00A42E69" w:rsidRPr="00F6451E">
        <w:rPr>
          <w:rFonts w:asciiTheme="minorHAnsi" w:hAnsiTheme="minorHAnsi" w:cstheme="minorHAnsi"/>
        </w:rPr>
        <w:t xml:space="preserve"> </w:t>
      </w:r>
      <w:r w:rsidRPr="00F6451E">
        <w:rPr>
          <w:rFonts w:asciiTheme="minorHAnsi" w:hAnsiTheme="minorHAnsi" w:cstheme="minorHAnsi"/>
          <w:iCs/>
        </w:rPr>
        <w:t>T</w:t>
      </w:r>
      <w:r w:rsidR="008310DA" w:rsidRPr="00F6451E">
        <w:rPr>
          <w:rFonts w:asciiTheme="minorHAnsi" w:hAnsiTheme="minorHAnsi" w:cstheme="minorHAnsi"/>
          <w:iCs/>
        </w:rPr>
        <w:t xml:space="preserve">uition Protection </w:t>
      </w:r>
      <w:r w:rsidR="005D1D50" w:rsidRPr="00F6451E">
        <w:rPr>
          <w:rFonts w:asciiTheme="minorHAnsi" w:hAnsiTheme="minorHAnsi" w:cstheme="minorHAnsi"/>
          <w:iCs/>
        </w:rPr>
        <w:t>Act</w:t>
      </w:r>
      <w:r w:rsidRPr="00F6451E">
        <w:rPr>
          <w:rFonts w:asciiTheme="minorHAnsi" w:hAnsiTheme="minorHAnsi" w:cstheme="minorHAnsi"/>
        </w:rPr>
        <w:t xml:space="preserve"> </w:t>
      </w:r>
      <w:r w:rsidR="004E1D22" w:rsidRPr="00F6451E">
        <w:rPr>
          <w:rFonts w:asciiTheme="minorHAnsi" w:hAnsiTheme="minorHAnsi" w:cstheme="minorHAnsi"/>
        </w:rPr>
        <w:t>extends</w:t>
      </w:r>
      <w:r w:rsidRPr="00F6451E">
        <w:rPr>
          <w:rFonts w:asciiTheme="minorHAnsi" w:hAnsiTheme="minorHAnsi" w:cstheme="minorHAnsi"/>
        </w:rPr>
        <w:t xml:space="preserve"> </w:t>
      </w:r>
      <w:r w:rsidR="002E722D" w:rsidRPr="00F6451E">
        <w:rPr>
          <w:rFonts w:asciiTheme="minorHAnsi" w:hAnsiTheme="minorHAnsi" w:cstheme="minorHAnsi"/>
        </w:rPr>
        <w:t xml:space="preserve">the Government managed </w:t>
      </w:r>
      <w:r w:rsidRPr="00F6451E">
        <w:rPr>
          <w:rFonts w:asciiTheme="minorHAnsi" w:hAnsiTheme="minorHAnsi" w:cstheme="minorHAnsi"/>
        </w:rPr>
        <w:t xml:space="preserve">Tuition Protection </w:t>
      </w:r>
      <w:r w:rsidR="002E722D" w:rsidRPr="00F6451E">
        <w:rPr>
          <w:rFonts w:asciiTheme="minorHAnsi" w:hAnsiTheme="minorHAnsi" w:cstheme="minorHAnsi"/>
        </w:rPr>
        <w:t>Service (</w:t>
      </w:r>
      <w:r w:rsidR="002E722D" w:rsidRPr="00F6451E">
        <w:rPr>
          <w:rFonts w:asciiTheme="minorHAnsi" w:hAnsiTheme="minorHAnsi" w:cstheme="minorHAnsi"/>
          <w:b/>
          <w:bCs/>
        </w:rPr>
        <w:t>TPS</w:t>
      </w:r>
      <w:r w:rsidR="002E722D" w:rsidRPr="00F6451E">
        <w:rPr>
          <w:rFonts w:asciiTheme="minorHAnsi" w:hAnsiTheme="minorHAnsi" w:cstheme="minorHAnsi"/>
        </w:rPr>
        <w:t>)</w:t>
      </w:r>
      <w:r w:rsidRPr="00F6451E">
        <w:rPr>
          <w:rFonts w:asciiTheme="minorHAnsi" w:hAnsiTheme="minorHAnsi" w:cstheme="minorHAnsi"/>
        </w:rPr>
        <w:t xml:space="preserve"> to domestic up</w:t>
      </w:r>
      <w:r w:rsidR="002E722D" w:rsidRPr="00F6451E">
        <w:rPr>
          <w:rFonts w:asciiTheme="minorHAnsi" w:hAnsiTheme="minorHAnsi" w:cstheme="minorHAnsi"/>
        </w:rPr>
        <w:noBreakHyphen/>
      </w:r>
      <w:r w:rsidRPr="00F6451E">
        <w:rPr>
          <w:rFonts w:asciiTheme="minorHAnsi" w:hAnsiTheme="minorHAnsi" w:cstheme="minorHAnsi"/>
        </w:rPr>
        <w:t>front fee</w:t>
      </w:r>
      <w:r w:rsidR="00231704" w:rsidRPr="00F6451E">
        <w:rPr>
          <w:rFonts w:asciiTheme="minorHAnsi" w:hAnsiTheme="minorHAnsi" w:cstheme="minorHAnsi"/>
        </w:rPr>
        <w:t xml:space="preserve"> </w:t>
      </w:r>
      <w:r w:rsidRPr="00F6451E">
        <w:rPr>
          <w:rFonts w:asciiTheme="minorHAnsi" w:hAnsiTheme="minorHAnsi" w:cstheme="minorHAnsi"/>
        </w:rPr>
        <w:t xml:space="preserve">paying higher education students, </w:t>
      </w:r>
      <w:r w:rsidR="002E722D" w:rsidRPr="00F6451E">
        <w:rPr>
          <w:rFonts w:asciiTheme="minorHAnsi" w:hAnsiTheme="minorHAnsi" w:cstheme="minorHAnsi"/>
        </w:rPr>
        <w:t>commencing on</w:t>
      </w:r>
      <w:r w:rsidR="00C31248" w:rsidRPr="00F6451E">
        <w:rPr>
          <w:rFonts w:asciiTheme="minorHAnsi" w:hAnsiTheme="minorHAnsi" w:cstheme="minorHAnsi"/>
        </w:rPr>
        <w:t xml:space="preserve"> </w:t>
      </w:r>
      <w:r w:rsidR="002E722D" w:rsidRPr="00F6451E">
        <w:rPr>
          <w:rFonts w:asciiTheme="minorHAnsi" w:hAnsiTheme="minorHAnsi" w:cstheme="minorHAnsi"/>
        </w:rPr>
        <w:t>1</w:t>
      </w:r>
      <w:r w:rsidR="00C31248" w:rsidRPr="00F6451E">
        <w:rPr>
          <w:rFonts w:asciiTheme="minorHAnsi" w:hAnsiTheme="minorHAnsi" w:cstheme="minorHAnsi"/>
        </w:rPr>
        <w:t> January </w:t>
      </w:r>
      <w:r w:rsidR="002E722D" w:rsidRPr="00F6451E">
        <w:rPr>
          <w:rFonts w:asciiTheme="minorHAnsi" w:hAnsiTheme="minorHAnsi" w:cstheme="minorHAnsi"/>
        </w:rPr>
        <w:t>202</w:t>
      </w:r>
      <w:r w:rsidR="000B0B20" w:rsidRPr="00F6451E">
        <w:rPr>
          <w:rFonts w:asciiTheme="minorHAnsi" w:hAnsiTheme="minorHAnsi" w:cstheme="minorHAnsi"/>
        </w:rPr>
        <w:t>1</w:t>
      </w:r>
      <w:r w:rsidR="002E722D" w:rsidRPr="00F6451E">
        <w:rPr>
          <w:rFonts w:asciiTheme="minorHAnsi" w:hAnsiTheme="minorHAnsi" w:cstheme="minorHAnsi"/>
        </w:rPr>
        <w:t xml:space="preserve">, by amending the </w:t>
      </w:r>
      <w:r w:rsidR="008310DA" w:rsidRPr="00F6451E">
        <w:rPr>
          <w:rFonts w:asciiTheme="minorHAnsi" w:hAnsiTheme="minorHAnsi" w:cstheme="minorHAnsi"/>
        </w:rPr>
        <w:t xml:space="preserve">TEQSA Act and the </w:t>
      </w:r>
      <w:r w:rsidR="000E447D" w:rsidRPr="00F6451E">
        <w:rPr>
          <w:rFonts w:asciiTheme="minorHAnsi" w:hAnsiTheme="minorHAnsi" w:cstheme="minorHAnsi"/>
          <w:i/>
          <w:iCs/>
        </w:rPr>
        <w:t xml:space="preserve">Higher Education Support </w:t>
      </w:r>
      <w:r w:rsidR="008310DA" w:rsidRPr="00F6451E">
        <w:rPr>
          <w:rFonts w:asciiTheme="minorHAnsi" w:hAnsiTheme="minorHAnsi" w:cstheme="minorHAnsi"/>
          <w:i/>
          <w:iCs/>
        </w:rPr>
        <w:t>Act</w:t>
      </w:r>
      <w:r w:rsidR="000E447D" w:rsidRPr="00F6451E">
        <w:rPr>
          <w:rFonts w:asciiTheme="minorHAnsi" w:hAnsiTheme="minorHAnsi" w:cstheme="minorHAnsi"/>
          <w:i/>
          <w:iCs/>
        </w:rPr>
        <w:t xml:space="preserve"> 2003</w:t>
      </w:r>
      <w:r w:rsidR="000E447D" w:rsidRPr="00F6451E">
        <w:rPr>
          <w:rFonts w:asciiTheme="minorHAnsi" w:hAnsiTheme="minorHAnsi" w:cstheme="minorHAnsi"/>
        </w:rPr>
        <w:t xml:space="preserve"> (</w:t>
      </w:r>
      <w:r w:rsidR="000E447D" w:rsidRPr="00F6451E">
        <w:rPr>
          <w:rFonts w:asciiTheme="minorHAnsi" w:hAnsiTheme="minorHAnsi" w:cstheme="minorHAnsi"/>
          <w:b/>
          <w:bCs/>
        </w:rPr>
        <w:t>HESA</w:t>
      </w:r>
      <w:r w:rsidR="000E447D" w:rsidRPr="00F6451E">
        <w:rPr>
          <w:rFonts w:asciiTheme="minorHAnsi" w:hAnsiTheme="minorHAnsi" w:cstheme="minorHAnsi"/>
        </w:rPr>
        <w:t>)</w:t>
      </w:r>
      <w:r w:rsidR="005A020A" w:rsidRPr="00F6451E">
        <w:rPr>
          <w:rFonts w:asciiTheme="minorHAnsi" w:hAnsiTheme="minorHAnsi" w:cstheme="minorHAnsi"/>
        </w:rPr>
        <w:t>.</w:t>
      </w:r>
      <w:r w:rsidRPr="00F6451E">
        <w:rPr>
          <w:rFonts w:asciiTheme="minorHAnsi" w:hAnsiTheme="minorHAnsi" w:cstheme="minorHAnsi"/>
        </w:rPr>
        <w:t xml:space="preserve"> </w:t>
      </w:r>
      <w:r w:rsidR="006850D7" w:rsidRPr="00F6451E">
        <w:rPr>
          <w:rFonts w:asciiTheme="minorHAnsi" w:hAnsiTheme="minorHAnsi" w:cstheme="minorHAnsi"/>
        </w:rPr>
        <w:t xml:space="preserve">The expansion </w:t>
      </w:r>
      <w:r w:rsidRPr="00F6451E">
        <w:rPr>
          <w:rFonts w:asciiTheme="minorHAnsi" w:hAnsiTheme="minorHAnsi" w:cstheme="minorHAnsi"/>
        </w:rPr>
        <w:t>ensur</w:t>
      </w:r>
      <w:r w:rsidR="006850D7" w:rsidRPr="00F6451E">
        <w:rPr>
          <w:rFonts w:asciiTheme="minorHAnsi" w:hAnsiTheme="minorHAnsi" w:cstheme="minorHAnsi"/>
        </w:rPr>
        <w:t xml:space="preserve">es </w:t>
      </w:r>
      <w:r w:rsidRPr="00F6451E">
        <w:rPr>
          <w:rFonts w:asciiTheme="minorHAnsi" w:hAnsiTheme="minorHAnsi" w:cstheme="minorHAnsi"/>
        </w:rPr>
        <w:t>domestic higher education students that take out a HELP loan and/or pay up-front for their study costs</w:t>
      </w:r>
      <w:r w:rsidR="003006AC" w:rsidRPr="00F6451E">
        <w:rPr>
          <w:rFonts w:asciiTheme="minorHAnsi" w:hAnsiTheme="minorHAnsi" w:cstheme="minorHAnsi"/>
        </w:rPr>
        <w:t xml:space="preserve"> at a private higher education provider</w:t>
      </w:r>
      <w:r w:rsidRPr="00F6451E">
        <w:rPr>
          <w:rFonts w:asciiTheme="minorHAnsi" w:hAnsiTheme="minorHAnsi" w:cstheme="minorHAnsi"/>
        </w:rPr>
        <w:t>, are assisted</w:t>
      </w:r>
      <w:r w:rsidR="002E722D" w:rsidRPr="00F6451E">
        <w:rPr>
          <w:rFonts w:asciiTheme="minorHAnsi" w:hAnsiTheme="minorHAnsi" w:cstheme="minorHAnsi"/>
        </w:rPr>
        <w:t xml:space="preserve"> by either a recredit, refund or suitable replacement unit and course</w:t>
      </w:r>
      <w:r w:rsidRPr="00F6451E">
        <w:rPr>
          <w:rFonts w:asciiTheme="minorHAnsi" w:hAnsiTheme="minorHAnsi" w:cstheme="minorHAnsi"/>
        </w:rPr>
        <w:t xml:space="preserve"> in the event that their provider defaults in</w:t>
      </w:r>
      <w:r w:rsidR="003006AC" w:rsidRPr="00F6451E">
        <w:rPr>
          <w:rFonts w:asciiTheme="minorHAnsi" w:hAnsiTheme="minorHAnsi" w:cstheme="minorHAnsi"/>
        </w:rPr>
        <w:t xml:space="preserve"> failing to commence or</w:t>
      </w:r>
      <w:r w:rsidRPr="00F6451E">
        <w:rPr>
          <w:rFonts w:asciiTheme="minorHAnsi" w:hAnsiTheme="minorHAnsi" w:cstheme="minorHAnsi"/>
        </w:rPr>
        <w:t xml:space="preserve"> ceasing </w:t>
      </w:r>
      <w:r w:rsidR="002E722D" w:rsidRPr="00F6451E">
        <w:rPr>
          <w:rFonts w:asciiTheme="minorHAnsi" w:hAnsiTheme="minorHAnsi" w:cstheme="minorHAnsi"/>
        </w:rPr>
        <w:t xml:space="preserve">to </w:t>
      </w:r>
      <w:r w:rsidRPr="00F6451E">
        <w:rPr>
          <w:rFonts w:asciiTheme="minorHAnsi" w:hAnsiTheme="minorHAnsi" w:cstheme="minorHAnsi"/>
        </w:rPr>
        <w:t>provide the</w:t>
      </w:r>
      <w:r w:rsidR="002E722D" w:rsidRPr="00F6451E">
        <w:rPr>
          <w:rFonts w:asciiTheme="minorHAnsi" w:hAnsiTheme="minorHAnsi" w:cstheme="minorHAnsi"/>
        </w:rPr>
        <w:t>ir</w:t>
      </w:r>
      <w:r w:rsidRPr="00F6451E">
        <w:rPr>
          <w:rFonts w:asciiTheme="minorHAnsi" w:hAnsiTheme="minorHAnsi" w:cstheme="minorHAnsi"/>
        </w:rPr>
        <w:t xml:space="preserve"> unit of study and/or course. </w:t>
      </w:r>
    </w:p>
    <w:p w14:paraId="22737D73" w14:textId="31FE5417" w:rsidR="002E722D" w:rsidRPr="00F6451E" w:rsidRDefault="002E722D" w:rsidP="00A42E69">
      <w:pPr>
        <w:rPr>
          <w:rFonts w:asciiTheme="minorHAnsi" w:hAnsiTheme="minorHAnsi" w:cstheme="minorHAnsi"/>
        </w:rPr>
      </w:pPr>
      <w:r w:rsidRPr="00F6451E">
        <w:rPr>
          <w:rFonts w:asciiTheme="minorHAnsi" w:hAnsiTheme="minorHAnsi" w:cstheme="minorHAnsi"/>
        </w:rPr>
        <w:t xml:space="preserve">The new up-front payments tuition protection arrangements are funded by providers through a levy model set out in the Levy </w:t>
      </w:r>
      <w:r w:rsidR="000B0B20" w:rsidRPr="00F6451E">
        <w:rPr>
          <w:rFonts w:asciiTheme="minorHAnsi" w:hAnsiTheme="minorHAnsi" w:cstheme="minorHAnsi"/>
        </w:rPr>
        <w:t>Act</w:t>
      </w:r>
      <w:r w:rsidRPr="00F6451E">
        <w:rPr>
          <w:rFonts w:asciiTheme="minorHAnsi" w:hAnsiTheme="minorHAnsi" w:cstheme="minorHAnsi"/>
        </w:rPr>
        <w:t xml:space="preserve">. Also these new tuition protection arrangements are modelled on the successful TPS for international students under the </w:t>
      </w:r>
      <w:r w:rsidRPr="00F6451E">
        <w:rPr>
          <w:rFonts w:asciiTheme="minorHAnsi" w:hAnsiTheme="minorHAnsi" w:cstheme="minorHAnsi"/>
          <w:i/>
          <w:iCs/>
        </w:rPr>
        <w:t>E</w:t>
      </w:r>
      <w:r w:rsidR="00102A96" w:rsidRPr="00F6451E">
        <w:rPr>
          <w:rFonts w:asciiTheme="minorHAnsi" w:hAnsiTheme="minorHAnsi" w:cstheme="minorHAnsi"/>
          <w:i/>
          <w:iCs/>
        </w:rPr>
        <w:t xml:space="preserve">ducation </w:t>
      </w:r>
      <w:r w:rsidRPr="00F6451E">
        <w:rPr>
          <w:rFonts w:asciiTheme="minorHAnsi" w:hAnsiTheme="minorHAnsi" w:cstheme="minorHAnsi"/>
          <w:i/>
          <w:iCs/>
        </w:rPr>
        <w:t>S</w:t>
      </w:r>
      <w:r w:rsidR="00102A96" w:rsidRPr="00F6451E">
        <w:rPr>
          <w:rFonts w:asciiTheme="minorHAnsi" w:hAnsiTheme="minorHAnsi" w:cstheme="minorHAnsi"/>
          <w:i/>
          <w:iCs/>
        </w:rPr>
        <w:t xml:space="preserve">ervices for </w:t>
      </w:r>
      <w:r w:rsidRPr="00F6451E">
        <w:rPr>
          <w:rFonts w:asciiTheme="minorHAnsi" w:hAnsiTheme="minorHAnsi" w:cstheme="minorHAnsi"/>
          <w:i/>
          <w:iCs/>
        </w:rPr>
        <w:t>O</w:t>
      </w:r>
      <w:r w:rsidR="00102A96" w:rsidRPr="00F6451E">
        <w:rPr>
          <w:rFonts w:asciiTheme="minorHAnsi" w:hAnsiTheme="minorHAnsi" w:cstheme="minorHAnsi"/>
          <w:i/>
          <w:iCs/>
        </w:rPr>
        <w:t>verseas Students</w:t>
      </w:r>
      <w:r w:rsidRPr="00F6451E">
        <w:rPr>
          <w:rFonts w:asciiTheme="minorHAnsi" w:hAnsiTheme="minorHAnsi" w:cstheme="minorHAnsi"/>
          <w:i/>
          <w:iCs/>
        </w:rPr>
        <w:t xml:space="preserve"> Act</w:t>
      </w:r>
      <w:r w:rsidR="00102A96" w:rsidRPr="00F6451E">
        <w:rPr>
          <w:rFonts w:asciiTheme="minorHAnsi" w:hAnsiTheme="minorHAnsi" w:cstheme="minorHAnsi"/>
          <w:i/>
          <w:iCs/>
        </w:rPr>
        <w:t xml:space="preserve"> 2000</w:t>
      </w:r>
      <w:r w:rsidRPr="00F6451E">
        <w:rPr>
          <w:rFonts w:asciiTheme="minorHAnsi" w:hAnsiTheme="minorHAnsi" w:cstheme="minorHAnsi"/>
        </w:rPr>
        <w:t xml:space="preserve">. </w:t>
      </w:r>
    </w:p>
    <w:p w14:paraId="6AC572AD" w14:textId="620A0FBB" w:rsidR="00892701" w:rsidRPr="00F6451E" w:rsidRDefault="00892701" w:rsidP="005A020A">
      <w:pPr>
        <w:pStyle w:val="Heading2"/>
        <w:rPr>
          <w:rFonts w:asciiTheme="minorHAnsi" w:eastAsia="Times New Roman" w:hAnsiTheme="minorHAnsi" w:cstheme="minorHAnsi"/>
          <w:lang w:eastAsia="en-AU"/>
        </w:rPr>
      </w:pPr>
      <w:r w:rsidRPr="00F6451E">
        <w:rPr>
          <w:rFonts w:asciiTheme="minorHAnsi" w:eastAsia="Times New Roman" w:hAnsiTheme="minorHAnsi" w:cstheme="minorHAnsi"/>
          <w:lang w:eastAsia="en-AU"/>
        </w:rPr>
        <w:t>Consultation</w:t>
      </w:r>
    </w:p>
    <w:p w14:paraId="5125C4CD" w14:textId="77F255A1" w:rsidR="006702BC" w:rsidRPr="00F6451E" w:rsidRDefault="005E409A" w:rsidP="005A020A">
      <w:pPr>
        <w:rPr>
          <w:rFonts w:asciiTheme="minorHAnsi" w:hAnsiTheme="minorHAnsi" w:cstheme="minorHAnsi"/>
        </w:rPr>
      </w:pPr>
      <w:r w:rsidRPr="00F6451E">
        <w:rPr>
          <w:rFonts w:asciiTheme="minorHAnsi" w:hAnsiTheme="minorHAnsi" w:cstheme="minorHAnsi"/>
        </w:rPr>
        <w:t xml:space="preserve">The Guidelines provide procedural detail to support the extension of higher education tuition protection arrangements to domestic up-front paying students </w:t>
      </w:r>
      <w:r w:rsidR="00C31248" w:rsidRPr="00F6451E">
        <w:rPr>
          <w:rFonts w:asciiTheme="minorHAnsi" w:hAnsiTheme="minorHAnsi" w:cstheme="minorHAnsi"/>
        </w:rPr>
        <w:t>under</w:t>
      </w:r>
      <w:r w:rsidRPr="00F6451E">
        <w:rPr>
          <w:rFonts w:asciiTheme="minorHAnsi" w:hAnsiTheme="minorHAnsi" w:cstheme="minorHAnsi"/>
        </w:rPr>
        <w:t xml:space="preserve"> </w:t>
      </w:r>
      <w:r w:rsidR="00C31248" w:rsidRPr="00F6451E">
        <w:rPr>
          <w:rFonts w:asciiTheme="minorHAnsi" w:hAnsiTheme="minorHAnsi" w:cstheme="minorHAnsi"/>
        </w:rPr>
        <w:t>the TEQSA Act</w:t>
      </w:r>
      <w:r w:rsidRPr="00F6451E">
        <w:rPr>
          <w:rFonts w:asciiTheme="minorHAnsi" w:hAnsiTheme="minorHAnsi" w:cstheme="minorHAnsi"/>
        </w:rPr>
        <w:t>. Peak industry bodies and higher education providers were consulted in</w:t>
      </w:r>
      <w:r w:rsidR="006B770E" w:rsidRPr="00F6451E">
        <w:rPr>
          <w:rFonts w:asciiTheme="minorHAnsi" w:hAnsiTheme="minorHAnsi" w:cstheme="minorHAnsi"/>
        </w:rPr>
        <w:t xml:space="preserve"> November 2020 </w:t>
      </w:r>
      <w:r w:rsidR="003E2AFF" w:rsidRPr="00F6451E">
        <w:rPr>
          <w:rFonts w:asciiTheme="minorHAnsi" w:hAnsiTheme="minorHAnsi" w:cstheme="minorHAnsi"/>
        </w:rPr>
        <w:t xml:space="preserve">by </w:t>
      </w:r>
      <w:r w:rsidR="006B770E" w:rsidRPr="00F6451E">
        <w:rPr>
          <w:rFonts w:asciiTheme="minorHAnsi" w:hAnsiTheme="minorHAnsi" w:cstheme="minorHAnsi"/>
        </w:rPr>
        <w:t xml:space="preserve">email in </w:t>
      </w:r>
      <w:r w:rsidRPr="00F6451E">
        <w:rPr>
          <w:rFonts w:asciiTheme="minorHAnsi" w:hAnsiTheme="minorHAnsi" w:cstheme="minorHAnsi"/>
        </w:rPr>
        <w:t xml:space="preserve">relation to </w:t>
      </w:r>
      <w:r w:rsidR="003E2AFF" w:rsidRPr="00F6451E">
        <w:rPr>
          <w:rFonts w:asciiTheme="minorHAnsi" w:hAnsiTheme="minorHAnsi" w:cstheme="minorHAnsi"/>
        </w:rPr>
        <w:t>the Guidelines</w:t>
      </w:r>
      <w:r w:rsidRPr="00F6451E">
        <w:rPr>
          <w:rFonts w:asciiTheme="minorHAnsi" w:hAnsiTheme="minorHAnsi" w:cstheme="minorHAnsi"/>
        </w:rPr>
        <w:t>.</w:t>
      </w:r>
      <w:r w:rsidR="006B770E" w:rsidRPr="00F6451E">
        <w:rPr>
          <w:rFonts w:asciiTheme="minorHAnsi" w:hAnsiTheme="minorHAnsi" w:cstheme="minorHAnsi"/>
        </w:rPr>
        <w:t xml:space="preserve"> The feedback received was positive and supportive of the procedural and administrative requirements contained in </w:t>
      </w:r>
      <w:r w:rsidR="003B6802" w:rsidRPr="00F6451E">
        <w:rPr>
          <w:rFonts w:asciiTheme="minorHAnsi" w:hAnsiTheme="minorHAnsi" w:cstheme="minorHAnsi"/>
        </w:rPr>
        <w:t>the Guidelines</w:t>
      </w:r>
      <w:r w:rsidR="006B770E" w:rsidRPr="00F6451E">
        <w:rPr>
          <w:rFonts w:asciiTheme="minorHAnsi" w:hAnsiTheme="minorHAnsi" w:cstheme="minorHAnsi"/>
        </w:rPr>
        <w:t>.</w:t>
      </w:r>
      <w:r w:rsidRPr="00F6451E">
        <w:rPr>
          <w:rFonts w:asciiTheme="minorHAnsi" w:hAnsiTheme="minorHAnsi" w:cstheme="minorHAnsi"/>
        </w:rPr>
        <w:t xml:space="preserve"> </w:t>
      </w:r>
      <w:r w:rsidR="001D6301" w:rsidRPr="00F6451E">
        <w:rPr>
          <w:rFonts w:asciiTheme="minorHAnsi" w:hAnsiTheme="minorHAnsi" w:cstheme="minorHAnsi"/>
        </w:rPr>
        <w:t xml:space="preserve">   </w:t>
      </w:r>
    </w:p>
    <w:p w14:paraId="710B30B0" w14:textId="77777777" w:rsidR="00950531" w:rsidRPr="00F6451E" w:rsidRDefault="00950531" w:rsidP="00950531">
      <w:pPr>
        <w:pStyle w:val="Heading2"/>
        <w:rPr>
          <w:rFonts w:asciiTheme="minorHAnsi" w:eastAsiaTheme="minorHAnsi" w:hAnsiTheme="minorHAnsi" w:cstheme="minorHAnsi"/>
        </w:rPr>
      </w:pPr>
      <w:r w:rsidRPr="00F6451E">
        <w:rPr>
          <w:rFonts w:asciiTheme="minorHAnsi" w:eastAsiaTheme="minorHAnsi" w:hAnsiTheme="minorHAnsi" w:cstheme="minorHAnsi"/>
        </w:rPr>
        <w:t>Regulatory Impact Statement</w:t>
      </w:r>
    </w:p>
    <w:p w14:paraId="4E61E7ED" w14:textId="16DF4488" w:rsidR="000B0B20" w:rsidRPr="00F6451E" w:rsidRDefault="00950531" w:rsidP="00950531">
      <w:pPr>
        <w:rPr>
          <w:rFonts w:asciiTheme="minorHAnsi" w:hAnsiTheme="minorHAnsi" w:cstheme="minorHAnsi"/>
          <w:szCs w:val="24"/>
        </w:rPr>
      </w:pPr>
      <w:r w:rsidRPr="00F6451E">
        <w:rPr>
          <w:rFonts w:asciiTheme="minorHAnsi" w:hAnsiTheme="minorHAnsi" w:cstheme="minorHAnsi"/>
          <w:szCs w:val="24"/>
        </w:rPr>
        <w:t>The Office of Best Practice Regulation (</w:t>
      </w:r>
      <w:r w:rsidRPr="00F6451E">
        <w:rPr>
          <w:rFonts w:asciiTheme="minorHAnsi" w:hAnsiTheme="minorHAnsi" w:cstheme="minorHAnsi"/>
          <w:b/>
          <w:szCs w:val="24"/>
        </w:rPr>
        <w:t>OBPR</w:t>
      </w:r>
      <w:r w:rsidRPr="00F6451E">
        <w:rPr>
          <w:rFonts w:asciiTheme="minorHAnsi" w:hAnsiTheme="minorHAnsi" w:cstheme="minorHAnsi"/>
          <w:szCs w:val="24"/>
        </w:rPr>
        <w:t xml:space="preserve">) has been consulted. Based on their advice that the proposal does not appear to have a more than minor regulatory impact on business, community organisations or individuals, </w:t>
      </w:r>
      <w:r w:rsidR="00FE6177" w:rsidRPr="00F6451E">
        <w:rPr>
          <w:rFonts w:asciiTheme="minorHAnsi" w:hAnsiTheme="minorHAnsi" w:cstheme="minorHAnsi"/>
          <w:szCs w:val="24"/>
        </w:rPr>
        <w:t>no</w:t>
      </w:r>
      <w:r w:rsidR="00877A4B" w:rsidRPr="00F6451E">
        <w:rPr>
          <w:rFonts w:asciiTheme="minorHAnsi" w:hAnsiTheme="minorHAnsi" w:cstheme="minorHAnsi"/>
          <w:szCs w:val="24"/>
        </w:rPr>
        <w:t xml:space="preserve"> Regulation Impact Statement</w:t>
      </w:r>
      <w:r w:rsidRPr="00F6451E">
        <w:rPr>
          <w:rFonts w:asciiTheme="minorHAnsi" w:hAnsiTheme="minorHAnsi" w:cstheme="minorHAnsi"/>
          <w:szCs w:val="24"/>
        </w:rPr>
        <w:t xml:space="preserve"> was required (OBPR ID No. </w:t>
      </w:r>
      <w:r w:rsidR="00877A4B" w:rsidRPr="00F6451E">
        <w:rPr>
          <w:rFonts w:asciiTheme="minorHAnsi" w:hAnsiTheme="minorHAnsi" w:cstheme="minorHAnsi"/>
          <w:szCs w:val="24"/>
        </w:rPr>
        <w:t>42730</w:t>
      </w:r>
      <w:r w:rsidRPr="00F6451E">
        <w:rPr>
          <w:rFonts w:asciiTheme="minorHAnsi" w:hAnsiTheme="minorHAnsi" w:cstheme="minorHAnsi"/>
          <w:szCs w:val="24"/>
        </w:rPr>
        <w:t xml:space="preserve">). </w:t>
      </w:r>
    </w:p>
    <w:p w14:paraId="0E54CFDB" w14:textId="77777777" w:rsidR="000B0B20" w:rsidRPr="00F6451E" w:rsidRDefault="000B0B20">
      <w:pPr>
        <w:spacing w:line="276" w:lineRule="auto"/>
        <w:rPr>
          <w:rFonts w:asciiTheme="minorHAnsi" w:hAnsiTheme="minorHAnsi" w:cstheme="minorHAnsi"/>
          <w:szCs w:val="24"/>
        </w:rPr>
      </w:pPr>
      <w:r w:rsidRPr="00F6451E">
        <w:rPr>
          <w:rFonts w:asciiTheme="minorHAnsi" w:hAnsiTheme="minorHAnsi" w:cstheme="minorHAnsi"/>
          <w:szCs w:val="24"/>
        </w:rPr>
        <w:br w:type="page"/>
      </w:r>
    </w:p>
    <w:p w14:paraId="694BB47D" w14:textId="77777777" w:rsidR="003E2AFF" w:rsidRPr="00F6451E" w:rsidRDefault="003E2AFF" w:rsidP="003E2AFF">
      <w:pPr>
        <w:pStyle w:val="Title"/>
        <w:jc w:val="center"/>
        <w:rPr>
          <w:rFonts w:asciiTheme="minorHAnsi" w:eastAsia="Times New Roman" w:hAnsiTheme="minorHAnsi" w:cstheme="minorHAnsi"/>
          <w:lang w:eastAsia="en-AU"/>
        </w:rPr>
      </w:pPr>
      <w:r w:rsidRPr="00F6451E">
        <w:rPr>
          <w:rFonts w:asciiTheme="minorHAnsi" w:eastAsia="Times New Roman" w:hAnsiTheme="minorHAnsi" w:cstheme="minorHAnsi"/>
          <w:lang w:eastAsia="en-AU"/>
        </w:rPr>
        <w:lastRenderedPageBreak/>
        <w:t>Tuition Protection (Up-front Payments Guidelines) 2020</w:t>
      </w:r>
    </w:p>
    <w:p w14:paraId="5318F3FF" w14:textId="64D9BE3D" w:rsidR="00892701" w:rsidRPr="00F6451E" w:rsidRDefault="00892701" w:rsidP="00CF3BA4">
      <w:pPr>
        <w:pStyle w:val="Heading2"/>
        <w:jc w:val="center"/>
        <w:rPr>
          <w:rFonts w:asciiTheme="minorHAnsi" w:eastAsia="Times New Roman" w:hAnsiTheme="minorHAnsi" w:cstheme="minorHAnsi"/>
          <w:szCs w:val="28"/>
          <w:lang w:eastAsia="en-AU"/>
        </w:rPr>
      </w:pPr>
      <w:r w:rsidRPr="00F6451E">
        <w:rPr>
          <w:rFonts w:asciiTheme="minorHAnsi" w:eastAsia="Times New Roman" w:hAnsiTheme="minorHAnsi" w:cstheme="minorHAnsi"/>
          <w:szCs w:val="28"/>
          <w:lang w:eastAsia="en-AU"/>
        </w:rPr>
        <w:t>Explanation of Provisions</w:t>
      </w:r>
    </w:p>
    <w:p w14:paraId="7F55700C" w14:textId="39539925" w:rsidR="007E3D0E" w:rsidRPr="00F6451E" w:rsidRDefault="008F3DC3" w:rsidP="0062341C">
      <w:pPr>
        <w:pStyle w:val="Heading3"/>
        <w:rPr>
          <w:rFonts w:asciiTheme="minorHAnsi" w:eastAsia="Times New Roman" w:hAnsiTheme="minorHAnsi" w:cstheme="minorHAnsi"/>
          <w:sz w:val="24"/>
          <w:u w:val="single"/>
          <w:lang w:eastAsia="en-AU"/>
        </w:rPr>
      </w:pPr>
      <w:r w:rsidRPr="00F6451E">
        <w:rPr>
          <w:rFonts w:asciiTheme="minorHAnsi" w:eastAsia="Times New Roman" w:hAnsiTheme="minorHAnsi" w:cstheme="minorHAnsi"/>
          <w:sz w:val="24"/>
          <w:u w:val="single"/>
          <w:lang w:eastAsia="en-AU"/>
        </w:rPr>
        <w:t>Part 1</w:t>
      </w:r>
      <w:r w:rsidR="0062341C" w:rsidRPr="00F6451E">
        <w:rPr>
          <w:rFonts w:asciiTheme="minorHAnsi" w:eastAsia="Times New Roman" w:hAnsiTheme="minorHAnsi" w:cstheme="minorHAnsi"/>
          <w:sz w:val="24"/>
          <w:u w:val="single"/>
          <w:lang w:eastAsia="en-AU"/>
        </w:rPr>
        <w:t>—Preliminary</w:t>
      </w:r>
    </w:p>
    <w:p w14:paraId="1973E6BF" w14:textId="004399FF" w:rsidR="00CF3BA4" w:rsidRPr="00F6451E" w:rsidRDefault="0049597A" w:rsidP="00FD2672">
      <w:pPr>
        <w:rPr>
          <w:rFonts w:asciiTheme="minorHAnsi" w:hAnsiTheme="minorHAnsi" w:cstheme="minorHAnsi"/>
          <w:b/>
          <w:bCs/>
          <w:lang w:eastAsia="en-AU"/>
        </w:rPr>
      </w:pPr>
      <w:r w:rsidRPr="00F6451E">
        <w:rPr>
          <w:rFonts w:asciiTheme="minorHAnsi" w:hAnsiTheme="minorHAnsi" w:cstheme="minorHAnsi"/>
          <w:b/>
          <w:bCs/>
          <w:lang w:eastAsia="en-AU"/>
        </w:rPr>
        <w:t>Section 1</w:t>
      </w:r>
      <w:r w:rsidR="00CF3BA4" w:rsidRPr="00F6451E">
        <w:rPr>
          <w:rFonts w:asciiTheme="minorHAnsi" w:hAnsiTheme="minorHAnsi" w:cstheme="minorHAnsi"/>
          <w:b/>
          <w:bCs/>
          <w:lang w:eastAsia="en-AU"/>
        </w:rPr>
        <w:t xml:space="preserve">: Name </w:t>
      </w:r>
    </w:p>
    <w:p w14:paraId="5027EAB3" w14:textId="1F0AB97B" w:rsidR="00CF3BA4" w:rsidRPr="00F6451E" w:rsidRDefault="008133B2"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Section 1</w:t>
      </w:r>
      <w:r w:rsidR="000711B9" w:rsidRPr="00F6451E">
        <w:rPr>
          <w:rFonts w:asciiTheme="minorHAnsi" w:hAnsiTheme="minorHAnsi" w:cstheme="minorHAnsi"/>
          <w:lang w:eastAsia="en-AU"/>
        </w:rPr>
        <w:t xml:space="preserve"> is a formal provision specifying the name of the instrument as the </w:t>
      </w:r>
      <w:r w:rsidR="000711B9" w:rsidRPr="00F6451E">
        <w:rPr>
          <w:rFonts w:asciiTheme="minorHAnsi" w:hAnsiTheme="minorHAnsi" w:cstheme="minorHAnsi"/>
          <w:i/>
          <w:iCs/>
          <w:lang w:eastAsia="en-AU"/>
        </w:rPr>
        <w:t xml:space="preserve">Tuition Protection (Up-front Payments Guidelines) 2020 </w:t>
      </w:r>
      <w:r w:rsidR="000711B9" w:rsidRPr="00F6451E">
        <w:rPr>
          <w:rFonts w:asciiTheme="minorHAnsi" w:hAnsiTheme="minorHAnsi" w:cstheme="minorHAnsi"/>
          <w:lang w:eastAsia="en-AU"/>
        </w:rPr>
        <w:t>(the</w:t>
      </w:r>
      <w:r w:rsidR="000711B9" w:rsidRPr="00F6451E">
        <w:rPr>
          <w:rFonts w:asciiTheme="minorHAnsi" w:hAnsiTheme="minorHAnsi" w:cstheme="minorHAnsi"/>
          <w:b/>
          <w:bCs/>
          <w:lang w:eastAsia="en-AU"/>
        </w:rPr>
        <w:t xml:space="preserve"> Guidelines</w:t>
      </w:r>
      <w:r w:rsidR="000711B9" w:rsidRPr="00F6451E">
        <w:rPr>
          <w:rFonts w:asciiTheme="minorHAnsi" w:hAnsiTheme="minorHAnsi" w:cstheme="minorHAnsi"/>
          <w:lang w:eastAsia="en-AU"/>
        </w:rPr>
        <w:t>).</w:t>
      </w:r>
      <w:r w:rsidR="00CF3BA4" w:rsidRPr="00F6451E">
        <w:rPr>
          <w:rFonts w:asciiTheme="minorHAnsi" w:hAnsiTheme="minorHAnsi" w:cstheme="minorHAnsi"/>
          <w:lang w:eastAsia="en-AU"/>
        </w:rPr>
        <w:t xml:space="preserve"> </w:t>
      </w:r>
    </w:p>
    <w:p w14:paraId="5A3087CC" w14:textId="5E7A860D" w:rsidR="000711B9" w:rsidRPr="00F6451E" w:rsidRDefault="000711B9" w:rsidP="00FD2672">
      <w:pPr>
        <w:rPr>
          <w:rFonts w:asciiTheme="minorHAnsi" w:hAnsiTheme="minorHAnsi" w:cstheme="minorHAnsi"/>
          <w:b/>
          <w:bCs/>
          <w:lang w:eastAsia="en-AU"/>
        </w:rPr>
      </w:pPr>
      <w:r w:rsidRPr="00F6451E">
        <w:rPr>
          <w:rFonts w:asciiTheme="minorHAnsi" w:hAnsiTheme="minorHAnsi" w:cstheme="minorHAnsi"/>
          <w:b/>
          <w:bCs/>
          <w:lang w:eastAsia="en-AU"/>
        </w:rPr>
        <w:t xml:space="preserve">Section 2: Commencement </w:t>
      </w:r>
    </w:p>
    <w:p w14:paraId="01A5D920" w14:textId="4137D416" w:rsidR="00CF3BA4" w:rsidRPr="00F6451E" w:rsidRDefault="00CF3BA4"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Section 2 provides that the Guidelines commence on 1 January 2021.  </w:t>
      </w:r>
    </w:p>
    <w:p w14:paraId="403EE8B9" w14:textId="5B5E24B1" w:rsidR="000711B9" w:rsidRPr="00F6451E" w:rsidRDefault="000711B9" w:rsidP="00FD2672">
      <w:pPr>
        <w:rPr>
          <w:rFonts w:asciiTheme="minorHAnsi" w:hAnsiTheme="minorHAnsi" w:cstheme="minorHAnsi"/>
          <w:b/>
          <w:bCs/>
          <w:lang w:eastAsia="en-AU"/>
        </w:rPr>
      </w:pPr>
      <w:r w:rsidRPr="00F6451E">
        <w:rPr>
          <w:rFonts w:asciiTheme="minorHAnsi" w:hAnsiTheme="minorHAnsi" w:cstheme="minorHAnsi"/>
          <w:b/>
          <w:bCs/>
          <w:lang w:eastAsia="en-AU"/>
        </w:rPr>
        <w:t xml:space="preserve">Section 3: Authority </w:t>
      </w:r>
    </w:p>
    <w:p w14:paraId="50E52B5F" w14:textId="797A5B34" w:rsidR="00CF3BA4" w:rsidRPr="00F6451E" w:rsidRDefault="00CF3BA4" w:rsidP="00C31248">
      <w:pPr>
        <w:pStyle w:val="ListParagraph"/>
        <w:numPr>
          <w:ilvl w:val="0"/>
          <w:numId w:val="12"/>
        </w:numPr>
        <w:rPr>
          <w:rFonts w:asciiTheme="minorHAnsi" w:hAnsiTheme="minorHAnsi" w:cstheme="minorHAnsi"/>
          <w:b/>
          <w:bCs/>
          <w:lang w:eastAsia="en-AU"/>
        </w:rPr>
      </w:pPr>
      <w:r w:rsidRPr="00F6451E">
        <w:rPr>
          <w:rFonts w:asciiTheme="minorHAnsi" w:hAnsiTheme="minorHAnsi" w:cstheme="minorHAnsi"/>
          <w:lang w:eastAsia="en-AU"/>
        </w:rPr>
        <w:t xml:space="preserve">Section 3 sets out the Minister’s authority to make the Guidelines under section 26B of the </w:t>
      </w:r>
      <w:r w:rsidR="000711B9" w:rsidRPr="00F6451E">
        <w:rPr>
          <w:rFonts w:asciiTheme="minorHAnsi" w:hAnsiTheme="minorHAnsi" w:cstheme="minorHAnsi"/>
          <w:i/>
          <w:iCs/>
          <w:lang w:eastAsia="en-AU"/>
        </w:rPr>
        <w:t xml:space="preserve">Tertiary Education Quality and Standards Agency Act 2011 </w:t>
      </w:r>
      <w:r w:rsidR="000711B9" w:rsidRPr="00F6451E">
        <w:rPr>
          <w:rFonts w:asciiTheme="minorHAnsi" w:hAnsiTheme="minorHAnsi" w:cstheme="minorHAnsi"/>
          <w:lang w:eastAsia="en-AU"/>
        </w:rPr>
        <w:t>(</w:t>
      </w:r>
      <w:r w:rsidR="000711B9" w:rsidRPr="00F6451E">
        <w:rPr>
          <w:rFonts w:asciiTheme="minorHAnsi" w:hAnsiTheme="minorHAnsi" w:cstheme="minorHAnsi"/>
          <w:b/>
          <w:bCs/>
          <w:lang w:eastAsia="en-AU"/>
        </w:rPr>
        <w:t>TEQSA Act</w:t>
      </w:r>
      <w:r w:rsidR="000711B9" w:rsidRPr="00F6451E">
        <w:rPr>
          <w:rFonts w:asciiTheme="minorHAnsi" w:hAnsiTheme="minorHAnsi" w:cstheme="minorHAnsi"/>
          <w:lang w:eastAsia="en-AU"/>
        </w:rPr>
        <w:t xml:space="preserve">). </w:t>
      </w:r>
    </w:p>
    <w:p w14:paraId="686D0991" w14:textId="1F94FD66" w:rsidR="00CF3BA4" w:rsidRPr="00F6451E" w:rsidRDefault="00CF3BA4" w:rsidP="00FD2672">
      <w:pPr>
        <w:rPr>
          <w:rFonts w:asciiTheme="minorHAnsi" w:hAnsiTheme="minorHAnsi" w:cstheme="minorHAnsi"/>
          <w:b/>
          <w:bCs/>
          <w:lang w:eastAsia="en-AU"/>
        </w:rPr>
      </w:pPr>
      <w:r w:rsidRPr="00F6451E">
        <w:rPr>
          <w:rFonts w:asciiTheme="minorHAnsi" w:hAnsiTheme="minorHAnsi" w:cstheme="minorHAnsi"/>
          <w:b/>
          <w:bCs/>
          <w:lang w:eastAsia="en-AU"/>
        </w:rPr>
        <w:t xml:space="preserve">Section 4: Definitions </w:t>
      </w:r>
    </w:p>
    <w:p w14:paraId="2C59EBD0" w14:textId="01E545B7" w:rsidR="00A20656" w:rsidRPr="00F6451E" w:rsidRDefault="007817A2" w:rsidP="00C31248">
      <w:pPr>
        <w:pStyle w:val="ListParagraph"/>
        <w:numPr>
          <w:ilvl w:val="0"/>
          <w:numId w:val="12"/>
        </w:numPr>
        <w:rPr>
          <w:rFonts w:asciiTheme="minorHAnsi" w:hAnsiTheme="minorHAnsi" w:cstheme="minorHAnsi"/>
        </w:rPr>
      </w:pPr>
      <w:r w:rsidRPr="00F6451E">
        <w:rPr>
          <w:rFonts w:asciiTheme="minorHAnsi" w:hAnsiTheme="minorHAnsi" w:cstheme="minorHAnsi"/>
          <w:lang w:eastAsia="en-AU"/>
        </w:rPr>
        <w:t>S</w:t>
      </w:r>
      <w:r w:rsidR="00FD2672" w:rsidRPr="00F6451E">
        <w:rPr>
          <w:rFonts w:asciiTheme="minorHAnsi" w:hAnsiTheme="minorHAnsi" w:cstheme="minorHAnsi"/>
          <w:lang w:eastAsia="en-AU"/>
        </w:rPr>
        <w:t>ection 4 of the Guidelines sets out definitions for the purposes of the Guidelines</w:t>
      </w:r>
      <w:r w:rsidR="00A20656" w:rsidRPr="00F6451E">
        <w:rPr>
          <w:rFonts w:asciiTheme="minorHAnsi" w:hAnsiTheme="minorHAnsi" w:cstheme="minorHAnsi"/>
        </w:rPr>
        <w:t>.</w:t>
      </w:r>
    </w:p>
    <w:p w14:paraId="386AEE2C" w14:textId="53CC5C16" w:rsidR="008F3DC3" w:rsidRPr="00F6451E" w:rsidRDefault="008F3DC3" w:rsidP="00A20656">
      <w:pPr>
        <w:pStyle w:val="Heading3"/>
        <w:rPr>
          <w:rFonts w:asciiTheme="minorHAnsi" w:hAnsiTheme="minorHAnsi" w:cstheme="minorHAnsi"/>
          <w:sz w:val="24"/>
          <w:u w:val="single"/>
          <w:lang w:eastAsia="en-AU"/>
        </w:rPr>
      </w:pPr>
      <w:r w:rsidRPr="00F6451E">
        <w:rPr>
          <w:rFonts w:asciiTheme="minorHAnsi" w:hAnsiTheme="minorHAnsi" w:cstheme="minorHAnsi"/>
          <w:sz w:val="24"/>
          <w:u w:val="single"/>
          <w:lang w:eastAsia="en-AU"/>
        </w:rPr>
        <w:t>Part 2</w:t>
      </w:r>
      <w:r w:rsidRPr="00F6451E">
        <w:rPr>
          <w:rFonts w:asciiTheme="minorHAnsi" w:eastAsia="Times New Roman" w:hAnsiTheme="minorHAnsi" w:cstheme="minorHAnsi"/>
          <w:sz w:val="24"/>
          <w:u w:val="single"/>
          <w:lang w:eastAsia="en-AU"/>
        </w:rPr>
        <w:t>—Tuition Protection</w:t>
      </w:r>
    </w:p>
    <w:p w14:paraId="601B171B" w14:textId="7F138B65" w:rsidR="00A20656" w:rsidRPr="00F6451E" w:rsidRDefault="00A20656" w:rsidP="00A20656">
      <w:pPr>
        <w:pStyle w:val="Heading3"/>
        <w:rPr>
          <w:rFonts w:asciiTheme="minorHAnsi" w:hAnsiTheme="minorHAnsi" w:cstheme="minorHAnsi"/>
          <w:sz w:val="24"/>
          <w:szCs w:val="22"/>
          <w:lang w:eastAsia="en-AU"/>
        </w:rPr>
      </w:pPr>
      <w:r w:rsidRPr="00F6451E">
        <w:rPr>
          <w:rFonts w:asciiTheme="minorHAnsi" w:hAnsiTheme="minorHAnsi" w:cstheme="minorHAnsi"/>
          <w:sz w:val="24"/>
          <w:szCs w:val="22"/>
          <w:lang w:eastAsia="en-AU"/>
        </w:rPr>
        <w:t xml:space="preserve">Division </w:t>
      </w:r>
      <w:r w:rsidR="008F3DC3" w:rsidRPr="00F6451E">
        <w:rPr>
          <w:rFonts w:asciiTheme="minorHAnsi" w:hAnsiTheme="minorHAnsi" w:cstheme="minorHAnsi"/>
          <w:sz w:val="24"/>
          <w:szCs w:val="22"/>
          <w:lang w:eastAsia="en-AU"/>
        </w:rPr>
        <w:t>1</w:t>
      </w:r>
      <w:r w:rsidRPr="00F6451E">
        <w:rPr>
          <w:rFonts w:asciiTheme="minorHAnsi" w:hAnsiTheme="minorHAnsi" w:cstheme="minorHAnsi"/>
          <w:sz w:val="24"/>
          <w:szCs w:val="22"/>
          <w:lang w:eastAsia="en-AU"/>
        </w:rPr>
        <w:t>—</w:t>
      </w:r>
      <w:r w:rsidR="008F3DC3" w:rsidRPr="00F6451E">
        <w:rPr>
          <w:rFonts w:asciiTheme="minorHAnsi" w:hAnsiTheme="minorHAnsi" w:cstheme="minorHAnsi"/>
          <w:sz w:val="24"/>
          <w:szCs w:val="22"/>
          <w:lang w:eastAsia="en-AU"/>
        </w:rPr>
        <w:t>Tuition fees</w:t>
      </w:r>
    </w:p>
    <w:p w14:paraId="5AEB5C41" w14:textId="6609CA95" w:rsidR="00A30512" w:rsidRPr="00F6451E" w:rsidRDefault="00A30512" w:rsidP="00DA1EBD">
      <w:pPr>
        <w:pStyle w:val="Heading4"/>
        <w:rPr>
          <w:rFonts w:asciiTheme="minorHAnsi" w:hAnsiTheme="minorHAnsi" w:cstheme="minorHAnsi"/>
          <w:b/>
          <w:bCs/>
          <w:smallCaps w:val="0"/>
          <w:lang w:eastAsia="en-AU"/>
        </w:rPr>
      </w:pPr>
      <w:bookmarkStart w:id="2" w:name="_Hlk57038332"/>
      <w:r w:rsidRPr="00F6451E">
        <w:rPr>
          <w:rFonts w:asciiTheme="minorHAnsi" w:hAnsiTheme="minorHAnsi" w:cstheme="minorHAnsi"/>
          <w:b/>
          <w:bCs/>
          <w:smallCaps w:val="0"/>
          <w:lang w:eastAsia="en-AU"/>
        </w:rPr>
        <w:t xml:space="preserve">Section 5: </w:t>
      </w:r>
      <w:r w:rsidR="008D5371" w:rsidRPr="00F6451E">
        <w:rPr>
          <w:rFonts w:asciiTheme="minorHAnsi" w:hAnsiTheme="minorHAnsi" w:cstheme="minorHAnsi"/>
          <w:b/>
          <w:bCs/>
          <w:smallCaps w:val="0"/>
          <w:lang w:eastAsia="en-AU"/>
        </w:rPr>
        <w:t xml:space="preserve">Meaning of </w:t>
      </w:r>
      <w:r w:rsidRPr="00F6451E">
        <w:rPr>
          <w:rFonts w:asciiTheme="minorHAnsi" w:hAnsiTheme="minorHAnsi" w:cstheme="minorHAnsi"/>
          <w:b/>
          <w:bCs/>
          <w:smallCaps w:val="0"/>
          <w:lang w:eastAsia="en-AU"/>
        </w:rPr>
        <w:t xml:space="preserve">tuition fees </w:t>
      </w:r>
    </w:p>
    <w:bookmarkEnd w:id="2"/>
    <w:p w14:paraId="1CB08F6D" w14:textId="717B5D5D" w:rsidR="002D54E5" w:rsidRPr="00F6451E" w:rsidRDefault="002D54E5"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Section 5 prescribes </w:t>
      </w:r>
      <w:r w:rsidR="008D5371" w:rsidRPr="00F6451E">
        <w:rPr>
          <w:rFonts w:asciiTheme="minorHAnsi" w:hAnsiTheme="minorHAnsi" w:cstheme="minorHAnsi"/>
          <w:lang w:eastAsia="en-AU"/>
        </w:rPr>
        <w:t>the types of payments that are included as tuition fees</w:t>
      </w:r>
      <w:r w:rsidRPr="00F6451E">
        <w:rPr>
          <w:rFonts w:asciiTheme="minorHAnsi" w:hAnsiTheme="minorHAnsi" w:cstheme="minorHAnsi"/>
          <w:lang w:eastAsia="en-AU"/>
        </w:rPr>
        <w:t xml:space="preserve"> for the purposes of paragraph (c) of the definition of tuition fees in section 5 of the </w:t>
      </w:r>
      <w:r w:rsidR="000711B9" w:rsidRPr="00F6451E">
        <w:rPr>
          <w:rFonts w:asciiTheme="minorHAnsi" w:hAnsiTheme="minorHAnsi" w:cstheme="minorHAnsi"/>
          <w:lang w:eastAsia="en-AU"/>
        </w:rPr>
        <w:t xml:space="preserve">TEQSA </w:t>
      </w:r>
      <w:r w:rsidRPr="00F6451E">
        <w:rPr>
          <w:rFonts w:asciiTheme="minorHAnsi" w:hAnsiTheme="minorHAnsi" w:cstheme="minorHAnsi"/>
          <w:lang w:eastAsia="en-AU"/>
        </w:rPr>
        <w:t>Act. Subsection 5(2) provides that certain fees payable by domestic students enrolled with, or applying for enrolment with, a provider in a unit of study are prescribed amounts. For example,</w:t>
      </w:r>
      <w:r w:rsidR="00F5646F" w:rsidRPr="00F6451E">
        <w:rPr>
          <w:rFonts w:asciiTheme="minorHAnsi" w:hAnsiTheme="minorHAnsi" w:cstheme="minorHAnsi"/>
          <w:lang w:eastAsia="en-AU"/>
        </w:rPr>
        <w:t xml:space="preserve"> fees payable</w:t>
      </w:r>
      <w:r w:rsidRPr="00F6451E">
        <w:rPr>
          <w:rFonts w:asciiTheme="minorHAnsi" w:hAnsiTheme="minorHAnsi" w:cstheme="minorHAnsi"/>
          <w:lang w:eastAsia="en-AU"/>
        </w:rPr>
        <w:t xml:space="preserve"> in relation to tuition, examination, an enabling course and the granting of an Australian higher education award</w:t>
      </w:r>
      <w:r w:rsidR="00F5646F" w:rsidRPr="00F6451E">
        <w:rPr>
          <w:rFonts w:asciiTheme="minorHAnsi" w:hAnsiTheme="minorHAnsi" w:cstheme="minorHAnsi"/>
          <w:lang w:eastAsia="en-AU"/>
        </w:rPr>
        <w:t xml:space="preserve"> will be considered tuition fees for the purposes of tuition protection. </w:t>
      </w:r>
      <w:r w:rsidRPr="00F6451E">
        <w:rPr>
          <w:rFonts w:asciiTheme="minorHAnsi" w:hAnsiTheme="minorHAnsi" w:cstheme="minorHAnsi"/>
          <w:lang w:eastAsia="en-AU"/>
        </w:rPr>
        <w:t xml:space="preserve"> </w:t>
      </w:r>
    </w:p>
    <w:p w14:paraId="10BA5D29" w14:textId="77777777" w:rsidR="006850D7" w:rsidRPr="00F6451E" w:rsidRDefault="006850D7" w:rsidP="00C31248">
      <w:pPr>
        <w:pStyle w:val="ListParagraph"/>
        <w:rPr>
          <w:rFonts w:asciiTheme="minorHAnsi" w:hAnsiTheme="minorHAnsi" w:cstheme="minorHAnsi"/>
          <w:lang w:eastAsia="en-AU"/>
        </w:rPr>
      </w:pPr>
    </w:p>
    <w:p w14:paraId="506D887C" w14:textId="47833CA5" w:rsidR="002D54E5" w:rsidRPr="00F6451E" w:rsidRDefault="002D54E5"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Paragraphs (a) and (b) of the definition of tuition fees in section 5 of the </w:t>
      </w:r>
      <w:r w:rsidR="00F5646F" w:rsidRPr="00F6451E">
        <w:rPr>
          <w:rFonts w:asciiTheme="minorHAnsi" w:hAnsiTheme="minorHAnsi" w:cstheme="minorHAnsi"/>
          <w:lang w:eastAsia="en-AU"/>
        </w:rPr>
        <w:t xml:space="preserve">TEQSA </w:t>
      </w:r>
      <w:r w:rsidRPr="00F6451E">
        <w:rPr>
          <w:rFonts w:asciiTheme="minorHAnsi" w:hAnsiTheme="minorHAnsi" w:cstheme="minorHAnsi"/>
          <w:lang w:eastAsia="en-AU"/>
        </w:rPr>
        <w:t xml:space="preserve">Act </w:t>
      </w:r>
      <w:r w:rsidR="00F5646F" w:rsidRPr="00F6451E">
        <w:rPr>
          <w:rFonts w:asciiTheme="minorHAnsi" w:hAnsiTheme="minorHAnsi" w:cstheme="minorHAnsi"/>
          <w:lang w:eastAsia="en-AU"/>
        </w:rPr>
        <w:t>defines</w:t>
      </w:r>
      <w:r w:rsidRPr="00F6451E">
        <w:rPr>
          <w:rFonts w:asciiTheme="minorHAnsi" w:hAnsiTheme="minorHAnsi" w:cstheme="minorHAnsi"/>
          <w:lang w:eastAsia="en-AU"/>
        </w:rPr>
        <w:t xml:space="preserve"> tuition fees in respect to domestic students </w:t>
      </w:r>
      <w:r w:rsidR="00F5646F" w:rsidRPr="00F6451E">
        <w:rPr>
          <w:rFonts w:asciiTheme="minorHAnsi" w:hAnsiTheme="minorHAnsi" w:cstheme="minorHAnsi"/>
          <w:lang w:eastAsia="en-AU"/>
        </w:rPr>
        <w:t xml:space="preserve">that are liable to pay a student contribution amount or tuition fee within the meaning of </w:t>
      </w:r>
      <w:r w:rsidR="000711B9" w:rsidRPr="00F6451E">
        <w:rPr>
          <w:rFonts w:asciiTheme="minorHAnsi" w:hAnsiTheme="minorHAnsi" w:cstheme="minorHAnsi"/>
          <w:lang w:eastAsia="en-AU"/>
        </w:rPr>
        <w:t xml:space="preserve">the </w:t>
      </w:r>
      <w:r w:rsidR="000711B9" w:rsidRPr="00F6451E">
        <w:rPr>
          <w:rFonts w:asciiTheme="minorHAnsi" w:hAnsiTheme="minorHAnsi" w:cstheme="minorHAnsi"/>
          <w:i/>
          <w:iCs/>
          <w:lang w:eastAsia="en-AU"/>
        </w:rPr>
        <w:t xml:space="preserve">Higher Education Support Act 2003 </w:t>
      </w:r>
      <w:r w:rsidR="000711B9" w:rsidRPr="00F6451E">
        <w:rPr>
          <w:rFonts w:asciiTheme="minorHAnsi" w:hAnsiTheme="minorHAnsi" w:cstheme="minorHAnsi"/>
          <w:lang w:eastAsia="en-AU"/>
        </w:rPr>
        <w:t>(</w:t>
      </w:r>
      <w:r w:rsidR="00F5646F" w:rsidRPr="00F6451E">
        <w:rPr>
          <w:rFonts w:asciiTheme="minorHAnsi" w:hAnsiTheme="minorHAnsi" w:cstheme="minorHAnsi"/>
          <w:b/>
          <w:bCs/>
          <w:lang w:eastAsia="en-AU"/>
        </w:rPr>
        <w:t>HESA</w:t>
      </w:r>
      <w:r w:rsidR="000711B9" w:rsidRPr="00F6451E">
        <w:rPr>
          <w:rFonts w:asciiTheme="minorHAnsi" w:hAnsiTheme="minorHAnsi" w:cstheme="minorHAnsi"/>
          <w:lang w:eastAsia="en-AU"/>
        </w:rPr>
        <w:t>)</w:t>
      </w:r>
      <w:r w:rsidR="00F5646F" w:rsidRPr="00F6451E">
        <w:rPr>
          <w:rFonts w:asciiTheme="minorHAnsi" w:hAnsiTheme="minorHAnsi" w:cstheme="minorHAnsi"/>
          <w:lang w:eastAsia="en-AU"/>
        </w:rPr>
        <w:t xml:space="preserve"> </w:t>
      </w:r>
      <w:r w:rsidRPr="00F6451E">
        <w:rPr>
          <w:rFonts w:asciiTheme="minorHAnsi" w:hAnsiTheme="minorHAnsi" w:cstheme="minorHAnsi"/>
          <w:lang w:eastAsia="en-AU"/>
        </w:rPr>
        <w:t xml:space="preserve">at </w:t>
      </w:r>
      <w:r w:rsidR="00F5646F" w:rsidRPr="00F6451E">
        <w:rPr>
          <w:rFonts w:asciiTheme="minorHAnsi" w:hAnsiTheme="minorHAnsi" w:cstheme="minorHAnsi"/>
          <w:lang w:eastAsia="en-AU"/>
        </w:rPr>
        <w:t xml:space="preserve">an </w:t>
      </w:r>
      <w:r w:rsidRPr="00F6451E">
        <w:rPr>
          <w:rFonts w:asciiTheme="minorHAnsi" w:hAnsiTheme="minorHAnsi" w:cstheme="minorHAnsi"/>
          <w:lang w:eastAsia="en-AU"/>
        </w:rPr>
        <w:t xml:space="preserve">approved higher education provider. The purpose of section 5 of the Guidelines is to prescribe the amounts that are tuition fees where paragraphs (a) and (b) of the definition of tuition fees in the </w:t>
      </w:r>
      <w:r w:rsidR="00C324CE" w:rsidRPr="00F6451E">
        <w:rPr>
          <w:rFonts w:asciiTheme="minorHAnsi" w:hAnsiTheme="minorHAnsi" w:cstheme="minorHAnsi"/>
          <w:lang w:eastAsia="en-AU"/>
        </w:rPr>
        <w:t xml:space="preserve">TEQSA </w:t>
      </w:r>
      <w:r w:rsidRPr="00F6451E">
        <w:rPr>
          <w:rFonts w:asciiTheme="minorHAnsi" w:hAnsiTheme="minorHAnsi" w:cstheme="minorHAnsi"/>
          <w:lang w:eastAsia="en-AU"/>
        </w:rPr>
        <w:t xml:space="preserve">Act does not apply, which would include amounts charged by registered higher education providers (under the TEQSA Act) that are not approved higher education providers under HESA. </w:t>
      </w:r>
    </w:p>
    <w:p w14:paraId="6265E508" w14:textId="77777777" w:rsidR="006850D7" w:rsidRPr="00F6451E" w:rsidRDefault="006850D7" w:rsidP="00C31248">
      <w:pPr>
        <w:pStyle w:val="ListParagraph"/>
        <w:rPr>
          <w:rFonts w:asciiTheme="minorHAnsi" w:hAnsiTheme="minorHAnsi" w:cstheme="minorHAnsi"/>
          <w:lang w:eastAsia="en-AU"/>
        </w:rPr>
      </w:pPr>
    </w:p>
    <w:p w14:paraId="2F895644" w14:textId="78B5680E" w:rsidR="00A30512" w:rsidRPr="00F6451E" w:rsidRDefault="002D54E5"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Subsection 5(3) </w:t>
      </w:r>
      <w:r w:rsidR="00C324CE" w:rsidRPr="00F6451E">
        <w:rPr>
          <w:rFonts w:asciiTheme="minorHAnsi" w:hAnsiTheme="minorHAnsi" w:cstheme="minorHAnsi"/>
          <w:lang w:eastAsia="en-AU"/>
        </w:rPr>
        <w:t xml:space="preserve">of the Guidelines sets out the kind of fees that do not amount to tuition fees for the purposes of paragraph (c) of the definition of tuition fees in the </w:t>
      </w:r>
      <w:r w:rsidR="00C324CE" w:rsidRPr="00F6451E">
        <w:rPr>
          <w:rFonts w:asciiTheme="minorHAnsi" w:hAnsiTheme="minorHAnsi" w:cstheme="minorHAnsi"/>
          <w:lang w:eastAsia="en-AU"/>
        </w:rPr>
        <w:lastRenderedPageBreak/>
        <w:t xml:space="preserve">TEQSA Act. </w:t>
      </w:r>
      <w:r w:rsidR="008D5371" w:rsidRPr="00F6451E">
        <w:rPr>
          <w:rFonts w:asciiTheme="minorHAnsi" w:hAnsiTheme="minorHAnsi" w:cstheme="minorHAnsi"/>
          <w:lang w:eastAsia="en-AU"/>
        </w:rPr>
        <w:t xml:space="preserve">To avoid doubt, section 5 does not prescribe the actual tuition fees charged by providers. Tuition fees charged by providers are set by providers.  </w:t>
      </w:r>
      <w:r w:rsidRPr="00F6451E">
        <w:rPr>
          <w:rFonts w:asciiTheme="minorHAnsi" w:hAnsiTheme="minorHAnsi" w:cstheme="minorHAnsi"/>
          <w:lang w:eastAsia="en-AU"/>
        </w:rPr>
        <w:t xml:space="preserve"> </w:t>
      </w:r>
    </w:p>
    <w:p w14:paraId="100F50FC" w14:textId="54BB7384" w:rsidR="00C324CE" w:rsidRPr="00F6451E" w:rsidRDefault="008F3DC3" w:rsidP="00AB4C08">
      <w:pPr>
        <w:pStyle w:val="Heading3"/>
        <w:rPr>
          <w:rFonts w:asciiTheme="minorHAnsi" w:hAnsiTheme="minorHAnsi" w:cstheme="minorHAnsi"/>
          <w:bCs/>
          <w:i/>
          <w:lang w:eastAsia="en-AU"/>
        </w:rPr>
      </w:pPr>
      <w:r w:rsidRPr="00F6451E">
        <w:rPr>
          <w:rFonts w:asciiTheme="minorHAnsi" w:hAnsiTheme="minorHAnsi" w:cstheme="minorHAnsi"/>
          <w:sz w:val="24"/>
          <w:lang w:eastAsia="en-AU"/>
        </w:rPr>
        <w:t>Division 2—Up-front payments tuition protection levy</w:t>
      </w:r>
    </w:p>
    <w:p w14:paraId="1509F882" w14:textId="4F5B995A" w:rsidR="008F3DC3" w:rsidRPr="00F6451E" w:rsidRDefault="008F3DC3" w:rsidP="008F3DC3">
      <w:pPr>
        <w:pStyle w:val="Heading4"/>
        <w:rPr>
          <w:rFonts w:asciiTheme="minorHAnsi" w:hAnsiTheme="minorHAnsi" w:cstheme="minorHAnsi"/>
          <w:b/>
          <w:bCs/>
          <w:smallCaps w:val="0"/>
          <w:lang w:eastAsia="en-AU"/>
        </w:rPr>
      </w:pPr>
      <w:r w:rsidRPr="00F6451E">
        <w:rPr>
          <w:rFonts w:asciiTheme="minorHAnsi" w:hAnsiTheme="minorHAnsi" w:cstheme="minorHAnsi"/>
          <w:b/>
          <w:bCs/>
          <w:smallCaps w:val="0"/>
          <w:lang w:eastAsia="en-AU"/>
        </w:rPr>
        <w:t>Section 6 – Notice of amount of up-front payments tuition protection levy</w:t>
      </w:r>
    </w:p>
    <w:p w14:paraId="52E2472A" w14:textId="24B9BBFD" w:rsidR="008F3DC3" w:rsidRPr="00F6451E" w:rsidRDefault="006F0971"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Subsection 6(1) sets out the matters which the</w:t>
      </w:r>
      <w:r w:rsidR="000711B9" w:rsidRPr="00F6451E">
        <w:rPr>
          <w:rFonts w:asciiTheme="minorHAnsi" w:hAnsiTheme="minorHAnsi" w:cstheme="minorHAnsi"/>
          <w:lang w:eastAsia="en-AU"/>
        </w:rPr>
        <w:t xml:space="preserve"> Higher Education Tuition Protection</w:t>
      </w:r>
      <w:r w:rsidRPr="00F6451E">
        <w:rPr>
          <w:rFonts w:asciiTheme="minorHAnsi" w:hAnsiTheme="minorHAnsi" w:cstheme="minorHAnsi"/>
          <w:lang w:eastAsia="en-AU"/>
        </w:rPr>
        <w:t xml:space="preserve"> Director</w:t>
      </w:r>
      <w:r w:rsidR="000711B9" w:rsidRPr="00F6451E">
        <w:rPr>
          <w:rFonts w:asciiTheme="minorHAnsi" w:hAnsiTheme="minorHAnsi" w:cstheme="minorHAnsi"/>
          <w:lang w:eastAsia="en-AU"/>
        </w:rPr>
        <w:t xml:space="preserve"> (the </w:t>
      </w:r>
      <w:r w:rsidR="000711B9" w:rsidRPr="00F6451E">
        <w:rPr>
          <w:rFonts w:asciiTheme="minorHAnsi" w:hAnsiTheme="minorHAnsi" w:cstheme="minorHAnsi"/>
          <w:b/>
          <w:bCs/>
          <w:lang w:eastAsia="en-AU"/>
        </w:rPr>
        <w:t>Director</w:t>
      </w:r>
      <w:r w:rsidR="000711B9" w:rsidRPr="00F6451E">
        <w:rPr>
          <w:rFonts w:asciiTheme="minorHAnsi" w:hAnsiTheme="minorHAnsi" w:cstheme="minorHAnsi"/>
          <w:lang w:eastAsia="en-AU"/>
        </w:rPr>
        <w:t>)</w:t>
      </w:r>
      <w:r w:rsidR="008133B2" w:rsidRPr="00F6451E">
        <w:rPr>
          <w:rFonts w:asciiTheme="minorHAnsi" w:hAnsiTheme="minorHAnsi" w:cstheme="minorHAnsi"/>
          <w:lang w:eastAsia="en-AU"/>
        </w:rPr>
        <w:t xml:space="preserve"> </w:t>
      </w:r>
      <w:r w:rsidRPr="00F6451E">
        <w:rPr>
          <w:rFonts w:asciiTheme="minorHAnsi" w:hAnsiTheme="minorHAnsi" w:cstheme="minorHAnsi"/>
          <w:lang w:eastAsia="en-AU"/>
        </w:rPr>
        <w:t>must include in a written notice to each provider who is liable to pay the</w:t>
      </w:r>
      <w:r w:rsidR="00824173" w:rsidRPr="00F6451E">
        <w:rPr>
          <w:rFonts w:asciiTheme="minorHAnsi" w:hAnsiTheme="minorHAnsi" w:cstheme="minorHAnsi"/>
          <w:lang w:eastAsia="en-AU"/>
        </w:rPr>
        <w:t xml:space="preserve"> up</w:t>
      </w:r>
      <w:r w:rsidR="00824173" w:rsidRPr="00F6451E">
        <w:rPr>
          <w:rFonts w:asciiTheme="minorHAnsi" w:hAnsiTheme="minorHAnsi" w:cstheme="minorHAnsi"/>
          <w:lang w:eastAsia="en-AU"/>
        </w:rPr>
        <w:noBreakHyphen/>
        <w:t>front tuition protection</w:t>
      </w:r>
      <w:r w:rsidRPr="00F6451E">
        <w:rPr>
          <w:rFonts w:asciiTheme="minorHAnsi" w:hAnsiTheme="minorHAnsi" w:cstheme="minorHAnsi"/>
          <w:lang w:eastAsia="en-AU"/>
        </w:rPr>
        <w:t xml:space="preserve"> </w:t>
      </w:r>
      <w:r w:rsidR="00824173" w:rsidRPr="00F6451E">
        <w:rPr>
          <w:rFonts w:asciiTheme="minorHAnsi" w:hAnsiTheme="minorHAnsi" w:cstheme="minorHAnsi"/>
          <w:lang w:eastAsia="en-AU"/>
        </w:rPr>
        <w:t>l</w:t>
      </w:r>
      <w:r w:rsidRPr="00F6451E">
        <w:rPr>
          <w:rFonts w:asciiTheme="minorHAnsi" w:hAnsiTheme="minorHAnsi" w:cstheme="minorHAnsi"/>
          <w:lang w:eastAsia="en-AU"/>
        </w:rPr>
        <w:t>evy</w:t>
      </w:r>
      <w:r w:rsidR="00824173" w:rsidRPr="00F6451E">
        <w:rPr>
          <w:rFonts w:asciiTheme="minorHAnsi" w:hAnsiTheme="minorHAnsi" w:cstheme="minorHAnsi"/>
          <w:lang w:eastAsia="en-AU"/>
        </w:rPr>
        <w:t xml:space="preserve"> (</w:t>
      </w:r>
      <w:r w:rsidR="00824173" w:rsidRPr="00F6451E">
        <w:rPr>
          <w:rFonts w:asciiTheme="minorHAnsi" w:hAnsiTheme="minorHAnsi" w:cstheme="minorHAnsi"/>
          <w:b/>
          <w:bCs/>
          <w:lang w:eastAsia="en-AU"/>
        </w:rPr>
        <w:t>Levy</w:t>
      </w:r>
      <w:r w:rsidR="00824173" w:rsidRPr="00F6451E">
        <w:rPr>
          <w:rFonts w:asciiTheme="minorHAnsi" w:hAnsiTheme="minorHAnsi" w:cstheme="minorHAnsi"/>
          <w:lang w:eastAsia="en-AU"/>
        </w:rPr>
        <w:t>)</w:t>
      </w:r>
      <w:r w:rsidRPr="00F6451E">
        <w:rPr>
          <w:rFonts w:asciiTheme="minorHAnsi" w:hAnsiTheme="minorHAnsi" w:cstheme="minorHAnsi"/>
          <w:lang w:eastAsia="en-AU"/>
        </w:rPr>
        <w:t xml:space="preserve">. </w:t>
      </w:r>
    </w:p>
    <w:p w14:paraId="13D54829" w14:textId="77777777" w:rsidR="006850D7" w:rsidRPr="00F6451E" w:rsidRDefault="006850D7" w:rsidP="00C31248">
      <w:pPr>
        <w:pStyle w:val="ListParagraph"/>
        <w:rPr>
          <w:rFonts w:asciiTheme="minorHAnsi" w:hAnsiTheme="minorHAnsi" w:cstheme="minorHAnsi"/>
          <w:lang w:eastAsia="en-AU"/>
        </w:rPr>
      </w:pPr>
    </w:p>
    <w:p w14:paraId="2A8DED66" w14:textId="046D8E7D" w:rsidR="006F0971" w:rsidRPr="00F6451E" w:rsidRDefault="006F0971"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Subsection 6(2) clarifies that even if the Director </w:t>
      </w:r>
      <w:r w:rsidR="00D0738A" w:rsidRPr="00F6451E">
        <w:rPr>
          <w:rFonts w:asciiTheme="minorHAnsi" w:hAnsiTheme="minorHAnsi" w:cstheme="minorHAnsi"/>
          <w:lang w:eastAsia="en-AU"/>
        </w:rPr>
        <w:t>does not</w:t>
      </w:r>
      <w:r w:rsidRPr="00F6451E">
        <w:rPr>
          <w:rFonts w:asciiTheme="minorHAnsi" w:hAnsiTheme="minorHAnsi" w:cstheme="minorHAnsi"/>
          <w:lang w:eastAsia="en-AU"/>
        </w:rPr>
        <w:t xml:space="preserve"> give a provider a notice in accordance with subsection 6(1), the provider is still liable to pay the </w:t>
      </w:r>
      <w:r w:rsidR="00D0738A" w:rsidRPr="00F6451E">
        <w:rPr>
          <w:rFonts w:asciiTheme="minorHAnsi" w:hAnsiTheme="minorHAnsi" w:cstheme="minorHAnsi"/>
          <w:lang w:eastAsia="en-AU"/>
        </w:rPr>
        <w:t>L</w:t>
      </w:r>
      <w:r w:rsidRPr="00F6451E">
        <w:rPr>
          <w:rFonts w:asciiTheme="minorHAnsi" w:hAnsiTheme="minorHAnsi" w:cstheme="minorHAnsi"/>
          <w:lang w:eastAsia="en-AU"/>
        </w:rPr>
        <w:t xml:space="preserve">evy. </w:t>
      </w:r>
      <w:r w:rsidR="00F322D3" w:rsidRPr="00F6451E">
        <w:rPr>
          <w:rFonts w:asciiTheme="minorHAnsi" w:hAnsiTheme="minorHAnsi" w:cstheme="minorHAnsi"/>
          <w:lang w:eastAsia="en-AU"/>
        </w:rPr>
        <w:t xml:space="preserve">The notes under subsection 6(2) outline that the </w:t>
      </w:r>
      <w:r w:rsidR="00D0738A" w:rsidRPr="00F6451E">
        <w:rPr>
          <w:rFonts w:asciiTheme="minorHAnsi" w:hAnsiTheme="minorHAnsi" w:cstheme="minorHAnsi"/>
          <w:lang w:eastAsia="en-AU"/>
        </w:rPr>
        <w:t>L</w:t>
      </w:r>
      <w:r w:rsidR="00F322D3" w:rsidRPr="00F6451E">
        <w:rPr>
          <w:rFonts w:asciiTheme="minorHAnsi" w:hAnsiTheme="minorHAnsi" w:cstheme="minorHAnsi"/>
          <w:lang w:eastAsia="en-AU"/>
        </w:rPr>
        <w:t>evy is imposed under the</w:t>
      </w:r>
      <w:r w:rsidR="00824173" w:rsidRPr="00F6451E">
        <w:rPr>
          <w:rFonts w:asciiTheme="minorHAnsi" w:hAnsiTheme="minorHAnsi" w:cstheme="minorHAnsi"/>
          <w:lang w:eastAsia="en-AU"/>
        </w:rPr>
        <w:t xml:space="preserve"> </w:t>
      </w:r>
      <w:r w:rsidR="00824173" w:rsidRPr="00F6451E">
        <w:rPr>
          <w:rFonts w:asciiTheme="minorHAnsi" w:hAnsiTheme="minorHAnsi" w:cstheme="minorHAnsi"/>
          <w:i/>
          <w:iCs/>
          <w:lang w:eastAsia="en-AU"/>
        </w:rPr>
        <w:t xml:space="preserve">Higher Education (Up-front Payments Tuition Protection Levy) Act 2020 </w:t>
      </w:r>
      <w:r w:rsidR="00824173" w:rsidRPr="00F6451E">
        <w:rPr>
          <w:rFonts w:asciiTheme="minorHAnsi" w:hAnsiTheme="minorHAnsi" w:cstheme="minorHAnsi"/>
          <w:lang w:eastAsia="en-AU"/>
        </w:rPr>
        <w:t>(</w:t>
      </w:r>
      <w:r w:rsidR="00F322D3" w:rsidRPr="00F6451E">
        <w:rPr>
          <w:rFonts w:asciiTheme="minorHAnsi" w:hAnsiTheme="minorHAnsi" w:cstheme="minorHAnsi"/>
          <w:b/>
          <w:bCs/>
          <w:lang w:eastAsia="en-AU"/>
        </w:rPr>
        <w:t>Levy Act</w:t>
      </w:r>
      <w:r w:rsidR="00824173" w:rsidRPr="00F6451E">
        <w:rPr>
          <w:rFonts w:asciiTheme="minorHAnsi" w:hAnsiTheme="minorHAnsi" w:cstheme="minorHAnsi"/>
          <w:lang w:eastAsia="en-AU"/>
        </w:rPr>
        <w:t>)</w:t>
      </w:r>
      <w:r w:rsidR="00F322D3" w:rsidRPr="00F6451E">
        <w:rPr>
          <w:rFonts w:asciiTheme="minorHAnsi" w:hAnsiTheme="minorHAnsi" w:cstheme="minorHAnsi"/>
          <w:lang w:eastAsia="en-AU"/>
        </w:rPr>
        <w:t xml:space="preserve"> and the TEQSA Act requires a provider to pay the </w:t>
      </w:r>
      <w:r w:rsidR="00D0738A" w:rsidRPr="00F6451E">
        <w:rPr>
          <w:rFonts w:asciiTheme="minorHAnsi" w:hAnsiTheme="minorHAnsi" w:cstheme="minorHAnsi"/>
          <w:lang w:eastAsia="en-AU"/>
        </w:rPr>
        <w:t>L</w:t>
      </w:r>
      <w:r w:rsidR="00F322D3" w:rsidRPr="00F6451E">
        <w:rPr>
          <w:rFonts w:asciiTheme="minorHAnsi" w:hAnsiTheme="minorHAnsi" w:cstheme="minorHAnsi"/>
          <w:lang w:eastAsia="en-AU"/>
        </w:rPr>
        <w:t xml:space="preserve">evy when it is due and payable. </w:t>
      </w:r>
    </w:p>
    <w:p w14:paraId="7952CD85" w14:textId="77777777" w:rsidR="006850D7" w:rsidRPr="00F6451E" w:rsidRDefault="006850D7" w:rsidP="00C31248">
      <w:pPr>
        <w:pStyle w:val="ListParagraph"/>
        <w:rPr>
          <w:rFonts w:asciiTheme="minorHAnsi" w:hAnsiTheme="minorHAnsi" w:cstheme="minorHAnsi"/>
          <w:lang w:eastAsia="en-AU"/>
        </w:rPr>
      </w:pPr>
    </w:p>
    <w:p w14:paraId="5F9D769D" w14:textId="0E9EB357" w:rsidR="00C324CE" w:rsidRPr="00F6451E" w:rsidRDefault="00F322D3"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Subsection 6(3) explains that a notice under subsection 6(1) does not need to be given to a provider if the provider’s liability to pay the </w:t>
      </w:r>
      <w:r w:rsidR="00C14782" w:rsidRPr="00F6451E">
        <w:rPr>
          <w:rFonts w:asciiTheme="minorHAnsi" w:hAnsiTheme="minorHAnsi" w:cstheme="minorHAnsi"/>
          <w:lang w:eastAsia="en-AU"/>
        </w:rPr>
        <w:t>L</w:t>
      </w:r>
      <w:r w:rsidRPr="00F6451E">
        <w:rPr>
          <w:rFonts w:asciiTheme="minorHAnsi" w:hAnsiTheme="minorHAnsi" w:cstheme="minorHAnsi"/>
          <w:lang w:eastAsia="en-AU"/>
        </w:rPr>
        <w:t xml:space="preserve">evy is waived under section 8 of the Guidelines. </w:t>
      </w:r>
    </w:p>
    <w:p w14:paraId="4826D62D" w14:textId="76AECD65" w:rsidR="008F3DC3" w:rsidRPr="00F6451E" w:rsidRDefault="008F3DC3" w:rsidP="008F3DC3">
      <w:pPr>
        <w:pStyle w:val="Heading4"/>
        <w:rPr>
          <w:rFonts w:asciiTheme="minorHAnsi" w:hAnsiTheme="minorHAnsi" w:cstheme="minorHAnsi"/>
          <w:b/>
          <w:bCs/>
          <w:smallCaps w:val="0"/>
          <w:lang w:eastAsia="en-AU"/>
        </w:rPr>
      </w:pPr>
      <w:r w:rsidRPr="00F6451E">
        <w:rPr>
          <w:rFonts w:asciiTheme="minorHAnsi" w:hAnsiTheme="minorHAnsi" w:cstheme="minorHAnsi"/>
          <w:b/>
          <w:bCs/>
          <w:smallCaps w:val="0"/>
          <w:lang w:eastAsia="en-AU"/>
        </w:rPr>
        <w:t xml:space="preserve">Section 7 – Overdue notice </w:t>
      </w:r>
    </w:p>
    <w:p w14:paraId="14F36A58" w14:textId="50DF29D1" w:rsidR="008F3DC3" w:rsidRPr="00F6451E" w:rsidRDefault="00F322D3" w:rsidP="00C31248">
      <w:pPr>
        <w:pStyle w:val="ListParagraph"/>
        <w:numPr>
          <w:ilvl w:val="0"/>
          <w:numId w:val="12"/>
        </w:numPr>
        <w:rPr>
          <w:rFonts w:asciiTheme="minorHAnsi" w:eastAsiaTheme="majorEastAsia" w:hAnsiTheme="minorHAnsi" w:cstheme="minorHAnsi"/>
          <w:iCs/>
          <w:lang w:eastAsia="en-AU"/>
        </w:rPr>
      </w:pPr>
      <w:r w:rsidRPr="00F6451E">
        <w:rPr>
          <w:rFonts w:asciiTheme="minorHAnsi" w:hAnsiTheme="minorHAnsi" w:cstheme="minorHAnsi"/>
          <w:lang w:eastAsia="en-AU"/>
        </w:rPr>
        <w:t>Se</w:t>
      </w:r>
      <w:r w:rsidRPr="00F6451E">
        <w:rPr>
          <w:rFonts w:asciiTheme="minorHAnsi" w:eastAsiaTheme="majorEastAsia" w:hAnsiTheme="minorHAnsi" w:cstheme="minorHAnsi"/>
          <w:iCs/>
          <w:lang w:eastAsia="en-AU"/>
        </w:rPr>
        <w:t xml:space="preserve">ction 7 </w:t>
      </w:r>
      <w:r w:rsidR="00B2182C" w:rsidRPr="00F6451E">
        <w:rPr>
          <w:rFonts w:asciiTheme="minorHAnsi" w:eastAsiaTheme="majorEastAsia" w:hAnsiTheme="minorHAnsi" w:cstheme="minorHAnsi"/>
          <w:iCs/>
          <w:lang w:eastAsia="en-AU"/>
        </w:rPr>
        <w:t xml:space="preserve">provides that the Director may give a written overdue notice to a provider to comply with a notice issued under section </w:t>
      </w:r>
      <w:r w:rsidR="00D0738A" w:rsidRPr="00F6451E">
        <w:rPr>
          <w:rFonts w:asciiTheme="minorHAnsi" w:eastAsiaTheme="majorEastAsia" w:hAnsiTheme="minorHAnsi" w:cstheme="minorHAnsi"/>
          <w:iCs/>
          <w:lang w:eastAsia="en-AU"/>
        </w:rPr>
        <w:t>6</w:t>
      </w:r>
      <w:r w:rsidR="00B2182C" w:rsidRPr="00F6451E">
        <w:rPr>
          <w:rFonts w:asciiTheme="minorHAnsi" w:eastAsiaTheme="majorEastAsia" w:hAnsiTheme="minorHAnsi" w:cstheme="minorHAnsi"/>
          <w:iCs/>
          <w:lang w:eastAsia="en-AU"/>
        </w:rPr>
        <w:t xml:space="preserve"> after the date the </w:t>
      </w:r>
      <w:r w:rsidR="00D0738A" w:rsidRPr="00F6451E">
        <w:rPr>
          <w:rFonts w:asciiTheme="minorHAnsi" w:eastAsiaTheme="majorEastAsia" w:hAnsiTheme="minorHAnsi" w:cstheme="minorHAnsi"/>
          <w:iCs/>
          <w:lang w:eastAsia="en-AU"/>
        </w:rPr>
        <w:t>L</w:t>
      </w:r>
      <w:r w:rsidR="00B2182C" w:rsidRPr="00F6451E">
        <w:rPr>
          <w:rFonts w:asciiTheme="minorHAnsi" w:eastAsiaTheme="majorEastAsia" w:hAnsiTheme="minorHAnsi" w:cstheme="minorHAnsi"/>
          <w:iCs/>
          <w:lang w:eastAsia="en-AU"/>
        </w:rPr>
        <w:t xml:space="preserve">evy is due and payable. The overdue notice must specify the matters at subsection 7(2). </w:t>
      </w:r>
    </w:p>
    <w:p w14:paraId="1A051381" w14:textId="620C5FB4" w:rsidR="008F3DC3" w:rsidRPr="00F6451E" w:rsidRDefault="008F3DC3" w:rsidP="008F3DC3">
      <w:pPr>
        <w:pStyle w:val="Heading4"/>
        <w:rPr>
          <w:rFonts w:asciiTheme="minorHAnsi" w:hAnsiTheme="minorHAnsi" w:cstheme="minorHAnsi"/>
          <w:b/>
          <w:bCs/>
          <w:smallCaps w:val="0"/>
          <w:lang w:eastAsia="en-AU"/>
        </w:rPr>
      </w:pPr>
      <w:r w:rsidRPr="00F6451E">
        <w:rPr>
          <w:rFonts w:asciiTheme="minorHAnsi" w:hAnsiTheme="minorHAnsi" w:cstheme="minorHAnsi"/>
          <w:b/>
          <w:bCs/>
          <w:smallCaps w:val="0"/>
          <w:lang w:eastAsia="en-AU"/>
        </w:rPr>
        <w:t xml:space="preserve">Section 8 – Waiver </w:t>
      </w:r>
    </w:p>
    <w:p w14:paraId="787F3202" w14:textId="2BADD194" w:rsidR="008F3DC3" w:rsidRPr="00F6451E" w:rsidRDefault="00B2182C"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Section 8 </w:t>
      </w:r>
      <w:r w:rsidR="008273AA" w:rsidRPr="00F6451E">
        <w:rPr>
          <w:rFonts w:asciiTheme="minorHAnsi" w:hAnsiTheme="minorHAnsi" w:cstheme="minorHAnsi"/>
          <w:lang w:eastAsia="en-AU"/>
        </w:rPr>
        <w:t xml:space="preserve">provides that liability to pay the </w:t>
      </w:r>
      <w:r w:rsidR="00C14782" w:rsidRPr="00F6451E">
        <w:rPr>
          <w:rFonts w:asciiTheme="minorHAnsi" w:hAnsiTheme="minorHAnsi" w:cstheme="minorHAnsi"/>
          <w:lang w:eastAsia="en-AU"/>
        </w:rPr>
        <w:t>L</w:t>
      </w:r>
      <w:r w:rsidR="008273AA" w:rsidRPr="00F6451E">
        <w:rPr>
          <w:rFonts w:asciiTheme="minorHAnsi" w:hAnsiTheme="minorHAnsi" w:cstheme="minorHAnsi"/>
          <w:lang w:eastAsia="en-AU"/>
        </w:rPr>
        <w:t xml:space="preserve">evy for a year is waived if </w:t>
      </w:r>
      <w:r w:rsidR="00C14782" w:rsidRPr="00F6451E">
        <w:rPr>
          <w:rFonts w:asciiTheme="minorHAnsi" w:hAnsiTheme="minorHAnsi" w:cstheme="minorHAnsi"/>
          <w:lang w:eastAsia="en-AU"/>
        </w:rPr>
        <w:t xml:space="preserve">prior to the time the Director issues a notice under section 6, </w:t>
      </w:r>
      <w:r w:rsidR="008273AA" w:rsidRPr="00F6451E">
        <w:rPr>
          <w:rFonts w:asciiTheme="minorHAnsi" w:hAnsiTheme="minorHAnsi" w:cstheme="minorHAnsi"/>
          <w:lang w:eastAsia="en-AU"/>
        </w:rPr>
        <w:t>the provider’s registration is cancelled under the</w:t>
      </w:r>
      <w:r w:rsidR="00C31248" w:rsidRPr="00F6451E">
        <w:rPr>
          <w:rFonts w:asciiTheme="minorHAnsi" w:hAnsiTheme="minorHAnsi" w:cstheme="minorHAnsi"/>
          <w:lang w:eastAsia="en-AU"/>
        </w:rPr>
        <w:t xml:space="preserve"> TEQSA</w:t>
      </w:r>
      <w:r w:rsidR="008273AA" w:rsidRPr="00F6451E">
        <w:rPr>
          <w:rFonts w:asciiTheme="minorHAnsi" w:hAnsiTheme="minorHAnsi" w:cstheme="minorHAnsi"/>
          <w:lang w:eastAsia="en-AU"/>
        </w:rPr>
        <w:t xml:space="preserve"> Act or the provider is no longer in operation</w:t>
      </w:r>
      <w:r w:rsidR="00C14782" w:rsidRPr="00F6451E">
        <w:rPr>
          <w:rFonts w:asciiTheme="minorHAnsi" w:hAnsiTheme="minorHAnsi" w:cstheme="minorHAnsi"/>
          <w:lang w:eastAsia="en-AU"/>
        </w:rPr>
        <w:t>.</w:t>
      </w:r>
    </w:p>
    <w:p w14:paraId="34F59B92" w14:textId="25116322" w:rsidR="008F3DC3" w:rsidRPr="00F6451E" w:rsidRDefault="008F3DC3" w:rsidP="008F3DC3">
      <w:pPr>
        <w:pStyle w:val="Heading4"/>
        <w:rPr>
          <w:rFonts w:asciiTheme="minorHAnsi" w:hAnsiTheme="minorHAnsi" w:cstheme="minorHAnsi"/>
          <w:b/>
          <w:bCs/>
          <w:smallCaps w:val="0"/>
          <w:lang w:eastAsia="en-AU"/>
        </w:rPr>
      </w:pPr>
      <w:r w:rsidRPr="00F6451E">
        <w:rPr>
          <w:rFonts w:asciiTheme="minorHAnsi" w:hAnsiTheme="minorHAnsi" w:cstheme="minorHAnsi"/>
          <w:b/>
          <w:bCs/>
          <w:smallCaps w:val="0"/>
          <w:lang w:eastAsia="en-AU"/>
        </w:rPr>
        <w:t xml:space="preserve">Section 9 – Internal review of notice issued under section 6 </w:t>
      </w:r>
    </w:p>
    <w:p w14:paraId="7EFC8C6A" w14:textId="29E50A02" w:rsidR="008273AA" w:rsidRPr="00F6451E" w:rsidRDefault="008273AA"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Section 9 sets out the internal review processes in relation to a notice issued under section 6. A provider may seek a</w:t>
      </w:r>
      <w:r w:rsidR="00541A78" w:rsidRPr="00F6451E">
        <w:rPr>
          <w:rFonts w:asciiTheme="minorHAnsi" w:hAnsiTheme="minorHAnsi" w:cstheme="minorHAnsi"/>
          <w:lang w:eastAsia="en-AU"/>
        </w:rPr>
        <w:t xml:space="preserve"> reconsideration (i.e. internal review) </w:t>
      </w:r>
      <w:r w:rsidRPr="00F6451E">
        <w:rPr>
          <w:rFonts w:asciiTheme="minorHAnsi" w:hAnsiTheme="minorHAnsi" w:cstheme="minorHAnsi"/>
          <w:lang w:eastAsia="en-AU"/>
        </w:rPr>
        <w:t xml:space="preserve">from the Director of the notice issued under section 6 in relation to the determination of any components of the </w:t>
      </w:r>
      <w:r w:rsidR="00652620" w:rsidRPr="00F6451E">
        <w:rPr>
          <w:rFonts w:asciiTheme="minorHAnsi" w:hAnsiTheme="minorHAnsi" w:cstheme="minorHAnsi"/>
          <w:lang w:eastAsia="en-AU"/>
        </w:rPr>
        <w:t>L</w:t>
      </w:r>
      <w:r w:rsidRPr="00F6451E">
        <w:rPr>
          <w:rFonts w:asciiTheme="minorHAnsi" w:hAnsiTheme="minorHAnsi" w:cstheme="minorHAnsi"/>
          <w:lang w:eastAsia="en-AU"/>
        </w:rPr>
        <w:t xml:space="preserve">evy. </w:t>
      </w:r>
    </w:p>
    <w:p w14:paraId="5048915E" w14:textId="77777777" w:rsidR="006850D7" w:rsidRPr="00F6451E" w:rsidRDefault="006850D7" w:rsidP="00C31248">
      <w:pPr>
        <w:pStyle w:val="ListParagraph"/>
        <w:rPr>
          <w:rFonts w:asciiTheme="minorHAnsi" w:hAnsiTheme="minorHAnsi" w:cstheme="minorHAnsi"/>
          <w:lang w:eastAsia="en-AU"/>
        </w:rPr>
      </w:pPr>
    </w:p>
    <w:p w14:paraId="6DBDAE01" w14:textId="394968DC" w:rsidR="008273AA" w:rsidRPr="00F6451E" w:rsidRDefault="008273AA"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Subsection 9(2) </w:t>
      </w:r>
      <w:r w:rsidR="00652620" w:rsidRPr="00F6451E">
        <w:rPr>
          <w:rFonts w:asciiTheme="minorHAnsi" w:hAnsiTheme="minorHAnsi" w:cstheme="minorHAnsi"/>
          <w:lang w:eastAsia="en-AU"/>
        </w:rPr>
        <w:t xml:space="preserve">requires that </w:t>
      </w:r>
      <w:r w:rsidRPr="00F6451E">
        <w:rPr>
          <w:rFonts w:asciiTheme="minorHAnsi" w:hAnsiTheme="minorHAnsi" w:cstheme="minorHAnsi"/>
          <w:lang w:eastAsia="en-AU"/>
        </w:rPr>
        <w:t xml:space="preserve">the request </w:t>
      </w:r>
      <w:r w:rsidR="00652620" w:rsidRPr="00F6451E">
        <w:rPr>
          <w:rFonts w:asciiTheme="minorHAnsi" w:hAnsiTheme="minorHAnsi" w:cstheme="minorHAnsi"/>
          <w:lang w:eastAsia="en-AU"/>
        </w:rPr>
        <w:t xml:space="preserve">is </w:t>
      </w:r>
      <w:r w:rsidRPr="00F6451E">
        <w:rPr>
          <w:rFonts w:asciiTheme="minorHAnsi" w:hAnsiTheme="minorHAnsi" w:cstheme="minorHAnsi"/>
          <w:lang w:eastAsia="en-AU"/>
        </w:rPr>
        <w:t xml:space="preserve">made in writing and given to the Director within 14 days after the day on which the provider received the notice. </w:t>
      </w:r>
    </w:p>
    <w:p w14:paraId="2554BBA6" w14:textId="77777777" w:rsidR="006850D7" w:rsidRPr="00F6451E" w:rsidRDefault="006850D7" w:rsidP="00C31248">
      <w:pPr>
        <w:pStyle w:val="ListParagraph"/>
        <w:rPr>
          <w:rFonts w:asciiTheme="minorHAnsi" w:hAnsiTheme="minorHAnsi" w:cstheme="minorHAnsi"/>
          <w:lang w:eastAsia="en-AU"/>
        </w:rPr>
      </w:pPr>
    </w:p>
    <w:p w14:paraId="4DDB946D" w14:textId="169676B5" w:rsidR="008F3DC3" w:rsidRPr="00F6451E" w:rsidRDefault="008273AA"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Subsection 9(3) provides that the Director must reconsider the decision and confirm, vary or set the decision aside and substitute a new decision. The Director must give the provider written notice of the Director’s internal review decision within 7 days after the decision is made, </w:t>
      </w:r>
      <w:r w:rsidR="00541A78" w:rsidRPr="00F6451E">
        <w:rPr>
          <w:rFonts w:asciiTheme="minorHAnsi" w:hAnsiTheme="minorHAnsi" w:cstheme="minorHAnsi"/>
          <w:lang w:eastAsia="en-AU"/>
        </w:rPr>
        <w:t>including a</w:t>
      </w:r>
      <w:r w:rsidRPr="00F6451E">
        <w:rPr>
          <w:rFonts w:asciiTheme="minorHAnsi" w:hAnsiTheme="minorHAnsi" w:cstheme="minorHAnsi"/>
          <w:lang w:eastAsia="en-AU"/>
        </w:rPr>
        <w:t xml:space="preserve"> statement of reasons and a new notice under section 6</w:t>
      </w:r>
      <w:r w:rsidR="00967F89" w:rsidRPr="00F6451E">
        <w:rPr>
          <w:rFonts w:asciiTheme="minorHAnsi" w:hAnsiTheme="minorHAnsi" w:cstheme="minorHAnsi"/>
          <w:lang w:eastAsia="en-AU"/>
        </w:rPr>
        <w:t xml:space="preserve"> </w:t>
      </w:r>
      <w:r w:rsidR="00541A78" w:rsidRPr="00F6451E">
        <w:rPr>
          <w:rFonts w:asciiTheme="minorHAnsi" w:hAnsiTheme="minorHAnsi" w:cstheme="minorHAnsi"/>
          <w:lang w:eastAsia="en-AU"/>
        </w:rPr>
        <w:t xml:space="preserve">where the Director varies or substitutes the original notice </w:t>
      </w:r>
      <w:r w:rsidR="00967F89" w:rsidRPr="00F6451E">
        <w:rPr>
          <w:rFonts w:asciiTheme="minorHAnsi" w:hAnsiTheme="minorHAnsi" w:cstheme="minorHAnsi"/>
          <w:lang w:eastAsia="en-AU"/>
        </w:rPr>
        <w:t>(subsections 9(4)</w:t>
      </w:r>
      <w:r w:rsidR="00967F89" w:rsidRPr="00F6451E">
        <w:rPr>
          <w:rFonts w:asciiTheme="minorHAnsi" w:hAnsiTheme="minorHAnsi" w:cstheme="minorHAnsi"/>
          <w:lang w:eastAsia="en-AU"/>
        </w:rPr>
        <w:noBreakHyphen/>
        <w:t>(5))</w:t>
      </w:r>
      <w:r w:rsidRPr="00F6451E">
        <w:rPr>
          <w:rFonts w:asciiTheme="minorHAnsi" w:hAnsiTheme="minorHAnsi" w:cstheme="minorHAnsi"/>
          <w:lang w:eastAsia="en-AU"/>
        </w:rPr>
        <w:t xml:space="preserve">.  </w:t>
      </w:r>
    </w:p>
    <w:p w14:paraId="4082ED84" w14:textId="06F0D084" w:rsidR="008F3DC3" w:rsidRPr="00F6451E" w:rsidRDefault="008F3DC3" w:rsidP="008F3DC3">
      <w:pPr>
        <w:pStyle w:val="Heading4"/>
        <w:rPr>
          <w:rFonts w:asciiTheme="minorHAnsi" w:hAnsiTheme="minorHAnsi" w:cstheme="minorHAnsi"/>
          <w:b/>
          <w:bCs/>
          <w:smallCaps w:val="0"/>
          <w:lang w:eastAsia="en-AU"/>
        </w:rPr>
      </w:pPr>
      <w:r w:rsidRPr="00F6451E">
        <w:rPr>
          <w:rFonts w:asciiTheme="minorHAnsi" w:hAnsiTheme="minorHAnsi" w:cstheme="minorHAnsi"/>
          <w:b/>
          <w:bCs/>
          <w:smallCaps w:val="0"/>
          <w:lang w:eastAsia="en-AU"/>
        </w:rPr>
        <w:lastRenderedPageBreak/>
        <w:t xml:space="preserve">Section 10 – Administrative Appeals Tribunal review </w:t>
      </w:r>
    </w:p>
    <w:p w14:paraId="0A40BE2B" w14:textId="21518EC7" w:rsidR="008F3DC3" w:rsidRPr="00F6451E" w:rsidRDefault="00967F89"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Section 10 </w:t>
      </w:r>
      <w:r w:rsidR="008133B2" w:rsidRPr="00F6451E">
        <w:rPr>
          <w:rFonts w:asciiTheme="minorHAnsi" w:hAnsiTheme="minorHAnsi" w:cstheme="minorHAnsi"/>
          <w:lang w:eastAsia="en-AU"/>
        </w:rPr>
        <w:t xml:space="preserve">provides that a provider may make an application to the Administrative Appeals Tribunal for the review of a decision that has been confirmed, varied or set aside under section 9. Section 10 allows a provider to apply for an independent merits review </w:t>
      </w:r>
      <w:r w:rsidR="009D6FB1" w:rsidRPr="00F6451E">
        <w:rPr>
          <w:rFonts w:asciiTheme="minorHAnsi" w:hAnsiTheme="minorHAnsi" w:cstheme="minorHAnsi"/>
          <w:lang w:eastAsia="en-AU"/>
        </w:rPr>
        <w:t xml:space="preserve">at the Administrative Appeals Tribunal of the Director’s internal review decision. </w:t>
      </w:r>
    </w:p>
    <w:p w14:paraId="28358C48" w14:textId="3DC27CDD" w:rsidR="008F3DC3" w:rsidRPr="00F6451E" w:rsidRDefault="008F3DC3" w:rsidP="008F3DC3">
      <w:pPr>
        <w:pStyle w:val="Heading3"/>
        <w:rPr>
          <w:rFonts w:asciiTheme="minorHAnsi" w:hAnsiTheme="minorHAnsi" w:cstheme="minorHAnsi"/>
          <w:sz w:val="24"/>
          <w:lang w:eastAsia="en-AU"/>
        </w:rPr>
      </w:pPr>
      <w:r w:rsidRPr="00F6451E">
        <w:rPr>
          <w:rFonts w:asciiTheme="minorHAnsi" w:hAnsiTheme="minorHAnsi" w:cstheme="minorHAnsi"/>
          <w:sz w:val="24"/>
          <w:lang w:eastAsia="en-AU"/>
        </w:rPr>
        <w:t>Division 3—Information and documents related to tuition protection</w:t>
      </w:r>
    </w:p>
    <w:p w14:paraId="2953720F" w14:textId="1E7A8753" w:rsidR="008F3DC3" w:rsidRPr="00F6451E" w:rsidRDefault="008F3DC3" w:rsidP="008F3DC3">
      <w:pPr>
        <w:pStyle w:val="Heading4"/>
        <w:rPr>
          <w:rFonts w:asciiTheme="minorHAnsi" w:hAnsiTheme="minorHAnsi" w:cstheme="minorHAnsi"/>
          <w:b/>
          <w:bCs/>
          <w:smallCaps w:val="0"/>
          <w:lang w:eastAsia="en-AU"/>
        </w:rPr>
      </w:pPr>
      <w:r w:rsidRPr="00F6451E">
        <w:rPr>
          <w:rFonts w:asciiTheme="minorHAnsi" w:hAnsiTheme="minorHAnsi" w:cstheme="minorHAnsi"/>
          <w:b/>
          <w:bCs/>
          <w:smallCaps w:val="0"/>
          <w:lang w:eastAsia="en-AU"/>
        </w:rPr>
        <w:t xml:space="preserve">Section 11 – Record keeping </w:t>
      </w:r>
    </w:p>
    <w:p w14:paraId="014B835E" w14:textId="66C6A958" w:rsidR="008F3DC3" w:rsidRPr="00F6451E" w:rsidRDefault="009D6FB1"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Section 11 provides a list of matters that a provider must keep records of in relation to each domestic student who is enrolled in a unit of study or Australian course of</w:t>
      </w:r>
      <w:r w:rsidR="00652620" w:rsidRPr="00F6451E">
        <w:rPr>
          <w:rFonts w:asciiTheme="minorHAnsi" w:hAnsiTheme="minorHAnsi" w:cstheme="minorHAnsi"/>
          <w:lang w:eastAsia="en-AU"/>
        </w:rPr>
        <w:t xml:space="preserve"> study</w:t>
      </w:r>
      <w:r w:rsidRPr="00F6451E">
        <w:rPr>
          <w:rFonts w:asciiTheme="minorHAnsi" w:hAnsiTheme="minorHAnsi" w:cstheme="minorHAnsi"/>
          <w:lang w:eastAsia="en-AU"/>
        </w:rPr>
        <w:t xml:space="preserve"> or who has paid any up-front payments to the provider. </w:t>
      </w:r>
    </w:p>
    <w:p w14:paraId="2B86CDCE" w14:textId="77777777" w:rsidR="006850D7" w:rsidRPr="00F6451E" w:rsidRDefault="006850D7" w:rsidP="00C31248">
      <w:pPr>
        <w:pStyle w:val="ListParagraph"/>
        <w:rPr>
          <w:rFonts w:asciiTheme="minorHAnsi" w:hAnsiTheme="minorHAnsi" w:cstheme="minorHAnsi"/>
          <w:lang w:eastAsia="en-AU"/>
        </w:rPr>
      </w:pPr>
    </w:p>
    <w:p w14:paraId="2B28AA0C" w14:textId="22A83F08" w:rsidR="009D6FB1" w:rsidRPr="00F6451E" w:rsidRDefault="00E15D12"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Subsection 26A(7) of the TEQSA Act provides that the Guidelines may set out specified information and documents that a provider must keep records of for the purposes of the tuition protection requirements and give to the Secretary in accordance with subsection 26A(8) of the TEQSA Act. </w:t>
      </w:r>
    </w:p>
    <w:p w14:paraId="0FB3CC40" w14:textId="77777777" w:rsidR="006850D7" w:rsidRPr="00F6451E" w:rsidRDefault="006850D7" w:rsidP="00C31248">
      <w:pPr>
        <w:pStyle w:val="ListParagraph"/>
        <w:rPr>
          <w:rFonts w:asciiTheme="minorHAnsi" w:hAnsiTheme="minorHAnsi" w:cstheme="minorHAnsi"/>
          <w:lang w:eastAsia="en-AU"/>
        </w:rPr>
      </w:pPr>
    </w:p>
    <w:p w14:paraId="0BA2F565" w14:textId="7A000003" w:rsidR="009D6FB1" w:rsidRPr="00F6451E" w:rsidRDefault="00E15D12"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It is important </w:t>
      </w:r>
      <w:r w:rsidR="00AB4C08" w:rsidRPr="00F6451E">
        <w:rPr>
          <w:rFonts w:asciiTheme="minorHAnsi" w:hAnsiTheme="minorHAnsi" w:cstheme="minorHAnsi"/>
          <w:lang w:eastAsia="en-AU"/>
        </w:rPr>
        <w:t>that providers keep these records for the purposes of the administration of the new tuition protection arrangements under the TEQSA Act.</w:t>
      </w:r>
      <w:r w:rsidR="00EF3D90" w:rsidRPr="00F6451E">
        <w:rPr>
          <w:rFonts w:asciiTheme="minorHAnsi" w:hAnsiTheme="minorHAnsi" w:cstheme="minorHAnsi"/>
          <w:lang w:eastAsia="en-AU"/>
        </w:rPr>
        <w:t xml:space="preserve"> </w:t>
      </w:r>
      <w:r w:rsidR="001F0DE1" w:rsidRPr="00F6451E">
        <w:rPr>
          <w:rFonts w:asciiTheme="minorHAnsi" w:hAnsiTheme="minorHAnsi" w:cstheme="minorHAnsi"/>
          <w:lang w:eastAsia="en-AU"/>
        </w:rPr>
        <w:t xml:space="preserve">It also </w:t>
      </w:r>
      <w:r w:rsidR="00EF3D90" w:rsidRPr="00F6451E">
        <w:rPr>
          <w:rFonts w:asciiTheme="minorHAnsi" w:hAnsiTheme="minorHAnsi" w:cstheme="minorHAnsi"/>
          <w:lang w:eastAsia="en-AU"/>
        </w:rPr>
        <w:t>ensure</w:t>
      </w:r>
      <w:r w:rsidR="001F0DE1" w:rsidRPr="00F6451E">
        <w:rPr>
          <w:rFonts w:asciiTheme="minorHAnsi" w:hAnsiTheme="minorHAnsi" w:cstheme="minorHAnsi"/>
          <w:lang w:eastAsia="en-AU"/>
        </w:rPr>
        <w:t>s</w:t>
      </w:r>
      <w:r w:rsidR="00EF3D90" w:rsidRPr="00F6451E">
        <w:rPr>
          <w:rFonts w:asciiTheme="minorHAnsi" w:hAnsiTheme="minorHAnsi" w:cstheme="minorHAnsi"/>
          <w:lang w:eastAsia="en-AU"/>
        </w:rPr>
        <w:t xml:space="preserve"> providers </w:t>
      </w:r>
      <w:r w:rsidR="001F0DE1" w:rsidRPr="00F6451E">
        <w:rPr>
          <w:rFonts w:asciiTheme="minorHAnsi" w:hAnsiTheme="minorHAnsi" w:cstheme="minorHAnsi"/>
          <w:lang w:eastAsia="en-AU"/>
        </w:rPr>
        <w:t>are able to</w:t>
      </w:r>
      <w:r w:rsidR="00EF3D90" w:rsidRPr="00F6451E">
        <w:rPr>
          <w:rFonts w:asciiTheme="minorHAnsi" w:hAnsiTheme="minorHAnsi" w:cstheme="minorHAnsi"/>
          <w:lang w:eastAsia="en-AU"/>
        </w:rPr>
        <w:t xml:space="preserve"> meet their requirements under Part 5A of the TEQSA Act including being able to assist affected students to continue their studies</w:t>
      </w:r>
      <w:r w:rsidR="001519A0" w:rsidRPr="00F6451E">
        <w:rPr>
          <w:rFonts w:asciiTheme="minorHAnsi" w:hAnsiTheme="minorHAnsi" w:cstheme="minorHAnsi"/>
          <w:lang w:eastAsia="en-AU"/>
        </w:rPr>
        <w:t xml:space="preserve"> or receive a refund of any up-front payments made for affected units</w:t>
      </w:r>
      <w:r w:rsidR="00EF3D90" w:rsidRPr="00F6451E">
        <w:rPr>
          <w:rFonts w:asciiTheme="minorHAnsi" w:hAnsiTheme="minorHAnsi" w:cstheme="minorHAnsi"/>
          <w:lang w:eastAsia="en-AU"/>
        </w:rPr>
        <w:t xml:space="preserve"> in the event of a default</w:t>
      </w:r>
      <w:r w:rsidR="009A482A" w:rsidRPr="00F6451E">
        <w:rPr>
          <w:rFonts w:asciiTheme="minorHAnsi" w:hAnsiTheme="minorHAnsi" w:cstheme="minorHAnsi"/>
          <w:lang w:eastAsia="en-AU"/>
        </w:rPr>
        <w:t xml:space="preserve">. </w:t>
      </w:r>
      <w:r w:rsidR="00316246" w:rsidRPr="00F6451E">
        <w:rPr>
          <w:rFonts w:asciiTheme="minorHAnsi" w:hAnsiTheme="minorHAnsi" w:cstheme="minorHAnsi"/>
          <w:lang w:eastAsia="en-AU"/>
        </w:rPr>
        <w:t xml:space="preserve">These records would also assist the Director to assist students where a provider fails to discharge its obligations to a student following a default. </w:t>
      </w:r>
    </w:p>
    <w:p w14:paraId="3B89B8EE" w14:textId="6D0D728A" w:rsidR="009B2BB8" w:rsidRPr="00F6451E" w:rsidRDefault="009B2BB8" w:rsidP="009B2BB8">
      <w:pPr>
        <w:pStyle w:val="Heading4"/>
        <w:rPr>
          <w:rFonts w:asciiTheme="minorHAnsi" w:hAnsiTheme="minorHAnsi" w:cstheme="minorHAnsi"/>
          <w:b/>
          <w:bCs/>
          <w:smallCaps w:val="0"/>
          <w:lang w:eastAsia="en-AU"/>
        </w:rPr>
      </w:pPr>
      <w:r w:rsidRPr="00F6451E">
        <w:rPr>
          <w:rFonts w:asciiTheme="minorHAnsi" w:hAnsiTheme="minorHAnsi" w:cstheme="minorHAnsi"/>
          <w:b/>
          <w:bCs/>
          <w:smallCaps w:val="0"/>
          <w:lang w:eastAsia="en-AU"/>
        </w:rPr>
        <w:t xml:space="preserve">Section 12 – </w:t>
      </w:r>
      <w:r w:rsidR="00824173" w:rsidRPr="00F6451E">
        <w:rPr>
          <w:rFonts w:asciiTheme="minorHAnsi" w:hAnsiTheme="minorHAnsi" w:cstheme="minorHAnsi"/>
          <w:b/>
          <w:bCs/>
          <w:smallCaps w:val="0"/>
          <w:lang w:eastAsia="en-AU"/>
        </w:rPr>
        <w:t xml:space="preserve">Giving </w:t>
      </w:r>
      <w:r w:rsidRPr="00F6451E">
        <w:rPr>
          <w:rFonts w:asciiTheme="minorHAnsi" w:hAnsiTheme="minorHAnsi" w:cstheme="minorHAnsi"/>
          <w:b/>
          <w:bCs/>
          <w:smallCaps w:val="0"/>
          <w:lang w:eastAsia="en-AU"/>
        </w:rPr>
        <w:t xml:space="preserve">information and documents to the Secretary </w:t>
      </w:r>
    </w:p>
    <w:p w14:paraId="2D885B67" w14:textId="37F01749" w:rsidR="009B2BB8" w:rsidRPr="00F6451E" w:rsidRDefault="00AB4C08"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Section 12 sets out the information and documents a provider must give to the Secretary about each domestic student enrolled in a unit of study or Australian course of study </w:t>
      </w:r>
      <w:r w:rsidR="00316246" w:rsidRPr="00F6451E">
        <w:rPr>
          <w:rFonts w:asciiTheme="minorHAnsi" w:hAnsiTheme="minorHAnsi" w:cstheme="minorHAnsi"/>
          <w:lang w:eastAsia="en-AU"/>
        </w:rPr>
        <w:t>or who has paid any up-front payments to</w:t>
      </w:r>
      <w:r w:rsidRPr="00F6451E">
        <w:rPr>
          <w:rFonts w:asciiTheme="minorHAnsi" w:hAnsiTheme="minorHAnsi" w:cstheme="minorHAnsi"/>
          <w:lang w:eastAsia="en-AU"/>
        </w:rPr>
        <w:t xml:space="preserve"> the provider. Under subsection 26A(8) of the TEQSA Act, the information </w:t>
      </w:r>
      <w:r w:rsidR="00652620" w:rsidRPr="00F6451E">
        <w:rPr>
          <w:rFonts w:asciiTheme="minorHAnsi" w:hAnsiTheme="minorHAnsi" w:cstheme="minorHAnsi"/>
          <w:lang w:eastAsia="en-AU"/>
        </w:rPr>
        <w:t xml:space="preserve">and </w:t>
      </w:r>
      <w:r w:rsidRPr="00F6451E">
        <w:rPr>
          <w:rFonts w:asciiTheme="minorHAnsi" w:hAnsiTheme="minorHAnsi" w:cstheme="minorHAnsi"/>
          <w:lang w:eastAsia="en-AU"/>
        </w:rPr>
        <w:t>documents must be given to the Secretary within a period specified by the Secretary and in the manner and form approved by the Secretary.</w:t>
      </w:r>
      <w:r w:rsidR="00F55BC4" w:rsidRPr="00F6451E">
        <w:rPr>
          <w:rFonts w:asciiTheme="minorHAnsi" w:hAnsiTheme="minorHAnsi" w:cstheme="minorHAnsi"/>
          <w:lang w:eastAsia="en-AU"/>
        </w:rPr>
        <w:t xml:space="preserve"> The Secretary will take into account operational requirements when determining the period and manner and form for the provision of the information and documents set out in this section.</w:t>
      </w:r>
    </w:p>
    <w:p w14:paraId="566B6513" w14:textId="77777777" w:rsidR="006850D7" w:rsidRPr="00F6451E" w:rsidRDefault="006850D7" w:rsidP="00C31248">
      <w:pPr>
        <w:pStyle w:val="ListParagraph"/>
        <w:rPr>
          <w:rFonts w:asciiTheme="minorHAnsi" w:hAnsiTheme="minorHAnsi" w:cstheme="minorHAnsi"/>
          <w:lang w:eastAsia="en-AU"/>
        </w:rPr>
      </w:pPr>
    </w:p>
    <w:p w14:paraId="2D6DF4C6" w14:textId="1791FB89" w:rsidR="007B3715" w:rsidRPr="00F6451E" w:rsidRDefault="007B3715"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Section 12 includes personal information (e.g. student’s name and contact information), information about the student’s studies, course and unit information a</w:t>
      </w:r>
      <w:r w:rsidR="00562E88" w:rsidRPr="00F6451E">
        <w:rPr>
          <w:rFonts w:asciiTheme="minorHAnsi" w:hAnsiTheme="minorHAnsi" w:cstheme="minorHAnsi"/>
          <w:lang w:eastAsia="en-AU"/>
        </w:rPr>
        <w:t>n</w:t>
      </w:r>
      <w:r w:rsidRPr="00F6451E">
        <w:rPr>
          <w:rFonts w:asciiTheme="minorHAnsi" w:hAnsiTheme="minorHAnsi" w:cstheme="minorHAnsi"/>
          <w:lang w:eastAsia="en-AU"/>
        </w:rPr>
        <w:t>d information about up-front payments and other fees.</w:t>
      </w:r>
      <w:r w:rsidR="002376F6" w:rsidRPr="00F6451E">
        <w:rPr>
          <w:rFonts w:asciiTheme="minorHAnsi" w:hAnsiTheme="minorHAnsi" w:cstheme="minorHAnsi"/>
          <w:lang w:eastAsia="en-AU"/>
        </w:rPr>
        <w:t xml:space="preserve"> </w:t>
      </w:r>
    </w:p>
    <w:p w14:paraId="35F03ABB" w14:textId="77777777" w:rsidR="006850D7" w:rsidRPr="00F6451E" w:rsidRDefault="006850D7" w:rsidP="00C31248">
      <w:pPr>
        <w:pStyle w:val="ListParagraph"/>
        <w:rPr>
          <w:rFonts w:asciiTheme="minorHAnsi" w:hAnsiTheme="minorHAnsi" w:cstheme="minorHAnsi"/>
          <w:lang w:eastAsia="en-AU"/>
        </w:rPr>
      </w:pPr>
    </w:p>
    <w:p w14:paraId="5EC3B57E" w14:textId="576417C1" w:rsidR="002376F6" w:rsidRPr="00F6451E" w:rsidRDefault="007B3715"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Many of the terms used in sections 11 and 12 refer to terms used in the Tertiary Collection of Student Information Data Element Dictionary (</w:t>
      </w:r>
      <w:r w:rsidRPr="00F6451E">
        <w:rPr>
          <w:rFonts w:asciiTheme="minorHAnsi" w:hAnsiTheme="minorHAnsi" w:cstheme="minorHAnsi"/>
          <w:b/>
          <w:bCs/>
          <w:lang w:eastAsia="en-AU"/>
        </w:rPr>
        <w:t>Dictionary</w:t>
      </w:r>
      <w:r w:rsidRPr="00F6451E">
        <w:rPr>
          <w:rFonts w:asciiTheme="minorHAnsi" w:hAnsiTheme="minorHAnsi" w:cstheme="minorHAnsi"/>
          <w:lang w:eastAsia="en-AU"/>
        </w:rPr>
        <w:t xml:space="preserve">) available online: </w:t>
      </w:r>
      <w:hyperlink r:id="rId11" w:history="1">
        <w:r w:rsidRPr="00F6451E">
          <w:rPr>
            <w:rStyle w:val="Hyperlink"/>
            <w:rFonts w:asciiTheme="minorHAnsi" w:hAnsiTheme="minorHAnsi" w:cstheme="minorHAnsi"/>
            <w:lang w:eastAsia="en-AU"/>
          </w:rPr>
          <w:t>https://www.tcsisupport.gov.au/elements</w:t>
        </w:r>
      </w:hyperlink>
      <w:r w:rsidRPr="00F6451E">
        <w:rPr>
          <w:rFonts w:asciiTheme="minorHAnsi" w:hAnsiTheme="minorHAnsi" w:cstheme="minorHAnsi"/>
          <w:lang w:eastAsia="en-AU"/>
        </w:rPr>
        <w:t xml:space="preserve">. Many providers are already familiar with these terms given other existing reporting requirements. </w:t>
      </w:r>
      <w:r w:rsidR="00562E88" w:rsidRPr="00F6451E">
        <w:rPr>
          <w:rFonts w:asciiTheme="minorHAnsi" w:hAnsiTheme="minorHAnsi" w:cstheme="minorHAnsi"/>
          <w:lang w:eastAsia="en-AU"/>
        </w:rPr>
        <w:t xml:space="preserve">For example, </w:t>
      </w:r>
      <w:r w:rsidR="00562E88" w:rsidRPr="00F6451E">
        <w:rPr>
          <w:rFonts w:asciiTheme="minorHAnsi" w:hAnsiTheme="minorHAnsi" w:cstheme="minorHAnsi"/>
          <w:lang w:eastAsia="en-AU"/>
        </w:rPr>
        <w:lastRenderedPageBreak/>
        <w:t xml:space="preserve">the terms ‘course code’, ‘course outcome date’ and ‘unit of study status’ are defined in the Dictionary. </w:t>
      </w:r>
    </w:p>
    <w:p w14:paraId="292B3F93" w14:textId="77777777" w:rsidR="006850D7" w:rsidRPr="00F6451E" w:rsidRDefault="006850D7" w:rsidP="00C31248">
      <w:pPr>
        <w:pStyle w:val="ListParagraph"/>
        <w:rPr>
          <w:rFonts w:asciiTheme="minorHAnsi" w:hAnsiTheme="minorHAnsi" w:cstheme="minorHAnsi"/>
          <w:lang w:eastAsia="en-AU"/>
        </w:rPr>
      </w:pPr>
    </w:p>
    <w:p w14:paraId="5D3312D9" w14:textId="79756EDE" w:rsidR="00D3338F" w:rsidRPr="00F6451E" w:rsidRDefault="002376F6"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It is reasonably necessary for the Secretary to collect this information from providers as the information will assist the Director in performing functions and powers under the TEQSA Act to </w:t>
      </w:r>
      <w:r w:rsidR="000B72B1" w:rsidRPr="00F6451E">
        <w:rPr>
          <w:rFonts w:asciiTheme="minorHAnsi" w:hAnsiTheme="minorHAnsi" w:cstheme="minorHAnsi"/>
          <w:lang w:eastAsia="en-AU"/>
        </w:rPr>
        <w:t xml:space="preserve">quickly and effectively </w:t>
      </w:r>
      <w:r w:rsidRPr="00F6451E">
        <w:rPr>
          <w:rFonts w:asciiTheme="minorHAnsi" w:hAnsiTheme="minorHAnsi" w:cstheme="minorHAnsi"/>
          <w:lang w:eastAsia="en-AU"/>
        </w:rPr>
        <w:t xml:space="preserve">assist students in the case of a provider default. </w:t>
      </w:r>
    </w:p>
    <w:p w14:paraId="4E0934A4" w14:textId="77777777" w:rsidR="006850D7" w:rsidRPr="00F6451E" w:rsidRDefault="006850D7" w:rsidP="00C31248">
      <w:pPr>
        <w:pStyle w:val="ListParagraph"/>
        <w:rPr>
          <w:rFonts w:asciiTheme="minorHAnsi" w:hAnsiTheme="minorHAnsi" w:cstheme="minorHAnsi"/>
          <w:lang w:eastAsia="en-AU"/>
        </w:rPr>
      </w:pPr>
    </w:p>
    <w:p w14:paraId="1EB9A4EC" w14:textId="500AEBE9" w:rsidR="00562E88" w:rsidRPr="00F6451E" w:rsidRDefault="00562E88"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The Secretary </w:t>
      </w:r>
      <w:r w:rsidR="00D3338F" w:rsidRPr="00F6451E">
        <w:rPr>
          <w:rFonts w:asciiTheme="minorHAnsi" w:hAnsiTheme="minorHAnsi" w:cstheme="minorHAnsi"/>
          <w:lang w:eastAsia="en-AU"/>
        </w:rPr>
        <w:t>may</w:t>
      </w:r>
      <w:r w:rsidRPr="00F6451E">
        <w:rPr>
          <w:rFonts w:asciiTheme="minorHAnsi" w:hAnsiTheme="minorHAnsi" w:cstheme="minorHAnsi"/>
          <w:lang w:eastAsia="en-AU"/>
        </w:rPr>
        <w:t xml:space="preserve"> disclose</w:t>
      </w:r>
      <w:r w:rsidR="00A367F9" w:rsidRPr="00F6451E">
        <w:rPr>
          <w:rFonts w:asciiTheme="minorHAnsi" w:hAnsiTheme="minorHAnsi" w:cstheme="minorHAnsi"/>
          <w:lang w:eastAsia="en-AU"/>
        </w:rPr>
        <w:t xml:space="preserve"> personal</w:t>
      </w:r>
      <w:r w:rsidRPr="00F6451E">
        <w:rPr>
          <w:rFonts w:asciiTheme="minorHAnsi" w:hAnsiTheme="minorHAnsi" w:cstheme="minorHAnsi"/>
          <w:lang w:eastAsia="en-AU"/>
        </w:rPr>
        <w:t xml:space="preserve"> information collected under </w:t>
      </w:r>
      <w:r w:rsidR="00A367F9" w:rsidRPr="00F6451E">
        <w:rPr>
          <w:rFonts w:asciiTheme="minorHAnsi" w:hAnsiTheme="minorHAnsi" w:cstheme="minorHAnsi"/>
          <w:lang w:eastAsia="en-AU"/>
        </w:rPr>
        <w:t>section 12</w:t>
      </w:r>
      <w:r w:rsidRPr="00F6451E">
        <w:rPr>
          <w:rFonts w:asciiTheme="minorHAnsi" w:hAnsiTheme="minorHAnsi" w:cstheme="minorHAnsi"/>
          <w:lang w:eastAsia="en-AU"/>
        </w:rPr>
        <w:t xml:space="preserve"> to the Director for the purposes of administering the tuition protection arrangements in the case of a provider default</w:t>
      </w:r>
      <w:r w:rsidR="00A367F9" w:rsidRPr="00F6451E">
        <w:rPr>
          <w:rFonts w:asciiTheme="minorHAnsi" w:hAnsiTheme="minorHAnsi" w:cstheme="minorHAnsi"/>
          <w:lang w:eastAsia="en-AU"/>
        </w:rPr>
        <w:t>. Paragraph</w:t>
      </w:r>
      <w:r w:rsidRPr="00F6451E">
        <w:rPr>
          <w:rFonts w:asciiTheme="minorHAnsi" w:hAnsiTheme="minorHAnsi" w:cstheme="minorHAnsi"/>
          <w:lang w:eastAsia="en-AU"/>
        </w:rPr>
        <w:t xml:space="preserve"> 179-20(a) of HESA</w:t>
      </w:r>
      <w:r w:rsidR="00A367F9" w:rsidRPr="00F6451E">
        <w:rPr>
          <w:rFonts w:asciiTheme="minorHAnsi" w:hAnsiTheme="minorHAnsi" w:cstheme="minorHAnsi"/>
          <w:lang w:eastAsia="en-AU"/>
        </w:rPr>
        <w:t xml:space="preserve"> provides the legislative authorisation for this disclosure of personal information by a Commonwealth officer to another Commonwealth officer to assist that other officer in the other officer’s official employment.  </w:t>
      </w:r>
    </w:p>
    <w:p w14:paraId="4C2DC132" w14:textId="27E2548D" w:rsidR="009B2BB8" w:rsidRPr="00F6451E" w:rsidRDefault="009B2BB8" w:rsidP="009B2BB8">
      <w:pPr>
        <w:pStyle w:val="Heading3"/>
        <w:rPr>
          <w:rFonts w:asciiTheme="minorHAnsi" w:hAnsiTheme="minorHAnsi" w:cstheme="minorHAnsi"/>
          <w:sz w:val="24"/>
          <w:lang w:eastAsia="en-AU"/>
        </w:rPr>
      </w:pPr>
      <w:r w:rsidRPr="00F6451E">
        <w:rPr>
          <w:rFonts w:asciiTheme="minorHAnsi" w:hAnsiTheme="minorHAnsi" w:cstheme="minorHAnsi"/>
          <w:sz w:val="24"/>
          <w:lang w:eastAsia="en-AU"/>
        </w:rPr>
        <w:t>Division 4—When a provider defaults in relation to a student</w:t>
      </w:r>
    </w:p>
    <w:p w14:paraId="1259681E" w14:textId="38D31FF9" w:rsidR="009B2BB8" w:rsidRPr="00F6451E" w:rsidRDefault="009B2BB8" w:rsidP="009B2BB8">
      <w:pPr>
        <w:pStyle w:val="Heading4"/>
        <w:rPr>
          <w:rFonts w:asciiTheme="minorHAnsi" w:hAnsiTheme="minorHAnsi" w:cstheme="minorHAnsi"/>
          <w:b/>
          <w:bCs/>
          <w:smallCaps w:val="0"/>
          <w:lang w:eastAsia="en-AU"/>
        </w:rPr>
      </w:pPr>
      <w:r w:rsidRPr="00F6451E">
        <w:rPr>
          <w:rFonts w:asciiTheme="minorHAnsi" w:hAnsiTheme="minorHAnsi" w:cstheme="minorHAnsi"/>
          <w:b/>
          <w:bCs/>
          <w:smallCaps w:val="0"/>
          <w:lang w:eastAsia="en-AU"/>
        </w:rPr>
        <w:t xml:space="preserve">Section 13 – Other default circumstances </w:t>
      </w:r>
    </w:p>
    <w:p w14:paraId="2FC27E12" w14:textId="0D3D12A3" w:rsidR="00A367F9" w:rsidRPr="00F6451E" w:rsidRDefault="00A367F9"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Section 13 sets out additional circumstances where a provider defaults in relation to a domestic student. A provider defaults where a student is enrolled in an Australian course of study with the provider and is not enrolled in any units of study within that course and the provider fails to commence the course on the day the course was scheduled to start or ceases to provide the course on a day after the course starts but before it is completed. </w:t>
      </w:r>
    </w:p>
    <w:p w14:paraId="21CC1C2E" w14:textId="77777777" w:rsidR="006850D7" w:rsidRPr="00F6451E" w:rsidRDefault="006850D7" w:rsidP="00C31248">
      <w:pPr>
        <w:pStyle w:val="ListParagraph"/>
        <w:rPr>
          <w:rFonts w:asciiTheme="minorHAnsi" w:hAnsiTheme="minorHAnsi" w:cstheme="minorHAnsi"/>
          <w:lang w:eastAsia="en-AU"/>
        </w:rPr>
      </w:pPr>
    </w:p>
    <w:p w14:paraId="67529AA8" w14:textId="50427D42" w:rsidR="002376F6" w:rsidRPr="00F6451E" w:rsidRDefault="00A367F9"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For example, </w:t>
      </w:r>
      <w:r w:rsidR="002376F6" w:rsidRPr="00F6451E">
        <w:rPr>
          <w:rFonts w:asciiTheme="minorHAnsi" w:hAnsiTheme="minorHAnsi" w:cstheme="minorHAnsi"/>
          <w:lang w:eastAsia="en-AU"/>
        </w:rPr>
        <w:t>if</w:t>
      </w:r>
      <w:r w:rsidRPr="00F6451E">
        <w:rPr>
          <w:rFonts w:asciiTheme="minorHAnsi" w:hAnsiTheme="minorHAnsi" w:cstheme="minorHAnsi"/>
          <w:lang w:eastAsia="en-AU"/>
        </w:rPr>
        <w:t xml:space="preserve"> a student</w:t>
      </w:r>
      <w:r w:rsidR="002376F6" w:rsidRPr="00F6451E">
        <w:rPr>
          <w:rFonts w:asciiTheme="minorHAnsi" w:hAnsiTheme="minorHAnsi" w:cstheme="minorHAnsi"/>
          <w:lang w:eastAsia="en-AU"/>
        </w:rPr>
        <w:t xml:space="preserve"> is</w:t>
      </w:r>
      <w:r w:rsidRPr="00F6451E">
        <w:rPr>
          <w:rFonts w:asciiTheme="minorHAnsi" w:hAnsiTheme="minorHAnsi" w:cstheme="minorHAnsi"/>
          <w:lang w:eastAsia="en-AU"/>
        </w:rPr>
        <w:t xml:space="preserve"> enrolled in a course of </w:t>
      </w:r>
      <w:r w:rsidR="00DE3C8C" w:rsidRPr="00F6451E">
        <w:rPr>
          <w:rFonts w:asciiTheme="minorHAnsi" w:hAnsiTheme="minorHAnsi" w:cstheme="minorHAnsi"/>
          <w:lang w:eastAsia="en-AU"/>
        </w:rPr>
        <w:t>study but</w:t>
      </w:r>
      <w:r w:rsidRPr="00F6451E">
        <w:rPr>
          <w:rFonts w:asciiTheme="minorHAnsi" w:hAnsiTheme="minorHAnsi" w:cstheme="minorHAnsi"/>
          <w:lang w:eastAsia="en-AU"/>
        </w:rPr>
        <w:t xml:space="preserve"> deferred a semester (therefore not enrolled in any units) and the provider </w:t>
      </w:r>
      <w:r w:rsidR="00DE3C8C" w:rsidRPr="00F6451E">
        <w:rPr>
          <w:rFonts w:asciiTheme="minorHAnsi" w:hAnsiTheme="minorHAnsi" w:cstheme="minorHAnsi"/>
          <w:lang w:eastAsia="en-AU"/>
        </w:rPr>
        <w:t xml:space="preserve">ceases to provide the course during that </w:t>
      </w:r>
      <w:r w:rsidR="00652620" w:rsidRPr="00F6451E">
        <w:rPr>
          <w:rFonts w:asciiTheme="minorHAnsi" w:hAnsiTheme="minorHAnsi" w:cstheme="minorHAnsi"/>
          <w:lang w:eastAsia="en-AU"/>
        </w:rPr>
        <w:t>s</w:t>
      </w:r>
      <w:r w:rsidR="00DE3C8C" w:rsidRPr="00F6451E">
        <w:rPr>
          <w:rFonts w:asciiTheme="minorHAnsi" w:hAnsiTheme="minorHAnsi" w:cstheme="minorHAnsi"/>
          <w:lang w:eastAsia="en-AU"/>
        </w:rPr>
        <w:t>emester, the student w</w:t>
      </w:r>
      <w:r w:rsidR="001C2FE2" w:rsidRPr="00F6451E">
        <w:rPr>
          <w:rFonts w:asciiTheme="minorHAnsi" w:hAnsiTheme="minorHAnsi" w:cstheme="minorHAnsi"/>
          <w:lang w:eastAsia="en-AU"/>
        </w:rPr>
        <w:t>ould</w:t>
      </w:r>
      <w:r w:rsidR="00DE3C8C" w:rsidRPr="00F6451E">
        <w:rPr>
          <w:rFonts w:asciiTheme="minorHAnsi" w:hAnsiTheme="minorHAnsi" w:cstheme="minorHAnsi"/>
          <w:lang w:eastAsia="en-AU"/>
        </w:rPr>
        <w:t xml:space="preserve"> still be offered tuition protection under the TEQSA Act</w:t>
      </w:r>
      <w:r w:rsidR="002376F6" w:rsidRPr="00F6451E">
        <w:rPr>
          <w:rFonts w:asciiTheme="minorHAnsi" w:hAnsiTheme="minorHAnsi" w:cstheme="minorHAnsi"/>
          <w:lang w:eastAsia="en-AU"/>
        </w:rPr>
        <w:t xml:space="preserve"> in the form of a suitable replacement course to assist the student </w:t>
      </w:r>
      <w:r w:rsidR="007F74FE" w:rsidRPr="00F6451E">
        <w:rPr>
          <w:rFonts w:asciiTheme="minorHAnsi" w:hAnsiTheme="minorHAnsi" w:cstheme="minorHAnsi"/>
          <w:lang w:eastAsia="en-AU"/>
        </w:rPr>
        <w:t>to</w:t>
      </w:r>
      <w:r w:rsidR="002376F6" w:rsidRPr="00F6451E">
        <w:rPr>
          <w:rFonts w:asciiTheme="minorHAnsi" w:hAnsiTheme="minorHAnsi" w:cstheme="minorHAnsi"/>
          <w:lang w:eastAsia="en-AU"/>
        </w:rPr>
        <w:t xml:space="preserve"> complet</w:t>
      </w:r>
      <w:r w:rsidR="007F74FE" w:rsidRPr="00F6451E">
        <w:rPr>
          <w:rFonts w:asciiTheme="minorHAnsi" w:hAnsiTheme="minorHAnsi" w:cstheme="minorHAnsi"/>
          <w:lang w:eastAsia="en-AU"/>
        </w:rPr>
        <w:t>e</w:t>
      </w:r>
      <w:r w:rsidR="002376F6" w:rsidRPr="00F6451E">
        <w:rPr>
          <w:rFonts w:asciiTheme="minorHAnsi" w:hAnsiTheme="minorHAnsi" w:cstheme="minorHAnsi"/>
          <w:lang w:eastAsia="en-AU"/>
        </w:rPr>
        <w:t xml:space="preserve"> th</w:t>
      </w:r>
      <w:r w:rsidR="007F74FE" w:rsidRPr="00F6451E">
        <w:rPr>
          <w:rFonts w:asciiTheme="minorHAnsi" w:hAnsiTheme="minorHAnsi" w:cstheme="minorHAnsi"/>
          <w:lang w:eastAsia="en-AU"/>
        </w:rPr>
        <w:t xml:space="preserve">eir </w:t>
      </w:r>
      <w:r w:rsidR="002376F6" w:rsidRPr="00F6451E">
        <w:rPr>
          <w:rFonts w:asciiTheme="minorHAnsi" w:hAnsiTheme="minorHAnsi" w:cstheme="minorHAnsi"/>
          <w:lang w:eastAsia="en-AU"/>
        </w:rPr>
        <w:t>course of study.</w:t>
      </w:r>
      <w:r w:rsidR="000B72B1" w:rsidRPr="00F6451E">
        <w:rPr>
          <w:rFonts w:asciiTheme="minorHAnsi" w:hAnsiTheme="minorHAnsi" w:cstheme="minorHAnsi"/>
          <w:lang w:eastAsia="en-AU"/>
        </w:rPr>
        <w:t xml:space="preserve"> </w:t>
      </w:r>
    </w:p>
    <w:p w14:paraId="477982EE" w14:textId="77777777" w:rsidR="006850D7" w:rsidRPr="00F6451E" w:rsidRDefault="006850D7" w:rsidP="00C31248">
      <w:pPr>
        <w:pStyle w:val="ListParagraph"/>
        <w:rPr>
          <w:rFonts w:asciiTheme="minorHAnsi" w:hAnsiTheme="minorHAnsi" w:cstheme="minorHAnsi"/>
          <w:lang w:eastAsia="en-AU"/>
        </w:rPr>
      </w:pPr>
    </w:p>
    <w:p w14:paraId="5F0FA978" w14:textId="18106182" w:rsidR="00A367F9" w:rsidRPr="00F6451E" w:rsidRDefault="000B72B1"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Similarly, if a student is enrolled in a course of study, and it is a semester break but the student has not yet enrolled in any units, and the provider defaults in delivering the student’s course, then the student would also be provided with tuition protection under the TEQSA Act in the form of a suitable replacement course to enable the student to continue their course of study. </w:t>
      </w:r>
    </w:p>
    <w:p w14:paraId="582743CE" w14:textId="15DFF3AF" w:rsidR="009B2BB8" w:rsidRPr="00F6451E" w:rsidRDefault="009B2BB8" w:rsidP="009B2BB8">
      <w:pPr>
        <w:pStyle w:val="Heading3"/>
        <w:rPr>
          <w:rFonts w:asciiTheme="minorHAnsi" w:hAnsiTheme="minorHAnsi" w:cstheme="minorHAnsi"/>
          <w:sz w:val="24"/>
          <w:lang w:eastAsia="en-AU"/>
        </w:rPr>
      </w:pPr>
      <w:r w:rsidRPr="00F6451E">
        <w:rPr>
          <w:rFonts w:asciiTheme="minorHAnsi" w:hAnsiTheme="minorHAnsi" w:cstheme="minorHAnsi"/>
          <w:sz w:val="24"/>
          <w:lang w:eastAsia="en-AU"/>
        </w:rPr>
        <w:t>Division 5—Notifying the Higher Education Tuition Protection Director of the details of a default</w:t>
      </w:r>
    </w:p>
    <w:p w14:paraId="75610BC7" w14:textId="130BAC91" w:rsidR="009B2BB8" w:rsidRPr="00F6451E" w:rsidRDefault="009B2BB8" w:rsidP="009B2BB8">
      <w:pPr>
        <w:pStyle w:val="Heading4"/>
        <w:rPr>
          <w:rFonts w:asciiTheme="minorHAnsi" w:hAnsiTheme="minorHAnsi" w:cstheme="minorHAnsi"/>
          <w:b/>
          <w:bCs/>
          <w:smallCaps w:val="0"/>
          <w:lang w:eastAsia="en-AU"/>
        </w:rPr>
      </w:pPr>
      <w:r w:rsidRPr="00F6451E">
        <w:rPr>
          <w:rFonts w:asciiTheme="minorHAnsi" w:hAnsiTheme="minorHAnsi" w:cstheme="minorHAnsi"/>
          <w:b/>
          <w:bCs/>
          <w:smallCaps w:val="0"/>
          <w:lang w:eastAsia="en-AU"/>
        </w:rPr>
        <w:t xml:space="preserve">Section 14 – Additional details of default </w:t>
      </w:r>
    </w:p>
    <w:p w14:paraId="270DB83F" w14:textId="1681B999" w:rsidR="009B2BB8" w:rsidRPr="00F6451E" w:rsidRDefault="002376F6"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Section 14 sets out the additional requirements that a provider must notify the Director about in the written notice given under subsection 62D(3) of the TEQSA Act. The additional information is necessary for </w:t>
      </w:r>
      <w:r w:rsidR="001B51AB" w:rsidRPr="00F6451E">
        <w:rPr>
          <w:rFonts w:asciiTheme="minorHAnsi" w:hAnsiTheme="minorHAnsi" w:cstheme="minorHAnsi"/>
          <w:lang w:eastAsia="en-AU"/>
        </w:rPr>
        <w:t xml:space="preserve">the Director to promptly assist a student if a provider fails to discharge its obligations under the TEQSA Act. </w:t>
      </w:r>
    </w:p>
    <w:p w14:paraId="7201B854" w14:textId="166FB464" w:rsidR="009B2BB8" w:rsidRPr="00F6451E" w:rsidRDefault="009B2BB8" w:rsidP="009B2BB8">
      <w:pPr>
        <w:pStyle w:val="Heading4"/>
        <w:rPr>
          <w:rFonts w:asciiTheme="minorHAnsi" w:hAnsiTheme="minorHAnsi" w:cstheme="minorHAnsi"/>
          <w:b/>
          <w:bCs/>
          <w:smallCaps w:val="0"/>
          <w:lang w:eastAsia="en-AU"/>
        </w:rPr>
      </w:pPr>
      <w:r w:rsidRPr="00F6451E">
        <w:rPr>
          <w:rFonts w:asciiTheme="minorHAnsi" w:hAnsiTheme="minorHAnsi" w:cstheme="minorHAnsi"/>
          <w:b/>
          <w:bCs/>
          <w:smallCaps w:val="0"/>
          <w:lang w:eastAsia="en-AU"/>
        </w:rPr>
        <w:lastRenderedPageBreak/>
        <w:t xml:space="preserve">Section 15 – Requirements of notice </w:t>
      </w:r>
    </w:p>
    <w:p w14:paraId="470964FA" w14:textId="666D6F2C" w:rsidR="009B2BB8" w:rsidRPr="00F6451E" w:rsidRDefault="001B51AB"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Subsection 15(1) </w:t>
      </w:r>
      <w:r w:rsidR="0046308A" w:rsidRPr="00F6451E">
        <w:rPr>
          <w:rFonts w:asciiTheme="minorHAnsi" w:hAnsiTheme="minorHAnsi" w:cstheme="minorHAnsi"/>
          <w:lang w:eastAsia="en-AU"/>
        </w:rPr>
        <w:t xml:space="preserve">specifies </w:t>
      </w:r>
      <w:r w:rsidRPr="00F6451E">
        <w:rPr>
          <w:rFonts w:asciiTheme="minorHAnsi" w:hAnsiTheme="minorHAnsi" w:cstheme="minorHAnsi"/>
          <w:lang w:eastAsia="en-AU"/>
        </w:rPr>
        <w:t xml:space="preserve">that the provider’s notice given to the Director under subsection 62D(2) of the TEQSA Act must include information about the number of domestic students in relation to whom the provider has defaulted. This information will give the Director an indication of how many students are impacted by the provider default. </w:t>
      </w:r>
    </w:p>
    <w:p w14:paraId="4C25BF1A" w14:textId="77777777" w:rsidR="006850D7" w:rsidRPr="00F6451E" w:rsidRDefault="006850D7" w:rsidP="00C31248">
      <w:pPr>
        <w:pStyle w:val="ListParagraph"/>
        <w:rPr>
          <w:rFonts w:asciiTheme="minorHAnsi" w:hAnsiTheme="minorHAnsi" w:cstheme="minorHAnsi"/>
          <w:lang w:eastAsia="en-AU"/>
        </w:rPr>
      </w:pPr>
    </w:p>
    <w:p w14:paraId="53EA66F6" w14:textId="415DF250" w:rsidR="001B51AB" w:rsidRPr="00F6451E" w:rsidRDefault="001B51AB"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Subsection 15(2) provides that the information required under subsection 62D(3) of the TEQSA Act (notification within 3 business days of default) must be given to the Director in a manner and form approved by the Director. </w:t>
      </w:r>
    </w:p>
    <w:p w14:paraId="131E8ADF" w14:textId="487798BC" w:rsidR="009B2BB8" w:rsidRPr="00F6451E" w:rsidRDefault="009B2BB8" w:rsidP="009B2BB8">
      <w:pPr>
        <w:pStyle w:val="Heading3"/>
        <w:rPr>
          <w:rFonts w:asciiTheme="minorHAnsi" w:hAnsiTheme="minorHAnsi" w:cstheme="minorHAnsi"/>
          <w:lang w:eastAsia="en-AU"/>
        </w:rPr>
      </w:pPr>
      <w:r w:rsidRPr="00F6451E">
        <w:rPr>
          <w:rFonts w:asciiTheme="minorHAnsi" w:hAnsiTheme="minorHAnsi" w:cstheme="minorHAnsi"/>
          <w:lang w:eastAsia="en-AU"/>
        </w:rPr>
        <w:t xml:space="preserve">Division 6—Requirements of notice to student </w:t>
      </w:r>
    </w:p>
    <w:p w14:paraId="15C2407E" w14:textId="37CF8FDF" w:rsidR="009B2BB8" w:rsidRPr="00F6451E" w:rsidRDefault="009B2BB8" w:rsidP="009B2BB8">
      <w:pPr>
        <w:pStyle w:val="Heading4"/>
        <w:rPr>
          <w:rFonts w:asciiTheme="minorHAnsi" w:hAnsiTheme="minorHAnsi" w:cstheme="minorHAnsi"/>
          <w:b/>
          <w:bCs/>
          <w:smallCaps w:val="0"/>
          <w:lang w:eastAsia="en-AU"/>
        </w:rPr>
      </w:pPr>
      <w:r w:rsidRPr="00F6451E">
        <w:rPr>
          <w:rFonts w:asciiTheme="minorHAnsi" w:hAnsiTheme="minorHAnsi" w:cstheme="minorHAnsi"/>
          <w:b/>
          <w:bCs/>
          <w:smallCaps w:val="0"/>
          <w:lang w:eastAsia="en-AU"/>
        </w:rPr>
        <w:t xml:space="preserve">Section 16 – Requirements of notice </w:t>
      </w:r>
    </w:p>
    <w:p w14:paraId="70859DD9" w14:textId="39D4F8F0" w:rsidR="003E66CB" w:rsidRPr="00F6451E" w:rsidRDefault="003E66CB"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Section 16 specifies the matters a provider must include in a written notice of default to domestic students under subsection 62E(2) of the TEQSA Act. Subsection 16(2) provides the manner the provider must send the notice. </w:t>
      </w:r>
    </w:p>
    <w:p w14:paraId="37A95138" w14:textId="51256728" w:rsidR="009B2BB8" w:rsidRPr="00F6451E" w:rsidRDefault="009B2BB8" w:rsidP="009B2BB8">
      <w:pPr>
        <w:pStyle w:val="Heading3"/>
        <w:rPr>
          <w:rFonts w:asciiTheme="minorHAnsi" w:hAnsiTheme="minorHAnsi" w:cstheme="minorHAnsi"/>
          <w:lang w:eastAsia="en-AU"/>
        </w:rPr>
      </w:pPr>
      <w:r w:rsidRPr="00F6451E">
        <w:rPr>
          <w:rFonts w:asciiTheme="minorHAnsi" w:hAnsiTheme="minorHAnsi" w:cstheme="minorHAnsi"/>
          <w:lang w:eastAsia="en-AU"/>
        </w:rPr>
        <w:t xml:space="preserve">Division 7—Providers to notify of outcome of discharge of obligations </w:t>
      </w:r>
    </w:p>
    <w:p w14:paraId="759DA1E4" w14:textId="0E19FC08" w:rsidR="009B2BB8" w:rsidRPr="00F6451E" w:rsidRDefault="009B2BB8" w:rsidP="009B2BB8">
      <w:pPr>
        <w:pStyle w:val="Heading4"/>
        <w:rPr>
          <w:rFonts w:asciiTheme="minorHAnsi" w:hAnsiTheme="minorHAnsi" w:cstheme="minorHAnsi"/>
          <w:b/>
          <w:bCs/>
          <w:smallCaps w:val="0"/>
          <w:lang w:eastAsia="en-AU"/>
        </w:rPr>
      </w:pPr>
      <w:r w:rsidRPr="00F6451E">
        <w:rPr>
          <w:rFonts w:asciiTheme="minorHAnsi" w:hAnsiTheme="minorHAnsi" w:cstheme="minorHAnsi"/>
          <w:b/>
          <w:bCs/>
          <w:smallCaps w:val="0"/>
          <w:lang w:eastAsia="en-AU"/>
        </w:rPr>
        <w:t xml:space="preserve">Section 17 – Requirements of notice </w:t>
      </w:r>
    </w:p>
    <w:p w14:paraId="15E68438" w14:textId="0783ADA5" w:rsidR="003E66CB" w:rsidRPr="00F6451E" w:rsidRDefault="0046308A"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Section 17 sets out additional matters a provider must include in its written notice to the Director under section 62H of the TEQSA Act. </w:t>
      </w:r>
    </w:p>
    <w:p w14:paraId="718BDFC6" w14:textId="4BF37B6B" w:rsidR="009B2BB8" w:rsidRPr="00F6451E" w:rsidRDefault="009B2BB8" w:rsidP="009B2BB8">
      <w:pPr>
        <w:pStyle w:val="Heading3"/>
        <w:rPr>
          <w:rFonts w:asciiTheme="minorHAnsi" w:hAnsiTheme="minorHAnsi" w:cstheme="minorHAnsi"/>
          <w:lang w:eastAsia="en-AU"/>
        </w:rPr>
      </w:pPr>
      <w:r w:rsidRPr="00F6451E">
        <w:rPr>
          <w:rFonts w:asciiTheme="minorHAnsi" w:hAnsiTheme="minorHAnsi" w:cstheme="minorHAnsi"/>
          <w:lang w:eastAsia="en-AU"/>
        </w:rPr>
        <w:t xml:space="preserve">Division </w:t>
      </w:r>
      <w:r w:rsidR="001E158B" w:rsidRPr="00F6451E">
        <w:rPr>
          <w:rFonts w:asciiTheme="minorHAnsi" w:hAnsiTheme="minorHAnsi" w:cstheme="minorHAnsi"/>
          <w:lang w:eastAsia="en-AU"/>
        </w:rPr>
        <w:t>8</w:t>
      </w:r>
      <w:r w:rsidRPr="00F6451E">
        <w:rPr>
          <w:rFonts w:asciiTheme="minorHAnsi" w:hAnsiTheme="minorHAnsi" w:cstheme="minorHAnsi"/>
          <w:lang w:eastAsia="en-AU"/>
        </w:rPr>
        <w:t>—</w:t>
      </w:r>
      <w:r w:rsidR="001E158B" w:rsidRPr="00F6451E">
        <w:rPr>
          <w:rFonts w:asciiTheme="minorHAnsi" w:hAnsiTheme="minorHAnsi" w:cstheme="minorHAnsi"/>
        </w:rPr>
        <w:t xml:space="preserve">Other tuition protection requirements </w:t>
      </w:r>
    </w:p>
    <w:p w14:paraId="1E14A8C4" w14:textId="636F54B9" w:rsidR="009B2BB8" w:rsidRPr="00F6451E" w:rsidRDefault="009B2BB8" w:rsidP="009B2BB8">
      <w:pPr>
        <w:pStyle w:val="Heading4"/>
        <w:rPr>
          <w:rFonts w:asciiTheme="minorHAnsi" w:hAnsiTheme="minorHAnsi" w:cstheme="minorHAnsi"/>
          <w:b/>
          <w:bCs/>
          <w:smallCaps w:val="0"/>
          <w:lang w:eastAsia="en-AU"/>
        </w:rPr>
      </w:pPr>
      <w:r w:rsidRPr="00F6451E">
        <w:rPr>
          <w:rFonts w:asciiTheme="minorHAnsi" w:hAnsiTheme="minorHAnsi" w:cstheme="minorHAnsi"/>
          <w:b/>
          <w:bCs/>
          <w:smallCaps w:val="0"/>
          <w:lang w:eastAsia="en-AU"/>
        </w:rPr>
        <w:t>Section 1</w:t>
      </w:r>
      <w:r w:rsidR="001E158B" w:rsidRPr="00F6451E">
        <w:rPr>
          <w:rFonts w:asciiTheme="minorHAnsi" w:hAnsiTheme="minorHAnsi" w:cstheme="minorHAnsi"/>
          <w:b/>
          <w:bCs/>
          <w:smallCaps w:val="0"/>
          <w:lang w:eastAsia="en-AU"/>
        </w:rPr>
        <w:t>8</w:t>
      </w:r>
      <w:r w:rsidRPr="00F6451E">
        <w:rPr>
          <w:rFonts w:asciiTheme="minorHAnsi" w:hAnsiTheme="minorHAnsi" w:cstheme="minorHAnsi"/>
          <w:b/>
          <w:bCs/>
          <w:smallCaps w:val="0"/>
          <w:lang w:eastAsia="en-AU"/>
        </w:rPr>
        <w:t xml:space="preserve"> – </w:t>
      </w:r>
      <w:r w:rsidR="001E158B" w:rsidRPr="00F6451E">
        <w:rPr>
          <w:rFonts w:asciiTheme="minorHAnsi" w:hAnsiTheme="minorHAnsi" w:cstheme="minorHAnsi"/>
          <w:b/>
          <w:bCs/>
          <w:smallCaps w:val="0"/>
          <w:lang w:eastAsia="en-AU"/>
        </w:rPr>
        <w:t xml:space="preserve">Notification about the collection of personal information and tuition protection </w:t>
      </w:r>
    </w:p>
    <w:p w14:paraId="3BA9C76B" w14:textId="77777777" w:rsidR="000D7F8B" w:rsidRPr="00F6451E" w:rsidRDefault="0046308A"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Section 18 </w:t>
      </w:r>
      <w:r w:rsidR="0090026B" w:rsidRPr="00F6451E">
        <w:rPr>
          <w:rFonts w:asciiTheme="minorHAnsi" w:hAnsiTheme="minorHAnsi" w:cstheme="minorHAnsi"/>
          <w:lang w:eastAsia="en-AU"/>
        </w:rPr>
        <w:t xml:space="preserve">sets out other tuition protection requirements for the purposes of </w:t>
      </w:r>
      <w:r w:rsidR="000D7F8B" w:rsidRPr="00F6451E">
        <w:rPr>
          <w:rFonts w:asciiTheme="minorHAnsi" w:hAnsiTheme="minorHAnsi" w:cstheme="minorHAnsi"/>
          <w:lang w:eastAsia="en-AU"/>
        </w:rPr>
        <w:t xml:space="preserve">paragraph 26A(3)(b) of the TEQSA Act. A provider must provide a domestic student with the information outlined in subsection 18(1) at or before the time or, if that is not practicable, as soon as practicable after, a provider collects personal information about the student for the purposes of enrolment in an Australian course of study or unit of study. </w:t>
      </w:r>
    </w:p>
    <w:p w14:paraId="63BD4F57" w14:textId="77777777" w:rsidR="006850D7" w:rsidRPr="00F6451E" w:rsidRDefault="006850D7" w:rsidP="00C31248">
      <w:pPr>
        <w:pStyle w:val="ListParagraph"/>
        <w:rPr>
          <w:rFonts w:asciiTheme="minorHAnsi" w:hAnsiTheme="minorHAnsi" w:cstheme="minorHAnsi"/>
          <w:lang w:eastAsia="en-AU"/>
        </w:rPr>
      </w:pPr>
    </w:p>
    <w:p w14:paraId="0CFD8505" w14:textId="7D2A8856" w:rsidR="00365AD1" w:rsidRPr="00F6451E" w:rsidRDefault="000D7F8B"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In addition to general information about the operation of tuition protection under Part 5A of the TEQSA Act, the provider must provide a notification of the collection of personal information for the purposes of tuition protection under paragraph 18(1)(b). </w:t>
      </w:r>
    </w:p>
    <w:p w14:paraId="7BCAF7FE" w14:textId="77777777" w:rsidR="006850D7" w:rsidRPr="00F6451E" w:rsidRDefault="006850D7" w:rsidP="00C31248">
      <w:pPr>
        <w:pStyle w:val="ListParagraph"/>
        <w:rPr>
          <w:rFonts w:asciiTheme="minorHAnsi" w:hAnsiTheme="minorHAnsi" w:cstheme="minorHAnsi"/>
          <w:lang w:eastAsia="en-AU"/>
        </w:rPr>
      </w:pPr>
    </w:p>
    <w:p w14:paraId="2D0A681A" w14:textId="3AB28DE2" w:rsidR="0095448C" w:rsidRPr="00F6451E" w:rsidRDefault="00365AD1"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 xml:space="preserve">Subsection 18(2) sets out the matters a provider must inform the student about for the purposes of paragraph 18(1)(b). Including that the provider must disclose certain personal information to the Secretary under the </w:t>
      </w:r>
      <w:r w:rsidR="00C31248" w:rsidRPr="00F6451E">
        <w:rPr>
          <w:rFonts w:asciiTheme="minorHAnsi" w:hAnsiTheme="minorHAnsi" w:cstheme="minorHAnsi"/>
          <w:lang w:eastAsia="en-AU"/>
        </w:rPr>
        <w:t xml:space="preserve">TEQSA </w:t>
      </w:r>
      <w:r w:rsidRPr="00F6451E">
        <w:rPr>
          <w:rFonts w:asciiTheme="minorHAnsi" w:hAnsiTheme="minorHAnsi" w:cstheme="minorHAnsi"/>
          <w:lang w:eastAsia="en-AU"/>
        </w:rPr>
        <w:t xml:space="preserve">Act, the Secretary may disclose personal information to the Director, the Secretary and Director may disclose personal information to the Australian Government Actuary and further </w:t>
      </w:r>
      <w:r w:rsidRPr="00F6451E">
        <w:rPr>
          <w:rFonts w:asciiTheme="minorHAnsi" w:hAnsiTheme="minorHAnsi" w:cstheme="minorHAnsi"/>
          <w:lang w:eastAsia="en-AU"/>
        </w:rPr>
        <w:lastRenderedPageBreak/>
        <w:t>details about how the Secretary and the Director handle personal information</w:t>
      </w:r>
      <w:r w:rsidR="0095448C" w:rsidRPr="00F6451E">
        <w:rPr>
          <w:rFonts w:asciiTheme="minorHAnsi" w:hAnsiTheme="minorHAnsi" w:cstheme="minorHAnsi"/>
          <w:lang w:eastAsia="en-AU"/>
        </w:rPr>
        <w:t xml:space="preserve"> under relevant policies. </w:t>
      </w:r>
    </w:p>
    <w:p w14:paraId="6278A193" w14:textId="77777777" w:rsidR="006850D7" w:rsidRPr="00F6451E" w:rsidRDefault="006850D7" w:rsidP="00C31248">
      <w:pPr>
        <w:pStyle w:val="ListParagraph"/>
        <w:rPr>
          <w:rFonts w:asciiTheme="minorHAnsi" w:hAnsiTheme="minorHAnsi" w:cstheme="minorHAnsi"/>
          <w:lang w:eastAsia="en-AU"/>
        </w:rPr>
      </w:pPr>
    </w:p>
    <w:p w14:paraId="0EBBECCD" w14:textId="6B52CC68" w:rsidR="0095448C" w:rsidRPr="00F6451E" w:rsidRDefault="00365AD1" w:rsidP="00C31248">
      <w:pPr>
        <w:pStyle w:val="ListParagraph"/>
        <w:numPr>
          <w:ilvl w:val="0"/>
          <w:numId w:val="12"/>
        </w:numPr>
        <w:rPr>
          <w:rFonts w:asciiTheme="minorHAnsi" w:hAnsiTheme="minorHAnsi" w:cstheme="minorHAnsi"/>
          <w:lang w:eastAsia="en-AU"/>
        </w:rPr>
      </w:pPr>
      <w:r w:rsidRPr="00F6451E">
        <w:rPr>
          <w:rFonts w:asciiTheme="minorHAnsi" w:hAnsiTheme="minorHAnsi" w:cstheme="minorHAnsi"/>
          <w:lang w:eastAsia="en-AU"/>
        </w:rPr>
        <w:t>The note under</w:t>
      </w:r>
      <w:r w:rsidR="0095448C" w:rsidRPr="00F6451E">
        <w:rPr>
          <w:rFonts w:asciiTheme="minorHAnsi" w:hAnsiTheme="minorHAnsi" w:cstheme="minorHAnsi"/>
          <w:lang w:eastAsia="en-AU"/>
        </w:rPr>
        <w:t xml:space="preserve"> subsection 18(2) clarifies that providers may have other privacy obligations under other laws, including the </w:t>
      </w:r>
      <w:r w:rsidR="0095448C" w:rsidRPr="00F6451E">
        <w:rPr>
          <w:rFonts w:asciiTheme="minorHAnsi" w:hAnsiTheme="minorHAnsi" w:cstheme="minorHAnsi"/>
          <w:i/>
          <w:iCs/>
          <w:lang w:eastAsia="en-AU"/>
        </w:rPr>
        <w:t xml:space="preserve">Privacy Act 1988. </w:t>
      </w:r>
      <w:r w:rsidR="0095448C" w:rsidRPr="00F6451E">
        <w:rPr>
          <w:rFonts w:asciiTheme="minorHAnsi" w:hAnsiTheme="minorHAnsi" w:cstheme="minorHAnsi"/>
          <w:lang w:eastAsia="en-AU"/>
        </w:rPr>
        <w:t xml:space="preserve">For example, a provider may have other obligations under Australian Privacy Principle 5 contained in the </w:t>
      </w:r>
      <w:r w:rsidR="0095448C" w:rsidRPr="00F6451E">
        <w:rPr>
          <w:rFonts w:asciiTheme="minorHAnsi" w:hAnsiTheme="minorHAnsi" w:cstheme="minorHAnsi"/>
          <w:i/>
          <w:iCs/>
          <w:lang w:eastAsia="en-AU"/>
        </w:rPr>
        <w:t xml:space="preserve">Privacy Act 1988 </w:t>
      </w:r>
      <w:r w:rsidR="0095448C" w:rsidRPr="00F6451E">
        <w:rPr>
          <w:rFonts w:asciiTheme="minorHAnsi" w:hAnsiTheme="minorHAnsi" w:cstheme="minorHAnsi"/>
          <w:lang w:eastAsia="en-AU"/>
        </w:rPr>
        <w:t xml:space="preserve">regarding the notification of the collection of personal information. </w:t>
      </w:r>
    </w:p>
    <w:p w14:paraId="67DCE4BA" w14:textId="54FE7FC2" w:rsidR="00824173" w:rsidRPr="00F6451E" w:rsidRDefault="00365AD1" w:rsidP="00824173">
      <w:pPr>
        <w:rPr>
          <w:rFonts w:asciiTheme="minorHAnsi" w:hAnsiTheme="minorHAnsi" w:cstheme="minorHAnsi"/>
          <w:lang w:eastAsia="en-AU"/>
        </w:rPr>
        <w:sectPr w:rsidR="00824173" w:rsidRPr="00F6451E" w:rsidSect="005A020A">
          <w:footerReference w:type="default" r:id="rId12"/>
          <w:pgSz w:w="11906" w:h="16838"/>
          <w:pgMar w:top="1440" w:right="1440" w:bottom="1440" w:left="1440" w:header="284" w:footer="708" w:gutter="0"/>
          <w:cols w:space="708"/>
          <w:docGrid w:linePitch="360"/>
        </w:sectPr>
      </w:pPr>
      <w:r w:rsidRPr="00F6451E">
        <w:rPr>
          <w:rFonts w:asciiTheme="minorHAnsi" w:hAnsiTheme="minorHAnsi" w:cstheme="minorHAnsi"/>
          <w:lang w:eastAsia="en-AU"/>
        </w:rPr>
        <w:t xml:space="preserve"> </w:t>
      </w:r>
    </w:p>
    <w:p w14:paraId="203F99DA" w14:textId="77777777" w:rsidR="00824173" w:rsidRPr="00F6451E" w:rsidRDefault="00824173" w:rsidP="00824173">
      <w:pPr>
        <w:pStyle w:val="Heading2"/>
        <w:spacing w:before="40" w:after="0" w:line="276" w:lineRule="auto"/>
        <w:jc w:val="center"/>
        <w:rPr>
          <w:rFonts w:asciiTheme="minorHAnsi" w:hAnsiTheme="minorHAnsi" w:cstheme="minorHAnsi"/>
          <w:b w:val="0"/>
          <w:szCs w:val="28"/>
        </w:rPr>
      </w:pPr>
      <w:r w:rsidRPr="00F6451E">
        <w:rPr>
          <w:rFonts w:asciiTheme="minorHAnsi" w:hAnsiTheme="minorHAnsi" w:cstheme="minorHAnsi"/>
          <w:szCs w:val="28"/>
        </w:rPr>
        <w:lastRenderedPageBreak/>
        <w:t>STATEMENT OF COMPATIBILITY WITH HUMAN RIGHTS</w:t>
      </w:r>
    </w:p>
    <w:p w14:paraId="57F16677" w14:textId="77777777" w:rsidR="00824173" w:rsidRPr="00F6451E" w:rsidRDefault="00824173" w:rsidP="00C31248">
      <w:pPr>
        <w:spacing w:after="300"/>
        <w:contextualSpacing/>
        <w:jc w:val="center"/>
        <w:rPr>
          <w:rFonts w:asciiTheme="minorHAnsi" w:eastAsiaTheme="majorEastAsia" w:hAnsiTheme="minorHAnsi" w:cstheme="minorHAnsi"/>
          <w:b/>
          <w:spacing w:val="5"/>
          <w:kern w:val="28"/>
          <w:sz w:val="28"/>
          <w:szCs w:val="52"/>
        </w:rPr>
      </w:pPr>
    </w:p>
    <w:p w14:paraId="210B2932" w14:textId="77777777" w:rsidR="00B81294" w:rsidRPr="00F6451E" w:rsidRDefault="00B81294" w:rsidP="00257073">
      <w:pPr>
        <w:spacing w:after="0"/>
        <w:jc w:val="center"/>
        <w:rPr>
          <w:rFonts w:asciiTheme="minorHAnsi" w:eastAsia="Calibri" w:hAnsiTheme="minorHAnsi" w:cstheme="minorHAnsi"/>
          <w:szCs w:val="24"/>
        </w:rPr>
      </w:pPr>
      <w:r w:rsidRPr="00F6451E">
        <w:rPr>
          <w:rFonts w:asciiTheme="minorHAnsi" w:eastAsia="Calibri" w:hAnsiTheme="minorHAnsi" w:cstheme="minorHAnsi"/>
          <w:i/>
          <w:szCs w:val="24"/>
        </w:rPr>
        <w:t>Prepared in accordance with Part 3 of the Human Rights (Parliamentary Scrutiny) Act 2011</w:t>
      </w:r>
    </w:p>
    <w:p w14:paraId="44382853" w14:textId="77777777" w:rsidR="00B81294" w:rsidRPr="00F6451E" w:rsidRDefault="00B81294" w:rsidP="00B81294">
      <w:pPr>
        <w:spacing w:after="0"/>
        <w:jc w:val="center"/>
        <w:rPr>
          <w:rFonts w:asciiTheme="minorHAnsi" w:eastAsia="Calibri" w:hAnsiTheme="minorHAnsi" w:cstheme="minorHAnsi"/>
          <w:szCs w:val="24"/>
        </w:rPr>
      </w:pPr>
    </w:p>
    <w:p w14:paraId="396FC4BB" w14:textId="751CEB4D" w:rsidR="00B81294" w:rsidRPr="00F6451E" w:rsidRDefault="00B373A6" w:rsidP="00B81294">
      <w:pPr>
        <w:spacing w:after="0"/>
        <w:jc w:val="center"/>
        <w:rPr>
          <w:rFonts w:asciiTheme="minorHAnsi" w:eastAsia="Calibri" w:hAnsiTheme="minorHAnsi" w:cstheme="minorHAnsi"/>
          <w:b/>
          <w:i/>
          <w:szCs w:val="24"/>
        </w:rPr>
      </w:pPr>
      <w:r w:rsidRPr="00F6451E">
        <w:rPr>
          <w:rFonts w:asciiTheme="minorHAnsi" w:eastAsia="Calibri" w:hAnsiTheme="minorHAnsi" w:cstheme="minorHAnsi"/>
          <w:b/>
          <w:i/>
          <w:szCs w:val="24"/>
        </w:rPr>
        <w:t>Tuition Protection (Up-front Payment</w:t>
      </w:r>
      <w:r w:rsidR="005A0588" w:rsidRPr="00F6451E">
        <w:rPr>
          <w:rFonts w:asciiTheme="minorHAnsi" w:eastAsia="Calibri" w:hAnsiTheme="minorHAnsi" w:cstheme="minorHAnsi"/>
          <w:b/>
          <w:i/>
          <w:szCs w:val="24"/>
        </w:rPr>
        <w:t>s</w:t>
      </w:r>
      <w:r w:rsidR="00743FA0" w:rsidRPr="00F6451E">
        <w:rPr>
          <w:rFonts w:asciiTheme="minorHAnsi" w:eastAsia="Calibri" w:hAnsiTheme="minorHAnsi" w:cstheme="minorHAnsi"/>
          <w:b/>
          <w:i/>
          <w:szCs w:val="24"/>
        </w:rPr>
        <w:t xml:space="preserve"> Guidelines</w:t>
      </w:r>
      <w:r w:rsidRPr="00F6451E">
        <w:rPr>
          <w:rFonts w:asciiTheme="minorHAnsi" w:eastAsia="Calibri" w:hAnsiTheme="minorHAnsi" w:cstheme="minorHAnsi"/>
          <w:b/>
          <w:i/>
          <w:szCs w:val="24"/>
        </w:rPr>
        <w:t>) 2020</w:t>
      </w:r>
    </w:p>
    <w:p w14:paraId="0FDB05D7" w14:textId="77777777" w:rsidR="00B81294" w:rsidRPr="00F6451E" w:rsidRDefault="00B81294" w:rsidP="00B81294">
      <w:pPr>
        <w:spacing w:after="0"/>
        <w:jc w:val="both"/>
        <w:rPr>
          <w:rFonts w:asciiTheme="minorHAnsi" w:eastAsia="Calibri" w:hAnsiTheme="minorHAnsi" w:cstheme="minorHAnsi"/>
          <w:szCs w:val="24"/>
        </w:rPr>
      </w:pPr>
    </w:p>
    <w:p w14:paraId="607BBCA8" w14:textId="77777777" w:rsidR="00B81294" w:rsidRPr="00F6451E" w:rsidRDefault="00B81294" w:rsidP="00C31248">
      <w:pPr>
        <w:spacing w:after="0"/>
        <w:rPr>
          <w:rFonts w:asciiTheme="minorHAnsi" w:eastAsia="Calibri" w:hAnsiTheme="minorHAnsi" w:cstheme="minorHAnsi"/>
          <w:szCs w:val="24"/>
        </w:rPr>
      </w:pPr>
      <w:r w:rsidRPr="00F6451E">
        <w:rPr>
          <w:rFonts w:asciiTheme="minorHAnsi" w:eastAsia="Calibri" w:hAnsiTheme="minorHAnsi" w:cstheme="minorHAnsi"/>
          <w:szCs w:val="24"/>
        </w:rPr>
        <w:t xml:space="preserve">This legislative instrument is compatible with the human rights and freedoms recognised or declared in the international instruments listed in section 3 of the </w:t>
      </w:r>
      <w:r w:rsidRPr="00F6451E">
        <w:rPr>
          <w:rFonts w:asciiTheme="minorHAnsi" w:eastAsia="Calibri" w:hAnsiTheme="minorHAnsi" w:cstheme="minorHAnsi"/>
          <w:i/>
          <w:szCs w:val="24"/>
        </w:rPr>
        <w:t>Human Rights (Parliamentary Scrutiny) Act 2011</w:t>
      </w:r>
      <w:r w:rsidRPr="00F6451E">
        <w:rPr>
          <w:rFonts w:asciiTheme="minorHAnsi" w:eastAsia="Calibri" w:hAnsiTheme="minorHAnsi" w:cstheme="minorHAnsi"/>
          <w:szCs w:val="24"/>
        </w:rPr>
        <w:t>.</w:t>
      </w:r>
    </w:p>
    <w:p w14:paraId="7BA708C0" w14:textId="16B63CA6" w:rsidR="00B81294" w:rsidRPr="00F6451E" w:rsidRDefault="00824173" w:rsidP="00B81294">
      <w:pPr>
        <w:keepNext/>
        <w:keepLines/>
        <w:spacing w:before="240" w:after="120"/>
        <w:outlineLvl w:val="1"/>
        <w:rPr>
          <w:rFonts w:asciiTheme="minorHAnsi" w:eastAsiaTheme="majorEastAsia" w:hAnsiTheme="minorHAnsi" w:cstheme="minorHAnsi"/>
          <w:b/>
          <w:bCs/>
          <w:sz w:val="26"/>
          <w:szCs w:val="26"/>
        </w:rPr>
      </w:pPr>
      <w:r w:rsidRPr="00F6451E">
        <w:rPr>
          <w:rFonts w:asciiTheme="minorHAnsi" w:eastAsiaTheme="majorEastAsia" w:hAnsiTheme="minorHAnsi" w:cstheme="minorHAnsi"/>
          <w:b/>
          <w:bCs/>
          <w:sz w:val="26"/>
          <w:szCs w:val="26"/>
        </w:rPr>
        <w:t>Overview</w:t>
      </w:r>
    </w:p>
    <w:p w14:paraId="0A31AA89" w14:textId="77777777" w:rsidR="006850D7" w:rsidRPr="00F6451E" w:rsidRDefault="006850D7" w:rsidP="006850D7">
      <w:pPr>
        <w:rPr>
          <w:rFonts w:asciiTheme="minorHAnsi" w:hAnsiTheme="minorHAnsi" w:cstheme="minorHAnsi"/>
          <w:lang w:eastAsia="en-AU"/>
        </w:rPr>
      </w:pPr>
      <w:r w:rsidRPr="00F6451E">
        <w:rPr>
          <w:rFonts w:asciiTheme="minorHAnsi" w:hAnsiTheme="minorHAnsi" w:cstheme="minorHAnsi"/>
          <w:lang w:eastAsia="en-AU"/>
        </w:rPr>
        <w:t xml:space="preserve">The purpose of the </w:t>
      </w:r>
      <w:r w:rsidRPr="00F6451E">
        <w:rPr>
          <w:rFonts w:asciiTheme="minorHAnsi" w:hAnsiTheme="minorHAnsi" w:cstheme="minorHAnsi"/>
          <w:i/>
          <w:lang w:eastAsia="en-AU"/>
        </w:rPr>
        <w:t xml:space="preserve">Tuition Protection (Up-front Payments Guidelines) 2020 </w:t>
      </w:r>
      <w:r w:rsidRPr="00F6451E">
        <w:rPr>
          <w:rFonts w:asciiTheme="minorHAnsi" w:hAnsiTheme="minorHAnsi" w:cstheme="minorHAnsi"/>
          <w:lang w:eastAsia="en-AU"/>
        </w:rPr>
        <w:t xml:space="preserve">(the </w:t>
      </w:r>
      <w:r w:rsidRPr="00F6451E">
        <w:rPr>
          <w:rFonts w:asciiTheme="minorHAnsi" w:hAnsiTheme="minorHAnsi" w:cstheme="minorHAnsi"/>
          <w:b/>
          <w:lang w:eastAsia="en-AU"/>
        </w:rPr>
        <w:t>Guidelines</w:t>
      </w:r>
      <w:r w:rsidRPr="00F6451E">
        <w:rPr>
          <w:rFonts w:asciiTheme="minorHAnsi" w:hAnsiTheme="minorHAnsi" w:cstheme="minorHAnsi"/>
          <w:lang w:eastAsia="en-AU"/>
        </w:rPr>
        <w:t xml:space="preserve">) is to put in place administrative and operational provisions to support amendments to the </w:t>
      </w:r>
      <w:r w:rsidRPr="00F6451E">
        <w:rPr>
          <w:rFonts w:asciiTheme="minorHAnsi" w:hAnsiTheme="minorHAnsi" w:cstheme="minorHAnsi"/>
          <w:i/>
          <w:iCs/>
          <w:lang w:eastAsia="en-AU"/>
        </w:rPr>
        <w:t xml:space="preserve">Tertiary Education Quality and Standards Agency Act 2011 </w:t>
      </w:r>
      <w:r w:rsidRPr="00F6451E">
        <w:rPr>
          <w:rFonts w:asciiTheme="minorHAnsi" w:hAnsiTheme="minorHAnsi" w:cstheme="minorHAnsi"/>
          <w:lang w:eastAsia="en-AU"/>
        </w:rPr>
        <w:t>(</w:t>
      </w:r>
      <w:r w:rsidRPr="00F6451E">
        <w:rPr>
          <w:rFonts w:asciiTheme="minorHAnsi" w:hAnsiTheme="minorHAnsi" w:cstheme="minorHAnsi"/>
          <w:b/>
          <w:bCs/>
          <w:lang w:eastAsia="en-AU"/>
        </w:rPr>
        <w:t>TEQSA Act</w:t>
      </w:r>
      <w:r w:rsidRPr="00F6451E">
        <w:rPr>
          <w:rFonts w:asciiTheme="minorHAnsi" w:hAnsiTheme="minorHAnsi" w:cstheme="minorHAnsi"/>
          <w:lang w:eastAsia="en-AU"/>
        </w:rPr>
        <w:t xml:space="preserve">) made by the </w:t>
      </w:r>
      <w:r w:rsidRPr="00F6451E">
        <w:rPr>
          <w:rFonts w:asciiTheme="minorHAnsi" w:hAnsiTheme="minorHAnsi" w:cstheme="minorHAnsi"/>
          <w:i/>
          <w:lang w:eastAsia="en-AU"/>
        </w:rPr>
        <w:t xml:space="preserve">Education Legislation Amendment (Up-front Payments Tuition Protection) Act 2020 </w:t>
      </w:r>
      <w:r w:rsidRPr="00F6451E">
        <w:rPr>
          <w:rFonts w:asciiTheme="minorHAnsi" w:hAnsiTheme="minorHAnsi" w:cstheme="minorHAnsi"/>
          <w:lang w:eastAsia="en-AU"/>
        </w:rPr>
        <w:t xml:space="preserve">(the </w:t>
      </w:r>
      <w:r w:rsidRPr="00F6451E">
        <w:rPr>
          <w:rFonts w:asciiTheme="minorHAnsi" w:hAnsiTheme="minorHAnsi" w:cstheme="minorHAnsi"/>
          <w:b/>
          <w:lang w:eastAsia="en-AU"/>
        </w:rPr>
        <w:t>Tuition Protection Act</w:t>
      </w:r>
      <w:r w:rsidRPr="00F6451E">
        <w:rPr>
          <w:rFonts w:asciiTheme="minorHAnsi" w:hAnsiTheme="minorHAnsi" w:cstheme="minorHAnsi"/>
          <w:lang w:eastAsia="en-AU"/>
        </w:rPr>
        <w:t xml:space="preserve">), and the </w:t>
      </w:r>
      <w:r w:rsidRPr="00F6451E">
        <w:rPr>
          <w:rFonts w:asciiTheme="minorHAnsi" w:hAnsiTheme="minorHAnsi" w:cstheme="minorHAnsi"/>
          <w:i/>
          <w:lang w:eastAsia="en-AU"/>
        </w:rPr>
        <w:t xml:space="preserve">Higher Education (Up-front Payments Tuition Protection Levy) Act 2020 </w:t>
      </w:r>
      <w:r w:rsidRPr="00F6451E">
        <w:rPr>
          <w:rFonts w:asciiTheme="minorHAnsi" w:hAnsiTheme="minorHAnsi" w:cstheme="minorHAnsi"/>
          <w:lang w:eastAsia="en-AU"/>
        </w:rPr>
        <w:t xml:space="preserve">(the </w:t>
      </w:r>
      <w:r w:rsidRPr="00F6451E">
        <w:rPr>
          <w:rFonts w:asciiTheme="minorHAnsi" w:hAnsiTheme="minorHAnsi" w:cstheme="minorHAnsi"/>
          <w:b/>
          <w:lang w:eastAsia="en-AU"/>
        </w:rPr>
        <w:t>Levy Act</w:t>
      </w:r>
      <w:r w:rsidRPr="00F6451E">
        <w:rPr>
          <w:rFonts w:asciiTheme="minorHAnsi" w:hAnsiTheme="minorHAnsi" w:cstheme="minorHAnsi"/>
          <w:lang w:eastAsia="en-AU"/>
        </w:rPr>
        <w:t xml:space="preserve">). </w:t>
      </w:r>
    </w:p>
    <w:p w14:paraId="12B4BBFE" w14:textId="04AD6E09" w:rsidR="00550379" w:rsidRPr="00F6451E" w:rsidRDefault="003006AC" w:rsidP="00C31248">
      <w:pPr>
        <w:rPr>
          <w:rFonts w:asciiTheme="minorHAnsi" w:eastAsiaTheme="majorEastAsia" w:hAnsiTheme="minorHAnsi" w:cstheme="minorHAnsi"/>
          <w:b/>
          <w:bCs/>
          <w:sz w:val="26"/>
          <w:szCs w:val="26"/>
        </w:rPr>
      </w:pPr>
      <w:r w:rsidRPr="00F6451E">
        <w:rPr>
          <w:rFonts w:asciiTheme="minorHAnsi" w:hAnsiTheme="minorHAnsi" w:cstheme="minorHAnsi"/>
          <w:lang w:eastAsia="en-AU"/>
        </w:rPr>
        <w:t>A registered higher education provider (</w:t>
      </w:r>
      <w:r w:rsidRPr="00F6451E">
        <w:rPr>
          <w:rFonts w:asciiTheme="minorHAnsi" w:hAnsiTheme="minorHAnsi" w:cstheme="minorHAnsi"/>
          <w:b/>
          <w:bCs/>
          <w:lang w:eastAsia="en-AU"/>
        </w:rPr>
        <w:t>provider</w:t>
      </w:r>
      <w:r w:rsidRPr="00F6451E">
        <w:rPr>
          <w:rFonts w:asciiTheme="minorHAnsi" w:hAnsiTheme="minorHAnsi" w:cstheme="minorHAnsi"/>
          <w:lang w:eastAsia="en-AU"/>
        </w:rPr>
        <w:t xml:space="preserve">) must comply with conditions imposed on the provider’s registration under section 24 of </w:t>
      </w:r>
      <w:r w:rsidR="006850D7" w:rsidRPr="00F6451E">
        <w:rPr>
          <w:rFonts w:asciiTheme="minorHAnsi" w:hAnsiTheme="minorHAnsi" w:cstheme="minorHAnsi"/>
          <w:lang w:eastAsia="en-AU"/>
        </w:rPr>
        <w:t xml:space="preserve">the </w:t>
      </w:r>
      <w:r w:rsidRPr="00F6451E">
        <w:rPr>
          <w:rFonts w:asciiTheme="minorHAnsi" w:eastAsia="Calibri" w:hAnsiTheme="minorHAnsi" w:cstheme="minorHAnsi"/>
          <w:szCs w:val="24"/>
          <w:lang w:eastAsia="en-AU"/>
        </w:rPr>
        <w:t xml:space="preserve">TEQSA Act. Section 26A of the TEQSA Act, as introduced through the Tuition Protection Act, includes a new condition – compliance with the tuition protection requirements. The tuition protection requirements include requirements set out in these Guidelines (subsection 26A(3) of the TEQSA Act).  </w:t>
      </w:r>
    </w:p>
    <w:p w14:paraId="300C6EA0" w14:textId="7C9344B2" w:rsidR="003006AC" w:rsidRPr="00F6451E" w:rsidRDefault="003006AC" w:rsidP="003006AC">
      <w:pPr>
        <w:rPr>
          <w:rFonts w:asciiTheme="minorHAnsi" w:hAnsiTheme="minorHAnsi" w:cstheme="minorHAnsi"/>
          <w:lang w:eastAsia="en-AU"/>
        </w:rPr>
      </w:pPr>
      <w:r w:rsidRPr="00F6451E">
        <w:rPr>
          <w:rFonts w:asciiTheme="minorHAnsi" w:hAnsiTheme="minorHAnsi" w:cstheme="minorHAnsi"/>
          <w:lang w:eastAsia="en-AU"/>
        </w:rPr>
        <w:t xml:space="preserve">The tuition protection requirements introduced by the Guidelines </w:t>
      </w:r>
      <w:r w:rsidR="006850D7" w:rsidRPr="00F6451E">
        <w:rPr>
          <w:rFonts w:asciiTheme="minorHAnsi" w:hAnsiTheme="minorHAnsi" w:cstheme="minorHAnsi"/>
          <w:lang w:eastAsia="en-AU"/>
        </w:rPr>
        <w:t>specify requirements</w:t>
      </w:r>
      <w:r w:rsidR="009B5585" w:rsidRPr="00F6451E">
        <w:rPr>
          <w:rFonts w:asciiTheme="minorHAnsi" w:hAnsiTheme="minorHAnsi" w:cstheme="minorHAnsi"/>
          <w:lang w:eastAsia="en-AU"/>
        </w:rPr>
        <w:t xml:space="preserve"> on</w:t>
      </w:r>
      <w:r w:rsidRPr="00F6451E">
        <w:rPr>
          <w:rFonts w:asciiTheme="minorHAnsi" w:hAnsiTheme="minorHAnsi" w:cstheme="minorHAnsi"/>
          <w:lang w:eastAsia="en-AU"/>
        </w:rPr>
        <w:t xml:space="preserve"> higher education providers to whom Part 5A of the TEQSA Act applies, of:</w:t>
      </w:r>
    </w:p>
    <w:p w14:paraId="67FCB907" w14:textId="77777777" w:rsidR="003006AC" w:rsidRPr="00F6451E" w:rsidRDefault="003006AC" w:rsidP="003006AC">
      <w:pPr>
        <w:pStyle w:val="ListParagraph"/>
        <w:numPr>
          <w:ilvl w:val="0"/>
          <w:numId w:val="10"/>
        </w:numPr>
        <w:rPr>
          <w:rFonts w:asciiTheme="minorHAnsi" w:hAnsiTheme="minorHAnsi" w:cstheme="minorHAnsi"/>
          <w:lang w:eastAsia="en-AU"/>
        </w:rPr>
      </w:pPr>
      <w:r w:rsidRPr="00F6451E">
        <w:rPr>
          <w:rFonts w:asciiTheme="minorHAnsi" w:hAnsiTheme="minorHAnsi" w:cstheme="minorHAnsi"/>
          <w:lang w:eastAsia="en-AU"/>
        </w:rPr>
        <w:t xml:space="preserve">determining tuition fees that are included and excluded for the purposes of paragraph (c) of the definition of ‘tuition fees’ in section 5 of the TEQSA Act; </w:t>
      </w:r>
    </w:p>
    <w:p w14:paraId="655337A1" w14:textId="77777777" w:rsidR="003006AC" w:rsidRPr="00F6451E" w:rsidRDefault="003006AC" w:rsidP="003006AC">
      <w:pPr>
        <w:pStyle w:val="ListParagraph"/>
        <w:numPr>
          <w:ilvl w:val="0"/>
          <w:numId w:val="10"/>
        </w:numPr>
        <w:rPr>
          <w:rFonts w:asciiTheme="minorHAnsi" w:hAnsiTheme="minorHAnsi" w:cstheme="minorHAnsi"/>
          <w:lang w:eastAsia="en-AU"/>
        </w:rPr>
      </w:pPr>
      <w:r w:rsidRPr="00F6451E">
        <w:rPr>
          <w:rFonts w:asciiTheme="minorHAnsi" w:hAnsiTheme="minorHAnsi" w:cstheme="minorHAnsi"/>
          <w:lang w:eastAsia="en-AU"/>
        </w:rPr>
        <w:t>requirements for the collection and recovery of the up-front tuition protection levy (</w:t>
      </w:r>
      <w:r w:rsidRPr="00F6451E">
        <w:rPr>
          <w:rFonts w:asciiTheme="minorHAnsi" w:hAnsiTheme="minorHAnsi" w:cstheme="minorHAnsi"/>
          <w:b/>
          <w:bCs/>
          <w:lang w:eastAsia="en-AU"/>
        </w:rPr>
        <w:t>Levy</w:t>
      </w:r>
      <w:r w:rsidRPr="00F6451E">
        <w:rPr>
          <w:rFonts w:asciiTheme="minorHAnsi" w:hAnsiTheme="minorHAnsi" w:cstheme="minorHAnsi"/>
          <w:lang w:eastAsia="en-AU"/>
        </w:rPr>
        <w:t>), including the issuing of Levy notices by the Higher Education Tuition Protection Director (the</w:t>
      </w:r>
      <w:r w:rsidRPr="00F6451E">
        <w:rPr>
          <w:rFonts w:asciiTheme="minorHAnsi" w:hAnsiTheme="minorHAnsi" w:cstheme="minorHAnsi"/>
          <w:b/>
          <w:bCs/>
          <w:lang w:eastAsia="en-AU"/>
        </w:rPr>
        <w:t xml:space="preserve"> Director</w:t>
      </w:r>
      <w:r w:rsidRPr="00F6451E">
        <w:rPr>
          <w:rFonts w:asciiTheme="minorHAnsi" w:hAnsiTheme="minorHAnsi" w:cstheme="minorHAnsi"/>
          <w:lang w:eastAsia="en-AU"/>
        </w:rPr>
        <w:t>);</w:t>
      </w:r>
    </w:p>
    <w:p w14:paraId="4489FF85" w14:textId="77777777" w:rsidR="003006AC" w:rsidRPr="00F6451E" w:rsidRDefault="003006AC" w:rsidP="003006AC">
      <w:pPr>
        <w:pStyle w:val="ListParagraph"/>
        <w:numPr>
          <w:ilvl w:val="0"/>
          <w:numId w:val="10"/>
        </w:numPr>
        <w:rPr>
          <w:rFonts w:asciiTheme="minorHAnsi" w:hAnsiTheme="minorHAnsi" w:cstheme="minorHAnsi"/>
          <w:lang w:eastAsia="en-AU"/>
        </w:rPr>
      </w:pPr>
      <w:r w:rsidRPr="00F6451E">
        <w:rPr>
          <w:rFonts w:asciiTheme="minorHAnsi" w:hAnsiTheme="minorHAnsi" w:cstheme="minorHAnsi"/>
          <w:lang w:eastAsia="en-AU"/>
        </w:rPr>
        <w:t xml:space="preserve">detail on the internal and external review processes in relation to a Levy decision; </w:t>
      </w:r>
    </w:p>
    <w:p w14:paraId="7D1C5799" w14:textId="77777777" w:rsidR="003006AC" w:rsidRPr="00F6451E" w:rsidRDefault="003006AC" w:rsidP="003006AC">
      <w:pPr>
        <w:pStyle w:val="ListParagraph"/>
        <w:numPr>
          <w:ilvl w:val="0"/>
          <w:numId w:val="10"/>
        </w:numPr>
        <w:rPr>
          <w:rFonts w:asciiTheme="minorHAnsi" w:hAnsiTheme="minorHAnsi" w:cstheme="minorHAnsi"/>
          <w:sz w:val="23"/>
          <w:szCs w:val="23"/>
        </w:rPr>
      </w:pPr>
      <w:r w:rsidRPr="00F6451E">
        <w:rPr>
          <w:rFonts w:asciiTheme="minorHAnsi" w:hAnsiTheme="minorHAnsi" w:cstheme="minorHAnsi"/>
          <w:lang w:eastAsia="en-AU"/>
        </w:rPr>
        <w:t xml:space="preserve">requirements for providers to keep records of certain information and documents related to tuition protection for each domestic student enrolled in a unit of study or Australian course of study with the provider or who has paid up-front payments to the provider; </w:t>
      </w:r>
    </w:p>
    <w:p w14:paraId="435970F5" w14:textId="77777777" w:rsidR="003006AC" w:rsidRPr="00F6451E" w:rsidRDefault="003006AC" w:rsidP="003006AC">
      <w:pPr>
        <w:pStyle w:val="ListParagraph"/>
        <w:numPr>
          <w:ilvl w:val="0"/>
          <w:numId w:val="10"/>
        </w:numPr>
        <w:rPr>
          <w:rFonts w:asciiTheme="minorHAnsi" w:hAnsiTheme="minorHAnsi" w:cstheme="minorHAnsi"/>
          <w:lang w:eastAsia="en-AU"/>
        </w:rPr>
      </w:pPr>
      <w:r w:rsidRPr="00F6451E">
        <w:rPr>
          <w:rFonts w:asciiTheme="minorHAnsi" w:hAnsiTheme="minorHAnsi" w:cstheme="minorHAnsi"/>
          <w:lang w:eastAsia="en-AU"/>
        </w:rPr>
        <w:t xml:space="preserve">requirements for providers to disclose certain information and documents related to tuition protection to the Secretary about each domestic student enrolled in a unit of study or Australian course of study with the provider; </w:t>
      </w:r>
    </w:p>
    <w:p w14:paraId="594F41E4" w14:textId="77777777" w:rsidR="003006AC" w:rsidRPr="00F6451E" w:rsidRDefault="003006AC" w:rsidP="003006AC">
      <w:pPr>
        <w:pStyle w:val="ListParagraph"/>
        <w:numPr>
          <w:ilvl w:val="0"/>
          <w:numId w:val="10"/>
        </w:numPr>
        <w:rPr>
          <w:rFonts w:asciiTheme="minorHAnsi" w:hAnsiTheme="minorHAnsi" w:cstheme="minorHAnsi"/>
          <w:lang w:eastAsia="en-AU"/>
        </w:rPr>
      </w:pPr>
      <w:r w:rsidRPr="00F6451E">
        <w:rPr>
          <w:rFonts w:asciiTheme="minorHAnsi" w:hAnsiTheme="minorHAnsi" w:cstheme="minorHAnsi"/>
          <w:lang w:eastAsia="en-AU"/>
        </w:rPr>
        <w:t>other circumstances when a provider defaults in relation to a student that is in addition to section 62C of the TEQSA Act;</w:t>
      </w:r>
    </w:p>
    <w:p w14:paraId="509FAE54" w14:textId="77777777" w:rsidR="003006AC" w:rsidRPr="00F6451E" w:rsidRDefault="003006AC" w:rsidP="003006AC">
      <w:pPr>
        <w:pStyle w:val="ListParagraph"/>
        <w:numPr>
          <w:ilvl w:val="0"/>
          <w:numId w:val="10"/>
        </w:numPr>
        <w:rPr>
          <w:rFonts w:asciiTheme="minorHAnsi" w:hAnsiTheme="minorHAnsi" w:cstheme="minorHAnsi"/>
          <w:lang w:eastAsia="en-AU"/>
        </w:rPr>
      </w:pPr>
      <w:r w:rsidRPr="00F6451E">
        <w:rPr>
          <w:rFonts w:asciiTheme="minorHAnsi" w:hAnsiTheme="minorHAnsi" w:cstheme="minorHAnsi"/>
          <w:lang w:eastAsia="en-AU"/>
        </w:rPr>
        <w:t xml:space="preserve">detail around the written notices that providers that default must give to students and the Director; </w:t>
      </w:r>
    </w:p>
    <w:p w14:paraId="18EFB8F1" w14:textId="77777777" w:rsidR="003006AC" w:rsidRPr="00F6451E" w:rsidRDefault="003006AC" w:rsidP="003006AC">
      <w:pPr>
        <w:pStyle w:val="ListParagraph"/>
        <w:numPr>
          <w:ilvl w:val="0"/>
          <w:numId w:val="10"/>
        </w:numPr>
        <w:rPr>
          <w:rFonts w:asciiTheme="minorHAnsi" w:hAnsiTheme="minorHAnsi" w:cstheme="minorHAnsi"/>
          <w:lang w:eastAsia="en-AU"/>
        </w:rPr>
      </w:pPr>
      <w:r w:rsidRPr="00F6451E">
        <w:rPr>
          <w:rFonts w:asciiTheme="minorHAnsi" w:hAnsiTheme="minorHAnsi" w:cstheme="minorHAnsi"/>
          <w:lang w:eastAsia="en-AU"/>
        </w:rPr>
        <w:t xml:space="preserve">requirements for providers to give evidence within their written notice to the Director of the outcome of discharge of obligations that is in addition to subsection 62H(2) of the TEQSA Act; </w:t>
      </w:r>
    </w:p>
    <w:p w14:paraId="43292452" w14:textId="24E310C3" w:rsidR="00DF045E" w:rsidRPr="00F6451E" w:rsidRDefault="003006AC" w:rsidP="00C31248">
      <w:pPr>
        <w:pStyle w:val="ListParagraph"/>
        <w:numPr>
          <w:ilvl w:val="0"/>
          <w:numId w:val="10"/>
        </w:numPr>
        <w:rPr>
          <w:rFonts w:asciiTheme="minorHAnsi" w:eastAsia="Times New Roman" w:hAnsiTheme="minorHAnsi" w:cstheme="minorHAnsi"/>
          <w:lang w:eastAsia="en-AU"/>
        </w:rPr>
      </w:pPr>
      <w:r w:rsidRPr="00F6451E">
        <w:rPr>
          <w:rFonts w:asciiTheme="minorHAnsi" w:hAnsiTheme="minorHAnsi" w:cstheme="minorHAnsi"/>
          <w:lang w:eastAsia="en-AU"/>
        </w:rPr>
        <w:lastRenderedPageBreak/>
        <w:t xml:space="preserve">other tuition protection requirements for providers to notify students of certain matters. </w:t>
      </w:r>
    </w:p>
    <w:p w14:paraId="48131ECD" w14:textId="75C9C468" w:rsidR="003006AC" w:rsidRPr="00F6451E" w:rsidRDefault="003006AC" w:rsidP="003006AC">
      <w:pPr>
        <w:rPr>
          <w:rFonts w:asciiTheme="minorHAnsi" w:hAnsiTheme="minorHAnsi" w:cstheme="minorHAnsi"/>
        </w:rPr>
      </w:pPr>
      <w:r w:rsidRPr="00F6451E">
        <w:rPr>
          <w:rFonts w:asciiTheme="minorHAnsi" w:hAnsiTheme="minorHAnsi" w:cstheme="minorHAnsi"/>
        </w:rPr>
        <w:t xml:space="preserve">The </w:t>
      </w:r>
      <w:r w:rsidRPr="00F6451E">
        <w:rPr>
          <w:rFonts w:asciiTheme="minorHAnsi" w:hAnsiTheme="minorHAnsi" w:cstheme="minorHAnsi"/>
          <w:iCs/>
        </w:rPr>
        <w:t>Tuition Protection Act</w:t>
      </w:r>
      <w:r w:rsidRPr="00F6451E">
        <w:rPr>
          <w:rFonts w:asciiTheme="minorHAnsi" w:hAnsiTheme="minorHAnsi" w:cstheme="minorHAnsi"/>
        </w:rPr>
        <w:t xml:space="preserve"> extends the Government managed Tuition Protection Service (</w:t>
      </w:r>
      <w:r w:rsidRPr="00F6451E">
        <w:rPr>
          <w:rFonts w:asciiTheme="minorHAnsi" w:hAnsiTheme="minorHAnsi" w:cstheme="minorHAnsi"/>
          <w:b/>
          <w:bCs/>
        </w:rPr>
        <w:t>TPS</w:t>
      </w:r>
      <w:r w:rsidRPr="00F6451E">
        <w:rPr>
          <w:rFonts w:asciiTheme="minorHAnsi" w:hAnsiTheme="minorHAnsi" w:cstheme="minorHAnsi"/>
        </w:rPr>
        <w:t>) to domestic up</w:t>
      </w:r>
      <w:r w:rsidRPr="00F6451E">
        <w:rPr>
          <w:rFonts w:asciiTheme="minorHAnsi" w:hAnsiTheme="minorHAnsi" w:cstheme="minorHAnsi"/>
        </w:rPr>
        <w:noBreakHyphen/>
        <w:t>front fee</w:t>
      </w:r>
      <w:r w:rsidR="00231704" w:rsidRPr="00F6451E">
        <w:rPr>
          <w:rFonts w:asciiTheme="minorHAnsi" w:hAnsiTheme="minorHAnsi" w:cstheme="minorHAnsi"/>
        </w:rPr>
        <w:t xml:space="preserve"> </w:t>
      </w:r>
      <w:r w:rsidRPr="00F6451E">
        <w:rPr>
          <w:rFonts w:asciiTheme="minorHAnsi" w:hAnsiTheme="minorHAnsi" w:cstheme="minorHAnsi"/>
        </w:rPr>
        <w:t xml:space="preserve">paying higher education students, commencing on 1 January 2021, by amending the TEQSA Act and the </w:t>
      </w:r>
      <w:r w:rsidRPr="00F6451E">
        <w:rPr>
          <w:rFonts w:asciiTheme="minorHAnsi" w:hAnsiTheme="minorHAnsi" w:cstheme="minorHAnsi"/>
          <w:i/>
          <w:iCs/>
        </w:rPr>
        <w:t>Higher Education Support Act 2003</w:t>
      </w:r>
      <w:r w:rsidRPr="00F6451E">
        <w:rPr>
          <w:rFonts w:asciiTheme="minorHAnsi" w:hAnsiTheme="minorHAnsi" w:cstheme="minorHAnsi"/>
        </w:rPr>
        <w:t xml:space="preserve"> (</w:t>
      </w:r>
      <w:r w:rsidRPr="00F6451E">
        <w:rPr>
          <w:rFonts w:asciiTheme="minorHAnsi" w:hAnsiTheme="minorHAnsi" w:cstheme="minorHAnsi"/>
          <w:b/>
          <w:bCs/>
        </w:rPr>
        <w:t>HESA</w:t>
      </w:r>
      <w:r w:rsidRPr="00F6451E">
        <w:rPr>
          <w:rFonts w:asciiTheme="minorHAnsi" w:hAnsiTheme="minorHAnsi" w:cstheme="minorHAnsi"/>
        </w:rPr>
        <w:t xml:space="preserve">). </w:t>
      </w:r>
      <w:r w:rsidR="006850D7" w:rsidRPr="00F6451E">
        <w:rPr>
          <w:rFonts w:asciiTheme="minorHAnsi" w:hAnsiTheme="minorHAnsi" w:cstheme="minorHAnsi"/>
        </w:rPr>
        <w:t xml:space="preserve">The expansion </w:t>
      </w:r>
      <w:r w:rsidRPr="00F6451E">
        <w:rPr>
          <w:rFonts w:asciiTheme="minorHAnsi" w:hAnsiTheme="minorHAnsi" w:cstheme="minorHAnsi"/>
        </w:rPr>
        <w:t>ensur</w:t>
      </w:r>
      <w:r w:rsidR="006850D7" w:rsidRPr="00F6451E">
        <w:rPr>
          <w:rFonts w:asciiTheme="minorHAnsi" w:hAnsiTheme="minorHAnsi" w:cstheme="minorHAnsi"/>
        </w:rPr>
        <w:t>es</w:t>
      </w:r>
      <w:r w:rsidRPr="00F6451E">
        <w:rPr>
          <w:rFonts w:asciiTheme="minorHAnsi" w:hAnsiTheme="minorHAnsi" w:cstheme="minorHAnsi"/>
        </w:rPr>
        <w:t xml:space="preserve"> domestic higher education students that take out a HELP loan and/or pay up-front for their study costs at a private higher education provider, are assisted by either a recredit, refund or suitable replacement unit and course in the event that their provider defaults in failing to commence or ceasing to provide their unit of study and/or course. </w:t>
      </w:r>
    </w:p>
    <w:p w14:paraId="209184AE" w14:textId="77777777" w:rsidR="003006AC" w:rsidRPr="00F6451E" w:rsidRDefault="003006AC" w:rsidP="003006AC">
      <w:pPr>
        <w:rPr>
          <w:rFonts w:asciiTheme="minorHAnsi" w:hAnsiTheme="minorHAnsi" w:cstheme="minorHAnsi"/>
        </w:rPr>
      </w:pPr>
      <w:r w:rsidRPr="00F6451E">
        <w:rPr>
          <w:rFonts w:asciiTheme="minorHAnsi" w:hAnsiTheme="minorHAnsi" w:cstheme="minorHAnsi"/>
        </w:rPr>
        <w:t xml:space="preserve">The new up-front payments tuition protection arrangements are funded by providers through a levy model set out in the Levy Act. Also these new tuition protection arrangements are modelled on the successful TPS for international students under the </w:t>
      </w:r>
      <w:r w:rsidRPr="00F6451E">
        <w:rPr>
          <w:rFonts w:asciiTheme="minorHAnsi" w:hAnsiTheme="minorHAnsi" w:cstheme="minorHAnsi"/>
          <w:i/>
          <w:iCs/>
        </w:rPr>
        <w:t>Education Services for Overseas Students Act 2000</w:t>
      </w:r>
      <w:r w:rsidRPr="00F6451E">
        <w:rPr>
          <w:rFonts w:asciiTheme="minorHAnsi" w:hAnsiTheme="minorHAnsi" w:cstheme="minorHAnsi"/>
        </w:rPr>
        <w:t xml:space="preserve">. </w:t>
      </w:r>
    </w:p>
    <w:p w14:paraId="223518BB" w14:textId="3CFF5EEC" w:rsidR="00E67973" w:rsidRPr="00F6451E" w:rsidRDefault="00E67973" w:rsidP="00E67973">
      <w:pPr>
        <w:pStyle w:val="Heading2"/>
        <w:rPr>
          <w:rFonts w:asciiTheme="minorHAnsi" w:hAnsiTheme="minorHAnsi" w:cstheme="minorHAnsi"/>
        </w:rPr>
      </w:pPr>
      <w:r w:rsidRPr="00F6451E">
        <w:rPr>
          <w:rFonts w:asciiTheme="minorHAnsi" w:hAnsiTheme="minorHAnsi" w:cstheme="minorHAnsi"/>
        </w:rPr>
        <w:t>Human rights implications</w:t>
      </w:r>
    </w:p>
    <w:p w14:paraId="519BA698" w14:textId="77777777" w:rsidR="006850D7" w:rsidRPr="00F6451E" w:rsidRDefault="006850D7" w:rsidP="006850D7">
      <w:pPr>
        <w:rPr>
          <w:rFonts w:asciiTheme="minorHAnsi" w:hAnsiTheme="minorHAnsi" w:cstheme="minorHAnsi"/>
          <w:i/>
          <w:iCs/>
        </w:rPr>
      </w:pPr>
      <w:r w:rsidRPr="00F6451E">
        <w:rPr>
          <w:rFonts w:asciiTheme="minorHAnsi" w:hAnsiTheme="minorHAnsi" w:cstheme="minorHAnsi"/>
          <w:i/>
          <w:iCs/>
        </w:rPr>
        <w:t xml:space="preserve">Right to Education </w:t>
      </w:r>
    </w:p>
    <w:p w14:paraId="5B530649" w14:textId="715175AD" w:rsidR="006850D7" w:rsidRPr="00F6451E" w:rsidRDefault="006850D7" w:rsidP="006850D7">
      <w:pPr>
        <w:rPr>
          <w:rFonts w:asciiTheme="minorHAnsi" w:hAnsiTheme="minorHAnsi" w:cstheme="minorHAnsi"/>
        </w:rPr>
      </w:pPr>
      <w:r w:rsidRPr="00F6451E">
        <w:rPr>
          <w:rFonts w:asciiTheme="minorHAnsi" w:hAnsiTheme="minorHAnsi" w:cstheme="minorHAnsi"/>
        </w:rPr>
        <w:t>The Guidelines engage the right to education, which is set out in Article 13 of the International Covenant on Economic, Social and Cultural Rights (</w:t>
      </w:r>
      <w:r w:rsidRPr="00F6451E">
        <w:rPr>
          <w:rFonts w:asciiTheme="minorHAnsi" w:hAnsiTheme="minorHAnsi" w:cstheme="minorHAnsi"/>
          <w:b/>
          <w:bCs/>
        </w:rPr>
        <w:t>ICESCR</w:t>
      </w:r>
      <w:r w:rsidRPr="00F6451E">
        <w:rPr>
          <w:rFonts w:asciiTheme="minorHAnsi" w:hAnsiTheme="minorHAnsi" w:cstheme="minorHAnsi"/>
        </w:rPr>
        <w:t xml:space="preserve">). Article 13 recognises the important personal, societal, economic and intellectual benefits of education. Article 13 provides that secondary education in its different forms, including higher education, shall be made generally available and accessible to all by every appropriate means. </w:t>
      </w:r>
    </w:p>
    <w:p w14:paraId="1B24FC08" w14:textId="3E0A616F" w:rsidR="006850D7" w:rsidRPr="00F6451E" w:rsidRDefault="006850D7" w:rsidP="006850D7">
      <w:pPr>
        <w:rPr>
          <w:rFonts w:asciiTheme="minorHAnsi" w:hAnsiTheme="minorHAnsi" w:cstheme="minorHAnsi"/>
        </w:rPr>
      </w:pPr>
      <w:r w:rsidRPr="00F6451E">
        <w:rPr>
          <w:rFonts w:asciiTheme="minorHAnsi" w:hAnsiTheme="minorHAnsi" w:cstheme="minorHAnsi"/>
        </w:rPr>
        <w:t xml:space="preserve">The Guidelines sets out the administrative and operational details to support the changes made to the TEQSA Act made through the Tuition Protection Act. As a result, the Guidelines also promote the right to education as it is designed to support domestic students in the event of a provider default (through tuition protection requirements). </w:t>
      </w:r>
    </w:p>
    <w:p w14:paraId="2B95A810" w14:textId="3801C20F" w:rsidR="00100D0B" w:rsidRPr="00F6451E" w:rsidRDefault="00100D0B" w:rsidP="00E67973">
      <w:pPr>
        <w:rPr>
          <w:rStyle w:val="Hyperlink"/>
          <w:rFonts w:asciiTheme="minorHAnsi" w:hAnsiTheme="minorHAnsi" w:cstheme="minorHAnsi"/>
          <w:i/>
          <w:iCs/>
          <w:color w:val="auto"/>
          <w:u w:val="none"/>
        </w:rPr>
      </w:pPr>
      <w:r w:rsidRPr="00F6451E">
        <w:rPr>
          <w:rStyle w:val="Hyperlink"/>
          <w:rFonts w:asciiTheme="minorHAnsi" w:hAnsiTheme="minorHAnsi" w:cstheme="minorHAnsi"/>
          <w:i/>
          <w:iCs/>
          <w:color w:val="auto"/>
          <w:u w:val="none"/>
        </w:rPr>
        <w:t>Right to Privacy</w:t>
      </w:r>
    </w:p>
    <w:p w14:paraId="367E7D56" w14:textId="3BB299FF" w:rsidR="00100D0B" w:rsidRPr="00F6451E" w:rsidRDefault="00100D0B" w:rsidP="00E67973">
      <w:pPr>
        <w:rPr>
          <w:rStyle w:val="Hyperlink"/>
          <w:rFonts w:asciiTheme="minorHAnsi" w:hAnsiTheme="minorHAnsi" w:cstheme="minorHAnsi"/>
          <w:color w:val="auto"/>
          <w:u w:val="none"/>
        </w:rPr>
      </w:pPr>
      <w:r w:rsidRPr="00F6451E">
        <w:rPr>
          <w:rStyle w:val="Hyperlink"/>
          <w:rFonts w:asciiTheme="minorHAnsi" w:hAnsiTheme="minorHAnsi" w:cstheme="minorHAnsi"/>
          <w:color w:val="auto"/>
          <w:u w:val="none"/>
        </w:rPr>
        <w:t xml:space="preserve">The Guidelines indirectly engage the right to privacy, </w:t>
      </w:r>
      <w:r w:rsidR="00877432" w:rsidRPr="00F6451E">
        <w:rPr>
          <w:rStyle w:val="Hyperlink"/>
          <w:rFonts w:asciiTheme="minorHAnsi" w:hAnsiTheme="minorHAnsi" w:cstheme="minorHAnsi"/>
          <w:color w:val="auto"/>
          <w:u w:val="none"/>
        </w:rPr>
        <w:t>under</w:t>
      </w:r>
      <w:r w:rsidRPr="00F6451E">
        <w:rPr>
          <w:rStyle w:val="Hyperlink"/>
          <w:rFonts w:asciiTheme="minorHAnsi" w:hAnsiTheme="minorHAnsi" w:cstheme="minorHAnsi"/>
          <w:color w:val="auto"/>
          <w:u w:val="none"/>
        </w:rPr>
        <w:t xml:space="preserve"> Article 17 of the </w:t>
      </w:r>
      <w:r w:rsidRPr="00F6451E">
        <w:rPr>
          <w:rStyle w:val="Hyperlink"/>
          <w:rFonts w:asciiTheme="minorHAnsi" w:hAnsiTheme="minorHAnsi" w:cstheme="minorHAnsi"/>
          <w:i/>
          <w:color w:val="auto"/>
          <w:u w:val="none"/>
        </w:rPr>
        <w:t>International Covenant on Civil and Political Rights</w:t>
      </w:r>
      <w:r w:rsidRPr="00F6451E">
        <w:rPr>
          <w:rStyle w:val="Hyperlink"/>
          <w:rFonts w:asciiTheme="minorHAnsi" w:hAnsiTheme="minorHAnsi" w:cstheme="minorHAnsi"/>
          <w:color w:val="auto"/>
          <w:u w:val="none"/>
        </w:rPr>
        <w:t xml:space="preserve"> (</w:t>
      </w:r>
      <w:r w:rsidRPr="00F6451E">
        <w:rPr>
          <w:rStyle w:val="Hyperlink"/>
          <w:rFonts w:asciiTheme="minorHAnsi" w:hAnsiTheme="minorHAnsi" w:cstheme="minorHAnsi"/>
          <w:b/>
          <w:bCs/>
          <w:color w:val="auto"/>
          <w:u w:val="none"/>
        </w:rPr>
        <w:t>ICCPR</w:t>
      </w:r>
      <w:r w:rsidRPr="00F6451E">
        <w:rPr>
          <w:rStyle w:val="Hyperlink"/>
          <w:rFonts w:asciiTheme="minorHAnsi" w:hAnsiTheme="minorHAnsi" w:cstheme="minorHAnsi"/>
          <w:color w:val="auto"/>
          <w:u w:val="none"/>
        </w:rPr>
        <w:t>)</w:t>
      </w:r>
      <w:r w:rsidR="00983BBA" w:rsidRPr="00F6451E">
        <w:rPr>
          <w:rStyle w:val="Hyperlink"/>
          <w:rFonts w:asciiTheme="minorHAnsi" w:hAnsiTheme="minorHAnsi" w:cstheme="minorHAnsi"/>
          <w:color w:val="auto"/>
          <w:u w:val="none"/>
        </w:rPr>
        <w:t xml:space="preserve">, which </w:t>
      </w:r>
      <w:r w:rsidRPr="00F6451E">
        <w:rPr>
          <w:rStyle w:val="Hyperlink"/>
          <w:rFonts w:asciiTheme="minorHAnsi" w:hAnsiTheme="minorHAnsi" w:cstheme="minorHAnsi"/>
          <w:color w:val="auto"/>
          <w:u w:val="none"/>
        </w:rPr>
        <w:t xml:space="preserve">provides that no one shall be subjected to arbitrary or unlawful interference with their privacy, family, home or correspondence, nor to unlawful attacks on their honour and reputation and that everyone has the right to the protection of the law against such interference or attacks. </w:t>
      </w:r>
    </w:p>
    <w:p w14:paraId="6FCEC853" w14:textId="6AE7FB35" w:rsidR="004F1517" w:rsidRPr="00F6451E" w:rsidRDefault="00100D0B" w:rsidP="00100D0B">
      <w:pPr>
        <w:rPr>
          <w:rFonts w:asciiTheme="minorHAnsi" w:hAnsiTheme="minorHAnsi" w:cstheme="minorHAnsi"/>
        </w:rPr>
      </w:pPr>
      <w:r w:rsidRPr="00F6451E">
        <w:rPr>
          <w:rFonts w:asciiTheme="minorHAnsi" w:hAnsiTheme="minorHAnsi" w:cstheme="minorHAnsi"/>
        </w:rPr>
        <w:t>The right to privacy can be permissibly limited in order to achieve a legitimate objective and where the limitations are lawful and not arbitrary. Authorised disclosure of personal information also invokes the exception in Australian Privacy Principle (</w:t>
      </w:r>
      <w:r w:rsidRPr="00F6451E">
        <w:rPr>
          <w:rFonts w:asciiTheme="minorHAnsi" w:hAnsiTheme="minorHAnsi" w:cstheme="minorHAnsi"/>
          <w:b/>
          <w:bCs/>
        </w:rPr>
        <w:t>APP</w:t>
      </w:r>
      <w:r w:rsidRPr="00F6451E">
        <w:rPr>
          <w:rFonts w:asciiTheme="minorHAnsi" w:hAnsiTheme="minorHAnsi" w:cstheme="minorHAnsi"/>
        </w:rPr>
        <w:t xml:space="preserve">) 6.2(b) in Schedule 1 to the </w:t>
      </w:r>
      <w:r w:rsidRPr="00F6451E">
        <w:rPr>
          <w:rFonts w:asciiTheme="minorHAnsi" w:hAnsiTheme="minorHAnsi" w:cstheme="minorHAnsi"/>
          <w:i/>
          <w:iCs/>
        </w:rPr>
        <w:t>Privacy Act 1988</w:t>
      </w:r>
      <w:r w:rsidRPr="00F6451E">
        <w:rPr>
          <w:rFonts w:asciiTheme="minorHAnsi" w:hAnsiTheme="minorHAnsi" w:cstheme="minorHAnsi"/>
        </w:rPr>
        <w:t xml:space="preserve"> (</w:t>
      </w:r>
      <w:r w:rsidRPr="00F6451E">
        <w:rPr>
          <w:rFonts w:asciiTheme="minorHAnsi" w:hAnsiTheme="minorHAnsi" w:cstheme="minorHAnsi"/>
          <w:b/>
          <w:bCs/>
        </w:rPr>
        <w:t>Privacy Act</w:t>
      </w:r>
      <w:r w:rsidRPr="00F6451E">
        <w:rPr>
          <w:rFonts w:asciiTheme="minorHAnsi" w:hAnsiTheme="minorHAnsi" w:cstheme="minorHAnsi"/>
        </w:rPr>
        <w:t>), which permits the disclosure of an individual’s personal information for a secondary purpose where the disclosure is authorised by law.</w:t>
      </w:r>
    </w:p>
    <w:p w14:paraId="1EF3452A" w14:textId="1E70A629" w:rsidR="00100D0B" w:rsidRPr="00F6451E" w:rsidRDefault="00100D0B" w:rsidP="00100D0B">
      <w:pPr>
        <w:rPr>
          <w:rFonts w:asciiTheme="minorHAnsi" w:hAnsiTheme="minorHAnsi" w:cstheme="minorHAnsi"/>
        </w:rPr>
      </w:pPr>
      <w:r w:rsidRPr="00F6451E">
        <w:rPr>
          <w:rFonts w:asciiTheme="minorHAnsi" w:hAnsiTheme="minorHAnsi" w:cstheme="minorHAnsi"/>
        </w:rPr>
        <w:t>In this case, the legitimate objective is the protection and support of domestic up-front fee paying students in the event that their private higher education provider</w:t>
      </w:r>
      <w:r w:rsidR="004F1517" w:rsidRPr="00F6451E">
        <w:rPr>
          <w:rFonts w:asciiTheme="minorHAnsi" w:hAnsiTheme="minorHAnsi" w:cstheme="minorHAnsi"/>
        </w:rPr>
        <w:t xml:space="preserve"> </w:t>
      </w:r>
      <w:r w:rsidRPr="00F6451E">
        <w:rPr>
          <w:rFonts w:asciiTheme="minorHAnsi" w:hAnsiTheme="minorHAnsi" w:cstheme="minorHAnsi"/>
        </w:rPr>
        <w:t xml:space="preserve">defaults, through the Australian Government’s TPS arrangements, which </w:t>
      </w:r>
      <w:r w:rsidR="00B558C2" w:rsidRPr="00F6451E">
        <w:rPr>
          <w:rFonts w:asciiTheme="minorHAnsi" w:hAnsiTheme="minorHAnsi" w:cstheme="minorHAnsi"/>
        </w:rPr>
        <w:t xml:space="preserve">the Guidelines set out the </w:t>
      </w:r>
      <w:r w:rsidR="00B558C2" w:rsidRPr="00F6451E">
        <w:rPr>
          <w:rFonts w:asciiTheme="minorHAnsi" w:hAnsiTheme="minorHAnsi" w:cstheme="minorHAnsi"/>
        </w:rPr>
        <w:lastRenderedPageBreak/>
        <w:t xml:space="preserve">procedural and administrative requirements supporting the </w:t>
      </w:r>
      <w:r w:rsidR="008F4632" w:rsidRPr="00F6451E">
        <w:rPr>
          <w:rFonts w:asciiTheme="minorHAnsi" w:hAnsiTheme="minorHAnsi" w:cstheme="minorHAnsi"/>
        </w:rPr>
        <w:t>t</w:t>
      </w:r>
      <w:r w:rsidR="00B558C2" w:rsidRPr="00F6451E">
        <w:rPr>
          <w:rFonts w:asciiTheme="minorHAnsi" w:hAnsiTheme="minorHAnsi" w:cstheme="minorHAnsi"/>
        </w:rPr>
        <w:t xml:space="preserve">uition </w:t>
      </w:r>
      <w:r w:rsidR="008F4632" w:rsidRPr="00F6451E">
        <w:rPr>
          <w:rFonts w:asciiTheme="minorHAnsi" w:hAnsiTheme="minorHAnsi" w:cstheme="minorHAnsi"/>
        </w:rPr>
        <w:t>p</w:t>
      </w:r>
      <w:r w:rsidR="00B558C2" w:rsidRPr="00F6451E">
        <w:rPr>
          <w:rFonts w:asciiTheme="minorHAnsi" w:hAnsiTheme="minorHAnsi" w:cstheme="minorHAnsi"/>
        </w:rPr>
        <w:t>rotection arrangements under Part 5A of the TEQSA Act</w:t>
      </w:r>
      <w:r w:rsidRPr="00F6451E">
        <w:rPr>
          <w:rFonts w:asciiTheme="minorHAnsi" w:hAnsiTheme="minorHAnsi" w:cstheme="minorHAnsi"/>
        </w:rPr>
        <w:t>.</w:t>
      </w:r>
    </w:p>
    <w:p w14:paraId="7FA344EF" w14:textId="4BC55144" w:rsidR="00B558C2" w:rsidRPr="00F6451E" w:rsidRDefault="00B558C2" w:rsidP="00100D0B">
      <w:pPr>
        <w:rPr>
          <w:rFonts w:asciiTheme="minorHAnsi" w:hAnsiTheme="minorHAnsi" w:cstheme="minorHAnsi"/>
        </w:rPr>
      </w:pPr>
      <w:r w:rsidRPr="00F6451E">
        <w:rPr>
          <w:rFonts w:asciiTheme="minorHAnsi" w:hAnsiTheme="minorHAnsi" w:cstheme="minorHAnsi"/>
        </w:rPr>
        <w:t>Registered higher education providers under the TEQSA Act will have obligations to keep records and provide personal information to the Department about their students (including in relation to contact details, information about enrolled units and tuition fees) in accordance with requirements set out in section</w:t>
      </w:r>
      <w:r w:rsidR="008F4632" w:rsidRPr="00F6451E">
        <w:rPr>
          <w:rFonts w:asciiTheme="minorHAnsi" w:hAnsiTheme="minorHAnsi" w:cstheme="minorHAnsi"/>
        </w:rPr>
        <w:t>s</w:t>
      </w:r>
      <w:r w:rsidRPr="00F6451E">
        <w:rPr>
          <w:rFonts w:asciiTheme="minorHAnsi" w:hAnsiTheme="minorHAnsi" w:cstheme="minorHAnsi"/>
        </w:rPr>
        <w:t xml:space="preserve"> 11 and 12 of the Guidelines.</w:t>
      </w:r>
    </w:p>
    <w:p w14:paraId="61CEFBB4" w14:textId="5880B8C0" w:rsidR="00B558C2" w:rsidRPr="00F6451E" w:rsidRDefault="00582E5C" w:rsidP="00100D0B">
      <w:pPr>
        <w:rPr>
          <w:rFonts w:asciiTheme="minorHAnsi" w:hAnsiTheme="minorHAnsi" w:cstheme="minorHAnsi"/>
        </w:rPr>
      </w:pPr>
      <w:r w:rsidRPr="00F6451E">
        <w:rPr>
          <w:rFonts w:asciiTheme="minorHAnsi" w:hAnsiTheme="minorHAnsi" w:cstheme="minorHAnsi"/>
        </w:rPr>
        <w:t>This information will be collected by the Secretary and provided to the Director for the purposes of assisting students when a provider defaults. The Secretary’s collection, use and disclosure of personal information from providers about domestic up-front fee paying students under this requirement is reasonable, proportionate and necessary to support the effective administrati</w:t>
      </w:r>
      <w:r w:rsidR="004435E7" w:rsidRPr="00F6451E">
        <w:rPr>
          <w:rFonts w:asciiTheme="minorHAnsi" w:hAnsiTheme="minorHAnsi" w:cstheme="minorHAnsi"/>
        </w:rPr>
        <w:t>on</w:t>
      </w:r>
      <w:r w:rsidRPr="00F6451E">
        <w:rPr>
          <w:rFonts w:asciiTheme="minorHAnsi" w:hAnsiTheme="minorHAnsi" w:cstheme="minorHAnsi"/>
        </w:rPr>
        <w:t xml:space="preserve"> of tuition protection to quickly and effectively assist students when a provider defaults. The Secretary and Director are also required to comply with the relevant APPs regarding the collection, use and disclosure of this personal information</w:t>
      </w:r>
      <w:r w:rsidR="008F4632" w:rsidRPr="00F6451E">
        <w:rPr>
          <w:rFonts w:asciiTheme="minorHAnsi" w:hAnsiTheme="minorHAnsi" w:cstheme="minorHAnsi"/>
        </w:rPr>
        <w:t xml:space="preserve"> under the Privacy Act</w:t>
      </w:r>
      <w:r w:rsidRPr="00F6451E">
        <w:rPr>
          <w:rFonts w:asciiTheme="minorHAnsi" w:hAnsiTheme="minorHAnsi" w:cstheme="minorHAnsi"/>
        </w:rPr>
        <w:t>.</w:t>
      </w:r>
    </w:p>
    <w:p w14:paraId="00CD629F" w14:textId="30224D81" w:rsidR="00833589" w:rsidRPr="00F6451E" w:rsidRDefault="00833589" w:rsidP="00100D0B">
      <w:pPr>
        <w:rPr>
          <w:rFonts w:asciiTheme="minorHAnsi" w:hAnsiTheme="minorHAnsi" w:cstheme="minorHAnsi"/>
        </w:rPr>
      </w:pPr>
      <w:r w:rsidRPr="00F6451E">
        <w:rPr>
          <w:rFonts w:asciiTheme="minorHAnsi" w:hAnsiTheme="minorHAnsi" w:cstheme="minorHAnsi"/>
        </w:rPr>
        <w:t xml:space="preserve">In addition, </w:t>
      </w:r>
      <w:r w:rsidR="004F1517" w:rsidRPr="00F6451E">
        <w:rPr>
          <w:rFonts w:asciiTheme="minorHAnsi" w:hAnsiTheme="minorHAnsi" w:cstheme="minorHAnsi"/>
        </w:rPr>
        <w:t>a</w:t>
      </w:r>
      <w:r w:rsidRPr="00F6451E">
        <w:rPr>
          <w:rFonts w:asciiTheme="minorHAnsi" w:hAnsiTheme="minorHAnsi" w:cstheme="minorHAnsi"/>
        </w:rPr>
        <w:t>ccess to quality higher education student data on an ongoing basis is reasonable, necessary and proportionate to achieve the policy objective, which is to protect higher education students when their provider defaults through the TPS, in order for the students to continue their higher education studies.</w:t>
      </w:r>
    </w:p>
    <w:p w14:paraId="78BFC381" w14:textId="7C9C64AE" w:rsidR="00833589" w:rsidRPr="00F6451E" w:rsidRDefault="00833589" w:rsidP="00100D0B">
      <w:pPr>
        <w:rPr>
          <w:rFonts w:asciiTheme="minorHAnsi" w:hAnsiTheme="minorHAnsi" w:cstheme="minorHAnsi"/>
        </w:rPr>
      </w:pPr>
      <w:r w:rsidRPr="00F6451E">
        <w:rPr>
          <w:rFonts w:asciiTheme="minorHAnsi" w:hAnsiTheme="minorHAnsi" w:cstheme="minorHAnsi"/>
        </w:rPr>
        <w:t>The Department has also undertaken a Privacy Impact Assessment to inform the drafting of the Guidelines</w:t>
      </w:r>
      <w:r w:rsidR="008F4632" w:rsidRPr="00F6451E">
        <w:rPr>
          <w:rFonts w:asciiTheme="minorHAnsi" w:hAnsiTheme="minorHAnsi" w:cstheme="minorHAnsi"/>
        </w:rPr>
        <w:t>.</w:t>
      </w:r>
      <w:r w:rsidRPr="00F6451E">
        <w:rPr>
          <w:rFonts w:asciiTheme="minorHAnsi" w:hAnsiTheme="minorHAnsi" w:cstheme="minorHAnsi"/>
        </w:rPr>
        <w:t xml:space="preserve"> </w:t>
      </w:r>
    </w:p>
    <w:p w14:paraId="6A0A4062" w14:textId="779197F3" w:rsidR="004F1517" w:rsidRPr="00F6451E" w:rsidRDefault="004F1517" w:rsidP="00100D0B">
      <w:pPr>
        <w:rPr>
          <w:rFonts w:asciiTheme="minorHAnsi" w:hAnsiTheme="minorHAnsi" w:cstheme="minorHAnsi"/>
        </w:rPr>
      </w:pPr>
      <w:r w:rsidRPr="00F6451E">
        <w:rPr>
          <w:rFonts w:asciiTheme="minorHAnsi" w:hAnsiTheme="minorHAnsi" w:cstheme="minorHAnsi"/>
        </w:rPr>
        <w:t>Section 1</w:t>
      </w:r>
      <w:r w:rsidR="00247DD7" w:rsidRPr="00F6451E">
        <w:rPr>
          <w:rFonts w:asciiTheme="minorHAnsi" w:hAnsiTheme="minorHAnsi" w:cstheme="minorHAnsi"/>
        </w:rPr>
        <w:t>8</w:t>
      </w:r>
      <w:r w:rsidRPr="00F6451E">
        <w:rPr>
          <w:rFonts w:asciiTheme="minorHAnsi" w:hAnsiTheme="minorHAnsi" w:cstheme="minorHAnsi"/>
        </w:rPr>
        <w:t xml:space="preserve"> of the Guidelines also </w:t>
      </w:r>
      <w:r w:rsidR="00983BBA" w:rsidRPr="00F6451E">
        <w:rPr>
          <w:rFonts w:asciiTheme="minorHAnsi" w:hAnsiTheme="minorHAnsi" w:cstheme="minorHAnsi"/>
        </w:rPr>
        <w:t xml:space="preserve">indirectly </w:t>
      </w:r>
      <w:r w:rsidRPr="00F6451E">
        <w:rPr>
          <w:rFonts w:asciiTheme="minorHAnsi" w:hAnsiTheme="minorHAnsi" w:cstheme="minorHAnsi"/>
        </w:rPr>
        <w:t>promote</w:t>
      </w:r>
      <w:r w:rsidR="00983BBA" w:rsidRPr="00F6451E">
        <w:rPr>
          <w:rFonts w:asciiTheme="minorHAnsi" w:hAnsiTheme="minorHAnsi" w:cstheme="minorHAnsi"/>
        </w:rPr>
        <w:t>s</w:t>
      </w:r>
      <w:r w:rsidRPr="00F6451E">
        <w:rPr>
          <w:rFonts w:asciiTheme="minorHAnsi" w:hAnsiTheme="minorHAnsi" w:cstheme="minorHAnsi"/>
        </w:rPr>
        <w:t xml:space="preserve"> the right to privacy, by ensuring students are aware of how their personal information will be used by providers for the purposes of tuition protection, including the intended disclosures</w:t>
      </w:r>
      <w:r w:rsidR="00983BBA" w:rsidRPr="00F6451E">
        <w:rPr>
          <w:rFonts w:asciiTheme="minorHAnsi" w:hAnsiTheme="minorHAnsi" w:cstheme="minorHAnsi"/>
        </w:rPr>
        <w:t xml:space="preserve"> of their personal information</w:t>
      </w:r>
      <w:r w:rsidRPr="00F6451E">
        <w:rPr>
          <w:rFonts w:asciiTheme="minorHAnsi" w:hAnsiTheme="minorHAnsi" w:cstheme="minorHAnsi"/>
        </w:rPr>
        <w:t xml:space="preserve">, and is </w:t>
      </w:r>
      <w:r w:rsidR="008F4632" w:rsidRPr="00F6451E">
        <w:rPr>
          <w:rFonts w:asciiTheme="minorHAnsi" w:hAnsiTheme="minorHAnsi" w:cstheme="minorHAnsi"/>
        </w:rPr>
        <w:t>consistent</w:t>
      </w:r>
      <w:r w:rsidRPr="00F6451E">
        <w:rPr>
          <w:rFonts w:asciiTheme="minorHAnsi" w:hAnsiTheme="minorHAnsi" w:cstheme="minorHAnsi"/>
        </w:rPr>
        <w:t xml:space="preserve"> with </w:t>
      </w:r>
      <w:r w:rsidR="00136E35" w:rsidRPr="00F6451E">
        <w:rPr>
          <w:rFonts w:asciiTheme="minorHAnsi" w:hAnsiTheme="minorHAnsi" w:cstheme="minorHAnsi"/>
        </w:rPr>
        <w:t xml:space="preserve">the </w:t>
      </w:r>
      <w:r w:rsidR="008F4632" w:rsidRPr="00F6451E">
        <w:rPr>
          <w:rFonts w:asciiTheme="minorHAnsi" w:hAnsiTheme="minorHAnsi" w:cstheme="minorHAnsi"/>
        </w:rPr>
        <w:t>APPs</w:t>
      </w:r>
      <w:r w:rsidRPr="00F6451E">
        <w:rPr>
          <w:rFonts w:asciiTheme="minorHAnsi" w:hAnsiTheme="minorHAnsi" w:cstheme="minorHAnsi"/>
        </w:rPr>
        <w:t xml:space="preserve"> for collection, use and disclosure of </w:t>
      </w:r>
      <w:r w:rsidR="008F4632" w:rsidRPr="00F6451E">
        <w:rPr>
          <w:rFonts w:asciiTheme="minorHAnsi" w:hAnsiTheme="minorHAnsi" w:cstheme="minorHAnsi"/>
        </w:rPr>
        <w:t>personal</w:t>
      </w:r>
      <w:r w:rsidRPr="00F6451E">
        <w:rPr>
          <w:rFonts w:asciiTheme="minorHAnsi" w:hAnsiTheme="minorHAnsi" w:cstheme="minorHAnsi"/>
        </w:rPr>
        <w:t xml:space="preserve"> information.</w:t>
      </w:r>
    </w:p>
    <w:p w14:paraId="5CD71AE1" w14:textId="277F355F" w:rsidR="008F4632" w:rsidRPr="00F6451E" w:rsidRDefault="00E00D67" w:rsidP="00100D0B">
      <w:pPr>
        <w:rPr>
          <w:rFonts w:asciiTheme="minorHAnsi" w:hAnsiTheme="minorHAnsi" w:cstheme="minorHAnsi"/>
        </w:rPr>
      </w:pPr>
      <w:r w:rsidRPr="00F6451E">
        <w:rPr>
          <w:rFonts w:asciiTheme="minorHAnsi" w:hAnsiTheme="minorHAnsi" w:cstheme="minorHAnsi"/>
        </w:rPr>
        <w:t>Overall, t</w:t>
      </w:r>
      <w:r w:rsidR="00833589" w:rsidRPr="00F6451E">
        <w:rPr>
          <w:rFonts w:asciiTheme="minorHAnsi" w:hAnsiTheme="minorHAnsi" w:cstheme="minorHAnsi"/>
        </w:rPr>
        <w:t xml:space="preserve">he Guidelines is compatible with and promotes the right to privacy by ensuring that appropriate safeguards and limitations apply to persons who use and disclose personal information </w:t>
      </w:r>
      <w:r w:rsidR="004F1517" w:rsidRPr="00F6451E">
        <w:rPr>
          <w:rFonts w:asciiTheme="minorHAnsi" w:hAnsiTheme="minorHAnsi" w:cstheme="minorHAnsi"/>
        </w:rPr>
        <w:t>specified in the Guidelines</w:t>
      </w:r>
      <w:r w:rsidR="008F4632" w:rsidRPr="00F6451E">
        <w:rPr>
          <w:rFonts w:asciiTheme="minorHAnsi" w:hAnsiTheme="minorHAnsi" w:cstheme="minorHAnsi"/>
        </w:rPr>
        <w:t>.</w:t>
      </w:r>
    </w:p>
    <w:p w14:paraId="5A97D8E6" w14:textId="79FBFD14" w:rsidR="004F1517" w:rsidRPr="00F6451E" w:rsidRDefault="008F4632" w:rsidP="00100D0B">
      <w:pPr>
        <w:rPr>
          <w:rFonts w:asciiTheme="minorHAnsi" w:hAnsiTheme="minorHAnsi" w:cstheme="minorHAnsi"/>
        </w:rPr>
      </w:pPr>
      <w:r w:rsidRPr="00F6451E">
        <w:rPr>
          <w:rFonts w:asciiTheme="minorHAnsi" w:hAnsiTheme="minorHAnsi" w:cstheme="minorHAnsi"/>
        </w:rPr>
        <w:t xml:space="preserve">The Guidelines do not otherwise engage any human rights noting that the Guidelines impose obligations on providers, but do not impose obligations on, or otherwise affect the rights of, individuals (subject to the discussion above). </w:t>
      </w:r>
    </w:p>
    <w:p w14:paraId="1A277189" w14:textId="77777777" w:rsidR="008F4632" w:rsidRPr="00F6451E" w:rsidRDefault="008F4632" w:rsidP="008F4632">
      <w:pPr>
        <w:spacing w:after="0"/>
        <w:rPr>
          <w:rFonts w:asciiTheme="minorHAnsi" w:hAnsiTheme="minorHAnsi" w:cstheme="minorHAnsi"/>
        </w:rPr>
      </w:pPr>
      <w:r w:rsidRPr="00F6451E">
        <w:rPr>
          <w:rFonts w:asciiTheme="minorHAnsi" w:hAnsiTheme="minorHAnsi" w:cstheme="minorHAnsi"/>
        </w:rPr>
        <w:t xml:space="preserve">A detailed explanation of the human rights engaged by the enabling legislation is set out in the </w:t>
      </w:r>
      <w:r w:rsidRPr="00F6451E">
        <w:rPr>
          <w:rFonts w:asciiTheme="minorHAnsi" w:hAnsiTheme="minorHAnsi" w:cstheme="minorHAnsi"/>
          <w:i/>
        </w:rPr>
        <w:t>Statement of Compatibility with Humans Rights</w:t>
      </w:r>
      <w:r w:rsidRPr="00F6451E">
        <w:rPr>
          <w:rFonts w:asciiTheme="minorHAnsi" w:hAnsiTheme="minorHAnsi" w:cstheme="minorHAnsi"/>
        </w:rPr>
        <w:t xml:space="preserve"> for the Education Legislation Amendment (Up-front Payments Tuition Protection) Bill 2020 and appended to the Explanatory Memorandum for that Bill. The Explanatory Memorandum can be found at:</w:t>
      </w:r>
    </w:p>
    <w:p w14:paraId="0E348B27" w14:textId="77777777" w:rsidR="008F4632" w:rsidRPr="00F6451E" w:rsidRDefault="008F4632" w:rsidP="008F4632">
      <w:pPr>
        <w:spacing w:after="0"/>
        <w:rPr>
          <w:rFonts w:asciiTheme="minorHAnsi" w:hAnsiTheme="minorHAnsi" w:cstheme="minorHAnsi"/>
        </w:rPr>
      </w:pPr>
    </w:p>
    <w:p w14:paraId="763B4B50" w14:textId="51044CEB" w:rsidR="008F4632" w:rsidRPr="00F6451E" w:rsidRDefault="00F6451E" w:rsidP="008F4632">
      <w:pPr>
        <w:spacing w:after="0"/>
        <w:rPr>
          <w:rFonts w:asciiTheme="minorHAnsi" w:hAnsiTheme="minorHAnsi" w:cstheme="minorHAnsi"/>
        </w:rPr>
      </w:pPr>
      <w:hyperlink r:id="rId13" w:history="1">
        <w:r w:rsidR="008F4632" w:rsidRPr="00F6451E">
          <w:rPr>
            <w:rStyle w:val="Hyperlink"/>
            <w:rFonts w:asciiTheme="minorHAnsi" w:hAnsiTheme="minorHAnsi" w:cstheme="minorHAnsi"/>
          </w:rPr>
          <w:t>https://www.aph.gov.au/Parliamentary_Business/Bills_Legislation/Bills_Search_Results/Result?bId=r6576</w:t>
        </w:r>
      </w:hyperlink>
    </w:p>
    <w:p w14:paraId="3F992CBE" w14:textId="77777777" w:rsidR="00E67973" w:rsidRPr="00F6451E" w:rsidRDefault="00E67973" w:rsidP="00E67973">
      <w:pPr>
        <w:pStyle w:val="Heading2"/>
        <w:rPr>
          <w:rFonts w:asciiTheme="minorHAnsi" w:hAnsiTheme="minorHAnsi" w:cstheme="minorHAnsi"/>
        </w:rPr>
      </w:pPr>
      <w:r w:rsidRPr="00F6451E">
        <w:rPr>
          <w:rFonts w:asciiTheme="minorHAnsi" w:hAnsiTheme="minorHAnsi" w:cstheme="minorHAnsi"/>
        </w:rPr>
        <w:lastRenderedPageBreak/>
        <w:t>Conclusion</w:t>
      </w:r>
    </w:p>
    <w:p w14:paraId="267D1823" w14:textId="4773EB3B" w:rsidR="001B51AB" w:rsidRPr="00F6451E" w:rsidRDefault="00257073">
      <w:pPr>
        <w:rPr>
          <w:rFonts w:asciiTheme="minorHAnsi" w:hAnsiTheme="minorHAnsi" w:cstheme="minorHAnsi"/>
        </w:rPr>
      </w:pPr>
      <w:r w:rsidRPr="00F6451E">
        <w:rPr>
          <w:rFonts w:asciiTheme="minorHAnsi" w:hAnsiTheme="minorHAnsi" w:cstheme="minorHAnsi"/>
        </w:rPr>
        <w:t>T</w:t>
      </w:r>
      <w:r w:rsidR="006C0854" w:rsidRPr="00F6451E">
        <w:rPr>
          <w:rFonts w:asciiTheme="minorHAnsi" w:hAnsiTheme="minorHAnsi" w:cstheme="minorHAnsi"/>
        </w:rPr>
        <w:t xml:space="preserve">he </w:t>
      </w:r>
      <w:r w:rsidR="009B2A61" w:rsidRPr="00F6451E">
        <w:rPr>
          <w:rFonts w:asciiTheme="minorHAnsi" w:hAnsiTheme="minorHAnsi" w:cstheme="minorHAnsi"/>
        </w:rPr>
        <w:t>Guidelines</w:t>
      </w:r>
      <w:r w:rsidR="0059751B" w:rsidRPr="00F6451E">
        <w:rPr>
          <w:rFonts w:asciiTheme="minorHAnsi" w:hAnsiTheme="minorHAnsi" w:cstheme="minorHAnsi"/>
        </w:rPr>
        <w:t xml:space="preserve"> </w:t>
      </w:r>
      <w:r w:rsidR="00824173" w:rsidRPr="00F6451E">
        <w:rPr>
          <w:rFonts w:asciiTheme="minorHAnsi" w:hAnsiTheme="minorHAnsi" w:cstheme="minorHAnsi"/>
        </w:rPr>
        <w:t>are</w:t>
      </w:r>
      <w:r w:rsidR="0059751B" w:rsidRPr="00F6451E">
        <w:rPr>
          <w:rFonts w:asciiTheme="minorHAnsi" w:hAnsiTheme="minorHAnsi" w:cstheme="minorHAnsi"/>
        </w:rPr>
        <w:t xml:space="preserve"> </w:t>
      </w:r>
      <w:r w:rsidR="00E67973" w:rsidRPr="00F6451E">
        <w:rPr>
          <w:rFonts w:asciiTheme="minorHAnsi" w:hAnsiTheme="minorHAnsi" w:cstheme="minorHAnsi"/>
        </w:rPr>
        <w:t>compatible with human rights</w:t>
      </w:r>
      <w:r w:rsidR="00824173" w:rsidRPr="00F6451E">
        <w:rPr>
          <w:rFonts w:asciiTheme="minorHAnsi" w:hAnsiTheme="minorHAnsi" w:cstheme="minorHAnsi"/>
        </w:rPr>
        <w:t xml:space="preserve"> because </w:t>
      </w:r>
      <w:r w:rsidRPr="00F6451E">
        <w:rPr>
          <w:rFonts w:asciiTheme="minorHAnsi" w:hAnsiTheme="minorHAnsi" w:cstheme="minorHAnsi"/>
        </w:rPr>
        <w:t xml:space="preserve">it promotes the protection of human rights. </w:t>
      </w:r>
      <w:r w:rsidR="00824173" w:rsidRPr="00F6451E">
        <w:rPr>
          <w:rFonts w:asciiTheme="minorHAnsi" w:hAnsiTheme="minorHAnsi" w:cstheme="minorHAnsi"/>
        </w:rPr>
        <w:t xml:space="preserve"> </w:t>
      </w:r>
    </w:p>
    <w:p w14:paraId="5E0598D8" w14:textId="77777777" w:rsidR="00824173" w:rsidRPr="00F6451E" w:rsidRDefault="00824173">
      <w:pPr>
        <w:rPr>
          <w:rFonts w:asciiTheme="minorHAnsi" w:hAnsiTheme="minorHAnsi" w:cstheme="minorHAnsi"/>
        </w:rPr>
      </w:pPr>
    </w:p>
    <w:p w14:paraId="520C02E4" w14:textId="12858C9D" w:rsidR="00E67973" w:rsidRPr="00F6451E" w:rsidRDefault="00824173" w:rsidP="00FA0BF0">
      <w:pPr>
        <w:spacing w:after="0"/>
        <w:jc w:val="center"/>
        <w:rPr>
          <w:rFonts w:asciiTheme="minorHAnsi" w:hAnsiTheme="minorHAnsi" w:cstheme="minorHAnsi"/>
          <w:b/>
          <w:bCs/>
        </w:rPr>
      </w:pPr>
      <w:r w:rsidRPr="00F6451E">
        <w:rPr>
          <w:rFonts w:asciiTheme="minorHAnsi" w:hAnsiTheme="minorHAnsi" w:cstheme="minorHAnsi"/>
          <w:b/>
          <w:bCs/>
        </w:rPr>
        <w:t>Minister for Education</w:t>
      </w:r>
    </w:p>
    <w:p w14:paraId="2870299F" w14:textId="59228B3B" w:rsidR="00824173" w:rsidRPr="00FA0BF0" w:rsidRDefault="00824173" w:rsidP="00FA0BF0">
      <w:pPr>
        <w:spacing w:after="0"/>
        <w:jc w:val="center"/>
        <w:rPr>
          <w:rFonts w:asciiTheme="minorHAnsi" w:hAnsiTheme="minorHAnsi" w:cstheme="minorHAnsi"/>
          <w:b/>
          <w:bCs/>
        </w:rPr>
      </w:pPr>
      <w:r w:rsidRPr="00F6451E">
        <w:rPr>
          <w:rFonts w:asciiTheme="minorHAnsi" w:hAnsiTheme="minorHAnsi" w:cstheme="minorHAnsi"/>
          <w:b/>
          <w:bCs/>
        </w:rPr>
        <w:t>The Hon Dan Tehan MP</w:t>
      </w:r>
    </w:p>
    <w:sectPr w:rsidR="00824173" w:rsidRPr="00FA0BF0" w:rsidSect="005A020A">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A8593" w14:textId="77777777" w:rsidR="001B51AB" w:rsidRDefault="001B51AB">
      <w:pPr>
        <w:spacing w:after="0"/>
      </w:pPr>
      <w:r>
        <w:separator/>
      </w:r>
    </w:p>
  </w:endnote>
  <w:endnote w:type="continuationSeparator" w:id="0">
    <w:p w14:paraId="06DE980C" w14:textId="77777777" w:rsidR="001B51AB" w:rsidRDefault="001B51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647186"/>
      <w:docPartObj>
        <w:docPartGallery w:val="Page Numbers (Bottom of Page)"/>
        <w:docPartUnique/>
      </w:docPartObj>
    </w:sdtPr>
    <w:sdtEndPr>
      <w:rPr>
        <w:noProof/>
      </w:rPr>
    </w:sdtEndPr>
    <w:sdtContent>
      <w:p w14:paraId="353CE908" w14:textId="2D131528" w:rsidR="00824173" w:rsidRDefault="00824173">
        <w:pPr>
          <w:pStyle w:val="Footer"/>
          <w:jc w:val="center"/>
        </w:pPr>
        <w:r>
          <w:fldChar w:fldCharType="begin"/>
        </w:r>
        <w:r>
          <w:instrText xml:space="preserve"> PAGE   \* MERGEFORMAT </w:instrText>
        </w:r>
        <w:r>
          <w:fldChar w:fldCharType="separate"/>
        </w:r>
        <w:r w:rsidR="005F7F84">
          <w:rPr>
            <w:noProof/>
          </w:rPr>
          <w:t>2</w:t>
        </w:r>
        <w:r>
          <w:rPr>
            <w:noProof/>
          </w:rPr>
          <w:fldChar w:fldCharType="end"/>
        </w:r>
      </w:p>
    </w:sdtContent>
  </w:sdt>
  <w:p w14:paraId="7CC4A8D3" w14:textId="77777777" w:rsidR="00824173" w:rsidRDefault="0082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ABC3B" w14:textId="77777777" w:rsidR="001B51AB" w:rsidRDefault="001B51AB">
      <w:pPr>
        <w:spacing w:after="0"/>
      </w:pPr>
      <w:r>
        <w:separator/>
      </w:r>
    </w:p>
  </w:footnote>
  <w:footnote w:type="continuationSeparator" w:id="0">
    <w:p w14:paraId="35FE67FF" w14:textId="77777777" w:rsidR="001B51AB" w:rsidRDefault="001B51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175F"/>
    <w:multiLevelType w:val="hybridMultilevel"/>
    <w:tmpl w:val="7EEA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B7EBF"/>
    <w:multiLevelType w:val="hybridMultilevel"/>
    <w:tmpl w:val="6930C522"/>
    <w:lvl w:ilvl="0" w:tplc="5532C018">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7E08DD"/>
    <w:multiLevelType w:val="hybridMultilevel"/>
    <w:tmpl w:val="72EC6230"/>
    <w:lvl w:ilvl="0" w:tplc="61A8C00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0962BD"/>
    <w:multiLevelType w:val="hybridMultilevel"/>
    <w:tmpl w:val="CF42D6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E07C16"/>
    <w:multiLevelType w:val="hybridMultilevel"/>
    <w:tmpl w:val="91060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0F4B81"/>
    <w:multiLevelType w:val="hybridMultilevel"/>
    <w:tmpl w:val="95B02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A0013E"/>
    <w:multiLevelType w:val="hybridMultilevel"/>
    <w:tmpl w:val="96EA181E"/>
    <w:lvl w:ilvl="0" w:tplc="5532C018">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F21258"/>
    <w:multiLevelType w:val="hybridMultilevel"/>
    <w:tmpl w:val="972A9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F70548"/>
    <w:multiLevelType w:val="hybridMultilevel"/>
    <w:tmpl w:val="863C22A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9" w15:restartNumberingAfterBreak="0">
    <w:nsid w:val="3E712FA2"/>
    <w:multiLevelType w:val="hybridMultilevel"/>
    <w:tmpl w:val="2110AA34"/>
    <w:lvl w:ilvl="0" w:tplc="5532C018">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AF6E6B"/>
    <w:multiLevelType w:val="hybridMultilevel"/>
    <w:tmpl w:val="BAB427F8"/>
    <w:lvl w:ilvl="0" w:tplc="5532C018">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8A332B"/>
    <w:multiLevelType w:val="hybridMultilevel"/>
    <w:tmpl w:val="1BA6F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AE418D"/>
    <w:multiLevelType w:val="hybridMultilevel"/>
    <w:tmpl w:val="E2543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104FCE"/>
    <w:multiLevelType w:val="hybridMultilevel"/>
    <w:tmpl w:val="37702910"/>
    <w:lvl w:ilvl="0" w:tplc="1BB8D23C">
      <w:start w:val="1"/>
      <w:numFmt w:val="decimal"/>
      <w:lvlText w:val="%1."/>
      <w:lvlJc w:val="left"/>
      <w:pPr>
        <w:ind w:left="-207" w:hanging="360"/>
      </w:pPr>
      <w:rPr>
        <w:rFonts w:hint="default"/>
        <w:b w:val="0"/>
      </w:rPr>
    </w:lvl>
    <w:lvl w:ilvl="1" w:tplc="DCCE49F4">
      <w:start w:val="1"/>
      <w:numFmt w:val="lowerLetter"/>
      <w:lvlText w:val="%2."/>
      <w:lvlJc w:val="left"/>
      <w:pPr>
        <w:ind w:left="513" w:hanging="360"/>
      </w:pPr>
    </w:lvl>
    <w:lvl w:ilvl="2" w:tplc="8B5A7732" w:tentative="1">
      <w:start w:val="1"/>
      <w:numFmt w:val="lowerRoman"/>
      <w:lvlText w:val="%3."/>
      <w:lvlJc w:val="right"/>
      <w:pPr>
        <w:ind w:left="1233" w:hanging="180"/>
      </w:pPr>
    </w:lvl>
    <w:lvl w:ilvl="3" w:tplc="3BD0F6FA" w:tentative="1">
      <w:start w:val="1"/>
      <w:numFmt w:val="decimal"/>
      <w:lvlText w:val="%4."/>
      <w:lvlJc w:val="left"/>
      <w:pPr>
        <w:ind w:left="1953" w:hanging="360"/>
      </w:pPr>
    </w:lvl>
    <w:lvl w:ilvl="4" w:tplc="66E49FDC" w:tentative="1">
      <w:start w:val="1"/>
      <w:numFmt w:val="lowerLetter"/>
      <w:lvlText w:val="%5."/>
      <w:lvlJc w:val="left"/>
      <w:pPr>
        <w:ind w:left="2673" w:hanging="360"/>
      </w:pPr>
    </w:lvl>
    <w:lvl w:ilvl="5" w:tplc="6B6C8D44" w:tentative="1">
      <w:start w:val="1"/>
      <w:numFmt w:val="lowerRoman"/>
      <w:lvlText w:val="%6."/>
      <w:lvlJc w:val="right"/>
      <w:pPr>
        <w:ind w:left="3393" w:hanging="180"/>
      </w:pPr>
    </w:lvl>
    <w:lvl w:ilvl="6" w:tplc="0D667040" w:tentative="1">
      <w:start w:val="1"/>
      <w:numFmt w:val="decimal"/>
      <w:lvlText w:val="%7."/>
      <w:lvlJc w:val="left"/>
      <w:pPr>
        <w:ind w:left="4113" w:hanging="360"/>
      </w:pPr>
    </w:lvl>
    <w:lvl w:ilvl="7" w:tplc="A0ECE6F2" w:tentative="1">
      <w:start w:val="1"/>
      <w:numFmt w:val="lowerLetter"/>
      <w:lvlText w:val="%8."/>
      <w:lvlJc w:val="left"/>
      <w:pPr>
        <w:ind w:left="4833" w:hanging="360"/>
      </w:pPr>
    </w:lvl>
    <w:lvl w:ilvl="8" w:tplc="5ED0AA1A" w:tentative="1">
      <w:start w:val="1"/>
      <w:numFmt w:val="lowerRoman"/>
      <w:lvlText w:val="%9."/>
      <w:lvlJc w:val="right"/>
      <w:pPr>
        <w:ind w:left="5553" w:hanging="180"/>
      </w:pPr>
    </w:lvl>
  </w:abstractNum>
  <w:abstractNum w:abstractNumId="14" w15:restartNumberingAfterBreak="0">
    <w:nsid w:val="5F2017A2"/>
    <w:multiLevelType w:val="hybridMultilevel"/>
    <w:tmpl w:val="A9B62A1E"/>
    <w:lvl w:ilvl="0" w:tplc="5532C018">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5C4B8D"/>
    <w:multiLevelType w:val="hybridMultilevel"/>
    <w:tmpl w:val="49C6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A22DE6"/>
    <w:multiLevelType w:val="hybridMultilevel"/>
    <w:tmpl w:val="2DB2842E"/>
    <w:lvl w:ilvl="0" w:tplc="5532C018">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0F611E"/>
    <w:multiLevelType w:val="hybridMultilevel"/>
    <w:tmpl w:val="2AB00038"/>
    <w:lvl w:ilvl="0" w:tplc="5532C018">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AE08D9"/>
    <w:multiLevelType w:val="hybridMultilevel"/>
    <w:tmpl w:val="25FCB384"/>
    <w:lvl w:ilvl="0" w:tplc="5532C018">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7"/>
  </w:num>
  <w:num w:numId="5">
    <w:abstractNumId w:val="4"/>
  </w:num>
  <w:num w:numId="6">
    <w:abstractNumId w:val="5"/>
  </w:num>
  <w:num w:numId="7">
    <w:abstractNumId w:val="0"/>
  </w:num>
  <w:num w:numId="8">
    <w:abstractNumId w:val="15"/>
  </w:num>
  <w:num w:numId="9">
    <w:abstractNumId w:val="11"/>
  </w:num>
  <w:num w:numId="10">
    <w:abstractNumId w:val="2"/>
  </w:num>
  <w:num w:numId="11">
    <w:abstractNumId w:val="12"/>
  </w:num>
  <w:num w:numId="12">
    <w:abstractNumId w:val="1"/>
  </w:num>
  <w:num w:numId="13">
    <w:abstractNumId w:val="17"/>
  </w:num>
  <w:num w:numId="14">
    <w:abstractNumId w:val="16"/>
  </w:num>
  <w:num w:numId="15">
    <w:abstractNumId w:val="10"/>
  </w:num>
  <w:num w:numId="16">
    <w:abstractNumId w:val="18"/>
  </w:num>
  <w:num w:numId="17">
    <w:abstractNumId w:val="9"/>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01"/>
    <w:rsid w:val="00001A5A"/>
    <w:rsid w:val="00012B80"/>
    <w:rsid w:val="00013411"/>
    <w:rsid w:val="000172DD"/>
    <w:rsid w:val="00024B6F"/>
    <w:rsid w:val="00024D9A"/>
    <w:rsid w:val="00040CBC"/>
    <w:rsid w:val="00041782"/>
    <w:rsid w:val="00042AFF"/>
    <w:rsid w:val="00044BFB"/>
    <w:rsid w:val="00067795"/>
    <w:rsid w:val="000711B9"/>
    <w:rsid w:val="00074DC9"/>
    <w:rsid w:val="00076A9B"/>
    <w:rsid w:val="000945BE"/>
    <w:rsid w:val="00097545"/>
    <w:rsid w:val="0009782F"/>
    <w:rsid w:val="000A0672"/>
    <w:rsid w:val="000A2517"/>
    <w:rsid w:val="000A5F72"/>
    <w:rsid w:val="000A6962"/>
    <w:rsid w:val="000B08F4"/>
    <w:rsid w:val="000B0B20"/>
    <w:rsid w:val="000B36F5"/>
    <w:rsid w:val="000B72B1"/>
    <w:rsid w:val="000C68D7"/>
    <w:rsid w:val="000C69B2"/>
    <w:rsid w:val="000C6A6F"/>
    <w:rsid w:val="000D7F8B"/>
    <w:rsid w:val="000E447D"/>
    <w:rsid w:val="000F0256"/>
    <w:rsid w:val="000F31C1"/>
    <w:rsid w:val="00100D0B"/>
    <w:rsid w:val="00102A96"/>
    <w:rsid w:val="0010502F"/>
    <w:rsid w:val="00105097"/>
    <w:rsid w:val="00110B3A"/>
    <w:rsid w:val="0011276D"/>
    <w:rsid w:val="00114B3B"/>
    <w:rsid w:val="0012332D"/>
    <w:rsid w:val="001330F3"/>
    <w:rsid w:val="00133699"/>
    <w:rsid w:val="00136E35"/>
    <w:rsid w:val="001442E0"/>
    <w:rsid w:val="001519A0"/>
    <w:rsid w:val="00151DF0"/>
    <w:rsid w:val="00156A6B"/>
    <w:rsid w:val="00162BC6"/>
    <w:rsid w:val="00166359"/>
    <w:rsid w:val="00173C77"/>
    <w:rsid w:val="00174F39"/>
    <w:rsid w:val="00177B96"/>
    <w:rsid w:val="001868A2"/>
    <w:rsid w:val="00186B85"/>
    <w:rsid w:val="00192D75"/>
    <w:rsid w:val="0019511A"/>
    <w:rsid w:val="001A7ADF"/>
    <w:rsid w:val="001B260F"/>
    <w:rsid w:val="001B2A71"/>
    <w:rsid w:val="001B51AB"/>
    <w:rsid w:val="001B7B7E"/>
    <w:rsid w:val="001C2FE2"/>
    <w:rsid w:val="001C6DEA"/>
    <w:rsid w:val="001C7184"/>
    <w:rsid w:val="001C7D87"/>
    <w:rsid w:val="001D15A7"/>
    <w:rsid w:val="001D6301"/>
    <w:rsid w:val="001D7729"/>
    <w:rsid w:val="001E158B"/>
    <w:rsid w:val="001E2DF2"/>
    <w:rsid w:val="001E6627"/>
    <w:rsid w:val="001F0DE1"/>
    <w:rsid w:val="001F32E9"/>
    <w:rsid w:val="002008DC"/>
    <w:rsid w:val="0020323E"/>
    <w:rsid w:val="00205EB8"/>
    <w:rsid w:val="00206BFD"/>
    <w:rsid w:val="002236A4"/>
    <w:rsid w:val="00231704"/>
    <w:rsid w:val="0023406A"/>
    <w:rsid w:val="002376F6"/>
    <w:rsid w:val="00246E02"/>
    <w:rsid w:val="00247DD7"/>
    <w:rsid w:val="00253A8E"/>
    <w:rsid w:val="00257073"/>
    <w:rsid w:val="00264846"/>
    <w:rsid w:val="00274530"/>
    <w:rsid w:val="00274A31"/>
    <w:rsid w:val="002851BC"/>
    <w:rsid w:val="00290A1F"/>
    <w:rsid w:val="002A6812"/>
    <w:rsid w:val="002B0572"/>
    <w:rsid w:val="002B374F"/>
    <w:rsid w:val="002C046D"/>
    <w:rsid w:val="002C351F"/>
    <w:rsid w:val="002D54E5"/>
    <w:rsid w:val="002D72E9"/>
    <w:rsid w:val="002E722D"/>
    <w:rsid w:val="002F2485"/>
    <w:rsid w:val="002F2901"/>
    <w:rsid w:val="002F2960"/>
    <w:rsid w:val="002F5F19"/>
    <w:rsid w:val="003006AC"/>
    <w:rsid w:val="00304A8F"/>
    <w:rsid w:val="00316246"/>
    <w:rsid w:val="00322861"/>
    <w:rsid w:val="003253D2"/>
    <w:rsid w:val="00327D7E"/>
    <w:rsid w:val="00332A7D"/>
    <w:rsid w:val="003405E7"/>
    <w:rsid w:val="00356FDF"/>
    <w:rsid w:val="00365AD1"/>
    <w:rsid w:val="00372B6F"/>
    <w:rsid w:val="0038031E"/>
    <w:rsid w:val="003836BD"/>
    <w:rsid w:val="00394B3F"/>
    <w:rsid w:val="003B4579"/>
    <w:rsid w:val="003B6802"/>
    <w:rsid w:val="003B6FDA"/>
    <w:rsid w:val="003C0921"/>
    <w:rsid w:val="003C25CA"/>
    <w:rsid w:val="003C2C40"/>
    <w:rsid w:val="003C7102"/>
    <w:rsid w:val="003E1B53"/>
    <w:rsid w:val="003E2AFF"/>
    <w:rsid w:val="003E66CB"/>
    <w:rsid w:val="003E69DF"/>
    <w:rsid w:val="003F66F0"/>
    <w:rsid w:val="00400D84"/>
    <w:rsid w:val="00402F04"/>
    <w:rsid w:val="00422510"/>
    <w:rsid w:val="004265E9"/>
    <w:rsid w:val="004435E7"/>
    <w:rsid w:val="004469ED"/>
    <w:rsid w:val="00451B6A"/>
    <w:rsid w:val="004544F5"/>
    <w:rsid w:val="00454829"/>
    <w:rsid w:val="00461080"/>
    <w:rsid w:val="00461167"/>
    <w:rsid w:val="0046308A"/>
    <w:rsid w:val="0046653B"/>
    <w:rsid w:val="0049597A"/>
    <w:rsid w:val="00496F29"/>
    <w:rsid w:val="004A017B"/>
    <w:rsid w:val="004A170D"/>
    <w:rsid w:val="004A3BFF"/>
    <w:rsid w:val="004B11FE"/>
    <w:rsid w:val="004B3C4C"/>
    <w:rsid w:val="004B48AC"/>
    <w:rsid w:val="004C3F19"/>
    <w:rsid w:val="004C4E9A"/>
    <w:rsid w:val="004C694C"/>
    <w:rsid w:val="004D2749"/>
    <w:rsid w:val="004D6FF3"/>
    <w:rsid w:val="004E1D22"/>
    <w:rsid w:val="004F1517"/>
    <w:rsid w:val="004F1576"/>
    <w:rsid w:val="004F4E1D"/>
    <w:rsid w:val="005054BD"/>
    <w:rsid w:val="00506C39"/>
    <w:rsid w:val="00507956"/>
    <w:rsid w:val="0051284A"/>
    <w:rsid w:val="00522351"/>
    <w:rsid w:val="00522961"/>
    <w:rsid w:val="00533F2E"/>
    <w:rsid w:val="005367D1"/>
    <w:rsid w:val="00541A78"/>
    <w:rsid w:val="005445DD"/>
    <w:rsid w:val="00546E48"/>
    <w:rsid w:val="00550379"/>
    <w:rsid w:val="00562E88"/>
    <w:rsid w:val="0056723A"/>
    <w:rsid w:val="00582E5C"/>
    <w:rsid w:val="0058401D"/>
    <w:rsid w:val="00594A2C"/>
    <w:rsid w:val="00595C61"/>
    <w:rsid w:val="0059751B"/>
    <w:rsid w:val="0059797E"/>
    <w:rsid w:val="005A020A"/>
    <w:rsid w:val="005A0588"/>
    <w:rsid w:val="005A3CCD"/>
    <w:rsid w:val="005A7E37"/>
    <w:rsid w:val="005B214C"/>
    <w:rsid w:val="005C2252"/>
    <w:rsid w:val="005C6F4A"/>
    <w:rsid w:val="005D1D50"/>
    <w:rsid w:val="005D418E"/>
    <w:rsid w:val="005E0F1E"/>
    <w:rsid w:val="005E409A"/>
    <w:rsid w:val="005E5CE0"/>
    <w:rsid w:val="005E5E6A"/>
    <w:rsid w:val="005F31E9"/>
    <w:rsid w:val="005F7F84"/>
    <w:rsid w:val="005F7F99"/>
    <w:rsid w:val="006012E9"/>
    <w:rsid w:val="00606B9B"/>
    <w:rsid w:val="00607958"/>
    <w:rsid w:val="00613AE6"/>
    <w:rsid w:val="00623360"/>
    <w:rsid w:val="0062341C"/>
    <w:rsid w:val="0062476D"/>
    <w:rsid w:val="00633295"/>
    <w:rsid w:val="006456CD"/>
    <w:rsid w:val="00652620"/>
    <w:rsid w:val="00654494"/>
    <w:rsid w:val="006702BC"/>
    <w:rsid w:val="00674CD0"/>
    <w:rsid w:val="006850D7"/>
    <w:rsid w:val="00686583"/>
    <w:rsid w:val="006907A6"/>
    <w:rsid w:val="00690DEB"/>
    <w:rsid w:val="00692CD6"/>
    <w:rsid w:val="006A1C95"/>
    <w:rsid w:val="006A2815"/>
    <w:rsid w:val="006B0718"/>
    <w:rsid w:val="006B7482"/>
    <w:rsid w:val="006B770E"/>
    <w:rsid w:val="006C0854"/>
    <w:rsid w:val="006C49AA"/>
    <w:rsid w:val="006C7013"/>
    <w:rsid w:val="006E3681"/>
    <w:rsid w:val="006E5353"/>
    <w:rsid w:val="006E595F"/>
    <w:rsid w:val="006E7CFE"/>
    <w:rsid w:val="006F0971"/>
    <w:rsid w:val="00700970"/>
    <w:rsid w:val="007125A8"/>
    <w:rsid w:val="00714EAF"/>
    <w:rsid w:val="007236F4"/>
    <w:rsid w:val="007258A6"/>
    <w:rsid w:val="00732829"/>
    <w:rsid w:val="007339F2"/>
    <w:rsid w:val="00736CBA"/>
    <w:rsid w:val="00743FA0"/>
    <w:rsid w:val="00744F7F"/>
    <w:rsid w:val="0075722E"/>
    <w:rsid w:val="00765C89"/>
    <w:rsid w:val="007817A2"/>
    <w:rsid w:val="00785501"/>
    <w:rsid w:val="007863A4"/>
    <w:rsid w:val="00790E03"/>
    <w:rsid w:val="00793855"/>
    <w:rsid w:val="007A4AF8"/>
    <w:rsid w:val="007A6E8C"/>
    <w:rsid w:val="007B1CAF"/>
    <w:rsid w:val="007B3715"/>
    <w:rsid w:val="007B56C2"/>
    <w:rsid w:val="007C2CC6"/>
    <w:rsid w:val="007C3665"/>
    <w:rsid w:val="007C3E93"/>
    <w:rsid w:val="007E3D0E"/>
    <w:rsid w:val="007F3858"/>
    <w:rsid w:val="007F494D"/>
    <w:rsid w:val="007F74FE"/>
    <w:rsid w:val="007F7BC7"/>
    <w:rsid w:val="008030E5"/>
    <w:rsid w:val="008133B2"/>
    <w:rsid w:val="00813649"/>
    <w:rsid w:val="00815062"/>
    <w:rsid w:val="00817454"/>
    <w:rsid w:val="008176D4"/>
    <w:rsid w:val="00824173"/>
    <w:rsid w:val="008250D7"/>
    <w:rsid w:val="008273AA"/>
    <w:rsid w:val="008310DA"/>
    <w:rsid w:val="00833589"/>
    <w:rsid w:val="00840585"/>
    <w:rsid w:val="00870313"/>
    <w:rsid w:val="008724C3"/>
    <w:rsid w:val="00877432"/>
    <w:rsid w:val="00877A4B"/>
    <w:rsid w:val="00892701"/>
    <w:rsid w:val="00893E51"/>
    <w:rsid w:val="008963C5"/>
    <w:rsid w:val="008A2D68"/>
    <w:rsid w:val="008A7873"/>
    <w:rsid w:val="008B0ACD"/>
    <w:rsid w:val="008C6E2A"/>
    <w:rsid w:val="008D0C2F"/>
    <w:rsid w:val="008D2429"/>
    <w:rsid w:val="008D5371"/>
    <w:rsid w:val="008D77ED"/>
    <w:rsid w:val="008D7A8C"/>
    <w:rsid w:val="008E7A5E"/>
    <w:rsid w:val="008F0E32"/>
    <w:rsid w:val="008F0ED7"/>
    <w:rsid w:val="008F2C02"/>
    <w:rsid w:val="008F3DC3"/>
    <w:rsid w:val="008F4632"/>
    <w:rsid w:val="0090026B"/>
    <w:rsid w:val="00903351"/>
    <w:rsid w:val="00904993"/>
    <w:rsid w:val="0092054B"/>
    <w:rsid w:val="00921AC3"/>
    <w:rsid w:val="009337B0"/>
    <w:rsid w:val="00950531"/>
    <w:rsid w:val="00950CD4"/>
    <w:rsid w:val="00951F90"/>
    <w:rsid w:val="0095448C"/>
    <w:rsid w:val="00960AC4"/>
    <w:rsid w:val="00967F89"/>
    <w:rsid w:val="009761BD"/>
    <w:rsid w:val="009766F7"/>
    <w:rsid w:val="009777A2"/>
    <w:rsid w:val="00981D91"/>
    <w:rsid w:val="00983BBA"/>
    <w:rsid w:val="0098745D"/>
    <w:rsid w:val="00987AF7"/>
    <w:rsid w:val="009A482A"/>
    <w:rsid w:val="009A69AA"/>
    <w:rsid w:val="009B2A61"/>
    <w:rsid w:val="009B2BB8"/>
    <w:rsid w:val="009B46D2"/>
    <w:rsid w:val="009B5585"/>
    <w:rsid w:val="009B6964"/>
    <w:rsid w:val="009C0D35"/>
    <w:rsid w:val="009D1795"/>
    <w:rsid w:val="009D6FB1"/>
    <w:rsid w:val="009E4C54"/>
    <w:rsid w:val="009F17D3"/>
    <w:rsid w:val="009F7CE0"/>
    <w:rsid w:val="00A031C3"/>
    <w:rsid w:val="00A1041D"/>
    <w:rsid w:val="00A15BF4"/>
    <w:rsid w:val="00A20656"/>
    <w:rsid w:val="00A2743C"/>
    <w:rsid w:val="00A30512"/>
    <w:rsid w:val="00A350A8"/>
    <w:rsid w:val="00A367F9"/>
    <w:rsid w:val="00A42E69"/>
    <w:rsid w:val="00A50C53"/>
    <w:rsid w:val="00A511A5"/>
    <w:rsid w:val="00A5597F"/>
    <w:rsid w:val="00A62FC1"/>
    <w:rsid w:val="00A726A1"/>
    <w:rsid w:val="00A72CC2"/>
    <w:rsid w:val="00A8070C"/>
    <w:rsid w:val="00A92DFC"/>
    <w:rsid w:val="00A9513C"/>
    <w:rsid w:val="00AA4B89"/>
    <w:rsid w:val="00AB1A44"/>
    <w:rsid w:val="00AB4C08"/>
    <w:rsid w:val="00AB7722"/>
    <w:rsid w:val="00AC39EA"/>
    <w:rsid w:val="00AC7224"/>
    <w:rsid w:val="00AE3B13"/>
    <w:rsid w:val="00B04CAB"/>
    <w:rsid w:val="00B21520"/>
    <w:rsid w:val="00B2174D"/>
    <w:rsid w:val="00B2182C"/>
    <w:rsid w:val="00B25B42"/>
    <w:rsid w:val="00B31F42"/>
    <w:rsid w:val="00B32D05"/>
    <w:rsid w:val="00B360A3"/>
    <w:rsid w:val="00B373A6"/>
    <w:rsid w:val="00B4070F"/>
    <w:rsid w:val="00B40751"/>
    <w:rsid w:val="00B42B04"/>
    <w:rsid w:val="00B51781"/>
    <w:rsid w:val="00B558C2"/>
    <w:rsid w:val="00B6373B"/>
    <w:rsid w:val="00B74453"/>
    <w:rsid w:val="00B81294"/>
    <w:rsid w:val="00B843BC"/>
    <w:rsid w:val="00BA3B06"/>
    <w:rsid w:val="00BA4C4A"/>
    <w:rsid w:val="00BC3EFA"/>
    <w:rsid w:val="00BC4E73"/>
    <w:rsid w:val="00BC6FCD"/>
    <w:rsid w:val="00BD0295"/>
    <w:rsid w:val="00BE0C2F"/>
    <w:rsid w:val="00BF7447"/>
    <w:rsid w:val="00C111B5"/>
    <w:rsid w:val="00C14782"/>
    <w:rsid w:val="00C15750"/>
    <w:rsid w:val="00C306A3"/>
    <w:rsid w:val="00C31248"/>
    <w:rsid w:val="00C324CE"/>
    <w:rsid w:val="00C41893"/>
    <w:rsid w:val="00C50370"/>
    <w:rsid w:val="00C8055E"/>
    <w:rsid w:val="00C919B9"/>
    <w:rsid w:val="00C92460"/>
    <w:rsid w:val="00C938F0"/>
    <w:rsid w:val="00C940CE"/>
    <w:rsid w:val="00CA0553"/>
    <w:rsid w:val="00CA3F2F"/>
    <w:rsid w:val="00CB275A"/>
    <w:rsid w:val="00CC6DA5"/>
    <w:rsid w:val="00CD2305"/>
    <w:rsid w:val="00CD2657"/>
    <w:rsid w:val="00CE3F2D"/>
    <w:rsid w:val="00CE4997"/>
    <w:rsid w:val="00CE4B6D"/>
    <w:rsid w:val="00CF0ABE"/>
    <w:rsid w:val="00CF3BA4"/>
    <w:rsid w:val="00D0406B"/>
    <w:rsid w:val="00D0738A"/>
    <w:rsid w:val="00D218E8"/>
    <w:rsid w:val="00D3245C"/>
    <w:rsid w:val="00D3338F"/>
    <w:rsid w:val="00D36599"/>
    <w:rsid w:val="00D502D0"/>
    <w:rsid w:val="00D52401"/>
    <w:rsid w:val="00D560B5"/>
    <w:rsid w:val="00D702B4"/>
    <w:rsid w:val="00D74385"/>
    <w:rsid w:val="00D750E6"/>
    <w:rsid w:val="00D859BA"/>
    <w:rsid w:val="00D9179C"/>
    <w:rsid w:val="00DA1EBD"/>
    <w:rsid w:val="00DA3E88"/>
    <w:rsid w:val="00DA727D"/>
    <w:rsid w:val="00DB0EC6"/>
    <w:rsid w:val="00DE1BC5"/>
    <w:rsid w:val="00DE3C8C"/>
    <w:rsid w:val="00DE510B"/>
    <w:rsid w:val="00DF045E"/>
    <w:rsid w:val="00E00D67"/>
    <w:rsid w:val="00E054C3"/>
    <w:rsid w:val="00E056A4"/>
    <w:rsid w:val="00E15D12"/>
    <w:rsid w:val="00E201F3"/>
    <w:rsid w:val="00E2726F"/>
    <w:rsid w:val="00E470EC"/>
    <w:rsid w:val="00E50763"/>
    <w:rsid w:val="00E50E36"/>
    <w:rsid w:val="00E52ED0"/>
    <w:rsid w:val="00E65866"/>
    <w:rsid w:val="00E67973"/>
    <w:rsid w:val="00E710E3"/>
    <w:rsid w:val="00E712D1"/>
    <w:rsid w:val="00E949FF"/>
    <w:rsid w:val="00EE09F7"/>
    <w:rsid w:val="00EF0554"/>
    <w:rsid w:val="00EF3D90"/>
    <w:rsid w:val="00EF40C6"/>
    <w:rsid w:val="00EF52DD"/>
    <w:rsid w:val="00F01C76"/>
    <w:rsid w:val="00F11BDD"/>
    <w:rsid w:val="00F126D8"/>
    <w:rsid w:val="00F14B8D"/>
    <w:rsid w:val="00F222D7"/>
    <w:rsid w:val="00F322D3"/>
    <w:rsid w:val="00F3496D"/>
    <w:rsid w:val="00F36E9B"/>
    <w:rsid w:val="00F54252"/>
    <w:rsid w:val="00F55BC4"/>
    <w:rsid w:val="00F5646F"/>
    <w:rsid w:val="00F6451E"/>
    <w:rsid w:val="00F77B1F"/>
    <w:rsid w:val="00FA0BF0"/>
    <w:rsid w:val="00FA4A9C"/>
    <w:rsid w:val="00FB2372"/>
    <w:rsid w:val="00FD2672"/>
    <w:rsid w:val="00FE1746"/>
    <w:rsid w:val="00FE6177"/>
    <w:rsid w:val="00FF6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28A3"/>
  <w15:docId w15:val="{46B800A2-71C4-410B-9845-D36EF0AB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2672"/>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0C6A6F"/>
    <w:pPr>
      <w:keepNext/>
      <w:keepLines/>
      <w:spacing w:before="360" w:after="120"/>
      <w:jc w:val="center"/>
      <w:outlineLvl w:val="0"/>
    </w:pPr>
    <w:rPr>
      <w:rFonts w:ascii="Arial" w:eastAsiaTheme="majorEastAsia" w:hAnsi="Arial" w:cstheme="majorBidi"/>
      <w:b/>
      <w:sz w:val="32"/>
      <w:szCs w:val="32"/>
    </w:rPr>
  </w:style>
  <w:style w:type="paragraph" w:styleId="Heading2">
    <w:name w:val="heading 2"/>
    <w:basedOn w:val="Heading1"/>
    <w:next w:val="Normal"/>
    <w:link w:val="Heading2Char"/>
    <w:uiPriority w:val="9"/>
    <w:unhideWhenUsed/>
    <w:qFormat/>
    <w:rsid w:val="00A42E69"/>
    <w:pPr>
      <w:jc w:val="left"/>
      <w:outlineLvl w:val="1"/>
    </w:pPr>
    <w:rPr>
      <w:sz w:val="28"/>
      <w:szCs w:val="26"/>
    </w:rPr>
  </w:style>
  <w:style w:type="paragraph" w:styleId="Heading3">
    <w:name w:val="heading 3"/>
    <w:basedOn w:val="Heading2"/>
    <w:next w:val="Normal"/>
    <w:link w:val="Heading3Char"/>
    <w:uiPriority w:val="9"/>
    <w:unhideWhenUsed/>
    <w:qFormat/>
    <w:rsid w:val="00FD2672"/>
    <w:pPr>
      <w:spacing w:before="240"/>
      <w:outlineLvl w:val="2"/>
    </w:pPr>
    <w:rPr>
      <w:sz w:val="26"/>
      <w:szCs w:val="24"/>
    </w:rPr>
  </w:style>
  <w:style w:type="paragraph" w:styleId="Heading4">
    <w:name w:val="heading 4"/>
    <w:basedOn w:val="Normal"/>
    <w:next w:val="Normal"/>
    <w:link w:val="Heading4Char"/>
    <w:uiPriority w:val="9"/>
    <w:unhideWhenUsed/>
    <w:qFormat/>
    <w:rsid w:val="00FD2672"/>
    <w:pPr>
      <w:keepNext/>
      <w:keepLines/>
      <w:spacing w:before="240" w:after="120"/>
      <w:outlineLvl w:val="3"/>
    </w:pPr>
    <w:rPr>
      <w:rFonts w:ascii="Arial" w:eastAsiaTheme="majorEastAsia" w:hAnsi="Arial" w:cstheme="majorBidi"/>
      <w:i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701"/>
    <w:pPr>
      <w:tabs>
        <w:tab w:val="center" w:pos="4513"/>
        <w:tab w:val="right" w:pos="9026"/>
      </w:tabs>
      <w:spacing w:after="0"/>
    </w:pPr>
  </w:style>
  <w:style w:type="character" w:customStyle="1" w:styleId="HeaderChar">
    <w:name w:val="Header Char"/>
    <w:basedOn w:val="DefaultParagraphFont"/>
    <w:link w:val="Header"/>
    <w:uiPriority w:val="99"/>
    <w:rsid w:val="00892701"/>
  </w:style>
  <w:style w:type="paragraph" w:styleId="Footer">
    <w:name w:val="footer"/>
    <w:basedOn w:val="Normal"/>
    <w:link w:val="FooterChar"/>
    <w:uiPriority w:val="99"/>
    <w:unhideWhenUsed/>
    <w:rsid w:val="00892701"/>
    <w:pPr>
      <w:tabs>
        <w:tab w:val="center" w:pos="4513"/>
        <w:tab w:val="right" w:pos="9026"/>
      </w:tabs>
      <w:spacing w:after="0"/>
    </w:pPr>
  </w:style>
  <w:style w:type="character" w:customStyle="1" w:styleId="FooterChar">
    <w:name w:val="Footer Char"/>
    <w:basedOn w:val="DefaultParagraphFont"/>
    <w:link w:val="Footer"/>
    <w:uiPriority w:val="99"/>
    <w:rsid w:val="00892701"/>
  </w:style>
  <w:style w:type="table" w:customStyle="1" w:styleId="TableGrid1">
    <w:name w:val="Table Grid1"/>
    <w:basedOn w:val="TableNormal"/>
    <w:next w:val="TableGrid"/>
    <w:uiPriority w:val="59"/>
    <w:rsid w:val="008927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9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7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01"/>
    <w:rPr>
      <w:rFonts w:ascii="Tahoma" w:hAnsi="Tahoma" w:cs="Tahoma"/>
      <w:sz w:val="16"/>
      <w:szCs w:val="16"/>
    </w:rPr>
  </w:style>
  <w:style w:type="paragraph" w:styleId="ListParagraph">
    <w:name w:val="List Paragraph"/>
    <w:aliases w:val="L,List Paragraph1,List Paragraph11,Recommendation,bullet point list,Bullet point,List Paragraph2,Indented bullet,0Bullet,Bullet Point,Bullet points,Content descriptions,DDM Gen Text,Dot point 1.5 line spacing,List Paragraph - bullets"/>
    <w:basedOn w:val="Normal"/>
    <w:link w:val="ListParagraphChar"/>
    <w:uiPriority w:val="34"/>
    <w:qFormat/>
    <w:rsid w:val="006E3681"/>
    <w:pPr>
      <w:ind w:left="720"/>
      <w:contextualSpacing/>
    </w:pPr>
  </w:style>
  <w:style w:type="character" w:styleId="Hyperlink">
    <w:name w:val="Hyperlink"/>
    <w:basedOn w:val="DefaultParagraphFont"/>
    <w:uiPriority w:val="99"/>
    <w:unhideWhenUsed/>
    <w:rsid w:val="00533F2E"/>
    <w:rPr>
      <w:color w:val="0000FF" w:themeColor="hyperlink"/>
      <w:u w:val="single"/>
    </w:rPr>
  </w:style>
  <w:style w:type="character" w:styleId="CommentReference">
    <w:name w:val="annotation reference"/>
    <w:basedOn w:val="DefaultParagraphFont"/>
    <w:uiPriority w:val="99"/>
    <w:semiHidden/>
    <w:unhideWhenUsed/>
    <w:rsid w:val="00264846"/>
    <w:rPr>
      <w:sz w:val="16"/>
      <w:szCs w:val="16"/>
    </w:rPr>
  </w:style>
  <w:style w:type="paragraph" w:styleId="CommentText">
    <w:name w:val="annotation text"/>
    <w:basedOn w:val="Normal"/>
    <w:link w:val="CommentTextChar"/>
    <w:uiPriority w:val="99"/>
    <w:unhideWhenUsed/>
    <w:rsid w:val="00264846"/>
    <w:rPr>
      <w:sz w:val="20"/>
      <w:szCs w:val="20"/>
    </w:rPr>
  </w:style>
  <w:style w:type="character" w:customStyle="1" w:styleId="CommentTextChar">
    <w:name w:val="Comment Text Char"/>
    <w:basedOn w:val="DefaultParagraphFont"/>
    <w:link w:val="CommentText"/>
    <w:uiPriority w:val="99"/>
    <w:rsid w:val="00264846"/>
    <w:rPr>
      <w:sz w:val="20"/>
      <w:szCs w:val="20"/>
    </w:rPr>
  </w:style>
  <w:style w:type="paragraph" w:styleId="CommentSubject">
    <w:name w:val="annotation subject"/>
    <w:basedOn w:val="CommentText"/>
    <w:next w:val="CommentText"/>
    <w:link w:val="CommentSubjectChar"/>
    <w:uiPriority w:val="99"/>
    <w:semiHidden/>
    <w:unhideWhenUsed/>
    <w:rsid w:val="00264846"/>
    <w:rPr>
      <w:b/>
      <w:bCs/>
    </w:rPr>
  </w:style>
  <w:style w:type="character" w:customStyle="1" w:styleId="CommentSubjectChar">
    <w:name w:val="Comment Subject Char"/>
    <w:basedOn w:val="CommentTextChar"/>
    <w:link w:val="CommentSubject"/>
    <w:uiPriority w:val="99"/>
    <w:semiHidden/>
    <w:rsid w:val="00264846"/>
    <w:rPr>
      <w:b/>
      <w:bCs/>
      <w:sz w:val="20"/>
      <w:szCs w:val="20"/>
    </w:rPr>
  </w:style>
  <w:style w:type="character" w:styleId="Emphasis">
    <w:name w:val="Emphasis"/>
    <w:basedOn w:val="DefaultParagraphFont"/>
    <w:uiPriority w:val="20"/>
    <w:qFormat/>
    <w:rsid w:val="00264846"/>
    <w:rPr>
      <w:i/>
      <w:iCs/>
    </w:rPr>
  </w:style>
  <w:style w:type="character" w:styleId="FollowedHyperlink">
    <w:name w:val="FollowedHyperlink"/>
    <w:basedOn w:val="DefaultParagraphFont"/>
    <w:uiPriority w:val="99"/>
    <w:semiHidden/>
    <w:unhideWhenUsed/>
    <w:rsid w:val="008C6E2A"/>
    <w:rPr>
      <w:color w:val="800080" w:themeColor="followedHyperlink"/>
      <w:u w:val="single"/>
    </w:rPr>
  </w:style>
  <w:style w:type="paragraph" w:customStyle="1" w:styleId="Default">
    <w:name w:val="Default"/>
    <w:rsid w:val="00793855"/>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FootnoteText">
    <w:name w:val="footnote text"/>
    <w:basedOn w:val="Normal"/>
    <w:link w:val="FootnoteTextChar"/>
    <w:uiPriority w:val="99"/>
    <w:semiHidden/>
    <w:unhideWhenUsed/>
    <w:rsid w:val="00024B6F"/>
    <w:pPr>
      <w:spacing w:after="0"/>
    </w:pPr>
    <w:rPr>
      <w:sz w:val="20"/>
      <w:szCs w:val="20"/>
    </w:rPr>
  </w:style>
  <w:style w:type="character" w:customStyle="1" w:styleId="FootnoteTextChar">
    <w:name w:val="Footnote Text Char"/>
    <w:basedOn w:val="DefaultParagraphFont"/>
    <w:link w:val="FootnoteText"/>
    <w:uiPriority w:val="99"/>
    <w:semiHidden/>
    <w:rsid w:val="00024B6F"/>
    <w:rPr>
      <w:sz w:val="20"/>
      <w:szCs w:val="20"/>
    </w:rPr>
  </w:style>
  <w:style w:type="character" w:styleId="FootnoteReference">
    <w:name w:val="footnote reference"/>
    <w:basedOn w:val="DefaultParagraphFont"/>
    <w:uiPriority w:val="99"/>
    <w:semiHidden/>
    <w:unhideWhenUsed/>
    <w:rsid w:val="00024B6F"/>
    <w:rPr>
      <w:vertAlign w:val="superscript"/>
    </w:rPr>
  </w:style>
  <w:style w:type="character" w:customStyle="1" w:styleId="ListParagraphChar">
    <w:name w:val="List Paragraph Char"/>
    <w:aliases w:val="L Char,List Paragraph1 Char,List Paragraph11 Char,Recommendation Char,bullet point list Char,Bullet point Char,List Paragraph2 Char,Indented bullet Char,0Bullet Char,Bullet Point Char,Bullet points Char,Content descriptions Char"/>
    <w:link w:val="ListParagraph"/>
    <w:uiPriority w:val="34"/>
    <w:locked/>
    <w:rsid w:val="00024B6F"/>
  </w:style>
  <w:style w:type="character" w:customStyle="1" w:styleId="Heading1Char">
    <w:name w:val="Heading 1 Char"/>
    <w:basedOn w:val="DefaultParagraphFont"/>
    <w:link w:val="Heading1"/>
    <w:uiPriority w:val="9"/>
    <w:rsid w:val="000C6A6F"/>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A42E69"/>
    <w:rPr>
      <w:rFonts w:ascii="Arial" w:eastAsiaTheme="majorEastAsia" w:hAnsi="Arial" w:cstheme="majorBidi"/>
      <w:b/>
      <w:sz w:val="28"/>
      <w:szCs w:val="26"/>
    </w:rPr>
  </w:style>
  <w:style w:type="paragraph" w:styleId="Title">
    <w:name w:val="Title"/>
    <w:basedOn w:val="Normal"/>
    <w:next w:val="Normal"/>
    <w:link w:val="TitleChar"/>
    <w:uiPriority w:val="10"/>
    <w:qFormat/>
    <w:rsid w:val="00A42E69"/>
    <w:pPr>
      <w:keepNext/>
      <w:keepLines/>
      <w:spacing w:after="0"/>
    </w:pPr>
    <w:rPr>
      <w:rFonts w:ascii="Arial" w:eastAsiaTheme="majorEastAsia" w:hAnsi="Arial" w:cstheme="majorBidi"/>
      <w:b/>
      <w:i/>
      <w:spacing w:val="-10"/>
      <w:kern w:val="28"/>
      <w:sz w:val="28"/>
      <w:szCs w:val="56"/>
    </w:rPr>
  </w:style>
  <w:style w:type="character" w:customStyle="1" w:styleId="TitleChar">
    <w:name w:val="Title Char"/>
    <w:basedOn w:val="DefaultParagraphFont"/>
    <w:link w:val="Title"/>
    <w:uiPriority w:val="10"/>
    <w:rsid w:val="00A42E69"/>
    <w:rPr>
      <w:rFonts w:ascii="Arial" w:eastAsiaTheme="majorEastAsia" w:hAnsi="Arial" w:cstheme="majorBidi"/>
      <w:b/>
      <w:i/>
      <w:spacing w:val="-10"/>
      <w:kern w:val="28"/>
      <w:sz w:val="28"/>
      <w:szCs w:val="56"/>
    </w:rPr>
  </w:style>
  <w:style w:type="character" w:customStyle="1" w:styleId="Heading3Char">
    <w:name w:val="Heading 3 Char"/>
    <w:basedOn w:val="DefaultParagraphFont"/>
    <w:link w:val="Heading3"/>
    <w:uiPriority w:val="9"/>
    <w:rsid w:val="00FD2672"/>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FD2672"/>
    <w:rPr>
      <w:rFonts w:ascii="Arial" w:eastAsiaTheme="majorEastAsia" w:hAnsi="Arial" w:cstheme="majorBidi"/>
      <w:iCs/>
      <w:smallCaps/>
      <w:sz w:val="24"/>
    </w:rPr>
  </w:style>
  <w:style w:type="paragraph" w:styleId="Revision">
    <w:name w:val="Revision"/>
    <w:hidden/>
    <w:uiPriority w:val="99"/>
    <w:semiHidden/>
    <w:rsid w:val="004C694C"/>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D74385"/>
    <w:rPr>
      <w:color w:val="605E5C"/>
      <w:shd w:val="clear" w:color="auto" w:fill="E1DFDD"/>
    </w:rPr>
  </w:style>
  <w:style w:type="character" w:customStyle="1" w:styleId="UnresolvedMention2">
    <w:name w:val="Unresolved Mention2"/>
    <w:basedOn w:val="DefaultParagraphFont"/>
    <w:uiPriority w:val="99"/>
    <w:semiHidden/>
    <w:unhideWhenUsed/>
    <w:rsid w:val="008F4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36835">
      <w:bodyDiv w:val="1"/>
      <w:marLeft w:val="0"/>
      <w:marRight w:val="0"/>
      <w:marTop w:val="0"/>
      <w:marBottom w:val="0"/>
      <w:divBdr>
        <w:top w:val="none" w:sz="0" w:space="0" w:color="auto"/>
        <w:left w:val="none" w:sz="0" w:space="0" w:color="auto"/>
        <w:bottom w:val="none" w:sz="0" w:space="0" w:color="auto"/>
        <w:right w:val="none" w:sz="0" w:space="0" w:color="auto"/>
      </w:divBdr>
    </w:div>
    <w:div w:id="666441935">
      <w:bodyDiv w:val="1"/>
      <w:marLeft w:val="0"/>
      <w:marRight w:val="0"/>
      <w:marTop w:val="0"/>
      <w:marBottom w:val="0"/>
      <w:divBdr>
        <w:top w:val="none" w:sz="0" w:space="0" w:color="auto"/>
        <w:left w:val="none" w:sz="0" w:space="0" w:color="auto"/>
        <w:bottom w:val="none" w:sz="0" w:space="0" w:color="auto"/>
        <w:right w:val="none" w:sz="0" w:space="0" w:color="auto"/>
      </w:divBdr>
      <w:divsChild>
        <w:div w:id="389619355">
          <w:marLeft w:val="0"/>
          <w:marRight w:val="0"/>
          <w:marTop w:val="0"/>
          <w:marBottom w:val="0"/>
          <w:divBdr>
            <w:top w:val="none" w:sz="0" w:space="0" w:color="auto"/>
            <w:left w:val="none" w:sz="0" w:space="0" w:color="auto"/>
            <w:bottom w:val="none" w:sz="0" w:space="0" w:color="auto"/>
            <w:right w:val="none" w:sz="0" w:space="0" w:color="auto"/>
          </w:divBdr>
          <w:divsChild>
            <w:div w:id="578515336">
              <w:marLeft w:val="0"/>
              <w:marRight w:val="0"/>
              <w:marTop w:val="0"/>
              <w:marBottom w:val="0"/>
              <w:divBdr>
                <w:top w:val="none" w:sz="0" w:space="0" w:color="auto"/>
                <w:left w:val="none" w:sz="0" w:space="0" w:color="auto"/>
                <w:bottom w:val="none" w:sz="0" w:space="0" w:color="auto"/>
                <w:right w:val="none" w:sz="0" w:space="0" w:color="auto"/>
              </w:divBdr>
              <w:divsChild>
                <w:div w:id="866286712">
                  <w:marLeft w:val="0"/>
                  <w:marRight w:val="0"/>
                  <w:marTop w:val="0"/>
                  <w:marBottom w:val="0"/>
                  <w:divBdr>
                    <w:top w:val="none" w:sz="0" w:space="0" w:color="auto"/>
                    <w:left w:val="none" w:sz="0" w:space="0" w:color="auto"/>
                    <w:bottom w:val="none" w:sz="0" w:space="0" w:color="auto"/>
                    <w:right w:val="none" w:sz="0" w:space="0" w:color="auto"/>
                  </w:divBdr>
                  <w:divsChild>
                    <w:div w:id="256837647">
                      <w:marLeft w:val="0"/>
                      <w:marRight w:val="0"/>
                      <w:marTop w:val="0"/>
                      <w:marBottom w:val="0"/>
                      <w:divBdr>
                        <w:top w:val="none" w:sz="0" w:space="0" w:color="auto"/>
                        <w:left w:val="none" w:sz="0" w:space="0" w:color="auto"/>
                        <w:bottom w:val="none" w:sz="0" w:space="0" w:color="auto"/>
                        <w:right w:val="none" w:sz="0" w:space="0" w:color="auto"/>
                      </w:divBdr>
                      <w:divsChild>
                        <w:div w:id="522136509">
                          <w:marLeft w:val="0"/>
                          <w:marRight w:val="0"/>
                          <w:marTop w:val="0"/>
                          <w:marBottom w:val="0"/>
                          <w:divBdr>
                            <w:top w:val="none" w:sz="0" w:space="0" w:color="auto"/>
                            <w:left w:val="none" w:sz="0" w:space="0" w:color="auto"/>
                            <w:bottom w:val="none" w:sz="0" w:space="0" w:color="auto"/>
                            <w:right w:val="none" w:sz="0" w:space="0" w:color="auto"/>
                          </w:divBdr>
                          <w:divsChild>
                            <w:div w:id="696080344">
                              <w:marLeft w:val="0"/>
                              <w:marRight w:val="0"/>
                              <w:marTop w:val="0"/>
                              <w:marBottom w:val="0"/>
                              <w:divBdr>
                                <w:top w:val="none" w:sz="0" w:space="0" w:color="auto"/>
                                <w:left w:val="none" w:sz="0" w:space="0" w:color="auto"/>
                                <w:bottom w:val="none" w:sz="0" w:space="0" w:color="auto"/>
                                <w:right w:val="none" w:sz="0" w:space="0" w:color="auto"/>
                              </w:divBdr>
                              <w:divsChild>
                                <w:div w:id="492331446">
                                  <w:marLeft w:val="0"/>
                                  <w:marRight w:val="0"/>
                                  <w:marTop w:val="0"/>
                                  <w:marBottom w:val="0"/>
                                  <w:divBdr>
                                    <w:top w:val="none" w:sz="0" w:space="0" w:color="auto"/>
                                    <w:left w:val="none" w:sz="0" w:space="0" w:color="auto"/>
                                    <w:bottom w:val="none" w:sz="0" w:space="0" w:color="auto"/>
                                    <w:right w:val="none" w:sz="0" w:space="0" w:color="auto"/>
                                  </w:divBdr>
                                  <w:divsChild>
                                    <w:div w:id="1546213383">
                                      <w:marLeft w:val="0"/>
                                      <w:marRight w:val="0"/>
                                      <w:marTop w:val="0"/>
                                      <w:marBottom w:val="0"/>
                                      <w:divBdr>
                                        <w:top w:val="none" w:sz="0" w:space="0" w:color="auto"/>
                                        <w:left w:val="none" w:sz="0" w:space="0" w:color="auto"/>
                                        <w:bottom w:val="none" w:sz="0" w:space="0" w:color="auto"/>
                                        <w:right w:val="none" w:sz="0" w:space="0" w:color="auto"/>
                                      </w:divBdr>
                                      <w:divsChild>
                                        <w:div w:id="1743025106">
                                          <w:marLeft w:val="0"/>
                                          <w:marRight w:val="0"/>
                                          <w:marTop w:val="0"/>
                                          <w:marBottom w:val="0"/>
                                          <w:divBdr>
                                            <w:top w:val="none" w:sz="0" w:space="0" w:color="auto"/>
                                            <w:left w:val="none" w:sz="0" w:space="0" w:color="auto"/>
                                            <w:bottom w:val="none" w:sz="0" w:space="0" w:color="auto"/>
                                            <w:right w:val="none" w:sz="0" w:space="0" w:color="auto"/>
                                          </w:divBdr>
                                          <w:divsChild>
                                            <w:div w:id="1280145062">
                                              <w:marLeft w:val="0"/>
                                              <w:marRight w:val="0"/>
                                              <w:marTop w:val="0"/>
                                              <w:marBottom w:val="0"/>
                                              <w:divBdr>
                                                <w:top w:val="none" w:sz="0" w:space="0" w:color="auto"/>
                                                <w:left w:val="none" w:sz="0" w:space="0" w:color="auto"/>
                                                <w:bottom w:val="none" w:sz="0" w:space="0" w:color="auto"/>
                                                <w:right w:val="none" w:sz="0" w:space="0" w:color="auto"/>
                                              </w:divBdr>
                                              <w:divsChild>
                                                <w:div w:id="236744440">
                                                  <w:marLeft w:val="0"/>
                                                  <w:marRight w:val="0"/>
                                                  <w:marTop w:val="0"/>
                                                  <w:marBottom w:val="0"/>
                                                  <w:divBdr>
                                                    <w:top w:val="none" w:sz="0" w:space="0" w:color="auto"/>
                                                    <w:left w:val="none" w:sz="0" w:space="0" w:color="auto"/>
                                                    <w:bottom w:val="none" w:sz="0" w:space="0" w:color="auto"/>
                                                    <w:right w:val="none" w:sz="0" w:space="0" w:color="auto"/>
                                                  </w:divBdr>
                                                  <w:divsChild>
                                                    <w:div w:id="1993412616">
                                                      <w:marLeft w:val="0"/>
                                                      <w:marRight w:val="0"/>
                                                      <w:marTop w:val="0"/>
                                                      <w:marBottom w:val="0"/>
                                                      <w:divBdr>
                                                        <w:top w:val="none" w:sz="0" w:space="0" w:color="auto"/>
                                                        <w:left w:val="none" w:sz="0" w:space="0" w:color="auto"/>
                                                        <w:bottom w:val="none" w:sz="0" w:space="0" w:color="auto"/>
                                                        <w:right w:val="none" w:sz="0" w:space="0" w:color="auto"/>
                                                      </w:divBdr>
                                                      <w:divsChild>
                                                        <w:div w:id="16713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028981">
      <w:bodyDiv w:val="1"/>
      <w:marLeft w:val="0"/>
      <w:marRight w:val="0"/>
      <w:marTop w:val="0"/>
      <w:marBottom w:val="0"/>
      <w:divBdr>
        <w:top w:val="none" w:sz="0" w:space="0" w:color="auto"/>
        <w:left w:val="none" w:sz="0" w:space="0" w:color="auto"/>
        <w:bottom w:val="none" w:sz="0" w:space="0" w:color="auto"/>
        <w:right w:val="none" w:sz="0" w:space="0" w:color="auto"/>
      </w:divBdr>
    </w:div>
    <w:div w:id="153315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h.gov.au/Parliamentary_Business/Bills_Legislation/Bills_Search_Results/Result?bId=r65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sisupport.gov.au/elem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E0051E6-47F5-43F3-B2FA-BA5164BAD4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4586722B0D2444A44575C430C70AA6" ma:contentTypeVersion="" ma:contentTypeDescription="PDMS Document Site Content Type" ma:contentTypeScope="" ma:versionID="e0ebc29b4a2c94dd4253ab9dd8761197">
  <xsd:schema xmlns:xsd="http://www.w3.org/2001/XMLSchema" xmlns:xs="http://www.w3.org/2001/XMLSchema" xmlns:p="http://schemas.microsoft.com/office/2006/metadata/properties" xmlns:ns2="CE0051E6-47F5-43F3-B2FA-BA5164BAD461" targetNamespace="http://schemas.microsoft.com/office/2006/metadata/properties" ma:root="true" ma:fieldsID="9635b63b1f1cf9a7ecfec028a452bb6c" ns2:_="">
    <xsd:import namespace="CE0051E6-47F5-43F3-B2FA-BA5164BAD4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051E6-47F5-43F3-B2FA-BA5164BAD4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B6BFC-9FD1-4BA5-8663-DFA80A665069}">
  <ds:schemaRefs>
    <ds:schemaRef ds:uri="http://schemas.openxmlformats.org/package/2006/metadata/core-properties"/>
    <ds:schemaRef ds:uri="http://purl.org/dc/elements/1.1/"/>
    <ds:schemaRef ds:uri="http://purl.org/dc/dcmitype/"/>
    <ds:schemaRef ds:uri="CE0051E6-47F5-43F3-B2FA-BA5164BAD461"/>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8155154-BB73-4B42-B556-9B72C1ED0E67}">
  <ds:schemaRefs>
    <ds:schemaRef ds:uri="http://schemas.microsoft.com/sharepoint/v3/contenttype/forms"/>
  </ds:schemaRefs>
</ds:datastoreItem>
</file>

<file path=customXml/itemProps3.xml><?xml version="1.0" encoding="utf-8"?>
<ds:datastoreItem xmlns:ds="http://schemas.openxmlformats.org/officeDocument/2006/customXml" ds:itemID="{3B22313F-66B2-4F92-90D6-0900AC570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051E6-47F5-43F3-B2FA-BA5164BAD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EF82E0-3CE0-4C0E-84CE-BD40DDE8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4020</Words>
  <Characters>22916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Blackman</dc:creator>
  <cp:lastModifiedBy>HERBERT,Callum</cp:lastModifiedBy>
  <cp:revision>3</cp:revision>
  <cp:lastPrinted>2019-02-14T00:49:00Z</cp:lastPrinted>
  <dcterms:created xsi:type="dcterms:W3CDTF">2020-12-16T06:31:00Z</dcterms:created>
  <dcterms:modified xsi:type="dcterms:W3CDTF">2020-12-16T07:02:00Z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0x010100266966F133664895A6EE3632470D45F500094586722B0D2444A44575C430C70AA6</vt:lpwstr>
  </property>
</Properties>
</file>