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48D1D" w14:textId="3D07FD22" w:rsidR="00715914" w:rsidRDefault="00DA186E" w:rsidP="00715914">
      <w:pPr>
        <w:rPr>
          <w:sz w:val="28"/>
        </w:rPr>
      </w:pPr>
      <w:r>
        <w:rPr>
          <w:noProof/>
          <w:lang w:eastAsia="en-AU"/>
        </w:rPr>
        <w:drawing>
          <wp:inline distT="0" distB="0" distL="0" distR="0" wp14:anchorId="0E437D6A" wp14:editId="4E2EFFB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0654D3" w14:textId="61D91CE5" w:rsidR="00715914" w:rsidRPr="00E500D4" w:rsidRDefault="00715914" w:rsidP="00715914">
      <w:pPr>
        <w:rPr>
          <w:sz w:val="19"/>
        </w:rPr>
      </w:pPr>
    </w:p>
    <w:p w14:paraId="75F0DA79" w14:textId="272DBAE7" w:rsidR="00554826" w:rsidRPr="00E500D4" w:rsidRDefault="00401598" w:rsidP="00554826">
      <w:pPr>
        <w:pStyle w:val="ShortT"/>
      </w:pPr>
      <w:proofErr w:type="spellStart"/>
      <w:r>
        <w:t>Radiocommunications</w:t>
      </w:r>
      <w:proofErr w:type="spellEnd"/>
      <w:r w:rsidR="00554826" w:rsidRPr="00DA182D">
        <w:t xml:space="preserve"> </w:t>
      </w:r>
      <w:r w:rsidR="00554826">
        <w:t>(</w:t>
      </w:r>
      <w:r>
        <w:t>Spectrum Access Charges—3.4</w:t>
      </w:r>
      <w:r w:rsidR="000B5678">
        <w:t xml:space="preserve"> </w:t>
      </w:r>
      <w:r>
        <w:t>GHz Band</w:t>
      </w:r>
      <w:r w:rsidR="00554826">
        <w:t xml:space="preserve">) </w:t>
      </w:r>
      <w:r>
        <w:t>Direction 2020</w:t>
      </w:r>
    </w:p>
    <w:p w14:paraId="33FA3A29" w14:textId="77777777" w:rsidR="00554826" w:rsidRPr="00DA182D" w:rsidRDefault="00554826" w:rsidP="00554826">
      <w:pPr>
        <w:pStyle w:val="SignCoverPageStart"/>
        <w:spacing w:before="240"/>
        <w:ind w:right="91"/>
        <w:rPr>
          <w:szCs w:val="22"/>
        </w:rPr>
      </w:pPr>
      <w:r w:rsidRPr="00DA182D">
        <w:rPr>
          <w:szCs w:val="22"/>
        </w:rPr>
        <w:t xml:space="preserve">I, </w:t>
      </w:r>
      <w:r w:rsidR="00401598">
        <w:rPr>
          <w:szCs w:val="22"/>
        </w:rPr>
        <w:t>Paul Fletcher</w:t>
      </w:r>
      <w:r w:rsidRPr="00DA182D">
        <w:rPr>
          <w:szCs w:val="22"/>
        </w:rPr>
        <w:t xml:space="preserve">, </w:t>
      </w:r>
      <w:r w:rsidR="00401598">
        <w:rPr>
          <w:szCs w:val="22"/>
        </w:rPr>
        <w:t>Minister for Communications. Cyber Safety and the Arts</w:t>
      </w:r>
      <w:r w:rsidRPr="00DA182D">
        <w:rPr>
          <w:szCs w:val="22"/>
        </w:rPr>
        <w:t xml:space="preserve">, </w:t>
      </w:r>
      <w:r w:rsidR="00401598">
        <w:rPr>
          <w:szCs w:val="22"/>
        </w:rPr>
        <w:t>give the following direction to the Australian Communications and Media Authority</w:t>
      </w:r>
      <w:r w:rsidRPr="00DA182D">
        <w:rPr>
          <w:szCs w:val="22"/>
        </w:rPr>
        <w:t>.</w:t>
      </w:r>
    </w:p>
    <w:p w14:paraId="21960772" w14:textId="2D6947CC" w:rsidR="00554826" w:rsidRPr="00001A63" w:rsidRDefault="00554826" w:rsidP="00554826">
      <w:pPr>
        <w:keepNext/>
        <w:spacing w:before="300" w:line="240" w:lineRule="atLeast"/>
        <w:ind w:right="397"/>
        <w:jc w:val="both"/>
        <w:rPr>
          <w:szCs w:val="22"/>
        </w:rPr>
      </w:pPr>
      <w:r>
        <w:rPr>
          <w:szCs w:val="22"/>
        </w:rPr>
        <w:t>Dated</w:t>
      </w:r>
      <w:r w:rsidR="009115A9">
        <w:rPr>
          <w:szCs w:val="22"/>
        </w:rPr>
        <w:tab/>
      </w:r>
      <w:bookmarkStart w:id="0" w:name="_GoBack"/>
      <w:bookmarkEnd w:id="0"/>
      <w:r w:rsidR="00033BE8">
        <w:rPr>
          <w:szCs w:val="22"/>
        </w:rPr>
        <w:t>10 December 2020</w:t>
      </w:r>
    </w:p>
    <w:p w14:paraId="13A85E02" w14:textId="2D992EB0" w:rsidR="00554826" w:rsidRPr="00AD3F89" w:rsidRDefault="00AD3F89" w:rsidP="00554826">
      <w:pPr>
        <w:keepNext/>
        <w:tabs>
          <w:tab w:val="left" w:pos="3402"/>
        </w:tabs>
        <w:spacing w:before="1440" w:line="300" w:lineRule="atLeast"/>
        <w:ind w:right="397"/>
        <w:rPr>
          <w:b/>
          <w:szCs w:val="22"/>
        </w:rPr>
      </w:pPr>
      <w:r w:rsidRPr="00AD3F89">
        <w:rPr>
          <w:szCs w:val="22"/>
        </w:rPr>
        <w:t xml:space="preserve">Paul Fletcher </w:t>
      </w:r>
    </w:p>
    <w:p w14:paraId="3D2B320B" w14:textId="77777777" w:rsidR="00554826" w:rsidRPr="008E0027" w:rsidRDefault="00AD3F89" w:rsidP="00554826">
      <w:pPr>
        <w:pStyle w:val="SignCoverPageEnd"/>
        <w:ind w:right="91"/>
        <w:rPr>
          <w:sz w:val="22"/>
        </w:rPr>
      </w:pPr>
      <w:r>
        <w:rPr>
          <w:sz w:val="22"/>
        </w:rPr>
        <w:t>Minister for Communications, Cyber Safety and the Arts</w:t>
      </w:r>
    </w:p>
    <w:p w14:paraId="3D2B9621" w14:textId="77777777" w:rsidR="00554826" w:rsidRDefault="00554826" w:rsidP="00554826"/>
    <w:p w14:paraId="4C2B4A6D" w14:textId="77777777" w:rsidR="00554826" w:rsidRPr="00ED79B6" w:rsidRDefault="00554826" w:rsidP="00554826"/>
    <w:p w14:paraId="33D31AA7" w14:textId="77777777" w:rsidR="00F6696E" w:rsidRDefault="00F6696E" w:rsidP="00F6696E"/>
    <w:p w14:paraId="44B25774"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08D1CE5E" w14:textId="77777777" w:rsidR="00554826" w:rsidRPr="00554826" w:rsidRDefault="00554826" w:rsidP="00554826">
      <w:pPr>
        <w:pStyle w:val="ActHead5"/>
      </w:pPr>
      <w:bookmarkStart w:id="1" w:name="_Toc454512513"/>
      <w:proofErr w:type="gramStart"/>
      <w:r w:rsidRPr="00554826">
        <w:lastRenderedPageBreak/>
        <w:t>1  Name</w:t>
      </w:r>
      <w:bookmarkEnd w:id="1"/>
      <w:proofErr w:type="gramEnd"/>
    </w:p>
    <w:p w14:paraId="73E69BBA"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proofErr w:type="spellStart"/>
      <w:r w:rsidR="00AD3F89">
        <w:rPr>
          <w:i/>
        </w:rPr>
        <w:t>Radiocommunications</w:t>
      </w:r>
      <w:proofErr w:type="spellEnd"/>
      <w:r w:rsidR="00AD3F89">
        <w:rPr>
          <w:i/>
        </w:rPr>
        <w:t xml:space="preserve"> (Spectrum Access Charges—3.4 GHz Band) Direction 2020</w:t>
      </w:r>
      <w:r w:rsidRPr="009C2562">
        <w:t>.</w:t>
      </w:r>
    </w:p>
    <w:p w14:paraId="70F11585" w14:textId="77777777" w:rsidR="00554826" w:rsidRPr="00554826" w:rsidRDefault="00554826" w:rsidP="00554826">
      <w:pPr>
        <w:pStyle w:val="ActHead5"/>
      </w:pPr>
      <w:bookmarkStart w:id="3" w:name="_Toc454512514"/>
      <w:proofErr w:type="gramStart"/>
      <w:r w:rsidRPr="00554826">
        <w:t>2  Commencement</w:t>
      </w:r>
      <w:bookmarkEnd w:id="3"/>
      <w:proofErr w:type="gramEnd"/>
    </w:p>
    <w:p w14:paraId="6BD37F55" w14:textId="77777777" w:rsidR="003767E2" w:rsidRPr="003422B4" w:rsidRDefault="003767E2" w:rsidP="003767E2">
      <w:pPr>
        <w:pStyle w:val="subsection"/>
      </w:pPr>
      <w:bookmarkStart w:id="4" w:name="_Toc454512515"/>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BC8CF00"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65F38F29" w14:textId="77777777" w:rsidTr="007D6645">
        <w:trPr>
          <w:tblHeader/>
        </w:trPr>
        <w:tc>
          <w:tcPr>
            <w:tcW w:w="8364" w:type="dxa"/>
            <w:gridSpan w:val="3"/>
            <w:tcBorders>
              <w:top w:val="single" w:sz="12" w:space="0" w:color="auto"/>
              <w:bottom w:val="single" w:sz="6" w:space="0" w:color="auto"/>
            </w:tcBorders>
            <w:shd w:val="clear" w:color="auto" w:fill="auto"/>
            <w:hideMark/>
          </w:tcPr>
          <w:p w14:paraId="51B9F4DC" w14:textId="77777777" w:rsidR="003767E2" w:rsidRPr="003422B4" w:rsidRDefault="003767E2" w:rsidP="007D6645">
            <w:pPr>
              <w:pStyle w:val="TableHeading"/>
            </w:pPr>
            <w:r w:rsidRPr="003422B4">
              <w:t>Commencement information</w:t>
            </w:r>
          </w:p>
        </w:tc>
      </w:tr>
      <w:tr w:rsidR="003767E2" w:rsidRPr="003422B4" w14:paraId="795619FC" w14:textId="77777777" w:rsidTr="007D6645">
        <w:trPr>
          <w:tblHeader/>
        </w:trPr>
        <w:tc>
          <w:tcPr>
            <w:tcW w:w="2127" w:type="dxa"/>
            <w:tcBorders>
              <w:top w:val="single" w:sz="6" w:space="0" w:color="auto"/>
              <w:bottom w:val="single" w:sz="6" w:space="0" w:color="auto"/>
            </w:tcBorders>
            <w:shd w:val="clear" w:color="auto" w:fill="auto"/>
            <w:hideMark/>
          </w:tcPr>
          <w:p w14:paraId="4BC7FFAB" w14:textId="77777777" w:rsidR="003767E2" w:rsidRPr="003422B4" w:rsidRDefault="003767E2" w:rsidP="007D664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52A832EA" w14:textId="77777777" w:rsidR="003767E2" w:rsidRPr="003422B4" w:rsidRDefault="003767E2" w:rsidP="007D664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9B61526" w14:textId="77777777" w:rsidR="003767E2" w:rsidRPr="003422B4" w:rsidRDefault="003767E2" w:rsidP="007D6645">
            <w:pPr>
              <w:pStyle w:val="TableHeading"/>
            </w:pPr>
            <w:r w:rsidRPr="003422B4">
              <w:t>Column 3</w:t>
            </w:r>
          </w:p>
        </w:tc>
      </w:tr>
      <w:tr w:rsidR="003767E2" w:rsidRPr="003422B4" w14:paraId="369CF35D" w14:textId="77777777" w:rsidTr="007D6645">
        <w:trPr>
          <w:tblHeader/>
        </w:trPr>
        <w:tc>
          <w:tcPr>
            <w:tcW w:w="2127" w:type="dxa"/>
            <w:tcBorders>
              <w:top w:val="single" w:sz="6" w:space="0" w:color="auto"/>
              <w:bottom w:val="single" w:sz="12" w:space="0" w:color="auto"/>
            </w:tcBorders>
            <w:shd w:val="clear" w:color="auto" w:fill="auto"/>
            <w:hideMark/>
          </w:tcPr>
          <w:p w14:paraId="772FC7D0" w14:textId="77777777" w:rsidR="003767E2" w:rsidRPr="003422B4" w:rsidRDefault="003767E2" w:rsidP="007D664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F116CB9" w14:textId="77777777" w:rsidR="003767E2" w:rsidRPr="003422B4" w:rsidRDefault="003767E2" w:rsidP="007D664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A84E047" w14:textId="77777777" w:rsidR="003767E2" w:rsidRPr="003422B4" w:rsidRDefault="003767E2" w:rsidP="007D6645">
            <w:pPr>
              <w:pStyle w:val="TableHeading"/>
            </w:pPr>
            <w:r w:rsidRPr="003422B4">
              <w:t>Date/Details</w:t>
            </w:r>
          </w:p>
        </w:tc>
      </w:tr>
      <w:tr w:rsidR="003767E2" w:rsidRPr="003422B4" w14:paraId="0B05671E" w14:textId="77777777" w:rsidTr="007D6645">
        <w:tc>
          <w:tcPr>
            <w:tcW w:w="2127" w:type="dxa"/>
            <w:tcBorders>
              <w:top w:val="single" w:sz="12" w:space="0" w:color="auto"/>
              <w:bottom w:val="single" w:sz="12" w:space="0" w:color="auto"/>
            </w:tcBorders>
            <w:shd w:val="clear" w:color="auto" w:fill="auto"/>
            <w:hideMark/>
          </w:tcPr>
          <w:p w14:paraId="3E30FC05" w14:textId="77777777" w:rsidR="003767E2" w:rsidRPr="00AD3F89" w:rsidRDefault="003767E2" w:rsidP="00AD3F89">
            <w:pPr>
              <w:pStyle w:val="Tabletext"/>
            </w:pPr>
            <w:r w:rsidRPr="003422B4">
              <w:t xml:space="preserve">1.  </w:t>
            </w:r>
            <w:r w:rsidR="00AD3F89">
              <w:t>The whole of this instrument</w:t>
            </w:r>
          </w:p>
        </w:tc>
        <w:tc>
          <w:tcPr>
            <w:tcW w:w="4394" w:type="dxa"/>
            <w:tcBorders>
              <w:top w:val="single" w:sz="12" w:space="0" w:color="auto"/>
              <w:bottom w:val="single" w:sz="12" w:space="0" w:color="auto"/>
            </w:tcBorders>
            <w:shd w:val="clear" w:color="auto" w:fill="auto"/>
            <w:hideMark/>
          </w:tcPr>
          <w:p w14:paraId="78411F5C" w14:textId="77777777" w:rsidR="003767E2" w:rsidRPr="00AD3F89" w:rsidRDefault="00AD3F89" w:rsidP="007D6645">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755CFA90" w14:textId="77777777" w:rsidR="003767E2" w:rsidRPr="00B43C50" w:rsidRDefault="003767E2" w:rsidP="007D6645">
            <w:pPr>
              <w:pStyle w:val="Tabletext"/>
              <w:rPr>
                <w:i/>
              </w:rPr>
            </w:pPr>
          </w:p>
        </w:tc>
      </w:tr>
    </w:tbl>
    <w:p w14:paraId="6951A6AA"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C73AD82"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7CD447B0" w14:textId="77777777" w:rsidR="00554826" w:rsidRPr="00554826" w:rsidRDefault="00554826" w:rsidP="00554826">
      <w:pPr>
        <w:pStyle w:val="ActHead5"/>
      </w:pPr>
      <w:proofErr w:type="gramStart"/>
      <w:r w:rsidRPr="00554826">
        <w:t>3  Authority</w:t>
      </w:r>
      <w:bookmarkEnd w:id="4"/>
      <w:proofErr w:type="gramEnd"/>
    </w:p>
    <w:p w14:paraId="76CF27B1" w14:textId="77777777" w:rsidR="00554826" w:rsidRPr="009C2562" w:rsidRDefault="00554826" w:rsidP="00554826">
      <w:pPr>
        <w:pStyle w:val="subsection"/>
      </w:pPr>
      <w:r w:rsidRPr="009C2562">
        <w:tab/>
      </w:r>
      <w:r w:rsidRPr="009C2562">
        <w:tab/>
        <w:t xml:space="preserve">This instrument is made under </w:t>
      </w:r>
      <w:r w:rsidR="00AD3F89">
        <w:t>subsection 294(2) of the Act</w:t>
      </w:r>
      <w:r w:rsidRPr="009C2562">
        <w:t>.</w:t>
      </w:r>
    </w:p>
    <w:p w14:paraId="04329BC7" w14:textId="1DAA14FE" w:rsidR="00554826" w:rsidRPr="00554826" w:rsidRDefault="00554826" w:rsidP="00554826">
      <w:pPr>
        <w:pStyle w:val="ActHead5"/>
      </w:pPr>
      <w:bookmarkStart w:id="5" w:name="_Toc454512516"/>
      <w:proofErr w:type="gramStart"/>
      <w:r w:rsidRPr="00554826">
        <w:t xml:space="preserve">4  </w:t>
      </w:r>
      <w:bookmarkEnd w:id="5"/>
      <w:r w:rsidR="00A31324">
        <w:t>Definitions</w:t>
      </w:r>
      <w:proofErr w:type="gramEnd"/>
    </w:p>
    <w:p w14:paraId="248ED91E" w14:textId="77777777" w:rsidR="00554826" w:rsidRPr="009C2562" w:rsidRDefault="00554826" w:rsidP="00554826">
      <w:pPr>
        <w:pStyle w:val="notetext"/>
      </w:pPr>
      <w:r w:rsidRPr="009C2562">
        <w:t>Note:</w:t>
      </w:r>
      <w:r w:rsidRPr="009C2562">
        <w:tab/>
        <w:t>A number of expressions used in this instrument are defined in</w:t>
      </w:r>
      <w:r w:rsidR="007D6645">
        <w:t xml:space="preserve"> section 5 of</w:t>
      </w:r>
      <w:r w:rsidRPr="009C2562">
        <w:t xml:space="preserve"> </w:t>
      </w:r>
      <w:r>
        <w:t>the Act</w:t>
      </w:r>
      <w:r w:rsidRPr="009C2562">
        <w:t>, including the following:</w:t>
      </w:r>
    </w:p>
    <w:p w14:paraId="172C13BD" w14:textId="77777777" w:rsidR="001361B6" w:rsidRDefault="00554826" w:rsidP="00554826">
      <w:pPr>
        <w:pStyle w:val="notepara"/>
      </w:pPr>
      <w:r w:rsidRPr="009C2562">
        <w:t>(a)</w:t>
      </w:r>
      <w:r w:rsidRPr="009C2562">
        <w:tab/>
      </w:r>
      <w:r w:rsidR="001361B6">
        <w:t>ACMA</w:t>
      </w:r>
    </w:p>
    <w:p w14:paraId="10FE0A36" w14:textId="77777777" w:rsidR="00554826" w:rsidRPr="009C2562" w:rsidRDefault="001361B6" w:rsidP="001361B6">
      <w:pPr>
        <w:pStyle w:val="notepara"/>
      </w:pPr>
      <w:r>
        <w:t>(b)</w:t>
      </w:r>
      <w:r>
        <w:tab/>
      </w:r>
      <w:proofErr w:type="gramStart"/>
      <w:r w:rsidR="00B7354F">
        <w:t>spectrum</w:t>
      </w:r>
      <w:proofErr w:type="gramEnd"/>
      <w:r w:rsidR="00554826" w:rsidRPr="009C2562">
        <w:t>;</w:t>
      </w:r>
    </w:p>
    <w:p w14:paraId="7CDA7734" w14:textId="77777777" w:rsidR="00B7354F" w:rsidRDefault="001361B6" w:rsidP="00554826">
      <w:pPr>
        <w:pStyle w:val="notepara"/>
      </w:pPr>
      <w:r>
        <w:t>(c</w:t>
      </w:r>
      <w:r w:rsidR="00554826" w:rsidRPr="009C2562">
        <w:t>)</w:t>
      </w:r>
      <w:r w:rsidR="00554826" w:rsidRPr="009C2562">
        <w:tab/>
      </w:r>
      <w:proofErr w:type="gramStart"/>
      <w:r w:rsidR="00B7354F">
        <w:t>spectrum</w:t>
      </w:r>
      <w:proofErr w:type="gramEnd"/>
      <w:r w:rsidR="00B7354F">
        <w:t xml:space="preserve"> access charge;</w:t>
      </w:r>
      <w:r>
        <w:t xml:space="preserve"> and</w:t>
      </w:r>
    </w:p>
    <w:p w14:paraId="641C11EE" w14:textId="77777777" w:rsidR="00554826" w:rsidRPr="009C2562" w:rsidRDefault="001361B6" w:rsidP="00554826">
      <w:pPr>
        <w:pStyle w:val="notepara"/>
      </w:pPr>
      <w:r>
        <w:t>(d</w:t>
      </w:r>
      <w:r w:rsidR="00B7354F">
        <w:t>)</w:t>
      </w:r>
      <w:r w:rsidR="00B7354F">
        <w:tab/>
      </w:r>
      <w:proofErr w:type="gramStart"/>
      <w:r w:rsidR="00B7354F">
        <w:t>spectrum</w:t>
      </w:r>
      <w:proofErr w:type="gramEnd"/>
      <w:r w:rsidR="00B7354F">
        <w:t xml:space="preserve"> licence</w:t>
      </w:r>
      <w:r w:rsidR="00554826">
        <w:t>.</w:t>
      </w:r>
    </w:p>
    <w:p w14:paraId="23E8C409" w14:textId="07BE2218" w:rsidR="00554826" w:rsidRPr="009C2562" w:rsidRDefault="00554826" w:rsidP="00554826">
      <w:pPr>
        <w:pStyle w:val="subsection"/>
      </w:pPr>
      <w:r w:rsidRPr="009C2562">
        <w:tab/>
      </w:r>
      <w:r w:rsidRPr="009C2562">
        <w:tab/>
        <w:t>In this instrument:</w:t>
      </w:r>
    </w:p>
    <w:p w14:paraId="33B54850" w14:textId="77777777" w:rsidR="00554826" w:rsidRPr="009C2562" w:rsidRDefault="00554826" w:rsidP="00554826">
      <w:pPr>
        <w:pStyle w:val="Definition"/>
      </w:pPr>
      <w:r w:rsidRPr="009C2562">
        <w:rPr>
          <w:b/>
          <w:i/>
        </w:rPr>
        <w:t>Act</w:t>
      </w:r>
      <w:r w:rsidRPr="009C2562">
        <w:t xml:space="preserve"> means the </w:t>
      </w:r>
      <w:proofErr w:type="spellStart"/>
      <w:r w:rsidR="00AD3F89">
        <w:rPr>
          <w:i/>
        </w:rPr>
        <w:t>Radiocommunications</w:t>
      </w:r>
      <w:proofErr w:type="spellEnd"/>
      <w:r w:rsidR="00AD3F89">
        <w:rPr>
          <w:i/>
        </w:rPr>
        <w:t xml:space="preserve"> Act 1992</w:t>
      </w:r>
      <w:r>
        <w:t>.</w:t>
      </w:r>
    </w:p>
    <w:p w14:paraId="418A59F8" w14:textId="2A442A6F" w:rsidR="00D10251" w:rsidRDefault="00D10251" w:rsidP="00D10251">
      <w:pPr>
        <w:pStyle w:val="Definition"/>
      </w:pPr>
      <w:proofErr w:type="gramStart"/>
      <w:r w:rsidRPr="00D001E0">
        <w:rPr>
          <w:b/>
          <w:i/>
        </w:rPr>
        <w:t>charges</w:t>
      </w:r>
      <w:proofErr w:type="gramEnd"/>
      <w:r w:rsidRPr="00D001E0">
        <w:rPr>
          <w:b/>
          <w:i/>
        </w:rPr>
        <w:t xml:space="preserve"> determination</w:t>
      </w:r>
      <w:r w:rsidRPr="00D001E0">
        <w:t xml:space="preserve"> means a determination that is made under subsection 294(1) of the Act and that either fixes spectrum access charges payable by licensees for issuing relevant spectrum licences, or specifies the times when those spectrum access charges are payable, or both.</w:t>
      </w:r>
    </w:p>
    <w:p w14:paraId="37327BCF" w14:textId="51499C3F" w:rsidR="00EB283A" w:rsidRPr="00D001E0" w:rsidRDefault="00EB283A" w:rsidP="00A36E84">
      <w:pPr>
        <w:pStyle w:val="Definition"/>
      </w:pPr>
      <w:proofErr w:type="gramStart"/>
      <w:r>
        <w:rPr>
          <w:b/>
          <w:i/>
        </w:rPr>
        <w:t>designated</w:t>
      </w:r>
      <w:proofErr w:type="gramEnd"/>
      <w:r>
        <w:rPr>
          <w:b/>
          <w:i/>
        </w:rPr>
        <w:t xml:space="preserve"> area</w:t>
      </w:r>
      <w:r>
        <w:t xml:space="preserve"> means an inner-metropolitan area or an outer-metropolitan area.</w:t>
      </w:r>
    </w:p>
    <w:p w14:paraId="4DFA81DA" w14:textId="653FE07B" w:rsidR="002900F7" w:rsidRDefault="002900F7" w:rsidP="002900F7">
      <w:pPr>
        <w:pStyle w:val="Definition"/>
      </w:pPr>
      <w:r w:rsidRPr="00F362A5">
        <w:rPr>
          <w:b/>
          <w:i/>
        </w:rPr>
        <w:t>Hierarchical Cell Identification Scheme</w:t>
      </w:r>
      <w:r w:rsidRPr="00DE59D8">
        <w:t xml:space="preserve"> </w:t>
      </w:r>
      <w:r w:rsidRPr="00F362A5">
        <w:t>or</w:t>
      </w:r>
      <w:r w:rsidRPr="00DE59D8">
        <w:rPr>
          <w:b/>
        </w:rPr>
        <w:t xml:space="preserve"> </w:t>
      </w:r>
      <w:r w:rsidRPr="00F362A5">
        <w:rPr>
          <w:b/>
          <w:i/>
        </w:rPr>
        <w:t>HCIS</w:t>
      </w:r>
      <w:r w:rsidRPr="00DE59D8">
        <w:rPr>
          <w:b/>
        </w:rPr>
        <w:t xml:space="preserve"> </w:t>
      </w:r>
      <w:r w:rsidRPr="00DE59D8">
        <w:t xml:space="preserve">means the Hierarchical Cell Identification Scheme used as a part of the Australian Spectrum Map Grid 2012 </w:t>
      </w:r>
      <w:r w:rsidRPr="00DE59D8">
        <w:lastRenderedPageBreak/>
        <w:t>document published by ACMA, as the document existed at the time this instrument was made.</w:t>
      </w:r>
    </w:p>
    <w:p w14:paraId="675B24E7" w14:textId="09ED31AB" w:rsidR="002900F7" w:rsidRPr="00F362A5" w:rsidRDefault="002900F7" w:rsidP="002900F7">
      <w:pPr>
        <w:pStyle w:val="notetext"/>
      </w:pPr>
      <w:r>
        <w:t>Note 1:</w:t>
      </w:r>
      <w:r>
        <w:tab/>
      </w:r>
      <w:r w:rsidRPr="00F362A5">
        <w:t xml:space="preserve">The HCIS is a naming convention for areas on the Australian Spectrum Map Grid 2012 (ASMG), which is a system used by the ACMA to define geographic areas for </w:t>
      </w:r>
      <w:proofErr w:type="spellStart"/>
      <w:r w:rsidRPr="00F362A5">
        <w:t>radiocommunications</w:t>
      </w:r>
      <w:proofErr w:type="spellEnd"/>
      <w:r w:rsidRPr="00F362A5">
        <w:t xml:space="preserve"> licensing. A document describing the ASMG and HCIS, as well as spatial datasets describing each HCIS area could, at the time this instrument was made, be found on the ACMA’s website (</w:t>
      </w:r>
      <w:hyperlink r:id="rId18" w:history="1">
        <w:r w:rsidRPr="00883734">
          <w:rPr>
            <w:rStyle w:val="Hyperlink"/>
          </w:rPr>
          <w:t>http://www.acma.gov.au</w:t>
        </w:r>
      </w:hyperlink>
      <w:r w:rsidRPr="00F362A5">
        <w:t>).</w:t>
      </w:r>
    </w:p>
    <w:p w14:paraId="5E93C418" w14:textId="32CE621B" w:rsidR="002900F7" w:rsidRDefault="002900F7" w:rsidP="002900F7">
      <w:pPr>
        <w:pStyle w:val="notetext"/>
      </w:pPr>
      <w:r w:rsidRPr="00F362A5">
        <w:t>Note 2:</w:t>
      </w:r>
      <w:r>
        <w:tab/>
      </w:r>
      <w:r w:rsidRPr="00F362A5">
        <w:t xml:space="preserve">A tool to convert lists of HCIS area descriptions into </w:t>
      </w:r>
      <w:proofErr w:type="spellStart"/>
      <w:r w:rsidRPr="00F362A5">
        <w:t>Placemark</w:t>
      </w:r>
      <w:proofErr w:type="spellEnd"/>
      <w:r w:rsidRPr="00F362A5">
        <w:t xml:space="preserve"> files to allow these areas to be visualised using computer mapping software could, at the time this instrument was made, be found on the ACMA’s website (</w:t>
      </w:r>
      <w:hyperlink r:id="rId19" w:history="1">
        <w:r w:rsidRPr="00F362A5">
          <w:rPr>
            <w:rStyle w:val="Hyperlink"/>
          </w:rPr>
          <w:t>http://www.acma.gov.au</w:t>
        </w:r>
      </w:hyperlink>
      <w:r w:rsidRPr="00F362A5">
        <w:t>).</w:t>
      </w:r>
    </w:p>
    <w:p w14:paraId="388A68FE" w14:textId="0D1583CE" w:rsidR="00F23F3F" w:rsidRDefault="00F23F3F" w:rsidP="00554826">
      <w:pPr>
        <w:pStyle w:val="Definition"/>
      </w:pPr>
      <w:proofErr w:type="gramStart"/>
      <w:r>
        <w:rPr>
          <w:b/>
          <w:i/>
        </w:rPr>
        <w:t>inner-metropolitan</w:t>
      </w:r>
      <w:proofErr w:type="gramEnd"/>
      <w:r>
        <w:rPr>
          <w:b/>
          <w:i/>
        </w:rPr>
        <w:t xml:space="preserve"> area</w:t>
      </w:r>
      <w:r>
        <w:t xml:space="preserve"> has the meaning given in </w:t>
      </w:r>
      <w:r w:rsidR="00D9052F">
        <w:t xml:space="preserve">clause 1 of </w:t>
      </w:r>
      <w:r>
        <w:t>Schedule 1.</w:t>
      </w:r>
    </w:p>
    <w:p w14:paraId="0D6E3262" w14:textId="63E36771" w:rsidR="00AD3095" w:rsidRPr="00AD3095" w:rsidRDefault="00AD3095" w:rsidP="00554826">
      <w:pPr>
        <w:pStyle w:val="Definition"/>
      </w:pPr>
      <w:r>
        <w:rPr>
          <w:b/>
          <w:i/>
        </w:rPr>
        <w:t xml:space="preserve">NBN Co </w:t>
      </w:r>
      <w:r w:rsidRPr="00AD3095">
        <w:t>means</w:t>
      </w:r>
      <w:r>
        <w:t xml:space="preserve"> NBN Co Limited (</w:t>
      </w:r>
      <w:r w:rsidR="009C6C3B">
        <w:t>ACN</w:t>
      </w:r>
      <w:r>
        <w:t xml:space="preserve"> 136 533 741)</w:t>
      </w:r>
      <w:r w:rsidR="00835B51">
        <w:t>, a</w:t>
      </w:r>
      <w:r w:rsidR="00835B51">
        <w:rPr>
          <w:color w:val="000000"/>
          <w:szCs w:val="22"/>
          <w:shd w:val="clear" w:color="auto" w:fill="FFFFFF"/>
        </w:rPr>
        <w:t>s the company exists from time to time (even if its name is later changed)</w:t>
      </w:r>
      <w:r w:rsidR="00183811">
        <w:t>.</w:t>
      </w:r>
    </w:p>
    <w:p w14:paraId="441477C9" w14:textId="07AE8B5B" w:rsidR="00F23F3F" w:rsidRPr="00745453" w:rsidRDefault="00745453" w:rsidP="00554826">
      <w:pPr>
        <w:pStyle w:val="Definition"/>
      </w:pPr>
      <w:proofErr w:type="gramStart"/>
      <w:r>
        <w:rPr>
          <w:b/>
          <w:i/>
        </w:rPr>
        <w:t>outer-metropolitan</w:t>
      </w:r>
      <w:proofErr w:type="gramEnd"/>
      <w:r>
        <w:rPr>
          <w:b/>
          <w:i/>
        </w:rPr>
        <w:t xml:space="preserve"> area</w:t>
      </w:r>
      <w:r>
        <w:t xml:space="preserve"> has the meaning given in </w:t>
      </w:r>
      <w:r w:rsidR="00D9052F">
        <w:t xml:space="preserve">clause 2 of </w:t>
      </w:r>
      <w:r>
        <w:t>Schedule 1.</w:t>
      </w:r>
    </w:p>
    <w:p w14:paraId="2951A9DD" w14:textId="7C60282D" w:rsidR="00D10251" w:rsidRDefault="00D10251" w:rsidP="00F9109D">
      <w:pPr>
        <w:pStyle w:val="Definition"/>
      </w:pPr>
      <w:bookmarkStart w:id="6" w:name="_Hlk57118549"/>
      <w:proofErr w:type="gramStart"/>
      <w:r>
        <w:rPr>
          <w:b/>
          <w:i/>
        </w:rPr>
        <w:t>relevant</w:t>
      </w:r>
      <w:proofErr w:type="gramEnd"/>
      <w:r>
        <w:rPr>
          <w:b/>
          <w:i/>
        </w:rPr>
        <w:t xml:space="preserve"> part of the spectrum</w:t>
      </w:r>
      <w:r>
        <w:t xml:space="preserve"> means the part of the spectrum</w:t>
      </w:r>
      <w:r w:rsidR="00A31324">
        <w:t xml:space="preserve"> </w:t>
      </w:r>
      <w:r w:rsidR="0084116D">
        <w:t xml:space="preserve">including all frequencies greater than 3400 MHz up to and including 3542.5 </w:t>
      </w:r>
      <w:proofErr w:type="spellStart"/>
      <w:r w:rsidR="0084116D">
        <w:t>MHz.</w:t>
      </w:r>
      <w:proofErr w:type="spellEnd"/>
    </w:p>
    <w:bookmarkEnd w:id="6"/>
    <w:p w14:paraId="4CA403FF" w14:textId="3AB37A88" w:rsidR="007D6645" w:rsidRDefault="001361B6" w:rsidP="00554826">
      <w:pPr>
        <w:pStyle w:val="Definition"/>
      </w:pPr>
      <w:proofErr w:type="gramStart"/>
      <w:r>
        <w:rPr>
          <w:b/>
          <w:i/>
        </w:rPr>
        <w:t>relevant</w:t>
      </w:r>
      <w:proofErr w:type="gramEnd"/>
      <w:r>
        <w:rPr>
          <w:b/>
          <w:i/>
        </w:rPr>
        <w:t xml:space="preserve"> spectrum licence</w:t>
      </w:r>
      <w:r w:rsidR="00554826" w:rsidRPr="007D6645">
        <w:rPr>
          <w:i/>
        </w:rPr>
        <w:t xml:space="preserve"> </w:t>
      </w:r>
      <w:r w:rsidR="00554826" w:rsidRPr="009C2562">
        <w:t>means</w:t>
      </w:r>
      <w:r w:rsidR="00554826">
        <w:t xml:space="preserve"> </w:t>
      </w:r>
      <w:r>
        <w:t xml:space="preserve">a spectrum licence </w:t>
      </w:r>
      <w:r w:rsidR="00BD7CE0">
        <w:t>issued under subsection 57(1)</w:t>
      </w:r>
      <w:r w:rsidR="007D6645">
        <w:t xml:space="preserve"> of the Act</w:t>
      </w:r>
      <w:r w:rsidR="00BD7CE0">
        <w:t xml:space="preserve"> to replace an apparatus licence</w:t>
      </w:r>
      <w:r w:rsidR="00F320E7">
        <w:t xml:space="preserve"> that</w:t>
      </w:r>
      <w:r w:rsidR="000A75B6">
        <w:t>, at the time the licence is issued,</w:t>
      </w:r>
      <w:r w:rsidR="007D6645">
        <w:t xml:space="preserve"> authorises the operation of </w:t>
      </w:r>
      <w:proofErr w:type="spellStart"/>
      <w:r w:rsidR="007D6645">
        <w:t>radiocommunications</w:t>
      </w:r>
      <w:proofErr w:type="spellEnd"/>
      <w:r w:rsidR="007D6645">
        <w:t xml:space="preserve"> devices:</w:t>
      </w:r>
    </w:p>
    <w:p w14:paraId="4B3A2CCC" w14:textId="10034F68" w:rsidR="007D6645" w:rsidRDefault="00D10251" w:rsidP="007D6645">
      <w:pPr>
        <w:pStyle w:val="paragraph"/>
      </w:pPr>
      <w:r>
        <w:tab/>
        <w:t>(a)</w:t>
      </w:r>
      <w:r>
        <w:tab/>
      </w:r>
      <w:proofErr w:type="gramStart"/>
      <w:r>
        <w:t>at</w:t>
      </w:r>
      <w:proofErr w:type="gramEnd"/>
      <w:r>
        <w:t xml:space="preserve"> frequencies within one or more</w:t>
      </w:r>
      <w:r w:rsidR="007D6645">
        <w:t xml:space="preserve"> relevant part</w:t>
      </w:r>
      <w:r>
        <w:t>s</w:t>
      </w:r>
      <w:r w:rsidR="007D6645">
        <w:t xml:space="preserve"> of the spectrum; and</w:t>
      </w:r>
    </w:p>
    <w:p w14:paraId="11D55BD0" w14:textId="44C8B106" w:rsidR="00554826" w:rsidRDefault="007D6645" w:rsidP="007D6645">
      <w:pPr>
        <w:pStyle w:val="paragraph"/>
      </w:pPr>
      <w:r>
        <w:tab/>
        <w:t>(b)</w:t>
      </w:r>
      <w:r>
        <w:tab/>
      </w:r>
      <w:proofErr w:type="gramStart"/>
      <w:r>
        <w:t>within</w:t>
      </w:r>
      <w:proofErr w:type="gramEnd"/>
      <w:r>
        <w:t xml:space="preserve"> a </w:t>
      </w:r>
      <w:r w:rsidR="00D10251">
        <w:t>designated</w:t>
      </w:r>
      <w:r>
        <w:t xml:space="preserve"> area</w:t>
      </w:r>
      <w:r w:rsidR="00554826">
        <w:t>.</w:t>
      </w:r>
    </w:p>
    <w:p w14:paraId="16473C5D" w14:textId="4824F479" w:rsidR="00554826" w:rsidRPr="00AD3F89" w:rsidRDefault="002900F7" w:rsidP="00554826">
      <w:pPr>
        <w:pStyle w:val="ActHead5"/>
      </w:pPr>
      <w:bookmarkStart w:id="7" w:name="_Toc454512517"/>
      <w:proofErr w:type="gramStart"/>
      <w:r>
        <w:t>5</w:t>
      </w:r>
      <w:r w:rsidR="00554826" w:rsidRPr="00AD3F89">
        <w:t xml:space="preserve">  </w:t>
      </w:r>
      <w:bookmarkEnd w:id="7"/>
      <w:r w:rsidR="00AD3F89" w:rsidRPr="00AD3F89">
        <w:t>Direction</w:t>
      </w:r>
      <w:proofErr w:type="gramEnd"/>
      <w:r w:rsidR="00AD3F89" w:rsidRPr="00AD3F89">
        <w:t>—spectrum access charge</w:t>
      </w:r>
      <w:r w:rsidR="00F23F3F">
        <w:t xml:space="preserve"> for relevant spectrum licences</w:t>
      </w:r>
    </w:p>
    <w:p w14:paraId="5F30228B" w14:textId="66EDA302" w:rsidR="00343A4C" w:rsidRDefault="00554826" w:rsidP="00554826">
      <w:pPr>
        <w:pStyle w:val="subsection"/>
      </w:pPr>
      <w:r w:rsidRPr="00AD3F89">
        <w:tab/>
      </w:r>
      <w:r w:rsidR="007D6645">
        <w:t>(1)</w:t>
      </w:r>
      <w:r w:rsidR="00B7354F">
        <w:tab/>
        <w:t>I direct the ACMA</w:t>
      </w:r>
      <w:r w:rsidR="00D10251">
        <w:t>, in making a charges deter</w:t>
      </w:r>
      <w:r w:rsidR="008B7F67">
        <w:t xml:space="preserve">mination </w:t>
      </w:r>
      <w:r w:rsidR="00F23F3F">
        <w:t>that</w:t>
      </w:r>
      <w:r w:rsidR="00B7354F">
        <w:t xml:space="preserve"> </w:t>
      </w:r>
      <w:r w:rsidR="00343A4C">
        <w:t>relates to relevant spectrum licence</w:t>
      </w:r>
      <w:r w:rsidR="006C6F44">
        <w:t>s</w:t>
      </w:r>
      <w:r w:rsidR="00343A4C">
        <w:t xml:space="preserve"> to be issued to</w:t>
      </w:r>
      <w:r w:rsidR="00B7354F">
        <w:t xml:space="preserve"> </w:t>
      </w:r>
      <w:r w:rsidR="00D10251">
        <w:t>NBN Co</w:t>
      </w:r>
      <w:r w:rsidR="00F23F3F">
        <w:t>,</w:t>
      </w:r>
      <w:r w:rsidR="00B7354F">
        <w:t xml:space="preserve"> </w:t>
      </w:r>
      <w:r w:rsidR="00F23F3F">
        <w:t>to</w:t>
      </w:r>
      <w:r w:rsidR="00343A4C">
        <w:t>:</w:t>
      </w:r>
    </w:p>
    <w:p w14:paraId="12B6D6CF" w14:textId="691E5665" w:rsidR="00BE2B64" w:rsidRDefault="00BE2B64" w:rsidP="006C6F44">
      <w:pPr>
        <w:pStyle w:val="paragraph"/>
      </w:pPr>
      <w:r>
        <w:tab/>
        <w:t>(a)</w:t>
      </w:r>
      <w:r>
        <w:tab/>
      </w:r>
      <w:proofErr w:type="gramStart"/>
      <w:r w:rsidR="00F23F3F">
        <w:t>fix</w:t>
      </w:r>
      <w:proofErr w:type="gramEnd"/>
      <w:r w:rsidR="00F23F3F">
        <w:t xml:space="preserve"> the amount of the charges</w:t>
      </w:r>
      <w:r w:rsidR="00343A4C">
        <w:t xml:space="preserve"> payable by NBN Co for the issue of </w:t>
      </w:r>
      <w:r w:rsidR="006C6F44">
        <w:t>those</w:t>
      </w:r>
      <w:r w:rsidR="00343A4C">
        <w:t xml:space="preserve"> licence</w:t>
      </w:r>
      <w:r w:rsidR="006C6F44">
        <w:t>s</w:t>
      </w:r>
      <w:r>
        <w:t>; and</w:t>
      </w:r>
    </w:p>
    <w:p w14:paraId="453491E8" w14:textId="2C86CBE5" w:rsidR="00BE2B64" w:rsidRDefault="00BE2B64" w:rsidP="006C6F44">
      <w:pPr>
        <w:pStyle w:val="paragraph"/>
      </w:pPr>
      <w:r>
        <w:tab/>
        <w:t>(b)</w:t>
      </w:r>
      <w:r>
        <w:tab/>
      </w:r>
      <w:proofErr w:type="gramStart"/>
      <w:r w:rsidR="00195CE7">
        <w:t>specify</w:t>
      </w:r>
      <w:proofErr w:type="gramEnd"/>
      <w:r w:rsidR="00195CE7">
        <w:t xml:space="preserve"> the times at which those charges are payable</w:t>
      </w:r>
      <w:r>
        <w:t>;</w:t>
      </w:r>
    </w:p>
    <w:p w14:paraId="45E3824B" w14:textId="08D54336" w:rsidR="00554826" w:rsidRDefault="00F23F3F" w:rsidP="006C6F44">
      <w:pPr>
        <w:pStyle w:val="subsection2"/>
      </w:pPr>
      <w:proofErr w:type="gramStart"/>
      <w:r>
        <w:t>in</w:t>
      </w:r>
      <w:proofErr w:type="gramEnd"/>
      <w:r w:rsidR="00B7354F">
        <w:t xml:space="preserve"> accordance with </w:t>
      </w:r>
      <w:r w:rsidR="00195CE7">
        <w:t>this section</w:t>
      </w:r>
      <w:r w:rsidR="00554826" w:rsidRPr="00AD3F89">
        <w:t>.</w:t>
      </w:r>
    </w:p>
    <w:p w14:paraId="4829B1AD" w14:textId="0FF24714" w:rsidR="009A5158" w:rsidRDefault="009A5158" w:rsidP="009A5158">
      <w:pPr>
        <w:pStyle w:val="notetext"/>
      </w:pPr>
      <w:r>
        <w:t>Note:</w:t>
      </w:r>
      <w:r>
        <w:tab/>
      </w:r>
      <w:r w:rsidR="005F66BF">
        <w:t xml:space="preserve">Subsection </w:t>
      </w:r>
      <w:r>
        <w:t>294(1) of the Act provides that the ACMA may, by written instrument, make determinations fixing the amount of spectrum access charges payable by licensees for issuing spectrum licences</w:t>
      </w:r>
      <w:r w:rsidR="00195CE7">
        <w:t xml:space="preserve"> and specifying the times when spectrum access charges are payable</w:t>
      </w:r>
      <w:r>
        <w:t>.</w:t>
      </w:r>
    </w:p>
    <w:p w14:paraId="768C1892" w14:textId="0B2E87E9" w:rsidR="002900F7" w:rsidRPr="002900F7" w:rsidRDefault="002900F7" w:rsidP="002900F7">
      <w:pPr>
        <w:pStyle w:val="SubsectionHead"/>
      </w:pPr>
      <w:r>
        <w:t>Spectrum access charge—inner-metro</w:t>
      </w:r>
      <w:r w:rsidR="007473C3">
        <w:t>politan</w:t>
      </w:r>
      <w:r>
        <w:t xml:space="preserve"> areas</w:t>
      </w:r>
    </w:p>
    <w:p w14:paraId="440A4E2A" w14:textId="76198030" w:rsidR="00554826" w:rsidRDefault="00554826" w:rsidP="000052F4">
      <w:pPr>
        <w:pStyle w:val="subsection"/>
      </w:pPr>
      <w:r w:rsidRPr="00AD3F89">
        <w:tab/>
        <w:t>(2)</w:t>
      </w:r>
      <w:r w:rsidRPr="00AD3F89">
        <w:tab/>
      </w:r>
      <w:r w:rsidR="007473C3">
        <w:t>T</w:t>
      </w:r>
      <w:r w:rsidR="00B3637D">
        <w:t>he</w:t>
      </w:r>
      <w:r w:rsidR="007473C3">
        <w:t xml:space="preserve"> </w:t>
      </w:r>
      <w:r w:rsidR="000E5AAC">
        <w:t xml:space="preserve">amount of </w:t>
      </w:r>
      <w:r w:rsidR="00F320E7">
        <w:t>spectrum access charge</w:t>
      </w:r>
      <w:r w:rsidR="00B6347F">
        <w:t>s</w:t>
      </w:r>
      <w:r w:rsidR="007473C3">
        <w:t xml:space="preserve"> payable by NBN Co for issuing </w:t>
      </w:r>
      <w:r w:rsidR="00131E2B">
        <w:t xml:space="preserve">one or more </w:t>
      </w:r>
      <w:r w:rsidR="00F320E7">
        <w:t>relevant spectrum licence</w:t>
      </w:r>
      <w:r w:rsidR="00542F90">
        <w:t>s</w:t>
      </w:r>
      <w:r w:rsidR="007473C3">
        <w:t xml:space="preserve"> </w:t>
      </w:r>
      <w:r w:rsidR="00BE56B0">
        <w:t>that</w:t>
      </w:r>
      <w:r w:rsidR="00894607">
        <w:t xml:space="preserve"> authorise the operation of </w:t>
      </w:r>
      <w:proofErr w:type="spellStart"/>
      <w:r w:rsidR="00894607">
        <w:t>radiocommunications</w:t>
      </w:r>
      <w:proofErr w:type="spellEnd"/>
      <w:r w:rsidR="00894607">
        <w:t xml:space="preserve"> devices within a</w:t>
      </w:r>
      <w:r w:rsidR="007473C3">
        <w:t xml:space="preserve"> designated area that is an inner-metropolitan area</w:t>
      </w:r>
      <w:r w:rsidR="00BE56B0">
        <w:t xml:space="preserve"> (</w:t>
      </w:r>
      <w:r w:rsidR="00BE56B0">
        <w:rPr>
          <w:b/>
          <w:i/>
        </w:rPr>
        <w:t>inner-metropolitan charge</w:t>
      </w:r>
      <w:r w:rsidR="00B6347F">
        <w:rPr>
          <w:b/>
          <w:i/>
        </w:rPr>
        <w:t>s</w:t>
      </w:r>
      <w:r w:rsidR="00BE56B0">
        <w:t>)</w:t>
      </w:r>
      <w:r w:rsidR="007473C3">
        <w:t xml:space="preserve"> must be</w:t>
      </w:r>
      <w:r w:rsidR="00EF7BB4">
        <w:t>, in the aggregate</w:t>
      </w:r>
      <w:r w:rsidR="00B3637D">
        <w:t>:</w:t>
      </w:r>
    </w:p>
    <w:p w14:paraId="53328738" w14:textId="5C302920" w:rsidR="00B3637D" w:rsidRDefault="00B3637D" w:rsidP="00B3637D">
      <w:pPr>
        <w:pStyle w:val="paragraph"/>
      </w:pPr>
      <w:r>
        <w:tab/>
        <w:t>(</w:t>
      </w:r>
      <w:r w:rsidR="000052F4">
        <w:t>a</w:t>
      </w:r>
      <w:r>
        <w:t>)</w:t>
      </w:r>
      <w:r>
        <w:tab/>
      </w:r>
      <w:proofErr w:type="gramStart"/>
      <w:r>
        <w:t>if</w:t>
      </w:r>
      <w:proofErr w:type="gramEnd"/>
      <w:r w:rsidR="000052F4">
        <w:t xml:space="preserve"> </w:t>
      </w:r>
      <w:r w:rsidR="00EF7BB4">
        <w:t xml:space="preserve">all </w:t>
      </w:r>
      <w:r>
        <w:t>relevant spectrum licence</w:t>
      </w:r>
      <w:r w:rsidR="00EF7BB4">
        <w:t>s</w:t>
      </w:r>
      <w:r w:rsidR="00CB7813">
        <w:t xml:space="preserve"> </w:t>
      </w:r>
      <w:r w:rsidR="00EF7BB4">
        <w:t xml:space="preserve">are </w:t>
      </w:r>
      <w:r>
        <w:t>no longer in force</w:t>
      </w:r>
      <w:r w:rsidR="00607C22">
        <w:t xml:space="preserve"> </w:t>
      </w:r>
      <w:r w:rsidR="00DB24D4">
        <w:t xml:space="preserve">at the start of the </w:t>
      </w:r>
      <w:r w:rsidR="00607C22">
        <w:t xml:space="preserve">first anniversary of </w:t>
      </w:r>
      <w:r>
        <w:t>the</w:t>
      </w:r>
      <w:r w:rsidR="000052F4">
        <w:t xml:space="preserve"> </w:t>
      </w:r>
      <w:r w:rsidR="00DB24D4">
        <w:t>first of those licences coming into force</w:t>
      </w:r>
      <w:r w:rsidR="00607C22">
        <w:t>—</w:t>
      </w:r>
      <w:r w:rsidR="005F1272">
        <w:t>n</w:t>
      </w:r>
      <w:r w:rsidR="000052F4">
        <w:t>il; or</w:t>
      </w:r>
    </w:p>
    <w:p w14:paraId="72EC23A0" w14:textId="72395953" w:rsidR="00131E2B" w:rsidRPr="000E5AAC" w:rsidRDefault="007D02AE" w:rsidP="00E57851">
      <w:pPr>
        <w:pStyle w:val="paragraph"/>
      </w:pPr>
      <w:r>
        <w:tab/>
        <w:t>(b</w:t>
      </w:r>
      <w:r w:rsidR="000052F4">
        <w:t>)</w:t>
      </w:r>
      <w:r w:rsidR="000052F4">
        <w:tab/>
      </w:r>
      <w:proofErr w:type="gramStart"/>
      <w:r w:rsidR="000052F4">
        <w:t>if</w:t>
      </w:r>
      <w:proofErr w:type="gramEnd"/>
      <w:r w:rsidR="000052F4">
        <w:t xml:space="preserve"> </w:t>
      </w:r>
      <w:r w:rsidR="00EF7BB4">
        <w:t xml:space="preserve">any </w:t>
      </w:r>
      <w:r w:rsidR="000052F4">
        <w:t xml:space="preserve">relevant spectrum licence </w:t>
      </w:r>
      <w:r w:rsidR="00F320E7">
        <w:t>is</w:t>
      </w:r>
      <w:r w:rsidR="000052F4">
        <w:t xml:space="preserve"> </w:t>
      </w:r>
      <w:r w:rsidR="00274E2F">
        <w:t xml:space="preserve">still </w:t>
      </w:r>
      <w:r w:rsidR="000052F4">
        <w:t xml:space="preserve">in force </w:t>
      </w:r>
      <w:r w:rsidR="000A75B6">
        <w:t>at the start of the</w:t>
      </w:r>
      <w:r w:rsidR="00607C22">
        <w:t xml:space="preserve"> first anniversary of</w:t>
      </w:r>
      <w:r w:rsidR="000052F4">
        <w:t xml:space="preserve"> </w:t>
      </w:r>
      <w:r w:rsidR="00DB24D4">
        <w:t>the first of those licences coming into force</w:t>
      </w:r>
      <w:r w:rsidR="005F1272">
        <w:t>—</w:t>
      </w:r>
      <w:r w:rsidR="00BA1F8A" w:rsidRPr="00BA1F8A">
        <w:t>$226,441,720</w:t>
      </w:r>
      <w:r w:rsidR="00131E2B">
        <w:t>.</w:t>
      </w:r>
    </w:p>
    <w:p w14:paraId="1F9B2519" w14:textId="273527EA" w:rsidR="00EF21B2" w:rsidRDefault="00274E2F" w:rsidP="00EF21B2">
      <w:pPr>
        <w:pStyle w:val="subsection"/>
      </w:pPr>
      <w:r>
        <w:lastRenderedPageBreak/>
        <w:tab/>
        <w:t>(3)</w:t>
      </w:r>
      <w:r>
        <w:tab/>
        <w:t xml:space="preserve">The </w:t>
      </w:r>
      <w:r w:rsidR="00B6347F">
        <w:t xml:space="preserve">aggregate </w:t>
      </w:r>
      <w:r>
        <w:t xml:space="preserve">amount of </w:t>
      </w:r>
      <w:r w:rsidR="004F61D5">
        <w:t xml:space="preserve">the </w:t>
      </w:r>
      <w:r>
        <w:t>inner-metropolitan charge</w:t>
      </w:r>
      <w:r w:rsidR="00B6347F">
        <w:t>s</w:t>
      </w:r>
      <w:r>
        <w:t xml:space="preserve"> (if any) must be payable on</w:t>
      </w:r>
      <w:r w:rsidR="00EF21B2">
        <w:t>:</w:t>
      </w:r>
    </w:p>
    <w:p w14:paraId="00FE7C32" w14:textId="45D33EB9" w:rsidR="00EF21B2" w:rsidRDefault="00EF21B2" w:rsidP="00DB24D4">
      <w:pPr>
        <w:pStyle w:val="paragraph"/>
      </w:pPr>
      <w:r>
        <w:tab/>
        <w:t>(a)</w:t>
      </w:r>
      <w:r>
        <w:tab/>
      </w:r>
      <w:proofErr w:type="gramStart"/>
      <w:r>
        <w:t>if</w:t>
      </w:r>
      <w:proofErr w:type="gramEnd"/>
      <w:r>
        <w:t xml:space="preserve"> only one relevant spectrum licence is issued—</w:t>
      </w:r>
      <w:r w:rsidR="00BD0648">
        <w:t xml:space="preserve">the day which is </w:t>
      </w:r>
      <w:r w:rsidR="00274E2F">
        <w:t xml:space="preserve">the first anniversary of </w:t>
      </w:r>
      <w:r>
        <w:t>that</w:t>
      </w:r>
      <w:r w:rsidR="00274E2F">
        <w:t xml:space="preserve"> licence </w:t>
      </w:r>
      <w:r w:rsidR="00BD0648">
        <w:t xml:space="preserve">coming </w:t>
      </w:r>
      <w:r w:rsidR="00274E2F">
        <w:t>into force</w:t>
      </w:r>
      <w:r>
        <w:t>;</w:t>
      </w:r>
      <w:r w:rsidR="00DB24D4">
        <w:t xml:space="preserve"> or</w:t>
      </w:r>
    </w:p>
    <w:p w14:paraId="18D5DED8" w14:textId="7E20FB18" w:rsidR="00C46ED0" w:rsidRDefault="00EF21B2" w:rsidP="00DB24D4">
      <w:pPr>
        <w:pStyle w:val="paragraph"/>
      </w:pPr>
      <w:r>
        <w:tab/>
        <w:t>(b)</w:t>
      </w:r>
      <w:r>
        <w:tab/>
      </w:r>
      <w:proofErr w:type="gramStart"/>
      <w:r>
        <w:t>if</w:t>
      </w:r>
      <w:proofErr w:type="gramEnd"/>
      <w:r>
        <w:t xml:space="preserve"> more than one relevant spectrum licence is issued—the</w:t>
      </w:r>
      <w:r w:rsidR="00BD0648">
        <w:t xml:space="preserve"> day which is the</w:t>
      </w:r>
      <w:r>
        <w:t xml:space="preserve"> first anniversary </w:t>
      </w:r>
      <w:r w:rsidR="00724BB9">
        <w:t xml:space="preserve">of </w:t>
      </w:r>
      <w:r>
        <w:t>the</w:t>
      </w:r>
      <w:r w:rsidR="00BD0648">
        <w:t xml:space="preserve"> first of those licences coming into force</w:t>
      </w:r>
      <w:r w:rsidR="00274E2F">
        <w:t>.</w:t>
      </w:r>
    </w:p>
    <w:p w14:paraId="02356C52" w14:textId="61C68B2B" w:rsidR="007473C3" w:rsidRDefault="00B3637D" w:rsidP="00B3637D">
      <w:pPr>
        <w:pStyle w:val="SubsectionHead"/>
      </w:pPr>
      <w:r>
        <w:t>Spectrum access charge—outer-metropolitan areas</w:t>
      </w:r>
    </w:p>
    <w:p w14:paraId="75E2CF55" w14:textId="63167B9A" w:rsidR="00B3637D" w:rsidRDefault="00B3637D" w:rsidP="00195CE7">
      <w:pPr>
        <w:pStyle w:val="subsection"/>
      </w:pPr>
      <w:r>
        <w:tab/>
        <w:t>(</w:t>
      </w:r>
      <w:r w:rsidR="00274E2F">
        <w:t>4</w:t>
      </w:r>
      <w:r>
        <w:t>)</w:t>
      </w:r>
      <w:r>
        <w:tab/>
        <w:t>The amount of spectrum access charge</w:t>
      </w:r>
      <w:r w:rsidR="00B6347F">
        <w:t>s</w:t>
      </w:r>
      <w:r>
        <w:t xml:space="preserve"> payable by NBN Co for issuing </w:t>
      </w:r>
      <w:r w:rsidR="00131E2B">
        <w:t xml:space="preserve">one or more </w:t>
      </w:r>
      <w:r>
        <w:t>relevant spectrum licence</w:t>
      </w:r>
      <w:r w:rsidR="00131E2B">
        <w:t>s</w:t>
      </w:r>
      <w:r>
        <w:t xml:space="preserve"> </w:t>
      </w:r>
      <w:r w:rsidR="00BE56B0">
        <w:t>that</w:t>
      </w:r>
      <w:r w:rsidR="00894607">
        <w:t xml:space="preserve"> authorise the operation of </w:t>
      </w:r>
      <w:proofErr w:type="spellStart"/>
      <w:r w:rsidR="00894607">
        <w:t>radiocommunications</w:t>
      </w:r>
      <w:proofErr w:type="spellEnd"/>
      <w:r w:rsidR="00894607">
        <w:t xml:space="preserve"> devices </w:t>
      </w:r>
      <w:r>
        <w:t>within a designated are</w:t>
      </w:r>
      <w:r w:rsidR="00BE56B0">
        <w:t xml:space="preserve">a that is an outer-metropolitan </w:t>
      </w:r>
      <w:r w:rsidRPr="00BE56B0">
        <w:t>area</w:t>
      </w:r>
      <w:r w:rsidR="00BE56B0">
        <w:t xml:space="preserve"> (</w:t>
      </w:r>
      <w:r w:rsidR="00BE56B0">
        <w:rPr>
          <w:b/>
          <w:i/>
        </w:rPr>
        <w:t xml:space="preserve">outer-metropolitan </w:t>
      </w:r>
      <w:r w:rsidR="00BE56B0" w:rsidRPr="00BE56B0">
        <w:rPr>
          <w:b/>
          <w:i/>
        </w:rPr>
        <w:t>charge</w:t>
      </w:r>
      <w:r w:rsidR="00B6347F">
        <w:rPr>
          <w:b/>
          <w:i/>
        </w:rPr>
        <w:t>s</w:t>
      </w:r>
      <w:r w:rsidR="00BE56B0">
        <w:t>)</w:t>
      </w:r>
      <w:r>
        <w:t xml:space="preserve"> must be</w:t>
      </w:r>
      <w:r w:rsidR="00B6347F">
        <w:t>, in the aggregate,</w:t>
      </w:r>
      <w:r>
        <w:t xml:space="preserve"> </w:t>
      </w:r>
      <w:r w:rsidR="00E00939">
        <w:t>$57,</w:t>
      </w:r>
      <w:r w:rsidR="002074C4">
        <w:t>146,840</w:t>
      </w:r>
      <w:r w:rsidR="00131E2B">
        <w:t>.</w:t>
      </w:r>
    </w:p>
    <w:p w14:paraId="2D38F4D7" w14:textId="582747BB" w:rsidR="00D9052F" w:rsidRDefault="00D9052F" w:rsidP="00D9052F">
      <w:pPr>
        <w:pStyle w:val="subsection"/>
      </w:pPr>
      <w:r w:rsidRPr="00621EFF">
        <w:tab/>
        <w:t>(</w:t>
      </w:r>
      <w:r w:rsidR="00676746">
        <w:t>5</w:t>
      </w:r>
      <w:r w:rsidRPr="00621EFF">
        <w:t>)</w:t>
      </w:r>
      <w:r w:rsidRPr="00621EFF">
        <w:tab/>
      </w:r>
      <w:r w:rsidR="009C6C3B">
        <w:t>NBN Co</w:t>
      </w:r>
      <w:r w:rsidR="00894607">
        <w:t xml:space="preserve"> </w:t>
      </w:r>
      <w:r w:rsidR="00343A4C">
        <w:t xml:space="preserve">is to be permitted </w:t>
      </w:r>
      <w:r w:rsidR="00894607">
        <w:t>to elect to pay</w:t>
      </w:r>
      <w:r w:rsidRPr="002B513E">
        <w:t xml:space="preserve"> </w:t>
      </w:r>
      <w:r w:rsidR="00BF3C3D">
        <w:t xml:space="preserve">the </w:t>
      </w:r>
      <w:r w:rsidR="00274E2F">
        <w:t>outer-metropolitan charge</w:t>
      </w:r>
      <w:r w:rsidR="002F28C6">
        <w:t>s</w:t>
      </w:r>
      <w:r w:rsidR="00274E2F">
        <w:t xml:space="preserve"> </w:t>
      </w:r>
      <w:r w:rsidR="00F2532D">
        <w:t>in instalments</w:t>
      </w:r>
      <w:r w:rsidRPr="002B513E">
        <w:t xml:space="preserve">, </w:t>
      </w:r>
      <w:r>
        <w:t>subject</w:t>
      </w:r>
      <w:r w:rsidRPr="002B513E">
        <w:t xml:space="preserve"> to the terms set o</w:t>
      </w:r>
      <w:r w:rsidR="00BE56B0">
        <w:t>ut in subsection</w:t>
      </w:r>
      <w:r w:rsidR="00D77561">
        <w:t xml:space="preserve"> (</w:t>
      </w:r>
      <w:r w:rsidR="00676746">
        <w:t>6</w:t>
      </w:r>
      <w:r w:rsidRPr="002B513E">
        <w:t>).</w:t>
      </w:r>
    </w:p>
    <w:p w14:paraId="2A6209AB" w14:textId="31339BCC" w:rsidR="004F42A3" w:rsidRDefault="00F2532D" w:rsidP="004F42A3">
      <w:pPr>
        <w:pStyle w:val="subsection"/>
      </w:pPr>
      <w:r w:rsidRPr="004D3472">
        <w:tab/>
        <w:t>(</w:t>
      </w:r>
      <w:r w:rsidR="00676746">
        <w:t>6</w:t>
      </w:r>
      <w:r w:rsidRPr="004D3472">
        <w:t>)</w:t>
      </w:r>
      <w:r w:rsidRPr="004D3472">
        <w:tab/>
      </w:r>
      <w:r w:rsidR="009C6C3B">
        <w:t>If NBN Co</w:t>
      </w:r>
      <w:r>
        <w:t xml:space="preserve"> elects to pay </w:t>
      </w:r>
      <w:r w:rsidR="00E57851">
        <w:t xml:space="preserve">the </w:t>
      </w:r>
      <w:r w:rsidR="00274E2F">
        <w:t>outer-metropolitan</w:t>
      </w:r>
      <w:r w:rsidR="004F42A3">
        <w:t xml:space="preserve"> charge</w:t>
      </w:r>
      <w:r w:rsidR="00B6347F">
        <w:t>s</w:t>
      </w:r>
      <w:r w:rsidR="004F42A3">
        <w:t xml:space="preserve"> in instalments:</w:t>
      </w:r>
    </w:p>
    <w:p w14:paraId="442EEB09" w14:textId="34F48CA4" w:rsidR="00433B17" w:rsidRDefault="004F42A3" w:rsidP="00D77561">
      <w:pPr>
        <w:pStyle w:val="paragraph"/>
      </w:pPr>
      <w:r>
        <w:tab/>
        <w:t>(a)</w:t>
      </w:r>
      <w:r>
        <w:tab/>
      </w:r>
      <w:proofErr w:type="gramStart"/>
      <w:r w:rsidR="000D7419">
        <w:t>the</w:t>
      </w:r>
      <w:proofErr w:type="gramEnd"/>
      <w:r w:rsidR="000D7419">
        <w:t xml:space="preserve"> </w:t>
      </w:r>
      <w:r w:rsidR="00B6347F">
        <w:t xml:space="preserve">aggregate amount of the </w:t>
      </w:r>
      <w:r w:rsidR="000D7419">
        <w:t>charge</w:t>
      </w:r>
      <w:r w:rsidR="00B6347F">
        <w:t>s</w:t>
      </w:r>
      <w:r w:rsidR="000D7419">
        <w:t xml:space="preserve"> must be payable in </w:t>
      </w:r>
      <w:r w:rsidR="000A75B6">
        <w:t xml:space="preserve">10 </w:t>
      </w:r>
      <w:r w:rsidR="00006DC8">
        <w:t xml:space="preserve">equal </w:t>
      </w:r>
      <w:r w:rsidR="000D7419">
        <w:t>instalments</w:t>
      </w:r>
      <w:r w:rsidR="00433B17">
        <w:t>;</w:t>
      </w:r>
    </w:p>
    <w:p w14:paraId="75ED5478" w14:textId="3E931370" w:rsidR="00B6347F" w:rsidRDefault="00433B17" w:rsidP="000D3428">
      <w:pPr>
        <w:pStyle w:val="paragraph"/>
      </w:pPr>
      <w:r>
        <w:tab/>
        <w:t>(</w:t>
      </w:r>
      <w:r w:rsidR="000D3428">
        <w:t>b</w:t>
      </w:r>
      <w:r>
        <w:t>)</w:t>
      </w:r>
      <w:r>
        <w:tab/>
      </w:r>
      <w:proofErr w:type="gramStart"/>
      <w:r>
        <w:t>the</w:t>
      </w:r>
      <w:proofErr w:type="gramEnd"/>
      <w:r>
        <w:t xml:space="preserve"> first instalment must be payable prior to</w:t>
      </w:r>
      <w:r w:rsidR="00B6347F">
        <w:t>:</w:t>
      </w:r>
    </w:p>
    <w:p w14:paraId="2C2F9165" w14:textId="7DA852A8" w:rsidR="00433B17" w:rsidRDefault="00B6347F" w:rsidP="00E57851">
      <w:pPr>
        <w:pStyle w:val="paragraphsub"/>
      </w:pPr>
      <w:r>
        <w:tab/>
        <w:t>(</w:t>
      </w:r>
      <w:proofErr w:type="spellStart"/>
      <w:r>
        <w:t>i</w:t>
      </w:r>
      <w:proofErr w:type="spellEnd"/>
      <w:r>
        <w:t>)</w:t>
      </w:r>
      <w:r>
        <w:tab/>
      </w:r>
      <w:proofErr w:type="gramStart"/>
      <w:r>
        <w:t>if</w:t>
      </w:r>
      <w:proofErr w:type="gramEnd"/>
      <w:r>
        <w:t xml:space="preserve"> only one relevant spectrum licence is issued—that</w:t>
      </w:r>
      <w:r w:rsidR="00433B17">
        <w:t xml:space="preserve"> </w:t>
      </w:r>
      <w:r w:rsidR="00676746">
        <w:t>licence coming into force;</w:t>
      </w:r>
      <w:r w:rsidR="00A8017E">
        <w:t xml:space="preserve"> or</w:t>
      </w:r>
    </w:p>
    <w:p w14:paraId="70F9065E" w14:textId="7DE30B67" w:rsidR="00B6347F" w:rsidRDefault="00B6347F" w:rsidP="00E57851">
      <w:pPr>
        <w:pStyle w:val="paragraphsub"/>
      </w:pPr>
      <w:r>
        <w:tab/>
        <w:t>(ii)</w:t>
      </w:r>
      <w:r>
        <w:tab/>
      </w:r>
      <w:proofErr w:type="gramStart"/>
      <w:r>
        <w:t>if</w:t>
      </w:r>
      <w:proofErr w:type="gramEnd"/>
      <w:r>
        <w:t xml:space="preserve"> more than one relevant spectrum licence is issued—the first of those licences coming into force;</w:t>
      </w:r>
    </w:p>
    <w:p w14:paraId="7CA57CC8" w14:textId="55DDF7DD" w:rsidR="00B6347F" w:rsidRDefault="00433B17" w:rsidP="000D3428">
      <w:pPr>
        <w:pStyle w:val="paragraph"/>
      </w:pPr>
      <w:r>
        <w:tab/>
        <w:t>(</w:t>
      </w:r>
      <w:r w:rsidR="000D3428">
        <w:t>c</w:t>
      </w:r>
      <w:r>
        <w:t>)</w:t>
      </w:r>
      <w:r>
        <w:tab/>
      </w:r>
      <w:proofErr w:type="gramStart"/>
      <w:r>
        <w:t>each</w:t>
      </w:r>
      <w:proofErr w:type="gramEnd"/>
      <w:r>
        <w:t xml:space="preserve"> further instalment must</w:t>
      </w:r>
      <w:r w:rsidR="00B6347F">
        <w:t>, until the full amount of the charge</w:t>
      </w:r>
      <w:r w:rsidR="00724BB9">
        <w:t>s are</w:t>
      </w:r>
      <w:r w:rsidR="00B6347F">
        <w:t xml:space="preserve"> paid,</w:t>
      </w:r>
      <w:r>
        <w:t xml:space="preserve"> be payable in </w:t>
      </w:r>
      <w:r w:rsidR="006428D4">
        <w:t>annual instalments on</w:t>
      </w:r>
      <w:r w:rsidR="00B6347F">
        <w:t>:</w:t>
      </w:r>
    </w:p>
    <w:p w14:paraId="37E995C0" w14:textId="64EF2242" w:rsidR="00433B17" w:rsidRDefault="00B6347F" w:rsidP="00E57851">
      <w:pPr>
        <w:pStyle w:val="paragraphsub"/>
      </w:pPr>
      <w:r>
        <w:tab/>
        <w:t>(</w:t>
      </w:r>
      <w:proofErr w:type="spellStart"/>
      <w:r>
        <w:t>i</w:t>
      </w:r>
      <w:proofErr w:type="spellEnd"/>
      <w:r>
        <w:t>)</w:t>
      </w:r>
      <w:r>
        <w:tab/>
      </w:r>
      <w:proofErr w:type="gramStart"/>
      <w:r>
        <w:t>if</w:t>
      </w:r>
      <w:proofErr w:type="gramEnd"/>
      <w:r>
        <w:t xml:space="preserve"> only one relevant spectrum licence is issued—</w:t>
      </w:r>
      <w:r w:rsidR="006428D4">
        <w:t xml:space="preserve">each anniversary of </w:t>
      </w:r>
      <w:r>
        <w:t xml:space="preserve">that </w:t>
      </w:r>
      <w:r w:rsidR="006428D4">
        <w:t>licence coming into force</w:t>
      </w:r>
      <w:r>
        <w:t>;</w:t>
      </w:r>
      <w:r w:rsidR="00A8017E">
        <w:t xml:space="preserve"> or</w:t>
      </w:r>
    </w:p>
    <w:p w14:paraId="54940FB2" w14:textId="6DC9F69F" w:rsidR="00B6347F" w:rsidRDefault="00B6347F" w:rsidP="00E57851">
      <w:pPr>
        <w:pStyle w:val="paragraphsub"/>
      </w:pPr>
      <w:r>
        <w:tab/>
        <w:t>(ii)</w:t>
      </w:r>
      <w:r>
        <w:tab/>
      </w:r>
      <w:proofErr w:type="gramStart"/>
      <w:r>
        <w:t>if</w:t>
      </w:r>
      <w:proofErr w:type="gramEnd"/>
      <w:r>
        <w:t xml:space="preserve"> more than one relevant spectrum licence is issued—each anniversary of the first of those licences coming into force.</w:t>
      </w:r>
    </w:p>
    <w:p w14:paraId="5F638DD2" w14:textId="6F35707E" w:rsidR="00554826" w:rsidRDefault="00554826" w:rsidP="005F1272">
      <w:pPr>
        <w:pStyle w:val="notetext"/>
      </w:pPr>
      <w:r>
        <w:br w:type="page"/>
      </w:r>
    </w:p>
    <w:p w14:paraId="0944ACED" w14:textId="1597CC34" w:rsidR="00D6537E" w:rsidRDefault="004E1307" w:rsidP="00D6537E">
      <w:pPr>
        <w:pStyle w:val="ActHead6"/>
      </w:pPr>
      <w:bookmarkStart w:id="8" w:name="_Toc454512518"/>
      <w:r>
        <w:lastRenderedPageBreak/>
        <w:t xml:space="preserve">Schedule </w:t>
      </w:r>
      <w:r w:rsidR="00D6537E" w:rsidRPr="004E1307">
        <w:t>1—</w:t>
      </w:r>
      <w:bookmarkEnd w:id="8"/>
      <w:r w:rsidR="00745453">
        <w:t>Designated Areas</w:t>
      </w:r>
    </w:p>
    <w:p w14:paraId="2AAAA856" w14:textId="45D4C6F6" w:rsidR="007D6645" w:rsidRDefault="00745453" w:rsidP="00745453">
      <w:pPr>
        <w:pStyle w:val="ActHead5"/>
      </w:pPr>
      <w:proofErr w:type="gramStart"/>
      <w:r>
        <w:t>1  Inner</w:t>
      </w:r>
      <w:proofErr w:type="gramEnd"/>
      <w:r>
        <w:t>-metropolitan areas</w:t>
      </w:r>
    </w:p>
    <w:p w14:paraId="0EE1B458" w14:textId="0312C434" w:rsidR="00745453" w:rsidRDefault="00570583" w:rsidP="00745453">
      <w:pPr>
        <w:pStyle w:val="subsection"/>
      </w:pPr>
      <w:r>
        <w:tab/>
      </w:r>
      <w:r w:rsidR="00745453">
        <w:tab/>
        <w:t xml:space="preserve">In this instrument, </w:t>
      </w:r>
      <w:r w:rsidR="00745453">
        <w:rPr>
          <w:b/>
          <w:i/>
        </w:rPr>
        <w:t>inner-metropolitan area</w:t>
      </w:r>
      <w:r w:rsidR="00745453">
        <w:rPr>
          <w:i/>
        </w:rPr>
        <w:t xml:space="preserve"> </w:t>
      </w:r>
      <w:r w:rsidR="00745453">
        <w:t>means an area referred to in column 1 in the following table, to be ascertained as the composite of the areas, described using identifiers from the HCIS, set out in column 2.</w:t>
      </w:r>
    </w:p>
    <w:p w14:paraId="7F096D16" w14:textId="77777777" w:rsidR="0003364C" w:rsidRPr="007D6645" w:rsidRDefault="0003364C" w:rsidP="0003364C">
      <w:pPr>
        <w:pStyle w:val="Tabletext"/>
      </w:pPr>
    </w:p>
    <w:tbl>
      <w:tblPr>
        <w:tblW w:w="4935" w:type="pct"/>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66"/>
        <w:gridCol w:w="2529"/>
        <w:gridCol w:w="4910"/>
      </w:tblGrid>
      <w:tr w:rsidR="0003364C" w:rsidRPr="005874C7" w14:paraId="6318F60C" w14:textId="77777777" w:rsidTr="00840604">
        <w:trPr>
          <w:tblHeader/>
        </w:trPr>
        <w:tc>
          <w:tcPr>
            <w:tcW w:w="5000" w:type="pct"/>
            <w:gridSpan w:val="3"/>
            <w:tcBorders>
              <w:top w:val="single" w:sz="12" w:space="0" w:color="auto"/>
              <w:bottom w:val="single" w:sz="2" w:space="0" w:color="auto"/>
            </w:tcBorders>
            <w:shd w:val="clear" w:color="auto" w:fill="auto"/>
          </w:tcPr>
          <w:p w14:paraId="27AAEB7E" w14:textId="04A9475B" w:rsidR="0003364C" w:rsidRPr="005874C7" w:rsidRDefault="0003364C" w:rsidP="00840604">
            <w:pPr>
              <w:pStyle w:val="TableHeading"/>
            </w:pPr>
            <w:r w:rsidRPr="00273B7F">
              <w:t xml:space="preserve">Description of </w:t>
            </w:r>
            <w:r>
              <w:t>inner-metropolitan areas</w:t>
            </w:r>
          </w:p>
        </w:tc>
      </w:tr>
      <w:tr w:rsidR="0003364C" w:rsidRPr="005874C7" w14:paraId="0EE8E635" w14:textId="77777777" w:rsidTr="00840604">
        <w:trPr>
          <w:tblHeader/>
        </w:trPr>
        <w:tc>
          <w:tcPr>
            <w:tcW w:w="467" w:type="pct"/>
            <w:tcBorders>
              <w:top w:val="single" w:sz="2" w:space="0" w:color="auto"/>
              <w:bottom w:val="single" w:sz="12" w:space="0" w:color="auto"/>
            </w:tcBorders>
            <w:shd w:val="clear" w:color="auto" w:fill="auto"/>
          </w:tcPr>
          <w:p w14:paraId="4FA409D1" w14:textId="77777777" w:rsidR="0003364C" w:rsidRPr="005874C7" w:rsidRDefault="0003364C" w:rsidP="00840604">
            <w:pPr>
              <w:pStyle w:val="TableHeading"/>
            </w:pPr>
            <w:r w:rsidRPr="005874C7">
              <w:t>Item</w:t>
            </w:r>
          </w:p>
        </w:tc>
        <w:tc>
          <w:tcPr>
            <w:tcW w:w="1541" w:type="pct"/>
            <w:tcBorders>
              <w:top w:val="single" w:sz="2" w:space="0" w:color="auto"/>
              <w:bottom w:val="single" w:sz="12" w:space="0" w:color="auto"/>
            </w:tcBorders>
            <w:shd w:val="clear" w:color="auto" w:fill="auto"/>
          </w:tcPr>
          <w:p w14:paraId="6319807F" w14:textId="77777777" w:rsidR="0003364C" w:rsidRPr="005874C7" w:rsidRDefault="0003364C" w:rsidP="00840604">
            <w:pPr>
              <w:pStyle w:val="TableHeading"/>
            </w:pPr>
            <w:r w:rsidRPr="005874C7">
              <w:t>Column 1</w:t>
            </w:r>
          </w:p>
          <w:p w14:paraId="646385B7" w14:textId="164B8A94" w:rsidR="0003364C" w:rsidRPr="005874C7" w:rsidRDefault="0003364C" w:rsidP="00840604">
            <w:pPr>
              <w:pStyle w:val="TableHeading"/>
            </w:pPr>
            <w:r>
              <w:t>Inner-metropolitan area</w:t>
            </w:r>
          </w:p>
        </w:tc>
        <w:tc>
          <w:tcPr>
            <w:tcW w:w="2992" w:type="pct"/>
            <w:tcBorders>
              <w:top w:val="single" w:sz="2" w:space="0" w:color="auto"/>
              <w:bottom w:val="single" w:sz="12" w:space="0" w:color="auto"/>
            </w:tcBorders>
            <w:shd w:val="clear" w:color="auto" w:fill="auto"/>
          </w:tcPr>
          <w:p w14:paraId="590DA7CD" w14:textId="77777777" w:rsidR="0003364C" w:rsidRDefault="0003364C" w:rsidP="00840604">
            <w:pPr>
              <w:pStyle w:val="TableHeading"/>
            </w:pPr>
            <w:r w:rsidRPr="005874C7">
              <w:t>Column 2</w:t>
            </w:r>
          </w:p>
          <w:p w14:paraId="7BEB5A02" w14:textId="54CECBC2" w:rsidR="0003364C" w:rsidRPr="005874C7" w:rsidRDefault="0003364C" w:rsidP="00840604">
            <w:pPr>
              <w:pStyle w:val="TableHeading"/>
            </w:pPr>
            <w:r>
              <w:t xml:space="preserve">Areas forming the inner-metropolitan area </w:t>
            </w:r>
            <w:r w:rsidRPr="002E25CA">
              <w:t>(HCIS Identifiers)</w:t>
            </w:r>
          </w:p>
        </w:tc>
      </w:tr>
      <w:tr w:rsidR="0003364C" w:rsidRPr="005874C7" w14:paraId="27D4E170" w14:textId="77777777" w:rsidTr="00840604">
        <w:tc>
          <w:tcPr>
            <w:tcW w:w="467" w:type="pct"/>
            <w:shd w:val="clear" w:color="auto" w:fill="auto"/>
          </w:tcPr>
          <w:p w14:paraId="17D42CE3" w14:textId="77777777" w:rsidR="0003364C" w:rsidRPr="005874C7" w:rsidRDefault="0003364C" w:rsidP="00840604">
            <w:pPr>
              <w:pStyle w:val="Tabletext"/>
            </w:pPr>
            <w:r>
              <w:t>1</w:t>
            </w:r>
          </w:p>
        </w:tc>
        <w:tc>
          <w:tcPr>
            <w:tcW w:w="1541" w:type="pct"/>
            <w:tcBorders>
              <w:top w:val="single" w:sz="12" w:space="0" w:color="auto"/>
            </w:tcBorders>
            <w:shd w:val="clear" w:color="auto" w:fill="auto"/>
          </w:tcPr>
          <w:p w14:paraId="41CACBB1" w14:textId="54FB6FF2" w:rsidR="0003364C" w:rsidRPr="005874C7" w:rsidRDefault="001523E5" w:rsidP="00840604">
            <w:pPr>
              <w:pStyle w:val="Tabletext"/>
            </w:pPr>
            <w:r>
              <w:t xml:space="preserve">Inner </w:t>
            </w:r>
            <w:r w:rsidR="0003364C">
              <w:t>Adelaide</w:t>
            </w:r>
          </w:p>
        </w:tc>
        <w:tc>
          <w:tcPr>
            <w:tcW w:w="2992" w:type="pct"/>
            <w:tcBorders>
              <w:top w:val="single" w:sz="12" w:space="0" w:color="auto"/>
            </w:tcBorders>
            <w:shd w:val="clear" w:color="auto" w:fill="auto"/>
          </w:tcPr>
          <w:p w14:paraId="1BF52D3B" w14:textId="6FE8F532" w:rsidR="0003364C" w:rsidRPr="005874C7" w:rsidRDefault="0003364C" w:rsidP="00840604">
            <w:pPr>
              <w:pStyle w:val="Tabletext"/>
            </w:pPr>
            <w:r w:rsidRPr="0003364C">
              <w:t>IW3N, IW3O4, IW3O5, IW3O7, IW3O8, IW6B1, IW6B2, IW6B3, IW6B5, IW6B6</w:t>
            </w:r>
          </w:p>
        </w:tc>
      </w:tr>
      <w:tr w:rsidR="0003364C" w14:paraId="3BB95BBF" w14:textId="77777777" w:rsidTr="00840604">
        <w:tc>
          <w:tcPr>
            <w:tcW w:w="467" w:type="pct"/>
            <w:shd w:val="clear" w:color="auto" w:fill="auto"/>
          </w:tcPr>
          <w:p w14:paraId="2CD95796" w14:textId="77777777" w:rsidR="0003364C" w:rsidRDefault="0003364C" w:rsidP="00840604">
            <w:pPr>
              <w:pStyle w:val="Tabletext"/>
            </w:pPr>
            <w:r>
              <w:t>2</w:t>
            </w:r>
          </w:p>
        </w:tc>
        <w:tc>
          <w:tcPr>
            <w:tcW w:w="1541" w:type="pct"/>
            <w:shd w:val="clear" w:color="auto" w:fill="auto"/>
          </w:tcPr>
          <w:p w14:paraId="2901DD6D" w14:textId="43C66DB8" w:rsidR="0003364C" w:rsidRDefault="001523E5" w:rsidP="00840604">
            <w:pPr>
              <w:pStyle w:val="Tabletext"/>
            </w:pPr>
            <w:r>
              <w:t xml:space="preserve">Inner </w:t>
            </w:r>
            <w:r w:rsidR="0003364C">
              <w:t>Brisbane</w:t>
            </w:r>
          </w:p>
        </w:tc>
        <w:tc>
          <w:tcPr>
            <w:tcW w:w="2992" w:type="pct"/>
            <w:shd w:val="clear" w:color="auto" w:fill="auto"/>
          </w:tcPr>
          <w:p w14:paraId="47986076" w14:textId="710B95B7" w:rsidR="0003364C" w:rsidRDefault="0003364C" w:rsidP="00840604">
            <w:pPr>
              <w:pStyle w:val="Tabletext"/>
            </w:pPr>
            <w:r w:rsidRPr="0003364C">
              <w:t>NT9B, NT9C, NT9D, NT9E, NT9F, NT9G, NT9H, NT9K, NT9L, NT8H3, NT8L2, NT8L3, NT8L5, NT8L6, NT8L8, NT8L9, NT9A6, NT9A7, NT9A8, NT9A9, NT9I1, NT9I2, NT9I3, NT9I4, NT9I5, NT9I6, NT9J1, NT9J2, NT9J3, NT9J4, NT9J5, NT9J6, NT9J9, NT9N5, NT9N6, NT9N8, NT9N9, NT9O4, NT9O7, NU3B2, NU3B3, NU3C1, NU3C4</w:t>
            </w:r>
          </w:p>
        </w:tc>
      </w:tr>
      <w:tr w:rsidR="0003364C" w14:paraId="6A4212A1" w14:textId="77777777" w:rsidTr="00840604">
        <w:tc>
          <w:tcPr>
            <w:tcW w:w="467" w:type="pct"/>
            <w:shd w:val="clear" w:color="auto" w:fill="auto"/>
          </w:tcPr>
          <w:p w14:paraId="51016FCC" w14:textId="77777777" w:rsidR="0003364C" w:rsidRDefault="0003364C" w:rsidP="00840604">
            <w:pPr>
              <w:pStyle w:val="Tabletext"/>
            </w:pPr>
            <w:r>
              <w:t>3</w:t>
            </w:r>
          </w:p>
        </w:tc>
        <w:tc>
          <w:tcPr>
            <w:tcW w:w="1541" w:type="pct"/>
            <w:shd w:val="clear" w:color="auto" w:fill="auto"/>
          </w:tcPr>
          <w:p w14:paraId="3F2AD4E7" w14:textId="65985972" w:rsidR="0003364C" w:rsidRDefault="001523E5" w:rsidP="00840604">
            <w:pPr>
              <w:pStyle w:val="Tabletext"/>
            </w:pPr>
            <w:r>
              <w:t xml:space="preserve">Inner </w:t>
            </w:r>
            <w:r w:rsidR="0003364C">
              <w:t>Canberra</w:t>
            </w:r>
          </w:p>
        </w:tc>
        <w:tc>
          <w:tcPr>
            <w:tcW w:w="2992" w:type="pct"/>
            <w:shd w:val="clear" w:color="auto" w:fill="auto"/>
          </w:tcPr>
          <w:p w14:paraId="69367C0E" w14:textId="3E11D8E7" w:rsidR="0003364C" w:rsidRDefault="0003364C" w:rsidP="0003364C">
            <w:pPr>
              <w:pStyle w:val="Tabletext"/>
            </w:pPr>
            <w:r w:rsidRPr="0003364C">
              <w:t>MW4D, MW4H, MW5A, MW5B, MW5E, MW5F, MW2M5, MW2M6, MW2M7, MW2M8, MW2M9, MW2N4, MW2N5, MW2N7, MW2N8, MW2N9, MW4L1, MW4L2, MW4L3, MW4L5, MW4L6, MW5I1, MW5I2, MW5I3, MW5I4, MW5I5, MW5I6, MW5J1, MW5J2, MW5J4, MW5J5</w:t>
            </w:r>
          </w:p>
        </w:tc>
      </w:tr>
      <w:tr w:rsidR="0003364C" w14:paraId="49240B3B" w14:textId="77777777" w:rsidTr="00840604">
        <w:tc>
          <w:tcPr>
            <w:tcW w:w="467" w:type="pct"/>
            <w:shd w:val="clear" w:color="auto" w:fill="auto"/>
          </w:tcPr>
          <w:p w14:paraId="03D199C3" w14:textId="77777777" w:rsidR="0003364C" w:rsidRDefault="0003364C" w:rsidP="00840604">
            <w:pPr>
              <w:pStyle w:val="Tabletext"/>
            </w:pPr>
            <w:r>
              <w:t>4</w:t>
            </w:r>
          </w:p>
        </w:tc>
        <w:tc>
          <w:tcPr>
            <w:tcW w:w="1541" w:type="pct"/>
            <w:shd w:val="clear" w:color="auto" w:fill="auto"/>
          </w:tcPr>
          <w:p w14:paraId="1B047734" w14:textId="0FF69EF8" w:rsidR="0003364C" w:rsidRDefault="001523E5" w:rsidP="00840604">
            <w:pPr>
              <w:pStyle w:val="Tabletext"/>
            </w:pPr>
            <w:r>
              <w:t xml:space="preserve">Inner </w:t>
            </w:r>
            <w:r w:rsidR="0003364C">
              <w:t>Melbourne</w:t>
            </w:r>
          </w:p>
        </w:tc>
        <w:tc>
          <w:tcPr>
            <w:tcW w:w="2992" w:type="pct"/>
            <w:shd w:val="clear" w:color="auto" w:fill="auto"/>
          </w:tcPr>
          <w:p w14:paraId="155DC38F" w14:textId="5C175A5D" w:rsidR="0003364C" w:rsidRPr="00570583" w:rsidRDefault="0003364C" w:rsidP="00840604">
            <w:pPr>
              <w:pStyle w:val="Tabletext"/>
            </w:pPr>
            <w:r w:rsidRPr="0003364C">
              <w:t>KX3P, KX3L6, KX3L7, KX3L8, KX3L9, KX6D1, KX6D2, KX6D3, KX6D5, KX6D6, LX1M, LX1I7, LX1N4, LX4A1, LX4A2, LX4A3, LX4A4, LX4A5, LX4B1</w:t>
            </w:r>
          </w:p>
        </w:tc>
      </w:tr>
      <w:tr w:rsidR="0003364C" w14:paraId="4B792461" w14:textId="77777777" w:rsidTr="00840604">
        <w:tc>
          <w:tcPr>
            <w:tcW w:w="467" w:type="pct"/>
            <w:shd w:val="clear" w:color="auto" w:fill="auto"/>
          </w:tcPr>
          <w:p w14:paraId="06CFBED0" w14:textId="77777777" w:rsidR="0003364C" w:rsidRDefault="0003364C" w:rsidP="00840604">
            <w:pPr>
              <w:pStyle w:val="Tabletext"/>
            </w:pPr>
            <w:r>
              <w:t>5</w:t>
            </w:r>
          </w:p>
        </w:tc>
        <w:tc>
          <w:tcPr>
            <w:tcW w:w="1541" w:type="pct"/>
            <w:shd w:val="clear" w:color="auto" w:fill="auto"/>
          </w:tcPr>
          <w:p w14:paraId="6AD7E603" w14:textId="55F02770" w:rsidR="0003364C" w:rsidRDefault="001523E5" w:rsidP="00840604">
            <w:pPr>
              <w:pStyle w:val="Tabletext"/>
            </w:pPr>
            <w:r>
              <w:t xml:space="preserve">Inner </w:t>
            </w:r>
            <w:r w:rsidR="0003364C">
              <w:t>Perth</w:t>
            </w:r>
          </w:p>
        </w:tc>
        <w:tc>
          <w:tcPr>
            <w:tcW w:w="2992" w:type="pct"/>
            <w:shd w:val="clear" w:color="auto" w:fill="auto"/>
          </w:tcPr>
          <w:p w14:paraId="779FE09F" w14:textId="10DC6372" w:rsidR="0003364C" w:rsidRPr="00570583" w:rsidRDefault="0003364C" w:rsidP="00840604">
            <w:pPr>
              <w:pStyle w:val="Tabletext"/>
            </w:pPr>
            <w:r w:rsidRPr="0003364C">
              <w:t>BV1M, BV1N, BV1O, BV4A, BV4B, BV4C, BV1L5, BV1L8, BV1P1, BV1P2, BV1P4, BV1P5, BV1P7, BV1P8, BV4D1, BV4D2, BV4E1, BV4E2, BV4E3, BV4F1, BV4F2, BV4F3, BV4G1, BV4G2, BV1P9, BV4D3, BV4D4, BV4G3</w:t>
            </w:r>
          </w:p>
        </w:tc>
      </w:tr>
      <w:tr w:rsidR="0003364C" w14:paraId="1A3CB8E2" w14:textId="77777777" w:rsidTr="00840604">
        <w:tc>
          <w:tcPr>
            <w:tcW w:w="467" w:type="pct"/>
            <w:shd w:val="clear" w:color="auto" w:fill="auto"/>
          </w:tcPr>
          <w:p w14:paraId="4B02BCCC" w14:textId="6402F9B2" w:rsidR="0003364C" w:rsidRDefault="00BB5347" w:rsidP="00840604">
            <w:pPr>
              <w:pStyle w:val="Tabletext"/>
            </w:pPr>
            <w:r>
              <w:t>6</w:t>
            </w:r>
          </w:p>
        </w:tc>
        <w:tc>
          <w:tcPr>
            <w:tcW w:w="1541" w:type="pct"/>
            <w:shd w:val="clear" w:color="auto" w:fill="auto"/>
          </w:tcPr>
          <w:p w14:paraId="4311CA4E" w14:textId="4844851F" w:rsidR="0003364C" w:rsidRDefault="001523E5" w:rsidP="00840604">
            <w:pPr>
              <w:pStyle w:val="Tabletext"/>
            </w:pPr>
            <w:r>
              <w:t xml:space="preserve">Inner </w:t>
            </w:r>
            <w:r w:rsidR="0003364C">
              <w:t>Sydney</w:t>
            </w:r>
          </w:p>
        </w:tc>
        <w:tc>
          <w:tcPr>
            <w:tcW w:w="2992" w:type="pct"/>
            <w:shd w:val="clear" w:color="auto" w:fill="auto"/>
          </w:tcPr>
          <w:p w14:paraId="1C8AF744" w14:textId="7FA0D05B" w:rsidR="0003364C" w:rsidRPr="00570583" w:rsidRDefault="0003364C" w:rsidP="00840604">
            <w:pPr>
              <w:pStyle w:val="Tabletext"/>
            </w:pPr>
            <w:r w:rsidRPr="0003364C">
              <w:t>NV7G, NV7H, NV7J, NV7K, NV7L, NV7M, NV7N, NV7O, NV7P, NW1A, NW1B, NW1C, NW1D, NW1E, NW1F, NW1G, NW1H, MV9P2, MV9P3, MV9P5, MV9P6, MV9P7, MV9P8, MV9P9, MW3D1, MW3D2, MW3D3, MW3D5, MW3D6, MW3D8, MW3D9, MW3H2, MW3H3, MW3H5, MW3H6, MW3H9, MW3L2, MW3L3, NV4O7, NV4O8, NV4O9, NV4P7, NV7F6, NV7F8, NV7F9, NV7I6, NV7I8, NV7I9, NW1I1, NW1I2, NW1I3, NW1J1, NW1J2, NW1J3, NW1K1, NW1K2, NW1K3, NW1L1, NW1L2, NW1L3</w:t>
            </w:r>
          </w:p>
        </w:tc>
      </w:tr>
    </w:tbl>
    <w:p w14:paraId="40AA87F0" w14:textId="75818E40" w:rsidR="00570583" w:rsidRDefault="00570583" w:rsidP="00570583">
      <w:pPr>
        <w:pStyle w:val="ActHead5"/>
      </w:pPr>
      <w:proofErr w:type="gramStart"/>
      <w:r>
        <w:lastRenderedPageBreak/>
        <w:t>2  Outer</w:t>
      </w:r>
      <w:proofErr w:type="gramEnd"/>
      <w:r>
        <w:t>-metropolitan areas</w:t>
      </w:r>
    </w:p>
    <w:p w14:paraId="533D519F" w14:textId="5FC24437" w:rsidR="00570583" w:rsidRPr="00745453" w:rsidRDefault="00570583" w:rsidP="00745453">
      <w:pPr>
        <w:pStyle w:val="subsection"/>
      </w:pPr>
      <w:r>
        <w:tab/>
      </w:r>
      <w:r>
        <w:tab/>
        <w:t xml:space="preserve">In this instrument, </w:t>
      </w:r>
      <w:r>
        <w:rPr>
          <w:b/>
          <w:i/>
        </w:rPr>
        <w:t>outer-metropolitan area</w:t>
      </w:r>
      <w:r>
        <w:rPr>
          <w:i/>
        </w:rPr>
        <w:t xml:space="preserve"> </w:t>
      </w:r>
      <w:r>
        <w:t>means an area referred to in column 1 in the following table, to be ascertained as the composite of the areas, described using identifiers from the HCIS, set out in column 2.</w:t>
      </w:r>
    </w:p>
    <w:p w14:paraId="534E3F61" w14:textId="77777777" w:rsidR="00745453" w:rsidRPr="007D6645" w:rsidRDefault="00745453" w:rsidP="007D6645">
      <w:pPr>
        <w:pStyle w:val="Tabletext"/>
      </w:pPr>
    </w:p>
    <w:tbl>
      <w:tblPr>
        <w:tblW w:w="4935" w:type="pct"/>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66"/>
        <w:gridCol w:w="2529"/>
        <w:gridCol w:w="4910"/>
      </w:tblGrid>
      <w:tr w:rsidR="007D6645" w:rsidRPr="005874C7" w14:paraId="18DA06B2" w14:textId="77777777" w:rsidTr="007D6645">
        <w:trPr>
          <w:tblHeader/>
        </w:trPr>
        <w:tc>
          <w:tcPr>
            <w:tcW w:w="5000" w:type="pct"/>
            <w:gridSpan w:val="3"/>
            <w:tcBorders>
              <w:top w:val="single" w:sz="12" w:space="0" w:color="auto"/>
              <w:bottom w:val="single" w:sz="2" w:space="0" w:color="auto"/>
            </w:tcBorders>
            <w:shd w:val="clear" w:color="auto" w:fill="auto"/>
          </w:tcPr>
          <w:p w14:paraId="7008B378" w14:textId="27986D6E" w:rsidR="007D6645" w:rsidRPr="005874C7" w:rsidRDefault="007D6645" w:rsidP="007D6645">
            <w:pPr>
              <w:pStyle w:val="TableHeading"/>
            </w:pPr>
            <w:r w:rsidRPr="00273B7F">
              <w:t xml:space="preserve">Description of </w:t>
            </w:r>
            <w:r w:rsidR="0003364C">
              <w:t>outer-metropolitan</w:t>
            </w:r>
            <w:r>
              <w:t xml:space="preserve"> </w:t>
            </w:r>
            <w:r w:rsidR="0003364C">
              <w:t>areas</w:t>
            </w:r>
          </w:p>
        </w:tc>
      </w:tr>
      <w:tr w:rsidR="007D6645" w:rsidRPr="005874C7" w14:paraId="0E94F984" w14:textId="77777777" w:rsidTr="007D6645">
        <w:trPr>
          <w:tblHeader/>
        </w:trPr>
        <w:tc>
          <w:tcPr>
            <w:tcW w:w="467" w:type="pct"/>
            <w:tcBorders>
              <w:top w:val="single" w:sz="2" w:space="0" w:color="auto"/>
              <w:bottom w:val="single" w:sz="12" w:space="0" w:color="auto"/>
            </w:tcBorders>
            <w:shd w:val="clear" w:color="auto" w:fill="auto"/>
          </w:tcPr>
          <w:p w14:paraId="7F3F9721" w14:textId="77777777" w:rsidR="007D6645" w:rsidRPr="005874C7" w:rsidRDefault="007D6645" w:rsidP="007D6645">
            <w:pPr>
              <w:pStyle w:val="TableHeading"/>
            </w:pPr>
            <w:r w:rsidRPr="005874C7">
              <w:t>Item</w:t>
            </w:r>
          </w:p>
        </w:tc>
        <w:tc>
          <w:tcPr>
            <w:tcW w:w="1541" w:type="pct"/>
            <w:tcBorders>
              <w:top w:val="single" w:sz="2" w:space="0" w:color="auto"/>
              <w:bottom w:val="single" w:sz="12" w:space="0" w:color="auto"/>
            </w:tcBorders>
            <w:shd w:val="clear" w:color="auto" w:fill="auto"/>
          </w:tcPr>
          <w:p w14:paraId="4595BD3B" w14:textId="77777777" w:rsidR="007D6645" w:rsidRPr="005874C7" w:rsidRDefault="007D6645" w:rsidP="007D6645">
            <w:pPr>
              <w:pStyle w:val="TableHeading"/>
            </w:pPr>
            <w:r w:rsidRPr="005874C7">
              <w:t>Column 1</w:t>
            </w:r>
          </w:p>
          <w:p w14:paraId="1C895E2C" w14:textId="646FE6D2" w:rsidR="007D6645" w:rsidRPr="005874C7" w:rsidRDefault="00570583" w:rsidP="007D6645">
            <w:pPr>
              <w:pStyle w:val="TableHeading"/>
            </w:pPr>
            <w:r>
              <w:t>Outer-metropolitan</w:t>
            </w:r>
            <w:r w:rsidR="007D6645">
              <w:t xml:space="preserve"> area</w:t>
            </w:r>
          </w:p>
        </w:tc>
        <w:tc>
          <w:tcPr>
            <w:tcW w:w="2992" w:type="pct"/>
            <w:tcBorders>
              <w:top w:val="single" w:sz="2" w:space="0" w:color="auto"/>
              <w:bottom w:val="single" w:sz="12" w:space="0" w:color="auto"/>
            </w:tcBorders>
            <w:shd w:val="clear" w:color="auto" w:fill="auto"/>
          </w:tcPr>
          <w:p w14:paraId="5CEE7A60" w14:textId="77777777" w:rsidR="007D6645" w:rsidRDefault="007D6645" w:rsidP="007D6645">
            <w:pPr>
              <w:pStyle w:val="TableHeading"/>
            </w:pPr>
            <w:r w:rsidRPr="005874C7">
              <w:t>Column 2</w:t>
            </w:r>
          </w:p>
          <w:p w14:paraId="43D99E26" w14:textId="62093511" w:rsidR="007D6645" w:rsidRPr="005874C7" w:rsidRDefault="007D6645" w:rsidP="00570583">
            <w:pPr>
              <w:pStyle w:val="TableHeading"/>
            </w:pPr>
            <w:r>
              <w:t xml:space="preserve">Areas forming the </w:t>
            </w:r>
            <w:r w:rsidR="00570583">
              <w:t>outer-metropolitan</w:t>
            </w:r>
            <w:r>
              <w:t xml:space="preserve"> area </w:t>
            </w:r>
            <w:r w:rsidRPr="002E25CA">
              <w:t>(HCIS Identifiers)</w:t>
            </w:r>
          </w:p>
        </w:tc>
      </w:tr>
      <w:tr w:rsidR="007D6645" w:rsidRPr="005874C7" w14:paraId="2C3F4F3A" w14:textId="77777777" w:rsidTr="007D6645">
        <w:tc>
          <w:tcPr>
            <w:tcW w:w="467" w:type="pct"/>
            <w:shd w:val="clear" w:color="auto" w:fill="auto"/>
          </w:tcPr>
          <w:p w14:paraId="0434EB0A" w14:textId="77777777" w:rsidR="007D6645" w:rsidRPr="005874C7" w:rsidRDefault="007D6645" w:rsidP="007D6645">
            <w:pPr>
              <w:pStyle w:val="Tabletext"/>
            </w:pPr>
            <w:r>
              <w:t>1</w:t>
            </w:r>
          </w:p>
        </w:tc>
        <w:tc>
          <w:tcPr>
            <w:tcW w:w="1541" w:type="pct"/>
            <w:tcBorders>
              <w:top w:val="single" w:sz="12" w:space="0" w:color="auto"/>
            </w:tcBorders>
            <w:shd w:val="clear" w:color="auto" w:fill="auto"/>
          </w:tcPr>
          <w:p w14:paraId="7D2986F1" w14:textId="6486EC19" w:rsidR="007D6645" w:rsidRPr="005874C7" w:rsidRDefault="001523E5" w:rsidP="007D6645">
            <w:pPr>
              <w:pStyle w:val="Tabletext"/>
            </w:pPr>
            <w:r>
              <w:t xml:space="preserve">Outer </w:t>
            </w:r>
            <w:r w:rsidR="00570583">
              <w:t>Adelaide</w:t>
            </w:r>
          </w:p>
        </w:tc>
        <w:tc>
          <w:tcPr>
            <w:tcW w:w="2992" w:type="pct"/>
            <w:tcBorders>
              <w:top w:val="single" w:sz="12" w:space="0" w:color="auto"/>
            </w:tcBorders>
            <w:shd w:val="clear" w:color="auto" w:fill="auto"/>
          </w:tcPr>
          <w:p w14:paraId="3D2AC11D" w14:textId="627EE23B" w:rsidR="007D6645" w:rsidRPr="005874C7" w:rsidRDefault="00570583" w:rsidP="007D6645">
            <w:pPr>
              <w:pStyle w:val="Tabletext"/>
            </w:pPr>
            <w:r w:rsidRPr="00570583">
              <w:t>IW2, IW5, IW7, IW8, IW9, JW1, JW4, IV8K, IV8L, IV8N, IV8O, IV8P, IV9F, IV9I, IV9J, IV9K, IV9L, IV9M, IV9N, IV9O, IV9P, IW1P, IW3A, IW3B, IW3C, IW3D, IW3E, IW3F, IW3G, IW3H, IW3I, IW3J, IW3K, IW3L, IW3M, IW3P, IW4D, IW4G, IW4H, IW4K, IW4L, IW4N, IW4O, IW4P, IW6A, IW6C, IW6D, IW6E, IW6F, IW6G, IW6H, IW6I, IW6J, IW6K, IW6L, IW6M, IW6N, IW6O, IW6P, JV7M, JV7N, JV7O, JV7P, JV8M, JW2A, JW2B, JW2C, JW2E, JW2F, JW2G, JW2H, JW2I, JW2J, JW2K, JW2M, JW2N, JW2O, JW5A, JW5B, JW5C, JW5E, JW5F, JW5I, JW5J, JW5M, JW7A, JW7B, JW7C, JW7D, JW7E, JW7F, JW7G, JW7I, JW8A, IV8H9, IV8J8, IV8J9, IV9E3, IV9E4, IV9E5, IV9E6, IV9E7, IV9E8, IV9E9, IV9G1, IV9G2, IV9G4, IV9G5, IV9G6, IV9G7, IV9G8, IV9G9, IW1L6, IW1L9, IW3O1, IW3O2, IW3O3, IW3O6, IW3O9, IW6B4, IW6B7, IW6B8, IW6B9, JV7I7, JV7I8, JV7I9, JV7J7, JV7J8, JV7J9, JV7K7, JV7K8, JV7K9, JV7L7, JV7L8, JV7L9, JV8I7, JV8I8, JV8I9, JV8N1, JV8N4, JV8N5, JV8N6, JV8N7, JV8N8, JV8N9, JV8O7, JW2D1, JW2D2, JW2D4, JW2D5, JW2D6, JW2D7, JW2D8, JW2D9, JW2L1, JW2L2, JW2L3, JW2L4, JW2L5, JW2L6, JW3A7, JW3E1, JW5N1, JW5N2, JW5N4, JW5N5, JW5N7, JW5N8, JW8B1, JW8B2, JW8B4</w:t>
            </w:r>
          </w:p>
        </w:tc>
      </w:tr>
      <w:tr w:rsidR="007D6645" w14:paraId="47B20D56" w14:textId="77777777" w:rsidTr="007D6645">
        <w:tc>
          <w:tcPr>
            <w:tcW w:w="467" w:type="pct"/>
            <w:shd w:val="clear" w:color="auto" w:fill="auto"/>
          </w:tcPr>
          <w:p w14:paraId="13CF27CF" w14:textId="77777777" w:rsidR="007D6645" w:rsidRDefault="007D6645" w:rsidP="007D6645">
            <w:pPr>
              <w:pStyle w:val="Tabletext"/>
            </w:pPr>
            <w:r>
              <w:t>2</w:t>
            </w:r>
          </w:p>
        </w:tc>
        <w:tc>
          <w:tcPr>
            <w:tcW w:w="1541" w:type="pct"/>
            <w:shd w:val="clear" w:color="auto" w:fill="auto"/>
          </w:tcPr>
          <w:p w14:paraId="0D36EB79" w14:textId="599AE568" w:rsidR="007D6645" w:rsidRDefault="001523E5" w:rsidP="007D6645">
            <w:pPr>
              <w:pStyle w:val="Tabletext"/>
            </w:pPr>
            <w:r>
              <w:t xml:space="preserve">Outer </w:t>
            </w:r>
            <w:r w:rsidR="00570583">
              <w:t>Brisbane</w:t>
            </w:r>
          </w:p>
        </w:tc>
        <w:tc>
          <w:tcPr>
            <w:tcW w:w="2992" w:type="pct"/>
            <w:shd w:val="clear" w:color="auto" w:fill="auto"/>
          </w:tcPr>
          <w:p w14:paraId="0EF42813" w14:textId="692D48AD" w:rsidR="007D6645" w:rsidRDefault="00570583" w:rsidP="007D6645">
            <w:pPr>
              <w:pStyle w:val="Tabletext"/>
            </w:pPr>
            <w:r w:rsidRPr="00570583">
              <w:t xml:space="preserve">NT6, NT2P, NT3M, NT3N, NT3O, NT3P, NT4G, NT4H, NT4K, NT4L, NT4O, NT4P, NT5D, NT5E, NT5F, NT5G, NT5H, NT5I, NT5J, NT5K, NT5L, NT5M, NT5N, NT5O, NT5P, NT7C, NT7D, NT7F, NT7G, NT7H, NT7I, NT7J, NT7K, NT7L, NT7N, NT7O, NT7P, NT8A, NT8B, NT8C, NT8D, NT8E, NT8F, NT8G, NT8I, NT8J, NT8K, NT8M, NT8N, NT8O, NT8P, NT9M, NT9P, NU2A, NU2B, NU2C, NU2D, NU2E, NU2F, NU2G, NU2H, NU2L, NU2P, NU3A, NU3D, NU3E, NU3F, NU3G, NU3H, NU3I, NU3J, NU3K, NU3L, NU3M, NU3N, NU3O, NU3P, NU6A, NU6B, NU6C, NU6D, NT2O3, NT2O5, NT2O6, NT2O8, NT2O9, NT4C6, NT4C9, NT4D4, NT4D5, NT4D6, NT4D7, NT4D8, NT4D9, NT5A4, NT5A5, NT5A6, NT5A7, NT5A8, NT5A9, NT5B4, NT5B5, NT5B6, NT5B7, NT5B8, NT5B9, NT5C2, NT5C3, NT5C4, NT5C5, </w:t>
            </w:r>
            <w:r w:rsidRPr="00570583">
              <w:lastRenderedPageBreak/>
              <w:t>NT5C6, NT5C7, NT5C8, NT5C9, NT7A6, NT7A8, NT7A9, NT7B2, NT7B3, NT7B4, NT7B5, NT7B6, NT7B7, NT7B8, NT7B9, NT7E2, NT7E3, NT7E4, NT7E5, NT7E6, NT7E7, NT7E8, NT7E9, NT7M1, NT7M2, NT7M3, NT7M5, NT7M6, NT7M9, NT8H1, NT8H2, NT8H4, NT8H5, NT8H6, NT8H7, NT8H8, NT8H9, NT8L1, NT8L4, NT8L7, NT9A1, NT9A2, NT9A3, NT9A4, NT9A5, NT9I7, NT9I8, NT9I9, NT9J7, NT9J8, NT9N1, NT9N2, NT9N3, NT9N4, NT9N7, NT9O1, NT9O2, NT9O3, NT9O5, NT9O6, NT9O8, NT9O9, NU1B2, NU1B3, NU1B5, NU1B6, NU1C1, NU1C2, NU1C3, NU1C4, NU1C5, NU1C6, NU1D1, NU1D2, NU1D3, NU1D4, NU1D5, NU1D6, NU1D9, NU1H3, NU2J3, NU2K1, NU2K2, NU2K3, NU3B1, NU3B4, NU3B5, NU3B6, NU3B7, NU3B8, NU3B9, NU3C2, NU3C3, NU3C5, NU3C6, NU3C7, NU3C8, NU3C9, NU5D1, NU5D2, NU5D3, NU6E1, NU6E2, NU6E3, NU6E4, NU6E5, NU6E6, NU6F1, NU6F2, NU6F3, NU6F4, NU6F5, NU6F6, NU6G1, NU6G2, NU6G3, NU6G4, NU6G5, NU6G6, NU6H1, NU6H2, NU6H3, NU6H4, NU6H5, NU6H6</w:t>
            </w:r>
          </w:p>
        </w:tc>
      </w:tr>
      <w:tr w:rsidR="007D6645" w14:paraId="347AE434" w14:textId="77777777" w:rsidTr="007D6645">
        <w:tc>
          <w:tcPr>
            <w:tcW w:w="467" w:type="pct"/>
            <w:shd w:val="clear" w:color="auto" w:fill="auto"/>
          </w:tcPr>
          <w:p w14:paraId="14B66B12" w14:textId="77777777" w:rsidR="007D6645" w:rsidRDefault="007D6645" w:rsidP="007D6645">
            <w:pPr>
              <w:pStyle w:val="Tabletext"/>
            </w:pPr>
            <w:r>
              <w:lastRenderedPageBreak/>
              <w:t>3</w:t>
            </w:r>
          </w:p>
        </w:tc>
        <w:tc>
          <w:tcPr>
            <w:tcW w:w="1541" w:type="pct"/>
            <w:shd w:val="clear" w:color="auto" w:fill="auto"/>
          </w:tcPr>
          <w:p w14:paraId="35364850" w14:textId="56B2A4F8" w:rsidR="007D6645" w:rsidRDefault="001523E5" w:rsidP="007D6645">
            <w:pPr>
              <w:pStyle w:val="Tabletext"/>
            </w:pPr>
            <w:r>
              <w:t xml:space="preserve">Outer </w:t>
            </w:r>
            <w:r w:rsidR="00570583">
              <w:t>Canberra/Sydney</w:t>
            </w:r>
          </w:p>
        </w:tc>
        <w:tc>
          <w:tcPr>
            <w:tcW w:w="2992" w:type="pct"/>
            <w:shd w:val="clear" w:color="auto" w:fill="auto"/>
          </w:tcPr>
          <w:p w14:paraId="7E80F66E" w14:textId="79918056" w:rsidR="007D6645" w:rsidRDefault="00570583" w:rsidP="007D6645">
            <w:pPr>
              <w:pStyle w:val="Tabletext"/>
            </w:pPr>
            <w:r w:rsidRPr="00570583">
              <w:t xml:space="preserve">MV6, MW1, MW6, MW7, MW8, MW9, NV5, MV2P, MV3D, MV3H, MV3L, MV3M, MV3N, MV3O, MV3P, MV5D, MV5H, MV5L, MV5P, MV7L, MV7O, MV7P, MV8D, MV8H, MV8I, MV8J, MV8K, MV8L, MV8M, MV8N, MV8O, MV8P, MV9A, MV9B, MV9C, MV9D, MV9E, MV9F, MV9G, MV9H, MV9I, MV9J, MV9K, MV9L, MV9M, MV9N, MV9O, MW2A, MW2B, MW2C, MW2D, MW2E, MW2F, MW2G, MW2H, MW2I, MW2J, MW2K, MW2L, MW2O, MW2P, MW3A, MW3B, MW3C, MW3E, MW3F, MW3G, MW3I, MW3J, MW3K, MW3M, MW3N, MW3O, MW3P, MW4A, MW4B, MW4C, MW4E, MW4F, MW4G, MW4I, MW4J, MW4K, MW4M, MW4N, MW4O, MW4P, MW5C, MW5D, MW5G, MW5H, MW5K, MW5L, MW5M, MW5N, MW5O, MW5P, MX1C, MX1D, MX1H, MX2A, MX2B, MX2C, MX2D, MX2E, MX2F, MX2G, MX2H, MX3A, MX3B, MX3C, MX3D, MX3E, MX3F, MX3G, MX3H, NV1I, NV1J, NV1K, NV1L, NV1M, NV1N, NV1O, NV1P, NV2H, NV2I, NV2J, NV2K, NV2L, NV2M, NV2N, NV2O, NV2P, NV3E, NV3F, NV3G, NV3H, NV3I, NV3J, NV3K, NV3L, NV3M, NV3N, NV3O, NV3P, NV4A, NV4B, NV4C, NV4D, NV4E, NV4F, NV4G, NV4H, NV4I, NV4J, NV4K, NV4L, NV4M, NV4N, NV7A, NV7B, NV7C, NV7D, NV7E, NW1M, NW1N, NW1O, NW1P, LW3L3, LW3L5, LW3L6, LW3L8, LW3L9, </w:t>
            </w:r>
            <w:r w:rsidRPr="00570583">
              <w:lastRenderedPageBreak/>
              <w:t>LW3P3, LW3P6, LW3P9, LW6D3, LW6D6, LW6D9, LW6H3, LW6H6, LW6H9, LW6L3, LW6L6, LW6L9, LW6P3, LW6P6, LW6P9, LW9D3, LW9D6, LW9D9, MV3G9, MV3K3, MV3K6, MV3K9, MV5G5, MV5G6, MV5G8, MV5G9, MV5K2, MV5K3, MV7K6, MV7K8, MV7K9, MV7N9, MV8E6, MV8E9, MV8F4, MV8F5, MV8F6, MV8F7, MV8F8, MV8F9, MV8G4, MV8G5, MV8G6, MV8G7, MV8G8, MV8G9, MV9P1, MV9P4, MW2M1, MW2M2, MW2M3, MW2M4, MW2N1, MW2N2, MW2N3, MW2N6, MW3D4, MW3D7, MW3H1, MW3H4, MW3H7, MW3H8, MW3L1, MW3L4, MW3L5, MW3L6, MW3L7, MW3L8, MW3L9, MW4L4, MW4L7, MW4L8, MW4L9, MW5I7, MW5I8, MW5I9, MW5J3, MW5J6, MW5J7, MW5J8, MW5J9, NV2D7, NV2D8, NV2D9, NV4O1, NV4O2, NV4O3, NV4O4, NV4O5, NV4O6, NV4P1, NV4P2, NV4P3, NV4P4, NV4P5, NV4P6, NV4P8, NV4P9, NV7F1, NV7F2, NV7F3, NV7F4, NV7F5, NV7F7, NV7I1, NV7I2, NV7I3, NV7I4, NV7I5, NV7I7, NW1I4, NW1I5, NW1I6, NW1I7, NW1I8, NW1I9, NW1J4, NW1J5, NW1J6, NW1J7, NW1J8, NW1J9, NW1K4, NW1K5, NW1K6, NW1K7, NW1K8, NW1K9, NW1L4, NW1L5, NW1L6, NW1L7, NW1L8, NW1L9</w:t>
            </w:r>
          </w:p>
        </w:tc>
      </w:tr>
      <w:tr w:rsidR="00570583" w14:paraId="282F120A" w14:textId="77777777" w:rsidTr="007D6645">
        <w:tc>
          <w:tcPr>
            <w:tcW w:w="467" w:type="pct"/>
            <w:shd w:val="clear" w:color="auto" w:fill="auto"/>
          </w:tcPr>
          <w:p w14:paraId="2F1CB701" w14:textId="2D6C27B3" w:rsidR="00570583" w:rsidRDefault="00570583" w:rsidP="007D6645">
            <w:pPr>
              <w:pStyle w:val="Tabletext"/>
            </w:pPr>
            <w:r>
              <w:lastRenderedPageBreak/>
              <w:t>4</w:t>
            </w:r>
          </w:p>
        </w:tc>
        <w:tc>
          <w:tcPr>
            <w:tcW w:w="1541" w:type="pct"/>
            <w:shd w:val="clear" w:color="auto" w:fill="auto"/>
          </w:tcPr>
          <w:p w14:paraId="7BA5737B" w14:textId="5566AE4A" w:rsidR="00570583" w:rsidRDefault="001523E5" w:rsidP="007D6645">
            <w:pPr>
              <w:pStyle w:val="Tabletext"/>
            </w:pPr>
            <w:r>
              <w:t xml:space="preserve">Outer </w:t>
            </w:r>
            <w:r w:rsidR="00570583">
              <w:t>Melbourne</w:t>
            </w:r>
          </w:p>
        </w:tc>
        <w:tc>
          <w:tcPr>
            <w:tcW w:w="2992" w:type="pct"/>
            <w:shd w:val="clear" w:color="auto" w:fill="auto"/>
          </w:tcPr>
          <w:p w14:paraId="154C38E3" w14:textId="59C432EC" w:rsidR="00570583" w:rsidRPr="00570583" w:rsidRDefault="00570583" w:rsidP="007D6645">
            <w:pPr>
              <w:pStyle w:val="Tabletext"/>
            </w:pPr>
            <w:r w:rsidRPr="00570583">
              <w:t xml:space="preserve">KW9, KX2, KX5, KX8, KX9, LX5, LX7, LX8, KW7L, KW7O, KW7P, KW8B, KW8C, KW8D, KW8E, KW8F, KW8G, KW8H, KW8I, KW8J, KW8K, KW8L, KW8M, KW8N, KW8O, KW8P, KX1C, KX1D, KX1G, KX1H, KX1K, KX1L, KX1O, KX1P, KX3A, KX3B, KX3C, KX3D, KX3E, KX3F, KX3G, KX3H, KX3I, KX3J, KX3K, KX3M, KX3N, KX3O, KX4C, KX4D, KX4G, KX4H, KX4J, KX4K, KX4L, KX4N, KX4O, KX4P, KX6A, KX6B, KX6C, KX6E, KX6F, KX6G, KX6H, KX6I, KX6J, KX6K, KX6L, KX6M, KX6N, KX6O, KX6P, LW7A, LW7E, LW7F, LW7I, LW7J, LW7K, LW7M, LW7N, LW7O, LW7P, LX1A, LX1B, LX1C, LX1D, LX1E, LX1F, LX1G, LX1H, LX1J, LX1K, LX1L, LX1O, LX1P, LX2A, LX2E, LX2I, LX2M, LX2N, LX2O, LX4C, LX4D, LX4E, LX4F, LX4G, LX4H, LX4I, LX4J, LX4K, LX4L, LX4M, LX4N, LX4O, LX4P, LX6A, LX6E, LX6I, LX6M, KW5P8, KW5P9, KW6M7, KW6M8, KW6M9, KW6N7, KW6N8, KW6N9, KW6O7, KW6O8, KW6O9, KW6P7, KW6P8, KW6P9, KW7D9, KW7H3, KW7H5, KW7H6, KW7H8, KW7H9, KW7K5, KW7K6, KW7K8, KW7K9, KW8A2, KW8A3, KW8A4, KW8A5, KW8A6, KW8A7, KW8A8, KW8A9, KX1J9, KX1N3, KX1N6, KX1N9, KX3L1, KX3L2, KX3L3, KX3L4, KX3L5, KX4B3, KX4B6, KX4B9, KX4F3, </w:t>
            </w:r>
            <w:r w:rsidRPr="00570583">
              <w:lastRenderedPageBreak/>
              <w:t>KX4F5, KX4F6, KX4F7, KX4F8, KX4F9, KX6D4, KX6D7, KX6D8, KX6D9, LW4M7, LW4M8, LW4M9, LW7B1, LW7B4, LW7B5, LW7B7, LW7B8, LW7B9, LW7C7, LW7C8, LW7G1, LW7G2, LW7G4, LW7G5, LW7G6, LW7G7, LW7G8, LW7G9, LW7H7, LW7L1, LW7L2, LW7L4, LW7L5, LW7L7, LW7L8, LW8M4, LW8M5, LW8M7, LW8M8, LW8M9, LX1I1, LX1I2, LX1I3, LX1I4, LX1I5, LX1I6, LX1I8, LX1I9, LX1N1, LX1N2, LX1N3, LX1N5, LX1N6, LX1N7, LX1N8, LX1N9, LX2P4, LX2P5, LX2P6, LX2P7, LX2P8, LX2P9, LX3M7, LX3M8, LX3M9, LX4A6, LX4A7, LX4A8, LX4A9, LX4B2, LX4B3, LX4B4, LX4B5, LX4B6, LX4B7, LX4B8, LX4B9, LX6B4, LX6B7, LX6F1, LX6F4, LX6F7, LX6J1, LX6J4, LX6J7, LX6N1, LX6N4</w:t>
            </w:r>
          </w:p>
        </w:tc>
      </w:tr>
      <w:tr w:rsidR="00570583" w14:paraId="2A066719" w14:textId="77777777" w:rsidTr="007D6645">
        <w:tc>
          <w:tcPr>
            <w:tcW w:w="467" w:type="pct"/>
            <w:shd w:val="clear" w:color="auto" w:fill="auto"/>
          </w:tcPr>
          <w:p w14:paraId="148E9807" w14:textId="32EBC029" w:rsidR="00570583" w:rsidRDefault="00570583" w:rsidP="007D6645">
            <w:pPr>
              <w:pStyle w:val="Tabletext"/>
            </w:pPr>
            <w:r>
              <w:lastRenderedPageBreak/>
              <w:t>5</w:t>
            </w:r>
          </w:p>
        </w:tc>
        <w:tc>
          <w:tcPr>
            <w:tcW w:w="1541" w:type="pct"/>
            <w:shd w:val="clear" w:color="auto" w:fill="auto"/>
          </w:tcPr>
          <w:p w14:paraId="3D6B128B" w14:textId="0E0E1064" w:rsidR="00570583" w:rsidRDefault="001523E5" w:rsidP="007D6645">
            <w:pPr>
              <w:pStyle w:val="Tabletext"/>
            </w:pPr>
            <w:r>
              <w:t xml:space="preserve">Outer </w:t>
            </w:r>
            <w:r w:rsidR="00570583">
              <w:t>Perth</w:t>
            </w:r>
          </w:p>
        </w:tc>
        <w:tc>
          <w:tcPr>
            <w:tcW w:w="2992" w:type="pct"/>
            <w:shd w:val="clear" w:color="auto" w:fill="auto"/>
          </w:tcPr>
          <w:p w14:paraId="4FB33BB5" w14:textId="742CDBD5" w:rsidR="00570583" w:rsidRPr="00570583" w:rsidRDefault="00570583" w:rsidP="007D6645">
            <w:pPr>
              <w:pStyle w:val="Tabletext"/>
            </w:pPr>
            <w:r w:rsidRPr="00570583">
              <w:t xml:space="preserve">AU6I, AU6J, AU6K, AU6L, AU6M, AU6N, AU6O, AU6P, AU9, AV9, AW3, </w:t>
            </w:r>
            <w:r w:rsidR="00A2438E" w:rsidRPr="00DF0AC6">
              <w:t>BU7, BU8</w:t>
            </w:r>
            <w:r w:rsidR="00A2438E" w:rsidRPr="001D4C39">
              <w:t>,</w:t>
            </w:r>
            <w:r w:rsidR="00A2438E">
              <w:t xml:space="preserve"> </w:t>
            </w:r>
            <w:r w:rsidRPr="00570583">
              <w:t>BU4H, BU4I, BU4J, BU4K, BU4L, BU4M, BU4N, BU4O, BU4P, BU5E, BU5F, BU5G, BU5H, BU5I, BU5J, BU5K, BU5L, BU5M, BU5N, BU5O, BU5P, BU9A, BU9B, BU9E, BU9F, BU9I, BU9J, BU9M, BU9N</w:t>
            </w:r>
            <w:r w:rsidR="003B2AB3" w:rsidRPr="001D4C39">
              <w:t>,</w:t>
            </w:r>
            <w:r w:rsidR="003B2AB3">
              <w:t xml:space="preserve"> </w:t>
            </w:r>
            <w:r w:rsidRPr="00570583">
              <w:t>BV2, BV5, BV7, BV8, BW1, BW2, BW5, BV1A, BV1B, BV1C, BV1D, BV1E, BV1F, BV1G, BV1H, BV1I, BV1J, BV1K, BV3A, BV3B, BV3E, BV3F, BV3I, BV3J, BV3M, BV3N, BV4H, BV4I, BV4J, BV4K, BV4L, BV4M, BV4N, BV4O, BV4P, BV6A, BV6B, BV6E, BV6F, BV6I, BV6J, BV6M, BV6N, BV9A, BV9B, BV9E, BV9F, BV9I, BV9J, BV9M, BV9N, BW3A, BW6A, BW6E, BW6I, BW6M, BV1L1, BV1L2, BV1L3, BV1L4, BV1L6, BV1L7, BV1L9, BV1P3, BV1P6, BV3C1, BV3C2, BV3C4, BV3C5, BV3C7, BV3C8, BV3G1, BV3G2, BV3G4, BV3G5, BV4D5, BV4D6, BV4D7, BV4D8, BV4D9, BV4E4, BV4E5, BV4E6, BV4E7, BV4E8, BV4E9, BV4F4, BV4F5, BV4F6, BV4F7, BV4F8, BV4F9, BV4G4, BV4G5, BV4G6, BV4G7, BV4G8, BV4G9, BV9C1, BV9C2, BV9C4, BV9C5, BV9C7, BV9C8, BV9G1, BV9G2, BV9G4, BV9G5, BV9G7, BV9G8, BW3M4, BW3M7, BW3M8</w:t>
            </w:r>
          </w:p>
        </w:tc>
      </w:tr>
    </w:tbl>
    <w:p w14:paraId="605093D0" w14:textId="145E0936" w:rsidR="00A75FE9" w:rsidRDefault="00A75FE9" w:rsidP="008B7F67">
      <w:pPr>
        <w:spacing w:line="240" w:lineRule="auto"/>
      </w:pPr>
    </w:p>
    <w:sectPr w:rsidR="00A75FE9"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F14" w16cex:dateUtc="2020-11-26T00:25:00Z"/>
  <w16cex:commentExtensible w16cex:durableId="236A0F8B" w16cex:dateUtc="2020-11-26T00:27:00Z"/>
  <w16cex:commentExtensible w16cex:durableId="236A0F91" w16cex:dateUtc="2020-11-26T00:27:00Z"/>
  <w16cex:commentExtensible w16cex:durableId="236A0FEC" w16cex:dateUtc="2020-11-26T00:28:00Z"/>
  <w16cex:commentExtensible w16cex:durableId="236A152F" w16cex:dateUtc="2020-11-26T0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014FA" w14:textId="77777777" w:rsidR="00EF7BB4" w:rsidRDefault="00EF7BB4" w:rsidP="00715914">
      <w:pPr>
        <w:spacing w:line="240" w:lineRule="auto"/>
      </w:pPr>
      <w:r>
        <w:separator/>
      </w:r>
    </w:p>
  </w:endnote>
  <w:endnote w:type="continuationSeparator" w:id="0">
    <w:p w14:paraId="5A564762" w14:textId="77777777" w:rsidR="00EF7BB4" w:rsidRDefault="00EF7BB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77D1" w14:textId="77777777" w:rsidR="00EF7BB4" w:rsidRPr="00E33C1C" w:rsidRDefault="00EF7BB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F7BB4" w14:paraId="42781A47" w14:textId="77777777" w:rsidTr="00B33709">
      <w:tc>
        <w:tcPr>
          <w:tcW w:w="709" w:type="dxa"/>
          <w:tcBorders>
            <w:top w:val="nil"/>
            <w:left w:val="nil"/>
            <w:bottom w:val="nil"/>
            <w:right w:val="nil"/>
          </w:tcBorders>
        </w:tcPr>
        <w:p w14:paraId="62E58329" w14:textId="77777777" w:rsidR="00EF7BB4" w:rsidRDefault="00EF7BB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9E5ADDD" w14:textId="77777777" w:rsidR="00EF7BB4" w:rsidRPr="004E1307" w:rsidRDefault="00EF7BB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1B4BB554" w14:textId="77777777" w:rsidR="00EF7BB4" w:rsidRDefault="00EF7BB4" w:rsidP="00A369E3">
          <w:pPr>
            <w:spacing w:line="0" w:lineRule="atLeast"/>
            <w:jc w:val="right"/>
            <w:rPr>
              <w:sz w:val="18"/>
            </w:rPr>
          </w:pPr>
        </w:p>
      </w:tc>
    </w:tr>
    <w:tr w:rsidR="00EF7BB4" w14:paraId="2FD1160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94E991" w14:textId="77777777" w:rsidR="00EF7BB4" w:rsidRDefault="00EF7BB4" w:rsidP="00A369E3">
          <w:pPr>
            <w:jc w:val="right"/>
            <w:rPr>
              <w:sz w:val="18"/>
            </w:rPr>
          </w:pPr>
        </w:p>
      </w:tc>
    </w:tr>
  </w:tbl>
  <w:p w14:paraId="0345CBEE" w14:textId="77777777" w:rsidR="00EF7BB4" w:rsidRPr="00ED79B6" w:rsidRDefault="00EF7BB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FB12" w14:textId="77777777" w:rsidR="00EF7BB4" w:rsidRPr="00E33C1C" w:rsidRDefault="00EF7BB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EF7BB4" w14:paraId="3657A1EF" w14:textId="77777777" w:rsidTr="00A369E3">
      <w:tc>
        <w:tcPr>
          <w:tcW w:w="1384" w:type="dxa"/>
          <w:tcBorders>
            <w:top w:val="nil"/>
            <w:left w:val="nil"/>
            <w:bottom w:val="nil"/>
            <w:right w:val="nil"/>
          </w:tcBorders>
        </w:tcPr>
        <w:p w14:paraId="64F9B190" w14:textId="77777777" w:rsidR="00EF7BB4" w:rsidRDefault="00EF7BB4" w:rsidP="00A369E3">
          <w:pPr>
            <w:spacing w:line="0" w:lineRule="atLeast"/>
            <w:rPr>
              <w:sz w:val="18"/>
            </w:rPr>
          </w:pPr>
        </w:p>
      </w:tc>
      <w:tc>
        <w:tcPr>
          <w:tcW w:w="6379" w:type="dxa"/>
          <w:tcBorders>
            <w:top w:val="nil"/>
            <w:left w:val="nil"/>
            <w:bottom w:val="nil"/>
            <w:right w:val="nil"/>
          </w:tcBorders>
        </w:tcPr>
        <w:p w14:paraId="5A1DBADA" w14:textId="77777777" w:rsidR="00EF7BB4" w:rsidRDefault="00EF7BB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196195B" w14:textId="77777777" w:rsidR="00EF7BB4" w:rsidRDefault="00EF7BB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F7BB4" w14:paraId="2EC36D10"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AEC1A8D" w14:textId="77777777" w:rsidR="00EF7BB4" w:rsidRDefault="00EF7BB4" w:rsidP="00A369E3">
          <w:pPr>
            <w:rPr>
              <w:sz w:val="18"/>
            </w:rPr>
          </w:pPr>
        </w:p>
      </w:tc>
    </w:tr>
  </w:tbl>
  <w:p w14:paraId="1A3BD07D" w14:textId="77777777" w:rsidR="00EF7BB4" w:rsidRPr="00ED79B6" w:rsidRDefault="00EF7BB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DCEA" w14:textId="77777777" w:rsidR="00EF7BB4" w:rsidRPr="00E33C1C" w:rsidRDefault="00EF7BB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F7BB4" w14:paraId="16A00FB9" w14:textId="77777777" w:rsidTr="00B33709">
      <w:tc>
        <w:tcPr>
          <w:tcW w:w="1384" w:type="dxa"/>
          <w:tcBorders>
            <w:top w:val="nil"/>
            <w:left w:val="nil"/>
            <w:bottom w:val="nil"/>
            <w:right w:val="nil"/>
          </w:tcBorders>
        </w:tcPr>
        <w:p w14:paraId="18C1C8C3" w14:textId="77777777" w:rsidR="00EF7BB4" w:rsidRDefault="00EF7BB4" w:rsidP="00A369E3">
          <w:pPr>
            <w:spacing w:line="0" w:lineRule="atLeast"/>
            <w:rPr>
              <w:sz w:val="18"/>
            </w:rPr>
          </w:pPr>
        </w:p>
      </w:tc>
      <w:tc>
        <w:tcPr>
          <w:tcW w:w="6379" w:type="dxa"/>
          <w:tcBorders>
            <w:top w:val="nil"/>
            <w:left w:val="nil"/>
            <w:bottom w:val="nil"/>
            <w:right w:val="nil"/>
          </w:tcBorders>
        </w:tcPr>
        <w:p w14:paraId="5D3FACD1" w14:textId="77777777" w:rsidR="00EF7BB4" w:rsidRDefault="00EF7BB4" w:rsidP="00A369E3">
          <w:pPr>
            <w:spacing w:line="0" w:lineRule="atLeast"/>
            <w:jc w:val="center"/>
            <w:rPr>
              <w:sz w:val="18"/>
            </w:rPr>
          </w:pPr>
        </w:p>
      </w:tc>
      <w:tc>
        <w:tcPr>
          <w:tcW w:w="709" w:type="dxa"/>
          <w:tcBorders>
            <w:top w:val="nil"/>
            <w:left w:val="nil"/>
            <w:bottom w:val="nil"/>
            <w:right w:val="nil"/>
          </w:tcBorders>
        </w:tcPr>
        <w:p w14:paraId="6ED5AECE" w14:textId="77777777" w:rsidR="00EF7BB4" w:rsidRDefault="00EF7BB4" w:rsidP="00A369E3">
          <w:pPr>
            <w:spacing w:line="0" w:lineRule="atLeast"/>
            <w:jc w:val="right"/>
            <w:rPr>
              <w:sz w:val="18"/>
            </w:rPr>
          </w:pPr>
        </w:p>
      </w:tc>
    </w:tr>
  </w:tbl>
  <w:p w14:paraId="7BF8D40E" w14:textId="20AF5E6D" w:rsidR="00EF7BB4" w:rsidRPr="00BD17CE" w:rsidRDefault="00EF7BB4" w:rsidP="00724BB9">
    <w:pPr>
      <w:pStyle w:val="Header"/>
      <w:jc w:val="center"/>
      <w:rPr>
        <w:b/>
        <w:color w:val="FF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8B01" w14:textId="77777777" w:rsidR="00EF7BB4" w:rsidRPr="002B0EA5" w:rsidRDefault="00EF7BB4" w:rsidP="007D664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F7BB4" w14:paraId="0504A2FE" w14:textId="77777777" w:rsidTr="007D6645">
      <w:tc>
        <w:tcPr>
          <w:tcW w:w="365" w:type="pct"/>
        </w:tcPr>
        <w:p w14:paraId="3E128951" w14:textId="48E5FD5C" w:rsidR="00EF7BB4" w:rsidRDefault="00EF7BB4" w:rsidP="007D66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15A9">
            <w:rPr>
              <w:i/>
              <w:noProof/>
              <w:sz w:val="18"/>
            </w:rPr>
            <w:t>8</w:t>
          </w:r>
          <w:r w:rsidRPr="00ED79B6">
            <w:rPr>
              <w:i/>
              <w:sz w:val="18"/>
            </w:rPr>
            <w:fldChar w:fldCharType="end"/>
          </w:r>
        </w:p>
      </w:tc>
      <w:tc>
        <w:tcPr>
          <w:tcW w:w="3688" w:type="pct"/>
        </w:tcPr>
        <w:p w14:paraId="682ACE1A" w14:textId="335877C1" w:rsidR="00EF7BB4" w:rsidRDefault="00EF7BB4" w:rsidP="007D664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115A9">
            <w:rPr>
              <w:i/>
              <w:noProof/>
              <w:sz w:val="18"/>
            </w:rPr>
            <w:t>Radiocommunications (Spectrum Access Charges—3.4 GHz Band) Direction 2020</w:t>
          </w:r>
          <w:r w:rsidRPr="004E1307">
            <w:rPr>
              <w:i/>
              <w:sz w:val="18"/>
            </w:rPr>
            <w:fldChar w:fldCharType="end"/>
          </w:r>
        </w:p>
      </w:tc>
      <w:tc>
        <w:tcPr>
          <w:tcW w:w="947" w:type="pct"/>
        </w:tcPr>
        <w:p w14:paraId="4D31A7F1" w14:textId="77777777" w:rsidR="00EF7BB4" w:rsidRDefault="00EF7BB4" w:rsidP="007D6645">
          <w:pPr>
            <w:spacing w:line="0" w:lineRule="atLeast"/>
            <w:jc w:val="right"/>
            <w:rPr>
              <w:sz w:val="18"/>
            </w:rPr>
          </w:pPr>
        </w:p>
      </w:tc>
    </w:tr>
    <w:tr w:rsidR="00EF7BB4" w14:paraId="412B3084" w14:textId="77777777" w:rsidTr="007D6645">
      <w:tc>
        <w:tcPr>
          <w:tcW w:w="5000" w:type="pct"/>
          <w:gridSpan w:val="3"/>
        </w:tcPr>
        <w:p w14:paraId="1DEDA6F8" w14:textId="77777777" w:rsidR="00EF7BB4" w:rsidRDefault="00EF7BB4" w:rsidP="007D6645">
          <w:pPr>
            <w:jc w:val="right"/>
            <w:rPr>
              <w:sz w:val="18"/>
            </w:rPr>
          </w:pPr>
        </w:p>
      </w:tc>
    </w:tr>
  </w:tbl>
  <w:p w14:paraId="580CBB4A" w14:textId="28BA56A8" w:rsidR="00EF7BB4" w:rsidRPr="00BD17CE" w:rsidRDefault="00EF7BB4" w:rsidP="00724BB9">
    <w:pPr>
      <w:pStyle w:val="Header"/>
      <w:jc w:val="center"/>
      <w:rPr>
        <w:b/>
        <w:color w:val="FF000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D2D5" w14:textId="77777777" w:rsidR="00EF7BB4" w:rsidRPr="002B0EA5" w:rsidRDefault="00EF7BB4" w:rsidP="007D664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F7BB4" w14:paraId="783DCD32" w14:textId="77777777" w:rsidTr="007D6645">
      <w:tc>
        <w:tcPr>
          <w:tcW w:w="947" w:type="pct"/>
        </w:tcPr>
        <w:p w14:paraId="53D2253F" w14:textId="77777777" w:rsidR="00EF7BB4" w:rsidRDefault="00EF7BB4" w:rsidP="007D6645">
          <w:pPr>
            <w:spacing w:line="0" w:lineRule="atLeast"/>
            <w:rPr>
              <w:sz w:val="18"/>
            </w:rPr>
          </w:pPr>
        </w:p>
      </w:tc>
      <w:tc>
        <w:tcPr>
          <w:tcW w:w="3688" w:type="pct"/>
        </w:tcPr>
        <w:p w14:paraId="3FEBC312" w14:textId="3C4DDC6F" w:rsidR="00EF7BB4" w:rsidRDefault="00EF7BB4" w:rsidP="007D664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115A9">
            <w:rPr>
              <w:i/>
              <w:noProof/>
              <w:sz w:val="18"/>
            </w:rPr>
            <w:t>Radiocommunications (Spectrum Access Charges—3.4 GHz Band) Direction 2020</w:t>
          </w:r>
          <w:r w:rsidRPr="004E1307">
            <w:rPr>
              <w:i/>
              <w:sz w:val="18"/>
            </w:rPr>
            <w:fldChar w:fldCharType="end"/>
          </w:r>
        </w:p>
      </w:tc>
      <w:tc>
        <w:tcPr>
          <w:tcW w:w="365" w:type="pct"/>
        </w:tcPr>
        <w:p w14:paraId="52A75391" w14:textId="4CC1F04F" w:rsidR="00EF7BB4" w:rsidRDefault="00EF7BB4" w:rsidP="007D66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15A9">
            <w:rPr>
              <w:i/>
              <w:noProof/>
              <w:sz w:val="18"/>
            </w:rPr>
            <w:t>7</w:t>
          </w:r>
          <w:r w:rsidRPr="00ED79B6">
            <w:rPr>
              <w:i/>
              <w:sz w:val="18"/>
            </w:rPr>
            <w:fldChar w:fldCharType="end"/>
          </w:r>
        </w:p>
      </w:tc>
    </w:tr>
    <w:tr w:rsidR="00EF7BB4" w14:paraId="7622D9DC" w14:textId="77777777" w:rsidTr="007D6645">
      <w:tc>
        <w:tcPr>
          <w:tcW w:w="5000" w:type="pct"/>
          <w:gridSpan w:val="3"/>
        </w:tcPr>
        <w:p w14:paraId="75F5EA1A" w14:textId="77777777" w:rsidR="00EF7BB4" w:rsidRDefault="00EF7BB4" w:rsidP="007D6645">
          <w:pPr>
            <w:rPr>
              <w:sz w:val="18"/>
            </w:rPr>
          </w:pPr>
        </w:p>
      </w:tc>
    </w:tr>
  </w:tbl>
  <w:p w14:paraId="56759633" w14:textId="2433FB1C" w:rsidR="00724BB9" w:rsidRDefault="00724BB9" w:rsidP="004A077F">
    <w:pPr>
      <w:pStyle w:val="Header"/>
      <w:rPr>
        <w:b/>
        <w:color w:val="FF0000"/>
        <w:sz w:val="18"/>
        <w:szCs w:val="18"/>
      </w:rPr>
    </w:pPr>
  </w:p>
  <w:p w14:paraId="6D333EFD" w14:textId="4903541B" w:rsidR="00EF7BB4" w:rsidRPr="00BD17CE" w:rsidRDefault="00EF7BB4" w:rsidP="00724BB9">
    <w:pPr>
      <w:pStyle w:val="Header"/>
      <w:jc w:val="center"/>
      <w:rPr>
        <w:b/>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B2FE" w14:textId="77777777" w:rsidR="00EF7BB4" w:rsidRDefault="00EF7BB4" w:rsidP="00715914">
      <w:pPr>
        <w:spacing w:line="240" w:lineRule="auto"/>
      </w:pPr>
      <w:r>
        <w:separator/>
      </w:r>
    </w:p>
  </w:footnote>
  <w:footnote w:type="continuationSeparator" w:id="0">
    <w:p w14:paraId="281421E2" w14:textId="77777777" w:rsidR="00EF7BB4" w:rsidRDefault="00EF7BB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133E" w14:textId="77777777" w:rsidR="00EF7BB4" w:rsidRPr="005F1388" w:rsidRDefault="00EF7BB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F4C8B" w14:textId="77777777" w:rsidR="00EF7BB4" w:rsidRPr="005F1388" w:rsidRDefault="00EF7BB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2271" w14:textId="77777777" w:rsidR="00EF7BB4" w:rsidRDefault="00EF7BB4" w:rsidP="00BD17CE">
    <w:pPr>
      <w:pStyle w:val="Header"/>
      <w:jc w:val="center"/>
      <w:rPr>
        <w:b/>
        <w:color w:val="FF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238E8" w14:textId="77777777" w:rsidR="00EF7BB4" w:rsidRPr="007A1328" w:rsidRDefault="00EF7BB4" w:rsidP="00715914">
    <w:pPr>
      <w:rPr>
        <w:sz w:val="20"/>
      </w:rPr>
    </w:pPr>
  </w:p>
  <w:p w14:paraId="35FDEB42" w14:textId="77777777" w:rsidR="00EF7BB4" w:rsidRPr="007A1328" w:rsidRDefault="00EF7BB4" w:rsidP="00715914">
    <w:pPr>
      <w:rPr>
        <w:b/>
        <w:sz w:val="24"/>
      </w:rPr>
    </w:pPr>
  </w:p>
  <w:p w14:paraId="693707AF" w14:textId="77777777" w:rsidR="00EF7BB4" w:rsidRPr="007A1328" w:rsidRDefault="00EF7BB4"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BA93" w14:textId="77777777" w:rsidR="00EF7BB4" w:rsidRPr="007A1328" w:rsidRDefault="00EF7BB4" w:rsidP="00715914">
    <w:pPr>
      <w:jc w:val="right"/>
      <w:rPr>
        <w:sz w:val="20"/>
      </w:rPr>
    </w:pPr>
  </w:p>
  <w:p w14:paraId="00608E25" w14:textId="77777777" w:rsidR="00EF7BB4" w:rsidRPr="007A1328" w:rsidRDefault="00EF7BB4" w:rsidP="00715914">
    <w:pPr>
      <w:jc w:val="right"/>
      <w:rPr>
        <w:sz w:val="20"/>
      </w:rPr>
    </w:pPr>
  </w:p>
  <w:p w14:paraId="1339D4C5" w14:textId="77777777" w:rsidR="00EF7BB4" w:rsidRPr="007A1328" w:rsidRDefault="00EF7BB4" w:rsidP="00715914">
    <w:pPr>
      <w:jc w:val="right"/>
      <w:rPr>
        <w:b/>
        <w:sz w:val="24"/>
      </w:rPr>
    </w:pPr>
  </w:p>
  <w:p w14:paraId="2CA44D4E" w14:textId="77777777" w:rsidR="00EF7BB4" w:rsidRPr="007A1328" w:rsidRDefault="00EF7BB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C0EA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0EB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9610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8A0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82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6CFE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E02E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DA04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81A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EE6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1A141B4"/>
    <w:multiLevelType w:val="hybridMultilevel"/>
    <w:tmpl w:val="4F3411FA"/>
    <w:lvl w:ilvl="0" w:tplc="D1F05D3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98"/>
    <w:rsid w:val="00004174"/>
    <w:rsid w:val="00004470"/>
    <w:rsid w:val="000052F4"/>
    <w:rsid w:val="00006DC8"/>
    <w:rsid w:val="000136AF"/>
    <w:rsid w:val="000256AE"/>
    <w:rsid w:val="000258B1"/>
    <w:rsid w:val="0003364C"/>
    <w:rsid w:val="00033BE8"/>
    <w:rsid w:val="00040A89"/>
    <w:rsid w:val="000437C1"/>
    <w:rsid w:val="0004455A"/>
    <w:rsid w:val="0005207A"/>
    <w:rsid w:val="0005365D"/>
    <w:rsid w:val="000614BF"/>
    <w:rsid w:val="00065037"/>
    <w:rsid w:val="0006709C"/>
    <w:rsid w:val="00074376"/>
    <w:rsid w:val="00085F76"/>
    <w:rsid w:val="0008617F"/>
    <w:rsid w:val="00095F33"/>
    <w:rsid w:val="000978F5"/>
    <w:rsid w:val="000A028C"/>
    <w:rsid w:val="000A75B6"/>
    <w:rsid w:val="000B15CD"/>
    <w:rsid w:val="000B35EB"/>
    <w:rsid w:val="000B5678"/>
    <w:rsid w:val="000D05EF"/>
    <w:rsid w:val="000D3428"/>
    <w:rsid w:val="000D7419"/>
    <w:rsid w:val="000E2261"/>
    <w:rsid w:val="000E5AAC"/>
    <w:rsid w:val="000E78B7"/>
    <w:rsid w:val="000F21C1"/>
    <w:rsid w:val="000F3053"/>
    <w:rsid w:val="000F441E"/>
    <w:rsid w:val="000F4DF9"/>
    <w:rsid w:val="0010745C"/>
    <w:rsid w:val="00111ABB"/>
    <w:rsid w:val="001262EF"/>
    <w:rsid w:val="00127892"/>
    <w:rsid w:val="00131E2B"/>
    <w:rsid w:val="00132CEB"/>
    <w:rsid w:val="001339B0"/>
    <w:rsid w:val="00133B4D"/>
    <w:rsid w:val="001361B6"/>
    <w:rsid w:val="00142B62"/>
    <w:rsid w:val="001441B7"/>
    <w:rsid w:val="00146FAD"/>
    <w:rsid w:val="00150584"/>
    <w:rsid w:val="001516CB"/>
    <w:rsid w:val="00152336"/>
    <w:rsid w:val="001523E5"/>
    <w:rsid w:val="00152B55"/>
    <w:rsid w:val="00154759"/>
    <w:rsid w:val="001552D4"/>
    <w:rsid w:val="001560AC"/>
    <w:rsid w:val="00157B8B"/>
    <w:rsid w:val="00160FFA"/>
    <w:rsid w:val="00166C2F"/>
    <w:rsid w:val="001809D7"/>
    <w:rsid w:val="00181D24"/>
    <w:rsid w:val="00183811"/>
    <w:rsid w:val="001939E1"/>
    <w:rsid w:val="00194C3E"/>
    <w:rsid w:val="00195382"/>
    <w:rsid w:val="00195CE7"/>
    <w:rsid w:val="001B29B3"/>
    <w:rsid w:val="001B2CB6"/>
    <w:rsid w:val="001C61C5"/>
    <w:rsid w:val="001C69C4"/>
    <w:rsid w:val="001D37EF"/>
    <w:rsid w:val="001D4C39"/>
    <w:rsid w:val="001D6E8C"/>
    <w:rsid w:val="001E3590"/>
    <w:rsid w:val="001E7407"/>
    <w:rsid w:val="001E75AA"/>
    <w:rsid w:val="001F5D5E"/>
    <w:rsid w:val="001F6219"/>
    <w:rsid w:val="001F6CD4"/>
    <w:rsid w:val="0020333B"/>
    <w:rsid w:val="00206C4D"/>
    <w:rsid w:val="002074C4"/>
    <w:rsid w:val="00211255"/>
    <w:rsid w:val="00215AF1"/>
    <w:rsid w:val="002176B8"/>
    <w:rsid w:val="002308EC"/>
    <w:rsid w:val="002321E8"/>
    <w:rsid w:val="00232984"/>
    <w:rsid w:val="0024010F"/>
    <w:rsid w:val="00240749"/>
    <w:rsid w:val="00243018"/>
    <w:rsid w:val="002564A4"/>
    <w:rsid w:val="0026736C"/>
    <w:rsid w:val="00274E2F"/>
    <w:rsid w:val="00281308"/>
    <w:rsid w:val="00284719"/>
    <w:rsid w:val="00286E90"/>
    <w:rsid w:val="002900F7"/>
    <w:rsid w:val="00296948"/>
    <w:rsid w:val="00297ECB"/>
    <w:rsid w:val="002A385F"/>
    <w:rsid w:val="002A7BCF"/>
    <w:rsid w:val="002B6067"/>
    <w:rsid w:val="002C3FD1"/>
    <w:rsid w:val="002D043A"/>
    <w:rsid w:val="002D266B"/>
    <w:rsid w:val="002D2790"/>
    <w:rsid w:val="002D6224"/>
    <w:rsid w:val="002F28C6"/>
    <w:rsid w:val="00302503"/>
    <w:rsid w:val="00303A94"/>
    <w:rsid w:val="00303CC7"/>
    <w:rsid w:val="00304F8B"/>
    <w:rsid w:val="00307FF7"/>
    <w:rsid w:val="00317A6C"/>
    <w:rsid w:val="003217C6"/>
    <w:rsid w:val="00335BC6"/>
    <w:rsid w:val="00340689"/>
    <w:rsid w:val="003415D3"/>
    <w:rsid w:val="00343A4C"/>
    <w:rsid w:val="00344338"/>
    <w:rsid w:val="00344701"/>
    <w:rsid w:val="00352B0F"/>
    <w:rsid w:val="003560D5"/>
    <w:rsid w:val="00357626"/>
    <w:rsid w:val="00360459"/>
    <w:rsid w:val="00361B77"/>
    <w:rsid w:val="00363A12"/>
    <w:rsid w:val="00373D02"/>
    <w:rsid w:val="003767E2"/>
    <w:rsid w:val="0038049F"/>
    <w:rsid w:val="00394BCC"/>
    <w:rsid w:val="003B2AB3"/>
    <w:rsid w:val="003B5728"/>
    <w:rsid w:val="003C6231"/>
    <w:rsid w:val="003D0BFE"/>
    <w:rsid w:val="003D5700"/>
    <w:rsid w:val="003E341B"/>
    <w:rsid w:val="003E3E75"/>
    <w:rsid w:val="003E4D00"/>
    <w:rsid w:val="00401598"/>
    <w:rsid w:val="004114D6"/>
    <w:rsid w:val="004116CD"/>
    <w:rsid w:val="00417EB9"/>
    <w:rsid w:val="00420B0C"/>
    <w:rsid w:val="00424CA9"/>
    <w:rsid w:val="004276DF"/>
    <w:rsid w:val="00430E21"/>
    <w:rsid w:val="00431E9B"/>
    <w:rsid w:val="00433B17"/>
    <w:rsid w:val="004379E3"/>
    <w:rsid w:val="0044015E"/>
    <w:rsid w:val="0044291A"/>
    <w:rsid w:val="00467661"/>
    <w:rsid w:val="00471CC4"/>
    <w:rsid w:val="00472DBE"/>
    <w:rsid w:val="00474A19"/>
    <w:rsid w:val="00477830"/>
    <w:rsid w:val="00487764"/>
    <w:rsid w:val="00496F97"/>
    <w:rsid w:val="004A077F"/>
    <w:rsid w:val="004B27F7"/>
    <w:rsid w:val="004B4957"/>
    <w:rsid w:val="004B6C48"/>
    <w:rsid w:val="004C4E59"/>
    <w:rsid w:val="004C6809"/>
    <w:rsid w:val="004D52D6"/>
    <w:rsid w:val="004D7E95"/>
    <w:rsid w:val="004E063A"/>
    <w:rsid w:val="004E1307"/>
    <w:rsid w:val="004E51A9"/>
    <w:rsid w:val="004E7BEC"/>
    <w:rsid w:val="004F42A3"/>
    <w:rsid w:val="004F576D"/>
    <w:rsid w:val="004F61D5"/>
    <w:rsid w:val="00500C97"/>
    <w:rsid w:val="00505D3D"/>
    <w:rsid w:val="00506AF6"/>
    <w:rsid w:val="00516B8D"/>
    <w:rsid w:val="005301DD"/>
    <w:rsid w:val="005303C8"/>
    <w:rsid w:val="00537E4F"/>
    <w:rsid w:val="00537FBC"/>
    <w:rsid w:val="00542F90"/>
    <w:rsid w:val="00547BCA"/>
    <w:rsid w:val="00554826"/>
    <w:rsid w:val="005569AB"/>
    <w:rsid w:val="00560FD8"/>
    <w:rsid w:val="00562877"/>
    <w:rsid w:val="00570583"/>
    <w:rsid w:val="00581BDD"/>
    <w:rsid w:val="00584034"/>
    <w:rsid w:val="00584811"/>
    <w:rsid w:val="00585784"/>
    <w:rsid w:val="00592D51"/>
    <w:rsid w:val="00593AA6"/>
    <w:rsid w:val="00594161"/>
    <w:rsid w:val="00594749"/>
    <w:rsid w:val="005A65D5"/>
    <w:rsid w:val="005B313F"/>
    <w:rsid w:val="005B4067"/>
    <w:rsid w:val="005B52F8"/>
    <w:rsid w:val="005C14EE"/>
    <w:rsid w:val="005C3156"/>
    <w:rsid w:val="005C3F41"/>
    <w:rsid w:val="005D1D92"/>
    <w:rsid w:val="005D2D09"/>
    <w:rsid w:val="005E643C"/>
    <w:rsid w:val="005F1272"/>
    <w:rsid w:val="005F4288"/>
    <w:rsid w:val="005F66BF"/>
    <w:rsid w:val="00600219"/>
    <w:rsid w:val="00604F2A"/>
    <w:rsid w:val="00607C22"/>
    <w:rsid w:val="00620076"/>
    <w:rsid w:val="00627E0A"/>
    <w:rsid w:val="006428D4"/>
    <w:rsid w:val="0065488B"/>
    <w:rsid w:val="00667247"/>
    <w:rsid w:val="00670EA1"/>
    <w:rsid w:val="00672F8C"/>
    <w:rsid w:val="00673211"/>
    <w:rsid w:val="00676746"/>
    <w:rsid w:val="00677CC2"/>
    <w:rsid w:val="00684F31"/>
    <w:rsid w:val="0068744B"/>
    <w:rsid w:val="006905DE"/>
    <w:rsid w:val="0069207B"/>
    <w:rsid w:val="0069248F"/>
    <w:rsid w:val="006A154F"/>
    <w:rsid w:val="006A437B"/>
    <w:rsid w:val="006B5789"/>
    <w:rsid w:val="006C30C5"/>
    <w:rsid w:val="006C54FC"/>
    <w:rsid w:val="006C6F44"/>
    <w:rsid w:val="006C7F8C"/>
    <w:rsid w:val="006D1258"/>
    <w:rsid w:val="006E2E1C"/>
    <w:rsid w:val="006E6246"/>
    <w:rsid w:val="006E69C2"/>
    <w:rsid w:val="006E6DCC"/>
    <w:rsid w:val="006F318F"/>
    <w:rsid w:val="0070017E"/>
    <w:rsid w:val="00700B2C"/>
    <w:rsid w:val="007050A2"/>
    <w:rsid w:val="00713084"/>
    <w:rsid w:val="00714F20"/>
    <w:rsid w:val="0071590F"/>
    <w:rsid w:val="00715914"/>
    <w:rsid w:val="00717F5A"/>
    <w:rsid w:val="0072147A"/>
    <w:rsid w:val="00723791"/>
    <w:rsid w:val="00724BB9"/>
    <w:rsid w:val="00731E00"/>
    <w:rsid w:val="007440B7"/>
    <w:rsid w:val="00745453"/>
    <w:rsid w:val="007473C3"/>
    <w:rsid w:val="007500C8"/>
    <w:rsid w:val="0075011B"/>
    <w:rsid w:val="00756272"/>
    <w:rsid w:val="00762D38"/>
    <w:rsid w:val="00764C52"/>
    <w:rsid w:val="00767848"/>
    <w:rsid w:val="007715C9"/>
    <w:rsid w:val="00771613"/>
    <w:rsid w:val="00774EDD"/>
    <w:rsid w:val="007757EC"/>
    <w:rsid w:val="00783E89"/>
    <w:rsid w:val="00784A9C"/>
    <w:rsid w:val="00793915"/>
    <w:rsid w:val="00794FD7"/>
    <w:rsid w:val="007C2253"/>
    <w:rsid w:val="007C27BB"/>
    <w:rsid w:val="007C4A87"/>
    <w:rsid w:val="007D02AE"/>
    <w:rsid w:val="007D6645"/>
    <w:rsid w:val="007D7911"/>
    <w:rsid w:val="007E163D"/>
    <w:rsid w:val="007E667A"/>
    <w:rsid w:val="007E6AF4"/>
    <w:rsid w:val="007F28C9"/>
    <w:rsid w:val="007F51B2"/>
    <w:rsid w:val="008040DD"/>
    <w:rsid w:val="008117E9"/>
    <w:rsid w:val="00824498"/>
    <w:rsid w:val="00826BD1"/>
    <w:rsid w:val="00835B51"/>
    <w:rsid w:val="00840604"/>
    <w:rsid w:val="0084116D"/>
    <w:rsid w:val="00841C8F"/>
    <w:rsid w:val="00854D0B"/>
    <w:rsid w:val="00856A31"/>
    <w:rsid w:val="00856FD7"/>
    <w:rsid w:val="00860B4E"/>
    <w:rsid w:val="0086349E"/>
    <w:rsid w:val="00867B37"/>
    <w:rsid w:val="008754D0"/>
    <w:rsid w:val="00875D13"/>
    <w:rsid w:val="008855C9"/>
    <w:rsid w:val="00886456"/>
    <w:rsid w:val="00887F8D"/>
    <w:rsid w:val="00894607"/>
    <w:rsid w:val="0089566A"/>
    <w:rsid w:val="00896176"/>
    <w:rsid w:val="008A46E1"/>
    <w:rsid w:val="008A4F43"/>
    <w:rsid w:val="008B2706"/>
    <w:rsid w:val="008B724A"/>
    <w:rsid w:val="008B7F67"/>
    <w:rsid w:val="008C2D5B"/>
    <w:rsid w:val="008C2EAC"/>
    <w:rsid w:val="008D0EE0"/>
    <w:rsid w:val="008E0027"/>
    <w:rsid w:val="008E6067"/>
    <w:rsid w:val="008F40F3"/>
    <w:rsid w:val="008F54E7"/>
    <w:rsid w:val="00903422"/>
    <w:rsid w:val="00907D30"/>
    <w:rsid w:val="009115A9"/>
    <w:rsid w:val="009138AA"/>
    <w:rsid w:val="009254C3"/>
    <w:rsid w:val="0092626B"/>
    <w:rsid w:val="00932377"/>
    <w:rsid w:val="00937491"/>
    <w:rsid w:val="00941236"/>
    <w:rsid w:val="00943FD5"/>
    <w:rsid w:val="00947D5A"/>
    <w:rsid w:val="00950EE5"/>
    <w:rsid w:val="009532A5"/>
    <w:rsid w:val="009545BD"/>
    <w:rsid w:val="00954836"/>
    <w:rsid w:val="0096381D"/>
    <w:rsid w:val="00964CF0"/>
    <w:rsid w:val="00977806"/>
    <w:rsid w:val="009803A1"/>
    <w:rsid w:val="00982242"/>
    <w:rsid w:val="00982273"/>
    <w:rsid w:val="00983772"/>
    <w:rsid w:val="00984E85"/>
    <w:rsid w:val="009868E9"/>
    <w:rsid w:val="009900A3"/>
    <w:rsid w:val="00991A0B"/>
    <w:rsid w:val="009A5158"/>
    <w:rsid w:val="009C3413"/>
    <w:rsid w:val="009C6C3B"/>
    <w:rsid w:val="009F4B7F"/>
    <w:rsid w:val="00A0441E"/>
    <w:rsid w:val="00A04A0B"/>
    <w:rsid w:val="00A12128"/>
    <w:rsid w:val="00A12E52"/>
    <w:rsid w:val="00A22C98"/>
    <w:rsid w:val="00A231E2"/>
    <w:rsid w:val="00A2438E"/>
    <w:rsid w:val="00A24E3B"/>
    <w:rsid w:val="00A27584"/>
    <w:rsid w:val="00A31324"/>
    <w:rsid w:val="00A369E3"/>
    <w:rsid w:val="00A36E84"/>
    <w:rsid w:val="00A50B27"/>
    <w:rsid w:val="00A57600"/>
    <w:rsid w:val="00A64912"/>
    <w:rsid w:val="00A67615"/>
    <w:rsid w:val="00A70A74"/>
    <w:rsid w:val="00A7430D"/>
    <w:rsid w:val="00A75FE9"/>
    <w:rsid w:val="00A8017E"/>
    <w:rsid w:val="00A859DE"/>
    <w:rsid w:val="00A94587"/>
    <w:rsid w:val="00AA438B"/>
    <w:rsid w:val="00AB05C9"/>
    <w:rsid w:val="00AB5B8B"/>
    <w:rsid w:val="00AD3095"/>
    <w:rsid w:val="00AD3F89"/>
    <w:rsid w:val="00AD53CC"/>
    <w:rsid w:val="00AD5641"/>
    <w:rsid w:val="00AF06CF"/>
    <w:rsid w:val="00B0663C"/>
    <w:rsid w:val="00B07CDB"/>
    <w:rsid w:val="00B10075"/>
    <w:rsid w:val="00B13F9C"/>
    <w:rsid w:val="00B16A31"/>
    <w:rsid w:val="00B16F55"/>
    <w:rsid w:val="00B17DFD"/>
    <w:rsid w:val="00B25306"/>
    <w:rsid w:val="00B26B03"/>
    <w:rsid w:val="00B27831"/>
    <w:rsid w:val="00B308FE"/>
    <w:rsid w:val="00B33709"/>
    <w:rsid w:val="00B33876"/>
    <w:rsid w:val="00B33B3C"/>
    <w:rsid w:val="00B3637D"/>
    <w:rsid w:val="00B36392"/>
    <w:rsid w:val="00B418CB"/>
    <w:rsid w:val="00B47444"/>
    <w:rsid w:val="00B50ADC"/>
    <w:rsid w:val="00B566B1"/>
    <w:rsid w:val="00B6347F"/>
    <w:rsid w:val="00B63834"/>
    <w:rsid w:val="00B707B2"/>
    <w:rsid w:val="00B7354F"/>
    <w:rsid w:val="00B80199"/>
    <w:rsid w:val="00B81A48"/>
    <w:rsid w:val="00B827D4"/>
    <w:rsid w:val="00B83204"/>
    <w:rsid w:val="00B856E7"/>
    <w:rsid w:val="00B9363D"/>
    <w:rsid w:val="00BA1F8A"/>
    <w:rsid w:val="00BA220B"/>
    <w:rsid w:val="00BA3A57"/>
    <w:rsid w:val="00BB0397"/>
    <w:rsid w:val="00BB1533"/>
    <w:rsid w:val="00BB4E1A"/>
    <w:rsid w:val="00BB5347"/>
    <w:rsid w:val="00BC015E"/>
    <w:rsid w:val="00BC2974"/>
    <w:rsid w:val="00BC76AC"/>
    <w:rsid w:val="00BD0648"/>
    <w:rsid w:val="00BD0ECB"/>
    <w:rsid w:val="00BD17CE"/>
    <w:rsid w:val="00BD4B91"/>
    <w:rsid w:val="00BD7CE0"/>
    <w:rsid w:val="00BE2155"/>
    <w:rsid w:val="00BE2B64"/>
    <w:rsid w:val="00BE56B0"/>
    <w:rsid w:val="00BE719A"/>
    <w:rsid w:val="00BE720A"/>
    <w:rsid w:val="00BF0D73"/>
    <w:rsid w:val="00BF2465"/>
    <w:rsid w:val="00BF3C3D"/>
    <w:rsid w:val="00C076C6"/>
    <w:rsid w:val="00C11C39"/>
    <w:rsid w:val="00C16619"/>
    <w:rsid w:val="00C25E7F"/>
    <w:rsid w:val="00C2746F"/>
    <w:rsid w:val="00C323D6"/>
    <w:rsid w:val="00C324A0"/>
    <w:rsid w:val="00C3404F"/>
    <w:rsid w:val="00C42BF8"/>
    <w:rsid w:val="00C46ED0"/>
    <w:rsid w:val="00C50043"/>
    <w:rsid w:val="00C5021A"/>
    <w:rsid w:val="00C53743"/>
    <w:rsid w:val="00C558E6"/>
    <w:rsid w:val="00C674DC"/>
    <w:rsid w:val="00C7573B"/>
    <w:rsid w:val="00C76376"/>
    <w:rsid w:val="00C97A54"/>
    <w:rsid w:val="00CA2991"/>
    <w:rsid w:val="00CA5B23"/>
    <w:rsid w:val="00CB1E89"/>
    <w:rsid w:val="00CB602E"/>
    <w:rsid w:val="00CB7813"/>
    <w:rsid w:val="00CB7E90"/>
    <w:rsid w:val="00CE051D"/>
    <w:rsid w:val="00CE1295"/>
    <w:rsid w:val="00CE1335"/>
    <w:rsid w:val="00CE493D"/>
    <w:rsid w:val="00CF07FA"/>
    <w:rsid w:val="00CF0BB2"/>
    <w:rsid w:val="00CF3EE8"/>
    <w:rsid w:val="00D10251"/>
    <w:rsid w:val="00D130D1"/>
    <w:rsid w:val="00D13441"/>
    <w:rsid w:val="00D150E7"/>
    <w:rsid w:val="00D16E1E"/>
    <w:rsid w:val="00D40324"/>
    <w:rsid w:val="00D46283"/>
    <w:rsid w:val="00D52DC2"/>
    <w:rsid w:val="00D53BCC"/>
    <w:rsid w:val="00D54C9E"/>
    <w:rsid w:val="00D6537E"/>
    <w:rsid w:val="00D70DFB"/>
    <w:rsid w:val="00D766DF"/>
    <w:rsid w:val="00D77561"/>
    <w:rsid w:val="00D8206C"/>
    <w:rsid w:val="00D9052F"/>
    <w:rsid w:val="00D91F10"/>
    <w:rsid w:val="00DA186E"/>
    <w:rsid w:val="00DA2530"/>
    <w:rsid w:val="00DA4116"/>
    <w:rsid w:val="00DB24D4"/>
    <w:rsid w:val="00DB251C"/>
    <w:rsid w:val="00DB4630"/>
    <w:rsid w:val="00DC0DFB"/>
    <w:rsid w:val="00DC4F88"/>
    <w:rsid w:val="00DD6181"/>
    <w:rsid w:val="00DE107C"/>
    <w:rsid w:val="00DE16DE"/>
    <w:rsid w:val="00DF0AC6"/>
    <w:rsid w:val="00DF2388"/>
    <w:rsid w:val="00DF7975"/>
    <w:rsid w:val="00DF7D0B"/>
    <w:rsid w:val="00E00939"/>
    <w:rsid w:val="00E043F3"/>
    <w:rsid w:val="00E05704"/>
    <w:rsid w:val="00E338EF"/>
    <w:rsid w:val="00E544BB"/>
    <w:rsid w:val="00E57851"/>
    <w:rsid w:val="00E71785"/>
    <w:rsid w:val="00E74DC7"/>
    <w:rsid w:val="00E8075A"/>
    <w:rsid w:val="00E940D8"/>
    <w:rsid w:val="00E94D5E"/>
    <w:rsid w:val="00EA7100"/>
    <w:rsid w:val="00EA7F9F"/>
    <w:rsid w:val="00EB07D4"/>
    <w:rsid w:val="00EB1274"/>
    <w:rsid w:val="00EB283A"/>
    <w:rsid w:val="00EC6153"/>
    <w:rsid w:val="00ED0815"/>
    <w:rsid w:val="00ED2BB6"/>
    <w:rsid w:val="00ED34E1"/>
    <w:rsid w:val="00ED3B8D"/>
    <w:rsid w:val="00EE5E36"/>
    <w:rsid w:val="00EF21B2"/>
    <w:rsid w:val="00EF2E3A"/>
    <w:rsid w:val="00EF4D95"/>
    <w:rsid w:val="00EF6130"/>
    <w:rsid w:val="00EF7BB4"/>
    <w:rsid w:val="00F00CB8"/>
    <w:rsid w:val="00F02C7C"/>
    <w:rsid w:val="00F02F3C"/>
    <w:rsid w:val="00F072A7"/>
    <w:rsid w:val="00F078DC"/>
    <w:rsid w:val="00F23F3F"/>
    <w:rsid w:val="00F2532D"/>
    <w:rsid w:val="00F27CF2"/>
    <w:rsid w:val="00F320E7"/>
    <w:rsid w:val="00F32BA8"/>
    <w:rsid w:val="00F32EE0"/>
    <w:rsid w:val="00F33D17"/>
    <w:rsid w:val="00F349F1"/>
    <w:rsid w:val="00F4350D"/>
    <w:rsid w:val="00F479C4"/>
    <w:rsid w:val="00F567F7"/>
    <w:rsid w:val="00F6696E"/>
    <w:rsid w:val="00F73BD6"/>
    <w:rsid w:val="00F83989"/>
    <w:rsid w:val="00F85099"/>
    <w:rsid w:val="00F9109D"/>
    <w:rsid w:val="00F9379C"/>
    <w:rsid w:val="00F9632C"/>
    <w:rsid w:val="00FA1E52"/>
    <w:rsid w:val="00FB2BAA"/>
    <w:rsid w:val="00FB5A08"/>
    <w:rsid w:val="00FC5859"/>
    <w:rsid w:val="00FC6A80"/>
    <w:rsid w:val="00FE4688"/>
    <w:rsid w:val="00FF3EB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AF4F9E"/>
  <w15:docId w15:val="{C495F73B-8056-438E-BE48-88B77995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3A4C"/>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nhideWhenUsed/>
    <w:rsid w:val="00AD3F89"/>
    <w:rPr>
      <w:sz w:val="16"/>
      <w:szCs w:val="16"/>
    </w:rPr>
  </w:style>
  <w:style w:type="paragraph" w:styleId="CommentText">
    <w:name w:val="annotation text"/>
    <w:basedOn w:val="Normal"/>
    <w:link w:val="CommentTextChar"/>
    <w:unhideWhenUsed/>
    <w:rsid w:val="00AD3F89"/>
    <w:pPr>
      <w:spacing w:line="240" w:lineRule="auto"/>
    </w:pPr>
    <w:rPr>
      <w:sz w:val="20"/>
    </w:rPr>
  </w:style>
  <w:style w:type="character" w:customStyle="1" w:styleId="CommentTextChar">
    <w:name w:val="Comment Text Char"/>
    <w:basedOn w:val="DefaultParagraphFont"/>
    <w:link w:val="CommentText"/>
    <w:semiHidden/>
    <w:rsid w:val="00AD3F89"/>
  </w:style>
  <w:style w:type="paragraph" w:styleId="CommentSubject">
    <w:name w:val="annotation subject"/>
    <w:basedOn w:val="CommentText"/>
    <w:next w:val="CommentText"/>
    <w:link w:val="CommentSubjectChar"/>
    <w:uiPriority w:val="99"/>
    <w:semiHidden/>
    <w:unhideWhenUsed/>
    <w:rsid w:val="00AD3F89"/>
    <w:rPr>
      <w:b/>
      <w:bCs/>
    </w:rPr>
  </w:style>
  <w:style w:type="character" w:customStyle="1" w:styleId="CommentSubjectChar">
    <w:name w:val="Comment Subject Char"/>
    <w:basedOn w:val="CommentTextChar"/>
    <w:link w:val="CommentSubject"/>
    <w:uiPriority w:val="99"/>
    <w:semiHidden/>
    <w:rsid w:val="00AD3F89"/>
    <w:rPr>
      <w:b/>
      <w:bCs/>
    </w:rPr>
  </w:style>
  <w:style w:type="character" w:styleId="Hyperlink">
    <w:name w:val="Hyperlink"/>
    <w:basedOn w:val="DefaultParagraphFont"/>
    <w:uiPriority w:val="99"/>
    <w:unhideWhenUsed/>
    <w:rsid w:val="002900F7"/>
    <w:rPr>
      <w:color w:val="0000FF" w:themeColor="hyperlink"/>
      <w:u w:val="single"/>
    </w:rPr>
  </w:style>
  <w:style w:type="paragraph" w:styleId="Revision">
    <w:name w:val="Revision"/>
    <w:hidden/>
    <w:uiPriority w:val="99"/>
    <w:semiHidden/>
    <w:rsid w:val="00C46E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3567">
      <w:bodyDiv w:val="1"/>
      <w:marLeft w:val="0"/>
      <w:marRight w:val="0"/>
      <w:marTop w:val="0"/>
      <w:marBottom w:val="0"/>
      <w:divBdr>
        <w:top w:val="none" w:sz="0" w:space="0" w:color="auto"/>
        <w:left w:val="none" w:sz="0" w:space="0" w:color="auto"/>
        <w:bottom w:val="none" w:sz="0" w:space="0" w:color="auto"/>
        <w:right w:val="none" w:sz="0" w:space="0" w:color="auto"/>
      </w:divBdr>
    </w:div>
    <w:div w:id="1726642443">
      <w:bodyDiv w:val="1"/>
      <w:marLeft w:val="0"/>
      <w:marRight w:val="0"/>
      <w:marTop w:val="0"/>
      <w:marBottom w:val="0"/>
      <w:divBdr>
        <w:top w:val="none" w:sz="0" w:space="0" w:color="auto"/>
        <w:left w:val="none" w:sz="0" w:space="0" w:color="auto"/>
        <w:bottom w:val="none" w:sz="0" w:space="0" w:color="auto"/>
        <w:right w:val="none" w:sz="0" w:space="0" w:color="auto"/>
      </w:divBdr>
    </w:div>
    <w:div w:id="18852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acma.gov.au"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860AD6A-CF19-48A5-B269-21CC8095781A">5;#nbn-Confidential: INTERNAL + RESTRICTED ACCESS ONLY|76bad00a-37c0-43f6-b3f6-ebda80cf44d4</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E742098E8395043AC1216411D69B2D5" ma:contentTypeVersion="" ma:contentTypeDescription="PDMS Document Site Content Type" ma:contentTypeScope="" ma:versionID="014297585b7286b3fcf87e536cecfe4e">
  <xsd:schema xmlns:xsd="http://www.w3.org/2001/XMLSchema" xmlns:xs="http://www.w3.org/2001/XMLSchema" xmlns:p="http://schemas.microsoft.com/office/2006/metadata/properties" xmlns:ns2="3860AD6A-CF19-48A5-B269-21CC8095781A" targetNamespace="http://schemas.microsoft.com/office/2006/metadata/properties" ma:root="true" ma:fieldsID="65c42a0a24ef928c9bbce82f4b17559f" ns2:_="">
    <xsd:import namespace="3860AD6A-CF19-48A5-B269-21CC8095781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AD6A-CF19-48A5-B269-21CC8095781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6010-AB2D-4CE7-98F5-F2ECCEA34A3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860AD6A-CF19-48A5-B269-21CC8095781A"/>
    <ds:schemaRef ds:uri="http://www.w3.org/XML/1998/namespace"/>
    <ds:schemaRef ds:uri="http://purl.org/dc/dcmitype/"/>
  </ds:schemaRefs>
</ds:datastoreItem>
</file>

<file path=customXml/itemProps2.xml><?xml version="1.0" encoding="utf-8"?>
<ds:datastoreItem xmlns:ds="http://schemas.openxmlformats.org/officeDocument/2006/customXml" ds:itemID="{6E0576E5-957D-4018-8A51-82FFFB0CBCFF}">
  <ds:schemaRefs>
    <ds:schemaRef ds:uri="http://schemas.microsoft.com/sharepoint/v3/contenttype/forms"/>
  </ds:schemaRefs>
</ds:datastoreItem>
</file>

<file path=customXml/itemProps3.xml><?xml version="1.0" encoding="utf-8"?>
<ds:datastoreItem xmlns:ds="http://schemas.openxmlformats.org/officeDocument/2006/customXml" ds:itemID="{D7339380-673E-4FB9-8691-CD727C5F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AD6A-CF19-48A5-B269-21CC80957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2F43B-38D9-4A02-8D72-9CD8741E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CLEAN DRAFT Spectrum Access Charges - 3.4 GHz band Direction 04-12-2020</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DRAFT Spectrum Access Charges - 3.4 GHz band Direction 04-12-2020</dc:title>
  <dc:creator>French, Ellen</dc:creator>
  <cp:lastModifiedBy>O'DEA Michael</cp:lastModifiedBy>
  <cp:revision>4</cp:revision>
  <dcterms:created xsi:type="dcterms:W3CDTF">2020-12-09T03:01:00Z</dcterms:created>
  <dcterms:modified xsi:type="dcterms:W3CDTF">2020-12-16T09:49:00Z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0x010100266966F133664895A6EE3632470D45F5005E742098E8395043AC1216411D69B2D5</vt:lpwstr>
  </property>
  <property fmtid="{D5CDD505-2E9C-101B-9397-08002B2CF9AE}" pid="3" name="TrimRevisionNumber">
    <vt:i4>4</vt:i4>
  </property>
  <property fmtid="{D5CDD505-2E9C-101B-9397-08002B2CF9AE}" pid="4" name="DocumentStatus">
    <vt:lpwstr>1;#Draft|472fd4dc-888a-4c87-8c42-ca8e6e0b802d</vt:lpwstr>
  </property>
  <property fmtid="{D5CDD505-2E9C-101B-9397-08002B2CF9AE}" pid="5" name="SecurityClassification">
    <vt:lpwstr>5;#nbn-Confidential: INTERNAL + RESTRICTED ACCESS ONLY|76bad00a-37c0-43f6-b3f6-ebda80cf44d4</vt:lpwstr>
  </property>
  <property fmtid="{D5CDD505-2E9C-101B-9397-08002B2CF9AE}" pid="6" name="DocumentCategory">
    <vt:lpwstr>4;#Legal Advice|b42e7d35-3237-44f2-abb6-d5f214856b40</vt:lpwstr>
  </property>
  <property fmtid="{D5CDD505-2E9C-101B-9397-08002B2CF9AE}" pid="7" name="_dlc_DocIdItemGuid">
    <vt:lpwstr>7445bb27-3d6d-4c9e-9c50-a28cf029e10b</vt:lpwstr>
  </property>
</Properties>
</file>