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914" w:rsidRPr="00E500D4" w:rsidRDefault="00715914" w:rsidP="00715914">
      <w:pPr>
        <w:rPr>
          <w:sz w:val="19"/>
        </w:rPr>
      </w:pPr>
    </w:p>
    <w:p w:rsidR="00554826" w:rsidRPr="00E500D4" w:rsidRDefault="00E705A4" w:rsidP="00554826">
      <w:pPr>
        <w:pStyle w:val="ShortT"/>
      </w:pPr>
      <w:r w:rsidRPr="00E705A4">
        <w:t>Therapeutic Goods</w:t>
      </w:r>
      <w:r w:rsidR="00554826" w:rsidRPr="00E705A4">
        <w:t xml:space="preserve"> (</w:t>
      </w:r>
      <w:r>
        <w:t>Prescription Medicines—</w:t>
      </w:r>
      <w:r w:rsidRPr="00E705A4">
        <w:t>Transparency Measures</w:t>
      </w:r>
      <w:r w:rsidR="00554826">
        <w:t xml:space="preserve">) </w:t>
      </w:r>
      <w:r w:rsidRPr="00E705A4">
        <w:t>Specification 2020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705A4" w:rsidRPr="00D80907">
        <w:rPr>
          <w:szCs w:val="22"/>
        </w:rPr>
        <w:t xml:space="preserve">John </w:t>
      </w:r>
      <w:proofErr w:type="spellStart"/>
      <w:r w:rsidR="00E705A4" w:rsidRPr="00D80907">
        <w:rPr>
          <w:szCs w:val="22"/>
        </w:rPr>
        <w:t>Skerritt</w:t>
      </w:r>
      <w:proofErr w:type="spellEnd"/>
      <w:r w:rsidR="00E705A4" w:rsidRPr="00D80907">
        <w:rPr>
          <w:szCs w:val="22"/>
        </w:rPr>
        <w:t>, as</w:t>
      </w:r>
      <w:r w:rsidR="00E705A4" w:rsidRPr="00E705A4">
        <w:rPr>
          <w:szCs w:val="22"/>
        </w:rPr>
        <w:t xml:space="preserve"> delegate of the Minister for Health, make the following specification.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F4BE1">
        <w:rPr>
          <w:szCs w:val="22"/>
        </w:rPr>
        <w:t xml:space="preserve"> 17</w:t>
      </w:r>
      <w:r w:rsidR="00E705A4">
        <w:rPr>
          <w:szCs w:val="22"/>
        </w:rPr>
        <w:t xml:space="preserve"> December 2020</w:t>
      </w:r>
    </w:p>
    <w:p w:rsidR="00554826" w:rsidRPr="00670702" w:rsidRDefault="00E705A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70702">
        <w:rPr>
          <w:szCs w:val="22"/>
        </w:rPr>
        <w:t xml:space="preserve">Adjunct Professor John </w:t>
      </w:r>
      <w:proofErr w:type="spellStart"/>
      <w:r w:rsidRPr="00670702">
        <w:rPr>
          <w:szCs w:val="22"/>
        </w:rPr>
        <w:t>Skerritt</w:t>
      </w:r>
      <w:proofErr w:type="spellEnd"/>
    </w:p>
    <w:p w:rsidR="00E705A4" w:rsidRPr="00561330" w:rsidRDefault="00E705A4" w:rsidP="00E705A4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670702">
        <w:rPr>
          <w:szCs w:val="22"/>
        </w:rPr>
        <w:t>Deputy Secretary</w:t>
      </w:r>
    </w:p>
    <w:p w:rsidR="00E705A4" w:rsidRPr="00561330" w:rsidRDefault="00E705A4" w:rsidP="00E705A4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561330">
        <w:rPr>
          <w:szCs w:val="22"/>
        </w:rPr>
        <w:t>Health Products Regulation Group</w:t>
      </w:r>
    </w:p>
    <w:p w:rsidR="00554826" w:rsidRPr="008E0027" w:rsidRDefault="00E705A4" w:rsidP="00E705A4">
      <w:pPr>
        <w:pStyle w:val="SignCoverPageEnd"/>
        <w:ind w:right="91"/>
        <w:rPr>
          <w:sz w:val="22"/>
        </w:rPr>
      </w:pPr>
      <w:r w:rsidRPr="00561330">
        <w:rPr>
          <w:sz w:val="22"/>
        </w:rPr>
        <w:t>Department of Health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67070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70702">
        <w:rPr>
          <w:noProof/>
        </w:rPr>
        <w:t>1  Name</w:t>
      </w:r>
      <w:r w:rsidR="00670702">
        <w:rPr>
          <w:noProof/>
        </w:rPr>
        <w:tab/>
      </w:r>
      <w:r w:rsidR="00670702">
        <w:rPr>
          <w:noProof/>
        </w:rPr>
        <w:fldChar w:fldCharType="begin"/>
      </w:r>
      <w:r w:rsidR="00670702">
        <w:rPr>
          <w:noProof/>
        </w:rPr>
        <w:instrText xml:space="preserve"> PAGEREF _Toc59005161 \h </w:instrText>
      </w:r>
      <w:r w:rsidR="00670702">
        <w:rPr>
          <w:noProof/>
        </w:rPr>
      </w:r>
      <w:r w:rsidR="00670702">
        <w:rPr>
          <w:noProof/>
        </w:rPr>
        <w:fldChar w:fldCharType="separate"/>
      </w:r>
      <w:r w:rsidR="00670702">
        <w:rPr>
          <w:noProof/>
        </w:rPr>
        <w:t>1</w:t>
      </w:r>
      <w:r w:rsidR="00670702">
        <w:rPr>
          <w:noProof/>
        </w:rPr>
        <w:fldChar w:fldCharType="end"/>
      </w:r>
    </w:p>
    <w:p w:rsidR="00670702" w:rsidRDefault="00670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_Toc59005162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70702" w:rsidRDefault="00670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_Toc59005163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70702" w:rsidRDefault="00670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_Toc59005164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70702" w:rsidRDefault="006707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Release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_Toc59005165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70702" w:rsidRDefault="0067070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1—Specified kinds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_Toc59005166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59005161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CD530D" w:rsidRPr="00CD530D">
        <w:rPr>
          <w:i/>
        </w:rPr>
        <w:t>Therapeutic Goods (Prescription Medicines—Transparency Measures) Specification 2020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59005162"/>
      <w:proofErr w:type="gramStart"/>
      <w:r w:rsidRPr="00554826">
        <w:t>2  Commencement</w:t>
      </w:r>
      <w:bookmarkEnd w:id="3"/>
      <w:proofErr w:type="gramEnd"/>
    </w:p>
    <w:p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A6229" w:rsidRDefault="003767E2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CD530D" w:rsidRPr="0056133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B95B72" w:rsidRDefault="00B95B72" w:rsidP="00A02135">
            <w:pPr>
              <w:pStyle w:val="Tabletext"/>
              <w:rPr>
                <w:highlight w:val="yellow"/>
              </w:rPr>
            </w:pPr>
            <w:r w:rsidRPr="00B95B72">
              <w:t>1 January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B95B72" w:rsidRDefault="00B95B72" w:rsidP="00A02135">
            <w:pPr>
              <w:pStyle w:val="Tabletext"/>
            </w:pPr>
            <w:r>
              <w:t>1 January 2021</w:t>
            </w:r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59005163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D530D" w:rsidRPr="00CD530D">
        <w:t>subsection 61(5D)</w:t>
      </w:r>
      <w:r w:rsidR="00CD530D">
        <w:t xml:space="preserve"> </w:t>
      </w:r>
      <w:r w:rsidR="00CD530D" w:rsidRPr="00CD530D">
        <w:t xml:space="preserve">of the </w:t>
      </w:r>
      <w:r w:rsidR="00CD530D" w:rsidRPr="00CD530D">
        <w:rPr>
          <w:i/>
        </w:rPr>
        <w:t>Therapeutic Goods Act 1989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5" w:name="_Toc59005164"/>
      <w:proofErr w:type="gramStart"/>
      <w:r w:rsidRPr="00554826">
        <w:t>4  Definitions</w:t>
      </w:r>
      <w:bookmarkEnd w:id="5"/>
      <w:proofErr w:type="gramEnd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CD530D">
        <w:t xml:space="preserve">subsection 3(1) </w:t>
      </w:r>
      <w:r>
        <w:t>of the Act</w:t>
      </w:r>
      <w:r w:rsidRPr="009C2562">
        <w:t>, including the following:</w:t>
      </w:r>
    </w:p>
    <w:p w:rsidR="00CD530D" w:rsidRDefault="00CD530D" w:rsidP="00CD530D">
      <w:pPr>
        <w:pStyle w:val="notepara"/>
      </w:pPr>
      <w:r>
        <w:t>(a)</w:t>
      </w:r>
      <w:r>
        <w:tab/>
      </w:r>
      <w:proofErr w:type="gramStart"/>
      <w:r>
        <w:t>indications</w:t>
      </w:r>
      <w:proofErr w:type="gramEnd"/>
      <w:r>
        <w:t>;</w:t>
      </w:r>
    </w:p>
    <w:p w:rsidR="00CD530D" w:rsidRDefault="00CD530D" w:rsidP="00CD530D">
      <w:pPr>
        <w:pStyle w:val="notepara"/>
      </w:pPr>
      <w:r>
        <w:t>(b)</w:t>
      </w:r>
      <w:r>
        <w:tab/>
      </w:r>
      <w:proofErr w:type="gramStart"/>
      <w:r>
        <w:t>medicine</w:t>
      </w:r>
      <w:proofErr w:type="gramEnd"/>
      <w:r>
        <w:t>;</w:t>
      </w:r>
    </w:p>
    <w:p w:rsidR="00CD530D" w:rsidRDefault="00CD530D" w:rsidP="00CD530D">
      <w:pPr>
        <w:pStyle w:val="notepara"/>
      </w:pPr>
      <w:r>
        <w:t>(c)</w:t>
      </w:r>
      <w:r>
        <w:tab/>
      </w:r>
      <w:proofErr w:type="gramStart"/>
      <w:r>
        <w:t>passed</w:t>
      </w:r>
      <w:proofErr w:type="gramEnd"/>
      <w:r>
        <w:t xml:space="preserve"> preliminary assessment;</w:t>
      </w:r>
    </w:p>
    <w:p w:rsidR="00CD530D" w:rsidRDefault="00CD530D" w:rsidP="00CD530D">
      <w:pPr>
        <w:pStyle w:val="notepara"/>
      </w:pPr>
      <w:r>
        <w:t>(d)</w:t>
      </w:r>
      <w:r>
        <w:tab/>
      </w:r>
      <w:proofErr w:type="gramStart"/>
      <w:r>
        <w:t>registered</w:t>
      </w:r>
      <w:proofErr w:type="gramEnd"/>
      <w:r>
        <w:t xml:space="preserve"> goods;</w:t>
      </w:r>
    </w:p>
    <w:p w:rsidR="00CD530D" w:rsidRDefault="00CD530D" w:rsidP="00CD530D">
      <w:pPr>
        <w:pStyle w:val="notepara"/>
      </w:pPr>
      <w:r>
        <w:t>(e)</w:t>
      </w:r>
      <w:r>
        <w:tab/>
        <w:t>Secretary; and</w:t>
      </w:r>
    </w:p>
    <w:p w:rsidR="00554826" w:rsidRPr="009C2562" w:rsidRDefault="00CD530D" w:rsidP="00CD530D">
      <w:pPr>
        <w:pStyle w:val="notepara"/>
      </w:pPr>
      <w:r>
        <w:t>(f)</w:t>
      </w:r>
      <w:r>
        <w:tab/>
      </w:r>
      <w:proofErr w:type="gramStart"/>
      <w:r>
        <w:t>therapeutic</w:t>
      </w:r>
      <w:proofErr w:type="gramEnd"/>
      <w:r>
        <w:t xml:space="preserve"> </w:t>
      </w:r>
      <w:r w:rsidRPr="00CD530D">
        <w:t>goods</w:t>
      </w:r>
      <w:r w:rsidR="00554826" w:rsidRPr="00CD530D">
        <w:t>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CD530D" w:rsidRPr="00CD530D">
        <w:rPr>
          <w:i/>
        </w:rPr>
        <w:t>Therapeutic Goods Act 1989</w:t>
      </w:r>
      <w:r w:rsidR="00CD530D">
        <w:rPr>
          <w:i/>
        </w:rPr>
        <w:t>.</w:t>
      </w:r>
    </w:p>
    <w:p w:rsidR="00554826" w:rsidRDefault="00CD530D" w:rsidP="00554826">
      <w:pPr>
        <w:pStyle w:val="Definition"/>
      </w:pPr>
      <w:proofErr w:type="gramStart"/>
      <w:r w:rsidRPr="009C6678">
        <w:rPr>
          <w:b/>
          <w:i/>
        </w:rPr>
        <w:t>new</w:t>
      </w:r>
      <w:proofErr w:type="gramEnd"/>
      <w:r w:rsidRPr="009C6678">
        <w:rPr>
          <w:b/>
          <w:i/>
        </w:rPr>
        <w:t xml:space="preserve"> </w:t>
      </w:r>
      <w:r>
        <w:rPr>
          <w:b/>
          <w:i/>
        </w:rPr>
        <w:t>indications</w:t>
      </w:r>
      <w:r w:rsidRPr="009C6678">
        <w:rPr>
          <w:b/>
          <w:i/>
        </w:rPr>
        <w:t xml:space="preserve"> medicine </w:t>
      </w:r>
      <w:r w:rsidRPr="009C6678">
        <w:t>has the same meaning as in the Regulations</w:t>
      </w:r>
      <w:r w:rsidR="00554826">
        <w:t>.</w:t>
      </w:r>
    </w:p>
    <w:p w:rsidR="00CD530D" w:rsidRDefault="00CD530D" w:rsidP="00CD530D">
      <w:pPr>
        <w:pStyle w:val="Definition"/>
        <w:rPr>
          <w:b/>
          <w:i/>
        </w:rPr>
      </w:pPr>
      <w:proofErr w:type="gramStart"/>
      <w:r w:rsidRPr="009C6678">
        <w:rPr>
          <w:b/>
          <w:i/>
        </w:rPr>
        <w:t>new</w:t>
      </w:r>
      <w:proofErr w:type="gramEnd"/>
      <w:r w:rsidRPr="009C6678">
        <w:rPr>
          <w:b/>
          <w:i/>
        </w:rPr>
        <w:t xml:space="preserve"> prescription medicine </w:t>
      </w:r>
      <w:r w:rsidRPr="009C6678">
        <w:t>has the same meaning as in the Regulations.</w:t>
      </w:r>
    </w:p>
    <w:p w:rsidR="00CD530D" w:rsidRDefault="00CD530D" w:rsidP="00CD530D">
      <w:pPr>
        <w:pStyle w:val="Definition"/>
      </w:pPr>
      <w:proofErr w:type="gramStart"/>
      <w:r>
        <w:rPr>
          <w:b/>
          <w:i/>
        </w:rPr>
        <w:t>registered</w:t>
      </w:r>
      <w:proofErr w:type="gramEnd"/>
      <w:r>
        <w:rPr>
          <w:b/>
          <w:i/>
        </w:rPr>
        <w:t xml:space="preserve"> medicine</w:t>
      </w:r>
      <w:r>
        <w:rPr>
          <w:i/>
        </w:rPr>
        <w:t xml:space="preserve"> </w:t>
      </w:r>
      <w:r>
        <w:t>means a medicine that is a registered good.</w:t>
      </w:r>
    </w:p>
    <w:p w:rsidR="00CD530D" w:rsidRDefault="00CD530D" w:rsidP="00CD530D">
      <w:pPr>
        <w:pStyle w:val="Definition"/>
      </w:pPr>
      <w:r>
        <w:rPr>
          <w:b/>
          <w:i/>
        </w:rPr>
        <w:t>Regulations</w:t>
      </w:r>
      <w:r>
        <w:rPr>
          <w:i/>
        </w:rPr>
        <w:t xml:space="preserve"> </w:t>
      </w:r>
      <w:r>
        <w:t xml:space="preserve">means the </w:t>
      </w:r>
      <w:r>
        <w:rPr>
          <w:i/>
        </w:rPr>
        <w:t>Therapeutic Goods Regulations 1990</w:t>
      </w:r>
      <w:r>
        <w:t>.</w:t>
      </w:r>
    </w:p>
    <w:p w:rsidR="00CD530D" w:rsidRDefault="00CD530D" w:rsidP="00CD530D">
      <w:pPr>
        <w:pStyle w:val="Definition"/>
      </w:pPr>
      <w:proofErr w:type="gramStart"/>
      <w:r>
        <w:rPr>
          <w:b/>
          <w:i/>
        </w:rPr>
        <w:lastRenderedPageBreak/>
        <w:t>relevant</w:t>
      </w:r>
      <w:proofErr w:type="gramEnd"/>
      <w:r>
        <w:rPr>
          <w:b/>
          <w:i/>
        </w:rPr>
        <w:t xml:space="preserve"> medicine</w:t>
      </w:r>
      <w:r>
        <w:rPr>
          <w:i/>
        </w:rPr>
        <w:t xml:space="preserve"> </w:t>
      </w:r>
      <w:r>
        <w:t>means a new prescription medicine or a new indications medicine, which is the subject of an application for registration under section 23 of the Act that has passed preliminary assessment, but does not include a medicine that is a biosimilar in relation to a registered medicine.</w:t>
      </w:r>
    </w:p>
    <w:p w:rsidR="00554826" w:rsidRDefault="00CD530D" w:rsidP="00CD530D">
      <w:pPr>
        <w:pStyle w:val="Definition"/>
      </w:pPr>
      <w:proofErr w:type="gramStart"/>
      <w:r>
        <w:rPr>
          <w:b/>
          <w:i/>
        </w:rPr>
        <w:t>therapeutic</w:t>
      </w:r>
      <w:proofErr w:type="gramEnd"/>
      <w:r>
        <w:rPr>
          <w:b/>
          <w:i/>
        </w:rPr>
        <w:t xml:space="preserve"> goods information </w:t>
      </w:r>
      <w:r w:rsidRPr="008B1ABA">
        <w:t>has</w:t>
      </w:r>
      <w:r>
        <w:t xml:space="preserve"> the meaning given by subsection 61(1) of the Act</w:t>
      </w:r>
      <w:r w:rsidR="00554826">
        <w:t>.</w:t>
      </w:r>
    </w:p>
    <w:p w:rsidR="00554826" w:rsidRPr="00554826" w:rsidRDefault="00554826" w:rsidP="00554826">
      <w:pPr>
        <w:pStyle w:val="ActHead5"/>
      </w:pPr>
      <w:bookmarkStart w:id="6" w:name="_Toc454781205"/>
      <w:bookmarkStart w:id="7" w:name="_Toc59005165"/>
      <w:proofErr w:type="gramStart"/>
      <w:r w:rsidRPr="00554826">
        <w:t xml:space="preserve">5  </w:t>
      </w:r>
      <w:bookmarkEnd w:id="6"/>
      <w:r w:rsidR="00CD530D">
        <w:t>Release</w:t>
      </w:r>
      <w:proofErr w:type="gramEnd"/>
      <w:r w:rsidR="00CD530D">
        <w:t xml:space="preserve"> of therapeutic goods informatio</w:t>
      </w:r>
      <w:r w:rsidR="00B95B72">
        <w:t>n</w:t>
      </w:r>
      <w:bookmarkEnd w:id="7"/>
    </w:p>
    <w:p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CD530D" w:rsidRPr="00CD530D">
        <w:t>The kinds of therapeutic goods information set out in column 2 of the table in Schedule 1, as described in column 3 of the corresponding item, are specified for the purpose of subsection 61(5C) of the Act</w:t>
      </w:r>
      <w:r w:rsidRPr="006065DA">
        <w:t>.</w:t>
      </w:r>
    </w:p>
    <w:p w:rsidR="00CD530D" w:rsidRPr="003422B4" w:rsidRDefault="00CD530D" w:rsidP="00CD530D">
      <w:pPr>
        <w:pStyle w:val="notetext"/>
      </w:pPr>
      <w:r w:rsidRPr="008B1ABA">
        <w:rPr>
          <w:szCs w:val="18"/>
        </w:rPr>
        <w:t>Note:</w:t>
      </w:r>
      <w:r w:rsidRPr="008B1ABA">
        <w:rPr>
          <w:szCs w:val="18"/>
        </w:rPr>
        <w:tab/>
        <w:t>Kinds of therapeutic goods information specified under subsection 61(5D) of the Act may be released by the Secretary to the public under subsection 61(5C).</w:t>
      </w:r>
      <w:r w:rsidRPr="00CD530D">
        <w:t xml:space="preserve"> </w:t>
      </w:r>
    </w:p>
    <w:p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D6537E" w:rsidRPr="004E1307" w:rsidRDefault="004E1307" w:rsidP="00D6537E">
      <w:pPr>
        <w:pStyle w:val="ActHead6"/>
      </w:pPr>
      <w:bookmarkStart w:id="8" w:name="_Toc59005166"/>
      <w:r>
        <w:lastRenderedPageBreak/>
        <w:t xml:space="preserve">Schedule </w:t>
      </w:r>
      <w:r w:rsidR="00D6537E" w:rsidRPr="004E1307">
        <w:t>1—</w:t>
      </w:r>
      <w:r w:rsidR="00CD530D" w:rsidRPr="00CD530D">
        <w:t>Specified kinds of therapeutic goods information</w:t>
      </w:r>
      <w:bookmarkEnd w:id="8"/>
    </w:p>
    <w:p w:rsidR="00CD530D" w:rsidRDefault="00CD530D" w:rsidP="00CD530D">
      <w:pPr>
        <w:pStyle w:val="notemargin"/>
      </w:pPr>
      <w:r w:rsidRPr="00FC4418">
        <w:t>Note:</w:t>
      </w:r>
      <w:r w:rsidRPr="00FC4418">
        <w:tab/>
        <w:t>See section </w:t>
      </w:r>
      <w:r>
        <w:t>5</w:t>
      </w:r>
      <w:r w:rsidRPr="00FC4418">
        <w:t>.</w:t>
      </w:r>
    </w:p>
    <w:p w:rsidR="00CD530D" w:rsidRPr="009A6D9F" w:rsidRDefault="00CD530D" w:rsidP="00CD530D">
      <w:pPr>
        <w:spacing w:before="60" w:line="240" w:lineRule="atLeast"/>
        <w:rPr>
          <w:szCs w:val="22"/>
        </w:rPr>
      </w:pPr>
    </w:p>
    <w:tbl>
      <w:tblPr>
        <w:tblW w:w="496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2481"/>
        <w:gridCol w:w="4699"/>
      </w:tblGrid>
      <w:tr w:rsidR="00CD530D" w:rsidRPr="00C47ACA" w:rsidTr="00061EE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CD530D" w:rsidRDefault="00CD530D" w:rsidP="00061EE1">
            <w:pPr>
              <w:pStyle w:val="TableHeading"/>
            </w:pPr>
            <w:r>
              <w:t>Kinds of  therapeutic goods information</w:t>
            </w:r>
          </w:p>
        </w:tc>
      </w:tr>
      <w:tr w:rsidR="00CD530D" w:rsidRPr="00C47ACA" w:rsidTr="00061EE1">
        <w:trPr>
          <w:tblHeader/>
        </w:trPr>
        <w:tc>
          <w:tcPr>
            <w:tcW w:w="6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D530D" w:rsidRDefault="00CD530D" w:rsidP="00061EE1">
            <w:pPr>
              <w:pStyle w:val="TableHeading"/>
            </w:pPr>
            <w:r>
              <w:t>Column 1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D530D" w:rsidRPr="00C47ACA" w:rsidRDefault="00CD530D" w:rsidP="00061EE1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D530D" w:rsidRDefault="00CD530D" w:rsidP="00061EE1">
            <w:pPr>
              <w:pStyle w:val="TableHeading"/>
            </w:pPr>
            <w:r>
              <w:t>Column 3</w:t>
            </w:r>
          </w:p>
        </w:tc>
      </w:tr>
      <w:tr w:rsidR="00CD530D" w:rsidRPr="00C47ACA" w:rsidTr="00061EE1">
        <w:trPr>
          <w:tblHeader/>
        </w:trPr>
        <w:tc>
          <w:tcPr>
            <w:tcW w:w="65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CD530D" w:rsidRPr="00C47ACA" w:rsidRDefault="00CD530D" w:rsidP="00061EE1">
            <w:pPr>
              <w:pStyle w:val="TableHeading"/>
            </w:pPr>
            <w:r w:rsidRPr="00C47ACA">
              <w:t>Item</w:t>
            </w:r>
            <w:r>
              <w:t xml:space="preserve"> 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CD530D" w:rsidRPr="00C47ACA" w:rsidRDefault="00CD530D" w:rsidP="00061EE1">
            <w:pPr>
              <w:pStyle w:val="TableHeading"/>
              <w:tabs>
                <w:tab w:val="right" w:pos="2329"/>
              </w:tabs>
            </w:pPr>
            <w:r>
              <w:t>Information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CD530D" w:rsidRPr="00AA7C4F" w:rsidRDefault="00CD530D" w:rsidP="00061EE1">
            <w:pPr>
              <w:pStyle w:val="TableHeading"/>
            </w:pPr>
            <w:r>
              <w:t>Description</w:t>
            </w:r>
          </w:p>
        </w:tc>
      </w:tr>
      <w:tr w:rsidR="00CD530D" w:rsidRPr="00636A96" w:rsidTr="00061EE1">
        <w:tc>
          <w:tcPr>
            <w:tcW w:w="65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30D" w:rsidRPr="00DA220E" w:rsidRDefault="00CD530D" w:rsidP="00061EE1">
            <w:pPr>
              <w:pStyle w:val="Tabletext"/>
            </w:pPr>
            <w:r w:rsidRPr="00DA220E">
              <w:t>1</w:t>
            </w:r>
          </w:p>
        </w:tc>
        <w:tc>
          <w:tcPr>
            <w:tcW w:w="150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30D" w:rsidRPr="00DA220E" w:rsidRDefault="00CD530D" w:rsidP="00061EE1">
            <w:pPr>
              <w:pStyle w:val="Tabletext"/>
            </w:pPr>
            <w:r>
              <w:rPr>
                <w:szCs w:val="22"/>
              </w:rPr>
              <w:t>name</w:t>
            </w:r>
          </w:p>
        </w:tc>
        <w:tc>
          <w:tcPr>
            <w:tcW w:w="284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530D" w:rsidRPr="00E5694D" w:rsidRDefault="00CD530D" w:rsidP="00061EE1">
            <w:pPr>
              <w:pStyle w:val="Tabletext"/>
            </w:pPr>
            <w:r w:rsidRPr="00DA220E">
              <w:t xml:space="preserve">the name of the </w:t>
            </w:r>
            <w:r>
              <w:t>relevant medicine</w:t>
            </w:r>
          </w:p>
        </w:tc>
      </w:tr>
      <w:tr w:rsidR="00CD530D" w:rsidRPr="00DA220E" w:rsidTr="00061EE1">
        <w:tc>
          <w:tcPr>
            <w:tcW w:w="65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D530D" w:rsidRPr="00DA220E" w:rsidRDefault="00CD530D" w:rsidP="00061EE1">
            <w:pPr>
              <w:pStyle w:val="Tabletext"/>
            </w:pPr>
            <w:r w:rsidRPr="00DA220E">
              <w:t>2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D530D" w:rsidRPr="00DA220E" w:rsidRDefault="00CD530D" w:rsidP="00061EE1">
            <w:pPr>
              <w:pStyle w:val="Tabletext"/>
            </w:pPr>
            <w:r>
              <w:rPr>
                <w:szCs w:val="22"/>
              </w:rPr>
              <w:t>applicant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D530D" w:rsidRPr="00DA220E" w:rsidRDefault="00CD530D" w:rsidP="00061EE1">
            <w:pPr>
              <w:pStyle w:val="Tabletext"/>
            </w:pPr>
            <w:r w:rsidRPr="00DA220E">
              <w:t>the</w:t>
            </w:r>
            <w:r>
              <w:t xml:space="preserve"> name of the</w:t>
            </w:r>
            <w:r w:rsidRPr="00DA220E">
              <w:t xml:space="preserve"> </w:t>
            </w:r>
            <w:r>
              <w:t>p</w:t>
            </w:r>
            <w:r w:rsidR="00B95B72">
              <w:t xml:space="preserve">erson who made the application </w:t>
            </w:r>
            <w:r>
              <w:t>for the registration of the relevant medicine</w:t>
            </w:r>
          </w:p>
        </w:tc>
      </w:tr>
      <w:tr w:rsidR="00CD530D" w:rsidRPr="00DA220E" w:rsidTr="00061EE1">
        <w:tc>
          <w:tcPr>
            <w:tcW w:w="65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D530D" w:rsidRPr="00DA220E" w:rsidRDefault="00CD530D" w:rsidP="00061EE1">
            <w:pPr>
              <w:pStyle w:val="Tabletext"/>
            </w:pPr>
            <w:r>
              <w:t>3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D530D" w:rsidRPr="00DA220E" w:rsidRDefault="00CD530D" w:rsidP="00061EE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active ingredients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D530D" w:rsidRPr="00DA220E" w:rsidRDefault="00CD530D" w:rsidP="00061EE1">
            <w:pPr>
              <w:pStyle w:val="Tabletext"/>
            </w:pPr>
            <w:r>
              <w:t>the active ingredients contained in the relevant medicine</w:t>
            </w:r>
          </w:p>
        </w:tc>
      </w:tr>
      <w:tr w:rsidR="00CD530D" w:rsidRPr="00DA220E" w:rsidTr="00061EE1">
        <w:tc>
          <w:tcPr>
            <w:tcW w:w="65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D530D" w:rsidRPr="00DA220E" w:rsidRDefault="00CD530D" w:rsidP="00061EE1">
            <w:pPr>
              <w:pStyle w:val="Tabletext"/>
            </w:pPr>
            <w:r>
              <w:t>4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D530D" w:rsidRPr="00DA220E" w:rsidRDefault="00CD530D" w:rsidP="00061EE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indications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D530D" w:rsidRPr="00DA220E" w:rsidRDefault="00CD530D" w:rsidP="00061EE1">
            <w:pPr>
              <w:pStyle w:val="Tabletext"/>
            </w:pPr>
            <w:r>
              <w:t>a</w:t>
            </w:r>
            <w:r w:rsidRPr="00D836E1">
              <w:t xml:space="preserve"> summary of </w:t>
            </w:r>
            <w:r>
              <w:t>the proposed indications of the relevant medicine</w:t>
            </w:r>
          </w:p>
        </w:tc>
      </w:tr>
      <w:tr w:rsidR="00CD530D" w:rsidRPr="00DA220E" w:rsidTr="00061EE1">
        <w:tc>
          <w:tcPr>
            <w:tcW w:w="6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D530D" w:rsidRDefault="00CD530D" w:rsidP="00061EE1">
            <w:pPr>
              <w:pStyle w:val="Tabletext"/>
            </w:pPr>
            <w:r>
              <w:t>5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D530D" w:rsidRDefault="00CD530D" w:rsidP="00061EE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application type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D530D" w:rsidRDefault="00CD530D" w:rsidP="00061EE1">
            <w:pPr>
              <w:pStyle w:val="Tabletext"/>
            </w:pPr>
            <w:r>
              <w:t>the type of application that was made in relation to the relevant medicine, as follows:</w:t>
            </w:r>
          </w:p>
          <w:p w:rsidR="00CD530D" w:rsidRDefault="00CD530D" w:rsidP="00061EE1">
            <w:pPr>
              <w:pStyle w:val="Tabletext"/>
              <w:ind w:left="459" w:hanging="459"/>
            </w:pPr>
            <w:r>
              <w:t>(a)</w:t>
            </w:r>
            <w:r>
              <w:tab/>
              <w:t>new chemical entity (type A);</w:t>
            </w:r>
          </w:p>
          <w:p w:rsidR="00CD530D" w:rsidRDefault="00CD530D" w:rsidP="00061EE1">
            <w:pPr>
              <w:pStyle w:val="Tabletext"/>
              <w:ind w:left="459" w:hanging="459"/>
            </w:pPr>
            <w:r>
              <w:t>(b)</w:t>
            </w:r>
            <w:r>
              <w:tab/>
              <w:t>new combination (type B); or</w:t>
            </w:r>
          </w:p>
          <w:p w:rsidR="00CD530D" w:rsidRDefault="00CD530D" w:rsidP="00061EE1">
            <w:pPr>
              <w:pStyle w:val="Tabletext"/>
              <w:ind w:left="459" w:hanging="459"/>
            </w:pPr>
            <w:r>
              <w:t>(c)</w:t>
            </w:r>
            <w:r>
              <w:tab/>
              <w:t>extension of indications (type C)</w:t>
            </w:r>
          </w:p>
        </w:tc>
      </w:tr>
    </w:tbl>
    <w:p w:rsidR="00CD530D" w:rsidRDefault="00CD530D" w:rsidP="00CD530D"/>
    <w:sectPr w:rsidR="00CD530D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E3" w:rsidRDefault="00457EE3" w:rsidP="00715914">
      <w:pPr>
        <w:spacing w:line="240" w:lineRule="auto"/>
      </w:pPr>
      <w:r>
        <w:separator/>
      </w:r>
    </w:p>
  </w:endnote>
  <w:endnote w:type="continuationSeparator" w:id="0">
    <w:p w:rsidR="00457EE3" w:rsidRDefault="00457EE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05A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05A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705A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"/>
      <w:gridCol w:w="5917"/>
      <w:gridCol w:w="848"/>
      <w:gridCol w:w="562"/>
    </w:tblGrid>
    <w:tr w:rsidR="00F6696E" w:rsidTr="00B95B72">
      <w:tc>
        <w:tcPr>
          <w:tcW w:w="593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559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067D">
            <w:rPr>
              <w:i/>
              <w:noProof/>
              <w:sz w:val="18"/>
            </w:rPr>
            <w:t>Therapeutic Goods (Prescription Medicines—Transparency Measures)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48" w:type="pct"/>
          <w:gridSpan w:val="2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067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B95B72">
      <w:trPr>
        <w:gridAfter w:val="1"/>
        <w:wAfter w:w="338" w:type="pct"/>
      </w:trPr>
      <w:tc>
        <w:tcPr>
          <w:tcW w:w="4662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29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6380"/>
      <w:gridCol w:w="1574"/>
    </w:tblGrid>
    <w:tr w:rsidR="008C2EAC" w:rsidTr="00B95B72">
      <w:tc>
        <w:tcPr>
          <w:tcW w:w="483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06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23" w:type="pct"/>
        </w:tcPr>
        <w:p w:rsidR="008C2EAC" w:rsidRDefault="008C2EAC" w:rsidP="00CD530D">
          <w:pPr>
            <w:spacing w:line="0" w:lineRule="atLeast"/>
            <w:ind w:left="273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067D">
            <w:rPr>
              <w:i/>
              <w:noProof/>
              <w:sz w:val="18"/>
            </w:rPr>
            <w:t>Therapeutic Goods (Prescription Medicines—Transparency Measures)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94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B95B72">
      <w:tc>
        <w:tcPr>
          <w:tcW w:w="4997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5"/>
      <w:gridCol w:w="6200"/>
      <w:gridCol w:w="705"/>
      <w:gridCol w:w="283"/>
    </w:tblGrid>
    <w:tr w:rsidR="008C2EAC" w:rsidTr="00B95B72">
      <w:tc>
        <w:tcPr>
          <w:tcW w:w="67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729" w:type="pct"/>
        </w:tcPr>
        <w:p w:rsidR="008C2EAC" w:rsidRDefault="008C2EAC" w:rsidP="006B52DC">
          <w:pPr>
            <w:spacing w:line="0" w:lineRule="atLeast"/>
            <w:ind w:left="-104" w:right="172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5067D">
            <w:rPr>
              <w:i/>
              <w:noProof/>
              <w:sz w:val="18"/>
            </w:rPr>
            <w:t>Therapeutic Goods (Prescription Medicines—Transparency Measures)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94" w:type="pct"/>
          <w:gridSpan w:val="2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067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B95B72">
      <w:trPr>
        <w:gridAfter w:val="1"/>
        <w:wAfter w:w="170" w:type="pct"/>
      </w:trPr>
      <w:tc>
        <w:tcPr>
          <w:tcW w:w="483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E3" w:rsidRDefault="00457EE3" w:rsidP="00715914">
      <w:pPr>
        <w:spacing w:line="240" w:lineRule="auto"/>
      </w:pPr>
      <w:r>
        <w:separator/>
      </w:r>
    </w:p>
  </w:footnote>
  <w:footnote w:type="continuationSeparator" w:id="0">
    <w:p w:rsidR="00457EE3" w:rsidRDefault="00457EE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A4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067D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583A"/>
    <w:rsid w:val="002A7BCF"/>
    <w:rsid w:val="002C3FD1"/>
    <w:rsid w:val="002D043A"/>
    <w:rsid w:val="002D266B"/>
    <w:rsid w:val="002D6224"/>
    <w:rsid w:val="002E246C"/>
    <w:rsid w:val="002E678A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7EE3"/>
    <w:rsid w:val="00467661"/>
    <w:rsid w:val="00472DBE"/>
    <w:rsid w:val="00474A19"/>
    <w:rsid w:val="00477830"/>
    <w:rsid w:val="00487764"/>
    <w:rsid w:val="00490701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2F88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3BEA"/>
    <w:rsid w:val="0065488B"/>
    <w:rsid w:val="00670702"/>
    <w:rsid w:val="00670EA1"/>
    <w:rsid w:val="00677CC2"/>
    <w:rsid w:val="0068744B"/>
    <w:rsid w:val="006905DE"/>
    <w:rsid w:val="0069207B"/>
    <w:rsid w:val="006A154F"/>
    <w:rsid w:val="006A437B"/>
    <w:rsid w:val="006B52DC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654F5"/>
    <w:rsid w:val="00A70A74"/>
    <w:rsid w:val="00A75FE9"/>
    <w:rsid w:val="00AD53CC"/>
    <w:rsid w:val="00AD5641"/>
    <w:rsid w:val="00AE578E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5B72"/>
    <w:rsid w:val="00B96278"/>
    <w:rsid w:val="00BA220B"/>
    <w:rsid w:val="00BA3A57"/>
    <w:rsid w:val="00BB036D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4BE1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D530D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0907"/>
    <w:rsid w:val="00D8206C"/>
    <w:rsid w:val="00D852E3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27C20"/>
    <w:rsid w:val="00E338EF"/>
    <w:rsid w:val="00E544BB"/>
    <w:rsid w:val="00E705A4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5636EF"/>
  <w15:docId w15:val="{0045D83E-778D-42E9-81BB-0CC37A1F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AppData\Local\Microsoft\Windows\INetCache\IE\NPJWTVU1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7786-CD84-4C0D-95AB-70C67B44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0</TotalTime>
  <Pages>7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 Donna</dc:creator>
  <cp:lastModifiedBy>CARTER, Bless</cp:lastModifiedBy>
  <cp:revision>2</cp:revision>
  <dcterms:created xsi:type="dcterms:W3CDTF">2020-12-18T00:39:00Z</dcterms:created>
  <dcterms:modified xsi:type="dcterms:W3CDTF">2020-12-18T00:39:00Z</dcterms:modified>
</cp:coreProperties>
</file>