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A718" w14:textId="77777777" w:rsidR="00FC07B2" w:rsidRDefault="006C7809" w:rsidP="00472A54">
      <w:pPr>
        <w:pStyle w:val="Heading1"/>
        <w:jc w:val="center"/>
      </w:pPr>
      <w:r>
        <w:t>EXPLANATORY STATEMENT</w:t>
      </w:r>
    </w:p>
    <w:p w14:paraId="33AB1D2F" w14:textId="77777777" w:rsidR="0053168A" w:rsidRPr="0053168A" w:rsidRDefault="0053168A" w:rsidP="0053168A"/>
    <w:p w14:paraId="468B6945" w14:textId="77777777" w:rsidR="002C11DF" w:rsidRDefault="002C11DF" w:rsidP="002C11DF">
      <w:pPr>
        <w:pStyle w:val="Heading1"/>
        <w:jc w:val="center"/>
        <w:rPr>
          <w:i/>
        </w:rPr>
      </w:pPr>
      <w:r w:rsidRPr="00B93FAE">
        <w:rPr>
          <w:i/>
        </w:rPr>
        <w:t>BANKRUPTCY ACT 1966</w:t>
      </w:r>
    </w:p>
    <w:p w14:paraId="6D5243B2" w14:textId="77777777" w:rsidR="002C11DF" w:rsidRPr="002C11DF" w:rsidRDefault="002C11DF" w:rsidP="002C11DF">
      <w:pPr>
        <w:jc w:val="center"/>
      </w:pPr>
    </w:p>
    <w:p w14:paraId="07FBF662" w14:textId="22D843C7" w:rsidR="00683F5D" w:rsidRDefault="00D41377" w:rsidP="00683F5D">
      <w:pPr>
        <w:pStyle w:val="Heading1"/>
        <w:jc w:val="center"/>
      </w:pPr>
      <w:bookmarkStart w:id="0" w:name="_Hlk58930653"/>
      <w:bookmarkStart w:id="1" w:name="_GoBack"/>
      <w:r w:rsidRPr="00D41377">
        <w:t>Bankruptcy (Registration and Cancellation of Registration of a Debt Agreement Administrator) Guidelines 2020</w:t>
      </w:r>
      <w:bookmarkEnd w:id="1"/>
    </w:p>
    <w:bookmarkEnd w:id="0"/>
    <w:p w14:paraId="6827C4AC" w14:textId="77777777" w:rsidR="00506D26" w:rsidRDefault="00C41C7E" w:rsidP="00472A54">
      <w:pPr>
        <w:pStyle w:val="Heading2"/>
      </w:pPr>
      <w:r>
        <w:t>Purpose and operation of the instrument</w:t>
      </w:r>
    </w:p>
    <w:p w14:paraId="15B6C455" w14:textId="2B70A531" w:rsidR="00F3710E" w:rsidRDefault="00F3710E" w:rsidP="00F3710E">
      <w:r w:rsidRPr="00F3710E">
        <w:t>The </w:t>
      </w:r>
      <w:r w:rsidRPr="00F3710E">
        <w:rPr>
          <w:i/>
          <w:iCs/>
        </w:rPr>
        <w:t>Bankruptcy Act 1966</w:t>
      </w:r>
      <w:r w:rsidRPr="00F3710E">
        <w:t xml:space="preserve"> (Bankruptcy Act) </w:t>
      </w:r>
      <w:r w:rsidR="0094027A">
        <w:t xml:space="preserve">and associated legislation regulate Australia’s </w:t>
      </w:r>
      <w:r w:rsidRPr="00F3710E">
        <w:t>personal insolvency laws</w:t>
      </w:r>
      <w:r>
        <w:t>, including the regulation of debt agreement administrators.</w:t>
      </w:r>
    </w:p>
    <w:p w14:paraId="1F96AABA" w14:textId="77777777" w:rsidR="00F3710E" w:rsidRDefault="00F3710E" w:rsidP="00F3710E"/>
    <w:p w14:paraId="77DD2AC2" w14:textId="77777777" w:rsidR="00C41C7E" w:rsidRDefault="00C41C7E" w:rsidP="00C41C7E">
      <w:r>
        <w:t xml:space="preserve">Section 186Q of the </w:t>
      </w:r>
      <w:r>
        <w:rPr>
          <w:iCs/>
        </w:rPr>
        <w:t xml:space="preserve">Bankruptcy Act </w:t>
      </w:r>
      <w:r>
        <w:t>provides that the Inspector-General may, by legislative instrument, formulate guidelines for the purposes of:</w:t>
      </w:r>
    </w:p>
    <w:p w14:paraId="7ABE5C18" w14:textId="77777777" w:rsidR="00C41C7E" w:rsidRDefault="00C41C7E" w:rsidP="00C41C7E"/>
    <w:p w14:paraId="73DFFC3A" w14:textId="25013FF4" w:rsidR="00C41C7E" w:rsidRDefault="00C41C7E" w:rsidP="00C41C7E">
      <w:r>
        <w:t>(a)</w:t>
      </w:r>
      <w:r>
        <w:tab/>
        <w:t>subsection 186C(6) of the Act, which</w:t>
      </w:r>
      <w:r w:rsidR="004E24A5">
        <w:t xml:space="preserve"> concerns</w:t>
      </w:r>
      <w:r>
        <w:t xml:space="preserve"> the registration of a company or an individual to act as a debt agreement administrator;</w:t>
      </w:r>
    </w:p>
    <w:p w14:paraId="72DC327B" w14:textId="3BFF3E32" w:rsidR="00C41C7E" w:rsidRDefault="00C41C7E" w:rsidP="00C41C7E">
      <w:r>
        <w:t>(b)</w:t>
      </w:r>
      <w:r>
        <w:tab/>
        <w:t xml:space="preserve">subsection 186K(7) of the Act, which </w:t>
      </w:r>
      <w:r w:rsidR="004E24A5">
        <w:t xml:space="preserve">concerns </w:t>
      </w:r>
      <w:r>
        <w:t>the cancellation of an individual’s registration</w:t>
      </w:r>
      <w:r w:rsidRPr="001B438C">
        <w:t xml:space="preserve"> </w:t>
      </w:r>
      <w:r>
        <w:t>to act as a debt agreement administrator; and</w:t>
      </w:r>
    </w:p>
    <w:p w14:paraId="04898ACE" w14:textId="4A01D3BD" w:rsidR="00C41C7E" w:rsidRDefault="00C41C7E" w:rsidP="00F3710E">
      <w:r>
        <w:t>(c)</w:t>
      </w:r>
      <w:r>
        <w:tab/>
        <w:t xml:space="preserve">subsection 186L(7) of the Act, which </w:t>
      </w:r>
      <w:r w:rsidR="004E24A5">
        <w:t xml:space="preserve">concerns </w:t>
      </w:r>
      <w:r>
        <w:t>the cancellation of a company’s registration</w:t>
      </w:r>
      <w:r w:rsidRPr="001B438C">
        <w:t xml:space="preserve"> </w:t>
      </w:r>
      <w:r>
        <w:t>to act as a debt agreement administrator.</w:t>
      </w:r>
    </w:p>
    <w:p w14:paraId="2B9EA687" w14:textId="77777777" w:rsidR="00B96859" w:rsidRDefault="00B96859" w:rsidP="004E24A5"/>
    <w:p w14:paraId="0DBE8BFE" w14:textId="025D04EF" w:rsidR="0094027A" w:rsidRDefault="005B494F" w:rsidP="004E24A5">
      <w:r>
        <w:t>T</w:t>
      </w:r>
      <w:r w:rsidR="00592445">
        <w:t xml:space="preserve">he </w:t>
      </w:r>
      <w:r w:rsidR="00D41377" w:rsidRPr="00D41377">
        <w:rPr>
          <w:i/>
        </w:rPr>
        <w:t>Bankruptcy (Registration and Cancellation of Registration of a Debt Agreement Administrator) Guidelines 2020</w:t>
      </w:r>
      <w:r>
        <w:t xml:space="preserve"> (</w:t>
      </w:r>
      <w:r w:rsidR="00C07B9B">
        <w:t xml:space="preserve">the </w:t>
      </w:r>
      <w:r w:rsidR="00D75B58">
        <w:t xml:space="preserve">Guidelines) </w:t>
      </w:r>
      <w:r w:rsidR="0094027A">
        <w:t xml:space="preserve">are </w:t>
      </w:r>
      <w:r w:rsidR="0094027A" w:rsidRPr="0094027A">
        <w:t>made pursuant to section 186Q of the Bankruptcy Act</w:t>
      </w:r>
      <w:r w:rsidR="0094027A">
        <w:t>. The Guidelines</w:t>
      </w:r>
      <w:r w:rsidR="0094027A" w:rsidRPr="0094027A">
        <w:t xml:space="preserve"> </w:t>
      </w:r>
      <w:r w:rsidR="00C07B9B">
        <w:t xml:space="preserve">set out the considerations that the Inspector-General will take into account in making decisions on the registration and cancellation of registration of a debt agreement administrator. </w:t>
      </w:r>
    </w:p>
    <w:p w14:paraId="31A1331B" w14:textId="77777777" w:rsidR="0094027A" w:rsidRDefault="0094027A" w:rsidP="004E24A5"/>
    <w:p w14:paraId="1032550C" w14:textId="77FC62B9" w:rsidR="0094027A" w:rsidRDefault="0094027A" w:rsidP="004E24A5">
      <w:r>
        <w:t xml:space="preserve">The </w:t>
      </w:r>
      <w:r w:rsidRPr="004E24A5">
        <w:rPr>
          <w:i/>
          <w:iCs/>
        </w:rPr>
        <w:t>Bankruptcy (Registered Debt Agreement Administrator Conditions) Determination 2020</w:t>
      </w:r>
      <w:r>
        <w:t xml:space="preserve">, which will commence on 1 January 2021 (the Determination), prescribes registration conditions for debt agreement administrators. </w:t>
      </w:r>
      <w:r w:rsidRPr="00C41C7E">
        <w:t xml:space="preserve">The Determination </w:t>
      </w:r>
      <w:r>
        <w:t>was</w:t>
      </w:r>
      <w:r w:rsidRPr="00C41C7E">
        <w:t xml:space="preserve"> made under subsection 186F(4) of the Bankruptcy Act and prescribes compliance with advertising standards</w:t>
      </w:r>
      <w:r>
        <w:t>,</w:t>
      </w:r>
      <w:r w:rsidRPr="00C41C7E">
        <w:t xml:space="preserve"> information disclosure standards and membership of the Australian Financial Complaints Authority</w:t>
      </w:r>
      <w:r>
        <w:t>,</w:t>
      </w:r>
      <w:r w:rsidRPr="00C41C7E">
        <w:t xml:space="preserve"> as conditions of registration as a debt agreement administrator</w:t>
      </w:r>
      <w:r>
        <w:t xml:space="preserve">. </w:t>
      </w:r>
      <w:r w:rsidRPr="00C41C7E">
        <w:t xml:space="preserve">The Determination </w:t>
      </w:r>
      <w:r>
        <w:t>builds on</w:t>
      </w:r>
      <w:r w:rsidRPr="00C41C7E">
        <w:t xml:space="preserve"> amendments to the Bankruptcy Act made by the </w:t>
      </w:r>
      <w:r w:rsidRPr="00C41C7E">
        <w:rPr>
          <w:i/>
          <w:iCs/>
        </w:rPr>
        <w:t>Bankruptcy Amendment (Debt Agreement Reform) Act 2018</w:t>
      </w:r>
      <w:r>
        <w:t xml:space="preserve">.  </w:t>
      </w:r>
    </w:p>
    <w:p w14:paraId="75F576B6" w14:textId="77777777" w:rsidR="0094027A" w:rsidRDefault="0094027A" w:rsidP="004E24A5"/>
    <w:p w14:paraId="00674A89" w14:textId="43D740BD" w:rsidR="00F3710E" w:rsidRDefault="00C07B9B" w:rsidP="004E24A5">
      <w:r>
        <w:t xml:space="preserve">The Guidelines </w:t>
      </w:r>
      <w:r w:rsidR="004E24A5">
        <w:t xml:space="preserve">have been amended </w:t>
      </w:r>
      <w:r w:rsidR="004856C6">
        <w:t>to incorporate the</w:t>
      </w:r>
      <w:r w:rsidR="004E24A5">
        <w:t xml:space="preserve"> registration conditions prescribed by </w:t>
      </w:r>
      <w:r w:rsidR="004856C6">
        <w:t>the</w:t>
      </w:r>
      <w:r w:rsidR="00F3710E">
        <w:t xml:space="preserve"> </w:t>
      </w:r>
      <w:r w:rsidR="00EF6F53">
        <w:t xml:space="preserve">Determination. </w:t>
      </w:r>
      <w:r w:rsidR="00BA038C">
        <w:t xml:space="preserve">By virtue of these amendments, the </w:t>
      </w:r>
      <w:r w:rsidR="00425918">
        <w:t xml:space="preserve">Guidelines </w:t>
      </w:r>
      <w:r w:rsidR="00BA038C">
        <w:t xml:space="preserve">will </w:t>
      </w:r>
      <w:r w:rsidR="00425918">
        <w:t>ensure the</w:t>
      </w:r>
      <w:r w:rsidR="0094027A">
        <w:t xml:space="preserve"> continued</w:t>
      </w:r>
      <w:r w:rsidR="00425918">
        <w:t xml:space="preserve"> transparency </w:t>
      </w:r>
      <w:r w:rsidR="007834D3">
        <w:t>of</w:t>
      </w:r>
      <w:r w:rsidR="00A854FE">
        <w:t xml:space="preserve"> the </w:t>
      </w:r>
      <w:r w:rsidR="00425918">
        <w:t>Inspector-General’s decision making with respect to these matters.</w:t>
      </w:r>
    </w:p>
    <w:p w14:paraId="15A313CF" w14:textId="77777777" w:rsidR="00953C62" w:rsidRDefault="002C11DF" w:rsidP="00472A54">
      <w:pPr>
        <w:pStyle w:val="Heading2"/>
      </w:pPr>
      <w:r>
        <w:lastRenderedPageBreak/>
        <w:t>Authority</w:t>
      </w:r>
    </w:p>
    <w:p w14:paraId="2C3B9BDB" w14:textId="7BAB3B07" w:rsidR="001B438C" w:rsidRDefault="002C11DF" w:rsidP="00631AE2">
      <w:r>
        <w:t>The</w:t>
      </w:r>
      <w:r w:rsidR="00BA038C">
        <w:t xml:space="preserve"> </w:t>
      </w:r>
      <w:r w:rsidR="004856C6">
        <w:t>G</w:t>
      </w:r>
      <w:r w:rsidR="001B438C">
        <w:t xml:space="preserve">uidelines have been made for the purposes of section 186Q of the </w:t>
      </w:r>
      <w:r w:rsidR="00C07B9B">
        <w:t xml:space="preserve">Bankruptcy </w:t>
      </w:r>
      <w:r w:rsidR="001B438C">
        <w:t>Act</w:t>
      </w:r>
      <w:r>
        <w:t>.</w:t>
      </w:r>
    </w:p>
    <w:p w14:paraId="05D6F67D" w14:textId="77777777" w:rsidR="00D76477" w:rsidRDefault="00D76477" w:rsidP="00472A54">
      <w:pPr>
        <w:pStyle w:val="Heading2"/>
      </w:pPr>
      <w:r>
        <w:t>Consultation</w:t>
      </w:r>
    </w:p>
    <w:p w14:paraId="0F2BE995" w14:textId="5CD2D7B2" w:rsidR="00197AEC" w:rsidRDefault="00A854FE" w:rsidP="00197AEC">
      <w:bookmarkStart w:id="2" w:name="_Hlk58931143"/>
      <w:r>
        <w:t>T</w:t>
      </w:r>
      <w:r w:rsidR="00C07B9B">
        <w:t xml:space="preserve">he </w:t>
      </w:r>
      <w:r w:rsidR="00197AEC">
        <w:t xml:space="preserve">Guidelines were subject to an external consultation process with stakeholders through the AFSAsandpit website.  This is a website where </w:t>
      </w:r>
      <w:r w:rsidR="001E54C2">
        <w:t>the Australian Financial Security Authority (AFSA)</w:t>
      </w:r>
      <w:r w:rsidR="00197AEC">
        <w:t xml:space="preserve"> can receive feedback on services and test new ideas with the public. </w:t>
      </w:r>
    </w:p>
    <w:p w14:paraId="22ACA7D0" w14:textId="77777777" w:rsidR="00197AEC" w:rsidRDefault="00197AEC" w:rsidP="00197AEC"/>
    <w:p w14:paraId="54AE9042" w14:textId="4E00F15B" w:rsidR="00197AEC" w:rsidRDefault="00197AEC" w:rsidP="00197AEC">
      <w:r>
        <w:t xml:space="preserve">The Guidelines were on </w:t>
      </w:r>
      <w:r w:rsidR="00B366D6">
        <w:t xml:space="preserve">the </w:t>
      </w:r>
      <w:r>
        <w:t>AFSAsandpit from</w:t>
      </w:r>
      <w:r w:rsidR="00CA20C8">
        <w:t xml:space="preserve"> Monday 9 to Monday 23 November 2020</w:t>
      </w:r>
      <w:r w:rsidR="00B366D6">
        <w:t xml:space="preserve">.  </w:t>
      </w:r>
      <w:r>
        <w:t xml:space="preserve">An email notification was sent out to stakeholders to inform them that the Guidelines were available for feedback. </w:t>
      </w:r>
      <w:r w:rsidR="00B366D6">
        <w:t xml:space="preserve"> </w:t>
      </w:r>
      <w:r>
        <w:t>AFSA did not receive any feedback in relation to the Guidelines as a result of this process.</w:t>
      </w:r>
    </w:p>
    <w:p w14:paraId="47E10892" w14:textId="77777777" w:rsidR="00A854FE" w:rsidRDefault="00A854FE" w:rsidP="00197AEC"/>
    <w:p w14:paraId="1F12A5A7" w14:textId="23A6B9CC" w:rsidR="00A854FE" w:rsidRPr="00C07B9B" w:rsidRDefault="00A854FE" w:rsidP="00A854FE">
      <w:r>
        <w:t>Further, t</w:t>
      </w:r>
      <w:r w:rsidRPr="00C07B9B">
        <w:t>he Attorney-General’s Department undertook consultation on the Determination</w:t>
      </w:r>
      <w:r w:rsidR="00390322">
        <w:t>,</w:t>
      </w:r>
      <w:r w:rsidR="00263DF0">
        <w:t xml:space="preserve"> which included consultation on the </w:t>
      </w:r>
      <w:r w:rsidR="00390322">
        <w:t xml:space="preserve">registration conditions for debt agreement administrators, </w:t>
      </w:r>
      <w:r w:rsidRPr="00C07B9B">
        <w:t xml:space="preserve">with the following stakeholders: </w:t>
      </w:r>
    </w:p>
    <w:p w14:paraId="2969BEA0" w14:textId="77777777" w:rsidR="00A854FE" w:rsidRPr="00C07B9B" w:rsidRDefault="00A854FE" w:rsidP="00A854FE"/>
    <w:p w14:paraId="58C2DA7D" w14:textId="77777777" w:rsidR="00A854FE" w:rsidRPr="00C07B9B" w:rsidRDefault="00A854FE" w:rsidP="00A854FE">
      <w:r w:rsidRPr="00C07B9B">
        <w:t>·         personal insolvency professional associations</w:t>
      </w:r>
    </w:p>
    <w:p w14:paraId="4644C97F" w14:textId="77777777" w:rsidR="00A854FE" w:rsidRPr="00C07B9B" w:rsidRDefault="00A854FE" w:rsidP="00A854FE">
      <w:r w:rsidRPr="00C07B9B">
        <w:t>·         debt agreement administrators</w:t>
      </w:r>
    </w:p>
    <w:p w14:paraId="57F2F00A" w14:textId="77777777" w:rsidR="00A854FE" w:rsidRPr="00C07B9B" w:rsidRDefault="00A854FE" w:rsidP="00A854FE">
      <w:r w:rsidRPr="00C07B9B">
        <w:t>·         consumer groups</w:t>
      </w:r>
    </w:p>
    <w:p w14:paraId="1DEFA6D9" w14:textId="77777777" w:rsidR="00A854FE" w:rsidRPr="00C07B9B" w:rsidRDefault="00A854FE" w:rsidP="00A854FE">
      <w:r w:rsidRPr="00C07B9B">
        <w:t>·         the Australian Financial Complaints Authority</w:t>
      </w:r>
    </w:p>
    <w:p w14:paraId="0DE085F0" w14:textId="77777777" w:rsidR="00A854FE" w:rsidRPr="00C07B9B" w:rsidRDefault="00A854FE" w:rsidP="00A854FE">
      <w:r w:rsidRPr="00C07B9B">
        <w:t>·         the Australian Financial Security Authority, and</w:t>
      </w:r>
    </w:p>
    <w:p w14:paraId="16D74273" w14:textId="4E327B2F" w:rsidR="001E54C2" w:rsidRPr="00DC609A" w:rsidRDefault="00A854FE" w:rsidP="00DC609A">
      <w:pPr>
        <w:rPr>
          <w:rFonts w:ascii="Arial" w:hAnsi="Arial" w:cs="Arial"/>
          <w:b/>
          <w:i/>
          <w:sz w:val="28"/>
          <w:szCs w:val="28"/>
        </w:rPr>
      </w:pPr>
      <w:r w:rsidRPr="00C07B9B">
        <w:t>·         the Treasury.</w:t>
      </w:r>
      <w:bookmarkEnd w:id="2"/>
    </w:p>
    <w:p w14:paraId="5B1D0221" w14:textId="77777777" w:rsidR="001E54C2" w:rsidRPr="00BD78C3" w:rsidRDefault="001E54C2" w:rsidP="00BD78C3">
      <w:pPr>
        <w:pStyle w:val="Heading2"/>
        <w:rPr>
          <w:b w:val="0"/>
          <w:i w:val="0"/>
        </w:rPr>
      </w:pPr>
      <w:r w:rsidRPr="00BD78C3">
        <w:t>Regulation Impact Statement</w:t>
      </w:r>
    </w:p>
    <w:p w14:paraId="078D019D" w14:textId="5E780320" w:rsidR="000314EF" w:rsidRPr="00B823A1" w:rsidRDefault="000314EF" w:rsidP="000314EF">
      <w:pPr>
        <w:rPr>
          <w:lang w:val="en-GB"/>
        </w:rPr>
      </w:pPr>
      <w:r w:rsidRPr="000314EF">
        <w:rPr>
          <w:lang w:val="en-GB"/>
        </w:rPr>
        <w:t xml:space="preserve">The Office of Best Practice Regulation </w:t>
      </w:r>
      <w:r w:rsidR="00B823A1">
        <w:rPr>
          <w:lang w:val="en-GB"/>
        </w:rPr>
        <w:t xml:space="preserve">assessed the Guidelines as </w:t>
      </w:r>
      <w:r w:rsidR="00B823A1" w:rsidRPr="00B823A1">
        <w:rPr>
          <w:lang w:val="en-GB"/>
        </w:rPr>
        <w:t>machinery in nature</w:t>
      </w:r>
      <w:r w:rsidR="00B823A1">
        <w:rPr>
          <w:lang w:val="en-GB"/>
        </w:rPr>
        <w:t xml:space="preserve"> because the amendments</w:t>
      </w:r>
      <w:r w:rsidR="00B823A1" w:rsidRPr="00B823A1">
        <w:rPr>
          <w:lang w:val="en-GB"/>
        </w:rPr>
        <w:t xml:space="preserve"> are required to support </w:t>
      </w:r>
      <w:r w:rsidR="00B823A1">
        <w:rPr>
          <w:lang w:val="en-GB"/>
        </w:rPr>
        <w:t xml:space="preserve">the </w:t>
      </w:r>
      <w:r w:rsidR="00B823A1" w:rsidRPr="00B823A1">
        <w:rPr>
          <w:lang w:val="en-GB"/>
        </w:rPr>
        <w:t xml:space="preserve">reforms </w:t>
      </w:r>
      <w:r w:rsidR="00B823A1">
        <w:rPr>
          <w:lang w:val="en-GB"/>
        </w:rPr>
        <w:t xml:space="preserve">in the </w:t>
      </w:r>
      <w:r w:rsidR="00C07B9B">
        <w:rPr>
          <w:lang w:val="en-GB"/>
        </w:rPr>
        <w:t>Determination</w:t>
      </w:r>
      <w:r w:rsidR="00B823A1" w:rsidRPr="00B823A1">
        <w:rPr>
          <w:lang w:val="en-GB"/>
        </w:rPr>
        <w:t>.</w:t>
      </w:r>
      <w:r w:rsidR="00B823A1">
        <w:rPr>
          <w:lang w:val="en-GB"/>
        </w:rPr>
        <w:t xml:space="preserve">  As </w:t>
      </w:r>
      <w:r w:rsidR="00B823A1" w:rsidRPr="00B823A1">
        <w:t>this proposal will not be considered by Cabinet, a R</w:t>
      </w:r>
      <w:r w:rsidR="00B823A1">
        <w:t xml:space="preserve">egulation Impact Statement does not need to be </w:t>
      </w:r>
      <w:r w:rsidR="00B823A1" w:rsidRPr="00BD78C3">
        <w:t>prepared</w:t>
      </w:r>
      <w:r w:rsidRPr="00BD78C3">
        <w:rPr>
          <w:lang w:val="en-GB"/>
        </w:rPr>
        <w:t xml:space="preserve"> (</w:t>
      </w:r>
      <w:r w:rsidR="00166182" w:rsidRPr="00BD78C3">
        <w:rPr>
          <w:lang w:val="en-GB"/>
        </w:rPr>
        <w:t>ID</w:t>
      </w:r>
      <w:r w:rsidR="00872224">
        <w:rPr>
          <w:lang w:val="en-GB"/>
        </w:rPr>
        <w:t xml:space="preserve"> 25251</w:t>
      </w:r>
      <w:r w:rsidRPr="00BD78C3">
        <w:rPr>
          <w:lang w:val="en-GB"/>
        </w:rPr>
        <w:t>).</w:t>
      </w:r>
    </w:p>
    <w:p w14:paraId="1DFF4944" w14:textId="77777777" w:rsidR="00166A7B" w:rsidRPr="00BD78C3" w:rsidRDefault="00166A7B" w:rsidP="00BD78C3">
      <w:pPr>
        <w:pStyle w:val="Heading2"/>
        <w:rPr>
          <w:b w:val="0"/>
          <w:bCs w:val="0"/>
          <w:i w:val="0"/>
        </w:rPr>
      </w:pPr>
      <w:r w:rsidRPr="00DC609A">
        <w:t xml:space="preserve">Statement of </w:t>
      </w:r>
      <w:r w:rsidRPr="00441BCA">
        <w:t>Compatibility</w:t>
      </w:r>
      <w:r w:rsidR="0039432A" w:rsidRPr="00441BCA">
        <w:t xml:space="preserve"> w</w:t>
      </w:r>
      <w:r w:rsidRPr="00441BCA">
        <w:t>ith Human Rights</w:t>
      </w:r>
    </w:p>
    <w:p w14:paraId="65AA8367" w14:textId="21659E4F" w:rsidR="00A854FE" w:rsidRDefault="00166A7B" w:rsidP="00BD78C3">
      <w:pPr>
        <w:rPr>
          <w:rFonts w:eastAsia="Calibri"/>
          <w:lang w:eastAsia="en-US"/>
        </w:rPr>
      </w:pPr>
      <w:r w:rsidRPr="000314EF">
        <w:rPr>
          <w:rFonts w:eastAsia="Calibri"/>
          <w:lang w:eastAsia="en-US"/>
        </w:rPr>
        <w:t xml:space="preserve">The Guidelines are compatible with the human rights and freedoms recognised or declared in the international instruments listed in section 3 of the </w:t>
      </w:r>
      <w:r w:rsidRPr="000314EF">
        <w:rPr>
          <w:rFonts w:eastAsia="Calibri"/>
          <w:i/>
          <w:lang w:eastAsia="en-US"/>
        </w:rPr>
        <w:t>Human Rights (Parliamentary Scrutiny) Act 2011</w:t>
      </w:r>
      <w:r w:rsidRPr="000314EF">
        <w:rPr>
          <w:rFonts w:eastAsia="Calibri"/>
          <w:lang w:eastAsia="en-US"/>
        </w:rPr>
        <w:t xml:space="preserve">. </w:t>
      </w:r>
      <w:r w:rsidR="00B366D6">
        <w:rPr>
          <w:rFonts w:eastAsia="Calibri"/>
          <w:lang w:eastAsia="en-US"/>
        </w:rPr>
        <w:t xml:space="preserve"> </w:t>
      </w:r>
      <w:r w:rsidRPr="000314EF">
        <w:rPr>
          <w:rFonts w:eastAsia="Calibri"/>
          <w:lang w:eastAsia="en-US"/>
        </w:rPr>
        <w:t xml:space="preserve">A Statement of Compatibility with Human Rights is set out in </w:t>
      </w:r>
      <w:r w:rsidRPr="000314EF">
        <w:rPr>
          <w:rFonts w:eastAsia="Calibri"/>
          <w:b/>
          <w:u w:val="single"/>
          <w:lang w:eastAsia="en-US"/>
        </w:rPr>
        <w:t>Attachment A</w:t>
      </w:r>
      <w:r w:rsidR="00976635" w:rsidRPr="000314EF">
        <w:rPr>
          <w:rFonts w:eastAsia="Calibri"/>
          <w:lang w:eastAsia="en-US"/>
        </w:rPr>
        <w:t>.</w:t>
      </w:r>
    </w:p>
    <w:p w14:paraId="4FECE077" w14:textId="77777777" w:rsidR="00953C62" w:rsidRDefault="00953C62" w:rsidP="00DC609A">
      <w:pPr>
        <w:pStyle w:val="Heading2"/>
      </w:pPr>
      <w:r>
        <w:t>Commencement</w:t>
      </w:r>
    </w:p>
    <w:p w14:paraId="4D6C2267" w14:textId="7F7EAE12" w:rsidR="00166A7B" w:rsidRDefault="00953C62" w:rsidP="00631AE2">
      <w:r>
        <w:t>Th</w:t>
      </w:r>
      <w:r w:rsidR="002C11DF">
        <w:t xml:space="preserve">e </w:t>
      </w:r>
      <w:r w:rsidR="005E7C34">
        <w:t>G</w:t>
      </w:r>
      <w:r w:rsidR="002C11DF">
        <w:t>uidelines</w:t>
      </w:r>
      <w:r>
        <w:t xml:space="preserve"> commence</w:t>
      </w:r>
      <w:r w:rsidR="00131BCF">
        <w:t xml:space="preserve"> on </w:t>
      </w:r>
      <w:r w:rsidR="00C07B9B">
        <w:t>1 January 2021.</w:t>
      </w:r>
    </w:p>
    <w:p w14:paraId="487095D8" w14:textId="77777777" w:rsidR="00D76477" w:rsidRDefault="00166A7B" w:rsidP="001E54C2">
      <w:pPr>
        <w:jc w:val="right"/>
        <w:rPr>
          <w:b/>
        </w:rPr>
      </w:pPr>
      <w:r>
        <w:br w:type="page"/>
      </w:r>
      <w:r w:rsidR="005709B9">
        <w:rPr>
          <w:b/>
        </w:rPr>
        <w:lastRenderedPageBreak/>
        <w:t>Attachment A</w:t>
      </w:r>
    </w:p>
    <w:p w14:paraId="223163CD" w14:textId="77777777" w:rsidR="005709B9" w:rsidRPr="00BD78C3" w:rsidRDefault="005709B9" w:rsidP="001E54C2">
      <w:pPr>
        <w:pStyle w:val="Heading2"/>
        <w:jc w:val="center"/>
        <w:rPr>
          <w:i w:val="0"/>
        </w:rPr>
      </w:pPr>
      <w:r w:rsidRPr="00BD78C3">
        <w:rPr>
          <w:i w:val="0"/>
        </w:rPr>
        <w:t>Statement of Compatibility with Human Rights</w:t>
      </w:r>
    </w:p>
    <w:p w14:paraId="5BCE6B44" w14:textId="77777777" w:rsidR="005709B9" w:rsidRDefault="005709B9" w:rsidP="00326B56">
      <w:pPr>
        <w:spacing w:before="120" w:after="120"/>
        <w:jc w:val="center"/>
        <w:rPr>
          <w:i/>
        </w:rPr>
      </w:pPr>
      <w:r>
        <w:rPr>
          <w:i/>
        </w:rPr>
        <w:t>Prepared in accordance with Part 3 of the Human Rights (Parliamentary Scrutiny) Act 2011</w:t>
      </w:r>
    </w:p>
    <w:p w14:paraId="18F5E799" w14:textId="77777777" w:rsidR="005709B9" w:rsidRDefault="005709B9" w:rsidP="00326B56">
      <w:pPr>
        <w:spacing w:before="120" w:after="120"/>
        <w:jc w:val="center"/>
      </w:pPr>
    </w:p>
    <w:p w14:paraId="2CC28E88" w14:textId="28BBB1F4" w:rsidR="005709B9" w:rsidRPr="00181BD1" w:rsidRDefault="00D41377" w:rsidP="005709B9">
      <w:pPr>
        <w:spacing w:before="120" w:after="120"/>
        <w:jc w:val="center"/>
        <w:rPr>
          <w:rFonts w:ascii="Arial" w:hAnsi="Arial" w:cs="Arial"/>
          <w:b/>
        </w:rPr>
      </w:pPr>
      <w:r w:rsidRPr="00D41377">
        <w:rPr>
          <w:rFonts w:ascii="Arial" w:hAnsi="Arial" w:cs="Arial"/>
          <w:b/>
        </w:rPr>
        <w:t>Bankruptcy (Registration and Cancellation of Registration of a Debt Agreement Administrator) Guidelines 2020</w:t>
      </w:r>
    </w:p>
    <w:p w14:paraId="3EE2C8DB" w14:textId="77777777" w:rsidR="005709B9" w:rsidRDefault="005709B9" w:rsidP="005709B9">
      <w:pPr>
        <w:spacing w:before="120" w:after="120"/>
        <w:jc w:val="center"/>
      </w:pPr>
    </w:p>
    <w:p w14:paraId="1D403E0C" w14:textId="77777777" w:rsidR="005709B9" w:rsidRDefault="00181BD1" w:rsidP="005709B9">
      <w:pPr>
        <w:spacing w:before="120" w:after="120"/>
        <w:jc w:val="center"/>
      </w:pPr>
      <w:r>
        <w:t>These G</w:t>
      </w:r>
      <w:r w:rsidR="005709B9">
        <w:t xml:space="preserve">uidelines are compatible with the human rights and freedoms recognised or declared in the international instruments listed in section 3 of the </w:t>
      </w:r>
      <w:r w:rsidR="005709B9">
        <w:rPr>
          <w:i/>
        </w:rPr>
        <w:t>Human Rights (Parliamentary Scrutiny) Act 2011</w:t>
      </w:r>
      <w:r w:rsidR="005709B9">
        <w:t>.</w:t>
      </w:r>
    </w:p>
    <w:p w14:paraId="44990696" w14:textId="77777777" w:rsidR="005709B9" w:rsidRDefault="005709B9" w:rsidP="005709B9">
      <w:pPr>
        <w:spacing w:before="120" w:after="120"/>
      </w:pPr>
    </w:p>
    <w:p w14:paraId="3D9E731F" w14:textId="77777777" w:rsidR="005709B9" w:rsidRPr="00181BD1" w:rsidRDefault="005709B9" w:rsidP="005709B9">
      <w:pPr>
        <w:pStyle w:val="Heading3"/>
        <w:rPr>
          <w:rFonts w:ascii="Arial" w:hAnsi="Arial" w:cs="Arial"/>
          <w:sz w:val="24"/>
          <w:szCs w:val="24"/>
        </w:rPr>
      </w:pPr>
      <w:r w:rsidRPr="00181BD1">
        <w:rPr>
          <w:rFonts w:ascii="Arial" w:hAnsi="Arial" w:cs="Arial"/>
          <w:sz w:val="24"/>
          <w:szCs w:val="24"/>
        </w:rPr>
        <w:t>Overview of the Guidelines</w:t>
      </w:r>
    </w:p>
    <w:p w14:paraId="02B342CF" w14:textId="00BD0F92" w:rsidR="005709B9" w:rsidRDefault="005709B9" w:rsidP="005709B9">
      <w:pPr>
        <w:spacing w:before="120" w:after="120"/>
      </w:pPr>
      <w:r>
        <w:t xml:space="preserve">The </w:t>
      </w:r>
      <w:r w:rsidR="00D41377" w:rsidRPr="00D41377">
        <w:rPr>
          <w:i/>
        </w:rPr>
        <w:t>Bankruptcy (Registration and Cancellation of Registration of a Debt Agreement Administrator) Guidelines 2020</w:t>
      </w:r>
      <w:r w:rsidR="005B494F" w:rsidRPr="005B494F">
        <w:t xml:space="preserve"> </w:t>
      </w:r>
      <w:r>
        <w:t xml:space="preserve">provide information on the factors that will be considered by the Inspector-General in deciding whether to approve an application for registration as a debt agreement administrator and whether to cancel an existing registration on a voluntary or involuntary basis under the </w:t>
      </w:r>
      <w:r w:rsidRPr="000B455A">
        <w:rPr>
          <w:i/>
        </w:rPr>
        <w:t>Bankruptcy Act 1966</w:t>
      </w:r>
      <w:r>
        <w:t xml:space="preserve">.  They incorporate changes contained in the </w:t>
      </w:r>
      <w:r w:rsidR="0084537D" w:rsidRPr="00127237">
        <w:rPr>
          <w:i/>
          <w:iCs/>
        </w:rPr>
        <w:t>Bankruptcy (Registered Debt Agreement Administrator Conditions) Determination 2020</w:t>
      </w:r>
      <w:r w:rsidR="0084537D">
        <w:t xml:space="preserve">, which </w:t>
      </w:r>
      <w:r w:rsidR="0084537D" w:rsidRPr="00C41C7E">
        <w:t>prescribes compliance with advertising standards, information disclosure standards and membership of the Australian Financial Complaints Authority</w:t>
      </w:r>
      <w:r w:rsidR="005B494F">
        <w:t>,</w:t>
      </w:r>
      <w:r w:rsidR="0084537D" w:rsidRPr="00C41C7E">
        <w:t xml:space="preserve"> as conditions of registration as a debt agreement administrator</w:t>
      </w:r>
      <w:r w:rsidR="0084537D">
        <w:t xml:space="preserve">  </w:t>
      </w:r>
    </w:p>
    <w:p w14:paraId="3216AACF" w14:textId="77777777" w:rsidR="005709B9" w:rsidRDefault="005709B9" w:rsidP="005709B9">
      <w:pPr>
        <w:spacing w:before="120" w:after="120"/>
      </w:pPr>
      <w:r w:rsidRPr="005709B9">
        <w:t>The Guidelines ensure the continued transparency of the Inspector-General’s decision making with respect to these matters</w:t>
      </w:r>
      <w:r>
        <w:t>.</w:t>
      </w:r>
    </w:p>
    <w:p w14:paraId="2AA3961A" w14:textId="77777777" w:rsidR="005709B9" w:rsidRPr="00181BD1" w:rsidRDefault="005709B9" w:rsidP="005709B9">
      <w:pPr>
        <w:pStyle w:val="Heading3"/>
        <w:rPr>
          <w:rFonts w:ascii="Arial" w:hAnsi="Arial" w:cs="Arial"/>
          <w:sz w:val="24"/>
          <w:szCs w:val="24"/>
        </w:rPr>
      </w:pPr>
      <w:r w:rsidRPr="00181BD1">
        <w:rPr>
          <w:rFonts w:ascii="Arial" w:hAnsi="Arial" w:cs="Arial"/>
          <w:sz w:val="24"/>
          <w:szCs w:val="24"/>
        </w:rPr>
        <w:t>Human rights implications</w:t>
      </w:r>
    </w:p>
    <w:p w14:paraId="60C23830" w14:textId="50C7BE85" w:rsidR="005709B9" w:rsidRDefault="005709B9" w:rsidP="005709B9">
      <w:pPr>
        <w:spacing w:before="120" w:after="120"/>
      </w:pPr>
      <w:r>
        <w:t>Th</w:t>
      </w:r>
      <w:r w:rsidR="00D94AC9">
        <w:t xml:space="preserve">e </w:t>
      </w:r>
      <w:r w:rsidR="00326B56">
        <w:t>Guidelines do</w:t>
      </w:r>
      <w:r>
        <w:t xml:space="preserve"> not engage any of the applicable rights or freedoms.</w:t>
      </w:r>
    </w:p>
    <w:p w14:paraId="15F273FD" w14:textId="77777777" w:rsidR="005709B9" w:rsidRPr="00181BD1" w:rsidRDefault="005709B9" w:rsidP="005709B9">
      <w:pPr>
        <w:pStyle w:val="Heading3"/>
        <w:rPr>
          <w:rFonts w:ascii="Arial" w:hAnsi="Arial" w:cs="Arial"/>
          <w:sz w:val="24"/>
          <w:szCs w:val="24"/>
        </w:rPr>
      </w:pPr>
      <w:r w:rsidRPr="00181BD1">
        <w:rPr>
          <w:rFonts w:ascii="Arial" w:hAnsi="Arial" w:cs="Arial"/>
          <w:sz w:val="24"/>
          <w:szCs w:val="24"/>
        </w:rPr>
        <w:t>Conclusion</w:t>
      </w:r>
    </w:p>
    <w:p w14:paraId="11586FA1" w14:textId="19E4D234" w:rsidR="005709B9" w:rsidRDefault="005709B9" w:rsidP="001E54C2">
      <w:pPr>
        <w:spacing w:before="120" w:after="120"/>
      </w:pPr>
      <w:r>
        <w:t>Th</w:t>
      </w:r>
      <w:r w:rsidR="00D94AC9">
        <w:t>e</w:t>
      </w:r>
      <w:r>
        <w:t xml:space="preserve"> </w:t>
      </w:r>
      <w:r w:rsidR="00326B56">
        <w:t>Guidelines are</w:t>
      </w:r>
      <w:r>
        <w:t xml:space="preserve"> compatible with human rights as </w:t>
      </w:r>
      <w:r w:rsidR="00D94AC9">
        <w:t>they</w:t>
      </w:r>
      <w:r>
        <w:t xml:space="preserve"> do</w:t>
      </w:r>
      <w:r w:rsidR="00D94AC9">
        <w:t xml:space="preserve"> </w:t>
      </w:r>
      <w:r>
        <w:t>not raise any human rights issues.</w:t>
      </w:r>
    </w:p>
    <w:p w14:paraId="432BDDE6" w14:textId="05983319" w:rsidR="00D41377" w:rsidRPr="00D41377" w:rsidRDefault="00D41377" w:rsidP="00D41377">
      <w:pPr>
        <w:spacing w:before="2880"/>
        <w:ind w:left="624" w:hanging="624"/>
        <w:rPr>
          <w:b/>
          <w:sz w:val="26"/>
          <w:szCs w:val="26"/>
        </w:rPr>
      </w:pPr>
      <w:r w:rsidRPr="00E55EFD">
        <w:rPr>
          <w:sz w:val="18"/>
          <w:szCs w:val="18"/>
        </w:rPr>
        <w:t>Note:</w:t>
      </w:r>
      <w:r w:rsidRPr="00E55EFD">
        <w:rPr>
          <w:sz w:val="18"/>
          <w:szCs w:val="18"/>
        </w:rPr>
        <w:tab/>
        <w:t xml:space="preserve">The name of this instrument was amended on registration as the instrument as lodged did not have a unique name (see subsection 10(2), </w:t>
      </w:r>
      <w:r w:rsidRPr="00E55EFD">
        <w:rPr>
          <w:i/>
          <w:sz w:val="18"/>
          <w:szCs w:val="18"/>
        </w:rPr>
        <w:t>Legislation Rule 2016</w:t>
      </w:r>
      <w:r w:rsidRPr="00E55EFD">
        <w:rPr>
          <w:sz w:val="18"/>
          <w:szCs w:val="18"/>
        </w:rPr>
        <w:t>).</w:t>
      </w:r>
    </w:p>
    <w:sectPr w:rsidR="00D41377" w:rsidRPr="00D41377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80F1" w14:textId="77777777" w:rsidR="008E7238" w:rsidRDefault="008E7238">
      <w:r>
        <w:separator/>
      </w:r>
    </w:p>
  </w:endnote>
  <w:endnote w:type="continuationSeparator" w:id="0">
    <w:p w14:paraId="5103BF51" w14:textId="77777777" w:rsidR="008E7238" w:rsidRDefault="008E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C904" w14:textId="77777777" w:rsidR="006D5AC5" w:rsidRDefault="006D5AC5" w:rsidP="00F164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992AB" w14:textId="77777777" w:rsidR="006D5AC5" w:rsidRDefault="006D5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F846" w14:textId="77777777" w:rsidR="006D5AC5" w:rsidRDefault="006D5AC5" w:rsidP="00F164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3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67471" w14:textId="77777777" w:rsidR="006D5AC5" w:rsidRDefault="006D5AC5" w:rsidP="00AF5C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361B" w14:textId="77777777" w:rsidR="008E7238" w:rsidRDefault="008E7238">
      <w:r>
        <w:separator/>
      </w:r>
    </w:p>
  </w:footnote>
  <w:footnote w:type="continuationSeparator" w:id="0">
    <w:p w14:paraId="100998A5" w14:textId="77777777" w:rsidR="008E7238" w:rsidRDefault="008E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BB6"/>
    <w:multiLevelType w:val="hybridMultilevel"/>
    <w:tmpl w:val="113A5D9E"/>
    <w:lvl w:ilvl="0" w:tplc="3FA0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B3F"/>
    <w:multiLevelType w:val="hybridMultilevel"/>
    <w:tmpl w:val="D32E3C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B46879"/>
    <w:multiLevelType w:val="hybridMultilevel"/>
    <w:tmpl w:val="1868C58E"/>
    <w:lvl w:ilvl="0" w:tplc="099E55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07C2"/>
    <w:multiLevelType w:val="hybridMultilevel"/>
    <w:tmpl w:val="A0C88234"/>
    <w:lvl w:ilvl="0" w:tplc="0C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9"/>
    <w:rsid w:val="000040ED"/>
    <w:rsid w:val="000301F4"/>
    <w:rsid w:val="000314EF"/>
    <w:rsid w:val="000A22DF"/>
    <w:rsid w:val="000B07D9"/>
    <w:rsid w:val="000C2442"/>
    <w:rsid w:val="000F5A7A"/>
    <w:rsid w:val="001056E1"/>
    <w:rsid w:val="001104FF"/>
    <w:rsid w:val="00131BCF"/>
    <w:rsid w:val="00134CD8"/>
    <w:rsid w:val="001638C2"/>
    <w:rsid w:val="00166182"/>
    <w:rsid w:val="00166A7B"/>
    <w:rsid w:val="00181BD1"/>
    <w:rsid w:val="00197AEC"/>
    <w:rsid w:val="001A111C"/>
    <w:rsid w:val="001B438C"/>
    <w:rsid w:val="001E54C2"/>
    <w:rsid w:val="001E6DF6"/>
    <w:rsid w:val="002019CF"/>
    <w:rsid w:val="002106D6"/>
    <w:rsid w:val="00222F10"/>
    <w:rsid w:val="00243CCC"/>
    <w:rsid w:val="00245909"/>
    <w:rsid w:val="00253E41"/>
    <w:rsid w:val="00260C8B"/>
    <w:rsid w:val="00263DF0"/>
    <w:rsid w:val="00273943"/>
    <w:rsid w:val="00277323"/>
    <w:rsid w:val="00283E44"/>
    <w:rsid w:val="002C11DF"/>
    <w:rsid w:val="002E5C3A"/>
    <w:rsid w:val="00326B56"/>
    <w:rsid w:val="00330B81"/>
    <w:rsid w:val="00346899"/>
    <w:rsid w:val="003818B2"/>
    <w:rsid w:val="00390322"/>
    <w:rsid w:val="0039432A"/>
    <w:rsid w:val="003C4F9E"/>
    <w:rsid w:val="003F7E86"/>
    <w:rsid w:val="004138D4"/>
    <w:rsid w:val="00425918"/>
    <w:rsid w:val="004324CF"/>
    <w:rsid w:val="00441BCA"/>
    <w:rsid w:val="00450C45"/>
    <w:rsid w:val="0045593F"/>
    <w:rsid w:val="00472A54"/>
    <w:rsid w:val="004856C6"/>
    <w:rsid w:val="004A4472"/>
    <w:rsid w:val="004A4ECB"/>
    <w:rsid w:val="004C61F1"/>
    <w:rsid w:val="004E24A5"/>
    <w:rsid w:val="004E77BE"/>
    <w:rsid w:val="004F5131"/>
    <w:rsid w:val="00506D26"/>
    <w:rsid w:val="00521E23"/>
    <w:rsid w:val="0053168A"/>
    <w:rsid w:val="00570091"/>
    <w:rsid w:val="005709B9"/>
    <w:rsid w:val="00592445"/>
    <w:rsid w:val="005B494F"/>
    <w:rsid w:val="005E7C34"/>
    <w:rsid w:val="00631AE2"/>
    <w:rsid w:val="00637C8A"/>
    <w:rsid w:val="00655582"/>
    <w:rsid w:val="00665441"/>
    <w:rsid w:val="00680D04"/>
    <w:rsid w:val="00683F5D"/>
    <w:rsid w:val="0069377C"/>
    <w:rsid w:val="006B13CE"/>
    <w:rsid w:val="006B5BEF"/>
    <w:rsid w:val="006C7809"/>
    <w:rsid w:val="006D0934"/>
    <w:rsid w:val="006D5AC5"/>
    <w:rsid w:val="006D7F9C"/>
    <w:rsid w:val="00704A03"/>
    <w:rsid w:val="00716B62"/>
    <w:rsid w:val="0074265F"/>
    <w:rsid w:val="007834D3"/>
    <w:rsid w:val="00797322"/>
    <w:rsid w:val="007A1209"/>
    <w:rsid w:val="007A62CE"/>
    <w:rsid w:val="007C2469"/>
    <w:rsid w:val="00802EAD"/>
    <w:rsid w:val="00823A78"/>
    <w:rsid w:val="00835CBB"/>
    <w:rsid w:val="00836706"/>
    <w:rsid w:val="0084537D"/>
    <w:rsid w:val="00870396"/>
    <w:rsid w:val="00872224"/>
    <w:rsid w:val="008C14A3"/>
    <w:rsid w:val="008E466C"/>
    <w:rsid w:val="008E7238"/>
    <w:rsid w:val="008E7903"/>
    <w:rsid w:val="008F03F7"/>
    <w:rsid w:val="00915909"/>
    <w:rsid w:val="0094027A"/>
    <w:rsid w:val="009431E5"/>
    <w:rsid w:val="00953C62"/>
    <w:rsid w:val="00963C6D"/>
    <w:rsid w:val="00976635"/>
    <w:rsid w:val="009C443E"/>
    <w:rsid w:val="009F006E"/>
    <w:rsid w:val="009F5E06"/>
    <w:rsid w:val="00A0145D"/>
    <w:rsid w:val="00A22828"/>
    <w:rsid w:val="00A25082"/>
    <w:rsid w:val="00A40665"/>
    <w:rsid w:val="00A70245"/>
    <w:rsid w:val="00A854FE"/>
    <w:rsid w:val="00AC678C"/>
    <w:rsid w:val="00AF2EBC"/>
    <w:rsid w:val="00AF5CB8"/>
    <w:rsid w:val="00B07942"/>
    <w:rsid w:val="00B21259"/>
    <w:rsid w:val="00B21B33"/>
    <w:rsid w:val="00B366D6"/>
    <w:rsid w:val="00B41553"/>
    <w:rsid w:val="00B41777"/>
    <w:rsid w:val="00B41DAD"/>
    <w:rsid w:val="00B649A1"/>
    <w:rsid w:val="00B82023"/>
    <w:rsid w:val="00B823A1"/>
    <w:rsid w:val="00B93FAE"/>
    <w:rsid w:val="00B94055"/>
    <w:rsid w:val="00B94B77"/>
    <w:rsid w:val="00B96859"/>
    <w:rsid w:val="00BA038C"/>
    <w:rsid w:val="00BA1A4A"/>
    <w:rsid w:val="00BD78C3"/>
    <w:rsid w:val="00BF33C1"/>
    <w:rsid w:val="00C07B9B"/>
    <w:rsid w:val="00C10F3C"/>
    <w:rsid w:val="00C34C8A"/>
    <w:rsid w:val="00C41C7E"/>
    <w:rsid w:val="00C50996"/>
    <w:rsid w:val="00C5102A"/>
    <w:rsid w:val="00C7297F"/>
    <w:rsid w:val="00C74CFF"/>
    <w:rsid w:val="00C776B7"/>
    <w:rsid w:val="00C820AB"/>
    <w:rsid w:val="00C8307C"/>
    <w:rsid w:val="00CA20C8"/>
    <w:rsid w:val="00CB0BCD"/>
    <w:rsid w:val="00CC662C"/>
    <w:rsid w:val="00CD3B39"/>
    <w:rsid w:val="00D00D57"/>
    <w:rsid w:val="00D20B70"/>
    <w:rsid w:val="00D261C1"/>
    <w:rsid w:val="00D41377"/>
    <w:rsid w:val="00D42EC8"/>
    <w:rsid w:val="00D52A16"/>
    <w:rsid w:val="00D75B58"/>
    <w:rsid w:val="00D76477"/>
    <w:rsid w:val="00D94AC9"/>
    <w:rsid w:val="00DA27E3"/>
    <w:rsid w:val="00DB49A4"/>
    <w:rsid w:val="00DB719A"/>
    <w:rsid w:val="00DC609A"/>
    <w:rsid w:val="00DE1AAB"/>
    <w:rsid w:val="00E45A00"/>
    <w:rsid w:val="00E639D6"/>
    <w:rsid w:val="00E742D3"/>
    <w:rsid w:val="00ED7DCB"/>
    <w:rsid w:val="00EE33B7"/>
    <w:rsid w:val="00EF6F53"/>
    <w:rsid w:val="00F164B3"/>
    <w:rsid w:val="00F3643B"/>
    <w:rsid w:val="00F3710E"/>
    <w:rsid w:val="00F44854"/>
    <w:rsid w:val="00F52F81"/>
    <w:rsid w:val="00FA657D"/>
    <w:rsid w:val="00FB473E"/>
    <w:rsid w:val="00F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C7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2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9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C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5C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5CB8"/>
  </w:style>
  <w:style w:type="paragraph" w:styleId="BalloonText">
    <w:name w:val="Balloon Text"/>
    <w:basedOn w:val="Normal"/>
    <w:semiHidden/>
    <w:rsid w:val="008E79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E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C34"/>
    <w:rPr>
      <w:b/>
      <w:bCs/>
    </w:rPr>
  </w:style>
  <w:style w:type="paragraph" w:styleId="ListParagraph">
    <w:name w:val="List Paragraph"/>
    <w:aliases w:val="List Paragraph1,Recommendation,CV text,Dot pt,F5 List Paragraph,FooterText,L,List Paragraph11,List Paragraph111,List Paragraph2,Medium Grid 1 - Accent 21,NFP GP Bulleted List,Numbered Paragraph,Paragraphe de liste1,Table text,numbered,列出段"/>
    <w:basedOn w:val="Normal"/>
    <w:link w:val="ListParagraphChar"/>
    <w:uiPriority w:val="34"/>
    <w:qFormat/>
    <w:rsid w:val="006D7F9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character" w:customStyle="1" w:styleId="ListParagraphChar">
    <w:name w:val="List Paragraph Char"/>
    <w:aliases w:val="List Paragraph1 Char,Recommendation Char,CV text Char,Dot pt Char,F5 List Paragraph Char,FooterText Char,L Char,List Paragraph11 Char,List Paragraph111 Char,List Paragraph2 Char,Medium Grid 1 - Accent 21 Char,Numbered Paragraph Char"/>
    <w:link w:val="ListParagraph"/>
    <w:uiPriority w:val="34"/>
    <w:locked/>
    <w:rsid w:val="006D7F9C"/>
    <w:rPr>
      <w:rFonts w:ascii="Cambria" w:eastAsia="Calibri" w:hAnsi="Cambria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709B9"/>
    <w:rPr>
      <w:rFonts w:ascii="Calibri Light" w:eastAsia="Times New Roman" w:hAnsi="Calibri Light" w:cs="Times New Roman"/>
      <w:b/>
      <w:bCs/>
      <w:sz w:val="26"/>
      <w:szCs w:val="26"/>
      <w:lang w:val="en-AU" w:eastAsia="en-AU"/>
    </w:rPr>
  </w:style>
  <w:style w:type="character" w:customStyle="1" w:styleId="HeaderChar">
    <w:name w:val="Header Char"/>
    <w:link w:val="Header"/>
    <w:uiPriority w:val="99"/>
    <w:rsid w:val="005709B9"/>
    <w:rPr>
      <w:sz w:val="24"/>
      <w:szCs w:val="24"/>
      <w:lang w:val="en-AU" w:eastAsia="en-AU"/>
    </w:rPr>
  </w:style>
  <w:style w:type="character" w:styleId="FootnoteReference">
    <w:name w:val="footnote reference"/>
    <w:uiPriority w:val="99"/>
    <w:semiHidden/>
    <w:unhideWhenUsed/>
    <w:rsid w:val="00570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C7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2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9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C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5C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5CB8"/>
  </w:style>
  <w:style w:type="paragraph" w:styleId="BalloonText">
    <w:name w:val="Balloon Text"/>
    <w:basedOn w:val="Normal"/>
    <w:semiHidden/>
    <w:rsid w:val="008E79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E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C34"/>
    <w:rPr>
      <w:b/>
      <w:bCs/>
    </w:rPr>
  </w:style>
  <w:style w:type="paragraph" w:styleId="ListParagraph">
    <w:name w:val="List Paragraph"/>
    <w:aliases w:val="List Paragraph1,Recommendation,CV text,Dot pt,F5 List Paragraph,FooterText,L,List Paragraph11,List Paragraph111,List Paragraph2,Medium Grid 1 - Accent 21,NFP GP Bulleted List,Numbered Paragraph,Paragraphe de liste1,Table text,numbered,列出段"/>
    <w:basedOn w:val="Normal"/>
    <w:link w:val="ListParagraphChar"/>
    <w:uiPriority w:val="34"/>
    <w:qFormat/>
    <w:rsid w:val="006D7F9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character" w:customStyle="1" w:styleId="ListParagraphChar">
    <w:name w:val="List Paragraph Char"/>
    <w:aliases w:val="List Paragraph1 Char,Recommendation Char,CV text Char,Dot pt Char,F5 List Paragraph Char,FooterText Char,L Char,List Paragraph11 Char,List Paragraph111 Char,List Paragraph2 Char,Medium Grid 1 - Accent 21 Char,Numbered Paragraph Char"/>
    <w:link w:val="ListParagraph"/>
    <w:uiPriority w:val="34"/>
    <w:locked/>
    <w:rsid w:val="006D7F9C"/>
    <w:rPr>
      <w:rFonts w:ascii="Cambria" w:eastAsia="Calibri" w:hAnsi="Cambria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709B9"/>
    <w:rPr>
      <w:rFonts w:ascii="Calibri Light" w:eastAsia="Times New Roman" w:hAnsi="Calibri Light" w:cs="Times New Roman"/>
      <w:b/>
      <w:bCs/>
      <w:sz w:val="26"/>
      <w:szCs w:val="26"/>
      <w:lang w:val="en-AU" w:eastAsia="en-AU"/>
    </w:rPr>
  </w:style>
  <w:style w:type="character" w:customStyle="1" w:styleId="HeaderChar">
    <w:name w:val="Header Char"/>
    <w:link w:val="Header"/>
    <w:uiPriority w:val="99"/>
    <w:rsid w:val="005709B9"/>
    <w:rPr>
      <w:sz w:val="24"/>
      <w:szCs w:val="24"/>
      <w:lang w:val="en-AU" w:eastAsia="en-AU"/>
    </w:rPr>
  </w:style>
  <w:style w:type="character" w:styleId="FootnoteReference">
    <w:name w:val="footnote reference"/>
    <w:uiPriority w:val="99"/>
    <w:semiHidden/>
    <w:unhideWhenUsed/>
    <w:rsid w:val="00570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95A1-257F-42E7-B418-107AE377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4990</Characters>
  <Application>Microsoft Office Word</Application>
  <DocSecurity>4</DocSecurity>
  <Lines>142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/>
  <cp:lastModifiedBy/>
  <cp:revision>1</cp:revision>
  <cp:lastPrinted>2007-03-27T04:25:00Z</cp:lastPrinted>
  <dcterms:created xsi:type="dcterms:W3CDTF">2020-12-18T04:27:00Z</dcterms:created>
  <dcterms:modified xsi:type="dcterms:W3CDTF">2020-12-18T04:27:00Z</dcterms:modified>
</cp:coreProperties>
</file>