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3D503" w14:textId="77777777" w:rsidR="00280050" w:rsidRPr="00B105DD" w:rsidRDefault="00E40F4A" w:rsidP="00E40F4A">
      <w:pPr>
        <w:jc w:val="center"/>
        <w:rPr>
          <w:b/>
        </w:rPr>
      </w:pPr>
      <w:r w:rsidRPr="00B105DD">
        <w:rPr>
          <w:b/>
        </w:rPr>
        <w:t>EXPLANATORY STATEMENT</w:t>
      </w:r>
    </w:p>
    <w:p w14:paraId="319F95BA" w14:textId="77777777" w:rsidR="00E40F4A" w:rsidRPr="00B105DD" w:rsidRDefault="00E40F4A" w:rsidP="00E40F4A">
      <w:pPr>
        <w:jc w:val="center"/>
        <w:rPr>
          <w:i/>
        </w:rPr>
      </w:pPr>
      <w:r w:rsidRPr="00B105DD">
        <w:rPr>
          <w:i/>
        </w:rPr>
        <w:t>National Health Act 1953</w:t>
      </w:r>
    </w:p>
    <w:p w14:paraId="523FDEE7" w14:textId="77777777" w:rsidR="00E40F4A" w:rsidRPr="00B105DD" w:rsidRDefault="00830244" w:rsidP="00834226">
      <w:pPr>
        <w:jc w:val="center"/>
        <w:rPr>
          <w:b/>
          <w:i/>
        </w:rPr>
      </w:pPr>
      <w:r w:rsidRPr="00B105DD">
        <w:rPr>
          <w:b/>
          <w:i/>
        </w:rPr>
        <w:t xml:space="preserve">National Health (Pharmaceutical Benefits) Legislation Amendment (Commonwealth Price-Mark-ups) Determination 2020 </w:t>
      </w:r>
    </w:p>
    <w:p w14:paraId="7757380E" w14:textId="77777777" w:rsidR="00A01731" w:rsidRPr="00B105DD" w:rsidRDefault="00E40F4A">
      <w:pPr>
        <w:rPr>
          <w:b/>
        </w:rPr>
      </w:pPr>
      <w:r w:rsidRPr="00B105DD">
        <w:rPr>
          <w:b/>
        </w:rPr>
        <w:t>Authority</w:t>
      </w:r>
    </w:p>
    <w:p w14:paraId="680E5FC1" w14:textId="77777777" w:rsidR="00A367EF" w:rsidRPr="00B105DD" w:rsidRDefault="00A01731">
      <w:pPr>
        <w:rPr>
          <w:b/>
        </w:rPr>
      </w:pPr>
      <w:r w:rsidRPr="00B105DD">
        <w:t xml:space="preserve">Subsection 99(4) of the </w:t>
      </w:r>
      <w:r w:rsidRPr="00B105DD">
        <w:rPr>
          <w:i/>
        </w:rPr>
        <w:t>National Health Act 1953</w:t>
      </w:r>
      <w:r w:rsidRPr="00B105DD">
        <w:t xml:space="preserve"> (the Act) provides that an approved hospital authority is entitled to payment from the Commonwealth, at such rates and subject to such conditions as the Minister determines, in respect of the supply of particular quantities or numbers of units of pharmaceutical benefits to patients receiving treatment in or at a hospital in respect of which the approved hospital authority is approved.</w:t>
      </w:r>
    </w:p>
    <w:p w14:paraId="0A7C53E5" w14:textId="77777777" w:rsidR="0007588C" w:rsidRPr="00B105DD" w:rsidRDefault="0007588C" w:rsidP="0007588C">
      <w:pPr>
        <w:rPr>
          <w:b/>
        </w:rPr>
      </w:pPr>
      <w:r w:rsidRPr="00B105DD">
        <w:rPr>
          <w:b/>
        </w:rPr>
        <w:t>Reliance on subsection 33(3) of the </w:t>
      </w:r>
      <w:r w:rsidRPr="00B105DD">
        <w:rPr>
          <w:b/>
          <w:i/>
        </w:rPr>
        <w:t>Acts Interpretation Act 1901</w:t>
      </w:r>
    </w:p>
    <w:p w14:paraId="5EAB376E" w14:textId="77777777" w:rsidR="0007588C" w:rsidRPr="00B105DD" w:rsidRDefault="0007588C" w:rsidP="0007588C">
      <w:r w:rsidRPr="00B105DD">
        <w:t>Under subsection 33(3) of the </w:t>
      </w:r>
      <w:r w:rsidRPr="00B105DD">
        <w:rPr>
          <w:i/>
        </w:rPr>
        <w:t>Acts Interpretation Act 1901</w:t>
      </w:r>
      <w:r w:rsidRPr="00B105DD">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97A5C7D" w14:textId="77777777" w:rsidR="00E40F4A" w:rsidRPr="00B105DD" w:rsidRDefault="00E40F4A">
      <w:pPr>
        <w:rPr>
          <w:b/>
        </w:rPr>
      </w:pPr>
      <w:r w:rsidRPr="00B105DD">
        <w:rPr>
          <w:b/>
        </w:rPr>
        <w:t>Purpose</w:t>
      </w:r>
    </w:p>
    <w:p w14:paraId="163B05F9" w14:textId="65CFE2EF" w:rsidR="005E7E42" w:rsidRPr="00B105DD" w:rsidRDefault="009361E9">
      <w:r w:rsidRPr="00B105DD">
        <w:rPr>
          <w:rFonts w:eastAsia="Times New Roman"/>
          <w:lang w:eastAsia="en-AU"/>
        </w:rPr>
        <w:t>The</w:t>
      </w:r>
      <w:r w:rsidR="00830244" w:rsidRPr="00B105DD">
        <w:rPr>
          <w:rFonts w:eastAsia="Times New Roman"/>
          <w:lang w:eastAsia="en-AU"/>
        </w:rPr>
        <w:t xml:space="preserve"> </w:t>
      </w:r>
      <w:r w:rsidR="00830244" w:rsidRPr="00B105DD">
        <w:rPr>
          <w:i/>
        </w:rPr>
        <w:t>National Health (Pharmaceutical Benefits) Legislation Amendment (Commonwealth Price-Mark-ups) Determination 2020</w:t>
      </w:r>
      <w:r w:rsidR="00115A34" w:rsidRPr="00B105DD">
        <w:t xml:space="preserve"> </w:t>
      </w:r>
      <w:r w:rsidR="00877B11" w:rsidRPr="00B105DD">
        <w:t xml:space="preserve">(the </w:t>
      </w:r>
      <w:r w:rsidR="00A429AA" w:rsidRPr="00B105DD">
        <w:t xml:space="preserve">Amendment </w:t>
      </w:r>
      <w:r w:rsidR="00877B11" w:rsidRPr="00B105DD">
        <w:t xml:space="preserve">Determination) </w:t>
      </w:r>
      <w:r w:rsidR="00115A34" w:rsidRPr="00B105DD">
        <w:t xml:space="preserve">amends the </w:t>
      </w:r>
      <w:r w:rsidR="00115A34" w:rsidRPr="00B105DD">
        <w:rPr>
          <w:rFonts w:eastAsia="Times New Roman"/>
          <w:i/>
          <w:lang w:val="en-GB" w:eastAsia="en-AU"/>
        </w:rPr>
        <w:t xml:space="preserve">National Health (Commonwealth Price—Pharmaceutical Benefits Supplied </w:t>
      </w:r>
      <w:r w:rsidR="00B9634D" w:rsidRPr="00B105DD">
        <w:rPr>
          <w:rFonts w:eastAsia="Times New Roman"/>
          <w:i/>
          <w:lang w:val="en-GB" w:eastAsia="en-AU"/>
        </w:rPr>
        <w:t>b</w:t>
      </w:r>
      <w:r w:rsidR="00115A34" w:rsidRPr="00B105DD">
        <w:rPr>
          <w:rFonts w:eastAsia="Times New Roman"/>
          <w:i/>
          <w:lang w:val="en-GB" w:eastAsia="en-AU"/>
        </w:rPr>
        <w:t>y Private Hospitals) Determination 2020</w:t>
      </w:r>
      <w:r w:rsidR="00115A34" w:rsidRPr="00B105DD">
        <w:rPr>
          <w:rFonts w:eastAsia="Times New Roman"/>
          <w:lang w:val="en-GB" w:eastAsia="en-AU"/>
        </w:rPr>
        <w:t xml:space="preserve"> and</w:t>
      </w:r>
      <w:r w:rsidR="005D2181" w:rsidRPr="00B105DD">
        <w:rPr>
          <w:rFonts w:eastAsia="Times New Roman"/>
          <w:lang w:val="en-GB" w:eastAsia="en-AU"/>
        </w:rPr>
        <w:t xml:space="preserve"> the</w:t>
      </w:r>
      <w:r w:rsidR="00115A34" w:rsidRPr="00B105DD">
        <w:rPr>
          <w:rFonts w:eastAsia="Times New Roman"/>
          <w:lang w:val="en-GB" w:eastAsia="en-AU"/>
        </w:rPr>
        <w:t xml:space="preserve"> </w:t>
      </w:r>
      <w:r w:rsidR="00115A34" w:rsidRPr="00B105DD">
        <w:rPr>
          <w:rFonts w:eastAsia="Times New Roman"/>
          <w:i/>
          <w:lang w:val="en-GB" w:eastAsia="en-AU"/>
        </w:rPr>
        <w:t>National Health (Commonwealth Price—Pharmaceutical Benefits Supplied By Public Hospitals) Determination 2017</w:t>
      </w:r>
      <w:r w:rsidR="00D07FAE" w:rsidRPr="00B105DD">
        <w:rPr>
          <w:rFonts w:eastAsia="Times New Roman"/>
          <w:lang w:val="en-GB" w:eastAsia="en-AU"/>
        </w:rPr>
        <w:t>,</w:t>
      </w:r>
      <w:r w:rsidR="00115A34" w:rsidRPr="00B105DD">
        <w:rPr>
          <w:rFonts w:eastAsia="Times New Roman"/>
          <w:lang w:val="en-GB" w:eastAsia="en-AU"/>
        </w:rPr>
        <w:t xml:space="preserve"> </w:t>
      </w:r>
      <w:r w:rsidR="00D07FAE" w:rsidRPr="00B105DD">
        <w:rPr>
          <w:rFonts w:eastAsia="Times New Roman"/>
          <w:lang w:val="en-GB" w:eastAsia="en-AU"/>
        </w:rPr>
        <w:t xml:space="preserve">to </w:t>
      </w:r>
      <w:r w:rsidR="004D5D4E" w:rsidRPr="00B105DD">
        <w:t>maintain the</w:t>
      </w:r>
      <w:r w:rsidR="00D07FAE" w:rsidRPr="00B105DD">
        <w:t xml:space="preserve"> alignment of </w:t>
      </w:r>
      <w:r w:rsidR="004D5D4E" w:rsidRPr="00B105DD">
        <w:t xml:space="preserve">wholesale, storage and handling </w:t>
      </w:r>
      <w:r w:rsidR="00D07FAE" w:rsidRPr="00B105DD">
        <w:t>mark-ups</w:t>
      </w:r>
      <w:r w:rsidR="004D5D4E" w:rsidRPr="00B105DD">
        <w:t xml:space="preserve"> </w:t>
      </w:r>
      <w:r w:rsidR="00D07FAE" w:rsidRPr="00B105DD">
        <w:t xml:space="preserve">across </w:t>
      </w:r>
      <w:r w:rsidR="004D5D4E" w:rsidRPr="00B105DD">
        <w:t xml:space="preserve">the range of </w:t>
      </w:r>
      <w:r w:rsidR="002B5FBF" w:rsidRPr="00B105DD">
        <w:t>Pharmaceutical Benefits Scheme (</w:t>
      </w:r>
      <w:r w:rsidR="004D5D4E" w:rsidRPr="00B105DD">
        <w:t>PBS</w:t>
      </w:r>
      <w:r w:rsidR="002B5FBF" w:rsidRPr="00B105DD">
        <w:t>)</w:t>
      </w:r>
      <w:r w:rsidR="004D5D4E" w:rsidRPr="00B105DD">
        <w:t xml:space="preserve"> </w:t>
      </w:r>
      <w:r w:rsidR="00D07FAE" w:rsidRPr="00B105DD">
        <w:t>dispensing environments</w:t>
      </w:r>
      <w:r w:rsidR="004D5D4E" w:rsidRPr="00B105DD">
        <w:t xml:space="preserve"> following changes</w:t>
      </w:r>
      <w:r w:rsidR="00DC3A5F" w:rsidRPr="00B105DD">
        <w:t xml:space="preserve"> to take effect from 1 January 2021</w:t>
      </w:r>
      <w:r w:rsidR="004D5D4E" w:rsidRPr="00B105DD">
        <w:t xml:space="preserve"> to</w:t>
      </w:r>
      <w:r w:rsidR="00D07FAE" w:rsidRPr="00B105DD">
        <w:rPr>
          <w:rFonts w:eastAsia="Times New Roman"/>
          <w:lang w:val="en-GB" w:eastAsia="en-AU"/>
        </w:rPr>
        <w:t xml:space="preserve"> </w:t>
      </w:r>
      <w:r w:rsidR="00E14416" w:rsidRPr="00B105DD">
        <w:rPr>
          <w:rFonts w:cstheme="minorBidi"/>
        </w:rPr>
        <w:t xml:space="preserve">the </w:t>
      </w:r>
      <w:r w:rsidR="00877B11" w:rsidRPr="00B105DD">
        <w:rPr>
          <w:rFonts w:cstheme="minorBidi"/>
        </w:rPr>
        <w:t xml:space="preserve">structure of the </w:t>
      </w:r>
      <w:r w:rsidR="00E14416" w:rsidRPr="00B105DD">
        <w:rPr>
          <w:rFonts w:cstheme="minorBidi"/>
        </w:rPr>
        <w:t>wholesale</w:t>
      </w:r>
      <w:r w:rsidR="00E14416" w:rsidRPr="00B105DD">
        <w:t xml:space="preserve"> mark</w:t>
      </w:r>
      <w:r w:rsidR="004D5D4E" w:rsidRPr="00B105DD">
        <w:noBreakHyphen/>
      </w:r>
      <w:r w:rsidR="00E14416" w:rsidRPr="00B105DD">
        <w:t xml:space="preserve">up component of the Commonwealth </w:t>
      </w:r>
      <w:r w:rsidR="00877B11" w:rsidRPr="00B105DD">
        <w:t>P</w:t>
      </w:r>
      <w:r w:rsidR="00E14416" w:rsidRPr="00B105DD">
        <w:t>rice</w:t>
      </w:r>
      <w:r w:rsidR="00045080" w:rsidRPr="00B105DD">
        <w:t xml:space="preserve"> for ready-prepared pharmaceutical </w:t>
      </w:r>
      <w:r w:rsidR="00DC3A5F" w:rsidRPr="00B105DD">
        <w:t>benefits. These changes were</w:t>
      </w:r>
      <w:r w:rsidR="00045080" w:rsidRPr="00B105DD">
        <w:t xml:space="preserve"> agreed </w:t>
      </w:r>
      <w:r w:rsidR="00DC3A5F" w:rsidRPr="00B105DD">
        <w:t xml:space="preserve">as a part of </w:t>
      </w:r>
      <w:r w:rsidR="00DD567B" w:rsidRPr="00B105DD">
        <w:t xml:space="preserve">the Seventh Community </w:t>
      </w:r>
      <w:r w:rsidR="00661B10" w:rsidRPr="00B105DD">
        <w:t>Pharmacy</w:t>
      </w:r>
      <w:r w:rsidR="00DD567B" w:rsidRPr="00B105DD">
        <w:t xml:space="preserve"> Agreement (</w:t>
      </w:r>
      <w:r w:rsidR="00CB0807" w:rsidRPr="00B105DD">
        <w:t xml:space="preserve">the </w:t>
      </w:r>
      <w:r w:rsidR="00351C3D" w:rsidRPr="00B105DD">
        <w:t>7</w:t>
      </w:r>
      <w:r w:rsidR="00351C3D" w:rsidRPr="00B105DD">
        <w:rPr>
          <w:vertAlign w:val="superscript"/>
        </w:rPr>
        <w:t>th</w:t>
      </w:r>
      <w:r w:rsidR="00351C3D" w:rsidRPr="00B105DD">
        <w:t xml:space="preserve"> CPA</w:t>
      </w:r>
      <w:r w:rsidR="00DD567B" w:rsidRPr="00B105DD">
        <w:t>)</w:t>
      </w:r>
      <w:r w:rsidR="00DC3A5F" w:rsidRPr="00B105DD">
        <w:t xml:space="preserve">, and given force by </w:t>
      </w:r>
      <w:r w:rsidR="005E7E42" w:rsidRPr="00B105DD">
        <w:t xml:space="preserve">the </w:t>
      </w:r>
      <w:r w:rsidR="005E7E42" w:rsidRPr="00B105DD">
        <w:rPr>
          <w:i/>
        </w:rPr>
        <w:t>Commonwealth Price (Pharmaceutical benefits supplied by approved pharmacists) Amendment Determination 2020</w:t>
      </w:r>
      <w:r w:rsidR="00DC3A5F" w:rsidRPr="00B105DD">
        <w:t>, which came into effect on 1 July 2020</w:t>
      </w:r>
      <w:r w:rsidR="005E7E42" w:rsidRPr="00B105DD">
        <w:t>.</w:t>
      </w:r>
      <w:r w:rsidR="00882090" w:rsidRPr="00B105DD">
        <w:t xml:space="preserve"> </w:t>
      </w:r>
    </w:p>
    <w:p w14:paraId="7160DDC6" w14:textId="77777777" w:rsidR="00381735" w:rsidRPr="00B105DD" w:rsidRDefault="00452724" w:rsidP="005E7E42">
      <w:pPr>
        <w:shd w:val="clear" w:color="auto" w:fill="FFFFFF"/>
        <w:spacing w:before="120" w:after="120"/>
      </w:pPr>
      <w:r w:rsidRPr="00B105DD">
        <w:rPr>
          <w:rFonts w:eastAsia="Times New Roman"/>
          <w:lang w:eastAsia="en-AU"/>
        </w:rPr>
        <w:t>The</w:t>
      </w:r>
      <w:r w:rsidR="00A429AA" w:rsidRPr="00B105DD">
        <w:rPr>
          <w:rFonts w:eastAsia="Times New Roman"/>
          <w:lang w:eastAsia="en-AU"/>
        </w:rPr>
        <w:t xml:space="preserve"> Amendment</w:t>
      </w:r>
      <w:r w:rsidRPr="00B105DD">
        <w:rPr>
          <w:rFonts w:eastAsia="Times New Roman"/>
          <w:lang w:eastAsia="en-AU"/>
        </w:rPr>
        <w:t xml:space="preserve"> </w:t>
      </w:r>
      <w:r w:rsidR="00877B11" w:rsidRPr="00B105DD">
        <w:t>Determination establishes, via</w:t>
      </w:r>
      <w:r w:rsidR="000C48BE" w:rsidRPr="00B105DD">
        <w:t xml:space="preserve"> an incorporation by reference to the </w:t>
      </w:r>
      <w:r w:rsidR="000C48BE" w:rsidRPr="00B105DD">
        <w:rPr>
          <w:bCs/>
          <w:i/>
        </w:rPr>
        <w:t>Commonwealth Price (Pharmaceutical benefits supplied by approved pharmacists) Amendment Determination 2020</w:t>
      </w:r>
      <w:r w:rsidR="00877B11" w:rsidRPr="00B105DD">
        <w:t>, the mark-up applicable to supplies of pharmaceutical benefits by an approved public hospital authority, and also the storage and handling mark-up applicable to supplies of pharmaceutical benefits by an approved private hospital authority, in accordance with the Act.</w:t>
      </w:r>
    </w:p>
    <w:p w14:paraId="2C28D73D" w14:textId="77777777" w:rsidR="005E7E42" w:rsidRPr="00B105DD" w:rsidRDefault="00381735" w:rsidP="005E7E42">
      <w:pPr>
        <w:shd w:val="clear" w:color="auto" w:fill="FFFFFF"/>
        <w:spacing w:before="120" w:after="120"/>
      </w:pPr>
      <w:r w:rsidRPr="00B105DD">
        <w:t>As a part of the 7</w:t>
      </w:r>
      <w:r w:rsidRPr="00B105DD">
        <w:rPr>
          <w:vertAlign w:val="superscript"/>
        </w:rPr>
        <w:t>th</w:t>
      </w:r>
      <w:r w:rsidRPr="00B105DD">
        <w:t xml:space="preserve"> CPA, the parties agreed that the wholesale mark-up applying for the period from 1 July 2020 to 31 December 2020 would be the wholesale mark-up applying in the last year of the Sixth Community Pharmacy Agreement, but that from 1 January 2021 the wholesale mark</w:t>
      </w:r>
      <w:r w:rsidRPr="00B105DD">
        <w:noBreakHyphen/>
        <w:t>up structure would comprise</w:t>
      </w:r>
      <w:r w:rsidR="00122313" w:rsidRPr="00B105DD">
        <w:t>:</w:t>
      </w:r>
    </w:p>
    <w:p w14:paraId="35D5FEA0" w14:textId="77777777" w:rsidR="005E7E42" w:rsidRPr="00B105DD" w:rsidRDefault="00381735" w:rsidP="00DE481E">
      <w:pPr>
        <w:pStyle w:val="ListParagraph"/>
        <w:numPr>
          <w:ilvl w:val="0"/>
          <w:numId w:val="5"/>
        </w:numPr>
        <w:shd w:val="clear" w:color="auto" w:fill="FFFFFF"/>
        <w:spacing w:before="120" w:after="120" w:line="240" w:lineRule="auto"/>
        <w:ind w:left="714" w:hanging="357"/>
        <w:contextualSpacing w:val="0"/>
      </w:pPr>
      <w:r w:rsidRPr="00B105DD">
        <w:lastRenderedPageBreak/>
        <w:t>a</w:t>
      </w:r>
      <w:r w:rsidR="005E7E42" w:rsidRPr="00B105DD">
        <w:t xml:space="preserve"> </w:t>
      </w:r>
      <w:r w:rsidR="00B772F1" w:rsidRPr="00B105DD">
        <w:t xml:space="preserve">new, </w:t>
      </w:r>
      <w:r w:rsidR="005E7E42" w:rsidRPr="00B105DD">
        <w:t xml:space="preserve">fixed $0.41 wholesale mark-up </w:t>
      </w:r>
      <w:r w:rsidR="00B772F1" w:rsidRPr="00B105DD">
        <w:t>on</w:t>
      </w:r>
      <w:r w:rsidR="005E7E42" w:rsidRPr="00B105DD">
        <w:t xml:space="preserve"> </w:t>
      </w:r>
      <w:r w:rsidR="00B772F1" w:rsidRPr="00B105DD">
        <w:t xml:space="preserve">a </w:t>
      </w:r>
      <w:r w:rsidR="005E7E42" w:rsidRPr="00B105DD">
        <w:t>pharmaceutical item for which the ex</w:t>
      </w:r>
      <w:r w:rsidR="005E7E42" w:rsidRPr="00B105DD">
        <w:noBreakHyphen/>
        <w:t>manufacturer price is up to and including $5.50</w:t>
      </w:r>
      <w:r w:rsidR="00860EDB" w:rsidRPr="00B105DD">
        <w:t xml:space="preserve">, replacing </w:t>
      </w:r>
      <w:r w:rsidR="00B772F1" w:rsidRPr="00B105DD">
        <w:t>a</w:t>
      </w:r>
      <w:r w:rsidR="005E7E42" w:rsidRPr="00B105DD">
        <w:t xml:space="preserve"> mark-up </w:t>
      </w:r>
      <w:r w:rsidR="00860EDB" w:rsidRPr="00B105DD">
        <w:t xml:space="preserve">applied to these items </w:t>
      </w:r>
      <w:r w:rsidR="005E7E42" w:rsidRPr="00B105DD">
        <w:t xml:space="preserve">of 7.52 per cent </w:t>
      </w:r>
      <w:r w:rsidR="00860EDB" w:rsidRPr="00B105DD">
        <w:t>of</w:t>
      </w:r>
      <w:r w:rsidR="005E7E42" w:rsidRPr="00B105DD">
        <w:t xml:space="preserve"> the ex-manufacturer price</w:t>
      </w:r>
      <w:r w:rsidRPr="00B105DD">
        <w:t>;</w:t>
      </w:r>
    </w:p>
    <w:p w14:paraId="6D961431" w14:textId="77777777" w:rsidR="00B772F1" w:rsidRPr="00B105DD" w:rsidRDefault="00B772F1" w:rsidP="00C764A9">
      <w:pPr>
        <w:pStyle w:val="ListParagraph"/>
        <w:numPr>
          <w:ilvl w:val="0"/>
          <w:numId w:val="5"/>
        </w:numPr>
        <w:shd w:val="clear" w:color="auto" w:fill="FFFFFF"/>
        <w:spacing w:before="120" w:after="240" w:line="240" w:lineRule="auto"/>
        <w:ind w:left="714" w:hanging="357"/>
        <w:contextualSpacing w:val="0"/>
      </w:pPr>
      <w:r w:rsidRPr="00B105DD">
        <w:t>retention of a 7.52 per cent wholesale mark</w:t>
      </w:r>
      <w:r w:rsidRPr="00B105DD">
        <w:noBreakHyphen/>
        <w:t>up on pharmaceutical items for which the ex</w:t>
      </w:r>
      <w:r w:rsidRPr="00B105DD">
        <w:noBreakHyphen/>
        <w:t>manufacturer price is more than $5.50 and less than or equal to</w:t>
      </w:r>
      <w:r w:rsidR="00381735" w:rsidRPr="00B105DD">
        <w:t xml:space="preserve"> $720.00</w:t>
      </w:r>
      <w:r w:rsidR="00D85D02" w:rsidRPr="00B105DD">
        <w:t>;</w:t>
      </w:r>
      <w:r w:rsidR="00381735" w:rsidRPr="00B105DD">
        <w:t xml:space="preserve"> and</w:t>
      </w:r>
    </w:p>
    <w:p w14:paraId="3191945D" w14:textId="77777777" w:rsidR="00882090" w:rsidRPr="00B105DD" w:rsidRDefault="00B772F1" w:rsidP="00C764A9">
      <w:pPr>
        <w:pStyle w:val="ListParagraph"/>
        <w:numPr>
          <w:ilvl w:val="0"/>
          <w:numId w:val="5"/>
        </w:numPr>
        <w:shd w:val="clear" w:color="auto" w:fill="FFFFFF"/>
        <w:spacing w:before="120" w:after="240" w:line="240" w:lineRule="auto"/>
        <w:ind w:left="714" w:hanging="357"/>
        <w:contextualSpacing w:val="0"/>
      </w:pPr>
      <w:proofErr w:type="gramStart"/>
      <w:r w:rsidRPr="00B105DD">
        <w:t>a</w:t>
      </w:r>
      <w:proofErr w:type="gramEnd"/>
      <w:r w:rsidRPr="00B105DD">
        <w:t xml:space="preserve"> new, fixed wholesale mark</w:t>
      </w:r>
      <w:r w:rsidRPr="00B105DD">
        <w:noBreakHyphen/>
        <w:t>up of $54.14 on pharmaceutical items for which the ex</w:t>
      </w:r>
      <w:r w:rsidRPr="00B105DD">
        <w:noBreakHyphen/>
        <w:t>manufacturer price is more than $720.00</w:t>
      </w:r>
      <w:r w:rsidR="00860EDB" w:rsidRPr="00B105DD">
        <w:t xml:space="preserve">, replacing a </w:t>
      </w:r>
      <w:r w:rsidR="005E7E42" w:rsidRPr="00B105DD">
        <w:t xml:space="preserve">fixed $69.94 wholesale mark-up </w:t>
      </w:r>
      <w:r w:rsidR="00860EDB" w:rsidRPr="00B105DD">
        <w:t>applied to</w:t>
      </w:r>
      <w:r w:rsidR="005E7E42" w:rsidRPr="00B105DD">
        <w:t xml:space="preserve"> pharmaceutical items for which the ex-manufacturer price </w:t>
      </w:r>
      <w:r w:rsidR="00860EDB" w:rsidRPr="00B105DD">
        <w:t>was</w:t>
      </w:r>
      <w:r w:rsidR="005E7E42" w:rsidRPr="00B105DD">
        <w:t xml:space="preserve"> more than $930.06.</w:t>
      </w:r>
    </w:p>
    <w:p w14:paraId="38F5714D" w14:textId="77777777" w:rsidR="00A367EF" w:rsidRPr="00B105DD" w:rsidRDefault="00A367EF" w:rsidP="00A367EF">
      <w:pPr>
        <w:shd w:val="clear" w:color="auto" w:fill="FFFFFF"/>
        <w:spacing w:before="120" w:after="120"/>
      </w:pPr>
      <w:r w:rsidRPr="00B105DD">
        <w:t>Subsection 98BAA(1) of the Act requires that, where the Commonwealth and the Pharmacy Guild of Australia</w:t>
      </w:r>
      <w:r w:rsidR="00860EDB" w:rsidRPr="00B105DD">
        <w:t>,</w:t>
      </w:r>
      <w:r w:rsidRPr="00B105DD">
        <w:t xml:space="preserve"> or another pharmacists’ organisation that represents a majority of approved pharmacists</w:t>
      </w:r>
      <w:r w:rsidR="00860EDB" w:rsidRPr="00B105DD">
        <w:t>,</w:t>
      </w:r>
      <w:r w:rsidRPr="00B105DD">
        <w:t xml:space="preserve"> have entered into an agreement relating to the manner in which the Commonwealth price for pharmaceutical benefits is to be calculated, the </w:t>
      </w:r>
      <w:r w:rsidR="00EF35A3" w:rsidRPr="00B105DD">
        <w:t>Pharmaceutical Benefits Remuneration Tribunal (the Tribunal)</w:t>
      </w:r>
      <w:r w:rsidRPr="00B105DD">
        <w:t>, when making a determination pursuant to paragraph 98B(1)(a) of the Act, is to give effect to the terms of that agreement.</w:t>
      </w:r>
    </w:p>
    <w:p w14:paraId="3B0875AF" w14:textId="77777777" w:rsidR="00CB0807" w:rsidRPr="00B105DD" w:rsidRDefault="00CB0807" w:rsidP="00CB0807">
      <w:r w:rsidRPr="00B105DD">
        <w:t xml:space="preserve">The </w:t>
      </w:r>
      <w:r w:rsidR="00860EDB" w:rsidRPr="00B105DD">
        <w:t>7</w:t>
      </w:r>
      <w:r w:rsidR="00860EDB" w:rsidRPr="00B105DD">
        <w:rPr>
          <w:vertAlign w:val="superscript"/>
        </w:rPr>
        <w:t>th</w:t>
      </w:r>
      <w:r w:rsidR="00860EDB" w:rsidRPr="00B105DD">
        <w:t xml:space="preserve"> CPA</w:t>
      </w:r>
      <w:r w:rsidRPr="00B105DD">
        <w:t xml:space="preserve"> </w:t>
      </w:r>
      <w:r w:rsidR="00860EDB" w:rsidRPr="00B105DD">
        <w:t xml:space="preserve">was signed on 11 June 2020 by </w:t>
      </w:r>
      <w:r w:rsidRPr="00B105DD">
        <w:t>the Commonwealth, the Pharmacy Guild of Australia and the Pharmaceutical Society of Australia</w:t>
      </w:r>
      <w:r w:rsidR="00860EDB" w:rsidRPr="00B105DD">
        <w:t>, and</w:t>
      </w:r>
      <w:r w:rsidRPr="00B105DD">
        <w:t xml:space="preserve"> </w:t>
      </w:r>
      <w:r w:rsidR="00860EDB" w:rsidRPr="00B105DD">
        <w:t xml:space="preserve">constitutes </w:t>
      </w:r>
      <w:r w:rsidRPr="00B105DD">
        <w:t xml:space="preserve">an agreement between the Commonwealth and the Pharmacy Guild of Australia for the purposes of subsection 98BAA(1) of the Act. The </w:t>
      </w:r>
      <w:r w:rsidR="00860EDB" w:rsidRPr="00B105DD">
        <w:t>7</w:t>
      </w:r>
      <w:r w:rsidR="00860EDB" w:rsidRPr="00B105DD">
        <w:rPr>
          <w:vertAlign w:val="superscript"/>
        </w:rPr>
        <w:t>th</w:t>
      </w:r>
      <w:r w:rsidR="00860EDB" w:rsidRPr="00B105DD">
        <w:t xml:space="preserve"> CPA</w:t>
      </w:r>
      <w:r w:rsidRPr="00B105DD">
        <w:t xml:space="preserve"> sets out the manner in which the Commonwealth price for </w:t>
      </w:r>
      <w:r w:rsidR="00860EDB" w:rsidRPr="00B105DD">
        <w:t xml:space="preserve">a </w:t>
      </w:r>
      <w:r w:rsidRPr="00B105DD">
        <w:t xml:space="preserve">pharmaceutical benefit is to be calculated. </w:t>
      </w:r>
    </w:p>
    <w:p w14:paraId="4E9784D4" w14:textId="77777777" w:rsidR="00381735" w:rsidRPr="00B105DD" w:rsidRDefault="00EF35A3" w:rsidP="00CB0807">
      <w:r w:rsidRPr="00B105DD">
        <w:t>No o</w:t>
      </w:r>
      <w:r w:rsidR="00381735" w:rsidRPr="00B105DD">
        <w:t>ther components of the</w:t>
      </w:r>
      <w:r w:rsidRPr="00B105DD">
        <w:t xml:space="preserve"> dispensed price for the supply of</w:t>
      </w:r>
      <w:r w:rsidR="00381735" w:rsidRPr="00B105DD">
        <w:t xml:space="preserve"> </w:t>
      </w:r>
      <w:r w:rsidRPr="00B105DD">
        <w:t>a pharmaceutical benefit by an approved hospital authority</w:t>
      </w:r>
      <w:r w:rsidR="00381735" w:rsidRPr="00B105DD">
        <w:t xml:space="preserve"> are affected by the </w:t>
      </w:r>
      <w:r w:rsidR="00A429AA" w:rsidRPr="00B105DD">
        <w:t xml:space="preserve">Amendment </w:t>
      </w:r>
      <w:r w:rsidR="00381735" w:rsidRPr="00B105DD">
        <w:t>Determination.</w:t>
      </w:r>
    </w:p>
    <w:p w14:paraId="25CF9315" w14:textId="77777777" w:rsidR="000233D2" w:rsidRPr="00B105DD" w:rsidRDefault="000233D2" w:rsidP="006A10E8">
      <w:pPr>
        <w:shd w:val="clear" w:color="auto" w:fill="FFFFFF"/>
        <w:spacing w:before="120" w:after="180" w:line="240" w:lineRule="auto"/>
        <w:rPr>
          <w:rFonts w:eastAsia="Times New Roman"/>
          <w:lang w:val="en-GB" w:eastAsia="en-AU"/>
        </w:rPr>
      </w:pPr>
      <w:r w:rsidRPr="00B105DD">
        <w:rPr>
          <w:rFonts w:eastAsia="Times New Roman"/>
          <w:lang w:val="en-GB" w:eastAsia="en-AU"/>
        </w:rPr>
        <w:t xml:space="preserve">Some minor and technical changes have also been made to clarify existing policy, and to update obsolete and incorrect references. </w:t>
      </w:r>
    </w:p>
    <w:p w14:paraId="274A4CD8" w14:textId="77777777" w:rsidR="00161DCC" w:rsidRPr="00B105DD" w:rsidRDefault="00161DCC" w:rsidP="00161DCC">
      <w:pPr>
        <w:pStyle w:val="subsection"/>
        <w:shd w:val="clear" w:color="auto" w:fill="FFFFFF"/>
        <w:spacing w:before="0" w:beforeAutospacing="0" w:after="160" w:afterAutospacing="0"/>
        <w:rPr>
          <w:b/>
        </w:rPr>
      </w:pPr>
      <w:r w:rsidRPr="00B105DD">
        <w:rPr>
          <w:b/>
        </w:rPr>
        <w:t>Role of the Pharmaceutical Benefits Remuneration Tribunal</w:t>
      </w:r>
    </w:p>
    <w:p w14:paraId="6872C77E" w14:textId="77777777" w:rsidR="00161DCC" w:rsidRPr="00B105DD" w:rsidRDefault="00161DCC" w:rsidP="00161DCC">
      <w:pPr>
        <w:shd w:val="clear" w:color="auto" w:fill="FFFFFF"/>
        <w:spacing w:before="120" w:after="120"/>
      </w:pPr>
      <w:r w:rsidRPr="00B105DD">
        <w:t>Paragraph 98B(1)(a) of the Act provides that a function of the Tribunal is to determine the manner in which the Commonwealth price for all or any pharmaceutical benefits is to be worked out for the purpose of payments to approved pharmacists for the supply of pharmaceutical benefits.</w:t>
      </w:r>
    </w:p>
    <w:p w14:paraId="165C227D" w14:textId="77777777" w:rsidR="00E40F4A" w:rsidRPr="00B105DD" w:rsidRDefault="00E40F4A">
      <w:pPr>
        <w:rPr>
          <w:b/>
        </w:rPr>
      </w:pPr>
      <w:r w:rsidRPr="00B105DD">
        <w:rPr>
          <w:b/>
        </w:rPr>
        <w:t>Consultation</w:t>
      </w:r>
    </w:p>
    <w:p w14:paraId="67A3D698" w14:textId="7B5D9E6F" w:rsidR="00245788" w:rsidRPr="00B105DD" w:rsidRDefault="00EF35A3" w:rsidP="006A10E8">
      <w:pPr>
        <w:shd w:val="clear" w:color="auto" w:fill="FFFFFF"/>
        <w:spacing w:before="120" w:after="120"/>
      </w:pPr>
      <w:r w:rsidRPr="00B105DD">
        <w:t>The Department of Health consulted Services Australia, and the Medical Software Industry Association and dispensing software vendors with products operating in hospitals. State and territory governments, and private hospitals, were not consulted</w:t>
      </w:r>
      <w:r w:rsidR="006B2DB5" w:rsidRPr="00B105DD">
        <w:t xml:space="preserve"> on</w:t>
      </w:r>
      <w:r w:rsidRPr="00B105DD">
        <w:t xml:space="preserve"> the </w:t>
      </w:r>
      <w:r w:rsidR="00A429AA" w:rsidRPr="00B105DD">
        <w:t xml:space="preserve">Amendment </w:t>
      </w:r>
      <w:r w:rsidR="006B2DB5" w:rsidRPr="00B105DD">
        <w:t>Determination as it i</w:t>
      </w:r>
      <w:r w:rsidRPr="00B105DD">
        <w:t xml:space="preserve">s a consequential amendment </w:t>
      </w:r>
      <w:r w:rsidR="006B2DB5" w:rsidRPr="00B105DD">
        <w:t>due to changes introduced through the 7</w:t>
      </w:r>
      <w:r w:rsidR="006B2DB5" w:rsidRPr="00B105DD">
        <w:rPr>
          <w:vertAlign w:val="superscript"/>
        </w:rPr>
        <w:t>th</w:t>
      </w:r>
      <w:r w:rsidR="006B2DB5" w:rsidRPr="00B105DD">
        <w:t xml:space="preserve"> CPA (which was announced by the Minister for Health on 12 June 2020), and</w:t>
      </w:r>
      <w:r w:rsidRPr="00B105DD">
        <w:t xml:space="preserve"> simply maintain</w:t>
      </w:r>
      <w:r w:rsidR="006B2DB5" w:rsidRPr="00B105DD">
        <w:t>s</w:t>
      </w:r>
      <w:r w:rsidRPr="00B105DD">
        <w:t xml:space="preserve"> </w:t>
      </w:r>
      <w:r w:rsidR="007709C8" w:rsidRPr="00B105DD">
        <w:t>the</w:t>
      </w:r>
      <w:r w:rsidRPr="00B105DD">
        <w:t xml:space="preserve"> alignment of </w:t>
      </w:r>
      <w:r w:rsidR="007709C8" w:rsidRPr="00B105DD">
        <w:t xml:space="preserve">wholesale </w:t>
      </w:r>
      <w:r w:rsidRPr="00B105DD">
        <w:t>mark</w:t>
      </w:r>
      <w:r w:rsidRPr="00B105DD">
        <w:noBreakHyphen/>
        <w:t xml:space="preserve">ups that </w:t>
      </w:r>
      <w:r w:rsidR="006B2DB5" w:rsidRPr="00B105DD">
        <w:t>commenced</w:t>
      </w:r>
      <w:r w:rsidRPr="00B105DD">
        <w:t xml:space="preserve"> on 1 October 2019.</w:t>
      </w:r>
    </w:p>
    <w:p w14:paraId="136C8679" w14:textId="77777777" w:rsidR="00EC029A" w:rsidRPr="00B105DD" w:rsidRDefault="006B2DB5" w:rsidP="00EC029A">
      <w:pPr>
        <w:pStyle w:val="Heading6"/>
        <w:keepNext w:val="0"/>
        <w:keepLines w:val="0"/>
        <w:spacing w:before="180" w:after="180"/>
        <w:ind w:right="-516"/>
        <w:jc w:val="left"/>
        <w:rPr>
          <w:b w:val="0"/>
          <w:bCs/>
          <w:sz w:val="24"/>
          <w:szCs w:val="24"/>
        </w:rPr>
      </w:pPr>
      <w:r w:rsidRPr="00B105DD">
        <w:rPr>
          <w:b w:val="0"/>
          <w:sz w:val="24"/>
          <w:szCs w:val="24"/>
        </w:rPr>
        <w:t>The</w:t>
      </w:r>
      <w:r w:rsidR="00EC029A" w:rsidRPr="00B105DD">
        <w:rPr>
          <w:b w:val="0"/>
          <w:sz w:val="24"/>
          <w:szCs w:val="24"/>
        </w:rPr>
        <w:t xml:space="preserve"> </w:t>
      </w:r>
      <w:r w:rsidR="00A429AA" w:rsidRPr="00B105DD">
        <w:rPr>
          <w:b w:val="0"/>
          <w:sz w:val="24"/>
          <w:szCs w:val="24"/>
        </w:rPr>
        <w:t xml:space="preserve">Amendment </w:t>
      </w:r>
      <w:r w:rsidR="00EC029A" w:rsidRPr="00B105DD">
        <w:rPr>
          <w:b w:val="0"/>
          <w:sz w:val="24"/>
          <w:szCs w:val="24"/>
        </w:rPr>
        <w:t xml:space="preserve">Determination is a legislative instrument for the purposes of the </w:t>
      </w:r>
      <w:r w:rsidR="00EC029A" w:rsidRPr="00B105DD">
        <w:rPr>
          <w:b w:val="0"/>
          <w:i/>
          <w:sz w:val="24"/>
          <w:szCs w:val="24"/>
        </w:rPr>
        <w:t>Legislation Act</w:t>
      </w:r>
      <w:r w:rsidRPr="00B105DD">
        <w:rPr>
          <w:b w:val="0"/>
          <w:i/>
          <w:sz w:val="24"/>
          <w:szCs w:val="24"/>
        </w:rPr>
        <w:t> </w:t>
      </w:r>
      <w:r w:rsidR="00EC029A" w:rsidRPr="00B105DD">
        <w:rPr>
          <w:b w:val="0"/>
          <w:i/>
          <w:sz w:val="24"/>
          <w:szCs w:val="24"/>
        </w:rPr>
        <w:t>2003</w:t>
      </w:r>
      <w:r w:rsidR="00EC029A" w:rsidRPr="00B105DD">
        <w:rPr>
          <w:b w:val="0"/>
          <w:sz w:val="24"/>
          <w:szCs w:val="24"/>
        </w:rPr>
        <w:t>.</w:t>
      </w:r>
    </w:p>
    <w:p w14:paraId="456F9018" w14:textId="77777777" w:rsidR="00E40F4A" w:rsidRPr="00B105DD" w:rsidRDefault="00E40F4A">
      <w:pPr>
        <w:rPr>
          <w:b/>
        </w:rPr>
      </w:pPr>
    </w:p>
    <w:p w14:paraId="63F7D523" w14:textId="77777777" w:rsidR="00BD60E4" w:rsidRPr="00B105DD" w:rsidRDefault="00BD60E4">
      <w:pPr>
        <w:rPr>
          <w:b/>
        </w:rPr>
      </w:pPr>
      <w:r w:rsidRPr="00B105DD">
        <w:rPr>
          <w:b/>
        </w:rPr>
        <w:br w:type="page"/>
      </w:r>
    </w:p>
    <w:p w14:paraId="35B8998D" w14:textId="77777777" w:rsidR="00E40F4A" w:rsidRPr="00B105DD" w:rsidRDefault="00331C2B" w:rsidP="00E40F4A">
      <w:pPr>
        <w:jc w:val="right"/>
        <w:rPr>
          <w:b/>
        </w:rPr>
      </w:pPr>
      <w:r w:rsidRPr="00B105DD">
        <w:rPr>
          <w:b/>
        </w:rPr>
        <w:lastRenderedPageBreak/>
        <w:t>ATTACHMENT 1</w:t>
      </w:r>
    </w:p>
    <w:p w14:paraId="05E7770A" w14:textId="77777777" w:rsidR="00E40F4A" w:rsidRPr="00B105DD" w:rsidRDefault="00E40F4A" w:rsidP="00E40F4A">
      <w:pPr>
        <w:jc w:val="right"/>
        <w:rPr>
          <w:b/>
        </w:rPr>
      </w:pPr>
    </w:p>
    <w:p w14:paraId="1BCE72AF" w14:textId="77777777" w:rsidR="00883DD3" w:rsidRPr="00B105DD" w:rsidRDefault="00883DD3" w:rsidP="00883DD3">
      <w:pPr>
        <w:rPr>
          <w:b/>
          <w:i/>
        </w:rPr>
      </w:pPr>
      <w:r w:rsidRPr="00B105DD">
        <w:rPr>
          <w:rFonts w:eastAsia="Times New Roman"/>
          <w:b/>
          <w:iCs/>
          <w:snapToGrid w:val="0"/>
          <w:szCs w:val="20"/>
        </w:rPr>
        <w:t xml:space="preserve">Details of the </w:t>
      </w:r>
      <w:r w:rsidRPr="00B105DD">
        <w:rPr>
          <w:b/>
          <w:i/>
        </w:rPr>
        <w:t xml:space="preserve">National Health (Pharmaceutical Benefits) Legislation Amendment (Commonwealth Price-Mark-ups) Determination 2020 </w:t>
      </w:r>
    </w:p>
    <w:p w14:paraId="5A1251F4" w14:textId="77777777" w:rsidR="00883DD3" w:rsidRPr="00B105DD" w:rsidRDefault="00883DD3" w:rsidP="00883DD3">
      <w:pPr>
        <w:keepNext/>
        <w:widowControl w:val="0"/>
        <w:tabs>
          <w:tab w:val="left" w:pos="1418"/>
        </w:tabs>
        <w:spacing w:after="0" w:line="240" w:lineRule="auto"/>
        <w:outlineLvl w:val="5"/>
        <w:rPr>
          <w:rFonts w:eastAsia="Times New Roman"/>
          <w:b/>
          <w:bCs/>
          <w:snapToGrid w:val="0"/>
          <w:szCs w:val="20"/>
          <w:lang w:val="en-US"/>
        </w:rPr>
      </w:pPr>
    </w:p>
    <w:p w14:paraId="0BDEE831" w14:textId="77777777" w:rsidR="00883DD3" w:rsidRPr="00B105DD" w:rsidRDefault="00883DD3" w:rsidP="00883DD3">
      <w:pPr>
        <w:widowControl w:val="0"/>
        <w:spacing w:after="0" w:line="240" w:lineRule="auto"/>
        <w:jc w:val="both"/>
        <w:rPr>
          <w:rFonts w:eastAsia="Times New Roman"/>
          <w:b/>
          <w:bCs/>
          <w:snapToGrid w:val="0"/>
          <w:szCs w:val="20"/>
          <w:lang w:val="en-US"/>
        </w:rPr>
      </w:pPr>
      <w:r w:rsidRPr="00B105DD">
        <w:rPr>
          <w:rFonts w:eastAsia="Times New Roman"/>
          <w:b/>
          <w:bCs/>
          <w:snapToGrid w:val="0"/>
          <w:szCs w:val="20"/>
          <w:lang w:val="en-US"/>
        </w:rPr>
        <w:t>Section 1</w:t>
      </w:r>
      <w:r w:rsidRPr="00B105DD">
        <w:rPr>
          <w:rFonts w:eastAsia="Times New Roman"/>
          <w:b/>
          <w:bCs/>
          <w:snapToGrid w:val="0"/>
          <w:szCs w:val="20"/>
          <w:lang w:val="en-US"/>
        </w:rPr>
        <w:tab/>
        <w:t>Name</w:t>
      </w:r>
    </w:p>
    <w:p w14:paraId="017E5E85" w14:textId="77777777" w:rsidR="00883DD3" w:rsidRPr="00B105DD" w:rsidRDefault="00883DD3" w:rsidP="00883DD3">
      <w:pPr>
        <w:widowControl w:val="0"/>
        <w:spacing w:after="0" w:line="240" w:lineRule="auto"/>
        <w:rPr>
          <w:rFonts w:eastAsia="Times New Roman"/>
          <w:snapToGrid w:val="0"/>
          <w:szCs w:val="20"/>
          <w:lang w:val="en-US"/>
        </w:rPr>
      </w:pPr>
    </w:p>
    <w:p w14:paraId="67FCC910" w14:textId="5E2F4CAF" w:rsidR="00883DD3" w:rsidRPr="00B105DD" w:rsidRDefault="00883DD3" w:rsidP="00A726A5">
      <w:pPr>
        <w:pStyle w:val="Default"/>
        <w:rPr>
          <w:rFonts w:eastAsia="Times New Roman"/>
          <w:snapToGrid w:val="0"/>
          <w:szCs w:val="20"/>
          <w:lang w:val="en-US"/>
        </w:rPr>
      </w:pPr>
      <w:r w:rsidRPr="00B105DD">
        <w:rPr>
          <w:rFonts w:eastAsia="Times New Roman"/>
          <w:snapToGrid w:val="0"/>
          <w:szCs w:val="20"/>
          <w:lang w:val="en-US"/>
        </w:rPr>
        <w:t>Section 1 provides that the name of the instrument is the</w:t>
      </w:r>
      <w:r w:rsidR="00A726A5" w:rsidRPr="00B105DD">
        <w:rPr>
          <w:rFonts w:eastAsia="Times New Roman"/>
          <w:snapToGrid w:val="0"/>
          <w:szCs w:val="20"/>
          <w:lang w:val="en-US"/>
        </w:rPr>
        <w:t xml:space="preserve"> </w:t>
      </w:r>
      <w:r w:rsidR="00A726A5" w:rsidRPr="00B105DD">
        <w:rPr>
          <w:rFonts w:eastAsia="Times New Roman"/>
          <w:i/>
          <w:snapToGrid w:val="0"/>
          <w:szCs w:val="20"/>
          <w:lang w:val="en-US"/>
        </w:rPr>
        <w:t>National Health (Pharmaceutical Benefits) Legislation Amendment (Commonwealth Price—Mark-ups) Determination 2020</w:t>
      </w:r>
      <w:r w:rsidRPr="00B105DD">
        <w:t>.</w:t>
      </w:r>
    </w:p>
    <w:p w14:paraId="67BA6638" w14:textId="77777777" w:rsidR="00883DD3" w:rsidRPr="00B105DD" w:rsidRDefault="00883DD3" w:rsidP="00883DD3">
      <w:pPr>
        <w:widowControl w:val="0"/>
        <w:spacing w:after="0" w:line="240" w:lineRule="auto"/>
        <w:jc w:val="both"/>
        <w:rPr>
          <w:rFonts w:eastAsia="Times New Roman"/>
          <w:snapToGrid w:val="0"/>
          <w:color w:val="000000"/>
          <w:szCs w:val="20"/>
          <w:lang w:val="en-US"/>
        </w:rPr>
      </w:pPr>
    </w:p>
    <w:p w14:paraId="74F05DDD" w14:textId="77777777" w:rsidR="00883DD3" w:rsidRPr="00B105DD" w:rsidRDefault="00883DD3" w:rsidP="00883DD3">
      <w:pPr>
        <w:widowControl w:val="0"/>
        <w:spacing w:after="0" w:line="240" w:lineRule="auto"/>
        <w:jc w:val="both"/>
        <w:rPr>
          <w:rFonts w:eastAsia="Times New Roman"/>
          <w:b/>
          <w:bCs/>
          <w:snapToGrid w:val="0"/>
          <w:szCs w:val="20"/>
          <w:lang w:val="en-US"/>
        </w:rPr>
      </w:pPr>
      <w:r w:rsidRPr="00B105DD">
        <w:rPr>
          <w:rFonts w:eastAsia="Times New Roman"/>
          <w:b/>
          <w:bCs/>
          <w:snapToGrid w:val="0"/>
          <w:szCs w:val="20"/>
          <w:lang w:val="en-US"/>
        </w:rPr>
        <w:t>Section 2</w:t>
      </w:r>
      <w:r w:rsidRPr="00B105DD">
        <w:rPr>
          <w:rFonts w:eastAsia="Times New Roman"/>
          <w:b/>
          <w:bCs/>
          <w:snapToGrid w:val="0"/>
          <w:szCs w:val="20"/>
          <w:lang w:val="en-US"/>
        </w:rPr>
        <w:tab/>
        <w:t>Commencement</w:t>
      </w:r>
    </w:p>
    <w:p w14:paraId="444DDA3A" w14:textId="77777777" w:rsidR="00883DD3" w:rsidRPr="00B105DD" w:rsidRDefault="00883DD3" w:rsidP="00883DD3">
      <w:pPr>
        <w:widowControl w:val="0"/>
        <w:spacing w:after="0" w:line="240" w:lineRule="auto"/>
        <w:jc w:val="both"/>
        <w:rPr>
          <w:rFonts w:eastAsia="Times New Roman"/>
          <w:snapToGrid w:val="0"/>
          <w:szCs w:val="20"/>
          <w:lang w:val="en-US"/>
        </w:rPr>
      </w:pPr>
    </w:p>
    <w:p w14:paraId="79B9AF1F" w14:textId="77777777" w:rsidR="00883DD3" w:rsidRPr="00B105DD" w:rsidRDefault="00883DD3" w:rsidP="00883DD3">
      <w:pPr>
        <w:widowControl w:val="0"/>
        <w:spacing w:after="0" w:line="240" w:lineRule="auto"/>
        <w:rPr>
          <w:rFonts w:eastAsia="Times New Roman"/>
          <w:snapToGrid w:val="0"/>
          <w:lang w:val="en-US"/>
        </w:rPr>
      </w:pPr>
      <w:r w:rsidRPr="00B105DD">
        <w:rPr>
          <w:rFonts w:eastAsia="Times New Roman"/>
          <w:snapToGrid w:val="0"/>
          <w:lang w:val="en-US"/>
        </w:rPr>
        <w:t xml:space="preserve">Section 2 provides that </w:t>
      </w:r>
      <w:r w:rsidRPr="00B105DD">
        <w:rPr>
          <w:rFonts w:eastAsia="Times New Roman"/>
          <w:snapToGrid w:val="0"/>
          <w:szCs w:val="20"/>
          <w:lang w:val="en-US"/>
        </w:rPr>
        <w:t xml:space="preserve">the </w:t>
      </w:r>
      <w:r w:rsidRPr="00B105DD">
        <w:rPr>
          <w:rFonts w:eastAsia="Times New Roman"/>
          <w:snapToGrid w:val="0"/>
          <w:lang w:val="en-US"/>
        </w:rPr>
        <w:t xml:space="preserve">instrument commences on 1 January 2021. </w:t>
      </w:r>
    </w:p>
    <w:p w14:paraId="6380201C" w14:textId="77777777" w:rsidR="00883DD3" w:rsidRPr="00B105DD" w:rsidRDefault="00883DD3" w:rsidP="00883DD3">
      <w:pPr>
        <w:widowControl w:val="0"/>
        <w:spacing w:after="0" w:line="240" w:lineRule="auto"/>
        <w:jc w:val="both"/>
        <w:rPr>
          <w:rFonts w:eastAsia="Times New Roman"/>
          <w:snapToGrid w:val="0"/>
          <w:szCs w:val="20"/>
          <w:lang w:val="en-US"/>
        </w:rPr>
      </w:pPr>
    </w:p>
    <w:p w14:paraId="455CC915" w14:textId="77777777" w:rsidR="00883DD3" w:rsidRPr="00B105DD" w:rsidRDefault="00883DD3" w:rsidP="00883DD3">
      <w:pPr>
        <w:widowControl w:val="0"/>
        <w:spacing w:after="0" w:line="240" w:lineRule="auto"/>
        <w:jc w:val="both"/>
        <w:rPr>
          <w:rFonts w:eastAsia="Times New Roman"/>
          <w:b/>
          <w:bCs/>
          <w:snapToGrid w:val="0"/>
          <w:szCs w:val="20"/>
          <w:lang w:val="en-US"/>
        </w:rPr>
      </w:pPr>
      <w:r w:rsidRPr="00B105DD">
        <w:rPr>
          <w:rFonts w:eastAsia="Times New Roman"/>
          <w:b/>
          <w:bCs/>
          <w:snapToGrid w:val="0"/>
          <w:szCs w:val="20"/>
          <w:lang w:val="en-US"/>
        </w:rPr>
        <w:t>Section 3</w:t>
      </w:r>
      <w:r w:rsidRPr="00B105DD">
        <w:rPr>
          <w:rFonts w:eastAsia="Times New Roman"/>
          <w:b/>
          <w:bCs/>
          <w:snapToGrid w:val="0"/>
          <w:szCs w:val="20"/>
          <w:lang w:val="en-US"/>
        </w:rPr>
        <w:tab/>
        <w:t>Authority</w:t>
      </w:r>
    </w:p>
    <w:p w14:paraId="139B0E96" w14:textId="77777777" w:rsidR="00883DD3" w:rsidRPr="00B105DD" w:rsidRDefault="00883DD3" w:rsidP="00883DD3">
      <w:pPr>
        <w:widowControl w:val="0"/>
        <w:spacing w:after="0" w:line="240" w:lineRule="auto"/>
        <w:jc w:val="both"/>
        <w:rPr>
          <w:rFonts w:eastAsia="Times New Roman"/>
          <w:snapToGrid w:val="0"/>
          <w:szCs w:val="20"/>
          <w:lang w:val="en-US"/>
        </w:rPr>
      </w:pPr>
    </w:p>
    <w:p w14:paraId="3E8B4FCF" w14:textId="77777777" w:rsidR="00883DD3" w:rsidRPr="00B105DD" w:rsidRDefault="00883DD3" w:rsidP="00883DD3">
      <w:pPr>
        <w:widowControl w:val="0"/>
        <w:spacing w:after="0" w:line="240" w:lineRule="auto"/>
        <w:rPr>
          <w:rFonts w:eastAsia="Times New Roman"/>
          <w:snapToGrid w:val="0"/>
          <w:lang w:val="en-US"/>
        </w:rPr>
      </w:pPr>
      <w:r w:rsidRPr="00B105DD">
        <w:rPr>
          <w:rFonts w:eastAsia="Times New Roman"/>
          <w:snapToGrid w:val="0"/>
          <w:lang w:val="en-US"/>
        </w:rPr>
        <w:t xml:space="preserve">Section 3 provides that the Amendment Rules are made under </w:t>
      </w:r>
      <w:r w:rsidRPr="00B105DD">
        <w:t xml:space="preserve">subsection 99(4) of the </w:t>
      </w:r>
      <w:r w:rsidRPr="00B105DD">
        <w:rPr>
          <w:i/>
        </w:rPr>
        <w:t>National Health Act 1953.</w:t>
      </w:r>
    </w:p>
    <w:p w14:paraId="01817E56" w14:textId="77777777" w:rsidR="00883DD3" w:rsidRPr="00B105DD" w:rsidRDefault="00883DD3" w:rsidP="00883DD3">
      <w:pPr>
        <w:widowControl w:val="0"/>
        <w:spacing w:after="0" w:line="240" w:lineRule="auto"/>
        <w:jc w:val="both"/>
        <w:rPr>
          <w:rFonts w:eastAsia="Times New Roman"/>
          <w:snapToGrid w:val="0"/>
          <w:szCs w:val="20"/>
          <w:lang w:val="en-US"/>
        </w:rPr>
      </w:pPr>
    </w:p>
    <w:p w14:paraId="5FD85D51" w14:textId="77777777" w:rsidR="00883DD3" w:rsidRPr="00B105DD" w:rsidRDefault="00883DD3" w:rsidP="00883DD3">
      <w:pPr>
        <w:widowControl w:val="0"/>
        <w:tabs>
          <w:tab w:val="num" w:pos="567"/>
        </w:tabs>
        <w:spacing w:after="0" w:line="240" w:lineRule="auto"/>
        <w:jc w:val="both"/>
        <w:rPr>
          <w:rFonts w:eastAsia="Times New Roman"/>
          <w:b/>
          <w:i/>
          <w:snapToGrid w:val="0"/>
          <w:szCs w:val="20"/>
          <w:lang w:val="en-US"/>
        </w:rPr>
      </w:pPr>
      <w:r w:rsidRPr="00B105DD">
        <w:rPr>
          <w:rFonts w:eastAsia="Times New Roman"/>
          <w:b/>
          <w:snapToGrid w:val="0"/>
          <w:szCs w:val="20"/>
          <w:lang w:val="en-US"/>
        </w:rPr>
        <w:t>Section 4</w:t>
      </w:r>
      <w:r w:rsidRPr="00B105DD">
        <w:rPr>
          <w:rFonts w:eastAsia="Times New Roman"/>
          <w:b/>
          <w:snapToGrid w:val="0"/>
          <w:szCs w:val="20"/>
          <w:lang w:val="en-US"/>
        </w:rPr>
        <w:tab/>
        <w:t>Schedules</w:t>
      </w:r>
      <w:r w:rsidRPr="00B105DD">
        <w:rPr>
          <w:rFonts w:eastAsia="Times New Roman"/>
          <w:b/>
          <w:i/>
          <w:snapToGrid w:val="0"/>
          <w:szCs w:val="20"/>
          <w:lang w:val="en-US"/>
        </w:rPr>
        <w:t xml:space="preserve"> </w:t>
      </w:r>
    </w:p>
    <w:p w14:paraId="0A80CF7C" w14:textId="77777777" w:rsidR="00883DD3" w:rsidRPr="00B105DD" w:rsidRDefault="00883DD3" w:rsidP="00883DD3">
      <w:pPr>
        <w:widowControl w:val="0"/>
        <w:tabs>
          <w:tab w:val="num" w:pos="567"/>
        </w:tabs>
        <w:spacing w:after="0" w:line="240" w:lineRule="auto"/>
        <w:jc w:val="both"/>
        <w:rPr>
          <w:rFonts w:eastAsia="Times New Roman"/>
          <w:b/>
          <w:snapToGrid w:val="0"/>
          <w:szCs w:val="20"/>
          <w:lang w:val="en-US"/>
        </w:rPr>
      </w:pPr>
    </w:p>
    <w:p w14:paraId="0AA48BEF" w14:textId="77777777" w:rsidR="00883DD3" w:rsidRPr="00B105DD" w:rsidRDefault="00883DD3" w:rsidP="00883DD3">
      <w:pPr>
        <w:widowControl w:val="0"/>
        <w:tabs>
          <w:tab w:val="num" w:pos="567"/>
        </w:tabs>
        <w:spacing w:after="0" w:line="240" w:lineRule="auto"/>
        <w:rPr>
          <w:rFonts w:eastAsia="Times New Roman"/>
          <w:snapToGrid w:val="0"/>
          <w:szCs w:val="20"/>
          <w:lang w:val="en-US"/>
        </w:rPr>
      </w:pPr>
      <w:r w:rsidRPr="00B105DD">
        <w:rPr>
          <w:rFonts w:eastAsia="Times New Roman"/>
          <w:snapToGrid w:val="0"/>
          <w:szCs w:val="20"/>
          <w:lang w:val="en-US"/>
        </w:rPr>
        <w:t xml:space="preserve">Section 4 provides that each </w:t>
      </w:r>
      <w:r w:rsidRPr="00B105DD">
        <w:t>instrument that is specified in a Schedule to this instrument is amended or repealed as set out in the applicable items in the Schedule concerned, and any other item in a Schedule to this instrument has effect according to its terms.</w:t>
      </w:r>
    </w:p>
    <w:p w14:paraId="65991907" w14:textId="77777777" w:rsidR="00883DD3" w:rsidRPr="00B105DD" w:rsidRDefault="00883DD3" w:rsidP="00883DD3">
      <w:pPr>
        <w:widowControl w:val="0"/>
        <w:tabs>
          <w:tab w:val="num" w:pos="567"/>
        </w:tabs>
        <w:spacing w:after="0" w:line="240" w:lineRule="auto"/>
        <w:jc w:val="both"/>
        <w:rPr>
          <w:rFonts w:eastAsia="Times New Roman"/>
          <w:snapToGrid w:val="0"/>
          <w:szCs w:val="20"/>
          <w:lang w:val="en-US"/>
        </w:rPr>
      </w:pPr>
    </w:p>
    <w:p w14:paraId="3D620D24" w14:textId="77777777" w:rsidR="00883DD3" w:rsidRPr="00B105DD" w:rsidRDefault="00883DD3" w:rsidP="00883DD3">
      <w:pPr>
        <w:spacing w:after="0" w:line="240" w:lineRule="auto"/>
        <w:rPr>
          <w:rFonts w:eastAsia="Times New Roman"/>
          <w:kern w:val="28"/>
          <w:u w:val="single"/>
          <w:lang w:eastAsia="en-AU"/>
        </w:rPr>
      </w:pPr>
      <w:bookmarkStart w:id="0" w:name="_Toc44445610"/>
      <w:r w:rsidRPr="00B105DD">
        <w:rPr>
          <w:rFonts w:eastAsia="Times New Roman"/>
          <w:kern w:val="28"/>
          <w:u w:val="single"/>
          <w:lang w:eastAsia="en-AU"/>
        </w:rPr>
        <w:t>Schedule 1—Amendments</w:t>
      </w:r>
      <w:bookmarkEnd w:id="0"/>
    </w:p>
    <w:p w14:paraId="759EF19F" w14:textId="77777777" w:rsidR="00883DD3" w:rsidRPr="00B105DD" w:rsidRDefault="00883DD3" w:rsidP="00883DD3">
      <w:pPr>
        <w:pStyle w:val="ActHead9"/>
        <w:ind w:left="0" w:firstLine="0"/>
        <w:rPr>
          <w:b w:val="0"/>
          <w:sz w:val="24"/>
          <w:szCs w:val="22"/>
        </w:rPr>
      </w:pPr>
      <w:bookmarkStart w:id="1" w:name="_Toc44445611"/>
      <w:r w:rsidRPr="00B105DD">
        <w:rPr>
          <w:b w:val="0"/>
          <w:sz w:val="24"/>
          <w:szCs w:val="22"/>
        </w:rPr>
        <w:t xml:space="preserve">National Health (Commonwealth Price </w:t>
      </w:r>
      <w:r w:rsidRPr="00B105DD">
        <w:rPr>
          <w:b w:val="0"/>
          <w:sz w:val="24"/>
          <w:szCs w:val="22"/>
        </w:rPr>
        <w:noBreakHyphen/>
        <w:t xml:space="preserve"> Pharmaceutical benefits supplied by private hospitals) Determination 2020 (PB 99 of 2020)</w:t>
      </w:r>
    </w:p>
    <w:bookmarkEnd w:id="1"/>
    <w:p w14:paraId="6DA84EE7" w14:textId="77777777" w:rsidR="00883DD3" w:rsidRPr="00B105DD" w:rsidRDefault="00883DD3" w:rsidP="00883DD3">
      <w:pPr>
        <w:keepNext/>
        <w:keepLines/>
        <w:spacing w:before="220" w:after="0" w:line="240" w:lineRule="auto"/>
        <w:rPr>
          <w:rFonts w:eastAsia="Times New Roman"/>
          <w:b/>
          <w:kern w:val="28"/>
          <w:szCs w:val="22"/>
          <w:lang w:eastAsia="en-AU"/>
        </w:rPr>
      </w:pPr>
      <w:r w:rsidRPr="00B105DD">
        <w:rPr>
          <w:rFonts w:eastAsia="Times New Roman"/>
          <w:b/>
          <w:kern w:val="28"/>
          <w:szCs w:val="22"/>
          <w:lang w:eastAsia="en-AU"/>
        </w:rPr>
        <w:t xml:space="preserve">Item 1 – </w:t>
      </w:r>
      <w:r w:rsidR="00642F57" w:rsidRPr="00B105DD">
        <w:rPr>
          <w:b/>
        </w:rPr>
        <w:t xml:space="preserve">Section 3 (definition of </w:t>
      </w:r>
      <w:r w:rsidR="00642F57" w:rsidRPr="00B105DD">
        <w:rPr>
          <w:b/>
          <w:i/>
        </w:rPr>
        <w:t>Approved Pharmacists Determination</w:t>
      </w:r>
      <w:r w:rsidR="00642F57" w:rsidRPr="00B105DD">
        <w:rPr>
          <w:b/>
        </w:rPr>
        <w:t>)</w:t>
      </w:r>
    </w:p>
    <w:p w14:paraId="6CE7F4B8" w14:textId="77777777" w:rsidR="00883DD3" w:rsidRPr="00B105DD" w:rsidRDefault="00883DD3" w:rsidP="00883DD3">
      <w:pPr>
        <w:spacing w:after="0" w:line="240" w:lineRule="auto"/>
        <w:rPr>
          <w:rFonts w:eastAsia="Times New Roman"/>
          <w:kern w:val="28"/>
          <w:szCs w:val="22"/>
          <w:lang w:eastAsia="en-AU"/>
        </w:rPr>
      </w:pPr>
    </w:p>
    <w:p w14:paraId="19A419FA" w14:textId="77777777" w:rsidR="00642F57" w:rsidRPr="00B105DD" w:rsidRDefault="00883DD3" w:rsidP="00883DD3">
      <w:pPr>
        <w:spacing w:after="0" w:line="240" w:lineRule="auto"/>
        <w:rPr>
          <w:rFonts w:eastAsia="Times New Roman"/>
          <w:kern w:val="28"/>
          <w:szCs w:val="22"/>
          <w:lang w:eastAsia="en-AU"/>
        </w:rPr>
      </w:pPr>
      <w:r w:rsidRPr="00B105DD">
        <w:rPr>
          <w:rFonts w:eastAsia="Times New Roman"/>
          <w:kern w:val="28"/>
          <w:szCs w:val="22"/>
          <w:lang w:eastAsia="en-AU"/>
        </w:rPr>
        <w:t xml:space="preserve">This item </w:t>
      </w:r>
      <w:r w:rsidR="00642F57" w:rsidRPr="00B105DD">
        <w:t xml:space="preserve">repeals the definition of ‘Approved Pharmacists Determination’ at section 3 of the Instrument and substitutes a new definition which states that ‘Approved Pharmacists Determination’ means the </w:t>
      </w:r>
      <w:r w:rsidR="00642F57" w:rsidRPr="00B105DD">
        <w:rPr>
          <w:i/>
        </w:rPr>
        <w:t>Commonwealth price (Pharmaceutical benefits supplied by approved pharmacists) Determination 2020</w:t>
      </w:r>
      <w:r w:rsidR="00642F57" w:rsidRPr="00B105DD">
        <w:t xml:space="preserve"> (PB 66 of 2020).</w:t>
      </w:r>
    </w:p>
    <w:p w14:paraId="47854B49" w14:textId="77777777" w:rsidR="00642F57" w:rsidRPr="00B105DD" w:rsidRDefault="00642F57" w:rsidP="00642F57">
      <w:pPr>
        <w:keepNext/>
        <w:keepLines/>
        <w:spacing w:before="220" w:after="0" w:line="240" w:lineRule="auto"/>
        <w:rPr>
          <w:rFonts w:eastAsia="Times New Roman"/>
          <w:b/>
          <w:kern w:val="28"/>
          <w:szCs w:val="22"/>
          <w:lang w:eastAsia="en-AU"/>
        </w:rPr>
      </w:pPr>
      <w:r w:rsidRPr="00B105DD">
        <w:rPr>
          <w:rFonts w:eastAsia="Times New Roman"/>
          <w:b/>
          <w:kern w:val="28"/>
          <w:szCs w:val="22"/>
          <w:lang w:eastAsia="en-AU"/>
        </w:rPr>
        <w:t xml:space="preserve">Item </w:t>
      </w:r>
      <w:r w:rsidR="004F45A5" w:rsidRPr="00B105DD">
        <w:rPr>
          <w:rFonts w:eastAsia="Times New Roman"/>
          <w:b/>
          <w:kern w:val="28"/>
          <w:szCs w:val="22"/>
          <w:lang w:eastAsia="en-AU"/>
        </w:rPr>
        <w:t>2</w:t>
      </w:r>
      <w:r w:rsidRPr="00B105DD">
        <w:rPr>
          <w:rFonts w:eastAsia="Times New Roman"/>
          <w:b/>
          <w:kern w:val="28"/>
          <w:szCs w:val="22"/>
          <w:lang w:eastAsia="en-AU"/>
        </w:rPr>
        <w:t xml:space="preserve"> – Section 3 (definition of </w:t>
      </w:r>
      <w:r w:rsidRPr="00B105DD">
        <w:rPr>
          <w:rFonts w:eastAsia="Times New Roman"/>
          <w:b/>
          <w:i/>
          <w:kern w:val="28"/>
          <w:szCs w:val="22"/>
          <w:lang w:eastAsia="en-AU"/>
        </w:rPr>
        <w:t>dispensed price</w:t>
      </w:r>
      <w:r w:rsidRPr="00B105DD">
        <w:rPr>
          <w:rFonts w:eastAsia="Times New Roman"/>
          <w:b/>
          <w:kern w:val="28"/>
          <w:szCs w:val="22"/>
          <w:lang w:eastAsia="en-AU"/>
        </w:rPr>
        <w:t>)</w:t>
      </w:r>
    </w:p>
    <w:p w14:paraId="5FA60396" w14:textId="77777777" w:rsidR="00642F57" w:rsidRPr="00B105DD" w:rsidRDefault="00642F57" w:rsidP="00621629">
      <w:pPr>
        <w:spacing w:after="0" w:line="240" w:lineRule="auto"/>
        <w:rPr>
          <w:rFonts w:eastAsia="Times New Roman"/>
          <w:szCs w:val="20"/>
          <w:lang w:eastAsia="en-AU"/>
        </w:rPr>
      </w:pPr>
    </w:p>
    <w:p w14:paraId="7EE48A0C" w14:textId="77777777" w:rsidR="004F45A5" w:rsidRPr="00B105DD" w:rsidRDefault="00642F57" w:rsidP="004F45A5">
      <w:pPr>
        <w:spacing w:after="0" w:line="240" w:lineRule="auto"/>
        <w:rPr>
          <w:rFonts w:eastAsia="Times New Roman"/>
          <w:szCs w:val="20"/>
          <w:lang w:eastAsia="en-AU"/>
        </w:rPr>
      </w:pPr>
      <w:r w:rsidRPr="00B105DD">
        <w:rPr>
          <w:rFonts w:eastAsia="Times New Roman"/>
          <w:szCs w:val="20"/>
          <w:lang w:eastAsia="en-AU"/>
        </w:rPr>
        <w:t>This item</w:t>
      </w:r>
      <w:r w:rsidR="004F45A5" w:rsidRPr="00B105DD">
        <w:rPr>
          <w:rFonts w:eastAsia="Times New Roman"/>
          <w:szCs w:val="20"/>
          <w:lang w:eastAsia="en-AU"/>
        </w:rPr>
        <w:t xml:space="preserve"> repeals the definition of ‘dispensed price’ at section 3 of the Instrument and substitutes a new definition which states:</w:t>
      </w:r>
    </w:p>
    <w:p w14:paraId="2090F888" w14:textId="77777777" w:rsidR="00E9043B" w:rsidRPr="00B105DD" w:rsidRDefault="00E9043B" w:rsidP="004F45A5">
      <w:pPr>
        <w:spacing w:after="0" w:line="240" w:lineRule="auto"/>
        <w:rPr>
          <w:rFonts w:eastAsia="Times New Roman"/>
          <w:szCs w:val="20"/>
          <w:lang w:eastAsia="en-AU"/>
        </w:rPr>
      </w:pPr>
    </w:p>
    <w:p w14:paraId="749B2AC8" w14:textId="77777777" w:rsidR="004F45A5" w:rsidRPr="00B105DD" w:rsidRDefault="004F45A5" w:rsidP="004F45A5">
      <w:pPr>
        <w:spacing w:after="0" w:line="240" w:lineRule="auto"/>
        <w:ind w:left="1440" w:hanging="720"/>
        <w:rPr>
          <w:rFonts w:eastAsia="Times New Roman"/>
          <w:szCs w:val="20"/>
          <w:lang w:eastAsia="en-AU"/>
        </w:rPr>
      </w:pPr>
      <w:r w:rsidRPr="00B105DD">
        <w:t>(a)</w:t>
      </w:r>
      <w:r w:rsidRPr="00B105DD">
        <w:tab/>
      </w:r>
      <w:proofErr w:type="gramStart"/>
      <w:r w:rsidRPr="00B105DD">
        <w:t>for</w:t>
      </w:r>
      <w:proofErr w:type="gramEnd"/>
      <w:r w:rsidRPr="00B105DD">
        <w:t xml:space="preserve"> a ready</w:t>
      </w:r>
      <w:r w:rsidRPr="00B105DD">
        <w:noBreakHyphen/>
        <w:t>prepared pharmaceutical benefit—has the meaning given by section 9; and</w:t>
      </w:r>
    </w:p>
    <w:p w14:paraId="7FC52F64" w14:textId="77777777" w:rsidR="004F45A5" w:rsidRPr="00B105DD" w:rsidRDefault="004F45A5" w:rsidP="004F45A5">
      <w:pPr>
        <w:pStyle w:val="paragraph"/>
        <w:ind w:left="1440" w:hanging="720"/>
      </w:pPr>
      <w:r w:rsidRPr="00B105DD">
        <w:t>(b)</w:t>
      </w:r>
      <w:r w:rsidRPr="00B105DD">
        <w:tab/>
      </w:r>
      <w:proofErr w:type="gramStart"/>
      <w:r w:rsidRPr="00B105DD">
        <w:t>for</w:t>
      </w:r>
      <w:proofErr w:type="gramEnd"/>
      <w:r w:rsidRPr="00B105DD">
        <w:t xml:space="preserve"> an extemporaneously</w:t>
      </w:r>
      <w:r w:rsidRPr="00B105DD">
        <w:noBreakHyphen/>
        <w:t>prepared pharmaceutical benefit—has the meaning given by subsection 16(1).</w:t>
      </w:r>
    </w:p>
    <w:p w14:paraId="4AB80F88" w14:textId="77777777" w:rsidR="003561DB" w:rsidRPr="00B105DD" w:rsidRDefault="003561DB" w:rsidP="004F45A5">
      <w:pPr>
        <w:pStyle w:val="paragraph"/>
        <w:ind w:left="1440" w:hanging="720"/>
        <w:rPr>
          <w:b/>
          <w:kern w:val="28"/>
          <w:szCs w:val="22"/>
        </w:rPr>
      </w:pPr>
    </w:p>
    <w:p w14:paraId="1238A628" w14:textId="77777777" w:rsidR="004F45A5" w:rsidRPr="00B105DD" w:rsidRDefault="004F45A5" w:rsidP="008F4975">
      <w:pPr>
        <w:pStyle w:val="paragraph"/>
        <w:ind w:left="720" w:hanging="720"/>
        <w:rPr>
          <w:b/>
          <w:kern w:val="28"/>
          <w:szCs w:val="22"/>
        </w:rPr>
      </w:pPr>
      <w:r w:rsidRPr="00B105DD">
        <w:rPr>
          <w:b/>
          <w:kern w:val="28"/>
          <w:szCs w:val="22"/>
        </w:rPr>
        <w:t>Item 3</w:t>
      </w:r>
      <w:r w:rsidR="00621C86" w:rsidRPr="00B105DD">
        <w:rPr>
          <w:b/>
          <w:kern w:val="28"/>
          <w:szCs w:val="22"/>
        </w:rPr>
        <w:t xml:space="preserve"> –</w:t>
      </w:r>
      <w:r w:rsidRPr="00B105DD">
        <w:rPr>
          <w:b/>
          <w:kern w:val="28"/>
          <w:szCs w:val="22"/>
        </w:rPr>
        <w:t xml:space="preserve"> Sub-</w:t>
      </w:r>
      <w:r w:rsidR="00621C86" w:rsidRPr="00B105DD">
        <w:rPr>
          <w:b/>
          <w:kern w:val="28"/>
          <w:szCs w:val="22"/>
        </w:rPr>
        <w:t>sub</w:t>
      </w:r>
      <w:r w:rsidRPr="00B105DD">
        <w:rPr>
          <w:b/>
          <w:kern w:val="28"/>
          <w:szCs w:val="22"/>
        </w:rPr>
        <w:t>paragraph 9(1</w:t>
      </w:r>
      <w:proofErr w:type="gramStart"/>
      <w:r w:rsidRPr="00B105DD">
        <w:rPr>
          <w:b/>
          <w:kern w:val="28"/>
          <w:szCs w:val="22"/>
        </w:rPr>
        <w:t>)(</w:t>
      </w:r>
      <w:proofErr w:type="gramEnd"/>
      <w:r w:rsidRPr="00B105DD">
        <w:rPr>
          <w:b/>
          <w:kern w:val="28"/>
          <w:szCs w:val="22"/>
        </w:rPr>
        <w:t>a)(</w:t>
      </w:r>
      <w:proofErr w:type="spellStart"/>
      <w:r w:rsidRPr="00B105DD">
        <w:rPr>
          <w:b/>
          <w:kern w:val="28"/>
          <w:szCs w:val="22"/>
        </w:rPr>
        <w:t>i</w:t>
      </w:r>
      <w:proofErr w:type="spellEnd"/>
      <w:r w:rsidRPr="00B105DD">
        <w:rPr>
          <w:b/>
          <w:kern w:val="28"/>
          <w:szCs w:val="22"/>
        </w:rPr>
        <w:t>)(B)</w:t>
      </w:r>
    </w:p>
    <w:p w14:paraId="224B0687" w14:textId="77777777" w:rsidR="004F45A5" w:rsidRPr="00B105DD" w:rsidRDefault="004F45A5" w:rsidP="008F4975">
      <w:pPr>
        <w:pStyle w:val="paragraph"/>
        <w:ind w:firstLine="11"/>
        <w:rPr>
          <w:kern w:val="28"/>
          <w:szCs w:val="22"/>
        </w:rPr>
      </w:pPr>
      <w:r w:rsidRPr="00B105DD">
        <w:rPr>
          <w:kern w:val="28"/>
          <w:szCs w:val="22"/>
        </w:rPr>
        <w:t>This item omits “worked out under section</w:t>
      </w:r>
      <w:r w:rsidR="00621C86" w:rsidRPr="00B105DD">
        <w:rPr>
          <w:kern w:val="28"/>
          <w:szCs w:val="22"/>
        </w:rPr>
        <w:t xml:space="preserve"> 11A”, and substitutes “under section 10”. </w:t>
      </w:r>
      <w:r w:rsidR="00621C86" w:rsidRPr="00B105DD">
        <w:t>The effect of this amendment is to correct references in the Instrument.</w:t>
      </w:r>
    </w:p>
    <w:p w14:paraId="33463326" w14:textId="77777777" w:rsidR="00621C86" w:rsidRPr="00B105DD" w:rsidRDefault="00621C86" w:rsidP="008F4975">
      <w:pPr>
        <w:pStyle w:val="paragraph"/>
        <w:ind w:left="731" w:hanging="720"/>
        <w:rPr>
          <w:b/>
          <w:kern w:val="28"/>
          <w:szCs w:val="22"/>
        </w:rPr>
      </w:pPr>
      <w:r w:rsidRPr="00B105DD">
        <w:rPr>
          <w:b/>
          <w:kern w:val="28"/>
          <w:szCs w:val="22"/>
        </w:rPr>
        <w:t>Item 4 – Sub-subparagraph 9(1</w:t>
      </w:r>
      <w:proofErr w:type="gramStart"/>
      <w:r w:rsidRPr="00B105DD">
        <w:rPr>
          <w:b/>
          <w:kern w:val="28"/>
          <w:szCs w:val="22"/>
        </w:rPr>
        <w:t>)(</w:t>
      </w:r>
      <w:proofErr w:type="gramEnd"/>
      <w:r w:rsidRPr="00B105DD">
        <w:rPr>
          <w:b/>
          <w:kern w:val="28"/>
          <w:szCs w:val="22"/>
        </w:rPr>
        <w:t>a)(</w:t>
      </w:r>
      <w:proofErr w:type="spellStart"/>
      <w:r w:rsidRPr="00B105DD">
        <w:rPr>
          <w:b/>
          <w:kern w:val="28"/>
          <w:szCs w:val="22"/>
        </w:rPr>
        <w:t>i</w:t>
      </w:r>
      <w:proofErr w:type="spellEnd"/>
      <w:r w:rsidRPr="00B105DD">
        <w:rPr>
          <w:b/>
          <w:kern w:val="28"/>
          <w:szCs w:val="22"/>
        </w:rPr>
        <w:t>)(C)</w:t>
      </w:r>
    </w:p>
    <w:p w14:paraId="272504EF" w14:textId="77777777" w:rsidR="00621C86" w:rsidRPr="00B105DD" w:rsidRDefault="00621C86" w:rsidP="008F4975">
      <w:pPr>
        <w:pStyle w:val="paragraph"/>
        <w:ind w:left="11" w:firstLine="11"/>
        <w:rPr>
          <w:kern w:val="28"/>
          <w:szCs w:val="22"/>
        </w:rPr>
      </w:pPr>
      <w:r w:rsidRPr="00B105DD">
        <w:rPr>
          <w:kern w:val="28"/>
          <w:szCs w:val="22"/>
        </w:rPr>
        <w:t xml:space="preserve">This item omits “12”, and substitutes “11”. </w:t>
      </w:r>
      <w:r w:rsidRPr="00B105DD">
        <w:t>The effect of this amendment is to correct references in the Instrument.</w:t>
      </w:r>
    </w:p>
    <w:p w14:paraId="523B0D47" w14:textId="77777777" w:rsidR="00570DE1" w:rsidRPr="00B105DD" w:rsidRDefault="00570DE1" w:rsidP="008F4975">
      <w:pPr>
        <w:spacing w:after="0" w:line="240" w:lineRule="auto"/>
        <w:rPr>
          <w:rFonts w:eastAsia="Times New Roman"/>
          <w:szCs w:val="20"/>
          <w:lang w:eastAsia="en-AU"/>
        </w:rPr>
      </w:pPr>
      <w:r w:rsidRPr="00B105DD">
        <w:rPr>
          <w:rFonts w:eastAsia="Times New Roman"/>
          <w:b/>
          <w:kern w:val="28"/>
          <w:szCs w:val="22"/>
          <w:lang w:eastAsia="en-AU"/>
        </w:rPr>
        <w:t xml:space="preserve">Item </w:t>
      </w:r>
      <w:r w:rsidRPr="00B105DD">
        <w:rPr>
          <w:b/>
          <w:kern w:val="28"/>
          <w:szCs w:val="22"/>
        </w:rPr>
        <w:t>5</w:t>
      </w:r>
      <w:r w:rsidRPr="00B105DD">
        <w:rPr>
          <w:rFonts w:eastAsia="Times New Roman"/>
          <w:b/>
          <w:kern w:val="28"/>
          <w:szCs w:val="22"/>
          <w:lang w:eastAsia="en-AU"/>
        </w:rPr>
        <w:t xml:space="preserve"> </w:t>
      </w:r>
      <w:r w:rsidRPr="00B105DD">
        <w:rPr>
          <w:b/>
          <w:kern w:val="28"/>
          <w:szCs w:val="22"/>
        </w:rPr>
        <w:t>–</w:t>
      </w:r>
      <w:r w:rsidRPr="00B105DD">
        <w:rPr>
          <w:rFonts w:eastAsia="Times New Roman"/>
          <w:b/>
          <w:kern w:val="28"/>
          <w:szCs w:val="22"/>
          <w:lang w:eastAsia="en-AU"/>
        </w:rPr>
        <w:t xml:space="preserve"> </w:t>
      </w:r>
      <w:r w:rsidRPr="00B105DD">
        <w:rPr>
          <w:b/>
          <w:kern w:val="28"/>
          <w:szCs w:val="22"/>
        </w:rPr>
        <w:t>Subparagraph 9(1</w:t>
      </w:r>
      <w:proofErr w:type="gramStart"/>
      <w:r w:rsidRPr="00B105DD">
        <w:rPr>
          <w:b/>
          <w:kern w:val="28"/>
          <w:szCs w:val="22"/>
        </w:rPr>
        <w:t>)(</w:t>
      </w:r>
      <w:proofErr w:type="gramEnd"/>
      <w:r w:rsidRPr="00B105DD">
        <w:rPr>
          <w:b/>
          <w:kern w:val="28"/>
          <w:szCs w:val="22"/>
        </w:rPr>
        <w:t>b)(</w:t>
      </w:r>
      <w:proofErr w:type="spellStart"/>
      <w:r w:rsidRPr="00B105DD">
        <w:rPr>
          <w:b/>
          <w:kern w:val="28"/>
          <w:szCs w:val="22"/>
        </w:rPr>
        <w:t>i</w:t>
      </w:r>
      <w:proofErr w:type="spellEnd"/>
      <w:r w:rsidRPr="00B105DD">
        <w:rPr>
          <w:b/>
          <w:kern w:val="28"/>
          <w:szCs w:val="22"/>
        </w:rPr>
        <w:t>)</w:t>
      </w:r>
      <w:r w:rsidRPr="00B105DD">
        <w:rPr>
          <w:rFonts w:eastAsia="Times New Roman"/>
          <w:szCs w:val="20"/>
          <w:lang w:eastAsia="en-AU"/>
        </w:rPr>
        <w:t xml:space="preserve"> </w:t>
      </w:r>
    </w:p>
    <w:p w14:paraId="3E794F6F" w14:textId="77777777" w:rsidR="00570DE1" w:rsidRPr="00B105DD" w:rsidRDefault="00570DE1" w:rsidP="008F4975">
      <w:pPr>
        <w:pStyle w:val="paragraph"/>
        <w:ind w:firstLine="11"/>
        <w:rPr>
          <w:kern w:val="28"/>
          <w:szCs w:val="22"/>
        </w:rPr>
      </w:pPr>
      <w:r w:rsidRPr="00B105DD">
        <w:rPr>
          <w:kern w:val="28"/>
          <w:szCs w:val="22"/>
        </w:rPr>
        <w:t xml:space="preserve">This item omits “14”, and substitutes “13”. </w:t>
      </w:r>
      <w:r w:rsidRPr="00B105DD">
        <w:t>The effect of this amendment is to correct references in the Instrument.</w:t>
      </w:r>
    </w:p>
    <w:p w14:paraId="4EE92BB7" w14:textId="77777777" w:rsidR="00570DE1" w:rsidRPr="00B105DD" w:rsidRDefault="00570DE1" w:rsidP="008F4975">
      <w:pPr>
        <w:spacing w:after="0" w:line="240" w:lineRule="auto"/>
        <w:rPr>
          <w:rFonts w:eastAsia="Times New Roman"/>
          <w:szCs w:val="20"/>
          <w:lang w:eastAsia="en-AU"/>
        </w:rPr>
      </w:pPr>
      <w:r w:rsidRPr="00B105DD">
        <w:rPr>
          <w:rFonts w:eastAsia="Times New Roman"/>
          <w:b/>
          <w:kern w:val="28"/>
          <w:szCs w:val="22"/>
          <w:lang w:eastAsia="en-AU"/>
        </w:rPr>
        <w:t xml:space="preserve">Item </w:t>
      </w:r>
      <w:r w:rsidRPr="00B105DD">
        <w:rPr>
          <w:b/>
          <w:kern w:val="28"/>
          <w:szCs w:val="22"/>
        </w:rPr>
        <w:t>6</w:t>
      </w:r>
      <w:r w:rsidRPr="00B105DD">
        <w:rPr>
          <w:rFonts w:eastAsia="Times New Roman"/>
          <w:b/>
          <w:kern w:val="28"/>
          <w:szCs w:val="22"/>
          <w:lang w:eastAsia="en-AU"/>
        </w:rPr>
        <w:t xml:space="preserve"> </w:t>
      </w:r>
      <w:r w:rsidRPr="00B105DD">
        <w:rPr>
          <w:b/>
          <w:kern w:val="28"/>
          <w:szCs w:val="22"/>
        </w:rPr>
        <w:t>–</w:t>
      </w:r>
      <w:r w:rsidRPr="00B105DD">
        <w:rPr>
          <w:rFonts w:eastAsia="Times New Roman"/>
          <w:b/>
          <w:kern w:val="28"/>
          <w:szCs w:val="22"/>
          <w:lang w:eastAsia="en-AU"/>
        </w:rPr>
        <w:t xml:space="preserve"> </w:t>
      </w:r>
      <w:r w:rsidRPr="00B105DD">
        <w:rPr>
          <w:b/>
          <w:kern w:val="28"/>
          <w:szCs w:val="22"/>
        </w:rPr>
        <w:t>Subparagraph 9(1</w:t>
      </w:r>
      <w:proofErr w:type="gramStart"/>
      <w:r w:rsidRPr="00B105DD">
        <w:rPr>
          <w:b/>
          <w:kern w:val="28"/>
          <w:szCs w:val="22"/>
        </w:rPr>
        <w:t>)(</w:t>
      </w:r>
      <w:proofErr w:type="gramEnd"/>
      <w:r w:rsidRPr="00B105DD">
        <w:rPr>
          <w:b/>
          <w:kern w:val="28"/>
          <w:szCs w:val="22"/>
        </w:rPr>
        <w:t>b)(iv)</w:t>
      </w:r>
      <w:r w:rsidRPr="00B105DD">
        <w:rPr>
          <w:rFonts w:eastAsia="Times New Roman"/>
          <w:szCs w:val="20"/>
          <w:lang w:eastAsia="en-AU"/>
        </w:rPr>
        <w:t xml:space="preserve"> </w:t>
      </w:r>
    </w:p>
    <w:p w14:paraId="623EF5E0" w14:textId="77777777" w:rsidR="00570DE1" w:rsidRPr="00B105DD" w:rsidRDefault="00570DE1" w:rsidP="008F4975">
      <w:pPr>
        <w:pStyle w:val="paragraph"/>
        <w:rPr>
          <w:kern w:val="28"/>
          <w:szCs w:val="22"/>
        </w:rPr>
      </w:pPr>
      <w:r w:rsidRPr="00B105DD">
        <w:rPr>
          <w:kern w:val="28"/>
          <w:szCs w:val="22"/>
        </w:rPr>
        <w:t xml:space="preserve">This item omits “13”, and substitutes “12”. </w:t>
      </w:r>
      <w:r w:rsidRPr="00B105DD">
        <w:t>The effect of this amendment is to correct references in the Instrument.</w:t>
      </w:r>
    </w:p>
    <w:p w14:paraId="246B8FE2" w14:textId="77777777" w:rsidR="00570DE1" w:rsidRPr="00B105DD" w:rsidRDefault="00570DE1" w:rsidP="008F4975">
      <w:pPr>
        <w:spacing w:after="0" w:line="240" w:lineRule="auto"/>
        <w:rPr>
          <w:rFonts w:eastAsia="Times New Roman"/>
          <w:szCs w:val="20"/>
          <w:lang w:eastAsia="en-AU"/>
        </w:rPr>
      </w:pPr>
      <w:r w:rsidRPr="00B105DD">
        <w:rPr>
          <w:rFonts w:eastAsia="Times New Roman"/>
          <w:b/>
          <w:kern w:val="28"/>
          <w:szCs w:val="22"/>
          <w:lang w:eastAsia="en-AU"/>
        </w:rPr>
        <w:t xml:space="preserve">Item </w:t>
      </w:r>
      <w:r w:rsidRPr="00B105DD">
        <w:rPr>
          <w:b/>
          <w:kern w:val="28"/>
          <w:szCs w:val="22"/>
        </w:rPr>
        <w:t>7</w:t>
      </w:r>
      <w:r w:rsidRPr="00B105DD">
        <w:rPr>
          <w:rFonts w:eastAsia="Times New Roman"/>
          <w:b/>
          <w:kern w:val="28"/>
          <w:szCs w:val="22"/>
          <w:lang w:eastAsia="en-AU"/>
        </w:rPr>
        <w:t xml:space="preserve"> </w:t>
      </w:r>
      <w:r w:rsidRPr="00B105DD">
        <w:rPr>
          <w:b/>
          <w:kern w:val="28"/>
          <w:szCs w:val="22"/>
        </w:rPr>
        <w:t>–</w:t>
      </w:r>
      <w:r w:rsidRPr="00B105DD">
        <w:rPr>
          <w:rFonts w:eastAsia="Times New Roman"/>
          <w:b/>
          <w:kern w:val="28"/>
          <w:szCs w:val="22"/>
          <w:lang w:eastAsia="en-AU"/>
        </w:rPr>
        <w:t xml:space="preserve"> </w:t>
      </w:r>
      <w:r w:rsidRPr="00B105DD">
        <w:rPr>
          <w:b/>
          <w:kern w:val="28"/>
          <w:szCs w:val="22"/>
        </w:rPr>
        <w:t>Subparagraph 9(1</w:t>
      </w:r>
      <w:proofErr w:type="gramStart"/>
      <w:r w:rsidRPr="00B105DD">
        <w:rPr>
          <w:b/>
          <w:kern w:val="28"/>
          <w:szCs w:val="22"/>
        </w:rPr>
        <w:t>)(</w:t>
      </w:r>
      <w:proofErr w:type="gramEnd"/>
      <w:r w:rsidRPr="00B105DD">
        <w:rPr>
          <w:b/>
          <w:kern w:val="28"/>
          <w:szCs w:val="22"/>
        </w:rPr>
        <w:t>c)(</w:t>
      </w:r>
      <w:proofErr w:type="spellStart"/>
      <w:r w:rsidRPr="00B105DD">
        <w:rPr>
          <w:b/>
          <w:kern w:val="28"/>
          <w:szCs w:val="22"/>
        </w:rPr>
        <w:t>i</w:t>
      </w:r>
      <w:proofErr w:type="spellEnd"/>
      <w:r w:rsidRPr="00B105DD">
        <w:rPr>
          <w:b/>
          <w:kern w:val="28"/>
          <w:szCs w:val="22"/>
        </w:rPr>
        <w:t>)(B)</w:t>
      </w:r>
      <w:r w:rsidRPr="00B105DD">
        <w:rPr>
          <w:rFonts w:eastAsia="Times New Roman"/>
          <w:szCs w:val="20"/>
          <w:lang w:eastAsia="en-AU"/>
        </w:rPr>
        <w:t xml:space="preserve"> </w:t>
      </w:r>
    </w:p>
    <w:p w14:paraId="4D7B8E18" w14:textId="77777777" w:rsidR="00570DE1" w:rsidRPr="00B105DD" w:rsidRDefault="00570DE1" w:rsidP="008F4975">
      <w:pPr>
        <w:pStyle w:val="paragraph"/>
        <w:rPr>
          <w:kern w:val="28"/>
          <w:szCs w:val="22"/>
        </w:rPr>
      </w:pPr>
      <w:r w:rsidRPr="00B105DD">
        <w:rPr>
          <w:kern w:val="28"/>
          <w:szCs w:val="22"/>
        </w:rPr>
        <w:t xml:space="preserve">This item omits “worked out under section 11A”, and substitutes “under section 10”. </w:t>
      </w:r>
      <w:r w:rsidRPr="00B105DD">
        <w:t>The effect of this amendment is to correct references in the Instrument.</w:t>
      </w:r>
    </w:p>
    <w:p w14:paraId="18070304" w14:textId="77777777" w:rsidR="00570DE1" w:rsidRPr="00B105DD" w:rsidRDefault="00570DE1" w:rsidP="008F4975">
      <w:pPr>
        <w:spacing w:after="0" w:line="240" w:lineRule="auto"/>
        <w:rPr>
          <w:rFonts w:eastAsia="Times New Roman"/>
          <w:szCs w:val="20"/>
          <w:lang w:eastAsia="en-AU"/>
        </w:rPr>
      </w:pPr>
      <w:r w:rsidRPr="00B105DD">
        <w:rPr>
          <w:rFonts w:eastAsia="Times New Roman"/>
          <w:b/>
          <w:kern w:val="28"/>
          <w:szCs w:val="22"/>
          <w:lang w:eastAsia="en-AU"/>
        </w:rPr>
        <w:t xml:space="preserve">Item </w:t>
      </w:r>
      <w:r w:rsidRPr="00B105DD">
        <w:rPr>
          <w:b/>
          <w:kern w:val="28"/>
          <w:szCs w:val="22"/>
        </w:rPr>
        <w:t>8</w:t>
      </w:r>
      <w:r w:rsidRPr="00B105DD">
        <w:rPr>
          <w:rFonts w:eastAsia="Times New Roman"/>
          <w:b/>
          <w:kern w:val="28"/>
          <w:szCs w:val="22"/>
          <w:lang w:eastAsia="en-AU"/>
        </w:rPr>
        <w:t xml:space="preserve"> </w:t>
      </w:r>
      <w:r w:rsidRPr="00B105DD">
        <w:rPr>
          <w:b/>
          <w:kern w:val="28"/>
          <w:szCs w:val="22"/>
        </w:rPr>
        <w:t>–</w:t>
      </w:r>
      <w:r w:rsidRPr="00B105DD">
        <w:rPr>
          <w:rFonts w:eastAsia="Times New Roman"/>
          <w:b/>
          <w:kern w:val="28"/>
          <w:szCs w:val="22"/>
          <w:lang w:eastAsia="en-AU"/>
        </w:rPr>
        <w:t xml:space="preserve"> </w:t>
      </w:r>
      <w:r w:rsidRPr="00B105DD">
        <w:rPr>
          <w:b/>
          <w:kern w:val="28"/>
          <w:szCs w:val="22"/>
        </w:rPr>
        <w:t>Sub-subparagraph 9(1</w:t>
      </w:r>
      <w:proofErr w:type="gramStart"/>
      <w:r w:rsidRPr="00B105DD">
        <w:rPr>
          <w:b/>
          <w:kern w:val="28"/>
          <w:szCs w:val="22"/>
        </w:rPr>
        <w:t>)(</w:t>
      </w:r>
      <w:proofErr w:type="gramEnd"/>
      <w:r w:rsidRPr="00B105DD">
        <w:rPr>
          <w:b/>
          <w:kern w:val="28"/>
          <w:szCs w:val="22"/>
        </w:rPr>
        <w:t>c)(</w:t>
      </w:r>
      <w:proofErr w:type="spellStart"/>
      <w:r w:rsidRPr="00B105DD">
        <w:rPr>
          <w:b/>
          <w:kern w:val="28"/>
          <w:szCs w:val="22"/>
        </w:rPr>
        <w:t>i</w:t>
      </w:r>
      <w:proofErr w:type="spellEnd"/>
      <w:r w:rsidRPr="00B105DD">
        <w:rPr>
          <w:b/>
          <w:kern w:val="28"/>
          <w:szCs w:val="22"/>
        </w:rPr>
        <w:t>)(C)</w:t>
      </w:r>
      <w:r w:rsidRPr="00B105DD">
        <w:rPr>
          <w:rFonts w:eastAsia="Times New Roman"/>
          <w:szCs w:val="20"/>
          <w:lang w:eastAsia="en-AU"/>
        </w:rPr>
        <w:t xml:space="preserve"> </w:t>
      </w:r>
    </w:p>
    <w:p w14:paraId="600B7131" w14:textId="77777777" w:rsidR="00570DE1" w:rsidRPr="00B105DD" w:rsidRDefault="00570DE1" w:rsidP="008F4975">
      <w:pPr>
        <w:pStyle w:val="paragraph"/>
        <w:jc w:val="both"/>
        <w:rPr>
          <w:kern w:val="28"/>
          <w:szCs w:val="22"/>
        </w:rPr>
      </w:pPr>
      <w:r w:rsidRPr="00B105DD">
        <w:rPr>
          <w:kern w:val="28"/>
          <w:szCs w:val="22"/>
        </w:rPr>
        <w:t xml:space="preserve">This item omits “12”, and substitutes “11”. </w:t>
      </w:r>
      <w:r w:rsidRPr="00B105DD">
        <w:t>The effect of this amendment is to correct references in the Instrument.</w:t>
      </w:r>
    </w:p>
    <w:p w14:paraId="32023C3E" w14:textId="77777777" w:rsidR="003561DB" w:rsidRPr="00B105DD" w:rsidRDefault="003561DB" w:rsidP="008F4975">
      <w:pPr>
        <w:spacing w:after="0" w:line="240" w:lineRule="auto"/>
        <w:rPr>
          <w:rFonts w:eastAsia="Times New Roman"/>
          <w:szCs w:val="20"/>
          <w:lang w:eastAsia="en-AU"/>
        </w:rPr>
      </w:pPr>
      <w:r w:rsidRPr="00B105DD">
        <w:rPr>
          <w:rFonts w:eastAsia="Times New Roman"/>
          <w:b/>
          <w:kern w:val="28"/>
          <w:szCs w:val="22"/>
          <w:lang w:eastAsia="en-AU"/>
        </w:rPr>
        <w:t xml:space="preserve">Item </w:t>
      </w:r>
      <w:r w:rsidRPr="00B105DD">
        <w:rPr>
          <w:b/>
          <w:kern w:val="28"/>
          <w:szCs w:val="22"/>
        </w:rPr>
        <w:t>9</w:t>
      </w:r>
      <w:r w:rsidRPr="00B105DD">
        <w:rPr>
          <w:rFonts w:eastAsia="Times New Roman"/>
          <w:b/>
          <w:kern w:val="28"/>
          <w:szCs w:val="22"/>
          <w:lang w:eastAsia="en-AU"/>
        </w:rPr>
        <w:t xml:space="preserve"> </w:t>
      </w:r>
      <w:r w:rsidRPr="00B105DD">
        <w:rPr>
          <w:b/>
          <w:kern w:val="28"/>
          <w:szCs w:val="22"/>
        </w:rPr>
        <w:t>–</w:t>
      </w:r>
      <w:r w:rsidRPr="00B105DD">
        <w:rPr>
          <w:rFonts w:eastAsia="Times New Roman"/>
          <w:b/>
          <w:kern w:val="28"/>
          <w:szCs w:val="22"/>
          <w:lang w:eastAsia="en-AU"/>
        </w:rPr>
        <w:t xml:space="preserve"> </w:t>
      </w:r>
      <w:r w:rsidRPr="00B105DD">
        <w:rPr>
          <w:b/>
          <w:kern w:val="28"/>
          <w:szCs w:val="22"/>
        </w:rPr>
        <w:t>Subparagraph 9(1</w:t>
      </w:r>
      <w:proofErr w:type="gramStart"/>
      <w:r w:rsidRPr="00B105DD">
        <w:rPr>
          <w:b/>
          <w:kern w:val="28"/>
          <w:szCs w:val="22"/>
        </w:rPr>
        <w:t>)(</w:t>
      </w:r>
      <w:proofErr w:type="gramEnd"/>
      <w:r w:rsidRPr="00B105DD">
        <w:rPr>
          <w:b/>
          <w:kern w:val="28"/>
          <w:szCs w:val="22"/>
        </w:rPr>
        <w:t>c)(ii)</w:t>
      </w:r>
      <w:r w:rsidRPr="00B105DD">
        <w:rPr>
          <w:rFonts w:eastAsia="Times New Roman"/>
          <w:szCs w:val="20"/>
          <w:lang w:eastAsia="en-AU"/>
        </w:rPr>
        <w:t xml:space="preserve"> </w:t>
      </w:r>
    </w:p>
    <w:p w14:paraId="1ACDEF64" w14:textId="77777777" w:rsidR="003561DB" w:rsidRPr="00B105DD" w:rsidRDefault="003561DB" w:rsidP="008F4975">
      <w:pPr>
        <w:pStyle w:val="paragraph"/>
        <w:jc w:val="both"/>
        <w:rPr>
          <w:kern w:val="28"/>
          <w:szCs w:val="22"/>
        </w:rPr>
      </w:pPr>
      <w:r w:rsidRPr="00B105DD">
        <w:rPr>
          <w:kern w:val="28"/>
          <w:szCs w:val="22"/>
        </w:rPr>
        <w:t xml:space="preserve">This item omits “14”, and substitutes “13”. </w:t>
      </w:r>
      <w:r w:rsidRPr="00B105DD">
        <w:t>The effect of this amendment is to correct references in the Instrument.</w:t>
      </w:r>
    </w:p>
    <w:p w14:paraId="69659323" w14:textId="77777777" w:rsidR="003561DB" w:rsidRPr="00B105DD" w:rsidRDefault="003561DB" w:rsidP="008F4975">
      <w:pPr>
        <w:spacing w:after="0" w:line="240" w:lineRule="auto"/>
        <w:rPr>
          <w:rFonts w:eastAsia="Times New Roman"/>
          <w:szCs w:val="20"/>
          <w:lang w:eastAsia="en-AU"/>
        </w:rPr>
      </w:pPr>
      <w:r w:rsidRPr="00B105DD">
        <w:rPr>
          <w:rFonts w:eastAsia="Times New Roman"/>
          <w:b/>
          <w:kern w:val="28"/>
          <w:szCs w:val="22"/>
          <w:lang w:eastAsia="en-AU"/>
        </w:rPr>
        <w:t xml:space="preserve">Item </w:t>
      </w:r>
      <w:r w:rsidRPr="00B105DD">
        <w:rPr>
          <w:b/>
          <w:kern w:val="28"/>
          <w:szCs w:val="22"/>
        </w:rPr>
        <w:t>10</w:t>
      </w:r>
      <w:r w:rsidRPr="00B105DD">
        <w:rPr>
          <w:rFonts w:eastAsia="Times New Roman"/>
          <w:b/>
          <w:kern w:val="28"/>
          <w:szCs w:val="22"/>
          <w:lang w:eastAsia="en-AU"/>
        </w:rPr>
        <w:t xml:space="preserve"> </w:t>
      </w:r>
      <w:r w:rsidRPr="00B105DD">
        <w:rPr>
          <w:b/>
          <w:kern w:val="28"/>
          <w:szCs w:val="22"/>
        </w:rPr>
        <w:t>–</w:t>
      </w:r>
      <w:r w:rsidRPr="00B105DD">
        <w:rPr>
          <w:rFonts w:eastAsia="Times New Roman"/>
          <w:b/>
          <w:kern w:val="28"/>
          <w:szCs w:val="22"/>
          <w:lang w:eastAsia="en-AU"/>
        </w:rPr>
        <w:t xml:space="preserve"> </w:t>
      </w:r>
      <w:r w:rsidRPr="00B105DD">
        <w:rPr>
          <w:b/>
          <w:kern w:val="28"/>
          <w:szCs w:val="22"/>
        </w:rPr>
        <w:t>Section 10</w:t>
      </w:r>
    </w:p>
    <w:p w14:paraId="78CA8E50" w14:textId="77777777" w:rsidR="003561DB" w:rsidRPr="00B105DD" w:rsidRDefault="003561DB" w:rsidP="008F4975">
      <w:pPr>
        <w:pStyle w:val="paragraph"/>
        <w:jc w:val="both"/>
        <w:rPr>
          <w:kern w:val="28"/>
          <w:szCs w:val="22"/>
        </w:rPr>
      </w:pPr>
      <w:r w:rsidRPr="00B105DD">
        <w:rPr>
          <w:kern w:val="28"/>
          <w:szCs w:val="22"/>
        </w:rPr>
        <w:t>This item repeals the section and substitutes:</w:t>
      </w:r>
    </w:p>
    <w:p w14:paraId="0DC282C9" w14:textId="77777777" w:rsidR="003561DB" w:rsidRPr="00B105DD" w:rsidRDefault="003561DB" w:rsidP="008F4975">
      <w:pPr>
        <w:pStyle w:val="paragraph"/>
        <w:rPr>
          <w:b/>
        </w:rPr>
      </w:pPr>
      <w:r w:rsidRPr="00B105DD">
        <w:rPr>
          <w:b/>
          <w:kern w:val="28"/>
          <w:szCs w:val="22"/>
        </w:rPr>
        <w:t xml:space="preserve">10 </w:t>
      </w:r>
      <w:r w:rsidRPr="00B105DD">
        <w:rPr>
          <w:b/>
        </w:rPr>
        <w:t>Storage and handling mark</w:t>
      </w:r>
      <w:r w:rsidRPr="00B105DD">
        <w:rPr>
          <w:b/>
        </w:rPr>
        <w:noBreakHyphen/>
        <w:t>up (same as wholesale mark</w:t>
      </w:r>
      <w:r w:rsidRPr="00B105DD">
        <w:rPr>
          <w:b/>
        </w:rPr>
        <w:noBreakHyphen/>
        <w:t>up for approved pharmacists)</w:t>
      </w:r>
    </w:p>
    <w:p w14:paraId="7A2005E6" w14:textId="77777777" w:rsidR="003561DB" w:rsidRPr="00B105DD" w:rsidRDefault="003561DB" w:rsidP="008F4975">
      <w:pPr>
        <w:pStyle w:val="paragraph"/>
      </w:pPr>
      <w:r w:rsidRPr="00B105DD">
        <w:t>For the purposes of sub</w:t>
      </w:r>
      <w:r w:rsidRPr="00B105DD">
        <w:noBreakHyphen/>
        <w:t>subparagraphs 9(1</w:t>
      </w:r>
      <w:proofErr w:type="gramStart"/>
      <w:r w:rsidRPr="00B105DD">
        <w:t>)(</w:t>
      </w:r>
      <w:proofErr w:type="gramEnd"/>
      <w:r w:rsidRPr="00B105DD">
        <w:t>a)(</w:t>
      </w:r>
      <w:proofErr w:type="spellStart"/>
      <w:r w:rsidRPr="00B105DD">
        <w:t>i</w:t>
      </w:r>
      <w:proofErr w:type="spellEnd"/>
      <w:r w:rsidRPr="00B105DD">
        <w:t>)(B) and (c)(</w:t>
      </w:r>
      <w:proofErr w:type="spellStart"/>
      <w:r w:rsidRPr="00B105DD">
        <w:t>i</w:t>
      </w:r>
      <w:proofErr w:type="spellEnd"/>
      <w:r w:rsidRPr="00B105DD">
        <w:t>)(B) and paragraph (b) of step 1 in section 13, the storage and handling mark</w:t>
      </w:r>
      <w:r w:rsidRPr="00B105DD">
        <w:noBreakHyphen/>
        <w:t>up for a pack quantity of a ready</w:t>
      </w:r>
      <w:r w:rsidRPr="00B105DD">
        <w:noBreakHyphen/>
        <w:t>prepared pharmaceutical benefit is the same as the wholesale mark</w:t>
      </w:r>
      <w:r w:rsidRPr="00B105DD">
        <w:noBreakHyphen/>
        <w:t>up for the pack quantity of the benefit would have been under section 11 of the Approved Pharmacists Determination if the benefit had been supplied by an approved pharmacist.</w:t>
      </w:r>
    </w:p>
    <w:p w14:paraId="398F4131" w14:textId="77777777" w:rsidR="003561DB" w:rsidRPr="00B105DD" w:rsidRDefault="003561DB" w:rsidP="008F4975">
      <w:pPr>
        <w:pStyle w:val="paragraph"/>
        <w:rPr>
          <w:b/>
          <w:kern w:val="28"/>
          <w:szCs w:val="22"/>
        </w:rPr>
      </w:pPr>
      <w:r w:rsidRPr="00B105DD">
        <w:rPr>
          <w:b/>
          <w:kern w:val="28"/>
          <w:szCs w:val="22"/>
        </w:rPr>
        <w:lastRenderedPageBreak/>
        <w:t>Item 11 – Section 13 (method statement, step 1, paragraph (b))</w:t>
      </w:r>
    </w:p>
    <w:p w14:paraId="47C4B95C" w14:textId="77777777" w:rsidR="003561DB" w:rsidRPr="00B105DD" w:rsidRDefault="003561DB" w:rsidP="008F4975">
      <w:pPr>
        <w:pStyle w:val="paragraph"/>
      </w:pPr>
      <w:r w:rsidRPr="00B105DD">
        <w:rPr>
          <w:kern w:val="28"/>
          <w:szCs w:val="22"/>
        </w:rPr>
        <w:t xml:space="preserve">This item omits “worked out”. </w:t>
      </w:r>
      <w:r w:rsidRPr="00B105DD">
        <w:t>The effect of this amendment is to correct references in the Instrument.</w:t>
      </w:r>
    </w:p>
    <w:p w14:paraId="6107DFFA" w14:textId="77777777" w:rsidR="003561DB" w:rsidRPr="00B105DD" w:rsidRDefault="003561DB" w:rsidP="003561DB">
      <w:pPr>
        <w:pStyle w:val="ActHead9"/>
        <w:ind w:left="0" w:firstLine="0"/>
        <w:rPr>
          <w:b w:val="0"/>
          <w:sz w:val="24"/>
          <w:szCs w:val="22"/>
        </w:rPr>
      </w:pPr>
      <w:r w:rsidRPr="00B105DD">
        <w:rPr>
          <w:b w:val="0"/>
          <w:sz w:val="24"/>
          <w:szCs w:val="22"/>
        </w:rPr>
        <w:t>National Health (Commonwealth Price—Pharmaceutical Benefits Supplied By Public Hospitals) Determination 2017 (PB 25 of 2017)</w:t>
      </w:r>
    </w:p>
    <w:p w14:paraId="062866B2" w14:textId="77777777" w:rsidR="003561DB" w:rsidRPr="00B105DD" w:rsidRDefault="003561DB" w:rsidP="003561DB">
      <w:pPr>
        <w:spacing w:after="0" w:line="240" w:lineRule="auto"/>
        <w:ind w:firstLine="709"/>
        <w:rPr>
          <w:rFonts w:eastAsia="Times New Roman"/>
          <w:b/>
          <w:kern w:val="28"/>
          <w:szCs w:val="22"/>
          <w:lang w:eastAsia="en-AU"/>
        </w:rPr>
      </w:pPr>
    </w:p>
    <w:p w14:paraId="56F86B37" w14:textId="77777777" w:rsidR="003561DB" w:rsidRPr="00B105DD" w:rsidRDefault="003561DB" w:rsidP="008F4975">
      <w:pPr>
        <w:spacing w:after="0" w:line="240" w:lineRule="auto"/>
        <w:rPr>
          <w:b/>
          <w:kern w:val="28"/>
          <w:szCs w:val="22"/>
        </w:rPr>
      </w:pPr>
      <w:r w:rsidRPr="00B105DD">
        <w:rPr>
          <w:rFonts w:eastAsia="Times New Roman"/>
          <w:b/>
          <w:kern w:val="28"/>
          <w:szCs w:val="22"/>
          <w:lang w:eastAsia="en-AU"/>
        </w:rPr>
        <w:t xml:space="preserve">Item </w:t>
      </w:r>
      <w:r w:rsidRPr="00B105DD">
        <w:rPr>
          <w:b/>
          <w:kern w:val="28"/>
          <w:szCs w:val="22"/>
        </w:rPr>
        <w:t>12</w:t>
      </w:r>
      <w:r w:rsidRPr="00B105DD">
        <w:rPr>
          <w:rFonts w:eastAsia="Times New Roman"/>
          <w:b/>
          <w:kern w:val="28"/>
          <w:szCs w:val="22"/>
          <w:lang w:eastAsia="en-AU"/>
        </w:rPr>
        <w:t xml:space="preserve"> </w:t>
      </w:r>
      <w:r w:rsidRPr="00B105DD">
        <w:rPr>
          <w:b/>
          <w:kern w:val="28"/>
          <w:szCs w:val="22"/>
        </w:rPr>
        <w:t>–</w:t>
      </w:r>
      <w:r w:rsidRPr="00B105DD">
        <w:rPr>
          <w:rFonts w:eastAsia="Times New Roman"/>
          <w:b/>
          <w:kern w:val="28"/>
          <w:szCs w:val="22"/>
          <w:lang w:eastAsia="en-AU"/>
        </w:rPr>
        <w:t xml:space="preserve"> </w:t>
      </w:r>
      <w:r w:rsidRPr="00B105DD">
        <w:rPr>
          <w:b/>
          <w:kern w:val="28"/>
          <w:szCs w:val="22"/>
        </w:rPr>
        <w:t>Subparagraphs 9(a</w:t>
      </w:r>
      <w:proofErr w:type="gramStart"/>
      <w:r w:rsidRPr="00B105DD">
        <w:rPr>
          <w:b/>
          <w:kern w:val="28"/>
          <w:szCs w:val="22"/>
        </w:rPr>
        <w:t>)(</w:t>
      </w:r>
      <w:proofErr w:type="gramEnd"/>
      <w:r w:rsidRPr="00B105DD">
        <w:rPr>
          <w:b/>
          <w:kern w:val="28"/>
          <w:szCs w:val="22"/>
        </w:rPr>
        <w:t>ii) and (c)(ii)</w:t>
      </w:r>
    </w:p>
    <w:p w14:paraId="133611CC" w14:textId="77777777" w:rsidR="00440FCF" w:rsidRPr="00B105DD" w:rsidRDefault="00440FCF" w:rsidP="008F4975">
      <w:pPr>
        <w:pStyle w:val="paragraph"/>
      </w:pPr>
      <w:r w:rsidRPr="00B105DD">
        <w:rPr>
          <w:kern w:val="28"/>
          <w:szCs w:val="22"/>
        </w:rPr>
        <w:t xml:space="preserve">This item omits “worked out”. </w:t>
      </w:r>
      <w:r w:rsidRPr="00B105DD">
        <w:t>The effect of this amendment is to correct references in the Instrument.</w:t>
      </w:r>
    </w:p>
    <w:p w14:paraId="1C557968" w14:textId="77777777" w:rsidR="00440FCF" w:rsidRPr="00B105DD" w:rsidRDefault="00440FCF" w:rsidP="008F4975">
      <w:pPr>
        <w:spacing w:after="0" w:line="240" w:lineRule="auto"/>
        <w:rPr>
          <w:b/>
          <w:kern w:val="28"/>
          <w:szCs w:val="22"/>
        </w:rPr>
      </w:pPr>
      <w:r w:rsidRPr="00B105DD">
        <w:rPr>
          <w:rFonts w:eastAsia="Times New Roman"/>
          <w:b/>
          <w:kern w:val="28"/>
          <w:szCs w:val="22"/>
          <w:lang w:eastAsia="en-AU"/>
        </w:rPr>
        <w:t xml:space="preserve">Item </w:t>
      </w:r>
      <w:r w:rsidRPr="00B105DD">
        <w:rPr>
          <w:b/>
          <w:kern w:val="28"/>
          <w:szCs w:val="22"/>
        </w:rPr>
        <w:t>13</w:t>
      </w:r>
      <w:r w:rsidRPr="00B105DD">
        <w:rPr>
          <w:rFonts w:eastAsia="Times New Roman"/>
          <w:b/>
          <w:kern w:val="28"/>
          <w:szCs w:val="22"/>
          <w:lang w:eastAsia="en-AU"/>
        </w:rPr>
        <w:t xml:space="preserve"> </w:t>
      </w:r>
      <w:r w:rsidRPr="00B105DD">
        <w:rPr>
          <w:b/>
          <w:kern w:val="28"/>
          <w:szCs w:val="22"/>
        </w:rPr>
        <w:t>–</w:t>
      </w:r>
      <w:r w:rsidRPr="00B105DD">
        <w:rPr>
          <w:rFonts w:eastAsia="Times New Roman"/>
          <w:b/>
          <w:kern w:val="28"/>
          <w:szCs w:val="22"/>
          <w:lang w:eastAsia="en-AU"/>
        </w:rPr>
        <w:t xml:space="preserve"> </w:t>
      </w:r>
      <w:r w:rsidRPr="00B105DD">
        <w:rPr>
          <w:b/>
          <w:kern w:val="28"/>
          <w:szCs w:val="22"/>
        </w:rPr>
        <w:t>Section 11 (method statement, step 1)</w:t>
      </w:r>
    </w:p>
    <w:p w14:paraId="161F4A66" w14:textId="77777777" w:rsidR="00440FCF" w:rsidRPr="00B105DD" w:rsidRDefault="00440FCF" w:rsidP="003561DB">
      <w:pPr>
        <w:spacing w:after="0" w:line="240" w:lineRule="auto"/>
        <w:ind w:firstLine="709"/>
        <w:rPr>
          <w:b/>
          <w:kern w:val="28"/>
          <w:szCs w:val="22"/>
        </w:rPr>
      </w:pPr>
    </w:p>
    <w:p w14:paraId="4975E6B3" w14:textId="34027872" w:rsidR="003561DB" w:rsidRPr="00B105DD" w:rsidRDefault="006F00FF" w:rsidP="008F4975">
      <w:pPr>
        <w:spacing w:after="0" w:line="240" w:lineRule="auto"/>
      </w:pPr>
      <w:r w:rsidRPr="00B105DD">
        <w:rPr>
          <w:rFonts w:eastAsia="Times New Roman"/>
          <w:kern w:val="28"/>
          <w:szCs w:val="22"/>
          <w:lang w:eastAsia="en-AU"/>
        </w:rPr>
        <w:t xml:space="preserve">This item </w:t>
      </w:r>
      <w:r w:rsidRPr="00B105DD">
        <w:t>repeals</w:t>
      </w:r>
      <w:r w:rsidR="008C06E9" w:rsidRPr="00B105DD">
        <w:t xml:space="preserve"> step 1 of</w:t>
      </w:r>
      <w:r w:rsidRPr="00B105DD">
        <w:t xml:space="preserve"> the method statement at section 11 of the Instrument and substitutes a new step:</w:t>
      </w:r>
    </w:p>
    <w:p w14:paraId="4B202AFB" w14:textId="77777777" w:rsidR="006F00FF" w:rsidRPr="00B105DD" w:rsidRDefault="006F00FF" w:rsidP="003561DB">
      <w:pPr>
        <w:spacing w:after="0" w:line="240" w:lineRule="auto"/>
        <w:ind w:firstLine="709"/>
      </w:pPr>
    </w:p>
    <w:p w14:paraId="2C1DC3BD" w14:textId="77777777" w:rsidR="006F00FF" w:rsidRPr="00B105DD" w:rsidRDefault="006F00FF" w:rsidP="008F4975">
      <w:pPr>
        <w:spacing w:after="0" w:line="240" w:lineRule="auto"/>
        <w:rPr>
          <w:rFonts w:eastAsia="Times New Roman"/>
          <w:szCs w:val="20"/>
          <w:lang w:eastAsia="en-AU"/>
        </w:rPr>
      </w:pPr>
      <w:r w:rsidRPr="00B105DD">
        <w:t>Step 1. Ascertain the mark-up for the pack quantity under section 14.</w:t>
      </w:r>
    </w:p>
    <w:p w14:paraId="0CEAFA5D" w14:textId="77777777" w:rsidR="003561DB" w:rsidRPr="00B105DD" w:rsidRDefault="003A6642" w:rsidP="008F4975">
      <w:pPr>
        <w:pStyle w:val="paragraph"/>
        <w:rPr>
          <w:b/>
          <w:kern w:val="28"/>
          <w:szCs w:val="22"/>
        </w:rPr>
      </w:pPr>
      <w:r w:rsidRPr="00B105DD">
        <w:rPr>
          <w:b/>
          <w:kern w:val="28"/>
          <w:szCs w:val="22"/>
        </w:rPr>
        <w:t>Item 14 – Section 14</w:t>
      </w:r>
    </w:p>
    <w:p w14:paraId="2D9366F3" w14:textId="77777777" w:rsidR="003A6642" w:rsidRPr="00B105DD" w:rsidRDefault="003A6642" w:rsidP="008F4975">
      <w:pPr>
        <w:pStyle w:val="paragraph"/>
        <w:jc w:val="both"/>
        <w:rPr>
          <w:kern w:val="28"/>
          <w:szCs w:val="22"/>
        </w:rPr>
      </w:pPr>
      <w:r w:rsidRPr="00B105DD">
        <w:rPr>
          <w:kern w:val="28"/>
          <w:szCs w:val="22"/>
        </w:rPr>
        <w:t>This item repeals the section and substitutes:</w:t>
      </w:r>
    </w:p>
    <w:p w14:paraId="0AE155B7" w14:textId="77777777" w:rsidR="003561DB" w:rsidRPr="00B105DD" w:rsidRDefault="003A6642" w:rsidP="008F4975">
      <w:pPr>
        <w:pStyle w:val="paragraph"/>
        <w:rPr>
          <w:b/>
          <w:kern w:val="28"/>
          <w:szCs w:val="22"/>
        </w:rPr>
      </w:pPr>
      <w:r w:rsidRPr="00B105DD">
        <w:rPr>
          <w:b/>
          <w:kern w:val="28"/>
          <w:szCs w:val="22"/>
        </w:rPr>
        <w:t>14 Dispensed price</w:t>
      </w:r>
      <w:r w:rsidRPr="00B105DD">
        <w:rPr>
          <w:b/>
        </w:rPr>
        <w:t>—mark</w:t>
      </w:r>
      <w:r w:rsidRPr="00B105DD">
        <w:rPr>
          <w:b/>
        </w:rPr>
        <w:noBreakHyphen/>
        <w:t>up (same as wholesale mark</w:t>
      </w:r>
      <w:r w:rsidRPr="00B105DD">
        <w:rPr>
          <w:b/>
        </w:rPr>
        <w:noBreakHyphen/>
        <w:t>up for approved pharmacists)</w:t>
      </w:r>
      <w:r w:rsidRPr="00B105DD">
        <w:rPr>
          <w:b/>
          <w:kern w:val="28"/>
          <w:szCs w:val="22"/>
        </w:rPr>
        <w:t xml:space="preserve"> </w:t>
      </w:r>
    </w:p>
    <w:p w14:paraId="01A2145E" w14:textId="54722D91" w:rsidR="00883DD3" w:rsidRPr="00B105DD" w:rsidRDefault="003A6642" w:rsidP="008F4975">
      <w:pPr>
        <w:pStyle w:val="paragraph"/>
        <w:rPr>
          <w:b/>
          <w:kern w:val="28"/>
          <w:szCs w:val="22"/>
        </w:rPr>
      </w:pPr>
      <w:r w:rsidRPr="00B105DD">
        <w:rPr>
          <w:kern w:val="28"/>
          <w:szCs w:val="22"/>
        </w:rPr>
        <w:t xml:space="preserve">For </w:t>
      </w:r>
      <w:r w:rsidRPr="00B105DD">
        <w:t>the purposes of subparagraphs 9(a</w:t>
      </w:r>
      <w:proofErr w:type="gramStart"/>
      <w:r w:rsidRPr="00B105DD">
        <w:t>)(</w:t>
      </w:r>
      <w:proofErr w:type="gramEnd"/>
      <w:r w:rsidRPr="00B105DD">
        <w:t>ii) and (c)(ii) and step 1 in section 11, the mark</w:t>
      </w:r>
      <w:r w:rsidRPr="00B105DD">
        <w:noBreakHyphen/>
        <w:t>up for a pack quantity of a ready</w:t>
      </w:r>
      <w:r w:rsidRPr="00B105DD">
        <w:noBreakHyphen/>
        <w:t>prepared pharmaceutical benefit is the same as the wholesale mark</w:t>
      </w:r>
      <w:r w:rsidRPr="00B105DD">
        <w:noBreakHyphen/>
        <w:t xml:space="preserve">up for the pack quantity of the benefit would have been under section 11 of the </w:t>
      </w:r>
      <w:r w:rsidRPr="00B105DD">
        <w:rPr>
          <w:i/>
          <w:iCs/>
        </w:rPr>
        <w:t xml:space="preserve">Commonwealth price (Pharmaceutical benefits supplied by approved pharmacists) Determination 2020 </w:t>
      </w:r>
      <w:r w:rsidRPr="00B105DD">
        <w:rPr>
          <w:iCs/>
        </w:rPr>
        <w:t>(</w:t>
      </w:r>
      <w:r w:rsidRPr="00B105DD">
        <w:t>PB 66 of 2020) if the benefit had been supplied by an approved pharmacist.</w:t>
      </w:r>
    </w:p>
    <w:p w14:paraId="41F4072E" w14:textId="77777777" w:rsidR="00EC029A" w:rsidRPr="00B105DD" w:rsidRDefault="00EC029A" w:rsidP="00EC029A">
      <w:pPr>
        <w:pStyle w:val="subsection"/>
      </w:pPr>
      <w:r w:rsidRPr="00B105DD">
        <w:t>.</w:t>
      </w:r>
    </w:p>
    <w:p w14:paraId="49C44FEB" w14:textId="77777777" w:rsidR="00115A34" w:rsidRPr="00B105DD" w:rsidRDefault="00115A34" w:rsidP="00EC029A">
      <w:pPr>
        <w:pStyle w:val="subsection"/>
      </w:pPr>
    </w:p>
    <w:p w14:paraId="0B3AD85F" w14:textId="77777777" w:rsidR="00510850" w:rsidRPr="00B105DD" w:rsidRDefault="00510850" w:rsidP="00E40F4A"/>
    <w:p w14:paraId="6B8B5A7F" w14:textId="77777777" w:rsidR="001B03A7" w:rsidRPr="00B105DD" w:rsidRDefault="001B03A7">
      <w:pPr>
        <w:rPr>
          <w:rFonts w:eastAsia="Times New Roman"/>
          <w:b/>
          <w:bCs/>
          <w:lang w:eastAsia="en-AU"/>
        </w:rPr>
      </w:pPr>
      <w:r w:rsidRPr="00B105DD">
        <w:rPr>
          <w:rFonts w:eastAsia="Times New Roman"/>
          <w:b/>
          <w:bCs/>
          <w:lang w:eastAsia="en-AU"/>
        </w:rPr>
        <w:br w:type="page"/>
      </w:r>
    </w:p>
    <w:p w14:paraId="5C1BBDDC" w14:textId="77777777" w:rsidR="00E40F4A" w:rsidRPr="00B105DD" w:rsidRDefault="00E40F4A" w:rsidP="00E40F4A">
      <w:pPr>
        <w:shd w:val="clear" w:color="auto" w:fill="FFFFFF"/>
        <w:spacing w:before="120" w:after="120" w:line="240" w:lineRule="auto"/>
        <w:jc w:val="center"/>
        <w:rPr>
          <w:rFonts w:eastAsia="Times New Roman"/>
          <w:b/>
          <w:bCs/>
          <w:lang w:eastAsia="en-AU"/>
        </w:rPr>
      </w:pPr>
      <w:r w:rsidRPr="00B105DD">
        <w:rPr>
          <w:rFonts w:eastAsia="Times New Roman"/>
          <w:b/>
          <w:bCs/>
          <w:lang w:eastAsia="en-AU"/>
        </w:rPr>
        <w:lastRenderedPageBreak/>
        <w:t>Statement of Compatibility with Human Rights</w:t>
      </w:r>
    </w:p>
    <w:p w14:paraId="2F4F875A" w14:textId="77777777" w:rsidR="00E40F4A" w:rsidRPr="00B105DD" w:rsidRDefault="00E40F4A" w:rsidP="001467A9">
      <w:pPr>
        <w:shd w:val="clear" w:color="auto" w:fill="FFFFFF"/>
        <w:spacing w:before="120" w:after="120" w:line="240" w:lineRule="auto"/>
        <w:rPr>
          <w:rFonts w:eastAsia="Times New Roman"/>
          <w:lang w:eastAsia="en-AU"/>
        </w:rPr>
      </w:pPr>
      <w:r w:rsidRPr="00B105DD">
        <w:rPr>
          <w:rFonts w:eastAsia="Times New Roman"/>
          <w:i/>
          <w:iCs/>
          <w:lang w:eastAsia="en-AU"/>
        </w:rPr>
        <w:t xml:space="preserve">Prepared in accordance with </w:t>
      </w:r>
      <w:r w:rsidR="005E3B12" w:rsidRPr="00B105DD">
        <w:rPr>
          <w:rFonts w:eastAsia="Times New Roman"/>
          <w:i/>
          <w:iCs/>
          <w:lang w:eastAsia="en-AU"/>
        </w:rPr>
        <w:t>Part 3</w:t>
      </w:r>
      <w:r w:rsidRPr="00B105DD">
        <w:rPr>
          <w:rFonts w:eastAsia="Times New Roman"/>
          <w:i/>
          <w:iCs/>
          <w:lang w:eastAsia="en-AU"/>
        </w:rPr>
        <w:t xml:space="preserve"> of the Human Rights (Parliamentary Scrutiny) Act 2011</w:t>
      </w:r>
    </w:p>
    <w:p w14:paraId="190846CA" w14:textId="77777777" w:rsidR="00115A34" w:rsidRPr="00B105DD" w:rsidRDefault="00115A34" w:rsidP="00115A34">
      <w:pPr>
        <w:jc w:val="center"/>
        <w:rPr>
          <w:b/>
          <w:i/>
        </w:rPr>
      </w:pPr>
      <w:r w:rsidRPr="00B105DD">
        <w:rPr>
          <w:b/>
          <w:i/>
        </w:rPr>
        <w:t xml:space="preserve">National Health (Pharmaceutical Benefits) Legislation Amendment (Commonwealth Price-Mark-ups) Determination 2020 </w:t>
      </w:r>
    </w:p>
    <w:p w14:paraId="6D90649C" w14:textId="77777777" w:rsidR="001E28CE" w:rsidRPr="00B105DD" w:rsidRDefault="001E28CE" w:rsidP="001E28CE">
      <w:pPr>
        <w:pStyle w:val="Default"/>
        <w:rPr>
          <w:b/>
          <w:bCs/>
        </w:rPr>
      </w:pPr>
    </w:p>
    <w:p w14:paraId="57709B79" w14:textId="77777777" w:rsidR="001E28CE" w:rsidRPr="00B105DD" w:rsidRDefault="001E28CE" w:rsidP="001E28CE">
      <w:pPr>
        <w:pStyle w:val="Default"/>
      </w:pPr>
      <w:r w:rsidRPr="00B105DD">
        <w:rPr>
          <w:b/>
          <w:bCs/>
        </w:rPr>
        <w:t xml:space="preserve">Overview of the Legislative Instrument </w:t>
      </w:r>
    </w:p>
    <w:p w14:paraId="160952E4" w14:textId="3F60EBB7" w:rsidR="001E28CE" w:rsidRPr="00B105DD" w:rsidRDefault="00433FC6" w:rsidP="001E28CE">
      <w:pPr>
        <w:shd w:val="clear" w:color="auto" w:fill="FFFFFF"/>
        <w:spacing w:before="120" w:after="180" w:line="240" w:lineRule="auto"/>
        <w:rPr>
          <w:rFonts w:eastAsia="Times New Roman"/>
          <w:lang w:val="en-GB" w:eastAsia="en-AU"/>
        </w:rPr>
      </w:pPr>
      <w:r w:rsidRPr="00B105DD">
        <w:rPr>
          <w:rFonts w:eastAsia="Times New Roman"/>
          <w:lang w:val="en-GB" w:eastAsia="en-AU"/>
        </w:rPr>
        <w:t>The a</w:t>
      </w:r>
      <w:r w:rsidR="001E28CE" w:rsidRPr="00B105DD">
        <w:rPr>
          <w:rFonts w:eastAsia="Times New Roman"/>
          <w:lang w:val="en-GB" w:eastAsia="en-AU"/>
        </w:rPr>
        <w:t xml:space="preserve">mendments to the </w:t>
      </w:r>
      <w:r w:rsidR="001E28CE" w:rsidRPr="00B105DD">
        <w:rPr>
          <w:rFonts w:eastAsia="Times New Roman"/>
          <w:i/>
          <w:lang w:val="en-GB" w:eastAsia="en-AU"/>
        </w:rPr>
        <w:t>National Health (Commonwealth Price—Pharmaceut</w:t>
      </w:r>
      <w:r w:rsidR="009D105A" w:rsidRPr="00B105DD">
        <w:rPr>
          <w:rFonts w:eastAsia="Times New Roman"/>
          <w:i/>
          <w:lang w:val="en-GB" w:eastAsia="en-AU"/>
        </w:rPr>
        <w:t xml:space="preserve">ical Benefits Supplied </w:t>
      </w:r>
      <w:r w:rsidR="00B9634D" w:rsidRPr="00B105DD">
        <w:rPr>
          <w:rFonts w:eastAsia="Times New Roman"/>
          <w:i/>
          <w:lang w:val="en-GB" w:eastAsia="en-AU"/>
        </w:rPr>
        <w:t>b</w:t>
      </w:r>
      <w:r w:rsidR="009D105A" w:rsidRPr="00B105DD">
        <w:rPr>
          <w:rFonts w:eastAsia="Times New Roman"/>
          <w:i/>
          <w:lang w:val="en-GB" w:eastAsia="en-AU"/>
        </w:rPr>
        <w:t>y Private Hospitals) Determination 2020</w:t>
      </w:r>
      <w:r w:rsidR="001E28CE" w:rsidRPr="00B105DD">
        <w:rPr>
          <w:rFonts w:eastAsia="Times New Roman"/>
          <w:lang w:val="en-GB" w:eastAsia="en-AU"/>
        </w:rPr>
        <w:t xml:space="preserve"> </w:t>
      </w:r>
      <w:r w:rsidR="00115A34" w:rsidRPr="00B105DD">
        <w:rPr>
          <w:rFonts w:eastAsia="Times New Roman"/>
          <w:lang w:val="en-GB" w:eastAsia="en-AU"/>
        </w:rPr>
        <w:t>and</w:t>
      </w:r>
      <w:r w:rsidR="00B9634D" w:rsidRPr="00B105DD">
        <w:rPr>
          <w:rFonts w:eastAsia="Times New Roman"/>
          <w:lang w:val="en-GB" w:eastAsia="en-AU"/>
        </w:rPr>
        <w:t xml:space="preserve"> the</w:t>
      </w:r>
      <w:r w:rsidR="00115A34" w:rsidRPr="00B105DD">
        <w:rPr>
          <w:rFonts w:eastAsia="Times New Roman"/>
          <w:lang w:val="en-GB" w:eastAsia="en-AU"/>
        </w:rPr>
        <w:t xml:space="preserve"> </w:t>
      </w:r>
      <w:r w:rsidR="00115A34" w:rsidRPr="00B105DD">
        <w:rPr>
          <w:rFonts w:eastAsia="Times New Roman"/>
          <w:i/>
          <w:lang w:val="en-GB" w:eastAsia="en-AU"/>
        </w:rPr>
        <w:t>National Health (Commonwealth Price—Pharmaceutical Benefits Supplied By Public Hospitals) Determination 2017</w:t>
      </w:r>
      <w:r w:rsidR="00115A34" w:rsidRPr="00B105DD">
        <w:rPr>
          <w:rFonts w:eastAsia="Times New Roman"/>
          <w:lang w:val="en-GB" w:eastAsia="en-AU"/>
        </w:rPr>
        <w:t xml:space="preserve"> </w:t>
      </w:r>
      <w:r w:rsidR="0037664E" w:rsidRPr="00B105DD">
        <w:rPr>
          <w:rFonts w:eastAsia="Times New Roman"/>
          <w:lang w:val="en-GB" w:eastAsia="en-AU"/>
        </w:rPr>
        <w:t xml:space="preserve">by the </w:t>
      </w:r>
      <w:r w:rsidR="0037664E" w:rsidRPr="00B105DD">
        <w:rPr>
          <w:rFonts w:eastAsia="Times New Roman"/>
          <w:i/>
          <w:lang w:val="en-GB" w:eastAsia="en-AU"/>
        </w:rPr>
        <w:t>National Health (Pharmaceutical Benefits) Legislation Amendment (Commonwealth Price-Mark-ups) Determination 2020</w:t>
      </w:r>
      <w:r w:rsidR="0037664E" w:rsidRPr="00B105DD">
        <w:rPr>
          <w:rFonts w:eastAsia="Times New Roman"/>
          <w:lang w:val="en-GB" w:eastAsia="en-AU"/>
        </w:rPr>
        <w:t xml:space="preserve"> (the Amendment Determination) </w:t>
      </w:r>
      <w:r w:rsidR="001E28CE" w:rsidRPr="00B105DD">
        <w:rPr>
          <w:rFonts w:eastAsia="Times New Roman"/>
          <w:lang w:val="en-GB" w:eastAsia="en-AU"/>
        </w:rPr>
        <w:t>a</w:t>
      </w:r>
      <w:r w:rsidRPr="00B105DD">
        <w:rPr>
          <w:rFonts w:eastAsia="Times New Roman"/>
          <w:lang w:val="en-GB" w:eastAsia="en-AU"/>
        </w:rPr>
        <w:t>re made</w:t>
      </w:r>
      <w:r w:rsidR="001E28CE" w:rsidRPr="00B105DD">
        <w:rPr>
          <w:rFonts w:eastAsia="Times New Roman"/>
          <w:lang w:val="en-GB" w:eastAsia="en-AU"/>
        </w:rPr>
        <w:t xml:space="preserve"> under the </w:t>
      </w:r>
      <w:r w:rsidR="001E28CE" w:rsidRPr="00B105DD">
        <w:rPr>
          <w:rFonts w:eastAsia="Times New Roman"/>
          <w:i/>
          <w:lang w:val="en-GB" w:eastAsia="en-AU"/>
        </w:rPr>
        <w:t>National Health Act 1953</w:t>
      </w:r>
      <w:r w:rsidR="001E28CE" w:rsidRPr="00B105DD">
        <w:rPr>
          <w:rFonts w:eastAsia="Times New Roman"/>
          <w:lang w:val="en-GB" w:eastAsia="en-AU"/>
        </w:rPr>
        <w:t xml:space="preserve">. </w:t>
      </w:r>
      <w:r w:rsidR="00107456" w:rsidRPr="00B105DD">
        <w:rPr>
          <w:rFonts w:eastAsia="Times New Roman"/>
          <w:lang w:val="en-GB" w:eastAsia="en-AU"/>
        </w:rPr>
        <w:t>The</w:t>
      </w:r>
      <w:r w:rsidRPr="00B105DD">
        <w:rPr>
          <w:rFonts w:eastAsia="Times New Roman"/>
          <w:lang w:val="en-GB" w:eastAsia="en-AU"/>
        </w:rPr>
        <w:t xml:space="preserve"> amendments</w:t>
      </w:r>
      <w:r w:rsidR="00107456" w:rsidRPr="00B105DD">
        <w:rPr>
          <w:rFonts w:eastAsia="Times New Roman"/>
          <w:lang w:val="en-GB" w:eastAsia="en-AU"/>
        </w:rPr>
        <w:t xml:space="preserve"> </w:t>
      </w:r>
      <w:r w:rsidR="006B2DB5" w:rsidRPr="00B105DD">
        <w:rPr>
          <w:rFonts w:eastAsia="Times New Roman"/>
          <w:lang w:val="en-GB" w:eastAsia="en-AU"/>
        </w:rPr>
        <w:t xml:space="preserve">maintain </w:t>
      </w:r>
      <w:r w:rsidR="00107456" w:rsidRPr="00B105DD">
        <w:rPr>
          <w:rFonts w:eastAsia="Times New Roman"/>
          <w:lang w:val="en-GB" w:eastAsia="en-AU"/>
        </w:rPr>
        <w:t xml:space="preserve">a consistent framework </w:t>
      </w:r>
      <w:r w:rsidR="006B2DB5" w:rsidRPr="00B105DD">
        <w:rPr>
          <w:rFonts w:eastAsia="Times New Roman"/>
          <w:lang w:val="en-GB" w:eastAsia="en-AU"/>
        </w:rPr>
        <w:t>for the</w:t>
      </w:r>
      <w:r w:rsidR="00107456" w:rsidRPr="00B105DD">
        <w:rPr>
          <w:rFonts w:eastAsia="Times New Roman"/>
          <w:lang w:val="en-GB" w:eastAsia="en-AU"/>
        </w:rPr>
        <w:t xml:space="preserve"> </w:t>
      </w:r>
      <w:r w:rsidR="005F09B4" w:rsidRPr="00B105DD">
        <w:rPr>
          <w:rFonts w:eastAsia="Times New Roman"/>
          <w:lang w:val="en-GB" w:eastAsia="en-AU"/>
        </w:rPr>
        <w:t>pricing of pharmaceutical benefits, ensur</w:t>
      </w:r>
      <w:r w:rsidR="006B2DB5" w:rsidRPr="00B105DD">
        <w:rPr>
          <w:rFonts w:eastAsia="Times New Roman"/>
          <w:lang w:val="en-GB" w:eastAsia="en-AU"/>
        </w:rPr>
        <w:t>ing</w:t>
      </w:r>
      <w:r w:rsidR="005F09B4" w:rsidRPr="00B105DD">
        <w:rPr>
          <w:rFonts w:eastAsia="Times New Roman"/>
          <w:lang w:val="en-GB" w:eastAsia="en-AU"/>
        </w:rPr>
        <w:t xml:space="preserve"> that </w:t>
      </w:r>
      <w:r w:rsidR="006B2DB5" w:rsidRPr="00B105DD">
        <w:rPr>
          <w:rFonts w:eastAsia="Times New Roman"/>
          <w:lang w:val="en-GB" w:eastAsia="en-AU"/>
        </w:rPr>
        <w:t>wholesale, storage and handling mark-ups remain aligned across the range of PBS dispensing environments</w:t>
      </w:r>
      <w:r w:rsidR="005F09B4" w:rsidRPr="00B105DD">
        <w:rPr>
          <w:rFonts w:eastAsia="Times New Roman"/>
          <w:lang w:val="en-GB" w:eastAsia="en-AU"/>
        </w:rPr>
        <w:t>.</w:t>
      </w:r>
    </w:p>
    <w:p w14:paraId="7EBDB7CF" w14:textId="043F900B" w:rsidR="001E28CE" w:rsidRPr="00B105DD" w:rsidRDefault="001E28CE" w:rsidP="001E28CE">
      <w:pPr>
        <w:shd w:val="clear" w:color="auto" w:fill="FFFFFF"/>
        <w:spacing w:before="120" w:after="180" w:line="240" w:lineRule="auto"/>
        <w:rPr>
          <w:rFonts w:eastAsia="Times New Roman"/>
          <w:lang w:val="en-GB" w:eastAsia="en-AU"/>
        </w:rPr>
      </w:pPr>
      <w:r w:rsidRPr="00B105DD">
        <w:rPr>
          <w:rFonts w:eastAsia="Times New Roman"/>
          <w:lang w:val="en-GB" w:eastAsia="en-AU"/>
        </w:rPr>
        <w:t xml:space="preserve">The </w:t>
      </w:r>
      <w:r w:rsidR="00A429AA" w:rsidRPr="00B105DD">
        <w:rPr>
          <w:rFonts w:eastAsia="Times New Roman"/>
          <w:lang w:val="en-GB" w:eastAsia="en-AU"/>
        </w:rPr>
        <w:t xml:space="preserve">Amendment </w:t>
      </w:r>
      <w:r w:rsidRPr="00B105DD">
        <w:rPr>
          <w:rFonts w:eastAsia="Times New Roman"/>
          <w:lang w:val="en-GB" w:eastAsia="en-AU"/>
        </w:rPr>
        <w:t xml:space="preserve">Determination </w:t>
      </w:r>
      <w:r w:rsidR="000233D2" w:rsidRPr="00B105DD">
        <w:rPr>
          <w:rFonts w:eastAsia="Times New Roman"/>
          <w:lang w:val="en-GB" w:eastAsia="en-AU"/>
        </w:rPr>
        <w:t>implement</w:t>
      </w:r>
      <w:r w:rsidR="00A429AA" w:rsidRPr="00B105DD">
        <w:rPr>
          <w:rFonts w:eastAsia="Times New Roman"/>
          <w:lang w:val="en-GB" w:eastAsia="en-AU"/>
        </w:rPr>
        <w:t>s</w:t>
      </w:r>
      <w:r w:rsidR="000233D2" w:rsidRPr="00B105DD">
        <w:rPr>
          <w:rFonts w:eastAsia="Times New Roman"/>
          <w:lang w:val="en-GB" w:eastAsia="en-AU"/>
        </w:rPr>
        <w:t xml:space="preserve"> current Government policy and </w:t>
      </w:r>
      <w:r w:rsidRPr="00B105DD">
        <w:rPr>
          <w:rFonts w:eastAsia="Times New Roman"/>
          <w:lang w:val="en-GB" w:eastAsia="en-AU"/>
        </w:rPr>
        <w:t>preserve</w:t>
      </w:r>
      <w:r w:rsidR="00A429AA" w:rsidRPr="00B105DD">
        <w:rPr>
          <w:rFonts w:eastAsia="Times New Roman"/>
          <w:lang w:val="en-GB" w:eastAsia="en-AU"/>
        </w:rPr>
        <w:t>s</w:t>
      </w:r>
      <w:r w:rsidRPr="00B105DD">
        <w:rPr>
          <w:rFonts w:eastAsia="Times New Roman"/>
          <w:lang w:val="en-GB" w:eastAsia="en-AU"/>
        </w:rPr>
        <w:t xml:space="preserve"> </w:t>
      </w:r>
      <w:r w:rsidR="000233D2" w:rsidRPr="00B105DD">
        <w:rPr>
          <w:rFonts w:eastAsia="Times New Roman"/>
          <w:lang w:val="en-GB" w:eastAsia="en-AU"/>
        </w:rPr>
        <w:t>the changes given effect on 1 October 2019 through the</w:t>
      </w:r>
      <w:r w:rsidR="000233D2" w:rsidRPr="00B105DD">
        <w:t xml:space="preserve"> </w:t>
      </w:r>
      <w:r w:rsidR="000233D2" w:rsidRPr="00B105DD">
        <w:rPr>
          <w:rFonts w:eastAsia="Times New Roman"/>
          <w:i/>
          <w:lang w:val="en-GB" w:eastAsia="en-AU"/>
        </w:rPr>
        <w:t xml:space="preserve">National Health (Commonwealth Price – Pharmaceutical Benefits Supplied </w:t>
      </w:r>
      <w:proofErr w:type="gramStart"/>
      <w:r w:rsidR="00B9634D" w:rsidRPr="00B105DD">
        <w:rPr>
          <w:rFonts w:eastAsia="Times New Roman"/>
          <w:i/>
          <w:lang w:val="en-GB" w:eastAsia="en-AU"/>
        </w:rPr>
        <w:t>B</w:t>
      </w:r>
      <w:r w:rsidR="000233D2" w:rsidRPr="00B105DD">
        <w:rPr>
          <w:rFonts w:eastAsia="Times New Roman"/>
          <w:i/>
          <w:lang w:val="en-GB" w:eastAsia="en-AU"/>
        </w:rPr>
        <w:t>y</w:t>
      </w:r>
      <w:proofErr w:type="gramEnd"/>
      <w:r w:rsidR="000233D2" w:rsidRPr="00B105DD">
        <w:rPr>
          <w:rFonts w:eastAsia="Times New Roman"/>
          <w:i/>
          <w:lang w:val="en-GB" w:eastAsia="en-AU"/>
        </w:rPr>
        <w:t xml:space="preserve"> Public Hospitals) Amendment (Budget Measure) Determination 2019</w:t>
      </w:r>
      <w:r w:rsidRPr="00B105DD">
        <w:rPr>
          <w:rFonts w:eastAsia="Times New Roman"/>
          <w:lang w:val="en-GB" w:eastAsia="en-AU"/>
        </w:rPr>
        <w:t>.</w:t>
      </w:r>
      <w:r w:rsidR="000233D2" w:rsidRPr="00B105DD">
        <w:rPr>
          <w:rFonts w:eastAsia="Times New Roman"/>
          <w:lang w:val="en-GB" w:eastAsia="en-AU"/>
        </w:rPr>
        <w:t xml:space="preserve"> </w:t>
      </w:r>
      <w:r w:rsidRPr="00B105DD">
        <w:rPr>
          <w:rFonts w:eastAsia="Times New Roman"/>
          <w:lang w:val="en-GB" w:eastAsia="en-AU"/>
        </w:rPr>
        <w:t>Some minor and technical changes have</w:t>
      </w:r>
      <w:r w:rsidR="000233D2" w:rsidRPr="00B105DD">
        <w:rPr>
          <w:rFonts w:eastAsia="Times New Roman"/>
          <w:lang w:val="en-GB" w:eastAsia="en-AU"/>
        </w:rPr>
        <w:t xml:space="preserve"> also</w:t>
      </w:r>
      <w:r w:rsidRPr="00B105DD">
        <w:rPr>
          <w:rFonts w:eastAsia="Times New Roman"/>
          <w:lang w:val="en-GB" w:eastAsia="en-AU"/>
        </w:rPr>
        <w:t xml:space="preserve"> been made</w:t>
      </w:r>
      <w:r w:rsidR="000233D2" w:rsidRPr="00B105DD">
        <w:rPr>
          <w:rFonts w:eastAsia="Times New Roman"/>
          <w:lang w:val="en-GB" w:eastAsia="en-AU"/>
        </w:rPr>
        <w:t xml:space="preserve"> in the </w:t>
      </w:r>
      <w:r w:rsidR="00A429AA" w:rsidRPr="00B105DD">
        <w:rPr>
          <w:rFonts w:eastAsia="Times New Roman"/>
          <w:lang w:val="en-GB" w:eastAsia="en-AU"/>
        </w:rPr>
        <w:t xml:space="preserve">Amendment </w:t>
      </w:r>
      <w:r w:rsidR="000233D2" w:rsidRPr="00B105DD">
        <w:rPr>
          <w:rFonts w:eastAsia="Times New Roman"/>
          <w:lang w:val="en-GB" w:eastAsia="en-AU"/>
        </w:rPr>
        <w:t>Determination</w:t>
      </w:r>
      <w:r w:rsidRPr="00B105DD">
        <w:rPr>
          <w:rFonts w:eastAsia="Times New Roman"/>
          <w:lang w:val="en-GB" w:eastAsia="en-AU"/>
        </w:rPr>
        <w:t xml:space="preserve"> to clarify existing policy</w:t>
      </w:r>
      <w:r w:rsidR="000233D2" w:rsidRPr="00B105DD">
        <w:rPr>
          <w:rFonts w:eastAsia="Times New Roman"/>
          <w:lang w:val="en-GB" w:eastAsia="en-AU"/>
        </w:rPr>
        <w:t xml:space="preserve"> and</w:t>
      </w:r>
      <w:r w:rsidRPr="00B105DD">
        <w:rPr>
          <w:rFonts w:eastAsia="Times New Roman"/>
          <w:lang w:val="en-GB" w:eastAsia="en-AU"/>
        </w:rPr>
        <w:t xml:space="preserve"> updat</w:t>
      </w:r>
      <w:r w:rsidR="000233D2" w:rsidRPr="00B105DD">
        <w:rPr>
          <w:rFonts w:eastAsia="Times New Roman"/>
          <w:lang w:val="en-GB" w:eastAsia="en-AU"/>
        </w:rPr>
        <w:t>e</w:t>
      </w:r>
      <w:r w:rsidRPr="00B105DD">
        <w:rPr>
          <w:rFonts w:eastAsia="Times New Roman"/>
          <w:lang w:val="en-GB" w:eastAsia="en-AU"/>
        </w:rPr>
        <w:t xml:space="preserve"> obsolete and incorrect references</w:t>
      </w:r>
      <w:r w:rsidR="00510850" w:rsidRPr="00B105DD">
        <w:rPr>
          <w:rFonts w:eastAsia="Times New Roman"/>
          <w:lang w:val="en-GB" w:eastAsia="en-AU"/>
        </w:rPr>
        <w:t>.</w:t>
      </w:r>
      <w:r w:rsidRPr="00B105DD">
        <w:rPr>
          <w:rFonts w:eastAsia="Times New Roman"/>
          <w:lang w:val="en-GB" w:eastAsia="en-AU"/>
        </w:rPr>
        <w:t xml:space="preserve"> </w:t>
      </w:r>
    </w:p>
    <w:p w14:paraId="4F418F3D" w14:textId="77777777" w:rsidR="001467A9" w:rsidRPr="00B105DD" w:rsidRDefault="001467A9" w:rsidP="001E28CE">
      <w:pPr>
        <w:shd w:val="clear" w:color="auto" w:fill="FFFFFF"/>
        <w:spacing w:before="120" w:after="180" w:line="240" w:lineRule="auto"/>
        <w:rPr>
          <w:rFonts w:eastAsia="Times New Roman"/>
          <w:lang w:eastAsia="en-AU"/>
        </w:rPr>
      </w:pPr>
      <w:r w:rsidRPr="00B105DD">
        <w:rPr>
          <w:rFonts w:eastAsia="Times New Roman"/>
          <w:b/>
          <w:bCs/>
          <w:lang w:eastAsia="en-AU"/>
        </w:rPr>
        <w:t>Human rights implications</w:t>
      </w:r>
    </w:p>
    <w:p w14:paraId="2120E78F" w14:textId="77777777" w:rsidR="00EA7676" w:rsidRPr="00B105DD" w:rsidRDefault="00EA7676" w:rsidP="00EA7676">
      <w:pPr>
        <w:shd w:val="clear" w:color="auto" w:fill="FFFFFF"/>
        <w:spacing w:before="120" w:after="180" w:line="240" w:lineRule="auto"/>
        <w:rPr>
          <w:rFonts w:eastAsia="Times New Roman"/>
          <w:lang w:val="en-GB" w:eastAsia="en-AU"/>
        </w:rPr>
      </w:pPr>
      <w:r w:rsidRPr="00B105DD">
        <w:rPr>
          <w:rFonts w:eastAsia="Times New Roman"/>
          <w:lang w:val="en-GB" w:eastAsia="en-AU"/>
        </w:rPr>
        <w:t xml:space="preserve">The Amendment Determination engages article 12 of the International Covenant on Economic Social and Cultural Rights (ICESCR), specifically the rights to health. </w:t>
      </w:r>
    </w:p>
    <w:p w14:paraId="06602EF9" w14:textId="77777777" w:rsidR="00EA7676" w:rsidRPr="00B105DD" w:rsidRDefault="00EA7676" w:rsidP="00EA7676">
      <w:pPr>
        <w:shd w:val="clear" w:color="auto" w:fill="FFFFFF"/>
        <w:spacing w:before="120" w:after="180" w:line="240" w:lineRule="auto"/>
        <w:rPr>
          <w:rFonts w:eastAsia="Times New Roman"/>
          <w:i/>
          <w:lang w:val="en-GB" w:eastAsia="en-AU"/>
        </w:rPr>
      </w:pPr>
      <w:r w:rsidRPr="00B105DD">
        <w:rPr>
          <w:rFonts w:eastAsia="Times New Roman"/>
          <w:i/>
          <w:lang w:val="en-GB" w:eastAsia="en-AU"/>
        </w:rPr>
        <w:t>Right to Health</w:t>
      </w:r>
    </w:p>
    <w:p w14:paraId="32F6A7A7" w14:textId="77777777" w:rsidR="00EA7676" w:rsidRPr="00B105DD" w:rsidRDefault="00EA7676" w:rsidP="00EA7676">
      <w:pPr>
        <w:shd w:val="clear" w:color="auto" w:fill="FFFFFF"/>
        <w:spacing w:before="120" w:after="180" w:line="240" w:lineRule="auto"/>
        <w:rPr>
          <w:rFonts w:eastAsia="Times New Roman"/>
          <w:lang w:val="en-GB" w:eastAsia="en-AU"/>
        </w:rPr>
      </w:pPr>
      <w:r w:rsidRPr="00B105DD">
        <w:rPr>
          <w:rFonts w:eastAsia="Times New Roman"/>
          <w:lang w:val="en-GB" w:eastAsia="en-AU"/>
        </w:rPr>
        <w:t>The right to health – the right to the enjoyment of the highest attainable standard of physical and mental health – is contained in article 12(1) of the ICESCR. Whilst the UN Committee on Economic</w:t>
      </w:r>
      <w:r w:rsidR="0037664E" w:rsidRPr="00B105DD">
        <w:rPr>
          <w:rFonts w:eastAsia="Times New Roman"/>
          <w:lang w:val="en-GB" w:eastAsia="en-AU"/>
        </w:rPr>
        <w:t>,</w:t>
      </w:r>
      <w:r w:rsidRPr="00B105DD">
        <w:rPr>
          <w:rFonts w:eastAsia="Times New Roman"/>
          <w:lang w:val="en-GB" w:eastAsia="en-AU"/>
        </w:rPr>
        <w:t xml:space="preserve"> Social and Cultural Rights has stated that the right to health is not to be understood as a right to be healthy, it does entail a right to a system of health protection which provides equality of opportunity for people to enjoy the highest attainable level of health. In addition, the right to health must meet certain key requirements, including health care must be scientifically and medically appropriate and of good quality.</w:t>
      </w:r>
    </w:p>
    <w:p w14:paraId="3B8A770D" w14:textId="77777777" w:rsidR="00EA7676" w:rsidRPr="00B105DD" w:rsidRDefault="00EA7676" w:rsidP="00A16179">
      <w:pPr>
        <w:spacing w:before="100" w:beforeAutospacing="1" w:after="100" w:afterAutospacing="1" w:line="276" w:lineRule="auto"/>
        <w:rPr>
          <w:rFonts w:ascii="Tms Rmn" w:eastAsia="Times New Roman" w:hAnsi="Tms Rmn"/>
          <w:lang w:val="en-US" w:eastAsia="en-AU"/>
        </w:rPr>
      </w:pPr>
      <w:r w:rsidRPr="00B105DD">
        <w:rPr>
          <w:rFonts w:ascii="Tms Rmn" w:eastAsia="Times New Roman" w:hAnsi="Tms Rmn"/>
          <w:i/>
          <w:iCs/>
          <w:lang w:eastAsia="en-AU"/>
        </w:rPr>
        <w:t xml:space="preserve">Analysis </w:t>
      </w:r>
    </w:p>
    <w:p w14:paraId="4A060F34" w14:textId="77777777" w:rsidR="000233D2" w:rsidRPr="00B105DD" w:rsidRDefault="000233D2" w:rsidP="000233D2">
      <w:pPr>
        <w:shd w:val="clear" w:color="auto" w:fill="FFFFFF"/>
        <w:spacing w:before="120" w:after="180" w:line="240" w:lineRule="auto"/>
        <w:rPr>
          <w:rFonts w:eastAsia="Times New Roman"/>
          <w:lang w:val="en-GB" w:eastAsia="en-AU"/>
        </w:rPr>
      </w:pPr>
      <w:r w:rsidRPr="00B105DD">
        <w:rPr>
          <w:rFonts w:eastAsia="Times New Roman"/>
          <w:lang w:val="en-GB" w:eastAsia="en-AU"/>
        </w:rPr>
        <w:t xml:space="preserve">The </w:t>
      </w:r>
      <w:r w:rsidR="00A429AA" w:rsidRPr="00B105DD">
        <w:rPr>
          <w:rFonts w:eastAsia="Times New Roman"/>
          <w:lang w:val="en-GB" w:eastAsia="en-AU"/>
        </w:rPr>
        <w:t xml:space="preserve">Amendment </w:t>
      </w:r>
      <w:r w:rsidRPr="00B105DD">
        <w:rPr>
          <w:rFonts w:eastAsia="Times New Roman"/>
          <w:lang w:val="en-GB" w:eastAsia="en-AU"/>
        </w:rPr>
        <w:t xml:space="preserve">Determination ensures that </w:t>
      </w:r>
      <w:r w:rsidR="002B5FBF" w:rsidRPr="00B105DD">
        <w:rPr>
          <w:rFonts w:eastAsia="Times New Roman"/>
          <w:lang w:val="en-GB" w:eastAsia="en-AU"/>
        </w:rPr>
        <w:t>the calculation of</w:t>
      </w:r>
      <w:r w:rsidRPr="00B105DD">
        <w:rPr>
          <w:rFonts w:eastAsia="Times New Roman"/>
          <w:lang w:val="en-GB" w:eastAsia="en-AU"/>
        </w:rPr>
        <w:t xml:space="preserve"> the dispensed price for pharmaceutical benefits supplied in public and private hospitals will remain</w:t>
      </w:r>
      <w:r w:rsidR="002B5FBF" w:rsidRPr="00B105DD">
        <w:rPr>
          <w:rFonts w:eastAsia="Times New Roman"/>
          <w:lang w:val="en-GB" w:eastAsia="en-AU"/>
        </w:rPr>
        <w:t xml:space="preserve"> aligned with </w:t>
      </w:r>
      <w:r w:rsidRPr="00B105DD">
        <w:rPr>
          <w:rFonts w:eastAsia="Times New Roman"/>
          <w:lang w:val="en-GB" w:eastAsia="en-AU"/>
        </w:rPr>
        <w:t xml:space="preserve">the </w:t>
      </w:r>
      <w:r w:rsidR="002B5FBF" w:rsidRPr="00B105DD">
        <w:rPr>
          <w:rFonts w:eastAsia="Times New Roman"/>
          <w:lang w:val="en-GB" w:eastAsia="en-AU"/>
        </w:rPr>
        <w:t xml:space="preserve">corresponding </w:t>
      </w:r>
      <w:r w:rsidRPr="00B105DD">
        <w:rPr>
          <w:rFonts w:eastAsia="Times New Roman"/>
          <w:lang w:val="en-GB" w:eastAsia="en-AU"/>
        </w:rPr>
        <w:t xml:space="preserve">calculations that apply in community pharmacy. </w:t>
      </w:r>
    </w:p>
    <w:p w14:paraId="658223CB" w14:textId="77777777" w:rsidR="000233D2" w:rsidRPr="00B105DD" w:rsidRDefault="002B5FBF">
      <w:pPr>
        <w:shd w:val="clear" w:color="auto" w:fill="FFFFFF"/>
        <w:spacing w:before="120" w:after="180" w:line="240" w:lineRule="auto"/>
        <w:rPr>
          <w:rFonts w:eastAsia="Times New Roman"/>
          <w:lang w:val="en-GB" w:eastAsia="en-AU"/>
        </w:rPr>
      </w:pPr>
      <w:r w:rsidRPr="00B105DD">
        <w:rPr>
          <w:rFonts w:eastAsia="Times New Roman"/>
          <w:lang w:val="en-GB" w:eastAsia="en-AU"/>
        </w:rPr>
        <w:t xml:space="preserve">More broadly, the PBS is a benefit scheme that provides subsidised access to medicines for people in the Australian community. The </w:t>
      </w:r>
      <w:r w:rsidR="00A429AA" w:rsidRPr="00B105DD">
        <w:rPr>
          <w:rFonts w:eastAsia="Times New Roman"/>
          <w:lang w:val="en-GB" w:eastAsia="en-AU"/>
        </w:rPr>
        <w:t xml:space="preserve">Amendment </w:t>
      </w:r>
      <w:r w:rsidRPr="00B105DD">
        <w:rPr>
          <w:rFonts w:eastAsia="Times New Roman"/>
          <w:lang w:val="en-GB" w:eastAsia="en-AU"/>
        </w:rPr>
        <w:t>Determination engages Articles 2 and 12 of the International Covenant on Economic, Social and Cultural Rights (ICESCR)</w:t>
      </w:r>
      <w:r w:rsidR="000233D2" w:rsidRPr="00B105DD">
        <w:rPr>
          <w:rFonts w:eastAsia="Times New Roman"/>
          <w:lang w:val="en-GB" w:eastAsia="en-AU"/>
        </w:rPr>
        <w:t xml:space="preserve">, as it is a positive step towards attaining the highest standard of health for all Australians. Efficient operational arrangements for the PBS support effective administration of the scheme. In addition, it also assists in the progressive realisation by all appropriate means of the right of everyone to the enjoyment of the highest attainable standard of </w:t>
      </w:r>
      <w:r w:rsidRPr="00B105DD">
        <w:rPr>
          <w:rFonts w:eastAsia="Times New Roman"/>
          <w:lang w:val="en-GB" w:eastAsia="en-AU"/>
        </w:rPr>
        <w:t xml:space="preserve">physical and mental health. </w:t>
      </w:r>
      <w:r w:rsidRPr="00B105DD">
        <w:rPr>
          <w:rFonts w:eastAsia="Times New Roman"/>
          <w:lang w:val="en-GB" w:eastAsia="en-AU"/>
        </w:rPr>
        <w:lastRenderedPageBreak/>
        <w:t>The</w:t>
      </w:r>
      <w:r w:rsidR="00EA7676" w:rsidRPr="00B105DD">
        <w:rPr>
          <w:rFonts w:eastAsia="Times New Roman"/>
          <w:lang w:val="en-GB" w:eastAsia="en-AU"/>
        </w:rPr>
        <w:t xml:space="preserve"> effect of the</w:t>
      </w:r>
      <w:r w:rsidRPr="00B105DD">
        <w:rPr>
          <w:rFonts w:eastAsia="Times New Roman"/>
          <w:lang w:val="en-GB" w:eastAsia="en-AU"/>
        </w:rPr>
        <w:t> </w:t>
      </w:r>
      <w:r w:rsidR="00A429AA" w:rsidRPr="00B105DD">
        <w:rPr>
          <w:rFonts w:eastAsia="Times New Roman"/>
          <w:lang w:val="en-GB" w:eastAsia="en-AU"/>
        </w:rPr>
        <w:t xml:space="preserve">Amendment </w:t>
      </w:r>
      <w:r w:rsidR="000233D2" w:rsidRPr="00B105DD">
        <w:rPr>
          <w:rFonts w:eastAsia="Times New Roman"/>
          <w:lang w:val="en-GB" w:eastAsia="en-AU"/>
        </w:rPr>
        <w:t>Determination is to ensure that legislative pro</w:t>
      </w:r>
      <w:r w:rsidRPr="00B105DD">
        <w:rPr>
          <w:rFonts w:eastAsia="Times New Roman"/>
          <w:lang w:val="en-GB" w:eastAsia="en-AU"/>
        </w:rPr>
        <w:t xml:space="preserve">visions reflect arrangements </w:t>
      </w:r>
      <w:r w:rsidR="000233D2" w:rsidRPr="00B105DD">
        <w:rPr>
          <w:rFonts w:eastAsia="Times New Roman"/>
          <w:lang w:val="en-GB" w:eastAsia="en-AU"/>
        </w:rPr>
        <w:t xml:space="preserve">agreed by Government. </w:t>
      </w:r>
    </w:p>
    <w:p w14:paraId="4CA3FDC9" w14:textId="77777777" w:rsidR="001467A9" w:rsidRPr="00B105DD" w:rsidRDefault="001467A9" w:rsidP="001467A9">
      <w:pPr>
        <w:shd w:val="clear" w:color="auto" w:fill="FFFFFF"/>
        <w:spacing w:before="180" w:after="180" w:line="240" w:lineRule="auto"/>
        <w:rPr>
          <w:rFonts w:eastAsia="Times New Roman"/>
          <w:lang w:eastAsia="en-AU"/>
        </w:rPr>
      </w:pPr>
      <w:r w:rsidRPr="00B105DD">
        <w:rPr>
          <w:rFonts w:eastAsia="Times New Roman"/>
          <w:b/>
          <w:bCs/>
          <w:lang w:eastAsia="en-AU"/>
        </w:rPr>
        <w:t>Conclusion</w:t>
      </w:r>
    </w:p>
    <w:p w14:paraId="4A4BD618" w14:textId="77777777" w:rsidR="001467A9" w:rsidRPr="00B105DD" w:rsidRDefault="001467A9" w:rsidP="001467A9">
      <w:pPr>
        <w:shd w:val="clear" w:color="auto" w:fill="FFFFFF"/>
        <w:spacing w:before="120" w:after="240" w:line="240" w:lineRule="auto"/>
        <w:rPr>
          <w:rFonts w:eastAsia="Times New Roman"/>
          <w:lang w:eastAsia="en-AU"/>
        </w:rPr>
      </w:pPr>
      <w:r w:rsidRPr="00B105DD">
        <w:rPr>
          <w:rFonts w:eastAsia="Times New Roman"/>
          <w:lang w:eastAsia="en-AU"/>
        </w:rPr>
        <w:t>The</w:t>
      </w:r>
      <w:r w:rsidR="009471E7" w:rsidRPr="00B105DD">
        <w:rPr>
          <w:rFonts w:eastAsia="Times New Roman"/>
          <w:lang w:eastAsia="en-AU"/>
        </w:rPr>
        <w:t xml:space="preserve"> </w:t>
      </w:r>
      <w:r w:rsidR="00A429AA" w:rsidRPr="00B105DD">
        <w:rPr>
          <w:rFonts w:eastAsia="Times New Roman"/>
          <w:lang w:eastAsia="en-AU"/>
        </w:rPr>
        <w:t>Amendment Determination</w:t>
      </w:r>
      <w:r w:rsidR="00785FD1" w:rsidRPr="00B105DD">
        <w:rPr>
          <w:rFonts w:eastAsia="Times New Roman"/>
          <w:lang w:eastAsia="en-AU"/>
        </w:rPr>
        <w:t xml:space="preserve"> is compatible with human rights </w:t>
      </w:r>
      <w:r w:rsidR="00EA7676" w:rsidRPr="00B105DD">
        <w:rPr>
          <w:rFonts w:eastAsia="Times New Roman"/>
          <w:lang w:eastAsia="en-AU"/>
        </w:rPr>
        <w:t>because it supports the protection of human rights, in particular the right to health</w:t>
      </w:r>
      <w:r w:rsidRPr="00B105DD">
        <w:rPr>
          <w:rFonts w:eastAsia="Times New Roman"/>
          <w:lang w:eastAsia="en-AU"/>
        </w:rPr>
        <w:t>.</w:t>
      </w:r>
    </w:p>
    <w:p w14:paraId="5A613AE6" w14:textId="77777777" w:rsidR="001467A9" w:rsidRPr="00B105DD" w:rsidRDefault="001467A9" w:rsidP="001467A9">
      <w:pPr>
        <w:shd w:val="clear" w:color="auto" w:fill="FFFFFF"/>
        <w:spacing w:before="120" w:after="240" w:line="240" w:lineRule="auto"/>
        <w:rPr>
          <w:rFonts w:eastAsia="Times New Roman"/>
          <w:lang w:eastAsia="en-AU"/>
        </w:rPr>
      </w:pPr>
      <w:r w:rsidRPr="00B105DD">
        <w:rPr>
          <w:rFonts w:eastAsia="Times New Roman"/>
          <w:lang w:eastAsia="en-AU"/>
        </w:rPr>
        <w:t> </w:t>
      </w:r>
    </w:p>
    <w:p w14:paraId="5F1D5DC6" w14:textId="77777777" w:rsidR="001467A9" w:rsidRPr="00B105DD" w:rsidRDefault="009B56FB" w:rsidP="001467A9">
      <w:pPr>
        <w:shd w:val="clear" w:color="auto" w:fill="FFFFFF"/>
        <w:spacing w:after="0" w:line="240" w:lineRule="auto"/>
        <w:jc w:val="center"/>
        <w:rPr>
          <w:rFonts w:eastAsia="Times New Roman"/>
          <w:lang w:eastAsia="en-AU"/>
        </w:rPr>
      </w:pPr>
      <w:r w:rsidRPr="00B105DD">
        <w:rPr>
          <w:rFonts w:eastAsia="Times New Roman"/>
          <w:b/>
          <w:bCs/>
          <w:lang w:eastAsia="en-AU"/>
        </w:rPr>
        <w:t>Thea Connolly</w:t>
      </w:r>
    </w:p>
    <w:p w14:paraId="04A35511" w14:textId="77777777" w:rsidR="001467A9" w:rsidRPr="00B105DD" w:rsidRDefault="003A6642" w:rsidP="001467A9">
      <w:pPr>
        <w:shd w:val="clear" w:color="auto" w:fill="FFFFFF"/>
        <w:spacing w:after="0" w:line="240" w:lineRule="auto"/>
        <w:jc w:val="center"/>
        <w:rPr>
          <w:rFonts w:eastAsia="Times New Roman"/>
          <w:lang w:eastAsia="en-AU"/>
        </w:rPr>
      </w:pPr>
      <w:r w:rsidRPr="00B105DD">
        <w:rPr>
          <w:rFonts w:eastAsia="Times New Roman"/>
          <w:b/>
          <w:bCs/>
          <w:lang w:eastAsia="en-AU"/>
        </w:rPr>
        <w:t xml:space="preserve">Acting First </w:t>
      </w:r>
      <w:r w:rsidR="001467A9" w:rsidRPr="00B105DD">
        <w:rPr>
          <w:rFonts w:eastAsia="Times New Roman"/>
          <w:b/>
          <w:bCs/>
          <w:lang w:eastAsia="en-AU"/>
        </w:rPr>
        <w:t>Assistant Secretary</w:t>
      </w:r>
    </w:p>
    <w:p w14:paraId="09032261" w14:textId="77777777" w:rsidR="001467A9" w:rsidRPr="00B105DD" w:rsidRDefault="001467A9" w:rsidP="001467A9">
      <w:pPr>
        <w:shd w:val="clear" w:color="auto" w:fill="FFFFFF"/>
        <w:spacing w:after="0" w:line="240" w:lineRule="auto"/>
        <w:jc w:val="center"/>
        <w:rPr>
          <w:rFonts w:eastAsia="Times New Roman"/>
          <w:lang w:eastAsia="en-AU"/>
        </w:rPr>
      </w:pPr>
      <w:r w:rsidRPr="00B105DD">
        <w:rPr>
          <w:rFonts w:eastAsia="Times New Roman"/>
          <w:b/>
          <w:bCs/>
          <w:lang w:eastAsia="en-AU"/>
        </w:rPr>
        <w:t>Technology Assessment and Access Division</w:t>
      </w:r>
    </w:p>
    <w:p w14:paraId="584A955D" w14:textId="77777777" w:rsidR="00E40F4A" w:rsidRPr="00B06B5D" w:rsidRDefault="001467A9" w:rsidP="001467A9">
      <w:pPr>
        <w:jc w:val="center"/>
        <w:rPr>
          <w:b/>
        </w:rPr>
      </w:pPr>
      <w:r w:rsidRPr="00B105DD">
        <w:rPr>
          <w:rFonts w:eastAsia="Times New Roman"/>
          <w:b/>
          <w:bCs/>
          <w:lang w:eastAsia="en-AU"/>
        </w:rPr>
        <w:t>Department of Health</w:t>
      </w:r>
      <w:bookmarkStart w:id="2" w:name="_GoBack"/>
      <w:bookmarkEnd w:id="2"/>
    </w:p>
    <w:sectPr w:rsidR="00E40F4A" w:rsidRPr="00B06B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D00"/>
    <w:multiLevelType w:val="hybridMultilevel"/>
    <w:tmpl w:val="F57E9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A24E51"/>
    <w:multiLevelType w:val="multilevel"/>
    <w:tmpl w:val="9746F7EA"/>
    <w:lvl w:ilvl="0">
      <w:start w:val="1"/>
      <w:numFmt w:val="bullet"/>
      <w:lvlText w:val=""/>
      <w:lvlJc w:val="left"/>
      <w:pPr>
        <w:tabs>
          <w:tab w:val="num" w:pos="425"/>
        </w:tabs>
        <w:ind w:left="425" w:hanging="425"/>
      </w:pPr>
      <w:rPr>
        <w:rFonts w:ascii="Symbol" w:hAnsi="Symbol" w:hint="default"/>
        <w:b/>
        <w:i w:val="0"/>
      </w:rPr>
    </w:lvl>
    <w:lvl w:ilvl="1">
      <w:start w:val="1"/>
      <w:numFmt w:val="bullet"/>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ascii="Symbol" w:hAnsi="Symbol"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 w15:restartNumberingAfterBreak="0">
    <w:nsid w:val="17B645BD"/>
    <w:multiLevelType w:val="multilevel"/>
    <w:tmpl w:val="9746F7EA"/>
    <w:lvl w:ilvl="0">
      <w:start w:val="1"/>
      <w:numFmt w:val="bullet"/>
      <w:lvlText w:val=""/>
      <w:lvlJc w:val="left"/>
      <w:pPr>
        <w:tabs>
          <w:tab w:val="num" w:pos="785"/>
        </w:tabs>
        <w:ind w:left="785" w:hanging="425"/>
      </w:pPr>
      <w:rPr>
        <w:rFonts w:ascii="Symbol" w:hAnsi="Symbol" w:hint="default"/>
        <w:b/>
        <w:i w:val="0"/>
      </w:rPr>
    </w:lvl>
    <w:lvl w:ilvl="1">
      <w:start w:val="1"/>
      <w:numFmt w:val="bullet"/>
      <w:lvlText w:val=""/>
      <w:lvlJc w:val="left"/>
      <w:pPr>
        <w:tabs>
          <w:tab w:val="num" w:pos="785"/>
        </w:tabs>
        <w:ind w:left="785" w:hanging="425"/>
      </w:pPr>
      <w:rPr>
        <w:rFonts w:ascii="Symbol" w:hAnsi="Symbol" w:hint="default"/>
        <w:b/>
        <w:i w:val="0"/>
      </w:rPr>
    </w:lvl>
    <w:lvl w:ilvl="2">
      <w:start w:val="1"/>
      <w:numFmt w:val="bullet"/>
      <w:lvlText w:val=""/>
      <w:lvlJc w:val="left"/>
      <w:pPr>
        <w:tabs>
          <w:tab w:val="num" w:pos="1210"/>
        </w:tabs>
        <w:ind w:left="1210" w:hanging="425"/>
      </w:pPr>
      <w:rPr>
        <w:rFonts w:ascii="Symbol" w:hAnsi="Symbol" w:hint="default"/>
        <w:b w:val="0"/>
        <w:i w:val="0"/>
      </w:rPr>
    </w:lvl>
    <w:lvl w:ilvl="3">
      <w:start w:val="1"/>
      <w:numFmt w:val="bullet"/>
      <w:lvlText w:val="–"/>
      <w:lvlJc w:val="left"/>
      <w:pPr>
        <w:tabs>
          <w:tab w:val="num" w:pos="1636"/>
        </w:tabs>
        <w:ind w:left="1636" w:hanging="426"/>
      </w:pPr>
      <w:rPr>
        <w:rFonts w:hint="default"/>
        <w:b w:val="0"/>
        <w:i w:val="0"/>
      </w:rPr>
    </w:lvl>
    <w:lvl w:ilvl="4">
      <w:start w:val="1"/>
      <w:numFmt w:val="bullet"/>
      <w:lvlText w:val="–"/>
      <w:lvlJc w:val="left"/>
      <w:pPr>
        <w:tabs>
          <w:tab w:val="num" w:pos="2061"/>
        </w:tabs>
        <w:ind w:left="2061" w:hanging="425"/>
      </w:pPr>
      <w:rPr>
        <w:rFonts w:hint="default"/>
        <w:b w:val="0"/>
        <w:i w:val="0"/>
      </w:rPr>
    </w:lvl>
    <w:lvl w:ilvl="5">
      <w:start w:val="1"/>
      <w:numFmt w:val="bullet"/>
      <w:lvlText w:val="–"/>
      <w:lvlJc w:val="left"/>
      <w:pPr>
        <w:tabs>
          <w:tab w:val="num" w:pos="2486"/>
        </w:tabs>
        <w:ind w:left="2486" w:hanging="425"/>
      </w:pPr>
      <w:rPr>
        <w:rFonts w:hint="default"/>
        <w:b w:val="0"/>
        <w:i w:val="0"/>
      </w:rPr>
    </w:lvl>
    <w:lvl w:ilvl="6">
      <w:start w:val="1"/>
      <w:numFmt w:val="bullet"/>
      <w:lvlText w:val="–"/>
      <w:lvlJc w:val="left"/>
      <w:pPr>
        <w:tabs>
          <w:tab w:val="num" w:pos="2911"/>
        </w:tabs>
        <w:ind w:left="2911" w:hanging="425"/>
      </w:pPr>
      <w:rPr>
        <w:rFonts w:hint="default"/>
        <w:b w:val="0"/>
        <w:i w:val="0"/>
      </w:rPr>
    </w:lvl>
    <w:lvl w:ilvl="7">
      <w:start w:val="1"/>
      <w:numFmt w:val="bullet"/>
      <w:lvlText w:val="–"/>
      <w:lvlJc w:val="left"/>
      <w:pPr>
        <w:tabs>
          <w:tab w:val="num" w:pos="3336"/>
        </w:tabs>
        <w:ind w:left="3336" w:hanging="425"/>
      </w:pPr>
      <w:rPr>
        <w:rFonts w:hint="default"/>
        <w:b w:val="0"/>
        <w:i w:val="0"/>
      </w:rPr>
    </w:lvl>
    <w:lvl w:ilvl="8">
      <w:start w:val="1"/>
      <w:numFmt w:val="bullet"/>
      <w:lvlText w:val="–"/>
      <w:lvlJc w:val="left"/>
      <w:pPr>
        <w:tabs>
          <w:tab w:val="num" w:pos="3762"/>
        </w:tabs>
        <w:ind w:left="3762" w:hanging="426"/>
      </w:pPr>
      <w:rPr>
        <w:rFonts w:hint="default"/>
        <w:b w:val="0"/>
        <w:i w:val="0"/>
      </w:rPr>
    </w:lvl>
  </w:abstractNum>
  <w:abstractNum w:abstractNumId="3" w15:restartNumberingAfterBreak="0">
    <w:nsid w:val="28934A6B"/>
    <w:multiLevelType w:val="multilevel"/>
    <w:tmpl w:val="D494DAFC"/>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4" w15:restartNumberingAfterBreak="0">
    <w:nsid w:val="7EBA7720"/>
    <w:multiLevelType w:val="hybridMultilevel"/>
    <w:tmpl w:val="E3189ED0"/>
    <w:lvl w:ilvl="0" w:tplc="21BC89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4A"/>
    <w:rsid w:val="000178C6"/>
    <w:rsid w:val="000233D2"/>
    <w:rsid w:val="000260E3"/>
    <w:rsid w:val="00035DB3"/>
    <w:rsid w:val="00045080"/>
    <w:rsid w:val="00045087"/>
    <w:rsid w:val="0007588C"/>
    <w:rsid w:val="000924D7"/>
    <w:rsid w:val="000B6444"/>
    <w:rsid w:val="000C48BE"/>
    <w:rsid w:val="000D5107"/>
    <w:rsid w:val="00107456"/>
    <w:rsid w:val="00115A34"/>
    <w:rsid w:val="00122313"/>
    <w:rsid w:val="0013744E"/>
    <w:rsid w:val="00143FC4"/>
    <w:rsid w:val="001467A9"/>
    <w:rsid w:val="00161DCC"/>
    <w:rsid w:val="00173B23"/>
    <w:rsid w:val="00174160"/>
    <w:rsid w:val="0018612C"/>
    <w:rsid w:val="00190CB1"/>
    <w:rsid w:val="001A749C"/>
    <w:rsid w:val="001B03A7"/>
    <w:rsid w:val="001C7FED"/>
    <w:rsid w:val="001E28CE"/>
    <w:rsid w:val="001F14BD"/>
    <w:rsid w:val="001F3A90"/>
    <w:rsid w:val="00211037"/>
    <w:rsid w:val="00212E3F"/>
    <w:rsid w:val="00243F7D"/>
    <w:rsid w:val="00245788"/>
    <w:rsid w:val="002578C6"/>
    <w:rsid w:val="00280050"/>
    <w:rsid w:val="002806EA"/>
    <w:rsid w:val="0028699B"/>
    <w:rsid w:val="002A4881"/>
    <w:rsid w:val="002B5FBF"/>
    <w:rsid w:val="002C505C"/>
    <w:rsid w:val="002C5476"/>
    <w:rsid w:val="00300DC2"/>
    <w:rsid w:val="00311288"/>
    <w:rsid w:val="00312E55"/>
    <w:rsid w:val="00331C2B"/>
    <w:rsid w:val="00332838"/>
    <w:rsid w:val="00351C3D"/>
    <w:rsid w:val="003561DB"/>
    <w:rsid w:val="00370205"/>
    <w:rsid w:val="0037664E"/>
    <w:rsid w:val="00381735"/>
    <w:rsid w:val="00384616"/>
    <w:rsid w:val="003A1729"/>
    <w:rsid w:val="003A6642"/>
    <w:rsid w:val="003B2A6B"/>
    <w:rsid w:val="003D2E7A"/>
    <w:rsid w:val="0041670F"/>
    <w:rsid w:val="00433FC6"/>
    <w:rsid w:val="00440FCF"/>
    <w:rsid w:val="00452724"/>
    <w:rsid w:val="00461D31"/>
    <w:rsid w:val="00471807"/>
    <w:rsid w:val="00475975"/>
    <w:rsid w:val="004839D9"/>
    <w:rsid w:val="004870CA"/>
    <w:rsid w:val="004A76B4"/>
    <w:rsid w:val="004B2F7B"/>
    <w:rsid w:val="004D5D4E"/>
    <w:rsid w:val="004E0B34"/>
    <w:rsid w:val="004E58BA"/>
    <w:rsid w:val="004E7DBC"/>
    <w:rsid w:val="004F24FD"/>
    <w:rsid w:val="004F45A5"/>
    <w:rsid w:val="00502B7A"/>
    <w:rsid w:val="00510850"/>
    <w:rsid w:val="00570DE1"/>
    <w:rsid w:val="00595B38"/>
    <w:rsid w:val="005D2181"/>
    <w:rsid w:val="005D73FB"/>
    <w:rsid w:val="005E3B12"/>
    <w:rsid w:val="005E7E42"/>
    <w:rsid w:val="005F09B4"/>
    <w:rsid w:val="00611AE1"/>
    <w:rsid w:val="00621629"/>
    <w:rsid w:val="00621B3F"/>
    <w:rsid w:val="00621C86"/>
    <w:rsid w:val="006266DF"/>
    <w:rsid w:val="00626F03"/>
    <w:rsid w:val="006300A3"/>
    <w:rsid w:val="0063175E"/>
    <w:rsid w:val="0063655E"/>
    <w:rsid w:val="006403D3"/>
    <w:rsid w:val="00642F57"/>
    <w:rsid w:val="00643CDC"/>
    <w:rsid w:val="00646D07"/>
    <w:rsid w:val="00661B10"/>
    <w:rsid w:val="00665A16"/>
    <w:rsid w:val="00693A8A"/>
    <w:rsid w:val="006A10E8"/>
    <w:rsid w:val="006B0CAA"/>
    <w:rsid w:val="006B2DB5"/>
    <w:rsid w:val="006C27FE"/>
    <w:rsid w:val="006D45BE"/>
    <w:rsid w:val="006E31D7"/>
    <w:rsid w:val="006F00FF"/>
    <w:rsid w:val="006F14E7"/>
    <w:rsid w:val="006F66B9"/>
    <w:rsid w:val="00714197"/>
    <w:rsid w:val="00721D77"/>
    <w:rsid w:val="00762CEF"/>
    <w:rsid w:val="007709C8"/>
    <w:rsid w:val="00785FD1"/>
    <w:rsid w:val="007873D3"/>
    <w:rsid w:val="007A3FF8"/>
    <w:rsid w:val="007D00D1"/>
    <w:rsid w:val="007D32C3"/>
    <w:rsid w:val="007E1865"/>
    <w:rsid w:val="00830244"/>
    <w:rsid w:val="00834226"/>
    <w:rsid w:val="00850DD2"/>
    <w:rsid w:val="0085369B"/>
    <w:rsid w:val="00860EDB"/>
    <w:rsid w:val="008626B1"/>
    <w:rsid w:val="00875E63"/>
    <w:rsid w:val="00877B11"/>
    <w:rsid w:val="00882090"/>
    <w:rsid w:val="00883DD3"/>
    <w:rsid w:val="00892E09"/>
    <w:rsid w:val="008C06E9"/>
    <w:rsid w:val="008F2051"/>
    <w:rsid w:val="008F2077"/>
    <w:rsid w:val="008F2874"/>
    <w:rsid w:val="008F4975"/>
    <w:rsid w:val="00902603"/>
    <w:rsid w:val="00921C80"/>
    <w:rsid w:val="009276EA"/>
    <w:rsid w:val="00931BC1"/>
    <w:rsid w:val="009361E9"/>
    <w:rsid w:val="009471E7"/>
    <w:rsid w:val="00983DB8"/>
    <w:rsid w:val="00987258"/>
    <w:rsid w:val="009B34AF"/>
    <w:rsid w:val="009B56FB"/>
    <w:rsid w:val="009D105A"/>
    <w:rsid w:val="009E56C3"/>
    <w:rsid w:val="009E75BC"/>
    <w:rsid w:val="009F15EF"/>
    <w:rsid w:val="00A01731"/>
    <w:rsid w:val="00A16179"/>
    <w:rsid w:val="00A367EF"/>
    <w:rsid w:val="00A42977"/>
    <w:rsid w:val="00A429AA"/>
    <w:rsid w:val="00A633CC"/>
    <w:rsid w:val="00A726A5"/>
    <w:rsid w:val="00A76D19"/>
    <w:rsid w:val="00A80D74"/>
    <w:rsid w:val="00AA1C69"/>
    <w:rsid w:val="00AA6EF8"/>
    <w:rsid w:val="00AB20CA"/>
    <w:rsid w:val="00AC6788"/>
    <w:rsid w:val="00AC708D"/>
    <w:rsid w:val="00AD1BF7"/>
    <w:rsid w:val="00AE36A6"/>
    <w:rsid w:val="00AF0C66"/>
    <w:rsid w:val="00AF1F7C"/>
    <w:rsid w:val="00B06B5D"/>
    <w:rsid w:val="00B105DD"/>
    <w:rsid w:val="00B206E0"/>
    <w:rsid w:val="00B772F1"/>
    <w:rsid w:val="00B9634D"/>
    <w:rsid w:val="00BB4DCC"/>
    <w:rsid w:val="00BC00B6"/>
    <w:rsid w:val="00BC605C"/>
    <w:rsid w:val="00BD60E4"/>
    <w:rsid w:val="00C23935"/>
    <w:rsid w:val="00C36EFC"/>
    <w:rsid w:val="00C624D6"/>
    <w:rsid w:val="00C764A9"/>
    <w:rsid w:val="00C86737"/>
    <w:rsid w:val="00CB0807"/>
    <w:rsid w:val="00CC37D0"/>
    <w:rsid w:val="00CE3627"/>
    <w:rsid w:val="00CE6A67"/>
    <w:rsid w:val="00D07FAE"/>
    <w:rsid w:val="00D402F4"/>
    <w:rsid w:val="00D55F2C"/>
    <w:rsid w:val="00D6058D"/>
    <w:rsid w:val="00D85D02"/>
    <w:rsid w:val="00D928F7"/>
    <w:rsid w:val="00DC3A5F"/>
    <w:rsid w:val="00DD567B"/>
    <w:rsid w:val="00DD7866"/>
    <w:rsid w:val="00DE481E"/>
    <w:rsid w:val="00E01C4F"/>
    <w:rsid w:val="00E14416"/>
    <w:rsid w:val="00E31342"/>
    <w:rsid w:val="00E32176"/>
    <w:rsid w:val="00E40F4A"/>
    <w:rsid w:val="00E5105D"/>
    <w:rsid w:val="00E60D4B"/>
    <w:rsid w:val="00E75245"/>
    <w:rsid w:val="00E9043B"/>
    <w:rsid w:val="00EA7676"/>
    <w:rsid w:val="00EC029A"/>
    <w:rsid w:val="00EC6E90"/>
    <w:rsid w:val="00EE2197"/>
    <w:rsid w:val="00EF2E29"/>
    <w:rsid w:val="00EF35A3"/>
    <w:rsid w:val="00EF6FE4"/>
    <w:rsid w:val="00F14D6C"/>
    <w:rsid w:val="00F5037C"/>
    <w:rsid w:val="00F555FF"/>
    <w:rsid w:val="00FF6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D69C"/>
  <w15:docId w15:val="{1D114EB0-8B67-445F-9B33-30A4B3D1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aliases w:val="ss,Subsection"/>
    <w:basedOn w:val="Normal"/>
    <w:link w:val="subsectionChar"/>
    <w:rsid w:val="000178C6"/>
    <w:pPr>
      <w:spacing w:before="100" w:beforeAutospacing="1" w:after="100" w:afterAutospacing="1" w:line="240" w:lineRule="auto"/>
    </w:pPr>
    <w:rPr>
      <w:rFonts w:eastAsia="Times New Roman"/>
      <w:lang w:eastAsia="en-AU"/>
    </w:rPr>
  </w:style>
  <w:style w:type="paragraph" w:customStyle="1" w:styleId="paragraph">
    <w:name w:val="paragraph"/>
    <w:aliases w:val="a"/>
    <w:basedOn w:val="Normal"/>
    <w:rsid w:val="000178C6"/>
    <w:pPr>
      <w:spacing w:before="100" w:beforeAutospacing="1" w:after="100" w:afterAutospacing="1" w:line="240" w:lineRule="auto"/>
    </w:pPr>
    <w:rPr>
      <w:rFonts w:eastAsia="Times New Roman"/>
      <w:lang w:eastAsia="en-AU"/>
    </w:rPr>
  </w:style>
  <w:style w:type="paragraph" w:styleId="ListParagraph">
    <w:name w:val="List Paragraph"/>
    <w:basedOn w:val="Normal"/>
    <w:uiPriority w:val="34"/>
    <w:qFormat/>
    <w:rsid w:val="00300DC2"/>
    <w:pPr>
      <w:ind w:left="720"/>
      <w:contextualSpacing/>
    </w:pPr>
  </w:style>
  <w:style w:type="character" w:styleId="CommentReference">
    <w:name w:val="annotation reference"/>
    <w:basedOn w:val="DefaultParagraphFont"/>
    <w:uiPriority w:val="99"/>
    <w:semiHidden/>
    <w:unhideWhenUsed/>
    <w:rsid w:val="001F14BD"/>
    <w:rPr>
      <w:sz w:val="16"/>
      <w:szCs w:val="16"/>
    </w:rPr>
  </w:style>
  <w:style w:type="paragraph" w:styleId="CommentText">
    <w:name w:val="annotation text"/>
    <w:basedOn w:val="Normal"/>
    <w:link w:val="CommentTextChar"/>
    <w:uiPriority w:val="99"/>
    <w:semiHidden/>
    <w:unhideWhenUsed/>
    <w:rsid w:val="001F14BD"/>
    <w:pPr>
      <w:spacing w:line="240" w:lineRule="auto"/>
    </w:pPr>
    <w:rPr>
      <w:sz w:val="20"/>
      <w:szCs w:val="20"/>
    </w:rPr>
  </w:style>
  <w:style w:type="character" w:customStyle="1" w:styleId="CommentTextChar">
    <w:name w:val="Comment Text Char"/>
    <w:basedOn w:val="DefaultParagraphFont"/>
    <w:link w:val="CommentText"/>
    <w:uiPriority w:val="99"/>
    <w:semiHidden/>
    <w:rsid w:val="001F14BD"/>
    <w:rPr>
      <w:sz w:val="20"/>
      <w:szCs w:val="20"/>
    </w:rPr>
  </w:style>
  <w:style w:type="paragraph" w:styleId="CommentSubject">
    <w:name w:val="annotation subject"/>
    <w:basedOn w:val="CommentText"/>
    <w:next w:val="CommentText"/>
    <w:link w:val="CommentSubjectChar"/>
    <w:uiPriority w:val="99"/>
    <w:semiHidden/>
    <w:unhideWhenUsed/>
    <w:rsid w:val="001F14BD"/>
    <w:rPr>
      <w:b/>
      <w:bCs/>
    </w:rPr>
  </w:style>
  <w:style w:type="character" w:customStyle="1" w:styleId="CommentSubjectChar">
    <w:name w:val="Comment Subject Char"/>
    <w:basedOn w:val="CommentTextChar"/>
    <w:link w:val="CommentSubject"/>
    <w:uiPriority w:val="99"/>
    <w:semiHidden/>
    <w:rsid w:val="001F14BD"/>
    <w:rPr>
      <w:b/>
      <w:bCs/>
      <w:sz w:val="20"/>
      <w:szCs w:val="20"/>
    </w:rPr>
  </w:style>
  <w:style w:type="paragraph" w:styleId="BalloonText">
    <w:name w:val="Balloon Text"/>
    <w:basedOn w:val="Normal"/>
    <w:link w:val="BalloonTextChar"/>
    <w:uiPriority w:val="99"/>
    <w:semiHidden/>
    <w:unhideWhenUsed/>
    <w:rsid w:val="001F1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4BD"/>
    <w:rPr>
      <w:rFonts w:ascii="Tahoma" w:hAnsi="Tahoma" w:cs="Tahoma"/>
      <w:sz w:val="16"/>
      <w:szCs w:val="16"/>
    </w:rPr>
  </w:style>
  <w:style w:type="paragraph" w:customStyle="1" w:styleId="Dot1">
    <w:name w:val="Dot1"/>
    <w:aliases w:val="DOT"/>
    <w:basedOn w:val="Normal"/>
    <w:link w:val="Dot1Char"/>
    <w:uiPriority w:val="2"/>
    <w:qFormat/>
    <w:rsid w:val="00F555FF"/>
    <w:pPr>
      <w:numPr>
        <w:ilvl w:val="1"/>
        <w:numId w:val="2"/>
      </w:numPr>
      <w:spacing w:after="140" w:line="280" w:lineRule="atLeast"/>
    </w:pPr>
    <w:rPr>
      <w:rFonts w:ascii="Arial" w:eastAsia="Times New Roman" w:hAnsi="Arial" w:cs="Arial"/>
      <w:sz w:val="22"/>
      <w:szCs w:val="22"/>
      <w:lang w:eastAsia="en-AU"/>
    </w:rPr>
  </w:style>
  <w:style w:type="character" w:customStyle="1" w:styleId="Dot1Char">
    <w:name w:val="Dot1 Char"/>
    <w:aliases w:val="DOT Char"/>
    <w:basedOn w:val="DefaultParagraphFont"/>
    <w:link w:val="Dot1"/>
    <w:uiPriority w:val="2"/>
    <w:rsid w:val="00F555FF"/>
    <w:rPr>
      <w:rFonts w:ascii="Arial" w:eastAsia="Times New Roman" w:hAnsi="Arial" w:cs="Arial"/>
      <w:sz w:val="22"/>
      <w:szCs w:val="22"/>
      <w:lang w:eastAsia="en-AU"/>
    </w:rPr>
  </w:style>
  <w:style w:type="paragraph" w:customStyle="1" w:styleId="Default">
    <w:name w:val="Default"/>
    <w:rsid w:val="00CB0807"/>
    <w:pPr>
      <w:autoSpaceDE w:val="0"/>
      <w:autoSpaceDN w:val="0"/>
      <w:adjustRightInd w:val="0"/>
      <w:spacing w:after="0" w:line="240" w:lineRule="auto"/>
    </w:pPr>
    <w:rPr>
      <w:color w:val="000000"/>
    </w:rPr>
  </w:style>
  <w:style w:type="character" w:customStyle="1" w:styleId="charparttext">
    <w:name w:val="charparttext"/>
    <w:basedOn w:val="DefaultParagraphFont"/>
    <w:rsid w:val="009F15EF"/>
  </w:style>
  <w:style w:type="paragraph" w:customStyle="1" w:styleId="Heading6">
    <w:name w:val="Heading6"/>
    <w:basedOn w:val="Normal"/>
    <w:link w:val="Heading6Char"/>
    <w:rsid w:val="0007588C"/>
    <w:pPr>
      <w:keepNext/>
      <w:keepLines/>
      <w:suppressAutoHyphens/>
      <w:spacing w:after="120" w:line="240" w:lineRule="auto"/>
      <w:jc w:val="both"/>
    </w:pPr>
    <w:rPr>
      <w:rFonts w:eastAsia="Times New Roman"/>
      <w:b/>
      <w:sz w:val="20"/>
      <w:szCs w:val="20"/>
      <w:lang w:eastAsia="en-AU"/>
    </w:rPr>
  </w:style>
  <w:style w:type="character" w:customStyle="1" w:styleId="Heading6Char">
    <w:name w:val="Heading6 Char"/>
    <w:link w:val="Heading6"/>
    <w:locked/>
    <w:rsid w:val="0007588C"/>
    <w:rPr>
      <w:rFonts w:eastAsia="Times New Roman"/>
      <w:b/>
      <w:sz w:val="20"/>
      <w:szCs w:val="20"/>
      <w:lang w:eastAsia="en-AU"/>
    </w:rPr>
  </w:style>
  <w:style w:type="paragraph" w:customStyle="1" w:styleId="Tabletext">
    <w:name w:val="Tabletext"/>
    <w:aliases w:val="tt"/>
    <w:basedOn w:val="Normal"/>
    <w:rsid w:val="00EC029A"/>
    <w:pPr>
      <w:spacing w:before="60" w:after="0" w:line="240" w:lineRule="atLeast"/>
    </w:pPr>
    <w:rPr>
      <w:rFonts w:eastAsia="Times New Roman"/>
      <w:sz w:val="20"/>
      <w:szCs w:val="20"/>
      <w:lang w:eastAsia="en-AU"/>
    </w:rPr>
  </w:style>
  <w:style w:type="paragraph" w:customStyle="1" w:styleId="notetext">
    <w:name w:val="note(text)"/>
    <w:aliases w:val="n"/>
    <w:basedOn w:val="Normal"/>
    <w:link w:val="notetextChar"/>
    <w:rsid w:val="00EC029A"/>
    <w:pPr>
      <w:spacing w:before="122" w:after="0" w:line="240" w:lineRule="auto"/>
      <w:ind w:left="1985" w:hanging="851"/>
    </w:pPr>
    <w:rPr>
      <w:rFonts w:eastAsia="Times New Roman"/>
      <w:sz w:val="18"/>
      <w:szCs w:val="20"/>
      <w:lang w:eastAsia="en-AU"/>
    </w:rPr>
  </w:style>
  <w:style w:type="paragraph" w:customStyle="1" w:styleId="TableHeading">
    <w:name w:val="TableHeading"/>
    <w:aliases w:val="th"/>
    <w:basedOn w:val="Normal"/>
    <w:next w:val="Tabletext"/>
    <w:rsid w:val="00EC029A"/>
    <w:pPr>
      <w:keepNext/>
      <w:spacing w:before="60" w:after="0" w:line="240" w:lineRule="atLeast"/>
    </w:pPr>
    <w:rPr>
      <w:rFonts w:eastAsia="Times New Roman"/>
      <w:b/>
      <w:sz w:val="20"/>
      <w:szCs w:val="20"/>
      <w:lang w:eastAsia="en-AU"/>
    </w:rPr>
  </w:style>
  <w:style w:type="character" w:customStyle="1" w:styleId="subsectionChar">
    <w:name w:val="subsection Char"/>
    <w:aliases w:val="ss Char"/>
    <w:basedOn w:val="DefaultParagraphFont"/>
    <w:link w:val="subsection"/>
    <w:locked/>
    <w:rsid w:val="00EC029A"/>
    <w:rPr>
      <w:rFonts w:eastAsia="Times New Roman"/>
      <w:lang w:eastAsia="en-AU"/>
    </w:rPr>
  </w:style>
  <w:style w:type="character" w:customStyle="1" w:styleId="notetextChar">
    <w:name w:val="note(text) Char"/>
    <w:aliases w:val="n Char"/>
    <w:basedOn w:val="DefaultParagraphFont"/>
    <w:link w:val="notetext"/>
    <w:rsid w:val="00EC029A"/>
    <w:rPr>
      <w:rFonts w:eastAsia="Times New Roman"/>
      <w:sz w:val="18"/>
      <w:szCs w:val="20"/>
      <w:lang w:eastAsia="en-AU"/>
    </w:rPr>
  </w:style>
  <w:style w:type="paragraph" w:customStyle="1" w:styleId="ActHead5">
    <w:name w:val="ActHead 5"/>
    <w:aliases w:val="s"/>
    <w:basedOn w:val="Normal"/>
    <w:next w:val="subsection"/>
    <w:link w:val="ActHead5Char"/>
    <w:qFormat/>
    <w:rsid w:val="00EC029A"/>
    <w:pPr>
      <w:keepNext/>
      <w:keepLines/>
      <w:spacing w:before="280" w:after="0" w:line="240" w:lineRule="auto"/>
      <w:ind w:left="1134" w:hanging="1134"/>
      <w:outlineLvl w:val="4"/>
    </w:pPr>
    <w:rPr>
      <w:rFonts w:eastAsia="Times New Roman"/>
      <w:b/>
      <w:kern w:val="28"/>
      <w:szCs w:val="20"/>
      <w:lang w:eastAsia="en-AU"/>
    </w:rPr>
  </w:style>
  <w:style w:type="character" w:customStyle="1" w:styleId="CharSectno">
    <w:name w:val="CharSectno"/>
    <w:basedOn w:val="DefaultParagraphFont"/>
    <w:qFormat/>
    <w:rsid w:val="00EC029A"/>
  </w:style>
  <w:style w:type="character" w:customStyle="1" w:styleId="ActHead5Char">
    <w:name w:val="ActHead 5 Char"/>
    <w:aliases w:val="s Char"/>
    <w:link w:val="ActHead5"/>
    <w:rsid w:val="00EC029A"/>
    <w:rPr>
      <w:rFonts w:eastAsia="Times New Roman"/>
      <w:b/>
      <w:kern w:val="28"/>
      <w:szCs w:val="20"/>
      <w:lang w:eastAsia="en-AU"/>
    </w:rPr>
  </w:style>
  <w:style w:type="paragraph" w:customStyle="1" w:styleId="ActHead6">
    <w:name w:val="ActHead 6"/>
    <w:aliases w:val="as"/>
    <w:basedOn w:val="Normal"/>
    <w:next w:val="Normal"/>
    <w:qFormat/>
    <w:rsid w:val="00115A34"/>
    <w:pPr>
      <w:keepNext/>
      <w:keepLines/>
      <w:spacing w:after="0" w:line="240" w:lineRule="auto"/>
      <w:ind w:left="1134" w:hanging="1134"/>
      <w:outlineLvl w:val="5"/>
    </w:pPr>
    <w:rPr>
      <w:rFonts w:ascii="Arial" w:eastAsia="Times New Roman" w:hAnsi="Arial"/>
      <w:b/>
      <w:kern w:val="28"/>
      <w:sz w:val="32"/>
      <w:szCs w:val="20"/>
      <w:lang w:eastAsia="en-AU"/>
    </w:rPr>
  </w:style>
  <w:style w:type="paragraph" w:customStyle="1" w:styleId="ActHead9">
    <w:name w:val="ActHead 9"/>
    <w:aliases w:val="aat"/>
    <w:basedOn w:val="Normal"/>
    <w:next w:val="ItemHead"/>
    <w:qFormat/>
    <w:rsid w:val="00115A34"/>
    <w:pPr>
      <w:keepNext/>
      <w:keepLines/>
      <w:spacing w:before="280" w:after="0" w:line="240" w:lineRule="auto"/>
      <w:ind w:left="1134" w:hanging="1134"/>
      <w:outlineLvl w:val="8"/>
    </w:pPr>
    <w:rPr>
      <w:rFonts w:eastAsia="Times New Roman"/>
      <w:b/>
      <w:i/>
      <w:kern w:val="28"/>
      <w:sz w:val="28"/>
      <w:szCs w:val="20"/>
      <w:lang w:eastAsia="en-AU"/>
    </w:rPr>
  </w:style>
  <w:style w:type="paragraph" w:customStyle="1" w:styleId="BoxStep">
    <w:name w:val="BoxStep"/>
    <w:aliases w:val="bs"/>
    <w:basedOn w:val="Normal"/>
    <w:qFormat/>
    <w:rsid w:val="00115A34"/>
    <w:pPr>
      <w:pBdr>
        <w:top w:val="single" w:sz="6" w:space="5" w:color="auto"/>
        <w:left w:val="single" w:sz="6" w:space="5" w:color="auto"/>
        <w:bottom w:val="single" w:sz="6" w:space="5" w:color="auto"/>
        <w:right w:val="single" w:sz="6" w:space="5" w:color="auto"/>
      </w:pBdr>
      <w:spacing w:before="240" w:after="0" w:line="240" w:lineRule="auto"/>
      <w:ind w:left="1985" w:hanging="851"/>
    </w:pPr>
    <w:rPr>
      <w:rFonts w:eastAsia="Times New Roman"/>
      <w:sz w:val="22"/>
      <w:szCs w:val="20"/>
      <w:lang w:eastAsia="en-AU"/>
    </w:rPr>
  </w:style>
  <w:style w:type="character" w:customStyle="1" w:styleId="CharAmPartNo">
    <w:name w:val="CharAmPartNo"/>
    <w:basedOn w:val="DefaultParagraphFont"/>
    <w:qFormat/>
    <w:rsid w:val="00115A34"/>
  </w:style>
  <w:style w:type="character" w:customStyle="1" w:styleId="CharAmPartText">
    <w:name w:val="CharAmPartText"/>
    <w:basedOn w:val="DefaultParagraphFont"/>
    <w:qFormat/>
    <w:rsid w:val="00115A34"/>
  </w:style>
  <w:style w:type="character" w:customStyle="1" w:styleId="CharAmSchNo">
    <w:name w:val="CharAmSchNo"/>
    <w:basedOn w:val="DefaultParagraphFont"/>
    <w:qFormat/>
    <w:rsid w:val="00115A34"/>
  </w:style>
  <w:style w:type="character" w:customStyle="1" w:styleId="CharAmSchText">
    <w:name w:val="CharAmSchText"/>
    <w:basedOn w:val="DefaultParagraphFont"/>
    <w:qFormat/>
    <w:rsid w:val="00115A34"/>
  </w:style>
  <w:style w:type="paragraph" w:customStyle="1" w:styleId="Definition">
    <w:name w:val="Definition"/>
    <w:aliases w:val="dd"/>
    <w:basedOn w:val="Normal"/>
    <w:rsid w:val="00115A34"/>
    <w:pPr>
      <w:spacing w:before="180" w:after="0" w:line="240" w:lineRule="auto"/>
      <w:ind w:left="1134"/>
    </w:pPr>
    <w:rPr>
      <w:rFonts w:eastAsia="Times New Roman"/>
      <w:sz w:val="22"/>
      <w:szCs w:val="20"/>
      <w:lang w:eastAsia="en-AU"/>
    </w:rPr>
  </w:style>
  <w:style w:type="paragraph" w:styleId="Header">
    <w:name w:val="header"/>
    <w:basedOn w:val="Normal"/>
    <w:link w:val="HeaderChar"/>
    <w:unhideWhenUsed/>
    <w:rsid w:val="00115A34"/>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115A34"/>
    <w:rPr>
      <w:rFonts w:eastAsia="Times New Roman"/>
      <w:sz w:val="16"/>
      <w:szCs w:val="20"/>
      <w:lang w:eastAsia="en-AU"/>
    </w:rPr>
  </w:style>
  <w:style w:type="paragraph" w:customStyle="1" w:styleId="Item">
    <w:name w:val="Item"/>
    <w:aliases w:val="i"/>
    <w:basedOn w:val="Normal"/>
    <w:next w:val="ItemHead"/>
    <w:rsid w:val="00115A34"/>
    <w:pPr>
      <w:keepLines/>
      <w:spacing w:before="80" w:after="0" w:line="240" w:lineRule="auto"/>
      <w:ind w:left="709"/>
    </w:pPr>
    <w:rPr>
      <w:rFonts w:eastAsia="Times New Roman"/>
      <w:sz w:val="22"/>
      <w:szCs w:val="20"/>
      <w:lang w:eastAsia="en-AU"/>
    </w:rPr>
  </w:style>
  <w:style w:type="paragraph" w:customStyle="1" w:styleId="ItemHead">
    <w:name w:val="ItemHead"/>
    <w:aliases w:val="ih"/>
    <w:basedOn w:val="Normal"/>
    <w:next w:val="Item"/>
    <w:rsid w:val="00115A34"/>
    <w:pPr>
      <w:keepNext/>
      <w:keepLines/>
      <w:spacing w:before="220" w:after="0" w:line="240" w:lineRule="auto"/>
      <w:ind w:left="709" w:hanging="709"/>
    </w:pPr>
    <w:rPr>
      <w:rFonts w:ascii="Arial" w:eastAsia="Times New Roman" w:hAnsi="Arial"/>
      <w:b/>
      <w:kern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74560">
      <w:bodyDiv w:val="1"/>
      <w:marLeft w:val="0"/>
      <w:marRight w:val="0"/>
      <w:marTop w:val="0"/>
      <w:marBottom w:val="0"/>
      <w:divBdr>
        <w:top w:val="none" w:sz="0" w:space="0" w:color="auto"/>
        <w:left w:val="none" w:sz="0" w:space="0" w:color="auto"/>
        <w:bottom w:val="none" w:sz="0" w:space="0" w:color="auto"/>
        <w:right w:val="none" w:sz="0" w:space="0" w:color="auto"/>
      </w:divBdr>
    </w:div>
    <w:div w:id="20305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Benham, Christine</dc:creator>
  <cp:lastModifiedBy>NG, Jason</cp:lastModifiedBy>
  <cp:revision>5</cp:revision>
  <cp:lastPrinted>2020-12-23T02:35:00Z</cp:lastPrinted>
  <dcterms:created xsi:type="dcterms:W3CDTF">2020-12-21T03:43:00Z</dcterms:created>
  <dcterms:modified xsi:type="dcterms:W3CDTF">2020-12-23T22:24:00Z</dcterms:modified>
</cp:coreProperties>
</file>