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F5E" w:rsidRPr="00A20961" w:rsidRDefault="00E61F5E" w:rsidP="00E61F5E">
      <w:pPr>
        <w:rPr>
          <w:sz w:val="28"/>
        </w:rPr>
      </w:pPr>
      <w:r w:rsidRPr="00A20961">
        <w:rPr>
          <w:noProof/>
          <w:lang w:eastAsia="en-AU"/>
        </w:rPr>
        <w:drawing>
          <wp:inline distT="0" distB="0" distL="0" distR="0" wp14:anchorId="20028F68" wp14:editId="1D445CA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E61F5E" w:rsidRPr="00A20961" w:rsidRDefault="00E61F5E" w:rsidP="00E61F5E">
      <w:pPr>
        <w:rPr>
          <w:sz w:val="19"/>
        </w:rPr>
      </w:pPr>
    </w:p>
    <w:p w:rsidR="00E61F5E" w:rsidRPr="00A20961" w:rsidRDefault="00E61F5E" w:rsidP="00E61F5E">
      <w:pPr>
        <w:pStyle w:val="ShortT"/>
      </w:pPr>
      <w:r w:rsidRPr="00622F24">
        <w:t>Australian Bureau of Statistics (Acting Statistician) Appointment 20</w:t>
      </w:r>
      <w:r w:rsidR="00197EC4">
        <w:t>20</w:t>
      </w:r>
    </w:p>
    <w:p w:rsidR="00AE4E51" w:rsidRDefault="00AE4E51" w:rsidP="00AE4E51">
      <w:pPr>
        <w:rPr>
          <w:lang w:eastAsia="en-AU"/>
        </w:rPr>
      </w:pPr>
    </w:p>
    <w:p w:rsidR="0007702B" w:rsidRDefault="00175761" w:rsidP="0007702B">
      <w:pPr>
        <w:pStyle w:val="SignCoverPageStart"/>
        <w:pBdr>
          <w:top w:val="single" w:sz="4" w:space="21" w:color="auto"/>
        </w:pBdr>
        <w:rPr>
          <w:i/>
        </w:rPr>
      </w:pPr>
      <w:r w:rsidRPr="00622F24">
        <w:t xml:space="preserve">I, </w:t>
      </w:r>
      <w:r w:rsidR="00827F4B" w:rsidRPr="00622F24">
        <w:rPr>
          <w:szCs w:val="22"/>
        </w:rPr>
        <w:t xml:space="preserve">the Honourable Michael </w:t>
      </w:r>
      <w:proofErr w:type="spellStart"/>
      <w:r w:rsidR="00827F4B" w:rsidRPr="00622F24">
        <w:rPr>
          <w:szCs w:val="22"/>
        </w:rPr>
        <w:t>Sukkar</w:t>
      </w:r>
      <w:proofErr w:type="spellEnd"/>
      <w:r w:rsidR="00827F4B" w:rsidRPr="00622F24">
        <w:rPr>
          <w:szCs w:val="22"/>
        </w:rPr>
        <w:t xml:space="preserve"> MP, Minister for Housing and Assistant Treasurer, </w:t>
      </w:r>
      <w:r w:rsidRPr="00622F24">
        <w:t>under</w:t>
      </w:r>
      <w:r w:rsidRPr="00A20961">
        <w:t xml:space="preserve"> </w:t>
      </w:r>
      <w:r>
        <w:t xml:space="preserve">section 15 of </w:t>
      </w:r>
      <w:r w:rsidRPr="0007702B">
        <w:rPr>
          <w:i/>
        </w:rPr>
        <w:t>the Australian</w:t>
      </w:r>
      <w:r w:rsidR="0007702B">
        <w:rPr>
          <w:i/>
        </w:rPr>
        <w:t xml:space="preserve"> Bureau of Statistics Act 1975:</w:t>
      </w:r>
    </w:p>
    <w:p w:rsidR="0007702B" w:rsidRPr="0007702B" w:rsidRDefault="00A55F91" w:rsidP="00C47606">
      <w:pPr>
        <w:pStyle w:val="SignCoverPageStart"/>
        <w:numPr>
          <w:ilvl w:val="0"/>
          <w:numId w:val="1"/>
        </w:numPr>
        <w:pBdr>
          <w:top w:val="none" w:sz="0" w:space="0" w:color="auto"/>
        </w:pBdr>
        <w:rPr>
          <w:i/>
        </w:rPr>
      </w:pPr>
      <w:r>
        <w:t>revoke</w:t>
      </w:r>
      <w:r w:rsidR="00175761" w:rsidRPr="00A20961">
        <w:t xml:space="preserve"> the appointment </w:t>
      </w:r>
      <w:r w:rsidR="0084793C">
        <w:t xml:space="preserve">made on 21 November 2018 </w:t>
      </w:r>
      <w:r w:rsidR="00175761" w:rsidRPr="00A20961">
        <w:t xml:space="preserve">of </w:t>
      </w:r>
      <w:r w:rsidR="00175761">
        <w:t xml:space="preserve">Teresa Dickinson, Luise McCulloch and Jenet Connell </w:t>
      </w:r>
      <w:r w:rsidR="00175761" w:rsidRPr="00622F24">
        <w:t xml:space="preserve">as </w:t>
      </w:r>
      <w:r w:rsidR="0007702B" w:rsidRPr="00622F24">
        <w:t>acting Statistician</w:t>
      </w:r>
      <w:r w:rsidR="00175761" w:rsidRPr="00622F24">
        <w:t>; and</w:t>
      </w:r>
    </w:p>
    <w:p w:rsidR="00060138" w:rsidRPr="00EA198A" w:rsidRDefault="00AE4E51" w:rsidP="00EA198A">
      <w:pPr>
        <w:pStyle w:val="SignCoverPageStart"/>
        <w:numPr>
          <w:ilvl w:val="0"/>
          <w:numId w:val="1"/>
        </w:numPr>
        <w:pBdr>
          <w:top w:val="none" w:sz="0" w:space="0" w:color="auto"/>
        </w:pBdr>
        <w:rPr>
          <w:szCs w:val="22"/>
        </w:rPr>
      </w:pPr>
      <w:r w:rsidRPr="00692AF6">
        <w:rPr>
          <w:szCs w:val="22"/>
        </w:rPr>
        <w:t xml:space="preserve">appoint to </w:t>
      </w:r>
      <w:r w:rsidRPr="00622F24">
        <w:rPr>
          <w:szCs w:val="22"/>
        </w:rPr>
        <w:t xml:space="preserve">act as </w:t>
      </w:r>
      <w:r w:rsidR="0007702B" w:rsidRPr="00622F24">
        <w:rPr>
          <w:szCs w:val="22"/>
        </w:rPr>
        <w:t>Statistician</w:t>
      </w:r>
      <w:r w:rsidR="00EA198A">
        <w:rPr>
          <w:szCs w:val="22"/>
        </w:rPr>
        <w:t xml:space="preserve">, during </w:t>
      </w:r>
      <w:r w:rsidR="00827F4B" w:rsidRPr="00EA198A">
        <w:rPr>
          <w:szCs w:val="22"/>
        </w:rPr>
        <w:t>a vacancy in the office of the Statistician</w:t>
      </w:r>
      <w:r w:rsidR="00E2795B">
        <w:rPr>
          <w:szCs w:val="22"/>
        </w:rPr>
        <w:t>,</w:t>
      </w:r>
      <w:r w:rsidR="00EA198A" w:rsidRPr="00EA198A">
        <w:rPr>
          <w:szCs w:val="22"/>
        </w:rPr>
        <w:t xml:space="preserve"> and </w:t>
      </w:r>
      <w:r w:rsidR="00EC4D5B">
        <w:rPr>
          <w:szCs w:val="22"/>
        </w:rPr>
        <w:t xml:space="preserve">during </w:t>
      </w:r>
      <w:r w:rsidRPr="00EA198A">
        <w:rPr>
          <w:szCs w:val="22"/>
        </w:rPr>
        <w:t>any period when</w:t>
      </w:r>
      <w:r w:rsidR="00C344C2" w:rsidRPr="00EA198A">
        <w:rPr>
          <w:szCs w:val="22"/>
        </w:rPr>
        <w:t xml:space="preserve"> the</w:t>
      </w:r>
      <w:r w:rsidRPr="00EA198A">
        <w:rPr>
          <w:szCs w:val="22"/>
        </w:rPr>
        <w:t xml:space="preserve"> </w:t>
      </w:r>
      <w:r w:rsidR="0007702B" w:rsidRPr="00EA198A">
        <w:rPr>
          <w:szCs w:val="22"/>
        </w:rPr>
        <w:t>St</w:t>
      </w:r>
      <w:r w:rsidR="00C344C2" w:rsidRPr="00EA198A">
        <w:rPr>
          <w:szCs w:val="22"/>
        </w:rPr>
        <w:t>atistician</w:t>
      </w:r>
      <w:r w:rsidR="00060138" w:rsidRPr="00EA198A">
        <w:rPr>
          <w:szCs w:val="22"/>
        </w:rPr>
        <w:t xml:space="preserve"> is absent from </w:t>
      </w:r>
      <w:r w:rsidR="00692AF6" w:rsidRPr="00EA198A">
        <w:rPr>
          <w:szCs w:val="22"/>
        </w:rPr>
        <w:t>duty or from Australia or is, for any other reason, unable to pe</w:t>
      </w:r>
      <w:r w:rsidR="00EA198A" w:rsidRPr="00EA198A">
        <w:rPr>
          <w:szCs w:val="22"/>
        </w:rPr>
        <w:t xml:space="preserve">rform the duties of that office, </w:t>
      </w:r>
      <w:r w:rsidR="00EA198A">
        <w:t>a</w:t>
      </w:r>
      <w:r w:rsidR="00060138">
        <w:t>s follows:</w:t>
      </w:r>
    </w:p>
    <w:p w:rsidR="00A123FE" w:rsidRDefault="00E509DD" w:rsidP="00060138">
      <w:pPr>
        <w:pStyle w:val="SignCoverPageStart"/>
        <w:numPr>
          <w:ilvl w:val="0"/>
          <w:numId w:val="2"/>
        </w:numPr>
        <w:pBdr>
          <w:top w:val="none" w:sz="0" w:space="0" w:color="auto"/>
        </w:pBdr>
      </w:pPr>
      <w:bookmarkStart w:id="0" w:name="_Hlk58232912"/>
      <w:r w:rsidRPr="00E509DD">
        <w:t>Jenet Connell</w:t>
      </w:r>
      <w:r w:rsidR="00060138" w:rsidRPr="00BA59CA">
        <w:t xml:space="preserve">, </w:t>
      </w:r>
      <w:r>
        <w:t>Teresa Dickinson</w:t>
      </w:r>
      <w:r w:rsidR="00060138" w:rsidRPr="00BA59CA">
        <w:t xml:space="preserve"> and </w:t>
      </w:r>
      <w:r>
        <w:t>Helen Wilson</w:t>
      </w:r>
      <w:r w:rsidR="00060138">
        <w:t xml:space="preserve"> </w:t>
      </w:r>
      <w:bookmarkEnd w:id="0"/>
      <w:r w:rsidR="00060138">
        <w:t>are</w:t>
      </w:r>
      <w:r w:rsidR="00060138" w:rsidRPr="00BA59CA">
        <w:t xml:space="preserve"> to act alternately in the office of Statistician</w:t>
      </w:r>
      <w:r w:rsidR="00966F52">
        <w:t xml:space="preserve">; </w:t>
      </w:r>
    </w:p>
    <w:p w:rsidR="00816CC0" w:rsidRPr="00816CC0" w:rsidRDefault="00816CC0" w:rsidP="00816CC0">
      <w:pPr>
        <w:rPr>
          <w:lang w:eastAsia="en-AU"/>
        </w:rPr>
      </w:pPr>
    </w:p>
    <w:p w:rsidR="00DC70B8" w:rsidRPr="00BA59CA" w:rsidRDefault="00DC70B8" w:rsidP="00DC70B8">
      <w:pPr>
        <w:pStyle w:val="ListParagraph"/>
        <w:numPr>
          <w:ilvl w:val="0"/>
          <w:numId w:val="2"/>
        </w:numPr>
        <w:tabs>
          <w:tab w:val="left" w:pos="1276"/>
        </w:tabs>
        <w:spacing w:line="240" w:lineRule="exact"/>
        <w:ind w:right="91"/>
      </w:pPr>
      <w:r>
        <w:t xml:space="preserve">  </w:t>
      </w:r>
      <w:r w:rsidR="00E2795B">
        <w:t xml:space="preserve"> </w:t>
      </w:r>
      <w:r w:rsidR="00E509DD">
        <w:t>Jenet Connell</w:t>
      </w:r>
      <w:r w:rsidRPr="00BA59CA">
        <w:t xml:space="preserve"> is to act in the office during the first period of that kind commencing on or after the date of this instrument;</w:t>
      </w:r>
    </w:p>
    <w:p w:rsidR="00DC70B8" w:rsidRPr="00BA59CA" w:rsidRDefault="00DC70B8" w:rsidP="00816CC0">
      <w:pPr>
        <w:pStyle w:val="ListParagraph"/>
        <w:tabs>
          <w:tab w:val="left" w:pos="1276"/>
        </w:tabs>
        <w:spacing w:line="240" w:lineRule="exact"/>
        <w:ind w:left="1440" w:right="91"/>
      </w:pPr>
    </w:p>
    <w:p w:rsidR="00DC70B8" w:rsidRPr="00BA59CA" w:rsidRDefault="00816CC0" w:rsidP="00DC70B8">
      <w:pPr>
        <w:pStyle w:val="ListParagraph"/>
        <w:numPr>
          <w:ilvl w:val="0"/>
          <w:numId w:val="2"/>
        </w:numPr>
        <w:tabs>
          <w:tab w:val="left" w:pos="1276"/>
        </w:tabs>
        <w:spacing w:line="240" w:lineRule="exact"/>
        <w:ind w:right="91"/>
      </w:pPr>
      <w:r>
        <w:t xml:space="preserve">  </w:t>
      </w:r>
      <w:r w:rsidR="00E2795B">
        <w:t xml:space="preserve"> </w:t>
      </w:r>
      <w:r w:rsidR="00DC70B8" w:rsidRPr="00BA59CA">
        <w:t>during each subsequent period of that kind, the alternate appointee will act in the office, if that appointee is available to do so;</w:t>
      </w:r>
    </w:p>
    <w:p w:rsidR="00DC70B8" w:rsidRPr="00BA59CA" w:rsidRDefault="00DC70B8" w:rsidP="00816CC0">
      <w:pPr>
        <w:pStyle w:val="ListParagraph"/>
        <w:tabs>
          <w:tab w:val="left" w:pos="1276"/>
        </w:tabs>
        <w:spacing w:line="240" w:lineRule="exact"/>
        <w:ind w:left="1440" w:right="91"/>
      </w:pPr>
    </w:p>
    <w:p w:rsidR="00E2795B" w:rsidRDefault="00816CC0" w:rsidP="00E2795B">
      <w:pPr>
        <w:pStyle w:val="ListParagraph"/>
        <w:numPr>
          <w:ilvl w:val="0"/>
          <w:numId w:val="2"/>
        </w:numPr>
        <w:tabs>
          <w:tab w:val="left" w:pos="1276"/>
        </w:tabs>
        <w:spacing w:line="240" w:lineRule="exact"/>
        <w:ind w:right="91"/>
      </w:pPr>
      <w:r>
        <w:t xml:space="preserve">   </w:t>
      </w:r>
      <w:r w:rsidR="00DC70B8" w:rsidRPr="00BA59CA">
        <w:t>if the appointee who, under paragraph (</w:t>
      </w:r>
      <w:proofErr w:type="spellStart"/>
      <w:r w:rsidR="00DC70B8" w:rsidRPr="00BA59CA">
        <w:t>i</w:t>
      </w:r>
      <w:proofErr w:type="spellEnd"/>
      <w:r w:rsidR="00EA198A">
        <w:t>) or (ii</w:t>
      </w:r>
      <w:r w:rsidR="00DC70B8" w:rsidRPr="00BA59CA">
        <w:t>) above, would act in the office during a period of that kind is unavailable to do so, the next alternate appointee is to act in the office during tha</w:t>
      </w:r>
      <w:r>
        <w:t xml:space="preserve">t period;  </w:t>
      </w:r>
    </w:p>
    <w:p w:rsidR="00E2795B" w:rsidRDefault="00E2795B" w:rsidP="00E2795B">
      <w:pPr>
        <w:pStyle w:val="ListParagraph"/>
      </w:pPr>
    </w:p>
    <w:p w:rsidR="00E2795B" w:rsidRDefault="00E2795B" w:rsidP="00E2795B">
      <w:pPr>
        <w:pStyle w:val="ListParagraph"/>
        <w:numPr>
          <w:ilvl w:val="0"/>
          <w:numId w:val="2"/>
        </w:numPr>
        <w:tabs>
          <w:tab w:val="left" w:pos="1276"/>
        </w:tabs>
        <w:spacing w:line="240" w:lineRule="exact"/>
        <w:ind w:right="91"/>
      </w:pPr>
      <w:r>
        <w:t xml:space="preserve">   </w:t>
      </w:r>
      <w:r w:rsidR="00DC70B8" w:rsidRPr="00BA59CA">
        <w:t>if any of the appointees is acting in the office and that appointee becomes unable to continue to act during the relevant period, the next alternate appointee is to act in the office during the remainder of that period</w:t>
      </w:r>
      <w:r w:rsidR="00863EA0">
        <w:t>;</w:t>
      </w:r>
      <w:r w:rsidR="000500E7">
        <w:t xml:space="preserve"> and</w:t>
      </w:r>
    </w:p>
    <w:p w:rsidR="00E2795B" w:rsidRDefault="00E2795B" w:rsidP="00E2795B">
      <w:pPr>
        <w:pStyle w:val="ListParagraph"/>
      </w:pPr>
    </w:p>
    <w:p w:rsidR="00816CC0" w:rsidRDefault="00E2795B" w:rsidP="00E2795B">
      <w:pPr>
        <w:pStyle w:val="ListParagraph"/>
        <w:numPr>
          <w:ilvl w:val="0"/>
          <w:numId w:val="2"/>
        </w:numPr>
        <w:tabs>
          <w:tab w:val="left" w:pos="1276"/>
        </w:tabs>
        <w:spacing w:line="240" w:lineRule="exact"/>
        <w:ind w:right="91"/>
      </w:pPr>
      <w:r>
        <w:t xml:space="preserve">   </w:t>
      </w:r>
      <w:r w:rsidR="00863EA0">
        <w:t>if any of the appointees is acting in the office for a period in which it is vacant, the next alternate appointee is to act in the office</w:t>
      </w:r>
      <w:r w:rsidR="000500E7">
        <w:t xml:space="preserve"> at the end of </w:t>
      </w:r>
      <w:r>
        <w:t xml:space="preserve">three </w:t>
      </w:r>
      <w:r w:rsidR="000500E7">
        <w:t>months after the first</w:t>
      </w:r>
      <w:r w:rsidR="000500E7">
        <w:noBreakHyphen/>
        <w:t>mentioned appointee began to act in the office.</w:t>
      </w:r>
    </w:p>
    <w:p w:rsidR="00816CC0" w:rsidRPr="00816CC0" w:rsidRDefault="00816CC0" w:rsidP="00816CC0">
      <w:pPr>
        <w:pStyle w:val="ListParagraph"/>
        <w:rPr>
          <w:szCs w:val="22"/>
        </w:rPr>
      </w:pPr>
    </w:p>
    <w:p w:rsidR="00816CC0" w:rsidRDefault="00816CC0" w:rsidP="00816CC0">
      <w:pPr>
        <w:pStyle w:val="ListParagraph"/>
        <w:tabs>
          <w:tab w:val="left" w:pos="1276"/>
        </w:tabs>
        <w:spacing w:line="240" w:lineRule="exact"/>
        <w:ind w:left="1440" w:right="91"/>
      </w:pPr>
    </w:p>
    <w:p w:rsidR="00E2795B" w:rsidRDefault="00E61F5E" w:rsidP="00E2795B">
      <w:pPr>
        <w:tabs>
          <w:tab w:val="left" w:pos="1276"/>
        </w:tabs>
        <w:spacing w:line="240" w:lineRule="exact"/>
        <w:ind w:right="91"/>
      </w:pPr>
      <w:r w:rsidRPr="00EC4D5B">
        <w:rPr>
          <w:szCs w:val="22"/>
        </w:rPr>
        <w:t>Dated</w:t>
      </w:r>
      <w:r w:rsidR="00FD1CF7">
        <w:rPr>
          <w:szCs w:val="22"/>
        </w:rPr>
        <w:t>:</w:t>
      </w:r>
      <w:r w:rsidRPr="00EC4D5B">
        <w:rPr>
          <w:szCs w:val="22"/>
        </w:rPr>
        <w:tab/>
      </w:r>
      <w:r w:rsidRPr="00EC4D5B">
        <w:rPr>
          <w:szCs w:val="22"/>
        </w:rPr>
        <w:tab/>
      </w:r>
      <w:r w:rsidR="00FD1CF7">
        <w:rPr>
          <w:szCs w:val="22"/>
        </w:rPr>
        <w:t>15 December 2020</w:t>
      </w:r>
      <w:r w:rsidRPr="00EC4D5B">
        <w:rPr>
          <w:szCs w:val="22"/>
        </w:rPr>
        <w:tab/>
      </w:r>
      <w:r w:rsidRPr="00EC4D5B">
        <w:rPr>
          <w:szCs w:val="22"/>
        </w:rPr>
        <w:tab/>
      </w:r>
    </w:p>
    <w:p w:rsidR="00E2795B" w:rsidRDefault="00E2795B" w:rsidP="00E2795B">
      <w:pPr>
        <w:tabs>
          <w:tab w:val="left" w:pos="1276"/>
        </w:tabs>
        <w:spacing w:line="240" w:lineRule="exact"/>
        <w:ind w:right="91"/>
      </w:pPr>
    </w:p>
    <w:p w:rsidR="00E2795B" w:rsidRDefault="00E2795B" w:rsidP="00E2795B">
      <w:pPr>
        <w:tabs>
          <w:tab w:val="left" w:pos="1276"/>
        </w:tabs>
        <w:spacing w:line="240" w:lineRule="exact"/>
        <w:ind w:right="91"/>
      </w:pPr>
      <w:bookmarkStart w:id="1" w:name="_GoBack"/>
      <w:bookmarkEnd w:id="1"/>
    </w:p>
    <w:p w:rsidR="00E2795B" w:rsidRDefault="00E2795B" w:rsidP="00E2795B">
      <w:pPr>
        <w:tabs>
          <w:tab w:val="left" w:pos="1276"/>
        </w:tabs>
        <w:spacing w:line="240" w:lineRule="exact"/>
        <w:ind w:right="91"/>
      </w:pPr>
    </w:p>
    <w:p w:rsidR="00E61F5E" w:rsidRPr="00E2795B" w:rsidRDefault="00C47606" w:rsidP="00E2795B">
      <w:pPr>
        <w:tabs>
          <w:tab w:val="left" w:pos="1276"/>
        </w:tabs>
        <w:spacing w:line="240" w:lineRule="exact"/>
        <w:ind w:right="91"/>
      </w:pPr>
      <w:r w:rsidRPr="00622F24">
        <w:rPr>
          <w:szCs w:val="22"/>
        </w:rPr>
        <w:t xml:space="preserve">Honourable Michael </w:t>
      </w:r>
      <w:proofErr w:type="spellStart"/>
      <w:r w:rsidRPr="00622F24">
        <w:rPr>
          <w:szCs w:val="22"/>
        </w:rPr>
        <w:t>Sukkar</w:t>
      </w:r>
      <w:proofErr w:type="spellEnd"/>
      <w:r w:rsidRPr="00622F24">
        <w:rPr>
          <w:szCs w:val="22"/>
        </w:rPr>
        <w:t xml:space="preserve"> MP</w:t>
      </w:r>
      <w:r w:rsidRPr="00622F24">
        <w:rPr>
          <w:b/>
          <w:szCs w:val="22"/>
        </w:rPr>
        <w:t xml:space="preserve"> </w:t>
      </w:r>
    </w:p>
    <w:p w:rsidR="00234FD1" w:rsidRDefault="00C47606">
      <w:r w:rsidRPr="00622F24">
        <w:rPr>
          <w:szCs w:val="22"/>
        </w:rPr>
        <w:t>Minister for Housing and Assistant Treasurer</w:t>
      </w:r>
    </w:p>
    <w:sectPr w:rsidR="00234F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4168D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41030E"/>
    <w:multiLevelType w:val="hybridMultilevel"/>
    <w:tmpl w:val="99E8C110"/>
    <w:lvl w:ilvl="0" w:tplc="5D4EEC9C">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518D60E8"/>
    <w:multiLevelType w:val="hybridMultilevel"/>
    <w:tmpl w:val="5FF0F274"/>
    <w:lvl w:ilvl="0" w:tplc="EF44B314">
      <w:start w:val="1"/>
      <w:numFmt w:val="lowerLetter"/>
      <w:lvlText w:val="(%1)"/>
      <w:lvlJc w:val="left"/>
      <w:pPr>
        <w:ind w:left="720" w:hanging="360"/>
      </w:pPr>
      <w:rPr>
        <w:rFonts w:ascii="Times New Roman" w:eastAsia="Times New Roman" w:hAnsi="Times New Roman" w:cs="Times New Roman"/>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2D36C11"/>
    <w:multiLevelType w:val="hybridMultilevel"/>
    <w:tmpl w:val="265E4B84"/>
    <w:lvl w:ilvl="0" w:tplc="5D4EEC9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F5E"/>
    <w:rsid w:val="000500E7"/>
    <w:rsid w:val="00060138"/>
    <w:rsid w:val="0007702B"/>
    <w:rsid w:val="000F5599"/>
    <w:rsid w:val="00172D48"/>
    <w:rsid w:val="00175761"/>
    <w:rsid w:val="00197EC4"/>
    <w:rsid w:val="00234FD1"/>
    <w:rsid w:val="00281B14"/>
    <w:rsid w:val="003051E5"/>
    <w:rsid w:val="00622F24"/>
    <w:rsid w:val="00677DD7"/>
    <w:rsid w:val="00692AF6"/>
    <w:rsid w:val="00816CC0"/>
    <w:rsid w:val="00827F4B"/>
    <w:rsid w:val="0084793C"/>
    <w:rsid w:val="00863EA0"/>
    <w:rsid w:val="008C1CF9"/>
    <w:rsid w:val="0091575E"/>
    <w:rsid w:val="00966F52"/>
    <w:rsid w:val="00A123FE"/>
    <w:rsid w:val="00A55F91"/>
    <w:rsid w:val="00A93163"/>
    <w:rsid w:val="00AE4E51"/>
    <w:rsid w:val="00C344C2"/>
    <w:rsid w:val="00C47606"/>
    <w:rsid w:val="00D825C4"/>
    <w:rsid w:val="00DC70B8"/>
    <w:rsid w:val="00E2795B"/>
    <w:rsid w:val="00E509DD"/>
    <w:rsid w:val="00E61F5E"/>
    <w:rsid w:val="00EA198A"/>
    <w:rsid w:val="00EC4D5B"/>
    <w:rsid w:val="00F46DBC"/>
    <w:rsid w:val="00FD1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7CC0"/>
  <w15:chartTrackingRefBased/>
  <w15:docId w15:val="{7E10B1B4-CD34-4C02-9A57-5B6A67D3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61F5E"/>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E61F5E"/>
    <w:pPr>
      <w:spacing w:line="240" w:lineRule="auto"/>
    </w:pPr>
    <w:rPr>
      <w:rFonts w:eastAsia="Times New Roman" w:cs="Times New Roman"/>
      <w:b/>
      <w:sz w:val="40"/>
      <w:lang w:eastAsia="en-AU"/>
    </w:rPr>
  </w:style>
  <w:style w:type="paragraph" w:customStyle="1" w:styleId="SignCoverPageEnd">
    <w:name w:val="SignCoverPageEnd"/>
    <w:basedOn w:val="Normal"/>
    <w:next w:val="Normal"/>
    <w:rsid w:val="00E61F5E"/>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E61F5E"/>
    <w:pPr>
      <w:pBdr>
        <w:top w:val="single" w:sz="4" w:space="1" w:color="auto"/>
      </w:pBdr>
      <w:spacing w:before="360"/>
      <w:ind w:right="397"/>
      <w:jc w:val="both"/>
    </w:pPr>
    <w:rPr>
      <w:rFonts w:eastAsia="Times New Roman" w:cs="Times New Roman"/>
      <w:lang w:eastAsia="en-AU"/>
    </w:rPr>
  </w:style>
  <w:style w:type="paragraph" w:customStyle="1" w:styleId="paragraph">
    <w:name w:val="paragraph"/>
    <w:aliases w:val="a"/>
    <w:basedOn w:val="Normal"/>
    <w:rsid w:val="00AE4E51"/>
    <w:pPr>
      <w:tabs>
        <w:tab w:val="right" w:pos="1531"/>
      </w:tabs>
      <w:spacing w:before="40" w:line="240" w:lineRule="auto"/>
      <w:ind w:left="1644" w:hanging="1644"/>
    </w:pPr>
    <w:rPr>
      <w:rFonts w:eastAsia="Times New Roman" w:cs="Times New Roman"/>
      <w:lang w:eastAsia="en-AU"/>
    </w:rPr>
  </w:style>
  <w:style w:type="paragraph" w:styleId="ListParagraph">
    <w:name w:val="List Paragraph"/>
    <w:basedOn w:val="Normal"/>
    <w:uiPriority w:val="34"/>
    <w:qFormat/>
    <w:rsid w:val="00060138"/>
    <w:pPr>
      <w:ind w:left="720"/>
      <w:contextualSpacing/>
    </w:pPr>
  </w:style>
  <w:style w:type="paragraph" w:styleId="BalloonText">
    <w:name w:val="Balloon Text"/>
    <w:basedOn w:val="Normal"/>
    <w:link w:val="BalloonTextChar"/>
    <w:uiPriority w:val="99"/>
    <w:semiHidden/>
    <w:unhideWhenUsed/>
    <w:rsid w:val="00863EA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EA0"/>
    <w:rPr>
      <w:rFonts w:ascii="Segoe UI" w:hAnsi="Segoe UI" w:cs="Segoe UI"/>
      <w:sz w:val="18"/>
      <w:szCs w:val="18"/>
    </w:rPr>
  </w:style>
  <w:style w:type="character" w:styleId="CommentReference">
    <w:name w:val="annotation reference"/>
    <w:basedOn w:val="DefaultParagraphFont"/>
    <w:uiPriority w:val="99"/>
    <w:semiHidden/>
    <w:unhideWhenUsed/>
    <w:rsid w:val="00863EA0"/>
    <w:rPr>
      <w:sz w:val="16"/>
      <w:szCs w:val="16"/>
    </w:rPr>
  </w:style>
  <w:style w:type="paragraph" w:styleId="CommentText">
    <w:name w:val="annotation text"/>
    <w:basedOn w:val="Normal"/>
    <w:link w:val="CommentTextChar"/>
    <w:uiPriority w:val="99"/>
    <w:unhideWhenUsed/>
    <w:rsid w:val="00863EA0"/>
    <w:pPr>
      <w:spacing w:line="240" w:lineRule="auto"/>
    </w:pPr>
    <w:rPr>
      <w:sz w:val="20"/>
    </w:rPr>
  </w:style>
  <w:style w:type="character" w:customStyle="1" w:styleId="CommentTextChar">
    <w:name w:val="Comment Text Char"/>
    <w:basedOn w:val="DefaultParagraphFont"/>
    <w:link w:val="CommentText"/>
    <w:uiPriority w:val="99"/>
    <w:rsid w:val="00863EA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63EA0"/>
    <w:rPr>
      <w:b/>
      <w:bCs/>
    </w:rPr>
  </w:style>
  <w:style w:type="character" w:customStyle="1" w:styleId="CommentSubjectChar">
    <w:name w:val="Comment Subject Char"/>
    <w:basedOn w:val="CommentTextChar"/>
    <w:link w:val="CommentSubject"/>
    <w:uiPriority w:val="99"/>
    <w:semiHidden/>
    <w:rsid w:val="00863EA0"/>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Australian Bureau of Statistics</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Jarvis</dc:creator>
  <cp:keywords/>
  <dc:description/>
  <cp:lastModifiedBy>Samantha Masal</cp:lastModifiedBy>
  <cp:revision>2</cp:revision>
  <dcterms:created xsi:type="dcterms:W3CDTF">2020-12-17T03:14:00Z</dcterms:created>
  <dcterms:modified xsi:type="dcterms:W3CDTF">2020-12-17T03:14:00Z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-1222490528</vt:i4>
  </property>
  <property fmtid="{D5CDD505-2E9C-101B-9397-08002B2CF9AE}" pid="3" name="_NewReviewCycle">
    <vt:lpwstr/>
  </property>
  <property fmtid="{D5CDD505-2E9C-101B-9397-08002B2CF9AE}" pid="4" name="_EmailSubject">
    <vt:lpwstr>Time to discuss the Acting Statistician Instrument process [DLM=For-Official-Use-Only]</vt:lpwstr>
  </property>
  <property fmtid="{D5CDD505-2E9C-101B-9397-08002B2CF9AE}" pid="5" name="_AuthorEmail">
    <vt:lpwstr>Taylor.Black@TREASURY.GOV.AU</vt:lpwstr>
  </property>
  <property fmtid="{D5CDD505-2E9C-101B-9397-08002B2CF9AE}" pid="6" name="_AuthorEmailDisplayName">
    <vt:lpwstr>Black, Taylor</vt:lpwstr>
  </property>
  <property fmtid="{D5CDD505-2E9C-101B-9397-08002B2CF9AE}" pid="7" name="_ReviewingToolsShownOnce">
    <vt:lpwstr/>
  </property>
</Properties>
</file>