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293DD" w14:textId="77777777" w:rsidR="00571CE4" w:rsidRDefault="00571CE4" w:rsidP="00571CE4">
      <w:pPr>
        <w:spacing w:before="280" w:after="240"/>
        <w:rPr>
          <w:b/>
          <w:sz w:val="32"/>
          <w:szCs w:val="32"/>
        </w:rPr>
      </w:pPr>
    </w:p>
    <w:p w14:paraId="18EF6B1E" w14:textId="38166CBF" w:rsidR="00571CE4" w:rsidRPr="0091474F" w:rsidRDefault="00571CE4" w:rsidP="00571CE4">
      <w:pPr>
        <w:spacing w:before="280" w:after="240"/>
        <w:rPr>
          <w:b/>
          <w:sz w:val="32"/>
          <w:szCs w:val="32"/>
        </w:rPr>
      </w:pPr>
      <w:r w:rsidRPr="0091474F">
        <w:rPr>
          <w:noProof/>
        </w:rPr>
        <w:drawing>
          <wp:anchor distT="0" distB="0" distL="114300" distR="114300" simplePos="0" relativeHeight="251659264" behindDoc="0" locked="0" layoutInCell="1" allowOverlap="1" wp14:anchorId="681A60DB" wp14:editId="68524B0F">
            <wp:simplePos x="0" y="0"/>
            <wp:positionH relativeFrom="margin">
              <wp:align>center</wp:align>
            </wp:positionH>
            <wp:positionV relativeFrom="margin">
              <wp:align>top</wp:align>
            </wp:positionV>
            <wp:extent cx="3542030" cy="746760"/>
            <wp:effectExtent l="0" t="0" r="1270" b="0"/>
            <wp:wrapSquare wrapText="bothSides"/>
            <wp:docPr id="1" name="Picture 1"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Securities and Investments Commis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33ED0B9B" w14:textId="77777777" w:rsidR="00571CE4" w:rsidRPr="0091474F" w:rsidRDefault="00571CE4" w:rsidP="00571CE4">
      <w:pPr>
        <w:pStyle w:val="LI-Title"/>
        <w:pBdr>
          <w:top w:val="none" w:sz="0" w:space="0" w:color="auto"/>
        </w:pBdr>
        <w:jc w:val="center"/>
      </w:pPr>
    </w:p>
    <w:p w14:paraId="27E30B82" w14:textId="77777777" w:rsidR="00571CE4" w:rsidRPr="0091474F" w:rsidRDefault="00571CE4" w:rsidP="00571CE4">
      <w:pPr>
        <w:pStyle w:val="LI-Title"/>
        <w:pBdr>
          <w:top w:val="none" w:sz="0" w:space="0" w:color="auto"/>
        </w:pBdr>
        <w:jc w:val="center"/>
      </w:pPr>
      <w:r w:rsidRPr="0091474F">
        <w:t>Explanatory Statement</w:t>
      </w:r>
    </w:p>
    <w:p w14:paraId="4C3D37AB" w14:textId="77777777" w:rsidR="00571CE4" w:rsidRPr="0091474F" w:rsidRDefault="00571CE4" w:rsidP="00571CE4">
      <w:pPr>
        <w:rPr>
          <w:lang w:eastAsia="en-AU"/>
        </w:rPr>
      </w:pPr>
    </w:p>
    <w:p w14:paraId="638D72DC" w14:textId="77777777" w:rsidR="00571CE4" w:rsidRPr="0091474F" w:rsidRDefault="00571CE4" w:rsidP="00571CE4">
      <w:pPr>
        <w:rPr>
          <w:lang w:eastAsia="en-AU"/>
        </w:rPr>
      </w:pPr>
    </w:p>
    <w:p w14:paraId="447C56A9" w14:textId="7270FCFF" w:rsidR="00571CE4" w:rsidRPr="0091474F" w:rsidRDefault="00571CE4" w:rsidP="00571CE4">
      <w:pPr>
        <w:jc w:val="center"/>
        <w:rPr>
          <w:b/>
          <w:i/>
          <w:sz w:val="24"/>
          <w:szCs w:val="24"/>
          <w:lang w:eastAsia="en-AU"/>
        </w:rPr>
      </w:pPr>
      <w:bookmarkStart w:id="0" w:name="_Hlk32226538"/>
      <w:r w:rsidRPr="0091474F">
        <w:rPr>
          <w:b/>
          <w:i/>
          <w:sz w:val="24"/>
          <w:szCs w:val="24"/>
          <w:lang w:eastAsia="en-AU"/>
        </w:rPr>
        <w:t>ASIC Corporations (AFCA Scheme Regulatory Requirement) Instrument 202</w:t>
      </w:r>
      <w:r w:rsidR="00604687" w:rsidRPr="0091474F">
        <w:rPr>
          <w:b/>
          <w:i/>
          <w:sz w:val="24"/>
          <w:szCs w:val="24"/>
          <w:lang w:eastAsia="en-AU"/>
        </w:rPr>
        <w:t>1</w:t>
      </w:r>
      <w:r w:rsidRPr="0091474F">
        <w:rPr>
          <w:b/>
          <w:i/>
          <w:sz w:val="24"/>
          <w:szCs w:val="24"/>
          <w:lang w:eastAsia="en-AU"/>
        </w:rPr>
        <w:t>/</w:t>
      </w:r>
      <w:r w:rsidR="00724A56" w:rsidRPr="0091474F">
        <w:rPr>
          <w:b/>
          <w:i/>
          <w:sz w:val="24"/>
          <w:szCs w:val="24"/>
          <w:lang w:eastAsia="en-AU"/>
        </w:rPr>
        <w:t>0002</w:t>
      </w:r>
    </w:p>
    <w:p w14:paraId="71156B15" w14:textId="77777777" w:rsidR="00571CE4" w:rsidRPr="0091474F" w:rsidRDefault="00571CE4" w:rsidP="00571CE4">
      <w:pPr>
        <w:jc w:val="center"/>
        <w:rPr>
          <w:b/>
          <w:i/>
          <w:sz w:val="24"/>
          <w:szCs w:val="24"/>
          <w:lang w:eastAsia="en-AU"/>
        </w:rPr>
      </w:pPr>
    </w:p>
    <w:p w14:paraId="5DB9EEBA" w14:textId="1B8B0892" w:rsidR="00571CE4" w:rsidRPr="0091474F" w:rsidRDefault="00571CE4" w:rsidP="00571CE4">
      <w:pPr>
        <w:pStyle w:val="LI-BodyTextParaa"/>
        <w:ind w:left="0" w:firstLine="0"/>
      </w:pPr>
      <w:bookmarkStart w:id="1" w:name="BK_S3P1L1C1"/>
      <w:bookmarkEnd w:id="0"/>
      <w:bookmarkEnd w:id="1"/>
      <w:r w:rsidRPr="0091474F">
        <w:t xml:space="preserve">This is the Explanatory Statement for </w:t>
      </w:r>
      <w:r w:rsidRPr="0091474F">
        <w:rPr>
          <w:i/>
        </w:rPr>
        <w:t>ASIC Corporations (AFCA Scheme Regulatory Requirement) Instrument 202</w:t>
      </w:r>
      <w:r w:rsidR="00604687" w:rsidRPr="0091474F">
        <w:rPr>
          <w:i/>
        </w:rPr>
        <w:t>1</w:t>
      </w:r>
      <w:r w:rsidRPr="0091474F">
        <w:rPr>
          <w:i/>
        </w:rPr>
        <w:t>/</w:t>
      </w:r>
      <w:r w:rsidR="00724A56" w:rsidRPr="0091474F">
        <w:rPr>
          <w:i/>
        </w:rPr>
        <w:t>0002</w:t>
      </w:r>
      <w:r w:rsidRPr="0091474F">
        <w:rPr>
          <w:i/>
        </w:rPr>
        <w:t>.</w:t>
      </w:r>
      <w:r w:rsidRPr="0091474F">
        <w:t xml:space="preserve"> </w:t>
      </w:r>
    </w:p>
    <w:p w14:paraId="41083734" w14:textId="77777777" w:rsidR="00571CE4" w:rsidRPr="0091474F" w:rsidRDefault="00571CE4" w:rsidP="00571CE4">
      <w:pPr>
        <w:pStyle w:val="LI-BodyTextParaa"/>
        <w:ind w:left="0" w:firstLine="0"/>
      </w:pPr>
      <w:r w:rsidRPr="0091474F">
        <w:t>The Explanatory Statement is approved by the Australian Securities and Investments Commission (</w:t>
      </w:r>
      <w:r w:rsidRPr="0091474F">
        <w:rPr>
          <w:b/>
          <w:i/>
        </w:rPr>
        <w:t>ASIC</w:t>
      </w:r>
      <w:r w:rsidRPr="0091474F">
        <w:t>).</w:t>
      </w:r>
    </w:p>
    <w:p w14:paraId="733A935D" w14:textId="77777777" w:rsidR="00571CE4" w:rsidRPr="0091474F" w:rsidRDefault="00571CE4" w:rsidP="00571CE4">
      <w:pPr>
        <w:pStyle w:val="LI-BodyTextNumbered"/>
        <w:ind w:left="0" w:firstLine="0"/>
        <w:rPr>
          <w:b/>
        </w:rPr>
      </w:pPr>
      <w:r w:rsidRPr="0091474F">
        <w:rPr>
          <w:b/>
        </w:rPr>
        <w:t>Summary</w:t>
      </w:r>
    </w:p>
    <w:p w14:paraId="56EBC5D0" w14:textId="09CCF59A" w:rsidR="00571CE4" w:rsidRPr="001B65F2" w:rsidRDefault="00571CE4" w:rsidP="001C6400">
      <w:pPr>
        <w:pStyle w:val="LI-BodyTextParaa"/>
        <w:numPr>
          <w:ilvl w:val="0"/>
          <w:numId w:val="26"/>
        </w:numPr>
        <w:ind w:hanging="363"/>
      </w:pPr>
      <w:r w:rsidRPr="0091474F">
        <w:t xml:space="preserve">The </w:t>
      </w:r>
      <w:r w:rsidRPr="0091474F">
        <w:rPr>
          <w:i/>
        </w:rPr>
        <w:t>ASIC Corporations (AFCA Scheme Regulatory Requirement) Instrument 202</w:t>
      </w:r>
      <w:r w:rsidR="00604687" w:rsidRPr="0091474F">
        <w:rPr>
          <w:i/>
        </w:rPr>
        <w:t>1</w:t>
      </w:r>
      <w:r w:rsidRPr="0091474F">
        <w:rPr>
          <w:i/>
        </w:rPr>
        <w:t>/</w:t>
      </w:r>
      <w:r w:rsidR="00724A56" w:rsidRPr="0091474F">
        <w:rPr>
          <w:i/>
        </w:rPr>
        <w:t>000</w:t>
      </w:r>
      <w:r w:rsidR="00A25696" w:rsidRPr="0091474F">
        <w:rPr>
          <w:i/>
        </w:rPr>
        <w:t>2</w:t>
      </w:r>
      <w:r w:rsidR="00604687" w:rsidRPr="0091474F" w:rsidDel="001F5641">
        <w:t xml:space="preserve"> </w:t>
      </w:r>
      <w:r w:rsidRPr="0091474F">
        <w:t>requires the operator of the AFCA scheme (Australian Financial Complaints Limited (ACN 620 494 340</w:t>
      </w:r>
      <w:bookmarkStart w:id="2" w:name="_GoBack"/>
      <w:bookmarkEnd w:id="2"/>
      <w:r>
        <w:t>)) to am</w:t>
      </w:r>
      <w:r w:rsidR="001C6400">
        <w:t>end Sect</w:t>
      </w:r>
      <w:r w:rsidR="001C6400" w:rsidRPr="001D4259">
        <w:t>ion E</w:t>
      </w:r>
      <w:r w:rsidR="00CC29D9">
        <w:t xml:space="preserve"> </w:t>
      </w:r>
      <w:r w:rsidR="001C6400">
        <w:t>of the</w:t>
      </w:r>
      <w:r>
        <w:t xml:space="preserve"> Australian Financial Complaints Authority Complaint Resolution Scheme Rules (</w:t>
      </w:r>
      <w:r w:rsidRPr="00660B50">
        <w:rPr>
          <w:b/>
        </w:rPr>
        <w:t>scheme rules</w:t>
      </w:r>
      <w:r>
        <w:t xml:space="preserve">) </w:t>
      </w:r>
      <w:r w:rsidRPr="00724A56">
        <w:t xml:space="preserve">on or before </w:t>
      </w:r>
      <w:r w:rsidR="00062DC7" w:rsidRPr="00724A56">
        <w:t>15 January 2021</w:t>
      </w:r>
      <w:r w:rsidRPr="00724A56">
        <w:t xml:space="preserve"> and without consultation</w:t>
      </w:r>
      <w:r w:rsidR="001C6400">
        <w:t xml:space="preserve">. </w:t>
      </w:r>
    </w:p>
    <w:p w14:paraId="44B9F25A" w14:textId="017F8B19" w:rsidR="00604687" w:rsidRDefault="00724A56" w:rsidP="00571CE4">
      <w:pPr>
        <w:pStyle w:val="LI-BodyTextParaa"/>
        <w:numPr>
          <w:ilvl w:val="0"/>
          <w:numId w:val="26"/>
        </w:numPr>
        <w:ind w:hanging="363"/>
      </w:pPr>
      <w:r>
        <w:t>Paragraph 5(1)(a)</w:t>
      </w:r>
      <w:r w:rsidR="001C6400">
        <w:t xml:space="preserve"> of the instrument sets out </w:t>
      </w:r>
      <w:r>
        <w:t xml:space="preserve">a new definition of Representative </w:t>
      </w:r>
      <w:r w:rsidR="001C6400">
        <w:t>an</w:t>
      </w:r>
      <w:r>
        <w:t>d paragraph 5(1)(b) sets out an</w:t>
      </w:r>
      <w:r w:rsidR="001C6400">
        <w:t xml:space="preserve"> amended definition of Financial Firm</w:t>
      </w:r>
      <w:r>
        <w:t>,</w:t>
      </w:r>
      <w:r w:rsidR="00CC29D9">
        <w:t xml:space="preserve"> </w:t>
      </w:r>
      <w:r w:rsidR="001C6400">
        <w:t xml:space="preserve">each of which is to be inserted into </w:t>
      </w:r>
      <w:r w:rsidR="005D5207">
        <w:t>S</w:t>
      </w:r>
      <w:r w:rsidR="00063087">
        <w:t xml:space="preserve">ection E of the </w:t>
      </w:r>
      <w:r w:rsidR="001C6400">
        <w:t xml:space="preserve">scheme </w:t>
      </w:r>
      <w:r w:rsidR="00F27B1B">
        <w:t>r</w:t>
      </w:r>
      <w:r w:rsidR="001C6400">
        <w:t>ul</w:t>
      </w:r>
      <w:r w:rsidR="001C6400" w:rsidRPr="001D4259">
        <w:t xml:space="preserve">es.  </w:t>
      </w:r>
      <w:r w:rsidR="00571CE4" w:rsidRPr="001D4259">
        <w:t>T</w:t>
      </w:r>
      <w:r w:rsidR="001D4259">
        <w:t>h</w:t>
      </w:r>
      <w:r w:rsidR="001C6400">
        <w:t xml:space="preserve">ese amendments </w:t>
      </w:r>
      <w:r w:rsidR="00571CE4">
        <w:t>are described in more detail in paragraph</w:t>
      </w:r>
      <w:r w:rsidR="002527DA">
        <w:t xml:space="preserve"> </w:t>
      </w:r>
      <w:r w:rsidR="00BF280F">
        <w:fldChar w:fldCharType="begin"/>
      </w:r>
      <w:r w:rsidR="00BF280F">
        <w:instrText xml:space="preserve"> REF _Ref60656531 \r \h </w:instrText>
      </w:r>
      <w:r w:rsidR="00BF280F">
        <w:fldChar w:fldCharType="separate"/>
      </w:r>
      <w:r w:rsidR="00BF280F">
        <w:t>15</w:t>
      </w:r>
      <w:r w:rsidR="00BF280F">
        <w:fldChar w:fldCharType="end"/>
      </w:r>
      <w:r w:rsidR="00571CE4">
        <w:t xml:space="preserve"> below, and in summary </w:t>
      </w:r>
      <w:r w:rsidR="001C6400">
        <w:t xml:space="preserve">ensure that the scheme rules </w:t>
      </w:r>
      <w:r w:rsidR="00604687">
        <w:t>reflect</w:t>
      </w:r>
      <w:r w:rsidR="001C6400">
        <w:t xml:space="preserve"> the</w:t>
      </w:r>
      <w:r w:rsidR="00F27B1B">
        <w:t xml:space="preserve"> </w:t>
      </w:r>
      <w:r w:rsidR="00604687">
        <w:t xml:space="preserve">operation of the </w:t>
      </w:r>
      <w:r w:rsidR="00604687" w:rsidRPr="00BF280F">
        <w:rPr>
          <w:i/>
          <w:iCs/>
        </w:rPr>
        <w:t>Corporations Act</w:t>
      </w:r>
      <w:r w:rsidR="00BF280F" w:rsidRPr="00BF280F">
        <w:rPr>
          <w:i/>
          <w:iCs/>
        </w:rPr>
        <w:t xml:space="preserve"> 2001</w:t>
      </w:r>
      <w:r w:rsidR="00BF280F">
        <w:t xml:space="preserve"> (</w:t>
      </w:r>
      <w:r w:rsidR="00BF280F" w:rsidRPr="00BF280F">
        <w:rPr>
          <w:b/>
          <w:bCs/>
        </w:rPr>
        <w:t>Corporations Act</w:t>
      </w:r>
      <w:r w:rsidR="00BF280F">
        <w:t>) and the</w:t>
      </w:r>
      <w:r w:rsidR="00604687">
        <w:t xml:space="preserve"> </w:t>
      </w:r>
      <w:r w:rsidRPr="00BF280F">
        <w:rPr>
          <w:i/>
          <w:iCs/>
        </w:rPr>
        <w:t>National Consumer Credit Protection Act 2009</w:t>
      </w:r>
      <w:r>
        <w:t xml:space="preserve"> </w:t>
      </w:r>
      <w:r w:rsidR="008E546F">
        <w:t>(</w:t>
      </w:r>
      <w:r w:rsidR="008E546F" w:rsidRPr="008E546F">
        <w:rPr>
          <w:b/>
          <w:bCs/>
        </w:rPr>
        <w:t>NCCP Act</w:t>
      </w:r>
      <w:r w:rsidR="008E546F">
        <w:t>)</w:t>
      </w:r>
      <w:r w:rsidR="004F345E">
        <w:t xml:space="preserve"> </w:t>
      </w:r>
      <w:r w:rsidR="00604687">
        <w:t>provisions</w:t>
      </w:r>
      <w:r w:rsidR="00F27B1B">
        <w:t xml:space="preserve"> </w:t>
      </w:r>
      <w:r w:rsidR="00604687">
        <w:t xml:space="preserve">governing </w:t>
      </w:r>
      <w:r w:rsidR="00F27B1B">
        <w:t xml:space="preserve">liability </w:t>
      </w:r>
      <w:r w:rsidR="00604687">
        <w:t>of</w:t>
      </w:r>
      <w:r w:rsidR="00F27B1B">
        <w:t xml:space="preserve"> licensees in relation to their representatives</w:t>
      </w:r>
      <w:r w:rsidR="001C6400">
        <w:t xml:space="preserve">. </w:t>
      </w:r>
    </w:p>
    <w:p w14:paraId="1D4E0462" w14:textId="1846C00C" w:rsidR="007F20D5" w:rsidRDefault="001C6400" w:rsidP="00571CE4">
      <w:pPr>
        <w:pStyle w:val="LI-BodyTextParaa"/>
        <w:numPr>
          <w:ilvl w:val="0"/>
          <w:numId w:val="26"/>
        </w:numPr>
        <w:ind w:hanging="363"/>
      </w:pPr>
      <w:r>
        <w:t>Th</w:t>
      </w:r>
      <w:r w:rsidR="001C6113">
        <w:t>e</w:t>
      </w:r>
      <w:r>
        <w:t xml:space="preserve"> </w:t>
      </w:r>
      <w:r w:rsidR="00604687">
        <w:t xml:space="preserve">change to the scheme rules </w:t>
      </w:r>
      <w:r w:rsidR="001C6113">
        <w:t xml:space="preserve">required by the instrument </w:t>
      </w:r>
      <w:r>
        <w:t xml:space="preserve">ensures that the </w:t>
      </w:r>
      <w:r w:rsidR="007F20D5">
        <w:t xml:space="preserve">complaints mechanism under the </w:t>
      </w:r>
      <w:r>
        <w:t xml:space="preserve">AFCA scheme </w:t>
      </w:r>
      <w:r w:rsidR="001C6113">
        <w:t xml:space="preserve">complies with the general considerations of accessibility and effectiveness of the AFCA scheme under the </w:t>
      </w:r>
      <w:r w:rsidR="001C6113" w:rsidRPr="00BF280F">
        <w:t xml:space="preserve">Corporations Act </w:t>
      </w:r>
      <w:r w:rsidR="001C6113">
        <w:t>(see s1051A(a) and (f))</w:t>
      </w:r>
      <w:r w:rsidR="001C6113">
        <w:rPr>
          <w:i/>
          <w:iCs/>
        </w:rPr>
        <w:t>.</w:t>
      </w:r>
    </w:p>
    <w:p w14:paraId="1CD5CB6B" w14:textId="77777777" w:rsidR="00571CE4" w:rsidRPr="00660B50" w:rsidRDefault="00571CE4" w:rsidP="00571CE4">
      <w:pPr>
        <w:pStyle w:val="LI-BodyTextParaa"/>
        <w:ind w:left="142" w:firstLine="0"/>
        <w:rPr>
          <w:b/>
        </w:rPr>
      </w:pPr>
      <w:r w:rsidRPr="00901D4E">
        <w:rPr>
          <w:b/>
        </w:rPr>
        <w:t>Purpose of the instrument</w:t>
      </w:r>
    </w:p>
    <w:p w14:paraId="2C930367" w14:textId="557A334C" w:rsidR="00F27B1B" w:rsidRPr="00062DC7" w:rsidRDefault="00062DC7" w:rsidP="00571CE4">
      <w:pPr>
        <w:pStyle w:val="LI-BodyTextParaa"/>
        <w:numPr>
          <w:ilvl w:val="0"/>
          <w:numId w:val="26"/>
        </w:numPr>
        <w:ind w:hanging="363"/>
      </w:pPr>
      <w:r>
        <w:t xml:space="preserve">Under section 1052A of the </w:t>
      </w:r>
      <w:r w:rsidRPr="00BF280F">
        <w:t>Corporations Act</w:t>
      </w:r>
      <w:r>
        <w:rPr>
          <w:i/>
          <w:iCs/>
        </w:rPr>
        <w:t xml:space="preserve"> </w:t>
      </w:r>
      <w:r w:rsidR="00F27B1B">
        <w:t>ASIC may, by legislative instrument</w:t>
      </w:r>
      <w:r>
        <w:t>,</w:t>
      </w:r>
      <w:r w:rsidR="00F27B1B">
        <w:t xml:space="preserve"> issue to AFCA regulatory requirements relating to compliance with the mandatory requirements for the AFCA scheme or any of the general considerations for the AFCA scheme </w:t>
      </w:r>
      <w:r>
        <w:t xml:space="preserve">(see sections 1051 and </w:t>
      </w:r>
      <w:r w:rsidR="00F27B1B">
        <w:t xml:space="preserve">1051A of the </w:t>
      </w:r>
      <w:r w:rsidR="00F27B1B" w:rsidRPr="00BF280F">
        <w:t>Corporations Act</w:t>
      </w:r>
      <w:r w:rsidR="004F345E">
        <w:t>)</w:t>
      </w:r>
      <w:r w:rsidR="00F27B1B">
        <w:rPr>
          <w:i/>
          <w:iCs/>
        </w:rPr>
        <w:t>.</w:t>
      </w:r>
    </w:p>
    <w:p w14:paraId="645D1EC5" w14:textId="07D54E01" w:rsidR="00F95BF9" w:rsidRDefault="00062DC7" w:rsidP="00571CE4">
      <w:pPr>
        <w:pStyle w:val="LI-BodyTextParaa"/>
        <w:numPr>
          <w:ilvl w:val="0"/>
          <w:numId w:val="26"/>
        </w:numPr>
        <w:ind w:hanging="363"/>
      </w:pPr>
      <w:r>
        <w:lastRenderedPageBreak/>
        <w:t xml:space="preserve">On 26 November 2020, judgement in the New South Wales Supreme Court in the matter of </w:t>
      </w:r>
      <w:r w:rsidRPr="001C6113">
        <w:rPr>
          <w:i/>
          <w:iCs/>
        </w:rPr>
        <w:t>D</w:t>
      </w:r>
      <w:r w:rsidR="00A35573" w:rsidRPr="001C6113">
        <w:rPr>
          <w:i/>
          <w:iCs/>
        </w:rPr>
        <w:t xml:space="preserve"> </w:t>
      </w:r>
      <w:r w:rsidRPr="001C6113">
        <w:rPr>
          <w:i/>
          <w:iCs/>
        </w:rPr>
        <w:t xml:space="preserve">H Flinders </w:t>
      </w:r>
      <w:r w:rsidR="00A35573" w:rsidRPr="001C6113">
        <w:rPr>
          <w:i/>
          <w:iCs/>
        </w:rPr>
        <w:t xml:space="preserve">Pty Ltd </w:t>
      </w:r>
      <w:r w:rsidRPr="001C6113">
        <w:rPr>
          <w:i/>
          <w:iCs/>
        </w:rPr>
        <w:t>v A</w:t>
      </w:r>
      <w:r w:rsidR="00A35573" w:rsidRPr="001C6113">
        <w:rPr>
          <w:i/>
          <w:iCs/>
        </w:rPr>
        <w:t>ustralian Financial Complaints Authority Limited</w:t>
      </w:r>
      <w:r w:rsidR="00A35573">
        <w:t xml:space="preserve"> [2020] NSWSC 1690</w:t>
      </w:r>
      <w:r w:rsidR="00604687">
        <w:t xml:space="preserve"> </w:t>
      </w:r>
      <w:r>
        <w:t xml:space="preserve">found that the </w:t>
      </w:r>
      <w:r w:rsidR="009E18BF">
        <w:t>scheme rules</w:t>
      </w:r>
      <w:r w:rsidR="00A35573">
        <w:t xml:space="preserve"> did not confer on AFCA </w:t>
      </w:r>
      <w:r w:rsidR="00F95BF9">
        <w:t>authority, jurisdiction or power to d</w:t>
      </w:r>
      <w:r w:rsidR="00F95BF9" w:rsidRPr="00375F83">
        <w:t>eal with</w:t>
      </w:r>
      <w:r w:rsidR="001D4259" w:rsidRPr="00375F83">
        <w:t xml:space="preserve"> complaints against a licensee member, involving conduct of a corporate authorised representative of the licensee member acting without authority</w:t>
      </w:r>
      <w:r w:rsidR="009E18BF">
        <w:t xml:space="preserve"> from the licensee</w:t>
      </w:r>
      <w:r w:rsidR="00F95BF9" w:rsidRPr="00375F83">
        <w:t xml:space="preserve">. This was on the basis that the definition of Financial Firm in </w:t>
      </w:r>
      <w:r w:rsidR="00CC29D9">
        <w:t>rule</w:t>
      </w:r>
      <w:r w:rsidR="00F95BF9" w:rsidRPr="00375F83">
        <w:t xml:space="preserve"> E.1</w:t>
      </w:r>
      <w:r w:rsidR="00375F83" w:rsidRPr="00375F83">
        <w:t>.1</w:t>
      </w:r>
      <w:r w:rsidR="00F95BF9" w:rsidRPr="00375F83">
        <w:t xml:space="preserve"> of the scheme rules </w:t>
      </w:r>
      <w:r w:rsidR="00407B32">
        <w:t>was not capable of being read in the same way as s917B of the Corporations Act, to include a representative acting without authority.</w:t>
      </w:r>
    </w:p>
    <w:p w14:paraId="3F99D9BD" w14:textId="6ACF8D80" w:rsidR="00062DC7" w:rsidRDefault="00F95BF9" w:rsidP="00571CE4">
      <w:pPr>
        <w:pStyle w:val="LI-BodyTextParaa"/>
        <w:numPr>
          <w:ilvl w:val="0"/>
          <w:numId w:val="26"/>
        </w:numPr>
        <w:ind w:hanging="363"/>
      </w:pPr>
      <w:r>
        <w:t xml:space="preserve">The </w:t>
      </w:r>
      <w:r w:rsidR="00407B32">
        <w:t xml:space="preserve">DH Flinders </w:t>
      </w:r>
      <w:r>
        <w:t xml:space="preserve">judgement </w:t>
      </w:r>
      <w:r w:rsidR="00407B32">
        <w:t xml:space="preserve">noted </w:t>
      </w:r>
      <w:r>
        <w:t>the statutory attribution of liability of licensees for their representatives, including where their representatives act without or outside authority (see s</w:t>
      </w:r>
      <w:r w:rsidR="00E508BC">
        <w:t>s</w:t>
      </w:r>
      <w:r>
        <w:t>917B</w:t>
      </w:r>
      <w:r w:rsidR="00E508BC">
        <w:t>-F</w:t>
      </w:r>
      <w:r>
        <w:t xml:space="preserve"> of the </w:t>
      </w:r>
      <w:r w:rsidRPr="008E546F">
        <w:t xml:space="preserve">Corporations Act </w:t>
      </w:r>
      <w:r w:rsidR="00E508BC">
        <w:t>and ss75-77 of the</w:t>
      </w:r>
      <w:r w:rsidR="008E546F">
        <w:t xml:space="preserve"> NCCP Act</w:t>
      </w:r>
      <w:r>
        <w:t>) but found that AFCA’s contractual authority</w:t>
      </w:r>
      <w:r w:rsidR="007F20D5">
        <w:t xml:space="preserve"> as set out in the scheme rules</w:t>
      </w:r>
      <w:r>
        <w:t xml:space="preserve"> </w:t>
      </w:r>
      <w:r w:rsidR="00407B32">
        <w:t xml:space="preserve">did not operate in the same way. </w:t>
      </w:r>
    </w:p>
    <w:p w14:paraId="0A520F4E" w14:textId="5E0063D6" w:rsidR="00407B32" w:rsidRDefault="00F95BF9" w:rsidP="00571CE4">
      <w:pPr>
        <w:pStyle w:val="LI-BodyTextParaa"/>
        <w:numPr>
          <w:ilvl w:val="0"/>
          <w:numId w:val="26"/>
        </w:numPr>
        <w:ind w:hanging="363"/>
      </w:pPr>
      <w:r>
        <w:t>Th</w:t>
      </w:r>
      <w:r w:rsidR="00407B32">
        <w:t xml:space="preserve">e DH Flinders </w:t>
      </w:r>
      <w:r>
        <w:t>judgement has exposed a jurisdictional gap in the scheme rules which causes a lack of access to remedies for consumers who have a compl</w:t>
      </w:r>
      <w:r w:rsidR="007F20D5">
        <w:t>aint</w:t>
      </w:r>
      <w:r>
        <w:t xml:space="preserve"> about </w:t>
      </w:r>
      <w:r w:rsidR="00E508BC">
        <w:t>the conduct of a</w:t>
      </w:r>
      <w:r>
        <w:t xml:space="preserve"> representative of an AFCA member</w:t>
      </w:r>
      <w:r w:rsidR="00063087">
        <w:t>,</w:t>
      </w:r>
      <w:r>
        <w:t xml:space="preserve"> where the conduct of the representative was without or outside authority.  </w:t>
      </w:r>
    </w:p>
    <w:p w14:paraId="4002EE7B" w14:textId="36587FE1" w:rsidR="00F95BF9" w:rsidRDefault="00375CAF" w:rsidP="00571CE4">
      <w:pPr>
        <w:pStyle w:val="LI-BodyTextParaa"/>
        <w:numPr>
          <w:ilvl w:val="0"/>
          <w:numId w:val="26"/>
        </w:numPr>
        <w:ind w:hanging="363"/>
      </w:pPr>
      <w:r>
        <w:t xml:space="preserve">The purpose of this instrument is to </w:t>
      </w:r>
      <w:r w:rsidR="00CE3ECC">
        <w:t xml:space="preserve">require AFCA to </w:t>
      </w:r>
      <w:r>
        <w:t>promptly remedy this jurisdictional gap</w:t>
      </w:r>
      <w:r w:rsidR="00063087">
        <w:t xml:space="preserve"> </w:t>
      </w:r>
      <w:r w:rsidR="00230E81">
        <w:t xml:space="preserve">by requiring AFCA to amend the scheme rules as described in the instrument. This will </w:t>
      </w:r>
      <w:r w:rsidR="00063087">
        <w:t xml:space="preserve">ensure the AFCA scheme continues to comply with general considerations </w:t>
      </w:r>
      <w:r w:rsidR="00230E81">
        <w:t xml:space="preserve">of accessibility and effectiveness of the AFCA scheme </w:t>
      </w:r>
      <w:r w:rsidR="00063087">
        <w:t xml:space="preserve">under the </w:t>
      </w:r>
      <w:r w:rsidR="00063087" w:rsidRPr="00326F40">
        <w:t>Corporations Act</w:t>
      </w:r>
      <w:r w:rsidR="00230E81">
        <w:t xml:space="preserve"> (see s1051A(a) and (f) of the Corporations Act).</w:t>
      </w:r>
    </w:p>
    <w:p w14:paraId="50E9846A" w14:textId="567ED33B" w:rsidR="00571CE4" w:rsidRDefault="00571CE4" w:rsidP="00571CE4">
      <w:pPr>
        <w:pStyle w:val="LI-BodyTextParaa"/>
        <w:numPr>
          <w:ilvl w:val="0"/>
          <w:numId w:val="26"/>
        </w:numPr>
        <w:ind w:hanging="363"/>
      </w:pPr>
      <w:r>
        <w:t>The constitution (</w:t>
      </w:r>
      <w:r w:rsidRPr="00660B50">
        <w:rPr>
          <w:b/>
        </w:rPr>
        <w:t>AFCA constitution</w:t>
      </w:r>
      <w:r>
        <w:t xml:space="preserve">) of the operator of the AFCA scheme and the scheme rules require consultation with ASIC and individuals and organisations (including key consumer, community and industry organisations) on changes to the scheme rules before the scheme rules are amended. The consultation specified in the AFCA constitution and scheme rules does not apply where ASIC has utilised a statutory or regulatory power to require an amendment to the scheme rules. </w:t>
      </w:r>
    </w:p>
    <w:p w14:paraId="73D0BD5C" w14:textId="7C2EBBFE" w:rsidR="002D484F" w:rsidRDefault="00571CE4" w:rsidP="00571CE4">
      <w:pPr>
        <w:pStyle w:val="LI-BodyTextParaa"/>
        <w:numPr>
          <w:ilvl w:val="0"/>
          <w:numId w:val="26"/>
        </w:numPr>
        <w:ind w:hanging="363"/>
      </w:pPr>
      <w:r>
        <w:t>Th</w:t>
      </w:r>
      <w:r w:rsidR="007F20D5">
        <w:t>is</w:t>
      </w:r>
      <w:r>
        <w:t xml:space="preserve"> instrument is a statutory or regulatory power, and accordingly the provisions of the AFCA constitution and the scheme rules requiring</w:t>
      </w:r>
      <w:r w:rsidR="0081069F">
        <w:t xml:space="preserve"> consultation do not apply to the amendments to the scheme rules specified in the instrument. This is to ensure tha</w:t>
      </w:r>
      <w:r w:rsidR="007F20D5">
        <w:t>t</w:t>
      </w:r>
      <w:r w:rsidR="0081069F">
        <w:t xml:space="preserve"> technical changes are made to the scheme rules as promptly as possible to remedy the jurisdictional gap.</w:t>
      </w:r>
    </w:p>
    <w:p w14:paraId="20E62786" w14:textId="27EEF6A3" w:rsidR="00571CE4" w:rsidRDefault="00571CE4" w:rsidP="00571CE4">
      <w:pPr>
        <w:pStyle w:val="LI-BodyTextParaa"/>
        <w:numPr>
          <w:ilvl w:val="0"/>
          <w:numId w:val="26"/>
        </w:numPr>
        <w:ind w:hanging="363"/>
      </w:pPr>
      <w:r>
        <w:t>Th</w:t>
      </w:r>
      <w:r w:rsidR="00062DC7">
        <w:t>is</w:t>
      </w:r>
      <w:r>
        <w:t xml:space="preserve"> instrument does not affect the requirement that ASIC approve material changes to the AFCA scheme under s 1051(5)(b) of the Corporations Act.</w:t>
      </w:r>
    </w:p>
    <w:p w14:paraId="388714E0" w14:textId="2D5AC95B" w:rsidR="00571CE4" w:rsidRPr="00901DD1" w:rsidRDefault="00571CE4" w:rsidP="00571CE4">
      <w:pPr>
        <w:pStyle w:val="LI-BodyTextParaa"/>
        <w:ind w:left="930" w:hanging="788"/>
      </w:pPr>
      <w:r w:rsidRPr="00660B50">
        <w:rPr>
          <w:b/>
        </w:rPr>
        <w:t>A</w:t>
      </w:r>
      <w:r w:rsidR="00062DC7">
        <w:rPr>
          <w:b/>
        </w:rPr>
        <w:t>mendments to the scheme rules</w:t>
      </w:r>
    </w:p>
    <w:p w14:paraId="38B965AE" w14:textId="39EEA16C" w:rsidR="00126231" w:rsidRPr="00E55BCC" w:rsidRDefault="00571CE4" w:rsidP="00E55BCC">
      <w:pPr>
        <w:pStyle w:val="SubitemHead"/>
        <w:keepNext w:val="0"/>
        <w:keepLines w:val="0"/>
        <w:numPr>
          <w:ilvl w:val="0"/>
          <w:numId w:val="26"/>
        </w:numPr>
        <w:spacing w:before="240"/>
        <w:rPr>
          <w:rFonts w:ascii="Times New Roman" w:hAnsi="Times New Roman"/>
          <w:i w:val="0"/>
          <w:iCs/>
          <w:kern w:val="0"/>
          <w:sz w:val="24"/>
          <w:szCs w:val="24"/>
        </w:rPr>
      </w:pPr>
      <w:r w:rsidRPr="00E55BCC">
        <w:rPr>
          <w:rFonts w:ascii="Times New Roman" w:hAnsi="Times New Roman"/>
          <w:i w:val="0"/>
          <w:iCs/>
          <w:sz w:val="24"/>
          <w:szCs w:val="24"/>
        </w:rPr>
        <w:t xml:space="preserve">The instrument requires the operator of the AFCA scheme to amend the scheme rules on or before </w:t>
      </w:r>
      <w:r w:rsidR="00375F83" w:rsidRPr="00E55BCC">
        <w:rPr>
          <w:rFonts w:ascii="Times New Roman" w:hAnsi="Times New Roman"/>
          <w:b/>
          <w:bCs/>
          <w:i w:val="0"/>
          <w:iCs/>
          <w:sz w:val="24"/>
          <w:szCs w:val="24"/>
        </w:rPr>
        <w:t>15</w:t>
      </w:r>
      <w:r w:rsidR="0081069F" w:rsidRPr="00E55BCC">
        <w:rPr>
          <w:rFonts w:ascii="Times New Roman" w:hAnsi="Times New Roman"/>
          <w:b/>
          <w:bCs/>
          <w:i w:val="0"/>
          <w:iCs/>
          <w:sz w:val="24"/>
          <w:szCs w:val="24"/>
        </w:rPr>
        <w:t xml:space="preserve"> January 2021</w:t>
      </w:r>
      <w:r w:rsidRPr="00E55BCC">
        <w:rPr>
          <w:rFonts w:ascii="Times New Roman" w:hAnsi="Times New Roman"/>
          <w:i w:val="0"/>
          <w:iCs/>
          <w:sz w:val="24"/>
          <w:szCs w:val="24"/>
        </w:rPr>
        <w:t>,</w:t>
      </w:r>
      <w:r w:rsidR="00126231" w:rsidRPr="00E55BCC">
        <w:rPr>
          <w:rFonts w:ascii="Times New Roman" w:hAnsi="Times New Roman"/>
          <w:i w:val="0"/>
          <w:iCs/>
          <w:sz w:val="24"/>
          <w:szCs w:val="24"/>
        </w:rPr>
        <w:t xml:space="preserve"> without consultation,</w:t>
      </w:r>
      <w:r w:rsidRPr="00E55BCC">
        <w:rPr>
          <w:rFonts w:ascii="Times New Roman" w:hAnsi="Times New Roman"/>
          <w:i w:val="0"/>
          <w:iCs/>
          <w:sz w:val="24"/>
          <w:szCs w:val="24"/>
        </w:rPr>
        <w:t xml:space="preserve"> to</w:t>
      </w:r>
      <w:r w:rsidR="00126231" w:rsidRPr="00E55BCC">
        <w:rPr>
          <w:rFonts w:ascii="Times New Roman" w:hAnsi="Times New Roman"/>
          <w:i w:val="0"/>
          <w:iCs/>
          <w:sz w:val="24"/>
          <w:szCs w:val="24"/>
        </w:rPr>
        <w:t>:</w:t>
      </w:r>
    </w:p>
    <w:p w14:paraId="68A07A06" w14:textId="51C38B77" w:rsidR="00126231" w:rsidRPr="005C1DB5" w:rsidRDefault="00126231" w:rsidP="00E55BCC">
      <w:pPr>
        <w:pStyle w:val="LI-BodyTextParaa"/>
        <w:ind w:left="1134" w:hanging="425"/>
      </w:pPr>
      <w:r w:rsidRPr="00126231">
        <w:rPr>
          <w:iCs/>
        </w:rPr>
        <w:t>(a)</w:t>
      </w:r>
      <w:r w:rsidRPr="00126231">
        <w:rPr>
          <w:iCs/>
        </w:rPr>
        <w:tab/>
      </w:r>
      <w:r w:rsidR="00E55BCC">
        <w:rPr>
          <w:iCs/>
        </w:rPr>
        <w:t>Insert a new</w:t>
      </w:r>
      <w:r w:rsidR="00E55BCC">
        <w:t xml:space="preserve"> definition of “Representative” in rule E.1.1 of </w:t>
      </w:r>
      <w:r w:rsidR="00D9316F">
        <w:t xml:space="preserve">the </w:t>
      </w:r>
      <w:r w:rsidR="00E55BCC">
        <w:t xml:space="preserve">scheme rules. This new definition operates by reference to the definition of </w:t>
      </w:r>
      <w:r w:rsidR="00E55BCC">
        <w:lastRenderedPageBreak/>
        <w:t xml:space="preserve">representative in the Corporations Act, and the definition of credit representative in the </w:t>
      </w:r>
      <w:r w:rsidR="00326F40" w:rsidRPr="00326F40">
        <w:t>NCCP Act</w:t>
      </w:r>
      <w:r w:rsidR="00E55BCC">
        <w:t xml:space="preserve">; and </w:t>
      </w:r>
    </w:p>
    <w:p w14:paraId="7DDCFB90" w14:textId="4C0EDC33" w:rsidR="00571CE4" w:rsidRDefault="00126231" w:rsidP="005C1DB5">
      <w:pPr>
        <w:pStyle w:val="LI-BodyTextNumbered"/>
        <w:ind w:hanging="425"/>
      </w:pPr>
      <w:r w:rsidRPr="00126231">
        <w:t>(b)</w:t>
      </w:r>
      <w:r w:rsidRPr="00126231">
        <w:tab/>
      </w:r>
      <w:r w:rsidR="00E55BCC">
        <w:t xml:space="preserve">Replace a paragraph of the definition of “Financial Firm” in rule E.1.1 with a paragraph that expands the definition for specified provisions of the rules to include Representatives (as newly defined) and expressly referring to Representatives acting within or without authority. </w:t>
      </w:r>
    </w:p>
    <w:p w14:paraId="500BCEC2" w14:textId="0E3BEA45" w:rsidR="00F56662" w:rsidRPr="007F20D5" w:rsidRDefault="00571CE4" w:rsidP="007F20D5">
      <w:pPr>
        <w:pStyle w:val="LI-BodyTextNumbered"/>
        <w:ind w:left="567" w:hanging="425"/>
        <w:rPr>
          <w:b/>
        </w:rPr>
      </w:pPr>
      <w:bookmarkStart w:id="3" w:name="_Hlk534291624"/>
      <w:r w:rsidRPr="008B5597">
        <w:rPr>
          <w:b/>
        </w:rPr>
        <w:t>Consultation</w:t>
      </w:r>
    </w:p>
    <w:p w14:paraId="017DF719" w14:textId="77FBCD1B" w:rsidR="00571CE4" w:rsidRPr="00660B50" w:rsidRDefault="006E4124" w:rsidP="00CE3ECC">
      <w:pPr>
        <w:pStyle w:val="LI-BodyTextParaa"/>
        <w:numPr>
          <w:ilvl w:val="0"/>
          <w:numId w:val="26"/>
        </w:numPr>
      </w:pPr>
      <w:r>
        <w:t>There is an</w:t>
      </w:r>
      <w:r w:rsidR="00571CE4" w:rsidRPr="00660B50">
        <w:t xml:space="preserve"> </w:t>
      </w:r>
      <w:r>
        <w:t xml:space="preserve">urgent need to </w:t>
      </w:r>
      <w:r w:rsidR="008E1577">
        <w:t xml:space="preserve">ensure that </w:t>
      </w:r>
      <w:r>
        <w:t xml:space="preserve">the AFCA scheme jurisdiction, as set out in the scheme rules, is consistent with the statutory attribution of liability regarding the conduct of representatives of licensees.  The amendments to the scheme rules set out in this instrument are limited to achieving that purpose, and </w:t>
      </w:r>
      <w:r w:rsidR="00623564">
        <w:t>ensure</w:t>
      </w:r>
      <w:r>
        <w:t xml:space="preserve"> the</w:t>
      </w:r>
      <w:r w:rsidR="001D4259">
        <w:t xml:space="preserve"> AFCA</w:t>
      </w:r>
      <w:r>
        <w:t xml:space="preserve"> scheme is appropriately accessible and effectively performs its role as the single external dispute resolution scheme for financial services and credit complaints in Australia.</w:t>
      </w:r>
    </w:p>
    <w:p w14:paraId="587D21DE" w14:textId="39E73D4A" w:rsidR="00571CE4" w:rsidRPr="00660B50" w:rsidRDefault="00571CE4" w:rsidP="00CE3ECC">
      <w:pPr>
        <w:pStyle w:val="LI-BodyTextParaa"/>
        <w:numPr>
          <w:ilvl w:val="0"/>
          <w:numId w:val="26"/>
        </w:numPr>
      </w:pPr>
      <w:r w:rsidRPr="00660B50">
        <w:t xml:space="preserve">ASIC consulted the </w:t>
      </w:r>
      <w:r>
        <w:t xml:space="preserve">operator of the </w:t>
      </w:r>
      <w:r w:rsidRPr="00660B50">
        <w:t xml:space="preserve">AFCA </w:t>
      </w:r>
      <w:r>
        <w:t>scheme</w:t>
      </w:r>
      <w:r w:rsidRPr="00660B50">
        <w:t xml:space="preserve"> before making the instrument</w:t>
      </w:r>
      <w:r w:rsidR="00375F83">
        <w:t>.</w:t>
      </w:r>
      <w:r w:rsidR="006E4124">
        <w:t xml:space="preserve"> The public interest benefit in ensuring that the scheme rules are amended promptly</w:t>
      </w:r>
      <w:r w:rsidR="001D4259">
        <w:t>,</w:t>
      </w:r>
      <w:r w:rsidR="006E4124">
        <w:t xml:space="preserve"> to ensure </w:t>
      </w:r>
      <w:r w:rsidR="00604687">
        <w:t xml:space="preserve">accessibility and effectiveness of the </w:t>
      </w:r>
      <w:r w:rsidR="001C6113">
        <w:t>AFCA scheme</w:t>
      </w:r>
      <w:r w:rsidR="001D4259">
        <w:t>, exceeds the benefit of consulting more broadly on the technical amendments to the scheme rules.</w:t>
      </w:r>
    </w:p>
    <w:p w14:paraId="53892CCC" w14:textId="77777777" w:rsidR="00571CE4" w:rsidRPr="007B1D40" w:rsidRDefault="00571CE4" w:rsidP="00623564">
      <w:pPr>
        <w:pStyle w:val="LI-BodyTextNumbered"/>
        <w:ind w:left="0" w:firstLine="0"/>
        <w:rPr>
          <w:b/>
        </w:rPr>
      </w:pPr>
      <w:r w:rsidRPr="007B1D40">
        <w:rPr>
          <w:b/>
        </w:rPr>
        <w:t>Operation of the instrument</w:t>
      </w:r>
    </w:p>
    <w:p w14:paraId="6209396F" w14:textId="6AA5177E" w:rsidR="00E55BCC" w:rsidRDefault="00571CE4" w:rsidP="00623564">
      <w:pPr>
        <w:pStyle w:val="LI-BodyTextParaa"/>
        <w:numPr>
          <w:ilvl w:val="0"/>
          <w:numId w:val="26"/>
        </w:numPr>
      </w:pPr>
      <w:bookmarkStart w:id="4" w:name="_Ref60656531"/>
      <w:r w:rsidRPr="00901DD1">
        <w:t xml:space="preserve">Section </w:t>
      </w:r>
      <w:r>
        <w:t>5</w:t>
      </w:r>
      <w:r w:rsidRPr="00901DD1">
        <w:t xml:space="preserve"> of the instrument requires </w:t>
      </w:r>
      <w:r>
        <w:t xml:space="preserve">the </w:t>
      </w:r>
      <w:r w:rsidRPr="00901DD1">
        <w:t xml:space="preserve">AFCA </w:t>
      </w:r>
      <w:r>
        <w:t xml:space="preserve">operator </w:t>
      </w:r>
      <w:r w:rsidRPr="00901DD1">
        <w:t xml:space="preserve">to </w:t>
      </w:r>
      <w:r>
        <w:t>amend</w:t>
      </w:r>
      <w:r w:rsidR="007F20D5">
        <w:t xml:space="preserve"> </w:t>
      </w:r>
      <w:r>
        <w:t>the scheme rules on or before</w:t>
      </w:r>
      <w:r w:rsidR="007F20D5">
        <w:t xml:space="preserve"> </w:t>
      </w:r>
      <w:r w:rsidR="001D4259" w:rsidRPr="004F345E">
        <w:t>15</w:t>
      </w:r>
      <w:r w:rsidR="007F20D5" w:rsidRPr="004F345E">
        <w:t xml:space="preserve"> January 2021</w:t>
      </w:r>
      <w:r>
        <w:t xml:space="preserve">, without consultation, </w:t>
      </w:r>
      <w:r w:rsidR="00E55BCC">
        <w:t>as follows:</w:t>
      </w:r>
      <w:bookmarkEnd w:id="4"/>
    </w:p>
    <w:p w14:paraId="1356F23D" w14:textId="2263EDCC" w:rsidR="00E55BCC" w:rsidRDefault="00E55BCC" w:rsidP="005C1DB5">
      <w:pPr>
        <w:pStyle w:val="LI-BodyTextNumbered"/>
        <w:ind w:left="993" w:hanging="423"/>
      </w:pPr>
      <w:r>
        <w:t>(a)</w:t>
      </w:r>
      <w:r>
        <w:tab/>
        <w:t>Insert in the appropriate place in rule E.1.1: “</w:t>
      </w:r>
      <w:r w:rsidRPr="00CE57F1">
        <w:rPr>
          <w:b/>
          <w:bCs/>
        </w:rPr>
        <w:t>Representative</w:t>
      </w:r>
      <w:r w:rsidRPr="00CE57F1">
        <w:t xml:space="preserve"> means any person or entity for whose conduct a Financial Firm is or may be liable, including but not limited to a representative within the meaning of the Corporations Act</w:t>
      </w:r>
      <w:r>
        <w:t>,</w:t>
      </w:r>
      <w:r w:rsidRPr="00CE57F1">
        <w:t xml:space="preserve"> and a credit representative within the meaning of the National Consumer Credit Protection Act 2009.</w:t>
      </w:r>
      <w:r>
        <w:t>” and</w:t>
      </w:r>
    </w:p>
    <w:p w14:paraId="0997BCB2" w14:textId="1C16FBC6" w:rsidR="00E55BCC" w:rsidRDefault="00E55BCC" w:rsidP="005C1DB5">
      <w:pPr>
        <w:pStyle w:val="LI-BodyTextNumbered"/>
        <w:ind w:left="993" w:hanging="423"/>
      </w:pPr>
      <w:r>
        <w:t>(b)</w:t>
      </w:r>
      <w:r>
        <w:tab/>
        <w:t>omit paragraph 4 of the definition of Financial Firm in rule E.1.1 and substitute:</w:t>
      </w:r>
    </w:p>
    <w:p w14:paraId="1D2EA46D" w14:textId="77777777" w:rsidR="00E55BCC" w:rsidRPr="00E55BCC" w:rsidRDefault="00E55BCC" w:rsidP="00E55BCC">
      <w:pPr>
        <w:pStyle w:val="ListParagraph"/>
        <w:ind w:left="570"/>
        <w:rPr>
          <w:sz w:val="24"/>
          <w:szCs w:val="24"/>
        </w:rPr>
      </w:pPr>
    </w:p>
    <w:p w14:paraId="2166A013" w14:textId="04C09871" w:rsidR="00E55BCC" w:rsidRPr="00E55BCC" w:rsidRDefault="00E55BCC" w:rsidP="005C1DB5">
      <w:pPr>
        <w:pStyle w:val="ListParagraph"/>
        <w:ind w:left="851" w:hanging="281"/>
        <w:rPr>
          <w:sz w:val="24"/>
          <w:szCs w:val="24"/>
        </w:rPr>
      </w:pPr>
      <w:r w:rsidRPr="00E55BCC">
        <w:rPr>
          <w:sz w:val="24"/>
          <w:szCs w:val="24"/>
        </w:rPr>
        <w:t>“4. For the purposes of rule B.2, A.7.1, A.7.2 and A.7.6 in relation to a complaint other than a Superannuation Complaint, “Financial Firm” also includes any employee, agent or contractor of the Financial Firm, any Representative of the Financial Firm regardless of whether the Representative’s conduct is within or without authority, and without limiting the foregoing, any other person who has actual, ostensible, apparent or usual authority to act on behalf of the Financial Firm or authority to act by necessity in relation to a financial service.”</w:t>
      </w:r>
    </w:p>
    <w:bookmarkEnd w:id="3"/>
    <w:p w14:paraId="1C4AC3FA" w14:textId="77777777" w:rsidR="00571CE4" w:rsidRPr="00C15AC6" w:rsidRDefault="00571CE4" w:rsidP="00CE3ECC">
      <w:pPr>
        <w:pStyle w:val="LI-BodyTextParaa"/>
        <w:ind w:left="0" w:firstLine="0"/>
        <w:rPr>
          <w:b/>
        </w:rPr>
      </w:pPr>
      <w:r w:rsidRPr="00C15AC6">
        <w:rPr>
          <w:b/>
        </w:rPr>
        <w:t>Legislative authority</w:t>
      </w:r>
    </w:p>
    <w:p w14:paraId="7B4D1526" w14:textId="56FC1628" w:rsidR="00571CE4" w:rsidRPr="007B1D40" w:rsidRDefault="00571CE4" w:rsidP="00623564">
      <w:pPr>
        <w:pStyle w:val="LI-BodyTextParaa"/>
        <w:numPr>
          <w:ilvl w:val="0"/>
          <w:numId w:val="26"/>
        </w:numPr>
      </w:pPr>
      <w:r w:rsidRPr="007B1D40">
        <w:t>The source of power to make the instrument is section 1052A(</w:t>
      </w:r>
      <w:r w:rsidR="00604687">
        <w:t>b</w:t>
      </w:r>
      <w:r w:rsidRPr="007B1D40">
        <w:t xml:space="preserve">) of the </w:t>
      </w:r>
      <w:r w:rsidRPr="00326F40">
        <w:rPr>
          <w:iCs/>
        </w:rPr>
        <w:t>Corporations Act</w:t>
      </w:r>
      <w:r>
        <w:rPr>
          <w:i/>
        </w:rPr>
        <w:t>.</w:t>
      </w:r>
    </w:p>
    <w:p w14:paraId="57315002" w14:textId="1540AE28" w:rsidR="00571CE4" w:rsidRDefault="00571CE4" w:rsidP="00623564">
      <w:pPr>
        <w:pStyle w:val="LI-BodyTextParaa"/>
        <w:numPr>
          <w:ilvl w:val="0"/>
          <w:numId w:val="26"/>
        </w:numPr>
      </w:pPr>
      <w:r w:rsidRPr="007B1D40">
        <w:lastRenderedPageBreak/>
        <w:t>The instrument is a disallowable legislative instrument.</w:t>
      </w:r>
    </w:p>
    <w:p w14:paraId="19D74AA6" w14:textId="77777777" w:rsidR="00571CE4" w:rsidRPr="007B1D40" w:rsidRDefault="00571CE4" w:rsidP="00623564">
      <w:pPr>
        <w:pStyle w:val="LI-BodyTextParaa"/>
        <w:ind w:left="0" w:firstLine="0"/>
      </w:pPr>
      <w:r w:rsidRPr="007B1D40">
        <w:rPr>
          <w:b/>
        </w:rPr>
        <w:t>Statement of Compatibility with Human Rights</w:t>
      </w:r>
    </w:p>
    <w:p w14:paraId="7FFD4C6A" w14:textId="1E3A8630" w:rsidR="00571CE4" w:rsidRPr="00D931E7" w:rsidRDefault="00571CE4" w:rsidP="00326F40">
      <w:pPr>
        <w:pStyle w:val="LI-BodyTextParaa"/>
        <w:numPr>
          <w:ilvl w:val="0"/>
          <w:numId w:val="26"/>
        </w:numPr>
      </w:pPr>
      <w:r w:rsidRPr="007B1D40">
        <w:t xml:space="preserve">The Explanatory Statement for a disallowable legislative instrument must contain a Statement of Compatibility with Human Rights under subsection 9(1) of the </w:t>
      </w:r>
      <w:r w:rsidRPr="007B1D40">
        <w:rPr>
          <w:i/>
          <w:iCs/>
        </w:rPr>
        <w:t>Human Rights (Parliamentary Scrutiny) Act 2011.</w:t>
      </w:r>
      <w:r w:rsidRPr="007B1D40">
        <w:rPr>
          <w:iCs/>
        </w:rPr>
        <w:t xml:space="preserve"> </w:t>
      </w:r>
      <w:r w:rsidRPr="007B1D40">
        <w:t xml:space="preserve">A Statement of Compatibility with Human Rights is in the </w:t>
      </w:r>
      <w:r w:rsidRPr="007B1D40">
        <w:rPr>
          <w:u w:val="single"/>
        </w:rPr>
        <w:t>Attachment</w:t>
      </w:r>
      <w:r w:rsidRPr="007B1D40">
        <w:t>.</w:t>
      </w:r>
    </w:p>
    <w:p w14:paraId="33698AD9" w14:textId="77777777" w:rsidR="00571CE4" w:rsidRPr="007B1D40" w:rsidRDefault="00571CE4" w:rsidP="00571CE4">
      <w:pPr>
        <w:pStyle w:val="LI-BodyTextParaa"/>
        <w:ind w:left="567"/>
      </w:pPr>
    </w:p>
    <w:p w14:paraId="730088E9" w14:textId="77777777" w:rsidR="00571CE4" w:rsidRPr="007B1D40" w:rsidRDefault="00571CE4" w:rsidP="00571CE4">
      <w:pPr>
        <w:pStyle w:val="LI-BodyTextParaa"/>
        <w:ind w:left="567"/>
        <w:jc w:val="right"/>
        <w:rPr>
          <w:u w:val="single"/>
        </w:rPr>
      </w:pPr>
      <w:r w:rsidRPr="00962BE5">
        <w:rPr>
          <w:color w:val="FF0000"/>
        </w:rPr>
        <w:br w:type="page"/>
      </w:r>
      <w:r w:rsidRPr="007B1D40">
        <w:rPr>
          <w:u w:val="single"/>
        </w:rPr>
        <w:lastRenderedPageBreak/>
        <w:t>Attachment</w:t>
      </w:r>
    </w:p>
    <w:p w14:paraId="769149ED" w14:textId="77777777" w:rsidR="00571CE4" w:rsidRPr="007B1D40" w:rsidRDefault="00571CE4" w:rsidP="00571CE4">
      <w:pPr>
        <w:pStyle w:val="LI-BodyTextParaa"/>
        <w:ind w:left="567"/>
        <w:jc w:val="center"/>
        <w:rPr>
          <w:b/>
          <w:sz w:val="28"/>
          <w:szCs w:val="28"/>
        </w:rPr>
      </w:pPr>
      <w:r w:rsidRPr="007B1D40">
        <w:rPr>
          <w:b/>
          <w:sz w:val="28"/>
          <w:szCs w:val="28"/>
        </w:rPr>
        <w:t>Statement of Compatibility with Human Rights</w:t>
      </w:r>
    </w:p>
    <w:p w14:paraId="3ECE0FE5" w14:textId="77777777" w:rsidR="00571CE4" w:rsidRPr="007B1D40" w:rsidRDefault="00571CE4" w:rsidP="00571CE4">
      <w:pPr>
        <w:pStyle w:val="LI-BodyTextNumbered"/>
        <w:ind w:left="0" w:firstLine="0"/>
        <w:rPr>
          <w:iCs/>
        </w:rPr>
      </w:pPr>
      <w:bookmarkStart w:id="5" w:name="_Hlk534286677"/>
      <w:r w:rsidRPr="007B1D40">
        <w:rPr>
          <w:iCs/>
        </w:rPr>
        <w:t xml:space="preserve">This Statement of Compatibility with Human Rights is prepared in accordance with Part 3 of </w:t>
      </w:r>
      <w:bookmarkStart w:id="6" w:name="_Hlk4054932"/>
      <w:r w:rsidRPr="007B1D40">
        <w:rPr>
          <w:iCs/>
        </w:rPr>
        <w:t xml:space="preserve">the </w:t>
      </w:r>
      <w:r w:rsidRPr="007B1D40">
        <w:rPr>
          <w:i/>
          <w:iCs/>
        </w:rPr>
        <w:t>Human Rights (Parliamentary Scrutiny) Act 2011</w:t>
      </w:r>
      <w:bookmarkEnd w:id="6"/>
      <w:r w:rsidRPr="007B1D40">
        <w:rPr>
          <w:iCs/>
        </w:rPr>
        <w:t>.</w:t>
      </w:r>
    </w:p>
    <w:p w14:paraId="02449558" w14:textId="55CA3650" w:rsidR="00571CE4" w:rsidRPr="007B1D40" w:rsidRDefault="00571CE4" w:rsidP="00571CE4">
      <w:pPr>
        <w:pStyle w:val="LI-BodyTextParaa"/>
        <w:ind w:left="0" w:firstLine="0"/>
      </w:pPr>
      <w:r w:rsidRPr="007B1D40">
        <w:rPr>
          <w:i/>
        </w:rPr>
        <w:t>ASIC Corporations (AFCA Scheme Regulatory Requirement) Instrument 202</w:t>
      </w:r>
      <w:r w:rsidR="00724A56">
        <w:rPr>
          <w:i/>
        </w:rPr>
        <w:t>1</w:t>
      </w:r>
      <w:r w:rsidRPr="007B1D40">
        <w:rPr>
          <w:i/>
        </w:rPr>
        <w:t>/</w:t>
      </w:r>
      <w:r>
        <w:t>0</w:t>
      </w:r>
      <w:r w:rsidR="00724A56">
        <w:t>002</w:t>
      </w:r>
      <w:r w:rsidR="00D9316F">
        <w:t xml:space="preserve"> </w:t>
      </w:r>
      <w:r w:rsidRPr="007B1D40">
        <w:t>(</w:t>
      </w:r>
      <w:r w:rsidRPr="00D9316F">
        <w:rPr>
          <w:b/>
          <w:bCs/>
        </w:rPr>
        <w:t xml:space="preserve">the </w:t>
      </w:r>
      <w:r w:rsidRPr="00D9316F">
        <w:rPr>
          <w:b/>
          <w:iCs/>
        </w:rPr>
        <w:t>instrument</w:t>
      </w:r>
      <w:r w:rsidRPr="007B1D40">
        <w:t>).</w:t>
      </w:r>
    </w:p>
    <w:p w14:paraId="1C21F995" w14:textId="77777777" w:rsidR="00571CE4" w:rsidRPr="007B1D40" w:rsidRDefault="00571CE4" w:rsidP="00571CE4">
      <w:pPr>
        <w:pStyle w:val="LI-BodyTextParaa"/>
        <w:ind w:left="567"/>
        <w:rPr>
          <w:u w:val="single"/>
        </w:rPr>
      </w:pPr>
      <w:bookmarkStart w:id="7" w:name="_Hlk534286807"/>
      <w:bookmarkEnd w:id="5"/>
      <w:r w:rsidRPr="007B1D40">
        <w:rPr>
          <w:u w:val="single"/>
        </w:rPr>
        <w:t>Overview</w:t>
      </w:r>
    </w:p>
    <w:p w14:paraId="1C1EE7D6" w14:textId="5DF2940F" w:rsidR="00571CE4" w:rsidRDefault="00724A56" w:rsidP="00724A56">
      <w:pPr>
        <w:pStyle w:val="LI-BodyTextParaa"/>
        <w:numPr>
          <w:ilvl w:val="0"/>
          <w:numId w:val="33"/>
        </w:numPr>
      </w:pPr>
      <w:r>
        <w:t>The instrument requires the operator of the AFCA scheme (Australian Financial Complaints Limited (ACN 620 494 340)) to amend Sect</w:t>
      </w:r>
      <w:r w:rsidRPr="001D4259">
        <w:t>ion E.1</w:t>
      </w:r>
      <w:r>
        <w:t xml:space="preserve"> of the Australian Financial Complaints Authority Complaint Resolution Scheme Rules (</w:t>
      </w:r>
      <w:r w:rsidRPr="00660B50">
        <w:rPr>
          <w:b/>
        </w:rPr>
        <w:t>scheme rules</w:t>
      </w:r>
      <w:r>
        <w:t xml:space="preserve">) </w:t>
      </w:r>
      <w:r w:rsidRPr="00724A56">
        <w:t>on or before 15 January 2021 and without consultation</w:t>
      </w:r>
      <w:r>
        <w:t xml:space="preserve"> to:</w:t>
      </w:r>
    </w:p>
    <w:p w14:paraId="3E26E84E" w14:textId="5CFDDFB1" w:rsidR="00724A56" w:rsidRDefault="00724A56" w:rsidP="00724A56">
      <w:pPr>
        <w:pStyle w:val="LI-BodyTextParaa"/>
        <w:numPr>
          <w:ilvl w:val="1"/>
          <w:numId w:val="33"/>
        </w:numPr>
      </w:pPr>
      <w:r>
        <w:t>Insert a new definition of Representative in</w:t>
      </w:r>
      <w:r w:rsidR="00C36C3B">
        <w:t xml:space="preserve"> rule</w:t>
      </w:r>
      <w:r>
        <w:t xml:space="preserve"> E.1.1 of the scheme rule</w:t>
      </w:r>
      <w:r w:rsidR="00781D57">
        <w:t xml:space="preserve">s, which includes a representative within the meaning of the Corporations Act 2001 and the </w:t>
      </w:r>
      <w:bookmarkStart w:id="8" w:name="_Hlk60655268"/>
      <w:r w:rsidR="00781D57" w:rsidRPr="00CE57F1">
        <w:t>National Consumer Credit Protection Act 2009</w:t>
      </w:r>
      <w:bookmarkEnd w:id="8"/>
      <w:r w:rsidR="00781D57">
        <w:t xml:space="preserve">; and </w:t>
      </w:r>
    </w:p>
    <w:p w14:paraId="209DD0AF" w14:textId="250411D1" w:rsidR="00724A56" w:rsidRPr="007B1D40" w:rsidRDefault="00724A56" w:rsidP="00724A56">
      <w:pPr>
        <w:pStyle w:val="LI-BodyTextParaa"/>
        <w:numPr>
          <w:ilvl w:val="1"/>
          <w:numId w:val="33"/>
        </w:numPr>
      </w:pPr>
      <w:r>
        <w:t xml:space="preserve">Omit </w:t>
      </w:r>
      <w:r w:rsidRPr="00724A56">
        <w:t xml:space="preserve">paragraph 4 of the definition of Financial Firm in </w:t>
      </w:r>
      <w:r w:rsidR="00C36C3B">
        <w:t>rule</w:t>
      </w:r>
      <w:r w:rsidRPr="00724A56">
        <w:t xml:space="preserve"> E.1.1 of the scheme rules </w:t>
      </w:r>
      <w:r w:rsidRPr="00724A56">
        <w:rPr>
          <w:rFonts w:eastAsiaTheme="minorHAnsi"/>
          <w:color w:val="000000"/>
        </w:rPr>
        <w:t>and substitute a new paragraph 4, which expands the definition to include Representatives acting within or without authority.</w:t>
      </w:r>
    </w:p>
    <w:p w14:paraId="68B0B2B0" w14:textId="77777777" w:rsidR="00571CE4" w:rsidRPr="007B1D40" w:rsidRDefault="00571CE4" w:rsidP="00571CE4">
      <w:pPr>
        <w:pStyle w:val="LI-BodyTextParaa"/>
        <w:ind w:left="567"/>
        <w:rPr>
          <w:u w:val="single"/>
        </w:rPr>
      </w:pPr>
      <w:r w:rsidRPr="007B1D40">
        <w:rPr>
          <w:u w:val="single"/>
        </w:rPr>
        <w:t>Assessment of human rights implications</w:t>
      </w:r>
    </w:p>
    <w:p w14:paraId="5DC401BF" w14:textId="61DCBFED" w:rsidR="00571CE4" w:rsidRPr="007B1D40" w:rsidRDefault="00781D57" w:rsidP="00781D57">
      <w:pPr>
        <w:pStyle w:val="LI-BodyTextNumbered"/>
        <w:ind w:left="0" w:firstLine="0"/>
      </w:pPr>
      <w:r>
        <w:t>2</w:t>
      </w:r>
      <w:r w:rsidR="00571CE4" w:rsidRPr="007B1D40">
        <w:t>.</w:t>
      </w:r>
      <w:r w:rsidR="00571CE4" w:rsidRPr="007B1D40">
        <w:tab/>
      </w:r>
      <w:bookmarkEnd w:id="7"/>
      <w:r w:rsidR="00571CE4" w:rsidRPr="007B1D40">
        <w:t>The instrument does engage any of the applicable rights or freedoms.</w:t>
      </w:r>
    </w:p>
    <w:p w14:paraId="4383E73C" w14:textId="77777777" w:rsidR="00571CE4" w:rsidRPr="007B1D40" w:rsidRDefault="00571CE4" w:rsidP="00571CE4">
      <w:pPr>
        <w:pStyle w:val="LI-BodyTextNumbered"/>
        <w:ind w:left="567"/>
        <w:rPr>
          <w:u w:val="single"/>
        </w:rPr>
      </w:pPr>
      <w:r w:rsidRPr="007B1D40">
        <w:rPr>
          <w:u w:val="single"/>
        </w:rPr>
        <w:t>Conclusion</w:t>
      </w:r>
    </w:p>
    <w:p w14:paraId="364AC363" w14:textId="01F470C6" w:rsidR="00571CE4" w:rsidRPr="007B1D40" w:rsidRDefault="00781D57" w:rsidP="00571CE4">
      <w:pPr>
        <w:pStyle w:val="LI-BodyTextNumbered"/>
        <w:ind w:left="567"/>
      </w:pPr>
      <w:r>
        <w:t>3.</w:t>
      </w:r>
      <w:r w:rsidR="00571CE4" w:rsidRPr="007B1D40">
        <w:t>.</w:t>
      </w:r>
      <w:r w:rsidR="00571CE4" w:rsidRPr="007B1D40">
        <w:tab/>
        <w:t xml:space="preserve">The instrument is compatible with the human rights and freedoms recognised or declared in the international instruments listed in section 3 of </w:t>
      </w:r>
      <w:r w:rsidR="00571CE4" w:rsidRPr="007B1D40">
        <w:rPr>
          <w:iCs/>
        </w:rPr>
        <w:t xml:space="preserve">the </w:t>
      </w:r>
      <w:r w:rsidR="00571CE4" w:rsidRPr="007B1D40">
        <w:rPr>
          <w:i/>
          <w:iCs/>
        </w:rPr>
        <w:t>Human Rights (Parliamentary Scrutiny) Act 2011</w:t>
      </w:r>
      <w:r w:rsidR="00571CE4" w:rsidRPr="007B1D40">
        <w:t>.</w:t>
      </w:r>
    </w:p>
    <w:p w14:paraId="111AA35B" w14:textId="5C3BFFEA" w:rsidR="004560F8" w:rsidRDefault="004560F8"/>
    <w:p w14:paraId="0FECB095" w14:textId="3AFF71FE" w:rsidR="007A2923" w:rsidRPr="007A2923" w:rsidRDefault="007A2923"/>
    <w:sectPr w:rsidR="007A2923" w:rsidRPr="007A2923" w:rsidSect="00863657">
      <w:headerReference w:type="even" r:id="rId12"/>
      <w:headerReference w:type="default" r:id="rId13"/>
      <w:footerReference w:type="default" r:id="rId14"/>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552A8" w14:textId="77777777" w:rsidR="00E909D2" w:rsidRDefault="002D484F">
      <w:pPr>
        <w:spacing w:line="240" w:lineRule="auto"/>
      </w:pPr>
      <w:r>
        <w:separator/>
      </w:r>
    </w:p>
  </w:endnote>
  <w:endnote w:type="continuationSeparator" w:id="0">
    <w:p w14:paraId="03E2C161" w14:textId="77777777" w:rsidR="00E909D2" w:rsidRDefault="002D4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951F8" w14:textId="77777777" w:rsidR="009048BA" w:rsidRDefault="00571CE4">
    <w:pPr>
      <w:pStyle w:val="Footer"/>
      <w:jc w:val="center"/>
    </w:pPr>
    <w:r>
      <w:fldChar w:fldCharType="begin"/>
    </w:r>
    <w:r>
      <w:instrText xml:space="preserve"> PAGE   \* MERGEFORMAT </w:instrText>
    </w:r>
    <w:r>
      <w:fldChar w:fldCharType="separate"/>
    </w:r>
    <w:r>
      <w:rPr>
        <w:noProof/>
      </w:rPr>
      <w:t>2</w:t>
    </w:r>
    <w:r>
      <w:rPr>
        <w:noProof/>
      </w:rPr>
      <w:fldChar w:fldCharType="end"/>
    </w:r>
  </w:p>
  <w:p w14:paraId="01EA65B3" w14:textId="77777777" w:rsidR="006C6C78" w:rsidRDefault="00914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1163E" w14:textId="77777777" w:rsidR="00E909D2" w:rsidRDefault="002D484F">
      <w:pPr>
        <w:spacing w:line="240" w:lineRule="auto"/>
      </w:pPr>
      <w:r>
        <w:separator/>
      </w:r>
    </w:p>
  </w:footnote>
  <w:footnote w:type="continuationSeparator" w:id="0">
    <w:p w14:paraId="7546B584" w14:textId="77777777" w:rsidR="00E909D2" w:rsidRDefault="002D48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67797" w14:textId="77777777" w:rsidR="006C6C78" w:rsidRPr="00243EC0" w:rsidRDefault="00571CE4"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6C6C78" w:rsidRPr="00E40FF8" w14:paraId="7790E102" w14:textId="77777777" w:rsidTr="001E77ED">
      <w:tc>
        <w:tcPr>
          <w:tcW w:w="4253" w:type="dxa"/>
          <w:shd w:val="clear" w:color="auto" w:fill="auto"/>
        </w:tcPr>
        <w:p w14:paraId="7F0682E2" w14:textId="77777777" w:rsidR="006C6C78" w:rsidRDefault="0091474F" w:rsidP="00E40FF8">
          <w:pPr>
            <w:pStyle w:val="LI-Header"/>
            <w:pBdr>
              <w:bottom w:val="none" w:sz="0" w:space="0" w:color="auto"/>
            </w:pBdr>
            <w:jc w:val="left"/>
          </w:pPr>
        </w:p>
      </w:tc>
      <w:tc>
        <w:tcPr>
          <w:tcW w:w="4060" w:type="dxa"/>
          <w:shd w:val="clear" w:color="auto" w:fill="auto"/>
        </w:tcPr>
        <w:p w14:paraId="37D81455" w14:textId="77777777" w:rsidR="006C6C78" w:rsidRDefault="0091474F" w:rsidP="00F03BB5">
          <w:pPr>
            <w:pStyle w:val="LI-BodyTextNumbered"/>
          </w:pPr>
        </w:p>
      </w:tc>
    </w:tr>
  </w:tbl>
  <w:p w14:paraId="0C150BA8" w14:textId="77777777" w:rsidR="006C6C78" w:rsidRPr="00F4215A" w:rsidRDefault="0091474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70F43"/>
    <w:multiLevelType w:val="hybridMultilevel"/>
    <w:tmpl w:val="4E94FBC4"/>
    <w:lvl w:ilvl="0" w:tplc="F578B0E0">
      <w:start w:val="1"/>
      <w:numFmt w:val="decimal"/>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EE6DA5"/>
    <w:multiLevelType w:val="hybridMultilevel"/>
    <w:tmpl w:val="F3A463D6"/>
    <w:lvl w:ilvl="0" w:tplc="F578B0E0">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C01FC1"/>
    <w:multiLevelType w:val="hybridMultilevel"/>
    <w:tmpl w:val="BBE23DBE"/>
    <w:lvl w:ilvl="0" w:tplc="FC8636EA">
      <w:start w:val="1"/>
      <w:numFmt w:val="lowerRoman"/>
      <w:lvlText w:val="(%1)"/>
      <w:lvlJc w:val="left"/>
      <w:pPr>
        <w:ind w:left="1797" w:hanging="360"/>
      </w:pPr>
      <w:rPr>
        <w:rFonts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5" w15:restartNumberingAfterBreak="0">
    <w:nsid w:val="120327DC"/>
    <w:multiLevelType w:val="hybridMultilevel"/>
    <w:tmpl w:val="3ACCF1DE"/>
    <w:lvl w:ilvl="0" w:tplc="178839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3F34EA"/>
    <w:multiLevelType w:val="hybridMultilevel"/>
    <w:tmpl w:val="8ABA65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6B34BD"/>
    <w:multiLevelType w:val="hybridMultilevel"/>
    <w:tmpl w:val="C7E8AA7A"/>
    <w:lvl w:ilvl="0" w:tplc="0C090017">
      <w:start w:val="1"/>
      <w:numFmt w:val="lowerLetter"/>
      <w:lvlText w:val="%1)"/>
      <w:lvlJc w:val="left"/>
      <w:pPr>
        <w:ind w:left="1860" w:hanging="360"/>
      </w:p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8" w15:restartNumberingAfterBreak="0">
    <w:nsid w:val="25852141"/>
    <w:multiLevelType w:val="hybridMultilevel"/>
    <w:tmpl w:val="3FB0D176"/>
    <w:lvl w:ilvl="0" w:tplc="4E5C9100">
      <w:start w:val="1"/>
      <w:numFmt w:val="lowerLetter"/>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9" w15:restartNumberingAfterBreak="0">
    <w:nsid w:val="3A6B515E"/>
    <w:multiLevelType w:val="hybridMultilevel"/>
    <w:tmpl w:val="7D0E279C"/>
    <w:lvl w:ilvl="0" w:tplc="25A6B7EC">
      <w:start w:val="1"/>
      <w:numFmt w:val="decimal"/>
      <w:lvlText w:val="%1."/>
      <w:lvlJc w:val="left"/>
      <w:pPr>
        <w:ind w:left="712"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13976FD"/>
    <w:multiLevelType w:val="hybridMultilevel"/>
    <w:tmpl w:val="66D69EE8"/>
    <w:lvl w:ilvl="0" w:tplc="7316A6D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A010F8"/>
    <w:multiLevelType w:val="hybridMultilevel"/>
    <w:tmpl w:val="B05E71BC"/>
    <w:lvl w:ilvl="0" w:tplc="39168CB6">
      <w:start w:val="1"/>
      <w:numFmt w:val="lowerLetter"/>
      <w:lvlText w:val="(%1)"/>
      <w:lvlJc w:val="left"/>
      <w:pPr>
        <w:ind w:left="1440" w:hanging="8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4C77C3"/>
    <w:multiLevelType w:val="hybridMultilevel"/>
    <w:tmpl w:val="5F441C46"/>
    <w:lvl w:ilvl="0" w:tplc="C8AE3896">
      <w:start w:val="1"/>
      <w:numFmt w:val="bullet"/>
      <w:lvlText w:val="-"/>
      <w:lvlJc w:val="left"/>
      <w:pPr>
        <w:ind w:left="1797" w:hanging="360"/>
      </w:pPr>
      <w:rPr>
        <w:rFonts w:ascii="Times New Roman" w:eastAsia="Times New Roman" w:hAnsi="Times New Roman" w:cs="Times New Roman"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5" w15:restartNumberingAfterBreak="0">
    <w:nsid w:val="596F3617"/>
    <w:multiLevelType w:val="hybridMultilevel"/>
    <w:tmpl w:val="07B88A94"/>
    <w:lvl w:ilvl="0" w:tplc="FC8636E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64067377"/>
    <w:multiLevelType w:val="hybridMultilevel"/>
    <w:tmpl w:val="DFA45BC6"/>
    <w:lvl w:ilvl="0" w:tplc="7F9E67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CB653D"/>
    <w:multiLevelType w:val="hybridMultilevel"/>
    <w:tmpl w:val="4BC0792A"/>
    <w:lvl w:ilvl="0" w:tplc="F578B0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A42FF5"/>
    <w:multiLevelType w:val="hybridMultilevel"/>
    <w:tmpl w:val="F434FAD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44003BA"/>
    <w:multiLevelType w:val="hybridMultilevel"/>
    <w:tmpl w:val="3DC4D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1C5785"/>
    <w:multiLevelType w:val="hybridMultilevel"/>
    <w:tmpl w:val="DE68C752"/>
    <w:lvl w:ilvl="0" w:tplc="3A869F4C">
      <w:start w:val="1"/>
      <w:numFmt w:val="decimal"/>
      <w:lvlText w:val="%1."/>
      <w:lvlJc w:val="left"/>
      <w:pPr>
        <w:ind w:left="570" w:hanging="570"/>
      </w:pPr>
      <w:rPr>
        <w:rFonts w:hint="default"/>
        <w:i w:val="0"/>
        <w:i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77B0BFB"/>
    <w:multiLevelType w:val="hybridMultilevel"/>
    <w:tmpl w:val="9FC61A16"/>
    <w:lvl w:ilvl="0" w:tplc="A3323EE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79ED523C"/>
    <w:multiLevelType w:val="hybridMultilevel"/>
    <w:tmpl w:val="16668CB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3"/>
  </w:num>
  <w:num w:numId="14">
    <w:abstractNumId w:val="23"/>
  </w:num>
  <w:num w:numId="15">
    <w:abstractNumId w:val="29"/>
  </w:num>
  <w:num w:numId="16">
    <w:abstractNumId w:val="15"/>
  </w:num>
  <w:num w:numId="17">
    <w:abstractNumId w:val="21"/>
  </w:num>
  <w:num w:numId="18">
    <w:abstractNumId w:val="22"/>
  </w:num>
  <w:num w:numId="19">
    <w:abstractNumId w:val="25"/>
  </w:num>
  <w:num w:numId="20">
    <w:abstractNumId w:val="31"/>
  </w:num>
  <w:num w:numId="21">
    <w:abstractNumId w:val="24"/>
  </w:num>
  <w:num w:numId="22">
    <w:abstractNumId w:val="14"/>
  </w:num>
  <w:num w:numId="23">
    <w:abstractNumId w:val="17"/>
  </w:num>
  <w:num w:numId="24">
    <w:abstractNumId w:val="16"/>
  </w:num>
  <w:num w:numId="25">
    <w:abstractNumId w:val="32"/>
  </w:num>
  <w:num w:numId="26">
    <w:abstractNumId w:val="30"/>
  </w:num>
  <w:num w:numId="27">
    <w:abstractNumId w:val="12"/>
  </w:num>
  <w:num w:numId="28">
    <w:abstractNumId w:val="19"/>
  </w:num>
  <w:num w:numId="29">
    <w:abstractNumId w:val="18"/>
  </w:num>
  <w:num w:numId="30">
    <w:abstractNumId w:val="10"/>
  </w:num>
  <w:num w:numId="31">
    <w:abstractNumId w:val="27"/>
  </w:num>
  <w:num w:numId="32">
    <w:abstractNumId w:val="2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E4"/>
    <w:rsid w:val="00062DC7"/>
    <w:rsid w:val="00063087"/>
    <w:rsid w:val="00126231"/>
    <w:rsid w:val="001C6113"/>
    <w:rsid w:val="001C6400"/>
    <w:rsid w:val="001D4259"/>
    <w:rsid w:val="00230E81"/>
    <w:rsid w:val="002527DA"/>
    <w:rsid w:val="002D484F"/>
    <w:rsid w:val="00326F40"/>
    <w:rsid w:val="00375CAF"/>
    <w:rsid w:val="00375F83"/>
    <w:rsid w:val="00407B32"/>
    <w:rsid w:val="004560F8"/>
    <w:rsid w:val="004F345E"/>
    <w:rsid w:val="005641D7"/>
    <w:rsid w:val="00571CE4"/>
    <w:rsid w:val="005A66F6"/>
    <w:rsid w:val="005C1DB5"/>
    <w:rsid w:val="005D5207"/>
    <w:rsid w:val="005E4C10"/>
    <w:rsid w:val="00604687"/>
    <w:rsid w:val="00623564"/>
    <w:rsid w:val="006E4124"/>
    <w:rsid w:val="00724A56"/>
    <w:rsid w:val="00781D57"/>
    <w:rsid w:val="007A2923"/>
    <w:rsid w:val="007F20D5"/>
    <w:rsid w:val="0081069F"/>
    <w:rsid w:val="00896714"/>
    <w:rsid w:val="008E1577"/>
    <w:rsid w:val="008E546F"/>
    <w:rsid w:val="0091474F"/>
    <w:rsid w:val="009E18BF"/>
    <w:rsid w:val="00A25696"/>
    <w:rsid w:val="00A35573"/>
    <w:rsid w:val="00BF280F"/>
    <w:rsid w:val="00C36C3B"/>
    <w:rsid w:val="00CC29D9"/>
    <w:rsid w:val="00CE3ECC"/>
    <w:rsid w:val="00D9316F"/>
    <w:rsid w:val="00E508BC"/>
    <w:rsid w:val="00E55BCC"/>
    <w:rsid w:val="00E909D2"/>
    <w:rsid w:val="00F27B1B"/>
    <w:rsid w:val="00F54141"/>
    <w:rsid w:val="00F56662"/>
    <w:rsid w:val="00F95B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0FEA"/>
  <w15:chartTrackingRefBased/>
  <w15:docId w15:val="{B6670286-5F44-4AF3-99F7-13D1F2AE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1CE4"/>
    <w:pPr>
      <w:spacing w:after="0" w:line="260" w:lineRule="atLeast"/>
    </w:pPr>
    <w:rPr>
      <w:rFonts w:ascii="Times New Roman" w:eastAsia="Calibri" w:hAnsi="Times New Roman" w:cs="Times New Roman"/>
      <w:szCs w:val="20"/>
    </w:rPr>
  </w:style>
  <w:style w:type="paragraph" w:styleId="Heading1">
    <w:name w:val="heading 1"/>
    <w:basedOn w:val="Normal"/>
    <w:next w:val="Normal"/>
    <w:link w:val="Heading1Char"/>
    <w:uiPriority w:val="9"/>
    <w:qFormat/>
    <w:rsid w:val="00571CE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71CE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71CE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71CE4"/>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571CE4"/>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571CE4"/>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571CE4"/>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571CE4"/>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571CE4"/>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CE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571CE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571CE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571CE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571CE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571CE4"/>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571CE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571CE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571CE4"/>
    <w:rPr>
      <w:rFonts w:ascii="Cambria" w:eastAsia="Times New Roman" w:hAnsi="Cambria" w:cs="Times New Roman"/>
    </w:rPr>
  </w:style>
  <w:style w:type="character" w:customStyle="1" w:styleId="OPCCharBase">
    <w:name w:val="OPCCharBase"/>
    <w:uiPriority w:val="1"/>
    <w:qFormat/>
    <w:rsid w:val="00571CE4"/>
  </w:style>
  <w:style w:type="paragraph" w:customStyle="1" w:styleId="OPCParaBase">
    <w:name w:val="OPCParaBase"/>
    <w:link w:val="OPCParaBaseChar"/>
    <w:semiHidden/>
    <w:qFormat/>
    <w:rsid w:val="00571CE4"/>
    <w:pPr>
      <w:spacing w:after="0" w:line="260" w:lineRule="atLeast"/>
    </w:pPr>
    <w:rPr>
      <w:rFonts w:ascii="Times New Roman" w:eastAsia="Times New Roman" w:hAnsi="Times New Roman" w:cs="Times New Roman"/>
      <w:szCs w:val="20"/>
      <w:lang w:eastAsia="en-AU"/>
    </w:rPr>
  </w:style>
  <w:style w:type="paragraph" w:customStyle="1" w:styleId="LI-Title">
    <w:name w:val="LI - Title"/>
    <w:basedOn w:val="OPCParaBase"/>
    <w:next w:val="Normal"/>
    <w:qFormat/>
    <w:rsid w:val="00571CE4"/>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571CE4"/>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571CE4"/>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571C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571CE4"/>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571CE4"/>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571C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571C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571C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571CE4"/>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571CE4"/>
  </w:style>
  <w:style w:type="paragraph" w:customStyle="1" w:styleId="Blocks">
    <w:name w:val="Blocks"/>
    <w:aliases w:val="bb"/>
    <w:basedOn w:val="OPCParaBase"/>
    <w:semiHidden/>
    <w:qFormat/>
    <w:rsid w:val="00571CE4"/>
    <w:pPr>
      <w:spacing w:line="240" w:lineRule="auto"/>
    </w:pPr>
    <w:rPr>
      <w:sz w:val="24"/>
    </w:rPr>
  </w:style>
  <w:style w:type="paragraph" w:customStyle="1" w:styleId="BoxText">
    <w:name w:val="BoxText"/>
    <w:aliases w:val="bt"/>
    <w:basedOn w:val="OPCParaBase"/>
    <w:semiHidden/>
    <w:qFormat/>
    <w:rsid w:val="00571C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571CE4"/>
    <w:rPr>
      <w:b/>
    </w:rPr>
  </w:style>
  <w:style w:type="paragraph" w:customStyle="1" w:styleId="BoxHeadItalic">
    <w:name w:val="BoxHeadItalic"/>
    <w:aliases w:val="bhi"/>
    <w:basedOn w:val="BoxText"/>
    <w:next w:val="BoxStep"/>
    <w:semiHidden/>
    <w:qFormat/>
    <w:rsid w:val="00571CE4"/>
    <w:rPr>
      <w:i/>
    </w:rPr>
  </w:style>
  <w:style w:type="paragraph" w:customStyle="1" w:styleId="BoxList">
    <w:name w:val="BoxList"/>
    <w:aliases w:val="bl"/>
    <w:basedOn w:val="BoxText"/>
    <w:semiHidden/>
    <w:qFormat/>
    <w:rsid w:val="00571CE4"/>
    <w:pPr>
      <w:ind w:left="1559" w:hanging="425"/>
    </w:pPr>
  </w:style>
  <w:style w:type="paragraph" w:customStyle="1" w:styleId="BoxNote">
    <w:name w:val="BoxNote"/>
    <w:aliases w:val="bn"/>
    <w:basedOn w:val="BoxText"/>
    <w:semiHidden/>
    <w:qFormat/>
    <w:rsid w:val="00571CE4"/>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571CE4"/>
    <w:pPr>
      <w:tabs>
        <w:tab w:val="right" w:pos="2268"/>
      </w:tabs>
      <w:ind w:left="2552" w:hanging="1418"/>
    </w:pPr>
  </w:style>
  <w:style w:type="paragraph" w:customStyle="1" w:styleId="BoxStep">
    <w:name w:val="BoxStep"/>
    <w:aliases w:val="bs"/>
    <w:basedOn w:val="BoxText"/>
    <w:semiHidden/>
    <w:qFormat/>
    <w:rsid w:val="00571CE4"/>
    <w:pPr>
      <w:ind w:left="1985" w:hanging="851"/>
    </w:pPr>
  </w:style>
  <w:style w:type="character" w:customStyle="1" w:styleId="CharAmPartNo">
    <w:name w:val="CharAmPartNo"/>
    <w:basedOn w:val="OPCCharBase"/>
    <w:uiPriority w:val="1"/>
    <w:semiHidden/>
    <w:qFormat/>
    <w:rsid w:val="00571CE4"/>
  </w:style>
  <w:style w:type="character" w:customStyle="1" w:styleId="CharAmPartText">
    <w:name w:val="CharAmPartText"/>
    <w:basedOn w:val="OPCCharBase"/>
    <w:uiPriority w:val="1"/>
    <w:semiHidden/>
    <w:qFormat/>
    <w:rsid w:val="00571CE4"/>
  </w:style>
  <w:style w:type="character" w:customStyle="1" w:styleId="CharAmSchNo">
    <w:name w:val="CharAmSchNo"/>
    <w:basedOn w:val="OPCCharBase"/>
    <w:uiPriority w:val="1"/>
    <w:semiHidden/>
    <w:qFormat/>
    <w:rsid w:val="00571CE4"/>
  </w:style>
  <w:style w:type="character" w:customStyle="1" w:styleId="CharAmSchText">
    <w:name w:val="CharAmSchText"/>
    <w:basedOn w:val="OPCCharBase"/>
    <w:uiPriority w:val="1"/>
    <w:semiHidden/>
    <w:qFormat/>
    <w:rsid w:val="00571CE4"/>
  </w:style>
  <w:style w:type="character" w:customStyle="1" w:styleId="CharBoldItalic">
    <w:name w:val="CharBoldItalic"/>
    <w:uiPriority w:val="1"/>
    <w:semiHidden/>
    <w:qFormat/>
    <w:rsid w:val="00571CE4"/>
    <w:rPr>
      <w:b/>
      <w:i/>
    </w:rPr>
  </w:style>
  <w:style w:type="character" w:customStyle="1" w:styleId="CharChapNo">
    <w:name w:val="CharChapNo"/>
    <w:basedOn w:val="OPCCharBase"/>
    <w:semiHidden/>
    <w:qFormat/>
    <w:rsid w:val="00571CE4"/>
  </w:style>
  <w:style w:type="character" w:customStyle="1" w:styleId="CharChapText">
    <w:name w:val="CharChapText"/>
    <w:basedOn w:val="OPCCharBase"/>
    <w:semiHidden/>
    <w:qFormat/>
    <w:rsid w:val="00571CE4"/>
  </w:style>
  <w:style w:type="character" w:customStyle="1" w:styleId="CharDivNo">
    <w:name w:val="CharDivNo"/>
    <w:basedOn w:val="OPCCharBase"/>
    <w:semiHidden/>
    <w:qFormat/>
    <w:rsid w:val="00571CE4"/>
  </w:style>
  <w:style w:type="character" w:customStyle="1" w:styleId="CharDivText">
    <w:name w:val="CharDivText"/>
    <w:basedOn w:val="OPCCharBase"/>
    <w:semiHidden/>
    <w:qFormat/>
    <w:rsid w:val="00571CE4"/>
  </w:style>
  <w:style w:type="character" w:customStyle="1" w:styleId="CharItalic">
    <w:name w:val="CharItalic"/>
    <w:uiPriority w:val="1"/>
    <w:semiHidden/>
    <w:qFormat/>
    <w:rsid w:val="00571CE4"/>
    <w:rPr>
      <w:i/>
    </w:rPr>
  </w:style>
  <w:style w:type="character" w:customStyle="1" w:styleId="CharPartNo">
    <w:name w:val="CharPartNo"/>
    <w:basedOn w:val="OPCCharBase"/>
    <w:semiHidden/>
    <w:qFormat/>
    <w:rsid w:val="00571CE4"/>
  </w:style>
  <w:style w:type="character" w:customStyle="1" w:styleId="CharPartText">
    <w:name w:val="CharPartText"/>
    <w:basedOn w:val="OPCCharBase"/>
    <w:semiHidden/>
    <w:qFormat/>
    <w:rsid w:val="00571CE4"/>
  </w:style>
  <w:style w:type="character" w:customStyle="1" w:styleId="CharSectno">
    <w:name w:val="CharSectno"/>
    <w:basedOn w:val="OPCCharBase"/>
    <w:semiHidden/>
    <w:qFormat/>
    <w:rsid w:val="00571CE4"/>
  </w:style>
  <w:style w:type="character" w:customStyle="1" w:styleId="CharSubdNo">
    <w:name w:val="CharSubdNo"/>
    <w:basedOn w:val="OPCCharBase"/>
    <w:uiPriority w:val="1"/>
    <w:semiHidden/>
    <w:qFormat/>
    <w:rsid w:val="00571CE4"/>
  </w:style>
  <w:style w:type="character" w:customStyle="1" w:styleId="CharSubdText">
    <w:name w:val="CharSubdText"/>
    <w:basedOn w:val="OPCCharBase"/>
    <w:uiPriority w:val="1"/>
    <w:semiHidden/>
    <w:qFormat/>
    <w:rsid w:val="00571CE4"/>
  </w:style>
  <w:style w:type="paragraph" w:customStyle="1" w:styleId="CTA--">
    <w:name w:val="CTA --"/>
    <w:basedOn w:val="OPCParaBase"/>
    <w:next w:val="Normal"/>
    <w:semiHidden/>
    <w:rsid w:val="00571CE4"/>
    <w:pPr>
      <w:spacing w:before="60" w:line="240" w:lineRule="atLeast"/>
      <w:ind w:left="142" w:hanging="142"/>
    </w:pPr>
    <w:rPr>
      <w:sz w:val="20"/>
    </w:rPr>
  </w:style>
  <w:style w:type="paragraph" w:customStyle="1" w:styleId="CTA-">
    <w:name w:val="CTA -"/>
    <w:basedOn w:val="OPCParaBase"/>
    <w:semiHidden/>
    <w:rsid w:val="00571CE4"/>
    <w:pPr>
      <w:spacing w:before="60" w:line="240" w:lineRule="atLeast"/>
      <w:ind w:left="85" w:hanging="85"/>
    </w:pPr>
    <w:rPr>
      <w:sz w:val="20"/>
    </w:rPr>
  </w:style>
  <w:style w:type="paragraph" w:customStyle="1" w:styleId="CTA---">
    <w:name w:val="CTA ---"/>
    <w:basedOn w:val="OPCParaBase"/>
    <w:next w:val="Normal"/>
    <w:semiHidden/>
    <w:rsid w:val="00571CE4"/>
    <w:pPr>
      <w:spacing w:before="60" w:line="240" w:lineRule="atLeast"/>
      <w:ind w:left="198" w:hanging="198"/>
    </w:pPr>
    <w:rPr>
      <w:sz w:val="20"/>
    </w:rPr>
  </w:style>
  <w:style w:type="paragraph" w:customStyle="1" w:styleId="CTA----">
    <w:name w:val="CTA ----"/>
    <w:basedOn w:val="OPCParaBase"/>
    <w:next w:val="Normal"/>
    <w:semiHidden/>
    <w:rsid w:val="00571CE4"/>
    <w:pPr>
      <w:spacing w:before="60" w:line="240" w:lineRule="atLeast"/>
      <w:ind w:left="255" w:hanging="255"/>
    </w:pPr>
    <w:rPr>
      <w:sz w:val="20"/>
    </w:rPr>
  </w:style>
  <w:style w:type="paragraph" w:customStyle="1" w:styleId="CTA1a">
    <w:name w:val="CTA 1(a)"/>
    <w:basedOn w:val="OPCParaBase"/>
    <w:semiHidden/>
    <w:rsid w:val="00571CE4"/>
    <w:pPr>
      <w:tabs>
        <w:tab w:val="right" w:pos="414"/>
      </w:tabs>
      <w:spacing w:before="40" w:line="240" w:lineRule="atLeast"/>
      <w:ind w:left="675" w:hanging="675"/>
    </w:pPr>
    <w:rPr>
      <w:sz w:val="20"/>
    </w:rPr>
  </w:style>
  <w:style w:type="paragraph" w:customStyle="1" w:styleId="CTA1ai">
    <w:name w:val="CTA 1(a)(i)"/>
    <w:basedOn w:val="OPCParaBase"/>
    <w:semiHidden/>
    <w:rsid w:val="00571CE4"/>
    <w:pPr>
      <w:tabs>
        <w:tab w:val="right" w:pos="1004"/>
      </w:tabs>
      <w:spacing w:before="40" w:line="240" w:lineRule="atLeast"/>
      <w:ind w:left="1253" w:hanging="1253"/>
    </w:pPr>
    <w:rPr>
      <w:sz w:val="20"/>
    </w:rPr>
  </w:style>
  <w:style w:type="paragraph" w:customStyle="1" w:styleId="CTA2a">
    <w:name w:val="CTA 2(a)"/>
    <w:basedOn w:val="OPCParaBase"/>
    <w:semiHidden/>
    <w:rsid w:val="00571CE4"/>
    <w:pPr>
      <w:tabs>
        <w:tab w:val="right" w:pos="482"/>
      </w:tabs>
      <w:spacing w:before="40" w:line="240" w:lineRule="atLeast"/>
      <w:ind w:left="748" w:hanging="748"/>
    </w:pPr>
    <w:rPr>
      <w:sz w:val="20"/>
    </w:rPr>
  </w:style>
  <w:style w:type="paragraph" w:customStyle="1" w:styleId="CTA2ai">
    <w:name w:val="CTA 2(a)(i)"/>
    <w:basedOn w:val="OPCParaBase"/>
    <w:semiHidden/>
    <w:rsid w:val="00571CE4"/>
    <w:pPr>
      <w:tabs>
        <w:tab w:val="right" w:pos="1089"/>
      </w:tabs>
      <w:spacing w:before="40" w:line="240" w:lineRule="atLeast"/>
      <w:ind w:left="1327" w:hanging="1327"/>
    </w:pPr>
    <w:rPr>
      <w:sz w:val="20"/>
    </w:rPr>
  </w:style>
  <w:style w:type="paragraph" w:customStyle="1" w:styleId="CTA3a">
    <w:name w:val="CTA 3(a)"/>
    <w:basedOn w:val="OPCParaBase"/>
    <w:semiHidden/>
    <w:rsid w:val="00571CE4"/>
    <w:pPr>
      <w:tabs>
        <w:tab w:val="right" w:pos="556"/>
      </w:tabs>
      <w:spacing w:before="40" w:line="240" w:lineRule="atLeast"/>
      <w:ind w:left="805" w:hanging="805"/>
    </w:pPr>
    <w:rPr>
      <w:sz w:val="20"/>
    </w:rPr>
  </w:style>
  <w:style w:type="paragraph" w:customStyle="1" w:styleId="CTA3ai">
    <w:name w:val="CTA 3(a)(i)"/>
    <w:basedOn w:val="OPCParaBase"/>
    <w:semiHidden/>
    <w:rsid w:val="00571CE4"/>
    <w:pPr>
      <w:tabs>
        <w:tab w:val="right" w:pos="1140"/>
      </w:tabs>
      <w:spacing w:before="40" w:line="240" w:lineRule="atLeast"/>
      <w:ind w:left="1361" w:hanging="1361"/>
    </w:pPr>
    <w:rPr>
      <w:sz w:val="20"/>
    </w:rPr>
  </w:style>
  <w:style w:type="paragraph" w:customStyle="1" w:styleId="CTA4a">
    <w:name w:val="CTA 4(a)"/>
    <w:basedOn w:val="OPCParaBase"/>
    <w:semiHidden/>
    <w:rsid w:val="00571CE4"/>
    <w:pPr>
      <w:tabs>
        <w:tab w:val="right" w:pos="624"/>
      </w:tabs>
      <w:spacing w:before="40" w:line="240" w:lineRule="atLeast"/>
      <w:ind w:left="873" w:hanging="873"/>
    </w:pPr>
    <w:rPr>
      <w:sz w:val="20"/>
    </w:rPr>
  </w:style>
  <w:style w:type="paragraph" w:customStyle="1" w:styleId="CTA4ai">
    <w:name w:val="CTA 4(a)(i)"/>
    <w:basedOn w:val="OPCParaBase"/>
    <w:semiHidden/>
    <w:rsid w:val="00571CE4"/>
    <w:pPr>
      <w:tabs>
        <w:tab w:val="right" w:pos="1213"/>
      </w:tabs>
      <w:spacing w:before="40" w:line="240" w:lineRule="atLeast"/>
      <w:ind w:left="1452" w:hanging="1452"/>
    </w:pPr>
    <w:rPr>
      <w:sz w:val="20"/>
    </w:rPr>
  </w:style>
  <w:style w:type="paragraph" w:customStyle="1" w:styleId="CTACAPS">
    <w:name w:val="CTA CAPS"/>
    <w:basedOn w:val="OPCParaBase"/>
    <w:semiHidden/>
    <w:rsid w:val="00571CE4"/>
    <w:pPr>
      <w:spacing w:before="60" w:line="240" w:lineRule="atLeast"/>
    </w:pPr>
    <w:rPr>
      <w:sz w:val="20"/>
    </w:rPr>
  </w:style>
  <w:style w:type="paragraph" w:customStyle="1" w:styleId="CTAright">
    <w:name w:val="CTA right"/>
    <w:basedOn w:val="OPCParaBase"/>
    <w:semiHidden/>
    <w:rsid w:val="00571CE4"/>
    <w:pPr>
      <w:spacing w:before="60" w:line="240" w:lineRule="auto"/>
      <w:jc w:val="right"/>
    </w:pPr>
    <w:rPr>
      <w:sz w:val="20"/>
    </w:rPr>
  </w:style>
  <w:style w:type="paragraph" w:customStyle="1" w:styleId="LI-BodyTextUnnumbered">
    <w:name w:val="LI - Body Text Unnumbered"/>
    <w:basedOn w:val="OPCParaBase"/>
    <w:link w:val="LI-BodyTextUnnumberedChar"/>
    <w:rsid w:val="00571CE4"/>
    <w:pPr>
      <w:spacing w:before="240" w:line="240" w:lineRule="auto"/>
      <w:ind w:left="1134"/>
    </w:pPr>
    <w:rPr>
      <w:sz w:val="24"/>
    </w:rPr>
  </w:style>
  <w:style w:type="paragraph" w:customStyle="1" w:styleId="Definition">
    <w:name w:val="Definition"/>
    <w:aliases w:val="dd"/>
    <w:basedOn w:val="OPCParaBase"/>
    <w:semiHidden/>
    <w:rsid w:val="00571CE4"/>
    <w:pPr>
      <w:spacing w:before="180" w:line="240" w:lineRule="auto"/>
      <w:ind w:left="1134"/>
    </w:pPr>
  </w:style>
  <w:style w:type="paragraph" w:customStyle="1" w:styleId="EndNotespara">
    <w:name w:val="EndNotes(para)"/>
    <w:aliases w:val="eta"/>
    <w:basedOn w:val="OPCParaBase"/>
    <w:next w:val="EndNotessubpara"/>
    <w:semiHidden/>
    <w:rsid w:val="00571CE4"/>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571C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571C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571CE4"/>
    <w:pPr>
      <w:tabs>
        <w:tab w:val="right" w:pos="1412"/>
      </w:tabs>
      <w:spacing w:before="60" w:line="240" w:lineRule="auto"/>
      <w:ind w:left="1525" w:hanging="1525"/>
    </w:pPr>
    <w:rPr>
      <w:sz w:val="20"/>
    </w:rPr>
  </w:style>
  <w:style w:type="paragraph" w:customStyle="1" w:styleId="Formula">
    <w:name w:val="Formula"/>
    <w:basedOn w:val="OPCParaBase"/>
    <w:rsid w:val="00571CE4"/>
    <w:pPr>
      <w:spacing w:line="240" w:lineRule="auto"/>
      <w:ind w:left="1134"/>
    </w:pPr>
    <w:rPr>
      <w:sz w:val="20"/>
    </w:rPr>
  </w:style>
  <w:style w:type="paragraph" w:styleId="Header">
    <w:name w:val="header"/>
    <w:basedOn w:val="OPCParaBase"/>
    <w:link w:val="HeaderChar"/>
    <w:unhideWhenUsed/>
    <w:rsid w:val="00571CE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71CE4"/>
    <w:rPr>
      <w:rFonts w:ascii="Times New Roman" w:eastAsia="Times New Roman" w:hAnsi="Times New Roman" w:cs="Times New Roman"/>
      <w:sz w:val="16"/>
      <w:szCs w:val="20"/>
      <w:lang w:eastAsia="en-AU"/>
    </w:rPr>
  </w:style>
  <w:style w:type="paragraph" w:customStyle="1" w:styleId="House">
    <w:name w:val="House"/>
    <w:basedOn w:val="OPCParaBase"/>
    <w:semiHidden/>
    <w:rsid w:val="00571CE4"/>
    <w:pPr>
      <w:spacing w:line="240" w:lineRule="auto"/>
    </w:pPr>
    <w:rPr>
      <w:sz w:val="28"/>
    </w:rPr>
  </w:style>
  <w:style w:type="paragraph" w:customStyle="1" w:styleId="Item">
    <w:name w:val="Item"/>
    <w:aliases w:val="i"/>
    <w:basedOn w:val="OPCParaBase"/>
    <w:next w:val="ItemHead"/>
    <w:semiHidden/>
    <w:rsid w:val="00571CE4"/>
    <w:pPr>
      <w:keepLines/>
      <w:spacing w:before="80" w:line="240" w:lineRule="auto"/>
      <w:ind w:left="709"/>
    </w:pPr>
  </w:style>
  <w:style w:type="paragraph" w:customStyle="1" w:styleId="ItemHead">
    <w:name w:val="ItemHead"/>
    <w:aliases w:val="ih"/>
    <w:basedOn w:val="OPCParaBase"/>
    <w:next w:val="Item"/>
    <w:semiHidden/>
    <w:rsid w:val="00571CE4"/>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571CE4"/>
    <w:pPr>
      <w:spacing w:line="240" w:lineRule="auto"/>
    </w:pPr>
    <w:rPr>
      <w:b/>
      <w:sz w:val="32"/>
    </w:rPr>
  </w:style>
  <w:style w:type="paragraph" w:customStyle="1" w:styleId="notedraft">
    <w:name w:val="note(draft)"/>
    <w:aliases w:val="nd"/>
    <w:basedOn w:val="OPCParaBase"/>
    <w:semiHidden/>
    <w:rsid w:val="00571CE4"/>
    <w:pPr>
      <w:spacing w:before="240" w:line="240" w:lineRule="auto"/>
      <w:ind w:left="284" w:hanging="284"/>
    </w:pPr>
    <w:rPr>
      <w:i/>
      <w:sz w:val="24"/>
    </w:rPr>
  </w:style>
  <w:style w:type="paragraph" w:customStyle="1" w:styleId="notemargin">
    <w:name w:val="note(margin)"/>
    <w:aliases w:val="nm"/>
    <w:basedOn w:val="OPCParaBase"/>
    <w:semiHidden/>
    <w:rsid w:val="00571CE4"/>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571CE4"/>
    <w:pPr>
      <w:spacing w:before="122" w:line="198" w:lineRule="exact"/>
      <w:ind w:left="2353" w:hanging="709"/>
    </w:pPr>
    <w:rPr>
      <w:sz w:val="18"/>
    </w:rPr>
  </w:style>
  <w:style w:type="paragraph" w:customStyle="1" w:styleId="noteParlAmend">
    <w:name w:val="note(ParlAmend)"/>
    <w:aliases w:val="npp"/>
    <w:basedOn w:val="OPCParaBase"/>
    <w:next w:val="ParlAmend"/>
    <w:semiHidden/>
    <w:rsid w:val="00571CE4"/>
    <w:pPr>
      <w:spacing w:line="240" w:lineRule="auto"/>
      <w:jc w:val="right"/>
    </w:pPr>
    <w:rPr>
      <w:rFonts w:ascii="Arial" w:hAnsi="Arial"/>
      <w:b/>
      <w:i/>
    </w:rPr>
  </w:style>
  <w:style w:type="paragraph" w:customStyle="1" w:styleId="Page1">
    <w:name w:val="Page1"/>
    <w:basedOn w:val="OPCParaBase"/>
    <w:semiHidden/>
    <w:rsid w:val="00571CE4"/>
    <w:pPr>
      <w:spacing w:before="5600" w:line="240" w:lineRule="auto"/>
    </w:pPr>
    <w:rPr>
      <w:b/>
      <w:sz w:val="32"/>
    </w:rPr>
  </w:style>
  <w:style w:type="paragraph" w:customStyle="1" w:styleId="PageBreak">
    <w:name w:val="PageBreak"/>
    <w:aliases w:val="pb"/>
    <w:basedOn w:val="OPCParaBase"/>
    <w:semiHidden/>
    <w:rsid w:val="00571CE4"/>
    <w:pPr>
      <w:spacing w:line="240" w:lineRule="auto"/>
    </w:pPr>
    <w:rPr>
      <w:sz w:val="20"/>
    </w:rPr>
  </w:style>
  <w:style w:type="paragraph" w:customStyle="1" w:styleId="paragraphsub">
    <w:name w:val="paragraph(sub)"/>
    <w:aliases w:val="aa"/>
    <w:basedOn w:val="OPCParaBase"/>
    <w:semiHidden/>
    <w:rsid w:val="00571CE4"/>
    <w:pPr>
      <w:tabs>
        <w:tab w:val="right" w:pos="1985"/>
      </w:tabs>
      <w:spacing w:before="40" w:line="240" w:lineRule="auto"/>
      <w:ind w:left="2098" w:hanging="2098"/>
    </w:pPr>
  </w:style>
  <w:style w:type="paragraph" w:customStyle="1" w:styleId="paragraphsub-sub">
    <w:name w:val="paragraph(sub-sub)"/>
    <w:aliases w:val="aaa"/>
    <w:basedOn w:val="OPCParaBase"/>
    <w:semiHidden/>
    <w:rsid w:val="00571CE4"/>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571CE4"/>
    <w:pPr>
      <w:spacing w:before="240" w:line="240" w:lineRule="auto"/>
      <w:ind w:left="1701" w:hanging="567"/>
    </w:pPr>
    <w:rPr>
      <w:sz w:val="24"/>
      <w:szCs w:val="24"/>
    </w:rPr>
  </w:style>
  <w:style w:type="paragraph" w:customStyle="1" w:styleId="ParlAmend">
    <w:name w:val="ParlAmend"/>
    <w:aliases w:val="pp"/>
    <w:basedOn w:val="OPCParaBase"/>
    <w:semiHidden/>
    <w:rsid w:val="00571CE4"/>
    <w:pPr>
      <w:spacing w:before="240" w:line="240" w:lineRule="atLeast"/>
      <w:ind w:hanging="567"/>
    </w:pPr>
    <w:rPr>
      <w:sz w:val="24"/>
    </w:rPr>
  </w:style>
  <w:style w:type="paragraph" w:customStyle="1" w:styleId="Penalty">
    <w:name w:val="Penalty"/>
    <w:basedOn w:val="OPCParaBase"/>
    <w:semiHidden/>
    <w:rsid w:val="00571CE4"/>
    <w:pPr>
      <w:tabs>
        <w:tab w:val="left" w:pos="2977"/>
      </w:tabs>
      <w:spacing w:before="180" w:line="240" w:lineRule="auto"/>
      <w:ind w:left="1985" w:hanging="851"/>
    </w:pPr>
  </w:style>
  <w:style w:type="paragraph" w:customStyle="1" w:styleId="Portfolio">
    <w:name w:val="Portfolio"/>
    <w:basedOn w:val="OPCParaBase"/>
    <w:semiHidden/>
    <w:rsid w:val="00571CE4"/>
    <w:pPr>
      <w:spacing w:line="240" w:lineRule="auto"/>
    </w:pPr>
    <w:rPr>
      <w:i/>
      <w:sz w:val="20"/>
    </w:rPr>
  </w:style>
  <w:style w:type="paragraph" w:customStyle="1" w:styleId="Preamble">
    <w:name w:val="Preamble"/>
    <w:basedOn w:val="OPCParaBase"/>
    <w:next w:val="Normal"/>
    <w:semiHidden/>
    <w:rsid w:val="00571C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571CE4"/>
    <w:pPr>
      <w:spacing w:line="240" w:lineRule="auto"/>
    </w:pPr>
    <w:rPr>
      <w:i/>
      <w:sz w:val="20"/>
    </w:rPr>
  </w:style>
  <w:style w:type="paragraph" w:customStyle="1" w:styleId="Session">
    <w:name w:val="Session"/>
    <w:basedOn w:val="OPCParaBase"/>
    <w:semiHidden/>
    <w:rsid w:val="00571CE4"/>
    <w:pPr>
      <w:spacing w:line="240" w:lineRule="auto"/>
    </w:pPr>
    <w:rPr>
      <w:sz w:val="28"/>
    </w:rPr>
  </w:style>
  <w:style w:type="paragraph" w:customStyle="1" w:styleId="Sponsor">
    <w:name w:val="Sponsor"/>
    <w:basedOn w:val="OPCParaBase"/>
    <w:semiHidden/>
    <w:rsid w:val="00571CE4"/>
    <w:pPr>
      <w:spacing w:line="240" w:lineRule="auto"/>
    </w:pPr>
    <w:rPr>
      <w:i/>
    </w:rPr>
  </w:style>
  <w:style w:type="paragraph" w:customStyle="1" w:styleId="Subitem">
    <w:name w:val="Subitem"/>
    <w:aliases w:val="iss"/>
    <w:basedOn w:val="OPCParaBase"/>
    <w:semiHidden/>
    <w:rsid w:val="00571CE4"/>
    <w:pPr>
      <w:spacing w:before="180" w:line="240" w:lineRule="auto"/>
      <w:ind w:left="709" w:hanging="709"/>
    </w:pPr>
  </w:style>
  <w:style w:type="paragraph" w:customStyle="1" w:styleId="SubitemHead">
    <w:name w:val="SubitemHead"/>
    <w:aliases w:val="issh"/>
    <w:basedOn w:val="OPCParaBase"/>
    <w:semiHidden/>
    <w:rsid w:val="00571C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571CE4"/>
    <w:pPr>
      <w:spacing w:before="40" w:line="240" w:lineRule="auto"/>
      <w:ind w:left="1134"/>
    </w:pPr>
  </w:style>
  <w:style w:type="paragraph" w:customStyle="1" w:styleId="LI-Heading3">
    <w:name w:val="LI - Heading 3"/>
    <w:basedOn w:val="OPCParaBase"/>
    <w:next w:val="LI-BodyTextUnnumbered"/>
    <w:rsid w:val="00571CE4"/>
    <w:pPr>
      <w:keepNext/>
      <w:keepLines/>
      <w:spacing w:before="240" w:line="240" w:lineRule="auto"/>
      <w:ind w:left="567"/>
      <w:outlineLvl w:val="2"/>
    </w:pPr>
    <w:rPr>
      <w:i/>
    </w:rPr>
  </w:style>
  <w:style w:type="paragraph" w:customStyle="1" w:styleId="Tablea">
    <w:name w:val="Table(a)"/>
    <w:aliases w:val="ta"/>
    <w:basedOn w:val="OPCParaBase"/>
    <w:semiHidden/>
    <w:rsid w:val="00571CE4"/>
    <w:pPr>
      <w:spacing w:before="60" w:line="240" w:lineRule="auto"/>
      <w:ind w:left="284" w:hanging="284"/>
    </w:pPr>
    <w:rPr>
      <w:sz w:val="20"/>
    </w:rPr>
  </w:style>
  <w:style w:type="paragraph" w:customStyle="1" w:styleId="TableAA">
    <w:name w:val="Table(AA)"/>
    <w:aliases w:val="taaa"/>
    <w:basedOn w:val="OPCParaBase"/>
    <w:semiHidden/>
    <w:rsid w:val="00571CE4"/>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571CE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571CE4"/>
    <w:pPr>
      <w:spacing w:before="60" w:line="240" w:lineRule="atLeast"/>
    </w:pPr>
    <w:rPr>
      <w:sz w:val="20"/>
    </w:rPr>
  </w:style>
  <w:style w:type="paragraph" w:customStyle="1" w:styleId="TLPBoxTextnote">
    <w:name w:val="TLPBoxText(note"/>
    <w:aliases w:val="right)"/>
    <w:basedOn w:val="OPCParaBase"/>
    <w:semiHidden/>
    <w:rsid w:val="00571C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571CE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571CE4"/>
    <w:pPr>
      <w:spacing w:before="122" w:line="198" w:lineRule="exact"/>
      <w:ind w:left="1985" w:hanging="851"/>
      <w:jc w:val="right"/>
    </w:pPr>
    <w:rPr>
      <w:sz w:val="18"/>
    </w:rPr>
  </w:style>
  <w:style w:type="paragraph" w:customStyle="1" w:styleId="TLPTableBullet">
    <w:name w:val="TLPTableBullet"/>
    <w:aliases w:val="ttb"/>
    <w:basedOn w:val="OPCParaBase"/>
    <w:semiHidden/>
    <w:rsid w:val="00571CE4"/>
    <w:pPr>
      <w:spacing w:line="240" w:lineRule="exact"/>
      <w:ind w:left="284" w:hanging="284"/>
    </w:pPr>
    <w:rPr>
      <w:sz w:val="20"/>
    </w:rPr>
  </w:style>
  <w:style w:type="paragraph" w:styleId="TOC1">
    <w:name w:val="toc 1"/>
    <w:basedOn w:val="OPCParaBase"/>
    <w:next w:val="Normal"/>
    <w:uiPriority w:val="39"/>
    <w:unhideWhenUsed/>
    <w:rsid w:val="00571CE4"/>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571CE4"/>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571CE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71CE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71CE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71CE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71CE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71CE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71CE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571CE4"/>
    <w:pPr>
      <w:keepLines/>
      <w:spacing w:before="240" w:after="120" w:line="240" w:lineRule="auto"/>
      <w:ind w:left="794"/>
    </w:pPr>
    <w:rPr>
      <w:b/>
      <w:kern w:val="28"/>
      <w:sz w:val="20"/>
    </w:rPr>
  </w:style>
  <w:style w:type="paragraph" w:customStyle="1" w:styleId="TofSectsHeading">
    <w:name w:val="TofSects(Heading)"/>
    <w:basedOn w:val="OPCParaBase"/>
    <w:semiHidden/>
    <w:rsid w:val="00571CE4"/>
    <w:pPr>
      <w:spacing w:before="240" w:after="120" w:line="240" w:lineRule="auto"/>
    </w:pPr>
    <w:rPr>
      <w:b/>
      <w:sz w:val="24"/>
    </w:rPr>
  </w:style>
  <w:style w:type="paragraph" w:customStyle="1" w:styleId="TofSectsSection">
    <w:name w:val="TofSects(Section)"/>
    <w:basedOn w:val="OPCParaBase"/>
    <w:semiHidden/>
    <w:rsid w:val="00571CE4"/>
    <w:pPr>
      <w:keepLines/>
      <w:spacing w:before="40" w:line="240" w:lineRule="auto"/>
      <w:ind w:left="1588" w:hanging="794"/>
    </w:pPr>
    <w:rPr>
      <w:kern w:val="28"/>
      <w:sz w:val="18"/>
    </w:rPr>
  </w:style>
  <w:style w:type="paragraph" w:customStyle="1" w:styleId="TofSectsSubdiv">
    <w:name w:val="TofSects(Subdiv)"/>
    <w:basedOn w:val="OPCParaBase"/>
    <w:semiHidden/>
    <w:rsid w:val="00571CE4"/>
    <w:pPr>
      <w:keepLines/>
      <w:spacing w:before="80" w:line="240" w:lineRule="auto"/>
      <w:ind w:left="1588" w:hanging="794"/>
    </w:pPr>
    <w:rPr>
      <w:kern w:val="28"/>
    </w:rPr>
  </w:style>
  <w:style w:type="paragraph" w:customStyle="1" w:styleId="WRStyle">
    <w:name w:val="WR Style"/>
    <w:aliases w:val="WR"/>
    <w:basedOn w:val="OPCParaBase"/>
    <w:semiHidden/>
    <w:rsid w:val="00571CE4"/>
    <w:pPr>
      <w:spacing w:before="240" w:line="240" w:lineRule="auto"/>
      <w:ind w:left="284" w:hanging="284"/>
    </w:pPr>
    <w:rPr>
      <w:b/>
      <w:i/>
      <w:kern w:val="28"/>
      <w:sz w:val="24"/>
    </w:rPr>
  </w:style>
  <w:style w:type="paragraph" w:customStyle="1" w:styleId="notepara">
    <w:name w:val="note(para)"/>
    <w:aliases w:val="na"/>
    <w:basedOn w:val="OPCParaBase"/>
    <w:semiHidden/>
    <w:rsid w:val="00571CE4"/>
    <w:pPr>
      <w:spacing w:before="40" w:line="198" w:lineRule="exact"/>
      <w:ind w:left="2354" w:hanging="369"/>
    </w:pPr>
    <w:rPr>
      <w:sz w:val="18"/>
    </w:rPr>
  </w:style>
  <w:style w:type="paragraph" w:styleId="Footer">
    <w:name w:val="footer"/>
    <w:link w:val="FooterChar"/>
    <w:uiPriority w:val="99"/>
    <w:rsid w:val="00571CE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571CE4"/>
    <w:rPr>
      <w:rFonts w:ascii="Times New Roman" w:eastAsia="Times New Roman" w:hAnsi="Times New Roman" w:cs="Times New Roman"/>
      <w:szCs w:val="24"/>
      <w:lang w:eastAsia="en-AU"/>
    </w:rPr>
  </w:style>
  <w:style w:type="character" w:styleId="LineNumber">
    <w:name w:val="line number"/>
    <w:uiPriority w:val="99"/>
    <w:semiHidden/>
    <w:unhideWhenUsed/>
    <w:rsid w:val="00571CE4"/>
    <w:rPr>
      <w:sz w:val="16"/>
    </w:rPr>
  </w:style>
  <w:style w:type="table" w:customStyle="1" w:styleId="CFlag">
    <w:name w:val="CFlag"/>
    <w:basedOn w:val="TableNormal"/>
    <w:uiPriority w:val="99"/>
    <w:rsid w:val="00571CE4"/>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571C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CE4"/>
    <w:rPr>
      <w:rFonts w:ascii="Tahoma" w:eastAsia="Calibri" w:hAnsi="Tahoma" w:cs="Tahoma"/>
      <w:sz w:val="16"/>
      <w:szCs w:val="16"/>
    </w:rPr>
  </w:style>
  <w:style w:type="table" w:styleId="TableGrid">
    <w:name w:val="Table Grid"/>
    <w:basedOn w:val="TableNormal"/>
    <w:uiPriority w:val="59"/>
    <w:rsid w:val="00571CE4"/>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571CE4"/>
    <w:rPr>
      <w:b/>
      <w:sz w:val="28"/>
      <w:szCs w:val="32"/>
    </w:rPr>
  </w:style>
  <w:style w:type="paragraph" w:customStyle="1" w:styleId="LegislationMadeUnder">
    <w:name w:val="LegislationMadeUnder"/>
    <w:basedOn w:val="OPCParaBase"/>
    <w:next w:val="Normal"/>
    <w:semiHidden/>
    <w:rsid w:val="00571CE4"/>
    <w:rPr>
      <w:i/>
      <w:sz w:val="32"/>
      <w:szCs w:val="32"/>
    </w:rPr>
  </w:style>
  <w:style w:type="paragraph" w:customStyle="1" w:styleId="SignCoverPageEnd">
    <w:name w:val="SignCoverPageEnd"/>
    <w:basedOn w:val="OPCParaBase"/>
    <w:next w:val="Normal"/>
    <w:semiHidden/>
    <w:rsid w:val="00571CE4"/>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1CE4"/>
    <w:pPr>
      <w:spacing w:before="240"/>
      <w:ind w:right="397"/>
    </w:pPr>
  </w:style>
  <w:style w:type="paragraph" w:customStyle="1" w:styleId="NotesHeading1">
    <w:name w:val="NotesHeading 1"/>
    <w:basedOn w:val="OPCParaBase"/>
    <w:next w:val="Normal"/>
    <w:semiHidden/>
    <w:rsid w:val="00571CE4"/>
    <w:pPr>
      <w:outlineLvl w:val="0"/>
    </w:pPr>
    <w:rPr>
      <w:b/>
      <w:sz w:val="28"/>
      <w:szCs w:val="28"/>
    </w:rPr>
  </w:style>
  <w:style w:type="paragraph" w:customStyle="1" w:styleId="NotesHeading2">
    <w:name w:val="NotesHeading 2"/>
    <w:basedOn w:val="OPCParaBase"/>
    <w:next w:val="Normal"/>
    <w:semiHidden/>
    <w:rsid w:val="00571CE4"/>
    <w:rPr>
      <w:b/>
      <w:sz w:val="28"/>
      <w:szCs w:val="28"/>
    </w:rPr>
  </w:style>
  <w:style w:type="paragraph" w:customStyle="1" w:styleId="CompiledActNo">
    <w:name w:val="CompiledActNo"/>
    <w:basedOn w:val="OPCParaBase"/>
    <w:next w:val="Normal"/>
    <w:semiHidden/>
    <w:rsid w:val="00571CE4"/>
    <w:rPr>
      <w:b/>
      <w:sz w:val="24"/>
      <w:szCs w:val="24"/>
    </w:rPr>
  </w:style>
  <w:style w:type="paragraph" w:customStyle="1" w:styleId="ENotesText">
    <w:name w:val="ENotesText"/>
    <w:aliases w:val="Ent"/>
    <w:basedOn w:val="OPCParaBase"/>
    <w:next w:val="Normal"/>
    <w:semiHidden/>
    <w:rsid w:val="00571CE4"/>
    <w:pPr>
      <w:spacing w:before="120"/>
    </w:pPr>
  </w:style>
  <w:style w:type="paragraph" w:customStyle="1" w:styleId="CompiledMadeUnder">
    <w:name w:val="CompiledMadeUnder"/>
    <w:basedOn w:val="OPCParaBase"/>
    <w:next w:val="Normal"/>
    <w:semiHidden/>
    <w:rsid w:val="00571CE4"/>
    <w:rPr>
      <w:i/>
      <w:sz w:val="24"/>
      <w:szCs w:val="24"/>
    </w:rPr>
  </w:style>
  <w:style w:type="paragraph" w:customStyle="1" w:styleId="Paragraphsub-sub-sub">
    <w:name w:val="Paragraph(sub-sub-sub)"/>
    <w:aliases w:val="aaaa"/>
    <w:basedOn w:val="OPCParaBase"/>
    <w:semiHidden/>
    <w:rsid w:val="00571CE4"/>
    <w:pPr>
      <w:tabs>
        <w:tab w:val="right" w:pos="3402"/>
      </w:tabs>
      <w:spacing w:before="40" w:line="240" w:lineRule="auto"/>
      <w:ind w:left="3402" w:hanging="3402"/>
    </w:pPr>
  </w:style>
  <w:style w:type="paragraph" w:customStyle="1" w:styleId="TableTextEndNotes">
    <w:name w:val="TableTextEndNotes"/>
    <w:aliases w:val="Tten"/>
    <w:basedOn w:val="Normal"/>
    <w:semiHidden/>
    <w:rsid w:val="00571CE4"/>
    <w:pPr>
      <w:spacing w:before="60" w:line="240" w:lineRule="auto"/>
    </w:pPr>
    <w:rPr>
      <w:rFonts w:cs="Arial"/>
      <w:sz w:val="20"/>
      <w:szCs w:val="22"/>
    </w:rPr>
  </w:style>
  <w:style w:type="paragraph" w:customStyle="1" w:styleId="NoteToSubpara">
    <w:name w:val="NoteToSubpara"/>
    <w:aliases w:val="nts"/>
    <w:basedOn w:val="OPCParaBase"/>
    <w:semiHidden/>
    <w:rsid w:val="00571CE4"/>
    <w:pPr>
      <w:spacing w:before="40" w:line="198" w:lineRule="exact"/>
      <w:ind w:left="2835" w:hanging="709"/>
    </w:pPr>
    <w:rPr>
      <w:sz w:val="18"/>
    </w:rPr>
  </w:style>
  <w:style w:type="paragraph" w:customStyle="1" w:styleId="ENoteTableHeading">
    <w:name w:val="ENoteTableHeading"/>
    <w:aliases w:val="enth"/>
    <w:basedOn w:val="OPCParaBase"/>
    <w:semiHidden/>
    <w:rsid w:val="00571CE4"/>
    <w:pPr>
      <w:keepNext/>
      <w:spacing w:before="60" w:line="240" w:lineRule="atLeast"/>
    </w:pPr>
    <w:rPr>
      <w:rFonts w:ascii="Arial" w:hAnsi="Arial"/>
      <w:b/>
      <w:sz w:val="16"/>
    </w:rPr>
  </w:style>
  <w:style w:type="paragraph" w:customStyle="1" w:styleId="ENoteTTi">
    <w:name w:val="ENoteTTi"/>
    <w:aliases w:val="entti"/>
    <w:basedOn w:val="OPCParaBase"/>
    <w:semiHidden/>
    <w:rsid w:val="00571CE4"/>
    <w:pPr>
      <w:keepNext/>
      <w:spacing w:before="60" w:line="240" w:lineRule="atLeast"/>
      <w:ind w:left="170"/>
    </w:pPr>
    <w:rPr>
      <w:sz w:val="16"/>
    </w:rPr>
  </w:style>
  <w:style w:type="paragraph" w:customStyle="1" w:styleId="ENotesHeading1">
    <w:name w:val="ENotesHeading 1"/>
    <w:aliases w:val="Enh1"/>
    <w:basedOn w:val="OPCParaBase"/>
    <w:next w:val="Normal"/>
    <w:semiHidden/>
    <w:rsid w:val="00571CE4"/>
    <w:pPr>
      <w:spacing w:before="120"/>
      <w:outlineLvl w:val="1"/>
    </w:pPr>
    <w:rPr>
      <w:b/>
      <w:sz w:val="28"/>
      <w:szCs w:val="28"/>
    </w:rPr>
  </w:style>
  <w:style w:type="paragraph" w:customStyle="1" w:styleId="ENotesHeading2">
    <w:name w:val="ENotesHeading 2"/>
    <w:aliases w:val="Enh2"/>
    <w:basedOn w:val="OPCParaBase"/>
    <w:next w:val="Normal"/>
    <w:semiHidden/>
    <w:rsid w:val="00571CE4"/>
    <w:pPr>
      <w:spacing w:before="120" w:after="120"/>
      <w:outlineLvl w:val="2"/>
    </w:pPr>
    <w:rPr>
      <w:b/>
      <w:sz w:val="24"/>
      <w:szCs w:val="28"/>
    </w:rPr>
  </w:style>
  <w:style w:type="paragraph" w:customStyle="1" w:styleId="ENoteTTIndentHeading">
    <w:name w:val="ENoteTTIndentHeading"/>
    <w:aliases w:val="enTTHi"/>
    <w:basedOn w:val="OPCParaBase"/>
    <w:semiHidden/>
    <w:rsid w:val="00571CE4"/>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571CE4"/>
    <w:pPr>
      <w:spacing w:before="60" w:line="240" w:lineRule="atLeast"/>
    </w:pPr>
    <w:rPr>
      <w:sz w:val="16"/>
    </w:rPr>
  </w:style>
  <w:style w:type="paragraph" w:customStyle="1" w:styleId="MadeunderText">
    <w:name w:val="MadeunderText"/>
    <w:basedOn w:val="OPCParaBase"/>
    <w:next w:val="CompiledMadeUnder"/>
    <w:semiHidden/>
    <w:rsid w:val="00571CE4"/>
    <w:pPr>
      <w:spacing w:before="240"/>
    </w:pPr>
    <w:rPr>
      <w:sz w:val="24"/>
      <w:szCs w:val="24"/>
    </w:rPr>
  </w:style>
  <w:style w:type="paragraph" w:customStyle="1" w:styleId="ENotesHeading3">
    <w:name w:val="ENotesHeading 3"/>
    <w:aliases w:val="Enh3"/>
    <w:basedOn w:val="OPCParaBase"/>
    <w:next w:val="Normal"/>
    <w:semiHidden/>
    <w:rsid w:val="00571CE4"/>
    <w:pPr>
      <w:keepNext/>
      <w:spacing w:before="120" w:line="240" w:lineRule="auto"/>
      <w:outlineLvl w:val="4"/>
    </w:pPr>
    <w:rPr>
      <w:b/>
      <w:szCs w:val="24"/>
    </w:rPr>
  </w:style>
  <w:style w:type="paragraph" w:customStyle="1" w:styleId="SubPartCASA">
    <w:name w:val="SubPart(CASA)"/>
    <w:aliases w:val="csp"/>
    <w:basedOn w:val="OPCParaBase"/>
    <w:next w:val="ActHead3"/>
    <w:semiHidden/>
    <w:rsid w:val="00571CE4"/>
    <w:pPr>
      <w:keepNext/>
      <w:keepLines/>
      <w:spacing w:before="280"/>
      <w:outlineLvl w:val="1"/>
    </w:pPr>
    <w:rPr>
      <w:b/>
      <w:kern w:val="28"/>
      <w:sz w:val="32"/>
    </w:rPr>
  </w:style>
  <w:style w:type="character" w:customStyle="1" w:styleId="CharSubPartTextCASA">
    <w:name w:val="CharSubPartText(CASA)"/>
    <w:basedOn w:val="OPCCharBase"/>
    <w:uiPriority w:val="1"/>
    <w:semiHidden/>
    <w:rsid w:val="00571CE4"/>
  </w:style>
  <w:style w:type="character" w:customStyle="1" w:styleId="CharSubPartNoCASA">
    <w:name w:val="CharSubPartNo(CASA)"/>
    <w:basedOn w:val="OPCCharBase"/>
    <w:uiPriority w:val="1"/>
    <w:semiHidden/>
    <w:rsid w:val="00571CE4"/>
  </w:style>
  <w:style w:type="paragraph" w:customStyle="1" w:styleId="ENoteTTIndentHeadingSub">
    <w:name w:val="ENoteTTIndentHeadingSub"/>
    <w:aliases w:val="enTTHis"/>
    <w:basedOn w:val="OPCParaBase"/>
    <w:semiHidden/>
    <w:rsid w:val="00571CE4"/>
    <w:pPr>
      <w:keepNext/>
      <w:spacing w:before="60" w:line="240" w:lineRule="atLeast"/>
      <w:ind w:left="340"/>
    </w:pPr>
    <w:rPr>
      <w:b/>
      <w:sz w:val="16"/>
    </w:rPr>
  </w:style>
  <w:style w:type="paragraph" w:customStyle="1" w:styleId="ENoteTTiSub">
    <w:name w:val="ENoteTTiSub"/>
    <w:aliases w:val="enttis"/>
    <w:basedOn w:val="OPCParaBase"/>
    <w:semiHidden/>
    <w:rsid w:val="00571CE4"/>
    <w:pPr>
      <w:keepNext/>
      <w:spacing w:before="60" w:line="240" w:lineRule="atLeast"/>
      <w:ind w:left="340"/>
    </w:pPr>
    <w:rPr>
      <w:sz w:val="16"/>
    </w:rPr>
  </w:style>
  <w:style w:type="paragraph" w:customStyle="1" w:styleId="SubDivisionMigration">
    <w:name w:val="SubDivisionMigration"/>
    <w:aliases w:val="sdm"/>
    <w:basedOn w:val="OPCParaBase"/>
    <w:semiHidden/>
    <w:rsid w:val="00571C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571CE4"/>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1CE4"/>
    <w:pPr>
      <w:spacing w:before="200" w:line="240" w:lineRule="auto"/>
      <w:ind w:left="1701" w:hanging="567"/>
    </w:pPr>
    <w:rPr>
      <w:sz w:val="18"/>
    </w:rPr>
  </w:style>
  <w:style w:type="paragraph" w:customStyle="1" w:styleId="FreeForm">
    <w:name w:val="FreeForm"/>
    <w:rsid w:val="00571CE4"/>
    <w:pPr>
      <w:spacing w:after="0" w:line="240" w:lineRule="auto"/>
    </w:pPr>
    <w:rPr>
      <w:rFonts w:ascii="Arial" w:eastAsia="Calibri" w:hAnsi="Arial" w:cs="Times New Roman"/>
      <w:szCs w:val="20"/>
    </w:rPr>
  </w:style>
  <w:style w:type="paragraph" w:customStyle="1" w:styleId="SOText">
    <w:name w:val="SO Text"/>
    <w:aliases w:val="sot"/>
    <w:link w:val="SOTextChar"/>
    <w:semiHidden/>
    <w:rsid w:val="00571CE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semiHidden/>
    <w:rsid w:val="00571CE4"/>
    <w:rPr>
      <w:rFonts w:ascii="Times New Roman" w:eastAsia="Calibri" w:hAnsi="Times New Roman" w:cs="Times New Roman"/>
      <w:szCs w:val="20"/>
    </w:rPr>
  </w:style>
  <w:style w:type="paragraph" w:customStyle="1" w:styleId="SOTextNote">
    <w:name w:val="SO TextNote"/>
    <w:aliases w:val="sont"/>
    <w:basedOn w:val="SOText"/>
    <w:semiHidden/>
    <w:qFormat/>
    <w:rsid w:val="00571CE4"/>
    <w:pPr>
      <w:spacing w:before="122" w:line="198" w:lineRule="exact"/>
      <w:ind w:left="1843" w:hanging="709"/>
    </w:pPr>
    <w:rPr>
      <w:sz w:val="18"/>
    </w:rPr>
  </w:style>
  <w:style w:type="paragraph" w:customStyle="1" w:styleId="SOPara">
    <w:name w:val="SO Para"/>
    <w:aliases w:val="soa"/>
    <w:basedOn w:val="SOText"/>
    <w:link w:val="SOParaChar"/>
    <w:semiHidden/>
    <w:qFormat/>
    <w:rsid w:val="00571CE4"/>
    <w:pPr>
      <w:tabs>
        <w:tab w:val="right" w:pos="1786"/>
      </w:tabs>
      <w:spacing w:before="40"/>
      <w:ind w:left="2070" w:hanging="936"/>
    </w:pPr>
  </w:style>
  <w:style w:type="character" w:customStyle="1" w:styleId="SOParaChar">
    <w:name w:val="SO Para Char"/>
    <w:aliases w:val="soa Char"/>
    <w:link w:val="SOPara"/>
    <w:semiHidden/>
    <w:rsid w:val="00571CE4"/>
    <w:rPr>
      <w:rFonts w:ascii="Times New Roman" w:eastAsia="Calibri" w:hAnsi="Times New Roman" w:cs="Times New Roman"/>
      <w:szCs w:val="20"/>
    </w:rPr>
  </w:style>
  <w:style w:type="paragraph" w:customStyle="1" w:styleId="FileName">
    <w:name w:val="FileName"/>
    <w:basedOn w:val="Normal"/>
    <w:semiHidden/>
    <w:rsid w:val="00571CE4"/>
  </w:style>
  <w:style w:type="paragraph" w:customStyle="1" w:styleId="TableHeading">
    <w:name w:val="TableHeading"/>
    <w:aliases w:val="th"/>
    <w:basedOn w:val="OPCParaBase"/>
    <w:next w:val="Tabletext"/>
    <w:semiHidden/>
    <w:rsid w:val="00571CE4"/>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571CE4"/>
    <w:rPr>
      <w:b/>
    </w:rPr>
  </w:style>
  <w:style w:type="character" w:customStyle="1" w:styleId="SOHeadBoldChar">
    <w:name w:val="SO HeadBold Char"/>
    <w:aliases w:val="sohb Char"/>
    <w:link w:val="SOHeadBold"/>
    <w:semiHidden/>
    <w:rsid w:val="00571CE4"/>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semiHidden/>
    <w:qFormat/>
    <w:rsid w:val="00571CE4"/>
    <w:rPr>
      <w:i/>
    </w:rPr>
  </w:style>
  <w:style w:type="character" w:customStyle="1" w:styleId="SOHeadItalicChar">
    <w:name w:val="SO HeadItalic Char"/>
    <w:aliases w:val="sohi Char"/>
    <w:link w:val="SOHeadItalic"/>
    <w:semiHidden/>
    <w:rsid w:val="00571CE4"/>
    <w:rPr>
      <w:rFonts w:ascii="Times New Roman" w:eastAsia="Calibri" w:hAnsi="Times New Roman" w:cs="Times New Roman"/>
      <w:i/>
      <w:szCs w:val="20"/>
    </w:rPr>
  </w:style>
  <w:style w:type="paragraph" w:customStyle="1" w:styleId="SOBullet">
    <w:name w:val="SO Bullet"/>
    <w:aliases w:val="sotb"/>
    <w:basedOn w:val="SOText"/>
    <w:link w:val="SOBulletChar"/>
    <w:semiHidden/>
    <w:qFormat/>
    <w:rsid w:val="00571CE4"/>
    <w:pPr>
      <w:ind w:left="1559" w:hanging="425"/>
    </w:pPr>
  </w:style>
  <w:style w:type="character" w:customStyle="1" w:styleId="SOBulletChar">
    <w:name w:val="SO Bullet Char"/>
    <w:aliases w:val="sotb Char"/>
    <w:link w:val="SOBullet"/>
    <w:semiHidden/>
    <w:rsid w:val="00571CE4"/>
    <w:rPr>
      <w:rFonts w:ascii="Times New Roman" w:eastAsia="Calibri" w:hAnsi="Times New Roman" w:cs="Times New Roman"/>
      <w:szCs w:val="20"/>
    </w:rPr>
  </w:style>
  <w:style w:type="paragraph" w:customStyle="1" w:styleId="SOBulletNote">
    <w:name w:val="SO BulletNote"/>
    <w:aliases w:val="sonb"/>
    <w:basedOn w:val="SOTextNote"/>
    <w:link w:val="SOBulletNoteChar"/>
    <w:semiHidden/>
    <w:qFormat/>
    <w:rsid w:val="00571CE4"/>
    <w:pPr>
      <w:tabs>
        <w:tab w:val="left" w:pos="1560"/>
      </w:tabs>
      <w:ind w:left="2268" w:hanging="1134"/>
    </w:pPr>
  </w:style>
  <w:style w:type="character" w:customStyle="1" w:styleId="SOBulletNoteChar">
    <w:name w:val="SO BulletNote Char"/>
    <w:aliases w:val="sonb Char"/>
    <w:link w:val="SOBulletNote"/>
    <w:semiHidden/>
    <w:rsid w:val="00571CE4"/>
    <w:rPr>
      <w:rFonts w:ascii="Times New Roman" w:eastAsia="Calibri" w:hAnsi="Times New Roman" w:cs="Times New Roman"/>
      <w:sz w:val="18"/>
      <w:szCs w:val="20"/>
    </w:rPr>
  </w:style>
  <w:style w:type="paragraph" w:customStyle="1" w:styleId="SOText2">
    <w:name w:val="SO Text2"/>
    <w:aliases w:val="sot2"/>
    <w:basedOn w:val="Normal"/>
    <w:next w:val="SOText"/>
    <w:link w:val="SOText2Char"/>
    <w:semiHidden/>
    <w:rsid w:val="00571CE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71CE4"/>
    <w:rPr>
      <w:rFonts w:ascii="Times New Roman" w:eastAsia="Calibri" w:hAnsi="Times New Roman" w:cs="Times New Roman"/>
      <w:szCs w:val="20"/>
    </w:rPr>
  </w:style>
  <w:style w:type="paragraph" w:styleId="BodyText">
    <w:name w:val="Body Text"/>
    <w:link w:val="BodyTextChar"/>
    <w:semiHidden/>
    <w:rsid w:val="00571CE4"/>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571CE4"/>
    <w:rPr>
      <w:rFonts w:ascii="Times New Roman" w:eastAsia="Times New Roman" w:hAnsi="Times New Roman" w:cs="Times New Roman"/>
      <w:color w:val="000000"/>
      <w:sz w:val="24"/>
      <w:szCs w:val="20"/>
    </w:rPr>
  </w:style>
  <w:style w:type="paragraph" w:styleId="BodyTextIndent">
    <w:name w:val="Body Text Indent"/>
    <w:basedOn w:val="Normal"/>
    <w:link w:val="BodyTextIndentChar"/>
    <w:semiHidden/>
    <w:unhideWhenUsed/>
    <w:rsid w:val="00571CE4"/>
    <w:pPr>
      <w:spacing w:after="120"/>
      <w:ind w:left="283"/>
    </w:pPr>
  </w:style>
  <w:style w:type="character" w:customStyle="1" w:styleId="BodyTextIndentChar">
    <w:name w:val="Body Text Indent Char"/>
    <w:basedOn w:val="DefaultParagraphFont"/>
    <w:link w:val="BodyTextIndent"/>
    <w:semiHidden/>
    <w:rsid w:val="00571CE4"/>
    <w:rPr>
      <w:rFonts w:ascii="Times New Roman" w:eastAsia="Calibri" w:hAnsi="Times New Roman" w:cs="Times New Roman"/>
      <w:szCs w:val="20"/>
    </w:rPr>
  </w:style>
  <w:style w:type="character" w:styleId="Hyperlink">
    <w:name w:val="Hyperlink"/>
    <w:uiPriority w:val="99"/>
    <w:rsid w:val="00571CE4"/>
    <w:rPr>
      <w:color w:val="0000FF"/>
      <w:u w:val="single"/>
    </w:rPr>
  </w:style>
  <w:style w:type="character" w:styleId="PageNumber">
    <w:name w:val="page number"/>
    <w:basedOn w:val="DefaultParagraphFont"/>
    <w:semiHidden/>
    <w:rsid w:val="00571CE4"/>
  </w:style>
  <w:style w:type="paragraph" w:customStyle="1" w:styleId="LI-BodyTextSubparai">
    <w:name w:val="LI - Body Text Subpara (i)"/>
    <w:basedOn w:val="LI-BodyTextParaa"/>
    <w:link w:val="LI-BodyTextSubparaiChar"/>
    <w:qFormat/>
    <w:rsid w:val="00571CE4"/>
    <w:pPr>
      <w:ind w:left="2268"/>
    </w:pPr>
  </w:style>
  <w:style w:type="paragraph" w:customStyle="1" w:styleId="LI-BodyTextSubsubparaA">
    <w:name w:val="LI - Body Text Subsubpara (A)"/>
    <w:basedOn w:val="LI-BodyTextParaa"/>
    <w:link w:val="LI-BodyTextSubsubparaAChar"/>
    <w:qFormat/>
    <w:rsid w:val="00571CE4"/>
    <w:pPr>
      <w:ind w:left="2835"/>
    </w:pPr>
  </w:style>
  <w:style w:type="character" w:customStyle="1" w:styleId="OPCParaBaseChar">
    <w:name w:val="OPCParaBase Char"/>
    <w:link w:val="OPCParaBase"/>
    <w:semiHidden/>
    <w:rsid w:val="00571CE4"/>
    <w:rPr>
      <w:rFonts w:ascii="Times New Roman" w:eastAsia="Times New Roman" w:hAnsi="Times New Roman" w:cs="Times New Roman"/>
      <w:szCs w:val="20"/>
      <w:lang w:eastAsia="en-AU"/>
    </w:rPr>
  </w:style>
  <w:style w:type="character" w:customStyle="1" w:styleId="LI-BodyTextParaaChar">
    <w:name w:val="LI - Body Text Para (a) Char"/>
    <w:link w:val="LI-BodyTextParaa"/>
    <w:rsid w:val="00571CE4"/>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571CE4"/>
    <w:rPr>
      <w:rFonts w:ascii="Times New Roman" w:eastAsia="Times New Roman" w:hAnsi="Times New Roman" w:cs="Times New Roman"/>
      <w:sz w:val="24"/>
      <w:szCs w:val="24"/>
      <w:lang w:eastAsia="en-AU"/>
    </w:rPr>
  </w:style>
  <w:style w:type="paragraph" w:customStyle="1" w:styleId="LI-BodyTextNumbered">
    <w:name w:val="LI - Body Text Numbered"/>
    <w:basedOn w:val="LI-BodyTextUnnumbered"/>
    <w:link w:val="LI-BodyTextNumberedChar"/>
    <w:qFormat/>
    <w:rsid w:val="00571CE4"/>
    <w:pPr>
      <w:ind w:hanging="567"/>
    </w:pPr>
    <w:rPr>
      <w:szCs w:val="24"/>
    </w:rPr>
  </w:style>
  <w:style w:type="character" w:customStyle="1" w:styleId="LI-BodyTextSubsubparaAChar">
    <w:name w:val="LI - Body Text Subsubpara (A) Char"/>
    <w:basedOn w:val="LI-BodyTextParaaChar"/>
    <w:link w:val="LI-BodyTextSubsubparaA"/>
    <w:rsid w:val="00571CE4"/>
    <w:rPr>
      <w:rFonts w:ascii="Times New Roman" w:eastAsia="Times New Roman" w:hAnsi="Times New Roman" w:cs="Times New Roman"/>
      <w:sz w:val="24"/>
      <w:szCs w:val="24"/>
      <w:lang w:eastAsia="en-AU"/>
    </w:rPr>
  </w:style>
  <w:style w:type="paragraph" w:customStyle="1" w:styleId="LI-Footer">
    <w:name w:val="LI - Footer"/>
    <w:basedOn w:val="Normal"/>
    <w:link w:val="LI-FooterChar"/>
    <w:qFormat/>
    <w:rsid w:val="00571CE4"/>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571CE4"/>
    <w:rPr>
      <w:rFonts w:ascii="Times New Roman" w:eastAsia="Times New Roman" w:hAnsi="Times New Roman" w:cs="Times New Roman"/>
      <w:sz w:val="24"/>
      <w:szCs w:val="20"/>
      <w:lang w:eastAsia="en-AU"/>
    </w:rPr>
  </w:style>
  <w:style w:type="character" w:customStyle="1" w:styleId="LI-BodyTextNumberedChar">
    <w:name w:val="LI - Body Text Numbered Char"/>
    <w:link w:val="LI-BodyTextNumbered"/>
    <w:rsid w:val="00571CE4"/>
    <w:rPr>
      <w:rFonts w:ascii="Times New Roman" w:eastAsia="Times New Roman" w:hAnsi="Times New Roman" w:cs="Times New Roman"/>
      <w:sz w:val="24"/>
      <w:szCs w:val="24"/>
      <w:lang w:eastAsia="en-AU"/>
    </w:rPr>
  </w:style>
  <w:style w:type="paragraph" w:customStyle="1" w:styleId="LI-SectionHeading">
    <w:name w:val="LI - Section Heading"/>
    <w:basedOn w:val="LI-BodyTextUnnumbered"/>
    <w:link w:val="LI-SectionHeadingChar"/>
    <w:qFormat/>
    <w:rsid w:val="00571CE4"/>
    <w:pPr>
      <w:ind w:left="2268" w:hanging="567"/>
    </w:pPr>
    <w:rPr>
      <w:b/>
      <w:szCs w:val="24"/>
    </w:rPr>
  </w:style>
  <w:style w:type="character" w:customStyle="1" w:styleId="LI-FooterChar">
    <w:name w:val="LI - Footer Char"/>
    <w:link w:val="LI-Footer"/>
    <w:rsid w:val="00571CE4"/>
    <w:rPr>
      <w:rFonts w:ascii="Times New Roman" w:eastAsia="Calibri" w:hAnsi="Times New Roman" w:cs="Times New Roman"/>
      <w:i/>
      <w:sz w:val="18"/>
      <w:szCs w:val="20"/>
    </w:rPr>
  </w:style>
  <w:style w:type="paragraph" w:customStyle="1" w:styleId="LI-SectionSubsectionText">
    <w:name w:val="LI - Section Subsection Text"/>
    <w:basedOn w:val="LI-BodyTextUnnumbered"/>
    <w:link w:val="LI-SectionSubsectionTextChar"/>
    <w:qFormat/>
    <w:rsid w:val="00571CE4"/>
    <w:pPr>
      <w:ind w:left="2268" w:hanging="567"/>
    </w:pPr>
    <w:rPr>
      <w:szCs w:val="24"/>
    </w:rPr>
  </w:style>
  <w:style w:type="character" w:customStyle="1" w:styleId="LI-SectionHeadingChar">
    <w:name w:val="LI - Section Heading Char"/>
    <w:link w:val="LI-SectionHeading"/>
    <w:rsid w:val="00571CE4"/>
    <w:rPr>
      <w:rFonts w:ascii="Times New Roman" w:eastAsia="Times New Roman" w:hAnsi="Times New Roman" w:cs="Times New Roman"/>
      <w:b/>
      <w:sz w:val="24"/>
      <w:szCs w:val="24"/>
      <w:lang w:eastAsia="en-AU"/>
    </w:rPr>
  </w:style>
  <w:style w:type="paragraph" w:customStyle="1" w:styleId="LI-SectionNote">
    <w:name w:val="LI - Section Note"/>
    <w:basedOn w:val="LI-BodyTextNote"/>
    <w:link w:val="LI-SectionNoteChar"/>
    <w:qFormat/>
    <w:rsid w:val="00571CE4"/>
    <w:pPr>
      <w:spacing w:before="240"/>
      <w:ind w:left="2835"/>
    </w:pPr>
  </w:style>
  <w:style w:type="character" w:customStyle="1" w:styleId="LI-SectionSubsectionTextChar">
    <w:name w:val="LI - Section Subsection Text Char"/>
    <w:link w:val="LI-SectionSubsectionText"/>
    <w:rsid w:val="00571CE4"/>
    <w:rPr>
      <w:rFonts w:ascii="Times New Roman" w:eastAsia="Times New Roman" w:hAnsi="Times New Roman" w:cs="Times New Roman"/>
      <w:sz w:val="24"/>
      <w:szCs w:val="24"/>
      <w:lang w:eastAsia="en-AU"/>
    </w:rPr>
  </w:style>
  <w:style w:type="paragraph" w:customStyle="1" w:styleId="LI-Sectionparaa">
    <w:name w:val="LI - Section para (a)"/>
    <w:basedOn w:val="LI-BodyTextUnnumbered"/>
    <w:link w:val="LI-SectionparaaChar"/>
    <w:qFormat/>
    <w:rsid w:val="00571CE4"/>
    <w:pPr>
      <w:ind w:left="2835" w:hanging="567"/>
    </w:pPr>
    <w:rPr>
      <w:szCs w:val="24"/>
    </w:rPr>
  </w:style>
  <w:style w:type="character" w:customStyle="1" w:styleId="LI-BodyTextNoteChar">
    <w:name w:val="LI - Body Text Note Char"/>
    <w:link w:val="LI-BodyTextNote"/>
    <w:rsid w:val="00571CE4"/>
    <w:rPr>
      <w:rFonts w:ascii="Times New Roman" w:eastAsia="Times New Roman" w:hAnsi="Times New Roman" w:cs="Times New Roman"/>
      <w:sz w:val="18"/>
      <w:szCs w:val="20"/>
      <w:lang w:eastAsia="en-AU"/>
    </w:rPr>
  </w:style>
  <w:style w:type="character" w:customStyle="1" w:styleId="LI-SectionNoteChar">
    <w:name w:val="LI - Section Note Char"/>
    <w:basedOn w:val="LI-BodyTextNoteChar"/>
    <w:link w:val="LI-SectionNote"/>
    <w:rsid w:val="00571CE4"/>
    <w:rPr>
      <w:rFonts w:ascii="Times New Roman" w:eastAsia="Times New Roman" w:hAnsi="Times New Roman" w:cs="Times New Roman"/>
      <w:sz w:val="18"/>
      <w:szCs w:val="20"/>
      <w:lang w:eastAsia="en-AU"/>
    </w:rPr>
  </w:style>
  <w:style w:type="paragraph" w:customStyle="1" w:styleId="LI-Sectionsubparai">
    <w:name w:val="LI - Section subpara (i)"/>
    <w:basedOn w:val="LI-BodyTextUnnumbered"/>
    <w:link w:val="LI-SectionsubparaiChar"/>
    <w:qFormat/>
    <w:rsid w:val="00571CE4"/>
    <w:pPr>
      <w:ind w:left="3402" w:hanging="567"/>
    </w:pPr>
    <w:rPr>
      <w:szCs w:val="24"/>
    </w:rPr>
  </w:style>
  <w:style w:type="character" w:customStyle="1" w:styleId="LI-SectionparaaChar">
    <w:name w:val="LI - Section para (a) Char"/>
    <w:link w:val="LI-Sectionparaa"/>
    <w:rsid w:val="00571CE4"/>
    <w:rPr>
      <w:rFonts w:ascii="Times New Roman" w:eastAsia="Times New Roman" w:hAnsi="Times New Roman" w:cs="Times New Roman"/>
      <w:sz w:val="24"/>
      <w:szCs w:val="24"/>
      <w:lang w:eastAsia="en-AU"/>
    </w:rPr>
  </w:style>
  <w:style w:type="paragraph" w:customStyle="1" w:styleId="LI-SectionsubsubparaA">
    <w:name w:val="LI - Section subsubpara (A)"/>
    <w:basedOn w:val="LI-BodyTextUnnumbered"/>
    <w:link w:val="LI-SectionsubsubparaAChar"/>
    <w:qFormat/>
    <w:rsid w:val="00571CE4"/>
    <w:pPr>
      <w:ind w:left="3969" w:hanging="567"/>
    </w:pPr>
    <w:rPr>
      <w:szCs w:val="24"/>
    </w:rPr>
  </w:style>
  <w:style w:type="character" w:customStyle="1" w:styleId="LI-SectionsubparaiChar">
    <w:name w:val="LI - Section subpara (i) Char"/>
    <w:link w:val="LI-Sectionsubparai"/>
    <w:rsid w:val="00571CE4"/>
    <w:rPr>
      <w:rFonts w:ascii="Times New Roman" w:eastAsia="Times New Roman" w:hAnsi="Times New Roman" w:cs="Times New Roman"/>
      <w:sz w:val="24"/>
      <w:szCs w:val="24"/>
      <w:lang w:eastAsia="en-AU"/>
    </w:rPr>
  </w:style>
  <w:style w:type="character" w:styleId="UnresolvedMention">
    <w:name w:val="Unresolved Mention"/>
    <w:uiPriority w:val="99"/>
    <w:semiHidden/>
    <w:unhideWhenUsed/>
    <w:rsid w:val="00571CE4"/>
    <w:rPr>
      <w:color w:val="605E5C"/>
      <w:shd w:val="clear" w:color="auto" w:fill="E1DFDD"/>
    </w:rPr>
  </w:style>
  <w:style w:type="character" w:customStyle="1" w:styleId="LI-SectionsubsubparaAChar">
    <w:name w:val="LI - Section subsubpara (A) Char"/>
    <w:link w:val="LI-SectionsubsubparaA"/>
    <w:rsid w:val="00571CE4"/>
    <w:rPr>
      <w:rFonts w:ascii="Times New Roman" w:eastAsia="Times New Roman" w:hAnsi="Times New Roman" w:cs="Times New Roman"/>
      <w:sz w:val="24"/>
      <w:szCs w:val="24"/>
      <w:lang w:eastAsia="en-AU"/>
    </w:rPr>
  </w:style>
  <w:style w:type="paragraph" w:customStyle="1" w:styleId="Default">
    <w:name w:val="Default"/>
    <w:rsid w:val="00571CE4"/>
    <w:pPr>
      <w:autoSpaceDE w:val="0"/>
      <w:autoSpaceDN w:val="0"/>
      <w:adjustRightInd w:val="0"/>
      <w:spacing w:after="0" w:line="240" w:lineRule="auto"/>
    </w:pPr>
    <w:rPr>
      <w:rFonts w:ascii="Times New Roman" w:eastAsia="Calibri" w:hAnsi="Times New Roman" w:cs="Times New Roman"/>
      <w:color w:val="000000"/>
      <w:sz w:val="24"/>
      <w:szCs w:val="24"/>
      <w:lang w:eastAsia="en-AU"/>
    </w:rPr>
  </w:style>
  <w:style w:type="paragraph" w:customStyle="1" w:styleId="LI-SectionsubsubsubparaI">
    <w:name w:val="LI - Section subsubsubpara (I)"/>
    <w:basedOn w:val="LI-SectionsubsubparaA"/>
    <w:link w:val="LI-SectionsubsubsubparaIChar"/>
    <w:qFormat/>
    <w:rsid w:val="00571CE4"/>
    <w:pPr>
      <w:ind w:left="4536"/>
    </w:pPr>
  </w:style>
  <w:style w:type="character" w:customStyle="1" w:styleId="LI-SectionsubsubsubparaIChar">
    <w:name w:val="LI - Section subsubsubpara (I) Char"/>
    <w:basedOn w:val="LI-SectionsubsubparaAChar"/>
    <w:link w:val="LI-SectionsubsubsubparaI"/>
    <w:rsid w:val="00571CE4"/>
    <w:rPr>
      <w:rFonts w:ascii="Times New Roman" w:eastAsia="Times New Roman" w:hAnsi="Times New Roman" w:cs="Times New Roman"/>
      <w:sz w:val="24"/>
      <w:szCs w:val="24"/>
      <w:lang w:eastAsia="en-AU"/>
    </w:rPr>
  </w:style>
  <w:style w:type="character" w:styleId="CommentReference">
    <w:name w:val="annotation reference"/>
    <w:uiPriority w:val="99"/>
    <w:semiHidden/>
    <w:unhideWhenUsed/>
    <w:rsid w:val="00571CE4"/>
    <w:rPr>
      <w:sz w:val="16"/>
      <w:szCs w:val="16"/>
    </w:rPr>
  </w:style>
  <w:style w:type="paragraph" w:styleId="CommentText">
    <w:name w:val="annotation text"/>
    <w:basedOn w:val="Normal"/>
    <w:link w:val="CommentTextChar"/>
    <w:uiPriority w:val="99"/>
    <w:unhideWhenUsed/>
    <w:rsid w:val="00571CE4"/>
    <w:rPr>
      <w:sz w:val="20"/>
    </w:rPr>
  </w:style>
  <w:style w:type="character" w:customStyle="1" w:styleId="CommentTextChar">
    <w:name w:val="Comment Text Char"/>
    <w:basedOn w:val="DefaultParagraphFont"/>
    <w:link w:val="CommentText"/>
    <w:uiPriority w:val="99"/>
    <w:rsid w:val="00571CE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1CE4"/>
    <w:rPr>
      <w:b/>
      <w:bCs/>
    </w:rPr>
  </w:style>
  <w:style w:type="character" w:customStyle="1" w:styleId="CommentSubjectChar">
    <w:name w:val="Comment Subject Char"/>
    <w:basedOn w:val="CommentTextChar"/>
    <w:link w:val="CommentSubject"/>
    <w:uiPriority w:val="99"/>
    <w:semiHidden/>
    <w:rsid w:val="00571CE4"/>
    <w:rPr>
      <w:rFonts w:ascii="Times New Roman" w:eastAsia="Calibri" w:hAnsi="Times New Roman" w:cs="Times New Roman"/>
      <w:b/>
      <w:bCs/>
      <w:sz w:val="20"/>
      <w:szCs w:val="20"/>
    </w:rPr>
  </w:style>
  <w:style w:type="paragraph" w:customStyle="1" w:styleId="LI-Header">
    <w:name w:val="LI - Header"/>
    <w:basedOn w:val="LI-Footer"/>
    <w:link w:val="LI-HeaderChar"/>
    <w:qFormat/>
    <w:rsid w:val="00571CE4"/>
    <w:pPr>
      <w:pBdr>
        <w:top w:val="none" w:sz="0" w:space="0" w:color="auto"/>
        <w:bottom w:val="single" w:sz="4" w:space="1" w:color="auto"/>
      </w:pBdr>
      <w:jc w:val="right"/>
    </w:pPr>
  </w:style>
  <w:style w:type="paragraph" w:customStyle="1" w:styleId="LI-Subtitle">
    <w:name w:val="LI - Subtitle"/>
    <w:basedOn w:val="Normal"/>
    <w:link w:val="LI-SubtitleChar"/>
    <w:qFormat/>
    <w:rsid w:val="00571CE4"/>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571CE4"/>
    <w:rPr>
      <w:rFonts w:ascii="Times New Roman" w:eastAsia="Calibri" w:hAnsi="Times New Roman" w:cs="Times New Roman"/>
      <w:i/>
      <w:sz w:val="18"/>
      <w:szCs w:val="20"/>
    </w:rPr>
  </w:style>
  <w:style w:type="character" w:customStyle="1" w:styleId="LI-SubtitleChar">
    <w:name w:val="LI - Subtitle Char"/>
    <w:link w:val="LI-Subtitle"/>
    <w:rsid w:val="00571CE4"/>
    <w:rPr>
      <w:rFonts w:ascii="Times New Roman" w:eastAsia="Calibri" w:hAnsi="Times New Roman" w:cs="Times New Roman"/>
      <w:b/>
      <w:sz w:val="28"/>
      <w:szCs w:val="28"/>
      <w:lang w:eastAsia="en-AU"/>
    </w:rPr>
  </w:style>
  <w:style w:type="paragraph" w:styleId="ListParagraph">
    <w:name w:val="List Paragraph"/>
    <w:basedOn w:val="Normal"/>
    <w:uiPriority w:val="34"/>
    <w:qFormat/>
    <w:rsid w:val="00126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8e83bb0dc901e30dd4bddba9d405a43b">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498df3a669fe9a849b24f0bdbdb11869"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1;#OFFICIAL - Sensitive|6eccc17f-024b-41b0-b6b1-faf98d2aff85"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R20200000754289</RecordNumber>
    <ObjectiveID xmlns="da7a9ac0-bc47-4684-84e6-3a8e9ac80c12" xsi:nil="true"/>
    <IconOverlay xmlns="http://schemas.microsoft.com/sharepoint/v4" xsi:nil="true"/>
    <TaxCatchAll xmlns="6fdf923d-1605-456d-9034-49e4c2a6593d">
      <Value>11</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k274875fb6994245bc6e4e8c07243a23>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CBF44-FC67-4A0A-BDE3-CD67E7B524DD}">
  <ds:schemaRefs>
    <ds:schemaRef ds:uri="http://schemas.microsoft.com/sharepoint/v3/contenttype/forms"/>
  </ds:schemaRefs>
</ds:datastoreItem>
</file>

<file path=customXml/itemProps2.xml><?xml version="1.0" encoding="utf-8"?>
<ds:datastoreItem xmlns:ds="http://schemas.openxmlformats.org/officeDocument/2006/customXml" ds:itemID="{EB0446EB-77E9-4998-96A3-FEBF87783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6F004-0482-4154-AA4C-7C2A758A778C}">
  <ds:schemaRefs>
    <ds:schemaRef ds:uri="http://www.w3.org/XML/1998/namespace"/>
    <ds:schemaRef ds:uri="http://purl.org/dc/elements/1.1/"/>
    <ds:schemaRef ds:uri="http://schemas.openxmlformats.org/package/2006/metadata/core-properties"/>
    <ds:schemaRef ds:uri="http://schemas.microsoft.com/office/infopath/2007/PartnerControls"/>
    <ds:schemaRef ds:uri="6fdf923d-1605-456d-9034-49e4c2a6593d"/>
    <ds:schemaRef ds:uri="17f478ab-373e-4295-9ff0-9b833ad01319"/>
    <ds:schemaRef ds:uri="http://schemas.microsoft.com/office/2006/documentManagement/types"/>
    <ds:schemaRef ds:uri="http://schemas.microsoft.com/sharepoint/v4"/>
    <ds:schemaRef ds:uri="da7a9ac0-bc47-4684-84e6-3a8e9ac80c12"/>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41A5DD9C-FFF7-4555-8E00-D783993F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Edmondson</dc:creator>
  <cp:keywords/>
  <dc:description/>
  <cp:lastModifiedBy>Narelle Kane</cp:lastModifiedBy>
  <cp:revision>2</cp:revision>
  <dcterms:created xsi:type="dcterms:W3CDTF">2021-01-04T23:32:00Z</dcterms:created>
  <dcterms:modified xsi:type="dcterms:W3CDTF">2021-01-04T23:32:00Z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0x010100B5F685A1365F544391EF8C813B164F3A003FC3A1FB886AA841B1151906BEDCBCDF</vt:lpwstr>
  </property>
  <property fmtid="{D5CDD505-2E9C-101B-9397-08002B2CF9AE}" pid="3" name="RecordPoint_ActiveItemUniqueId">
    <vt:lpwstr>{7f8c2f9d-5b92-4c38-8b88-499156014282}</vt:lpwstr>
  </property>
  <property fmtid="{D5CDD505-2E9C-101B-9397-08002B2CF9AE}" pid="4" name="RecordPoint_SubmissionCompleted">
    <vt:lpwstr>2021-01-04T17:00:14.0670489+11:00</vt:lpwstr>
  </property>
  <property fmtid="{D5CDD505-2E9C-101B-9397-08002B2CF9AE}" pid="5" name="SecurityClassification">
    <vt:lpwstr>11;#OFFICIAL - Sensitive|6eccc17f-024b-41b0-b6b1-faf98d2aff85</vt:lpwstr>
  </property>
  <property fmtid="{D5CDD505-2E9C-101B-9397-08002B2CF9AE}" pid="6" name="RecordPoint_WorkflowType">
    <vt:lpwstr>ActiveSubmitStub</vt:lpwstr>
  </property>
  <property fmtid="{D5CDD505-2E9C-101B-9397-08002B2CF9AE}" pid="7" name="RecordPoint_ActiveItemWebId">
    <vt:lpwstr>{6fdf923d-1605-456d-9034-49e4c2a6593d}</vt:lpwstr>
  </property>
  <property fmtid="{D5CDD505-2E9C-101B-9397-08002B2CF9AE}" pid="8" name="RecordPoint_ActiveItemSiteId">
    <vt:lpwstr>{fa96e6fb-4129-44b7-b105-10ec3844cb78}</vt:lpwstr>
  </property>
  <property fmtid="{D5CDD505-2E9C-101B-9397-08002B2CF9AE}" pid="9" name="RecordPoint_ActiveItemListId">
    <vt:lpwstr>{e8634c1b-1868-4a02-8de8-ef4b1316a551}</vt:lpwstr>
  </property>
  <property fmtid="{D5CDD505-2E9C-101B-9397-08002B2CF9AE}" pid="10" name="RecordPoint_RecordNumberSubmitted">
    <vt:lpwstr>R20200000754289</vt:lpwstr>
  </property>
</Properties>
</file>