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4BFB2" w14:textId="77777777" w:rsidR="00CA55F0" w:rsidRPr="009E308D" w:rsidRDefault="00CA55F0" w:rsidP="00CA55F0">
      <w:pPr>
        <w:pStyle w:val="NormalWeb"/>
        <w:jc w:val="center"/>
        <w:rPr>
          <w:b/>
        </w:rPr>
      </w:pPr>
      <w:r w:rsidRPr="009E308D">
        <w:rPr>
          <w:b/>
        </w:rPr>
        <w:t>EXPLANATORY STATEMENT</w:t>
      </w:r>
    </w:p>
    <w:p w14:paraId="598ABE6B" w14:textId="77777777" w:rsidR="00CA55F0" w:rsidRPr="000F374A" w:rsidRDefault="00CA55F0" w:rsidP="00CA55F0">
      <w:pPr>
        <w:pStyle w:val="NormalWeb"/>
        <w:jc w:val="center"/>
        <w:rPr>
          <w:u w:val="single"/>
        </w:rPr>
      </w:pPr>
      <w:r w:rsidRPr="000F374A">
        <w:rPr>
          <w:u w:val="single"/>
        </w:rPr>
        <w:t>Issued by the authority of the Greenhouse and Energy Minimum Standards Regulator</w:t>
      </w:r>
    </w:p>
    <w:p w14:paraId="3AB7F5E6" w14:textId="77777777" w:rsidR="00CA55F0" w:rsidRPr="007F61BB" w:rsidRDefault="00CA55F0" w:rsidP="00CA55F0">
      <w:pPr>
        <w:pStyle w:val="NormalWeb"/>
        <w:jc w:val="center"/>
        <w:rPr>
          <w:i/>
          <w:u w:val="single"/>
        </w:rPr>
      </w:pPr>
      <w:r w:rsidRPr="007F61BB">
        <w:rPr>
          <w:i/>
          <w:u w:val="single"/>
        </w:rPr>
        <w:t>Greenhouse and Energy Minimum Standards Act 2012</w:t>
      </w:r>
    </w:p>
    <w:p w14:paraId="3E614907" w14:textId="77777777" w:rsidR="00CA55F0" w:rsidRPr="007F61BB" w:rsidRDefault="00CA55F0" w:rsidP="00CA55F0">
      <w:pPr>
        <w:pStyle w:val="NormalWeb"/>
        <w:jc w:val="center"/>
        <w:rPr>
          <w:i/>
          <w:u w:val="single"/>
        </w:rPr>
      </w:pPr>
      <w:r w:rsidRPr="007F61BB">
        <w:rPr>
          <w:i/>
          <w:u w:val="single"/>
        </w:rPr>
        <w:t xml:space="preserve">Greenhouse and Energy Minimum Standards (Exemption) Instrument (No. </w:t>
      </w:r>
      <w:r w:rsidR="000D2857">
        <w:rPr>
          <w:i/>
          <w:u w:val="single"/>
        </w:rPr>
        <w:t>1</w:t>
      </w:r>
      <w:r w:rsidRPr="007F61BB">
        <w:rPr>
          <w:i/>
          <w:u w:val="single"/>
        </w:rPr>
        <w:t xml:space="preserve">) </w:t>
      </w:r>
      <w:r w:rsidR="000D2857" w:rsidRPr="007F61BB">
        <w:rPr>
          <w:i/>
          <w:u w:val="single"/>
        </w:rPr>
        <w:t>202</w:t>
      </w:r>
      <w:r w:rsidR="000D2857">
        <w:rPr>
          <w:i/>
          <w:u w:val="single"/>
        </w:rPr>
        <w:t>1</w:t>
      </w:r>
    </w:p>
    <w:p w14:paraId="353B6E88" w14:textId="77777777" w:rsidR="00CA55F0" w:rsidRPr="009E308D" w:rsidRDefault="00CA55F0" w:rsidP="00CA55F0">
      <w:pPr>
        <w:pStyle w:val="NormalWeb"/>
        <w:rPr>
          <w:b/>
        </w:rPr>
      </w:pPr>
      <w:r w:rsidRPr="009E308D">
        <w:rPr>
          <w:b/>
        </w:rPr>
        <w:t xml:space="preserve">Purpose and operation </w:t>
      </w:r>
    </w:p>
    <w:p w14:paraId="440C1AD7" w14:textId="77777777" w:rsidR="00CA55F0" w:rsidRDefault="00CA55F0" w:rsidP="00CA55F0">
      <w:pPr>
        <w:pStyle w:val="NormalWeb"/>
      </w:pPr>
      <w:r>
        <w:t xml:space="preserve">Section 37 of the </w:t>
      </w:r>
      <w:r w:rsidRPr="000876AD">
        <w:rPr>
          <w:i/>
        </w:rPr>
        <w:t>Greenhouse and Energy Minimum Standards Act 2012</w:t>
      </w:r>
      <w:r>
        <w:t xml:space="preserve"> (the </w:t>
      </w:r>
      <w:r w:rsidRPr="00344F0C">
        <w:rPr>
          <w:b/>
        </w:rPr>
        <w:t>Act</w:t>
      </w:r>
      <w:r>
        <w:t>) enables the Greenhouse and Energy Minimum Standards (</w:t>
      </w:r>
      <w:r w:rsidRPr="007977DA">
        <w:rPr>
          <w:b/>
        </w:rPr>
        <w:t>GEMS</w:t>
      </w:r>
      <w:r>
        <w:t>) Regulator, by legislative instrument, to exempt models of GEMS products from one or more requirements of a GEMS determination in relation to all or specified supplies or uses of products of that model, and enables the GEMS Regulator to specify conditions to which the exemption is subject. GEMS determinations are defined in section 11 of the Act.</w:t>
      </w:r>
    </w:p>
    <w:p w14:paraId="1F6E963B" w14:textId="77777777" w:rsidR="00CA55F0" w:rsidRDefault="00CA55F0" w:rsidP="00CA55F0">
      <w:pPr>
        <w:pStyle w:val="NormalWeb"/>
      </w:pPr>
      <w:r>
        <w:t xml:space="preserve">Section 37 also provides that regulations may be made in order to provide a framework for administrative processes around the submission and assessment of applications for exemption. Division 4.1 of the </w:t>
      </w:r>
      <w:r w:rsidRPr="00344F0C">
        <w:rPr>
          <w:i/>
        </w:rPr>
        <w:t>Greenhouse and Energy Minimum Standards Regulation 2012</w:t>
      </w:r>
      <w:r>
        <w:t xml:space="preserve"> (the </w:t>
      </w:r>
      <w:r w:rsidRPr="00344F0C">
        <w:rPr>
          <w:b/>
        </w:rPr>
        <w:t>Regulation</w:t>
      </w:r>
      <w:r>
        <w:t xml:space="preserve">) sets out the circumstances in which the GEMS Regulator may exempt a model of </w:t>
      </w:r>
      <w:proofErr w:type="gramStart"/>
      <w:r>
        <w:t>a</w:t>
      </w:r>
      <w:proofErr w:type="gramEnd"/>
      <w:r>
        <w:t xml:space="preserve"> GEMS product from the requirements of a GEMS determination.</w:t>
      </w:r>
    </w:p>
    <w:p w14:paraId="70860D07" w14:textId="77777777" w:rsidR="00CA55F0" w:rsidRDefault="00CA55F0" w:rsidP="00CA55F0">
      <w:pPr>
        <w:pStyle w:val="NormalWeb"/>
      </w:pPr>
      <w:r>
        <w:t xml:space="preserve">The purpose of the </w:t>
      </w:r>
      <w:r>
        <w:rPr>
          <w:i/>
        </w:rPr>
        <w:t>Greenhouse and Energy Minimum Standards (Exemption) Instrument (No.</w:t>
      </w:r>
      <w:r w:rsidR="000D2857">
        <w:rPr>
          <w:i/>
        </w:rPr>
        <w:t>1</w:t>
      </w:r>
      <w:r>
        <w:rPr>
          <w:i/>
        </w:rPr>
        <w:t xml:space="preserve">) </w:t>
      </w:r>
      <w:r w:rsidR="000D2857" w:rsidRPr="00DB589D">
        <w:rPr>
          <w:i/>
        </w:rPr>
        <w:t>20</w:t>
      </w:r>
      <w:r w:rsidR="000D2857">
        <w:rPr>
          <w:i/>
        </w:rPr>
        <w:t xml:space="preserve">21 </w:t>
      </w:r>
      <w:r w:rsidRPr="009741DE">
        <w:t>(</w:t>
      </w:r>
      <w:r>
        <w:t xml:space="preserve">the </w:t>
      </w:r>
      <w:r w:rsidRPr="00191E27">
        <w:rPr>
          <w:b/>
        </w:rPr>
        <w:t>Instrument</w:t>
      </w:r>
      <w:r>
        <w:t xml:space="preserve">) is to exempt the specified </w:t>
      </w:r>
      <w:r w:rsidR="00C47803">
        <w:t>dish drawer dishwashers</w:t>
      </w:r>
      <w:r w:rsidR="00573B53">
        <w:t xml:space="preserve"> supplied by Fisher and Paykel Australia Pty Ltd (</w:t>
      </w:r>
      <w:r w:rsidR="00573B53">
        <w:rPr>
          <w:b/>
        </w:rPr>
        <w:t>F&amp;P</w:t>
      </w:r>
      <w:r w:rsidR="00573B53">
        <w:t>)</w:t>
      </w:r>
      <w:r>
        <w:t xml:space="preserve"> from the</w:t>
      </w:r>
      <w:r w:rsidR="00C47803">
        <w:t xml:space="preserve"> requirement to use the detergent </w:t>
      </w:r>
      <w:r w:rsidR="000D2857">
        <w:t>prescribed</w:t>
      </w:r>
      <w:r w:rsidR="007B4E00">
        <w:t xml:space="preserve"> in section </w:t>
      </w:r>
      <w:r w:rsidR="000D2857">
        <w:t>2 of AS/NZS 2007.2:2005</w:t>
      </w:r>
      <w:r w:rsidR="007B4E00">
        <w:t xml:space="preserve"> for conducting tests</w:t>
      </w:r>
      <w:r w:rsidR="000D2857">
        <w:t xml:space="preserve"> as required under subsection 7(3) of the </w:t>
      </w:r>
      <w:r w:rsidR="000D2857">
        <w:rPr>
          <w:i/>
        </w:rPr>
        <w:t xml:space="preserve">Greenhouse and Energy Minimum Standards </w:t>
      </w:r>
      <w:r w:rsidR="000D2857" w:rsidRPr="00E31C04">
        <w:rPr>
          <w:i/>
        </w:rPr>
        <w:t xml:space="preserve">(Dishwasher) Determination 2015 </w:t>
      </w:r>
      <w:r w:rsidR="000D2857">
        <w:t xml:space="preserve">(the </w:t>
      </w:r>
      <w:r w:rsidR="000D2857" w:rsidRPr="00344F0C">
        <w:rPr>
          <w:b/>
        </w:rPr>
        <w:t>Determination</w:t>
      </w:r>
      <w:r w:rsidR="000D2857">
        <w:t>)</w:t>
      </w:r>
      <w:r w:rsidR="00C47803">
        <w:t xml:space="preserve">, and </w:t>
      </w:r>
      <w:r w:rsidR="00D23FF2">
        <w:t xml:space="preserve">instead </w:t>
      </w:r>
      <w:r w:rsidR="003E261B">
        <w:t xml:space="preserve">require </w:t>
      </w:r>
      <w:r w:rsidR="00C47803">
        <w:t xml:space="preserve">the use of </w:t>
      </w:r>
      <w:r w:rsidR="007B4E00">
        <w:t xml:space="preserve">the </w:t>
      </w:r>
      <w:r w:rsidR="00D23FF2">
        <w:t>I</w:t>
      </w:r>
      <w:r w:rsidR="00F87E92">
        <w:t>E</w:t>
      </w:r>
      <w:r w:rsidR="00D23FF2">
        <w:t xml:space="preserve">C D </w:t>
      </w:r>
      <w:r w:rsidR="000D2857">
        <w:t xml:space="preserve">detergent </w:t>
      </w:r>
      <w:r w:rsidR="00D23FF2">
        <w:t>formulation</w:t>
      </w:r>
      <w:r>
        <w:t>.</w:t>
      </w:r>
    </w:p>
    <w:p w14:paraId="61AEBD34" w14:textId="77777777" w:rsidR="008A69B8" w:rsidRDefault="000D2857" w:rsidP="00D23FF2">
      <w:pPr>
        <w:pStyle w:val="NormalWeb"/>
      </w:pPr>
      <w:r>
        <w:t xml:space="preserve">Subsection 7(3) of the Determination sets out the requirements for conducting tests in relation to </w:t>
      </w:r>
      <w:r w:rsidR="008D4038">
        <w:t xml:space="preserve">household dishwashers for the purposes of paragraph 26(1)(c) of the Act. Under subsection 7(3), the test requirements are those contained in section 2 of AS/NZS 2007.2:2005, </w:t>
      </w:r>
      <w:r w:rsidR="008A69B8">
        <w:t xml:space="preserve">subject to the </w:t>
      </w:r>
      <w:r w:rsidR="008D4038">
        <w:t>modifications</w:t>
      </w:r>
      <w:r w:rsidR="008A69B8">
        <w:t xml:space="preserve"> set out in paragraphs 7(3</w:t>
      </w:r>
      <w:proofErr w:type="gramStart"/>
      <w:r w:rsidR="008A69B8">
        <w:t>)(</w:t>
      </w:r>
      <w:proofErr w:type="gramEnd"/>
      <w:r w:rsidR="008A69B8">
        <w:t>a) to (d)</w:t>
      </w:r>
      <w:r w:rsidR="008D4038">
        <w:t>. F&amp;P sought an exemption to the test requirements insofar as they relate to the required detergent formulation for testing</w:t>
      </w:r>
      <w:r w:rsidR="008A69B8">
        <w:t xml:space="preserve"> because it causes excessive foaming in the</w:t>
      </w:r>
      <w:r w:rsidR="00D23FF2">
        <w:t>ir</w:t>
      </w:r>
      <w:r w:rsidR="008A69B8">
        <w:t xml:space="preserve"> drawer style of dishwasher</w:t>
      </w:r>
      <w:r w:rsidR="00D23FF2">
        <w:t xml:space="preserve">, which </w:t>
      </w:r>
      <w:r w:rsidR="008A69B8">
        <w:t xml:space="preserve">would </w:t>
      </w:r>
      <w:r w:rsidR="00D23FF2">
        <w:t>necessitate significant</w:t>
      </w:r>
      <w:r w:rsidR="008A69B8">
        <w:t xml:space="preserve"> amendment to the wash cycle (that is, a reduction in the contact time of the detergent from 40 to 12 minutes).  </w:t>
      </w:r>
    </w:p>
    <w:p w14:paraId="079D50E1" w14:textId="77777777" w:rsidR="00C47803" w:rsidRPr="00C47803" w:rsidRDefault="00D23FF2" w:rsidP="00C47803">
      <w:pPr>
        <w:pStyle w:val="NormalWeb"/>
      </w:pPr>
      <w:r>
        <w:t>F</w:t>
      </w:r>
      <w:r w:rsidR="008D4038">
        <w:t xml:space="preserve">&amp;P sought </w:t>
      </w:r>
      <w:r>
        <w:t>to</w:t>
      </w:r>
      <w:r w:rsidR="00EC0A0F">
        <w:t xml:space="preserve"> </w:t>
      </w:r>
      <w:r w:rsidR="00F87E92">
        <w:t>instead</w:t>
      </w:r>
      <w:r>
        <w:t xml:space="preserve"> use the I</w:t>
      </w:r>
      <w:r w:rsidR="00F87E92">
        <w:t>E</w:t>
      </w:r>
      <w:r>
        <w:t xml:space="preserve">C D detergent formulation </w:t>
      </w:r>
      <w:r w:rsidR="008D4038">
        <w:t>because</w:t>
      </w:r>
      <w:r w:rsidR="008A69B8">
        <w:t xml:space="preserve"> this will not cau</w:t>
      </w:r>
      <w:r>
        <w:t>se excessive foaming and is</w:t>
      </w:r>
      <w:r w:rsidR="008D4038">
        <w:t xml:space="preserve"> more similar to quality detergents that are commercially available to consumers</w:t>
      </w:r>
      <w:r w:rsidR="00C46BF5">
        <w:t>. Further, t</w:t>
      </w:r>
      <w:r w:rsidR="00357DFF">
        <w:t>he I</w:t>
      </w:r>
      <w:r w:rsidR="00F87E92">
        <w:t>E</w:t>
      </w:r>
      <w:r w:rsidR="00357DFF">
        <w:t xml:space="preserve">C D detergent formulation is already specified by other international regulators and is anticipated to be </w:t>
      </w:r>
      <w:r w:rsidR="003E261B">
        <w:t>prescribed</w:t>
      </w:r>
      <w:r w:rsidR="00357DFF">
        <w:t xml:space="preserve"> in AS/NZS2007.1 when it is updated in 2021. </w:t>
      </w:r>
    </w:p>
    <w:p w14:paraId="39348B2D" w14:textId="77777777" w:rsidR="00AC68CA" w:rsidRDefault="00CA55F0" w:rsidP="00AC68CA">
      <w:pPr>
        <w:pStyle w:val="NormalWeb"/>
      </w:pPr>
      <w:r>
        <w:t xml:space="preserve">The GEMS Regulator considered all the matters set out in the </w:t>
      </w:r>
      <w:r w:rsidRPr="00344F0C">
        <w:t>Regulation</w:t>
      </w:r>
      <w:r>
        <w:t xml:space="preserve"> and has decided to grant the exemption </w:t>
      </w:r>
      <w:r w:rsidR="00566C14">
        <w:t xml:space="preserve">requested by </w:t>
      </w:r>
      <w:r w:rsidR="00DE2BF3">
        <w:t>F</w:t>
      </w:r>
      <w:r w:rsidR="000B2487">
        <w:t>&amp;</w:t>
      </w:r>
      <w:r w:rsidR="00DE2BF3">
        <w:t>P</w:t>
      </w:r>
      <w:r w:rsidR="00357DFF">
        <w:t xml:space="preserve">, noting that the </w:t>
      </w:r>
      <w:r w:rsidR="00AC68CA">
        <w:t xml:space="preserve">exemption will have </w:t>
      </w:r>
      <w:r w:rsidR="00357DFF">
        <w:t xml:space="preserve">a negligible </w:t>
      </w:r>
      <w:r w:rsidR="00AC68CA">
        <w:t xml:space="preserve">impact on Australia’s greenhouse gas emissions. </w:t>
      </w:r>
    </w:p>
    <w:p w14:paraId="2FCC031B" w14:textId="77777777" w:rsidR="00FA09EF" w:rsidRDefault="00CA55F0" w:rsidP="00CA55F0">
      <w:pPr>
        <w:pStyle w:val="NormalWeb"/>
      </w:pPr>
      <w:r>
        <w:t>Models covered by exemptions must still be registered under the Act.</w:t>
      </w:r>
    </w:p>
    <w:p w14:paraId="40A000C5" w14:textId="77777777" w:rsidR="00FA09EF" w:rsidRDefault="00FA09EF" w:rsidP="00CA55F0">
      <w:pPr>
        <w:pStyle w:val="NormalWeb"/>
      </w:pPr>
    </w:p>
    <w:p w14:paraId="554A56DD" w14:textId="77777777" w:rsidR="00CA55F0" w:rsidRPr="00FA09EF" w:rsidRDefault="00CA55F0" w:rsidP="00CA55F0">
      <w:pPr>
        <w:pStyle w:val="NormalWeb"/>
        <w:rPr>
          <w:bCs/>
        </w:rPr>
      </w:pPr>
      <w:r>
        <w:rPr>
          <w:b/>
        </w:rPr>
        <w:lastRenderedPageBreak/>
        <w:t xml:space="preserve">Authority </w:t>
      </w:r>
    </w:p>
    <w:p w14:paraId="1FF33933" w14:textId="77777777" w:rsidR="00CA55F0" w:rsidRPr="00BB58CB" w:rsidRDefault="00CA55F0" w:rsidP="00CA55F0">
      <w:pPr>
        <w:pStyle w:val="NormalWeb"/>
      </w:pPr>
      <w:r>
        <w:t xml:space="preserve">Section 37 of the Act enables the GEMS Regulator to exempt models of GEMS products from one or more requirements of a GEMS determination. An exemption can be in relation to all supplies or uses of products of that model or limited to specified supplies and uses. The GEMS Regulator can specify conditions to which the exemption is subject.  </w:t>
      </w:r>
    </w:p>
    <w:p w14:paraId="50E615FE" w14:textId="77777777" w:rsidR="00CA55F0" w:rsidRDefault="00CA55F0" w:rsidP="00CA55F0">
      <w:pPr>
        <w:pStyle w:val="NormalWeb"/>
      </w:pPr>
      <w:r>
        <w:t>Division 4.1 of the R</w:t>
      </w:r>
      <w:r w:rsidRPr="00BB58CB">
        <w:t>egulation</w:t>
      </w:r>
      <w:r>
        <w:t xml:space="preserve"> sets out the circumstances in which the GEMS Regulator may exempt a model of a GEMS product from the requirements of a GEMS determination.</w:t>
      </w:r>
    </w:p>
    <w:p w14:paraId="25E6A185" w14:textId="77777777" w:rsidR="00B10A9C" w:rsidRPr="003A60C1" w:rsidRDefault="0066739E" w:rsidP="00597D7E">
      <w:pPr>
        <w:pStyle w:val="NormalWeb"/>
        <w:rPr>
          <w:b/>
        </w:rPr>
      </w:pPr>
      <w:r w:rsidRPr="003A60C1">
        <w:rPr>
          <w:b/>
        </w:rPr>
        <w:t>Material incorporated by reference</w:t>
      </w:r>
    </w:p>
    <w:p w14:paraId="1BCF228B" w14:textId="77777777" w:rsidR="004D4C85" w:rsidRPr="003A60C1" w:rsidRDefault="004D4C85">
      <w:pPr>
        <w:pStyle w:val="NormalWeb"/>
      </w:pPr>
      <w:r w:rsidRPr="003A60C1">
        <w:t xml:space="preserve">The </w:t>
      </w:r>
      <w:r w:rsidRPr="003A60C1">
        <w:rPr>
          <w:bCs/>
        </w:rPr>
        <w:t xml:space="preserve">AS/NZS 2007.2:2005 and IEC 60436:2015 standards are incorporated by reference in this Instrument. </w:t>
      </w:r>
      <w:r w:rsidRPr="003A60C1">
        <w:t xml:space="preserve">These standards are incorporated as they existed at the time the Instrument was made. There is no power in the </w:t>
      </w:r>
      <w:r w:rsidRPr="003A60C1">
        <w:rPr>
          <w:i/>
        </w:rPr>
        <w:t xml:space="preserve">Greenhouse and Energy Minimum Standards Act </w:t>
      </w:r>
      <w:r w:rsidRPr="003A60C1">
        <w:t>2012 (GEMS Act) that allows for the incorporation of documents as in force from time to time.</w:t>
      </w:r>
    </w:p>
    <w:p w14:paraId="746CDCF3" w14:textId="77777777" w:rsidR="004D4C85" w:rsidRPr="003A60C1" w:rsidRDefault="004D4C85">
      <w:pPr>
        <w:pStyle w:val="NormalWeb"/>
      </w:pPr>
      <w:r w:rsidRPr="003A60C1">
        <w:t xml:space="preserve">Manufacturers of products covered by an exemption instrument made under the </w:t>
      </w:r>
      <w:r w:rsidRPr="003A60C1">
        <w:rPr>
          <w:i/>
        </w:rPr>
        <w:t xml:space="preserve">Greenhouse and Energy Minimum Standards Act </w:t>
      </w:r>
      <w:r w:rsidRPr="003A60C1">
        <w:t xml:space="preserve">2012 (GEMS Act) are expected to purchase any referenced standards in order to comply with the requirements and/or conditions imposed by the Instrument. </w:t>
      </w:r>
    </w:p>
    <w:p w14:paraId="0F6547CC" w14:textId="77777777" w:rsidR="004D4C85" w:rsidRPr="003A60C1" w:rsidRDefault="004D4C85" w:rsidP="00597D7E">
      <w:pPr>
        <w:pStyle w:val="NormalWeb"/>
      </w:pPr>
      <w:r w:rsidRPr="003A60C1">
        <w:t xml:space="preserve">Interested, non-commercial users can access referenced standards for free, through the Standards Australia Distribution and Licensing Policy Framework, published in November 2019. The Framework provides access to Australian Standards to the general public in physical library reading rooms for personal, domestic and household use. Standards Australia has also committed to funding and providing access by other means, anticipated to be delivered online and provided directly by Standards Australia, by no later than December 2023. </w:t>
      </w:r>
    </w:p>
    <w:p w14:paraId="3B8017C7" w14:textId="77777777" w:rsidR="004D4C85" w:rsidRPr="003A60C1" w:rsidRDefault="004D4C85" w:rsidP="00597D7E">
      <w:pPr>
        <w:spacing w:before="120" w:after="120" w:line="240" w:lineRule="auto"/>
        <w:jc w:val="both"/>
        <w:rPr>
          <w:rFonts w:ascii="Times New Roman" w:hAnsi="Times New Roman"/>
          <w:sz w:val="24"/>
          <w:szCs w:val="24"/>
        </w:rPr>
      </w:pPr>
      <w:r w:rsidRPr="003A60C1">
        <w:rPr>
          <w:rFonts w:ascii="Times New Roman" w:hAnsi="Times New Roman"/>
          <w:sz w:val="24"/>
          <w:szCs w:val="24"/>
        </w:rPr>
        <w:t>The Department</w:t>
      </w:r>
      <w:r w:rsidR="007C0510" w:rsidRPr="003A60C1">
        <w:rPr>
          <w:rFonts w:ascii="Times New Roman" w:hAnsi="Times New Roman"/>
          <w:sz w:val="24"/>
          <w:szCs w:val="24"/>
        </w:rPr>
        <w:t xml:space="preserve"> of Industry, Science, Energy and Resources (Department)</w:t>
      </w:r>
      <w:r w:rsidRPr="003A60C1">
        <w:rPr>
          <w:rFonts w:ascii="Times New Roman" w:hAnsi="Times New Roman"/>
          <w:sz w:val="24"/>
          <w:szCs w:val="24"/>
        </w:rPr>
        <w:t xml:space="preserve"> continues to engage with Standards Australia while this work is underway, regarding options for non-commercial users to access standards incorporated in instruments made under the GEMS Act without charge. During this period, interested non-commercial users may also be able to access standards without cost through the National Library of Australia (including via interlibrary loans). </w:t>
      </w:r>
    </w:p>
    <w:p w14:paraId="3C1D0FC0" w14:textId="77777777" w:rsidR="004D4C85" w:rsidRDefault="004D4C85" w:rsidP="00597D7E">
      <w:pPr>
        <w:spacing w:before="120" w:after="120" w:line="240" w:lineRule="auto"/>
        <w:jc w:val="both"/>
        <w:rPr>
          <w:rFonts w:ascii="Times New Roman" w:hAnsi="Times New Roman"/>
          <w:sz w:val="24"/>
          <w:szCs w:val="24"/>
        </w:rPr>
      </w:pPr>
      <w:r w:rsidRPr="003A60C1">
        <w:rPr>
          <w:rFonts w:ascii="Times New Roman" w:hAnsi="Times New Roman"/>
          <w:sz w:val="24"/>
          <w:szCs w:val="24"/>
        </w:rPr>
        <w:t>Where requests to view standards are received from non-commercial users, the Department will work with the requesting party to provide appropriate access to the standards referenced in the Instrument, and any other standards referenced under the GEMS Act, on a case-by-case basis.</w:t>
      </w:r>
    </w:p>
    <w:p w14:paraId="41F20627" w14:textId="77777777" w:rsidR="0066739E" w:rsidRPr="009E308D" w:rsidRDefault="0066739E" w:rsidP="0066739E">
      <w:pPr>
        <w:pStyle w:val="NormalWeb"/>
        <w:rPr>
          <w:b/>
        </w:rPr>
      </w:pPr>
      <w:r w:rsidRPr="009E308D">
        <w:rPr>
          <w:b/>
        </w:rPr>
        <w:t xml:space="preserve">Consultation </w:t>
      </w:r>
    </w:p>
    <w:p w14:paraId="7CE2D1FE" w14:textId="77777777" w:rsidR="0066739E" w:rsidRDefault="0066739E" w:rsidP="0066739E">
      <w:pPr>
        <w:pStyle w:val="NormalWeb"/>
      </w:pPr>
      <w:r>
        <w:t xml:space="preserve">The exemption set out in the Instrument was considered on application from the applicant. </w:t>
      </w:r>
    </w:p>
    <w:p w14:paraId="249EF696" w14:textId="77777777" w:rsidR="00CA55F0" w:rsidRDefault="00CA55F0" w:rsidP="00CA55F0">
      <w:pPr>
        <w:pStyle w:val="NormalWeb"/>
        <w:rPr>
          <w:b/>
        </w:rPr>
      </w:pPr>
      <w:r w:rsidRPr="00BB1ECA">
        <w:rPr>
          <w:b/>
        </w:rPr>
        <w:t>Regulatory Impact</w:t>
      </w:r>
    </w:p>
    <w:p w14:paraId="01668EF8" w14:textId="77777777" w:rsidR="00CA55F0" w:rsidRDefault="00CA55F0" w:rsidP="00CA55F0">
      <w:pPr>
        <w:pStyle w:val="NormalWeb"/>
      </w:pPr>
      <w:r>
        <w:t>There will be no regulatory burden arising from the Instrument. The OBPR has advised that such proposals are not likely to have a regulatory impact on business, community organisations or individuals, and therefore the preparation of a Regulation Impact Statement is not required.</w:t>
      </w:r>
      <w:r>
        <w:br w:type="page"/>
      </w:r>
    </w:p>
    <w:p w14:paraId="56877597" w14:textId="77777777" w:rsidR="00CA55F0" w:rsidRPr="00621634" w:rsidRDefault="00CA55F0" w:rsidP="00CA55F0">
      <w:pPr>
        <w:autoSpaceDE w:val="0"/>
        <w:autoSpaceDN w:val="0"/>
        <w:adjustRightInd w:val="0"/>
        <w:spacing w:after="240" w:line="240" w:lineRule="auto"/>
        <w:rPr>
          <w:rFonts w:ascii="Times New Roman" w:hAnsi="Times New Roman"/>
          <w:b/>
          <w:sz w:val="24"/>
          <w:szCs w:val="24"/>
          <w:lang w:eastAsia="en-AU"/>
        </w:rPr>
      </w:pPr>
      <w:r w:rsidRPr="00621634">
        <w:rPr>
          <w:rFonts w:ascii="Times New Roman" w:hAnsi="Times New Roman"/>
          <w:b/>
          <w:sz w:val="24"/>
          <w:szCs w:val="24"/>
          <w:lang w:eastAsia="en-AU"/>
        </w:rPr>
        <w:lastRenderedPageBreak/>
        <w:t>Detailed description of provisions in the Instrument</w:t>
      </w:r>
    </w:p>
    <w:p w14:paraId="25B71639" w14:textId="77777777"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Pr>
          <w:rFonts w:ascii="Times New Roman" w:hAnsi="Times New Roman"/>
          <w:b/>
          <w:sz w:val="24"/>
        </w:rPr>
        <w:t>Name</w:t>
      </w:r>
    </w:p>
    <w:p w14:paraId="7BDC4B04" w14:textId="77777777"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1 </w:t>
      </w:r>
      <w:r>
        <w:rPr>
          <w:rFonts w:ascii="Times New Roman" w:hAnsi="Times New Roman"/>
          <w:sz w:val="24"/>
        </w:rPr>
        <w:t xml:space="preserve">specifies </w:t>
      </w:r>
      <w:r w:rsidRPr="00621634">
        <w:rPr>
          <w:rFonts w:ascii="Times New Roman" w:hAnsi="Times New Roman"/>
          <w:sz w:val="24"/>
        </w:rPr>
        <w:t>the name of the Instrument</w:t>
      </w:r>
      <w:r>
        <w:rPr>
          <w:rFonts w:ascii="Times New Roman" w:hAnsi="Times New Roman"/>
          <w:sz w:val="24"/>
        </w:rPr>
        <w:t xml:space="preserve"> as the </w:t>
      </w:r>
      <w:r w:rsidRPr="00051DF8">
        <w:rPr>
          <w:rFonts w:ascii="Times New Roman" w:hAnsi="Times New Roman"/>
          <w:i/>
          <w:sz w:val="24"/>
        </w:rPr>
        <w:t>Greenhouse and Energy Minimum Standar</w:t>
      </w:r>
      <w:r w:rsidR="0039786A">
        <w:rPr>
          <w:rFonts w:ascii="Times New Roman" w:hAnsi="Times New Roman"/>
          <w:i/>
          <w:sz w:val="24"/>
        </w:rPr>
        <w:t xml:space="preserve">ds (Exemption) Instrument (No. </w:t>
      </w:r>
      <w:r w:rsidR="00357DFF">
        <w:rPr>
          <w:rFonts w:ascii="Times New Roman" w:hAnsi="Times New Roman"/>
          <w:i/>
          <w:sz w:val="24"/>
        </w:rPr>
        <w:t>1</w:t>
      </w:r>
      <w:r w:rsidRPr="00051DF8">
        <w:rPr>
          <w:rFonts w:ascii="Times New Roman" w:hAnsi="Times New Roman"/>
          <w:i/>
          <w:sz w:val="24"/>
        </w:rPr>
        <w:t xml:space="preserve">) </w:t>
      </w:r>
      <w:r w:rsidR="00357DFF" w:rsidRPr="00051DF8">
        <w:rPr>
          <w:rFonts w:ascii="Times New Roman" w:hAnsi="Times New Roman"/>
          <w:i/>
          <w:sz w:val="24"/>
        </w:rPr>
        <w:t>202</w:t>
      </w:r>
      <w:r w:rsidR="00357DFF">
        <w:rPr>
          <w:rFonts w:ascii="Times New Roman" w:hAnsi="Times New Roman"/>
          <w:i/>
          <w:sz w:val="24"/>
        </w:rPr>
        <w:t>1</w:t>
      </w:r>
      <w:r w:rsidRPr="00621634">
        <w:rPr>
          <w:rFonts w:ascii="Times New Roman" w:hAnsi="Times New Roman"/>
          <w:sz w:val="24"/>
        </w:rPr>
        <w:t>.</w:t>
      </w:r>
    </w:p>
    <w:p w14:paraId="4D36CF24" w14:textId="77777777"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Commencement</w:t>
      </w:r>
    </w:p>
    <w:p w14:paraId="4AB56721" w14:textId="77777777" w:rsidR="00CA55F0" w:rsidRPr="00621634" w:rsidRDefault="00CA55F0" w:rsidP="00CA55F0">
      <w:pPr>
        <w:autoSpaceDE w:val="0"/>
        <w:autoSpaceDN w:val="0"/>
        <w:adjustRightInd w:val="0"/>
        <w:spacing w:after="240" w:line="240" w:lineRule="auto"/>
        <w:ind w:left="426"/>
        <w:rPr>
          <w:rFonts w:ascii="Times New Roman" w:hAnsi="Times New Roman"/>
          <w:sz w:val="24"/>
        </w:rPr>
      </w:pPr>
      <w:r>
        <w:rPr>
          <w:rFonts w:ascii="Times New Roman" w:hAnsi="Times New Roman"/>
          <w:sz w:val="24"/>
        </w:rPr>
        <w:t>Section 2</w:t>
      </w:r>
      <w:r w:rsidRPr="00621634">
        <w:rPr>
          <w:rFonts w:ascii="Times New Roman" w:hAnsi="Times New Roman"/>
          <w:sz w:val="24"/>
        </w:rPr>
        <w:t xml:space="preserve"> </w:t>
      </w:r>
      <w:r>
        <w:rPr>
          <w:rFonts w:ascii="Times New Roman" w:hAnsi="Times New Roman"/>
          <w:sz w:val="24"/>
        </w:rPr>
        <w:t>provides that</w:t>
      </w:r>
      <w:r w:rsidRPr="00621634">
        <w:rPr>
          <w:rFonts w:ascii="Times New Roman" w:hAnsi="Times New Roman"/>
          <w:sz w:val="24"/>
        </w:rPr>
        <w:t xml:space="preserve"> the Instrument</w:t>
      </w:r>
      <w:r>
        <w:rPr>
          <w:rFonts w:ascii="Times New Roman" w:hAnsi="Times New Roman"/>
          <w:sz w:val="24"/>
        </w:rPr>
        <w:t xml:space="preserve"> commenced on the day after it is registered</w:t>
      </w:r>
      <w:r w:rsidRPr="00621634">
        <w:rPr>
          <w:rFonts w:ascii="Times New Roman" w:hAnsi="Times New Roman"/>
          <w:sz w:val="24"/>
        </w:rPr>
        <w:t>.</w:t>
      </w:r>
    </w:p>
    <w:p w14:paraId="2C4228AB" w14:textId="77777777"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Authority</w:t>
      </w:r>
    </w:p>
    <w:p w14:paraId="011EED22" w14:textId="77777777"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w:t>
      </w:r>
      <w:r>
        <w:rPr>
          <w:rFonts w:ascii="Times New Roman" w:hAnsi="Times New Roman"/>
          <w:sz w:val="24"/>
        </w:rPr>
        <w:t>3</w:t>
      </w:r>
      <w:r w:rsidRPr="00621634">
        <w:rPr>
          <w:rFonts w:ascii="Times New Roman" w:hAnsi="Times New Roman"/>
          <w:sz w:val="24"/>
        </w:rPr>
        <w:t xml:space="preserve"> sets out the provision of the Act under which the Instrument is made.</w:t>
      </w:r>
    </w:p>
    <w:p w14:paraId="1A7BEFFF" w14:textId="77777777" w:rsidR="00CA55F0" w:rsidRPr="00621634" w:rsidRDefault="00CA55F0" w:rsidP="00CA55F0">
      <w:pPr>
        <w:keepNext/>
        <w:numPr>
          <w:ilvl w:val="0"/>
          <w:numId w:val="2"/>
        </w:numPr>
        <w:autoSpaceDE w:val="0"/>
        <w:autoSpaceDN w:val="0"/>
        <w:adjustRightInd w:val="0"/>
        <w:spacing w:after="240" w:line="240" w:lineRule="auto"/>
        <w:ind w:left="425" w:hanging="357"/>
        <w:rPr>
          <w:rFonts w:ascii="Times New Roman" w:hAnsi="Times New Roman"/>
          <w:b/>
          <w:sz w:val="24"/>
        </w:rPr>
      </w:pPr>
      <w:r w:rsidRPr="00621634">
        <w:rPr>
          <w:rFonts w:ascii="Times New Roman" w:hAnsi="Times New Roman"/>
          <w:b/>
          <w:sz w:val="24"/>
        </w:rPr>
        <w:t>Definitions</w:t>
      </w:r>
    </w:p>
    <w:p w14:paraId="1FB2B76C" w14:textId="77777777"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Section 4 sets out definition</w:t>
      </w:r>
      <w:r>
        <w:rPr>
          <w:rFonts w:ascii="Times New Roman" w:hAnsi="Times New Roman"/>
          <w:sz w:val="24"/>
        </w:rPr>
        <w:t>s</w:t>
      </w:r>
      <w:r w:rsidRPr="00621634">
        <w:rPr>
          <w:rFonts w:ascii="Times New Roman" w:hAnsi="Times New Roman"/>
          <w:sz w:val="24"/>
        </w:rPr>
        <w:t xml:space="preserve"> of terms used in the Instrument. The term ‘</w:t>
      </w:r>
      <w:r w:rsidRPr="009A10D2">
        <w:rPr>
          <w:rFonts w:ascii="Times New Roman" w:hAnsi="Times New Roman"/>
          <w:i/>
          <w:sz w:val="24"/>
        </w:rPr>
        <w:t>e</w:t>
      </w:r>
      <w:r w:rsidRPr="00621634">
        <w:rPr>
          <w:rFonts w:ascii="Times New Roman" w:hAnsi="Times New Roman"/>
          <w:i/>
          <w:sz w:val="24"/>
        </w:rPr>
        <w:t xml:space="preserve">xempt </w:t>
      </w:r>
      <w:r w:rsidRPr="009A10D2">
        <w:rPr>
          <w:rFonts w:ascii="Times New Roman" w:hAnsi="Times New Roman"/>
          <w:i/>
          <w:sz w:val="24"/>
        </w:rPr>
        <w:t>m</w:t>
      </w:r>
      <w:r w:rsidRPr="00621634">
        <w:rPr>
          <w:rFonts w:ascii="Times New Roman" w:hAnsi="Times New Roman"/>
          <w:i/>
          <w:sz w:val="24"/>
        </w:rPr>
        <w:t>odel</w:t>
      </w:r>
      <w:r w:rsidRPr="00621634">
        <w:rPr>
          <w:rFonts w:ascii="Times New Roman" w:hAnsi="Times New Roman"/>
          <w:sz w:val="24"/>
        </w:rPr>
        <w:t xml:space="preserve">’ is defined in section 5 of the Instrument. </w:t>
      </w:r>
    </w:p>
    <w:p w14:paraId="2633688A" w14:textId="77777777"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Exemption</w:t>
      </w:r>
    </w:p>
    <w:p w14:paraId="1D3E3E1B" w14:textId="77777777"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5 exempts the models specified in clause 1 of Schedule </w:t>
      </w:r>
      <w:r>
        <w:rPr>
          <w:rFonts w:ascii="Times New Roman" w:hAnsi="Times New Roman"/>
          <w:sz w:val="24"/>
        </w:rPr>
        <w:t xml:space="preserve">1 </w:t>
      </w:r>
      <w:r w:rsidRPr="00621634">
        <w:rPr>
          <w:rFonts w:ascii="Times New Roman" w:hAnsi="Times New Roman"/>
          <w:sz w:val="24"/>
        </w:rPr>
        <w:t>to the Instrument (</w:t>
      </w:r>
      <w:r>
        <w:rPr>
          <w:rFonts w:ascii="Times New Roman" w:hAnsi="Times New Roman"/>
          <w:sz w:val="24"/>
        </w:rPr>
        <w:t xml:space="preserve">the </w:t>
      </w:r>
      <w:r w:rsidRPr="009A10D2">
        <w:rPr>
          <w:rFonts w:ascii="Times New Roman" w:hAnsi="Times New Roman"/>
          <w:b/>
          <w:i/>
          <w:sz w:val="24"/>
        </w:rPr>
        <w:t>exempt m</w:t>
      </w:r>
      <w:r w:rsidRPr="00621634">
        <w:rPr>
          <w:rFonts w:ascii="Times New Roman" w:hAnsi="Times New Roman"/>
          <w:b/>
          <w:i/>
          <w:sz w:val="24"/>
        </w:rPr>
        <w:t>odel</w:t>
      </w:r>
      <w:r w:rsidRPr="009A10D2">
        <w:rPr>
          <w:rFonts w:ascii="Times New Roman" w:hAnsi="Times New Roman"/>
          <w:b/>
          <w:i/>
          <w:sz w:val="24"/>
        </w:rPr>
        <w:t>s</w:t>
      </w:r>
      <w:r w:rsidRPr="00621634">
        <w:rPr>
          <w:rFonts w:ascii="Times New Roman" w:hAnsi="Times New Roman"/>
          <w:sz w:val="24"/>
        </w:rPr>
        <w:t xml:space="preserve">) from the </w:t>
      </w:r>
      <w:r>
        <w:rPr>
          <w:rFonts w:ascii="Times New Roman" w:hAnsi="Times New Roman"/>
          <w:sz w:val="24"/>
        </w:rPr>
        <w:t>requirements specified in clause 2 of Schedule 1</w:t>
      </w:r>
      <w:r w:rsidRPr="00621634">
        <w:rPr>
          <w:rFonts w:ascii="Times New Roman" w:hAnsi="Times New Roman"/>
          <w:sz w:val="24"/>
        </w:rPr>
        <w:t>.</w:t>
      </w:r>
    </w:p>
    <w:p w14:paraId="77E143F8" w14:textId="77777777" w:rsidR="00CA55F0" w:rsidRPr="0063004E"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3004E">
        <w:rPr>
          <w:rFonts w:ascii="Times New Roman" w:hAnsi="Times New Roman"/>
          <w:b/>
          <w:sz w:val="24"/>
        </w:rPr>
        <w:t>Conditions of exemption</w:t>
      </w:r>
    </w:p>
    <w:p w14:paraId="17F98575" w14:textId="77777777" w:rsidR="00CA55F0" w:rsidRDefault="00CA55F0" w:rsidP="00CA55F0">
      <w:pPr>
        <w:autoSpaceDE w:val="0"/>
        <w:autoSpaceDN w:val="0"/>
        <w:adjustRightInd w:val="0"/>
        <w:spacing w:after="240" w:line="240" w:lineRule="auto"/>
        <w:ind w:left="426"/>
        <w:rPr>
          <w:rFonts w:ascii="Times New Roman" w:hAnsi="Times New Roman"/>
          <w:sz w:val="24"/>
        </w:rPr>
      </w:pPr>
      <w:r w:rsidRPr="0063004E">
        <w:rPr>
          <w:rFonts w:ascii="Times New Roman" w:hAnsi="Times New Roman"/>
          <w:sz w:val="24"/>
        </w:rPr>
        <w:t>Section 6 provides that the conditions specified for the purposes of subsection 37(2) of the Act</w:t>
      </w:r>
      <w:r>
        <w:rPr>
          <w:rFonts w:ascii="Times New Roman" w:hAnsi="Times New Roman"/>
          <w:sz w:val="24"/>
        </w:rPr>
        <w:t xml:space="preserve"> are set out at clause 4 of the Schedule</w:t>
      </w:r>
      <w:r w:rsidRPr="0063004E">
        <w:rPr>
          <w:rFonts w:ascii="Times New Roman" w:hAnsi="Times New Roman"/>
          <w:sz w:val="24"/>
        </w:rPr>
        <w:t xml:space="preserve">. </w:t>
      </w:r>
      <w:r>
        <w:rPr>
          <w:rFonts w:ascii="Times New Roman" w:hAnsi="Times New Roman"/>
          <w:sz w:val="24"/>
        </w:rPr>
        <w:t>The purpose of the conditions is to minimise the negative effects on Australia’s greenhouse gas emissions of granting the exemption, while delivering a reasonable outcome for the applicant.</w:t>
      </w:r>
    </w:p>
    <w:p w14:paraId="5A819B37" w14:textId="77777777" w:rsidR="00CA55F0" w:rsidRPr="00621634" w:rsidRDefault="00CA55F0" w:rsidP="00CA55F0">
      <w:pPr>
        <w:autoSpaceDE w:val="0"/>
        <w:autoSpaceDN w:val="0"/>
        <w:adjustRightInd w:val="0"/>
        <w:spacing w:after="240" w:line="240" w:lineRule="auto"/>
        <w:rPr>
          <w:rFonts w:ascii="Times New Roman" w:hAnsi="Times New Roman"/>
          <w:b/>
          <w:sz w:val="24"/>
        </w:rPr>
      </w:pPr>
      <w:r w:rsidRPr="00621634">
        <w:rPr>
          <w:rFonts w:ascii="Times New Roman" w:hAnsi="Times New Roman"/>
          <w:b/>
          <w:sz w:val="24"/>
        </w:rPr>
        <w:t xml:space="preserve">Schedule </w:t>
      </w:r>
      <w:r>
        <w:rPr>
          <w:rFonts w:ascii="Times New Roman" w:hAnsi="Times New Roman"/>
          <w:b/>
          <w:sz w:val="24"/>
        </w:rPr>
        <w:t>1</w:t>
      </w:r>
      <w:r w:rsidRPr="00621634">
        <w:rPr>
          <w:rFonts w:ascii="Times New Roman" w:hAnsi="Times New Roman"/>
          <w:b/>
          <w:sz w:val="24"/>
        </w:rPr>
        <w:t xml:space="preserve"> </w:t>
      </w:r>
      <w:r>
        <w:rPr>
          <w:rFonts w:ascii="Times New Roman" w:hAnsi="Times New Roman"/>
          <w:b/>
          <w:sz w:val="24"/>
        </w:rPr>
        <w:t>–</w:t>
      </w:r>
      <w:r w:rsidRPr="00621634">
        <w:rPr>
          <w:rFonts w:ascii="Times New Roman" w:hAnsi="Times New Roman"/>
          <w:b/>
          <w:sz w:val="24"/>
        </w:rPr>
        <w:t xml:space="preserve"> Exemption </w:t>
      </w:r>
    </w:p>
    <w:p w14:paraId="392C7249" w14:textId="77777777" w:rsidR="00CA55F0" w:rsidRPr="00621634" w:rsidRDefault="00CA55F0" w:rsidP="00CA55F0">
      <w:pPr>
        <w:autoSpaceDE w:val="0"/>
        <w:autoSpaceDN w:val="0"/>
        <w:adjustRightInd w:val="0"/>
        <w:spacing w:after="240" w:line="240" w:lineRule="auto"/>
        <w:ind w:firstLine="426"/>
        <w:rPr>
          <w:rFonts w:ascii="Times New Roman" w:hAnsi="Times New Roman"/>
          <w:sz w:val="24"/>
          <w:szCs w:val="24"/>
          <w:lang w:eastAsia="en-AU"/>
        </w:rPr>
      </w:pPr>
      <w:r w:rsidRPr="00621634">
        <w:rPr>
          <w:rFonts w:ascii="Times New Roman" w:hAnsi="Times New Roman"/>
          <w:sz w:val="24"/>
        </w:rPr>
        <w:t xml:space="preserve">Schedule </w:t>
      </w:r>
      <w:r>
        <w:rPr>
          <w:rFonts w:ascii="Times New Roman" w:hAnsi="Times New Roman"/>
          <w:sz w:val="24"/>
        </w:rPr>
        <w:t xml:space="preserve">1 </w:t>
      </w:r>
      <w:r w:rsidRPr="00621634">
        <w:rPr>
          <w:rFonts w:ascii="Times New Roman" w:hAnsi="Times New Roman"/>
          <w:sz w:val="24"/>
        </w:rPr>
        <w:t xml:space="preserve">to the Instrument sets out the following terms: </w:t>
      </w:r>
    </w:p>
    <w:p w14:paraId="7929242C" w14:textId="77777777" w:rsidR="00CA55F0" w:rsidRPr="00621634"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 xml:space="preserve">the </w:t>
      </w:r>
      <w:r>
        <w:rPr>
          <w:rFonts w:ascii="Times New Roman" w:hAnsi="Times New Roman"/>
          <w:sz w:val="24"/>
        </w:rPr>
        <w:t xml:space="preserve">specified </w:t>
      </w:r>
      <w:r w:rsidRPr="009A10D2">
        <w:rPr>
          <w:rFonts w:ascii="Times New Roman" w:hAnsi="Times New Roman"/>
          <w:i/>
          <w:sz w:val="24"/>
        </w:rPr>
        <w:t>e</w:t>
      </w:r>
      <w:r w:rsidRPr="00621634">
        <w:rPr>
          <w:rFonts w:ascii="Times New Roman" w:hAnsi="Times New Roman"/>
          <w:i/>
          <w:sz w:val="24"/>
        </w:rPr>
        <w:t xml:space="preserve">xempt </w:t>
      </w:r>
      <w:r w:rsidRPr="009A10D2">
        <w:rPr>
          <w:rFonts w:ascii="Times New Roman" w:hAnsi="Times New Roman"/>
          <w:i/>
          <w:sz w:val="24"/>
        </w:rPr>
        <w:t>m</w:t>
      </w:r>
      <w:r w:rsidRPr="00621634">
        <w:rPr>
          <w:rFonts w:ascii="Times New Roman" w:hAnsi="Times New Roman"/>
          <w:i/>
          <w:sz w:val="24"/>
        </w:rPr>
        <w:t>odels</w:t>
      </w:r>
      <w:r>
        <w:rPr>
          <w:rFonts w:ascii="Times New Roman" w:hAnsi="Times New Roman"/>
          <w:sz w:val="24"/>
        </w:rPr>
        <w:t>, including model numbers, product descriptions and the number of units covered by the Instrument</w:t>
      </w:r>
      <w:r w:rsidRPr="00621634">
        <w:rPr>
          <w:rFonts w:ascii="Times New Roman" w:hAnsi="Times New Roman"/>
          <w:sz w:val="24"/>
        </w:rPr>
        <w:t xml:space="preserve"> (clause 1);</w:t>
      </w:r>
    </w:p>
    <w:p w14:paraId="3A5D9B07" w14:textId="77777777" w:rsidR="00CA55F0" w:rsidRPr="00621634"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requirements of the Determination from which the m</w:t>
      </w:r>
      <w:r>
        <w:rPr>
          <w:rFonts w:ascii="Times New Roman" w:hAnsi="Times New Roman"/>
          <w:sz w:val="24"/>
        </w:rPr>
        <w:t xml:space="preserve">odels are exempt (clause 2); </w:t>
      </w:r>
    </w:p>
    <w:p w14:paraId="34113CE0" w14:textId="77777777" w:rsidR="00CA55F0" w:rsidRPr="001A13D2"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supplies to which the exemption applies (clause 3)</w:t>
      </w:r>
      <w:r>
        <w:rPr>
          <w:rFonts w:ascii="Times New Roman" w:hAnsi="Times New Roman"/>
          <w:sz w:val="24"/>
        </w:rPr>
        <w:t>; and</w:t>
      </w:r>
    </w:p>
    <w:p w14:paraId="14593558" w14:textId="77777777" w:rsidR="0039786A" w:rsidRPr="0039786A"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proofErr w:type="gramStart"/>
      <w:r>
        <w:rPr>
          <w:rFonts w:ascii="Times New Roman" w:hAnsi="Times New Roman"/>
          <w:sz w:val="24"/>
        </w:rPr>
        <w:t>the</w:t>
      </w:r>
      <w:proofErr w:type="gramEnd"/>
      <w:r>
        <w:rPr>
          <w:rFonts w:ascii="Times New Roman" w:hAnsi="Times New Roman"/>
          <w:sz w:val="24"/>
        </w:rPr>
        <w:t xml:space="preserve"> conditions to which the exemption is subject (clause 4)</w:t>
      </w:r>
      <w:r w:rsidR="0039786A">
        <w:rPr>
          <w:rFonts w:ascii="Times New Roman" w:hAnsi="Times New Roman"/>
          <w:sz w:val="24"/>
        </w:rPr>
        <w:t xml:space="preserve">. </w:t>
      </w:r>
    </w:p>
    <w:p w14:paraId="3D602DE3" w14:textId="77777777" w:rsidR="00CA55F0" w:rsidRPr="003A7B65" w:rsidRDefault="00CA55F0" w:rsidP="0039786A">
      <w:pPr>
        <w:autoSpaceDE w:val="0"/>
        <w:autoSpaceDN w:val="0"/>
        <w:adjustRightInd w:val="0"/>
        <w:spacing w:after="240" w:line="240" w:lineRule="auto"/>
        <w:ind w:left="1437"/>
        <w:rPr>
          <w:rFonts w:ascii="Times New Roman" w:hAnsi="Times New Roman"/>
          <w:sz w:val="24"/>
          <w:szCs w:val="24"/>
          <w:lang w:eastAsia="en-AU"/>
        </w:rPr>
      </w:pPr>
      <w:r w:rsidRPr="003A7B65">
        <w:rPr>
          <w:rFonts w:ascii="Times New Roman" w:hAnsi="Times New Roman"/>
          <w:sz w:val="24"/>
          <w:szCs w:val="24"/>
        </w:rPr>
        <w:br w:type="page"/>
      </w:r>
      <w:r w:rsidRPr="003A7B65">
        <w:rPr>
          <w:rFonts w:ascii="Times New Roman" w:hAnsi="Times New Roman"/>
          <w:b/>
          <w:sz w:val="28"/>
          <w:szCs w:val="28"/>
        </w:rPr>
        <w:lastRenderedPageBreak/>
        <w:t>Statement of Compatibility with Human Rights</w:t>
      </w:r>
    </w:p>
    <w:p w14:paraId="2DCD2ACB" w14:textId="77777777" w:rsidR="00CA55F0" w:rsidRPr="00621634" w:rsidRDefault="00CA55F0" w:rsidP="00CA55F0">
      <w:pPr>
        <w:spacing w:before="120" w:after="120"/>
        <w:jc w:val="center"/>
        <w:rPr>
          <w:rFonts w:ascii="Times New Roman" w:hAnsi="Times New Roman"/>
          <w:sz w:val="24"/>
          <w:szCs w:val="24"/>
        </w:rPr>
      </w:pPr>
      <w:r w:rsidRPr="00621634">
        <w:rPr>
          <w:rFonts w:ascii="Times New Roman" w:hAnsi="Times New Roman"/>
          <w:i/>
          <w:sz w:val="24"/>
          <w:szCs w:val="24"/>
        </w:rPr>
        <w:t>Prepared in accordance with Part 3 of the Human Rights (Parliamentary Scrutiny) Act 2011</w:t>
      </w:r>
    </w:p>
    <w:p w14:paraId="32EF729B" w14:textId="77777777" w:rsidR="00CA55F0" w:rsidRPr="00621634" w:rsidRDefault="00CA55F0" w:rsidP="00CA55F0">
      <w:pPr>
        <w:spacing w:before="120" w:after="120"/>
        <w:jc w:val="center"/>
        <w:rPr>
          <w:rFonts w:ascii="Times New Roman" w:hAnsi="Times New Roman"/>
          <w:sz w:val="24"/>
          <w:szCs w:val="24"/>
        </w:rPr>
      </w:pPr>
    </w:p>
    <w:p w14:paraId="270C7B61" w14:textId="77777777" w:rsidR="00CA55F0" w:rsidRPr="00621634" w:rsidRDefault="00CA55F0" w:rsidP="00CA55F0">
      <w:pPr>
        <w:jc w:val="center"/>
        <w:rPr>
          <w:rFonts w:ascii="Times New Roman" w:hAnsi="Times New Roman"/>
          <w:i/>
          <w:sz w:val="24"/>
          <w:szCs w:val="24"/>
        </w:rPr>
      </w:pPr>
      <w:r w:rsidRPr="00621634">
        <w:rPr>
          <w:rFonts w:ascii="Times New Roman" w:hAnsi="Times New Roman"/>
          <w:i/>
          <w:sz w:val="24"/>
        </w:rPr>
        <w:t>Greenhouse and Energy Minimum Standards (Exemption) Instrument (</w:t>
      </w:r>
      <w:r w:rsidRPr="00C23ED7">
        <w:rPr>
          <w:rFonts w:ascii="Times New Roman" w:hAnsi="Times New Roman"/>
          <w:i/>
          <w:sz w:val="24"/>
        </w:rPr>
        <w:t>No.</w:t>
      </w:r>
      <w:r w:rsidR="0039786A" w:rsidRPr="00C23ED7">
        <w:rPr>
          <w:rFonts w:ascii="Times New Roman" w:hAnsi="Times New Roman"/>
          <w:i/>
          <w:sz w:val="24"/>
        </w:rPr>
        <w:t xml:space="preserve"> </w:t>
      </w:r>
      <w:r w:rsidR="008212FE" w:rsidRPr="00C23ED7">
        <w:rPr>
          <w:rFonts w:ascii="Times New Roman" w:hAnsi="Times New Roman"/>
          <w:i/>
          <w:sz w:val="24"/>
        </w:rPr>
        <w:t>1</w:t>
      </w:r>
      <w:r w:rsidRPr="00C23ED7">
        <w:rPr>
          <w:rFonts w:ascii="Times New Roman" w:hAnsi="Times New Roman"/>
          <w:i/>
          <w:sz w:val="24"/>
        </w:rPr>
        <w:t xml:space="preserve">) </w:t>
      </w:r>
      <w:r w:rsidR="008212FE" w:rsidRPr="00C23ED7">
        <w:rPr>
          <w:rFonts w:ascii="Times New Roman" w:hAnsi="Times New Roman"/>
          <w:i/>
          <w:sz w:val="24"/>
        </w:rPr>
        <w:t>2021</w:t>
      </w:r>
    </w:p>
    <w:p w14:paraId="24E5EE43" w14:textId="77777777" w:rsidR="00CA55F0" w:rsidRPr="00621634" w:rsidRDefault="00CA55F0" w:rsidP="00CA55F0">
      <w:pPr>
        <w:spacing w:before="120" w:after="120"/>
        <w:jc w:val="center"/>
        <w:rPr>
          <w:rFonts w:ascii="Times New Roman" w:hAnsi="Times New Roman"/>
          <w:sz w:val="24"/>
          <w:szCs w:val="24"/>
        </w:rPr>
      </w:pPr>
    </w:p>
    <w:p w14:paraId="23F258C2" w14:textId="77777777" w:rsidR="00CA55F0" w:rsidRPr="00621634" w:rsidRDefault="00CA55F0" w:rsidP="00CA55F0">
      <w:pPr>
        <w:spacing w:before="120" w:after="120"/>
        <w:rPr>
          <w:rFonts w:ascii="Times New Roman" w:hAnsi="Times New Roman"/>
          <w:sz w:val="24"/>
          <w:szCs w:val="24"/>
        </w:rPr>
      </w:pPr>
      <w:r w:rsidRPr="0062163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21634">
        <w:rPr>
          <w:rFonts w:ascii="Times New Roman" w:hAnsi="Times New Roman"/>
          <w:i/>
          <w:sz w:val="24"/>
          <w:szCs w:val="24"/>
        </w:rPr>
        <w:t>Human Rights (Parliamentary Scrutiny) Act 2011</w:t>
      </w:r>
      <w:r w:rsidRPr="00621634">
        <w:rPr>
          <w:rFonts w:ascii="Times New Roman" w:hAnsi="Times New Roman"/>
          <w:sz w:val="24"/>
          <w:szCs w:val="24"/>
        </w:rPr>
        <w:t>.</w:t>
      </w:r>
    </w:p>
    <w:p w14:paraId="2343CAD8" w14:textId="77777777" w:rsidR="00CA55F0" w:rsidRPr="00621634" w:rsidRDefault="00CA55F0" w:rsidP="00CA55F0">
      <w:pPr>
        <w:spacing w:before="120" w:after="120"/>
        <w:jc w:val="center"/>
        <w:rPr>
          <w:rFonts w:ascii="Times New Roman" w:hAnsi="Times New Roman"/>
          <w:sz w:val="24"/>
          <w:szCs w:val="24"/>
        </w:rPr>
      </w:pPr>
    </w:p>
    <w:p w14:paraId="7AC97511" w14:textId="77777777" w:rsidR="00CA55F0" w:rsidRPr="00621634" w:rsidRDefault="00CA55F0" w:rsidP="00CA55F0">
      <w:pPr>
        <w:spacing w:before="120" w:after="120"/>
        <w:jc w:val="both"/>
        <w:rPr>
          <w:rFonts w:ascii="Times New Roman" w:hAnsi="Times New Roman"/>
          <w:b/>
          <w:sz w:val="24"/>
          <w:szCs w:val="24"/>
        </w:rPr>
      </w:pPr>
      <w:r w:rsidRPr="00621634">
        <w:rPr>
          <w:rFonts w:ascii="Times New Roman" w:hAnsi="Times New Roman"/>
          <w:b/>
          <w:sz w:val="24"/>
          <w:szCs w:val="24"/>
        </w:rPr>
        <w:t>Overview of the Legislative Instrument</w:t>
      </w:r>
    </w:p>
    <w:p w14:paraId="1D9CFAA6" w14:textId="77777777" w:rsidR="00CA55F0" w:rsidRPr="00621634" w:rsidRDefault="00CA55F0" w:rsidP="00CA55F0">
      <w:pPr>
        <w:rPr>
          <w:rFonts w:ascii="Times New Roman" w:hAnsi="Times New Roman"/>
          <w:sz w:val="24"/>
          <w:szCs w:val="24"/>
        </w:rPr>
      </w:pPr>
      <w:r w:rsidRPr="00621634">
        <w:rPr>
          <w:rFonts w:ascii="Times New Roman" w:hAnsi="Times New Roman"/>
          <w:sz w:val="24"/>
          <w:szCs w:val="24"/>
        </w:rPr>
        <w:t xml:space="preserve">The </w:t>
      </w:r>
      <w:r w:rsidRPr="00621634">
        <w:rPr>
          <w:rFonts w:ascii="Times New Roman" w:hAnsi="Times New Roman"/>
          <w:i/>
          <w:sz w:val="24"/>
        </w:rPr>
        <w:t>Greenhouse and Energy Minimum Standards (Exemption) Instrument (No.</w:t>
      </w:r>
      <w:r w:rsidR="0039786A">
        <w:rPr>
          <w:rFonts w:ascii="Times New Roman" w:hAnsi="Times New Roman"/>
          <w:i/>
          <w:sz w:val="24"/>
        </w:rPr>
        <w:t xml:space="preserve"> </w:t>
      </w:r>
      <w:r w:rsidR="00357DFF">
        <w:rPr>
          <w:rFonts w:ascii="Times New Roman" w:hAnsi="Times New Roman"/>
          <w:i/>
          <w:sz w:val="24"/>
        </w:rPr>
        <w:t>1</w:t>
      </w:r>
      <w:r w:rsidRPr="00621634">
        <w:rPr>
          <w:rFonts w:ascii="Times New Roman" w:hAnsi="Times New Roman"/>
          <w:i/>
          <w:sz w:val="24"/>
        </w:rPr>
        <w:t xml:space="preserve">) </w:t>
      </w:r>
      <w:r w:rsidR="00357DFF" w:rsidRPr="00621634">
        <w:rPr>
          <w:rFonts w:ascii="Times New Roman" w:hAnsi="Times New Roman"/>
          <w:i/>
          <w:sz w:val="24"/>
        </w:rPr>
        <w:t>20</w:t>
      </w:r>
      <w:r w:rsidR="00357DFF">
        <w:rPr>
          <w:rFonts w:ascii="Times New Roman" w:hAnsi="Times New Roman"/>
          <w:i/>
          <w:sz w:val="24"/>
        </w:rPr>
        <w:t>21</w:t>
      </w:r>
      <w:r w:rsidR="00357DFF" w:rsidRPr="00621634">
        <w:rPr>
          <w:rFonts w:ascii="Times New Roman" w:hAnsi="Times New Roman"/>
          <w:i/>
          <w:sz w:val="24"/>
        </w:rPr>
        <w:t xml:space="preserve"> </w:t>
      </w:r>
      <w:r w:rsidRPr="00621634">
        <w:rPr>
          <w:rFonts w:ascii="Times New Roman" w:hAnsi="Times New Roman"/>
          <w:sz w:val="24"/>
          <w:szCs w:val="24"/>
        </w:rPr>
        <w:t xml:space="preserve">specifies models of </w:t>
      </w:r>
      <w:r>
        <w:rPr>
          <w:rFonts w:ascii="Times New Roman" w:hAnsi="Times New Roman"/>
          <w:sz w:val="24"/>
          <w:szCs w:val="24"/>
        </w:rPr>
        <w:t>Greenhouse and Energy Minimum Standards (</w:t>
      </w:r>
      <w:r w:rsidRPr="00621634">
        <w:rPr>
          <w:rFonts w:ascii="Times New Roman" w:hAnsi="Times New Roman"/>
          <w:sz w:val="24"/>
          <w:szCs w:val="24"/>
        </w:rPr>
        <w:t>GEMS</w:t>
      </w:r>
      <w:r>
        <w:rPr>
          <w:rFonts w:ascii="Times New Roman" w:hAnsi="Times New Roman"/>
          <w:sz w:val="24"/>
          <w:szCs w:val="24"/>
        </w:rPr>
        <w:t>)</w:t>
      </w:r>
      <w:r w:rsidRPr="00621634">
        <w:rPr>
          <w:rFonts w:ascii="Times New Roman" w:hAnsi="Times New Roman"/>
          <w:sz w:val="24"/>
          <w:szCs w:val="24"/>
        </w:rPr>
        <w:t xml:space="preserve"> products that the GEMS Regulator has exempted from the </w:t>
      </w:r>
      <w:r w:rsidR="00357DFF">
        <w:rPr>
          <w:rFonts w:ascii="Times New Roman" w:hAnsi="Times New Roman"/>
          <w:sz w:val="24"/>
          <w:szCs w:val="24"/>
        </w:rPr>
        <w:t>requirement to use a detergent</w:t>
      </w:r>
      <w:r w:rsidR="00731D0D" w:rsidRPr="00731D0D">
        <w:rPr>
          <w:rFonts w:ascii="Times New Roman" w:hAnsi="Times New Roman"/>
          <w:sz w:val="24"/>
          <w:szCs w:val="24"/>
        </w:rPr>
        <w:t xml:space="preserve"> prescribed in the relevant standard, referenced </w:t>
      </w:r>
      <w:r w:rsidR="00955D5F">
        <w:rPr>
          <w:rFonts w:ascii="Times New Roman" w:hAnsi="Times New Roman"/>
          <w:sz w:val="24"/>
          <w:szCs w:val="24"/>
        </w:rPr>
        <w:t>in</w:t>
      </w:r>
      <w:r w:rsidR="0039786A">
        <w:rPr>
          <w:rFonts w:ascii="Times New Roman" w:hAnsi="Times New Roman"/>
          <w:sz w:val="24"/>
          <w:szCs w:val="24"/>
        </w:rPr>
        <w:t xml:space="preserve"> the</w:t>
      </w:r>
      <w:r w:rsidR="0039786A" w:rsidRPr="0039786A">
        <w:rPr>
          <w:i/>
        </w:rPr>
        <w:t xml:space="preserve"> </w:t>
      </w:r>
      <w:r w:rsidR="0039786A" w:rsidRPr="0039786A">
        <w:rPr>
          <w:rFonts w:ascii="Times New Roman" w:hAnsi="Times New Roman"/>
          <w:i/>
          <w:sz w:val="24"/>
          <w:szCs w:val="24"/>
          <w:lang w:eastAsia="en-AU"/>
        </w:rPr>
        <w:t>Greenhous</w:t>
      </w:r>
      <w:r w:rsidR="000B2487">
        <w:rPr>
          <w:rFonts w:ascii="Times New Roman" w:hAnsi="Times New Roman"/>
          <w:i/>
          <w:sz w:val="24"/>
          <w:szCs w:val="24"/>
          <w:lang w:eastAsia="en-AU"/>
        </w:rPr>
        <w:t xml:space="preserve">e and Energy Minimum Standards </w:t>
      </w:r>
      <w:r w:rsidR="000B2487" w:rsidRPr="000B2487">
        <w:rPr>
          <w:rFonts w:ascii="Times New Roman" w:hAnsi="Times New Roman"/>
          <w:i/>
          <w:sz w:val="24"/>
          <w:szCs w:val="24"/>
          <w:lang w:eastAsia="en-AU"/>
        </w:rPr>
        <w:t>(Dishwasher) Determination 2015</w:t>
      </w:r>
      <w:r w:rsidR="00357DFF">
        <w:rPr>
          <w:rFonts w:ascii="Times New Roman" w:hAnsi="Times New Roman"/>
          <w:sz w:val="24"/>
          <w:szCs w:val="24"/>
          <w:lang w:eastAsia="en-AU"/>
        </w:rPr>
        <w:t xml:space="preserve">. A condition of this exemption is that the </w:t>
      </w:r>
      <w:r w:rsidR="00357DFF" w:rsidRPr="00C46BF5">
        <w:rPr>
          <w:rFonts w:ascii="Times New Roman" w:hAnsi="Times New Roman"/>
          <w:sz w:val="24"/>
          <w:szCs w:val="24"/>
          <w:lang w:eastAsia="en-AU"/>
        </w:rPr>
        <w:t xml:space="preserve">detergent IEC D specified in Annex E of the international standard </w:t>
      </w:r>
      <w:r w:rsidR="00357DFF" w:rsidRPr="00C46BF5">
        <w:rPr>
          <w:rFonts w:ascii="Times New Roman" w:hAnsi="Times New Roman"/>
          <w:i/>
          <w:sz w:val="24"/>
          <w:szCs w:val="24"/>
          <w:lang w:eastAsia="en-AU"/>
        </w:rPr>
        <w:t>IEC 60436:2015 Electric dishwashers for</w:t>
      </w:r>
      <w:r w:rsidR="00357DFF" w:rsidRPr="00C46BF5">
        <w:rPr>
          <w:rFonts w:ascii="Times New Roman" w:hAnsi="Times New Roman"/>
          <w:i/>
          <w:sz w:val="24"/>
          <w:szCs w:val="24"/>
        </w:rPr>
        <w:t xml:space="preserve"> household use - Methods for measuring the performance (Edition 4)</w:t>
      </w:r>
      <w:r w:rsidR="00D241F0">
        <w:rPr>
          <w:rFonts w:ascii="Times New Roman" w:hAnsi="Times New Roman"/>
          <w:sz w:val="24"/>
          <w:szCs w:val="24"/>
        </w:rPr>
        <w:t xml:space="preserve"> must </w:t>
      </w:r>
      <w:r w:rsidR="003E261B">
        <w:rPr>
          <w:rFonts w:ascii="Times New Roman" w:hAnsi="Times New Roman"/>
          <w:sz w:val="24"/>
          <w:szCs w:val="24"/>
        </w:rPr>
        <w:t xml:space="preserve">instead </w:t>
      </w:r>
      <w:r w:rsidR="00D241F0">
        <w:rPr>
          <w:rFonts w:ascii="Times New Roman" w:hAnsi="Times New Roman"/>
          <w:sz w:val="24"/>
          <w:szCs w:val="24"/>
        </w:rPr>
        <w:t>be used for testing.</w:t>
      </w:r>
    </w:p>
    <w:p w14:paraId="2A487451" w14:textId="77777777" w:rsidR="00CA55F0" w:rsidRPr="00621634" w:rsidRDefault="00CA55F0" w:rsidP="00CA55F0">
      <w:pPr>
        <w:spacing w:before="120" w:after="120"/>
        <w:rPr>
          <w:rFonts w:ascii="Times New Roman" w:hAnsi="Times New Roman"/>
          <w:b/>
          <w:sz w:val="24"/>
          <w:szCs w:val="24"/>
        </w:rPr>
      </w:pPr>
      <w:r w:rsidRPr="00621634">
        <w:rPr>
          <w:rFonts w:ascii="Times New Roman" w:hAnsi="Times New Roman"/>
          <w:b/>
          <w:sz w:val="24"/>
          <w:szCs w:val="24"/>
        </w:rPr>
        <w:t>Human rights implications</w:t>
      </w:r>
    </w:p>
    <w:p w14:paraId="38A3223D" w14:textId="77777777" w:rsidR="00CA55F0" w:rsidRPr="00621634" w:rsidRDefault="00CA55F0" w:rsidP="00CA55F0">
      <w:pPr>
        <w:spacing w:before="120" w:after="120"/>
        <w:rPr>
          <w:rFonts w:ascii="Times New Roman" w:hAnsi="Times New Roman"/>
          <w:sz w:val="24"/>
          <w:szCs w:val="24"/>
        </w:rPr>
      </w:pPr>
      <w:r w:rsidRPr="00621634">
        <w:rPr>
          <w:rFonts w:ascii="Times New Roman" w:hAnsi="Times New Roman"/>
          <w:sz w:val="24"/>
          <w:szCs w:val="24"/>
        </w:rPr>
        <w:t>This Legislative Instrument does not engage any of the applicable rights or freedoms.</w:t>
      </w:r>
    </w:p>
    <w:p w14:paraId="65655DB1" w14:textId="77777777" w:rsidR="00CA55F0" w:rsidRPr="00621634" w:rsidRDefault="00CA55F0" w:rsidP="00CA55F0">
      <w:pPr>
        <w:spacing w:before="120" w:after="120"/>
        <w:rPr>
          <w:rFonts w:ascii="Times New Roman" w:hAnsi="Times New Roman"/>
          <w:b/>
          <w:sz w:val="24"/>
          <w:szCs w:val="24"/>
        </w:rPr>
      </w:pPr>
      <w:r w:rsidRPr="00621634">
        <w:rPr>
          <w:rFonts w:ascii="Times New Roman" w:hAnsi="Times New Roman"/>
          <w:b/>
          <w:sz w:val="24"/>
          <w:szCs w:val="24"/>
        </w:rPr>
        <w:t>Conclusion</w:t>
      </w:r>
    </w:p>
    <w:p w14:paraId="7CC83FD7" w14:textId="77777777" w:rsidR="00CA55F0" w:rsidRDefault="00CA55F0" w:rsidP="00CA55F0">
      <w:pPr>
        <w:autoSpaceDE w:val="0"/>
        <w:autoSpaceDN w:val="0"/>
        <w:adjustRightInd w:val="0"/>
        <w:spacing w:after="240" w:line="240" w:lineRule="auto"/>
        <w:rPr>
          <w:rFonts w:ascii="Times New Roman" w:hAnsi="Times New Roman"/>
          <w:sz w:val="24"/>
          <w:szCs w:val="24"/>
        </w:rPr>
      </w:pPr>
      <w:r w:rsidRPr="00621634">
        <w:rPr>
          <w:rFonts w:ascii="Times New Roman" w:hAnsi="Times New Roman"/>
          <w:sz w:val="24"/>
          <w:szCs w:val="24"/>
        </w:rPr>
        <w:t>This Legislative Instrument is compatible with human rights as it does not raise any human rights issues.</w:t>
      </w:r>
    </w:p>
    <w:p w14:paraId="29461491" w14:textId="77777777" w:rsidR="00CA55F0" w:rsidRPr="00621634" w:rsidRDefault="00CA55F0" w:rsidP="00CA55F0">
      <w:pPr>
        <w:autoSpaceDE w:val="0"/>
        <w:autoSpaceDN w:val="0"/>
        <w:adjustRightInd w:val="0"/>
        <w:spacing w:after="240" w:line="240" w:lineRule="auto"/>
        <w:rPr>
          <w:rFonts w:ascii="Times New Roman" w:hAnsi="Times New Roman"/>
          <w:sz w:val="24"/>
          <w:szCs w:val="24"/>
        </w:rPr>
      </w:pPr>
    </w:p>
    <w:p w14:paraId="5AF490C0" w14:textId="77777777" w:rsidR="00F52882" w:rsidRDefault="006F7D1C" w:rsidP="00CA55F0">
      <w:pPr>
        <w:pStyle w:val="NormalWeb"/>
        <w:jc w:val="center"/>
        <w:rPr>
          <w:b/>
          <w:szCs w:val="22"/>
        </w:rPr>
      </w:pPr>
      <w:bookmarkStart w:id="0" w:name="_GoBack"/>
      <w:r w:rsidRPr="00380435">
        <w:rPr>
          <w:b/>
          <w:szCs w:val="22"/>
        </w:rPr>
        <w:t xml:space="preserve">Penny </w:t>
      </w:r>
      <w:r w:rsidR="00F52882" w:rsidRPr="00380435">
        <w:rPr>
          <w:b/>
          <w:szCs w:val="22"/>
        </w:rPr>
        <w:t>Sirault</w:t>
      </w:r>
      <w:bookmarkEnd w:id="0"/>
      <w:r w:rsidR="00F52882">
        <w:rPr>
          <w:b/>
          <w:szCs w:val="22"/>
        </w:rPr>
        <w:t xml:space="preserve"> </w:t>
      </w:r>
    </w:p>
    <w:p w14:paraId="263BF69D" w14:textId="736206BD" w:rsidR="00CA55F0" w:rsidRPr="00B102F0" w:rsidRDefault="00F52882" w:rsidP="00CA55F0">
      <w:pPr>
        <w:pStyle w:val="NormalWeb"/>
        <w:jc w:val="center"/>
        <w:rPr>
          <w:b/>
        </w:rPr>
      </w:pPr>
      <w:r>
        <w:rPr>
          <w:b/>
          <w:szCs w:val="22"/>
        </w:rPr>
        <w:t>GEMS</w:t>
      </w:r>
      <w:r w:rsidR="00CA55F0" w:rsidRPr="00B102F0">
        <w:rPr>
          <w:b/>
          <w:szCs w:val="22"/>
        </w:rPr>
        <w:t xml:space="preserve"> Regulator</w:t>
      </w:r>
    </w:p>
    <w:p w14:paraId="6570B3C9" w14:textId="77777777" w:rsidR="00CA55F0" w:rsidRPr="00051DF8" w:rsidRDefault="00CA55F0" w:rsidP="00CA55F0">
      <w:pPr>
        <w:pStyle w:val="NormalWeb"/>
        <w:jc w:val="center"/>
        <w:rPr>
          <w:b/>
        </w:rPr>
      </w:pPr>
    </w:p>
    <w:p w14:paraId="2FAE07B1" w14:textId="77777777" w:rsidR="0035204E" w:rsidRDefault="0035204E"/>
    <w:sectPr w:rsidR="0035204E" w:rsidSect="0035204E">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357E8" w14:textId="77777777" w:rsidR="00810D5B" w:rsidRDefault="00810D5B">
      <w:pPr>
        <w:spacing w:after="0" w:line="240" w:lineRule="auto"/>
      </w:pPr>
      <w:r>
        <w:separator/>
      </w:r>
    </w:p>
  </w:endnote>
  <w:endnote w:type="continuationSeparator" w:id="0">
    <w:p w14:paraId="62FD418C" w14:textId="77777777" w:rsidR="00810D5B" w:rsidRDefault="00810D5B">
      <w:pPr>
        <w:spacing w:after="0" w:line="240" w:lineRule="auto"/>
      </w:pPr>
      <w:r>
        <w:continuationSeparator/>
      </w:r>
    </w:p>
  </w:endnote>
  <w:endnote w:type="continuationNotice" w:id="1">
    <w:p w14:paraId="2D542AFA" w14:textId="77777777" w:rsidR="00810D5B" w:rsidRDefault="00810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33FA9398" w14:textId="77777777" w:rsidR="0035204E" w:rsidRDefault="0035204E">
        <w:pPr>
          <w:pStyle w:val="Footer"/>
          <w:jc w:val="center"/>
        </w:pPr>
        <w:r>
          <w:rPr>
            <w:noProof/>
          </w:rPr>
          <w:fldChar w:fldCharType="begin"/>
        </w:r>
        <w:r>
          <w:rPr>
            <w:noProof/>
          </w:rPr>
          <w:instrText xml:space="preserve"> PAGE   \* MERGEFORMAT </w:instrText>
        </w:r>
        <w:r>
          <w:rPr>
            <w:noProof/>
          </w:rPr>
          <w:fldChar w:fldCharType="separate"/>
        </w:r>
        <w:r w:rsidR="0038043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35D54" w14:textId="77777777" w:rsidR="00810D5B" w:rsidRDefault="00810D5B">
      <w:pPr>
        <w:spacing w:after="0" w:line="240" w:lineRule="auto"/>
      </w:pPr>
      <w:r>
        <w:separator/>
      </w:r>
    </w:p>
  </w:footnote>
  <w:footnote w:type="continuationSeparator" w:id="0">
    <w:p w14:paraId="7E14D49B" w14:textId="77777777" w:rsidR="00810D5B" w:rsidRDefault="00810D5B">
      <w:pPr>
        <w:spacing w:after="0" w:line="240" w:lineRule="auto"/>
      </w:pPr>
      <w:r>
        <w:continuationSeparator/>
      </w:r>
    </w:p>
  </w:footnote>
  <w:footnote w:type="continuationNotice" w:id="1">
    <w:p w14:paraId="63D7ECEB" w14:textId="77777777" w:rsidR="00810D5B" w:rsidRDefault="00810D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6B6A4" w14:textId="77777777" w:rsidR="0035204E" w:rsidRDefault="0035204E" w:rsidP="0035204E">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37C4"/>
    <w:multiLevelType w:val="hybridMultilevel"/>
    <w:tmpl w:val="4F365E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EA626B"/>
    <w:multiLevelType w:val="hybridMultilevel"/>
    <w:tmpl w:val="02025C4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65456429"/>
    <w:multiLevelType w:val="multilevel"/>
    <w:tmpl w:val="2A36A30C"/>
    <w:lvl w:ilvl="0">
      <w:start w:val="1"/>
      <w:numFmt w:val="decimal"/>
      <w:pStyle w:val="ListNumber"/>
      <w:lvlText w:val="%1."/>
      <w:lvlJc w:val="left"/>
      <w:pPr>
        <w:ind w:left="369" w:hanging="369"/>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F0"/>
    <w:rsid w:val="00065900"/>
    <w:rsid w:val="000B2487"/>
    <w:rsid w:val="000D2857"/>
    <w:rsid w:val="00141413"/>
    <w:rsid w:val="0014666C"/>
    <w:rsid w:val="00186FCD"/>
    <w:rsid w:val="00191A9D"/>
    <w:rsid w:val="001C3AD2"/>
    <w:rsid w:val="002314C6"/>
    <w:rsid w:val="002B2713"/>
    <w:rsid w:val="00300BB5"/>
    <w:rsid w:val="003071E5"/>
    <w:rsid w:val="003220A1"/>
    <w:rsid w:val="00331A54"/>
    <w:rsid w:val="00335ADB"/>
    <w:rsid w:val="0035204E"/>
    <w:rsid w:val="00357DFF"/>
    <w:rsid w:val="00380435"/>
    <w:rsid w:val="00391B5F"/>
    <w:rsid w:val="0039786A"/>
    <w:rsid w:val="003A60C1"/>
    <w:rsid w:val="003B7BC5"/>
    <w:rsid w:val="003D0596"/>
    <w:rsid w:val="003E261B"/>
    <w:rsid w:val="00490664"/>
    <w:rsid w:val="004D4C85"/>
    <w:rsid w:val="004F5644"/>
    <w:rsid w:val="00566C14"/>
    <w:rsid w:val="00573B53"/>
    <w:rsid w:val="00586E7E"/>
    <w:rsid w:val="0059108B"/>
    <w:rsid w:val="00597D7E"/>
    <w:rsid w:val="00605CAF"/>
    <w:rsid w:val="006076F6"/>
    <w:rsid w:val="006304BB"/>
    <w:rsid w:val="0066739E"/>
    <w:rsid w:val="006B455C"/>
    <w:rsid w:val="006F0C71"/>
    <w:rsid w:val="006F27F2"/>
    <w:rsid w:val="006F7D1C"/>
    <w:rsid w:val="00704F74"/>
    <w:rsid w:val="00731D0D"/>
    <w:rsid w:val="007839CC"/>
    <w:rsid w:val="00784653"/>
    <w:rsid w:val="007977DA"/>
    <w:rsid w:val="007B4E00"/>
    <w:rsid w:val="007C02F4"/>
    <w:rsid w:val="007C0510"/>
    <w:rsid w:val="00810D5B"/>
    <w:rsid w:val="008212FE"/>
    <w:rsid w:val="0085368E"/>
    <w:rsid w:val="00864B36"/>
    <w:rsid w:val="008720B2"/>
    <w:rsid w:val="008A69B8"/>
    <w:rsid w:val="008D4038"/>
    <w:rsid w:val="008E085E"/>
    <w:rsid w:val="00913F10"/>
    <w:rsid w:val="00955D5F"/>
    <w:rsid w:val="0099339C"/>
    <w:rsid w:val="009A05B9"/>
    <w:rsid w:val="009E0D98"/>
    <w:rsid w:val="009F4BD7"/>
    <w:rsid w:val="00A715B3"/>
    <w:rsid w:val="00A7300A"/>
    <w:rsid w:val="00AC68CA"/>
    <w:rsid w:val="00AF07BC"/>
    <w:rsid w:val="00B10A9C"/>
    <w:rsid w:val="00B1549E"/>
    <w:rsid w:val="00B22D9A"/>
    <w:rsid w:val="00B60829"/>
    <w:rsid w:val="00BE09C1"/>
    <w:rsid w:val="00C23ED7"/>
    <w:rsid w:val="00C45A61"/>
    <w:rsid w:val="00C46BF5"/>
    <w:rsid w:val="00C47803"/>
    <w:rsid w:val="00C851B9"/>
    <w:rsid w:val="00CA55F0"/>
    <w:rsid w:val="00D1784A"/>
    <w:rsid w:val="00D23FF2"/>
    <w:rsid w:val="00D241F0"/>
    <w:rsid w:val="00DE2BF3"/>
    <w:rsid w:val="00E30F07"/>
    <w:rsid w:val="00E573F3"/>
    <w:rsid w:val="00E91D1B"/>
    <w:rsid w:val="00EB741C"/>
    <w:rsid w:val="00EC0A0F"/>
    <w:rsid w:val="00EC6E01"/>
    <w:rsid w:val="00ED38B7"/>
    <w:rsid w:val="00F52882"/>
    <w:rsid w:val="00F87E92"/>
    <w:rsid w:val="00FA0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A0C3"/>
  <w15:chartTrackingRefBased/>
  <w15:docId w15:val="{56231DE1-6B41-489E-960F-8152742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F0"/>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5F0"/>
    <w:rPr>
      <w:rFonts w:ascii="Arial" w:eastAsia="Calibri" w:hAnsi="Arial" w:cs="Times New Roman"/>
    </w:rPr>
  </w:style>
  <w:style w:type="paragraph" w:customStyle="1" w:styleId="Classification">
    <w:name w:val="Classification"/>
    <w:basedOn w:val="Normal"/>
    <w:uiPriority w:val="10"/>
    <w:qFormat/>
    <w:rsid w:val="00CA55F0"/>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NormalWeb">
    <w:name w:val="Normal (Web)"/>
    <w:basedOn w:val="Normal"/>
    <w:uiPriority w:val="99"/>
    <w:unhideWhenUsed/>
    <w:rsid w:val="00CA55F0"/>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DE2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F3"/>
    <w:rPr>
      <w:rFonts w:ascii="Segoe UI" w:eastAsia="Calibri" w:hAnsi="Segoe UI" w:cs="Segoe UI"/>
      <w:sz w:val="18"/>
      <w:szCs w:val="18"/>
    </w:rPr>
  </w:style>
  <w:style w:type="paragraph" w:styleId="ListNumber">
    <w:name w:val="List Number"/>
    <w:basedOn w:val="Normal"/>
    <w:uiPriority w:val="99"/>
    <w:qFormat/>
    <w:rsid w:val="00C47803"/>
    <w:pPr>
      <w:numPr>
        <w:numId w:val="3"/>
      </w:numPr>
    </w:pPr>
  </w:style>
  <w:style w:type="paragraph" w:styleId="ListNumber2">
    <w:name w:val="List Number 2"/>
    <w:basedOn w:val="Normal"/>
    <w:uiPriority w:val="99"/>
    <w:rsid w:val="00C47803"/>
    <w:pPr>
      <w:numPr>
        <w:ilvl w:val="1"/>
        <w:numId w:val="3"/>
      </w:numPr>
    </w:pPr>
  </w:style>
  <w:style w:type="paragraph" w:styleId="ListNumber3">
    <w:name w:val="List Number 3"/>
    <w:basedOn w:val="Normal"/>
    <w:uiPriority w:val="99"/>
    <w:rsid w:val="00C47803"/>
    <w:pPr>
      <w:numPr>
        <w:ilvl w:val="2"/>
        <w:numId w:val="3"/>
      </w:numPr>
    </w:pPr>
  </w:style>
  <w:style w:type="paragraph" w:styleId="ListNumber4">
    <w:name w:val="List Number 4"/>
    <w:basedOn w:val="Normal"/>
    <w:uiPriority w:val="99"/>
    <w:rsid w:val="00C47803"/>
    <w:pPr>
      <w:numPr>
        <w:ilvl w:val="3"/>
        <w:numId w:val="3"/>
      </w:numPr>
    </w:pPr>
  </w:style>
  <w:style w:type="paragraph" w:styleId="ListNumber5">
    <w:name w:val="List Number 5"/>
    <w:basedOn w:val="Normal"/>
    <w:uiPriority w:val="99"/>
    <w:rsid w:val="00C47803"/>
    <w:pPr>
      <w:numPr>
        <w:ilvl w:val="4"/>
        <w:numId w:val="3"/>
      </w:numPr>
    </w:pPr>
  </w:style>
  <w:style w:type="paragraph" w:styleId="ListParagraph">
    <w:name w:val="List Paragraph"/>
    <w:basedOn w:val="Normal"/>
    <w:uiPriority w:val="34"/>
    <w:qFormat/>
    <w:rsid w:val="00AC68CA"/>
    <w:pPr>
      <w:numPr>
        <w:numId w:val="5"/>
      </w:numPr>
    </w:pPr>
  </w:style>
  <w:style w:type="character" w:customStyle="1" w:styleId="Advisorytext">
    <w:name w:val="Advisory text"/>
    <w:basedOn w:val="DefaultParagraphFont"/>
    <w:uiPriority w:val="99"/>
    <w:rsid w:val="00731D0D"/>
    <w:rPr>
      <w:color w:val="FF0000"/>
    </w:rPr>
  </w:style>
  <w:style w:type="character" w:styleId="CommentReference">
    <w:name w:val="annotation reference"/>
    <w:basedOn w:val="DefaultParagraphFont"/>
    <w:uiPriority w:val="99"/>
    <w:semiHidden/>
    <w:unhideWhenUsed/>
    <w:rsid w:val="00573B53"/>
    <w:rPr>
      <w:sz w:val="16"/>
      <w:szCs w:val="16"/>
    </w:rPr>
  </w:style>
  <w:style w:type="paragraph" w:styleId="CommentText">
    <w:name w:val="annotation text"/>
    <w:basedOn w:val="Normal"/>
    <w:link w:val="CommentTextChar"/>
    <w:uiPriority w:val="99"/>
    <w:semiHidden/>
    <w:unhideWhenUsed/>
    <w:rsid w:val="00573B53"/>
    <w:pPr>
      <w:spacing w:line="240" w:lineRule="auto"/>
    </w:pPr>
    <w:rPr>
      <w:sz w:val="20"/>
      <w:szCs w:val="20"/>
    </w:rPr>
  </w:style>
  <w:style w:type="character" w:customStyle="1" w:styleId="CommentTextChar">
    <w:name w:val="Comment Text Char"/>
    <w:basedOn w:val="DefaultParagraphFont"/>
    <w:link w:val="CommentText"/>
    <w:uiPriority w:val="99"/>
    <w:semiHidden/>
    <w:rsid w:val="00573B5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73B53"/>
    <w:rPr>
      <w:b/>
      <w:bCs/>
    </w:rPr>
  </w:style>
  <w:style w:type="character" w:customStyle="1" w:styleId="CommentSubjectChar">
    <w:name w:val="Comment Subject Char"/>
    <w:basedOn w:val="CommentTextChar"/>
    <w:link w:val="CommentSubject"/>
    <w:uiPriority w:val="99"/>
    <w:semiHidden/>
    <w:rsid w:val="00573B53"/>
    <w:rPr>
      <w:rFonts w:ascii="Arial" w:eastAsia="Calibri" w:hAnsi="Arial" w:cs="Times New Roman"/>
      <w:b/>
      <w:bCs/>
      <w:sz w:val="20"/>
      <w:szCs w:val="20"/>
    </w:rPr>
  </w:style>
  <w:style w:type="paragraph" w:styleId="Header">
    <w:name w:val="header"/>
    <w:basedOn w:val="Normal"/>
    <w:link w:val="HeaderChar"/>
    <w:uiPriority w:val="99"/>
    <w:semiHidden/>
    <w:unhideWhenUsed/>
    <w:rsid w:val="002B27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713"/>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6116">
      <w:bodyDiv w:val="1"/>
      <w:marLeft w:val="0"/>
      <w:marRight w:val="0"/>
      <w:marTop w:val="0"/>
      <w:marBottom w:val="0"/>
      <w:divBdr>
        <w:top w:val="none" w:sz="0" w:space="0" w:color="auto"/>
        <w:left w:val="none" w:sz="0" w:space="0" w:color="auto"/>
        <w:bottom w:val="none" w:sz="0" w:space="0" w:color="auto"/>
        <w:right w:val="none" w:sz="0" w:space="0" w:color="auto"/>
      </w:divBdr>
    </w:div>
    <w:div w:id="581567676">
      <w:bodyDiv w:val="1"/>
      <w:marLeft w:val="0"/>
      <w:marRight w:val="0"/>
      <w:marTop w:val="0"/>
      <w:marBottom w:val="0"/>
      <w:divBdr>
        <w:top w:val="none" w:sz="0" w:space="0" w:color="auto"/>
        <w:left w:val="none" w:sz="0" w:space="0" w:color="auto"/>
        <w:bottom w:val="none" w:sz="0" w:space="0" w:color="auto"/>
        <w:right w:val="none" w:sz="0" w:space="0" w:color="auto"/>
      </w:divBdr>
    </w:div>
    <w:div w:id="972979655">
      <w:bodyDiv w:val="1"/>
      <w:marLeft w:val="0"/>
      <w:marRight w:val="0"/>
      <w:marTop w:val="0"/>
      <w:marBottom w:val="0"/>
      <w:divBdr>
        <w:top w:val="none" w:sz="0" w:space="0" w:color="auto"/>
        <w:left w:val="none" w:sz="0" w:space="0" w:color="auto"/>
        <w:bottom w:val="none" w:sz="0" w:space="0" w:color="auto"/>
        <w:right w:val="none" w:sz="0" w:space="0" w:color="auto"/>
      </w:divBdr>
    </w:div>
    <w:div w:id="15313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19" ma:contentTypeDescription="Create a new document." ma:contentTypeScope="" ma:versionID="8d26d5cdbf59d5fb98fb140cbc6e9db4">
  <xsd:schema xmlns:xsd="http://www.w3.org/2001/XMLSchema" xmlns:xs="http://www.w3.org/2001/XMLSchema" xmlns:p="http://schemas.microsoft.com/office/2006/metadata/properties" xmlns:ns1="http://schemas.microsoft.com/sharepoint/v3" xmlns:ns2="a36bd50b-1532-4c22-b385-5c082c960938" xmlns:ns3="d92934b5-032c-4da3-958e-788fdb9771c1" targetNamespace="http://schemas.microsoft.com/office/2006/metadata/properties" ma:root="true" ma:fieldsID="fc20a212f430dc59c02f4fb56330f75d" ns1:_="" ns2:_="" ns3:_="">
    <xsd:import namespace="http://schemas.microsoft.com/sharepoint/v3"/>
    <xsd:import namespace="a36bd50b-1532-4c22-b385-5c082c96093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2020</TermName>
          <TermId>6a3660c5-15bd-4052-a0a1-6237663b7600</TermId>
        </TermInfo>
      </Terms>
    </n99e4c9942c6404eb103464a00e6097b>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Legal privilege</TermName>
          <TermId>e0e7653a-6457-4726-a51f-c98e23f83bad</TermId>
        </TermInfo>
      </Terms>
    </aa25a1a23adf4c92a153145de6afe324>
    <g7bcb40ba23249a78edca7d43a67c1c9 xmlns="a36bd50b-1532-4c22-b385-5c082c960938">
      <Terms xmlns="http://schemas.microsoft.com/office/infopath/2007/PartnerControls">
        <TermInfo xmlns="http://schemas.microsoft.com/office/infopath/2007/PartnerControls">
          <TermName>Legislation and Regulation</TermName>
          <TermId>6cbc66f5-f4a2-4565-a58b-d5f2d2ac9bd0</TermId>
        </TermInfo>
      </Terms>
    </g7bcb40ba23249a78edca7d43a67c1c9>
    <TaxCatchAll xmlns="a36bd50b-1532-4c22-b385-5c082c960938">
      <Value>2316</Value>
      <Value>334</Value>
      <Value>275</Value>
      <Value>155</Value>
      <Value>5</Value>
    </TaxCatchAll>
    <leb4c332ed06408dafad04730a3b9e00 xmlns="d92934b5-032c-4da3-958e-788fdb9771c1">
      <Terms xmlns="http://schemas.microsoft.com/office/infopath/2007/PartnerControls">
        <TermInfo xmlns="http://schemas.microsoft.com/office/infopath/2007/PartnerControls">
          <TermName xmlns="http://schemas.microsoft.com/office/infopath/2007/PartnerControls">Dishwashers</TermName>
          <TermId xmlns="http://schemas.microsoft.com/office/infopath/2007/PartnerControls">04e1feaa-3d4b-4367-9335-e3f8465cd14c</TermId>
        </TermInfo>
      </Terms>
    </leb4c332ed06408dafad04730a3b9e00>
    <Comments xmlns="http://schemas.microsoft.com/sharepoint/v3" xsi:nil="true"/>
    <a674526ffa164a9fae690c035aaec556 xmlns="d92934b5-032c-4da3-958e-788fdb9771c1">
      <Terms xmlns="http://schemas.microsoft.com/office/infopath/2007/PartnerControls"/>
    </a674526ffa164a9fae690c035aaec556>
    <b293e574d31a4f65aba73b2d9d7bec1c xmlns="d92934b5-032c-4da3-958e-788fdb9771c1">
      <Terms xmlns="http://schemas.microsoft.com/office/infopath/2007/PartnerControls"/>
    </b293e574d31a4f65aba73b2d9d7bec1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F91AE4-0D16-449C-817B-59ECFD2A4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7B03D-BF11-4BD5-A97B-9314164C6DF9}">
  <ds:schemaRefs>
    <ds:schemaRef ds:uri="http://schemas.microsoft.com/office/2006/metadata/properties"/>
    <ds:schemaRef ds:uri="http://schemas.microsoft.com/office/infopath/2007/PartnerControls"/>
    <ds:schemaRef ds:uri="a36bd50b-1532-4c22-b385-5c082c960938"/>
    <ds:schemaRef ds:uri="d92934b5-032c-4da3-958e-788fdb9771c1"/>
    <ds:schemaRef ds:uri="http://schemas.microsoft.com/sharepoint/v3"/>
  </ds:schemaRefs>
</ds:datastoreItem>
</file>

<file path=customXml/itemProps3.xml><?xml version="1.0" encoding="utf-8"?>
<ds:datastoreItem xmlns:ds="http://schemas.openxmlformats.org/officeDocument/2006/customXml" ds:itemID="{76E1EE3A-478B-49EB-870D-70E7C7004A52}">
  <ds:schemaRefs>
    <ds:schemaRef ds:uri="http://schemas.microsoft.com/sharepoint/v3/contenttype/forms"/>
  </ds:schemaRefs>
</ds:datastoreItem>
</file>

<file path=customXml/itemProps4.xml><?xml version="1.0" encoding="utf-8"?>
<ds:datastoreItem xmlns:ds="http://schemas.openxmlformats.org/officeDocument/2006/customXml" ds:itemID="{14F2CFBD-C963-417C-A924-8BA5A24DBD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Gi-gi</dc:creator>
  <cp:keywords/>
  <dc:description/>
  <cp:lastModifiedBy>Turton, David</cp:lastModifiedBy>
  <cp:revision>10</cp:revision>
  <cp:lastPrinted>2021-01-04T22:26:00Z</cp:lastPrinted>
  <dcterms:created xsi:type="dcterms:W3CDTF">2021-04-22T01:32:00Z</dcterms:created>
  <dcterms:modified xsi:type="dcterms:W3CDTF">2021-04-26T22:34:00Z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GemsLegalSubjects">
    <vt:lpwstr/>
  </property>
  <property fmtid="{D5CDD505-2E9C-101B-9397-08002B2CF9AE}" pid="4" name="DocHub_Year">
    <vt:lpwstr>5;#2020|6a3660c5-15bd-4052-a0a1-6237663b7600</vt:lpwstr>
  </property>
  <property fmtid="{D5CDD505-2E9C-101B-9397-08002B2CF9AE}" pid="5" name="DocHub_DocumentType">
    <vt:lpwstr>155;#Legislative Instrument|edbe159b-95f5-40e7-bf23-9dfb62f2e7f0</vt:lpwstr>
  </property>
  <property fmtid="{D5CDD505-2E9C-101B-9397-08002B2CF9AE}" pid="6" name="DocHub_SecurityClassification">
    <vt:lpwstr>334;#Legal privilege|e0e7653a-6457-4726-a51f-c98e23f83bad</vt:lpwstr>
  </property>
  <property fmtid="{D5CDD505-2E9C-101B-9397-08002B2CF9AE}" pid="7" name="DocHub_Keywords">
    <vt:lpwstr/>
  </property>
  <property fmtid="{D5CDD505-2E9C-101B-9397-08002B2CF9AE}" pid="8" name="DocHub_GemsPolicyProducts">
    <vt:lpwstr>2316;#Dishwashers|04e1feaa-3d4b-4367-9335-e3f8465cd14c</vt:lpwstr>
  </property>
  <property fmtid="{D5CDD505-2E9C-101B-9397-08002B2CF9AE}" pid="9" name="DocHub_GemsLegalTopics">
    <vt:lpwstr/>
  </property>
  <property fmtid="{D5CDD505-2E9C-101B-9397-08002B2CF9AE}" pid="10" name="DocHub_WorkActivity">
    <vt:lpwstr>275;#Legislation and Regulation|6cbc66f5-f4a2-4565-a58b-d5f2d2ac9bd0</vt:lpwstr>
  </property>
  <property fmtid="{D5CDD505-2E9C-101B-9397-08002B2CF9AE}" pid="11" name="DocHub_GemsExemptionOrganisations">
    <vt:lpwstr/>
  </property>
  <property fmtid="{D5CDD505-2E9C-101B-9397-08002B2CF9AE}" pid="12" name="DocHub_GemsExemptionIDNo">
    <vt:lpwstr/>
  </property>
</Properties>
</file>