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79B4C" w14:textId="77777777" w:rsidR="0070106C" w:rsidRPr="00DE3AC1" w:rsidRDefault="0070106C" w:rsidP="0070106C">
      <w:pPr>
        <w:rPr>
          <w:sz w:val="28"/>
        </w:rPr>
      </w:pPr>
      <w:r w:rsidRPr="00DE3AC1">
        <w:rPr>
          <w:noProof/>
          <w:lang w:eastAsia="en-AU"/>
        </w:rPr>
        <w:drawing>
          <wp:inline distT="0" distB="0" distL="0" distR="0" wp14:anchorId="665241EB" wp14:editId="7CB7B8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8ADF" w14:textId="77777777" w:rsidR="0070106C" w:rsidRPr="00DE3AC1" w:rsidRDefault="0070106C" w:rsidP="0070106C">
      <w:pPr>
        <w:rPr>
          <w:sz w:val="19"/>
        </w:rPr>
      </w:pPr>
    </w:p>
    <w:p w14:paraId="53158C2A" w14:textId="42BD69C1" w:rsidR="0070106C" w:rsidRPr="00DE3AC1" w:rsidRDefault="0070106C" w:rsidP="0070106C">
      <w:pPr>
        <w:pStyle w:val="ShortT"/>
      </w:pPr>
      <w:r w:rsidRPr="00DE3AC1">
        <w:t xml:space="preserve">Greenhouse and Energy Minimum Standards (Exemption) Instrument (No. </w:t>
      </w:r>
      <w:r w:rsidR="00752D7B" w:rsidRPr="00DE3AC1">
        <w:t>1</w:t>
      </w:r>
      <w:r w:rsidRPr="00DE3AC1">
        <w:t xml:space="preserve">) </w:t>
      </w:r>
      <w:r w:rsidR="00752D7B" w:rsidRPr="00DE3AC1">
        <w:t xml:space="preserve">2021 </w:t>
      </w:r>
    </w:p>
    <w:p w14:paraId="7CAF0A76" w14:textId="42A44F9F" w:rsidR="0070106C" w:rsidRPr="00DE3AC1" w:rsidRDefault="0070106C" w:rsidP="0070106C">
      <w:pPr>
        <w:pStyle w:val="SignCoverPageStart"/>
        <w:spacing w:before="240"/>
        <w:ind w:right="91"/>
        <w:rPr>
          <w:szCs w:val="22"/>
        </w:rPr>
      </w:pPr>
      <w:r w:rsidRPr="00DE3AC1">
        <w:rPr>
          <w:szCs w:val="22"/>
        </w:rPr>
        <w:t xml:space="preserve">I, </w:t>
      </w:r>
      <w:r w:rsidR="00927C66" w:rsidRPr="00DE3AC1">
        <w:rPr>
          <w:szCs w:val="22"/>
        </w:rPr>
        <w:t>Martin Squire</w:t>
      </w:r>
      <w:r w:rsidRPr="00DE3AC1">
        <w:rPr>
          <w:szCs w:val="22"/>
        </w:rPr>
        <w:t>, being the person occupying the position of GEMS Regulator, make the following instrument.</w:t>
      </w:r>
    </w:p>
    <w:p w14:paraId="62313D96" w14:textId="6FDA8CCD" w:rsidR="0070106C" w:rsidRPr="00DE3AC1" w:rsidRDefault="00DE3AC1" w:rsidP="0070106C">
      <w:pPr>
        <w:keepNext/>
        <w:spacing w:before="300" w:line="240" w:lineRule="atLeast"/>
        <w:ind w:right="397"/>
        <w:jc w:val="both"/>
        <w:rPr>
          <w:szCs w:val="22"/>
        </w:rPr>
      </w:pPr>
      <w:r w:rsidRPr="00DE3AC1">
        <w:rPr>
          <w:szCs w:val="22"/>
        </w:rPr>
        <w:t>Dated     7 January 2021</w:t>
      </w:r>
      <w:r w:rsidR="0070106C" w:rsidRPr="00DE3AC1">
        <w:rPr>
          <w:szCs w:val="22"/>
        </w:rPr>
        <w:tab/>
      </w:r>
    </w:p>
    <w:p w14:paraId="161492EA" w14:textId="77777777" w:rsidR="0070106C" w:rsidRPr="00DE3AC1" w:rsidRDefault="0070106C" w:rsidP="0070106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2E54D24E" w14:textId="7A5A528C" w:rsidR="0070106C" w:rsidRPr="00DE3AC1" w:rsidRDefault="00927C66" w:rsidP="0070106C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E3AC1">
        <w:rPr>
          <w:szCs w:val="22"/>
        </w:rPr>
        <w:t xml:space="preserve">Martin Squire </w:t>
      </w:r>
    </w:p>
    <w:p w14:paraId="0714D620" w14:textId="77777777" w:rsidR="0070106C" w:rsidRPr="00DE3AC1" w:rsidRDefault="0070106C" w:rsidP="0070106C">
      <w:pPr>
        <w:pStyle w:val="SignCoverPageEnd"/>
        <w:ind w:right="91"/>
        <w:rPr>
          <w:sz w:val="22"/>
        </w:rPr>
      </w:pPr>
      <w:r w:rsidRPr="00DE3AC1">
        <w:rPr>
          <w:sz w:val="22"/>
        </w:rPr>
        <w:t>GEMS Regulator</w:t>
      </w:r>
    </w:p>
    <w:p w14:paraId="456750A8" w14:textId="77777777" w:rsidR="0070106C" w:rsidRPr="00DE3AC1" w:rsidRDefault="0070106C" w:rsidP="0070106C"/>
    <w:p w14:paraId="278E1E5D" w14:textId="77777777" w:rsidR="0070106C" w:rsidRPr="00DE3AC1" w:rsidRDefault="0070106C" w:rsidP="0070106C"/>
    <w:p w14:paraId="122FADC1" w14:textId="77777777" w:rsidR="0070106C" w:rsidRPr="00DE3AC1" w:rsidRDefault="0070106C" w:rsidP="0070106C">
      <w:pPr>
        <w:sectPr w:rsidR="0070106C" w:rsidRPr="00DE3AC1" w:rsidSect="008C2EAC">
          <w:headerReference w:type="even" r:id="rId13"/>
          <w:headerReference w:type="default" r:id="rId14"/>
          <w:footerReference w:type="even" r:id="rId1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A298208" w14:textId="77777777" w:rsidR="0070106C" w:rsidRPr="00DE3AC1" w:rsidRDefault="0070106C" w:rsidP="0070106C"/>
    <w:p w14:paraId="356E3A3C" w14:textId="77777777" w:rsidR="0070106C" w:rsidRPr="00DE3AC1" w:rsidRDefault="0070106C" w:rsidP="0070106C">
      <w:pPr>
        <w:outlineLvl w:val="0"/>
        <w:rPr>
          <w:sz w:val="36"/>
        </w:rPr>
      </w:pPr>
      <w:r w:rsidRPr="00DE3AC1">
        <w:rPr>
          <w:sz w:val="36"/>
        </w:rPr>
        <w:t>Contents</w:t>
      </w:r>
    </w:p>
    <w:p w14:paraId="532E17DF" w14:textId="77777777" w:rsidR="006F1C0F" w:rsidRPr="00DE3AC1" w:rsidRDefault="007010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fldChar w:fldCharType="begin"/>
      </w:r>
      <w:r w:rsidRPr="00DE3AC1">
        <w:instrText xml:space="preserve"> TOC \o "1-9" </w:instrText>
      </w:r>
      <w:r w:rsidRPr="00DE3AC1">
        <w:fldChar w:fldCharType="separate"/>
      </w:r>
      <w:r w:rsidR="006F1C0F" w:rsidRPr="00DE3AC1">
        <w:rPr>
          <w:noProof/>
        </w:rPr>
        <w:t>1  Name</w:t>
      </w:r>
      <w:r w:rsidR="006F1C0F" w:rsidRPr="00DE3AC1">
        <w:rPr>
          <w:noProof/>
        </w:rPr>
        <w:tab/>
      </w:r>
      <w:r w:rsidR="006F1C0F" w:rsidRPr="00DE3AC1">
        <w:rPr>
          <w:noProof/>
        </w:rPr>
        <w:fldChar w:fldCharType="begin"/>
      </w:r>
      <w:r w:rsidR="006F1C0F" w:rsidRPr="00DE3AC1">
        <w:rPr>
          <w:noProof/>
        </w:rPr>
        <w:instrText xml:space="preserve"> PAGEREF _Toc56439294 \h </w:instrText>
      </w:r>
      <w:r w:rsidR="006F1C0F" w:rsidRPr="00DE3AC1">
        <w:rPr>
          <w:noProof/>
        </w:rPr>
      </w:r>
      <w:r w:rsidR="006F1C0F"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="006F1C0F" w:rsidRPr="00DE3AC1">
        <w:rPr>
          <w:noProof/>
        </w:rPr>
        <w:fldChar w:fldCharType="end"/>
      </w:r>
    </w:p>
    <w:p w14:paraId="2A56A22D" w14:textId="77777777" w:rsidR="006F1C0F" w:rsidRPr="00DE3AC1" w:rsidRDefault="006F1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rPr>
          <w:noProof/>
        </w:rPr>
        <w:t>2  Commencement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_Toc56439295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Pr="00DE3AC1">
        <w:rPr>
          <w:noProof/>
        </w:rPr>
        <w:fldChar w:fldCharType="end"/>
      </w:r>
    </w:p>
    <w:p w14:paraId="58985BDB" w14:textId="77777777" w:rsidR="006F1C0F" w:rsidRPr="00DE3AC1" w:rsidRDefault="006F1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rPr>
          <w:noProof/>
        </w:rPr>
        <w:t>3  Authority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_Toc56439296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Pr="00DE3AC1">
        <w:rPr>
          <w:noProof/>
        </w:rPr>
        <w:fldChar w:fldCharType="end"/>
      </w:r>
    </w:p>
    <w:p w14:paraId="6808D3A5" w14:textId="77777777" w:rsidR="006F1C0F" w:rsidRPr="00DE3AC1" w:rsidRDefault="006F1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rPr>
          <w:noProof/>
        </w:rPr>
        <w:t>4  Definitions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_Toc56439297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Pr="00DE3AC1">
        <w:rPr>
          <w:noProof/>
        </w:rPr>
        <w:fldChar w:fldCharType="end"/>
      </w:r>
    </w:p>
    <w:p w14:paraId="35AC6125" w14:textId="77777777" w:rsidR="006F1C0F" w:rsidRPr="00DE3AC1" w:rsidRDefault="006F1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rPr>
          <w:noProof/>
        </w:rPr>
        <w:t>5  Exemption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_Toc56439298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Pr="00DE3AC1">
        <w:rPr>
          <w:noProof/>
        </w:rPr>
        <w:fldChar w:fldCharType="end"/>
      </w:r>
    </w:p>
    <w:p w14:paraId="31179A1D" w14:textId="77777777" w:rsidR="006F1C0F" w:rsidRPr="00DE3AC1" w:rsidRDefault="006F1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3AC1">
        <w:rPr>
          <w:noProof/>
        </w:rPr>
        <w:t>6  Conditions of exemption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_Toc56439299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1</w:t>
      </w:r>
      <w:r w:rsidRPr="00DE3AC1">
        <w:rPr>
          <w:noProof/>
        </w:rPr>
        <w:fldChar w:fldCharType="end"/>
      </w:r>
    </w:p>
    <w:p w14:paraId="718023EC" w14:textId="77777777" w:rsidR="006F1C0F" w:rsidRPr="00DE3AC1" w:rsidRDefault="006F1C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3AC1">
        <w:rPr>
          <w:noProof/>
        </w:rPr>
        <w:t>Schedule 1—Exemption and condition of exemption</w:t>
      </w:r>
      <w:r w:rsidRPr="00DE3AC1">
        <w:rPr>
          <w:noProof/>
        </w:rPr>
        <w:tab/>
      </w:r>
      <w:r w:rsidRPr="00DE3AC1">
        <w:rPr>
          <w:noProof/>
        </w:rPr>
        <w:fldChar w:fldCharType="begin"/>
      </w:r>
      <w:r w:rsidRPr="00DE3AC1">
        <w:rPr>
          <w:noProof/>
        </w:rPr>
        <w:instrText xml:space="preserve"> PAGEREF _Toc56439300 \h </w:instrText>
      </w:r>
      <w:r w:rsidRPr="00DE3AC1">
        <w:rPr>
          <w:noProof/>
        </w:rPr>
      </w:r>
      <w:r w:rsidRPr="00DE3AC1">
        <w:rPr>
          <w:noProof/>
        </w:rPr>
        <w:fldChar w:fldCharType="separate"/>
      </w:r>
      <w:r w:rsidR="0025259C" w:rsidRPr="00DE3AC1">
        <w:rPr>
          <w:noProof/>
        </w:rPr>
        <w:t>2</w:t>
      </w:r>
      <w:r w:rsidRPr="00DE3AC1">
        <w:rPr>
          <w:noProof/>
        </w:rPr>
        <w:fldChar w:fldCharType="end"/>
      </w:r>
    </w:p>
    <w:p w14:paraId="7B0AE48A" w14:textId="77777777" w:rsidR="0070106C" w:rsidRPr="00DE3AC1" w:rsidRDefault="0070106C" w:rsidP="0070106C">
      <w:pPr>
        <w:outlineLvl w:val="0"/>
      </w:pPr>
      <w:r w:rsidRPr="00DE3AC1">
        <w:fldChar w:fldCharType="end"/>
      </w:r>
    </w:p>
    <w:p w14:paraId="6BEE8C26" w14:textId="07772B7F" w:rsidR="00367F4C" w:rsidRPr="00DE3AC1" w:rsidRDefault="00367F4C" w:rsidP="0070106C">
      <w:pPr>
        <w:pStyle w:val="ActHead5"/>
      </w:pPr>
    </w:p>
    <w:p w14:paraId="7DF3D0BA" w14:textId="77777777" w:rsidR="00367F4C" w:rsidRPr="00DE3AC1" w:rsidRDefault="00367F4C" w:rsidP="00367F4C">
      <w:pPr>
        <w:rPr>
          <w:lang w:eastAsia="en-AU"/>
        </w:rPr>
      </w:pPr>
    </w:p>
    <w:p w14:paraId="1F2D0FE7" w14:textId="77777777" w:rsidR="00367F4C" w:rsidRPr="00DE3AC1" w:rsidRDefault="00367F4C" w:rsidP="00367F4C">
      <w:pPr>
        <w:rPr>
          <w:lang w:eastAsia="en-AU"/>
        </w:rPr>
      </w:pPr>
    </w:p>
    <w:p w14:paraId="73CB6592" w14:textId="77777777" w:rsidR="00367F4C" w:rsidRPr="00DE3AC1" w:rsidRDefault="00367F4C" w:rsidP="00367F4C">
      <w:pPr>
        <w:rPr>
          <w:lang w:eastAsia="en-AU"/>
        </w:rPr>
      </w:pPr>
    </w:p>
    <w:p w14:paraId="13F24045" w14:textId="77777777" w:rsidR="00367F4C" w:rsidRPr="00DE3AC1" w:rsidRDefault="00367F4C" w:rsidP="00367F4C">
      <w:pPr>
        <w:rPr>
          <w:lang w:eastAsia="en-AU"/>
        </w:rPr>
      </w:pPr>
    </w:p>
    <w:p w14:paraId="222E1420" w14:textId="77777777" w:rsidR="00367F4C" w:rsidRPr="00DE3AC1" w:rsidRDefault="00367F4C" w:rsidP="00367F4C">
      <w:pPr>
        <w:rPr>
          <w:lang w:eastAsia="en-AU"/>
        </w:rPr>
      </w:pPr>
    </w:p>
    <w:p w14:paraId="5228D7BE" w14:textId="77777777" w:rsidR="00367F4C" w:rsidRPr="00DE3AC1" w:rsidRDefault="00367F4C" w:rsidP="00367F4C">
      <w:pPr>
        <w:rPr>
          <w:lang w:eastAsia="en-AU"/>
        </w:rPr>
      </w:pPr>
    </w:p>
    <w:p w14:paraId="2F7B8E30" w14:textId="77777777" w:rsidR="00367F4C" w:rsidRPr="00DE3AC1" w:rsidRDefault="00367F4C" w:rsidP="00367F4C">
      <w:pPr>
        <w:rPr>
          <w:lang w:eastAsia="en-AU"/>
        </w:rPr>
      </w:pPr>
    </w:p>
    <w:p w14:paraId="5B6CE2E3" w14:textId="77777777" w:rsidR="00367F4C" w:rsidRPr="00DE3AC1" w:rsidRDefault="00367F4C" w:rsidP="00367F4C">
      <w:pPr>
        <w:rPr>
          <w:lang w:eastAsia="en-AU"/>
        </w:rPr>
      </w:pPr>
    </w:p>
    <w:p w14:paraId="3D0B103C" w14:textId="77777777" w:rsidR="00367F4C" w:rsidRPr="00DE3AC1" w:rsidRDefault="00367F4C" w:rsidP="00367F4C">
      <w:pPr>
        <w:rPr>
          <w:lang w:eastAsia="en-AU"/>
        </w:rPr>
      </w:pPr>
    </w:p>
    <w:p w14:paraId="3A2D167D" w14:textId="0599D834" w:rsidR="00367F4C" w:rsidRPr="00DE3AC1" w:rsidRDefault="00367F4C" w:rsidP="00367F4C">
      <w:pPr>
        <w:tabs>
          <w:tab w:val="left" w:pos="6154"/>
        </w:tabs>
        <w:rPr>
          <w:lang w:eastAsia="en-AU"/>
        </w:rPr>
      </w:pPr>
      <w:r w:rsidRPr="00DE3AC1">
        <w:rPr>
          <w:lang w:eastAsia="en-AU"/>
        </w:rPr>
        <w:tab/>
      </w:r>
    </w:p>
    <w:p w14:paraId="01CC4915" w14:textId="6EC48E74" w:rsidR="0070106C" w:rsidRPr="00DE3AC1" w:rsidRDefault="00367F4C" w:rsidP="00367F4C">
      <w:pPr>
        <w:tabs>
          <w:tab w:val="left" w:pos="6154"/>
        </w:tabs>
        <w:rPr>
          <w:lang w:eastAsia="en-AU"/>
        </w:rPr>
        <w:sectPr w:rsidR="0070106C" w:rsidRPr="00DE3AC1" w:rsidSect="00F60F13">
          <w:footerReference w:type="default" r:id="rId16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E3AC1">
        <w:rPr>
          <w:lang w:eastAsia="en-AU"/>
        </w:rPr>
        <w:tab/>
      </w:r>
    </w:p>
    <w:p w14:paraId="39837E1F" w14:textId="77777777" w:rsidR="0070106C" w:rsidRPr="00DE3AC1" w:rsidRDefault="0070106C" w:rsidP="0070106C">
      <w:pPr>
        <w:pStyle w:val="ActHead5"/>
      </w:pPr>
      <w:bookmarkStart w:id="0" w:name="_Toc56439294"/>
      <w:proofErr w:type="gramStart"/>
      <w:r w:rsidRPr="00DE3AC1">
        <w:lastRenderedPageBreak/>
        <w:t>1  Name</w:t>
      </w:r>
      <w:bookmarkEnd w:id="0"/>
      <w:proofErr w:type="gramEnd"/>
    </w:p>
    <w:p w14:paraId="048A4FE5" w14:textId="72AEE178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 xml:space="preserve">This instrument is the </w:t>
      </w:r>
      <w:bookmarkStart w:id="1" w:name="BKCheck15B_3"/>
      <w:bookmarkEnd w:id="1"/>
      <w:r w:rsidRPr="00DE3AC1">
        <w:rPr>
          <w:i/>
        </w:rPr>
        <w:t xml:space="preserve">Greenhouse and Energy Minimum Standards (Exemption) Instrument (No. </w:t>
      </w:r>
      <w:r w:rsidR="00752D7B" w:rsidRPr="00DE3AC1">
        <w:rPr>
          <w:i/>
        </w:rPr>
        <w:t>1</w:t>
      </w:r>
      <w:r w:rsidRPr="00DE3AC1">
        <w:rPr>
          <w:i/>
        </w:rPr>
        <w:t>) 202</w:t>
      </w:r>
      <w:r w:rsidR="00752D7B" w:rsidRPr="00DE3AC1">
        <w:rPr>
          <w:i/>
        </w:rPr>
        <w:t>1</w:t>
      </w:r>
      <w:r w:rsidRPr="00DE3AC1">
        <w:rPr>
          <w:i/>
        </w:rPr>
        <w:t>.</w:t>
      </w:r>
    </w:p>
    <w:p w14:paraId="4927B57E" w14:textId="77777777" w:rsidR="0070106C" w:rsidRPr="00DE3AC1" w:rsidRDefault="0070106C" w:rsidP="0070106C">
      <w:pPr>
        <w:pStyle w:val="ActHead5"/>
      </w:pPr>
      <w:bookmarkStart w:id="2" w:name="_Toc56439295"/>
      <w:proofErr w:type="gramStart"/>
      <w:r w:rsidRPr="00DE3AC1">
        <w:t>2  Commencement</w:t>
      </w:r>
      <w:bookmarkEnd w:id="2"/>
      <w:proofErr w:type="gramEnd"/>
    </w:p>
    <w:p w14:paraId="136A908C" w14:textId="77777777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>This instrument commences the day after it is registered.</w:t>
      </w:r>
    </w:p>
    <w:p w14:paraId="7A38024E" w14:textId="77777777" w:rsidR="0070106C" w:rsidRPr="00DE3AC1" w:rsidRDefault="0070106C" w:rsidP="0070106C">
      <w:pPr>
        <w:pStyle w:val="ActHead5"/>
      </w:pPr>
      <w:bookmarkStart w:id="3" w:name="_Toc56439296"/>
      <w:proofErr w:type="gramStart"/>
      <w:r w:rsidRPr="00DE3AC1">
        <w:t>3  Authority</w:t>
      </w:r>
      <w:bookmarkEnd w:id="3"/>
      <w:proofErr w:type="gramEnd"/>
    </w:p>
    <w:p w14:paraId="51BD540F" w14:textId="77777777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 xml:space="preserve">This instrument is made under subsection 37(1) of the </w:t>
      </w:r>
      <w:r w:rsidRPr="00DE3AC1">
        <w:rPr>
          <w:i/>
        </w:rPr>
        <w:t>Greenhouse and Energy Minimum Standards Act 2012</w:t>
      </w:r>
      <w:r w:rsidRPr="00DE3AC1">
        <w:t>.</w:t>
      </w:r>
    </w:p>
    <w:p w14:paraId="674EA8AD" w14:textId="77777777" w:rsidR="0070106C" w:rsidRPr="00DE3AC1" w:rsidRDefault="0070106C" w:rsidP="0070106C">
      <w:pPr>
        <w:pStyle w:val="ActHead5"/>
      </w:pPr>
      <w:bookmarkStart w:id="4" w:name="_Toc56439297"/>
      <w:proofErr w:type="gramStart"/>
      <w:r w:rsidRPr="00DE3AC1">
        <w:t>4  Definitions</w:t>
      </w:r>
      <w:bookmarkEnd w:id="4"/>
      <w:proofErr w:type="gramEnd"/>
    </w:p>
    <w:p w14:paraId="4FA9DDE6" w14:textId="77777777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>In this instrument:</w:t>
      </w:r>
    </w:p>
    <w:p w14:paraId="42B28D5B" w14:textId="77777777" w:rsidR="0070106C" w:rsidRPr="00DE3AC1" w:rsidRDefault="0070106C" w:rsidP="0070106C">
      <w:pPr>
        <w:pStyle w:val="Definition"/>
      </w:pPr>
      <w:r w:rsidRPr="00DE3AC1">
        <w:rPr>
          <w:b/>
          <w:i/>
        </w:rPr>
        <w:t>Act</w:t>
      </w:r>
      <w:r w:rsidRPr="00DE3AC1">
        <w:t xml:space="preserve"> means the </w:t>
      </w:r>
      <w:r w:rsidRPr="00DE3AC1">
        <w:rPr>
          <w:i/>
        </w:rPr>
        <w:t>Greenhouse and Energy Minimum Standards Act 2012</w:t>
      </w:r>
      <w:r w:rsidRPr="00DE3AC1">
        <w:t>.</w:t>
      </w:r>
    </w:p>
    <w:p w14:paraId="56E5BCDD" w14:textId="4716AC1B" w:rsidR="0070106C" w:rsidRPr="00DE3AC1" w:rsidRDefault="0070106C" w:rsidP="0070106C">
      <w:pPr>
        <w:pStyle w:val="Definition"/>
      </w:pPr>
      <w:r w:rsidRPr="00DE3AC1">
        <w:rPr>
          <w:b/>
          <w:i/>
        </w:rPr>
        <w:t xml:space="preserve">Determination </w:t>
      </w:r>
      <w:r w:rsidRPr="00DE3AC1">
        <w:t xml:space="preserve">means the </w:t>
      </w:r>
      <w:r w:rsidRPr="00DE3AC1">
        <w:rPr>
          <w:i/>
        </w:rPr>
        <w:t xml:space="preserve">Greenhouse and Energy Minimum Standards </w:t>
      </w:r>
      <w:r w:rsidR="009F1424" w:rsidRPr="00DE3AC1">
        <w:rPr>
          <w:i/>
        </w:rPr>
        <w:t>(Dishwasher) Determination 2015</w:t>
      </w:r>
      <w:r w:rsidRPr="00DE3AC1">
        <w:t>.</w:t>
      </w:r>
    </w:p>
    <w:p w14:paraId="6BA9A44A" w14:textId="77777777" w:rsidR="0070106C" w:rsidRPr="00DE3AC1" w:rsidRDefault="0070106C" w:rsidP="0070106C">
      <w:pPr>
        <w:pStyle w:val="Definition"/>
      </w:pPr>
      <w:proofErr w:type="gramStart"/>
      <w:r w:rsidRPr="00DE3AC1">
        <w:rPr>
          <w:b/>
          <w:i/>
        </w:rPr>
        <w:t>exempt</w:t>
      </w:r>
      <w:proofErr w:type="gramEnd"/>
      <w:r w:rsidRPr="00DE3AC1">
        <w:rPr>
          <w:b/>
          <w:i/>
        </w:rPr>
        <w:t xml:space="preserve"> model</w:t>
      </w:r>
      <w:r w:rsidRPr="00DE3AC1">
        <w:t>: see section 5.</w:t>
      </w:r>
    </w:p>
    <w:p w14:paraId="66109BF3" w14:textId="77777777" w:rsidR="0070106C" w:rsidRPr="00DE3AC1" w:rsidRDefault="0070106C" w:rsidP="0070106C">
      <w:pPr>
        <w:pStyle w:val="ActHead5"/>
      </w:pPr>
      <w:bookmarkStart w:id="5" w:name="_Toc454781205"/>
      <w:bookmarkStart w:id="6" w:name="_Toc56439298"/>
      <w:proofErr w:type="gramStart"/>
      <w:r w:rsidRPr="00DE3AC1">
        <w:t xml:space="preserve">5  </w:t>
      </w:r>
      <w:bookmarkEnd w:id="5"/>
      <w:r w:rsidRPr="00DE3AC1">
        <w:t>Exemption</w:t>
      </w:r>
      <w:bookmarkEnd w:id="6"/>
      <w:proofErr w:type="gramEnd"/>
    </w:p>
    <w:p w14:paraId="263B96DD" w14:textId="77777777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>The models specified in clause 1 of the Schedule (t</w:t>
      </w:r>
      <w:bookmarkStart w:id="7" w:name="_GoBack"/>
      <w:bookmarkEnd w:id="7"/>
      <w:r w:rsidRPr="00DE3AC1">
        <w:t xml:space="preserve">he </w:t>
      </w:r>
      <w:r w:rsidRPr="00DE3AC1">
        <w:rPr>
          <w:b/>
          <w:i/>
        </w:rPr>
        <w:t>exempt models</w:t>
      </w:r>
      <w:r w:rsidRPr="00DE3AC1">
        <w:t>) are exempt from the requirements of the Determination as described at clause 2 of the Schedule with respect to the supplies of the exempt models specified at clause 3 of the Schedule.</w:t>
      </w:r>
    </w:p>
    <w:p w14:paraId="5717711A" w14:textId="77777777" w:rsidR="0070106C" w:rsidRPr="00DE3AC1" w:rsidRDefault="0070106C" w:rsidP="0070106C">
      <w:pPr>
        <w:pStyle w:val="ActHead5"/>
        <w:tabs>
          <w:tab w:val="center" w:pos="4156"/>
        </w:tabs>
      </w:pPr>
      <w:bookmarkStart w:id="8" w:name="_Toc56439299"/>
      <w:proofErr w:type="gramStart"/>
      <w:r w:rsidRPr="00DE3AC1">
        <w:t>6  Conditions</w:t>
      </w:r>
      <w:proofErr w:type="gramEnd"/>
      <w:r w:rsidRPr="00DE3AC1">
        <w:t xml:space="preserve"> of exemption</w:t>
      </w:r>
      <w:bookmarkEnd w:id="8"/>
      <w:r w:rsidRPr="00DE3AC1">
        <w:tab/>
      </w:r>
    </w:p>
    <w:p w14:paraId="395AE3F6" w14:textId="77777777" w:rsidR="0070106C" w:rsidRPr="00DE3AC1" w:rsidRDefault="0070106C" w:rsidP="0070106C">
      <w:pPr>
        <w:pStyle w:val="subsection"/>
      </w:pPr>
      <w:r w:rsidRPr="00DE3AC1">
        <w:tab/>
      </w:r>
      <w:r w:rsidRPr="00DE3AC1">
        <w:tab/>
        <w:t>The conditions at clause 4 of the Schedule are specified for the purposes of subsection 37(2) of the Act.</w:t>
      </w:r>
    </w:p>
    <w:p w14:paraId="42EA412D" w14:textId="77777777" w:rsidR="0070106C" w:rsidRPr="00DE3AC1" w:rsidRDefault="0070106C" w:rsidP="0070106C">
      <w:pPr>
        <w:pStyle w:val="notetext"/>
      </w:pPr>
    </w:p>
    <w:p w14:paraId="2FD32DC5" w14:textId="77777777" w:rsidR="0070106C" w:rsidRPr="00DE3AC1" w:rsidRDefault="0070106C" w:rsidP="0070106C">
      <w:pPr>
        <w:spacing w:line="240" w:lineRule="auto"/>
        <w:rPr>
          <w:rFonts w:eastAsia="Times New Roman" w:cs="Times New Roman"/>
          <w:lang w:eastAsia="en-AU"/>
        </w:rPr>
      </w:pPr>
      <w:r w:rsidRPr="00DE3AC1">
        <w:br w:type="page"/>
      </w:r>
    </w:p>
    <w:p w14:paraId="538FB0E9" w14:textId="77777777" w:rsidR="0070106C" w:rsidRPr="00DE3AC1" w:rsidRDefault="0070106C" w:rsidP="0070106C">
      <w:pPr>
        <w:pStyle w:val="ActHead6"/>
      </w:pPr>
      <w:bookmarkStart w:id="9" w:name="_Toc56439300"/>
      <w:r w:rsidRPr="00DE3AC1">
        <w:lastRenderedPageBreak/>
        <w:t>Schedule 1—Exemption and condition of exemption</w:t>
      </w:r>
      <w:bookmarkEnd w:id="9"/>
    </w:p>
    <w:p w14:paraId="4A82CC63" w14:textId="77777777" w:rsidR="0070106C" w:rsidRPr="00DE3AC1" w:rsidRDefault="0070106C" w:rsidP="0070106C">
      <w:pPr>
        <w:pStyle w:val="ItemHead"/>
      </w:pPr>
      <w:proofErr w:type="gramStart"/>
      <w:r w:rsidRPr="00DE3AC1">
        <w:t>1  Specification</w:t>
      </w:r>
      <w:proofErr w:type="gramEnd"/>
      <w:r w:rsidRPr="00DE3AC1">
        <w:t xml:space="preserve"> of exempt models</w:t>
      </w:r>
    </w:p>
    <w:p w14:paraId="16E7C177" w14:textId="77777777" w:rsidR="0070106C" w:rsidRPr="00DE3AC1" w:rsidRDefault="0070106C" w:rsidP="0070106C">
      <w:pPr>
        <w:pStyle w:val="TableHeading"/>
        <w:rPr>
          <w:rFonts w:eastAsia="Calibri"/>
        </w:rPr>
      </w:pPr>
    </w:p>
    <w:tbl>
      <w:tblPr>
        <w:tblStyle w:val="TableGrid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1"/>
        <w:gridCol w:w="1843"/>
        <w:gridCol w:w="708"/>
        <w:gridCol w:w="2552"/>
        <w:gridCol w:w="142"/>
      </w:tblGrid>
      <w:tr w:rsidR="00957B9D" w:rsidRPr="00DE3AC1" w14:paraId="39664C76" w14:textId="77777777" w:rsidTr="00957B9D">
        <w:trPr>
          <w:gridAfter w:val="1"/>
          <w:wAfter w:w="142" w:type="dxa"/>
          <w:cantSplit/>
          <w:tblHeader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26F9C43E" w14:textId="77777777" w:rsidR="00957B9D" w:rsidRPr="00DE3AC1" w:rsidRDefault="00957B9D" w:rsidP="006C3911">
            <w:pPr>
              <w:pStyle w:val="TableHeading"/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EA5211" w14:textId="77777777" w:rsidR="00957B9D" w:rsidRPr="00DE3AC1" w:rsidRDefault="00957B9D" w:rsidP="006C3911">
            <w:pPr>
              <w:pStyle w:val="TableHeading"/>
            </w:pPr>
            <w:r w:rsidRPr="00DE3AC1">
              <w:t>Brand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65B4451" w14:textId="77777777" w:rsidR="00957B9D" w:rsidRPr="00DE3AC1" w:rsidRDefault="00957B9D" w:rsidP="006C3911">
            <w:pPr>
              <w:pStyle w:val="TableHeading"/>
            </w:pPr>
            <w:r w:rsidRPr="00DE3AC1">
              <w:t>Model Number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658D814" w14:textId="77777777" w:rsidR="00957B9D" w:rsidRPr="00DE3AC1" w:rsidRDefault="00957B9D" w:rsidP="006C3911">
            <w:pPr>
              <w:pStyle w:val="TableHeading"/>
            </w:pPr>
            <w:r w:rsidRPr="00DE3AC1">
              <w:t>Description</w:t>
            </w:r>
          </w:p>
        </w:tc>
      </w:tr>
      <w:tr w:rsidR="00957B9D" w:rsidRPr="00DE3AC1" w14:paraId="173AAACE" w14:textId="77777777" w:rsidTr="00957B9D">
        <w:trPr>
          <w:gridAfter w:val="1"/>
          <w:wAfter w:w="142" w:type="dxa"/>
          <w:cantSplit/>
        </w:trPr>
        <w:tc>
          <w:tcPr>
            <w:tcW w:w="425" w:type="dxa"/>
            <w:tcBorders>
              <w:top w:val="single" w:sz="18" w:space="0" w:color="auto"/>
              <w:bottom w:val="single" w:sz="6" w:space="0" w:color="auto"/>
            </w:tcBorders>
          </w:tcPr>
          <w:p w14:paraId="24901280" w14:textId="77777777" w:rsidR="00957B9D" w:rsidRPr="00DE3AC1" w:rsidRDefault="00957B9D" w:rsidP="006C3911">
            <w:pPr>
              <w:pStyle w:val="Tabletext"/>
              <w:spacing w:after="96"/>
              <w:jc w:val="center"/>
            </w:pPr>
            <w:r w:rsidRPr="00DE3AC1">
              <w:t>1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62284DA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Fisher &amp; Paykel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54F7C8F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DD60DTX6I1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56A39DD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Double Dish Drawer dishwasher – integrated, panel ready, tall</w:t>
            </w:r>
          </w:p>
        </w:tc>
      </w:tr>
      <w:tr w:rsidR="00957B9D" w:rsidRPr="00DE3AC1" w14:paraId="7D2FA187" w14:textId="77777777" w:rsidTr="00957B9D">
        <w:trPr>
          <w:gridAfter w:val="1"/>
          <w:wAfter w:w="142" w:type="dxa"/>
          <w:cantSplit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0B75A4E" w14:textId="77777777" w:rsidR="00957B9D" w:rsidRPr="00DE3AC1" w:rsidRDefault="00957B9D" w:rsidP="006C3911">
            <w:pPr>
              <w:pStyle w:val="Tabletext"/>
              <w:tabs>
                <w:tab w:val="left" w:pos="222"/>
              </w:tabs>
              <w:spacing w:after="96"/>
              <w:jc w:val="center"/>
            </w:pPr>
            <w:r w:rsidRPr="00DE3AC1"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04863" w14:textId="77777777" w:rsidR="00957B9D" w:rsidRPr="00DE3AC1" w:rsidRDefault="00957B9D" w:rsidP="006C3911">
            <w:pPr>
              <w:pStyle w:val="Tabletext"/>
              <w:tabs>
                <w:tab w:val="left" w:pos="222"/>
              </w:tabs>
              <w:spacing w:after="96"/>
            </w:pPr>
            <w:r w:rsidRPr="00DE3AC1">
              <w:t>Fisher &amp; Paykel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5E6F0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DD60DTX6CX1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7163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Double Dish Drawer dishwasher– stainless steel, recessed handle, tall</w:t>
            </w:r>
          </w:p>
        </w:tc>
      </w:tr>
      <w:tr w:rsidR="00957B9D" w:rsidRPr="00DE3AC1" w14:paraId="087045EC" w14:textId="77777777" w:rsidTr="00957B9D">
        <w:trPr>
          <w:gridAfter w:val="1"/>
          <w:wAfter w:w="142" w:type="dxa"/>
          <w:cantSplit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754AB96" w14:textId="77777777" w:rsidR="00957B9D" w:rsidRPr="00DE3AC1" w:rsidRDefault="00957B9D" w:rsidP="006C3911">
            <w:pPr>
              <w:pStyle w:val="Tabletext"/>
              <w:spacing w:after="96"/>
              <w:jc w:val="center"/>
            </w:pPr>
            <w:r w:rsidRPr="00DE3AC1"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75090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Fisher &amp; Paykel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A918F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 xml:space="preserve">DD60STX6I1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EEE7E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Single Dish Drawer dishwasher - integrated, panel ready, tall</w:t>
            </w:r>
          </w:p>
        </w:tc>
      </w:tr>
      <w:tr w:rsidR="00957B9D" w:rsidRPr="00DE3AC1" w14:paraId="4BA002FF" w14:textId="77777777" w:rsidTr="00957B9D">
        <w:trPr>
          <w:gridAfter w:val="1"/>
          <w:wAfter w:w="142" w:type="dxa"/>
          <w:cantSplit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63722A9" w14:textId="77777777" w:rsidR="00957B9D" w:rsidRPr="00DE3AC1" w:rsidRDefault="00957B9D" w:rsidP="006C3911">
            <w:pPr>
              <w:pStyle w:val="Tabletext"/>
              <w:spacing w:after="96"/>
              <w:jc w:val="center"/>
            </w:pPr>
            <w:r w:rsidRPr="00DE3AC1"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98284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Fisher &amp; Paykel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0C29D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DD60STX6CX1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6F7DF" w14:textId="77777777" w:rsidR="00957B9D" w:rsidRPr="00DE3AC1" w:rsidRDefault="00957B9D" w:rsidP="006C3911">
            <w:pPr>
              <w:pStyle w:val="Tabletext"/>
              <w:spacing w:after="96"/>
            </w:pPr>
            <w:r w:rsidRPr="00DE3AC1">
              <w:t>Single Dish Drawer dishwasher– stainless steel, recessed handle, tall</w:t>
            </w:r>
          </w:p>
        </w:tc>
      </w:tr>
      <w:tr w:rsidR="002D5726" w:rsidRPr="00DE3AC1" w14:paraId="6EE3BA0C" w14:textId="77777777" w:rsidTr="00957B9D">
        <w:trPr>
          <w:cantSplit/>
          <w:tblHeader/>
        </w:trPr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60792B5" w14:textId="3A0CA2C5" w:rsidR="002D5726" w:rsidRPr="00DE3AC1" w:rsidRDefault="002D5726" w:rsidP="00A215CE">
            <w:pPr>
              <w:pStyle w:val="TableHeading"/>
            </w:pPr>
          </w:p>
        </w:tc>
        <w:tc>
          <w:tcPr>
            <w:tcW w:w="340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B93EAA4" w14:textId="11CD21E2" w:rsidR="002D5726" w:rsidRPr="00DE3AC1" w:rsidRDefault="002D5726" w:rsidP="00A215CE">
            <w:pPr>
              <w:pStyle w:val="TableHeading"/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49D7AF5" w14:textId="05998511" w:rsidR="002D5726" w:rsidRPr="00DE3AC1" w:rsidRDefault="002D5726" w:rsidP="00A215CE">
            <w:pPr>
              <w:pStyle w:val="TableHeading"/>
            </w:pPr>
          </w:p>
        </w:tc>
      </w:tr>
      <w:tr w:rsidR="002D5726" w:rsidRPr="00DE3AC1" w14:paraId="41670A52" w14:textId="77777777" w:rsidTr="00957B9D">
        <w:trPr>
          <w:cantSplit/>
        </w:trPr>
        <w:tc>
          <w:tcPr>
            <w:tcW w:w="155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451E108" w14:textId="3AB0DAE4" w:rsidR="002D5726" w:rsidRPr="00DE3AC1" w:rsidRDefault="002D5726" w:rsidP="00A215CE">
            <w:pPr>
              <w:pStyle w:val="Tabletext"/>
              <w:spacing w:after="96"/>
            </w:pPr>
          </w:p>
        </w:tc>
        <w:tc>
          <w:tcPr>
            <w:tcW w:w="340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432AE66" w14:textId="2DCA2968" w:rsidR="002D5726" w:rsidRPr="00DE3AC1" w:rsidRDefault="002D5726" w:rsidP="00A215CE">
            <w:pPr>
              <w:pStyle w:val="Tabletext"/>
              <w:spacing w:after="96"/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7594543" w14:textId="3FA346AF" w:rsidR="002D5726" w:rsidRPr="00DE3AC1" w:rsidRDefault="002D5726" w:rsidP="00A215CE">
            <w:pPr>
              <w:pStyle w:val="Tabletext"/>
              <w:spacing w:after="96"/>
            </w:pPr>
          </w:p>
        </w:tc>
      </w:tr>
    </w:tbl>
    <w:p w14:paraId="5B52571A" w14:textId="77777777" w:rsidR="0070106C" w:rsidRPr="00DE3AC1" w:rsidRDefault="0070106C" w:rsidP="0070106C">
      <w:pPr>
        <w:pStyle w:val="Item"/>
      </w:pPr>
    </w:p>
    <w:p w14:paraId="00E4732A" w14:textId="77777777" w:rsidR="0070106C" w:rsidRPr="00DE3AC1" w:rsidRDefault="0070106C" w:rsidP="0070106C">
      <w:pPr>
        <w:pStyle w:val="ItemHead"/>
      </w:pPr>
      <w:proofErr w:type="gramStart"/>
      <w:r w:rsidRPr="00DE3AC1">
        <w:t>2  Requirements</w:t>
      </w:r>
      <w:proofErr w:type="gramEnd"/>
      <w:r w:rsidRPr="00DE3AC1">
        <w:t xml:space="preserve"> from which the models are exempt</w:t>
      </w:r>
    </w:p>
    <w:p w14:paraId="5722C941" w14:textId="77777777" w:rsidR="0070106C" w:rsidRPr="00DE3AC1" w:rsidRDefault="0070106C" w:rsidP="0070106C">
      <w:pPr>
        <w:pStyle w:val="Item"/>
      </w:pPr>
    </w:p>
    <w:p w14:paraId="6C8FA8E4" w14:textId="77777777" w:rsidR="0070106C" w:rsidRPr="00DE3AC1" w:rsidRDefault="0070106C" w:rsidP="0070106C">
      <w:pPr>
        <w:pStyle w:val="Item"/>
      </w:pPr>
      <w:r w:rsidRPr="00DE3AC1">
        <w:t>Requirements of the Determination as follows:</w:t>
      </w:r>
    </w:p>
    <w:p w14:paraId="5E4F15CF" w14:textId="77777777" w:rsidR="0070106C" w:rsidRPr="00DE3AC1" w:rsidRDefault="0070106C" w:rsidP="0070106C">
      <w:pPr>
        <w:pStyle w:val="Item"/>
      </w:pPr>
    </w:p>
    <w:tbl>
      <w:tblPr>
        <w:tblStyle w:val="TableGrid"/>
        <w:tblW w:w="70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4111"/>
      </w:tblGrid>
      <w:tr w:rsidR="0070106C" w:rsidRPr="00DE3AC1" w14:paraId="6533B591" w14:textId="77777777" w:rsidTr="00A215CE">
        <w:trPr>
          <w:cantSplit/>
        </w:trPr>
        <w:tc>
          <w:tcPr>
            <w:tcW w:w="2939" w:type="dxa"/>
            <w:tcBorders>
              <w:top w:val="single" w:sz="18" w:space="0" w:color="auto"/>
              <w:bottom w:val="single" w:sz="2" w:space="0" w:color="auto"/>
            </w:tcBorders>
          </w:tcPr>
          <w:p w14:paraId="1B047E18" w14:textId="2202EE65" w:rsidR="0070106C" w:rsidRPr="00DE3AC1" w:rsidRDefault="0070106C" w:rsidP="00FD4B54">
            <w:pPr>
              <w:pStyle w:val="Tabletext"/>
              <w:spacing w:after="96"/>
            </w:pPr>
            <w:r w:rsidRPr="00DE3AC1">
              <w:t xml:space="preserve">GEMS </w:t>
            </w:r>
            <w:r w:rsidR="00FD4B54" w:rsidRPr="00DE3AC1">
              <w:t xml:space="preserve">labelling </w:t>
            </w:r>
            <w:r w:rsidRPr="00DE3AC1">
              <w:t xml:space="preserve">requirements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2" w:space="0" w:color="auto"/>
            </w:tcBorders>
          </w:tcPr>
          <w:p w14:paraId="166614AC" w14:textId="7C14D510" w:rsidR="00705145" w:rsidRPr="00DE3AC1" w:rsidRDefault="0070106C" w:rsidP="00473ED6">
            <w:pPr>
              <w:pStyle w:val="Tabletext"/>
              <w:spacing w:after="96"/>
            </w:pPr>
            <w:r w:rsidRPr="00DE3AC1">
              <w:t xml:space="preserve">The </w:t>
            </w:r>
            <w:r w:rsidR="00705145" w:rsidRPr="00DE3AC1">
              <w:t xml:space="preserve">identified </w:t>
            </w:r>
            <w:r w:rsidRPr="00DE3AC1">
              <w:t xml:space="preserve">models are exempted from the GEMS </w:t>
            </w:r>
            <w:r w:rsidR="00FD4B54" w:rsidRPr="00DE3AC1">
              <w:t xml:space="preserve">labelling </w:t>
            </w:r>
            <w:r w:rsidRPr="00DE3AC1">
              <w:t xml:space="preserve">requirement </w:t>
            </w:r>
            <w:r w:rsidR="002D5726" w:rsidRPr="00DE3AC1">
              <w:t xml:space="preserve">relating to the </w:t>
            </w:r>
            <w:r w:rsidR="00705145" w:rsidRPr="00DE3AC1">
              <w:t xml:space="preserve">use </w:t>
            </w:r>
            <w:r w:rsidR="00737D4F" w:rsidRPr="00DE3AC1">
              <w:t xml:space="preserve">of </w:t>
            </w:r>
            <w:r w:rsidR="00705145" w:rsidRPr="00DE3AC1">
              <w:t>the</w:t>
            </w:r>
            <w:r w:rsidR="00383C9B" w:rsidRPr="00DE3AC1">
              <w:t xml:space="preserve"> detergent </w:t>
            </w:r>
            <w:r w:rsidR="00473ED6" w:rsidRPr="00DE3AC1">
              <w:t>prescribed</w:t>
            </w:r>
            <w:r w:rsidR="00957B9D" w:rsidRPr="00DE3AC1">
              <w:t xml:space="preserve"> in the applicable requirements in section 2 of AS/NZS 2007.2:2005 </w:t>
            </w:r>
            <w:r w:rsidR="00383C9B" w:rsidRPr="00DE3AC1">
              <w:t xml:space="preserve">for </w:t>
            </w:r>
            <w:r w:rsidR="00752D7B" w:rsidRPr="00DE3AC1">
              <w:t>conducting tests under</w:t>
            </w:r>
            <w:r w:rsidR="00957B9D" w:rsidRPr="00DE3AC1">
              <w:t xml:space="preserve"> section 7(3) of the Determination </w:t>
            </w:r>
          </w:p>
        </w:tc>
      </w:tr>
    </w:tbl>
    <w:p w14:paraId="0BC96687" w14:textId="77777777" w:rsidR="0070106C" w:rsidRPr="00DE3AC1" w:rsidRDefault="0070106C" w:rsidP="0070106C">
      <w:pPr>
        <w:pStyle w:val="Item"/>
      </w:pPr>
    </w:p>
    <w:p w14:paraId="486EFD45" w14:textId="4C94E2F8" w:rsidR="0070106C" w:rsidRPr="00DE3AC1" w:rsidRDefault="0070106C" w:rsidP="007455EE">
      <w:pPr>
        <w:pStyle w:val="ItemHead"/>
        <w:tabs>
          <w:tab w:val="left" w:pos="6566"/>
        </w:tabs>
      </w:pPr>
      <w:proofErr w:type="gramStart"/>
      <w:r w:rsidRPr="00DE3AC1">
        <w:t>3  Supplies</w:t>
      </w:r>
      <w:proofErr w:type="gramEnd"/>
      <w:r w:rsidRPr="00DE3AC1">
        <w:t xml:space="preserve"> to which the exemption applies</w:t>
      </w:r>
      <w:r w:rsidR="007455EE" w:rsidRPr="00DE3AC1">
        <w:tab/>
      </w:r>
    </w:p>
    <w:p w14:paraId="64F70AB1" w14:textId="77777777" w:rsidR="0070106C" w:rsidRPr="00DE3AC1" w:rsidRDefault="0070106C" w:rsidP="0070106C">
      <w:pPr>
        <w:pStyle w:val="Item"/>
      </w:pPr>
    </w:p>
    <w:p w14:paraId="74622534" w14:textId="02E2A0A7" w:rsidR="0070106C" w:rsidRPr="00DE3AC1" w:rsidRDefault="0070106C" w:rsidP="0070106C">
      <w:pPr>
        <w:pStyle w:val="Item"/>
      </w:pPr>
      <w:r w:rsidRPr="00DE3AC1">
        <w:t>This exemption only applies in relation to the supply</w:t>
      </w:r>
      <w:r w:rsidR="00500DE1" w:rsidRPr="00DE3AC1">
        <w:t xml:space="preserve"> by Fisher and Paykel Australia Pty Ltd</w:t>
      </w:r>
      <w:r w:rsidRPr="00DE3AC1">
        <w:t xml:space="preserve"> </w:t>
      </w:r>
      <w:r w:rsidR="00E05BEC" w:rsidRPr="00DE3AC1">
        <w:t xml:space="preserve">ABN 71 000 042 080 </w:t>
      </w:r>
      <w:r w:rsidRPr="00DE3AC1">
        <w:t>of</w:t>
      </w:r>
      <w:r w:rsidR="00E303B3" w:rsidRPr="00DE3AC1">
        <w:t xml:space="preserve"> </w:t>
      </w:r>
      <w:r w:rsidR="00737D4F" w:rsidRPr="00DE3AC1">
        <w:t xml:space="preserve">Dish </w:t>
      </w:r>
      <w:r w:rsidR="00957B9D" w:rsidRPr="00DE3AC1">
        <w:t xml:space="preserve">Drawer </w:t>
      </w:r>
      <w:r w:rsidR="00737D4F" w:rsidRPr="00DE3AC1">
        <w:t>dishwashers</w:t>
      </w:r>
      <w:r w:rsidR="00E05BEC" w:rsidRPr="00DE3AC1">
        <w:t xml:space="preserve"> manufactured</w:t>
      </w:r>
      <w:r w:rsidR="00E303B3" w:rsidRPr="00DE3AC1">
        <w:t xml:space="preserve"> </w:t>
      </w:r>
      <w:r w:rsidR="00957B9D" w:rsidRPr="00DE3AC1">
        <w:t xml:space="preserve">by Fisher and Paykel </w:t>
      </w:r>
      <w:r w:rsidR="00752D7B" w:rsidRPr="00DE3AC1">
        <w:t>Australia Pty Ltd</w:t>
      </w:r>
      <w:r w:rsidR="00E05BEC" w:rsidRPr="00DE3AC1">
        <w:t xml:space="preserve"> ABN 71 000 042 080</w:t>
      </w:r>
      <w:r w:rsidR="00500DE1" w:rsidRPr="00DE3AC1">
        <w:t xml:space="preserve"> </w:t>
      </w:r>
      <w:r w:rsidRPr="00DE3AC1">
        <w:t>with the specifications set out in clause 1 of this Schedule.</w:t>
      </w:r>
    </w:p>
    <w:p w14:paraId="743A3439" w14:textId="4AE3265E" w:rsidR="0070106C" w:rsidRPr="00DE3AC1" w:rsidRDefault="007B21FC" w:rsidP="0070106C">
      <w:pPr>
        <w:pStyle w:val="ItemHead"/>
      </w:pPr>
      <w:r w:rsidRPr="00DE3AC1">
        <w:lastRenderedPageBreak/>
        <w:br/>
      </w:r>
      <w:r w:rsidRPr="00DE3AC1">
        <w:br/>
      </w:r>
      <w:r w:rsidRPr="00DE3AC1">
        <w:br/>
      </w:r>
      <w:r w:rsidRPr="00DE3AC1">
        <w:br/>
      </w:r>
    </w:p>
    <w:p w14:paraId="77F2641E" w14:textId="178C4947" w:rsidR="0070106C" w:rsidRPr="00DE3AC1" w:rsidRDefault="0070106C" w:rsidP="0070106C">
      <w:pPr>
        <w:pStyle w:val="ItemHead"/>
        <w:spacing w:before="0"/>
      </w:pPr>
      <w:proofErr w:type="gramStart"/>
      <w:r w:rsidRPr="00DE3AC1">
        <w:t>4  Specification</w:t>
      </w:r>
      <w:proofErr w:type="gramEnd"/>
      <w:r w:rsidRPr="00DE3AC1">
        <w:t xml:space="preserve"> of condition of exemption</w:t>
      </w:r>
    </w:p>
    <w:p w14:paraId="28F7C504" w14:textId="77777777" w:rsidR="0070106C" w:rsidRPr="00DE3AC1" w:rsidRDefault="0070106C" w:rsidP="0070106C">
      <w:pPr>
        <w:pStyle w:val="Item"/>
      </w:pPr>
    </w:p>
    <w:p w14:paraId="444DF681" w14:textId="4B39CED5" w:rsidR="0070106C" w:rsidRPr="00894F14" w:rsidRDefault="0070106C" w:rsidP="0070106C">
      <w:pPr>
        <w:pStyle w:val="Item"/>
      </w:pPr>
      <w:r w:rsidRPr="00DE3AC1">
        <w:t>This exemption is sub</w:t>
      </w:r>
      <w:r w:rsidR="006E6CCE" w:rsidRPr="00DE3AC1">
        <w:t>ject to the condition</w:t>
      </w:r>
      <w:r w:rsidR="00894F14" w:rsidRPr="00DE3AC1">
        <w:t xml:space="preserve"> that</w:t>
      </w:r>
      <w:r w:rsidR="00383C9B" w:rsidRPr="00DE3AC1">
        <w:t xml:space="preserve"> Fisher &amp; Paykel </w:t>
      </w:r>
      <w:r w:rsidR="00752D7B" w:rsidRPr="00DE3AC1">
        <w:t xml:space="preserve">Australia Pty Ltd </w:t>
      </w:r>
      <w:r w:rsidR="00E05BEC" w:rsidRPr="00DE3AC1">
        <w:t xml:space="preserve">ABN 71 000 042 080 </w:t>
      </w:r>
      <w:r w:rsidR="00383C9B" w:rsidRPr="00DE3AC1">
        <w:t xml:space="preserve">use detergent IEC D as </w:t>
      </w:r>
      <w:r w:rsidR="00383C9B" w:rsidRPr="00DE3AC1">
        <w:rPr>
          <w:lang w:eastAsia="en-US"/>
        </w:rPr>
        <w:t xml:space="preserve">specified in Annex E of the international standard </w:t>
      </w:r>
      <w:r w:rsidR="00383C9B" w:rsidRPr="00DE3AC1">
        <w:rPr>
          <w:i/>
          <w:iCs/>
          <w:lang w:eastAsia="en-US"/>
        </w:rPr>
        <w:t>IEC 60436:2015 Electric dishwashers for household use - Methods for measuring the performance</w:t>
      </w:r>
      <w:r w:rsidR="00383C9B" w:rsidRPr="00DE3AC1">
        <w:rPr>
          <w:lang w:eastAsia="en-US"/>
        </w:rPr>
        <w:t xml:space="preserve"> </w:t>
      </w:r>
      <w:r w:rsidR="00383C9B" w:rsidRPr="00DE3AC1">
        <w:rPr>
          <w:i/>
          <w:iCs/>
          <w:lang w:eastAsia="en-US"/>
        </w:rPr>
        <w:t>(Edition 4)</w:t>
      </w:r>
      <w:r w:rsidR="00957B9D" w:rsidRPr="00DE3AC1">
        <w:rPr>
          <w:i/>
          <w:iCs/>
          <w:lang w:eastAsia="en-US"/>
        </w:rPr>
        <w:t xml:space="preserve"> </w:t>
      </w:r>
      <w:r w:rsidR="00891763" w:rsidRPr="00DE3AC1">
        <w:rPr>
          <w:iCs/>
          <w:lang w:eastAsia="en-US"/>
        </w:rPr>
        <w:t>when</w:t>
      </w:r>
      <w:r w:rsidR="00957B9D" w:rsidRPr="00DE3AC1">
        <w:rPr>
          <w:iCs/>
          <w:lang w:eastAsia="en-US"/>
        </w:rPr>
        <w:t xml:space="preserve"> </w:t>
      </w:r>
      <w:r w:rsidR="00752D7B" w:rsidRPr="00DE3AC1">
        <w:rPr>
          <w:iCs/>
          <w:lang w:eastAsia="en-US"/>
        </w:rPr>
        <w:t>conducting tests under section 7(3) of the Determination</w:t>
      </w:r>
      <w:r w:rsidR="00383C9B" w:rsidRPr="00DE3AC1">
        <w:rPr>
          <w:i/>
          <w:iCs/>
          <w:lang w:eastAsia="en-US"/>
        </w:rPr>
        <w:t>.</w:t>
      </w:r>
    </w:p>
    <w:sectPr w:rsidR="0070106C" w:rsidRPr="00894F14" w:rsidSect="00F60F13"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0A689" w14:textId="77777777" w:rsidR="00CB20D7" w:rsidRDefault="006E6CCE">
      <w:pPr>
        <w:spacing w:line="240" w:lineRule="auto"/>
      </w:pPr>
      <w:r>
        <w:separator/>
      </w:r>
    </w:p>
  </w:endnote>
  <w:endnote w:type="continuationSeparator" w:id="0">
    <w:p w14:paraId="4EAC2F2A" w14:textId="77777777" w:rsidR="00CB20D7" w:rsidRDefault="006E6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9173" w14:textId="77777777" w:rsidR="00454CF9" w:rsidRPr="002B0EA5" w:rsidRDefault="00DE3AC1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512C001D" w14:textId="77777777" w:rsidTr="00C450B5">
      <w:tc>
        <w:tcPr>
          <w:tcW w:w="365" w:type="pct"/>
        </w:tcPr>
        <w:p w14:paraId="2A6DEEC0" w14:textId="77777777" w:rsidR="00454CF9" w:rsidRDefault="00E303B3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6D0CE5" w14:textId="77777777" w:rsidR="00454CF9" w:rsidRDefault="00E303B3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5259C">
            <w:rPr>
              <w:i/>
              <w:noProof/>
              <w:sz w:val="18"/>
            </w:rPr>
            <w:t>Greenhouse and Energy Minimum Standards (Exemption) Instrument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094A288" w14:textId="77777777" w:rsidR="00454CF9" w:rsidRDefault="00DE3AC1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3891192C" w14:textId="77777777" w:rsidTr="00C450B5">
      <w:tc>
        <w:tcPr>
          <w:tcW w:w="5000" w:type="pct"/>
          <w:gridSpan w:val="3"/>
        </w:tcPr>
        <w:p w14:paraId="200D4808" w14:textId="77777777" w:rsidR="00454CF9" w:rsidRDefault="00DE3AC1" w:rsidP="00C450B5">
          <w:pPr>
            <w:jc w:val="right"/>
            <w:rPr>
              <w:sz w:val="18"/>
            </w:rPr>
          </w:pPr>
        </w:p>
      </w:tc>
    </w:tr>
  </w:tbl>
  <w:p w14:paraId="317F84A7" w14:textId="77777777" w:rsidR="00454CF9" w:rsidRPr="00ED79B6" w:rsidRDefault="00DE3AC1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230B7" w14:textId="77777777" w:rsidR="00F60F13" w:rsidRPr="002B0EA5" w:rsidRDefault="00DE3AC1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5D17DE5F" w14:textId="77777777" w:rsidTr="00C450B5">
      <w:tc>
        <w:tcPr>
          <w:tcW w:w="947" w:type="pct"/>
        </w:tcPr>
        <w:p w14:paraId="13439FD8" w14:textId="77777777" w:rsidR="00F60F13" w:rsidRDefault="00DE3AC1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57E043" w14:textId="0D882398" w:rsidR="00F60F13" w:rsidRPr="00F60F13" w:rsidRDefault="00E303B3" w:rsidP="00752D7B">
          <w:pPr>
            <w:spacing w:line="0" w:lineRule="atLeast"/>
            <w:jc w:val="center"/>
            <w:rPr>
              <w:i/>
              <w:sz w:val="18"/>
            </w:rPr>
          </w:pPr>
          <w:r w:rsidRPr="00F60F13">
            <w:rPr>
              <w:i/>
              <w:sz w:val="18"/>
            </w:rPr>
            <w:t xml:space="preserve">Greenhouse and Energy Minimum Standards (Exemption) Instrument (No. </w:t>
          </w:r>
          <w:r w:rsidR="00752D7B">
            <w:rPr>
              <w:i/>
              <w:sz w:val="18"/>
            </w:rPr>
            <w:t>1</w:t>
          </w:r>
          <w:r w:rsidRPr="00F60F13">
            <w:rPr>
              <w:i/>
              <w:sz w:val="18"/>
            </w:rPr>
            <w:t>) 20</w:t>
          </w:r>
          <w:r>
            <w:rPr>
              <w:i/>
              <w:sz w:val="18"/>
            </w:rPr>
            <w:t>2</w:t>
          </w:r>
          <w:r w:rsidR="00752D7B">
            <w:rPr>
              <w:i/>
              <w:sz w:val="18"/>
            </w:rPr>
            <w:t>1</w:t>
          </w:r>
        </w:p>
      </w:tc>
      <w:tc>
        <w:tcPr>
          <w:tcW w:w="365" w:type="pct"/>
        </w:tcPr>
        <w:p w14:paraId="5A43260E" w14:textId="77777777" w:rsidR="00F60F13" w:rsidRPr="00F60F13" w:rsidRDefault="00E303B3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DE3AC1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52D58EFC" w14:textId="77777777" w:rsidTr="00C450B5">
      <w:tc>
        <w:tcPr>
          <w:tcW w:w="5000" w:type="pct"/>
          <w:gridSpan w:val="3"/>
        </w:tcPr>
        <w:p w14:paraId="77BAC2F1" w14:textId="77777777" w:rsidR="00F60F13" w:rsidRDefault="00DE3AC1" w:rsidP="00C450B5">
          <w:pPr>
            <w:rPr>
              <w:sz w:val="18"/>
            </w:rPr>
          </w:pPr>
        </w:p>
      </w:tc>
    </w:tr>
  </w:tbl>
  <w:p w14:paraId="65DB4810" w14:textId="77777777" w:rsidR="00F60F13" w:rsidRPr="00ED79B6" w:rsidRDefault="00DE3AC1" w:rsidP="00C450B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266D" w14:textId="77777777" w:rsidR="00F60F13" w:rsidRPr="002B0EA5" w:rsidRDefault="00DE3AC1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00C9A78C" w14:textId="77777777" w:rsidTr="00C450B5">
      <w:tc>
        <w:tcPr>
          <w:tcW w:w="947" w:type="pct"/>
        </w:tcPr>
        <w:p w14:paraId="207A0C80" w14:textId="77777777" w:rsidR="00F60F13" w:rsidRDefault="00DE3AC1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3E495E" w14:textId="789C79F2" w:rsidR="00F60F13" w:rsidRDefault="00E303B3" w:rsidP="007455EE">
          <w:pPr>
            <w:spacing w:line="0" w:lineRule="atLeast"/>
            <w:jc w:val="center"/>
            <w:rPr>
              <w:sz w:val="18"/>
            </w:rPr>
          </w:pPr>
          <w:r w:rsidRPr="00F60F13">
            <w:rPr>
              <w:i/>
              <w:sz w:val="18"/>
            </w:rPr>
            <w:t>Greenhouse and Energy Minimum Standar</w:t>
          </w:r>
          <w:r w:rsidR="007C1C81">
            <w:rPr>
              <w:i/>
              <w:sz w:val="18"/>
            </w:rPr>
            <w:t xml:space="preserve">ds (Exemption) Instrument (No. </w:t>
          </w:r>
          <w:r w:rsidR="00752D7B">
            <w:rPr>
              <w:i/>
              <w:sz w:val="18"/>
            </w:rPr>
            <w:t>1</w:t>
          </w:r>
          <w:r w:rsidRPr="00F60F13">
            <w:rPr>
              <w:i/>
              <w:sz w:val="18"/>
            </w:rPr>
            <w:t>) 20</w:t>
          </w:r>
          <w:r>
            <w:rPr>
              <w:i/>
              <w:sz w:val="18"/>
            </w:rPr>
            <w:t>2</w:t>
          </w:r>
          <w:r w:rsidR="00752D7B">
            <w:rPr>
              <w:i/>
              <w:sz w:val="18"/>
            </w:rPr>
            <w:t>1</w:t>
          </w:r>
        </w:p>
      </w:tc>
      <w:tc>
        <w:tcPr>
          <w:tcW w:w="365" w:type="pct"/>
        </w:tcPr>
        <w:p w14:paraId="41915DD6" w14:textId="77777777" w:rsidR="00F60F13" w:rsidRDefault="00E303B3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DE3AC1">
            <w:rPr>
              <w:noProof/>
              <w:sz w:val="18"/>
            </w:rPr>
            <w:t>2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0ED45DE4" w14:textId="77777777" w:rsidTr="00C450B5">
      <w:tc>
        <w:tcPr>
          <w:tcW w:w="5000" w:type="pct"/>
          <w:gridSpan w:val="3"/>
        </w:tcPr>
        <w:p w14:paraId="532D604D" w14:textId="77777777" w:rsidR="00F60F13" w:rsidRDefault="00DE3AC1" w:rsidP="00C450B5">
          <w:pPr>
            <w:rPr>
              <w:sz w:val="18"/>
            </w:rPr>
          </w:pPr>
        </w:p>
      </w:tc>
    </w:tr>
  </w:tbl>
  <w:p w14:paraId="0422B2B2" w14:textId="77777777" w:rsidR="00F60F13" w:rsidRPr="00ED79B6" w:rsidRDefault="00DE3AC1" w:rsidP="00C450B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51E0E" w14:textId="77777777" w:rsidR="00CB20D7" w:rsidRDefault="006E6CCE">
      <w:pPr>
        <w:spacing w:line="240" w:lineRule="auto"/>
      </w:pPr>
      <w:r>
        <w:separator/>
      </w:r>
    </w:p>
  </w:footnote>
  <w:footnote w:type="continuationSeparator" w:id="0">
    <w:p w14:paraId="2C7F1DA9" w14:textId="77777777" w:rsidR="00CB20D7" w:rsidRDefault="006E6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58D2F" w14:textId="77777777" w:rsidR="00454CF9" w:rsidRDefault="00DE3AC1" w:rsidP="00715914">
    <w:pPr>
      <w:rPr>
        <w:sz w:val="20"/>
      </w:rPr>
    </w:pPr>
  </w:p>
  <w:p w14:paraId="34761C1E" w14:textId="77777777" w:rsidR="00454CF9" w:rsidRDefault="00DE3AC1" w:rsidP="00715914">
    <w:pPr>
      <w:rPr>
        <w:sz w:val="20"/>
      </w:rPr>
    </w:pPr>
  </w:p>
  <w:p w14:paraId="32216EC9" w14:textId="77777777" w:rsidR="00454CF9" w:rsidRPr="007A1328" w:rsidRDefault="00DE3AC1" w:rsidP="00715914">
    <w:pPr>
      <w:rPr>
        <w:sz w:val="20"/>
      </w:rPr>
    </w:pPr>
  </w:p>
  <w:p w14:paraId="47A3DE39" w14:textId="77777777" w:rsidR="00454CF9" w:rsidRPr="007A1328" w:rsidRDefault="00DE3AC1" w:rsidP="00715914">
    <w:pPr>
      <w:rPr>
        <w:b/>
        <w:sz w:val="24"/>
      </w:rPr>
    </w:pPr>
  </w:p>
  <w:p w14:paraId="74911C4D" w14:textId="77777777" w:rsidR="00454CF9" w:rsidRPr="007A1328" w:rsidRDefault="00DE3AC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338F6" w14:textId="77777777" w:rsidR="00454CF9" w:rsidRPr="007A1328" w:rsidRDefault="00DE3AC1" w:rsidP="00715914">
    <w:pPr>
      <w:jc w:val="right"/>
      <w:rPr>
        <w:sz w:val="20"/>
      </w:rPr>
    </w:pPr>
  </w:p>
  <w:p w14:paraId="3C4CF056" w14:textId="77777777" w:rsidR="00454CF9" w:rsidRPr="007A1328" w:rsidRDefault="00DE3AC1" w:rsidP="00715914">
    <w:pPr>
      <w:jc w:val="right"/>
      <w:rPr>
        <w:sz w:val="20"/>
      </w:rPr>
    </w:pPr>
  </w:p>
  <w:p w14:paraId="6EACEB35" w14:textId="77777777" w:rsidR="00454CF9" w:rsidRPr="007A1328" w:rsidRDefault="00DE3AC1" w:rsidP="00715914">
    <w:pPr>
      <w:jc w:val="right"/>
      <w:rPr>
        <w:sz w:val="20"/>
      </w:rPr>
    </w:pPr>
  </w:p>
  <w:p w14:paraId="7AC83388" w14:textId="77777777" w:rsidR="00454CF9" w:rsidRPr="007A1328" w:rsidRDefault="00DE3AC1" w:rsidP="00715914">
    <w:pPr>
      <w:jc w:val="right"/>
      <w:rPr>
        <w:b/>
        <w:sz w:val="24"/>
      </w:rPr>
    </w:pPr>
  </w:p>
  <w:p w14:paraId="6D6DDC2B" w14:textId="77777777" w:rsidR="00454CF9" w:rsidRPr="007A1328" w:rsidRDefault="00DE3AC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5B8C"/>
    <w:multiLevelType w:val="hybridMultilevel"/>
    <w:tmpl w:val="89F4C2A6"/>
    <w:lvl w:ilvl="0" w:tplc="1C5434C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4FCA2FC">
      <w:start w:val="1"/>
      <w:numFmt w:val="lowerLetter"/>
      <w:lvlText w:val="(%3)"/>
      <w:lvlJc w:val="left"/>
      <w:pPr>
        <w:ind w:left="2689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6C"/>
    <w:rsid w:val="00051C95"/>
    <w:rsid w:val="0025259C"/>
    <w:rsid w:val="00264429"/>
    <w:rsid w:val="002D5726"/>
    <w:rsid w:val="00367F4C"/>
    <w:rsid w:val="00383C9B"/>
    <w:rsid w:val="00473ED6"/>
    <w:rsid w:val="004D7FE2"/>
    <w:rsid w:val="00500DE1"/>
    <w:rsid w:val="00586E7E"/>
    <w:rsid w:val="006E6CCE"/>
    <w:rsid w:val="006F1C0F"/>
    <w:rsid w:val="006F39E2"/>
    <w:rsid w:val="0070106C"/>
    <w:rsid w:val="00705145"/>
    <w:rsid w:val="00737D4F"/>
    <w:rsid w:val="007455EE"/>
    <w:rsid w:val="00752D7B"/>
    <w:rsid w:val="007B21FC"/>
    <w:rsid w:val="007C1C81"/>
    <w:rsid w:val="00891763"/>
    <w:rsid w:val="00894F14"/>
    <w:rsid w:val="008D02BD"/>
    <w:rsid w:val="00927C66"/>
    <w:rsid w:val="009339D4"/>
    <w:rsid w:val="00957B9D"/>
    <w:rsid w:val="009F1424"/>
    <w:rsid w:val="00A818BD"/>
    <w:rsid w:val="00A90FF5"/>
    <w:rsid w:val="00AB4C4A"/>
    <w:rsid w:val="00B0629A"/>
    <w:rsid w:val="00B60829"/>
    <w:rsid w:val="00BB299E"/>
    <w:rsid w:val="00C30880"/>
    <w:rsid w:val="00CB20D7"/>
    <w:rsid w:val="00D06FAF"/>
    <w:rsid w:val="00D21064"/>
    <w:rsid w:val="00DA4EF1"/>
    <w:rsid w:val="00DE3AC1"/>
    <w:rsid w:val="00E05BEC"/>
    <w:rsid w:val="00E303B3"/>
    <w:rsid w:val="00E63471"/>
    <w:rsid w:val="00E8207C"/>
    <w:rsid w:val="00EB2C64"/>
    <w:rsid w:val="00FD4B54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FA88"/>
  <w15:chartTrackingRefBased/>
  <w15:docId w15:val="{D8E777FF-252A-4601-B112-6AD6C000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106C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0106C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0106C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0106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70106C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70106C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70106C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0106C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0106C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qFormat/>
    <w:rsid w:val="0070106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106C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106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table" w:styleId="TableGrid">
    <w:name w:val="Table Grid"/>
    <w:basedOn w:val="TableNormal"/>
    <w:rsid w:val="0070106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0106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0106C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0106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106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106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CC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C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1C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81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C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81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18" ma:contentTypeDescription="Create a new document." ma:contentTypeScope="" ma:versionID="64d7b7d6d939a7b3a2ff23262724d7ea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targetNamespace="http://schemas.microsoft.com/office/2006/metadata/properties" ma:root="true" ma:fieldsID="41c510b1cc95065bbcc58f79fc929b27" ns1:_="" ns2:_="" ns3:_="">
    <xsd:import namespace="http://schemas.microsoft.com/sharepoint/v3"/>
    <xsd:import namespace="a36bd50b-1532-4c22-b385-5c082c960938"/>
    <xsd:import namespace="d92934b5-032c-4da3-958e-788fdb9771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b293e574d31a4f65aba73b2d9d7bec1c" minOccurs="0"/>
                <xsd:element ref="ns3:a674526ffa164a9fae690c035aaec5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Product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b293e574d31a4f65aba73b2d9d7bec1c" ma:index="26" nillable="true" ma:taxonomy="true" ma:internalName="b293e574d31a4f65aba73b2d9d7bec1c" ma:taxonomyFieldName="DocHub_GemsExemptionOrganisations" ma:displayName="Organisation" ma:indexed="true" ma:default="" ma:fieldId="{b293e574-d31a-4f65-aba7-3b2d9d7bec1c}" ma:sspId="fb0313f7-9433-48c0-866e-9e0bbee59a50" ma:termSetId="68b470fb-d62c-446d-85c8-06182e6e8058" ma:anchorId="38cb9afa-07c7-43a1-b52d-db5be6a4c173" ma:open="true" ma:isKeyword="false">
      <xsd:complexType>
        <xsd:sequence>
          <xsd:element ref="pc:Terms" minOccurs="0" maxOccurs="1"/>
        </xsd:sequence>
      </xsd:complexType>
    </xsd:element>
    <xsd:element name="a674526ffa164a9fae690c035aaec556" ma:index="28" nillable="true" ma:taxonomy="true" ma:internalName="a674526ffa164a9fae690c035aaec556" ma:taxonomyFieldName="DocHub_GemsExemptionIDNo" ma:displayName="ID No" ma:indexed="true" ma:default="" ma:fieldId="{a674526f-fa16-4a9f-ae69-0c035aaec556}" ma:sspId="fb0313f7-9433-48c0-866e-9e0bbee59a50" ma:termSetId="68b470fb-d62c-446d-85c8-06182e6e8058" ma:anchorId="01d0d6b9-cd18-4d73-bc47-6d305f515c5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Legislative Instrument</TermName>
          <TermId>edbe159b-95f5-40e7-bf23-9dfb62f2e7f0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TaxCatchAll xmlns="a36bd50b-1532-4c22-b385-5c082c960938">
      <Value>5</Value>
      <Value>155</Value>
      <Value>275</Value>
      <Value>1</Value>
    </TaxCatchAll>
    <leb4c332ed06408dafad04730a3b9e00 xmlns="d92934b5-032c-4da3-958e-788fdb9771c1">
      <Terms xmlns="http://schemas.microsoft.com/office/infopath/2007/PartnerControls"/>
    </leb4c332ed06408dafad04730a3b9e00>
    <Comments xmlns="http://schemas.microsoft.com/sharepoint/v3">Hewlett Packard Exemption instrument 2020</Comments>
    <a674526ffa164a9fae690c035aaec556 xmlns="d92934b5-032c-4da3-958e-788fdb9771c1">
      <Terms xmlns="http://schemas.microsoft.com/office/infopath/2007/PartnerControls"/>
    </a674526ffa164a9fae690c035aaec556>
    <b293e574d31a4f65aba73b2d9d7bec1c xmlns="d92934b5-032c-4da3-958e-788fdb9771c1">
      <Terms xmlns="http://schemas.microsoft.com/office/infopath/2007/PartnerControls"/>
    </b293e574d31a4f65aba73b2d9d7bec1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33CD-D28B-4DB8-8737-CF0B3DC5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9188E-698A-49AC-A138-7B2BF06C06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239E41-B60F-4B48-B21B-F0F990439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CAABD-DF51-477B-BD85-2325294199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E949FC5-C48C-4B4E-9AC2-E5078864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Ang, Gi-gi</dc:creator>
  <cp:keywords/>
  <dc:description/>
  <cp:lastModifiedBy>Roberts, Anna</cp:lastModifiedBy>
  <cp:revision>3</cp:revision>
  <cp:lastPrinted>2020-12-15T04:33:00Z</cp:lastPrinted>
  <dcterms:created xsi:type="dcterms:W3CDTF">2021-01-06T02:02:00Z</dcterms:created>
  <dcterms:modified xsi:type="dcterms:W3CDTF">2021-01-07T06:47:00Z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GemsLegalSubjects">
    <vt:lpwstr/>
  </property>
  <property fmtid="{D5CDD505-2E9C-101B-9397-08002B2CF9AE}" pid="4" name="DocHub_Year">
    <vt:lpwstr>5;#2020|6a3660c5-15bd-4052-a0a1-6237663b7600</vt:lpwstr>
  </property>
  <property fmtid="{D5CDD505-2E9C-101B-9397-08002B2CF9AE}" pid="5" name="DocHub_DocumentType">
    <vt:lpwstr>155;#Legislative Instrument|edbe159b-95f5-40e7-bf23-9dfb62f2e7f0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Keywords">
    <vt:lpwstr/>
  </property>
  <property fmtid="{D5CDD505-2E9C-101B-9397-08002B2CF9AE}" pid="8" name="DocHub_GemsPolicyProducts">
    <vt:lpwstr/>
  </property>
  <property fmtid="{D5CDD505-2E9C-101B-9397-08002B2CF9AE}" pid="9" name="DocHub_GemsLegalTopics">
    <vt:lpwstr/>
  </property>
  <property fmtid="{D5CDD505-2E9C-101B-9397-08002B2CF9AE}" pid="10" name="DocHub_WorkActivity">
    <vt:lpwstr>275;#Legislation and Regulation|6cbc66f5-f4a2-4565-a58b-d5f2d2ac9bd0</vt:lpwstr>
  </property>
  <property fmtid="{D5CDD505-2E9C-101B-9397-08002B2CF9AE}" pid="11" name="DocHub_GemsExemptionOrganisations">
    <vt:lpwstr/>
  </property>
  <property fmtid="{D5CDD505-2E9C-101B-9397-08002B2CF9AE}" pid="12" name="DocHub_GemsExemptionIDNo">
    <vt:lpwstr/>
  </property>
</Properties>
</file>