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948A7" w14:textId="77777777" w:rsidR="0048364F" w:rsidRPr="00E025AC" w:rsidRDefault="00193461" w:rsidP="0020300C">
      <w:pPr>
        <w:rPr>
          <w:sz w:val="28"/>
        </w:rPr>
      </w:pPr>
      <w:r w:rsidRPr="00E025AC">
        <w:rPr>
          <w:noProof/>
          <w:lang w:eastAsia="en-AU"/>
        </w:rPr>
        <w:drawing>
          <wp:inline distT="0" distB="0" distL="0" distR="0" wp14:anchorId="6DE91194" wp14:editId="21543B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51086" w14:textId="77777777" w:rsidR="0048364F" w:rsidRPr="00E025AC" w:rsidRDefault="0048364F" w:rsidP="0048364F">
      <w:pPr>
        <w:rPr>
          <w:sz w:val="19"/>
        </w:rPr>
      </w:pPr>
    </w:p>
    <w:p w14:paraId="4957C70F" w14:textId="4F4CCFC1" w:rsidR="0048364F" w:rsidRPr="00E025AC" w:rsidRDefault="004206B7" w:rsidP="0048364F">
      <w:pPr>
        <w:pStyle w:val="ShortT"/>
      </w:pPr>
      <w:r w:rsidRPr="00E025AC">
        <w:t>Autonomous Sanctions (Designated Persons and</w:t>
      </w:r>
      <w:r w:rsidR="00787781" w:rsidRPr="00E025AC">
        <w:t xml:space="preserve"> Entities and Declared Persons</w:t>
      </w:r>
      <w:r w:rsidR="004A5A16" w:rsidRPr="00E025AC">
        <w:t>—</w:t>
      </w:r>
      <w:r w:rsidR="00D55F06">
        <w:t>Libya</w:t>
      </w:r>
      <w:r w:rsidR="008728C3">
        <w:t>) Amendment (</w:t>
      </w:r>
      <w:r w:rsidR="00D83265">
        <w:t>Continuation of Effect</w:t>
      </w:r>
      <w:r w:rsidR="00372C86" w:rsidRPr="00E025AC">
        <w:t>) Instrument</w:t>
      </w:r>
      <w:r w:rsidR="008728C3">
        <w:t xml:space="preserve"> 202</w:t>
      </w:r>
      <w:r w:rsidR="00C61F6A">
        <w:t>0</w:t>
      </w:r>
    </w:p>
    <w:p w14:paraId="477C773F" w14:textId="77777777" w:rsidR="00F42641" w:rsidRPr="00E025AC" w:rsidRDefault="00F42641" w:rsidP="00086193">
      <w:pPr>
        <w:pStyle w:val="SignCoverPageStart"/>
        <w:rPr>
          <w:szCs w:val="22"/>
        </w:rPr>
      </w:pPr>
      <w:r w:rsidRPr="00E025AC">
        <w:rPr>
          <w:szCs w:val="22"/>
        </w:rPr>
        <w:t xml:space="preserve">I, </w:t>
      </w:r>
      <w:r w:rsidR="008728C3">
        <w:rPr>
          <w:szCs w:val="22"/>
        </w:rPr>
        <w:t>Marise Payne</w:t>
      </w:r>
      <w:r w:rsidRPr="00E025AC">
        <w:rPr>
          <w:szCs w:val="22"/>
        </w:rPr>
        <w:t>, Minister for Foreign Affairs, make the following instrument.</w:t>
      </w:r>
    </w:p>
    <w:p w14:paraId="0CF77BD7" w14:textId="4D698A9E" w:rsidR="00F42641" w:rsidRPr="00E025AC" w:rsidRDefault="00F42641" w:rsidP="00086193">
      <w:pPr>
        <w:keepNext/>
        <w:spacing w:before="300" w:line="240" w:lineRule="atLeast"/>
        <w:ind w:right="397"/>
        <w:jc w:val="both"/>
        <w:rPr>
          <w:szCs w:val="22"/>
        </w:rPr>
      </w:pPr>
      <w:r w:rsidRPr="00E025AC">
        <w:rPr>
          <w:szCs w:val="22"/>
        </w:rPr>
        <w:t>Dated</w:t>
      </w:r>
      <w:r w:rsidRPr="00E025AC">
        <w:rPr>
          <w:szCs w:val="22"/>
        </w:rPr>
        <w:tab/>
      </w:r>
      <w:r w:rsidR="003170C5">
        <w:rPr>
          <w:szCs w:val="22"/>
        </w:rPr>
        <w:t xml:space="preserve">  13 January 2021</w:t>
      </w:r>
      <w:r w:rsidRPr="00E025AC">
        <w:rPr>
          <w:szCs w:val="22"/>
        </w:rPr>
        <w:tab/>
      </w:r>
      <w:r w:rsidRPr="00E025AC">
        <w:rPr>
          <w:szCs w:val="22"/>
        </w:rPr>
        <w:tab/>
      </w:r>
      <w:r w:rsidRPr="00E025AC">
        <w:rPr>
          <w:szCs w:val="22"/>
        </w:rPr>
        <w:tab/>
      </w:r>
    </w:p>
    <w:p w14:paraId="0D569351" w14:textId="283D70AC" w:rsidR="00F42641" w:rsidRPr="00E025AC" w:rsidRDefault="008728C3" w:rsidP="00086193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Marise Payne</w:t>
      </w:r>
    </w:p>
    <w:p w14:paraId="4D5E4458" w14:textId="77777777" w:rsidR="00F42641" w:rsidRPr="00E025AC" w:rsidRDefault="00F42641" w:rsidP="00086193">
      <w:pPr>
        <w:pStyle w:val="SignCoverPageEnd"/>
        <w:rPr>
          <w:szCs w:val="22"/>
        </w:rPr>
      </w:pPr>
      <w:r w:rsidRPr="00E025AC">
        <w:rPr>
          <w:szCs w:val="22"/>
        </w:rPr>
        <w:t>Minister for Foreign Affairs</w:t>
      </w:r>
    </w:p>
    <w:p w14:paraId="3470CD78" w14:textId="77777777" w:rsidR="0048364F" w:rsidRPr="00E025AC" w:rsidRDefault="0048364F" w:rsidP="0048364F">
      <w:pPr>
        <w:sectPr w:rsidR="0048364F" w:rsidRPr="00E025AC" w:rsidSect="00E025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_GoBack"/>
      <w:bookmarkEnd w:id="0"/>
    </w:p>
    <w:p w14:paraId="668744D7" w14:textId="77777777" w:rsidR="00220A0C" w:rsidRPr="00E025AC" w:rsidRDefault="0048364F" w:rsidP="001716C3">
      <w:pPr>
        <w:rPr>
          <w:sz w:val="36"/>
        </w:rPr>
      </w:pPr>
      <w:r w:rsidRPr="00E025AC">
        <w:rPr>
          <w:sz w:val="36"/>
        </w:rPr>
        <w:lastRenderedPageBreak/>
        <w:t>Contents</w:t>
      </w:r>
    </w:p>
    <w:bookmarkStart w:id="1" w:name="BKCheck15B_2"/>
    <w:bookmarkEnd w:id="1"/>
    <w:p w14:paraId="08701FA8" w14:textId="0AC4FC95" w:rsidR="003258FF" w:rsidRDefault="00275D5E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fldChar w:fldCharType="begin"/>
      </w:r>
      <w:r>
        <w:instrText xml:space="preserve"> TOC </w:instrText>
      </w:r>
      <w:r w:rsidR="00D94F36">
        <w:instrText>\o "6-7</w:instrText>
      </w:r>
      <w:r>
        <w:instrText xml:space="preserve">" \t "ActHead 6,6,ActHead 7,6,ActHead 8,6,ActHead 5,7" </w:instrText>
      </w:r>
      <w:r>
        <w:fldChar w:fldCharType="separate"/>
      </w:r>
      <w:r w:rsidR="003258FF">
        <w:t>1  Name</w:t>
      </w:r>
      <w:r w:rsidR="003258FF">
        <w:tab/>
      </w:r>
      <w:r w:rsidR="003258FF">
        <w:fldChar w:fldCharType="begin"/>
      </w:r>
      <w:r w:rsidR="003258FF">
        <w:instrText xml:space="preserve"> PAGEREF _Toc54789037 \h </w:instrText>
      </w:r>
      <w:r w:rsidR="003258FF">
        <w:fldChar w:fldCharType="separate"/>
      </w:r>
      <w:r w:rsidR="00B45AD7">
        <w:t>1</w:t>
      </w:r>
      <w:r w:rsidR="003258FF">
        <w:fldChar w:fldCharType="end"/>
      </w:r>
    </w:p>
    <w:p w14:paraId="507B21A2" w14:textId="0E6A0C55" w:rsidR="003258FF" w:rsidRDefault="003258FF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t>2  Commencement</w:t>
      </w:r>
      <w:r>
        <w:tab/>
      </w:r>
      <w:r>
        <w:fldChar w:fldCharType="begin"/>
      </w:r>
      <w:r>
        <w:instrText xml:space="preserve"> PAGEREF _Toc54789038 \h </w:instrText>
      </w:r>
      <w:r>
        <w:fldChar w:fldCharType="separate"/>
      </w:r>
      <w:r w:rsidR="00B45AD7">
        <w:t>1</w:t>
      </w:r>
      <w:r>
        <w:fldChar w:fldCharType="end"/>
      </w:r>
    </w:p>
    <w:p w14:paraId="1EC62722" w14:textId="4A56CDE3" w:rsidR="003258FF" w:rsidRDefault="003258FF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t>3  Authority</w:t>
      </w:r>
      <w:r>
        <w:tab/>
      </w:r>
      <w:r>
        <w:fldChar w:fldCharType="begin"/>
      </w:r>
      <w:r>
        <w:instrText xml:space="preserve"> PAGEREF _Toc54789039 \h </w:instrText>
      </w:r>
      <w:r>
        <w:fldChar w:fldCharType="separate"/>
      </w:r>
      <w:r w:rsidR="00B45AD7">
        <w:t>1</w:t>
      </w:r>
      <w:r>
        <w:fldChar w:fldCharType="end"/>
      </w:r>
    </w:p>
    <w:p w14:paraId="32D810AE" w14:textId="546B35D6" w:rsidR="003258FF" w:rsidRDefault="003258FF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t>4  Schedules</w:t>
      </w:r>
      <w:r>
        <w:tab/>
      </w:r>
      <w:r>
        <w:fldChar w:fldCharType="begin"/>
      </w:r>
      <w:r>
        <w:instrText xml:space="preserve"> PAGEREF _Toc54789040 \h </w:instrText>
      </w:r>
      <w:r>
        <w:fldChar w:fldCharType="separate"/>
      </w:r>
      <w:r w:rsidR="00B45AD7">
        <w:t>1</w:t>
      </w:r>
      <w:r>
        <w:fldChar w:fldCharType="end"/>
      </w:r>
    </w:p>
    <w:p w14:paraId="2F44593A" w14:textId="77777777" w:rsidR="003258FF" w:rsidRPr="000415D7" w:rsidRDefault="003258FF" w:rsidP="003258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415D7">
        <w:rPr>
          <w:noProof/>
        </w:rPr>
        <w:t>Schedule</w:t>
      </w:r>
      <w:r>
        <w:rPr>
          <w:noProof/>
        </w:rPr>
        <w:t xml:space="preserve"> </w:t>
      </w:r>
      <w:r w:rsidRPr="000415D7">
        <w:rPr>
          <w:noProof/>
        </w:rPr>
        <w:t>1—Amendments</w:t>
      </w:r>
      <w:r w:rsidRPr="000415D7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2</w:t>
      </w:r>
    </w:p>
    <w:p w14:paraId="6C1FDD96" w14:textId="77777777" w:rsidR="003258FF" w:rsidRPr="000415D7" w:rsidRDefault="003258FF" w:rsidP="003258FF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 w:rsidRPr="000415D7">
        <w:t>Part</w:t>
      </w:r>
      <w:r>
        <w:t xml:space="preserve"> </w:t>
      </w:r>
      <w:r w:rsidRPr="000415D7">
        <w:t>1—</w:t>
      </w:r>
      <w:r>
        <w:rPr>
          <w:rStyle w:val="CharAmPartText"/>
        </w:rPr>
        <w:t>Continuation of effect of designations and declarations</w:t>
      </w:r>
      <w:r w:rsidRPr="000415D7">
        <w:rPr>
          <w:sz w:val="18"/>
        </w:rPr>
        <w:tab/>
      </w:r>
      <w:r>
        <w:rPr>
          <w:sz w:val="18"/>
        </w:rPr>
        <w:t>2</w:t>
      </w:r>
    </w:p>
    <w:p w14:paraId="1D84A354" w14:textId="2768959D" w:rsidR="003258FF" w:rsidRPr="000415D7" w:rsidRDefault="003258FF" w:rsidP="003258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415D7">
        <w:rPr>
          <w:noProof/>
        </w:rPr>
        <w:t xml:space="preserve">Autonomous Sanctions (Designated Persons and Entities and Declared Persons </w:t>
      </w:r>
      <w:r>
        <w:rPr>
          <w:noProof/>
        </w:rPr>
        <w:t>-</w:t>
      </w:r>
      <w:r w:rsidRPr="000415D7">
        <w:rPr>
          <w:noProof/>
        </w:rPr>
        <w:t xml:space="preserve"> </w:t>
      </w:r>
      <w:r w:rsidR="005D236F">
        <w:rPr>
          <w:noProof/>
        </w:rPr>
        <w:t>Libya</w:t>
      </w:r>
      <w:r w:rsidRPr="000415D7">
        <w:rPr>
          <w:noProof/>
        </w:rPr>
        <w:t>) List 2012</w:t>
      </w:r>
      <w:r w:rsidRPr="000415D7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3</w:t>
      </w:r>
    </w:p>
    <w:p w14:paraId="047A8D49" w14:textId="77777777" w:rsidR="003258FF" w:rsidRPr="000415D7" w:rsidRDefault="003258FF" w:rsidP="003258FF">
      <w:pPr>
        <w:pStyle w:val="TOC7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 w:rsidRPr="000415D7">
        <w:t>Part</w:t>
      </w:r>
      <w:r>
        <w:t xml:space="preserve"> </w:t>
      </w:r>
      <w:r w:rsidRPr="000415D7">
        <w:t>2—</w:t>
      </w:r>
      <w:r w:rsidRPr="00890941">
        <w:rPr>
          <w:rStyle w:val="CharAmPartText"/>
        </w:rPr>
        <w:t>Updated lists of designated and declared persons and designated entitie</w:t>
      </w:r>
      <w:r>
        <w:rPr>
          <w:rStyle w:val="CharAmPartText"/>
        </w:rPr>
        <w:t>s</w:t>
      </w:r>
      <w:r w:rsidRPr="000415D7">
        <w:rPr>
          <w:sz w:val="18"/>
        </w:rPr>
        <w:tab/>
      </w:r>
      <w:r>
        <w:rPr>
          <w:sz w:val="18"/>
        </w:rPr>
        <w:t>4</w:t>
      </w:r>
    </w:p>
    <w:p w14:paraId="6C8ACCBC" w14:textId="5E1ED0B2" w:rsidR="003258FF" w:rsidRPr="000415D7" w:rsidRDefault="003258FF" w:rsidP="003258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415D7">
        <w:rPr>
          <w:noProof/>
          <w:shd w:val="clear" w:color="auto" w:fill="FFFFFF"/>
        </w:rPr>
        <w:t xml:space="preserve">Autonomous Sanctions (Designated Persons and Entities and Declared Persons </w:t>
      </w:r>
      <w:r>
        <w:rPr>
          <w:noProof/>
          <w:shd w:val="clear" w:color="auto" w:fill="FFFFFF"/>
        </w:rPr>
        <w:t>-</w:t>
      </w:r>
      <w:r w:rsidRPr="000415D7">
        <w:rPr>
          <w:noProof/>
          <w:shd w:val="clear" w:color="auto" w:fill="FFFFFF"/>
        </w:rPr>
        <w:t xml:space="preserve"> </w:t>
      </w:r>
      <w:r w:rsidR="005D236F">
        <w:rPr>
          <w:noProof/>
          <w:shd w:val="clear" w:color="auto" w:fill="FFFFFF"/>
        </w:rPr>
        <w:t>Libya</w:t>
      </w:r>
      <w:r w:rsidRPr="000415D7">
        <w:rPr>
          <w:noProof/>
          <w:shd w:val="clear" w:color="auto" w:fill="FFFFFF"/>
        </w:rPr>
        <w:t>) List 2012</w:t>
      </w:r>
      <w:r w:rsidRPr="000415D7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4</w:t>
      </w:r>
    </w:p>
    <w:p w14:paraId="0AF50C2F" w14:textId="77777777" w:rsidR="0048364F" w:rsidRPr="00E025AC" w:rsidRDefault="00275D5E" w:rsidP="0048364F">
      <w:pPr>
        <w:sectPr w:rsidR="0048364F" w:rsidRPr="00E025AC" w:rsidSect="00E025A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rPr>
          <w:rFonts w:eastAsia="Times New Roman" w:cs="Times New Roman"/>
          <w:noProof/>
          <w:kern w:val="28"/>
          <w:sz w:val="24"/>
          <w:lang w:eastAsia="en-AU"/>
        </w:rPr>
        <w:fldChar w:fldCharType="end"/>
      </w:r>
    </w:p>
    <w:p w14:paraId="75E10AF6" w14:textId="77777777" w:rsidR="0048364F" w:rsidRPr="00E025AC" w:rsidRDefault="0048364F" w:rsidP="0048364F">
      <w:pPr>
        <w:pStyle w:val="ActHead5"/>
      </w:pPr>
      <w:bookmarkStart w:id="2" w:name="_Toc44419340"/>
      <w:bookmarkStart w:id="3" w:name="_Toc54789037"/>
      <w:proofErr w:type="gramStart"/>
      <w:r w:rsidRPr="00E025AC">
        <w:rPr>
          <w:rStyle w:val="CharSectno"/>
        </w:rPr>
        <w:lastRenderedPageBreak/>
        <w:t>1</w:t>
      </w:r>
      <w:r w:rsidRPr="00E025AC">
        <w:t xml:space="preserve">  </w:t>
      </w:r>
      <w:r w:rsidR="004F676E" w:rsidRPr="00E025AC">
        <w:t>Name</w:t>
      </w:r>
      <w:bookmarkEnd w:id="2"/>
      <w:bookmarkEnd w:id="3"/>
      <w:proofErr w:type="gramEnd"/>
    </w:p>
    <w:p w14:paraId="556E7FCB" w14:textId="035F5884" w:rsidR="0048364F" w:rsidRPr="00E025AC" w:rsidRDefault="0048364F" w:rsidP="0048364F">
      <w:pPr>
        <w:pStyle w:val="subsection"/>
      </w:pPr>
      <w:r w:rsidRPr="00E025AC">
        <w:tab/>
      </w:r>
      <w:r w:rsidRPr="00E025AC">
        <w:tab/>
      </w:r>
      <w:r w:rsidR="004206B7" w:rsidRPr="00E025AC">
        <w:t>This instrument is</w:t>
      </w:r>
      <w:r w:rsidRPr="00E025AC">
        <w:t xml:space="preserve"> the </w:t>
      </w:r>
      <w:r w:rsidR="009A497C" w:rsidRPr="009A497C">
        <w:rPr>
          <w:i/>
        </w:rPr>
        <w:t>Autonomous Sanctions (Designated Persons and Entities and Declared Persons—Libya) Amendment (Continuation of Effect) Instrument 2020</w:t>
      </w:r>
      <w:r w:rsidRPr="00E025AC">
        <w:t>.</w:t>
      </w:r>
    </w:p>
    <w:p w14:paraId="0B29757A" w14:textId="77777777" w:rsidR="004F676E" w:rsidRPr="00E025AC" w:rsidRDefault="0048364F" w:rsidP="005452CC">
      <w:pPr>
        <w:pStyle w:val="ActHead5"/>
      </w:pPr>
      <w:bookmarkStart w:id="4" w:name="_Toc44419341"/>
      <w:bookmarkStart w:id="5" w:name="_Toc54789038"/>
      <w:proofErr w:type="gramStart"/>
      <w:r w:rsidRPr="00E025AC">
        <w:rPr>
          <w:rStyle w:val="CharSectno"/>
        </w:rPr>
        <w:t>2</w:t>
      </w:r>
      <w:r w:rsidRPr="00E025AC">
        <w:t xml:space="preserve">  Commencement</w:t>
      </w:r>
      <w:bookmarkEnd w:id="4"/>
      <w:bookmarkEnd w:id="5"/>
      <w:proofErr w:type="gramEnd"/>
    </w:p>
    <w:p w14:paraId="508C7DEB" w14:textId="77777777" w:rsidR="005452CC" w:rsidRPr="00E025AC" w:rsidRDefault="005452CC" w:rsidP="00086193">
      <w:pPr>
        <w:pStyle w:val="subsection"/>
      </w:pPr>
      <w:r w:rsidRPr="00E025AC">
        <w:tab/>
        <w:t>(1)</w:t>
      </w:r>
      <w:r w:rsidRPr="00E025AC">
        <w:tab/>
        <w:t xml:space="preserve">Each provision of </w:t>
      </w:r>
      <w:r w:rsidR="004206B7" w:rsidRPr="00E025AC">
        <w:t>this instrument</w:t>
      </w:r>
      <w:r w:rsidRPr="00E025AC">
        <w:t xml:space="preserve"> specified in column 1 of the table commences, or is taken to have commenced, in accordance with column 2 of the table. Any other statement in column 2 has effect according to its terms.</w:t>
      </w:r>
    </w:p>
    <w:p w14:paraId="38C78DD8" w14:textId="77777777" w:rsidR="005452CC" w:rsidRPr="00E025AC" w:rsidRDefault="005452CC" w:rsidP="00086193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B5A2E" w:rsidRPr="000415D7" w14:paraId="5CB6A7FF" w14:textId="77777777" w:rsidTr="005B5A2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1AB1E50" w14:textId="77777777" w:rsidR="005B5A2E" w:rsidRPr="000415D7" w:rsidRDefault="005B5A2E" w:rsidP="00C61F6A">
            <w:pPr>
              <w:pStyle w:val="TableHeading"/>
            </w:pPr>
            <w:r w:rsidRPr="000415D7">
              <w:t>Commencement information</w:t>
            </w:r>
            <w:bookmarkStart w:id="6" w:name="BK_S3P1L15C25"/>
            <w:bookmarkEnd w:id="6"/>
          </w:p>
        </w:tc>
      </w:tr>
      <w:tr w:rsidR="005B5A2E" w:rsidRPr="000415D7" w14:paraId="569AC056" w14:textId="77777777" w:rsidTr="005B5A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57BFAB" w14:textId="77777777" w:rsidR="005B5A2E" w:rsidRPr="000415D7" w:rsidRDefault="005B5A2E" w:rsidP="00C61F6A">
            <w:pPr>
              <w:pStyle w:val="TableHeading"/>
            </w:pPr>
            <w:r w:rsidRPr="000415D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6101C0" w14:textId="77777777" w:rsidR="005B5A2E" w:rsidRPr="000415D7" w:rsidRDefault="005B5A2E" w:rsidP="00C61F6A">
            <w:pPr>
              <w:pStyle w:val="TableHeading"/>
            </w:pPr>
            <w:r w:rsidRPr="000415D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78CFB8A" w14:textId="77777777" w:rsidR="005B5A2E" w:rsidRPr="000415D7" w:rsidRDefault="005B5A2E" w:rsidP="00C61F6A">
            <w:pPr>
              <w:pStyle w:val="TableHeading"/>
            </w:pPr>
            <w:r w:rsidRPr="000415D7">
              <w:t>Column 3</w:t>
            </w:r>
          </w:p>
        </w:tc>
      </w:tr>
      <w:tr w:rsidR="005B5A2E" w:rsidRPr="000415D7" w14:paraId="046B081D" w14:textId="77777777" w:rsidTr="005B5A2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9D18FF7" w14:textId="77777777" w:rsidR="005B5A2E" w:rsidRPr="000415D7" w:rsidRDefault="005B5A2E" w:rsidP="00C61F6A">
            <w:pPr>
              <w:pStyle w:val="TableHeading"/>
            </w:pPr>
            <w:r w:rsidRPr="000415D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78CBFB6" w14:textId="77777777" w:rsidR="005B5A2E" w:rsidRPr="000415D7" w:rsidRDefault="005B5A2E" w:rsidP="00C61F6A">
            <w:pPr>
              <w:pStyle w:val="TableHeading"/>
            </w:pPr>
            <w:r w:rsidRPr="000415D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A37FCE" w14:textId="77777777" w:rsidR="005B5A2E" w:rsidRPr="000415D7" w:rsidRDefault="005B5A2E" w:rsidP="00C61F6A">
            <w:pPr>
              <w:pStyle w:val="TableHeading"/>
            </w:pPr>
            <w:r w:rsidRPr="000415D7">
              <w:t>Date/Details</w:t>
            </w:r>
          </w:p>
        </w:tc>
      </w:tr>
      <w:tr w:rsidR="005B5A2E" w:rsidRPr="000415D7" w14:paraId="18A723C1" w14:textId="77777777" w:rsidTr="005B5A2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1922E0D5" w14:textId="77777777" w:rsidR="005B5A2E" w:rsidRPr="000415D7" w:rsidRDefault="005B5A2E" w:rsidP="00C61F6A">
            <w:pPr>
              <w:pStyle w:val="Tabletext"/>
            </w:pPr>
            <w:r w:rsidRPr="000415D7">
              <w:t>1.  Sections</w:t>
            </w:r>
            <w:r>
              <w:t xml:space="preserve"> </w:t>
            </w:r>
            <w:r w:rsidRPr="000415D7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A1809DE" w14:textId="77777777" w:rsidR="005B5A2E" w:rsidRPr="000415D7" w:rsidRDefault="005B5A2E" w:rsidP="00C61F6A">
            <w:pPr>
              <w:pStyle w:val="Tabletext"/>
            </w:pPr>
            <w:r w:rsidRPr="000415D7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73F7638" w14:textId="77777777" w:rsidR="005B5A2E" w:rsidRPr="000415D7" w:rsidRDefault="005B5A2E" w:rsidP="00C61F6A">
            <w:pPr>
              <w:pStyle w:val="Tabletext"/>
            </w:pPr>
          </w:p>
        </w:tc>
      </w:tr>
      <w:tr w:rsidR="005B5A2E" w:rsidRPr="000415D7" w14:paraId="1FEE3257" w14:textId="77777777" w:rsidTr="005B5A2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5F135BAF" w14:textId="77777777" w:rsidR="005B5A2E" w:rsidRPr="000415D7" w:rsidRDefault="005B5A2E" w:rsidP="00C61F6A">
            <w:pPr>
              <w:pStyle w:val="Tabletext"/>
            </w:pPr>
            <w:r w:rsidRPr="000415D7">
              <w:t>2.  Schedule</w:t>
            </w:r>
            <w:r>
              <w:t xml:space="preserve"> </w:t>
            </w:r>
            <w:r w:rsidRPr="000415D7">
              <w:t>1, Part</w:t>
            </w:r>
            <w:r>
              <w:t xml:space="preserve"> </w:t>
            </w:r>
            <w:r w:rsidRPr="000415D7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04B127BD" w14:textId="77777777" w:rsidR="005B5A2E" w:rsidRPr="000415D7" w:rsidRDefault="005B5A2E" w:rsidP="00C61F6A">
            <w:pPr>
              <w:pStyle w:val="Tabletext"/>
            </w:pPr>
            <w:r w:rsidRPr="000415D7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1B4E2500" w14:textId="77777777" w:rsidR="005B5A2E" w:rsidRPr="000415D7" w:rsidRDefault="005B5A2E" w:rsidP="00C61F6A">
            <w:pPr>
              <w:pStyle w:val="Tabletext"/>
            </w:pPr>
          </w:p>
        </w:tc>
      </w:tr>
      <w:tr w:rsidR="005B5A2E" w:rsidRPr="000415D7" w14:paraId="688B0D07" w14:textId="77777777" w:rsidTr="005B5A2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00DF612" w14:textId="77777777" w:rsidR="005B5A2E" w:rsidRPr="000415D7" w:rsidRDefault="005B5A2E" w:rsidP="00C61F6A">
            <w:pPr>
              <w:pStyle w:val="Tabletext"/>
            </w:pPr>
            <w:r w:rsidRPr="000415D7">
              <w:t>3.  Schedule</w:t>
            </w:r>
            <w:r>
              <w:t xml:space="preserve"> </w:t>
            </w:r>
            <w:r w:rsidRPr="000415D7">
              <w:t>1, Part</w:t>
            </w:r>
            <w:r>
              <w:t xml:space="preserve"> </w:t>
            </w:r>
            <w:r w:rsidRPr="000415D7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A5C871" w14:textId="77777777" w:rsidR="005B5A2E" w:rsidRDefault="005B5A2E" w:rsidP="00C61F6A">
            <w:pPr>
              <w:pStyle w:val="Tabletext"/>
            </w:pPr>
            <w:r>
              <w:t>The later of:</w:t>
            </w:r>
          </w:p>
          <w:p w14:paraId="2D07377F" w14:textId="77777777" w:rsidR="005B5A2E" w:rsidRDefault="005B5A2E" w:rsidP="00C61F6A">
            <w:pPr>
              <w:pStyle w:val="Tabletext"/>
            </w:pPr>
            <w:r>
              <w:t>(a) the day after this instrument is registered; and</w:t>
            </w:r>
          </w:p>
          <w:p w14:paraId="08E8CF92" w14:textId="1220A2CC" w:rsidR="005B5A2E" w:rsidRPr="000415D7" w:rsidRDefault="005B5A2E" w:rsidP="00C61F6A">
            <w:pPr>
              <w:pStyle w:val="Tabletext"/>
            </w:pPr>
            <w:r>
              <w:t xml:space="preserve">(b) </w:t>
            </w:r>
            <w:r w:rsidR="00CF11BB">
              <w:t>7</w:t>
            </w:r>
            <w:r>
              <w:t xml:space="preserve"> February 2021.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6FC2A4" w14:textId="77777777" w:rsidR="005B5A2E" w:rsidRPr="000415D7" w:rsidRDefault="005B5A2E" w:rsidP="00C61F6A">
            <w:pPr>
              <w:pStyle w:val="Tabletext"/>
            </w:pPr>
          </w:p>
        </w:tc>
      </w:tr>
    </w:tbl>
    <w:p w14:paraId="6EE2ECEF" w14:textId="1848C81D" w:rsidR="00251683" w:rsidRDefault="00251683" w:rsidP="00D11247">
      <w:pPr>
        <w:pStyle w:val="notetext"/>
      </w:pPr>
      <w:r w:rsidRPr="000415D7">
        <w:rPr>
          <w:snapToGrid w:val="0"/>
          <w:lang w:eastAsia="en-US"/>
        </w:rPr>
        <w:t>Note:</w:t>
      </w:r>
      <w:r w:rsidRPr="000415D7">
        <w:rPr>
          <w:snapToGrid w:val="0"/>
          <w:lang w:eastAsia="en-US"/>
        </w:rPr>
        <w:tab/>
        <w:t>This table relates only to the provisions of this instrument</w:t>
      </w:r>
      <w:r w:rsidRPr="000415D7">
        <w:t xml:space="preserve"> </w:t>
      </w:r>
      <w:r w:rsidRPr="000415D7">
        <w:rPr>
          <w:snapToGrid w:val="0"/>
          <w:lang w:eastAsia="en-US"/>
        </w:rPr>
        <w:t>as originally made. It will not be amended to deal with any later amendments of this instrument.</w:t>
      </w:r>
    </w:p>
    <w:p w14:paraId="2BB8CE6A" w14:textId="55350A8F" w:rsidR="00432FCD" w:rsidRPr="00E025AC" w:rsidRDefault="005452CC" w:rsidP="00D90DD2">
      <w:pPr>
        <w:pStyle w:val="subsection"/>
      </w:pPr>
      <w:r w:rsidRPr="00E025AC">
        <w:tab/>
        <w:t>(2)</w:t>
      </w:r>
      <w:r w:rsidRPr="00E025AC">
        <w:tab/>
        <w:t xml:space="preserve">Any information in column 3 of the table is not part of </w:t>
      </w:r>
      <w:r w:rsidR="004206B7" w:rsidRPr="00E025AC">
        <w:t>this instrument</w:t>
      </w:r>
      <w:r w:rsidRPr="00E025AC">
        <w:t xml:space="preserve">. Information may be inserted in this column, or information in it may be edited, in any published version of </w:t>
      </w:r>
      <w:r w:rsidR="004206B7" w:rsidRPr="00E025AC">
        <w:t>this instrument</w:t>
      </w:r>
      <w:r w:rsidRPr="00E025AC">
        <w:t>.</w:t>
      </w:r>
    </w:p>
    <w:p w14:paraId="6BD38AC7" w14:textId="77777777" w:rsidR="00BF6650" w:rsidRPr="00E025AC" w:rsidRDefault="00BF6650" w:rsidP="00BF6650">
      <w:pPr>
        <w:pStyle w:val="ActHead5"/>
      </w:pPr>
      <w:bookmarkStart w:id="7" w:name="_Toc44419342"/>
      <w:bookmarkStart w:id="8" w:name="_Toc54789039"/>
      <w:proofErr w:type="gramStart"/>
      <w:r w:rsidRPr="00E025AC">
        <w:rPr>
          <w:rStyle w:val="CharSectno"/>
        </w:rPr>
        <w:t>3</w:t>
      </w:r>
      <w:r w:rsidRPr="00E025AC">
        <w:t xml:space="preserve">  Authority</w:t>
      </w:r>
      <w:bookmarkEnd w:id="7"/>
      <w:bookmarkEnd w:id="8"/>
      <w:proofErr w:type="gramEnd"/>
    </w:p>
    <w:p w14:paraId="2D7FDF11" w14:textId="2B446F36" w:rsidR="003604F6" w:rsidRPr="00E025AC" w:rsidRDefault="003604F6" w:rsidP="003604F6">
      <w:pPr>
        <w:pStyle w:val="subsection"/>
        <w:rPr>
          <w:i/>
        </w:rPr>
      </w:pPr>
      <w:r w:rsidRPr="00E025AC">
        <w:tab/>
      </w:r>
      <w:r w:rsidRPr="00E025AC">
        <w:tab/>
        <w:t xml:space="preserve">This instrument is made under </w:t>
      </w:r>
      <w:r w:rsidR="00251683">
        <w:t xml:space="preserve">paragraphs 6(1)(a) and (b) and </w:t>
      </w:r>
      <w:proofErr w:type="spellStart"/>
      <w:r w:rsidR="00D90DD2">
        <w:t>subregulation</w:t>
      </w:r>
      <w:proofErr w:type="spellEnd"/>
      <w:r w:rsidR="00D90DD2">
        <w:t xml:space="preserve"> 9(3) </w:t>
      </w:r>
      <w:r w:rsidRPr="00E025AC">
        <w:t xml:space="preserve">of the </w:t>
      </w:r>
      <w:r w:rsidRPr="00E025AC">
        <w:rPr>
          <w:i/>
        </w:rPr>
        <w:t>Autonomous Sanctions Regulations</w:t>
      </w:r>
      <w:r w:rsidR="00E025AC" w:rsidRPr="00E025AC">
        <w:rPr>
          <w:i/>
        </w:rPr>
        <w:t> </w:t>
      </w:r>
      <w:r w:rsidRPr="00E025AC">
        <w:rPr>
          <w:i/>
        </w:rPr>
        <w:t>2011.</w:t>
      </w:r>
    </w:p>
    <w:p w14:paraId="1D9D62E0" w14:textId="77777777" w:rsidR="00557C7A" w:rsidRPr="00E025AC" w:rsidRDefault="00BF6650" w:rsidP="00557C7A">
      <w:pPr>
        <w:pStyle w:val="ActHead5"/>
      </w:pPr>
      <w:bookmarkStart w:id="9" w:name="_Toc44419343"/>
      <w:bookmarkStart w:id="10" w:name="_Toc54789040"/>
      <w:proofErr w:type="gramStart"/>
      <w:r w:rsidRPr="00E025AC">
        <w:rPr>
          <w:rStyle w:val="CharSectno"/>
        </w:rPr>
        <w:t>4</w:t>
      </w:r>
      <w:r w:rsidR="00557C7A" w:rsidRPr="00E025AC">
        <w:t xml:space="preserve">  </w:t>
      </w:r>
      <w:r w:rsidR="00083F48" w:rsidRPr="00E025AC">
        <w:t>Schedules</w:t>
      </w:r>
      <w:bookmarkEnd w:id="9"/>
      <w:bookmarkEnd w:id="10"/>
      <w:proofErr w:type="gramEnd"/>
    </w:p>
    <w:p w14:paraId="39E6DABB" w14:textId="77777777" w:rsidR="00557C7A" w:rsidRPr="00E025AC" w:rsidRDefault="00557C7A" w:rsidP="00557C7A">
      <w:pPr>
        <w:pStyle w:val="subsection"/>
      </w:pPr>
      <w:r w:rsidRPr="00E025AC">
        <w:tab/>
      </w:r>
      <w:r w:rsidRPr="00E025AC">
        <w:tab/>
      </w:r>
      <w:r w:rsidR="00083F48" w:rsidRPr="00E025AC">
        <w:t xml:space="preserve">Each </w:t>
      </w:r>
      <w:r w:rsidR="00160BD7" w:rsidRPr="00E025AC">
        <w:t>instrument</w:t>
      </w:r>
      <w:r w:rsidR="00083F48" w:rsidRPr="00E025AC">
        <w:t xml:space="preserve"> that is specified in a Schedule to </w:t>
      </w:r>
      <w:r w:rsidR="004206B7" w:rsidRPr="00E025AC">
        <w:t>this instrument</w:t>
      </w:r>
      <w:r w:rsidR="00083F48" w:rsidRPr="00E025AC">
        <w:t xml:space="preserve"> is amended or repealed as set out in the applicable items in the Schedule concerned, and any other item in a Schedule to </w:t>
      </w:r>
      <w:r w:rsidR="004206B7" w:rsidRPr="00E025AC">
        <w:t>this instrument</w:t>
      </w:r>
      <w:r w:rsidR="00083F48" w:rsidRPr="00E025AC">
        <w:t xml:space="preserve"> has effect according to its terms.</w:t>
      </w:r>
    </w:p>
    <w:p w14:paraId="686209FA" w14:textId="77777777" w:rsidR="0048364F" w:rsidRPr="00E025AC" w:rsidRDefault="0048364F" w:rsidP="009C5989">
      <w:pPr>
        <w:pStyle w:val="ActHead6"/>
        <w:pageBreakBefore/>
      </w:pPr>
      <w:bookmarkStart w:id="11" w:name="BK_S3P3L1C1"/>
      <w:bookmarkStart w:id="12" w:name="_Toc44419344"/>
      <w:bookmarkStart w:id="13" w:name="_Toc44487846"/>
      <w:bookmarkStart w:id="14" w:name="_Toc54789041"/>
      <w:bookmarkStart w:id="15" w:name="opcAmSched"/>
      <w:bookmarkStart w:id="16" w:name="opcCurrentFind"/>
      <w:bookmarkEnd w:id="11"/>
      <w:r w:rsidRPr="00E025AC">
        <w:rPr>
          <w:rStyle w:val="CharAmSchNo"/>
        </w:rPr>
        <w:lastRenderedPageBreak/>
        <w:t>Schedule</w:t>
      </w:r>
      <w:r w:rsidR="00E025AC" w:rsidRPr="00E025AC">
        <w:rPr>
          <w:rStyle w:val="CharAmSchNo"/>
        </w:rPr>
        <w:t> </w:t>
      </w:r>
      <w:r w:rsidRPr="00E025AC">
        <w:rPr>
          <w:rStyle w:val="CharAmSchNo"/>
        </w:rPr>
        <w:t>1</w:t>
      </w:r>
      <w:r w:rsidRPr="00E025AC">
        <w:t>—</w:t>
      </w:r>
      <w:bookmarkEnd w:id="12"/>
      <w:bookmarkEnd w:id="13"/>
      <w:r w:rsidR="003A38CD">
        <w:rPr>
          <w:rStyle w:val="CharAmSchText"/>
        </w:rPr>
        <w:t>Amendments</w:t>
      </w:r>
      <w:bookmarkEnd w:id="14"/>
    </w:p>
    <w:p w14:paraId="1425B80E" w14:textId="7C75A1DE" w:rsidR="00461D11" w:rsidRDefault="00461D11" w:rsidP="00461D11">
      <w:pPr>
        <w:pStyle w:val="ActHead7"/>
      </w:pPr>
      <w:bookmarkStart w:id="17" w:name="_Toc54789042"/>
      <w:bookmarkStart w:id="18" w:name="_Toc44070025"/>
      <w:bookmarkStart w:id="19" w:name="_Toc44419349"/>
      <w:bookmarkStart w:id="20" w:name="_Toc44419558"/>
      <w:bookmarkStart w:id="21" w:name="_Toc44419711"/>
      <w:bookmarkEnd w:id="15"/>
      <w:bookmarkEnd w:id="16"/>
      <w:r>
        <w:rPr>
          <w:rStyle w:val="CharAmPartNo"/>
        </w:rPr>
        <w:t>Part 1</w:t>
      </w:r>
      <w:r>
        <w:t>—</w:t>
      </w:r>
      <w:r w:rsidR="003258FF">
        <w:rPr>
          <w:rStyle w:val="CharAmPartText"/>
        </w:rPr>
        <w:t>Continuation of effect of designations and declarations</w:t>
      </w:r>
      <w:bookmarkEnd w:id="17"/>
    </w:p>
    <w:p w14:paraId="0612AAB6" w14:textId="5AAF96DD" w:rsidR="00461D11" w:rsidRDefault="00461D11" w:rsidP="00461D11">
      <w:pPr>
        <w:pStyle w:val="ActHead9"/>
      </w:pPr>
      <w:r>
        <w:t xml:space="preserve">Autonomous Sanctions (Designated Persons and Entities and Declared Persons – </w:t>
      </w:r>
      <w:r w:rsidR="005D236F">
        <w:t>Libya</w:t>
      </w:r>
      <w:r>
        <w:t>) List 2012</w:t>
      </w:r>
    </w:p>
    <w:p w14:paraId="152BAF62" w14:textId="77777777" w:rsidR="00461D11" w:rsidRDefault="00461D11" w:rsidP="00461D11">
      <w:pPr>
        <w:pStyle w:val="ItemHead"/>
      </w:pPr>
      <w:bookmarkStart w:id="22" w:name="_Toc44419346"/>
      <w:proofErr w:type="gramStart"/>
      <w:r>
        <w:t>1  Before</w:t>
      </w:r>
      <w:proofErr w:type="gramEnd"/>
      <w:r>
        <w:t xml:space="preserve"> section 1</w:t>
      </w:r>
      <w:bookmarkEnd w:id="22"/>
    </w:p>
    <w:p w14:paraId="47F3FCF8" w14:textId="77777777" w:rsidR="00461D11" w:rsidRDefault="00461D11" w:rsidP="00461D11">
      <w:pPr>
        <w:pStyle w:val="Item"/>
      </w:pPr>
      <w:r>
        <w:t>Insert:</w:t>
      </w:r>
    </w:p>
    <w:p w14:paraId="763CA309" w14:textId="77777777" w:rsidR="00461D11" w:rsidRDefault="00461D11" w:rsidP="00461D11">
      <w:pPr>
        <w:pStyle w:val="ActHead2"/>
      </w:pPr>
      <w:bookmarkStart w:id="23" w:name="_Toc44070022"/>
      <w:r>
        <w:rPr>
          <w:rStyle w:val="CharPartNo"/>
        </w:rPr>
        <w:t>Part 1</w:t>
      </w:r>
      <w:r>
        <w:t>—</w:t>
      </w:r>
      <w:r>
        <w:rPr>
          <w:rStyle w:val="CharPartText"/>
        </w:rPr>
        <w:t>Preliminary</w:t>
      </w:r>
      <w:bookmarkEnd w:id="23"/>
    </w:p>
    <w:p w14:paraId="0F479485" w14:textId="77777777" w:rsidR="00461D11" w:rsidRDefault="00461D11" w:rsidP="00461D11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14:paraId="48197CB8" w14:textId="77777777" w:rsidR="00461D11" w:rsidRDefault="00461D11" w:rsidP="00461D11">
      <w:pPr>
        <w:pStyle w:val="ItemHead"/>
      </w:pPr>
      <w:bookmarkStart w:id="24" w:name="_Toc44419347"/>
      <w:proofErr w:type="gramStart"/>
      <w:r>
        <w:t>2  Before</w:t>
      </w:r>
      <w:proofErr w:type="gramEnd"/>
      <w:r>
        <w:t xml:space="preserve"> section 3</w:t>
      </w:r>
      <w:bookmarkEnd w:id="24"/>
    </w:p>
    <w:p w14:paraId="14D286D9" w14:textId="77777777" w:rsidR="00461D11" w:rsidRDefault="00461D11" w:rsidP="00461D11">
      <w:pPr>
        <w:pStyle w:val="Item"/>
      </w:pPr>
      <w:r>
        <w:t>Insert:</w:t>
      </w:r>
    </w:p>
    <w:p w14:paraId="6B8BEACD" w14:textId="77777777" w:rsidR="00461D11" w:rsidRDefault="00461D11" w:rsidP="00461D11">
      <w:pPr>
        <w:pStyle w:val="ActHead2"/>
      </w:pPr>
      <w:bookmarkStart w:id="25" w:name="_Toc44070023"/>
      <w:r>
        <w:rPr>
          <w:rStyle w:val="CharPartNo"/>
        </w:rPr>
        <w:t>Part 2</w:t>
      </w:r>
      <w:r>
        <w:t>—</w:t>
      </w:r>
      <w:r>
        <w:rPr>
          <w:rStyle w:val="CharPartText"/>
        </w:rPr>
        <w:t>Designations of persons and entities and declarations of persons</w:t>
      </w:r>
      <w:bookmarkEnd w:id="25"/>
    </w:p>
    <w:p w14:paraId="74C80294" w14:textId="77777777" w:rsidR="00912ED6" w:rsidRDefault="00912ED6" w:rsidP="00912ED6">
      <w:pPr>
        <w:pStyle w:val="ItemHead"/>
      </w:pPr>
      <w:bookmarkStart w:id="26" w:name="_Toc44419348"/>
      <w:proofErr w:type="gramStart"/>
      <w:r>
        <w:t>3  Section</w:t>
      </w:r>
      <w:proofErr w:type="gramEnd"/>
      <w:r>
        <w:t xml:space="preserve"> 3 (heading)</w:t>
      </w:r>
    </w:p>
    <w:p w14:paraId="3817DB9B" w14:textId="77777777" w:rsidR="00912ED6" w:rsidRDefault="00912ED6" w:rsidP="00912ED6">
      <w:pPr>
        <w:pStyle w:val="Item"/>
      </w:pPr>
      <w:r>
        <w:t>Repeal the heading, substitute:</w:t>
      </w:r>
    </w:p>
    <w:p w14:paraId="0A42686C" w14:textId="5FC064C6" w:rsidR="00912ED6" w:rsidRDefault="00912ED6" w:rsidP="005D236F">
      <w:pPr>
        <w:pStyle w:val="ActHead5"/>
      </w:pPr>
      <w:bookmarkStart w:id="27" w:name="_Toc52181642"/>
      <w:proofErr w:type="gramStart"/>
      <w:r>
        <w:t>3  Designated</w:t>
      </w:r>
      <w:proofErr w:type="gramEnd"/>
      <w:r>
        <w:t xml:space="preserve"> persons and entities and declared persons</w:t>
      </w:r>
      <w:bookmarkEnd w:id="27"/>
      <w:r>
        <w:br/>
      </w:r>
    </w:p>
    <w:p w14:paraId="71BBAE9C" w14:textId="757A0197" w:rsidR="00461D11" w:rsidRDefault="00912ED6" w:rsidP="00461D11">
      <w:pPr>
        <w:pStyle w:val="ItemHead"/>
      </w:pPr>
      <w:proofErr w:type="gramStart"/>
      <w:r>
        <w:t>4</w:t>
      </w:r>
      <w:r w:rsidR="00461D11">
        <w:t xml:space="preserve">  After</w:t>
      </w:r>
      <w:proofErr w:type="gramEnd"/>
      <w:r w:rsidR="00461D11">
        <w:t xml:space="preserve"> section 3</w:t>
      </w:r>
      <w:bookmarkEnd w:id="26"/>
    </w:p>
    <w:p w14:paraId="4826857E" w14:textId="77777777" w:rsidR="00461D11" w:rsidRDefault="00461D11" w:rsidP="00461D11">
      <w:pPr>
        <w:pStyle w:val="Item"/>
      </w:pPr>
      <w:r>
        <w:t>Insert:</w:t>
      </w:r>
    </w:p>
    <w:p w14:paraId="08DBFF21" w14:textId="4E7EA194" w:rsidR="00461D11" w:rsidRDefault="00461D11" w:rsidP="00461D11">
      <w:pPr>
        <w:pStyle w:val="ActHead2"/>
        <w:rPr>
          <w:rStyle w:val="CharSectno"/>
        </w:rPr>
      </w:pPr>
      <w:bookmarkStart w:id="28" w:name="f_Check_Lines_above"/>
      <w:bookmarkStart w:id="29" w:name="_Toc44070024"/>
      <w:bookmarkEnd w:id="28"/>
      <w:r>
        <w:rPr>
          <w:rStyle w:val="CharPartNo"/>
        </w:rPr>
        <w:t>Part 3</w:t>
      </w:r>
      <w:r>
        <w:t>—</w:t>
      </w:r>
      <w:r>
        <w:rPr>
          <w:rStyle w:val="CharPartText"/>
        </w:rPr>
        <w:t>Continuation of effect of designations and declarations</w:t>
      </w:r>
      <w:bookmarkEnd w:id="29"/>
    </w:p>
    <w:p w14:paraId="7AD74BFB" w14:textId="77777777" w:rsidR="00730465" w:rsidRPr="00E025AC" w:rsidRDefault="00730465" w:rsidP="00D94F36">
      <w:pPr>
        <w:pStyle w:val="Specials"/>
      </w:pPr>
      <w:proofErr w:type="gramStart"/>
      <w:r w:rsidRPr="00E025AC">
        <w:rPr>
          <w:rStyle w:val="CharSectno"/>
        </w:rPr>
        <w:t>4</w:t>
      </w:r>
      <w:r w:rsidRPr="00E025AC">
        <w:t xml:space="preserve">  </w:t>
      </w:r>
      <w:r w:rsidR="00C40936" w:rsidRPr="00E025AC">
        <w:t>Purpose</w:t>
      </w:r>
      <w:proofErr w:type="gramEnd"/>
      <w:r w:rsidR="00C40936" w:rsidRPr="00E025AC">
        <w:t xml:space="preserve"> of this Part</w:t>
      </w:r>
      <w:bookmarkEnd w:id="18"/>
      <w:bookmarkEnd w:id="19"/>
      <w:bookmarkEnd w:id="20"/>
      <w:bookmarkEnd w:id="21"/>
    </w:p>
    <w:p w14:paraId="6D31E641" w14:textId="4004DAD4" w:rsidR="00E567BF" w:rsidRDefault="00B9102A" w:rsidP="00F00B73">
      <w:pPr>
        <w:pStyle w:val="subsection"/>
      </w:pPr>
      <w:r w:rsidRPr="00E025AC">
        <w:tab/>
      </w:r>
      <w:r w:rsidRPr="00E025AC">
        <w:tab/>
        <w:t xml:space="preserve">This </w:t>
      </w:r>
      <w:r w:rsidR="00422B8B" w:rsidRPr="00E025AC">
        <w:t>Part</w:t>
      </w:r>
      <w:r w:rsidRPr="00E025AC">
        <w:t xml:space="preserve"> is made for the purposes of </w:t>
      </w:r>
      <w:proofErr w:type="spellStart"/>
      <w:r w:rsidRPr="00E025AC">
        <w:t>sub</w:t>
      </w:r>
      <w:r w:rsidR="00BC7FCF" w:rsidRPr="00E025AC">
        <w:t>regulation</w:t>
      </w:r>
      <w:proofErr w:type="spellEnd"/>
      <w:r w:rsidR="00E025AC" w:rsidRPr="00E025AC">
        <w:t> </w:t>
      </w:r>
      <w:r w:rsidRPr="00E025AC">
        <w:t xml:space="preserve">9(3) of the </w:t>
      </w:r>
      <w:r w:rsidRPr="00E025AC">
        <w:rPr>
          <w:i/>
        </w:rPr>
        <w:t>Autonomous Sanctions Regulations</w:t>
      </w:r>
      <w:r w:rsidR="00E025AC" w:rsidRPr="00E025AC">
        <w:rPr>
          <w:i/>
        </w:rPr>
        <w:t> </w:t>
      </w:r>
      <w:r w:rsidRPr="00E025AC">
        <w:rPr>
          <w:i/>
        </w:rPr>
        <w:t>2011</w:t>
      </w:r>
      <w:r w:rsidRPr="00E025AC">
        <w:t>.</w:t>
      </w:r>
    </w:p>
    <w:p w14:paraId="5C12BE3E" w14:textId="374DF0AB" w:rsidR="009E4EAB" w:rsidRPr="00E025AC" w:rsidRDefault="00422B8B" w:rsidP="00D94F36">
      <w:pPr>
        <w:pStyle w:val="Specials"/>
      </w:pPr>
      <w:bookmarkStart w:id="30" w:name="_Toc44070026"/>
      <w:bookmarkStart w:id="31" w:name="_Toc44419350"/>
      <w:bookmarkStart w:id="32" w:name="_Toc44419559"/>
      <w:bookmarkStart w:id="33" w:name="_Toc44419712"/>
      <w:proofErr w:type="gramStart"/>
      <w:r w:rsidRPr="00E025AC">
        <w:rPr>
          <w:rStyle w:val="CharSectno"/>
        </w:rPr>
        <w:t>5</w:t>
      </w:r>
      <w:r w:rsidRPr="00E025AC">
        <w:t xml:space="preserve">  </w:t>
      </w:r>
      <w:r w:rsidR="00400202" w:rsidRPr="00E025AC">
        <w:t>Continuation</w:t>
      </w:r>
      <w:proofErr w:type="gramEnd"/>
      <w:r w:rsidR="00400202" w:rsidRPr="00E025AC">
        <w:t xml:space="preserve"> of effect </w:t>
      </w:r>
      <w:r w:rsidR="005D481B" w:rsidRPr="00E025AC">
        <w:t>of</w:t>
      </w:r>
      <w:r w:rsidR="00C465EE">
        <w:t xml:space="preserve"> designations and declarations</w:t>
      </w:r>
      <w:r w:rsidR="005D481B" w:rsidRPr="00E025AC">
        <w:t xml:space="preserve"> </w:t>
      </w:r>
      <w:r w:rsidR="00F9683B" w:rsidRPr="00E025AC">
        <w:t>on</w:t>
      </w:r>
      <w:r w:rsidR="00400202" w:rsidRPr="00E025AC">
        <w:t xml:space="preserve"> and after</w:t>
      </w:r>
      <w:r w:rsidR="00F9683B" w:rsidRPr="00E025AC">
        <w:t xml:space="preserve"> date of making of </w:t>
      </w:r>
      <w:r w:rsidR="00375CBD" w:rsidRPr="00E025AC">
        <w:t xml:space="preserve">the </w:t>
      </w:r>
      <w:bookmarkEnd w:id="30"/>
      <w:bookmarkEnd w:id="31"/>
      <w:bookmarkEnd w:id="32"/>
      <w:bookmarkEnd w:id="33"/>
      <w:r w:rsidR="00DE3CAE" w:rsidRPr="00DE3CAE">
        <w:rPr>
          <w:i/>
        </w:rPr>
        <w:t>Autonomous Sanctions (Designated Persons and Entities and Declared Persons—</w:t>
      </w:r>
      <w:r w:rsidR="005D236F">
        <w:rPr>
          <w:i/>
        </w:rPr>
        <w:t>Libya</w:t>
      </w:r>
      <w:r w:rsidR="00DE3CAE" w:rsidRPr="00DE3CAE">
        <w:rPr>
          <w:i/>
        </w:rPr>
        <w:t>) Amendment (</w:t>
      </w:r>
      <w:r w:rsidR="00251683">
        <w:rPr>
          <w:i/>
        </w:rPr>
        <w:t>Continuation of Effect</w:t>
      </w:r>
      <w:r w:rsidR="001C399A">
        <w:rPr>
          <w:i/>
        </w:rPr>
        <w:t>) Instrument 2020</w:t>
      </w:r>
    </w:p>
    <w:p w14:paraId="56193753" w14:textId="350F8172" w:rsidR="00730465" w:rsidRPr="00E025AC" w:rsidRDefault="00A95C75" w:rsidP="00A95C75">
      <w:pPr>
        <w:pStyle w:val="subsection"/>
        <w:numPr>
          <w:ilvl w:val="0"/>
          <w:numId w:val="32"/>
        </w:numPr>
      </w:pPr>
      <w:r>
        <w:t xml:space="preserve">  </w:t>
      </w:r>
      <w:r w:rsidRPr="00C34950">
        <w:t>The designation, under paragraph</w:t>
      </w:r>
      <w:r>
        <w:t xml:space="preserve"> </w:t>
      </w:r>
      <w:r w:rsidRPr="00C34950">
        <w:t xml:space="preserve">6(1)(a) of the </w:t>
      </w:r>
      <w:r w:rsidRPr="00C34950">
        <w:rPr>
          <w:i/>
        </w:rPr>
        <w:t>Autonomous Sanctions Regulations</w:t>
      </w:r>
      <w:r>
        <w:rPr>
          <w:i/>
        </w:rPr>
        <w:t xml:space="preserve"> </w:t>
      </w:r>
      <w:r w:rsidRPr="00C34950">
        <w:rPr>
          <w:i/>
        </w:rPr>
        <w:t>2011</w:t>
      </w:r>
      <w:r w:rsidRPr="00C34950">
        <w:t xml:space="preserve">, </w:t>
      </w:r>
      <w:r>
        <w:t xml:space="preserve">of the </w:t>
      </w:r>
      <w:r w:rsidRPr="00C34950">
        <w:t>person</w:t>
      </w:r>
      <w:r>
        <w:t>s</w:t>
      </w:r>
      <w:r w:rsidRPr="00C34950">
        <w:t xml:space="preserve"> mentioned in item</w:t>
      </w:r>
      <w:r>
        <w:t xml:space="preserve">s 1 to 5, 7 to 9, 12 to 17 and 19 to 21 </w:t>
      </w:r>
      <w:r w:rsidRPr="00E025AC">
        <w:t>in Part 1 of Schedule 1</w:t>
      </w:r>
      <w:r w:rsidRPr="00C34950">
        <w:t xml:space="preserve"> continues to have effect</w:t>
      </w:r>
      <w:r>
        <w:t>.</w:t>
      </w:r>
    </w:p>
    <w:p w14:paraId="206C4D16" w14:textId="2EE5C2BD" w:rsidR="00730465" w:rsidRPr="00E025AC" w:rsidRDefault="00422B8B" w:rsidP="00730465">
      <w:pPr>
        <w:pStyle w:val="subsection"/>
      </w:pPr>
      <w:r w:rsidRPr="00E025AC">
        <w:lastRenderedPageBreak/>
        <w:tab/>
        <w:t>(2</w:t>
      </w:r>
      <w:r w:rsidR="00730465" w:rsidRPr="00E025AC">
        <w:t>)</w:t>
      </w:r>
      <w:r w:rsidR="00730465" w:rsidRPr="00E025AC">
        <w:tab/>
      </w:r>
      <w:r w:rsidR="00A95C75" w:rsidRPr="00C34950">
        <w:t>The declaration, under paragraph</w:t>
      </w:r>
      <w:r w:rsidR="00A95C75">
        <w:t xml:space="preserve"> </w:t>
      </w:r>
      <w:r w:rsidR="00A95C75" w:rsidRPr="00C34950">
        <w:t xml:space="preserve">6(1)(b) of the </w:t>
      </w:r>
      <w:r w:rsidR="00A95C75" w:rsidRPr="00C34950">
        <w:rPr>
          <w:i/>
        </w:rPr>
        <w:t>Autonomous Sanctions Regulations</w:t>
      </w:r>
      <w:r w:rsidR="00A95C75">
        <w:rPr>
          <w:i/>
        </w:rPr>
        <w:t xml:space="preserve"> </w:t>
      </w:r>
      <w:r w:rsidR="00A95C75" w:rsidRPr="00C34950">
        <w:rPr>
          <w:i/>
        </w:rPr>
        <w:t>2011</w:t>
      </w:r>
      <w:r w:rsidR="00A95C75" w:rsidRPr="00C34950">
        <w:t xml:space="preserve">, of the </w:t>
      </w:r>
      <w:r w:rsidR="00A95C75">
        <w:t>persons</w:t>
      </w:r>
      <w:r w:rsidR="00A95C75" w:rsidRPr="00C34950">
        <w:t xml:space="preserve"> mentioned in item</w:t>
      </w:r>
      <w:r w:rsidR="00A95C75">
        <w:t>s</w:t>
      </w:r>
      <w:r w:rsidR="00A95C75" w:rsidRPr="00C34950">
        <w:t xml:space="preserve"> </w:t>
      </w:r>
      <w:r w:rsidR="00C465EE">
        <w:t xml:space="preserve">1 to </w:t>
      </w:r>
      <w:r w:rsidR="009E3128">
        <w:t>5</w:t>
      </w:r>
      <w:r w:rsidR="005D1052">
        <w:t xml:space="preserve">, </w:t>
      </w:r>
      <w:r w:rsidR="009E3128">
        <w:t>7</w:t>
      </w:r>
      <w:r w:rsidR="005D1052">
        <w:t xml:space="preserve"> to 9, 12 to 17 and 19 to 21</w:t>
      </w:r>
      <w:r w:rsidR="00C465EE">
        <w:t xml:space="preserve"> </w:t>
      </w:r>
      <w:r w:rsidR="003D3E88" w:rsidRPr="00E025AC">
        <w:t>in</w:t>
      </w:r>
      <w:r w:rsidR="00BC7FCF" w:rsidRPr="00E025AC">
        <w:t xml:space="preserve"> </w:t>
      </w:r>
      <w:r w:rsidR="00730465" w:rsidRPr="00E025AC">
        <w:t>Part</w:t>
      </w:r>
      <w:r w:rsidR="00E025AC" w:rsidRPr="00E025AC">
        <w:t> </w:t>
      </w:r>
      <w:r w:rsidR="00730465" w:rsidRPr="00E025AC">
        <w:t>1 of Schedule</w:t>
      </w:r>
      <w:r w:rsidR="00E025AC" w:rsidRPr="00E025AC">
        <w:t> </w:t>
      </w:r>
      <w:r w:rsidR="00730465" w:rsidRPr="00E025AC">
        <w:t>1 continues to have effect</w:t>
      </w:r>
      <w:r w:rsidR="009B57A5" w:rsidRPr="00E025AC">
        <w:t>.</w:t>
      </w:r>
    </w:p>
    <w:p w14:paraId="75D607FA" w14:textId="748C980F" w:rsidR="005D481B" w:rsidRPr="00E025AC" w:rsidRDefault="00422B8B" w:rsidP="005D481B">
      <w:pPr>
        <w:pStyle w:val="subsection"/>
      </w:pPr>
      <w:r w:rsidRPr="00E025AC">
        <w:tab/>
        <w:t>(3</w:t>
      </w:r>
      <w:r w:rsidR="009B57A5" w:rsidRPr="00E025AC">
        <w:t>)</w:t>
      </w:r>
      <w:r w:rsidR="009B57A5" w:rsidRPr="00E025AC">
        <w:tab/>
      </w:r>
      <w:r w:rsidR="00A95C75" w:rsidRPr="00C34950">
        <w:t>The designation, under paragraph</w:t>
      </w:r>
      <w:r w:rsidR="00A95C75">
        <w:t xml:space="preserve"> </w:t>
      </w:r>
      <w:r w:rsidR="00A95C75" w:rsidRPr="00C34950">
        <w:t xml:space="preserve">6(1)(a) of the </w:t>
      </w:r>
      <w:r w:rsidR="00A95C75" w:rsidRPr="00C34950">
        <w:rPr>
          <w:i/>
        </w:rPr>
        <w:t>Autonomous Sanctions Regulations</w:t>
      </w:r>
      <w:r w:rsidR="00A95C75">
        <w:rPr>
          <w:i/>
        </w:rPr>
        <w:t xml:space="preserve"> </w:t>
      </w:r>
      <w:r w:rsidR="00A95C75" w:rsidRPr="00C34950">
        <w:rPr>
          <w:i/>
        </w:rPr>
        <w:t>2011</w:t>
      </w:r>
      <w:r w:rsidR="00A95C75" w:rsidRPr="00C34950">
        <w:t>,</w:t>
      </w:r>
      <w:r w:rsidR="00A95C75">
        <w:t xml:space="preserve"> of the </w:t>
      </w:r>
      <w:r w:rsidR="00DA42D4" w:rsidRPr="00E025AC">
        <w:t>e</w:t>
      </w:r>
      <w:r w:rsidR="00C465EE">
        <w:t xml:space="preserve">ntities mentioned </w:t>
      </w:r>
      <w:r w:rsidR="00E567BF">
        <w:t xml:space="preserve">in items 1 to 6 and 8 </w:t>
      </w:r>
      <w:r w:rsidR="0044562E">
        <w:t>and</w:t>
      </w:r>
      <w:r w:rsidR="00E567BF">
        <w:t xml:space="preserve"> 9 </w:t>
      </w:r>
      <w:r w:rsidR="00C465EE">
        <w:t xml:space="preserve">in </w:t>
      </w:r>
      <w:r w:rsidR="009B57A5" w:rsidRPr="00E025AC">
        <w:t>Part</w:t>
      </w:r>
      <w:r w:rsidR="00E025AC" w:rsidRPr="00E025AC">
        <w:t> </w:t>
      </w:r>
      <w:r w:rsidR="009B57A5" w:rsidRPr="00E025AC">
        <w:t>2 of Schedule</w:t>
      </w:r>
      <w:r w:rsidR="00E025AC" w:rsidRPr="00E025AC">
        <w:t> </w:t>
      </w:r>
      <w:r w:rsidR="009B57A5" w:rsidRPr="00E025AC">
        <w:t>1 continues to have effect.</w:t>
      </w:r>
    </w:p>
    <w:p w14:paraId="2EFCEA7F" w14:textId="77777777" w:rsidR="00C465EE" w:rsidRDefault="00C465EE">
      <w:pPr>
        <w:spacing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bookmarkStart w:id="34" w:name="_Toc44419353"/>
      <w:r>
        <w:br w:type="page"/>
      </w:r>
    </w:p>
    <w:p w14:paraId="37BCDA89" w14:textId="25279B3A" w:rsidR="00461D11" w:rsidRDefault="00461D11" w:rsidP="00461D11">
      <w:pPr>
        <w:pStyle w:val="ActHead7"/>
        <w:pageBreakBefore/>
        <w:rPr>
          <w:rStyle w:val="CharAmPartText"/>
        </w:rPr>
      </w:pPr>
      <w:bookmarkStart w:id="35" w:name="_Toc52201796"/>
      <w:bookmarkStart w:id="36" w:name="_Toc54789043"/>
      <w:bookmarkStart w:id="37" w:name="_Toc44419354"/>
      <w:bookmarkEnd w:id="34"/>
      <w:r w:rsidRPr="00890941">
        <w:rPr>
          <w:rStyle w:val="CharAmPartNo"/>
        </w:rPr>
        <w:lastRenderedPageBreak/>
        <w:t>Part</w:t>
      </w:r>
      <w:r>
        <w:rPr>
          <w:rStyle w:val="CharAmPartNo"/>
        </w:rPr>
        <w:t xml:space="preserve"> </w:t>
      </w:r>
      <w:r w:rsidRPr="00890941">
        <w:rPr>
          <w:rStyle w:val="CharAmPartNo"/>
        </w:rPr>
        <w:t>2</w:t>
      </w:r>
      <w:r w:rsidRPr="007043E2">
        <w:t>—</w:t>
      </w:r>
      <w:r w:rsidRPr="00890941">
        <w:rPr>
          <w:rStyle w:val="CharAmPartText"/>
        </w:rPr>
        <w:t>Updated lists of designated and declared persons and designated entitie</w:t>
      </w:r>
      <w:r>
        <w:rPr>
          <w:rStyle w:val="CharAmPartText"/>
        </w:rPr>
        <w:t>s</w:t>
      </w:r>
      <w:bookmarkEnd w:id="35"/>
      <w:bookmarkEnd w:id="36"/>
    </w:p>
    <w:p w14:paraId="7B7AC646" w14:textId="5F1EFBC2" w:rsidR="00251683" w:rsidRPr="00D11247" w:rsidRDefault="00C11E50" w:rsidP="00D11247">
      <w:pPr>
        <w:pStyle w:val="ItemHead"/>
        <w:rPr>
          <w:rFonts w:ascii="Times New Roman" w:hAnsi="Times New Roman"/>
          <w:i/>
          <w:iCs/>
          <w:szCs w:val="22"/>
        </w:rPr>
      </w:pPr>
      <w:r w:rsidRPr="00D11247">
        <w:rPr>
          <w:rFonts w:ascii="Times New Roman" w:hAnsi="Times New Roman"/>
          <w:i/>
          <w:iCs/>
          <w:sz w:val="28"/>
          <w:szCs w:val="22"/>
        </w:rPr>
        <w:t xml:space="preserve">Autonomous Sanctions (Designated Persons and Entities and Declared Persons – </w:t>
      </w:r>
      <w:r w:rsidR="005D236F">
        <w:rPr>
          <w:rFonts w:ascii="Times New Roman" w:hAnsi="Times New Roman"/>
          <w:i/>
          <w:iCs/>
          <w:sz w:val="28"/>
          <w:szCs w:val="22"/>
        </w:rPr>
        <w:t>Libya</w:t>
      </w:r>
      <w:r w:rsidRPr="00D11247">
        <w:rPr>
          <w:rFonts w:ascii="Times New Roman" w:hAnsi="Times New Roman"/>
          <w:i/>
          <w:iCs/>
          <w:sz w:val="28"/>
          <w:szCs w:val="22"/>
        </w:rPr>
        <w:t>) List 2012</w:t>
      </w:r>
    </w:p>
    <w:p w14:paraId="63188FC9" w14:textId="0C447F05" w:rsidR="00D4000A" w:rsidRPr="00E025AC" w:rsidRDefault="00912ED6" w:rsidP="00D4000A">
      <w:pPr>
        <w:pStyle w:val="ItemHead"/>
      </w:pPr>
      <w:proofErr w:type="gramStart"/>
      <w:r>
        <w:t>5</w:t>
      </w:r>
      <w:r w:rsidR="00D4000A" w:rsidRPr="00E025AC">
        <w:t xml:space="preserve">  Schedule</w:t>
      </w:r>
      <w:proofErr w:type="gramEnd"/>
      <w:r w:rsidR="00E025AC" w:rsidRPr="00E025AC">
        <w:t> </w:t>
      </w:r>
      <w:r w:rsidR="00D4000A" w:rsidRPr="00E025AC">
        <w:t xml:space="preserve">1 </w:t>
      </w:r>
      <w:bookmarkEnd w:id="37"/>
    </w:p>
    <w:p w14:paraId="4050FFF1" w14:textId="7D701652" w:rsidR="00D4000A" w:rsidRPr="00E025AC" w:rsidRDefault="00D4000A" w:rsidP="00D4000A">
      <w:pPr>
        <w:pStyle w:val="Item"/>
      </w:pPr>
      <w:r w:rsidRPr="00E025AC">
        <w:t xml:space="preserve">Repeal the </w:t>
      </w:r>
      <w:r w:rsidR="00C465EE">
        <w:t>Schedule,</w:t>
      </w:r>
      <w:r w:rsidRPr="00E025AC">
        <w:t xml:space="preserve"> substitute:</w:t>
      </w:r>
    </w:p>
    <w:p w14:paraId="5C377F41" w14:textId="403B2943" w:rsidR="00C11E50" w:rsidRDefault="00C11E50" w:rsidP="00C11E50">
      <w:pPr>
        <w:pStyle w:val="ActHead1"/>
      </w:pPr>
      <w:bookmarkStart w:id="38" w:name="_Toc45804740"/>
      <w:bookmarkStart w:id="39" w:name="_Toc44419357"/>
      <w:r>
        <w:t>Schedule 1—Designated persons and entities and declared persons</w:t>
      </w:r>
    </w:p>
    <w:p w14:paraId="7A3DAD4F" w14:textId="2DE99C0C" w:rsidR="00C465EE" w:rsidRPr="00C615A1" w:rsidRDefault="00A95C75" w:rsidP="00A95C75">
      <w:pPr>
        <w:pStyle w:val="notemargin"/>
      </w:pPr>
      <w:r w:rsidRPr="00C34950">
        <w:t>Note:</w:t>
      </w:r>
      <w:r w:rsidRPr="00C34950">
        <w:tab/>
        <w:t>See section</w:t>
      </w:r>
      <w:r>
        <w:t xml:space="preserve"> </w:t>
      </w:r>
      <w:r w:rsidRPr="00C34950">
        <w:t>3.</w:t>
      </w:r>
      <w:bookmarkEnd w:id="38"/>
      <w:r w:rsidR="00C465EE">
        <w:tab/>
      </w:r>
      <w:r w:rsidR="00C465EE">
        <w:tab/>
      </w:r>
      <w:r w:rsidR="00C465EE">
        <w:tab/>
      </w:r>
    </w:p>
    <w:p w14:paraId="4D98E7B1" w14:textId="226D609A" w:rsidR="00C11E50" w:rsidRPr="008B03FD" w:rsidRDefault="00C11E50" w:rsidP="00C11E50">
      <w:pPr>
        <w:pStyle w:val="ActHead2"/>
      </w:pPr>
      <w:r>
        <w:t>Part 1—Designated and declared persons</w:t>
      </w:r>
      <w:r>
        <w:br/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244"/>
      </w:tblGrid>
      <w:tr w:rsidR="00C465EE" w:rsidRPr="00C826C8" w14:paraId="15138E83" w14:textId="77777777" w:rsidTr="00C11E50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A58547E" w14:textId="77777777" w:rsidR="00C465EE" w:rsidRPr="00C826C8" w:rsidRDefault="00C465EE" w:rsidP="00BB7740">
            <w:pPr>
              <w:jc w:val="right"/>
              <w:rPr>
                <w:b/>
                <w:bCs/>
                <w:color w:val="000000"/>
                <w:szCs w:val="22"/>
              </w:rPr>
            </w:pPr>
            <w:r w:rsidRPr="00C826C8">
              <w:rPr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AE4A53" w14:textId="77777777" w:rsidR="00C465EE" w:rsidRPr="00C826C8" w:rsidRDefault="00C465EE" w:rsidP="00BB7740">
            <w:pPr>
              <w:rPr>
                <w:b/>
                <w:bCs/>
                <w:color w:val="000000"/>
                <w:szCs w:val="22"/>
              </w:rPr>
            </w:pPr>
            <w:r w:rsidRPr="00C826C8">
              <w:rPr>
                <w:b/>
                <w:bCs/>
                <w:color w:val="000000"/>
                <w:szCs w:val="22"/>
              </w:rPr>
              <w:t>Description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664936" w14:textId="77777777" w:rsidR="00C465EE" w:rsidRPr="00C826C8" w:rsidRDefault="00C465EE" w:rsidP="00BB7740">
            <w:pPr>
              <w:rPr>
                <w:b/>
                <w:bCs/>
                <w:color w:val="000000"/>
                <w:szCs w:val="22"/>
              </w:rPr>
            </w:pPr>
            <w:r w:rsidRPr="00C826C8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C465EE" w:rsidRPr="00E76209" w14:paraId="7AAF24A9" w14:textId="77777777" w:rsidTr="00574DDE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A4EEEAA" w14:textId="77777777" w:rsidR="00C465EE" w:rsidRPr="00E76209" w:rsidRDefault="00C465EE" w:rsidP="00BB7740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126B6A4" w14:textId="53478FC9" w:rsidR="00C465EE" w:rsidRPr="00E76209" w:rsidRDefault="003447D4" w:rsidP="00BB7740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D54A16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53984F9" w14:textId="5A3F6470" w:rsidR="00C465EE" w:rsidRPr="00E76209" w:rsidRDefault="005D236F" w:rsidP="00BB7740">
            <w:pPr>
              <w:rPr>
                <w:color w:val="000000"/>
                <w:szCs w:val="22"/>
              </w:rPr>
            </w:pPr>
            <w:r w:rsidRPr="00BD4F95">
              <w:rPr>
                <w:noProof/>
                <w:color w:val="000000"/>
                <w:szCs w:val="22"/>
              </w:rPr>
              <w:t>Abdallah MANSOUR</w:t>
            </w:r>
          </w:p>
        </w:tc>
      </w:tr>
      <w:tr w:rsidR="006777F6" w:rsidRPr="00E76209" w14:paraId="6DDBD436" w14:textId="77777777" w:rsidTr="00574DDE">
        <w:trPr>
          <w:trHeight w:val="2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B88B87C" w14:textId="77777777" w:rsidR="006777F6" w:rsidRDefault="006777F6" w:rsidP="00BB774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71A6920" w14:textId="372D3873" w:rsidR="006777F6" w:rsidRDefault="006777F6" w:rsidP="00BB7740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birth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B3FE909" w14:textId="29568530" w:rsidR="006777F6" w:rsidRPr="00BD4F95" w:rsidRDefault="006777F6" w:rsidP="00BB7740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 xml:space="preserve">8 July 1954 </w:t>
            </w:r>
          </w:p>
        </w:tc>
      </w:tr>
      <w:tr w:rsidR="00701F85" w:rsidRPr="00E76209" w14:paraId="2E991ED6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F112D" w14:textId="77777777" w:rsidR="00701F85" w:rsidRPr="00E76209" w:rsidRDefault="00701F85" w:rsidP="00BB774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2C5C8" w14:textId="4D07C6D1" w:rsidR="00701F85" w:rsidRDefault="00701F85" w:rsidP="00BB7740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A9313" w14:textId="7DA925CC" w:rsidR="00701F85" w:rsidRPr="00D11247" w:rsidRDefault="009E4EC5" w:rsidP="00BB7740">
            <w:pPr>
              <w:rPr>
                <w:noProof/>
                <w:color w:val="000000"/>
                <w:szCs w:val="22"/>
                <w:highlight w:val="yellow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 xml:space="preserve">Autonomous Sanctions (Designated Persons and Entities and Declared Persons – </w:t>
            </w:r>
            <w:r w:rsidR="005D236F" w:rsidRPr="005D236F">
              <w:rPr>
                <w:i/>
                <w:iCs/>
                <w:noProof/>
                <w:color w:val="000000"/>
                <w:szCs w:val="22"/>
              </w:rPr>
              <w:t>Libya</w:t>
            </w:r>
            <w:r w:rsidRPr="005D236F">
              <w:rPr>
                <w:i/>
                <w:iCs/>
                <w:noProof/>
                <w:color w:val="000000"/>
                <w:szCs w:val="22"/>
              </w:rPr>
              <w:t>) List 2012</w:t>
            </w:r>
            <w:r w:rsidR="00ED3200" w:rsidRPr="005D236F">
              <w:rPr>
                <w:noProof/>
                <w:color w:val="000000"/>
                <w:szCs w:val="22"/>
              </w:rPr>
              <w:t xml:space="preserve"> [F2012</w:t>
            </w:r>
            <w:r w:rsidR="005D236F" w:rsidRPr="005D236F">
              <w:rPr>
                <w:noProof/>
                <w:color w:val="000000"/>
                <w:szCs w:val="22"/>
              </w:rPr>
              <w:t>L00481</w:t>
            </w:r>
            <w:r w:rsidR="00ED3200" w:rsidRPr="005D236F">
              <w:rPr>
                <w:noProof/>
                <w:color w:val="000000"/>
                <w:szCs w:val="22"/>
              </w:rPr>
              <w:t>]</w:t>
            </w:r>
          </w:p>
        </w:tc>
      </w:tr>
      <w:tr w:rsidR="00C465EE" w:rsidRPr="00E76209" w14:paraId="4410AC96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3B29" w14:textId="77777777" w:rsidR="00C465EE" w:rsidRPr="00E76209" w:rsidRDefault="00C465EE" w:rsidP="00BB774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5F45" w14:textId="1CCE5BC9" w:rsidR="00C465EE" w:rsidRPr="00E76209" w:rsidRDefault="003447D4" w:rsidP="00BB7740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D54A16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CFED" w14:textId="37EF7865" w:rsidR="00C465EE" w:rsidRPr="00E76209" w:rsidRDefault="005D236F" w:rsidP="00BB7740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Senior role in security servic</w:t>
            </w:r>
            <w:r w:rsidRPr="005C0EBD">
              <w:rPr>
                <w:noProof/>
                <w:color w:val="000000"/>
                <w:szCs w:val="22"/>
              </w:rPr>
              <w:t>es and former Director of Radio and Television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C465EE" w:rsidRPr="00E76209" w14:paraId="0001A1CD" w14:textId="77777777" w:rsidTr="00C11E5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EB9C923" w14:textId="77777777" w:rsidR="00C465EE" w:rsidRPr="00E76209" w:rsidRDefault="00C465EE" w:rsidP="00BB7740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8662AF7" w14:textId="2A1E7222" w:rsidR="00C465EE" w:rsidRPr="00E76209" w:rsidRDefault="003447D4" w:rsidP="00BB7740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D54A16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28B2B1D" w14:textId="28C3A505" w:rsidR="00C465EE" w:rsidRPr="00E76209" w:rsidRDefault="005D236F" w:rsidP="00BB7740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2011LBY0029</w:t>
            </w:r>
          </w:p>
        </w:tc>
      </w:tr>
      <w:tr w:rsidR="00C465EE" w:rsidRPr="00E76209" w14:paraId="45B3A9BE" w14:textId="77777777" w:rsidTr="00574DDE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F47DB0F" w14:textId="77777777" w:rsidR="00C465EE" w:rsidRPr="00E76209" w:rsidRDefault="00C465EE" w:rsidP="00BB7740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2ABCE0E" w14:textId="4BC217AC" w:rsidR="00C465EE" w:rsidRPr="00E76209" w:rsidRDefault="003447D4" w:rsidP="00BB7740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D54A16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40CAF74" w14:textId="3A13BF2C" w:rsidR="00C465EE" w:rsidRPr="00E76209" w:rsidRDefault="005D236F" w:rsidP="00BB7740">
            <w:pPr>
              <w:rPr>
                <w:color w:val="000000"/>
                <w:szCs w:val="22"/>
              </w:rPr>
            </w:pPr>
            <w:r w:rsidRPr="00806DD6">
              <w:rPr>
                <w:noProof/>
                <w:color w:val="000000"/>
                <w:szCs w:val="22"/>
              </w:rPr>
              <w:t>Abdelha</w:t>
            </w:r>
            <w:r>
              <w:rPr>
                <w:noProof/>
                <w:color w:val="000000"/>
                <w:szCs w:val="22"/>
              </w:rPr>
              <w:t>f</w:t>
            </w:r>
            <w:r w:rsidRPr="00806DD6">
              <w:rPr>
                <w:noProof/>
                <w:color w:val="000000"/>
                <w:szCs w:val="22"/>
              </w:rPr>
              <w:t>iz ZLITNI</w:t>
            </w:r>
          </w:p>
        </w:tc>
      </w:tr>
      <w:tr w:rsidR="007D453A" w:rsidRPr="00E76209" w14:paraId="60FE971F" w14:textId="77777777" w:rsidTr="00574DDE">
        <w:trPr>
          <w:trHeight w:val="2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1065EC4" w14:textId="77777777" w:rsidR="007D453A" w:rsidRDefault="007D453A" w:rsidP="00BB7740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C6E6629" w14:textId="7228667F" w:rsidR="007D453A" w:rsidRDefault="007D453A" w:rsidP="00BB7740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birth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20E62" w14:textId="00D45989" w:rsidR="007D453A" w:rsidRPr="00806DD6" w:rsidRDefault="0044562E" w:rsidP="00BB7740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 xml:space="preserve">a) </w:t>
            </w:r>
            <w:r w:rsidR="007D453A">
              <w:rPr>
                <w:noProof/>
                <w:color w:val="000000"/>
                <w:szCs w:val="22"/>
              </w:rPr>
              <w:t>1935</w:t>
            </w:r>
            <w:r>
              <w:rPr>
                <w:noProof/>
                <w:color w:val="000000"/>
                <w:szCs w:val="22"/>
              </w:rPr>
              <w:t>,</w:t>
            </w:r>
            <w:r w:rsidR="007D453A">
              <w:rPr>
                <w:noProof/>
                <w:color w:val="000000"/>
                <w:szCs w:val="22"/>
              </w:rPr>
              <w:t xml:space="preserve"> </w:t>
            </w:r>
            <w:r>
              <w:rPr>
                <w:noProof/>
                <w:color w:val="000000"/>
                <w:szCs w:val="22"/>
              </w:rPr>
              <w:t xml:space="preserve">b) </w:t>
            </w:r>
            <w:r w:rsidR="007D453A">
              <w:rPr>
                <w:noProof/>
                <w:color w:val="000000"/>
                <w:szCs w:val="22"/>
              </w:rPr>
              <w:t>1938</w:t>
            </w:r>
          </w:p>
        </w:tc>
      </w:tr>
      <w:tr w:rsidR="00D11247" w:rsidRPr="00E76209" w14:paraId="416FB226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C0D62" w14:textId="77777777" w:rsidR="00D11247" w:rsidRDefault="00D11247" w:rsidP="00D11247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A2D9D" w14:textId="728AE383" w:rsidR="00D11247" w:rsidRDefault="00D11247" w:rsidP="00D11247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4AD0E" w14:textId="408BEA89" w:rsidR="00D11247" w:rsidRPr="007F02E9" w:rsidRDefault="00DB20EE" w:rsidP="00D11247">
            <w:pPr>
              <w:rPr>
                <w:noProof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D11247" w:rsidRPr="00E76209" w14:paraId="6DF2BB78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C816" w14:textId="77777777" w:rsidR="00D11247" w:rsidRPr="00E76209" w:rsidRDefault="00D11247" w:rsidP="00D1124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6EB0E" w14:textId="73E3D90E" w:rsidR="00D11247" w:rsidRPr="00E76209" w:rsidRDefault="003447D4" w:rsidP="00D11247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D11247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439D" w14:textId="5D344C0B" w:rsidR="00D11247" w:rsidRPr="00E76209" w:rsidRDefault="00DB20EE" w:rsidP="00D11247">
            <w:pPr>
              <w:rPr>
                <w:color w:val="000000"/>
                <w:szCs w:val="22"/>
              </w:rPr>
            </w:pPr>
            <w:r w:rsidRPr="00806DD6">
              <w:rPr>
                <w:noProof/>
                <w:color w:val="000000"/>
                <w:szCs w:val="22"/>
              </w:rPr>
              <w:t xml:space="preserve">Minister for Planning and Finance in </w:t>
            </w:r>
            <w:r>
              <w:rPr>
                <w:noProof/>
                <w:color w:val="000000"/>
                <w:szCs w:val="22"/>
              </w:rPr>
              <w:t>Muammar</w:t>
            </w:r>
            <w:r w:rsidRPr="00806DD6">
              <w:rPr>
                <w:noProof/>
                <w:color w:val="000000"/>
                <w:szCs w:val="22"/>
              </w:rPr>
              <w:t xml:space="preserve"> Qadhafi’s Government.</w:t>
            </w:r>
          </w:p>
        </w:tc>
      </w:tr>
      <w:tr w:rsidR="00DB20EE" w:rsidRPr="00E76209" w14:paraId="122CC212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ED7D8" w14:textId="77777777" w:rsidR="00DB20EE" w:rsidRPr="00E76209" w:rsidRDefault="00DB20EE" w:rsidP="00DB20EE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B26A7" w14:textId="2B7B726F" w:rsidR="00DB20EE" w:rsidRPr="00E76209" w:rsidRDefault="003447D4" w:rsidP="00DB20EE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DB20EE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69C73" w14:textId="0015A703" w:rsidR="00DB20EE" w:rsidRPr="00E76209" w:rsidRDefault="00DB20EE" w:rsidP="00DB20EE">
            <w:pPr>
              <w:rPr>
                <w:color w:val="000000"/>
                <w:szCs w:val="22"/>
              </w:rPr>
            </w:pPr>
            <w:r w:rsidRPr="00806DD6">
              <w:rPr>
                <w:noProof/>
                <w:color w:val="000000"/>
                <w:szCs w:val="22"/>
              </w:rPr>
              <w:t>Formerly listed on the RBA Consolidated List as 2011LBY0034</w:t>
            </w:r>
          </w:p>
        </w:tc>
      </w:tr>
      <w:tr w:rsidR="00D11247" w:rsidRPr="00E76209" w14:paraId="23AC1B74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4CDB7" w14:textId="77777777" w:rsidR="00D11247" w:rsidRPr="00E76209" w:rsidRDefault="00D11247" w:rsidP="00D1124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4D19A" w14:textId="3B1AF34F" w:rsidR="00D11247" w:rsidRPr="00E76209" w:rsidRDefault="003447D4" w:rsidP="00D11247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D11247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9DEFC" w14:textId="0D614FFD" w:rsidR="00D11247" w:rsidRPr="00E76209" w:rsidRDefault="00DB20EE" w:rsidP="00D11247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Abdelkebir Mohamad FAKHIRI</w:t>
            </w:r>
          </w:p>
        </w:tc>
      </w:tr>
      <w:tr w:rsidR="00D11247" w:rsidRPr="00E76209" w14:paraId="2813BFD9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5E392" w14:textId="77777777" w:rsidR="00D11247" w:rsidRPr="00E76209" w:rsidRDefault="00D11247" w:rsidP="00D1124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1814E2" w14:textId="3A3C759C" w:rsidR="00D11247" w:rsidRPr="00E76209" w:rsidRDefault="003447D4" w:rsidP="00D11247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</w:t>
            </w:r>
            <w:r w:rsidR="00DB20EE">
              <w:rPr>
                <w:bCs/>
                <w:color w:val="000000"/>
                <w:szCs w:val="22"/>
              </w:rPr>
              <w:t>irth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5E875" w14:textId="13377095" w:rsidR="00D11247" w:rsidRPr="00E76209" w:rsidRDefault="00DB20EE" w:rsidP="00D11247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4 May 1963</w:t>
            </w:r>
          </w:p>
        </w:tc>
      </w:tr>
      <w:tr w:rsidR="009257AF" w:rsidRPr="00E76209" w14:paraId="09E31423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880B8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EE69D" w14:textId="67883298" w:rsidR="009257AF" w:rsidRDefault="009257AF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1F1B8" w14:textId="64A77C39" w:rsidR="009257AF" w:rsidRPr="00830787" w:rsidRDefault="00DB20EE" w:rsidP="009257AF">
            <w:pPr>
              <w:rPr>
                <w:noProof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9257AF" w:rsidRPr="00E76209" w14:paraId="6F46897B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F95C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E1D0F" w14:textId="15A32735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9257AF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8BBD" w14:textId="4C252045" w:rsidR="009257AF" w:rsidRPr="00E76209" w:rsidRDefault="00DB20EE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 xml:space="preserve">Minister for Education, Higher Education and Research in </w:t>
            </w:r>
            <w:r>
              <w:rPr>
                <w:noProof/>
                <w:color w:val="000000"/>
                <w:szCs w:val="22"/>
              </w:rPr>
              <w:t>Muammar</w:t>
            </w:r>
            <w:r w:rsidRPr="005C0EBD">
              <w:rPr>
                <w:noProof/>
                <w:color w:val="000000"/>
                <w:szCs w:val="22"/>
              </w:rPr>
              <w:t xml:space="preserve"> </w:t>
            </w:r>
            <w:r>
              <w:rPr>
                <w:noProof/>
                <w:color w:val="000000"/>
                <w:szCs w:val="22"/>
              </w:rPr>
              <w:t>Qadhafi</w:t>
            </w:r>
            <w:r w:rsidRPr="005C0EBD">
              <w:rPr>
                <w:noProof/>
                <w:color w:val="000000"/>
                <w:szCs w:val="22"/>
              </w:rPr>
              <w:t>’s Government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9257AF" w:rsidRPr="00E76209" w14:paraId="56C8EE4F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519E4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EEA03" w14:textId="211EFA88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9257AF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590C" w14:textId="0D6032A9" w:rsidR="009257AF" w:rsidRPr="00E76209" w:rsidRDefault="00DB20EE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2011LBY0024</w:t>
            </w:r>
          </w:p>
        </w:tc>
      </w:tr>
      <w:tr w:rsidR="009257AF" w:rsidRPr="00E76209" w14:paraId="021AA52F" w14:textId="77777777" w:rsidTr="00574DDE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7216D34" w14:textId="77777777" w:rsidR="009257AF" w:rsidRPr="00E76209" w:rsidRDefault="009257AF" w:rsidP="009257A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86735DC" w14:textId="7E7B7B51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9257AF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A8A2E2F" w14:textId="1E984793" w:rsidR="009257AF" w:rsidRPr="00E76209" w:rsidRDefault="00DB20EE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Abdelmajid AL-GAOUD</w:t>
            </w:r>
          </w:p>
        </w:tc>
      </w:tr>
      <w:tr w:rsidR="00F5032D" w:rsidRPr="00E76209" w14:paraId="13E2A229" w14:textId="77777777" w:rsidTr="00574DDE">
        <w:trPr>
          <w:trHeight w:val="2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78AC5C" w14:textId="77777777" w:rsidR="00F5032D" w:rsidRDefault="00F5032D" w:rsidP="009257AF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C790CFB" w14:textId="07952EA9" w:rsidR="00F5032D" w:rsidRDefault="00F5032D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birth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AF3BE92" w14:textId="3B01D803" w:rsidR="00F5032D" w:rsidRPr="005C0EBD" w:rsidRDefault="00F5032D" w:rsidP="009257AF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1943</w:t>
            </w:r>
          </w:p>
        </w:tc>
      </w:tr>
      <w:tr w:rsidR="009257AF" w:rsidRPr="00E76209" w14:paraId="4606297C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0C1DD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9FABF" w14:textId="68293194" w:rsidR="009257AF" w:rsidRDefault="009257AF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56BD3" w14:textId="6BE49F09" w:rsidR="009257AF" w:rsidRPr="00830787" w:rsidRDefault="00DB20EE" w:rsidP="009257AF">
            <w:pPr>
              <w:rPr>
                <w:noProof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9257AF" w:rsidRPr="00E76209" w14:paraId="412ED82B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80242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4C82" w14:textId="7B7B94E0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9257AF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2E959" w14:textId="6DBCA76E" w:rsidR="009257AF" w:rsidRPr="00E76209" w:rsidRDefault="00DB20EE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 xml:space="preserve">Minister for Agriculture, Animal and Maritime Resources in </w:t>
            </w:r>
            <w:r w:rsidR="00172F73">
              <w:rPr>
                <w:noProof/>
                <w:color w:val="000000"/>
                <w:szCs w:val="22"/>
              </w:rPr>
              <w:t>Muammar</w:t>
            </w:r>
            <w:r w:rsidR="0016300E">
              <w:rPr>
                <w:noProof/>
                <w:color w:val="000000"/>
                <w:szCs w:val="22"/>
              </w:rPr>
              <w:t xml:space="preserve"> </w:t>
            </w:r>
            <w:r>
              <w:rPr>
                <w:noProof/>
                <w:color w:val="000000"/>
                <w:szCs w:val="22"/>
              </w:rPr>
              <w:t>Qadhafi</w:t>
            </w:r>
            <w:r w:rsidRPr="005C0EBD">
              <w:rPr>
                <w:noProof/>
                <w:color w:val="000000"/>
                <w:szCs w:val="22"/>
              </w:rPr>
              <w:t>’s Government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9257AF" w:rsidRPr="00E76209" w14:paraId="13F6B262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D27C57C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9CFF40C" w14:textId="4CBDA07C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9257AF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9D24D91" w14:textId="2DF66DFA" w:rsidR="009257AF" w:rsidRPr="00E76209" w:rsidRDefault="002E313A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2011LBY0021</w:t>
            </w:r>
          </w:p>
        </w:tc>
      </w:tr>
      <w:tr w:rsidR="009257AF" w:rsidRPr="00E76209" w14:paraId="67639C1D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8297B" w14:textId="77777777" w:rsidR="009257AF" w:rsidRPr="00E76209" w:rsidRDefault="009257AF" w:rsidP="009257A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C0930" w14:textId="529A5F23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9257AF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91E14" w14:textId="00C71D2D" w:rsidR="009257AF" w:rsidRPr="00E76209" w:rsidRDefault="002E313A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Abdulqader Yusef DIBRI</w:t>
            </w:r>
          </w:p>
        </w:tc>
      </w:tr>
      <w:tr w:rsidR="009257AF" w:rsidRPr="00E76209" w14:paraId="00A55D8B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8F3E0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0D56F" w14:textId="7E185F1E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</w:t>
            </w:r>
            <w:r w:rsidR="009257AF">
              <w:rPr>
                <w:bCs/>
                <w:color w:val="000000"/>
                <w:szCs w:val="22"/>
              </w:rPr>
              <w:t>irth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8BCF2" w14:textId="79702417" w:rsidR="009257AF" w:rsidRPr="00E76209" w:rsidRDefault="00172F73" w:rsidP="009257AF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1946</w:t>
            </w:r>
          </w:p>
        </w:tc>
      </w:tr>
      <w:tr w:rsidR="009257AF" w:rsidRPr="00E76209" w14:paraId="2EDAF77B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257DD" w14:textId="77777777" w:rsidR="009257AF" w:rsidRDefault="009257AF" w:rsidP="009257AF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1A63B" w14:textId="0974474E" w:rsidR="009257AF" w:rsidRPr="0093417B" w:rsidRDefault="003447D4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Place of b</w:t>
            </w:r>
            <w:r w:rsidR="002E313A">
              <w:rPr>
                <w:bCs/>
                <w:color w:val="000000"/>
                <w:szCs w:val="22"/>
              </w:rPr>
              <w:t>irth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30EC9" w14:textId="1A630CC4" w:rsidR="009257AF" w:rsidRPr="0093417B" w:rsidRDefault="002E313A" w:rsidP="009257AF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Houn, Libya</w:t>
            </w:r>
          </w:p>
        </w:tc>
      </w:tr>
      <w:tr w:rsidR="009257AF" w:rsidRPr="00E76209" w14:paraId="46859F99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16DFE" w14:textId="77777777" w:rsidR="009257AF" w:rsidRDefault="009257AF" w:rsidP="009257AF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564FE" w14:textId="0F4881BC" w:rsidR="009257AF" w:rsidRDefault="009257AF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03531" w14:textId="275B84D9" w:rsidR="009257AF" w:rsidRPr="009257AF" w:rsidRDefault="002E313A" w:rsidP="009257AF">
            <w:pPr>
              <w:rPr>
                <w:noProof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9257AF" w:rsidRPr="00E76209" w14:paraId="599F792E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507F2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E95B8" w14:textId="16895510" w:rsidR="009257AF" w:rsidRPr="0093417B" w:rsidRDefault="009257AF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</w:t>
            </w:r>
            <w:r w:rsidR="003447D4">
              <w:rPr>
                <w:bCs/>
                <w:color w:val="000000"/>
                <w:szCs w:val="22"/>
              </w:rPr>
              <w:t>itional i</w:t>
            </w:r>
            <w:r w:rsidR="002E313A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2A6A2" w14:textId="2B0BAE8D" w:rsidR="009257AF" w:rsidRPr="0093417B" w:rsidRDefault="002E313A" w:rsidP="009257AF">
            <w:pPr>
              <w:rPr>
                <w:noProof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Head of Muammar Qadhafi’s personal security. Responsibility for regime security. History of directing violence against dissidents.</w:t>
            </w:r>
          </w:p>
        </w:tc>
      </w:tr>
      <w:tr w:rsidR="009257AF" w:rsidRPr="00E76209" w14:paraId="5AE8FC10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5F8BBF1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24EEB69" w14:textId="71F50D25" w:rsidR="009257AF" w:rsidRPr="00E76209" w:rsidRDefault="002E313A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</w:t>
            </w:r>
            <w:r w:rsidR="003447D4">
              <w:rPr>
                <w:bCs/>
                <w:color w:val="000000"/>
                <w:szCs w:val="22"/>
              </w:rPr>
              <w:t xml:space="preserve"> i</w:t>
            </w:r>
            <w:r w:rsidR="009257AF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8A9F355" w14:textId="73E71B96" w:rsidR="009257AF" w:rsidRPr="00E76209" w:rsidRDefault="002E313A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2011LBY0002</w:t>
            </w:r>
          </w:p>
        </w:tc>
      </w:tr>
      <w:tr w:rsidR="009257AF" w:rsidRPr="00E76209" w14:paraId="7D86C100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C3174" w14:textId="2416E1FD" w:rsidR="009257AF" w:rsidRPr="00E76209" w:rsidRDefault="002E313A" w:rsidP="009257A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2DC5" w14:textId="0CC00E82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9257AF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2B782" w14:textId="2B999FBD" w:rsidR="009257AF" w:rsidRPr="00E76209" w:rsidRDefault="002E313A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Bachir SALEH</w:t>
            </w:r>
          </w:p>
        </w:tc>
      </w:tr>
      <w:tr w:rsidR="009257AF" w:rsidRPr="00E76209" w14:paraId="35B8544D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727D8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05345" w14:textId="72A4ECF6" w:rsidR="009257AF" w:rsidRPr="00E76209" w:rsidRDefault="003447D4" w:rsidP="009257A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Also k</w:t>
            </w:r>
            <w:r w:rsidR="009257AF">
              <w:rPr>
                <w:bCs/>
                <w:color w:val="000000"/>
                <w:szCs w:val="22"/>
              </w:rPr>
              <w:t>nown as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77B0C" w14:textId="673AB1D1" w:rsidR="009257AF" w:rsidRPr="00E76209" w:rsidRDefault="002E313A" w:rsidP="009257A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Bashir Saleh BASHIR</w:t>
            </w:r>
          </w:p>
        </w:tc>
      </w:tr>
      <w:tr w:rsidR="00AC2EA3" w:rsidRPr="00E76209" w14:paraId="6721D8D2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F0DC9" w14:textId="77777777" w:rsidR="00AC2EA3" w:rsidRPr="00E76209" w:rsidRDefault="00AC2EA3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0A81E" w14:textId="310B55DA" w:rsidR="00AC2EA3" w:rsidRDefault="00AC2EA3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birth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E6767" w14:textId="012CB66D" w:rsidR="00AC2EA3" w:rsidRDefault="00AC2EA3" w:rsidP="009257AF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1946</w:t>
            </w:r>
          </w:p>
        </w:tc>
      </w:tr>
      <w:tr w:rsidR="009257AF" w:rsidRPr="00E76209" w14:paraId="0324386E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00DEF" w14:textId="77777777" w:rsidR="009257AF" w:rsidRDefault="009257AF" w:rsidP="009257AF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383BB" w14:textId="73BDD38B" w:rsidR="009257AF" w:rsidRDefault="009257AF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18B27" w14:textId="6E98A9BD" w:rsidR="009257AF" w:rsidRPr="005901FA" w:rsidRDefault="007E6017" w:rsidP="009257AF">
            <w:pPr>
              <w:rPr>
                <w:noProof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9257AF" w:rsidRPr="00E76209" w14:paraId="3542B633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C701A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8277" w14:textId="4313FFA1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7E6017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AF415" w14:textId="03693852" w:rsidR="009257AF" w:rsidRPr="00E76209" w:rsidRDefault="007E6017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Head of Cabinet of the Leader</w:t>
            </w:r>
            <w:r>
              <w:rPr>
                <w:noProof/>
                <w:color w:val="000000"/>
                <w:szCs w:val="22"/>
              </w:rPr>
              <w:t xml:space="preserve"> in Muammar Qadhafi’s Government.</w:t>
            </w:r>
          </w:p>
        </w:tc>
      </w:tr>
      <w:tr w:rsidR="009257AF" w:rsidRPr="00E76209" w14:paraId="52DFAE1E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B54A402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924C6A1" w14:textId="627155E6" w:rsidR="009257AF" w:rsidRPr="00E76209" w:rsidRDefault="007E6017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</w:t>
            </w:r>
            <w:r w:rsidR="003447D4">
              <w:rPr>
                <w:bCs/>
                <w:color w:val="000000"/>
                <w:szCs w:val="22"/>
              </w:rPr>
              <w:t xml:space="preserve"> i</w:t>
            </w:r>
            <w:r w:rsidR="009257AF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2E4E986" w14:textId="469033A2" w:rsidR="009257AF" w:rsidRPr="00E76209" w:rsidRDefault="007E6017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2011LBY0030</w:t>
            </w:r>
          </w:p>
        </w:tc>
      </w:tr>
      <w:tr w:rsidR="009257AF" w:rsidRPr="00E76209" w14:paraId="744DC724" w14:textId="77777777" w:rsidTr="00574DDE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323A9A8" w14:textId="0C19B169" w:rsidR="009257AF" w:rsidRPr="00E76209" w:rsidRDefault="007E6017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A307CE1" w14:textId="218A0D01" w:rsidR="009257AF" w:rsidRPr="00E76209" w:rsidRDefault="003447D4" w:rsidP="009257AF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9257AF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1339E54" w14:textId="3A0508C1" w:rsidR="009257AF" w:rsidRPr="00E76209" w:rsidRDefault="007E6017" w:rsidP="009257AF">
            <w:pPr>
              <w:rPr>
                <w:rFonts w:ascii="Calibri" w:hAnsi="Calibri" w:cs="Calibri"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Baghdadi AL-MAHMOUDI</w:t>
            </w:r>
          </w:p>
        </w:tc>
      </w:tr>
      <w:tr w:rsidR="007D453A" w:rsidRPr="00E76209" w14:paraId="7E49C255" w14:textId="77777777" w:rsidTr="00574DDE">
        <w:trPr>
          <w:trHeight w:val="2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5E2FD4C" w14:textId="77777777" w:rsidR="007D453A" w:rsidRDefault="007D453A" w:rsidP="009257AF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01C405F" w14:textId="12421592" w:rsidR="007D453A" w:rsidRDefault="007D453A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birth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6DE6EB3" w14:textId="64BB9969" w:rsidR="007D453A" w:rsidRPr="005C0EBD" w:rsidRDefault="0044562E" w:rsidP="009257AF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 xml:space="preserve">a) </w:t>
            </w:r>
            <w:r w:rsidR="007D453A">
              <w:rPr>
                <w:noProof/>
                <w:color w:val="000000"/>
                <w:szCs w:val="22"/>
              </w:rPr>
              <w:t>1945</w:t>
            </w:r>
            <w:r>
              <w:rPr>
                <w:noProof/>
                <w:color w:val="000000"/>
                <w:szCs w:val="22"/>
              </w:rPr>
              <w:t>, b)</w:t>
            </w:r>
            <w:r w:rsidR="0016300E">
              <w:rPr>
                <w:noProof/>
                <w:color w:val="000000"/>
                <w:szCs w:val="22"/>
              </w:rPr>
              <w:t xml:space="preserve"> </w:t>
            </w:r>
            <w:r w:rsidR="007D453A">
              <w:rPr>
                <w:noProof/>
                <w:color w:val="000000"/>
                <w:szCs w:val="22"/>
              </w:rPr>
              <w:t>1950</w:t>
            </w:r>
          </w:p>
        </w:tc>
      </w:tr>
      <w:tr w:rsidR="009257AF" w:rsidRPr="00E76209" w14:paraId="7AB4B138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3A81A" w14:textId="77777777" w:rsidR="009257AF" w:rsidRPr="00E76209" w:rsidRDefault="009257AF" w:rsidP="009257AF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4CED9" w14:textId="05C1E0F2" w:rsidR="009257AF" w:rsidRDefault="009257AF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06022" w14:textId="41A0F9AF" w:rsidR="009257AF" w:rsidRDefault="007E6017" w:rsidP="009257AF">
            <w:pPr>
              <w:rPr>
                <w:noProof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9257AF" w:rsidRPr="00E76209" w14:paraId="3D2212AC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AE735" w14:textId="77777777" w:rsidR="009257AF" w:rsidRPr="00E76209" w:rsidRDefault="009257AF" w:rsidP="009257AF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4B413" w14:textId="47BDF4B4" w:rsidR="009257AF" w:rsidRDefault="003447D4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9257AF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CEBE3" w14:textId="7DF3FD52" w:rsidR="009257AF" w:rsidRDefault="007E6017" w:rsidP="009257AF">
            <w:pPr>
              <w:rPr>
                <w:noProof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 xml:space="preserve">Prime Minister </w:t>
            </w:r>
            <w:r>
              <w:rPr>
                <w:noProof/>
                <w:color w:val="000000"/>
                <w:szCs w:val="22"/>
              </w:rPr>
              <w:t>in</w:t>
            </w:r>
            <w:r w:rsidRPr="005C0EBD">
              <w:rPr>
                <w:noProof/>
                <w:color w:val="000000"/>
                <w:szCs w:val="22"/>
              </w:rPr>
              <w:t xml:space="preserve"> </w:t>
            </w:r>
            <w:r>
              <w:rPr>
                <w:noProof/>
                <w:color w:val="000000"/>
                <w:szCs w:val="22"/>
              </w:rPr>
              <w:t>Muammar</w:t>
            </w:r>
            <w:r w:rsidRPr="005C0EBD">
              <w:rPr>
                <w:noProof/>
                <w:color w:val="000000"/>
                <w:szCs w:val="22"/>
              </w:rPr>
              <w:t xml:space="preserve"> </w:t>
            </w:r>
            <w:r>
              <w:rPr>
                <w:noProof/>
                <w:color w:val="000000"/>
                <w:szCs w:val="22"/>
              </w:rPr>
              <w:t>Qadhafi</w:t>
            </w:r>
            <w:r w:rsidRPr="005C0EBD">
              <w:rPr>
                <w:noProof/>
                <w:color w:val="000000"/>
                <w:szCs w:val="22"/>
              </w:rPr>
              <w:t>’s Government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9257AF" w:rsidRPr="00E76209" w14:paraId="48B8C8A8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CF0FB62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3E8E2D9" w14:textId="4E2F836D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9257AF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8538F99" w14:textId="16A5142E" w:rsidR="009257AF" w:rsidRPr="00E76209" w:rsidRDefault="007E6017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2011LBY0022</w:t>
            </w:r>
          </w:p>
        </w:tc>
      </w:tr>
      <w:tr w:rsidR="009257AF" w:rsidRPr="00E76209" w14:paraId="4867F2D7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ED1B" w14:textId="7A7BB3A7" w:rsidR="009257AF" w:rsidRPr="00E76209" w:rsidRDefault="007E6017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3EA58" w14:textId="4CCCA333" w:rsidR="009257AF" w:rsidRPr="00E76209" w:rsidRDefault="003447D4" w:rsidP="009257AF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9257AF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1FB07" w14:textId="4A2A4681" w:rsidR="009257AF" w:rsidRPr="00E76209" w:rsidRDefault="007E6017" w:rsidP="009257AF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Colonel Amid Husain AL KUNI</w:t>
            </w:r>
          </w:p>
        </w:tc>
      </w:tr>
      <w:tr w:rsidR="009257AF" w:rsidRPr="00E76209" w14:paraId="39C8A296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A3BC8" w14:textId="77777777" w:rsidR="009257AF" w:rsidRDefault="009257AF" w:rsidP="009257AF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46D2E" w14:textId="61123513" w:rsidR="009257AF" w:rsidRDefault="009257AF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D4B90" w14:textId="09327AF0" w:rsidR="009257AF" w:rsidRPr="005901FA" w:rsidRDefault="007E6017" w:rsidP="009257AF">
            <w:pPr>
              <w:rPr>
                <w:noProof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9257AF" w:rsidRPr="00E76209" w14:paraId="305455E0" w14:textId="77777777" w:rsidTr="007E6017">
        <w:trPr>
          <w:trHeight w:val="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89BE5E" w14:textId="77777777" w:rsidR="009257AF" w:rsidRPr="00E76209" w:rsidRDefault="009257AF" w:rsidP="009257AF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EB6141" w14:textId="6DFB8C8C" w:rsidR="009257AF" w:rsidRPr="007E6017" w:rsidRDefault="003447D4" w:rsidP="009257AF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Additional i</w:t>
            </w:r>
            <w:r w:rsidR="009257AF">
              <w:rPr>
                <w:rFonts w:cs="Times New Roman"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9FED594" w14:textId="5851C8DC" w:rsidR="009257AF" w:rsidRPr="0038045D" w:rsidRDefault="007E6017" w:rsidP="009257AF">
            <w:pPr>
              <w:rPr>
                <w:rFonts w:cs="Times New Roman"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Cs w:val="22"/>
              </w:rPr>
              <w:t>Governor of Ghat (South Libya)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7E6017" w:rsidRPr="00E76209" w14:paraId="4F208551" w14:textId="77777777" w:rsidTr="007E601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11DCA8D7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945F408" w14:textId="310A2B58" w:rsidR="007E6017" w:rsidRDefault="003447D4" w:rsidP="007E6017">
            <w:pPr>
              <w:rPr>
                <w:rFonts w:cs="Times New Roman"/>
                <w:color w:val="000000"/>
                <w:szCs w:val="22"/>
              </w:rPr>
            </w:pPr>
            <w:r>
              <w:rPr>
                <w:rFonts w:cs="Times New Roman"/>
                <w:color w:val="000000"/>
                <w:szCs w:val="22"/>
              </w:rPr>
              <w:t>Listing i</w:t>
            </w:r>
            <w:r w:rsidR="007E6017">
              <w:rPr>
                <w:rFonts w:cs="Times New Roman"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BAFB786" w14:textId="4E5DAAEF" w:rsidR="007E6017" w:rsidRDefault="007E6017" w:rsidP="007E6017">
            <w:pPr>
              <w:rPr>
                <w:noProof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2011LBY0017</w:t>
            </w:r>
          </w:p>
        </w:tc>
      </w:tr>
      <w:tr w:rsidR="007E6017" w:rsidRPr="00E76209" w14:paraId="7B21C023" w14:textId="77777777" w:rsidTr="00574DDE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E6F3450" w14:textId="11B92E3E" w:rsidR="007E6017" w:rsidRPr="00E76209" w:rsidRDefault="007E6017" w:rsidP="007E6017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B36B4E7" w14:textId="2930461C" w:rsidR="007E6017" w:rsidRPr="00E76209" w:rsidRDefault="003447D4" w:rsidP="007E6017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7E6017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CC70BEF" w14:textId="6ECB2C8A" w:rsidR="007E6017" w:rsidRPr="00E76209" w:rsidRDefault="007E6017" w:rsidP="007E6017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General Khaled TOHAMI</w:t>
            </w:r>
          </w:p>
        </w:tc>
      </w:tr>
      <w:tr w:rsidR="00AC2EA3" w:rsidRPr="00E76209" w14:paraId="21B8D2A2" w14:textId="77777777" w:rsidTr="00574DDE">
        <w:trPr>
          <w:trHeight w:val="2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5DBBB7" w14:textId="77777777" w:rsidR="00AC2EA3" w:rsidRDefault="00AC2EA3" w:rsidP="007E6017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3F7116E" w14:textId="052A9C8F" w:rsidR="00AC2EA3" w:rsidRDefault="00AC2EA3" w:rsidP="007E6017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birth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8647A68" w14:textId="3A1A212A" w:rsidR="00AC2EA3" w:rsidRPr="005C0EBD" w:rsidRDefault="00AC2EA3" w:rsidP="007E6017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1946</w:t>
            </w:r>
          </w:p>
        </w:tc>
      </w:tr>
      <w:tr w:rsidR="007E6017" w:rsidRPr="00E76209" w14:paraId="1E5B609B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C0C73" w14:textId="77777777" w:rsidR="007E6017" w:rsidRDefault="007E6017" w:rsidP="007E6017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68B05" w14:textId="1F8AEA0E" w:rsidR="007E6017" w:rsidRDefault="007E6017" w:rsidP="007E6017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00061" w14:textId="39FC104C" w:rsidR="007E6017" w:rsidRPr="005901FA" w:rsidRDefault="007E6017" w:rsidP="007E6017">
            <w:pPr>
              <w:rPr>
                <w:noProof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7E6017" w:rsidRPr="00E76209" w14:paraId="139B9183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C3DBC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91031" w14:textId="6C258FCB" w:rsidR="007E6017" w:rsidRPr="00E76209" w:rsidRDefault="003447D4" w:rsidP="007E6017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7E6017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F8CD" w14:textId="5E9DF916" w:rsidR="007E6017" w:rsidRPr="00E76209" w:rsidRDefault="007E6017" w:rsidP="007E6017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Director of Internal Security Office</w:t>
            </w:r>
            <w:r>
              <w:rPr>
                <w:noProof/>
                <w:color w:val="000000"/>
                <w:szCs w:val="22"/>
              </w:rPr>
              <w:t xml:space="preserve"> in Muammar Qadhafi’s Government.</w:t>
            </w:r>
          </w:p>
        </w:tc>
      </w:tr>
      <w:tr w:rsidR="007E6017" w:rsidRPr="00E76209" w14:paraId="23FA12E0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22A1B8A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46F6BE1" w14:textId="0644D1B0" w:rsidR="007E6017" w:rsidRPr="00E76209" w:rsidRDefault="003447D4" w:rsidP="007E6017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7E6017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18A5C0C" w14:textId="114F40E3" w:rsidR="007E6017" w:rsidRPr="00E76209" w:rsidRDefault="007E6017" w:rsidP="007E6017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2011LBY0031</w:t>
            </w:r>
          </w:p>
        </w:tc>
      </w:tr>
      <w:tr w:rsidR="007E6017" w:rsidRPr="00E76209" w14:paraId="6BD239D9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E9C61" w14:textId="20E1F066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E76209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009E" w14:textId="6D145F9E" w:rsidR="007E6017" w:rsidRPr="00E76209" w:rsidRDefault="007E6017" w:rsidP="007E6017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</w:t>
            </w:r>
            <w:r w:rsidR="003447D4">
              <w:rPr>
                <w:bCs/>
                <w:color w:val="000000"/>
                <w:szCs w:val="22"/>
              </w:rPr>
              <w:t>me of i</w:t>
            </w:r>
            <w:r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E8B48" w14:textId="103E232E" w:rsidR="007E6017" w:rsidRPr="00E76209" w:rsidRDefault="007E6017" w:rsidP="007E6017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Ibrahim Zarroug AL-CHARIF</w:t>
            </w:r>
          </w:p>
        </w:tc>
      </w:tr>
      <w:tr w:rsidR="007E6017" w:rsidRPr="00E76209" w14:paraId="54D6A58A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2BE9C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73DEC" w14:textId="49997719" w:rsidR="007E6017" w:rsidRDefault="007E6017" w:rsidP="007E6017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F87BA" w14:textId="2DD3F800" w:rsidR="007E6017" w:rsidRPr="002167BF" w:rsidRDefault="007E6017" w:rsidP="007E6017">
            <w:pPr>
              <w:rPr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7E6017" w:rsidRPr="00E76209" w14:paraId="28D3D868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44FA3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00764" w14:textId="1C97F877" w:rsidR="007E6017" w:rsidRDefault="003447D4" w:rsidP="007E6017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7E6017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865BE" w14:textId="62C1CD9C" w:rsidR="007E6017" w:rsidRPr="005D236F" w:rsidRDefault="007E6017" w:rsidP="007E6017">
            <w:pPr>
              <w:rPr>
                <w:i/>
                <w:iCs/>
                <w:noProof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 xml:space="preserve">Minister for Social Affairs in </w:t>
            </w:r>
            <w:r>
              <w:rPr>
                <w:noProof/>
                <w:color w:val="000000"/>
                <w:szCs w:val="22"/>
              </w:rPr>
              <w:t>Muammar</w:t>
            </w:r>
            <w:r w:rsidRPr="005C0EBD">
              <w:rPr>
                <w:noProof/>
                <w:color w:val="000000"/>
                <w:szCs w:val="22"/>
              </w:rPr>
              <w:t xml:space="preserve"> </w:t>
            </w:r>
            <w:r>
              <w:rPr>
                <w:noProof/>
                <w:color w:val="000000"/>
                <w:szCs w:val="22"/>
              </w:rPr>
              <w:t>Qadhafi</w:t>
            </w:r>
            <w:r w:rsidRPr="005C0EBD">
              <w:rPr>
                <w:noProof/>
                <w:color w:val="000000"/>
                <w:szCs w:val="22"/>
              </w:rPr>
              <w:t>’s Government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7E6017" w:rsidRPr="00E76209" w14:paraId="2A920174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54AF9E6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861BF5A" w14:textId="4C0A33CA" w:rsidR="007E6017" w:rsidRPr="00E76209" w:rsidRDefault="003447D4" w:rsidP="007E601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7E6017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F6AE84" w14:textId="66663878" w:rsidR="007E6017" w:rsidRPr="00E76209" w:rsidRDefault="007E6017" w:rsidP="007E6017">
            <w:pPr>
              <w:rPr>
                <w:rFonts w:ascii="Calibri" w:hAnsi="Calibri" w:cs="Calibri"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2011LBY0020</w:t>
            </w:r>
          </w:p>
        </w:tc>
      </w:tr>
      <w:tr w:rsidR="007E6017" w:rsidRPr="00E76209" w14:paraId="113C879C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DF749" w14:textId="177142D3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4A3DB" w14:textId="1837F379" w:rsidR="007E6017" w:rsidRPr="00E76209" w:rsidRDefault="003447D4" w:rsidP="007E6017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7E6017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ED775" w14:textId="7D5DD346" w:rsidR="007E6017" w:rsidRPr="007E6017" w:rsidRDefault="007E6017" w:rsidP="007E6017">
            <w:pPr>
              <w:rPr>
                <w:b/>
                <w:bCs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Mohamad Mahmoud HIJAZI</w:t>
            </w:r>
          </w:p>
        </w:tc>
      </w:tr>
      <w:tr w:rsidR="007E6017" w:rsidRPr="00E76209" w14:paraId="48D40DC1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738C2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946DE" w14:textId="0A208014" w:rsidR="007E6017" w:rsidRDefault="007E6017" w:rsidP="007E6017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064B3" w14:textId="51190873" w:rsidR="007E6017" w:rsidRPr="002167BF" w:rsidRDefault="007E6017" w:rsidP="007E6017">
            <w:pPr>
              <w:rPr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7E6017" w:rsidRPr="00E76209" w14:paraId="1F3B0AFC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C35C7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7DDC6" w14:textId="2B523B41" w:rsidR="007E6017" w:rsidRPr="00E76209" w:rsidRDefault="003447D4" w:rsidP="007E6017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7E6017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3BD8A" w14:textId="62A9B739" w:rsidR="007E6017" w:rsidRPr="00E76209" w:rsidRDefault="007E6017" w:rsidP="007E6017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 xml:space="preserve">Minister for Health and Environment in </w:t>
            </w:r>
            <w:r>
              <w:rPr>
                <w:noProof/>
                <w:color w:val="000000"/>
                <w:szCs w:val="22"/>
              </w:rPr>
              <w:t>Muammar</w:t>
            </w:r>
            <w:r w:rsidRPr="005C0EBD">
              <w:rPr>
                <w:noProof/>
                <w:color w:val="000000"/>
                <w:szCs w:val="22"/>
              </w:rPr>
              <w:t xml:space="preserve"> </w:t>
            </w:r>
            <w:r>
              <w:rPr>
                <w:noProof/>
                <w:color w:val="000000"/>
                <w:szCs w:val="22"/>
              </w:rPr>
              <w:t>Qadhafi</w:t>
            </w:r>
            <w:r w:rsidRPr="005C0EBD">
              <w:rPr>
                <w:noProof/>
                <w:color w:val="000000"/>
                <w:szCs w:val="22"/>
              </w:rPr>
              <w:t>’s Government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7E6017" w:rsidRPr="00E76209" w14:paraId="4370F0E7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72133B3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FC91ED1" w14:textId="022756EF" w:rsidR="007E6017" w:rsidRPr="00E76209" w:rsidRDefault="003447D4" w:rsidP="007E601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7E6017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1AFE1A9" w14:textId="6C880985" w:rsidR="007E6017" w:rsidRPr="00E76209" w:rsidRDefault="00456A53" w:rsidP="007E6017">
            <w:pPr>
              <w:rPr>
                <w:rFonts w:ascii="Calibri" w:hAnsi="Calibri" w:cs="Calibri"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2011LBY0027</w:t>
            </w:r>
          </w:p>
        </w:tc>
      </w:tr>
      <w:tr w:rsidR="007E6017" w:rsidRPr="00E76209" w14:paraId="4F796F89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10118" w14:textId="56652CF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3DFBE" w14:textId="45473C46" w:rsidR="007E6017" w:rsidRPr="00E76209" w:rsidRDefault="003447D4" w:rsidP="007E6017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7E6017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56B1" w14:textId="40F15F67" w:rsidR="007E6017" w:rsidRPr="00E76209" w:rsidRDefault="00456A53" w:rsidP="007E6017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Mohamed Abou EL-KASSIM ZOUAI</w:t>
            </w:r>
          </w:p>
        </w:tc>
      </w:tr>
      <w:tr w:rsidR="007E6017" w:rsidRPr="00E76209" w14:paraId="29B30545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CBE70" w14:textId="77777777" w:rsidR="007E6017" w:rsidRDefault="007E6017" w:rsidP="007E6017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2987F" w14:textId="53DDF2D8" w:rsidR="007E6017" w:rsidRDefault="007E6017" w:rsidP="007E6017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0F064" w14:textId="5EC6190E" w:rsidR="007E6017" w:rsidRPr="002167BF" w:rsidRDefault="00456A53" w:rsidP="007E6017">
            <w:pPr>
              <w:rPr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7E6017" w:rsidRPr="00E76209" w14:paraId="54259D95" w14:textId="77777777" w:rsidTr="00456A53">
        <w:trPr>
          <w:trHeight w:val="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D67BA0" w14:textId="77777777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517986" w14:textId="12E89D1D" w:rsidR="007E6017" w:rsidRPr="00E76209" w:rsidRDefault="003447D4" w:rsidP="007E601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7E6017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AFDFB2" w14:textId="0B94B1B9" w:rsidR="007E6017" w:rsidRPr="00E76209" w:rsidRDefault="00456A53" w:rsidP="007E601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Cs w:val="22"/>
              </w:rPr>
              <w:t>Secretary General of the General People’s Congress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456A53" w:rsidRPr="00E76209" w14:paraId="19924660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49F837E" w14:textId="77777777" w:rsidR="00456A53" w:rsidRPr="00E76209" w:rsidRDefault="00456A53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684498B" w14:textId="76C8546C" w:rsidR="00456A53" w:rsidRDefault="003447D4" w:rsidP="007E6017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456A53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C06525A" w14:textId="4C793327" w:rsidR="00456A53" w:rsidRDefault="00456A53" w:rsidP="007E6017">
            <w:pPr>
              <w:rPr>
                <w:noProof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2011LBY0023</w:t>
            </w:r>
          </w:p>
        </w:tc>
      </w:tr>
      <w:tr w:rsidR="007E6017" w:rsidRPr="00E76209" w14:paraId="3ED4554B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3DFB9" w14:textId="3D4D0F79" w:rsidR="007E6017" w:rsidRPr="00E76209" w:rsidRDefault="007E6017" w:rsidP="007E6017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AB225" w14:textId="2364BB7D" w:rsidR="007E6017" w:rsidRPr="00E76209" w:rsidRDefault="003447D4" w:rsidP="007E6017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Name of i</w:t>
            </w:r>
            <w:r w:rsidR="007E6017">
              <w:rPr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10B89" w14:textId="0F41FFA9" w:rsidR="007E6017" w:rsidRPr="00E76209" w:rsidRDefault="00456A53" w:rsidP="007E6017">
            <w:pPr>
              <w:rPr>
                <w:rFonts w:ascii="Calibri" w:hAnsi="Calibri" w:cs="Calibri"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Mohamad Ali HOUEJ</w:t>
            </w:r>
          </w:p>
        </w:tc>
      </w:tr>
      <w:tr w:rsidR="007E6017" w:rsidRPr="00E76209" w14:paraId="773CA914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905DF" w14:textId="77777777" w:rsidR="007E6017" w:rsidRPr="00E76209" w:rsidRDefault="007E6017" w:rsidP="007E6017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1DDF" w14:textId="343A2AA2" w:rsidR="007E6017" w:rsidRPr="00E76209" w:rsidRDefault="003447D4" w:rsidP="007E601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Date of b</w:t>
            </w:r>
            <w:r w:rsidR="00456A53">
              <w:rPr>
                <w:color w:val="000000"/>
                <w:szCs w:val="22"/>
              </w:rPr>
              <w:t>irth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B02D" w14:textId="6108F416" w:rsidR="007E6017" w:rsidRPr="00E76209" w:rsidRDefault="00456A53" w:rsidP="007E601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July 1949</w:t>
            </w:r>
          </w:p>
        </w:tc>
      </w:tr>
      <w:tr w:rsidR="00456A53" w:rsidRPr="00E76209" w14:paraId="5987EE6E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5F987B" w14:textId="77777777" w:rsidR="00456A53" w:rsidRDefault="00456A53" w:rsidP="00456A53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9A6A9" w14:textId="3AD16070" w:rsidR="00456A53" w:rsidRDefault="00456A53" w:rsidP="00456A5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B8487" w14:textId="3C179043" w:rsidR="00456A53" w:rsidRDefault="00456A53" w:rsidP="00456A53">
            <w:pPr>
              <w:rPr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456A53" w:rsidRPr="00E76209" w14:paraId="5B3B09B4" w14:textId="77777777" w:rsidTr="00456A53">
        <w:trPr>
          <w:trHeight w:val="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8D20F3" w14:textId="77777777" w:rsidR="00456A53" w:rsidRPr="00E76209" w:rsidRDefault="00456A53" w:rsidP="00456A5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35F92C" w14:textId="73B4DD51" w:rsidR="00456A53" w:rsidRPr="00E76209" w:rsidRDefault="003447D4" w:rsidP="00456A5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456A53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A4E03C" w14:textId="30B45662" w:rsidR="00456A53" w:rsidRPr="00E76209" w:rsidRDefault="00456A53" w:rsidP="00456A53">
            <w:pPr>
              <w:rPr>
                <w:rFonts w:ascii="Calibri" w:hAnsi="Calibri" w:cs="Calibri"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 xml:space="preserve">Minister for Industry, Economy and Trade in </w:t>
            </w:r>
            <w:r>
              <w:rPr>
                <w:noProof/>
                <w:color w:val="000000"/>
                <w:szCs w:val="22"/>
              </w:rPr>
              <w:t>Muammar</w:t>
            </w:r>
            <w:r w:rsidRPr="005C0EBD">
              <w:rPr>
                <w:noProof/>
                <w:color w:val="000000"/>
                <w:szCs w:val="22"/>
              </w:rPr>
              <w:t xml:space="preserve"> </w:t>
            </w:r>
            <w:r>
              <w:rPr>
                <w:noProof/>
                <w:color w:val="000000"/>
                <w:szCs w:val="22"/>
              </w:rPr>
              <w:t>Qadhafi</w:t>
            </w:r>
            <w:r w:rsidRPr="005C0EBD">
              <w:rPr>
                <w:noProof/>
                <w:color w:val="000000"/>
                <w:szCs w:val="22"/>
              </w:rPr>
              <w:t>’s Government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456A53" w:rsidRPr="00E76209" w14:paraId="1438D52A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595C2ED" w14:textId="77777777" w:rsidR="00456A53" w:rsidRPr="00E76209" w:rsidRDefault="00456A53" w:rsidP="00456A5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D63C847" w14:textId="246EE9FF" w:rsidR="00456A53" w:rsidRDefault="003447D4" w:rsidP="00456A5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456A53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08071EE4" w14:textId="1F901EA4" w:rsidR="00456A53" w:rsidRDefault="00456A53" w:rsidP="00456A53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2011LBY0028</w:t>
            </w:r>
          </w:p>
        </w:tc>
      </w:tr>
      <w:tr w:rsidR="00456A53" w:rsidRPr="00E76209" w14:paraId="1DCBB195" w14:textId="77777777" w:rsidTr="00456A53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2F0292B" w14:textId="4200D64A" w:rsidR="00456A53" w:rsidRPr="00E76209" w:rsidRDefault="00456A53" w:rsidP="00456A53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26803E1" w14:textId="1F220836" w:rsidR="00456A53" w:rsidRPr="00E76209" w:rsidRDefault="003447D4" w:rsidP="00456A53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456A53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B699D7D" w14:textId="78FBE7B6" w:rsidR="00456A53" w:rsidRPr="00E76209" w:rsidRDefault="00456A53" w:rsidP="00456A53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Mohammed Boucharaya FARKASH</w:t>
            </w:r>
          </w:p>
        </w:tc>
      </w:tr>
      <w:tr w:rsidR="00456A53" w:rsidRPr="00E76209" w14:paraId="47961672" w14:textId="77777777" w:rsidTr="00456A53">
        <w:trPr>
          <w:trHeight w:val="20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BD12436" w14:textId="77777777" w:rsidR="00456A53" w:rsidRDefault="00456A53" w:rsidP="00456A53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16736E9" w14:textId="5EC663B1" w:rsidR="00456A53" w:rsidRDefault="003447D4" w:rsidP="00456A5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</w:t>
            </w:r>
            <w:r w:rsidR="00456A53">
              <w:rPr>
                <w:bCs/>
                <w:color w:val="000000"/>
                <w:szCs w:val="22"/>
              </w:rPr>
              <w:t>irth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FB255E6" w14:textId="2C02A744" w:rsidR="00456A53" w:rsidRPr="005C0EBD" w:rsidRDefault="00456A53" w:rsidP="00456A53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1 July 1949</w:t>
            </w:r>
          </w:p>
        </w:tc>
      </w:tr>
      <w:tr w:rsidR="00456A53" w:rsidRPr="00E76209" w14:paraId="6A862441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3417" w14:textId="77777777" w:rsidR="00456A53" w:rsidRDefault="00456A53" w:rsidP="00456A53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02BFF" w14:textId="3729B139" w:rsidR="00456A53" w:rsidRPr="00E76209" w:rsidRDefault="00456A53" w:rsidP="00456A5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4C715" w14:textId="018AD340" w:rsidR="00456A53" w:rsidRPr="00E76209" w:rsidRDefault="00456A53" w:rsidP="00456A53">
            <w:pPr>
              <w:rPr>
                <w:noProof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456A53" w:rsidRPr="00E76209" w14:paraId="79A19E5A" w14:textId="77777777" w:rsidTr="00456A53">
        <w:trPr>
          <w:trHeight w:val="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686DA2" w14:textId="77777777" w:rsidR="00456A53" w:rsidRPr="00E76209" w:rsidRDefault="00456A53" w:rsidP="00456A5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42A4CA" w14:textId="4037C945" w:rsidR="00456A53" w:rsidRPr="00E76209" w:rsidRDefault="003447D4" w:rsidP="00456A53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456A53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B8910E" w14:textId="3B26BA96" w:rsidR="00456A53" w:rsidRPr="00E76209" w:rsidRDefault="00456A53" w:rsidP="00456A53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Former Director of I</w:t>
            </w:r>
            <w:r w:rsidRPr="005C0EBD">
              <w:rPr>
                <w:noProof/>
                <w:color w:val="000000"/>
                <w:szCs w:val="22"/>
              </w:rPr>
              <w:t>ntelligence in External Security Office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456A53" w:rsidRPr="00E76209" w14:paraId="1E8E8114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60D58DDF" w14:textId="77777777" w:rsidR="00456A53" w:rsidRPr="00E76209" w:rsidRDefault="00456A53" w:rsidP="00456A5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7BB093CD" w14:textId="27E5115E" w:rsidR="00456A53" w:rsidRDefault="003447D4" w:rsidP="00456A5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456A53">
              <w:rPr>
                <w:bCs/>
                <w:color w:val="000000"/>
                <w:szCs w:val="22"/>
              </w:rPr>
              <w:t xml:space="preserve">nformation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0231FFA" w14:textId="4CFF5252" w:rsidR="00456A53" w:rsidRDefault="00456A53" w:rsidP="00456A53">
            <w:pPr>
              <w:rPr>
                <w:noProof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2011LBY0025</w:t>
            </w:r>
          </w:p>
        </w:tc>
      </w:tr>
      <w:tr w:rsidR="00456A53" w:rsidRPr="00E76209" w14:paraId="1C32D61E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3D8AA" w14:textId="6DF242BA" w:rsidR="00456A53" w:rsidRPr="00E76209" w:rsidRDefault="00456A53" w:rsidP="00456A5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BAF6D" w14:textId="50777112" w:rsidR="00456A53" w:rsidRPr="00E76209" w:rsidRDefault="003447D4" w:rsidP="00456A53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456A53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5AEE2" w14:textId="02D94516" w:rsidR="00456A53" w:rsidRPr="00E76209" w:rsidRDefault="00231EC1" w:rsidP="00456A53">
            <w:pPr>
              <w:rPr>
                <w:rFonts w:ascii="Calibri" w:hAnsi="Calibri" w:cs="Calibri"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  <w:lang w:val="fr-FR"/>
              </w:rPr>
              <w:t>Quren Salih Quren AL QADHAFI</w:t>
            </w:r>
          </w:p>
        </w:tc>
      </w:tr>
      <w:tr w:rsidR="00456A53" w:rsidRPr="00E76209" w14:paraId="1DFDECE0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5BBD0" w14:textId="77777777" w:rsidR="00456A53" w:rsidRDefault="00456A53" w:rsidP="00456A53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2FF31" w14:textId="317500DA" w:rsidR="00456A53" w:rsidRDefault="00456A53" w:rsidP="00456A5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4D28A" w14:textId="14E3C5D1" w:rsidR="00456A53" w:rsidRPr="002167BF" w:rsidRDefault="00231EC1" w:rsidP="00456A53">
            <w:pPr>
              <w:rPr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 w:rsidRPr="005D236F">
              <w:rPr>
                <w:noProof/>
                <w:color w:val="000000"/>
                <w:szCs w:val="22"/>
              </w:rPr>
              <w:t xml:space="preserve"> [F2012L00481]</w:t>
            </w:r>
          </w:p>
        </w:tc>
      </w:tr>
      <w:tr w:rsidR="00231EC1" w:rsidRPr="00E76209" w14:paraId="6F7AD646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7738B" w14:textId="77777777" w:rsidR="00231EC1" w:rsidRDefault="00231EC1" w:rsidP="00231EC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858A3" w14:textId="7CA8260D" w:rsidR="00231EC1" w:rsidRDefault="003447D4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231EC1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D4773" w14:textId="6882BA93" w:rsidR="00231EC1" w:rsidRPr="002167BF" w:rsidRDefault="00231EC1" w:rsidP="00231EC1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Cs w:val="22"/>
              </w:rPr>
              <w:t>Libyan Ambassador to Chad</w:t>
            </w:r>
            <w:r>
              <w:rPr>
                <w:noProof/>
                <w:color w:val="000000"/>
                <w:szCs w:val="22"/>
              </w:rPr>
              <w:t>.</w:t>
            </w:r>
          </w:p>
        </w:tc>
      </w:tr>
      <w:tr w:rsidR="00231EC1" w:rsidRPr="00E76209" w14:paraId="341128C5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567B30EB" w14:textId="77777777" w:rsidR="00231EC1" w:rsidRDefault="00231EC1" w:rsidP="00231EC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F107A04" w14:textId="1CDFC72A" w:rsidR="00231EC1" w:rsidRPr="00E76209" w:rsidRDefault="003447D4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231EC1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4625D2B4" w14:textId="1015F30D" w:rsidR="00231EC1" w:rsidRPr="00E76209" w:rsidRDefault="00231EC1" w:rsidP="00231EC1">
            <w:pPr>
              <w:rPr>
                <w:noProof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2011LBY0018</w:t>
            </w:r>
          </w:p>
        </w:tc>
      </w:tr>
      <w:tr w:rsidR="00231EC1" w:rsidRPr="00E76209" w14:paraId="13DD2B66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99839" w14:textId="4D9F8B68" w:rsidR="00231EC1" w:rsidRPr="00E76209" w:rsidRDefault="00231EC1" w:rsidP="00231EC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6ACB" w14:textId="24CB13B0" w:rsidR="00231EC1" w:rsidRPr="00E76209" w:rsidRDefault="00A95C75" w:rsidP="00231EC1">
            <w:pPr>
              <w:keepNext/>
              <w:keepLines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231EC1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ACE68" w14:textId="3B558070" w:rsidR="00231EC1" w:rsidRPr="00E76209" w:rsidRDefault="00231EC1" w:rsidP="00231EC1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Sayyid Mohammed QADHAF AL-DAM</w:t>
            </w:r>
          </w:p>
        </w:tc>
      </w:tr>
      <w:tr w:rsidR="00231EC1" w:rsidRPr="00E76209" w14:paraId="4882D875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8B406" w14:textId="77777777" w:rsidR="00231EC1" w:rsidRPr="00E76209" w:rsidRDefault="00231EC1" w:rsidP="00231EC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F2E95" w14:textId="3B91DA34" w:rsidR="00231EC1" w:rsidRPr="00E76209" w:rsidRDefault="00A95C75" w:rsidP="00231EC1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Date of b</w:t>
            </w:r>
            <w:r w:rsidR="00231EC1">
              <w:rPr>
                <w:noProof/>
                <w:color w:val="000000"/>
                <w:szCs w:val="22"/>
              </w:rPr>
              <w:t>irth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AF341" w14:textId="59859232" w:rsidR="00231EC1" w:rsidRPr="00E76209" w:rsidRDefault="003C6E48" w:rsidP="00231EC1">
            <w:pPr>
              <w:rPr>
                <w:noProof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>25</w:t>
            </w:r>
            <w:r w:rsidR="00D83A2A">
              <w:rPr>
                <w:noProof/>
                <w:color w:val="000000"/>
                <w:szCs w:val="22"/>
              </w:rPr>
              <w:t xml:space="preserve"> February </w:t>
            </w:r>
            <w:r w:rsidR="00231EC1">
              <w:rPr>
                <w:noProof/>
                <w:color w:val="000000"/>
                <w:szCs w:val="22"/>
              </w:rPr>
              <w:t>1948</w:t>
            </w:r>
          </w:p>
        </w:tc>
      </w:tr>
      <w:tr w:rsidR="00231EC1" w:rsidRPr="00E76209" w14:paraId="50E949E1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6E428" w14:textId="77777777" w:rsidR="00231EC1" w:rsidRPr="00E76209" w:rsidRDefault="00231EC1" w:rsidP="00231EC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BC2B3" w14:textId="6BBCA9A6" w:rsidR="00231EC1" w:rsidRPr="00E76209" w:rsidRDefault="00A95C75" w:rsidP="00231EC1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Place of b</w:t>
            </w:r>
            <w:r w:rsidR="00231EC1">
              <w:rPr>
                <w:bCs/>
                <w:color w:val="000000"/>
                <w:szCs w:val="22"/>
              </w:rPr>
              <w:t>irth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923A5" w14:textId="10D0FBDB" w:rsidR="00231EC1" w:rsidRPr="00E76209" w:rsidRDefault="00231EC1" w:rsidP="00231EC1">
            <w:pPr>
              <w:rPr>
                <w:noProof/>
                <w:color w:val="000000"/>
                <w:szCs w:val="22"/>
              </w:rPr>
            </w:pPr>
            <w:r>
              <w:rPr>
                <w:rFonts w:cs="Calibri"/>
                <w:color w:val="000000"/>
              </w:rPr>
              <w:t>Sirte, Libya</w:t>
            </w:r>
          </w:p>
        </w:tc>
      </w:tr>
      <w:tr w:rsidR="00231EC1" w:rsidRPr="00E76209" w14:paraId="64B9ACEF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496A0" w14:textId="77777777" w:rsidR="00231EC1" w:rsidRPr="00E76209" w:rsidRDefault="00231EC1" w:rsidP="00231EC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C32095" w14:textId="422C37AC" w:rsidR="00231EC1" w:rsidRDefault="00231EC1" w:rsidP="00231EC1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5F7A1" w14:textId="4D597B79" w:rsidR="00231EC1" w:rsidRPr="002B7EA0" w:rsidRDefault="00231EC1" w:rsidP="00231EC1">
            <w:pPr>
              <w:rPr>
                <w:rFonts w:cs="Calibri"/>
                <w:color w:val="000000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231EC1" w:rsidRPr="00E76209" w14:paraId="3956BB8D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2DE2" w14:textId="77777777" w:rsidR="00231EC1" w:rsidRPr="00E76209" w:rsidRDefault="00231EC1" w:rsidP="00231EC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F538" w14:textId="51C01550" w:rsidR="00231EC1" w:rsidRPr="00E76209" w:rsidRDefault="00231EC1" w:rsidP="00231EC1">
            <w:pPr>
              <w:keepNext/>
              <w:keepLines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</w:t>
            </w:r>
            <w:r w:rsidR="00A95C75">
              <w:rPr>
                <w:bCs/>
                <w:color w:val="000000"/>
                <w:szCs w:val="22"/>
              </w:rPr>
              <w:t>onal i</w:t>
            </w:r>
            <w:r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2F14" w14:textId="798225F8" w:rsidR="00231EC1" w:rsidRPr="00E76209" w:rsidRDefault="00231EC1" w:rsidP="00231EC1">
            <w:pPr>
              <w:rPr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 xml:space="preserve">Cousin of Muammar Qadhafi. In the 1980s, </w:t>
            </w:r>
            <w:r w:rsidRPr="006B253E">
              <w:rPr>
                <w:noProof/>
                <w:color w:val="000000"/>
                <w:szCs w:val="22"/>
              </w:rPr>
              <w:t xml:space="preserve">Qadhaf Al-Dam </w:t>
            </w:r>
            <w:r w:rsidRPr="005C0EBD">
              <w:rPr>
                <w:noProof/>
                <w:color w:val="000000"/>
                <w:szCs w:val="22"/>
              </w:rPr>
              <w:t>was involved in the dissident assassination campaign and allegedly responsible for several deaths in Europe. He is also thought to have been involved in arms procurement</w:t>
            </w:r>
            <w:r>
              <w:rPr>
                <w:noProof/>
                <w:color w:val="000000"/>
                <w:szCs w:val="22"/>
              </w:rPr>
              <w:t xml:space="preserve"> for the former Libyan regime</w:t>
            </w:r>
            <w:r w:rsidRPr="005C0EBD">
              <w:rPr>
                <w:noProof/>
                <w:color w:val="000000"/>
                <w:szCs w:val="22"/>
              </w:rPr>
              <w:t>.</w:t>
            </w:r>
          </w:p>
        </w:tc>
      </w:tr>
      <w:tr w:rsidR="00231EC1" w:rsidRPr="00E76209" w14:paraId="3B08C6A2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F65ED48" w14:textId="77777777" w:rsidR="00231EC1" w:rsidRPr="00E76209" w:rsidRDefault="00231EC1" w:rsidP="00231EC1">
            <w:pPr>
              <w:keepNext/>
              <w:keepLines/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44CD3ED" w14:textId="542BD6C6" w:rsidR="00231EC1" w:rsidRPr="00E76209" w:rsidRDefault="00A95C75" w:rsidP="00231EC1">
            <w:pPr>
              <w:keepNext/>
              <w:keepLines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231EC1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26AECBC" w14:textId="5EA730BF" w:rsidR="00231EC1" w:rsidRPr="00E76209" w:rsidRDefault="00231EC1" w:rsidP="00231EC1">
            <w:pPr>
              <w:rPr>
                <w:rFonts w:ascii="Calibri" w:hAnsi="Calibri" w:cs="Calibri"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2011LBY0006</w:t>
            </w:r>
          </w:p>
        </w:tc>
      </w:tr>
      <w:tr w:rsidR="00231EC1" w:rsidRPr="00E76209" w14:paraId="634B404E" w14:textId="77777777" w:rsidTr="00D11247">
        <w:trPr>
          <w:trHeight w:val="20"/>
        </w:trPr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B11CB" w14:textId="4F622118" w:rsidR="00231EC1" w:rsidRPr="00E76209" w:rsidRDefault="00231EC1" w:rsidP="00231EC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76EF" w14:textId="054FCF3C" w:rsidR="00231EC1" w:rsidRPr="00E76209" w:rsidRDefault="00A95C75" w:rsidP="00231EC1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i</w:t>
            </w:r>
            <w:r w:rsidR="00231EC1">
              <w:rPr>
                <w:bCs/>
                <w:color w:val="000000"/>
                <w:szCs w:val="22"/>
              </w:rPr>
              <w:t>ndividual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6EAA" w14:textId="24636B60" w:rsidR="00231EC1" w:rsidRPr="00E76209" w:rsidRDefault="00231EC1" w:rsidP="00231EC1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 xml:space="preserve">Shaariya </w:t>
            </w:r>
            <w:r w:rsidRPr="005C0EBD">
              <w:rPr>
                <w:noProof/>
                <w:color w:val="000000"/>
                <w:szCs w:val="22"/>
              </w:rPr>
              <w:t>ABU</w:t>
            </w:r>
          </w:p>
        </w:tc>
      </w:tr>
      <w:tr w:rsidR="00231EC1" w:rsidRPr="00E76209" w14:paraId="1D1FA1DB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ED44A" w14:textId="77777777" w:rsidR="00231EC1" w:rsidRDefault="00231EC1" w:rsidP="00231EC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3008F" w14:textId="53F5C48D" w:rsidR="00231EC1" w:rsidRPr="00E76209" w:rsidRDefault="00A95C75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Date of b</w:t>
            </w:r>
            <w:r w:rsidR="00231EC1">
              <w:rPr>
                <w:bCs/>
                <w:color w:val="000000"/>
                <w:szCs w:val="22"/>
              </w:rPr>
              <w:t>irth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95A72" w14:textId="73CC2322" w:rsidR="00231EC1" w:rsidRPr="00E76209" w:rsidRDefault="00231EC1" w:rsidP="00231EC1">
            <w:pPr>
              <w:rPr>
                <w:noProof/>
                <w:color w:val="000000"/>
                <w:szCs w:val="22"/>
              </w:rPr>
            </w:pPr>
            <w:r>
              <w:rPr>
                <w:rFonts w:cs="Calibri"/>
                <w:color w:val="000000"/>
              </w:rPr>
              <w:t>1 July 1949</w:t>
            </w:r>
          </w:p>
        </w:tc>
      </w:tr>
      <w:tr w:rsidR="00231EC1" w:rsidRPr="00E76209" w14:paraId="056424E6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D3E3F" w14:textId="77777777" w:rsidR="00231EC1" w:rsidRDefault="00231EC1" w:rsidP="00231EC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9EC27" w14:textId="6DE84971" w:rsidR="00231EC1" w:rsidRDefault="00231EC1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 and declaration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551E9" w14:textId="2EF372B9" w:rsidR="00231EC1" w:rsidRPr="002B7EA0" w:rsidRDefault="00231EC1" w:rsidP="00231EC1">
            <w:pPr>
              <w:rPr>
                <w:rFonts w:cs="Calibri"/>
                <w:color w:val="000000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231EC1" w:rsidRPr="00E76209" w14:paraId="36AED6B8" w14:textId="77777777" w:rsidTr="00BB7740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0B40" w14:textId="77777777" w:rsidR="00231EC1" w:rsidRPr="00E76209" w:rsidRDefault="00231EC1" w:rsidP="00231EC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750A" w14:textId="03C9F013" w:rsidR="00231EC1" w:rsidRPr="00E76209" w:rsidRDefault="00A95C75" w:rsidP="00231EC1">
            <w:pPr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Additional i</w:t>
            </w:r>
            <w:r w:rsidR="00231EC1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BAB7E" w14:textId="0707100C" w:rsidR="00231EC1" w:rsidRPr="00E76209" w:rsidRDefault="00231EC1" w:rsidP="00231EC1">
            <w:pPr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 xml:space="preserve">Former </w:t>
            </w:r>
            <w:r w:rsidRPr="005C0EBD">
              <w:rPr>
                <w:noProof/>
                <w:color w:val="000000"/>
                <w:szCs w:val="22"/>
              </w:rPr>
              <w:t>Deputy Head, External Security Organisation. Prominent member of regime. Brother-in-law of Muammar Qadhafi.</w:t>
            </w:r>
          </w:p>
        </w:tc>
      </w:tr>
      <w:tr w:rsidR="00231EC1" w:rsidRPr="00E76209" w14:paraId="2081148F" w14:textId="77777777" w:rsidTr="00D11247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C70116E" w14:textId="77777777" w:rsidR="00231EC1" w:rsidRPr="00E76209" w:rsidRDefault="00231EC1" w:rsidP="00231EC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225998D5" w14:textId="1685BA5A" w:rsidR="00231EC1" w:rsidRPr="00E76209" w:rsidRDefault="00A95C75" w:rsidP="00231EC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231EC1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248DE32" w14:textId="02B21DD8" w:rsidR="00231EC1" w:rsidRPr="00E76209" w:rsidRDefault="00231EC1" w:rsidP="00231EC1">
            <w:pPr>
              <w:rPr>
                <w:rFonts w:ascii="Calibri" w:hAnsi="Calibri" w:cs="Calibri"/>
                <w:color w:val="000000"/>
                <w:szCs w:val="22"/>
              </w:rPr>
            </w:pPr>
            <w:r w:rsidRPr="005C0EBD">
              <w:rPr>
                <w:noProof/>
                <w:color w:val="000000"/>
                <w:szCs w:val="22"/>
              </w:rPr>
              <w:t>Formerly listed on the RBA Consolidated List as 2011LBY0013</w:t>
            </w:r>
          </w:p>
        </w:tc>
      </w:tr>
    </w:tbl>
    <w:p w14:paraId="630864F3" w14:textId="77777777" w:rsidR="00701F85" w:rsidRPr="003B7CCF" w:rsidRDefault="00701F85" w:rsidP="00701F85">
      <w:pPr>
        <w:pStyle w:val="ActHead2"/>
      </w:pPr>
      <w:bookmarkStart w:id="40" w:name="_Toc44419361"/>
      <w:bookmarkStart w:id="41" w:name="_Toc44487848"/>
      <w:bookmarkEnd w:id="39"/>
      <w:r w:rsidRPr="003B7CCF">
        <w:t>Part 2—Designated entities</w:t>
      </w:r>
    </w:p>
    <w:p w14:paraId="696CD7C0" w14:textId="77777777" w:rsidR="00461D11" w:rsidRPr="00C615A1" w:rsidRDefault="00461D11" w:rsidP="00461D11"/>
    <w:tbl>
      <w:tblPr>
        <w:tblW w:w="8613" w:type="dxa"/>
        <w:tblLook w:val="0000" w:firstRow="0" w:lastRow="0" w:firstColumn="0" w:lastColumn="0" w:noHBand="0" w:noVBand="0"/>
      </w:tblPr>
      <w:tblGrid>
        <w:gridCol w:w="672"/>
        <w:gridCol w:w="2730"/>
        <w:gridCol w:w="5211"/>
      </w:tblGrid>
      <w:tr w:rsidR="00461D11" w:rsidRPr="00E76209" w14:paraId="3176060B" w14:textId="77777777" w:rsidTr="00D11247">
        <w:trPr>
          <w:trHeight w:val="20"/>
        </w:trPr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</w:tcPr>
          <w:p w14:paraId="0F9DE30E" w14:textId="77777777" w:rsidR="00461D11" w:rsidRPr="00C15FAF" w:rsidRDefault="00461D11" w:rsidP="00BB7740">
            <w:pPr>
              <w:jc w:val="right"/>
              <w:rPr>
                <w:rFonts w:cs="Times New Roman"/>
                <w:b/>
                <w:bCs/>
                <w:color w:val="000000"/>
                <w:szCs w:val="22"/>
              </w:rPr>
            </w:pPr>
            <w:r w:rsidRPr="00C15FAF">
              <w:rPr>
                <w:rFonts w:cs="Times New Roman"/>
                <w:b/>
                <w:bCs/>
                <w:color w:val="000000"/>
                <w:szCs w:val="22"/>
              </w:rPr>
              <w:t>Item</w:t>
            </w:r>
          </w:p>
        </w:tc>
        <w:tc>
          <w:tcPr>
            <w:tcW w:w="2730" w:type="dxa"/>
            <w:tcBorders>
              <w:top w:val="single" w:sz="12" w:space="0" w:color="auto"/>
              <w:bottom w:val="single" w:sz="12" w:space="0" w:color="auto"/>
            </w:tcBorders>
          </w:tcPr>
          <w:p w14:paraId="371C3EB1" w14:textId="77777777" w:rsidR="00461D11" w:rsidRPr="00C15FAF" w:rsidRDefault="00461D11" w:rsidP="00BB7740">
            <w:pPr>
              <w:rPr>
                <w:rFonts w:cs="Times New Roman"/>
                <w:b/>
                <w:bCs/>
                <w:color w:val="000000"/>
                <w:szCs w:val="22"/>
              </w:rPr>
            </w:pPr>
            <w:r w:rsidRPr="00C15FAF">
              <w:rPr>
                <w:rFonts w:cs="Times New Roman"/>
                <w:b/>
                <w:bCs/>
                <w:color w:val="000000"/>
                <w:szCs w:val="22"/>
              </w:rPr>
              <w:t>Description</w:t>
            </w:r>
          </w:p>
        </w:tc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14:paraId="519DE564" w14:textId="77777777" w:rsidR="00461D11" w:rsidRPr="00E76209" w:rsidRDefault="00461D11" w:rsidP="00BB7740">
            <w:pPr>
              <w:rPr>
                <w:bCs/>
                <w:color w:val="000000"/>
                <w:szCs w:val="22"/>
              </w:rPr>
            </w:pPr>
          </w:p>
        </w:tc>
      </w:tr>
      <w:tr w:rsidR="00461D11" w:rsidRPr="00E76209" w14:paraId="1E05D745" w14:textId="77777777" w:rsidTr="00D11247">
        <w:trPr>
          <w:trHeight w:val="20"/>
        </w:trPr>
        <w:tc>
          <w:tcPr>
            <w:tcW w:w="672" w:type="dxa"/>
            <w:tcBorders>
              <w:top w:val="single" w:sz="12" w:space="0" w:color="auto"/>
            </w:tcBorders>
          </w:tcPr>
          <w:p w14:paraId="17D2B03C" w14:textId="77777777" w:rsidR="00461D11" w:rsidRPr="00E76209" w:rsidRDefault="00461D11" w:rsidP="00BB7740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</w:p>
        </w:tc>
        <w:tc>
          <w:tcPr>
            <w:tcW w:w="2730" w:type="dxa"/>
            <w:tcBorders>
              <w:top w:val="single" w:sz="12" w:space="0" w:color="auto"/>
            </w:tcBorders>
          </w:tcPr>
          <w:p w14:paraId="08BFB848" w14:textId="4D7ACF36" w:rsidR="00461D11" w:rsidRPr="00E76209" w:rsidRDefault="00A95C75" w:rsidP="00BB7740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e</w:t>
            </w:r>
            <w:r w:rsidR="00D54A16">
              <w:rPr>
                <w:bCs/>
                <w:color w:val="000000"/>
                <w:szCs w:val="22"/>
              </w:rPr>
              <w:t>ntity</w:t>
            </w:r>
          </w:p>
        </w:tc>
        <w:tc>
          <w:tcPr>
            <w:tcW w:w="5211" w:type="dxa"/>
            <w:tcBorders>
              <w:top w:val="single" w:sz="12" w:space="0" w:color="auto"/>
            </w:tcBorders>
          </w:tcPr>
          <w:p w14:paraId="3E0D4466" w14:textId="29DA2512" w:rsidR="00461D11" w:rsidRPr="00E76209" w:rsidRDefault="00231EC1" w:rsidP="00BB7740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Al-Inma Holding Company for Construction and Real Estate Developments</w:t>
            </w:r>
          </w:p>
        </w:tc>
      </w:tr>
      <w:tr w:rsidR="009257AF" w:rsidRPr="00E76209" w14:paraId="49411D6D" w14:textId="77777777" w:rsidTr="00BB7740">
        <w:trPr>
          <w:trHeight w:val="20"/>
        </w:trPr>
        <w:tc>
          <w:tcPr>
            <w:tcW w:w="672" w:type="dxa"/>
          </w:tcPr>
          <w:p w14:paraId="2E01E434" w14:textId="77777777" w:rsidR="009257AF" w:rsidRPr="00E76209" w:rsidRDefault="009257AF" w:rsidP="009257AF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199C6D45" w14:textId="2D5979E4" w:rsidR="009257AF" w:rsidRPr="00E76209" w:rsidRDefault="00C15FAF" w:rsidP="00C15F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</w:t>
            </w:r>
          </w:p>
        </w:tc>
        <w:tc>
          <w:tcPr>
            <w:tcW w:w="5211" w:type="dxa"/>
          </w:tcPr>
          <w:p w14:paraId="2118A365" w14:textId="368A06B6" w:rsidR="009257AF" w:rsidRPr="002E1539" w:rsidRDefault="00231EC1" w:rsidP="009257AF">
            <w:pPr>
              <w:rPr>
                <w:bCs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9257AF" w:rsidRPr="00E76209" w14:paraId="0A54F664" w14:textId="77777777" w:rsidTr="00D11247">
        <w:trPr>
          <w:trHeight w:val="20"/>
        </w:trPr>
        <w:tc>
          <w:tcPr>
            <w:tcW w:w="672" w:type="dxa"/>
            <w:tcBorders>
              <w:bottom w:val="single" w:sz="12" w:space="0" w:color="auto"/>
            </w:tcBorders>
          </w:tcPr>
          <w:p w14:paraId="667238DE" w14:textId="77777777" w:rsidR="009257AF" w:rsidRPr="00E76209" w:rsidRDefault="009257AF" w:rsidP="009257AF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</w:tcPr>
          <w:p w14:paraId="46FC8ACB" w14:textId="5191A51D" w:rsidR="009257AF" w:rsidRPr="00E76209" w:rsidRDefault="00231EC1" w:rsidP="009257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</w:t>
            </w:r>
            <w:r w:rsidR="00A95C75">
              <w:rPr>
                <w:bCs/>
                <w:color w:val="000000"/>
                <w:szCs w:val="22"/>
              </w:rPr>
              <w:t xml:space="preserve"> i</w:t>
            </w:r>
            <w:r w:rsidR="009257AF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11" w:type="dxa"/>
            <w:tcBorders>
              <w:bottom w:val="single" w:sz="12" w:space="0" w:color="auto"/>
            </w:tcBorders>
          </w:tcPr>
          <w:p w14:paraId="61656808" w14:textId="11037205" w:rsidR="009257AF" w:rsidRPr="00E76209" w:rsidRDefault="00231EC1" w:rsidP="009257AF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Formerly listed on the RBA Consolidated List as 2011LBY0035</w:t>
            </w:r>
          </w:p>
        </w:tc>
      </w:tr>
      <w:tr w:rsidR="00231EC1" w:rsidRPr="00E76209" w14:paraId="6AA920F3" w14:textId="77777777" w:rsidTr="00D11247">
        <w:trPr>
          <w:trHeight w:val="20"/>
        </w:trPr>
        <w:tc>
          <w:tcPr>
            <w:tcW w:w="672" w:type="dxa"/>
            <w:tcBorders>
              <w:top w:val="single" w:sz="12" w:space="0" w:color="auto"/>
            </w:tcBorders>
          </w:tcPr>
          <w:p w14:paraId="2ADE3A79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</w:t>
            </w:r>
          </w:p>
        </w:tc>
        <w:tc>
          <w:tcPr>
            <w:tcW w:w="2730" w:type="dxa"/>
            <w:tcBorders>
              <w:top w:val="single" w:sz="12" w:space="0" w:color="auto"/>
            </w:tcBorders>
          </w:tcPr>
          <w:p w14:paraId="2A760E8C" w14:textId="496EE332" w:rsidR="00231EC1" w:rsidRPr="00E76209" w:rsidRDefault="00A95C75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e</w:t>
            </w:r>
            <w:r w:rsidR="00231EC1">
              <w:rPr>
                <w:bCs/>
                <w:color w:val="000000"/>
                <w:szCs w:val="22"/>
              </w:rPr>
              <w:t>ntity</w:t>
            </w:r>
          </w:p>
        </w:tc>
        <w:tc>
          <w:tcPr>
            <w:tcW w:w="5211" w:type="dxa"/>
            <w:tcBorders>
              <w:top w:val="single" w:sz="12" w:space="0" w:color="auto"/>
            </w:tcBorders>
          </w:tcPr>
          <w:p w14:paraId="0E18DB7E" w14:textId="3017FBED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Al-Inma Holding Company For Industrial Investments</w:t>
            </w:r>
          </w:p>
        </w:tc>
      </w:tr>
      <w:tr w:rsidR="00231EC1" w:rsidRPr="00E76209" w14:paraId="4108887D" w14:textId="77777777" w:rsidTr="00231EC1">
        <w:trPr>
          <w:trHeight w:val="20"/>
        </w:trPr>
        <w:tc>
          <w:tcPr>
            <w:tcW w:w="672" w:type="dxa"/>
          </w:tcPr>
          <w:p w14:paraId="31297083" w14:textId="77777777" w:rsidR="00231EC1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1DCE230A" w14:textId="28B516C9" w:rsidR="00231EC1" w:rsidRPr="00E76209" w:rsidRDefault="00C15FAF" w:rsidP="00C15F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</w:t>
            </w:r>
          </w:p>
        </w:tc>
        <w:tc>
          <w:tcPr>
            <w:tcW w:w="5211" w:type="dxa"/>
          </w:tcPr>
          <w:p w14:paraId="0822FB1F" w14:textId="0D9685C5" w:rsidR="00231EC1" w:rsidRDefault="00231EC1" w:rsidP="00231EC1">
            <w:pPr>
              <w:rPr>
                <w:bCs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231EC1" w:rsidRPr="00E76209" w14:paraId="5B79BD65" w14:textId="77777777" w:rsidTr="00231EC1">
        <w:trPr>
          <w:trHeight w:val="20"/>
        </w:trPr>
        <w:tc>
          <w:tcPr>
            <w:tcW w:w="672" w:type="dxa"/>
            <w:tcBorders>
              <w:bottom w:val="single" w:sz="12" w:space="0" w:color="auto"/>
            </w:tcBorders>
          </w:tcPr>
          <w:p w14:paraId="14449924" w14:textId="77777777" w:rsidR="00231EC1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</w:tcPr>
          <w:p w14:paraId="26B3C635" w14:textId="0317A713" w:rsidR="00231EC1" w:rsidRDefault="00A95C75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231EC1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11" w:type="dxa"/>
            <w:tcBorders>
              <w:bottom w:val="single" w:sz="12" w:space="0" w:color="auto"/>
            </w:tcBorders>
          </w:tcPr>
          <w:p w14:paraId="59C7A7B5" w14:textId="01E96ED1" w:rsidR="00231EC1" w:rsidRPr="00D11247" w:rsidRDefault="00231EC1" w:rsidP="00231EC1">
            <w:pPr>
              <w:rPr>
                <w:i/>
                <w:iCs/>
                <w:noProof/>
                <w:color w:val="000000"/>
                <w:szCs w:val="22"/>
                <w:highlight w:val="yellow"/>
              </w:rPr>
            </w:pPr>
            <w:r w:rsidRPr="00F54A56">
              <w:rPr>
                <w:noProof/>
                <w:color w:val="000000"/>
                <w:szCs w:val="22"/>
              </w:rPr>
              <w:t>Formerly listed on the RBA Consolidated List as 2011LBY0036</w:t>
            </w:r>
          </w:p>
        </w:tc>
      </w:tr>
      <w:tr w:rsidR="00231EC1" w:rsidRPr="00E76209" w14:paraId="754708C0" w14:textId="77777777" w:rsidTr="00231EC1">
        <w:trPr>
          <w:trHeight w:val="20"/>
        </w:trPr>
        <w:tc>
          <w:tcPr>
            <w:tcW w:w="672" w:type="dxa"/>
            <w:tcBorders>
              <w:top w:val="single" w:sz="12" w:space="0" w:color="auto"/>
            </w:tcBorders>
          </w:tcPr>
          <w:p w14:paraId="0048A32B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2730" w:type="dxa"/>
            <w:tcBorders>
              <w:top w:val="single" w:sz="12" w:space="0" w:color="auto"/>
            </w:tcBorders>
          </w:tcPr>
          <w:p w14:paraId="7DA849BC" w14:textId="0ECDAB9E" w:rsidR="00231EC1" w:rsidRPr="00E76209" w:rsidRDefault="00A95C75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e</w:t>
            </w:r>
            <w:r w:rsidR="00231EC1">
              <w:rPr>
                <w:bCs/>
                <w:color w:val="000000"/>
                <w:szCs w:val="22"/>
              </w:rPr>
              <w:t>ntity</w:t>
            </w:r>
          </w:p>
        </w:tc>
        <w:tc>
          <w:tcPr>
            <w:tcW w:w="5211" w:type="dxa"/>
            <w:tcBorders>
              <w:top w:val="single" w:sz="12" w:space="0" w:color="auto"/>
            </w:tcBorders>
          </w:tcPr>
          <w:p w14:paraId="3C21BC71" w14:textId="60DB89B7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Al-Inma Holding Company for Services Investments</w:t>
            </w:r>
          </w:p>
        </w:tc>
      </w:tr>
      <w:tr w:rsidR="00231EC1" w:rsidRPr="00E76209" w14:paraId="39D98253" w14:textId="77777777" w:rsidTr="00231EC1">
        <w:trPr>
          <w:trHeight w:val="20"/>
        </w:trPr>
        <w:tc>
          <w:tcPr>
            <w:tcW w:w="672" w:type="dxa"/>
          </w:tcPr>
          <w:p w14:paraId="57AE51CD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5585157D" w14:textId="6DF54B4F" w:rsidR="00231EC1" w:rsidRPr="00E76209" w:rsidRDefault="00C15FAF" w:rsidP="00C15F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</w:t>
            </w:r>
          </w:p>
        </w:tc>
        <w:tc>
          <w:tcPr>
            <w:tcW w:w="5211" w:type="dxa"/>
          </w:tcPr>
          <w:p w14:paraId="6D964B74" w14:textId="12445BC5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231EC1" w:rsidRPr="00E76209" w14:paraId="401C3FB9" w14:textId="77777777" w:rsidTr="00D11247">
        <w:trPr>
          <w:trHeight w:val="20"/>
        </w:trPr>
        <w:tc>
          <w:tcPr>
            <w:tcW w:w="672" w:type="dxa"/>
            <w:tcBorders>
              <w:bottom w:val="single" w:sz="12" w:space="0" w:color="auto"/>
            </w:tcBorders>
          </w:tcPr>
          <w:p w14:paraId="60914106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</w:tcPr>
          <w:p w14:paraId="3F787A8A" w14:textId="75775967" w:rsidR="00231EC1" w:rsidRDefault="00A95C75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231EC1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11" w:type="dxa"/>
            <w:tcBorders>
              <w:bottom w:val="single" w:sz="12" w:space="0" w:color="auto"/>
            </w:tcBorders>
          </w:tcPr>
          <w:p w14:paraId="0C01E78A" w14:textId="4B987D82" w:rsidR="00231EC1" w:rsidRPr="005D236F" w:rsidRDefault="00231EC1" w:rsidP="00231EC1">
            <w:pPr>
              <w:rPr>
                <w:i/>
                <w:iCs/>
                <w:noProof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Formerly listed on the RBA Consolidated List as 2011LBY003</w:t>
            </w:r>
            <w:r>
              <w:rPr>
                <w:noProof/>
                <w:color w:val="000000"/>
                <w:szCs w:val="22"/>
              </w:rPr>
              <w:t>7</w:t>
            </w:r>
          </w:p>
        </w:tc>
      </w:tr>
      <w:tr w:rsidR="00231EC1" w:rsidRPr="00E76209" w14:paraId="38F3E1CB" w14:textId="77777777" w:rsidTr="00D11247">
        <w:trPr>
          <w:trHeight w:val="20"/>
        </w:trPr>
        <w:tc>
          <w:tcPr>
            <w:tcW w:w="672" w:type="dxa"/>
            <w:tcBorders>
              <w:top w:val="single" w:sz="12" w:space="0" w:color="auto"/>
            </w:tcBorders>
          </w:tcPr>
          <w:p w14:paraId="50905A5B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4</w:t>
            </w:r>
          </w:p>
        </w:tc>
        <w:tc>
          <w:tcPr>
            <w:tcW w:w="2730" w:type="dxa"/>
            <w:tcBorders>
              <w:top w:val="single" w:sz="12" w:space="0" w:color="auto"/>
            </w:tcBorders>
          </w:tcPr>
          <w:p w14:paraId="4CE73843" w14:textId="39AC5008" w:rsidR="00231EC1" w:rsidRPr="00E76209" w:rsidRDefault="00A95C75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e</w:t>
            </w:r>
            <w:r w:rsidR="00231EC1">
              <w:rPr>
                <w:bCs/>
                <w:color w:val="000000"/>
                <w:szCs w:val="22"/>
              </w:rPr>
              <w:t>ntity</w:t>
            </w:r>
          </w:p>
        </w:tc>
        <w:tc>
          <w:tcPr>
            <w:tcW w:w="5211" w:type="dxa"/>
            <w:tcBorders>
              <w:top w:val="single" w:sz="12" w:space="0" w:color="auto"/>
            </w:tcBorders>
          </w:tcPr>
          <w:p w14:paraId="5D664F0F" w14:textId="1B26D77C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Al-Inma Holding Company for Tourism Investment</w:t>
            </w:r>
          </w:p>
        </w:tc>
      </w:tr>
      <w:tr w:rsidR="00231EC1" w:rsidRPr="00E76209" w14:paraId="463AAF16" w14:textId="77777777" w:rsidTr="00BB7740">
        <w:trPr>
          <w:trHeight w:val="20"/>
        </w:trPr>
        <w:tc>
          <w:tcPr>
            <w:tcW w:w="672" w:type="dxa"/>
          </w:tcPr>
          <w:p w14:paraId="70076FCF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6859478A" w14:textId="35893604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Address</w:t>
            </w:r>
          </w:p>
        </w:tc>
        <w:tc>
          <w:tcPr>
            <w:tcW w:w="5211" w:type="dxa"/>
          </w:tcPr>
          <w:p w14:paraId="441A7657" w14:textId="1EA9B8F1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 xml:space="preserve">Hasan al-Mashay Street (off al-Zawiyah Street) </w:t>
            </w:r>
          </w:p>
        </w:tc>
      </w:tr>
      <w:tr w:rsidR="00231EC1" w:rsidRPr="00E76209" w14:paraId="14778965" w14:textId="77777777" w:rsidTr="0044562E">
        <w:trPr>
          <w:trHeight w:val="20"/>
        </w:trPr>
        <w:tc>
          <w:tcPr>
            <w:tcW w:w="672" w:type="dxa"/>
          </w:tcPr>
          <w:p w14:paraId="31639794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54BACCCD" w14:textId="1895AF84" w:rsidR="00231EC1" w:rsidRPr="0093417B" w:rsidRDefault="00C15FAF" w:rsidP="00C15F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</w:t>
            </w:r>
          </w:p>
        </w:tc>
        <w:tc>
          <w:tcPr>
            <w:tcW w:w="5211" w:type="dxa"/>
          </w:tcPr>
          <w:p w14:paraId="1D4FAB9E" w14:textId="080C904B" w:rsidR="00231EC1" w:rsidRPr="008E4518" w:rsidRDefault="00231EC1" w:rsidP="00231EC1">
            <w:pPr>
              <w:rPr>
                <w:bCs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361032" w:rsidRPr="00E76209" w14:paraId="1051C798" w14:textId="77777777" w:rsidTr="0044562E">
        <w:trPr>
          <w:trHeight w:val="20"/>
        </w:trPr>
        <w:tc>
          <w:tcPr>
            <w:tcW w:w="672" w:type="dxa"/>
          </w:tcPr>
          <w:p w14:paraId="64CE4214" w14:textId="77777777" w:rsidR="00361032" w:rsidRPr="00E76209" w:rsidRDefault="00361032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57C9F712" w14:textId="11ACAAC2" w:rsidR="00361032" w:rsidRDefault="00361032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Additional information </w:t>
            </w:r>
          </w:p>
        </w:tc>
        <w:tc>
          <w:tcPr>
            <w:tcW w:w="5211" w:type="dxa"/>
          </w:tcPr>
          <w:p w14:paraId="7A184667" w14:textId="6EBFEF7A" w:rsidR="00361032" w:rsidRPr="00F54A56" w:rsidRDefault="00361032" w:rsidP="00231EC1">
            <w:pPr>
              <w:rPr>
                <w:noProof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Tel No.: (218) 213345187, Fax: +218.21.334.5188, e-mail: info@ethic.ly</w:t>
            </w:r>
          </w:p>
        </w:tc>
      </w:tr>
      <w:tr w:rsidR="00231EC1" w:rsidRPr="00E76209" w14:paraId="5972FD5D" w14:textId="77777777" w:rsidTr="0044562E">
        <w:trPr>
          <w:trHeight w:val="20"/>
        </w:trPr>
        <w:tc>
          <w:tcPr>
            <w:tcW w:w="672" w:type="dxa"/>
          </w:tcPr>
          <w:p w14:paraId="545BC3C5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5F72422B" w14:textId="7CC860BD" w:rsidR="00231EC1" w:rsidRPr="0093417B" w:rsidRDefault="00A95C75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231EC1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11" w:type="dxa"/>
          </w:tcPr>
          <w:p w14:paraId="3D615126" w14:textId="511DCB25" w:rsidR="00231EC1" w:rsidRDefault="00231EC1" w:rsidP="00231EC1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Formerly listed on the RBA Consolidated List as 2011LBY0038</w:t>
            </w:r>
          </w:p>
        </w:tc>
      </w:tr>
      <w:tr w:rsidR="00231EC1" w:rsidRPr="00E76209" w14:paraId="1C5DE976" w14:textId="77777777" w:rsidTr="00D11247">
        <w:trPr>
          <w:trHeight w:val="20"/>
        </w:trPr>
        <w:tc>
          <w:tcPr>
            <w:tcW w:w="672" w:type="dxa"/>
            <w:tcBorders>
              <w:top w:val="single" w:sz="12" w:space="0" w:color="auto"/>
            </w:tcBorders>
          </w:tcPr>
          <w:p w14:paraId="51B5C8DD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</w:t>
            </w:r>
          </w:p>
        </w:tc>
        <w:tc>
          <w:tcPr>
            <w:tcW w:w="2730" w:type="dxa"/>
            <w:tcBorders>
              <w:top w:val="single" w:sz="12" w:space="0" w:color="auto"/>
            </w:tcBorders>
          </w:tcPr>
          <w:p w14:paraId="45E7AA17" w14:textId="22B67962" w:rsidR="00231EC1" w:rsidRPr="00E76209" w:rsidRDefault="00A95C75" w:rsidP="00231EC1">
            <w:pPr>
              <w:pageBreakBefore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e</w:t>
            </w:r>
            <w:r w:rsidR="00231EC1">
              <w:rPr>
                <w:bCs/>
                <w:color w:val="000000"/>
                <w:szCs w:val="22"/>
              </w:rPr>
              <w:t>ntity</w:t>
            </w:r>
          </w:p>
        </w:tc>
        <w:tc>
          <w:tcPr>
            <w:tcW w:w="5211" w:type="dxa"/>
            <w:tcBorders>
              <w:top w:val="single" w:sz="12" w:space="0" w:color="auto"/>
            </w:tcBorders>
          </w:tcPr>
          <w:p w14:paraId="63750C18" w14:textId="7C6F4CF5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Gaddafi International Charity and Development</w:t>
            </w:r>
            <w:r w:rsidR="006512CF">
              <w:rPr>
                <w:noProof/>
                <w:color w:val="000000"/>
                <w:szCs w:val="22"/>
              </w:rPr>
              <w:t xml:space="preserve"> </w:t>
            </w:r>
            <w:r w:rsidR="006512CF">
              <w:rPr>
                <w:bCs/>
                <w:color w:val="000000"/>
                <w:szCs w:val="22"/>
              </w:rPr>
              <w:t>Foundation</w:t>
            </w:r>
          </w:p>
        </w:tc>
      </w:tr>
      <w:tr w:rsidR="00231EC1" w:rsidRPr="00E76209" w14:paraId="2631D72D" w14:textId="77777777" w:rsidTr="00BB7740">
        <w:trPr>
          <w:trHeight w:val="20"/>
        </w:trPr>
        <w:tc>
          <w:tcPr>
            <w:tcW w:w="672" w:type="dxa"/>
          </w:tcPr>
          <w:p w14:paraId="0734DBAA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11DBBF89" w14:textId="05E31810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Address</w:t>
            </w:r>
          </w:p>
        </w:tc>
        <w:tc>
          <w:tcPr>
            <w:tcW w:w="5211" w:type="dxa"/>
          </w:tcPr>
          <w:p w14:paraId="364F95C7" w14:textId="657E6578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P.O. Box 1101</w:t>
            </w:r>
            <w:r w:rsidR="0044562E">
              <w:rPr>
                <w:noProof/>
                <w:color w:val="000000"/>
                <w:szCs w:val="22"/>
              </w:rPr>
              <w:t>,</w:t>
            </w:r>
            <w:r w:rsidRPr="00F54A56">
              <w:rPr>
                <w:noProof/>
                <w:color w:val="000000"/>
                <w:szCs w:val="22"/>
              </w:rPr>
              <w:t xml:space="preserve"> Hay Alandalus, Jian St, Tripoli, Libya</w:t>
            </w:r>
          </w:p>
        </w:tc>
      </w:tr>
      <w:tr w:rsidR="00231EC1" w:rsidRPr="00E76209" w14:paraId="4C0D30A0" w14:textId="77777777" w:rsidTr="00BB7740">
        <w:trPr>
          <w:trHeight w:val="20"/>
        </w:trPr>
        <w:tc>
          <w:tcPr>
            <w:tcW w:w="672" w:type="dxa"/>
          </w:tcPr>
          <w:p w14:paraId="46E1087F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420FD8BD" w14:textId="33663AAA" w:rsidR="00231EC1" w:rsidRPr="00E76209" w:rsidRDefault="00C15FAF" w:rsidP="00C15F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</w:t>
            </w:r>
          </w:p>
        </w:tc>
        <w:tc>
          <w:tcPr>
            <w:tcW w:w="5211" w:type="dxa"/>
          </w:tcPr>
          <w:p w14:paraId="74FA9403" w14:textId="6296587F" w:rsidR="00231EC1" w:rsidRPr="001C5C5C" w:rsidRDefault="00231EC1" w:rsidP="00231EC1">
            <w:pPr>
              <w:rPr>
                <w:bCs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231EC1" w:rsidRPr="00E76209" w14:paraId="35F630E7" w14:textId="77777777" w:rsidTr="00D11247">
        <w:trPr>
          <w:trHeight w:val="20"/>
        </w:trPr>
        <w:tc>
          <w:tcPr>
            <w:tcW w:w="672" w:type="dxa"/>
            <w:tcBorders>
              <w:bottom w:val="single" w:sz="12" w:space="0" w:color="auto"/>
            </w:tcBorders>
          </w:tcPr>
          <w:p w14:paraId="611891B1" w14:textId="77777777" w:rsidR="00231EC1" w:rsidRPr="00E76209" w:rsidRDefault="00231EC1" w:rsidP="00231EC1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</w:tcPr>
          <w:p w14:paraId="069A23EC" w14:textId="65D5C389" w:rsidR="00231EC1" w:rsidRPr="00E76209" w:rsidRDefault="00A95C75" w:rsidP="00231EC1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231EC1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11" w:type="dxa"/>
            <w:tcBorders>
              <w:bottom w:val="single" w:sz="12" w:space="0" w:color="auto"/>
            </w:tcBorders>
          </w:tcPr>
          <w:p w14:paraId="6260C86F" w14:textId="41F4AF67" w:rsidR="00231EC1" w:rsidRPr="00E76209" w:rsidRDefault="00231EC1" w:rsidP="00231EC1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Formerly listed on the RBA Consolidated List as 2011LBY0041</w:t>
            </w:r>
          </w:p>
        </w:tc>
      </w:tr>
      <w:tr w:rsidR="00231EC1" w:rsidRPr="00E76209" w14:paraId="6FE73B34" w14:textId="77777777" w:rsidTr="00D11247">
        <w:trPr>
          <w:trHeight w:val="20"/>
        </w:trPr>
        <w:tc>
          <w:tcPr>
            <w:tcW w:w="672" w:type="dxa"/>
            <w:tcBorders>
              <w:top w:val="single" w:sz="12" w:space="0" w:color="auto"/>
            </w:tcBorders>
          </w:tcPr>
          <w:p w14:paraId="674475B9" w14:textId="77777777" w:rsidR="00231EC1" w:rsidRPr="00E76209" w:rsidRDefault="00231EC1" w:rsidP="00231EC1">
            <w:pPr>
              <w:keepNext/>
              <w:keepLines/>
              <w:jc w:val="right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</w:t>
            </w:r>
          </w:p>
        </w:tc>
        <w:tc>
          <w:tcPr>
            <w:tcW w:w="2730" w:type="dxa"/>
            <w:tcBorders>
              <w:top w:val="single" w:sz="12" w:space="0" w:color="auto"/>
            </w:tcBorders>
          </w:tcPr>
          <w:p w14:paraId="48651E63" w14:textId="43BD4810" w:rsidR="00231EC1" w:rsidRPr="00E76209" w:rsidRDefault="00A95C75" w:rsidP="00231EC1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e</w:t>
            </w:r>
            <w:r w:rsidR="00231EC1">
              <w:rPr>
                <w:bCs/>
                <w:color w:val="000000"/>
                <w:szCs w:val="22"/>
              </w:rPr>
              <w:t>ntity</w:t>
            </w:r>
          </w:p>
        </w:tc>
        <w:tc>
          <w:tcPr>
            <w:tcW w:w="5211" w:type="dxa"/>
            <w:tcBorders>
              <w:top w:val="single" w:sz="12" w:space="0" w:color="auto"/>
            </w:tcBorders>
          </w:tcPr>
          <w:p w14:paraId="6A4B902F" w14:textId="74466B37" w:rsidR="00231EC1" w:rsidRPr="00E76209" w:rsidRDefault="00231EC1" w:rsidP="00574DDE">
            <w:pPr>
              <w:rPr>
                <w:bCs/>
                <w:color w:val="000000"/>
                <w:szCs w:val="22"/>
              </w:rPr>
            </w:pPr>
            <w:r w:rsidRPr="00BD4F95">
              <w:rPr>
                <w:noProof/>
                <w:color w:val="000000"/>
                <w:szCs w:val="22"/>
              </w:rPr>
              <w:t>Libyan Arab African Investment Company</w:t>
            </w:r>
          </w:p>
        </w:tc>
      </w:tr>
      <w:tr w:rsidR="00231EC1" w:rsidRPr="00E76209" w14:paraId="0DF42684" w14:textId="77777777" w:rsidTr="00BB7740">
        <w:trPr>
          <w:trHeight w:val="20"/>
        </w:trPr>
        <w:tc>
          <w:tcPr>
            <w:tcW w:w="672" w:type="dxa"/>
          </w:tcPr>
          <w:p w14:paraId="14D73BD2" w14:textId="77777777" w:rsidR="00231EC1" w:rsidRPr="00E76209" w:rsidRDefault="00231EC1" w:rsidP="00231EC1">
            <w:pPr>
              <w:keepNext/>
              <w:keepLines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201E9991" w14:textId="4B4A728A" w:rsidR="00231EC1" w:rsidRPr="00E76209" w:rsidRDefault="00231EC1" w:rsidP="00231EC1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Also known as</w:t>
            </w:r>
          </w:p>
        </w:tc>
        <w:tc>
          <w:tcPr>
            <w:tcW w:w="5211" w:type="dxa"/>
          </w:tcPr>
          <w:p w14:paraId="50F624F2" w14:textId="6FE98BED" w:rsidR="00231EC1" w:rsidRPr="00E76209" w:rsidRDefault="00E4425D" w:rsidP="00231EC1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LAAICO</w:t>
            </w:r>
          </w:p>
        </w:tc>
      </w:tr>
      <w:tr w:rsidR="00E4425D" w:rsidRPr="00E76209" w14:paraId="131762EB" w14:textId="77777777" w:rsidTr="00BB7740">
        <w:trPr>
          <w:trHeight w:val="20"/>
        </w:trPr>
        <w:tc>
          <w:tcPr>
            <w:tcW w:w="672" w:type="dxa"/>
          </w:tcPr>
          <w:p w14:paraId="6A765E2F" w14:textId="77777777" w:rsidR="00E4425D" w:rsidRPr="00E76209" w:rsidRDefault="00E4425D" w:rsidP="00E4425D">
            <w:pPr>
              <w:keepNext/>
              <w:keepLines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5A080ECF" w14:textId="7054AA54" w:rsidR="00E4425D" w:rsidRPr="00E76209" w:rsidRDefault="00E4425D" w:rsidP="00E4425D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Address</w:t>
            </w:r>
          </w:p>
        </w:tc>
        <w:tc>
          <w:tcPr>
            <w:tcW w:w="5211" w:type="dxa"/>
          </w:tcPr>
          <w:p w14:paraId="022CFDF5" w14:textId="10C79781" w:rsidR="00E4425D" w:rsidRPr="00E76209" w:rsidRDefault="0044562E" w:rsidP="00E4425D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t xml:space="preserve">a) </w:t>
            </w:r>
            <w:r w:rsidR="00E4425D" w:rsidRPr="00BD4F95">
              <w:rPr>
                <w:noProof/>
                <w:color w:val="000000"/>
                <w:szCs w:val="22"/>
              </w:rPr>
              <w:t>76351 Janzour, Libya</w:t>
            </w:r>
            <w:r>
              <w:rPr>
                <w:noProof/>
                <w:color w:val="000000"/>
                <w:szCs w:val="22"/>
              </w:rPr>
              <w:t>, b)</w:t>
            </w:r>
            <w:r w:rsidR="00E4425D" w:rsidRPr="00BD4F95">
              <w:rPr>
                <w:noProof/>
                <w:color w:val="000000"/>
                <w:szCs w:val="22"/>
              </w:rPr>
              <w:t xml:space="preserve"> 81370 Tripoli, Libya</w:t>
            </w:r>
          </w:p>
        </w:tc>
      </w:tr>
      <w:tr w:rsidR="00E4425D" w:rsidRPr="00E76209" w14:paraId="54EE082C" w14:textId="77777777" w:rsidTr="00BB7740">
        <w:trPr>
          <w:trHeight w:val="20"/>
        </w:trPr>
        <w:tc>
          <w:tcPr>
            <w:tcW w:w="672" w:type="dxa"/>
          </w:tcPr>
          <w:p w14:paraId="7BE1A580" w14:textId="77777777" w:rsidR="00E4425D" w:rsidRPr="00E76209" w:rsidRDefault="00E4425D" w:rsidP="00E4425D">
            <w:pPr>
              <w:keepNext/>
              <w:keepLines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1A9716A3" w14:textId="18445A68" w:rsidR="00E4425D" w:rsidRPr="00E76209" w:rsidRDefault="00C15FAF" w:rsidP="00C15FAF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</w:t>
            </w:r>
          </w:p>
        </w:tc>
        <w:tc>
          <w:tcPr>
            <w:tcW w:w="5211" w:type="dxa"/>
          </w:tcPr>
          <w:p w14:paraId="314C3DDD" w14:textId="39F9A01E" w:rsidR="00E4425D" w:rsidRPr="00E76209" w:rsidRDefault="00E4425D" w:rsidP="00E4425D">
            <w:pPr>
              <w:keepNext/>
              <w:keepLines/>
              <w:rPr>
                <w:bCs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E4425D" w:rsidRPr="00E76209" w14:paraId="1BDB01CB" w14:textId="77777777" w:rsidTr="00D11247">
        <w:trPr>
          <w:trHeight w:val="20"/>
        </w:trPr>
        <w:tc>
          <w:tcPr>
            <w:tcW w:w="672" w:type="dxa"/>
            <w:tcBorders>
              <w:bottom w:val="single" w:sz="12" w:space="0" w:color="auto"/>
            </w:tcBorders>
          </w:tcPr>
          <w:p w14:paraId="033A8CB8" w14:textId="77777777" w:rsidR="00E4425D" w:rsidRPr="00E76209" w:rsidRDefault="00E4425D" w:rsidP="00E4425D">
            <w:pPr>
              <w:keepNext/>
              <w:keepLines/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</w:tcPr>
          <w:p w14:paraId="783533ED" w14:textId="29273DB4" w:rsidR="00E4425D" w:rsidRPr="00E76209" w:rsidRDefault="00A95C75" w:rsidP="00E4425D">
            <w:pPr>
              <w:keepNext/>
              <w:keepLines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E4425D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11" w:type="dxa"/>
            <w:tcBorders>
              <w:bottom w:val="single" w:sz="12" w:space="0" w:color="auto"/>
            </w:tcBorders>
          </w:tcPr>
          <w:p w14:paraId="5E1D0F26" w14:textId="5B1EF9A8" w:rsidR="00E4425D" w:rsidRPr="00E76209" w:rsidRDefault="00E4425D" w:rsidP="00E4425D">
            <w:pPr>
              <w:keepNext/>
              <w:keepLines/>
              <w:rPr>
                <w:bCs/>
                <w:color w:val="000000"/>
                <w:szCs w:val="22"/>
              </w:rPr>
            </w:pPr>
            <w:r w:rsidRPr="00BD4F95">
              <w:rPr>
                <w:noProof/>
                <w:color w:val="000000"/>
                <w:szCs w:val="22"/>
              </w:rPr>
              <w:t>Formerly listed on the RBA Consolidated List as 2011LBY0045</w:t>
            </w:r>
          </w:p>
        </w:tc>
      </w:tr>
      <w:tr w:rsidR="00E4425D" w:rsidRPr="00E76209" w14:paraId="3A844945" w14:textId="77777777" w:rsidTr="00D11247">
        <w:trPr>
          <w:trHeight w:val="20"/>
        </w:trPr>
        <w:tc>
          <w:tcPr>
            <w:tcW w:w="672" w:type="dxa"/>
            <w:tcBorders>
              <w:top w:val="single" w:sz="12" w:space="0" w:color="auto"/>
            </w:tcBorders>
          </w:tcPr>
          <w:p w14:paraId="727F5224" w14:textId="77777777" w:rsidR="00E4425D" w:rsidRPr="00E76209" w:rsidRDefault="00E4425D" w:rsidP="00E4425D">
            <w:pPr>
              <w:jc w:val="right"/>
              <w:rPr>
                <w:bCs/>
                <w:color w:val="000000"/>
                <w:szCs w:val="22"/>
              </w:rPr>
            </w:pPr>
            <w:r w:rsidRPr="00E76209">
              <w:rPr>
                <w:bCs/>
                <w:color w:val="000000"/>
                <w:szCs w:val="22"/>
              </w:rPr>
              <w:t>8</w:t>
            </w:r>
          </w:p>
        </w:tc>
        <w:tc>
          <w:tcPr>
            <w:tcW w:w="2730" w:type="dxa"/>
            <w:tcBorders>
              <w:top w:val="single" w:sz="12" w:space="0" w:color="auto"/>
            </w:tcBorders>
          </w:tcPr>
          <w:p w14:paraId="197F20E6" w14:textId="19098395" w:rsidR="00E4425D" w:rsidRPr="00E76209" w:rsidRDefault="00A95C75" w:rsidP="00E4425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e</w:t>
            </w:r>
            <w:r w:rsidR="00E4425D">
              <w:rPr>
                <w:bCs/>
                <w:color w:val="000000"/>
                <w:szCs w:val="22"/>
              </w:rPr>
              <w:t>ntity</w:t>
            </w:r>
          </w:p>
        </w:tc>
        <w:tc>
          <w:tcPr>
            <w:tcW w:w="5211" w:type="dxa"/>
            <w:tcBorders>
              <w:top w:val="single" w:sz="12" w:space="0" w:color="auto"/>
            </w:tcBorders>
          </w:tcPr>
          <w:p w14:paraId="3D1DC7BC" w14:textId="74300731" w:rsidR="00E4425D" w:rsidRPr="00E76209" w:rsidRDefault="00E4425D" w:rsidP="00E4425D">
            <w:pPr>
              <w:rPr>
                <w:bCs/>
                <w:color w:val="000000"/>
                <w:szCs w:val="22"/>
              </w:rPr>
            </w:pPr>
            <w:r w:rsidRPr="00BD4F95">
              <w:rPr>
                <w:noProof/>
                <w:color w:val="000000"/>
                <w:szCs w:val="22"/>
              </w:rPr>
              <w:t>Revolutionary Guard Corps</w:t>
            </w:r>
          </w:p>
        </w:tc>
      </w:tr>
      <w:tr w:rsidR="00E4425D" w:rsidRPr="00E76209" w14:paraId="33E1B4FD" w14:textId="77777777" w:rsidTr="00BB7740">
        <w:trPr>
          <w:trHeight w:val="20"/>
        </w:trPr>
        <w:tc>
          <w:tcPr>
            <w:tcW w:w="672" w:type="dxa"/>
          </w:tcPr>
          <w:p w14:paraId="7DE63A7D" w14:textId="77777777" w:rsidR="00E4425D" w:rsidRDefault="00E4425D" w:rsidP="00E4425D">
            <w:pPr>
              <w:jc w:val="right"/>
              <w:rPr>
                <w:bCs/>
                <w:color w:val="000000"/>
                <w:szCs w:val="22"/>
              </w:rPr>
            </w:pPr>
          </w:p>
          <w:p w14:paraId="2FE0EAA8" w14:textId="57449A74" w:rsidR="00E4425D" w:rsidRPr="00E76209" w:rsidRDefault="00E4425D" w:rsidP="00E4425D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6296F709" w14:textId="23F53FD9" w:rsidR="00E4425D" w:rsidRDefault="00C15FAF" w:rsidP="00C15F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</w:t>
            </w:r>
          </w:p>
        </w:tc>
        <w:tc>
          <w:tcPr>
            <w:tcW w:w="5211" w:type="dxa"/>
          </w:tcPr>
          <w:p w14:paraId="54900376" w14:textId="2AFBA084" w:rsidR="00E4425D" w:rsidRPr="001C5C5C" w:rsidRDefault="00E4425D" w:rsidP="00E4425D">
            <w:pPr>
              <w:rPr>
                <w:bCs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E4425D" w:rsidRPr="00E76209" w14:paraId="7F4DDB5B" w14:textId="77777777" w:rsidTr="00D11247">
        <w:trPr>
          <w:trHeight w:val="20"/>
        </w:trPr>
        <w:tc>
          <w:tcPr>
            <w:tcW w:w="672" w:type="dxa"/>
            <w:tcBorders>
              <w:bottom w:val="single" w:sz="12" w:space="0" w:color="auto"/>
            </w:tcBorders>
          </w:tcPr>
          <w:p w14:paraId="05E71FC2" w14:textId="77777777" w:rsidR="00E4425D" w:rsidRPr="00E76209" w:rsidRDefault="00E4425D" w:rsidP="00E4425D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</w:tcPr>
          <w:p w14:paraId="0EBA09B4" w14:textId="162D02FC" w:rsidR="00E4425D" w:rsidRPr="00E76209" w:rsidRDefault="00A95C75" w:rsidP="00E4425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E4425D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11" w:type="dxa"/>
            <w:tcBorders>
              <w:bottom w:val="single" w:sz="12" w:space="0" w:color="auto"/>
            </w:tcBorders>
          </w:tcPr>
          <w:p w14:paraId="12130906" w14:textId="376F65FF" w:rsidR="00E4425D" w:rsidRPr="00E76209" w:rsidRDefault="00E4425D" w:rsidP="00E4425D">
            <w:pPr>
              <w:rPr>
                <w:bCs/>
                <w:color w:val="000000"/>
                <w:szCs w:val="22"/>
              </w:rPr>
            </w:pPr>
            <w:r w:rsidRPr="00BD4F95">
              <w:rPr>
                <w:noProof/>
                <w:color w:val="000000"/>
                <w:szCs w:val="22"/>
              </w:rPr>
              <w:t>Formerly listed on the RBA Consolidated List as 2011LBY0051</w:t>
            </w:r>
          </w:p>
        </w:tc>
      </w:tr>
      <w:tr w:rsidR="00E4425D" w:rsidRPr="00E76209" w14:paraId="3BC7DD7D" w14:textId="77777777" w:rsidTr="00D11247">
        <w:trPr>
          <w:trHeight w:val="20"/>
        </w:trPr>
        <w:tc>
          <w:tcPr>
            <w:tcW w:w="672" w:type="dxa"/>
            <w:tcBorders>
              <w:top w:val="single" w:sz="12" w:space="0" w:color="auto"/>
            </w:tcBorders>
          </w:tcPr>
          <w:p w14:paraId="7B2B9721" w14:textId="77777777" w:rsidR="00E4425D" w:rsidRPr="00E76209" w:rsidRDefault="00E4425D" w:rsidP="00E4425D">
            <w:pPr>
              <w:jc w:val="right"/>
              <w:rPr>
                <w:bCs/>
                <w:color w:val="000000"/>
                <w:szCs w:val="22"/>
              </w:rPr>
            </w:pPr>
            <w:bookmarkStart w:id="42" w:name="_Hlk54872831"/>
            <w:r>
              <w:rPr>
                <w:bCs/>
                <w:color w:val="000000"/>
                <w:szCs w:val="22"/>
              </w:rPr>
              <w:t>9</w:t>
            </w:r>
          </w:p>
        </w:tc>
        <w:tc>
          <w:tcPr>
            <w:tcW w:w="2730" w:type="dxa"/>
            <w:tcBorders>
              <w:top w:val="single" w:sz="12" w:space="0" w:color="auto"/>
            </w:tcBorders>
          </w:tcPr>
          <w:p w14:paraId="5251CE77" w14:textId="6F546BC8" w:rsidR="00E4425D" w:rsidRPr="00E76209" w:rsidRDefault="00A95C75" w:rsidP="00E4425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Name of e</w:t>
            </w:r>
            <w:r w:rsidR="00E4425D">
              <w:rPr>
                <w:bCs/>
                <w:color w:val="000000"/>
                <w:szCs w:val="22"/>
              </w:rPr>
              <w:t>ntity</w:t>
            </w:r>
          </w:p>
        </w:tc>
        <w:tc>
          <w:tcPr>
            <w:tcW w:w="5211" w:type="dxa"/>
            <w:tcBorders>
              <w:top w:val="single" w:sz="12" w:space="0" w:color="auto"/>
            </w:tcBorders>
          </w:tcPr>
          <w:p w14:paraId="276A8047" w14:textId="73F74DC8" w:rsidR="00E4425D" w:rsidRPr="00E76209" w:rsidRDefault="00E4425D" w:rsidP="00E4425D">
            <w:pPr>
              <w:rPr>
                <w:bCs/>
                <w:color w:val="000000"/>
                <w:szCs w:val="22"/>
              </w:rPr>
            </w:pPr>
            <w:r w:rsidRPr="00F54A56">
              <w:rPr>
                <w:noProof/>
                <w:color w:val="000000"/>
                <w:szCs w:val="22"/>
              </w:rPr>
              <w:t>Waatassimou Foundation</w:t>
            </w:r>
          </w:p>
        </w:tc>
      </w:tr>
      <w:bookmarkEnd w:id="42"/>
      <w:tr w:rsidR="00E4425D" w:rsidRPr="00E76209" w14:paraId="7F5DA4A7" w14:textId="77777777" w:rsidTr="00BB7740">
        <w:trPr>
          <w:trHeight w:val="20"/>
        </w:trPr>
        <w:tc>
          <w:tcPr>
            <w:tcW w:w="672" w:type="dxa"/>
          </w:tcPr>
          <w:p w14:paraId="7D88D900" w14:textId="77777777" w:rsidR="00E4425D" w:rsidRPr="00E76209" w:rsidRDefault="00E4425D" w:rsidP="00E4425D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05F9D7FB" w14:textId="5C0FF97F" w:rsidR="00E4425D" w:rsidRPr="00E76209" w:rsidRDefault="00E4425D" w:rsidP="00E4425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Address</w:t>
            </w:r>
          </w:p>
        </w:tc>
        <w:tc>
          <w:tcPr>
            <w:tcW w:w="5211" w:type="dxa"/>
          </w:tcPr>
          <w:p w14:paraId="5CDF58C7" w14:textId="53D1C5C5" w:rsidR="00E4425D" w:rsidRPr="00E76209" w:rsidRDefault="00E4425D" w:rsidP="00E4425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Tripoli</w:t>
            </w:r>
          </w:p>
        </w:tc>
      </w:tr>
      <w:tr w:rsidR="00E4425D" w:rsidRPr="00E76209" w14:paraId="40337987" w14:textId="77777777" w:rsidTr="00E4425D">
        <w:trPr>
          <w:trHeight w:val="20"/>
        </w:trPr>
        <w:tc>
          <w:tcPr>
            <w:tcW w:w="672" w:type="dxa"/>
          </w:tcPr>
          <w:p w14:paraId="37879631" w14:textId="77777777" w:rsidR="00E4425D" w:rsidRPr="00E76209" w:rsidRDefault="00E4425D" w:rsidP="00E4425D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</w:tcPr>
          <w:p w14:paraId="6799AAEB" w14:textId="7B6DB1CF" w:rsidR="00E4425D" w:rsidRPr="00E76209" w:rsidDel="00625C30" w:rsidRDefault="00C15FAF" w:rsidP="00C15FAF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Instrument of first designation</w:t>
            </w:r>
          </w:p>
        </w:tc>
        <w:tc>
          <w:tcPr>
            <w:tcW w:w="5211" w:type="dxa"/>
          </w:tcPr>
          <w:p w14:paraId="0D3EE067" w14:textId="2F115978" w:rsidR="00E4425D" w:rsidRPr="00E76209" w:rsidRDefault="00E4425D" w:rsidP="00E4425D">
            <w:pPr>
              <w:rPr>
                <w:bCs/>
                <w:color w:val="000000"/>
                <w:szCs w:val="22"/>
              </w:rPr>
            </w:pPr>
            <w:r w:rsidRPr="005D236F">
              <w:rPr>
                <w:i/>
                <w:iCs/>
                <w:noProof/>
                <w:color w:val="000000"/>
                <w:szCs w:val="22"/>
              </w:rPr>
              <w:t>Autonomous Sanctions (Designated Persons and Entities and Declared Persons – Libya) List 2012</w:t>
            </w:r>
            <w:r>
              <w:rPr>
                <w:noProof/>
                <w:color w:val="000000"/>
                <w:szCs w:val="22"/>
              </w:rPr>
              <w:t xml:space="preserve"> </w:t>
            </w:r>
            <w:r w:rsidRPr="005D236F">
              <w:rPr>
                <w:noProof/>
                <w:color w:val="000000"/>
                <w:szCs w:val="22"/>
              </w:rPr>
              <w:t>[F2012L00481]</w:t>
            </w:r>
          </w:p>
        </w:tc>
      </w:tr>
      <w:tr w:rsidR="00E4425D" w:rsidRPr="00E76209" w14:paraId="71B0A437" w14:textId="77777777" w:rsidTr="00D11247">
        <w:trPr>
          <w:trHeight w:val="20"/>
        </w:trPr>
        <w:tc>
          <w:tcPr>
            <w:tcW w:w="672" w:type="dxa"/>
            <w:tcBorders>
              <w:bottom w:val="single" w:sz="12" w:space="0" w:color="auto"/>
            </w:tcBorders>
          </w:tcPr>
          <w:p w14:paraId="3F6F5CAA" w14:textId="77777777" w:rsidR="00E4425D" w:rsidRPr="00E76209" w:rsidRDefault="00E4425D" w:rsidP="00E4425D">
            <w:pPr>
              <w:jc w:val="right"/>
              <w:rPr>
                <w:bCs/>
                <w:color w:val="000000"/>
                <w:szCs w:val="22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</w:tcPr>
          <w:p w14:paraId="2E42BAA7" w14:textId="73EC01E9" w:rsidR="00E4425D" w:rsidRDefault="00A95C75" w:rsidP="00E4425D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Listing i</w:t>
            </w:r>
            <w:r w:rsidR="00E4425D">
              <w:rPr>
                <w:bCs/>
                <w:color w:val="000000"/>
                <w:szCs w:val="22"/>
              </w:rPr>
              <w:t>nformation</w:t>
            </w:r>
          </w:p>
        </w:tc>
        <w:tc>
          <w:tcPr>
            <w:tcW w:w="5211" w:type="dxa"/>
            <w:tcBorders>
              <w:bottom w:val="single" w:sz="12" w:space="0" w:color="auto"/>
            </w:tcBorders>
          </w:tcPr>
          <w:p w14:paraId="50FF6ACA" w14:textId="6FA9E694" w:rsidR="00E4425D" w:rsidRPr="005D236F" w:rsidRDefault="00E4425D" w:rsidP="00E4425D">
            <w:pPr>
              <w:rPr>
                <w:i/>
                <w:iCs/>
                <w:noProof/>
                <w:color w:val="000000"/>
                <w:szCs w:val="22"/>
              </w:rPr>
            </w:pPr>
            <w:r w:rsidRPr="00BD4F95">
              <w:rPr>
                <w:noProof/>
                <w:color w:val="000000"/>
                <w:szCs w:val="22"/>
              </w:rPr>
              <w:t>Formerly listed on the RBA Consolidated List as 2011LBY005</w:t>
            </w:r>
            <w:r>
              <w:rPr>
                <w:noProof/>
                <w:color w:val="000000"/>
                <w:szCs w:val="22"/>
              </w:rPr>
              <w:t>3</w:t>
            </w:r>
          </w:p>
        </w:tc>
      </w:tr>
      <w:bookmarkEnd w:id="40"/>
      <w:bookmarkEnd w:id="41"/>
    </w:tbl>
    <w:p w14:paraId="3C42E8C8" w14:textId="77777777" w:rsidR="00453655" w:rsidRPr="00453655" w:rsidRDefault="00453655" w:rsidP="00E63D86">
      <w:pPr>
        <w:pStyle w:val="ActHead9"/>
      </w:pPr>
    </w:p>
    <w:sectPr w:rsidR="00453655" w:rsidRPr="00453655" w:rsidSect="00E025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F5A9" w14:textId="77777777" w:rsidR="0016300E" w:rsidRDefault="0016300E" w:rsidP="0048364F">
      <w:pPr>
        <w:spacing w:line="240" w:lineRule="auto"/>
      </w:pPr>
      <w:r>
        <w:separator/>
      </w:r>
    </w:p>
  </w:endnote>
  <w:endnote w:type="continuationSeparator" w:id="0">
    <w:p w14:paraId="3C808FDF" w14:textId="77777777" w:rsidR="0016300E" w:rsidRDefault="0016300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51E45" w14:textId="77777777" w:rsidR="0016300E" w:rsidRPr="005F1388" w:rsidRDefault="0016300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69A1A" w14:textId="77777777" w:rsidR="0016300E" w:rsidRDefault="0016300E" w:rsidP="00E97334"/>
  <w:p w14:paraId="1C92CB49" w14:textId="77777777" w:rsidR="0016300E" w:rsidRPr="00E97334" w:rsidRDefault="0016300E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F5757" w14:textId="77777777" w:rsidR="0016300E" w:rsidRPr="00ED79B6" w:rsidRDefault="0016300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3830" w14:textId="77777777" w:rsidR="0016300E" w:rsidRPr="00E33C1C" w:rsidRDefault="001630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300E" w14:paraId="1BEF6A92" w14:textId="77777777" w:rsidTr="00AE34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7A8345" w14:textId="77777777" w:rsidR="0016300E" w:rsidRDefault="0016300E" w:rsidP="000861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0AD53F" w14:textId="77777777" w:rsidR="0016300E" w:rsidRDefault="0016300E" w:rsidP="0008619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iCs/>
            </w:rPr>
            <w:t>[type the title from the cover page here in italics]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A389F0" w14:textId="77777777" w:rsidR="0016300E" w:rsidRDefault="0016300E" w:rsidP="00086193">
          <w:pPr>
            <w:spacing w:line="0" w:lineRule="atLeast"/>
            <w:jc w:val="right"/>
            <w:rPr>
              <w:sz w:val="18"/>
            </w:rPr>
          </w:pPr>
        </w:p>
      </w:tc>
    </w:tr>
  </w:tbl>
  <w:p w14:paraId="4AD82739" w14:textId="77777777" w:rsidR="0016300E" w:rsidRPr="00ED79B6" w:rsidRDefault="0016300E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EC23" w14:textId="77777777" w:rsidR="0016300E" w:rsidRPr="00E33C1C" w:rsidRDefault="0016300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6300E" w14:paraId="26DFDD95" w14:textId="77777777" w:rsidTr="00AE34B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C42A965" w14:textId="77777777" w:rsidR="0016300E" w:rsidRDefault="0016300E" w:rsidP="000861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6967BF" w14:textId="24B83B0D" w:rsidR="0016300E" w:rsidRDefault="0016300E" w:rsidP="00086193">
          <w:pPr>
            <w:spacing w:line="0" w:lineRule="atLeast"/>
            <w:jc w:val="center"/>
            <w:rPr>
              <w:sz w:val="18"/>
            </w:rPr>
          </w:pPr>
          <w:r w:rsidRPr="00DE3CAE">
            <w:rPr>
              <w:i/>
              <w:iCs/>
            </w:rPr>
            <w:t>Autonomous Sanctions (Designated Persons and Entities and Declared Persons—</w:t>
          </w:r>
          <w:r>
            <w:rPr>
              <w:i/>
              <w:iCs/>
            </w:rPr>
            <w:t>Libya</w:t>
          </w:r>
          <w:r w:rsidRPr="00DE3CAE">
            <w:rPr>
              <w:i/>
              <w:iCs/>
            </w:rPr>
            <w:t xml:space="preserve">) Amendment </w:t>
          </w:r>
          <w:r>
            <w:rPr>
              <w:i/>
              <w:iCs/>
            </w:rPr>
            <w:t>(Continuation of Effect) Instrument 2020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BE0558" w14:textId="13CB6146" w:rsidR="0016300E" w:rsidRDefault="0016300E" w:rsidP="000861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446415" w14:textId="77777777" w:rsidR="0016300E" w:rsidRPr="00ED79B6" w:rsidRDefault="0016300E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C3B2B" w14:textId="77777777" w:rsidR="0016300E" w:rsidRPr="00E33C1C" w:rsidRDefault="001630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300E" w14:paraId="66573507" w14:textId="77777777" w:rsidTr="00AE34B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C68D0D" w14:textId="67155995" w:rsidR="0016300E" w:rsidRDefault="0016300E" w:rsidP="0008619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1E20E9" w14:textId="126A94D7" w:rsidR="0016300E" w:rsidRDefault="0016300E" w:rsidP="00086193">
          <w:pPr>
            <w:spacing w:line="0" w:lineRule="atLeast"/>
            <w:jc w:val="center"/>
            <w:rPr>
              <w:sz w:val="18"/>
            </w:rPr>
          </w:pPr>
          <w:r w:rsidRPr="00DE3CAE">
            <w:rPr>
              <w:i/>
              <w:iCs/>
            </w:rPr>
            <w:t>Autonomous Sanctions (Designated Persons and Entities and Declared Persons—</w:t>
          </w:r>
          <w:r>
            <w:rPr>
              <w:i/>
              <w:iCs/>
            </w:rPr>
            <w:t>Libya</w:t>
          </w:r>
          <w:r w:rsidRPr="00DE3CAE">
            <w:rPr>
              <w:i/>
              <w:iCs/>
            </w:rPr>
            <w:t>) Amendment (</w:t>
          </w:r>
          <w:r>
            <w:rPr>
              <w:i/>
              <w:iCs/>
            </w:rPr>
            <w:t>Continuation of Effect) Instrument 2020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E167C8" w14:textId="77777777" w:rsidR="0016300E" w:rsidRDefault="0016300E" w:rsidP="00086193">
          <w:pPr>
            <w:spacing w:line="0" w:lineRule="atLeast"/>
            <w:jc w:val="right"/>
            <w:rPr>
              <w:sz w:val="18"/>
            </w:rPr>
          </w:pPr>
        </w:p>
      </w:tc>
    </w:tr>
  </w:tbl>
  <w:p w14:paraId="3A9A316C" w14:textId="77777777" w:rsidR="0016300E" w:rsidRPr="00ED79B6" w:rsidRDefault="0016300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402B" w14:textId="77777777" w:rsidR="0016300E" w:rsidRPr="00E33C1C" w:rsidRDefault="0016300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300E" w14:paraId="1FA71584" w14:textId="77777777" w:rsidTr="0008619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AC8BB0" w14:textId="77777777" w:rsidR="0016300E" w:rsidRDefault="0016300E" w:rsidP="000861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779F27" w14:textId="727C2B36" w:rsidR="0016300E" w:rsidRDefault="0016300E" w:rsidP="0041479A">
          <w:pPr>
            <w:spacing w:line="0" w:lineRule="atLeast"/>
            <w:jc w:val="center"/>
            <w:rPr>
              <w:sz w:val="18"/>
            </w:rPr>
          </w:pPr>
          <w:r w:rsidRPr="00DE3CAE">
            <w:rPr>
              <w:i/>
              <w:iCs/>
            </w:rPr>
            <w:t>Autonomous Sanctions (Designated Persons and Entities and Declared Persons—</w:t>
          </w:r>
          <w:r>
            <w:rPr>
              <w:i/>
              <w:iCs/>
            </w:rPr>
            <w:t>Libya</w:t>
          </w:r>
          <w:r w:rsidRPr="00DE3CAE">
            <w:rPr>
              <w:i/>
              <w:iCs/>
            </w:rPr>
            <w:t>) Amendment (</w:t>
          </w:r>
          <w:r>
            <w:rPr>
              <w:i/>
              <w:iCs/>
            </w:rPr>
            <w:t>Continuation of Effect) Instrument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16831" w14:textId="05FE110B" w:rsidR="0016300E" w:rsidRDefault="0016300E" w:rsidP="000861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7F12A23" w14:textId="77777777" w:rsidR="0016300E" w:rsidRPr="00ED79B6" w:rsidRDefault="0016300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BB07" w14:textId="77777777" w:rsidR="0016300E" w:rsidRPr="00E33C1C" w:rsidRDefault="0016300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300E" w14:paraId="5B50BA9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51E2B9" w14:textId="77777777" w:rsidR="0016300E" w:rsidRDefault="0016300E" w:rsidP="0008619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738B41" w14:textId="08F51425" w:rsidR="0016300E" w:rsidRDefault="0016300E" w:rsidP="0008619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45AD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B2115B" w14:textId="77777777" w:rsidR="0016300E" w:rsidRDefault="0016300E" w:rsidP="0008619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313B163" w14:textId="77777777" w:rsidR="0016300E" w:rsidRPr="00ED79B6" w:rsidRDefault="0016300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7A367" w14:textId="77777777" w:rsidR="0016300E" w:rsidRDefault="0016300E" w:rsidP="0048364F">
      <w:pPr>
        <w:spacing w:line="240" w:lineRule="auto"/>
      </w:pPr>
      <w:r>
        <w:separator/>
      </w:r>
    </w:p>
  </w:footnote>
  <w:footnote w:type="continuationSeparator" w:id="0">
    <w:p w14:paraId="2AB9D323" w14:textId="77777777" w:rsidR="0016300E" w:rsidRDefault="0016300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54A2" w14:textId="77777777" w:rsidR="0016300E" w:rsidRPr="005F1388" w:rsidRDefault="0016300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45DCF" w14:textId="391B60F1" w:rsidR="0016300E" w:rsidRPr="009A497C" w:rsidRDefault="0016300E" w:rsidP="009A497C">
    <w:pPr>
      <w:pStyle w:val="Header"/>
      <w:tabs>
        <w:tab w:val="clear" w:pos="4150"/>
        <w:tab w:val="clear" w:pos="8307"/>
      </w:tabs>
      <w:jc w:val="center"/>
      <w:rPr>
        <w:b/>
        <w:color w:val="FF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2C40" w14:textId="77777777" w:rsidR="0016300E" w:rsidRPr="005F1388" w:rsidRDefault="0016300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34F9" w14:textId="77777777" w:rsidR="0016300E" w:rsidRPr="00ED79B6" w:rsidRDefault="0016300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F539D" w14:textId="77777777" w:rsidR="0016300E" w:rsidRPr="00ED79B6" w:rsidRDefault="0016300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2D14D" w14:textId="77777777" w:rsidR="0016300E" w:rsidRPr="00ED79B6" w:rsidRDefault="0016300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009F6" w14:textId="77777777" w:rsidR="0016300E" w:rsidRPr="00A961C4" w:rsidRDefault="0016300E" w:rsidP="0048364F">
    <w:pPr>
      <w:rPr>
        <w:b/>
        <w:sz w:val="20"/>
      </w:rPr>
    </w:pPr>
  </w:p>
  <w:p w14:paraId="4B9B1393" w14:textId="77777777" w:rsidR="0016300E" w:rsidRPr="00A961C4" w:rsidRDefault="0016300E" w:rsidP="0048364F">
    <w:pPr>
      <w:rPr>
        <w:b/>
        <w:sz w:val="20"/>
      </w:rPr>
    </w:pPr>
  </w:p>
  <w:p w14:paraId="174ACA91" w14:textId="77777777" w:rsidR="0016300E" w:rsidRPr="00A961C4" w:rsidRDefault="0016300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5E2A" w14:textId="77777777" w:rsidR="0016300E" w:rsidRPr="00A961C4" w:rsidRDefault="0016300E" w:rsidP="0048364F">
    <w:pPr>
      <w:jc w:val="right"/>
      <w:rPr>
        <w:sz w:val="20"/>
      </w:rPr>
    </w:pPr>
  </w:p>
  <w:p w14:paraId="7F2CCFC0" w14:textId="77777777" w:rsidR="0016300E" w:rsidRPr="00A961C4" w:rsidRDefault="0016300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C73C" w14:textId="77777777" w:rsidR="0016300E" w:rsidRPr="00A961C4" w:rsidRDefault="0016300E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87851"/>
    <w:multiLevelType w:val="hybridMultilevel"/>
    <w:tmpl w:val="1DA83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3AB330C"/>
    <w:multiLevelType w:val="hybridMultilevel"/>
    <w:tmpl w:val="27CE5C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0EA70B1"/>
    <w:multiLevelType w:val="hybridMultilevel"/>
    <w:tmpl w:val="EA7AF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35A3C"/>
    <w:multiLevelType w:val="hybridMultilevel"/>
    <w:tmpl w:val="76E4A0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4259123A"/>
    <w:multiLevelType w:val="hybridMultilevel"/>
    <w:tmpl w:val="A4B672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133DE"/>
    <w:multiLevelType w:val="hybridMultilevel"/>
    <w:tmpl w:val="0F267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A10C4"/>
    <w:multiLevelType w:val="hybridMultilevel"/>
    <w:tmpl w:val="A67C8E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90E4D"/>
    <w:multiLevelType w:val="hybridMultilevel"/>
    <w:tmpl w:val="35DC8788"/>
    <w:lvl w:ilvl="0" w:tplc="CEAC241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67340D02"/>
    <w:multiLevelType w:val="hybridMultilevel"/>
    <w:tmpl w:val="8FFC4CC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E52EF"/>
    <w:multiLevelType w:val="hybridMultilevel"/>
    <w:tmpl w:val="B06459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B580C"/>
    <w:multiLevelType w:val="hybridMultilevel"/>
    <w:tmpl w:val="B5A657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20893"/>
    <w:multiLevelType w:val="hybridMultilevel"/>
    <w:tmpl w:val="EB4C77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3"/>
  </w:num>
  <w:num w:numId="14">
    <w:abstractNumId w:val="16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17"/>
  </w:num>
  <w:num w:numId="20">
    <w:abstractNumId w:val="12"/>
  </w:num>
  <w:num w:numId="21">
    <w:abstractNumId w:val="2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28"/>
  </w:num>
  <w:num w:numId="26">
    <w:abstractNumId w:val="22"/>
  </w:num>
  <w:num w:numId="27">
    <w:abstractNumId w:val="30"/>
  </w:num>
  <w:num w:numId="28">
    <w:abstractNumId w:val="27"/>
  </w:num>
  <w:num w:numId="29">
    <w:abstractNumId w:val="29"/>
  </w:num>
  <w:num w:numId="30">
    <w:abstractNumId w:val="14"/>
  </w:num>
  <w:num w:numId="31">
    <w:abstractNumId w:val="2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A8"/>
    <w:rsid w:val="00000263"/>
    <w:rsid w:val="000018C2"/>
    <w:rsid w:val="000113BC"/>
    <w:rsid w:val="00012329"/>
    <w:rsid w:val="000136AF"/>
    <w:rsid w:val="00015E5C"/>
    <w:rsid w:val="00036E70"/>
    <w:rsid w:val="0003701A"/>
    <w:rsid w:val="0004044E"/>
    <w:rsid w:val="00046F47"/>
    <w:rsid w:val="0005120E"/>
    <w:rsid w:val="00051AE3"/>
    <w:rsid w:val="00054577"/>
    <w:rsid w:val="000552BB"/>
    <w:rsid w:val="00057661"/>
    <w:rsid w:val="000614BF"/>
    <w:rsid w:val="00065CEF"/>
    <w:rsid w:val="000709C4"/>
    <w:rsid w:val="0007169C"/>
    <w:rsid w:val="00072AAE"/>
    <w:rsid w:val="00076A04"/>
    <w:rsid w:val="00077593"/>
    <w:rsid w:val="000819D2"/>
    <w:rsid w:val="00083F48"/>
    <w:rsid w:val="00084CE8"/>
    <w:rsid w:val="00086193"/>
    <w:rsid w:val="00091DA9"/>
    <w:rsid w:val="00096DEC"/>
    <w:rsid w:val="000A14F0"/>
    <w:rsid w:val="000A7DF9"/>
    <w:rsid w:val="000B0F72"/>
    <w:rsid w:val="000B161D"/>
    <w:rsid w:val="000C1E33"/>
    <w:rsid w:val="000D05EF"/>
    <w:rsid w:val="000D13FF"/>
    <w:rsid w:val="000D3CAE"/>
    <w:rsid w:val="000D5485"/>
    <w:rsid w:val="000D67A8"/>
    <w:rsid w:val="000D7B21"/>
    <w:rsid w:val="000F21C1"/>
    <w:rsid w:val="000F3DD1"/>
    <w:rsid w:val="000F70AF"/>
    <w:rsid w:val="00101404"/>
    <w:rsid w:val="00102F09"/>
    <w:rsid w:val="00105D72"/>
    <w:rsid w:val="00106D6E"/>
    <w:rsid w:val="0010745C"/>
    <w:rsid w:val="00114CC2"/>
    <w:rsid w:val="00117277"/>
    <w:rsid w:val="00124EC6"/>
    <w:rsid w:val="001261C1"/>
    <w:rsid w:val="001319A0"/>
    <w:rsid w:val="00132D3B"/>
    <w:rsid w:val="00133CFA"/>
    <w:rsid w:val="00136FBC"/>
    <w:rsid w:val="001412D4"/>
    <w:rsid w:val="00152F1B"/>
    <w:rsid w:val="00153D30"/>
    <w:rsid w:val="00154EB1"/>
    <w:rsid w:val="00156C41"/>
    <w:rsid w:val="00160BD7"/>
    <w:rsid w:val="0016300E"/>
    <w:rsid w:val="0016308A"/>
    <w:rsid w:val="00163228"/>
    <w:rsid w:val="001643C9"/>
    <w:rsid w:val="00165568"/>
    <w:rsid w:val="00166082"/>
    <w:rsid w:val="00166C2F"/>
    <w:rsid w:val="00170E5D"/>
    <w:rsid w:val="001716C3"/>
    <w:rsid w:val="001716C9"/>
    <w:rsid w:val="00172189"/>
    <w:rsid w:val="00172F73"/>
    <w:rsid w:val="00183FC8"/>
    <w:rsid w:val="00184261"/>
    <w:rsid w:val="00190DF5"/>
    <w:rsid w:val="001924CD"/>
    <w:rsid w:val="00193461"/>
    <w:rsid w:val="001939E1"/>
    <w:rsid w:val="00193B57"/>
    <w:rsid w:val="00195382"/>
    <w:rsid w:val="0019732C"/>
    <w:rsid w:val="001A14A6"/>
    <w:rsid w:val="001A3B9F"/>
    <w:rsid w:val="001A65C0"/>
    <w:rsid w:val="001B6456"/>
    <w:rsid w:val="001B7A5D"/>
    <w:rsid w:val="001C2172"/>
    <w:rsid w:val="001C399A"/>
    <w:rsid w:val="001C69C4"/>
    <w:rsid w:val="001D06E7"/>
    <w:rsid w:val="001D72B1"/>
    <w:rsid w:val="001E0A8D"/>
    <w:rsid w:val="001E3590"/>
    <w:rsid w:val="001E38DE"/>
    <w:rsid w:val="001E488C"/>
    <w:rsid w:val="001E7407"/>
    <w:rsid w:val="001E7E2E"/>
    <w:rsid w:val="001F3007"/>
    <w:rsid w:val="002002C2"/>
    <w:rsid w:val="00201222"/>
    <w:rsid w:val="00201D27"/>
    <w:rsid w:val="0020300C"/>
    <w:rsid w:val="00203346"/>
    <w:rsid w:val="00204FA7"/>
    <w:rsid w:val="002073EC"/>
    <w:rsid w:val="0021181F"/>
    <w:rsid w:val="00212F89"/>
    <w:rsid w:val="00214937"/>
    <w:rsid w:val="002156E8"/>
    <w:rsid w:val="00220A0C"/>
    <w:rsid w:val="00223E4A"/>
    <w:rsid w:val="002302EA"/>
    <w:rsid w:val="00230C95"/>
    <w:rsid w:val="00231EC1"/>
    <w:rsid w:val="00233C77"/>
    <w:rsid w:val="00240749"/>
    <w:rsid w:val="002468D7"/>
    <w:rsid w:val="00251683"/>
    <w:rsid w:val="00261B7F"/>
    <w:rsid w:val="002627F5"/>
    <w:rsid w:val="0026313C"/>
    <w:rsid w:val="00264DAB"/>
    <w:rsid w:val="00266A5C"/>
    <w:rsid w:val="002719EE"/>
    <w:rsid w:val="00272EDA"/>
    <w:rsid w:val="00275D5E"/>
    <w:rsid w:val="00283003"/>
    <w:rsid w:val="00285CDD"/>
    <w:rsid w:val="00291167"/>
    <w:rsid w:val="00295484"/>
    <w:rsid w:val="00296057"/>
    <w:rsid w:val="00297ECB"/>
    <w:rsid w:val="002B557E"/>
    <w:rsid w:val="002C152A"/>
    <w:rsid w:val="002C4E64"/>
    <w:rsid w:val="002D043A"/>
    <w:rsid w:val="002D2FCF"/>
    <w:rsid w:val="002D7B4B"/>
    <w:rsid w:val="002E313A"/>
    <w:rsid w:val="002F471E"/>
    <w:rsid w:val="002F50C4"/>
    <w:rsid w:val="00312A93"/>
    <w:rsid w:val="003170C5"/>
    <w:rsid w:val="0031713F"/>
    <w:rsid w:val="00321913"/>
    <w:rsid w:val="00324EE6"/>
    <w:rsid w:val="003258FF"/>
    <w:rsid w:val="003316DC"/>
    <w:rsid w:val="00332E0D"/>
    <w:rsid w:val="003415D3"/>
    <w:rsid w:val="00342A08"/>
    <w:rsid w:val="003447D4"/>
    <w:rsid w:val="00346335"/>
    <w:rsid w:val="00346EBD"/>
    <w:rsid w:val="00352B0F"/>
    <w:rsid w:val="003561B0"/>
    <w:rsid w:val="003604F6"/>
    <w:rsid w:val="00360691"/>
    <w:rsid w:val="00361032"/>
    <w:rsid w:val="00367960"/>
    <w:rsid w:val="00372C86"/>
    <w:rsid w:val="003744EB"/>
    <w:rsid w:val="00375CBD"/>
    <w:rsid w:val="0039273F"/>
    <w:rsid w:val="00393A43"/>
    <w:rsid w:val="003953FC"/>
    <w:rsid w:val="003A15AC"/>
    <w:rsid w:val="003A38CD"/>
    <w:rsid w:val="003A4B87"/>
    <w:rsid w:val="003A56EB"/>
    <w:rsid w:val="003A6556"/>
    <w:rsid w:val="003B0627"/>
    <w:rsid w:val="003C5F2B"/>
    <w:rsid w:val="003C6E48"/>
    <w:rsid w:val="003D0BFE"/>
    <w:rsid w:val="003D3E88"/>
    <w:rsid w:val="003D5700"/>
    <w:rsid w:val="003E2A7A"/>
    <w:rsid w:val="003E431C"/>
    <w:rsid w:val="003F0F5A"/>
    <w:rsid w:val="003F11A1"/>
    <w:rsid w:val="00400202"/>
    <w:rsid w:val="00400A30"/>
    <w:rsid w:val="00401F29"/>
    <w:rsid w:val="004022CA"/>
    <w:rsid w:val="00404918"/>
    <w:rsid w:val="00406571"/>
    <w:rsid w:val="004116CD"/>
    <w:rsid w:val="0041479A"/>
    <w:rsid w:val="00414ADE"/>
    <w:rsid w:val="00415F08"/>
    <w:rsid w:val="004206B7"/>
    <w:rsid w:val="00422B8B"/>
    <w:rsid w:val="00424CA9"/>
    <w:rsid w:val="004257BB"/>
    <w:rsid w:val="004261D9"/>
    <w:rsid w:val="00431998"/>
    <w:rsid w:val="00432FCD"/>
    <w:rsid w:val="0043445A"/>
    <w:rsid w:val="004352F3"/>
    <w:rsid w:val="004368CB"/>
    <w:rsid w:val="00436E70"/>
    <w:rsid w:val="00440C8F"/>
    <w:rsid w:val="0044291A"/>
    <w:rsid w:val="0044562E"/>
    <w:rsid w:val="00453655"/>
    <w:rsid w:val="00456A53"/>
    <w:rsid w:val="00460499"/>
    <w:rsid w:val="00461D11"/>
    <w:rsid w:val="00470BD8"/>
    <w:rsid w:val="00474835"/>
    <w:rsid w:val="0047797B"/>
    <w:rsid w:val="004819C7"/>
    <w:rsid w:val="0048364F"/>
    <w:rsid w:val="00490F2E"/>
    <w:rsid w:val="00496DB3"/>
    <w:rsid w:val="00496F97"/>
    <w:rsid w:val="004A53EA"/>
    <w:rsid w:val="004A5A16"/>
    <w:rsid w:val="004A680B"/>
    <w:rsid w:val="004B0208"/>
    <w:rsid w:val="004C0FF2"/>
    <w:rsid w:val="004C2E04"/>
    <w:rsid w:val="004D4859"/>
    <w:rsid w:val="004E3CA6"/>
    <w:rsid w:val="004F1FAC"/>
    <w:rsid w:val="004F546C"/>
    <w:rsid w:val="004F676E"/>
    <w:rsid w:val="00511A55"/>
    <w:rsid w:val="00516B8D"/>
    <w:rsid w:val="00521753"/>
    <w:rsid w:val="00526565"/>
    <w:rsid w:val="0052686F"/>
    <w:rsid w:val="00526B33"/>
    <w:rsid w:val="0052756C"/>
    <w:rsid w:val="00527681"/>
    <w:rsid w:val="00530230"/>
    <w:rsid w:val="00530CC9"/>
    <w:rsid w:val="00537FBC"/>
    <w:rsid w:val="00541D73"/>
    <w:rsid w:val="00543469"/>
    <w:rsid w:val="00544C83"/>
    <w:rsid w:val="005452CC"/>
    <w:rsid w:val="00546FA3"/>
    <w:rsid w:val="00553304"/>
    <w:rsid w:val="00554243"/>
    <w:rsid w:val="00554B8B"/>
    <w:rsid w:val="005576E9"/>
    <w:rsid w:val="00557C7A"/>
    <w:rsid w:val="00561539"/>
    <w:rsid w:val="00562A58"/>
    <w:rsid w:val="00567FF1"/>
    <w:rsid w:val="0057052F"/>
    <w:rsid w:val="0057342A"/>
    <w:rsid w:val="00574DDE"/>
    <w:rsid w:val="00575B2B"/>
    <w:rsid w:val="00581211"/>
    <w:rsid w:val="00584811"/>
    <w:rsid w:val="00590113"/>
    <w:rsid w:val="00590F2D"/>
    <w:rsid w:val="00593AA6"/>
    <w:rsid w:val="00594161"/>
    <w:rsid w:val="00594749"/>
    <w:rsid w:val="0059769B"/>
    <w:rsid w:val="005A482B"/>
    <w:rsid w:val="005B4067"/>
    <w:rsid w:val="005B4DFE"/>
    <w:rsid w:val="005B5A2E"/>
    <w:rsid w:val="005C36E0"/>
    <w:rsid w:val="005C3D41"/>
    <w:rsid w:val="005C3F41"/>
    <w:rsid w:val="005C4635"/>
    <w:rsid w:val="005D1052"/>
    <w:rsid w:val="005D168D"/>
    <w:rsid w:val="005D236F"/>
    <w:rsid w:val="005D481B"/>
    <w:rsid w:val="005D5EA1"/>
    <w:rsid w:val="005E0317"/>
    <w:rsid w:val="005E61D3"/>
    <w:rsid w:val="005E7DB2"/>
    <w:rsid w:val="005F1B0D"/>
    <w:rsid w:val="005F7738"/>
    <w:rsid w:val="00600219"/>
    <w:rsid w:val="006024CA"/>
    <w:rsid w:val="00611BDC"/>
    <w:rsid w:val="006126A9"/>
    <w:rsid w:val="00613EAD"/>
    <w:rsid w:val="006158AC"/>
    <w:rsid w:val="006218D0"/>
    <w:rsid w:val="00624685"/>
    <w:rsid w:val="00625C30"/>
    <w:rsid w:val="00626485"/>
    <w:rsid w:val="00631355"/>
    <w:rsid w:val="006342ED"/>
    <w:rsid w:val="00640402"/>
    <w:rsid w:val="0064099E"/>
    <w:rsid w:val="00640F78"/>
    <w:rsid w:val="00645BD4"/>
    <w:rsid w:val="00646E7B"/>
    <w:rsid w:val="006512CF"/>
    <w:rsid w:val="006535F5"/>
    <w:rsid w:val="00655D6A"/>
    <w:rsid w:val="00656DE9"/>
    <w:rsid w:val="00660CE6"/>
    <w:rsid w:val="006671A0"/>
    <w:rsid w:val="0067174D"/>
    <w:rsid w:val="0067527D"/>
    <w:rsid w:val="00675BC4"/>
    <w:rsid w:val="00677442"/>
    <w:rsid w:val="006775F3"/>
    <w:rsid w:val="006777F6"/>
    <w:rsid w:val="00677CC2"/>
    <w:rsid w:val="00681ADF"/>
    <w:rsid w:val="0068332C"/>
    <w:rsid w:val="00685F42"/>
    <w:rsid w:val="006866A1"/>
    <w:rsid w:val="0069207B"/>
    <w:rsid w:val="0069445F"/>
    <w:rsid w:val="006A0053"/>
    <w:rsid w:val="006A4309"/>
    <w:rsid w:val="006B0E55"/>
    <w:rsid w:val="006B1A62"/>
    <w:rsid w:val="006B670A"/>
    <w:rsid w:val="006B7006"/>
    <w:rsid w:val="006C061C"/>
    <w:rsid w:val="006C0D47"/>
    <w:rsid w:val="006C7F8C"/>
    <w:rsid w:val="006D7AB9"/>
    <w:rsid w:val="006E10A4"/>
    <w:rsid w:val="006F790B"/>
    <w:rsid w:val="00700B2C"/>
    <w:rsid w:val="00701F85"/>
    <w:rsid w:val="00705CBF"/>
    <w:rsid w:val="00710275"/>
    <w:rsid w:val="0071207F"/>
    <w:rsid w:val="00713084"/>
    <w:rsid w:val="00714405"/>
    <w:rsid w:val="00720FC2"/>
    <w:rsid w:val="00730263"/>
    <w:rsid w:val="00730465"/>
    <w:rsid w:val="00731E00"/>
    <w:rsid w:val="00732E9D"/>
    <w:rsid w:val="0073491A"/>
    <w:rsid w:val="00734F99"/>
    <w:rsid w:val="007440B7"/>
    <w:rsid w:val="00747993"/>
    <w:rsid w:val="00752C43"/>
    <w:rsid w:val="00762E06"/>
    <w:rsid w:val="007634AD"/>
    <w:rsid w:val="0077108C"/>
    <w:rsid w:val="007715C9"/>
    <w:rsid w:val="00774EDD"/>
    <w:rsid w:val="007757EC"/>
    <w:rsid w:val="0077725F"/>
    <w:rsid w:val="00782C4B"/>
    <w:rsid w:val="00785AA7"/>
    <w:rsid w:val="00787781"/>
    <w:rsid w:val="00797162"/>
    <w:rsid w:val="007A115D"/>
    <w:rsid w:val="007A31A7"/>
    <w:rsid w:val="007A35E6"/>
    <w:rsid w:val="007A6863"/>
    <w:rsid w:val="007B0398"/>
    <w:rsid w:val="007C7F7A"/>
    <w:rsid w:val="007D2CE8"/>
    <w:rsid w:val="007D2F6C"/>
    <w:rsid w:val="007D3965"/>
    <w:rsid w:val="007D42FF"/>
    <w:rsid w:val="007D453A"/>
    <w:rsid w:val="007D45C1"/>
    <w:rsid w:val="007D47D4"/>
    <w:rsid w:val="007E6017"/>
    <w:rsid w:val="007E7D4A"/>
    <w:rsid w:val="007F48ED"/>
    <w:rsid w:val="007F5655"/>
    <w:rsid w:val="007F7947"/>
    <w:rsid w:val="00802BD4"/>
    <w:rsid w:val="00804CA4"/>
    <w:rsid w:val="00805EAF"/>
    <w:rsid w:val="008123C4"/>
    <w:rsid w:val="00812F45"/>
    <w:rsid w:val="00820DD2"/>
    <w:rsid w:val="00824532"/>
    <w:rsid w:val="00831EDF"/>
    <w:rsid w:val="0084172C"/>
    <w:rsid w:val="008432DD"/>
    <w:rsid w:val="00844EB4"/>
    <w:rsid w:val="00851732"/>
    <w:rsid w:val="00856A31"/>
    <w:rsid w:val="008629B6"/>
    <w:rsid w:val="008728C3"/>
    <w:rsid w:val="008754D0"/>
    <w:rsid w:val="00877D48"/>
    <w:rsid w:val="008816F0"/>
    <w:rsid w:val="0088345B"/>
    <w:rsid w:val="00887D8D"/>
    <w:rsid w:val="00892CB0"/>
    <w:rsid w:val="008A0058"/>
    <w:rsid w:val="008A16A5"/>
    <w:rsid w:val="008A29FD"/>
    <w:rsid w:val="008A7414"/>
    <w:rsid w:val="008A7924"/>
    <w:rsid w:val="008A7C80"/>
    <w:rsid w:val="008B7F4A"/>
    <w:rsid w:val="008B7F9D"/>
    <w:rsid w:val="008C2B5D"/>
    <w:rsid w:val="008C4607"/>
    <w:rsid w:val="008D0EE0"/>
    <w:rsid w:val="008D4CA9"/>
    <w:rsid w:val="008D4ED6"/>
    <w:rsid w:val="008D5B99"/>
    <w:rsid w:val="008D7A27"/>
    <w:rsid w:val="008E054E"/>
    <w:rsid w:val="008E21D5"/>
    <w:rsid w:val="008E3A69"/>
    <w:rsid w:val="008E4702"/>
    <w:rsid w:val="008E69AA"/>
    <w:rsid w:val="008F4F1C"/>
    <w:rsid w:val="00900982"/>
    <w:rsid w:val="00904EE1"/>
    <w:rsid w:val="00912ED6"/>
    <w:rsid w:val="00913F98"/>
    <w:rsid w:val="00914240"/>
    <w:rsid w:val="00922764"/>
    <w:rsid w:val="009257AF"/>
    <w:rsid w:val="00930CD5"/>
    <w:rsid w:val="00932377"/>
    <w:rsid w:val="00932AA5"/>
    <w:rsid w:val="009408EA"/>
    <w:rsid w:val="00943102"/>
    <w:rsid w:val="0094523D"/>
    <w:rsid w:val="009559E6"/>
    <w:rsid w:val="00961D24"/>
    <w:rsid w:val="00974EC1"/>
    <w:rsid w:val="00976A63"/>
    <w:rsid w:val="00982C8E"/>
    <w:rsid w:val="00983419"/>
    <w:rsid w:val="00985027"/>
    <w:rsid w:val="00987F32"/>
    <w:rsid w:val="0099345B"/>
    <w:rsid w:val="00995C08"/>
    <w:rsid w:val="00996187"/>
    <w:rsid w:val="009A3A4C"/>
    <w:rsid w:val="009A3B2F"/>
    <w:rsid w:val="009A497C"/>
    <w:rsid w:val="009B173F"/>
    <w:rsid w:val="009B32D8"/>
    <w:rsid w:val="009B57A5"/>
    <w:rsid w:val="009B5D0B"/>
    <w:rsid w:val="009C13C1"/>
    <w:rsid w:val="009C3431"/>
    <w:rsid w:val="009C4128"/>
    <w:rsid w:val="009C5989"/>
    <w:rsid w:val="009D08DA"/>
    <w:rsid w:val="009E3128"/>
    <w:rsid w:val="009E4EAB"/>
    <w:rsid w:val="009E4EC5"/>
    <w:rsid w:val="009E5F9F"/>
    <w:rsid w:val="009F0F41"/>
    <w:rsid w:val="009F4271"/>
    <w:rsid w:val="00A01736"/>
    <w:rsid w:val="00A06860"/>
    <w:rsid w:val="00A136F5"/>
    <w:rsid w:val="00A1587E"/>
    <w:rsid w:val="00A231E2"/>
    <w:rsid w:val="00A2550D"/>
    <w:rsid w:val="00A25C53"/>
    <w:rsid w:val="00A314CC"/>
    <w:rsid w:val="00A34DBC"/>
    <w:rsid w:val="00A40BA6"/>
    <w:rsid w:val="00A4169B"/>
    <w:rsid w:val="00A445F2"/>
    <w:rsid w:val="00A50D35"/>
    <w:rsid w:val="00A50D55"/>
    <w:rsid w:val="00A5165B"/>
    <w:rsid w:val="00A52FDA"/>
    <w:rsid w:val="00A64912"/>
    <w:rsid w:val="00A70A74"/>
    <w:rsid w:val="00A712B1"/>
    <w:rsid w:val="00A85B62"/>
    <w:rsid w:val="00A900A4"/>
    <w:rsid w:val="00A901DF"/>
    <w:rsid w:val="00A95C75"/>
    <w:rsid w:val="00AA0343"/>
    <w:rsid w:val="00AA2A5C"/>
    <w:rsid w:val="00AA352E"/>
    <w:rsid w:val="00AA64FC"/>
    <w:rsid w:val="00AB78E9"/>
    <w:rsid w:val="00AC2EA3"/>
    <w:rsid w:val="00AC3977"/>
    <w:rsid w:val="00AC6EB7"/>
    <w:rsid w:val="00AD3467"/>
    <w:rsid w:val="00AD4092"/>
    <w:rsid w:val="00AD5641"/>
    <w:rsid w:val="00AD7252"/>
    <w:rsid w:val="00AD7554"/>
    <w:rsid w:val="00AE0F9B"/>
    <w:rsid w:val="00AE34BE"/>
    <w:rsid w:val="00AF33D2"/>
    <w:rsid w:val="00AF55FF"/>
    <w:rsid w:val="00B032D8"/>
    <w:rsid w:val="00B05C46"/>
    <w:rsid w:val="00B24CBA"/>
    <w:rsid w:val="00B27FFC"/>
    <w:rsid w:val="00B3309E"/>
    <w:rsid w:val="00B33B3C"/>
    <w:rsid w:val="00B37295"/>
    <w:rsid w:val="00B40D74"/>
    <w:rsid w:val="00B45878"/>
    <w:rsid w:val="00B45AD7"/>
    <w:rsid w:val="00B52663"/>
    <w:rsid w:val="00B56DCB"/>
    <w:rsid w:val="00B60050"/>
    <w:rsid w:val="00B70C6F"/>
    <w:rsid w:val="00B7273C"/>
    <w:rsid w:val="00B762E5"/>
    <w:rsid w:val="00B770D2"/>
    <w:rsid w:val="00B80D3A"/>
    <w:rsid w:val="00B82E45"/>
    <w:rsid w:val="00B85907"/>
    <w:rsid w:val="00B9102A"/>
    <w:rsid w:val="00B945B0"/>
    <w:rsid w:val="00B95DA0"/>
    <w:rsid w:val="00BA47A3"/>
    <w:rsid w:val="00BA5026"/>
    <w:rsid w:val="00BB6D13"/>
    <w:rsid w:val="00BB6E79"/>
    <w:rsid w:val="00BB7740"/>
    <w:rsid w:val="00BC7FCF"/>
    <w:rsid w:val="00BD169C"/>
    <w:rsid w:val="00BD5AE4"/>
    <w:rsid w:val="00BE0009"/>
    <w:rsid w:val="00BE0BB3"/>
    <w:rsid w:val="00BE3B31"/>
    <w:rsid w:val="00BE3E0C"/>
    <w:rsid w:val="00BE719A"/>
    <w:rsid w:val="00BE720A"/>
    <w:rsid w:val="00BF0C03"/>
    <w:rsid w:val="00BF6650"/>
    <w:rsid w:val="00C02B85"/>
    <w:rsid w:val="00C02FF2"/>
    <w:rsid w:val="00C03CD9"/>
    <w:rsid w:val="00C067E5"/>
    <w:rsid w:val="00C11CF8"/>
    <w:rsid w:val="00C11E50"/>
    <w:rsid w:val="00C15FAF"/>
    <w:rsid w:val="00C164CA"/>
    <w:rsid w:val="00C17FF8"/>
    <w:rsid w:val="00C21A24"/>
    <w:rsid w:val="00C30FD0"/>
    <w:rsid w:val="00C324AD"/>
    <w:rsid w:val="00C338E1"/>
    <w:rsid w:val="00C3620F"/>
    <w:rsid w:val="00C40936"/>
    <w:rsid w:val="00C42BF8"/>
    <w:rsid w:val="00C460AE"/>
    <w:rsid w:val="00C465EE"/>
    <w:rsid w:val="00C50043"/>
    <w:rsid w:val="00C50A0F"/>
    <w:rsid w:val="00C61F6A"/>
    <w:rsid w:val="00C7573B"/>
    <w:rsid w:val="00C76CF3"/>
    <w:rsid w:val="00C83680"/>
    <w:rsid w:val="00C926E1"/>
    <w:rsid w:val="00C97243"/>
    <w:rsid w:val="00CA7844"/>
    <w:rsid w:val="00CB58EF"/>
    <w:rsid w:val="00CB6A63"/>
    <w:rsid w:val="00CC388B"/>
    <w:rsid w:val="00CD3332"/>
    <w:rsid w:val="00CD5E1B"/>
    <w:rsid w:val="00CD73C7"/>
    <w:rsid w:val="00CE5EBD"/>
    <w:rsid w:val="00CE7D64"/>
    <w:rsid w:val="00CF0686"/>
    <w:rsid w:val="00CF0BB2"/>
    <w:rsid w:val="00CF11BB"/>
    <w:rsid w:val="00CF5EDC"/>
    <w:rsid w:val="00D015A8"/>
    <w:rsid w:val="00D02528"/>
    <w:rsid w:val="00D05343"/>
    <w:rsid w:val="00D11247"/>
    <w:rsid w:val="00D120DA"/>
    <w:rsid w:val="00D13441"/>
    <w:rsid w:val="00D163A9"/>
    <w:rsid w:val="00D20665"/>
    <w:rsid w:val="00D21D18"/>
    <w:rsid w:val="00D243A3"/>
    <w:rsid w:val="00D251D4"/>
    <w:rsid w:val="00D3200B"/>
    <w:rsid w:val="00D33440"/>
    <w:rsid w:val="00D4000A"/>
    <w:rsid w:val="00D52EFE"/>
    <w:rsid w:val="00D54A16"/>
    <w:rsid w:val="00D55F06"/>
    <w:rsid w:val="00D56A0D"/>
    <w:rsid w:val="00D63289"/>
    <w:rsid w:val="00D63316"/>
    <w:rsid w:val="00D63EF6"/>
    <w:rsid w:val="00D66518"/>
    <w:rsid w:val="00D70DFB"/>
    <w:rsid w:val="00D71EEA"/>
    <w:rsid w:val="00D72476"/>
    <w:rsid w:val="00D735CD"/>
    <w:rsid w:val="00D75084"/>
    <w:rsid w:val="00D766DF"/>
    <w:rsid w:val="00D83265"/>
    <w:rsid w:val="00D83A2A"/>
    <w:rsid w:val="00D8582A"/>
    <w:rsid w:val="00D873AC"/>
    <w:rsid w:val="00D90DD2"/>
    <w:rsid w:val="00D94F36"/>
    <w:rsid w:val="00D95891"/>
    <w:rsid w:val="00D969C1"/>
    <w:rsid w:val="00DA0E78"/>
    <w:rsid w:val="00DA42D4"/>
    <w:rsid w:val="00DA7DC6"/>
    <w:rsid w:val="00DB20EE"/>
    <w:rsid w:val="00DB49D9"/>
    <w:rsid w:val="00DB5CB4"/>
    <w:rsid w:val="00DB7D9A"/>
    <w:rsid w:val="00DC3F67"/>
    <w:rsid w:val="00DD0FB6"/>
    <w:rsid w:val="00DD2F89"/>
    <w:rsid w:val="00DD5C9A"/>
    <w:rsid w:val="00DD61E6"/>
    <w:rsid w:val="00DE149E"/>
    <w:rsid w:val="00DE3CAE"/>
    <w:rsid w:val="00DE7048"/>
    <w:rsid w:val="00DF12B6"/>
    <w:rsid w:val="00DF5012"/>
    <w:rsid w:val="00DF569E"/>
    <w:rsid w:val="00E025AC"/>
    <w:rsid w:val="00E04457"/>
    <w:rsid w:val="00E05704"/>
    <w:rsid w:val="00E05B09"/>
    <w:rsid w:val="00E12F1A"/>
    <w:rsid w:val="00E15561"/>
    <w:rsid w:val="00E21CFB"/>
    <w:rsid w:val="00E228AC"/>
    <w:rsid w:val="00E22935"/>
    <w:rsid w:val="00E238B6"/>
    <w:rsid w:val="00E3652A"/>
    <w:rsid w:val="00E371C4"/>
    <w:rsid w:val="00E37CC8"/>
    <w:rsid w:val="00E402F1"/>
    <w:rsid w:val="00E4425D"/>
    <w:rsid w:val="00E54292"/>
    <w:rsid w:val="00E56174"/>
    <w:rsid w:val="00E567BF"/>
    <w:rsid w:val="00E572F4"/>
    <w:rsid w:val="00E60191"/>
    <w:rsid w:val="00E629AA"/>
    <w:rsid w:val="00E63D86"/>
    <w:rsid w:val="00E65DE6"/>
    <w:rsid w:val="00E66B57"/>
    <w:rsid w:val="00E74DC7"/>
    <w:rsid w:val="00E835E0"/>
    <w:rsid w:val="00E84950"/>
    <w:rsid w:val="00E869F5"/>
    <w:rsid w:val="00E87699"/>
    <w:rsid w:val="00E92E27"/>
    <w:rsid w:val="00E95461"/>
    <w:rsid w:val="00E9586B"/>
    <w:rsid w:val="00E96B96"/>
    <w:rsid w:val="00E97334"/>
    <w:rsid w:val="00EA0D36"/>
    <w:rsid w:val="00EA7F42"/>
    <w:rsid w:val="00EC0A03"/>
    <w:rsid w:val="00EC254D"/>
    <w:rsid w:val="00EC3E79"/>
    <w:rsid w:val="00ED3200"/>
    <w:rsid w:val="00ED4928"/>
    <w:rsid w:val="00EE3749"/>
    <w:rsid w:val="00EE6190"/>
    <w:rsid w:val="00EF1AC8"/>
    <w:rsid w:val="00EF24B1"/>
    <w:rsid w:val="00EF2E3A"/>
    <w:rsid w:val="00EF2F69"/>
    <w:rsid w:val="00EF6402"/>
    <w:rsid w:val="00F00B73"/>
    <w:rsid w:val="00F025DF"/>
    <w:rsid w:val="00F02E80"/>
    <w:rsid w:val="00F047E2"/>
    <w:rsid w:val="00F04D57"/>
    <w:rsid w:val="00F06C65"/>
    <w:rsid w:val="00F078DC"/>
    <w:rsid w:val="00F128E4"/>
    <w:rsid w:val="00F13E86"/>
    <w:rsid w:val="00F2506E"/>
    <w:rsid w:val="00F32FCB"/>
    <w:rsid w:val="00F34869"/>
    <w:rsid w:val="00F41284"/>
    <w:rsid w:val="00F42641"/>
    <w:rsid w:val="00F47135"/>
    <w:rsid w:val="00F5032D"/>
    <w:rsid w:val="00F50ED3"/>
    <w:rsid w:val="00F512C5"/>
    <w:rsid w:val="00F53B90"/>
    <w:rsid w:val="00F5419E"/>
    <w:rsid w:val="00F553D6"/>
    <w:rsid w:val="00F65A58"/>
    <w:rsid w:val="00F660D1"/>
    <w:rsid w:val="00F6709F"/>
    <w:rsid w:val="00F677A9"/>
    <w:rsid w:val="00F723BD"/>
    <w:rsid w:val="00F732EA"/>
    <w:rsid w:val="00F75B5E"/>
    <w:rsid w:val="00F82A68"/>
    <w:rsid w:val="00F84CF5"/>
    <w:rsid w:val="00F8612E"/>
    <w:rsid w:val="00F95046"/>
    <w:rsid w:val="00F9683B"/>
    <w:rsid w:val="00FA420B"/>
    <w:rsid w:val="00FB7E18"/>
    <w:rsid w:val="00FC02CF"/>
    <w:rsid w:val="00FC164F"/>
    <w:rsid w:val="00FC33B3"/>
    <w:rsid w:val="00FC4DFF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53AF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025A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025A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025A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025A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E025A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025A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E025A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E025A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E025A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E025A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025AC"/>
  </w:style>
  <w:style w:type="paragraph" w:customStyle="1" w:styleId="OPCParaBase">
    <w:name w:val="OPCParaBase"/>
    <w:link w:val="OPCParaBaseChar"/>
    <w:qFormat/>
    <w:rsid w:val="00E025A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025A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025A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link w:val="ActHead2Char"/>
    <w:qFormat/>
    <w:rsid w:val="00E025A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025A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025A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025A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025A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025A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025A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025A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025AC"/>
  </w:style>
  <w:style w:type="paragraph" w:customStyle="1" w:styleId="Blocks">
    <w:name w:val="Blocks"/>
    <w:aliases w:val="bb"/>
    <w:basedOn w:val="OPCParaBase"/>
    <w:qFormat/>
    <w:rsid w:val="00E025A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025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025A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025AC"/>
    <w:rPr>
      <w:i/>
    </w:rPr>
  </w:style>
  <w:style w:type="paragraph" w:customStyle="1" w:styleId="BoxList">
    <w:name w:val="BoxList"/>
    <w:aliases w:val="bl"/>
    <w:basedOn w:val="BoxText"/>
    <w:qFormat/>
    <w:rsid w:val="00E025A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025A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025A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025AC"/>
    <w:pPr>
      <w:ind w:left="1985" w:hanging="851"/>
    </w:pPr>
  </w:style>
  <w:style w:type="character" w:customStyle="1" w:styleId="CharAmPartNo">
    <w:name w:val="CharAmPartNo"/>
    <w:basedOn w:val="OPCCharBase"/>
    <w:qFormat/>
    <w:rsid w:val="00E025AC"/>
  </w:style>
  <w:style w:type="character" w:customStyle="1" w:styleId="CharAmPartText">
    <w:name w:val="CharAmPartText"/>
    <w:basedOn w:val="OPCCharBase"/>
    <w:qFormat/>
    <w:rsid w:val="00E025AC"/>
  </w:style>
  <w:style w:type="character" w:customStyle="1" w:styleId="CharAmSchNo">
    <w:name w:val="CharAmSchNo"/>
    <w:basedOn w:val="OPCCharBase"/>
    <w:uiPriority w:val="1"/>
    <w:qFormat/>
    <w:rsid w:val="00E025AC"/>
  </w:style>
  <w:style w:type="character" w:customStyle="1" w:styleId="CharAmSchText">
    <w:name w:val="CharAmSchText"/>
    <w:basedOn w:val="OPCCharBase"/>
    <w:uiPriority w:val="1"/>
    <w:qFormat/>
    <w:rsid w:val="00E025AC"/>
  </w:style>
  <w:style w:type="character" w:customStyle="1" w:styleId="CharBoldItalic">
    <w:name w:val="CharBoldItalic"/>
    <w:basedOn w:val="OPCCharBase"/>
    <w:uiPriority w:val="1"/>
    <w:qFormat/>
    <w:rsid w:val="00E025AC"/>
    <w:rPr>
      <w:b/>
      <w:i/>
    </w:rPr>
  </w:style>
  <w:style w:type="character" w:customStyle="1" w:styleId="CharChapNo">
    <w:name w:val="CharChapNo"/>
    <w:basedOn w:val="OPCCharBase"/>
    <w:qFormat/>
    <w:rsid w:val="00E025AC"/>
  </w:style>
  <w:style w:type="character" w:customStyle="1" w:styleId="CharChapText">
    <w:name w:val="CharChapText"/>
    <w:basedOn w:val="OPCCharBase"/>
    <w:qFormat/>
    <w:rsid w:val="00E025AC"/>
  </w:style>
  <w:style w:type="character" w:customStyle="1" w:styleId="CharDivNo">
    <w:name w:val="CharDivNo"/>
    <w:basedOn w:val="OPCCharBase"/>
    <w:uiPriority w:val="1"/>
    <w:qFormat/>
    <w:rsid w:val="00E025AC"/>
  </w:style>
  <w:style w:type="character" w:customStyle="1" w:styleId="CharDivText">
    <w:name w:val="CharDivText"/>
    <w:basedOn w:val="OPCCharBase"/>
    <w:uiPriority w:val="1"/>
    <w:qFormat/>
    <w:rsid w:val="00E025AC"/>
  </w:style>
  <w:style w:type="character" w:customStyle="1" w:styleId="CharItalic">
    <w:name w:val="CharItalic"/>
    <w:basedOn w:val="OPCCharBase"/>
    <w:uiPriority w:val="1"/>
    <w:qFormat/>
    <w:rsid w:val="00E025AC"/>
    <w:rPr>
      <w:i/>
    </w:rPr>
  </w:style>
  <w:style w:type="character" w:customStyle="1" w:styleId="CharPartNo">
    <w:name w:val="CharPartNo"/>
    <w:basedOn w:val="OPCCharBase"/>
    <w:uiPriority w:val="1"/>
    <w:qFormat/>
    <w:rsid w:val="00E025AC"/>
  </w:style>
  <w:style w:type="character" w:customStyle="1" w:styleId="CharPartText">
    <w:name w:val="CharPartText"/>
    <w:basedOn w:val="OPCCharBase"/>
    <w:uiPriority w:val="1"/>
    <w:qFormat/>
    <w:rsid w:val="00E025AC"/>
  </w:style>
  <w:style w:type="character" w:customStyle="1" w:styleId="CharSectno">
    <w:name w:val="CharSectno"/>
    <w:basedOn w:val="OPCCharBase"/>
    <w:qFormat/>
    <w:rsid w:val="00E025AC"/>
  </w:style>
  <w:style w:type="character" w:customStyle="1" w:styleId="CharSubdNo">
    <w:name w:val="CharSubdNo"/>
    <w:basedOn w:val="OPCCharBase"/>
    <w:uiPriority w:val="1"/>
    <w:qFormat/>
    <w:rsid w:val="00E025AC"/>
  </w:style>
  <w:style w:type="character" w:customStyle="1" w:styleId="CharSubdText">
    <w:name w:val="CharSubdText"/>
    <w:basedOn w:val="OPCCharBase"/>
    <w:uiPriority w:val="1"/>
    <w:qFormat/>
    <w:rsid w:val="00E025AC"/>
  </w:style>
  <w:style w:type="paragraph" w:customStyle="1" w:styleId="CTA--">
    <w:name w:val="CTA --"/>
    <w:basedOn w:val="OPCParaBase"/>
    <w:next w:val="Normal"/>
    <w:rsid w:val="00E025A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025A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025A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025A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025A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025A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025A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025A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025A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025A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025A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025A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025A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025A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025A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025A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025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025A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025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025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025A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025A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025A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025A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025A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E025A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025A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025A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025A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025A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025A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025A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025A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025A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025A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025A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025A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025A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025A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025A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025A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025A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025A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025A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025A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025A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025A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025A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025A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025A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025A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025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025A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025A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025A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025A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025A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025A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025A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C3E79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025A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2F1B"/>
    <w:pPr>
      <w:keepLines/>
      <w:tabs>
        <w:tab w:val="right" w:pos="8278"/>
      </w:tabs>
      <w:spacing w:before="120" w:line="240" w:lineRule="auto"/>
      <w:ind w:left="1105" w:right="567" w:hanging="680"/>
    </w:pPr>
    <w:rPr>
      <w:rFonts w:eastAsia="Times New Roman" w:cs="Times New Roman"/>
      <w:noProof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025A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025A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025A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025A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025A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025A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025A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025A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025A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025A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025AC"/>
    <w:rPr>
      <w:sz w:val="16"/>
    </w:rPr>
  </w:style>
  <w:style w:type="table" w:customStyle="1" w:styleId="CFlag">
    <w:name w:val="CFlag"/>
    <w:basedOn w:val="TableNormal"/>
    <w:uiPriority w:val="99"/>
    <w:rsid w:val="00E025A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02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2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02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025A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025A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025A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025A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025A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025AC"/>
    <w:pPr>
      <w:spacing w:before="120"/>
    </w:pPr>
  </w:style>
  <w:style w:type="paragraph" w:customStyle="1" w:styleId="CompiledActNo">
    <w:name w:val="CompiledActNo"/>
    <w:basedOn w:val="OPCParaBase"/>
    <w:next w:val="Normal"/>
    <w:rsid w:val="00E025A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025A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025A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025A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025A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025A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025A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025A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025A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025A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025A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025A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E025A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025A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025A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025A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025A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025AC"/>
  </w:style>
  <w:style w:type="character" w:customStyle="1" w:styleId="CharSubPartNoCASA">
    <w:name w:val="CharSubPartNo(CASA)"/>
    <w:basedOn w:val="OPCCharBase"/>
    <w:uiPriority w:val="1"/>
    <w:rsid w:val="00E025AC"/>
  </w:style>
  <w:style w:type="paragraph" w:customStyle="1" w:styleId="ENoteTTIndentHeadingSub">
    <w:name w:val="ENoteTTIndentHeadingSub"/>
    <w:aliases w:val="enTTHis"/>
    <w:basedOn w:val="OPCParaBase"/>
    <w:rsid w:val="00E025A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025A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025A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025A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025A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025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025AC"/>
    <w:rPr>
      <w:sz w:val="22"/>
    </w:rPr>
  </w:style>
  <w:style w:type="paragraph" w:customStyle="1" w:styleId="SOTextNote">
    <w:name w:val="SO TextNote"/>
    <w:aliases w:val="sont"/>
    <w:basedOn w:val="SOText"/>
    <w:qFormat/>
    <w:rsid w:val="00E025A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025A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025AC"/>
    <w:rPr>
      <w:sz w:val="22"/>
    </w:rPr>
  </w:style>
  <w:style w:type="paragraph" w:customStyle="1" w:styleId="FileName">
    <w:name w:val="FileName"/>
    <w:basedOn w:val="Normal"/>
    <w:rsid w:val="00E025AC"/>
  </w:style>
  <w:style w:type="paragraph" w:customStyle="1" w:styleId="TableHeading">
    <w:name w:val="TableHeading"/>
    <w:aliases w:val="th"/>
    <w:basedOn w:val="OPCParaBase"/>
    <w:next w:val="Tabletext"/>
    <w:rsid w:val="00E025A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025A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025A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025A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025A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025A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025A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025A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025A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025A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025A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025A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025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025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E02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02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025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rsid w:val="00E025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E025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E025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rsid w:val="00E025A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rsid w:val="00E025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E025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025AC"/>
  </w:style>
  <w:style w:type="character" w:customStyle="1" w:styleId="charlegsubtitle1">
    <w:name w:val="charlegsubtitle1"/>
    <w:basedOn w:val="DefaultParagraphFont"/>
    <w:rsid w:val="00E025A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025AC"/>
    <w:pPr>
      <w:ind w:left="240" w:hanging="240"/>
    </w:pPr>
  </w:style>
  <w:style w:type="paragraph" w:styleId="Index2">
    <w:name w:val="index 2"/>
    <w:basedOn w:val="Normal"/>
    <w:next w:val="Normal"/>
    <w:autoRedefine/>
    <w:rsid w:val="00E025AC"/>
    <w:pPr>
      <w:ind w:left="480" w:hanging="240"/>
    </w:pPr>
  </w:style>
  <w:style w:type="paragraph" w:styleId="Index3">
    <w:name w:val="index 3"/>
    <w:basedOn w:val="Normal"/>
    <w:next w:val="Normal"/>
    <w:autoRedefine/>
    <w:rsid w:val="00E025AC"/>
    <w:pPr>
      <w:ind w:left="720" w:hanging="240"/>
    </w:pPr>
  </w:style>
  <w:style w:type="paragraph" w:styleId="Index4">
    <w:name w:val="index 4"/>
    <w:basedOn w:val="Normal"/>
    <w:next w:val="Normal"/>
    <w:autoRedefine/>
    <w:rsid w:val="00E025AC"/>
    <w:pPr>
      <w:ind w:left="960" w:hanging="240"/>
    </w:pPr>
  </w:style>
  <w:style w:type="paragraph" w:styleId="Index5">
    <w:name w:val="index 5"/>
    <w:basedOn w:val="Normal"/>
    <w:next w:val="Normal"/>
    <w:autoRedefine/>
    <w:rsid w:val="00E025AC"/>
    <w:pPr>
      <w:ind w:left="1200" w:hanging="240"/>
    </w:pPr>
  </w:style>
  <w:style w:type="paragraph" w:styleId="Index6">
    <w:name w:val="index 6"/>
    <w:basedOn w:val="Normal"/>
    <w:next w:val="Normal"/>
    <w:autoRedefine/>
    <w:rsid w:val="00E025AC"/>
    <w:pPr>
      <w:ind w:left="1440" w:hanging="240"/>
    </w:pPr>
  </w:style>
  <w:style w:type="paragraph" w:styleId="Index7">
    <w:name w:val="index 7"/>
    <w:basedOn w:val="Normal"/>
    <w:next w:val="Normal"/>
    <w:autoRedefine/>
    <w:rsid w:val="00E025AC"/>
    <w:pPr>
      <w:ind w:left="1680" w:hanging="240"/>
    </w:pPr>
  </w:style>
  <w:style w:type="paragraph" w:styleId="Index8">
    <w:name w:val="index 8"/>
    <w:basedOn w:val="Normal"/>
    <w:next w:val="Normal"/>
    <w:autoRedefine/>
    <w:rsid w:val="00E025AC"/>
    <w:pPr>
      <w:ind w:left="1920" w:hanging="240"/>
    </w:pPr>
  </w:style>
  <w:style w:type="paragraph" w:styleId="Index9">
    <w:name w:val="index 9"/>
    <w:basedOn w:val="Normal"/>
    <w:next w:val="Normal"/>
    <w:autoRedefine/>
    <w:rsid w:val="00E025AC"/>
    <w:pPr>
      <w:ind w:left="2160" w:hanging="240"/>
    </w:pPr>
  </w:style>
  <w:style w:type="paragraph" w:styleId="NormalIndent">
    <w:name w:val="Normal Indent"/>
    <w:basedOn w:val="Normal"/>
    <w:rsid w:val="00E025AC"/>
    <w:pPr>
      <w:ind w:left="720"/>
    </w:pPr>
  </w:style>
  <w:style w:type="paragraph" w:styleId="FootnoteText">
    <w:name w:val="footnote text"/>
    <w:basedOn w:val="Normal"/>
    <w:link w:val="FootnoteTextChar"/>
    <w:rsid w:val="00E025A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025AC"/>
  </w:style>
  <w:style w:type="paragraph" w:styleId="CommentText">
    <w:name w:val="annotation text"/>
    <w:basedOn w:val="Normal"/>
    <w:link w:val="CommentTextChar"/>
    <w:rsid w:val="00E025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025AC"/>
  </w:style>
  <w:style w:type="paragraph" w:styleId="IndexHeading">
    <w:name w:val="index heading"/>
    <w:basedOn w:val="Normal"/>
    <w:next w:val="Index1"/>
    <w:rsid w:val="00E025A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025A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025AC"/>
    <w:pPr>
      <w:ind w:left="480" w:hanging="480"/>
    </w:pPr>
  </w:style>
  <w:style w:type="paragraph" w:styleId="EnvelopeAddress">
    <w:name w:val="envelope address"/>
    <w:basedOn w:val="Normal"/>
    <w:rsid w:val="00E025A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025A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025A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025AC"/>
    <w:rPr>
      <w:sz w:val="16"/>
      <w:szCs w:val="16"/>
    </w:rPr>
  </w:style>
  <w:style w:type="character" w:styleId="PageNumber">
    <w:name w:val="page number"/>
    <w:basedOn w:val="DefaultParagraphFont"/>
    <w:rsid w:val="00E025AC"/>
  </w:style>
  <w:style w:type="character" w:styleId="EndnoteReference">
    <w:name w:val="endnote reference"/>
    <w:basedOn w:val="DefaultParagraphFont"/>
    <w:rsid w:val="00E025AC"/>
    <w:rPr>
      <w:vertAlign w:val="superscript"/>
    </w:rPr>
  </w:style>
  <w:style w:type="paragraph" w:styleId="EndnoteText">
    <w:name w:val="endnote text"/>
    <w:basedOn w:val="Normal"/>
    <w:link w:val="EndnoteTextChar"/>
    <w:rsid w:val="00E025A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025AC"/>
  </w:style>
  <w:style w:type="paragraph" w:styleId="TableofAuthorities">
    <w:name w:val="table of authorities"/>
    <w:basedOn w:val="Normal"/>
    <w:next w:val="Normal"/>
    <w:rsid w:val="00E025AC"/>
    <w:pPr>
      <w:ind w:left="240" w:hanging="240"/>
    </w:pPr>
  </w:style>
  <w:style w:type="paragraph" w:styleId="MacroText">
    <w:name w:val="macro"/>
    <w:link w:val="MacroTextChar"/>
    <w:rsid w:val="00E025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025A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025A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025AC"/>
    <w:pPr>
      <w:ind w:left="283" w:hanging="283"/>
    </w:pPr>
  </w:style>
  <w:style w:type="paragraph" w:styleId="ListBullet">
    <w:name w:val="List Bullet"/>
    <w:basedOn w:val="Normal"/>
    <w:autoRedefine/>
    <w:rsid w:val="00E025A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025A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025AC"/>
    <w:pPr>
      <w:ind w:left="566" w:hanging="283"/>
    </w:pPr>
  </w:style>
  <w:style w:type="paragraph" w:styleId="List3">
    <w:name w:val="List 3"/>
    <w:basedOn w:val="Normal"/>
    <w:rsid w:val="00E025AC"/>
    <w:pPr>
      <w:ind w:left="849" w:hanging="283"/>
    </w:pPr>
  </w:style>
  <w:style w:type="paragraph" w:styleId="List4">
    <w:name w:val="List 4"/>
    <w:basedOn w:val="Normal"/>
    <w:rsid w:val="00E025AC"/>
    <w:pPr>
      <w:ind w:left="1132" w:hanging="283"/>
    </w:pPr>
  </w:style>
  <w:style w:type="paragraph" w:styleId="List5">
    <w:name w:val="List 5"/>
    <w:basedOn w:val="Normal"/>
    <w:rsid w:val="00E025AC"/>
    <w:pPr>
      <w:ind w:left="1415" w:hanging="283"/>
    </w:pPr>
  </w:style>
  <w:style w:type="paragraph" w:styleId="ListBullet2">
    <w:name w:val="List Bullet 2"/>
    <w:basedOn w:val="Normal"/>
    <w:autoRedefine/>
    <w:rsid w:val="00E025A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025A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025A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025A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025A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025A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025A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025A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uiPriority w:val="10"/>
    <w:qFormat/>
    <w:rsid w:val="00E025A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025A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025AC"/>
    <w:pPr>
      <w:ind w:left="4252"/>
    </w:pPr>
  </w:style>
  <w:style w:type="character" w:customStyle="1" w:styleId="ClosingChar">
    <w:name w:val="Closing Char"/>
    <w:basedOn w:val="DefaultParagraphFont"/>
    <w:link w:val="Closing"/>
    <w:rsid w:val="00E025AC"/>
    <w:rPr>
      <w:sz w:val="22"/>
    </w:rPr>
  </w:style>
  <w:style w:type="paragraph" w:styleId="Signature">
    <w:name w:val="Signature"/>
    <w:basedOn w:val="Normal"/>
    <w:link w:val="SignatureChar"/>
    <w:rsid w:val="00E025A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25AC"/>
    <w:rPr>
      <w:sz w:val="22"/>
    </w:rPr>
  </w:style>
  <w:style w:type="paragraph" w:styleId="BodyText">
    <w:name w:val="Body Text"/>
    <w:basedOn w:val="Normal"/>
    <w:link w:val="BodyTextChar"/>
    <w:rsid w:val="00E025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25AC"/>
    <w:rPr>
      <w:sz w:val="22"/>
    </w:rPr>
  </w:style>
  <w:style w:type="paragraph" w:styleId="BodyTextIndent">
    <w:name w:val="Body Text Indent"/>
    <w:basedOn w:val="Normal"/>
    <w:link w:val="BodyTextIndentChar"/>
    <w:rsid w:val="00E025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25AC"/>
    <w:rPr>
      <w:sz w:val="22"/>
    </w:rPr>
  </w:style>
  <w:style w:type="paragraph" w:styleId="ListContinue">
    <w:name w:val="List Continue"/>
    <w:basedOn w:val="Normal"/>
    <w:rsid w:val="00E025AC"/>
    <w:pPr>
      <w:spacing w:after="120"/>
      <w:ind w:left="283"/>
    </w:pPr>
  </w:style>
  <w:style w:type="paragraph" w:styleId="ListContinue2">
    <w:name w:val="List Continue 2"/>
    <w:basedOn w:val="Normal"/>
    <w:rsid w:val="00E025AC"/>
    <w:pPr>
      <w:spacing w:after="120"/>
      <w:ind w:left="566"/>
    </w:pPr>
  </w:style>
  <w:style w:type="paragraph" w:styleId="ListContinue3">
    <w:name w:val="List Continue 3"/>
    <w:basedOn w:val="Normal"/>
    <w:rsid w:val="00E025AC"/>
    <w:pPr>
      <w:spacing w:after="120"/>
      <w:ind w:left="849"/>
    </w:pPr>
  </w:style>
  <w:style w:type="paragraph" w:styleId="ListContinue4">
    <w:name w:val="List Continue 4"/>
    <w:basedOn w:val="Normal"/>
    <w:rsid w:val="00E025AC"/>
    <w:pPr>
      <w:spacing w:after="120"/>
      <w:ind w:left="1132"/>
    </w:pPr>
  </w:style>
  <w:style w:type="paragraph" w:styleId="ListContinue5">
    <w:name w:val="List Continue 5"/>
    <w:basedOn w:val="Normal"/>
    <w:rsid w:val="00E025A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025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025A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025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025A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025AC"/>
  </w:style>
  <w:style w:type="character" w:customStyle="1" w:styleId="SalutationChar">
    <w:name w:val="Salutation Char"/>
    <w:basedOn w:val="DefaultParagraphFont"/>
    <w:link w:val="Salutation"/>
    <w:rsid w:val="00E025AC"/>
    <w:rPr>
      <w:sz w:val="22"/>
    </w:rPr>
  </w:style>
  <w:style w:type="paragraph" w:styleId="Date">
    <w:name w:val="Date"/>
    <w:basedOn w:val="Normal"/>
    <w:next w:val="Normal"/>
    <w:link w:val="DateChar"/>
    <w:rsid w:val="00E025AC"/>
  </w:style>
  <w:style w:type="character" w:customStyle="1" w:styleId="DateChar">
    <w:name w:val="Date Char"/>
    <w:basedOn w:val="DefaultParagraphFont"/>
    <w:link w:val="Date"/>
    <w:rsid w:val="00E025AC"/>
    <w:rPr>
      <w:sz w:val="22"/>
    </w:rPr>
  </w:style>
  <w:style w:type="paragraph" w:styleId="BodyTextFirstIndent">
    <w:name w:val="Body Text First Indent"/>
    <w:basedOn w:val="BodyText"/>
    <w:link w:val="BodyTextFirstIndentChar"/>
    <w:rsid w:val="00E025A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25A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025A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25AC"/>
    <w:rPr>
      <w:sz w:val="22"/>
    </w:rPr>
  </w:style>
  <w:style w:type="paragraph" w:styleId="BodyText2">
    <w:name w:val="Body Text 2"/>
    <w:basedOn w:val="Normal"/>
    <w:link w:val="BodyText2Char"/>
    <w:rsid w:val="00E025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25AC"/>
    <w:rPr>
      <w:sz w:val="22"/>
    </w:rPr>
  </w:style>
  <w:style w:type="paragraph" w:styleId="BodyText3">
    <w:name w:val="Body Text 3"/>
    <w:basedOn w:val="Normal"/>
    <w:link w:val="BodyText3Char"/>
    <w:rsid w:val="00E025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25A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025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25AC"/>
    <w:rPr>
      <w:sz w:val="22"/>
    </w:rPr>
  </w:style>
  <w:style w:type="paragraph" w:styleId="BodyTextIndent3">
    <w:name w:val="Body Text Indent 3"/>
    <w:basedOn w:val="Normal"/>
    <w:link w:val="BodyTextIndent3Char"/>
    <w:rsid w:val="00E025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25AC"/>
    <w:rPr>
      <w:sz w:val="16"/>
      <w:szCs w:val="16"/>
    </w:rPr>
  </w:style>
  <w:style w:type="paragraph" w:styleId="BlockText">
    <w:name w:val="Block Text"/>
    <w:basedOn w:val="Normal"/>
    <w:rsid w:val="00E025A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E025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025AC"/>
    <w:rPr>
      <w:color w:val="800080"/>
      <w:u w:val="single"/>
    </w:rPr>
  </w:style>
  <w:style w:type="character" w:styleId="Strong">
    <w:name w:val="Strong"/>
    <w:basedOn w:val="DefaultParagraphFont"/>
    <w:qFormat/>
    <w:rsid w:val="00E025AC"/>
    <w:rPr>
      <w:b/>
      <w:bCs/>
    </w:rPr>
  </w:style>
  <w:style w:type="character" w:styleId="Emphasis">
    <w:name w:val="Emphasis"/>
    <w:basedOn w:val="DefaultParagraphFont"/>
    <w:qFormat/>
    <w:rsid w:val="00E025AC"/>
    <w:rPr>
      <w:i/>
      <w:iCs/>
    </w:rPr>
  </w:style>
  <w:style w:type="paragraph" w:styleId="DocumentMap">
    <w:name w:val="Document Map"/>
    <w:basedOn w:val="Normal"/>
    <w:link w:val="DocumentMapChar"/>
    <w:rsid w:val="00E025A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025A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025A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025A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025AC"/>
  </w:style>
  <w:style w:type="character" w:customStyle="1" w:styleId="E-mailSignatureChar">
    <w:name w:val="E-mail Signature Char"/>
    <w:basedOn w:val="DefaultParagraphFont"/>
    <w:link w:val="E-mailSignature"/>
    <w:rsid w:val="00E025AC"/>
    <w:rPr>
      <w:sz w:val="22"/>
    </w:rPr>
  </w:style>
  <w:style w:type="paragraph" w:styleId="NormalWeb">
    <w:name w:val="Normal (Web)"/>
    <w:basedOn w:val="Normal"/>
    <w:rsid w:val="00E025AC"/>
  </w:style>
  <w:style w:type="character" w:styleId="HTMLAcronym">
    <w:name w:val="HTML Acronym"/>
    <w:basedOn w:val="DefaultParagraphFont"/>
    <w:rsid w:val="00E025AC"/>
  </w:style>
  <w:style w:type="paragraph" w:styleId="HTMLAddress">
    <w:name w:val="HTML Address"/>
    <w:basedOn w:val="Normal"/>
    <w:link w:val="HTMLAddressChar"/>
    <w:rsid w:val="00E025A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25AC"/>
    <w:rPr>
      <w:i/>
      <w:iCs/>
      <w:sz w:val="22"/>
    </w:rPr>
  </w:style>
  <w:style w:type="character" w:styleId="HTMLCite">
    <w:name w:val="HTML Cite"/>
    <w:basedOn w:val="DefaultParagraphFont"/>
    <w:rsid w:val="00E025AC"/>
    <w:rPr>
      <w:i/>
      <w:iCs/>
    </w:rPr>
  </w:style>
  <w:style w:type="character" w:styleId="HTMLCode">
    <w:name w:val="HTML Code"/>
    <w:basedOn w:val="DefaultParagraphFont"/>
    <w:rsid w:val="00E025A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025AC"/>
    <w:rPr>
      <w:i/>
      <w:iCs/>
    </w:rPr>
  </w:style>
  <w:style w:type="character" w:styleId="HTMLKeyboard">
    <w:name w:val="HTML Keyboard"/>
    <w:basedOn w:val="DefaultParagraphFont"/>
    <w:rsid w:val="00E025A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025A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025AC"/>
    <w:rPr>
      <w:rFonts w:ascii="Courier New" w:hAnsi="Courier New" w:cs="Courier New"/>
    </w:rPr>
  </w:style>
  <w:style w:type="character" w:styleId="HTMLSample">
    <w:name w:val="HTML Sample"/>
    <w:basedOn w:val="DefaultParagraphFont"/>
    <w:rsid w:val="00E025A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025A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025A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02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25AC"/>
    <w:rPr>
      <w:b/>
      <w:bCs/>
    </w:rPr>
  </w:style>
  <w:style w:type="numbering" w:styleId="1ai">
    <w:name w:val="Outline List 1"/>
    <w:basedOn w:val="NoList"/>
    <w:rsid w:val="00E025AC"/>
    <w:pPr>
      <w:numPr>
        <w:numId w:val="14"/>
      </w:numPr>
    </w:pPr>
  </w:style>
  <w:style w:type="numbering" w:styleId="111111">
    <w:name w:val="Outline List 2"/>
    <w:basedOn w:val="NoList"/>
    <w:rsid w:val="00E025AC"/>
    <w:pPr>
      <w:numPr>
        <w:numId w:val="15"/>
      </w:numPr>
    </w:pPr>
  </w:style>
  <w:style w:type="numbering" w:styleId="ArticleSection">
    <w:name w:val="Outline List 3"/>
    <w:basedOn w:val="NoList"/>
    <w:rsid w:val="00E025AC"/>
    <w:pPr>
      <w:numPr>
        <w:numId w:val="17"/>
      </w:numPr>
    </w:pPr>
  </w:style>
  <w:style w:type="table" w:styleId="TableSimple1">
    <w:name w:val="Table Simple 1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025A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025A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025A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025A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025A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025A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025A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025A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025A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025A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025A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025A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025A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025A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025A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025A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025A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025A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025A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025A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025A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025A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025A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025A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025A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025A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025A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025AC"/>
    <w:rPr>
      <w:rFonts w:eastAsia="Times New Roman" w:cs="Times New Roman"/>
      <w:b/>
      <w:kern w:val="28"/>
      <w:sz w:val="24"/>
      <w:lang w:eastAsia="en-AU"/>
    </w:rPr>
  </w:style>
  <w:style w:type="paragraph" w:customStyle="1" w:styleId="Specialp">
    <w:name w:val="Special p"/>
    <w:basedOn w:val="ActHead2"/>
    <w:link w:val="SpecialpChar"/>
    <w:rsid w:val="00154EB1"/>
    <w:pPr>
      <w:outlineLvl w:val="9"/>
    </w:pPr>
  </w:style>
  <w:style w:type="character" w:customStyle="1" w:styleId="OPCParaBaseChar">
    <w:name w:val="OPCParaBase Char"/>
    <w:basedOn w:val="DefaultParagraphFont"/>
    <w:link w:val="OPCParaBase"/>
    <w:rsid w:val="00154EB1"/>
    <w:rPr>
      <w:rFonts w:eastAsia="Times New Roman" w:cs="Times New Roman"/>
      <w:sz w:val="22"/>
      <w:lang w:eastAsia="en-AU"/>
    </w:rPr>
  </w:style>
  <w:style w:type="character" w:customStyle="1" w:styleId="ActHead2Char">
    <w:name w:val="ActHead 2 Char"/>
    <w:aliases w:val="p Char"/>
    <w:basedOn w:val="OPCParaBaseChar"/>
    <w:link w:val="ActHead2"/>
    <w:rsid w:val="00154EB1"/>
    <w:rPr>
      <w:rFonts w:eastAsia="Times New Roman" w:cs="Times New Roman"/>
      <w:b/>
      <w:kern w:val="28"/>
      <w:sz w:val="32"/>
      <w:lang w:eastAsia="en-AU"/>
    </w:rPr>
  </w:style>
  <w:style w:type="character" w:customStyle="1" w:styleId="SpecialpChar">
    <w:name w:val="Special p Char"/>
    <w:basedOn w:val="ActHead2Char"/>
    <w:link w:val="Specialp"/>
    <w:rsid w:val="00154EB1"/>
    <w:rPr>
      <w:rFonts w:eastAsia="Times New Roman" w:cs="Times New Roman"/>
      <w:b/>
      <w:kern w:val="28"/>
      <w:sz w:val="32"/>
      <w:lang w:eastAsia="en-AU"/>
    </w:rPr>
  </w:style>
  <w:style w:type="paragraph" w:customStyle="1" w:styleId="Specials">
    <w:name w:val="Special s"/>
    <w:basedOn w:val="ActHead5"/>
    <w:link w:val="SpecialsChar"/>
    <w:rsid w:val="00D94F36"/>
    <w:pPr>
      <w:outlineLvl w:val="9"/>
    </w:pPr>
  </w:style>
  <w:style w:type="character" w:customStyle="1" w:styleId="SpecialsChar">
    <w:name w:val="Special s Char"/>
    <w:basedOn w:val="ActHead5Char"/>
    <w:link w:val="Specials"/>
    <w:rsid w:val="00D94F36"/>
    <w:rPr>
      <w:rFonts w:eastAsia="Times New Roman" w:cs="Times New Roman"/>
      <w:b/>
      <w:kern w:val="28"/>
      <w:sz w:val="24"/>
      <w:lang w:eastAsia="en-AU"/>
    </w:rPr>
  </w:style>
  <w:style w:type="paragraph" w:customStyle="1" w:styleId="Schedulepart">
    <w:name w:val="Schedule part"/>
    <w:basedOn w:val="Normal"/>
    <w:link w:val="SchedulepartChar"/>
    <w:rsid w:val="00C465EE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Scheduletitle">
    <w:name w:val="Schedule title"/>
    <w:basedOn w:val="Normal"/>
    <w:next w:val="Normal"/>
    <w:rsid w:val="00C465EE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customStyle="1" w:styleId="SchedulepartChar">
    <w:name w:val="Schedule part Char"/>
    <w:link w:val="Schedulepart"/>
    <w:rsid w:val="00C465EE"/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erritoryT">
    <w:name w:val="TerritoryT"/>
    <w:basedOn w:val="OPCParaBase"/>
    <w:next w:val="Normal"/>
    <w:rsid w:val="00461D11"/>
    <w:rPr>
      <w:b/>
      <w:sz w:val="32"/>
    </w:rPr>
  </w:style>
  <w:style w:type="paragraph" w:customStyle="1" w:styleId="ActHead10">
    <w:name w:val="ActHead 10"/>
    <w:aliases w:val="sp"/>
    <w:basedOn w:val="OPCParaBase"/>
    <w:next w:val="ActHead3"/>
    <w:rsid w:val="00461D1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styleId="Revision">
    <w:name w:val="Revision"/>
    <w:hidden/>
    <w:uiPriority w:val="99"/>
    <w:semiHidden/>
    <w:rsid w:val="00461D11"/>
    <w:rPr>
      <w:sz w:val="22"/>
    </w:rPr>
  </w:style>
  <w:style w:type="paragraph" w:customStyle="1" w:styleId="HeaderBoldEven">
    <w:name w:val="HeaderBoldEven"/>
    <w:basedOn w:val="Normal"/>
    <w:rsid w:val="00461D11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461D11"/>
    <w:pPr>
      <w:spacing w:before="120" w:after="60" w:line="240" w:lineRule="auto"/>
      <w:jc w:val="right"/>
    </w:pPr>
    <w:rPr>
      <w:rFonts w:ascii="Arial" w:eastAsia="Times New Roman" w:hAnsi="Arial" w:cs="Times New Roman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461D11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461D11"/>
    <w:pPr>
      <w:spacing w:before="120" w:after="120" w:line="240" w:lineRule="auto"/>
      <w:jc w:val="right"/>
    </w:pPr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461D11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461D11"/>
    <w:pPr>
      <w:spacing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461D11"/>
    <w:pPr>
      <w:spacing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paragraph" w:styleId="NoteHeading">
    <w:name w:val="Note Heading"/>
    <w:aliases w:val="HN"/>
    <w:basedOn w:val="Normal"/>
    <w:next w:val="Normal"/>
    <w:link w:val="NoteHeadingChar"/>
    <w:rsid w:val="00461D11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customStyle="1" w:styleId="NoteHeadingChar">
    <w:name w:val="Note Heading Char"/>
    <w:aliases w:val="HN Char"/>
    <w:basedOn w:val="DefaultParagraphFont"/>
    <w:link w:val="NoteHeading"/>
    <w:rsid w:val="00461D11"/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461D11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461D11"/>
    <w:pPr>
      <w:keepNext/>
      <w:keepLines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461D11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461D11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461D11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461D11"/>
    <w:pPr>
      <w:spacing w:before="60" w:line="260" w:lineRule="exact"/>
      <w:ind w:left="1247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461D11"/>
    <w:pPr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461D11"/>
    <w:pPr>
      <w:tabs>
        <w:tab w:val="right" w:pos="1758"/>
      </w:tabs>
      <w:spacing w:before="60" w:line="260" w:lineRule="exact"/>
      <w:ind w:left="2041" w:hanging="2041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461D11"/>
    <w:pPr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461D11"/>
    <w:pPr>
      <w:keepNext/>
      <w:spacing w:before="60" w:line="200" w:lineRule="exact"/>
      <w:ind w:left="2410"/>
    </w:pPr>
    <w:rPr>
      <w:rFonts w:ascii="Arial" w:eastAsia="Times New Roman" w:hAnsi="Arial" w:cs="Times New Roman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461D11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461D11"/>
    <w:pPr>
      <w:keepNext/>
      <w:keepLines/>
      <w:spacing w:before="36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character" w:customStyle="1" w:styleId="CharSchPTNo">
    <w:name w:val="CharSchPTNo"/>
    <w:basedOn w:val="DefaultParagraphFont"/>
    <w:rsid w:val="00461D11"/>
  </w:style>
  <w:style w:type="character" w:customStyle="1" w:styleId="CharSchPTText">
    <w:name w:val="CharSchPTText"/>
    <w:basedOn w:val="DefaultParagraphFont"/>
    <w:rsid w:val="00461D11"/>
  </w:style>
  <w:style w:type="paragraph" w:customStyle="1" w:styleId="ContentsHead">
    <w:name w:val="ContentsHead"/>
    <w:basedOn w:val="Normal"/>
    <w:next w:val="Normal"/>
    <w:rsid w:val="00461D11"/>
    <w:pPr>
      <w:keepNext/>
      <w:keepLines/>
      <w:spacing w:before="240" w:after="24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461D11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461D11"/>
    <w:pPr>
      <w:spacing w:before="8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461D11"/>
    <w:pPr>
      <w:spacing w:before="8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461D11"/>
    <w:pPr>
      <w:keepNext/>
      <w:keepLines/>
      <w:spacing w:before="480" w:line="240" w:lineRule="auto"/>
      <w:ind w:left="2552" w:hanging="2552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461D11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461D11"/>
    <w:pPr>
      <w:spacing w:before="120" w:line="220" w:lineRule="exact"/>
      <w:ind w:left="425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DP1a">
    <w:name w:val="DP1(a)"/>
    <w:aliases w:val="Dictionary (a)"/>
    <w:basedOn w:val="Normal"/>
    <w:rsid w:val="00461D11"/>
    <w:pPr>
      <w:tabs>
        <w:tab w:val="right" w:pos="709"/>
      </w:tabs>
      <w:spacing w:before="60" w:line="260" w:lineRule="exact"/>
      <w:ind w:left="936" w:hanging="936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461D11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ExampleBody">
    <w:name w:val="Example Body"/>
    <w:basedOn w:val="Normal"/>
    <w:rsid w:val="00461D11"/>
    <w:pPr>
      <w:keepLines/>
      <w:spacing w:before="6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461D11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HC">
    <w:name w:val="HC"/>
    <w:aliases w:val="Chapter Heading"/>
    <w:basedOn w:val="Normal"/>
    <w:next w:val="Normal"/>
    <w:rsid w:val="00461D11"/>
    <w:pPr>
      <w:keepNext/>
      <w:keepLines/>
      <w:pageBreakBefore/>
      <w:spacing w:before="480" w:line="240" w:lineRule="auto"/>
      <w:ind w:left="2410" w:hanging="2410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HD">
    <w:name w:val="HD"/>
    <w:aliases w:val="Division Heading"/>
    <w:basedOn w:val="Normal"/>
    <w:next w:val="HR"/>
    <w:rsid w:val="00461D11"/>
    <w:pPr>
      <w:keepNext/>
      <w:keepLines/>
      <w:spacing w:before="360" w:line="240" w:lineRule="auto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461D11"/>
    <w:pPr>
      <w:keepNext/>
      <w:spacing w:before="120" w:line="220" w:lineRule="exact"/>
      <w:ind w:left="964"/>
    </w:pPr>
    <w:rPr>
      <w:rFonts w:eastAsia="Times New Roman" w:cs="Times New Roman"/>
      <w:i/>
      <w:sz w:val="20"/>
      <w:szCs w:val="24"/>
      <w:lang w:eastAsia="en-AU"/>
    </w:rPr>
  </w:style>
  <w:style w:type="paragraph" w:customStyle="1" w:styleId="HP">
    <w:name w:val="HP"/>
    <w:aliases w:val="Part Heading"/>
    <w:basedOn w:val="Normal"/>
    <w:next w:val="HD"/>
    <w:rsid w:val="00461D11"/>
    <w:pPr>
      <w:keepNext/>
      <w:keepLines/>
      <w:spacing w:before="36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HR">
    <w:name w:val="HR"/>
    <w:aliases w:val="Regulation Heading"/>
    <w:basedOn w:val="Normal"/>
    <w:next w:val="R1"/>
    <w:rsid w:val="00461D11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HS">
    <w:name w:val="HS"/>
    <w:aliases w:val="Subdiv Heading"/>
    <w:basedOn w:val="Normal"/>
    <w:next w:val="HR"/>
    <w:rsid w:val="00461D11"/>
    <w:pPr>
      <w:keepNext/>
      <w:keepLines/>
      <w:spacing w:before="360" w:line="240" w:lineRule="auto"/>
      <w:ind w:left="2410" w:hanging="2410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461D11"/>
    <w:pPr>
      <w:keepNext/>
      <w:spacing w:before="300" w:line="240" w:lineRule="auto"/>
      <w:ind w:left="964"/>
    </w:pPr>
    <w:rPr>
      <w:rFonts w:ascii="Arial" w:eastAsia="Times New Roman" w:hAnsi="Arial" w:cs="Times New Roman"/>
      <w:i/>
      <w:sz w:val="24"/>
      <w:szCs w:val="24"/>
      <w:lang w:eastAsia="en-AU"/>
    </w:rPr>
  </w:style>
  <w:style w:type="paragraph" w:customStyle="1" w:styleId="Lt">
    <w:name w:val="Lt"/>
    <w:aliases w:val="Long title"/>
    <w:basedOn w:val="Normal"/>
    <w:rsid w:val="00461D11"/>
    <w:pPr>
      <w:spacing w:before="26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461D11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461D11"/>
    <w:pPr>
      <w:keepNext/>
      <w:spacing w:before="120" w:line="260" w:lineRule="exact"/>
      <w:ind w:left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461D11"/>
    <w:pPr>
      <w:spacing w:before="60" w:line="260" w:lineRule="exact"/>
      <w:ind w:left="1247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461D11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461D11"/>
    <w:pPr>
      <w:tabs>
        <w:tab w:val="left" w:pos="3119"/>
      </w:tabs>
      <w:spacing w:line="300" w:lineRule="atLeast"/>
    </w:pPr>
    <w:rPr>
      <w:rFonts w:eastAsia="Times New Roman" w:cs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461D11"/>
    <w:pPr>
      <w:keepNext/>
      <w:spacing w:before="360" w:line="240" w:lineRule="auto"/>
      <w:ind w:left="2410" w:hanging="2410"/>
    </w:pPr>
    <w:rPr>
      <w:rFonts w:eastAsia="Times New Roman" w:cs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461D11"/>
    <w:pPr>
      <w:keepNext/>
      <w:spacing w:before="360" w:line="240" w:lineRule="auto"/>
      <w:ind w:left="2410" w:hanging="2410"/>
    </w:pPr>
    <w:rPr>
      <w:rFonts w:eastAsia="Times New Roman" w:cs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461D11"/>
    <w:pPr>
      <w:keepNext/>
      <w:spacing w:before="360" w:line="240" w:lineRule="auto"/>
      <w:ind w:left="964" w:hanging="964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461D11"/>
    <w:pPr>
      <w:keepNext/>
      <w:spacing w:before="360" w:line="240" w:lineRule="auto"/>
      <w:ind w:left="2410" w:hanging="2410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461D11"/>
    <w:pPr>
      <w:keepNext/>
      <w:spacing w:before="300" w:line="240" w:lineRule="auto"/>
      <w:ind w:left="964" w:hanging="964"/>
    </w:pPr>
    <w:rPr>
      <w:rFonts w:eastAsia="Times New Roman" w:cs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461D11"/>
    <w:pPr>
      <w:keepLines/>
      <w:spacing w:before="120" w:line="220" w:lineRule="exact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NoteEnd">
    <w:name w:val="Note End"/>
    <w:basedOn w:val="Normal"/>
    <w:rsid w:val="00461D11"/>
    <w:pPr>
      <w:keepLines/>
      <w:spacing w:before="120" w:line="240" w:lineRule="exact"/>
      <w:ind w:left="567" w:hanging="567"/>
      <w:jc w:val="both"/>
    </w:pPr>
    <w:rPr>
      <w:rFonts w:eastAsia="Times New Roman" w:cs="Times New Roman"/>
      <w:szCs w:val="24"/>
      <w:lang w:eastAsia="en-AU"/>
    </w:rPr>
  </w:style>
  <w:style w:type="paragraph" w:customStyle="1" w:styleId="Notepara0">
    <w:name w:val="Note para"/>
    <w:basedOn w:val="Normal"/>
    <w:rsid w:val="00461D11"/>
    <w:pPr>
      <w:keepLines/>
      <w:spacing w:before="60" w:line="220" w:lineRule="exact"/>
      <w:ind w:left="1304" w:hanging="340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461D11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aliases w:val="(a)"/>
    <w:basedOn w:val="Normal"/>
    <w:rsid w:val="00461D11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461D11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3">
    <w:name w:val="P3"/>
    <w:aliases w:val="(A)"/>
    <w:basedOn w:val="Normal"/>
    <w:rsid w:val="00461D11"/>
    <w:pPr>
      <w:tabs>
        <w:tab w:val="right" w:pos="2410"/>
      </w:tabs>
      <w:spacing w:before="60" w:line="260" w:lineRule="exact"/>
      <w:ind w:left="2693" w:hanging="2693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461D11"/>
    <w:pPr>
      <w:tabs>
        <w:tab w:val="right" w:pos="3119"/>
      </w:tabs>
      <w:spacing w:before="60" w:line="260" w:lineRule="exact"/>
      <w:ind w:left="3419" w:hanging="3419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461D11"/>
    <w:pPr>
      <w:spacing w:before="180" w:line="260" w:lineRule="exact"/>
      <w:ind w:left="964" w:hanging="964"/>
      <w:jc w:val="both"/>
    </w:pPr>
    <w:rPr>
      <w:rFonts w:eastAsia="Times New Roman" w:cs="Times New Roman"/>
      <w:b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R2"/>
    <w:rsid w:val="00461D1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aliases w:val="(2)"/>
    <w:basedOn w:val="Normal"/>
    <w:rsid w:val="00461D11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461D11"/>
    <w:pPr>
      <w:spacing w:before="60" w:line="260" w:lineRule="exact"/>
      <w:ind w:left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461D11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461D11"/>
    <w:pPr>
      <w:keepNext/>
      <w:spacing w:before="360" w:line="240" w:lineRule="auto"/>
    </w:pPr>
    <w:rPr>
      <w:rFonts w:ascii="Arial" w:eastAsia="Times New Roman" w:hAnsi="Arial" w:cs="Times New Roman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461D11"/>
    <w:pPr>
      <w:spacing w:before="12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461D11"/>
    <w:pPr>
      <w:keepNext/>
      <w:spacing w:before="360" w:line="240" w:lineRule="auto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461D11"/>
    <w:pPr>
      <w:keepNext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461D11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461D11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461D11"/>
  </w:style>
  <w:style w:type="character" w:customStyle="1" w:styleId="CharSchText">
    <w:name w:val="CharSchText"/>
    <w:basedOn w:val="DefaultParagraphFont"/>
    <w:rsid w:val="00461D11"/>
  </w:style>
  <w:style w:type="paragraph" w:customStyle="1" w:styleId="IntroP1a">
    <w:name w:val="IntroP1(a)"/>
    <w:basedOn w:val="Normal"/>
    <w:rsid w:val="00461D11"/>
    <w:pPr>
      <w:spacing w:before="60" w:line="260" w:lineRule="exact"/>
      <w:ind w:left="454" w:hanging="454"/>
      <w:jc w:val="both"/>
    </w:pPr>
    <w:rPr>
      <w:rFonts w:eastAsia="Times New Roman" w:cs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461D11"/>
  </w:style>
  <w:style w:type="character" w:customStyle="1" w:styleId="CharAmSchPTText">
    <w:name w:val="CharAmSchPTText"/>
    <w:basedOn w:val="DefaultParagraphFont"/>
    <w:rsid w:val="00461D11"/>
  </w:style>
  <w:style w:type="paragraph" w:customStyle="1" w:styleId="Footerinfo0">
    <w:name w:val="Footerinfo"/>
    <w:basedOn w:val="Footer"/>
    <w:rsid w:val="00461D11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461D11"/>
    <w:pPr>
      <w:jc w:val="left"/>
    </w:pPr>
  </w:style>
  <w:style w:type="paragraph" w:customStyle="1" w:styleId="FooterPageOdd">
    <w:name w:val="FooterPageOdd"/>
    <w:basedOn w:val="Footer"/>
    <w:rsid w:val="00461D11"/>
    <w:pPr>
      <w:tabs>
        <w:tab w:val="clear" w:pos="4153"/>
        <w:tab w:val="clear" w:pos="8306"/>
        <w:tab w:val="center" w:pos="3600"/>
        <w:tab w:val="right" w:pos="7201"/>
      </w:tabs>
      <w:spacing w:before="20"/>
      <w:jc w:val="right"/>
    </w:pPr>
    <w:rPr>
      <w:rFonts w:ascii="Arial" w:hAnsi="Arial"/>
      <w:szCs w:val="18"/>
    </w:rPr>
  </w:style>
  <w:style w:type="paragraph" w:customStyle="1" w:styleId="FooterCitation">
    <w:name w:val="FooterCitation"/>
    <w:basedOn w:val="Footer"/>
    <w:rsid w:val="00461D11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chedSectionBreak">
    <w:name w:val="SchedSectionBreak"/>
    <w:basedOn w:val="Normal"/>
    <w:next w:val="Normal"/>
    <w:rsid w:val="00461D11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461D11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461D11"/>
    <w:pPr>
      <w:tabs>
        <w:tab w:val="right" w:pos="1985"/>
      </w:tabs>
      <w:spacing w:before="60" w:line="260" w:lineRule="exact"/>
      <w:ind w:left="454"/>
    </w:pPr>
    <w:rPr>
      <w:rFonts w:eastAsia="Times New Roman" w:cs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461D11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461D11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461D11"/>
    <w:pPr>
      <w:spacing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461D11"/>
    <w:pPr>
      <w:pBdr>
        <w:bottom w:val="single" w:sz="4" w:space="3" w:color="auto"/>
      </w:pBdr>
      <w:spacing w:before="480" w:line="240" w:lineRule="auto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461D11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461D11"/>
    <w:pPr>
      <w:spacing w:before="60" w:after="60" w:line="240" w:lineRule="exact"/>
    </w:pPr>
    <w:rPr>
      <w:rFonts w:eastAsia="Times New Roman" w:cs="Times New Roman"/>
      <w:sz w:val="22"/>
      <w:lang w:eastAsia="en-AU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461D11"/>
    <w:pPr>
      <w:tabs>
        <w:tab w:val="right" w:pos="408"/>
      </w:tabs>
      <w:spacing w:after="60" w:line="240" w:lineRule="exact"/>
      <w:ind w:left="533" w:hanging="533"/>
    </w:pPr>
    <w:rPr>
      <w:rFonts w:eastAsia="Times New Roman" w:cs="Times New Roman"/>
      <w:szCs w:val="24"/>
      <w:lang w:eastAsia="en-AU"/>
    </w:rPr>
  </w:style>
  <w:style w:type="paragraph" w:customStyle="1" w:styleId="TableP2i">
    <w:name w:val="TableP2(i)"/>
    <w:basedOn w:val="Normal"/>
    <w:rsid w:val="00461D11"/>
    <w:pPr>
      <w:tabs>
        <w:tab w:val="right" w:pos="726"/>
      </w:tabs>
      <w:spacing w:after="60" w:line="240" w:lineRule="exact"/>
      <w:ind w:left="868" w:hanging="868"/>
    </w:pPr>
    <w:rPr>
      <w:rFonts w:eastAsia="Times New Roman" w:cs="Times New Roman"/>
      <w:szCs w:val="24"/>
      <w:lang w:eastAsia="en-AU"/>
    </w:rPr>
  </w:style>
  <w:style w:type="paragraph" w:customStyle="1" w:styleId="TableText0">
    <w:name w:val="TableText"/>
    <w:basedOn w:val="Normal"/>
    <w:rsid w:val="00461D11"/>
    <w:pPr>
      <w:spacing w:before="60" w:after="60" w:line="240" w:lineRule="exact"/>
    </w:pPr>
    <w:rPr>
      <w:rFonts w:eastAsia="Times New Roman" w:cs="Times New Roman"/>
      <w:szCs w:val="24"/>
      <w:lang w:eastAsia="en-AU"/>
    </w:rPr>
  </w:style>
  <w:style w:type="paragraph" w:customStyle="1" w:styleId="TOC">
    <w:name w:val="TOC"/>
    <w:basedOn w:val="Normal"/>
    <w:next w:val="Normal"/>
    <w:rsid w:val="00461D11"/>
    <w:pPr>
      <w:tabs>
        <w:tab w:val="right" w:pos="7088"/>
      </w:tabs>
      <w:spacing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troP2i">
    <w:name w:val="IntroP2(i)"/>
    <w:basedOn w:val="Normal"/>
    <w:rsid w:val="00461D11"/>
    <w:pPr>
      <w:tabs>
        <w:tab w:val="right" w:pos="709"/>
      </w:tabs>
      <w:spacing w:before="60" w:line="260" w:lineRule="exact"/>
      <w:ind w:left="907" w:hanging="907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461D11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461D11"/>
    <w:pPr>
      <w:spacing w:before="12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461D11"/>
    <w:pPr>
      <w:keepNext/>
    </w:pPr>
  </w:style>
  <w:style w:type="paragraph" w:customStyle="1" w:styleId="ZA3">
    <w:name w:val="ZA3"/>
    <w:basedOn w:val="A3"/>
    <w:rsid w:val="00461D11"/>
    <w:pPr>
      <w:keepNext/>
    </w:pPr>
  </w:style>
  <w:style w:type="paragraph" w:customStyle="1" w:styleId="ZA4">
    <w:name w:val="ZA4"/>
    <w:basedOn w:val="Normal"/>
    <w:next w:val="A4"/>
    <w:rsid w:val="00461D11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461D11"/>
    <w:pPr>
      <w:keepNext/>
    </w:pPr>
  </w:style>
  <w:style w:type="paragraph" w:customStyle="1" w:styleId="Zdefinition">
    <w:name w:val="Zdefinition"/>
    <w:basedOn w:val="definition0"/>
    <w:rsid w:val="00461D11"/>
    <w:pPr>
      <w:keepNext/>
    </w:pPr>
  </w:style>
  <w:style w:type="paragraph" w:customStyle="1" w:styleId="ZDP1">
    <w:name w:val="ZDP1"/>
    <w:basedOn w:val="DP1a"/>
    <w:rsid w:val="00461D11"/>
    <w:pPr>
      <w:keepNext/>
    </w:pPr>
  </w:style>
  <w:style w:type="paragraph" w:customStyle="1" w:styleId="ZExampleBody">
    <w:name w:val="ZExample Body"/>
    <w:basedOn w:val="ExampleBody"/>
    <w:rsid w:val="00461D11"/>
    <w:pPr>
      <w:keepNext/>
    </w:pPr>
  </w:style>
  <w:style w:type="paragraph" w:customStyle="1" w:styleId="ZNote">
    <w:name w:val="ZNote"/>
    <w:basedOn w:val="Note"/>
    <w:rsid w:val="00461D11"/>
    <w:pPr>
      <w:keepNext/>
    </w:pPr>
  </w:style>
  <w:style w:type="paragraph" w:customStyle="1" w:styleId="ZP1">
    <w:name w:val="ZP1"/>
    <w:basedOn w:val="P1"/>
    <w:rsid w:val="00461D11"/>
    <w:pPr>
      <w:keepNext/>
    </w:pPr>
  </w:style>
  <w:style w:type="paragraph" w:customStyle="1" w:styleId="ZP2">
    <w:name w:val="ZP2"/>
    <w:basedOn w:val="P2"/>
    <w:rsid w:val="00461D11"/>
    <w:pPr>
      <w:keepNext/>
    </w:pPr>
  </w:style>
  <w:style w:type="paragraph" w:customStyle="1" w:styleId="ZP3">
    <w:name w:val="ZP3"/>
    <w:basedOn w:val="P3"/>
    <w:rsid w:val="00461D11"/>
    <w:pPr>
      <w:keepNext/>
    </w:pPr>
  </w:style>
  <w:style w:type="paragraph" w:customStyle="1" w:styleId="ZR1">
    <w:name w:val="ZR1"/>
    <w:basedOn w:val="R1"/>
    <w:rsid w:val="00461D11"/>
    <w:pPr>
      <w:keepNext/>
    </w:pPr>
  </w:style>
  <w:style w:type="paragraph" w:customStyle="1" w:styleId="ZR2">
    <w:name w:val="ZR2"/>
    <w:basedOn w:val="R2"/>
    <w:rsid w:val="00461D11"/>
    <w:pPr>
      <w:keepNext/>
    </w:pPr>
  </w:style>
  <w:style w:type="paragraph" w:customStyle="1" w:styleId="ZRcN">
    <w:name w:val="ZRcN"/>
    <w:basedOn w:val="Rc"/>
    <w:rsid w:val="00461D11"/>
    <w:pPr>
      <w:keepNext/>
    </w:pPr>
  </w:style>
  <w:style w:type="character" w:customStyle="1" w:styleId="TitleSuperscript">
    <w:name w:val="TitleSuperscript"/>
    <w:basedOn w:val="DefaultParagraphFont"/>
    <w:rsid w:val="00461D11"/>
    <w:rPr>
      <w:rFonts w:ascii="Arial" w:hAnsi="Arial"/>
      <w:position w:val="6"/>
      <w:sz w:val="24"/>
      <w:szCs w:val="24"/>
      <w:vertAlign w:val="superscript"/>
    </w:rPr>
  </w:style>
  <w:style w:type="paragraph" w:customStyle="1" w:styleId="Style1">
    <w:name w:val="Style1"/>
    <w:basedOn w:val="Normal"/>
    <w:link w:val="Style1Char"/>
    <w:qFormat/>
    <w:rsid w:val="00461D11"/>
    <w:pPr>
      <w:keepNext/>
      <w:keepLines/>
      <w:spacing w:before="360" w:line="240" w:lineRule="auto"/>
      <w:ind w:left="1559" w:hanging="1559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Style1Char">
    <w:name w:val="Style1 Char"/>
    <w:basedOn w:val="DefaultParagraphFont"/>
    <w:link w:val="Style1"/>
    <w:rsid w:val="00461D11"/>
    <w:rPr>
      <w:rFonts w:ascii="Arial" w:eastAsia="Times New Roman" w:hAnsi="Arial" w:cs="Times New Roman"/>
      <w:b/>
      <w:sz w:val="28"/>
      <w:szCs w:val="24"/>
    </w:rPr>
  </w:style>
  <w:style w:type="paragraph" w:customStyle="1" w:styleId="xl63">
    <w:name w:val="xl63"/>
    <w:basedOn w:val="Normal"/>
    <w:rsid w:val="00461D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4">
    <w:name w:val="xl64"/>
    <w:basedOn w:val="Normal"/>
    <w:rsid w:val="00461D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461D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461D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461D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461D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461D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TableENotesHeading">
    <w:name w:val="TableENotesHeading"/>
    <w:basedOn w:val="Normal"/>
    <w:next w:val="Normal"/>
    <w:rsid w:val="00461D11"/>
    <w:pPr>
      <w:spacing w:before="240" w:after="240" w:line="300" w:lineRule="exact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character" w:customStyle="1" w:styleId="CharENotesHeading">
    <w:name w:val="CharENotesHeading"/>
    <w:basedOn w:val="DefaultParagraphFont"/>
    <w:rsid w:val="00461D11"/>
  </w:style>
  <w:style w:type="paragraph" w:customStyle="1" w:styleId="TableOfAmend">
    <w:name w:val="TableOfAmend"/>
    <w:basedOn w:val="Normal"/>
    <w:rsid w:val="00461D11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TableOfAmend0pt">
    <w:name w:val="TableOfAmend0pt"/>
    <w:basedOn w:val="TableOfAmend"/>
    <w:rsid w:val="00461D11"/>
    <w:pPr>
      <w:spacing w:before="0"/>
    </w:pPr>
  </w:style>
  <w:style w:type="paragraph" w:customStyle="1" w:styleId="TableOfAmendHead">
    <w:name w:val="TableOfAmendHead"/>
    <w:basedOn w:val="TableOfAmend"/>
    <w:next w:val="Normal"/>
    <w:rsid w:val="00461D11"/>
    <w:pPr>
      <w:spacing w:after="60"/>
    </w:pPr>
    <w:rPr>
      <w:sz w:val="16"/>
    </w:rPr>
  </w:style>
  <w:style w:type="paragraph" w:customStyle="1" w:styleId="RegNotesa">
    <w:name w:val="RegNotes(a)"/>
    <w:basedOn w:val="Normal"/>
    <w:rsid w:val="00461D11"/>
    <w:pPr>
      <w:spacing w:before="60" w:line="200" w:lineRule="exact"/>
      <w:ind w:left="425" w:hanging="425"/>
      <w:jc w:val="both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EndNotes">
    <w:name w:val="EndNotes"/>
    <w:basedOn w:val="Normal"/>
    <w:rsid w:val="00461D11"/>
    <w:pPr>
      <w:spacing w:before="120" w:line="260" w:lineRule="exact"/>
      <w:jc w:val="both"/>
    </w:pPr>
    <w:rPr>
      <w:rFonts w:eastAsia="Times New Roman" w:cs="Times New Roman"/>
      <w:sz w:val="24"/>
      <w:szCs w:val="24"/>
      <w:lang w:eastAsia="en-AU"/>
    </w:rPr>
  </w:style>
  <w:style w:type="paragraph" w:customStyle="1" w:styleId="ENoteNo">
    <w:name w:val="ENoteNo"/>
    <w:basedOn w:val="EndNotes"/>
    <w:rsid w:val="00461D11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461D11"/>
    <w:pPr>
      <w:spacing w:before="240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CoverAct">
    <w:name w:val="CoverAct"/>
    <w:basedOn w:val="Normal"/>
    <w:next w:val="CoverUpdate"/>
    <w:rsid w:val="00461D11"/>
    <w:pPr>
      <w:pBdr>
        <w:bottom w:val="single" w:sz="4" w:space="3" w:color="auto"/>
      </w:pBdr>
      <w:spacing w:line="240" w:lineRule="auto"/>
    </w:pPr>
    <w:rPr>
      <w:rFonts w:ascii="Arial" w:eastAsia="Times New Roman" w:hAnsi="Arial" w:cs="Times New Roman"/>
      <w:i/>
      <w:sz w:val="28"/>
      <w:szCs w:val="24"/>
      <w:lang w:eastAsia="en-AU"/>
    </w:rPr>
  </w:style>
  <w:style w:type="paragraph" w:customStyle="1" w:styleId="CoverMade">
    <w:name w:val="CoverMade"/>
    <w:basedOn w:val="Normal"/>
    <w:rsid w:val="00461D11"/>
    <w:pPr>
      <w:spacing w:before="240" w:after="24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customStyle="1" w:styleId="CoverStatRule">
    <w:name w:val="CoverStatRule"/>
    <w:basedOn w:val="Normal"/>
    <w:next w:val="Normal"/>
    <w:rsid w:val="00461D11"/>
    <w:pPr>
      <w:spacing w:before="240" w:line="240" w:lineRule="auto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ENotesHeadingAmdt">
    <w:name w:val="TableENotesHeadingAmdt"/>
    <w:basedOn w:val="Normal"/>
    <w:rsid w:val="00461D11"/>
    <w:pPr>
      <w:pageBreakBefore/>
      <w:spacing w:before="240" w:after="240" w:line="300" w:lineRule="exact"/>
      <w:ind w:left="2410" w:hanging="2410"/>
    </w:pPr>
    <w:rPr>
      <w:rFonts w:ascii="Arial" w:eastAsia="Times New Roman" w:hAnsi="Arial" w:cs="Times New Roman"/>
      <w:b/>
      <w:sz w:val="28"/>
      <w:szCs w:val="24"/>
      <w:lang w:eastAsia="en-AU"/>
    </w:rPr>
  </w:style>
  <w:style w:type="paragraph" w:customStyle="1" w:styleId="TableOfStatRules">
    <w:name w:val="TableOfStatRules"/>
    <w:basedOn w:val="Normal"/>
    <w:rsid w:val="00461D11"/>
    <w:pPr>
      <w:spacing w:before="60" w:line="200" w:lineRule="exact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xl70">
    <w:name w:val="xl70"/>
    <w:basedOn w:val="Normal"/>
    <w:rsid w:val="00461D1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461D1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461D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461D11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font6">
    <w:name w:val="font6"/>
    <w:basedOn w:val="Normal"/>
    <w:rsid w:val="00461D11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461D11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  <w:lang w:eastAsia="en-AU"/>
    </w:rPr>
  </w:style>
  <w:style w:type="paragraph" w:customStyle="1" w:styleId="xl74">
    <w:name w:val="xl74"/>
    <w:basedOn w:val="Normal"/>
    <w:rsid w:val="00461D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461D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table" w:customStyle="1" w:styleId="TableSimple11">
    <w:name w:val="Table Simple 11"/>
    <w:basedOn w:val="TableNormal"/>
    <w:next w:val="TableSimple1"/>
    <w:unhideWhenUsed/>
    <w:rsid w:val="00461D1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unhideWhenUsed/>
    <w:rsid w:val="00461D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eNormal"/>
    <w:next w:val="TableClassic1"/>
    <w:unhideWhenUsed/>
    <w:rsid w:val="00461D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unhideWhenUsed/>
    <w:rsid w:val="00461D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unhideWhenUsed/>
    <w:rsid w:val="00461D1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unhideWhenUsed/>
    <w:rsid w:val="00461D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unhideWhenUsed/>
    <w:rsid w:val="00461D1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unhideWhenUsed/>
    <w:rsid w:val="00461D1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unhideWhenUsed/>
    <w:rsid w:val="00461D1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unhideWhenUsed/>
    <w:rsid w:val="00461D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unhideWhenUsed/>
    <w:rsid w:val="00461D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unhideWhenUsed/>
    <w:rsid w:val="00461D1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unhideWhenUsed/>
    <w:rsid w:val="00461D1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unhideWhenUsed/>
    <w:rsid w:val="00461D1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unhideWhenUsed/>
    <w:rsid w:val="00461D1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unhideWhenUsed/>
    <w:rsid w:val="00461D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next w:val="TableElegant"/>
    <w:unhideWhenUsed/>
    <w:rsid w:val="00461D1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">
    <w:name w:val="Table Professional1"/>
    <w:basedOn w:val="TableNormal"/>
    <w:next w:val="TableProfessional"/>
    <w:unhideWhenUsed/>
    <w:rsid w:val="00461D1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Web11">
    <w:name w:val="Table Web 11"/>
    <w:basedOn w:val="TableNormal"/>
    <w:next w:val="TableWeb1"/>
    <w:unhideWhenUsed/>
    <w:rsid w:val="00461D1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unhideWhenUsed/>
    <w:rsid w:val="00461D1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unhideWhenUsed/>
    <w:rsid w:val="00461D1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eneral1">
    <w:name w:val="TableGeneral1"/>
    <w:basedOn w:val="TableNormal"/>
    <w:rsid w:val="00461D11"/>
    <w:pPr>
      <w:spacing w:before="60" w:after="60" w:line="240" w:lineRule="exact"/>
    </w:pPr>
    <w:rPr>
      <w:rFonts w:eastAsia="Times New Roman" w:cs="Times New Roman"/>
      <w:sz w:val="22"/>
      <w:lang w:eastAsia="en-AU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="100" w:beforeAutospacing="1" w:afterLines="0" w:after="10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1ai1">
    <w:name w:val="1 / a / i1"/>
    <w:basedOn w:val="NoList"/>
    <w:next w:val="1ai"/>
    <w:unhideWhenUsed/>
    <w:rsid w:val="00461D11"/>
  </w:style>
  <w:style w:type="numbering" w:customStyle="1" w:styleId="ArticleSection1">
    <w:name w:val="Article / Section1"/>
    <w:basedOn w:val="NoList"/>
    <w:next w:val="ArticleSection"/>
    <w:unhideWhenUsed/>
    <w:rsid w:val="00461D11"/>
  </w:style>
  <w:style w:type="numbering" w:customStyle="1" w:styleId="1111111">
    <w:name w:val="1 / 1.1 / 1.1.11"/>
    <w:basedOn w:val="NoList"/>
    <w:next w:val="111111"/>
    <w:unhideWhenUsed/>
    <w:rsid w:val="00461D11"/>
  </w:style>
  <w:style w:type="numbering" w:customStyle="1" w:styleId="1111112">
    <w:name w:val="1 / 1.1 / 1.1.12"/>
    <w:basedOn w:val="NoList"/>
    <w:next w:val="111111"/>
    <w:rsid w:val="00461D11"/>
  </w:style>
  <w:style w:type="numbering" w:customStyle="1" w:styleId="1ai2">
    <w:name w:val="1 / a / i2"/>
    <w:basedOn w:val="NoList"/>
    <w:next w:val="1ai"/>
    <w:rsid w:val="00461D11"/>
  </w:style>
  <w:style w:type="numbering" w:customStyle="1" w:styleId="ArticleSection2">
    <w:name w:val="Article / Section2"/>
    <w:basedOn w:val="NoList"/>
    <w:next w:val="ArticleSection"/>
    <w:rsid w:val="00461D11"/>
  </w:style>
  <w:style w:type="character" w:customStyle="1" w:styleId="ItemHeadChar">
    <w:name w:val="ItemHead Char"/>
    <w:aliases w:val="ih Char"/>
    <w:basedOn w:val="DefaultParagraphFont"/>
    <w:link w:val="ItemHead"/>
    <w:locked/>
    <w:rsid w:val="00461D11"/>
    <w:rPr>
      <w:rFonts w:ascii="Arial" w:eastAsia="Times New Roman" w:hAnsi="Arial" w:cs="Times New Roman"/>
      <w:b/>
      <w:kern w:val="28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461D11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hr0">
    <w:name w:val="hr"/>
    <w:basedOn w:val="Normal"/>
    <w:rsid w:val="00461D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461D11"/>
  </w:style>
  <w:style w:type="paragraph" w:customStyle="1" w:styleId="r10">
    <w:name w:val="r1"/>
    <w:basedOn w:val="Normal"/>
    <w:rsid w:val="00461D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egsubtitle1">
    <w:name w:val="legsubtitle1"/>
    <w:basedOn w:val="DefaultParagraphFont"/>
    <w:rsid w:val="00461D11"/>
    <w:rPr>
      <w:rFonts w:ascii="Helvetica Neue" w:hAnsi="Helvetica Neue" w:hint="default"/>
      <w:b/>
      <w:bCs/>
      <w:sz w:val="28"/>
      <w:szCs w:val="28"/>
    </w:rPr>
  </w:style>
  <w:style w:type="paragraph" w:customStyle="1" w:styleId="EnStatement">
    <w:name w:val="EnStatement"/>
    <w:basedOn w:val="Normal"/>
    <w:rsid w:val="00461D1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461D11"/>
    <w:rPr>
      <w:rFonts w:eastAsia="Times New Roman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2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unro\AppData\Local\Microsoft\Windows\INetCache\Content.Outlook\EYGTRJIC\I20RN1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E693D3678C94CB8EEFC711F5CF666" ma:contentTypeVersion="4" ma:contentTypeDescription="Create a new document." ma:contentTypeScope="" ma:versionID="1b171b88e130cc792a0fd66ce8e9f58a">
  <xsd:schema xmlns:xsd="http://www.w3.org/2001/XMLSchema" xmlns:xs="http://www.w3.org/2001/XMLSchema" xmlns:p="http://schemas.microsoft.com/office/2006/metadata/properties" xmlns:ns3="69dde7e3-3707-4dc6-894e-213b60222617" targetNamespace="http://schemas.microsoft.com/office/2006/metadata/properties" ma:root="true" ma:fieldsID="3cb584e5cd371fcc76ff3d41c442cbbe" ns3:_="">
    <xsd:import namespace="69dde7e3-3707-4dc6-894e-213b60222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e7e3-3707-4dc6-894e-213b60222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168F-0DA3-48A7-9439-B125BCD6E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de7e3-3707-4dc6-894e-213b60222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DC2F3-9750-4507-88F1-B071D282B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FCD71-3024-47C4-AEC9-8AE238FBB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6AA47-FCA4-4041-9503-D227DC41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I20RN139.dotx</Template>
  <TotalTime>0</TotalTime>
  <Pages>12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2021-01-14T04:13:00Z</dcterms:created>
  <dcterms:modified xsi:type="dcterms:W3CDTF">2021-01-14T04:13:00Z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b4e3eb5e-604d-4ea2-b12a-12786c1ceac6</vt:lpwstr>
  </property>
  <property fmtid="{D5CDD505-2E9C-101B-9397-08002B2CF9AE}" pid="3" name="SEC">
    <vt:lpwstr>OFFICIAL</vt:lpwstr>
  </property>
  <property fmtid="{D5CDD505-2E9C-101B-9397-08002B2CF9AE}" pid="4" name="ContentTypeId">
    <vt:lpwstr>0x010100C19E693D3678C94CB8EEFC711F5CF666</vt:lpwstr>
  </property>
</Properties>
</file>