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9CABF"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31C3AB59" w14:textId="77777777" w:rsidR="004C58B9" w:rsidRDefault="004C58B9" w:rsidP="004C58B9">
      <w:pPr>
        <w:jc w:val="center"/>
        <w:rPr>
          <w:rFonts w:ascii="Times New Roman" w:hAnsi="Times New Roman" w:cs="Times New Roman"/>
        </w:rPr>
      </w:pPr>
      <w:r>
        <w:rPr>
          <w:rFonts w:ascii="Times New Roman" w:hAnsi="Times New Roman" w:cs="Times New Roman"/>
        </w:rPr>
        <w:t xml:space="preserve">Approved by the Australian </w:t>
      </w:r>
      <w:r w:rsidR="00D2287C">
        <w:rPr>
          <w:rFonts w:ascii="Times New Roman" w:hAnsi="Times New Roman" w:cs="Times New Roman"/>
        </w:rPr>
        <w:t>Competition and Consumer Commission</w:t>
      </w:r>
    </w:p>
    <w:p w14:paraId="3A914462" w14:textId="77777777" w:rsidR="00701B13" w:rsidRDefault="00D2287C" w:rsidP="004C58B9">
      <w:pPr>
        <w:jc w:val="center"/>
        <w:rPr>
          <w:rFonts w:ascii="Times New Roman" w:hAnsi="Times New Roman" w:cs="Times New Roman"/>
          <w:i/>
        </w:rPr>
      </w:pPr>
      <w:r>
        <w:rPr>
          <w:rFonts w:ascii="Times New Roman" w:hAnsi="Times New Roman" w:cs="Times New Roman"/>
          <w:i/>
        </w:rPr>
        <w:t>Telecommunications Act 1997</w:t>
      </w:r>
    </w:p>
    <w:p w14:paraId="71F92F47" w14:textId="77777777" w:rsidR="004C58B9" w:rsidRDefault="00917B7C" w:rsidP="004C58B9">
      <w:pPr>
        <w:jc w:val="center"/>
        <w:rPr>
          <w:rFonts w:ascii="Times New Roman" w:hAnsi="Times New Roman" w:cs="Times New Roman"/>
          <w:b/>
          <w:i/>
        </w:rPr>
      </w:pPr>
      <w:r w:rsidRPr="00917B7C">
        <w:rPr>
          <w:rFonts w:ascii="Times New Roman" w:hAnsi="Times New Roman" w:cs="Times New Roman"/>
          <w:b/>
          <w:i/>
        </w:rPr>
        <w:t>Telecommunications (Superfast Broadband Network Class Exemption) Amendment Determination 2021 (No. 1)</w:t>
      </w:r>
      <w:r w:rsidR="00403C6E">
        <w:rPr>
          <w:rFonts w:ascii="Times New Roman" w:hAnsi="Times New Roman" w:cs="Times New Roman"/>
          <w:b/>
          <w:i/>
        </w:rPr>
        <w:t xml:space="preserve"> </w:t>
      </w:r>
    </w:p>
    <w:p w14:paraId="7F97A229" w14:textId="77777777" w:rsidR="004C58B9" w:rsidRDefault="004C58B9" w:rsidP="00736B50">
      <w:pPr>
        <w:spacing w:before="280" w:line="257" w:lineRule="auto"/>
        <w:rPr>
          <w:rFonts w:ascii="Times New Roman" w:hAnsi="Times New Roman" w:cs="Times New Roman"/>
          <w:b/>
        </w:rPr>
      </w:pPr>
      <w:r>
        <w:rPr>
          <w:rFonts w:ascii="Times New Roman" w:hAnsi="Times New Roman" w:cs="Times New Roman"/>
          <w:b/>
        </w:rPr>
        <w:t>Authority</w:t>
      </w:r>
    </w:p>
    <w:p w14:paraId="77350A55" w14:textId="77777777" w:rsidR="004C58B9" w:rsidRDefault="004C58B9" w:rsidP="00736B50">
      <w:pPr>
        <w:spacing w:line="257" w:lineRule="auto"/>
        <w:rPr>
          <w:rFonts w:ascii="Times New Roman" w:hAnsi="Times New Roman" w:cs="Times New Roman"/>
        </w:rPr>
      </w:pPr>
      <w:r>
        <w:rPr>
          <w:rFonts w:ascii="Times New Roman" w:hAnsi="Times New Roman" w:cs="Times New Roman"/>
        </w:rPr>
        <w:t xml:space="preserve">The Australian </w:t>
      </w:r>
      <w:r w:rsidR="005D751F">
        <w:rPr>
          <w:rFonts w:ascii="Times New Roman" w:hAnsi="Times New Roman" w:cs="Times New Roman"/>
        </w:rPr>
        <w:t>Competition and Consumer Commission</w:t>
      </w:r>
      <w:r>
        <w:rPr>
          <w:rFonts w:ascii="Times New Roman" w:hAnsi="Times New Roman" w:cs="Times New Roman"/>
        </w:rPr>
        <w:t xml:space="preserve"> (</w:t>
      </w:r>
      <w:r>
        <w:rPr>
          <w:rFonts w:ascii="Times New Roman" w:hAnsi="Times New Roman" w:cs="Times New Roman"/>
          <w:b/>
        </w:rPr>
        <w:t>the AC</w:t>
      </w:r>
      <w:r w:rsidR="005D751F">
        <w:rPr>
          <w:rFonts w:ascii="Times New Roman" w:hAnsi="Times New Roman" w:cs="Times New Roman"/>
          <w:b/>
        </w:rPr>
        <w:t>CC</w:t>
      </w:r>
      <w:r>
        <w:rPr>
          <w:rFonts w:ascii="Times New Roman" w:hAnsi="Times New Roman" w:cs="Times New Roman"/>
        </w:rPr>
        <w:t xml:space="preserve">) has made the </w:t>
      </w:r>
      <w:r w:rsidR="00805975" w:rsidRPr="00805975">
        <w:rPr>
          <w:rFonts w:ascii="Times New Roman" w:hAnsi="Times New Roman" w:cs="Times New Roman"/>
          <w:i/>
        </w:rPr>
        <w:t xml:space="preserve">Telecommunications (Superfast Broadband Network Class Exemption) Amendment Determination 2021 (No. 1)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w:t>
      </w:r>
      <w:r w:rsidR="00805975" w:rsidRPr="00805975">
        <w:rPr>
          <w:rFonts w:ascii="Times New Roman" w:hAnsi="Times New Roman" w:cs="Times New Roman"/>
        </w:rPr>
        <w:t xml:space="preserve">subsections 143A(1) and 143A(2) of the </w:t>
      </w:r>
      <w:r w:rsidR="00805975" w:rsidRPr="00805975">
        <w:rPr>
          <w:rFonts w:ascii="Times New Roman" w:hAnsi="Times New Roman" w:cs="Times New Roman"/>
          <w:i/>
        </w:rPr>
        <w:t>Telecommunications Act 1997</w:t>
      </w:r>
      <w:r w:rsidR="00476305">
        <w:rPr>
          <w:rFonts w:ascii="Times New Roman" w:hAnsi="Times New Roman" w:cs="Times New Roman"/>
          <w:i/>
        </w:rPr>
        <w:t xml:space="preserve"> </w:t>
      </w:r>
      <w:r w:rsidR="00476305" w:rsidRPr="00D5557A">
        <w:rPr>
          <w:rFonts w:ascii="Times New Roman" w:hAnsi="Times New Roman" w:cs="Times New Roman"/>
        </w:rPr>
        <w:t>(</w:t>
      </w:r>
      <w:r w:rsidR="00476305" w:rsidRPr="00D5557A">
        <w:rPr>
          <w:rFonts w:ascii="Times New Roman" w:hAnsi="Times New Roman" w:cs="Times New Roman"/>
          <w:b/>
        </w:rPr>
        <w:t xml:space="preserve">the </w:t>
      </w:r>
      <w:r w:rsidR="00805975">
        <w:rPr>
          <w:rFonts w:ascii="Times New Roman" w:hAnsi="Times New Roman" w:cs="Times New Roman"/>
          <w:b/>
        </w:rPr>
        <w:t>Telecommunications Act</w:t>
      </w:r>
      <w:r w:rsidR="00476305" w:rsidRPr="00D5557A">
        <w:rPr>
          <w:rFonts w:ascii="Times New Roman" w:hAnsi="Times New Roman" w:cs="Times New Roman"/>
        </w:rPr>
        <w:t>)</w:t>
      </w:r>
      <w:r w:rsidR="00476305">
        <w:rPr>
          <w:rFonts w:ascii="Times New Roman" w:hAnsi="Times New Roman" w:cs="Times New Roman"/>
        </w:rPr>
        <w:t xml:space="preserve"> and in accordance with </w:t>
      </w:r>
      <w:r w:rsidR="00476305" w:rsidRPr="00BE3D7C">
        <w:rPr>
          <w:rFonts w:ascii="Times New Roman" w:hAnsi="Times New Roman" w:cs="Times New Roman"/>
        </w:rPr>
        <w:t xml:space="preserve">subsection 33(3) of the </w:t>
      </w:r>
      <w:r w:rsidR="00476305" w:rsidRPr="00FE699B">
        <w:rPr>
          <w:rFonts w:ascii="Times New Roman" w:hAnsi="Times New Roman" w:cs="Times New Roman"/>
          <w:i/>
          <w:iCs/>
        </w:rPr>
        <w:t>Acts Interpretation Act 1901</w:t>
      </w:r>
      <w:r w:rsidR="00476305" w:rsidRPr="00BE3D7C">
        <w:rPr>
          <w:rFonts w:ascii="Times New Roman" w:hAnsi="Times New Roman" w:cs="Times New Roman"/>
        </w:rPr>
        <w:t xml:space="preserve"> (</w:t>
      </w:r>
      <w:r w:rsidR="00476305" w:rsidRPr="00FE699B">
        <w:rPr>
          <w:rFonts w:ascii="Times New Roman" w:hAnsi="Times New Roman" w:cs="Times New Roman"/>
          <w:b/>
          <w:bCs/>
        </w:rPr>
        <w:t>the AIA</w:t>
      </w:r>
      <w:r w:rsidR="00476305" w:rsidRPr="00BE3D7C">
        <w:rPr>
          <w:rFonts w:ascii="Times New Roman" w:hAnsi="Times New Roman" w:cs="Times New Roman"/>
        </w:rPr>
        <w:t>).</w:t>
      </w:r>
    </w:p>
    <w:p w14:paraId="48DA606E" w14:textId="77777777" w:rsidR="00805975" w:rsidRDefault="00805975" w:rsidP="006D3BBF">
      <w:pPr>
        <w:shd w:val="clear" w:color="auto" w:fill="FFFFFF"/>
        <w:spacing w:line="257" w:lineRule="auto"/>
        <w:rPr>
          <w:rFonts w:ascii="Times New Roman" w:eastAsia="Times New Roman" w:hAnsi="Times New Roman" w:cs="Times New Roman"/>
          <w:color w:val="000000"/>
          <w:lang w:eastAsia="en-AU"/>
        </w:rPr>
      </w:pPr>
      <w:r w:rsidRPr="00805975">
        <w:rPr>
          <w:rFonts w:ascii="Times New Roman" w:eastAsia="Times New Roman" w:hAnsi="Times New Roman" w:cs="Times New Roman"/>
          <w:color w:val="000000"/>
          <w:lang w:eastAsia="en-AU"/>
        </w:rPr>
        <w:t xml:space="preserve">Under subsections 143A(1) and </w:t>
      </w:r>
      <w:r>
        <w:rPr>
          <w:rFonts w:ascii="Times New Roman" w:eastAsia="Times New Roman" w:hAnsi="Times New Roman" w:cs="Times New Roman"/>
          <w:color w:val="000000"/>
          <w:lang w:eastAsia="en-AU"/>
        </w:rPr>
        <w:t>143A</w:t>
      </w:r>
      <w:r w:rsidRPr="00805975">
        <w:rPr>
          <w:rFonts w:ascii="Times New Roman" w:eastAsia="Times New Roman" w:hAnsi="Times New Roman" w:cs="Times New Roman"/>
          <w:color w:val="000000"/>
          <w:lang w:eastAsia="en-AU"/>
        </w:rPr>
        <w:t>(2) of the Telecommunications Act, the ACCC may, by legislative instrument, determine class exemptions from sections 142C or 143 of the Telecommunications Act.</w:t>
      </w:r>
    </w:p>
    <w:p w14:paraId="7CB2380B" w14:textId="77777777" w:rsidR="006D3BBF" w:rsidRPr="00E20B28" w:rsidRDefault="006D3BBF" w:rsidP="006D3BBF">
      <w:pPr>
        <w:shd w:val="clear" w:color="auto" w:fill="FFFFFF"/>
        <w:spacing w:line="257" w:lineRule="auto"/>
        <w:rPr>
          <w:rFonts w:ascii="Times New Roman" w:eastAsia="Times New Roman" w:hAnsi="Times New Roman" w:cs="Times New Roman"/>
          <w:lang w:eastAsia="en-AU"/>
        </w:rPr>
      </w:pPr>
      <w:r w:rsidRPr="00E20B28">
        <w:rPr>
          <w:rFonts w:ascii="Times New Roman" w:eastAsia="Times New Roman" w:hAnsi="Times New Roman" w:cs="Times New Roman"/>
          <w:color w:val="000000"/>
          <w:lang w:eastAsia="en-AU"/>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5C1D0743" w14:textId="77777777" w:rsidR="00C2429C" w:rsidRDefault="00C2429C" w:rsidP="00C2429C">
      <w:pPr>
        <w:rPr>
          <w:rFonts w:ascii="Times New Roman" w:hAnsi="Times New Roman" w:cs="Times New Roman"/>
          <w:b/>
        </w:rPr>
      </w:pPr>
      <w:r>
        <w:rPr>
          <w:rFonts w:ascii="Times New Roman" w:hAnsi="Times New Roman" w:cs="Times New Roman"/>
          <w:b/>
        </w:rPr>
        <w:t>Purpose and operation of the instrument</w:t>
      </w:r>
    </w:p>
    <w:p w14:paraId="60AC8C8D" w14:textId="77777777" w:rsidR="000E1852" w:rsidRDefault="000E1852">
      <w:pPr>
        <w:spacing w:line="257" w:lineRule="auto"/>
        <w:rPr>
          <w:rFonts w:ascii="Times New Roman" w:hAnsi="Times New Roman" w:cs="Times New Roman"/>
        </w:rPr>
      </w:pPr>
      <w:r w:rsidRPr="000E1852">
        <w:rPr>
          <w:rFonts w:ascii="Times New Roman" w:hAnsi="Times New Roman" w:cs="Times New Roman"/>
        </w:rPr>
        <w:t xml:space="preserve">On 14 May 2020, the Parliament passed the </w:t>
      </w:r>
      <w:r w:rsidRPr="000E1852">
        <w:rPr>
          <w:rFonts w:ascii="Times New Roman" w:hAnsi="Times New Roman" w:cs="Times New Roman"/>
          <w:i/>
        </w:rPr>
        <w:t>Telecommunications Legislation Amendment (Competition and Consumer) Act 2020</w:t>
      </w:r>
      <w:r w:rsidRPr="000E1852">
        <w:rPr>
          <w:rFonts w:ascii="Times New Roman" w:hAnsi="Times New Roman" w:cs="Times New Roman"/>
        </w:rPr>
        <w:t>. This Act amends the Telecommunications Act and gives superfast fixed line network operators the option of operating on a functionally separated basis, rather than a structurally separated basis as had been required before the legislative reforms. This can be by way of an eligible network operator electing to be bound by a deemed functional separation undertaking or the network operator lodging a customised functional separation undertaking for the ACCC’s approval.</w:t>
      </w:r>
    </w:p>
    <w:p w14:paraId="5698D6B0" w14:textId="77777777" w:rsidR="00A57929" w:rsidRDefault="00A57929">
      <w:pPr>
        <w:spacing w:line="257" w:lineRule="auto"/>
        <w:rPr>
          <w:rFonts w:ascii="Times New Roman" w:hAnsi="Times New Roman" w:cs="Times New Roman"/>
        </w:rPr>
      </w:pPr>
      <w:r w:rsidRPr="00A57929">
        <w:rPr>
          <w:rFonts w:ascii="Times New Roman" w:hAnsi="Times New Roman" w:cs="Times New Roman"/>
        </w:rPr>
        <w:t xml:space="preserve">Subsections 143A(1) and 143A(2) of the Telecommunications Act provide that the ACCC may, by legislative instrument, make a determination </w:t>
      </w:r>
      <w:r>
        <w:rPr>
          <w:rFonts w:ascii="Times New Roman" w:hAnsi="Times New Roman" w:cs="Times New Roman"/>
        </w:rPr>
        <w:t>exempting a particular class of person from the separation requirements set out in sections 142C or 143 and that would otherwise apply</w:t>
      </w:r>
      <w:r w:rsidRPr="00A57929">
        <w:rPr>
          <w:rFonts w:ascii="Times New Roman" w:hAnsi="Times New Roman" w:cs="Times New Roman"/>
        </w:rPr>
        <w:t>. Once made, persons within the class specified in such a determination can then elect to be bound by the class exemption rather than be subject to the separation requirements.</w:t>
      </w:r>
    </w:p>
    <w:p w14:paraId="4070F322" w14:textId="77777777" w:rsidR="000E1852" w:rsidRDefault="000E1852">
      <w:pPr>
        <w:spacing w:line="257" w:lineRule="auto"/>
        <w:rPr>
          <w:rFonts w:ascii="Times New Roman" w:hAnsi="Times New Roman" w:cs="Times New Roman"/>
        </w:rPr>
      </w:pPr>
      <w:r>
        <w:rPr>
          <w:rFonts w:ascii="Times New Roman" w:hAnsi="Times New Roman" w:cs="Times New Roman"/>
        </w:rPr>
        <w:t>In August 2020,</w:t>
      </w:r>
      <w:r w:rsidR="00695725">
        <w:rPr>
          <w:rFonts w:ascii="Times New Roman" w:hAnsi="Times New Roman" w:cs="Times New Roman"/>
        </w:rPr>
        <w:t xml:space="preserve"> pursuant to s</w:t>
      </w:r>
      <w:r w:rsidR="00695725" w:rsidRPr="000E1852">
        <w:rPr>
          <w:rFonts w:ascii="Times New Roman" w:hAnsi="Times New Roman" w:cs="Times New Roman"/>
        </w:rPr>
        <w:t xml:space="preserve">ubsections 143A(1) and </w:t>
      </w:r>
      <w:r w:rsidR="00695725">
        <w:rPr>
          <w:rFonts w:ascii="Times New Roman" w:hAnsi="Times New Roman" w:cs="Times New Roman"/>
        </w:rPr>
        <w:t>143A</w:t>
      </w:r>
      <w:r w:rsidR="00695725" w:rsidRPr="000E1852">
        <w:rPr>
          <w:rFonts w:ascii="Times New Roman" w:hAnsi="Times New Roman" w:cs="Times New Roman"/>
        </w:rPr>
        <w:t>(2</w:t>
      </w:r>
      <w:r w:rsidR="00695725">
        <w:rPr>
          <w:rFonts w:ascii="Times New Roman" w:hAnsi="Times New Roman" w:cs="Times New Roman"/>
        </w:rPr>
        <w:t>) of the Telecommunications Act,</w:t>
      </w:r>
      <w:r>
        <w:rPr>
          <w:rFonts w:ascii="Times New Roman" w:hAnsi="Times New Roman" w:cs="Times New Roman"/>
        </w:rPr>
        <w:t xml:space="preserve"> the ACCC made the </w:t>
      </w:r>
      <w:r w:rsidRPr="000E1852">
        <w:rPr>
          <w:rFonts w:ascii="Times New Roman" w:hAnsi="Times New Roman" w:cs="Times New Roman"/>
          <w:i/>
        </w:rPr>
        <w:t>Telecommunications (Superfast Broadband Network Class Exemption) Determination 2020</w:t>
      </w:r>
      <w:r>
        <w:rPr>
          <w:rFonts w:ascii="Times New Roman" w:hAnsi="Times New Roman" w:cs="Times New Roman"/>
        </w:rPr>
        <w:t xml:space="preserve"> (</w:t>
      </w:r>
      <w:r w:rsidRPr="000E1852">
        <w:rPr>
          <w:rFonts w:ascii="Times New Roman" w:hAnsi="Times New Roman" w:cs="Times New Roman"/>
          <w:b/>
        </w:rPr>
        <w:t>the Class Exemption</w:t>
      </w:r>
      <w:r>
        <w:rPr>
          <w:rFonts w:ascii="Times New Roman" w:hAnsi="Times New Roman" w:cs="Times New Roman"/>
        </w:rPr>
        <w:t>)</w:t>
      </w:r>
      <w:r w:rsidR="00BA7438">
        <w:rPr>
          <w:rFonts w:ascii="Times New Roman" w:hAnsi="Times New Roman" w:cs="Times New Roman"/>
        </w:rPr>
        <w:t xml:space="preserve">, </w:t>
      </w:r>
      <w:r>
        <w:rPr>
          <w:rFonts w:ascii="Times New Roman" w:hAnsi="Times New Roman" w:cs="Times New Roman"/>
        </w:rPr>
        <w:t>being satisfied that the Class Exemption will</w:t>
      </w:r>
      <w:r w:rsidR="007B30E3">
        <w:rPr>
          <w:rFonts w:ascii="Times New Roman" w:hAnsi="Times New Roman" w:cs="Times New Roman"/>
        </w:rPr>
        <w:t xml:space="preserve"> promote</w:t>
      </w:r>
      <w:r w:rsidR="007B30E3" w:rsidRPr="000E1852">
        <w:rPr>
          <w:rFonts w:ascii="Times New Roman" w:hAnsi="Times New Roman" w:cs="Times New Roman"/>
        </w:rPr>
        <w:t xml:space="preserve"> the long‑term interests of end‑users of carriage services or of services supplied by means of carriage services</w:t>
      </w:r>
      <w:r w:rsidR="007B30E3">
        <w:rPr>
          <w:rFonts w:ascii="Times New Roman" w:hAnsi="Times New Roman" w:cs="Times New Roman"/>
        </w:rPr>
        <w:t xml:space="preserve"> by</w:t>
      </w:r>
      <w:r>
        <w:rPr>
          <w:rFonts w:ascii="Times New Roman" w:hAnsi="Times New Roman" w:cs="Times New Roman"/>
        </w:rPr>
        <w:t>:</w:t>
      </w:r>
    </w:p>
    <w:p w14:paraId="482C26FC" w14:textId="4520F94E" w:rsidR="000E1852" w:rsidRDefault="007B30E3" w:rsidP="007B30E3">
      <w:pPr>
        <w:pStyle w:val="ListParagraph"/>
        <w:numPr>
          <w:ilvl w:val="0"/>
          <w:numId w:val="21"/>
        </w:numPr>
        <w:spacing w:line="257" w:lineRule="auto"/>
        <w:rPr>
          <w:rFonts w:ascii="Times New Roman" w:hAnsi="Times New Roman" w:cs="Times New Roman"/>
        </w:rPr>
      </w:pPr>
      <w:r>
        <w:rPr>
          <w:rFonts w:ascii="Times New Roman" w:hAnsi="Times New Roman" w:cs="Times New Roman"/>
        </w:rPr>
        <w:t xml:space="preserve">encouraging </w:t>
      </w:r>
      <w:r w:rsidRPr="007B30E3">
        <w:rPr>
          <w:rFonts w:ascii="Times New Roman" w:hAnsi="Times New Roman" w:cs="Times New Roman"/>
        </w:rPr>
        <w:t>entry of smaller superfast network operators and pr</w:t>
      </w:r>
      <w:r>
        <w:rPr>
          <w:rFonts w:ascii="Times New Roman" w:hAnsi="Times New Roman" w:cs="Times New Roman"/>
        </w:rPr>
        <w:t>omoting</w:t>
      </w:r>
      <w:r w:rsidRPr="007B30E3">
        <w:rPr>
          <w:rFonts w:ascii="Times New Roman" w:hAnsi="Times New Roman" w:cs="Times New Roman"/>
        </w:rPr>
        <w:t xml:space="preserve"> competition </w:t>
      </w:r>
      <w:r>
        <w:rPr>
          <w:rFonts w:ascii="Times New Roman" w:hAnsi="Times New Roman" w:cs="Times New Roman"/>
        </w:rPr>
        <w:t>in retail and wholesale markets</w:t>
      </w:r>
      <w:r w:rsidR="00BA7438">
        <w:rPr>
          <w:rFonts w:ascii="Times New Roman" w:hAnsi="Times New Roman" w:cs="Times New Roman"/>
        </w:rPr>
        <w:t>; and</w:t>
      </w:r>
    </w:p>
    <w:p w14:paraId="60E05DE6" w14:textId="53B4AA6C" w:rsidR="00BA7438" w:rsidRPr="000E1852" w:rsidRDefault="007B30E3" w:rsidP="00BA7438">
      <w:pPr>
        <w:pStyle w:val="ListParagraph"/>
        <w:numPr>
          <w:ilvl w:val="0"/>
          <w:numId w:val="21"/>
        </w:numPr>
        <w:spacing w:line="257" w:lineRule="auto"/>
        <w:rPr>
          <w:rFonts w:ascii="Times New Roman" w:hAnsi="Times New Roman" w:cs="Times New Roman"/>
        </w:rPr>
      </w:pPr>
      <w:r w:rsidRPr="00BA7438">
        <w:rPr>
          <w:rFonts w:ascii="Times New Roman" w:hAnsi="Times New Roman" w:cs="Times New Roman"/>
        </w:rPr>
        <w:t>reduc</w:t>
      </w:r>
      <w:r>
        <w:rPr>
          <w:rFonts w:ascii="Times New Roman" w:hAnsi="Times New Roman" w:cs="Times New Roman"/>
        </w:rPr>
        <w:t>ing</w:t>
      </w:r>
      <w:r w:rsidRPr="00BA7438">
        <w:rPr>
          <w:rFonts w:ascii="Times New Roman" w:hAnsi="Times New Roman" w:cs="Times New Roman"/>
        </w:rPr>
        <w:t xml:space="preserve"> </w:t>
      </w:r>
      <w:r w:rsidR="00BA7438" w:rsidRPr="00BA7438">
        <w:rPr>
          <w:rFonts w:ascii="Times New Roman" w:hAnsi="Times New Roman" w:cs="Times New Roman"/>
        </w:rPr>
        <w:t>the disproportionate regulatory cost burden on operators of smaller networks of being structurally or functionally separated when participating in superfast broadband markets, enabling them to further invest in competitive infrastructure through increasing the reach of their networks and improving the quality of services provided to end-users.</w:t>
      </w:r>
    </w:p>
    <w:p w14:paraId="1A7F1DEB" w14:textId="35D1781E" w:rsidR="00EB5370" w:rsidRDefault="00BA7438" w:rsidP="006F1D10">
      <w:pPr>
        <w:spacing w:line="257" w:lineRule="auto"/>
        <w:rPr>
          <w:rFonts w:ascii="Times New Roman" w:hAnsi="Times New Roman" w:cs="Times New Roman"/>
        </w:rPr>
      </w:pPr>
      <w:r>
        <w:rPr>
          <w:rFonts w:ascii="Times New Roman" w:hAnsi="Times New Roman" w:cs="Times New Roman"/>
        </w:rPr>
        <w:lastRenderedPageBreak/>
        <w:t>In November 2020, the Senate Standing Committee for the Scrutiny of Delegated Legislation (</w:t>
      </w:r>
      <w:r w:rsidRPr="00BA7438">
        <w:rPr>
          <w:rFonts w:ascii="Times New Roman" w:hAnsi="Times New Roman" w:cs="Times New Roman"/>
          <w:b/>
        </w:rPr>
        <w:t>the Committee</w:t>
      </w:r>
      <w:r>
        <w:rPr>
          <w:rFonts w:ascii="Times New Roman" w:hAnsi="Times New Roman" w:cs="Times New Roman"/>
        </w:rPr>
        <w:t>) wrote to the Minister for Communications, Cyber Safety and the Arts (</w:t>
      </w:r>
      <w:r w:rsidRPr="00BA7438">
        <w:rPr>
          <w:rFonts w:ascii="Times New Roman" w:hAnsi="Times New Roman" w:cs="Times New Roman"/>
          <w:b/>
        </w:rPr>
        <w:t>the Minister</w:t>
      </w:r>
      <w:r w:rsidRPr="00BA7438">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expressing </w:t>
      </w:r>
      <w:r w:rsidR="0092468E">
        <w:rPr>
          <w:rFonts w:ascii="Times New Roman" w:hAnsi="Times New Roman" w:cs="Times New Roman"/>
        </w:rPr>
        <w:t xml:space="preserve">a concern that the Class Exemption was to remain in force for at least 10 years (until it sunsets under the </w:t>
      </w:r>
      <w:r w:rsidR="0092468E" w:rsidRPr="0092468E">
        <w:rPr>
          <w:rFonts w:ascii="Times New Roman" w:hAnsi="Times New Roman" w:cs="Times New Roman"/>
          <w:i/>
        </w:rPr>
        <w:t>Legislation Act 2003</w:t>
      </w:r>
      <w:r w:rsidR="0092468E">
        <w:rPr>
          <w:rFonts w:ascii="Times New Roman" w:hAnsi="Times New Roman" w:cs="Times New Roman"/>
        </w:rPr>
        <w:t>). The Committee</w:t>
      </w:r>
      <w:r w:rsidR="00524DFA">
        <w:rPr>
          <w:rFonts w:ascii="Times New Roman" w:hAnsi="Times New Roman" w:cs="Times New Roman"/>
        </w:rPr>
        <w:t xml:space="preserve"> </w:t>
      </w:r>
      <w:r w:rsidR="007B30E3">
        <w:rPr>
          <w:rFonts w:ascii="Times New Roman" w:hAnsi="Times New Roman" w:cs="Times New Roman"/>
        </w:rPr>
        <w:t xml:space="preserve">stated its </w:t>
      </w:r>
      <w:r w:rsidR="0092468E">
        <w:rPr>
          <w:rFonts w:ascii="Times New Roman" w:hAnsi="Times New Roman" w:cs="Times New Roman"/>
        </w:rPr>
        <w:t xml:space="preserve">longstanding view that provisions which modify or exempt persons or entities from the operation of primary legislation (as is the case with the Class Exemption) should cease to operate no more than three years after they commence so as to ensure a minimum degree of regular parliamentary oversight. </w:t>
      </w:r>
    </w:p>
    <w:p w14:paraId="19AB804A" w14:textId="2B6C1446" w:rsidR="00BA7438" w:rsidRPr="00BA7438" w:rsidRDefault="0092468E" w:rsidP="006F1D10">
      <w:pPr>
        <w:spacing w:line="257" w:lineRule="auto"/>
        <w:rPr>
          <w:rFonts w:ascii="Times New Roman" w:hAnsi="Times New Roman" w:cs="Times New Roman"/>
        </w:rPr>
      </w:pPr>
      <w:r>
        <w:rPr>
          <w:rFonts w:ascii="Times New Roman" w:hAnsi="Times New Roman" w:cs="Times New Roman"/>
        </w:rPr>
        <w:t xml:space="preserve">Following </w:t>
      </w:r>
      <w:r w:rsidR="00F84459">
        <w:rPr>
          <w:rFonts w:ascii="Times New Roman" w:hAnsi="Times New Roman" w:cs="Times New Roman"/>
        </w:rPr>
        <w:t>an</w:t>
      </w:r>
      <w:r>
        <w:rPr>
          <w:rFonts w:ascii="Times New Roman" w:hAnsi="Times New Roman" w:cs="Times New Roman"/>
        </w:rPr>
        <w:t xml:space="preserve"> exchange of correspondence between the Minister and the Committee, </w:t>
      </w:r>
      <w:r w:rsidR="00012D01">
        <w:rPr>
          <w:rFonts w:ascii="Times New Roman" w:hAnsi="Times New Roman" w:cs="Times New Roman"/>
        </w:rPr>
        <w:t xml:space="preserve">the Committee indicated it would </w:t>
      </w:r>
      <w:r w:rsidR="005E2803">
        <w:rPr>
          <w:rFonts w:ascii="Times New Roman" w:hAnsi="Times New Roman" w:cs="Times New Roman"/>
        </w:rPr>
        <w:t>be amenable to the Class Exemption being amended</w:t>
      </w:r>
      <w:r>
        <w:rPr>
          <w:rFonts w:ascii="Times New Roman" w:hAnsi="Times New Roman" w:cs="Times New Roman"/>
        </w:rPr>
        <w:t xml:space="preserve"> </w:t>
      </w:r>
      <w:r w:rsidR="00EB5370">
        <w:rPr>
          <w:rFonts w:ascii="Times New Roman" w:hAnsi="Times New Roman" w:cs="Times New Roman"/>
        </w:rPr>
        <w:t xml:space="preserve">to specify </w:t>
      </w:r>
      <w:r>
        <w:rPr>
          <w:rFonts w:ascii="Times New Roman" w:hAnsi="Times New Roman" w:cs="Times New Roman"/>
        </w:rPr>
        <w:t xml:space="preserve">that it ceases to operate five years after its commencement. The instrument </w:t>
      </w:r>
      <w:r w:rsidR="00EB5370">
        <w:rPr>
          <w:rFonts w:ascii="Times New Roman" w:hAnsi="Times New Roman" w:cs="Times New Roman"/>
        </w:rPr>
        <w:t>amends the Class Exemption to this</w:t>
      </w:r>
      <w:r>
        <w:rPr>
          <w:rFonts w:ascii="Times New Roman" w:hAnsi="Times New Roman" w:cs="Times New Roman"/>
        </w:rPr>
        <w:t xml:space="preserve"> effect</w:t>
      </w:r>
      <w:r w:rsidR="00695725">
        <w:rPr>
          <w:rFonts w:ascii="Times New Roman" w:hAnsi="Times New Roman" w:cs="Times New Roman"/>
        </w:rPr>
        <w:t xml:space="preserve">. Copies of the correspondence exchanged between the Committee and the Minister are available from the Committee’s </w:t>
      </w:r>
      <w:r w:rsidR="00A42A79">
        <w:rPr>
          <w:rFonts w:ascii="Times New Roman" w:hAnsi="Times New Roman" w:cs="Times New Roman"/>
        </w:rPr>
        <w:t>homepage</w:t>
      </w:r>
      <w:r w:rsidR="00695725">
        <w:rPr>
          <w:rFonts w:ascii="Times New Roman" w:hAnsi="Times New Roman" w:cs="Times New Roman"/>
        </w:rPr>
        <w:t xml:space="preserve"> at: </w:t>
      </w:r>
      <w:hyperlink r:id="rId11" w:history="1">
        <w:r w:rsidR="00695725" w:rsidRPr="00E958FC">
          <w:rPr>
            <w:rStyle w:val="Hyperlink"/>
            <w:rFonts w:ascii="Times New Roman" w:hAnsi="Times New Roman" w:cs="Times New Roman"/>
          </w:rPr>
          <w:t>https://www.aph.gov.au/Parliamentary_Business/Committees/Senate/Scrutiny_of_Delegated_Legislation</w:t>
        </w:r>
      </w:hyperlink>
      <w:r w:rsidR="00695725">
        <w:rPr>
          <w:rFonts w:ascii="Times New Roman" w:hAnsi="Times New Roman" w:cs="Times New Roman"/>
        </w:rPr>
        <w:t xml:space="preserve">. </w:t>
      </w:r>
    </w:p>
    <w:p w14:paraId="63654809" w14:textId="77777777" w:rsidR="00D5671E" w:rsidRDefault="00D5671E" w:rsidP="00D5671E">
      <w:pPr>
        <w:spacing w:line="257" w:lineRule="auto"/>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3F89611A" w14:textId="6D3F9871" w:rsidR="00977AC5" w:rsidRPr="001147F7" w:rsidRDefault="00D5671E" w:rsidP="00D5671E">
      <w:pPr>
        <w:spacing w:line="257" w:lineRule="auto"/>
        <w:rPr>
          <w:rFonts w:ascii="Times New Roman" w:hAnsi="Times New Roman" w:cs="Times New Roman"/>
        </w:rPr>
      </w:pPr>
      <w:r>
        <w:rPr>
          <w:rFonts w:ascii="Times New Roman" w:hAnsi="Times New Roman" w:cs="Times New Roman"/>
        </w:rPr>
        <w:t xml:space="preserve">The instrument is a </w:t>
      </w:r>
      <w:r w:rsidR="00B76116">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Pr>
          <w:rFonts w:ascii="Times New Roman" w:hAnsi="Times New Roman" w:cs="Times New Roman"/>
          <w:i/>
        </w:rPr>
        <w:t>Legislation Act 2003</w:t>
      </w:r>
      <w:r>
        <w:rPr>
          <w:rFonts w:ascii="Times New Roman" w:hAnsi="Times New Roman" w:cs="Times New Roman"/>
        </w:rPr>
        <w:t xml:space="preserve">. </w:t>
      </w:r>
    </w:p>
    <w:p w14:paraId="145F0880" w14:textId="77777777"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1CD5D91D" w14:textId="77777777" w:rsidR="00285C00" w:rsidRPr="00285C00" w:rsidRDefault="00285C00" w:rsidP="004C58B9">
      <w:pPr>
        <w:rPr>
          <w:rFonts w:ascii="Times New Roman" w:hAnsi="Times New Roman" w:cs="Times New Roman"/>
          <w:bCs/>
        </w:rPr>
      </w:pPr>
      <w:r w:rsidRPr="00285C00">
        <w:rPr>
          <w:rFonts w:ascii="Times New Roman" w:hAnsi="Times New Roman" w:cs="Times New Roman"/>
          <w:bCs/>
        </w:rPr>
        <w:t>Th</w:t>
      </w:r>
      <w:r w:rsidR="00A56DAA">
        <w:rPr>
          <w:rFonts w:ascii="Times New Roman" w:hAnsi="Times New Roman" w:cs="Times New Roman"/>
          <w:bCs/>
        </w:rPr>
        <w:t>e</w:t>
      </w:r>
      <w:r w:rsidRPr="00285C00">
        <w:rPr>
          <w:rFonts w:ascii="Times New Roman" w:hAnsi="Times New Roman" w:cs="Times New Roman"/>
          <w:bCs/>
        </w:rPr>
        <w:t xml:space="preserve"> instrument does not incorporate a</w:t>
      </w:r>
      <w:r w:rsidR="00A56DAA">
        <w:rPr>
          <w:rFonts w:ascii="Times New Roman" w:hAnsi="Times New Roman" w:cs="Times New Roman"/>
          <w:bCs/>
        </w:rPr>
        <w:t>ny</w:t>
      </w:r>
      <w:r w:rsidRPr="00285C00">
        <w:rPr>
          <w:rFonts w:ascii="Times New Roman" w:hAnsi="Times New Roman" w:cs="Times New Roman"/>
          <w:bCs/>
        </w:rPr>
        <w:t xml:space="preserve"> document by reference. </w:t>
      </w:r>
    </w:p>
    <w:p w14:paraId="52F6F35E" w14:textId="77777777" w:rsidR="00D56089" w:rsidRDefault="00D56089" w:rsidP="00F243C4">
      <w:pPr>
        <w:keepNext/>
        <w:spacing w:line="257" w:lineRule="auto"/>
        <w:rPr>
          <w:rFonts w:ascii="Times New Roman" w:hAnsi="Times New Roman" w:cs="Times New Roman"/>
          <w:b/>
        </w:rPr>
      </w:pPr>
      <w:r>
        <w:rPr>
          <w:rFonts w:ascii="Times New Roman" w:hAnsi="Times New Roman" w:cs="Times New Roman"/>
          <w:b/>
        </w:rPr>
        <w:t>Consultation</w:t>
      </w:r>
    </w:p>
    <w:p w14:paraId="66E34213" w14:textId="3BC8254E" w:rsidR="00EB5370" w:rsidRDefault="008012B6" w:rsidP="00D56089">
      <w:pPr>
        <w:rPr>
          <w:rFonts w:ascii="Times New Roman" w:hAnsi="Times New Roman" w:cs="Times New Roman"/>
        </w:rPr>
      </w:pPr>
      <w:r>
        <w:rPr>
          <w:rFonts w:ascii="Times New Roman" w:hAnsi="Times New Roman" w:cs="Times New Roman"/>
        </w:rPr>
        <w:t>T</w:t>
      </w:r>
      <w:r w:rsidR="00D56089">
        <w:rPr>
          <w:rFonts w:ascii="Times New Roman" w:hAnsi="Times New Roman" w:cs="Times New Roman"/>
        </w:rPr>
        <w:t>he AC</w:t>
      </w:r>
      <w:r w:rsidR="00695725">
        <w:rPr>
          <w:rFonts w:ascii="Times New Roman" w:hAnsi="Times New Roman" w:cs="Times New Roman"/>
        </w:rPr>
        <w:t>CC</w:t>
      </w:r>
      <w:r w:rsidR="00D56089">
        <w:rPr>
          <w:rFonts w:ascii="Times New Roman" w:hAnsi="Times New Roman" w:cs="Times New Roman"/>
        </w:rPr>
        <w:t xml:space="preserve"> </w:t>
      </w:r>
      <w:r w:rsidR="00695725">
        <w:rPr>
          <w:rFonts w:ascii="Times New Roman" w:hAnsi="Times New Roman" w:cs="Times New Roman"/>
        </w:rPr>
        <w:t>consulted widely on a draft version of the Class Exemption included in an accompanying consultation paper</w:t>
      </w:r>
      <w:r>
        <w:rPr>
          <w:rFonts w:ascii="Times New Roman" w:hAnsi="Times New Roman" w:cs="Times New Roman"/>
        </w:rPr>
        <w:t xml:space="preserve"> before making the Class Exemption</w:t>
      </w:r>
      <w:r w:rsidR="00695725">
        <w:rPr>
          <w:rFonts w:ascii="Times New Roman" w:hAnsi="Times New Roman" w:cs="Times New Roman"/>
        </w:rPr>
        <w:t xml:space="preserve"> </w:t>
      </w:r>
      <w:r>
        <w:rPr>
          <w:rFonts w:ascii="Times New Roman" w:hAnsi="Times New Roman" w:cs="Times New Roman"/>
        </w:rPr>
        <w:t>such that the ACCC was</w:t>
      </w:r>
      <w:r w:rsidR="00D56089">
        <w:rPr>
          <w:rFonts w:ascii="Times New Roman" w:hAnsi="Times New Roman" w:cs="Times New Roman"/>
        </w:rPr>
        <w:t xml:space="preserve"> satisfied that consultation was undertaken to the extent appropriate and reasonably practicable, in accordance with section 17 of the </w:t>
      </w:r>
      <w:r w:rsidR="00EB5370">
        <w:rPr>
          <w:rFonts w:ascii="Times New Roman" w:hAnsi="Times New Roman" w:cs="Times New Roman"/>
          <w:i/>
        </w:rPr>
        <w:t>Legislation Act 2003</w:t>
      </w:r>
      <w:r w:rsidR="00D56089">
        <w:rPr>
          <w:rFonts w:ascii="Times New Roman" w:hAnsi="Times New Roman" w:cs="Times New Roman"/>
        </w:rPr>
        <w:t xml:space="preserve">.  </w:t>
      </w:r>
    </w:p>
    <w:p w14:paraId="376AC671" w14:textId="77777777" w:rsidR="00EB5370" w:rsidRDefault="00EB5370" w:rsidP="00D56089">
      <w:pPr>
        <w:rPr>
          <w:rFonts w:ascii="Times New Roman" w:hAnsi="Times New Roman" w:cs="Times New Roman"/>
        </w:rPr>
      </w:pPr>
      <w:r>
        <w:rPr>
          <w:rFonts w:ascii="Times New Roman" w:hAnsi="Times New Roman" w:cs="Times New Roman"/>
        </w:rPr>
        <w:t>Relevantly, of the six small network operators supplying less than the Class Exemption threshold of 2,000 residential services that provided submissions to the ACCC’s previous consultation, the majority indicated they expected to exceed the specified threshold within a period of five years.</w:t>
      </w:r>
    </w:p>
    <w:p w14:paraId="164BBA57" w14:textId="7FC989EB" w:rsidR="00EB5370" w:rsidRDefault="008012B6" w:rsidP="00D56089">
      <w:pPr>
        <w:rPr>
          <w:rFonts w:ascii="Times New Roman" w:hAnsi="Times New Roman" w:cs="Times New Roman"/>
        </w:rPr>
      </w:pPr>
      <w:r>
        <w:rPr>
          <w:rFonts w:ascii="Times New Roman" w:hAnsi="Times New Roman" w:cs="Times New Roman"/>
        </w:rPr>
        <w:t xml:space="preserve">Having regard to the consultation previously conducted in relation to the Class Exemption, the </w:t>
      </w:r>
      <w:r w:rsidR="00F35A3A">
        <w:rPr>
          <w:rFonts w:ascii="Times New Roman" w:hAnsi="Times New Roman" w:cs="Times New Roman"/>
        </w:rPr>
        <w:t>views of</w:t>
      </w:r>
      <w:r>
        <w:rPr>
          <w:rFonts w:ascii="Times New Roman" w:hAnsi="Times New Roman" w:cs="Times New Roman"/>
        </w:rPr>
        <w:t xml:space="preserve"> the Committee in respect of the</w:t>
      </w:r>
      <w:r w:rsidR="00EB5370">
        <w:rPr>
          <w:rFonts w:ascii="Times New Roman" w:hAnsi="Times New Roman" w:cs="Times New Roman"/>
        </w:rPr>
        <w:t xml:space="preserve"> duration of the</w:t>
      </w:r>
      <w:r>
        <w:rPr>
          <w:rFonts w:ascii="Times New Roman" w:hAnsi="Times New Roman" w:cs="Times New Roman"/>
        </w:rPr>
        <w:t xml:space="preserve"> Class Exemption</w:t>
      </w:r>
      <w:r w:rsidR="00F35A3A">
        <w:rPr>
          <w:rFonts w:ascii="Times New Roman" w:hAnsi="Times New Roman" w:cs="Times New Roman"/>
        </w:rPr>
        <w:t xml:space="preserve"> and </w:t>
      </w:r>
      <w:r>
        <w:rPr>
          <w:rFonts w:ascii="Times New Roman" w:hAnsi="Times New Roman" w:cs="Times New Roman"/>
        </w:rPr>
        <w:t>the nature of the a</w:t>
      </w:r>
      <w:r w:rsidR="00C44C3F">
        <w:rPr>
          <w:rFonts w:ascii="Times New Roman" w:hAnsi="Times New Roman" w:cs="Times New Roman"/>
        </w:rPr>
        <w:t xml:space="preserve">mendment made by the instrument, </w:t>
      </w:r>
      <w:r>
        <w:rPr>
          <w:rFonts w:ascii="Times New Roman" w:hAnsi="Times New Roman" w:cs="Times New Roman"/>
        </w:rPr>
        <w:t>the ACCC d</w:t>
      </w:r>
      <w:r w:rsidR="00F84459">
        <w:rPr>
          <w:rFonts w:ascii="Times New Roman" w:hAnsi="Times New Roman" w:cs="Times New Roman"/>
        </w:rPr>
        <w:t>etermined</w:t>
      </w:r>
      <w:r>
        <w:rPr>
          <w:rFonts w:ascii="Times New Roman" w:hAnsi="Times New Roman" w:cs="Times New Roman"/>
        </w:rPr>
        <w:t xml:space="preserve"> </w:t>
      </w:r>
      <w:r w:rsidR="00F35A3A">
        <w:rPr>
          <w:rFonts w:ascii="Times New Roman" w:hAnsi="Times New Roman" w:cs="Times New Roman"/>
        </w:rPr>
        <w:t xml:space="preserve">there was unlikely to be any benefit from </w:t>
      </w:r>
      <w:r>
        <w:rPr>
          <w:rFonts w:ascii="Times New Roman" w:hAnsi="Times New Roman" w:cs="Times New Roman"/>
        </w:rPr>
        <w:t>conduct</w:t>
      </w:r>
      <w:r w:rsidR="00F35A3A">
        <w:rPr>
          <w:rFonts w:ascii="Times New Roman" w:hAnsi="Times New Roman" w:cs="Times New Roman"/>
        </w:rPr>
        <w:t>ing</w:t>
      </w:r>
      <w:r>
        <w:rPr>
          <w:rFonts w:ascii="Times New Roman" w:hAnsi="Times New Roman" w:cs="Times New Roman"/>
        </w:rPr>
        <w:t xml:space="preserve"> additional public consultation in respect of the instrument before it was made.</w:t>
      </w:r>
      <w:r w:rsidR="00EB5370">
        <w:rPr>
          <w:rFonts w:ascii="Times New Roman" w:hAnsi="Times New Roman" w:cs="Times New Roman"/>
        </w:rPr>
        <w:t xml:space="preserve"> </w:t>
      </w:r>
      <w:r w:rsidR="00FF45CD">
        <w:rPr>
          <w:rFonts w:ascii="Times New Roman" w:hAnsi="Times New Roman" w:cs="Times New Roman"/>
        </w:rPr>
        <w:t xml:space="preserve">However, the ACCC </w:t>
      </w:r>
      <w:r w:rsidR="00272D72">
        <w:rPr>
          <w:rFonts w:ascii="Times New Roman" w:hAnsi="Times New Roman" w:cs="Times New Roman"/>
        </w:rPr>
        <w:t>has advised</w:t>
      </w:r>
      <w:r w:rsidR="00FF45CD">
        <w:rPr>
          <w:rFonts w:ascii="Times New Roman" w:hAnsi="Times New Roman" w:cs="Times New Roman"/>
        </w:rPr>
        <w:t xml:space="preserve"> those persons who have elected to be bound by the class exemption </w:t>
      </w:r>
      <w:r w:rsidR="00524DFA">
        <w:rPr>
          <w:rFonts w:ascii="Times New Roman" w:hAnsi="Times New Roman" w:cs="Times New Roman"/>
        </w:rPr>
        <w:t xml:space="preserve">of the amendment to the Class Exemption specifying that it ceases to operate five years after its commencement. </w:t>
      </w:r>
    </w:p>
    <w:p w14:paraId="7238548C" w14:textId="77777777" w:rsidR="004C58B9" w:rsidRDefault="004C58B9" w:rsidP="00C635AA">
      <w:pPr>
        <w:spacing w:line="257" w:lineRule="auto"/>
        <w:rPr>
          <w:rFonts w:ascii="Times New Roman" w:hAnsi="Times New Roman" w:cs="Times New Roman"/>
          <w:b/>
        </w:rPr>
      </w:pPr>
      <w:r>
        <w:rPr>
          <w:rFonts w:ascii="Times New Roman" w:hAnsi="Times New Roman" w:cs="Times New Roman"/>
          <w:b/>
        </w:rPr>
        <w:t>Regulatory impact assessment</w:t>
      </w:r>
    </w:p>
    <w:p w14:paraId="761080DB" w14:textId="77777777" w:rsidR="00432D1C" w:rsidRDefault="00432D1C" w:rsidP="00432D1C">
      <w:pPr>
        <w:spacing w:line="257" w:lineRule="auto"/>
        <w:rPr>
          <w:rFonts w:ascii="Times New Roman" w:hAnsi="Times New Roman" w:cs="Times New Roman"/>
        </w:rPr>
      </w:pPr>
      <w:r w:rsidRPr="008B0DD6">
        <w:rPr>
          <w:rFonts w:ascii="Times New Roman" w:hAnsi="Times New Roman" w:cs="Times New Roman"/>
        </w:rPr>
        <w:t xml:space="preserve">A preliminary assessment of the proposal to make the </w:t>
      </w:r>
      <w:r w:rsidR="008012B6">
        <w:rPr>
          <w:rFonts w:ascii="Times New Roman" w:hAnsi="Times New Roman" w:cs="Times New Roman"/>
        </w:rPr>
        <w:t>Class Exemption</w:t>
      </w:r>
      <w:r w:rsidRPr="008B0DD6">
        <w:rPr>
          <w:rFonts w:ascii="Times New Roman" w:hAnsi="Times New Roman" w:cs="Times New Roman"/>
        </w:rPr>
        <w:t xml:space="preserve"> was conducted by the Office of Best Practice Regulation (</w:t>
      </w:r>
      <w:r w:rsidRPr="008B0DD6">
        <w:rPr>
          <w:rFonts w:ascii="Times New Roman" w:hAnsi="Times New Roman" w:cs="Times New Roman"/>
          <w:b/>
          <w:bCs/>
        </w:rPr>
        <w:t>OBPR</w:t>
      </w:r>
      <w:r w:rsidRPr="008B0DD6">
        <w:rPr>
          <w:rFonts w:ascii="Times New Roman" w:hAnsi="Times New Roman" w:cs="Times New Roman"/>
        </w:rPr>
        <w:t xml:space="preserve">), </w:t>
      </w:r>
      <w:r w:rsidR="008A358B">
        <w:rPr>
          <w:rFonts w:ascii="Times New Roman" w:hAnsi="Times New Roman" w:cs="Times New Roman"/>
        </w:rPr>
        <w:t>for the purpose</w:t>
      </w:r>
      <w:r w:rsidR="008012B6" w:rsidRPr="008012B6">
        <w:rPr>
          <w:rFonts w:ascii="Times New Roman" w:hAnsi="Times New Roman" w:cs="Times New Roman"/>
        </w:rPr>
        <w:t xml:space="preserve"> of determining whether a Regulation Impact Statement (</w:t>
      </w:r>
      <w:r w:rsidR="008012B6" w:rsidRPr="00C8019B">
        <w:rPr>
          <w:rFonts w:ascii="Times New Roman" w:hAnsi="Times New Roman" w:cs="Times New Roman"/>
          <w:b/>
        </w:rPr>
        <w:t>RIS</w:t>
      </w:r>
      <w:r w:rsidR="008012B6" w:rsidRPr="008012B6">
        <w:rPr>
          <w:rFonts w:ascii="Times New Roman" w:hAnsi="Times New Roman" w:cs="Times New Roman"/>
        </w:rPr>
        <w:t xml:space="preserve">) would be required. OBPR advised that a RIS would not be required as the </w:t>
      </w:r>
      <w:r w:rsidR="008A358B">
        <w:rPr>
          <w:rFonts w:ascii="Times New Roman" w:hAnsi="Times New Roman" w:cs="Times New Roman"/>
        </w:rPr>
        <w:t xml:space="preserve">Class Exemption </w:t>
      </w:r>
      <w:r w:rsidR="008012B6" w:rsidRPr="008012B6">
        <w:rPr>
          <w:rFonts w:ascii="Times New Roman" w:hAnsi="Times New Roman" w:cs="Times New Roman"/>
        </w:rPr>
        <w:t>is machinery in na</w:t>
      </w:r>
      <w:bookmarkStart w:id="0" w:name="_GoBack"/>
      <w:bookmarkEnd w:id="0"/>
      <w:r w:rsidR="008012B6" w:rsidRPr="008012B6">
        <w:rPr>
          <w:rFonts w:ascii="Times New Roman" w:hAnsi="Times New Roman" w:cs="Times New Roman"/>
        </w:rPr>
        <w:t>ture (OBPR ID: 23957).</w:t>
      </w:r>
    </w:p>
    <w:p w14:paraId="722C5774" w14:textId="77777777" w:rsidR="00133B95" w:rsidRDefault="00133B95" w:rsidP="00C635AA">
      <w:pPr>
        <w:spacing w:line="257" w:lineRule="auto"/>
        <w:rPr>
          <w:rFonts w:ascii="Times New Roman" w:hAnsi="Times New Roman" w:cs="Times New Roman"/>
          <w:b/>
        </w:rPr>
      </w:pPr>
      <w:r>
        <w:rPr>
          <w:rFonts w:ascii="Times New Roman" w:hAnsi="Times New Roman" w:cs="Times New Roman"/>
          <w:b/>
        </w:rPr>
        <w:t>Statement of compatibility with human rights</w:t>
      </w:r>
    </w:p>
    <w:p w14:paraId="2A23EDC2" w14:textId="77777777" w:rsidR="00133B95" w:rsidRDefault="00133B95" w:rsidP="00C635AA">
      <w:pPr>
        <w:spacing w:line="257" w:lineRule="auto"/>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w:t>
      </w:r>
      <w:r w:rsidRPr="00407798">
        <w:rPr>
          <w:rFonts w:ascii="Times New Roman" w:hAnsi="Times New Roman" w:cs="Times New Roman"/>
          <w:i/>
        </w:rPr>
        <w:t>L</w:t>
      </w:r>
      <w:r w:rsidR="00407798" w:rsidRPr="00407798">
        <w:rPr>
          <w:rFonts w:ascii="Times New Roman" w:hAnsi="Times New Roman" w:cs="Times New Roman"/>
          <w:i/>
        </w:rPr>
        <w:t xml:space="preserve">egislation </w:t>
      </w:r>
      <w:r w:rsidRPr="00407798">
        <w:rPr>
          <w:rFonts w:ascii="Times New Roman" w:hAnsi="Times New Roman" w:cs="Times New Roman"/>
          <w:i/>
        </w:rPr>
        <w:t>A</w:t>
      </w:r>
      <w:r w:rsidR="00407798" w:rsidRPr="00407798">
        <w:rPr>
          <w:rFonts w:ascii="Times New Roman" w:hAnsi="Times New Roman" w:cs="Times New Roman"/>
          <w:i/>
        </w:rPr>
        <w:t>ct 2003</w:t>
      </w:r>
      <w:r>
        <w:rPr>
          <w:rFonts w:ascii="Times New Roman" w:hAnsi="Times New Roman" w:cs="Times New Roman"/>
        </w:rPr>
        <w:t xml:space="preserve"> </w:t>
      </w:r>
      <w:r>
        <w:rPr>
          <w:rFonts w:ascii="Times New Roman" w:hAnsi="Times New Roman" w:cs="Times New Roman"/>
        </w:rPr>
        <w:lastRenderedPageBreak/>
        <w:t xml:space="preserve">applies to cause a statement of compatibility </w:t>
      </w:r>
      <w:r w:rsidR="001B54AF">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3F65059E" w14:textId="77777777" w:rsidR="00133B95" w:rsidRDefault="00133B95" w:rsidP="00C635AA">
      <w:pPr>
        <w:spacing w:line="257" w:lineRule="auto"/>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21954595" w14:textId="77777777" w:rsidR="00F9516B" w:rsidRDefault="00F9516B" w:rsidP="00C635AA">
      <w:pPr>
        <w:spacing w:line="257" w:lineRule="auto"/>
        <w:rPr>
          <w:rFonts w:ascii="Times New Roman" w:hAnsi="Times New Roman" w:cs="Times New Roman"/>
          <w:b/>
          <w:i/>
        </w:rPr>
      </w:pPr>
      <w:r>
        <w:rPr>
          <w:rFonts w:ascii="Times New Roman" w:hAnsi="Times New Roman" w:cs="Times New Roman"/>
          <w:b/>
          <w:i/>
        </w:rPr>
        <w:t>Overview of the instrument</w:t>
      </w:r>
    </w:p>
    <w:p w14:paraId="769B2E08" w14:textId="77777777" w:rsidR="00A57929" w:rsidRDefault="00A57929" w:rsidP="00F9516B">
      <w:pPr>
        <w:spacing w:line="257" w:lineRule="auto"/>
        <w:rPr>
          <w:rFonts w:ascii="Times New Roman" w:hAnsi="Times New Roman" w:cs="Times New Roman"/>
        </w:rPr>
      </w:pPr>
      <w:r w:rsidRPr="00A57929">
        <w:rPr>
          <w:rFonts w:ascii="Times New Roman" w:hAnsi="Times New Roman" w:cs="Times New Roman"/>
        </w:rPr>
        <w:t xml:space="preserve">Subsections 143A(1) and 143A(2) of the Telecommunications Act provide that the ACCC may, by legislative instrument, make a determination </w:t>
      </w:r>
      <w:r>
        <w:rPr>
          <w:rFonts w:ascii="Times New Roman" w:hAnsi="Times New Roman" w:cs="Times New Roman"/>
        </w:rPr>
        <w:t>exempting a particular class of person from the separation requirements set out in sections 142C or 143</w:t>
      </w:r>
      <w:r w:rsidRPr="00A57929">
        <w:rPr>
          <w:rFonts w:ascii="Times New Roman" w:hAnsi="Times New Roman" w:cs="Times New Roman"/>
        </w:rPr>
        <w:t>. Once made, persons within the class specified in such a determination can then elect to be bound by the class exemption rather than be subject to the separation requirements.</w:t>
      </w:r>
    </w:p>
    <w:p w14:paraId="3A41DEFE" w14:textId="77777777" w:rsidR="00917B7C" w:rsidRPr="00917B7C" w:rsidRDefault="00917B7C" w:rsidP="00F9516B">
      <w:pPr>
        <w:spacing w:line="257" w:lineRule="auto"/>
        <w:rPr>
          <w:rFonts w:ascii="Times New Roman" w:hAnsi="Times New Roman" w:cs="Times New Roman"/>
        </w:rPr>
      </w:pPr>
      <w:r>
        <w:rPr>
          <w:rFonts w:ascii="Times New Roman" w:hAnsi="Times New Roman" w:cs="Times New Roman"/>
        </w:rPr>
        <w:t>In August 2020, pursuant to s</w:t>
      </w:r>
      <w:r w:rsidRPr="000E1852">
        <w:rPr>
          <w:rFonts w:ascii="Times New Roman" w:hAnsi="Times New Roman" w:cs="Times New Roman"/>
        </w:rPr>
        <w:t xml:space="preserve">ubsections 143A(1) and </w:t>
      </w:r>
      <w:r>
        <w:rPr>
          <w:rFonts w:ascii="Times New Roman" w:hAnsi="Times New Roman" w:cs="Times New Roman"/>
        </w:rPr>
        <w:t>143A</w:t>
      </w:r>
      <w:r w:rsidRPr="000E1852">
        <w:rPr>
          <w:rFonts w:ascii="Times New Roman" w:hAnsi="Times New Roman" w:cs="Times New Roman"/>
        </w:rPr>
        <w:t>(2</w:t>
      </w:r>
      <w:r>
        <w:rPr>
          <w:rFonts w:ascii="Times New Roman" w:hAnsi="Times New Roman" w:cs="Times New Roman"/>
        </w:rPr>
        <w:t xml:space="preserve">) of the Telecommunications Act, the ACCC made </w:t>
      </w:r>
      <w:r w:rsidR="00A57929">
        <w:rPr>
          <w:rFonts w:ascii="Times New Roman" w:hAnsi="Times New Roman" w:cs="Times New Roman"/>
        </w:rPr>
        <w:t xml:space="preserve">such a determination - </w:t>
      </w:r>
      <w:r>
        <w:rPr>
          <w:rFonts w:ascii="Times New Roman" w:hAnsi="Times New Roman" w:cs="Times New Roman"/>
        </w:rPr>
        <w:t xml:space="preserve">the </w:t>
      </w:r>
      <w:r w:rsidRPr="000E1852">
        <w:rPr>
          <w:rFonts w:ascii="Times New Roman" w:hAnsi="Times New Roman" w:cs="Times New Roman"/>
          <w:i/>
        </w:rPr>
        <w:t>Telecommunications (Superfast Broadband Network Class Exemption) Determination 2020</w:t>
      </w:r>
      <w:r>
        <w:rPr>
          <w:rFonts w:ascii="Times New Roman" w:hAnsi="Times New Roman" w:cs="Times New Roman"/>
          <w:i/>
        </w:rPr>
        <w:t xml:space="preserve"> </w:t>
      </w:r>
      <w:r>
        <w:rPr>
          <w:rFonts w:ascii="Times New Roman" w:hAnsi="Times New Roman" w:cs="Times New Roman"/>
        </w:rPr>
        <w:t>(</w:t>
      </w:r>
      <w:r w:rsidRPr="00917B7C">
        <w:rPr>
          <w:rFonts w:ascii="Times New Roman" w:hAnsi="Times New Roman" w:cs="Times New Roman"/>
          <w:b/>
        </w:rPr>
        <w:t>the Class Exemption</w:t>
      </w:r>
      <w:r>
        <w:rPr>
          <w:rFonts w:ascii="Times New Roman" w:hAnsi="Times New Roman" w:cs="Times New Roman"/>
        </w:rPr>
        <w:t xml:space="preserve">). </w:t>
      </w:r>
      <w:r w:rsidR="00A57929">
        <w:rPr>
          <w:rFonts w:ascii="Times New Roman" w:hAnsi="Times New Roman" w:cs="Times New Roman"/>
        </w:rPr>
        <w:t xml:space="preserve">As drafted, the Class Exemption </w:t>
      </w:r>
      <w:r w:rsidR="00A57929" w:rsidRPr="00A57929">
        <w:rPr>
          <w:rFonts w:ascii="Times New Roman" w:hAnsi="Times New Roman" w:cs="Times New Roman"/>
        </w:rPr>
        <w:t xml:space="preserve">was to remain in force for at least 10 years (until it sunsets under the </w:t>
      </w:r>
      <w:r w:rsidR="00A57929" w:rsidRPr="00A57929">
        <w:rPr>
          <w:rFonts w:ascii="Times New Roman" w:hAnsi="Times New Roman" w:cs="Times New Roman"/>
          <w:i/>
        </w:rPr>
        <w:t>Legislation Act 2003</w:t>
      </w:r>
      <w:r w:rsidR="00A57929" w:rsidRPr="00A57929">
        <w:rPr>
          <w:rFonts w:ascii="Times New Roman" w:hAnsi="Times New Roman" w:cs="Times New Roman"/>
        </w:rPr>
        <w:t>)</w:t>
      </w:r>
    </w:p>
    <w:p w14:paraId="0C149A4E" w14:textId="77777777" w:rsidR="00A57929" w:rsidRPr="00A57929" w:rsidRDefault="00A57929" w:rsidP="00F9516B">
      <w:pPr>
        <w:spacing w:line="257" w:lineRule="auto"/>
        <w:rPr>
          <w:rFonts w:ascii="Times New Roman" w:hAnsi="Times New Roman" w:cs="Times New Roman"/>
        </w:rPr>
      </w:pPr>
      <w:r>
        <w:rPr>
          <w:rFonts w:ascii="Times New Roman" w:hAnsi="Times New Roman" w:cs="Times New Roman"/>
        </w:rPr>
        <w:t xml:space="preserve">The </w:t>
      </w:r>
      <w:r w:rsidRPr="00A57929">
        <w:rPr>
          <w:rFonts w:ascii="Times New Roman" w:hAnsi="Times New Roman" w:cs="Times New Roman"/>
          <w:i/>
        </w:rPr>
        <w:t>Telecommunications (Superfast Broadband Network Class Exemption) Amendment Determination 2021 (No. 1)</w:t>
      </w:r>
      <w:r>
        <w:rPr>
          <w:rFonts w:ascii="Times New Roman" w:hAnsi="Times New Roman" w:cs="Times New Roman"/>
        </w:rPr>
        <w:t xml:space="preserve"> (</w:t>
      </w:r>
      <w:r w:rsidR="00B17093">
        <w:rPr>
          <w:rFonts w:ascii="Times New Roman" w:hAnsi="Times New Roman" w:cs="Times New Roman"/>
          <w:b/>
        </w:rPr>
        <w:t>the i</w:t>
      </w:r>
      <w:r w:rsidRPr="00A57929">
        <w:rPr>
          <w:rFonts w:ascii="Times New Roman" w:hAnsi="Times New Roman" w:cs="Times New Roman"/>
          <w:b/>
        </w:rPr>
        <w:t>nstrument</w:t>
      </w:r>
      <w:r>
        <w:rPr>
          <w:rFonts w:ascii="Times New Roman" w:hAnsi="Times New Roman" w:cs="Times New Roman"/>
        </w:rPr>
        <w:t>) amends the Class Exemption such that it ceases to operate five years after its commencement.</w:t>
      </w:r>
    </w:p>
    <w:p w14:paraId="0D70689F" w14:textId="77777777" w:rsidR="004C58B9" w:rsidRDefault="004C58B9" w:rsidP="007854EB">
      <w:pPr>
        <w:keepNext/>
        <w:spacing w:line="257" w:lineRule="auto"/>
        <w:rPr>
          <w:rFonts w:ascii="Times New Roman" w:hAnsi="Times New Roman" w:cs="Times New Roman"/>
          <w:b/>
          <w:i/>
        </w:rPr>
      </w:pPr>
      <w:r>
        <w:rPr>
          <w:rFonts w:ascii="Times New Roman" w:hAnsi="Times New Roman" w:cs="Times New Roman"/>
          <w:b/>
          <w:i/>
        </w:rPr>
        <w:t>Human rights implications</w:t>
      </w:r>
    </w:p>
    <w:p w14:paraId="2C6A5DC6" w14:textId="77777777" w:rsidR="004C58B9" w:rsidRDefault="004C58B9" w:rsidP="00C635AA">
      <w:pPr>
        <w:spacing w:line="257" w:lineRule="auto"/>
        <w:rPr>
          <w:rFonts w:ascii="Times New Roman" w:hAnsi="Times New Roman" w:cs="Times New Roman"/>
        </w:rPr>
      </w:pPr>
      <w:r>
        <w:rPr>
          <w:rFonts w:ascii="Times New Roman" w:hAnsi="Times New Roman" w:cs="Times New Roman"/>
        </w:rPr>
        <w:t>The AC</w:t>
      </w:r>
      <w:r w:rsidR="008A358B">
        <w:rPr>
          <w:rFonts w:ascii="Times New Roman" w:hAnsi="Times New Roman" w:cs="Times New Roman"/>
        </w:rPr>
        <w:t>CC</w:t>
      </w:r>
      <w:r>
        <w:rPr>
          <w:rFonts w:ascii="Times New Roman" w:hAnsi="Times New Roman" w:cs="Times New Roman"/>
        </w:rPr>
        <w:t xml:space="preserve">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079C4FBF" w14:textId="77777777" w:rsidR="004C58B9" w:rsidRDefault="004C58B9" w:rsidP="00C635AA">
      <w:pPr>
        <w:spacing w:line="257" w:lineRule="auto"/>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w:t>
      </w:r>
      <w:r w:rsidR="008A358B">
        <w:rPr>
          <w:rFonts w:ascii="Times New Roman" w:hAnsi="Times New Roman" w:cs="Times New Roman"/>
        </w:rPr>
        <w:t>CCC</w:t>
      </w:r>
      <w:r>
        <w:rPr>
          <w:rFonts w:ascii="Times New Roman" w:hAnsi="Times New Roman" w:cs="Times New Roman"/>
        </w:rPr>
        <w:t xml:space="preserve"> has formed the view that the instrument does not engage any of those rights or freedoms.  </w:t>
      </w:r>
    </w:p>
    <w:p w14:paraId="12AC0B8F"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6D443720" w14:textId="77777777"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6D03C015" w14:textId="77777777" w:rsidR="004C58B9" w:rsidRDefault="004C58B9" w:rsidP="004C58B9">
      <w:pPr>
        <w:rPr>
          <w:rFonts w:ascii="Times New Roman" w:hAnsi="Times New Roman" w:cs="Times New Roman"/>
        </w:rPr>
      </w:pPr>
    </w:p>
    <w:p w14:paraId="43ECD067" w14:textId="77777777" w:rsidR="006D3BBF" w:rsidRDefault="006D3BBF" w:rsidP="000406AE">
      <w:pPr>
        <w:rPr>
          <w:rFonts w:ascii="Times New Roman" w:hAnsi="Times New Roman" w:cs="Times New Roman"/>
          <w:b/>
          <w:sz w:val="28"/>
          <w:szCs w:val="28"/>
        </w:rPr>
      </w:pPr>
      <w:r>
        <w:rPr>
          <w:rFonts w:ascii="Times New Roman" w:hAnsi="Times New Roman" w:cs="Times New Roman"/>
          <w:b/>
          <w:sz w:val="28"/>
          <w:szCs w:val="28"/>
        </w:rPr>
        <w:br w:type="page"/>
      </w:r>
    </w:p>
    <w:p w14:paraId="6F03D31C" w14:textId="77777777" w:rsidR="004C58B9" w:rsidRDefault="004C58B9" w:rsidP="007854EB">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00C6D542"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A57929" w:rsidRPr="00A57929">
        <w:rPr>
          <w:rFonts w:ascii="Times New Roman" w:hAnsi="Times New Roman" w:cs="Times New Roman"/>
          <w:b/>
          <w:i/>
          <w:sz w:val="28"/>
          <w:szCs w:val="28"/>
        </w:rPr>
        <w:t>Telecommunications (Superfast Broadband Network Class Exemption) Amendment Determination 2021 (No. 1)</w:t>
      </w:r>
    </w:p>
    <w:p w14:paraId="66EFF0A8"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1DF05944" w14:textId="77777777"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A57929" w:rsidRPr="00A57929">
        <w:rPr>
          <w:rFonts w:ascii="Times New Roman" w:hAnsi="Times New Roman" w:cs="Times New Roman"/>
          <w:i/>
        </w:rPr>
        <w:t>Telecommunications (Superfast Broadband Network Class Exemption) Amendment Determination 2021 (No. 1)</w:t>
      </w:r>
      <w:r w:rsidR="00A57929">
        <w:rPr>
          <w:rFonts w:ascii="Times New Roman" w:hAnsi="Times New Roman" w:cs="Times New Roman"/>
          <w:i/>
        </w:rPr>
        <w:t>.</w:t>
      </w:r>
    </w:p>
    <w:p w14:paraId="289D4ACA"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354AECFE" w14:textId="77777777" w:rsidR="004C58B9" w:rsidRDefault="004C58B9" w:rsidP="004C58B9">
      <w:pPr>
        <w:rPr>
          <w:rFonts w:ascii="Times New Roman" w:hAnsi="Times New Roman" w:cs="Times New Roman"/>
        </w:rPr>
      </w:pPr>
      <w:r>
        <w:rPr>
          <w:rFonts w:ascii="Times New Roman" w:hAnsi="Times New Roman" w:cs="Times New Roman"/>
        </w:rPr>
        <w:t>This section provides for the instrument to commence at the start of the day after the day it is registered on the Federal Register of Legislation.</w:t>
      </w:r>
    </w:p>
    <w:p w14:paraId="16729C4D" w14:textId="77777777" w:rsidR="004C58B9" w:rsidRDefault="004C58B9" w:rsidP="004C58B9">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2" w:history="1">
        <w:r>
          <w:rPr>
            <w:rStyle w:val="Hyperlink"/>
            <w:rFonts w:ascii="Times New Roman" w:hAnsi="Times New Roman" w:cs="Times New Roman"/>
          </w:rPr>
          <w:t>www.legislation.gov.au</w:t>
        </w:r>
      </w:hyperlink>
      <w:r>
        <w:rPr>
          <w:rFonts w:ascii="Times New Roman" w:hAnsi="Times New Roman" w:cs="Times New Roman"/>
        </w:rPr>
        <w:t>.</w:t>
      </w:r>
    </w:p>
    <w:p w14:paraId="45E2E926"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2D1732F8" w14:textId="77777777" w:rsidR="000C07A9" w:rsidRDefault="006D799A" w:rsidP="004C58B9">
      <w:pPr>
        <w:rPr>
          <w:rFonts w:ascii="Times New Roman" w:hAnsi="Times New Roman" w:cs="Times New Roman"/>
        </w:rPr>
      </w:pPr>
      <w:r w:rsidRPr="006D799A">
        <w:rPr>
          <w:rFonts w:ascii="Times New Roman" w:hAnsi="Times New Roman" w:cs="Times New Roman"/>
        </w:rPr>
        <w:t xml:space="preserve">This </w:t>
      </w:r>
      <w:r w:rsidR="00472877">
        <w:rPr>
          <w:rFonts w:ascii="Times New Roman" w:hAnsi="Times New Roman" w:cs="Times New Roman"/>
        </w:rPr>
        <w:t>section identifies the provision</w:t>
      </w:r>
      <w:r w:rsidR="00A57929">
        <w:rPr>
          <w:rFonts w:ascii="Times New Roman" w:hAnsi="Times New Roman" w:cs="Times New Roman"/>
        </w:rPr>
        <w:t>s that authorise</w:t>
      </w:r>
      <w:r w:rsidR="00472877">
        <w:rPr>
          <w:rFonts w:ascii="Times New Roman" w:hAnsi="Times New Roman" w:cs="Times New Roman"/>
        </w:rPr>
        <w:t xml:space="preserve"> the making of the </w:t>
      </w:r>
      <w:r w:rsidRPr="006D799A">
        <w:rPr>
          <w:rFonts w:ascii="Times New Roman" w:hAnsi="Times New Roman" w:cs="Times New Roman"/>
        </w:rPr>
        <w:t>instrument</w:t>
      </w:r>
      <w:r w:rsidR="00472877">
        <w:rPr>
          <w:rFonts w:ascii="Times New Roman" w:hAnsi="Times New Roman" w:cs="Times New Roman"/>
        </w:rPr>
        <w:t xml:space="preserve">, namely </w:t>
      </w:r>
      <w:r w:rsidRPr="006D799A">
        <w:rPr>
          <w:rFonts w:ascii="Times New Roman" w:hAnsi="Times New Roman" w:cs="Times New Roman"/>
        </w:rPr>
        <w:t>subsection</w:t>
      </w:r>
      <w:r w:rsidR="00A57929">
        <w:rPr>
          <w:rFonts w:ascii="Times New Roman" w:hAnsi="Times New Roman" w:cs="Times New Roman"/>
        </w:rPr>
        <w:t>s</w:t>
      </w:r>
      <w:r w:rsidRPr="006D799A">
        <w:rPr>
          <w:rFonts w:ascii="Times New Roman" w:hAnsi="Times New Roman" w:cs="Times New Roman"/>
        </w:rPr>
        <w:t xml:space="preserve"> </w:t>
      </w:r>
      <w:r w:rsidR="00A57929">
        <w:rPr>
          <w:rFonts w:ascii="Times New Roman" w:hAnsi="Times New Roman" w:cs="Times New Roman"/>
        </w:rPr>
        <w:t>143A(1) and 143A(2)</w:t>
      </w:r>
      <w:r w:rsidRPr="006D799A">
        <w:rPr>
          <w:rFonts w:ascii="Times New Roman" w:hAnsi="Times New Roman" w:cs="Times New Roman"/>
        </w:rPr>
        <w:t xml:space="preserve"> of the </w:t>
      </w:r>
      <w:r w:rsidR="00A57929">
        <w:rPr>
          <w:rFonts w:ascii="Times New Roman" w:hAnsi="Times New Roman" w:cs="Times New Roman"/>
          <w:i/>
          <w:iCs/>
        </w:rPr>
        <w:t>Telecommunications Act 1997</w:t>
      </w:r>
      <w:r w:rsidR="006951DD" w:rsidRPr="007854EB">
        <w:rPr>
          <w:rFonts w:ascii="Times New Roman" w:hAnsi="Times New Roman" w:cs="Times New Roman"/>
        </w:rPr>
        <w:t>.</w:t>
      </w:r>
      <w:r w:rsidR="006951DD" w:rsidRPr="00327C21">
        <w:rPr>
          <w:rFonts w:ascii="Times New Roman" w:hAnsi="Times New Roman" w:cs="Times New Roman"/>
        </w:rPr>
        <w:t xml:space="preserve"> </w:t>
      </w:r>
    </w:p>
    <w:p w14:paraId="6E0B179A" w14:textId="77777777" w:rsidR="004C58B9" w:rsidRDefault="004C58B9" w:rsidP="004C58B9">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A42A79">
        <w:rPr>
          <w:rFonts w:ascii="Times New Roman" w:hAnsi="Times New Roman" w:cs="Times New Roman"/>
          <w:b/>
        </w:rPr>
        <w:t>Amendment</w:t>
      </w:r>
    </w:p>
    <w:p w14:paraId="3A956209" w14:textId="77777777" w:rsidR="00D90D91" w:rsidRPr="005F5AA2" w:rsidRDefault="00472877" w:rsidP="00820EC4">
      <w:pPr>
        <w:pStyle w:val="paragraph"/>
        <w:spacing w:before="0" w:beforeAutospacing="0" w:after="0" w:afterAutospacing="0"/>
        <w:textAlignment w:val="baseline"/>
        <w:rPr>
          <w:sz w:val="22"/>
          <w:szCs w:val="22"/>
        </w:rPr>
      </w:pPr>
      <w:r>
        <w:rPr>
          <w:sz w:val="22"/>
          <w:szCs w:val="22"/>
        </w:rPr>
        <w:t>Section 4 provides that the instrument specified in Schedule 1 is</w:t>
      </w:r>
      <w:r w:rsidR="00A57929">
        <w:rPr>
          <w:sz w:val="22"/>
          <w:szCs w:val="22"/>
        </w:rPr>
        <w:t xml:space="preserve"> amended as set out in the item</w:t>
      </w:r>
      <w:r>
        <w:rPr>
          <w:sz w:val="22"/>
          <w:szCs w:val="22"/>
        </w:rPr>
        <w:t xml:space="preserve"> in that Schedule.</w:t>
      </w:r>
    </w:p>
    <w:p w14:paraId="0FDECD1D" w14:textId="77777777" w:rsidR="00415160" w:rsidRDefault="00415160" w:rsidP="00820EC4">
      <w:pPr>
        <w:pStyle w:val="paragraph"/>
        <w:spacing w:before="0" w:beforeAutospacing="0" w:after="0" w:afterAutospacing="0"/>
        <w:textAlignment w:val="baseline"/>
        <w:rPr>
          <w:sz w:val="22"/>
          <w:szCs w:val="22"/>
        </w:rPr>
      </w:pPr>
    </w:p>
    <w:p w14:paraId="716F7CD7" w14:textId="77777777" w:rsidR="00501822" w:rsidRDefault="00501822" w:rsidP="00501822">
      <w:pPr>
        <w:rPr>
          <w:rFonts w:ascii="Times New Roman" w:hAnsi="Times New Roman" w:cs="Times New Roman"/>
          <w:b/>
        </w:rPr>
      </w:pPr>
      <w:r>
        <w:rPr>
          <w:rFonts w:ascii="Times New Roman" w:hAnsi="Times New Roman" w:cs="Times New Roman"/>
          <w:b/>
        </w:rPr>
        <w:t>Schedule 1</w:t>
      </w:r>
      <w:r w:rsidR="00A42A79">
        <w:rPr>
          <w:rFonts w:ascii="Times New Roman" w:hAnsi="Times New Roman" w:cs="Times New Roman"/>
          <w:b/>
        </w:rPr>
        <w:t xml:space="preserve"> – Amendment</w:t>
      </w:r>
    </w:p>
    <w:p w14:paraId="5D1543DB" w14:textId="77777777" w:rsidR="00415160" w:rsidRPr="00A57929" w:rsidRDefault="00564289" w:rsidP="00A57929">
      <w:pPr>
        <w:pStyle w:val="paragraph"/>
        <w:spacing w:before="0" w:beforeAutospacing="0" w:after="0" w:afterAutospacing="0"/>
        <w:textAlignment w:val="baseline"/>
        <w:rPr>
          <w:sz w:val="22"/>
          <w:szCs w:val="22"/>
        </w:rPr>
      </w:pPr>
      <w:r w:rsidRPr="005F5AA2">
        <w:rPr>
          <w:sz w:val="22"/>
          <w:szCs w:val="22"/>
        </w:rPr>
        <w:t xml:space="preserve">Schedule </w:t>
      </w:r>
      <w:r w:rsidR="00472877">
        <w:rPr>
          <w:sz w:val="22"/>
          <w:szCs w:val="22"/>
        </w:rPr>
        <w:t xml:space="preserve">1 </w:t>
      </w:r>
      <w:r w:rsidR="00A57929">
        <w:rPr>
          <w:sz w:val="22"/>
          <w:szCs w:val="22"/>
        </w:rPr>
        <w:t xml:space="preserve">amends the </w:t>
      </w:r>
      <w:r w:rsidR="00A57929" w:rsidRPr="00A57929">
        <w:rPr>
          <w:i/>
          <w:sz w:val="22"/>
          <w:szCs w:val="22"/>
        </w:rPr>
        <w:t>Telecommunications (Superfast Broadband Network Class Exemption) Determination 2020</w:t>
      </w:r>
      <w:r w:rsidR="00A57929">
        <w:rPr>
          <w:sz w:val="22"/>
          <w:szCs w:val="22"/>
        </w:rPr>
        <w:t xml:space="preserve"> </w:t>
      </w:r>
      <w:r w:rsidR="00A42A79">
        <w:rPr>
          <w:sz w:val="22"/>
          <w:szCs w:val="22"/>
        </w:rPr>
        <w:t>such that it expires five years after its commencement.</w:t>
      </w:r>
    </w:p>
    <w:p w14:paraId="13D91D3A" w14:textId="77777777" w:rsidR="00025ACE" w:rsidRPr="004C58B9" w:rsidRDefault="00025ACE" w:rsidP="00327C21"/>
    <w:sectPr w:rsidR="00025ACE" w:rsidRPr="004C58B9" w:rsidSect="00082354">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3F235" w14:textId="77777777" w:rsidR="00BB799A" w:rsidRDefault="00BB799A" w:rsidP="00025ACE">
      <w:pPr>
        <w:spacing w:after="0" w:line="240" w:lineRule="auto"/>
      </w:pPr>
      <w:r>
        <w:separator/>
      </w:r>
    </w:p>
  </w:endnote>
  <w:endnote w:type="continuationSeparator" w:id="0">
    <w:p w14:paraId="663AAB0F" w14:textId="77777777" w:rsidR="00BB799A" w:rsidRDefault="00BB799A" w:rsidP="00025ACE">
      <w:pPr>
        <w:spacing w:after="0" w:line="240" w:lineRule="auto"/>
      </w:pPr>
      <w:r>
        <w:continuationSeparator/>
      </w:r>
    </w:p>
  </w:endnote>
  <w:endnote w:type="continuationNotice" w:id="1">
    <w:p w14:paraId="5A78F3F0" w14:textId="77777777" w:rsidR="00BB799A" w:rsidRDefault="00BB79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710804"/>
      <w:docPartObj>
        <w:docPartGallery w:val="Page Numbers (Bottom of Page)"/>
        <w:docPartUnique/>
      </w:docPartObj>
    </w:sdtPr>
    <w:sdtEndPr>
      <w:rPr>
        <w:i/>
        <w:noProof/>
      </w:rPr>
    </w:sdtEndPr>
    <w:sdtContent>
      <w:p w14:paraId="700447E8" w14:textId="77777777" w:rsidR="00AD3414" w:rsidRDefault="00AD3414" w:rsidP="00AD3414">
        <w:pPr>
          <w:pStyle w:val="Footer"/>
          <w:pBdr>
            <w:top w:val="single" w:sz="4" w:space="1" w:color="auto"/>
          </w:pBdr>
          <w:jc w:val="center"/>
        </w:pPr>
      </w:p>
      <w:p w14:paraId="6F478F42" w14:textId="77777777"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A57929" w:rsidRPr="00A57929">
          <w:rPr>
            <w:rFonts w:ascii="Times New Roman" w:hAnsi="Times New Roman" w:cs="Times New Roman"/>
            <w:i/>
          </w:rPr>
          <w:t>Telecommunications (Superfast Broadband Network Class Exemption) Amendment Determination 2021 (No. 1)</w:t>
        </w:r>
      </w:p>
      <w:p w14:paraId="274FBA1C" w14:textId="77777777" w:rsidR="00AD3414" w:rsidRDefault="00AD3414">
        <w:pPr>
          <w:pStyle w:val="Footer"/>
          <w:jc w:val="right"/>
        </w:pPr>
      </w:p>
      <w:p w14:paraId="38A383A3" w14:textId="6C4447D6"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6D4ACB">
          <w:rPr>
            <w:rFonts w:ascii="Times New Roman" w:hAnsi="Times New Roman" w:cs="Times New Roman"/>
            <w:i/>
            <w:noProof/>
          </w:rPr>
          <w:t>4</w:t>
        </w:r>
        <w:r w:rsidRPr="00A07A2F">
          <w:rPr>
            <w:rFonts w:ascii="Times New Roman" w:hAnsi="Times New Roman" w:cs="Times New Roman"/>
            <w:i/>
            <w:noProof/>
          </w:rPr>
          <w:fldChar w:fldCharType="end"/>
        </w:r>
      </w:p>
    </w:sdtContent>
  </w:sdt>
  <w:p w14:paraId="73FDD848" w14:textId="77777777"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38BE3" w14:textId="77777777" w:rsidR="00BB799A" w:rsidRDefault="00BB799A" w:rsidP="00025ACE">
      <w:pPr>
        <w:spacing w:after="0" w:line="240" w:lineRule="auto"/>
      </w:pPr>
      <w:r>
        <w:separator/>
      </w:r>
    </w:p>
  </w:footnote>
  <w:footnote w:type="continuationSeparator" w:id="0">
    <w:p w14:paraId="7159D907" w14:textId="77777777" w:rsidR="00BB799A" w:rsidRDefault="00BB799A" w:rsidP="00025ACE">
      <w:pPr>
        <w:spacing w:after="0" w:line="240" w:lineRule="auto"/>
      </w:pPr>
      <w:r>
        <w:continuationSeparator/>
      </w:r>
    </w:p>
  </w:footnote>
  <w:footnote w:type="continuationNotice" w:id="1">
    <w:p w14:paraId="411F8A4F" w14:textId="77777777" w:rsidR="00BB799A" w:rsidRDefault="00BB79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61ADF" w14:textId="77777777" w:rsidR="00025ACE" w:rsidRDefault="00025ACE">
    <w:pPr>
      <w:pStyle w:val="Header"/>
    </w:pPr>
  </w:p>
  <w:p w14:paraId="5A01B174"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653B6D"/>
    <w:multiLevelType w:val="hybridMultilevel"/>
    <w:tmpl w:val="E9C85E04"/>
    <w:lvl w:ilvl="0" w:tplc="FDBCA8D8">
      <w:start w:val="2"/>
      <w:numFmt w:val="decimal"/>
      <w:lvlText w:val="%1."/>
      <w:lvlJc w:val="left"/>
      <w:pPr>
        <w:tabs>
          <w:tab w:val="num" w:pos="720"/>
        </w:tabs>
        <w:ind w:left="720" w:hanging="360"/>
      </w:pPr>
    </w:lvl>
    <w:lvl w:ilvl="1" w:tplc="F47A8C50" w:tentative="1">
      <w:start w:val="1"/>
      <w:numFmt w:val="decimal"/>
      <w:lvlText w:val="%2."/>
      <w:lvlJc w:val="left"/>
      <w:pPr>
        <w:tabs>
          <w:tab w:val="num" w:pos="1440"/>
        </w:tabs>
        <w:ind w:left="1440" w:hanging="360"/>
      </w:pPr>
    </w:lvl>
    <w:lvl w:ilvl="2" w:tplc="4EF2293E" w:tentative="1">
      <w:start w:val="1"/>
      <w:numFmt w:val="decimal"/>
      <w:lvlText w:val="%3."/>
      <w:lvlJc w:val="left"/>
      <w:pPr>
        <w:tabs>
          <w:tab w:val="num" w:pos="2160"/>
        </w:tabs>
        <w:ind w:left="2160" w:hanging="360"/>
      </w:pPr>
    </w:lvl>
    <w:lvl w:ilvl="3" w:tplc="921CA3B8" w:tentative="1">
      <w:start w:val="1"/>
      <w:numFmt w:val="decimal"/>
      <w:lvlText w:val="%4."/>
      <w:lvlJc w:val="left"/>
      <w:pPr>
        <w:tabs>
          <w:tab w:val="num" w:pos="2880"/>
        </w:tabs>
        <w:ind w:left="2880" w:hanging="360"/>
      </w:pPr>
    </w:lvl>
    <w:lvl w:ilvl="4" w:tplc="6DE42EE0" w:tentative="1">
      <w:start w:val="1"/>
      <w:numFmt w:val="decimal"/>
      <w:lvlText w:val="%5."/>
      <w:lvlJc w:val="left"/>
      <w:pPr>
        <w:tabs>
          <w:tab w:val="num" w:pos="3600"/>
        </w:tabs>
        <w:ind w:left="3600" w:hanging="360"/>
      </w:pPr>
    </w:lvl>
    <w:lvl w:ilvl="5" w:tplc="C966CDC6" w:tentative="1">
      <w:start w:val="1"/>
      <w:numFmt w:val="decimal"/>
      <w:lvlText w:val="%6."/>
      <w:lvlJc w:val="left"/>
      <w:pPr>
        <w:tabs>
          <w:tab w:val="num" w:pos="4320"/>
        </w:tabs>
        <w:ind w:left="4320" w:hanging="360"/>
      </w:pPr>
    </w:lvl>
    <w:lvl w:ilvl="6" w:tplc="A68A6AA6" w:tentative="1">
      <w:start w:val="1"/>
      <w:numFmt w:val="decimal"/>
      <w:lvlText w:val="%7."/>
      <w:lvlJc w:val="left"/>
      <w:pPr>
        <w:tabs>
          <w:tab w:val="num" w:pos="5040"/>
        </w:tabs>
        <w:ind w:left="5040" w:hanging="360"/>
      </w:pPr>
    </w:lvl>
    <w:lvl w:ilvl="7" w:tplc="C65C2A46" w:tentative="1">
      <w:start w:val="1"/>
      <w:numFmt w:val="decimal"/>
      <w:lvlText w:val="%8."/>
      <w:lvlJc w:val="left"/>
      <w:pPr>
        <w:tabs>
          <w:tab w:val="num" w:pos="5760"/>
        </w:tabs>
        <w:ind w:left="5760" w:hanging="360"/>
      </w:pPr>
    </w:lvl>
    <w:lvl w:ilvl="8" w:tplc="2A9AAEE6" w:tentative="1">
      <w:start w:val="1"/>
      <w:numFmt w:val="decimal"/>
      <w:lvlText w:val="%9."/>
      <w:lvlJc w:val="left"/>
      <w:pPr>
        <w:tabs>
          <w:tab w:val="num" w:pos="6480"/>
        </w:tabs>
        <w:ind w:left="6480" w:hanging="360"/>
      </w:pPr>
    </w:lvl>
  </w:abstractNum>
  <w:abstractNum w:abstractNumId="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B65AFF"/>
    <w:multiLevelType w:val="hybridMultilevel"/>
    <w:tmpl w:val="4AC27FBE"/>
    <w:lvl w:ilvl="0" w:tplc="B10A74A0">
      <w:start w:val="1"/>
      <w:numFmt w:val="decimal"/>
      <w:lvlText w:val="%1."/>
      <w:lvlJc w:val="left"/>
      <w:pPr>
        <w:tabs>
          <w:tab w:val="num" w:pos="720"/>
        </w:tabs>
        <w:ind w:left="720" w:hanging="360"/>
      </w:pPr>
    </w:lvl>
    <w:lvl w:ilvl="1" w:tplc="AF6408BC" w:tentative="1">
      <w:start w:val="1"/>
      <w:numFmt w:val="decimal"/>
      <w:lvlText w:val="%2."/>
      <w:lvlJc w:val="left"/>
      <w:pPr>
        <w:tabs>
          <w:tab w:val="num" w:pos="1440"/>
        </w:tabs>
        <w:ind w:left="1440" w:hanging="360"/>
      </w:pPr>
    </w:lvl>
    <w:lvl w:ilvl="2" w:tplc="6DA4AF08" w:tentative="1">
      <w:start w:val="1"/>
      <w:numFmt w:val="decimal"/>
      <w:lvlText w:val="%3."/>
      <w:lvlJc w:val="left"/>
      <w:pPr>
        <w:tabs>
          <w:tab w:val="num" w:pos="2160"/>
        </w:tabs>
        <w:ind w:left="2160" w:hanging="360"/>
      </w:pPr>
    </w:lvl>
    <w:lvl w:ilvl="3" w:tplc="7CEA9AE4" w:tentative="1">
      <w:start w:val="1"/>
      <w:numFmt w:val="decimal"/>
      <w:lvlText w:val="%4."/>
      <w:lvlJc w:val="left"/>
      <w:pPr>
        <w:tabs>
          <w:tab w:val="num" w:pos="2880"/>
        </w:tabs>
        <w:ind w:left="2880" w:hanging="360"/>
      </w:pPr>
    </w:lvl>
    <w:lvl w:ilvl="4" w:tplc="CBC619D0" w:tentative="1">
      <w:start w:val="1"/>
      <w:numFmt w:val="decimal"/>
      <w:lvlText w:val="%5."/>
      <w:lvlJc w:val="left"/>
      <w:pPr>
        <w:tabs>
          <w:tab w:val="num" w:pos="3600"/>
        </w:tabs>
        <w:ind w:left="3600" w:hanging="360"/>
      </w:pPr>
    </w:lvl>
    <w:lvl w:ilvl="5" w:tplc="9934D524" w:tentative="1">
      <w:start w:val="1"/>
      <w:numFmt w:val="decimal"/>
      <w:lvlText w:val="%6."/>
      <w:lvlJc w:val="left"/>
      <w:pPr>
        <w:tabs>
          <w:tab w:val="num" w:pos="4320"/>
        </w:tabs>
        <w:ind w:left="4320" w:hanging="360"/>
      </w:pPr>
    </w:lvl>
    <w:lvl w:ilvl="6" w:tplc="74626E7A" w:tentative="1">
      <w:start w:val="1"/>
      <w:numFmt w:val="decimal"/>
      <w:lvlText w:val="%7."/>
      <w:lvlJc w:val="left"/>
      <w:pPr>
        <w:tabs>
          <w:tab w:val="num" w:pos="5040"/>
        </w:tabs>
        <w:ind w:left="5040" w:hanging="360"/>
      </w:pPr>
    </w:lvl>
    <w:lvl w:ilvl="7" w:tplc="BBEA70DE" w:tentative="1">
      <w:start w:val="1"/>
      <w:numFmt w:val="decimal"/>
      <w:lvlText w:val="%8."/>
      <w:lvlJc w:val="left"/>
      <w:pPr>
        <w:tabs>
          <w:tab w:val="num" w:pos="5760"/>
        </w:tabs>
        <w:ind w:left="5760" w:hanging="360"/>
      </w:pPr>
    </w:lvl>
    <w:lvl w:ilvl="8" w:tplc="8768458E" w:tentative="1">
      <w:start w:val="1"/>
      <w:numFmt w:val="decimal"/>
      <w:lvlText w:val="%9."/>
      <w:lvlJc w:val="left"/>
      <w:pPr>
        <w:tabs>
          <w:tab w:val="num" w:pos="6480"/>
        </w:tabs>
        <w:ind w:left="6480" w:hanging="360"/>
      </w:pPr>
    </w:lvl>
  </w:abstractNum>
  <w:abstractNum w:abstractNumId="7"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7B583D"/>
    <w:multiLevelType w:val="hybridMultilevel"/>
    <w:tmpl w:val="C4E07B30"/>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2734354"/>
    <w:multiLevelType w:val="hybridMultilevel"/>
    <w:tmpl w:val="7BDA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5"/>
  </w:num>
  <w:num w:numId="5">
    <w:abstractNumId w:val="4"/>
  </w:num>
  <w:num w:numId="6">
    <w:abstractNumId w:val="0"/>
  </w:num>
  <w:num w:numId="7">
    <w:abstractNumId w:val="3"/>
  </w:num>
  <w:num w:numId="8">
    <w:abstractNumId w:val="10"/>
  </w:num>
  <w:num w:numId="9">
    <w:abstractNumId w:val="1"/>
  </w:num>
  <w:num w:numId="10">
    <w:abstractNumId w:val="3"/>
  </w:num>
  <w:num w:numId="11">
    <w:abstractNumId w:val="5"/>
  </w:num>
  <w:num w:numId="12">
    <w:abstractNumId w:val="4"/>
  </w:num>
  <w:num w:numId="13">
    <w:abstractNumId w:val="10"/>
  </w:num>
  <w:num w:numId="14">
    <w:abstractNumId w:val="1"/>
  </w:num>
  <w:num w:numId="15">
    <w:abstractNumId w:val="3"/>
  </w:num>
  <w:num w:numId="16">
    <w:abstractNumId w:val="5"/>
  </w:num>
  <w:num w:numId="17">
    <w:abstractNumId w:val="4"/>
  </w:num>
  <w:num w:numId="18">
    <w:abstractNumId w:val="6"/>
  </w:num>
  <w:num w:numId="19">
    <w:abstractNumId w:val="2"/>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15A2"/>
    <w:rsid w:val="0000199A"/>
    <w:rsid w:val="00002640"/>
    <w:rsid w:val="0000297F"/>
    <w:rsid w:val="00003720"/>
    <w:rsid w:val="000052B3"/>
    <w:rsid w:val="00006EC2"/>
    <w:rsid w:val="000124F9"/>
    <w:rsid w:val="00012D01"/>
    <w:rsid w:val="00013079"/>
    <w:rsid w:val="00016875"/>
    <w:rsid w:val="00017EC0"/>
    <w:rsid w:val="00021B66"/>
    <w:rsid w:val="00023F6A"/>
    <w:rsid w:val="00024D87"/>
    <w:rsid w:val="00025ACE"/>
    <w:rsid w:val="00026AAA"/>
    <w:rsid w:val="00027CE2"/>
    <w:rsid w:val="00030412"/>
    <w:rsid w:val="00030B81"/>
    <w:rsid w:val="00031C5E"/>
    <w:rsid w:val="00031F5D"/>
    <w:rsid w:val="00034A8B"/>
    <w:rsid w:val="00037F0E"/>
    <w:rsid w:val="000400B5"/>
    <w:rsid w:val="00040458"/>
    <w:rsid w:val="000406AE"/>
    <w:rsid w:val="00044D67"/>
    <w:rsid w:val="00045EE6"/>
    <w:rsid w:val="000464F0"/>
    <w:rsid w:val="00052AAD"/>
    <w:rsid w:val="00052C55"/>
    <w:rsid w:val="00053227"/>
    <w:rsid w:val="0006010B"/>
    <w:rsid w:val="00061033"/>
    <w:rsid w:val="0006647B"/>
    <w:rsid w:val="00070D91"/>
    <w:rsid w:val="000726C7"/>
    <w:rsid w:val="00074A8D"/>
    <w:rsid w:val="00076D5C"/>
    <w:rsid w:val="00076F5D"/>
    <w:rsid w:val="0008008C"/>
    <w:rsid w:val="00080B7E"/>
    <w:rsid w:val="00082354"/>
    <w:rsid w:val="00092B2D"/>
    <w:rsid w:val="00094058"/>
    <w:rsid w:val="00095AB3"/>
    <w:rsid w:val="00095F61"/>
    <w:rsid w:val="000963D9"/>
    <w:rsid w:val="00096D82"/>
    <w:rsid w:val="000A0308"/>
    <w:rsid w:val="000A1381"/>
    <w:rsid w:val="000A3A94"/>
    <w:rsid w:val="000A5752"/>
    <w:rsid w:val="000A7B3E"/>
    <w:rsid w:val="000B0665"/>
    <w:rsid w:val="000B0BA7"/>
    <w:rsid w:val="000B33B6"/>
    <w:rsid w:val="000B4B6C"/>
    <w:rsid w:val="000C07A9"/>
    <w:rsid w:val="000C2851"/>
    <w:rsid w:val="000C3EEB"/>
    <w:rsid w:val="000C5F84"/>
    <w:rsid w:val="000C6436"/>
    <w:rsid w:val="000D07E8"/>
    <w:rsid w:val="000D1F3F"/>
    <w:rsid w:val="000D4ECE"/>
    <w:rsid w:val="000E1852"/>
    <w:rsid w:val="000E1955"/>
    <w:rsid w:val="000E38C9"/>
    <w:rsid w:val="000E4570"/>
    <w:rsid w:val="000E6F58"/>
    <w:rsid w:val="000F6255"/>
    <w:rsid w:val="000F6A0B"/>
    <w:rsid w:val="00100BC3"/>
    <w:rsid w:val="0010262C"/>
    <w:rsid w:val="00104130"/>
    <w:rsid w:val="00107B99"/>
    <w:rsid w:val="00107D43"/>
    <w:rsid w:val="00112987"/>
    <w:rsid w:val="00113364"/>
    <w:rsid w:val="00113448"/>
    <w:rsid w:val="001147F7"/>
    <w:rsid w:val="0011569C"/>
    <w:rsid w:val="0011687B"/>
    <w:rsid w:val="00117351"/>
    <w:rsid w:val="00120ADA"/>
    <w:rsid w:val="00121822"/>
    <w:rsid w:val="00121B9E"/>
    <w:rsid w:val="00122072"/>
    <w:rsid w:val="00126A00"/>
    <w:rsid w:val="001276BE"/>
    <w:rsid w:val="001310B0"/>
    <w:rsid w:val="00133B95"/>
    <w:rsid w:val="00134705"/>
    <w:rsid w:val="001431F1"/>
    <w:rsid w:val="00144F08"/>
    <w:rsid w:val="001453AE"/>
    <w:rsid w:val="00146A0C"/>
    <w:rsid w:val="00151AEF"/>
    <w:rsid w:val="00153987"/>
    <w:rsid w:val="001544FD"/>
    <w:rsid w:val="001551E9"/>
    <w:rsid w:val="001618A9"/>
    <w:rsid w:val="00161C73"/>
    <w:rsid w:val="00164B92"/>
    <w:rsid w:val="001658DE"/>
    <w:rsid w:val="00166E8E"/>
    <w:rsid w:val="00170FC0"/>
    <w:rsid w:val="00171591"/>
    <w:rsid w:val="00172951"/>
    <w:rsid w:val="00173C7D"/>
    <w:rsid w:val="00180F45"/>
    <w:rsid w:val="0018276C"/>
    <w:rsid w:val="0018340F"/>
    <w:rsid w:val="00183836"/>
    <w:rsid w:val="00183C2A"/>
    <w:rsid w:val="00185BDC"/>
    <w:rsid w:val="00185F36"/>
    <w:rsid w:val="001875D5"/>
    <w:rsid w:val="001904BC"/>
    <w:rsid w:val="001952E9"/>
    <w:rsid w:val="001963CF"/>
    <w:rsid w:val="001A3CB6"/>
    <w:rsid w:val="001A5EA0"/>
    <w:rsid w:val="001B0061"/>
    <w:rsid w:val="001B026B"/>
    <w:rsid w:val="001B0CAC"/>
    <w:rsid w:val="001B18E4"/>
    <w:rsid w:val="001B2415"/>
    <w:rsid w:val="001B2F91"/>
    <w:rsid w:val="001B54AF"/>
    <w:rsid w:val="001C4BF8"/>
    <w:rsid w:val="001C5421"/>
    <w:rsid w:val="001D47B3"/>
    <w:rsid w:val="001D55BC"/>
    <w:rsid w:val="001D5C25"/>
    <w:rsid w:val="001E1170"/>
    <w:rsid w:val="001E2A15"/>
    <w:rsid w:val="001E343E"/>
    <w:rsid w:val="001E6032"/>
    <w:rsid w:val="001E7681"/>
    <w:rsid w:val="001F1E9C"/>
    <w:rsid w:val="001F42D0"/>
    <w:rsid w:val="002068FB"/>
    <w:rsid w:val="00207780"/>
    <w:rsid w:val="00212847"/>
    <w:rsid w:val="00213A46"/>
    <w:rsid w:val="002142B4"/>
    <w:rsid w:val="002176AA"/>
    <w:rsid w:val="0021793C"/>
    <w:rsid w:val="0022082D"/>
    <w:rsid w:val="00232418"/>
    <w:rsid w:val="00236551"/>
    <w:rsid w:val="002378BD"/>
    <w:rsid w:val="00237CB8"/>
    <w:rsid w:val="0024054A"/>
    <w:rsid w:val="00241D7A"/>
    <w:rsid w:val="0024505A"/>
    <w:rsid w:val="002508F7"/>
    <w:rsid w:val="002556F3"/>
    <w:rsid w:val="002571BD"/>
    <w:rsid w:val="00257B49"/>
    <w:rsid w:val="002600F5"/>
    <w:rsid w:val="00263735"/>
    <w:rsid w:val="00264088"/>
    <w:rsid w:val="002674E7"/>
    <w:rsid w:val="00267874"/>
    <w:rsid w:val="00270D5C"/>
    <w:rsid w:val="00272D72"/>
    <w:rsid w:val="00272D75"/>
    <w:rsid w:val="00274738"/>
    <w:rsid w:val="00285C00"/>
    <w:rsid w:val="00286F0F"/>
    <w:rsid w:val="00287227"/>
    <w:rsid w:val="002A477C"/>
    <w:rsid w:val="002A6D28"/>
    <w:rsid w:val="002B2535"/>
    <w:rsid w:val="002B287C"/>
    <w:rsid w:val="002B5A34"/>
    <w:rsid w:val="002B6260"/>
    <w:rsid w:val="002B6699"/>
    <w:rsid w:val="002C12DF"/>
    <w:rsid w:val="002C2256"/>
    <w:rsid w:val="002C29E4"/>
    <w:rsid w:val="002C365F"/>
    <w:rsid w:val="002C3A4D"/>
    <w:rsid w:val="002C3B57"/>
    <w:rsid w:val="002C5B28"/>
    <w:rsid w:val="002C6276"/>
    <w:rsid w:val="002C701B"/>
    <w:rsid w:val="002D1AE9"/>
    <w:rsid w:val="002D5ADF"/>
    <w:rsid w:val="002E3B2A"/>
    <w:rsid w:val="002F09E3"/>
    <w:rsid w:val="002F36E0"/>
    <w:rsid w:val="002F4836"/>
    <w:rsid w:val="002F4948"/>
    <w:rsid w:val="002F4A7D"/>
    <w:rsid w:val="002F52E5"/>
    <w:rsid w:val="00300741"/>
    <w:rsid w:val="00301D8F"/>
    <w:rsid w:val="00304FD7"/>
    <w:rsid w:val="003057A5"/>
    <w:rsid w:val="00305FA8"/>
    <w:rsid w:val="00306E9D"/>
    <w:rsid w:val="00310B23"/>
    <w:rsid w:val="00311CEE"/>
    <w:rsid w:val="00314358"/>
    <w:rsid w:val="00314951"/>
    <w:rsid w:val="00322629"/>
    <w:rsid w:val="00322757"/>
    <w:rsid w:val="00324ADD"/>
    <w:rsid w:val="00327C21"/>
    <w:rsid w:val="00330DA2"/>
    <w:rsid w:val="00331E4A"/>
    <w:rsid w:val="00331F0B"/>
    <w:rsid w:val="00332BD0"/>
    <w:rsid w:val="00333529"/>
    <w:rsid w:val="00340254"/>
    <w:rsid w:val="0034065B"/>
    <w:rsid w:val="00341367"/>
    <w:rsid w:val="00342101"/>
    <w:rsid w:val="003434D4"/>
    <w:rsid w:val="003449AF"/>
    <w:rsid w:val="00344A0A"/>
    <w:rsid w:val="0034546F"/>
    <w:rsid w:val="00346249"/>
    <w:rsid w:val="00346AC5"/>
    <w:rsid w:val="00351ADF"/>
    <w:rsid w:val="00351CB8"/>
    <w:rsid w:val="00355820"/>
    <w:rsid w:val="00362FC7"/>
    <w:rsid w:val="003647E5"/>
    <w:rsid w:val="0036752E"/>
    <w:rsid w:val="00370620"/>
    <w:rsid w:val="003709B1"/>
    <w:rsid w:val="00373739"/>
    <w:rsid w:val="00375FA7"/>
    <w:rsid w:val="00382484"/>
    <w:rsid w:val="003831E8"/>
    <w:rsid w:val="00383587"/>
    <w:rsid w:val="00385EF1"/>
    <w:rsid w:val="00386D62"/>
    <w:rsid w:val="00392666"/>
    <w:rsid w:val="003971C1"/>
    <w:rsid w:val="003A09AA"/>
    <w:rsid w:val="003A2148"/>
    <w:rsid w:val="003A3635"/>
    <w:rsid w:val="003A477A"/>
    <w:rsid w:val="003A4AC1"/>
    <w:rsid w:val="003A6160"/>
    <w:rsid w:val="003A7407"/>
    <w:rsid w:val="003B3D92"/>
    <w:rsid w:val="003B4780"/>
    <w:rsid w:val="003B4D32"/>
    <w:rsid w:val="003B564B"/>
    <w:rsid w:val="003C2F82"/>
    <w:rsid w:val="003C34E0"/>
    <w:rsid w:val="003C44B4"/>
    <w:rsid w:val="003C4B23"/>
    <w:rsid w:val="003D1A80"/>
    <w:rsid w:val="003D2A58"/>
    <w:rsid w:val="003D3A3E"/>
    <w:rsid w:val="003D74BE"/>
    <w:rsid w:val="003D7D28"/>
    <w:rsid w:val="003E1615"/>
    <w:rsid w:val="003E25B6"/>
    <w:rsid w:val="003E46A4"/>
    <w:rsid w:val="003E47C4"/>
    <w:rsid w:val="003F1493"/>
    <w:rsid w:val="003F38A5"/>
    <w:rsid w:val="003F42AF"/>
    <w:rsid w:val="00403C6E"/>
    <w:rsid w:val="00407798"/>
    <w:rsid w:val="0041003E"/>
    <w:rsid w:val="00413E47"/>
    <w:rsid w:val="00415160"/>
    <w:rsid w:val="00416EF6"/>
    <w:rsid w:val="00420A6B"/>
    <w:rsid w:val="0042419A"/>
    <w:rsid w:val="00425A10"/>
    <w:rsid w:val="0043033E"/>
    <w:rsid w:val="00431012"/>
    <w:rsid w:val="00431721"/>
    <w:rsid w:val="00432D1C"/>
    <w:rsid w:val="00433DDC"/>
    <w:rsid w:val="004362E3"/>
    <w:rsid w:val="0044070E"/>
    <w:rsid w:val="0044363C"/>
    <w:rsid w:val="00443C55"/>
    <w:rsid w:val="00446CB7"/>
    <w:rsid w:val="00447CE3"/>
    <w:rsid w:val="00450F48"/>
    <w:rsid w:val="0045489F"/>
    <w:rsid w:val="00457818"/>
    <w:rsid w:val="00460365"/>
    <w:rsid w:val="00464D60"/>
    <w:rsid w:val="00466697"/>
    <w:rsid w:val="004666AD"/>
    <w:rsid w:val="00471D69"/>
    <w:rsid w:val="00472877"/>
    <w:rsid w:val="00473852"/>
    <w:rsid w:val="00474889"/>
    <w:rsid w:val="004759F3"/>
    <w:rsid w:val="00476305"/>
    <w:rsid w:val="004769B2"/>
    <w:rsid w:val="0048062A"/>
    <w:rsid w:val="004816C4"/>
    <w:rsid w:val="004826DD"/>
    <w:rsid w:val="00483B18"/>
    <w:rsid w:val="0048412E"/>
    <w:rsid w:val="0048511B"/>
    <w:rsid w:val="00486EA3"/>
    <w:rsid w:val="004916EC"/>
    <w:rsid w:val="00492E5C"/>
    <w:rsid w:val="004934E9"/>
    <w:rsid w:val="00495F5F"/>
    <w:rsid w:val="004971D6"/>
    <w:rsid w:val="004A0D91"/>
    <w:rsid w:val="004A0DED"/>
    <w:rsid w:val="004A1064"/>
    <w:rsid w:val="004A36C8"/>
    <w:rsid w:val="004A4366"/>
    <w:rsid w:val="004A582C"/>
    <w:rsid w:val="004B5D85"/>
    <w:rsid w:val="004B63A7"/>
    <w:rsid w:val="004C2D66"/>
    <w:rsid w:val="004C4483"/>
    <w:rsid w:val="004C58B9"/>
    <w:rsid w:val="004D2843"/>
    <w:rsid w:val="004D66E9"/>
    <w:rsid w:val="004E0B28"/>
    <w:rsid w:val="004E0C94"/>
    <w:rsid w:val="004E0D07"/>
    <w:rsid w:val="004E2F66"/>
    <w:rsid w:val="004E790E"/>
    <w:rsid w:val="004F343B"/>
    <w:rsid w:val="00501007"/>
    <w:rsid w:val="00501822"/>
    <w:rsid w:val="00502007"/>
    <w:rsid w:val="0050389F"/>
    <w:rsid w:val="0050737D"/>
    <w:rsid w:val="00512593"/>
    <w:rsid w:val="00513A99"/>
    <w:rsid w:val="00516064"/>
    <w:rsid w:val="00516518"/>
    <w:rsid w:val="005175D6"/>
    <w:rsid w:val="005240CD"/>
    <w:rsid w:val="00524DFA"/>
    <w:rsid w:val="0052687A"/>
    <w:rsid w:val="00535A48"/>
    <w:rsid w:val="005425E5"/>
    <w:rsid w:val="00543387"/>
    <w:rsid w:val="00544D7E"/>
    <w:rsid w:val="00546774"/>
    <w:rsid w:val="005470D1"/>
    <w:rsid w:val="005512E2"/>
    <w:rsid w:val="00552255"/>
    <w:rsid w:val="00552F7D"/>
    <w:rsid w:val="005577DA"/>
    <w:rsid w:val="00561609"/>
    <w:rsid w:val="00564289"/>
    <w:rsid w:val="00565743"/>
    <w:rsid w:val="00570974"/>
    <w:rsid w:val="005710D8"/>
    <w:rsid w:val="00572122"/>
    <w:rsid w:val="00573B38"/>
    <w:rsid w:val="0057458F"/>
    <w:rsid w:val="00575AEE"/>
    <w:rsid w:val="00585D2D"/>
    <w:rsid w:val="00593D70"/>
    <w:rsid w:val="005954A8"/>
    <w:rsid w:val="005957CF"/>
    <w:rsid w:val="005958D6"/>
    <w:rsid w:val="005964CF"/>
    <w:rsid w:val="005A084B"/>
    <w:rsid w:val="005A610A"/>
    <w:rsid w:val="005A68A4"/>
    <w:rsid w:val="005A6925"/>
    <w:rsid w:val="005B695E"/>
    <w:rsid w:val="005C2B5C"/>
    <w:rsid w:val="005C5A9E"/>
    <w:rsid w:val="005C65EB"/>
    <w:rsid w:val="005D2E79"/>
    <w:rsid w:val="005D3956"/>
    <w:rsid w:val="005D7272"/>
    <w:rsid w:val="005D751F"/>
    <w:rsid w:val="005E2803"/>
    <w:rsid w:val="005E724D"/>
    <w:rsid w:val="005E7DF4"/>
    <w:rsid w:val="005F2D07"/>
    <w:rsid w:val="005F3727"/>
    <w:rsid w:val="005F570E"/>
    <w:rsid w:val="005F5AA2"/>
    <w:rsid w:val="005F5BE6"/>
    <w:rsid w:val="005F73B2"/>
    <w:rsid w:val="005F7536"/>
    <w:rsid w:val="00602208"/>
    <w:rsid w:val="00603B3F"/>
    <w:rsid w:val="00603BB2"/>
    <w:rsid w:val="00604576"/>
    <w:rsid w:val="00605B8C"/>
    <w:rsid w:val="0061082E"/>
    <w:rsid w:val="0061186A"/>
    <w:rsid w:val="006120D1"/>
    <w:rsid w:val="00612550"/>
    <w:rsid w:val="00615DC1"/>
    <w:rsid w:val="00620BBC"/>
    <w:rsid w:val="006216B5"/>
    <w:rsid w:val="00621A7E"/>
    <w:rsid w:val="00622DA4"/>
    <w:rsid w:val="00625C06"/>
    <w:rsid w:val="006312B1"/>
    <w:rsid w:val="00631FE9"/>
    <w:rsid w:val="00632D59"/>
    <w:rsid w:val="00632E7C"/>
    <w:rsid w:val="00634B02"/>
    <w:rsid w:val="00637EF4"/>
    <w:rsid w:val="00637F78"/>
    <w:rsid w:val="006406B3"/>
    <w:rsid w:val="00641906"/>
    <w:rsid w:val="00644619"/>
    <w:rsid w:val="00651520"/>
    <w:rsid w:val="00654D81"/>
    <w:rsid w:val="00655DE4"/>
    <w:rsid w:val="00656FC8"/>
    <w:rsid w:val="00660501"/>
    <w:rsid w:val="00663AF2"/>
    <w:rsid w:val="0066753B"/>
    <w:rsid w:val="00670716"/>
    <w:rsid w:val="00671216"/>
    <w:rsid w:val="0068152E"/>
    <w:rsid w:val="00681803"/>
    <w:rsid w:val="00681986"/>
    <w:rsid w:val="00681A34"/>
    <w:rsid w:val="00686F06"/>
    <w:rsid w:val="00687290"/>
    <w:rsid w:val="00687E92"/>
    <w:rsid w:val="00692303"/>
    <w:rsid w:val="006940DB"/>
    <w:rsid w:val="00694DBB"/>
    <w:rsid w:val="006951DD"/>
    <w:rsid w:val="00695725"/>
    <w:rsid w:val="00695B48"/>
    <w:rsid w:val="00695D52"/>
    <w:rsid w:val="00696659"/>
    <w:rsid w:val="006A0953"/>
    <w:rsid w:val="006A0BDF"/>
    <w:rsid w:val="006A1E74"/>
    <w:rsid w:val="006A3F92"/>
    <w:rsid w:val="006A4B4B"/>
    <w:rsid w:val="006A53BB"/>
    <w:rsid w:val="006A6D00"/>
    <w:rsid w:val="006B19BF"/>
    <w:rsid w:val="006B2283"/>
    <w:rsid w:val="006B436A"/>
    <w:rsid w:val="006B57CD"/>
    <w:rsid w:val="006B66DA"/>
    <w:rsid w:val="006C226D"/>
    <w:rsid w:val="006C434F"/>
    <w:rsid w:val="006C4872"/>
    <w:rsid w:val="006C4F60"/>
    <w:rsid w:val="006C59D5"/>
    <w:rsid w:val="006D3BBF"/>
    <w:rsid w:val="006D4ACB"/>
    <w:rsid w:val="006D5038"/>
    <w:rsid w:val="006D799A"/>
    <w:rsid w:val="006E3081"/>
    <w:rsid w:val="006E4463"/>
    <w:rsid w:val="006E5776"/>
    <w:rsid w:val="006F1D10"/>
    <w:rsid w:val="006F2247"/>
    <w:rsid w:val="006F32BF"/>
    <w:rsid w:val="00701B13"/>
    <w:rsid w:val="00701FE0"/>
    <w:rsid w:val="0070587A"/>
    <w:rsid w:val="00706F43"/>
    <w:rsid w:val="00710B0B"/>
    <w:rsid w:val="007256A7"/>
    <w:rsid w:val="00725EA9"/>
    <w:rsid w:val="0072606C"/>
    <w:rsid w:val="0073242B"/>
    <w:rsid w:val="0073258F"/>
    <w:rsid w:val="00732D3D"/>
    <w:rsid w:val="00736B50"/>
    <w:rsid w:val="007370C5"/>
    <w:rsid w:val="007379D9"/>
    <w:rsid w:val="00742A60"/>
    <w:rsid w:val="0074453B"/>
    <w:rsid w:val="007450EE"/>
    <w:rsid w:val="007456D8"/>
    <w:rsid w:val="00745A24"/>
    <w:rsid w:val="0074661C"/>
    <w:rsid w:val="0074730B"/>
    <w:rsid w:val="00747B9B"/>
    <w:rsid w:val="00750397"/>
    <w:rsid w:val="007505A4"/>
    <w:rsid w:val="00753221"/>
    <w:rsid w:val="00754527"/>
    <w:rsid w:val="0075614D"/>
    <w:rsid w:val="00756CF9"/>
    <w:rsid w:val="0076113F"/>
    <w:rsid w:val="00761939"/>
    <w:rsid w:val="0076227C"/>
    <w:rsid w:val="0076268D"/>
    <w:rsid w:val="007645A4"/>
    <w:rsid w:val="00766475"/>
    <w:rsid w:val="00766754"/>
    <w:rsid w:val="00766B35"/>
    <w:rsid w:val="00770DB1"/>
    <w:rsid w:val="0077364D"/>
    <w:rsid w:val="007739D1"/>
    <w:rsid w:val="0077467D"/>
    <w:rsid w:val="00775B49"/>
    <w:rsid w:val="00780089"/>
    <w:rsid w:val="007854EB"/>
    <w:rsid w:val="007856A9"/>
    <w:rsid w:val="0078605A"/>
    <w:rsid w:val="007868E7"/>
    <w:rsid w:val="0078695B"/>
    <w:rsid w:val="00791386"/>
    <w:rsid w:val="00791C9A"/>
    <w:rsid w:val="00791F82"/>
    <w:rsid w:val="007932D9"/>
    <w:rsid w:val="007938CA"/>
    <w:rsid w:val="00794C5F"/>
    <w:rsid w:val="0079502C"/>
    <w:rsid w:val="007A0103"/>
    <w:rsid w:val="007A2277"/>
    <w:rsid w:val="007A2F99"/>
    <w:rsid w:val="007A78E3"/>
    <w:rsid w:val="007B2D5D"/>
    <w:rsid w:val="007B2E77"/>
    <w:rsid w:val="007B30E3"/>
    <w:rsid w:val="007B5620"/>
    <w:rsid w:val="007B71D9"/>
    <w:rsid w:val="007C06DD"/>
    <w:rsid w:val="007C1A93"/>
    <w:rsid w:val="007C3F10"/>
    <w:rsid w:val="007C75CD"/>
    <w:rsid w:val="007C7C1B"/>
    <w:rsid w:val="007D0878"/>
    <w:rsid w:val="007D0D79"/>
    <w:rsid w:val="007D1ECD"/>
    <w:rsid w:val="007D2333"/>
    <w:rsid w:val="007D5CD7"/>
    <w:rsid w:val="007D5E0A"/>
    <w:rsid w:val="007D6921"/>
    <w:rsid w:val="007F23CA"/>
    <w:rsid w:val="007F5B3D"/>
    <w:rsid w:val="008010A9"/>
    <w:rsid w:val="0080121A"/>
    <w:rsid w:val="008012B6"/>
    <w:rsid w:val="00801B78"/>
    <w:rsid w:val="00805358"/>
    <w:rsid w:val="00805975"/>
    <w:rsid w:val="008070A8"/>
    <w:rsid w:val="00810499"/>
    <w:rsid w:val="0081166D"/>
    <w:rsid w:val="0081203C"/>
    <w:rsid w:val="00812152"/>
    <w:rsid w:val="00815386"/>
    <w:rsid w:val="00820DD8"/>
    <w:rsid w:val="00820EC4"/>
    <w:rsid w:val="0082177D"/>
    <w:rsid w:val="00821F3F"/>
    <w:rsid w:val="008227A6"/>
    <w:rsid w:val="0083125B"/>
    <w:rsid w:val="00832A33"/>
    <w:rsid w:val="00840933"/>
    <w:rsid w:val="00841634"/>
    <w:rsid w:val="0084188A"/>
    <w:rsid w:val="00843B03"/>
    <w:rsid w:val="008441CF"/>
    <w:rsid w:val="0084470A"/>
    <w:rsid w:val="00845BF6"/>
    <w:rsid w:val="00851BC0"/>
    <w:rsid w:val="00851E9B"/>
    <w:rsid w:val="00852D57"/>
    <w:rsid w:val="008533A0"/>
    <w:rsid w:val="00856368"/>
    <w:rsid w:val="008612AF"/>
    <w:rsid w:val="008677FA"/>
    <w:rsid w:val="00867FE8"/>
    <w:rsid w:val="00874189"/>
    <w:rsid w:val="00875009"/>
    <w:rsid w:val="0087707C"/>
    <w:rsid w:val="00877102"/>
    <w:rsid w:val="0087757A"/>
    <w:rsid w:val="008828D5"/>
    <w:rsid w:val="00883DD3"/>
    <w:rsid w:val="00884D65"/>
    <w:rsid w:val="0089551B"/>
    <w:rsid w:val="00897FD5"/>
    <w:rsid w:val="008A06CE"/>
    <w:rsid w:val="008A07D8"/>
    <w:rsid w:val="008A1939"/>
    <w:rsid w:val="008A1FDF"/>
    <w:rsid w:val="008A358B"/>
    <w:rsid w:val="008A3EB6"/>
    <w:rsid w:val="008A510D"/>
    <w:rsid w:val="008B0246"/>
    <w:rsid w:val="008B0447"/>
    <w:rsid w:val="008B1968"/>
    <w:rsid w:val="008B5C03"/>
    <w:rsid w:val="008B6F87"/>
    <w:rsid w:val="008C129D"/>
    <w:rsid w:val="008C3EFF"/>
    <w:rsid w:val="008C584E"/>
    <w:rsid w:val="008D1C45"/>
    <w:rsid w:val="008D2F9B"/>
    <w:rsid w:val="008D46AF"/>
    <w:rsid w:val="008D7A63"/>
    <w:rsid w:val="008E32C6"/>
    <w:rsid w:val="008E3483"/>
    <w:rsid w:val="008E4DCB"/>
    <w:rsid w:val="008F2F14"/>
    <w:rsid w:val="008F4622"/>
    <w:rsid w:val="008F4C58"/>
    <w:rsid w:val="00900224"/>
    <w:rsid w:val="00900E91"/>
    <w:rsid w:val="00902789"/>
    <w:rsid w:val="00904701"/>
    <w:rsid w:val="0090572C"/>
    <w:rsid w:val="0091080B"/>
    <w:rsid w:val="00910E09"/>
    <w:rsid w:val="00911095"/>
    <w:rsid w:val="0091395B"/>
    <w:rsid w:val="00914116"/>
    <w:rsid w:val="00914A50"/>
    <w:rsid w:val="00917B7C"/>
    <w:rsid w:val="00920629"/>
    <w:rsid w:val="009215AD"/>
    <w:rsid w:val="00922908"/>
    <w:rsid w:val="0092468E"/>
    <w:rsid w:val="00924BA8"/>
    <w:rsid w:val="00926833"/>
    <w:rsid w:val="0093022E"/>
    <w:rsid w:val="00930233"/>
    <w:rsid w:val="00930CA6"/>
    <w:rsid w:val="00932330"/>
    <w:rsid w:val="0093484D"/>
    <w:rsid w:val="00936D34"/>
    <w:rsid w:val="00936FC8"/>
    <w:rsid w:val="00940D2E"/>
    <w:rsid w:val="009424C9"/>
    <w:rsid w:val="00954310"/>
    <w:rsid w:val="00954932"/>
    <w:rsid w:val="009554F6"/>
    <w:rsid w:val="00956BB9"/>
    <w:rsid w:val="00956D60"/>
    <w:rsid w:val="00962871"/>
    <w:rsid w:val="00962D35"/>
    <w:rsid w:val="00962E12"/>
    <w:rsid w:val="00963A06"/>
    <w:rsid w:val="009670B7"/>
    <w:rsid w:val="009723D1"/>
    <w:rsid w:val="0097255B"/>
    <w:rsid w:val="0097266F"/>
    <w:rsid w:val="009732C1"/>
    <w:rsid w:val="009740A1"/>
    <w:rsid w:val="00977705"/>
    <w:rsid w:val="00977AC5"/>
    <w:rsid w:val="009854AC"/>
    <w:rsid w:val="00985874"/>
    <w:rsid w:val="00986622"/>
    <w:rsid w:val="00986F99"/>
    <w:rsid w:val="0099021B"/>
    <w:rsid w:val="009906C0"/>
    <w:rsid w:val="0099420F"/>
    <w:rsid w:val="00995EE6"/>
    <w:rsid w:val="009A4EF3"/>
    <w:rsid w:val="009A5A0B"/>
    <w:rsid w:val="009A6993"/>
    <w:rsid w:val="009B367A"/>
    <w:rsid w:val="009B3BA8"/>
    <w:rsid w:val="009B580E"/>
    <w:rsid w:val="009B5B58"/>
    <w:rsid w:val="009B6610"/>
    <w:rsid w:val="009D274B"/>
    <w:rsid w:val="009D4F55"/>
    <w:rsid w:val="009D5783"/>
    <w:rsid w:val="009D67A8"/>
    <w:rsid w:val="009D7485"/>
    <w:rsid w:val="009E1B2C"/>
    <w:rsid w:val="009E1C7F"/>
    <w:rsid w:val="009E709F"/>
    <w:rsid w:val="009E78EB"/>
    <w:rsid w:val="009F0EE4"/>
    <w:rsid w:val="009F1EA8"/>
    <w:rsid w:val="009F1F0D"/>
    <w:rsid w:val="009F3395"/>
    <w:rsid w:val="009F3B50"/>
    <w:rsid w:val="009F463E"/>
    <w:rsid w:val="009F4DF6"/>
    <w:rsid w:val="009F7219"/>
    <w:rsid w:val="00A0628C"/>
    <w:rsid w:val="00A07751"/>
    <w:rsid w:val="00A07A2F"/>
    <w:rsid w:val="00A12449"/>
    <w:rsid w:val="00A12A32"/>
    <w:rsid w:val="00A14000"/>
    <w:rsid w:val="00A15385"/>
    <w:rsid w:val="00A178AD"/>
    <w:rsid w:val="00A213A8"/>
    <w:rsid w:val="00A217A1"/>
    <w:rsid w:val="00A21F3E"/>
    <w:rsid w:val="00A232F6"/>
    <w:rsid w:val="00A3044C"/>
    <w:rsid w:val="00A32667"/>
    <w:rsid w:val="00A36096"/>
    <w:rsid w:val="00A3757C"/>
    <w:rsid w:val="00A42A79"/>
    <w:rsid w:val="00A47B2D"/>
    <w:rsid w:val="00A47B67"/>
    <w:rsid w:val="00A51423"/>
    <w:rsid w:val="00A5180A"/>
    <w:rsid w:val="00A527ED"/>
    <w:rsid w:val="00A53709"/>
    <w:rsid w:val="00A56DAA"/>
    <w:rsid w:val="00A57929"/>
    <w:rsid w:val="00A64EC4"/>
    <w:rsid w:val="00A67DC3"/>
    <w:rsid w:val="00A7023B"/>
    <w:rsid w:val="00A70741"/>
    <w:rsid w:val="00A74E1D"/>
    <w:rsid w:val="00A813BE"/>
    <w:rsid w:val="00A81F2D"/>
    <w:rsid w:val="00A85DEB"/>
    <w:rsid w:val="00A9331F"/>
    <w:rsid w:val="00A94A2F"/>
    <w:rsid w:val="00AA2DF2"/>
    <w:rsid w:val="00AA6088"/>
    <w:rsid w:val="00AA6705"/>
    <w:rsid w:val="00AA7D32"/>
    <w:rsid w:val="00AB3E70"/>
    <w:rsid w:val="00AB5D26"/>
    <w:rsid w:val="00AB65E7"/>
    <w:rsid w:val="00AC2050"/>
    <w:rsid w:val="00AC2E07"/>
    <w:rsid w:val="00AC4206"/>
    <w:rsid w:val="00AC4F0B"/>
    <w:rsid w:val="00AC4FC4"/>
    <w:rsid w:val="00AC5C8D"/>
    <w:rsid w:val="00AD3414"/>
    <w:rsid w:val="00AD500F"/>
    <w:rsid w:val="00AD5E63"/>
    <w:rsid w:val="00AE1607"/>
    <w:rsid w:val="00AE2030"/>
    <w:rsid w:val="00AE2CB4"/>
    <w:rsid w:val="00AE3858"/>
    <w:rsid w:val="00AE6898"/>
    <w:rsid w:val="00AE69F6"/>
    <w:rsid w:val="00AE7040"/>
    <w:rsid w:val="00AF04B8"/>
    <w:rsid w:val="00AF080D"/>
    <w:rsid w:val="00AF34C9"/>
    <w:rsid w:val="00AF6545"/>
    <w:rsid w:val="00B00FC3"/>
    <w:rsid w:val="00B018EB"/>
    <w:rsid w:val="00B05B11"/>
    <w:rsid w:val="00B064B4"/>
    <w:rsid w:val="00B07DC3"/>
    <w:rsid w:val="00B17093"/>
    <w:rsid w:val="00B17765"/>
    <w:rsid w:val="00B21480"/>
    <w:rsid w:val="00B22E82"/>
    <w:rsid w:val="00B24502"/>
    <w:rsid w:val="00B27235"/>
    <w:rsid w:val="00B3292D"/>
    <w:rsid w:val="00B36099"/>
    <w:rsid w:val="00B370C6"/>
    <w:rsid w:val="00B3714E"/>
    <w:rsid w:val="00B37CEC"/>
    <w:rsid w:val="00B4001B"/>
    <w:rsid w:val="00B401EA"/>
    <w:rsid w:val="00B41214"/>
    <w:rsid w:val="00B42DB6"/>
    <w:rsid w:val="00B51F17"/>
    <w:rsid w:val="00B52584"/>
    <w:rsid w:val="00B52F5E"/>
    <w:rsid w:val="00B536F7"/>
    <w:rsid w:val="00B559EF"/>
    <w:rsid w:val="00B60FC6"/>
    <w:rsid w:val="00B642FE"/>
    <w:rsid w:val="00B665E6"/>
    <w:rsid w:val="00B727F3"/>
    <w:rsid w:val="00B76116"/>
    <w:rsid w:val="00B814DC"/>
    <w:rsid w:val="00B828E6"/>
    <w:rsid w:val="00B82B10"/>
    <w:rsid w:val="00B853AB"/>
    <w:rsid w:val="00B858F4"/>
    <w:rsid w:val="00B90F17"/>
    <w:rsid w:val="00B94B30"/>
    <w:rsid w:val="00B97075"/>
    <w:rsid w:val="00BA2315"/>
    <w:rsid w:val="00BA3310"/>
    <w:rsid w:val="00BA4109"/>
    <w:rsid w:val="00BA436B"/>
    <w:rsid w:val="00BA4436"/>
    <w:rsid w:val="00BA6777"/>
    <w:rsid w:val="00BA6E14"/>
    <w:rsid w:val="00BA7438"/>
    <w:rsid w:val="00BA7919"/>
    <w:rsid w:val="00BA7D17"/>
    <w:rsid w:val="00BB076E"/>
    <w:rsid w:val="00BB1CF2"/>
    <w:rsid w:val="00BB799A"/>
    <w:rsid w:val="00BB7A25"/>
    <w:rsid w:val="00BC0A3C"/>
    <w:rsid w:val="00BC0F30"/>
    <w:rsid w:val="00BC5916"/>
    <w:rsid w:val="00BC5AD8"/>
    <w:rsid w:val="00BC5B86"/>
    <w:rsid w:val="00BC5B99"/>
    <w:rsid w:val="00BC621F"/>
    <w:rsid w:val="00BC74C4"/>
    <w:rsid w:val="00BD11CF"/>
    <w:rsid w:val="00BD1569"/>
    <w:rsid w:val="00BD4207"/>
    <w:rsid w:val="00BD772A"/>
    <w:rsid w:val="00BE3F67"/>
    <w:rsid w:val="00BE4853"/>
    <w:rsid w:val="00BE51A8"/>
    <w:rsid w:val="00BE70D1"/>
    <w:rsid w:val="00BF4FCA"/>
    <w:rsid w:val="00BF52C7"/>
    <w:rsid w:val="00BF7095"/>
    <w:rsid w:val="00BF7470"/>
    <w:rsid w:val="00C00B3C"/>
    <w:rsid w:val="00C00B9E"/>
    <w:rsid w:val="00C032F0"/>
    <w:rsid w:val="00C03503"/>
    <w:rsid w:val="00C073A7"/>
    <w:rsid w:val="00C10A61"/>
    <w:rsid w:val="00C10E3A"/>
    <w:rsid w:val="00C12113"/>
    <w:rsid w:val="00C13833"/>
    <w:rsid w:val="00C1424B"/>
    <w:rsid w:val="00C14388"/>
    <w:rsid w:val="00C150C1"/>
    <w:rsid w:val="00C20621"/>
    <w:rsid w:val="00C21933"/>
    <w:rsid w:val="00C22DAD"/>
    <w:rsid w:val="00C23C96"/>
    <w:rsid w:val="00C2429C"/>
    <w:rsid w:val="00C34051"/>
    <w:rsid w:val="00C35E62"/>
    <w:rsid w:val="00C35F39"/>
    <w:rsid w:val="00C42F96"/>
    <w:rsid w:val="00C4499A"/>
    <w:rsid w:val="00C44C3F"/>
    <w:rsid w:val="00C517D3"/>
    <w:rsid w:val="00C52681"/>
    <w:rsid w:val="00C52C2A"/>
    <w:rsid w:val="00C5449A"/>
    <w:rsid w:val="00C572F7"/>
    <w:rsid w:val="00C57E29"/>
    <w:rsid w:val="00C60253"/>
    <w:rsid w:val="00C60743"/>
    <w:rsid w:val="00C60D93"/>
    <w:rsid w:val="00C61DCB"/>
    <w:rsid w:val="00C635AA"/>
    <w:rsid w:val="00C63E8C"/>
    <w:rsid w:val="00C645B6"/>
    <w:rsid w:val="00C659A7"/>
    <w:rsid w:val="00C65C2C"/>
    <w:rsid w:val="00C72DC7"/>
    <w:rsid w:val="00C740BE"/>
    <w:rsid w:val="00C74873"/>
    <w:rsid w:val="00C76FFC"/>
    <w:rsid w:val="00C8019B"/>
    <w:rsid w:val="00C83186"/>
    <w:rsid w:val="00C84254"/>
    <w:rsid w:val="00C84467"/>
    <w:rsid w:val="00C874DF"/>
    <w:rsid w:val="00C8791E"/>
    <w:rsid w:val="00C9259F"/>
    <w:rsid w:val="00C92C5E"/>
    <w:rsid w:val="00C92D82"/>
    <w:rsid w:val="00C94E7D"/>
    <w:rsid w:val="00C95F41"/>
    <w:rsid w:val="00C978F7"/>
    <w:rsid w:val="00CA22FA"/>
    <w:rsid w:val="00CA3398"/>
    <w:rsid w:val="00CA40FA"/>
    <w:rsid w:val="00CA6926"/>
    <w:rsid w:val="00CA735C"/>
    <w:rsid w:val="00CB3AD5"/>
    <w:rsid w:val="00CB4CC3"/>
    <w:rsid w:val="00CB76FB"/>
    <w:rsid w:val="00CC1C65"/>
    <w:rsid w:val="00CC6183"/>
    <w:rsid w:val="00CD0D86"/>
    <w:rsid w:val="00CD26CE"/>
    <w:rsid w:val="00CD626D"/>
    <w:rsid w:val="00CD688D"/>
    <w:rsid w:val="00CD71EB"/>
    <w:rsid w:val="00CE11CB"/>
    <w:rsid w:val="00CE392B"/>
    <w:rsid w:val="00CE3CC8"/>
    <w:rsid w:val="00CE5861"/>
    <w:rsid w:val="00CF352C"/>
    <w:rsid w:val="00CF36C8"/>
    <w:rsid w:val="00CF40B2"/>
    <w:rsid w:val="00CF4C0A"/>
    <w:rsid w:val="00CF7E24"/>
    <w:rsid w:val="00D046BD"/>
    <w:rsid w:val="00D057A9"/>
    <w:rsid w:val="00D067D9"/>
    <w:rsid w:val="00D0797D"/>
    <w:rsid w:val="00D10EDB"/>
    <w:rsid w:val="00D13D39"/>
    <w:rsid w:val="00D204EA"/>
    <w:rsid w:val="00D219EC"/>
    <w:rsid w:val="00D2287C"/>
    <w:rsid w:val="00D23BD5"/>
    <w:rsid w:val="00D2518B"/>
    <w:rsid w:val="00D26876"/>
    <w:rsid w:val="00D27A40"/>
    <w:rsid w:val="00D32526"/>
    <w:rsid w:val="00D32E4E"/>
    <w:rsid w:val="00D34702"/>
    <w:rsid w:val="00D35790"/>
    <w:rsid w:val="00D36438"/>
    <w:rsid w:val="00D40B92"/>
    <w:rsid w:val="00D41C0B"/>
    <w:rsid w:val="00D434CD"/>
    <w:rsid w:val="00D45A6D"/>
    <w:rsid w:val="00D46280"/>
    <w:rsid w:val="00D46447"/>
    <w:rsid w:val="00D4670D"/>
    <w:rsid w:val="00D5385A"/>
    <w:rsid w:val="00D56089"/>
    <w:rsid w:val="00D5671E"/>
    <w:rsid w:val="00D57387"/>
    <w:rsid w:val="00D60CA0"/>
    <w:rsid w:val="00D6118E"/>
    <w:rsid w:val="00D6179D"/>
    <w:rsid w:val="00D629CE"/>
    <w:rsid w:val="00D70149"/>
    <w:rsid w:val="00D7022C"/>
    <w:rsid w:val="00D71610"/>
    <w:rsid w:val="00D72C25"/>
    <w:rsid w:val="00D7480F"/>
    <w:rsid w:val="00D8179C"/>
    <w:rsid w:val="00D8215F"/>
    <w:rsid w:val="00D82269"/>
    <w:rsid w:val="00D8445A"/>
    <w:rsid w:val="00D90D91"/>
    <w:rsid w:val="00D91035"/>
    <w:rsid w:val="00DA0D39"/>
    <w:rsid w:val="00DA2087"/>
    <w:rsid w:val="00DA259C"/>
    <w:rsid w:val="00DA6253"/>
    <w:rsid w:val="00DB2572"/>
    <w:rsid w:val="00DB42A2"/>
    <w:rsid w:val="00DB4A50"/>
    <w:rsid w:val="00DB760C"/>
    <w:rsid w:val="00DB7A1B"/>
    <w:rsid w:val="00DC42F0"/>
    <w:rsid w:val="00DC6419"/>
    <w:rsid w:val="00DC6EE3"/>
    <w:rsid w:val="00DD0145"/>
    <w:rsid w:val="00DD0685"/>
    <w:rsid w:val="00DD0A49"/>
    <w:rsid w:val="00DD3BCB"/>
    <w:rsid w:val="00DD3D58"/>
    <w:rsid w:val="00DD5367"/>
    <w:rsid w:val="00DE2854"/>
    <w:rsid w:val="00DE4670"/>
    <w:rsid w:val="00DF2758"/>
    <w:rsid w:val="00DF32AF"/>
    <w:rsid w:val="00DF4C08"/>
    <w:rsid w:val="00E01F51"/>
    <w:rsid w:val="00E024C0"/>
    <w:rsid w:val="00E03104"/>
    <w:rsid w:val="00E03E0A"/>
    <w:rsid w:val="00E0481D"/>
    <w:rsid w:val="00E13FED"/>
    <w:rsid w:val="00E14B48"/>
    <w:rsid w:val="00E20015"/>
    <w:rsid w:val="00E20303"/>
    <w:rsid w:val="00E20B28"/>
    <w:rsid w:val="00E211CD"/>
    <w:rsid w:val="00E22C24"/>
    <w:rsid w:val="00E2622E"/>
    <w:rsid w:val="00E26993"/>
    <w:rsid w:val="00E27BCD"/>
    <w:rsid w:val="00E30E59"/>
    <w:rsid w:val="00E33694"/>
    <w:rsid w:val="00E337E6"/>
    <w:rsid w:val="00E34CD4"/>
    <w:rsid w:val="00E3532C"/>
    <w:rsid w:val="00E36F00"/>
    <w:rsid w:val="00E403FA"/>
    <w:rsid w:val="00E40D8D"/>
    <w:rsid w:val="00E46D37"/>
    <w:rsid w:val="00E47203"/>
    <w:rsid w:val="00E47FDB"/>
    <w:rsid w:val="00E51988"/>
    <w:rsid w:val="00E51FA3"/>
    <w:rsid w:val="00E52C53"/>
    <w:rsid w:val="00E54E8A"/>
    <w:rsid w:val="00E57E08"/>
    <w:rsid w:val="00E623C4"/>
    <w:rsid w:val="00E6364B"/>
    <w:rsid w:val="00E63C2F"/>
    <w:rsid w:val="00E71EF2"/>
    <w:rsid w:val="00E733C4"/>
    <w:rsid w:val="00E73461"/>
    <w:rsid w:val="00E73A9B"/>
    <w:rsid w:val="00E74316"/>
    <w:rsid w:val="00E74BA5"/>
    <w:rsid w:val="00E752D0"/>
    <w:rsid w:val="00E7713D"/>
    <w:rsid w:val="00E80AA0"/>
    <w:rsid w:val="00E82199"/>
    <w:rsid w:val="00E8298C"/>
    <w:rsid w:val="00E833DA"/>
    <w:rsid w:val="00E83D02"/>
    <w:rsid w:val="00E8728F"/>
    <w:rsid w:val="00E87E6B"/>
    <w:rsid w:val="00E9559A"/>
    <w:rsid w:val="00EA624A"/>
    <w:rsid w:val="00EA7828"/>
    <w:rsid w:val="00EB06D2"/>
    <w:rsid w:val="00EB0C79"/>
    <w:rsid w:val="00EB0FBE"/>
    <w:rsid w:val="00EB1088"/>
    <w:rsid w:val="00EB4958"/>
    <w:rsid w:val="00EB4E7A"/>
    <w:rsid w:val="00EB5370"/>
    <w:rsid w:val="00EB5C04"/>
    <w:rsid w:val="00EB6FC9"/>
    <w:rsid w:val="00EC29B7"/>
    <w:rsid w:val="00EC353F"/>
    <w:rsid w:val="00EC54C3"/>
    <w:rsid w:val="00EC76A0"/>
    <w:rsid w:val="00ED0FA7"/>
    <w:rsid w:val="00ED1048"/>
    <w:rsid w:val="00ED3A38"/>
    <w:rsid w:val="00ED7AC5"/>
    <w:rsid w:val="00EE29BE"/>
    <w:rsid w:val="00EE3664"/>
    <w:rsid w:val="00EE5390"/>
    <w:rsid w:val="00EE5C41"/>
    <w:rsid w:val="00EE5E7F"/>
    <w:rsid w:val="00EF3A9E"/>
    <w:rsid w:val="00EF5769"/>
    <w:rsid w:val="00EF58CA"/>
    <w:rsid w:val="00EF7EB4"/>
    <w:rsid w:val="00F06C6A"/>
    <w:rsid w:val="00F1270E"/>
    <w:rsid w:val="00F2025C"/>
    <w:rsid w:val="00F2270A"/>
    <w:rsid w:val="00F243C4"/>
    <w:rsid w:val="00F27EFD"/>
    <w:rsid w:val="00F30613"/>
    <w:rsid w:val="00F32488"/>
    <w:rsid w:val="00F33BD8"/>
    <w:rsid w:val="00F33E44"/>
    <w:rsid w:val="00F35A3A"/>
    <w:rsid w:val="00F36D08"/>
    <w:rsid w:val="00F406BB"/>
    <w:rsid w:val="00F4414D"/>
    <w:rsid w:val="00F4454A"/>
    <w:rsid w:val="00F45B4C"/>
    <w:rsid w:val="00F4723E"/>
    <w:rsid w:val="00F5175C"/>
    <w:rsid w:val="00F51A18"/>
    <w:rsid w:val="00F56A7F"/>
    <w:rsid w:val="00F56B22"/>
    <w:rsid w:val="00F61A6E"/>
    <w:rsid w:val="00F649F5"/>
    <w:rsid w:val="00F6721C"/>
    <w:rsid w:val="00F6725F"/>
    <w:rsid w:val="00F675AA"/>
    <w:rsid w:val="00F72FAB"/>
    <w:rsid w:val="00F736C8"/>
    <w:rsid w:val="00F73B02"/>
    <w:rsid w:val="00F7642C"/>
    <w:rsid w:val="00F76815"/>
    <w:rsid w:val="00F77F04"/>
    <w:rsid w:val="00F80CBF"/>
    <w:rsid w:val="00F84459"/>
    <w:rsid w:val="00F87FAA"/>
    <w:rsid w:val="00F90708"/>
    <w:rsid w:val="00F93710"/>
    <w:rsid w:val="00F94C1D"/>
    <w:rsid w:val="00F9516B"/>
    <w:rsid w:val="00FA06E7"/>
    <w:rsid w:val="00FA2C26"/>
    <w:rsid w:val="00FA2C96"/>
    <w:rsid w:val="00FA6A66"/>
    <w:rsid w:val="00FA6CB5"/>
    <w:rsid w:val="00FB088C"/>
    <w:rsid w:val="00FB2244"/>
    <w:rsid w:val="00FB23FF"/>
    <w:rsid w:val="00FB4437"/>
    <w:rsid w:val="00FB5226"/>
    <w:rsid w:val="00FB6354"/>
    <w:rsid w:val="00FB6702"/>
    <w:rsid w:val="00FC0BF3"/>
    <w:rsid w:val="00FC2CED"/>
    <w:rsid w:val="00FC2F5C"/>
    <w:rsid w:val="00FC4039"/>
    <w:rsid w:val="00FC67DA"/>
    <w:rsid w:val="00FC6D92"/>
    <w:rsid w:val="00FD15C7"/>
    <w:rsid w:val="00FD3989"/>
    <w:rsid w:val="00FD45FF"/>
    <w:rsid w:val="00FD6A58"/>
    <w:rsid w:val="00FD76BD"/>
    <w:rsid w:val="00FE05E8"/>
    <w:rsid w:val="00FE5009"/>
    <w:rsid w:val="00FE523E"/>
    <w:rsid w:val="00FE6F67"/>
    <w:rsid w:val="00FE79F0"/>
    <w:rsid w:val="00FF0687"/>
    <w:rsid w:val="00FF35A1"/>
    <w:rsid w:val="00FF4320"/>
    <w:rsid w:val="00FF45CD"/>
    <w:rsid w:val="00FF6495"/>
    <w:rsid w:val="00FF6D7F"/>
    <w:rsid w:val="1C564D45"/>
    <w:rsid w:val="7ADB17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96BC79"/>
  <w15:chartTrackingRefBased/>
  <w15:docId w15:val="{A6FEF971-F7B9-408A-A88F-985FB05C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inition">
    <w:name w:val="definition"/>
    <w:basedOn w:val="Normal"/>
    <w:rsid w:val="006B19BF"/>
    <w:pPr>
      <w:spacing w:before="100" w:beforeAutospacing="1" w:after="100" w:afterAutospacing="1" w:line="240" w:lineRule="auto"/>
    </w:pPr>
    <w:rPr>
      <w:rFonts w:ascii="Calibri" w:hAnsi="Calibri" w:cs="Calibri"/>
      <w:lang w:eastAsia="en-AU"/>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unhideWhenUsed/>
    <w:rsid w:val="0050737D"/>
    <w:pPr>
      <w:spacing w:after="0" w:line="240" w:lineRule="auto"/>
    </w:pPr>
    <w:rPr>
      <w:sz w:val="20"/>
      <w:szCs w:val="20"/>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rsid w:val="0050737D"/>
    <w:rPr>
      <w:sz w:val="20"/>
      <w:szCs w:val="20"/>
    </w:r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Style 13,FR"/>
    <w:basedOn w:val="DefaultParagraphFont"/>
    <w:uiPriority w:val="99"/>
    <w:unhideWhenUsed/>
    <w:qFormat/>
    <w:rsid w:val="0050737D"/>
    <w:rPr>
      <w:vertAlign w:val="superscript"/>
    </w:rPr>
  </w:style>
  <w:style w:type="paragraph" w:customStyle="1" w:styleId="paragraph">
    <w:name w:val="paragraph"/>
    <w:basedOn w:val="Normal"/>
    <w:rsid w:val="00820EC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0EC4"/>
  </w:style>
  <w:style w:type="character" w:customStyle="1" w:styleId="eop">
    <w:name w:val="eop"/>
    <w:basedOn w:val="DefaultParagraphFont"/>
    <w:rsid w:val="00820EC4"/>
  </w:style>
  <w:style w:type="character" w:styleId="FollowedHyperlink">
    <w:name w:val="FollowedHyperlink"/>
    <w:basedOn w:val="DefaultParagraphFont"/>
    <w:uiPriority w:val="99"/>
    <w:semiHidden/>
    <w:unhideWhenUsed/>
    <w:rsid w:val="005E28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9364">
      <w:bodyDiv w:val="1"/>
      <w:marLeft w:val="0"/>
      <w:marRight w:val="0"/>
      <w:marTop w:val="0"/>
      <w:marBottom w:val="0"/>
      <w:divBdr>
        <w:top w:val="none" w:sz="0" w:space="0" w:color="auto"/>
        <w:left w:val="none" w:sz="0" w:space="0" w:color="auto"/>
        <w:bottom w:val="none" w:sz="0" w:space="0" w:color="auto"/>
        <w:right w:val="none" w:sz="0" w:space="0" w:color="auto"/>
      </w:divBdr>
      <w:divsChild>
        <w:div w:id="193929160">
          <w:marLeft w:val="0"/>
          <w:marRight w:val="0"/>
          <w:marTop w:val="0"/>
          <w:marBottom w:val="0"/>
          <w:divBdr>
            <w:top w:val="none" w:sz="0" w:space="0" w:color="auto"/>
            <w:left w:val="none" w:sz="0" w:space="0" w:color="auto"/>
            <w:bottom w:val="none" w:sz="0" w:space="0" w:color="auto"/>
            <w:right w:val="none" w:sz="0" w:space="0" w:color="auto"/>
          </w:divBdr>
        </w:div>
        <w:div w:id="282884799">
          <w:marLeft w:val="0"/>
          <w:marRight w:val="0"/>
          <w:marTop w:val="0"/>
          <w:marBottom w:val="0"/>
          <w:divBdr>
            <w:top w:val="none" w:sz="0" w:space="0" w:color="auto"/>
            <w:left w:val="none" w:sz="0" w:space="0" w:color="auto"/>
            <w:bottom w:val="none" w:sz="0" w:space="0" w:color="auto"/>
            <w:right w:val="none" w:sz="0" w:space="0" w:color="auto"/>
          </w:divBdr>
        </w:div>
        <w:div w:id="986932828">
          <w:marLeft w:val="0"/>
          <w:marRight w:val="0"/>
          <w:marTop w:val="0"/>
          <w:marBottom w:val="0"/>
          <w:divBdr>
            <w:top w:val="none" w:sz="0" w:space="0" w:color="auto"/>
            <w:left w:val="none" w:sz="0" w:space="0" w:color="auto"/>
            <w:bottom w:val="none" w:sz="0" w:space="0" w:color="auto"/>
            <w:right w:val="none" w:sz="0" w:space="0" w:color="auto"/>
          </w:divBdr>
        </w:div>
        <w:div w:id="1063524649">
          <w:marLeft w:val="0"/>
          <w:marRight w:val="0"/>
          <w:marTop w:val="0"/>
          <w:marBottom w:val="0"/>
          <w:divBdr>
            <w:top w:val="none" w:sz="0" w:space="0" w:color="auto"/>
            <w:left w:val="none" w:sz="0" w:space="0" w:color="auto"/>
            <w:bottom w:val="none" w:sz="0" w:space="0" w:color="auto"/>
            <w:right w:val="none" w:sz="0" w:space="0" w:color="auto"/>
          </w:divBdr>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104035071">
      <w:bodyDiv w:val="1"/>
      <w:marLeft w:val="0"/>
      <w:marRight w:val="0"/>
      <w:marTop w:val="0"/>
      <w:marBottom w:val="0"/>
      <w:divBdr>
        <w:top w:val="none" w:sz="0" w:space="0" w:color="auto"/>
        <w:left w:val="none" w:sz="0" w:space="0" w:color="auto"/>
        <w:bottom w:val="none" w:sz="0" w:space="0" w:color="auto"/>
        <w:right w:val="none" w:sz="0" w:space="0" w:color="auto"/>
      </w:divBdr>
      <w:divsChild>
        <w:div w:id="223877673">
          <w:marLeft w:val="0"/>
          <w:marRight w:val="0"/>
          <w:marTop w:val="0"/>
          <w:marBottom w:val="0"/>
          <w:divBdr>
            <w:top w:val="none" w:sz="0" w:space="0" w:color="auto"/>
            <w:left w:val="none" w:sz="0" w:space="0" w:color="auto"/>
            <w:bottom w:val="none" w:sz="0" w:space="0" w:color="auto"/>
            <w:right w:val="none" w:sz="0" w:space="0" w:color="auto"/>
          </w:divBdr>
        </w:div>
        <w:div w:id="342980686">
          <w:marLeft w:val="0"/>
          <w:marRight w:val="0"/>
          <w:marTop w:val="0"/>
          <w:marBottom w:val="0"/>
          <w:divBdr>
            <w:top w:val="none" w:sz="0" w:space="0" w:color="auto"/>
            <w:left w:val="none" w:sz="0" w:space="0" w:color="auto"/>
            <w:bottom w:val="none" w:sz="0" w:space="0" w:color="auto"/>
            <w:right w:val="none" w:sz="0" w:space="0" w:color="auto"/>
          </w:divBdr>
          <w:divsChild>
            <w:div w:id="250624471">
              <w:marLeft w:val="0"/>
              <w:marRight w:val="0"/>
              <w:marTop w:val="0"/>
              <w:marBottom w:val="0"/>
              <w:divBdr>
                <w:top w:val="none" w:sz="0" w:space="0" w:color="auto"/>
                <w:left w:val="none" w:sz="0" w:space="0" w:color="auto"/>
                <w:bottom w:val="none" w:sz="0" w:space="0" w:color="auto"/>
                <w:right w:val="none" w:sz="0" w:space="0" w:color="auto"/>
              </w:divBdr>
            </w:div>
            <w:div w:id="859775865">
              <w:marLeft w:val="0"/>
              <w:marRight w:val="0"/>
              <w:marTop w:val="0"/>
              <w:marBottom w:val="0"/>
              <w:divBdr>
                <w:top w:val="none" w:sz="0" w:space="0" w:color="auto"/>
                <w:left w:val="none" w:sz="0" w:space="0" w:color="auto"/>
                <w:bottom w:val="none" w:sz="0" w:space="0" w:color="auto"/>
                <w:right w:val="none" w:sz="0" w:space="0" w:color="auto"/>
              </w:divBdr>
            </w:div>
            <w:div w:id="1387680842">
              <w:marLeft w:val="0"/>
              <w:marRight w:val="0"/>
              <w:marTop w:val="0"/>
              <w:marBottom w:val="0"/>
              <w:divBdr>
                <w:top w:val="none" w:sz="0" w:space="0" w:color="auto"/>
                <w:left w:val="none" w:sz="0" w:space="0" w:color="auto"/>
                <w:bottom w:val="none" w:sz="0" w:space="0" w:color="auto"/>
                <w:right w:val="none" w:sz="0" w:space="0" w:color="auto"/>
              </w:divBdr>
            </w:div>
            <w:div w:id="2093425351">
              <w:marLeft w:val="0"/>
              <w:marRight w:val="0"/>
              <w:marTop w:val="0"/>
              <w:marBottom w:val="0"/>
              <w:divBdr>
                <w:top w:val="none" w:sz="0" w:space="0" w:color="auto"/>
                <w:left w:val="none" w:sz="0" w:space="0" w:color="auto"/>
                <w:bottom w:val="none" w:sz="0" w:space="0" w:color="auto"/>
                <w:right w:val="none" w:sz="0" w:space="0" w:color="auto"/>
              </w:divBdr>
            </w:div>
          </w:divsChild>
        </w:div>
        <w:div w:id="415905598">
          <w:marLeft w:val="0"/>
          <w:marRight w:val="0"/>
          <w:marTop w:val="0"/>
          <w:marBottom w:val="0"/>
          <w:divBdr>
            <w:top w:val="none" w:sz="0" w:space="0" w:color="auto"/>
            <w:left w:val="none" w:sz="0" w:space="0" w:color="auto"/>
            <w:bottom w:val="none" w:sz="0" w:space="0" w:color="auto"/>
            <w:right w:val="none" w:sz="0" w:space="0" w:color="auto"/>
          </w:divBdr>
        </w:div>
        <w:div w:id="768935317">
          <w:marLeft w:val="0"/>
          <w:marRight w:val="0"/>
          <w:marTop w:val="0"/>
          <w:marBottom w:val="0"/>
          <w:divBdr>
            <w:top w:val="none" w:sz="0" w:space="0" w:color="auto"/>
            <w:left w:val="none" w:sz="0" w:space="0" w:color="auto"/>
            <w:bottom w:val="none" w:sz="0" w:space="0" w:color="auto"/>
            <w:right w:val="none" w:sz="0" w:space="0" w:color="auto"/>
          </w:divBdr>
        </w:div>
        <w:div w:id="939097565">
          <w:marLeft w:val="0"/>
          <w:marRight w:val="0"/>
          <w:marTop w:val="0"/>
          <w:marBottom w:val="0"/>
          <w:divBdr>
            <w:top w:val="none" w:sz="0" w:space="0" w:color="auto"/>
            <w:left w:val="none" w:sz="0" w:space="0" w:color="auto"/>
            <w:bottom w:val="none" w:sz="0" w:space="0" w:color="auto"/>
            <w:right w:val="none" w:sz="0" w:space="0" w:color="auto"/>
          </w:divBdr>
          <w:divsChild>
            <w:div w:id="206529193">
              <w:marLeft w:val="0"/>
              <w:marRight w:val="0"/>
              <w:marTop w:val="0"/>
              <w:marBottom w:val="0"/>
              <w:divBdr>
                <w:top w:val="none" w:sz="0" w:space="0" w:color="auto"/>
                <w:left w:val="none" w:sz="0" w:space="0" w:color="auto"/>
                <w:bottom w:val="none" w:sz="0" w:space="0" w:color="auto"/>
                <w:right w:val="none" w:sz="0" w:space="0" w:color="auto"/>
              </w:divBdr>
            </w:div>
            <w:div w:id="412775856">
              <w:marLeft w:val="0"/>
              <w:marRight w:val="0"/>
              <w:marTop w:val="0"/>
              <w:marBottom w:val="0"/>
              <w:divBdr>
                <w:top w:val="none" w:sz="0" w:space="0" w:color="auto"/>
                <w:left w:val="none" w:sz="0" w:space="0" w:color="auto"/>
                <w:bottom w:val="none" w:sz="0" w:space="0" w:color="auto"/>
                <w:right w:val="none" w:sz="0" w:space="0" w:color="auto"/>
              </w:divBdr>
            </w:div>
            <w:div w:id="635374319">
              <w:marLeft w:val="0"/>
              <w:marRight w:val="0"/>
              <w:marTop w:val="0"/>
              <w:marBottom w:val="0"/>
              <w:divBdr>
                <w:top w:val="none" w:sz="0" w:space="0" w:color="auto"/>
                <w:left w:val="none" w:sz="0" w:space="0" w:color="auto"/>
                <w:bottom w:val="none" w:sz="0" w:space="0" w:color="auto"/>
                <w:right w:val="none" w:sz="0" w:space="0" w:color="auto"/>
              </w:divBdr>
            </w:div>
            <w:div w:id="662196608">
              <w:marLeft w:val="0"/>
              <w:marRight w:val="0"/>
              <w:marTop w:val="0"/>
              <w:marBottom w:val="0"/>
              <w:divBdr>
                <w:top w:val="none" w:sz="0" w:space="0" w:color="auto"/>
                <w:left w:val="none" w:sz="0" w:space="0" w:color="auto"/>
                <w:bottom w:val="none" w:sz="0" w:space="0" w:color="auto"/>
                <w:right w:val="none" w:sz="0" w:space="0" w:color="auto"/>
              </w:divBdr>
            </w:div>
            <w:div w:id="1788575026">
              <w:marLeft w:val="0"/>
              <w:marRight w:val="0"/>
              <w:marTop w:val="0"/>
              <w:marBottom w:val="0"/>
              <w:divBdr>
                <w:top w:val="none" w:sz="0" w:space="0" w:color="auto"/>
                <w:left w:val="none" w:sz="0" w:space="0" w:color="auto"/>
                <w:bottom w:val="none" w:sz="0" w:space="0" w:color="auto"/>
                <w:right w:val="none" w:sz="0" w:space="0" w:color="auto"/>
              </w:divBdr>
            </w:div>
          </w:divsChild>
        </w:div>
        <w:div w:id="1098212916">
          <w:marLeft w:val="0"/>
          <w:marRight w:val="0"/>
          <w:marTop w:val="0"/>
          <w:marBottom w:val="0"/>
          <w:divBdr>
            <w:top w:val="none" w:sz="0" w:space="0" w:color="auto"/>
            <w:left w:val="none" w:sz="0" w:space="0" w:color="auto"/>
            <w:bottom w:val="none" w:sz="0" w:space="0" w:color="auto"/>
            <w:right w:val="none" w:sz="0" w:space="0" w:color="auto"/>
          </w:divBdr>
        </w:div>
        <w:div w:id="1276326974">
          <w:marLeft w:val="0"/>
          <w:marRight w:val="0"/>
          <w:marTop w:val="0"/>
          <w:marBottom w:val="0"/>
          <w:divBdr>
            <w:top w:val="none" w:sz="0" w:space="0" w:color="auto"/>
            <w:left w:val="none" w:sz="0" w:space="0" w:color="auto"/>
            <w:bottom w:val="none" w:sz="0" w:space="0" w:color="auto"/>
            <w:right w:val="none" w:sz="0" w:space="0" w:color="auto"/>
          </w:divBdr>
        </w:div>
        <w:div w:id="1640915767">
          <w:marLeft w:val="0"/>
          <w:marRight w:val="0"/>
          <w:marTop w:val="0"/>
          <w:marBottom w:val="0"/>
          <w:divBdr>
            <w:top w:val="none" w:sz="0" w:space="0" w:color="auto"/>
            <w:left w:val="none" w:sz="0" w:space="0" w:color="auto"/>
            <w:bottom w:val="none" w:sz="0" w:space="0" w:color="auto"/>
            <w:right w:val="none" w:sz="0" w:space="0" w:color="auto"/>
          </w:divBdr>
        </w:div>
      </w:divsChild>
    </w:div>
    <w:div w:id="1152983017">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68972539">
      <w:bodyDiv w:val="1"/>
      <w:marLeft w:val="0"/>
      <w:marRight w:val="0"/>
      <w:marTop w:val="0"/>
      <w:marBottom w:val="0"/>
      <w:divBdr>
        <w:top w:val="none" w:sz="0" w:space="0" w:color="auto"/>
        <w:left w:val="none" w:sz="0" w:space="0" w:color="auto"/>
        <w:bottom w:val="none" w:sz="0" w:space="0" w:color="auto"/>
        <w:right w:val="none" w:sz="0" w:space="0" w:color="auto"/>
      </w:divBdr>
    </w:div>
    <w:div w:id="1992321142">
      <w:bodyDiv w:val="1"/>
      <w:marLeft w:val="0"/>
      <w:marRight w:val="0"/>
      <w:marTop w:val="0"/>
      <w:marBottom w:val="0"/>
      <w:divBdr>
        <w:top w:val="none" w:sz="0" w:space="0" w:color="auto"/>
        <w:left w:val="none" w:sz="0" w:space="0" w:color="auto"/>
        <w:bottom w:val="none" w:sz="0" w:space="0" w:color="auto"/>
        <w:right w:val="none" w:sz="0" w:space="0" w:color="auto"/>
      </w:divBdr>
    </w:div>
    <w:div w:id="20010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h.gov.au/Parliamentary_Business/Committees/Senate/Scrutiny_of_Delegated_Legisl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55A5086EF26D4CA4BE251424758475" ma:contentTypeVersion="12" ma:contentTypeDescription="Create a new document." ma:contentTypeScope="" ma:versionID="3783a9537d11613c96b654263e9f707a">
  <xsd:schema xmlns:xsd="http://www.w3.org/2001/XMLSchema" xmlns:xs="http://www.w3.org/2001/XMLSchema" xmlns:p="http://schemas.microsoft.com/office/2006/metadata/properties" xmlns:ns3="ffcaacd4-51b0-487d-9500-5676dac395a7" xmlns:ns4="fe763861-97b4-4142-9b42-ef40e7c6d928" targetNamespace="http://schemas.microsoft.com/office/2006/metadata/properties" ma:root="true" ma:fieldsID="2eeec387aa50df3d1e800dec52d4f4ab" ns3:_="" ns4:_="">
    <xsd:import namespace="ffcaacd4-51b0-487d-9500-5676dac395a7"/>
    <xsd:import namespace="fe763861-97b4-4142-9b42-ef40e7c6d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acd4-51b0-487d-9500-5676dac39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63861-97b4-4142-9b42-ef40e7c6d9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D84A20D3-5249-4064-B676-33B74048141D}">
  <ds:schemaRefs>
    <ds:schemaRef ds:uri="http://purl.org/dc/elements/1.1/"/>
    <ds:schemaRef ds:uri="fe763861-97b4-4142-9b42-ef40e7c6d928"/>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ffcaacd4-51b0-487d-9500-5676dac395a7"/>
    <ds:schemaRef ds:uri="http://purl.org/dc/dcmitype/"/>
  </ds:schemaRefs>
</ds:datastoreItem>
</file>

<file path=customXml/itemProps3.xml><?xml version="1.0" encoding="utf-8"?>
<ds:datastoreItem xmlns:ds="http://schemas.openxmlformats.org/officeDocument/2006/customXml" ds:itemID="{3EFA84A5-5D5B-4FFC-9356-09EE9D797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acd4-51b0-487d-9500-5676dac395a7"/>
    <ds:schemaRef ds:uri="fe763861-97b4-4142-9b42-ef40e7c6d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FC568-5447-4AFC-B8B9-7A87D9B0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Seymour, Ed</cp:lastModifiedBy>
  <cp:revision>6</cp:revision>
  <cp:lastPrinted>2016-07-26T10:08:00Z</cp:lastPrinted>
  <dcterms:created xsi:type="dcterms:W3CDTF">2021-01-13T05:41:00Z</dcterms:created>
  <dcterms:modified xsi:type="dcterms:W3CDTF">2021-01-14T02:52:00Z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0x0101008555A5086EF26D4CA4BE251424758475</vt:lpwstr>
  </property>
  <property fmtid="{D5CDD505-2E9C-101B-9397-08002B2CF9AE}" pid="3" name="_dlc_DocIdItemGuid">
    <vt:lpwstr>f16ee754-90b0-4beb-947f-379ec3d94164</vt:lpwstr>
  </property>
</Properties>
</file>