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41D46" w14:textId="77777777" w:rsidR="00311A17" w:rsidRPr="006D3395" w:rsidRDefault="00311A17" w:rsidP="00311A17">
      <w:pPr>
        <w:spacing w:after="0" w:line="240" w:lineRule="auto"/>
        <w:jc w:val="center"/>
        <w:rPr>
          <w:rFonts w:ascii="Times New Roman" w:eastAsia="Times New Roman" w:hAnsi="Times New Roman" w:cs="Times New Roman"/>
          <w:b/>
          <w:sz w:val="24"/>
          <w:szCs w:val="20"/>
          <w:u w:val="single"/>
          <w:lang w:eastAsia="en-AU"/>
        </w:rPr>
      </w:pPr>
      <w:r w:rsidRPr="006D3395">
        <w:rPr>
          <w:rFonts w:ascii="Times New Roman" w:eastAsia="Times New Roman" w:hAnsi="Times New Roman" w:cs="Times New Roman"/>
          <w:b/>
          <w:sz w:val="24"/>
          <w:szCs w:val="20"/>
          <w:u w:val="single"/>
          <w:lang w:eastAsia="en-AU"/>
        </w:rPr>
        <w:t>EXPLANATORY STATEMENT</w:t>
      </w:r>
    </w:p>
    <w:p w14:paraId="5BC3DFAB" w14:textId="77777777" w:rsidR="00311A17" w:rsidRPr="006D3395" w:rsidRDefault="00311A17" w:rsidP="00311A17">
      <w:pPr>
        <w:spacing w:after="0" w:line="240" w:lineRule="auto"/>
        <w:rPr>
          <w:rFonts w:ascii="Times New Roman" w:eastAsia="Times New Roman" w:hAnsi="Times New Roman" w:cs="Times New Roman"/>
          <w:b/>
          <w:sz w:val="24"/>
          <w:szCs w:val="20"/>
          <w:lang w:eastAsia="en-AU"/>
        </w:rPr>
      </w:pPr>
    </w:p>
    <w:p w14:paraId="046889C7" w14:textId="77777777" w:rsidR="00001A52" w:rsidRPr="00501FFD" w:rsidRDefault="00001A52" w:rsidP="00311A17">
      <w:pPr>
        <w:spacing w:after="0" w:line="240" w:lineRule="auto"/>
        <w:jc w:val="center"/>
        <w:rPr>
          <w:rFonts w:ascii="Times New Roman" w:eastAsia="Times New Roman" w:hAnsi="Times New Roman" w:cs="Times New Roman"/>
          <w:i/>
          <w:lang w:eastAsia="en-AU"/>
        </w:rPr>
      </w:pPr>
      <w:r w:rsidRPr="00501FFD">
        <w:rPr>
          <w:rFonts w:ascii="Times New Roman" w:eastAsia="Times New Roman" w:hAnsi="Times New Roman" w:cs="Times New Roman"/>
          <w:i/>
          <w:lang w:eastAsia="en-AU"/>
        </w:rPr>
        <w:t>Therapeutic Goods Act 1989</w:t>
      </w:r>
    </w:p>
    <w:p w14:paraId="397A44ED" w14:textId="77777777" w:rsidR="00001A52" w:rsidRPr="00501FFD" w:rsidRDefault="00001A52" w:rsidP="00311A17">
      <w:pPr>
        <w:spacing w:after="0" w:line="240" w:lineRule="auto"/>
        <w:jc w:val="center"/>
        <w:rPr>
          <w:rFonts w:ascii="Times New Roman" w:eastAsia="Times New Roman" w:hAnsi="Times New Roman" w:cs="Times New Roman"/>
          <w:lang w:eastAsia="en-AU"/>
        </w:rPr>
      </w:pPr>
    </w:p>
    <w:p w14:paraId="22B30354" w14:textId="34E342BC" w:rsidR="00311A17" w:rsidRPr="00501FFD" w:rsidRDefault="00311A17" w:rsidP="00311A17">
      <w:pPr>
        <w:spacing w:after="0" w:line="240" w:lineRule="auto"/>
        <w:jc w:val="center"/>
        <w:rPr>
          <w:rFonts w:ascii="Times New Roman" w:eastAsia="Times New Roman" w:hAnsi="Times New Roman" w:cs="Times New Roman"/>
          <w:i/>
          <w:lang w:eastAsia="en-AU"/>
        </w:rPr>
      </w:pPr>
      <w:r w:rsidRPr="00501FFD">
        <w:rPr>
          <w:rFonts w:ascii="Times New Roman" w:eastAsia="Times New Roman" w:hAnsi="Times New Roman" w:cs="Times New Roman"/>
          <w:i/>
          <w:lang w:eastAsia="en-AU"/>
        </w:rPr>
        <w:t xml:space="preserve">Therapeutic Goods (Permissible Indications) Determination </w:t>
      </w:r>
      <w:r w:rsidR="00EC0AD7"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No.</w:t>
      </w:r>
      <w:r w:rsidR="001D1863" w:rsidRPr="00501FFD">
        <w:rPr>
          <w:rFonts w:ascii="Times New Roman" w:eastAsia="Times New Roman" w:hAnsi="Times New Roman" w:cs="Times New Roman"/>
          <w:i/>
          <w:lang w:eastAsia="en-AU"/>
        </w:rPr>
        <w:t xml:space="preserve"> </w:t>
      </w:r>
      <w:r w:rsidR="00405CEA">
        <w:rPr>
          <w:rFonts w:ascii="Times New Roman" w:eastAsia="Times New Roman" w:hAnsi="Times New Roman" w:cs="Times New Roman"/>
          <w:i/>
          <w:lang w:eastAsia="en-AU"/>
        </w:rPr>
        <w:t>1</w:t>
      </w:r>
      <w:r w:rsidR="00EC0AD7" w:rsidRPr="00501FFD">
        <w:rPr>
          <w:rFonts w:ascii="Times New Roman" w:eastAsia="Times New Roman" w:hAnsi="Times New Roman" w:cs="Times New Roman"/>
          <w:i/>
          <w:lang w:eastAsia="en-AU"/>
        </w:rPr>
        <w:t>)</w:t>
      </w:r>
      <w:r w:rsidR="00643F34" w:rsidRPr="00501FFD">
        <w:rPr>
          <w:rFonts w:ascii="Times New Roman" w:eastAsia="Times New Roman" w:hAnsi="Times New Roman" w:cs="Times New Roman"/>
          <w:i/>
          <w:lang w:eastAsia="en-AU"/>
        </w:rPr>
        <w:t xml:space="preserve"> </w:t>
      </w:r>
      <w:r w:rsidR="00CD1AD1" w:rsidRPr="00501FFD">
        <w:rPr>
          <w:rFonts w:ascii="Times New Roman" w:eastAsia="Times New Roman" w:hAnsi="Times New Roman" w:cs="Times New Roman"/>
          <w:i/>
          <w:lang w:eastAsia="en-AU"/>
        </w:rPr>
        <w:t>20</w:t>
      </w:r>
      <w:r w:rsidR="00405CEA">
        <w:rPr>
          <w:rFonts w:ascii="Times New Roman" w:eastAsia="Times New Roman" w:hAnsi="Times New Roman" w:cs="Times New Roman"/>
          <w:i/>
          <w:lang w:eastAsia="en-AU"/>
        </w:rPr>
        <w:t>2</w:t>
      </w:r>
      <w:r w:rsidR="008C70EA">
        <w:rPr>
          <w:rFonts w:ascii="Times New Roman" w:eastAsia="Times New Roman" w:hAnsi="Times New Roman" w:cs="Times New Roman"/>
          <w:i/>
          <w:lang w:eastAsia="en-AU"/>
        </w:rPr>
        <w:t>1</w:t>
      </w:r>
    </w:p>
    <w:p w14:paraId="48936F14" w14:textId="77777777" w:rsidR="00311A17" w:rsidRPr="00501FFD" w:rsidRDefault="00311A17" w:rsidP="00311A17">
      <w:pPr>
        <w:spacing w:after="0" w:line="240" w:lineRule="auto"/>
        <w:jc w:val="center"/>
        <w:rPr>
          <w:rFonts w:ascii="Times New Roman" w:eastAsia="Times New Roman" w:hAnsi="Times New Roman" w:cs="Times New Roman"/>
          <w:lang w:eastAsia="en-AU"/>
        </w:rPr>
      </w:pPr>
    </w:p>
    <w:p w14:paraId="2A3976AF" w14:textId="47D59D2C" w:rsidR="00366461" w:rsidRPr="00501FFD" w:rsidRDefault="008B4794" w:rsidP="00501FFD">
      <w:pPr>
        <w:autoSpaceDE w:val="0"/>
        <w:autoSpaceDN w:val="0"/>
        <w:adjustRightInd w:val="0"/>
        <w:spacing w:after="0" w:line="240" w:lineRule="auto"/>
        <w:rPr>
          <w:rFonts w:ascii="Times New Roman" w:hAnsi="Times New Roman" w:cs="Times New Roman"/>
        </w:rPr>
      </w:pPr>
      <w:r w:rsidRPr="00501FFD">
        <w:rPr>
          <w:rFonts w:ascii="Times New Roman" w:hAnsi="Times New Roman" w:cs="Times New Roman"/>
        </w:rPr>
        <w:t xml:space="preserve">The </w:t>
      </w:r>
      <w:r w:rsidRPr="00501FFD">
        <w:rPr>
          <w:rFonts w:ascii="Times New Roman" w:hAnsi="Times New Roman" w:cs="Times New Roman"/>
          <w:i/>
        </w:rPr>
        <w:t>Therapeutic Goods Act 1989</w:t>
      </w:r>
      <w:r w:rsidRPr="00501FFD">
        <w:rPr>
          <w:rFonts w:ascii="Times New Roman" w:hAnsi="Times New Roman" w:cs="Times New Roman"/>
        </w:rPr>
        <w:t xml:space="preserve"> (</w:t>
      </w:r>
      <w:r w:rsidR="001D1863" w:rsidRPr="00501FFD">
        <w:rPr>
          <w:rFonts w:ascii="Times New Roman" w:hAnsi="Times New Roman" w:cs="Times New Roman"/>
        </w:rPr>
        <w:t>“</w:t>
      </w:r>
      <w:r w:rsidRPr="00501FFD">
        <w:rPr>
          <w:rFonts w:ascii="Times New Roman" w:hAnsi="Times New Roman" w:cs="Times New Roman"/>
        </w:rPr>
        <w:t>the Act</w:t>
      </w:r>
      <w:r w:rsidR="001D1863" w:rsidRPr="00501FFD">
        <w:rPr>
          <w:rFonts w:ascii="Times New Roman" w:hAnsi="Times New Roman" w:cs="Times New Roman"/>
        </w:rPr>
        <w:t>”</w:t>
      </w:r>
      <w:r w:rsidRPr="00501FFD">
        <w:rPr>
          <w:rFonts w:ascii="Times New Roman" w:hAnsi="Times New Roman" w:cs="Times New Roman"/>
        </w:rPr>
        <w:t xml:space="preserve">) provides for the establishment and maintenance of a national system of controls for the quality, safety, efficacy and timely availability of therapeutic goods that are used in, or exported from, Australia. </w:t>
      </w:r>
      <w:r w:rsidRPr="00501FFD">
        <w:rPr>
          <w:rFonts w:ascii="Times New Roman" w:eastAsia="Times New Roman" w:hAnsi="Times New Roman" w:cs="Times New Roman"/>
          <w:lang w:eastAsia="en-AU"/>
        </w:rPr>
        <w:t xml:space="preserve">The </w:t>
      </w:r>
      <w:r w:rsidR="001D1863" w:rsidRPr="00501FFD">
        <w:rPr>
          <w:rFonts w:ascii="Times New Roman" w:eastAsia="Times New Roman" w:hAnsi="Times New Roman" w:cs="Times New Roman"/>
          <w:lang w:eastAsia="en-AU"/>
        </w:rPr>
        <w:t xml:space="preserve">Act is administered by the </w:t>
      </w:r>
      <w:r w:rsidRPr="00501FFD">
        <w:rPr>
          <w:rFonts w:ascii="Times New Roman" w:eastAsia="Times New Roman" w:hAnsi="Times New Roman" w:cs="Times New Roman"/>
          <w:lang w:eastAsia="en-AU"/>
        </w:rPr>
        <w:t>Therapeutic Goods Administration (</w:t>
      </w:r>
      <w:r w:rsidR="001D1863"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the TGA</w:t>
      </w:r>
      <w:r w:rsidR="001D1863"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w:t>
      </w:r>
      <w:r w:rsidR="00EC0AD7" w:rsidRPr="00501FFD">
        <w:rPr>
          <w:rFonts w:ascii="Times New Roman" w:eastAsia="Times New Roman" w:hAnsi="Times New Roman" w:cs="Times New Roman"/>
          <w:lang w:eastAsia="en-AU"/>
        </w:rPr>
        <w:t xml:space="preserve"> </w:t>
      </w:r>
      <w:r w:rsidR="001D1863" w:rsidRPr="00501FFD">
        <w:rPr>
          <w:rFonts w:ascii="Times New Roman" w:eastAsia="Times New Roman" w:hAnsi="Times New Roman" w:cs="Times New Roman"/>
          <w:lang w:eastAsia="en-AU"/>
        </w:rPr>
        <w:t>within</w:t>
      </w:r>
      <w:r w:rsidRPr="00501FFD">
        <w:rPr>
          <w:rFonts w:ascii="Times New Roman" w:eastAsia="Times New Roman" w:hAnsi="Times New Roman" w:cs="Times New Roman"/>
          <w:lang w:eastAsia="en-AU"/>
        </w:rPr>
        <w:t xml:space="preserve"> the </w:t>
      </w:r>
      <w:r w:rsidR="001D1863" w:rsidRPr="00501FFD">
        <w:rPr>
          <w:rFonts w:ascii="Times New Roman" w:eastAsia="Times New Roman" w:hAnsi="Times New Roman" w:cs="Times New Roman"/>
          <w:lang w:eastAsia="en-AU"/>
        </w:rPr>
        <w:t xml:space="preserve">Australian Government </w:t>
      </w:r>
      <w:r w:rsidRPr="00501FFD">
        <w:rPr>
          <w:rFonts w:ascii="Times New Roman" w:eastAsia="Times New Roman" w:hAnsi="Times New Roman" w:cs="Times New Roman"/>
          <w:lang w:eastAsia="en-AU"/>
        </w:rPr>
        <w:t>Department of Health.</w:t>
      </w:r>
    </w:p>
    <w:p w14:paraId="798AD96F" w14:textId="77777777" w:rsidR="00EC0AD7" w:rsidRPr="00501FFD" w:rsidRDefault="00EC0AD7" w:rsidP="00EC0AD7">
      <w:pPr>
        <w:autoSpaceDE w:val="0"/>
        <w:autoSpaceDN w:val="0"/>
        <w:adjustRightInd w:val="0"/>
        <w:spacing w:after="0" w:line="240" w:lineRule="auto"/>
        <w:rPr>
          <w:rFonts w:ascii="Times New Roman" w:eastAsia="Times New Roman" w:hAnsi="Times New Roman" w:cs="Times New Roman"/>
          <w:lang w:eastAsia="en-AU"/>
        </w:rPr>
      </w:pPr>
    </w:p>
    <w:p w14:paraId="5EC46A90" w14:textId="5D027736" w:rsidR="001330DA" w:rsidRPr="00501FFD" w:rsidRDefault="002A4E00" w:rsidP="001330DA">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w:t>
      </w:r>
      <w:r w:rsidRPr="00501FFD">
        <w:rPr>
          <w:rFonts w:ascii="Times New Roman" w:eastAsia="Times New Roman" w:hAnsi="Times New Roman" w:cs="Times New Roman"/>
          <w:i/>
          <w:lang w:eastAsia="en-AU"/>
        </w:rPr>
        <w:t xml:space="preserve">Therapeutic Goods (Permissible Indications) Determination </w:t>
      </w:r>
      <w:r w:rsidR="00EC0AD7"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 xml:space="preserve">No. </w:t>
      </w:r>
      <w:r w:rsidR="00405CEA">
        <w:rPr>
          <w:rFonts w:ascii="Times New Roman" w:eastAsia="Times New Roman" w:hAnsi="Times New Roman" w:cs="Times New Roman"/>
          <w:i/>
          <w:lang w:eastAsia="en-AU"/>
        </w:rPr>
        <w:t>1</w:t>
      </w:r>
      <w:r w:rsidR="00EC0AD7"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 xml:space="preserve"> </w:t>
      </w:r>
      <w:r w:rsidR="00CD1AD1" w:rsidRPr="00501FFD">
        <w:rPr>
          <w:rFonts w:ascii="Times New Roman" w:eastAsia="Times New Roman" w:hAnsi="Times New Roman" w:cs="Times New Roman"/>
          <w:i/>
          <w:lang w:eastAsia="en-AU"/>
        </w:rPr>
        <w:t>20</w:t>
      </w:r>
      <w:r w:rsidR="00405CEA">
        <w:rPr>
          <w:rFonts w:ascii="Times New Roman" w:eastAsia="Times New Roman" w:hAnsi="Times New Roman" w:cs="Times New Roman"/>
          <w:i/>
          <w:lang w:eastAsia="en-AU"/>
        </w:rPr>
        <w:t>2</w:t>
      </w:r>
      <w:r w:rsidR="008C70EA">
        <w:rPr>
          <w:rFonts w:ascii="Times New Roman" w:eastAsia="Times New Roman" w:hAnsi="Times New Roman" w:cs="Times New Roman"/>
          <w:i/>
          <w:lang w:eastAsia="en-AU"/>
        </w:rPr>
        <w:t>1</w:t>
      </w:r>
      <w:r w:rsidR="00CD1AD1" w:rsidRPr="00501FFD">
        <w:rPr>
          <w:rFonts w:ascii="Times New Roman" w:eastAsia="Times New Roman" w:hAnsi="Times New Roman" w:cs="Times New Roman"/>
          <w:lang w:eastAsia="en-AU"/>
        </w:rPr>
        <w:t xml:space="preserve"> </w:t>
      </w:r>
      <w:r w:rsidR="00EC0AD7" w:rsidRPr="00501FFD">
        <w:rPr>
          <w:rFonts w:ascii="Times New Roman" w:eastAsia="Times New Roman" w:hAnsi="Times New Roman" w:cs="Times New Roman"/>
          <w:lang w:eastAsia="en-AU"/>
        </w:rPr>
        <w:t>(</w:t>
      </w:r>
      <w:r w:rsidR="001D1863" w:rsidRPr="00501FFD">
        <w:rPr>
          <w:rFonts w:ascii="Times New Roman" w:eastAsia="Times New Roman" w:hAnsi="Times New Roman" w:cs="Times New Roman"/>
          <w:lang w:eastAsia="en-AU"/>
        </w:rPr>
        <w:t>“</w:t>
      </w:r>
      <w:r w:rsidR="00EC0AD7" w:rsidRPr="00501FFD">
        <w:rPr>
          <w:rFonts w:ascii="Times New Roman" w:eastAsia="Times New Roman" w:hAnsi="Times New Roman" w:cs="Times New Roman"/>
          <w:lang w:eastAsia="en-AU"/>
        </w:rPr>
        <w:t>the Determination</w:t>
      </w:r>
      <w:r w:rsidR="001D1863" w:rsidRPr="00501FFD">
        <w:rPr>
          <w:rFonts w:ascii="Times New Roman" w:eastAsia="Times New Roman" w:hAnsi="Times New Roman" w:cs="Times New Roman"/>
          <w:lang w:eastAsia="en-AU"/>
        </w:rPr>
        <w:t>”</w:t>
      </w:r>
      <w:r w:rsidR="00EC0AD7"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 xml:space="preserve">is a determination made </w:t>
      </w:r>
      <w:r w:rsidR="00EC0AD7" w:rsidRPr="00501FFD">
        <w:rPr>
          <w:rFonts w:ascii="Times New Roman" w:eastAsia="Times New Roman" w:hAnsi="Times New Roman" w:cs="Times New Roman"/>
          <w:lang w:eastAsia="en-AU"/>
        </w:rPr>
        <w:t xml:space="preserve">by a delegate of the Minister for Health </w:t>
      </w:r>
      <w:r w:rsidRPr="00501FFD">
        <w:rPr>
          <w:rFonts w:ascii="Times New Roman" w:eastAsia="Times New Roman" w:hAnsi="Times New Roman" w:cs="Times New Roman"/>
          <w:lang w:eastAsia="en-AU"/>
        </w:rPr>
        <w:t xml:space="preserve">under section </w:t>
      </w:r>
      <w:r w:rsidR="008B4794" w:rsidRPr="00501FFD">
        <w:rPr>
          <w:rFonts w:ascii="Times New Roman" w:eastAsia="Times New Roman" w:hAnsi="Times New Roman" w:cs="Times New Roman"/>
          <w:lang w:eastAsia="en-AU"/>
        </w:rPr>
        <w:t>26BF</w:t>
      </w:r>
      <w:r w:rsidRPr="00501FFD">
        <w:rPr>
          <w:rFonts w:ascii="Times New Roman" w:eastAsia="Times New Roman" w:hAnsi="Times New Roman" w:cs="Times New Roman"/>
          <w:lang w:eastAsia="en-AU"/>
        </w:rPr>
        <w:t xml:space="preserve"> of the Act. The</w:t>
      </w:r>
      <w:r w:rsidR="00564B6E">
        <w:rPr>
          <w:rFonts w:ascii="Times New Roman" w:eastAsia="Times New Roman" w:hAnsi="Times New Roman" w:cs="Times New Roman"/>
          <w:lang w:eastAsia="en-AU"/>
        </w:rPr>
        <w:t> </w:t>
      </w:r>
      <w:r w:rsidR="00A13A9A" w:rsidRPr="00501FFD">
        <w:rPr>
          <w:rFonts w:ascii="Times New Roman" w:eastAsia="Times New Roman" w:hAnsi="Times New Roman" w:cs="Times New Roman"/>
          <w:lang w:eastAsia="en-AU"/>
        </w:rPr>
        <w:t>purpose</w:t>
      </w:r>
      <w:r w:rsidRPr="00501FFD">
        <w:rPr>
          <w:rFonts w:ascii="Times New Roman" w:eastAsia="Times New Roman" w:hAnsi="Times New Roman" w:cs="Times New Roman"/>
          <w:lang w:eastAsia="en-AU"/>
        </w:rPr>
        <w:t xml:space="preserve"> of th</w:t>
      </w:r>
      <w:r w:rsidR="00EC0AD7" w:rsidRPr="00501FFD">
        <w:rPr>
          <w:rFonts w:ascii="Times New Roman" w:eastAsia="Times New Roman" w:hAnsi="Times New Roman" w:cs="Times New Roman"/>
          <w:lang w:eastAsia="en-AU"/>
        </w:rPr>
        <w:t>e</w:t>
      </w:r>
      <w:r w:rsidRPr="00501FFD">
        <w:rPr>
          <w:rFonts w:ascii="Times New Roman" w:eastAsia="Times New Roman" w:hAnsi="Times New Roman" w:cs="Times New Roman"/>
          <w:lang w:eastAsia="en-AU"/>
        </w:rPr>
        <w:t xml:space="preserve"> Determination is to sp</w:t>
      </w:r>
      <w:r w:rsidR="008B4794" w:rsidRPr="00501FFD">
        <w:rPr>
          <w:rFonts w:ascii="Times New Roman" w:eastAsia="Times New Roman" w:hAnsi="Times New Roman" w:cs="Times New Roman"/>
          <w:lang w:eastAsia="en-AU"/>
        </w:rPr>
        <w:t>ecify indications</w:t>
      </w:r>
      <w:r w:rsidR="00EC0AD7" w:rsidRPr="00501FFD">
        <w:rPr>
          <w:rFonts w:ascii="Times New Roman" w:eastAsia="Times New Roman" w:hAnsi="Times New Roman" w:cs="Times New Roman"/>
          <w:lang w:eastAsia="en-AU"/>
        </w:rPr>
        <w:t xml:space="preserve"> (statements of therapeutic use)</w:t>
      </w:r>
      <w:r w:rsidR="008B4794" w:rsidRPr="00501FFD">
        <w:rPr>
          <w:rFonts w:ascii="Times New Roman" w:eastAsia="Times New Roman" w:hAnsi="Times New Roman" w:cs="Times New Roman"/>
          <w:lang w:eastAsia="en-AU"/>
        </w:rPr>
        <w:t xml:space="preserve"> that</w:t>
      </w:r>
      <w:r w:rsidR="002E6A49" w:rsidRPr="00501FFD">
        <w:rPr>
          <w:rFonts w:ascii="Times New Roman" w:eastAsia="Times New Roman" w:hAnsi="Times New Roman" w:cs="Times New Roman"/>
          <w:lang w:eastAsia="en-AU"/>
        </w:rPr>
        <w:t xml:space="preserve"> are permitted to be made in relation to</w:t>
      </w:r>
      <w:r w:rsidR="00311A17" w:rsidRPr="00501FFD">
        <w:rPr>
          <w:rFonts w:ascii="Times New Roman" w:eastAsia="Times New Roman" w:hAnsi="Times New Roman" w:cs="Times New Roman"/>
          <w:lang w:eastAsia="en-AU"/>
        </w:rPr>
        <w:t xml:space="preserve"> medicines</w:t>
      </w:r>
      <w:r w:rsidR="00EC0AD7" w:rsidRPr="00501FFD">
        <w:rPr>
          <w:rFonts w:ascii="Times New Roman" w:eastAsia="Times New Roman" w:hAnsi="Times New Roman" w:cs="Times New Roman"/>
          <w:lang w:eastAsia="en-AU"/>
        </w:rPr>
        <w:t xml:space="preserve"> </w:t>
      </w:r>
      <w:r w:rsidR="00311A17" w:rsidRPr="00501FFD">
        <w:rPr>
          <w:rFonts w:ascii="Times New Roman" w:eastAsia="Times New Roman" w:hAnsi="Times New Roman" w:cs="Times New Roman"/>
          <w:lang w:eastAsia="en-AU"/>
        </w:rPr>
        <w:t>listed in the Australian Register of Therapeutic Goods (</w:t>
      </w:r>
      <w:r w:rsidR="001D1863"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the Register</w:t>
      </w:r>
      <w:r w:rsidR="001D1863"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 under section 26A of the Act</w:t>
      </w:r>
      <w:r w:rsidR="002E6A49" w:rsidRPr="00501FFD">
        <w:rPr>
          <w:rFonts w:ascii="Times New Roman" w:eastAsia="Times New Roman" w:hAnsi="Times New Roman" w:cs="Times New Roman"/>
          <w:lang w:eastAsia="en-AU"/>
        </w:rPr>
        <w:t>.</w:t>
      </w:r>
      <w:r w:rsidR="00EC0AD7" w:rsidRPr="00501FFD">
        <w:rPr>
          <w:rFonts w:ascii="Times New Roman" w:eastAsia="Times New Roman" w:hAnsi="Times New Roman" w:cs="Times New Roman"/>
          <w:lang w:eastAsia="en-AU"/>
        </w:rPr>
        <w:t xml:space="preserve"> </w:t>
      </w:r>
      <w:r w:rsidR="00C3186B" w:rsidRPr="00501FFD">
        <w:rPr>
          <w:rFonts w:ascii="Times New Roman" w:eastAsia="Times New Roman" w:hAnsi="Times New Roman" w:cs="Times New Roman"/>
          <w:lang w:eastAsia="en-AU"/>
        </w:rPr>
        <w:t>T</w:t>
      </w:r>
      <w:r w:rsidR="00EC0AD7" w:rsidRPr="00501FFD">
        <w:rPr>
          <w:rFonts w:ascii="Times New Roman" w:eastAsia="Times New Roman" w:hAnsi="Times New Roman" w:cs="Times New Roman"/>
          <w:lang w:eastAsia="en-AU"/>
        </w:rPr>
        <w:t xml:space="preserve">hese </w:t>
      </w:r>
      <w:r w:rsidR="00C3186B" w:rsidRPr="00501FFD">
        <w:rPr>
          <w:rFonts w:ascii="Times New Roman" w:eastAsia="Times New Roman" w:hAnsi="Times New Roman" w:cs="Times New Roman"/>
          <w:lang w:eastAsia="en-AU"/>
        </w:rPr>
        <w:t xml:space="preserve">medicines </w:t>
      </w:r>
      <w:r w:rsidR="00EC0AD7" w:rsidRPr="00501FFD">
        <w:rPr>
          <w:rFonts w:ascii="Times New Roman" w:eastAsia="Times New Roman" w:hAnsi="Times New Roman" w:cs="Times New Roman"/>
          <w:lang w:eastAsia="en-AU"/>
        </w:rPr>
        <w:t>are</w:t>
      </w:r>
      <w:r w:rsidR="00564B6E">
        <w:rPr>
          <w:rFonts w:ascii="Times New Roman" w:eastAsia="Times New Roman" w:hAnsi="Times New Roman" w:cs="Times New Roman"/>
          <w:lang w:eastAsia="en-AU"/>
        </w:rPr>
        <w:t>,</w:t>
      </w:r>
      <w:r w:rsidR="00EC0AD7" w:rsidRPr="00501FFD">
        <w:rPr>
          <w:rFonts w:ascii="Times New Roman" w:eastAsia="Times New Roman" w:hAnsi="Times New Roman" w:cs="Times New Roman"/>
          <w:lang w:eastAsia="en-AU"/>
        </w:rPr>
        <w:t xml:space="preserve"> </w:t>
      </w:r>
      <w:r w:rsidR="00C3186B" w:rsidRPr="00501FFD">
        <w:rPr>
          <w:rFonts w:ascii="Times New Roman" w:eastAsia="Times New Roman" w:hAnsi="Times New Roman" w:cs="Times New Roman"/>
          <w:lang w:eastAsia="en-AU"/>
        </w:rPr>
        <w:t>principally</w:t>
      </w:r>
      <w:r w:rsidR="00564B6E">
        <w:rPr>
          <w:rFonts w:ascii="Times New Roman" w:eastAsia="Times New Roman" w:hAnsi="Times New Roman" w:cs="Times New Roman"/>
          <w:lang w:eastAsia="en-AU"/>
        </w:rPr>
        <w:t>,</w:t>
      </w:r>
      <w:r w:rsidR="00C3186B" w:rsidRPr="00501FFD">
        <w:rPr>
          <w:rFonts w:ascii="Times New Roman" w:eastAsia="Times New Roman" w:hAnsi="Times New Roman" w:cs="Times New Roman"/>
          <w:lang w:eastAsia="en-AU"/>
        </w:rPr>
        <w:t xml:space="preserve"> </w:t>
      </w:r>
      <w:r w:rsidR="00EC0AD7" w:rsidRPr="00501FFD">
        <w:rPr>
          <w:rFonts w:ascii="Times New Roman" w:eastAsia="Times New Roman" w:hAnsi="Times New Roman" w:cs="Times New Roman"/>
          <w:lang w:eastAsia="en-AU"/>
        </w:rPr>
        <w:t>listed complementary medicines and a small number of listed over the counter medicines</w:t>
      </w:r>
      <w:r w:rsidR="00AB539C">
        <w:rPr>
          <w:rFonts w:ascii="Times New Roman" w:eastAsia="Times New Roman" w:hAnsi="Times New Roman" w:cs="Times New Roman"/>
          <w:lang w:eastAsia="en-AU"/>
        </w:rPr>
        <w:t xml:space="preserve">, </w:t>
      </w:r>
      <w:r w:rsidR="00EC0AD7" w:rsidRPr="00501FFD">
        <w:rPr>
          <w:rFonts w:ascii="Times New Roman" w:eastAsia="Times New Roman" w:hAnsi="Times New Roman" w:cs="Times New Roman"/>
          <w:lang w:eastAsia="en-AU"/>
        </w:rPr>
        <w:t>such as sunscreens</w:t>
      </w:r>
      <w:r w:rsidR="002E6A49" w:rsidRPr="00501FFD">
        <w:rPr>
          <w:rFonts w:ascii="Times New Roman" w:eastAsia="Times New Roman" w:hAnsi="Times New Roman" w:cs="Times New Roman"/>
          <w:lang w:eastAsia="en-AU"/>
        </w:rPr>
        <w:t>. The Determination also specifies</w:t>
      </w:r>
      <w:r w:rsidR="00311A17" w:rsidRPr="00501FFD">
        <w:rPr>
          <w:rFonts w:ascii="Times New Roman" w:eastAsia="Times New Roman" w:hAnsi="Times New Roman" w:cs="Times New Roman"/>
          <w:lang w:eastAsia="en-AU"/>
        </w:rPr>
        <w:t xml:space="preserve"> requirements </w:t>
      </w:r>
      <w:r w:rsidR="00FC4EC1" w:rsidRPr="00501FFD">
        <w:rPr>
          <w:rFonts w:ascii="Times New Roman" w:eastAsia="Times New Roman" w:hAnsi="Times New Roman" w:cs="Times New Roman"/>
          <w:lang w:eastAsia="en-AU"/>
        </w:rPr>
        <w:t>regarding</w:t>
      </w:r>
      <w:r w:rsidR="00311A17" w:rsidRPr="00501FFD">
        <w:rPr>
          <w:rFonts w:ascii="Times New Roman" w:eastAsia="Times New Roman" w:hAnsi="Times New Roman" w:cs="Times New Roman"/>
          <w:lang w:eastAsia="en-AU"/>
        </w:rPr>
        <w:t xml:space="preserve"> the use of such indications</w:t>
      </w:r>
      <w:r w:rsidR="00693C36" w:rsidRPr="00501FFD">
        <w:rPr>
          <w:rFonts w:ascii="Times New Roman" w:eastAsia="Times New Roman" w:hAnsi="Times New Roman" w:cs="Times New Roman"/>
          <w:lang w:eastAsia="en-AU"/>
        </w:rPr>
        <w:t xml:space="preserve"> </w:t>
      </w:r>
      <w:r w:rsidR="002E6A49" w:rsidRPr="00501FFD">
        <w:rPr>
          <w:rFonts w:ascii="Times New Roman" w:eastAsia="Times New Roman" w:hAnsi="Times New Roman" w:cs="Times New Roman"/>
          <w:lang w:eastAsia="en-AU"/>
        </w:rPr>
        <w:t>in relation to these medicines</w:t>
      </w:r>
      <w:r w:rsidR="00311A17" w:rsidRPr="00501FFD">
        <w:rPr>
          <w:rFonts w:ascii="Times New Roman" w:eastAsia="Times New Roman" w:hAnsi="Times New Roman" w:cs="Times New Roman"/>
          <w:lang w:eastAsia="en-AU"/>
        </w:rPr>
        <w:t>.</w:t>
      </w:r>
    </w:p>
    <w:p w14:paraId="3038FE3D" w14:textId="77777777" w:rsidR="001330DA" w:rsidRPr="00501FFD" w:rsidRDefault="001330DA" w:rsidP="001330DA">
      <w:pPr>
        <w:autoSpaceDE w:val="0"/>
        <w:autoSpaceDN w:val="0"/>
        <w:adjustRightInd w:val="0"/>
        <w:spacing w:after="0" w:line="240" w:lineRule="auto"/>
        <w:rPr>
          <w:rFonts w:ascii="Times New Roman" w:eastAsia="Times New Roman" w:hAnsi="Times New Roman" w:cs="Times New Roman"/>
          <w:lang w:eastAsia="en-AU"/>
        </w:rPr>
      </w:pPr>
    </w:p>
    <w:p w14:paraId="157E4188" w14:textId="77777777" w:rsidR="00366461" w:rsidRPr="00501FFD" w:rsidRDefault="001330DA" w:rsidP="001330DA">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An applicant for the listing of a medicine must certify a range of matters specified in section 26A of the Act. In particular, paragraphs 26A(2)(</w:t>
      </w:r>
      <w:proofErr w:type="spellStart"/>
      <w:r w:rsidRPr="00501FFD">
        <w:rPr>
          <w:rFonts w:ascii="Times New Roman" w:eastAsia="Times New Roman" w:hAnsi="Times New Roman" w:cs="Times New Roman"/>
          <w:lang w:eastAsia="en-AU"/>
        </w:rPr>
        <w:t>fba</w:t>
      </w:r>
      <w:proofErr w:type="spellEnd"/>
      <w:r w:rsidRPr="00501FFD">
        <w:rPr>
          <w:rFonts w:ascii="Times New Roman" w:eastAsia="Times New Roman" w:hAnsi="Times New Roman" w:cs="Times New Roman"/>
          <w:lang w:eastAsia="en-AU"/>
        </w:rPr>
        <w:t>), (</w:t>
      </w:r>
      <w:proofErr w:type="spellStart"/>
      <w:r w:rsidRPr="00501FFD">
        <w:rPr>
          <w:rFonts w:ascii="Times New Roman" w:eastAsia="Times New Roman" w:hAnsi="Times New Roman" w:cs="Times New Roman"/>
          <w:lang w:eastAsia="en-AU"/>
        </w:rPr>
        <w:t>fd</w:t>
      </w:r>
      <w:proofErr w:type="spellEnd"/>
      <w:r w:rsidRPr="00501FFD">
        <w:rPr>
          <w:rFonts w:ascii="Times New Roman" w:eastAsia="Times New Roman" w:hAnsi="Times New Roman" w:cs="Times New Roman"/>
          <w:lang w:eastAsia="en-AU"/>
        </w:rPr>
        <w:t>) and (</w:t>
      </w:r>
      <w:proofErr w:type="spellStart"/>
      <w:r w:rsidRPr="00501FFD">
        <w:rPr>
          <w:rFonts w:ascii="Times New Roman" w:eastAsia="Times New Roman" w:hAnsi="Times New Roman" w:cs="Times New Roman"/>
          <w:lang w:eastAsia="en-AU"/>
        </w:rPr>
        <w:t>fe</w:t>
      </w:r>
      <w:proofErr w:type="spellEnd"/>
      <w:r w:rsidRPr="00501FFD">
        <w:rPr>
          <w:rFonts w:ascii="Times New Roman" w:eastAsia="Times New Roman" w:hAnsi="Times New Roman" w:cs="Times New Roman"/>
          <w:lang w:eastAsia="en-AU"/>
        </w:rPr>
        <w:t xml:space="preserve">) require an applicant to certify that the indications included in the medicine’s entry in the Register, and on the label, are covered by a determination made under </w:t>
      </w:r>
      <w:r w:rsidR="009507FD" w:rsidRPr="00501FFD">
        <w:rPr>
          <w:rFonts w:ascii="Times New Roman" w:eastAsia="Times New Roman" w:hAnsi="Times New Roman" w:cs="Times New Roman"/>
          <w:lang w:eastAsia="en-AU"/>
        </w:rPr>
        <w:t>subsection</w:t>
      </w:r>
      <w:r w:rsidRPr="00501FFD">
        <w:rPr>
          <w:rFonts w:ascii="Times New Roman" w:eastAsia="Times New Roman" w:hAnsi="Times New Roman" w:cs="Times New Roman"/>
          <w:lang w:eastAsia="en-AU"/>
        </w:rPr>
        <w:t xml:space="preserve"> 26BF(1), and that any relevant requirements specified in the determination have not been contravened.</w:t>
      </w:r>
    </w:p>
    <w:p w14:paraId="27A4A9F1" w14:textId="77777777" w:rsidR="00EC0AD7" w:rsidRPr="00501FFD" w:rsidRDefault="00EC0AD7" w:rsidP="00EC0AD7">
      <w:pPr>
        <w:autoSpaceDE w:val="0"/>
        <w:autoSpaceDN w:val="0"/>
        <w:adjustRightInd w:val="0"/>
        <w:spacing w:after="0" w:line="240" w:lineRule="auto"/>
        <w:rPr>
          <w:rFonts w:ascii="Times New Roman" w:eastAsia="Times New Roman" w:hAnsi="Times New Roman" w:cs="Times New Roman"/>
          <w:lang w:eastAsia="en-AU"/>
        </w:rPr>
      </w:pPr>
    </w:p>
    <w:p w14:paraId="73184A7B" w14:textId="2BC18E3E" w:rsidR="00366461" w:rsidRPr="00501FFD" w:rsidRDefault="00643F34" w:rsidP="00EC0AD7">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Determination </w:t>
      </w:r>
      <w:r w:rsidR="00564B6E">
        <w:rPr>
          <w:rFonts w:ascii="Times New Roman" w:eastAsia="Times New Roman" w:hAnsi="Times New Roman" w:cs="Times New Roman"/>
          <w:lang w:eastAsia="en-AU"/>
        </w:rPr>
        <w:t xml:space="preserve">also </w:t>
      </w:r>
      <w:r w:rsidR="0054417F" w:rsidRPr="00501FFD">
        <w:rPr>
          <w:rFonts w:ascii="Times New Roman" w:eastAsia="Times New Roman" w:hAnsi="Times New Roman" w:cs="Times New Roman"/>
          <w:lang w:eastAsia="en-AU"/>
        </w:rPr>
        <w:t>repeals</w:t>
      </w:r>
      <w:r w:rsidR="00096642" w:rsidRPr="00501FFD">
        <w:rPr>
          <w:rFonts w:ascii="Times New Roman" w:eastAsia="Times New Roman" w:hAnsi="Times New Roman" w:cs="Times New Roman"/>
          <w:lang w:eastAsia="en-AU"/>
        </w:rPr>
        <w:t xml:space="preserve"> and replaces</w:t>
      </w:r>
      <w:r w:rsidRPr="00501FFD">
        <w:rPr>
          <w:rFonts w:ascii="Times New Roman" w:eastAsia="Times New Roman" w:hAnsi="Times New Roman" w:cs="Times New Roman"/>
          <w:lang w:eastAsia="en-AU"/>
        </w:rPr>
        <w:t xml:space="preserve"> the </w:t>
      </w:r>
      <w:r w:rsidRPr="00501FFD">
        <w:rPr>
          <w:rFonts w:ascii="Times New Roman" w:eastAsia="Times New Roman" w:hAnsi="Times New Roman" w:cs="Times New Roman"/>
          <w:i/>
          <w:lang w:eastAsia="en-AU"/>
        </w:rPr>
        <w:t xml:space="preserve">Therapeutic Goods (Permissible Indications) Determination </w:t>
      </w:r>
      <w:r w:rsidR="001460F8"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No.</w:t>
      </w:r>
      <w:r w:rsidR="002704D5">
        <w:rPr>
          <w:rFonts w:ascii="Times New Roman" w:eastAsia="Times New Roman" w:hAnsi="Times New Roman" w:cs="Times New Roman"/>
          <w:i/>
          <w:lang w:eastAsia="en-AU"/>
        </w:rPr>
        <w:t xml:space="preserve"> </w:t>
      </w:r>
      <w:r w:rsidR="00405CEA">
        <w:rPr>
          <w:rFonts w:ascii="Times New Roman" w:eastAsia="Times New Roman" w:hAnsi="Times New Roman" w:cs="Times New Roman"/>
          <w:i/>
          <w:lang w:eastAsia="en-AU"/>
        </w:rPr>
        <w:t>2</w:t>
      </w:r>
      <w:r w:rsidR="001460F8"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 xml:space="preserve"> 201</w:t>
      </w:r>
      <w:r w:rsidR="005136AE" w:rsidRPr="00501FFD">
        <w:rPr>
          <w:rFonts w:ascii="Times New Roman" w:eastAsia="Times New Roman" w:hAnsi="Times New Roman" w:cs="Times New Roman"/>
          <w:i/>
          <w:lang w:eastAsia="en-AU"/>
        </w:rPr>
        <w:t>9</w:t>
      </w:r>
      <w:r w:rsidRPr="00501FFD">
        <w:rPr>
          <w:rFonts w:ascii="Times New Roman" w:eastAsia="Times New Roman" w:hAnsi="Times New Roman" w:cs="Times New Roman"/>
          <w:lang w:eastAsia="en-AU"/>
        </w:rPr>
        <w:t xml:space="preserve"> (</w:t>
      </w:r>
      <w:r w:rsidR="00096642"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 xml:space="preserve">the </w:t>
      </w:r>
      <w:r w:rsidR="00096642" w:rsidRPr="00501FFD">
        <w:rPr>
          <w:rFonts w:ascii="Times New Roman" w:eastAsia="Times New Roman" w:hAnsi="Times New Roman" w:cs="Times New Roman"/>
          <w:lang w:eastAsia="en-AU"/>
        </w:rPr>
        <w:t xml:space="preserve">Former </w:t>
      </w:r>
      <w:r w:rsidRPr="00501FFD">
        <w:rPr>
          <w:rFonts w:ascii="Times New Roman" w:eastAsia="Times New Roman" w:hAnsi="Times New Roman" w:cs="Times New Roman"/>
          <w:lang w:eastAsia="en-AU"/>
        </w:rPr>
        <w:t>Determination</w:t>
      </w:r>
      <w:r w:rsidR="00096642"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w:t>
      </w:r>
      <w:r w:rsidR="008B4794" w:rsidRPr="00501FFD">
        <w:rPr>
          <w:rFonts w:ascii="Times New Roman" w:eastAsia="Times New Roman" w:hAnsi="Times New Roman" w:cs="Times New Roman"/>
          <w:lang w:eastAsia="en-AU"/>
        </w:rPr>
        <w:t>.</w:t>
      </w:r>
    </w:p>
    <w:p w14:paraId="05EE38EA" w14:textId="77777777" w:rsidR="00EC0AD7" w:rsidRPr="00501FFD" w:rsidRDefault="00EC0AD7" w:rsidP="00EC0AD7">
      <w:pPr>
        <w:autoSpaceDE w:val="0"/>
        <w:autoSpaceDN w:val="0"/>
        <w:adjustRightInd w:val="0"/>
        <w:spacing w:after="0" w:line="240" w:lineRule="auto"/>
        <w:rPr>
          <w:rFonts w:ascii="Times New Roman" w:eastAsia="Times New Roman" w:hAnsi="Times New Roman" w:cs="Times New Roman"/>
          <w:lang w:eastAsia="en-AU"/>
        </w:rPr>
      </w:pPr>
    </w:p>
    <w:p w14:paraId="4101510A" w14:textId="11EEEB78" w:rsidR="00311A17" w:rsidRPr="00501FFD" w:rsidRDefault="00311A17" w:rsidP="00501FFD">
      <w:pPr>
        <w:keepNext/>
        <w:autoSpaceDE w:val="0"/>
        <w:autoSpaceDN w:val="0"/>
        <w:adjustRightInd w:val="0"/>
        <w:spacing w:after="0" w:line="240" w:lineRule="auto"/>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t>B</w:t>
      </w:r>
      <w:r w:rsidR="00F6123D" w:rsidRPr="00501FFD">
        <w:rPr>
          <w:rFonts w:ascii="Times New Roman" w:eastAsia="Times New Roman" w:hAnsi="Times New Roman" w:cs="Times New Roman"/>
          <w:b/>
          <w:lang w:eastAsia="en-AU"/>
        </w:rPr>
        <w:t>ackground</w:t>
      </w:r>
    </w:p>
    <w:p w14:paraId="6A8EC725" w14:textId="77777777" w:rsidR="00366461" w:rsidRPr="00501FFD" w:rsidRDefault="00366461">
      <w:pPr>
        <w:autoSpaceDE w:val="0"/>
        <w:autoSpaceDN w:val="0"/>
        <w:adjustRightInd w:val="0"/>
        <w:spacing w:after="0" w:line="240" w:lineRule="auto"/>
        <w:rPr>
          <w:rFonts w:ascii="Times New Roman" w:eastAsia="Times New Roman" w:hAnsi="Times New Roman" w:cs="Times New Roman"/>
          <w:b/>
          <w:lang w:eastAsia="en-AU"/>
        </w:rPr>
      </w:pPr>
    </w:p>
    <w:p w14:paraId="3A366FE5" w14:textId="424416CC" w:rsidR="00ED2405" w:rsidRPr="00501FFD" w:rsidRDefault="00E76E5A" w:rsidP="00501FFD">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Medicines that are listed in the Register under section 26A of the Act </w:t>
      </w:r>
      <w:r w:rsidR="00724A25" w:rsidRPr="00501FFD">
        <w:rPr>
          <w:rFonts w:ascii="Times New Roman" w:eastAsia="Times New Roman" w:hAnsi="Times New Roman" w:cs="Times New Roman"/>
          <w:lang w:eastAsia="en-AU"/>
        </w:rPr>
        <w:t>(</w:t>
      </w:r>
      <w:r w:rsidR="009904F7" w:rsidRPr="00501FFD">
        <w:rPr>
          <w:rFonts w:ascii="Times New Roman" w:eastAsia="Times New Roman" w:hAnsi="Times New Roman" w:cs="Times New Roman"/>
          <w:lang w:eastAsia="en-AU"/>
        </w:rPr>
        <w:t>“</w:t>
      </w:r>
      <w:r w:rsidR="00724A25" w:rsidRPr="00501FFD">
        <w:rPr>
          <w:rFonts w:ascii="Times New Roman" w:eastAsia="Times New Roman" w:hAnsi="Times New Roman" w:cs="Times New Roman"/>
          <w:lang w:eastAsia="en-AU"/>
        </w:rPr>
        <w:t>listed medicines</w:t>
      </w:r>
      <w:r w:rsidR="009904F7" w:rsidRPr="00501FFD">
        <w:rPr>
          <w:rFonts w:ascii="Times New Roman" w:eastAsia="Times New Roman" w:hAnsi="Times New Roman" w:cs="Times New Roman"/>
          <w:lang w:eastAsia="en-AU"/>
        </w:rPr>
        <w:t>”</w:t>
      </w:r>
      <w:r w:rsidR="00724A25"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 xml:space="preserve">are considered </w:t>
      </w:r>
      <w:r w:rsidR="0047199C">
        <w:rPr>
          <w:rFonts w:ascii="Times New Roman" w:eastAsia="Times New Roman" w:hAnsi="Times New Roman" w:cs="Times New Roman"/>
          <w:lang w:eastAsia="en-AU"/>
        </w:rPr>
        <w:t xml:space="preserve">to be </w:t>
      </w:r>
      <w:r w:rsidRPr="00501FFD">
        <w:rPr>
          <w:rFonts w:ascii="Times New Roman" w:eastAsia="Times New Roman" w:hAnsi="Times New Roman" w:cs="Times New Roman"/>
          <w:lang w:eastAsia="en-AU"/>
        </w:rPr>
        <w:t xml:space="preserve">‘low risk’ and are not individually evaluated before </w:t>
      </w:r>
      <w:r w:rsidR="00471ED1" w:rsidRPr="00501FFD">
        <w:rPr>
          <w:rFonts w:ascii="Times New Roman" w:eastAsia="Times New Roman" w:hAnsi="Times New Roman" w:cs="Times New Roman"/>
          <w:lang w:eastAsia="en-AU"/>
        </w:rPr>
        <w:t xml:space="preserve">those medicines </w:t>
      </w:r>
      <w:r w:rsidRPr="00501FFD">
        <w:rPr>
          <w:rFonts w:ascii="Times New Roman" w:eastAsia="Times New Roman" w:hAnsi="Times New Roman" w:cs="Times New Roman"/>
          <w:lang w:eastAsia="en-AU"/>
        </w:rPr>
        <w:t xml:space="preserve">are entered in the Register. </w:t>
      </w:r>
      <w:r w:rsidR="00990B1F" w:rsidRPr="00501FFD">
        <w:rPr>
          <w:rFonts w:ascii="Times New Roman" w:eastAsia="Times New Roman" w:hAnsi="Times New Roman" w:cs="Times New Roman"/>
          <w:lang w:eastAsia="en-AU"/>
        </w:rPr>
        <w:t xml:space="preserve">The application process requires </w:t>
      </w:r>
      <w:r w:rsidR="00471ED1" w:rsidRPr="00501FFD">
        <w:rPr>
          <w:rFonts w:ascii="Times New Roman" w:eastAsia="Times New Roman" w:hAnsi="Times New Roman" w:cs="Times New Roman"/>
          <w:lang w:eastAsia="en-AU"/>
        </w:rPr>
        <w:t xml:space="preserve">applicants </w:t>
      </w:r>
      <w:r w:rsidR="00990B1F" w:rsidRPr="00501FFD">
        <w:rPr>
          <w:rFonts w:ascii="Times New Roman" w:eastAsia="Times New Roman" w:hAnsi="Times New Roman" w:cs="Times New Roman"/>
          <w:lang w:eastAsia="en-AU"/>
        </w:rPr>
        <w:t xml:space="preserve">to certify, under subsection </w:t>
      </w:r>
      <w:proofErr w:type="gramStart"/>
      <w:r w:rsidR="00990B1F" w:rsidRPr="00501FFD">
        <w:rPr>
          <w:rFonts w:ascii="Times New Roman" w:eastAsia="Times New Roman" w:hAnsi="Times New Roman" w:cs="Times New Roman"/>
          <w:lang w:eastAsia="en-AU"/>
        </w:rPr>
        <w:t>26A(</w:t>
      </w:r>
      <w:proofErr w:type="gramEnd"/>
      <w:r w:rsidR="00990B1F" w:rsidRPr="00501FFD">
        <w:rPr>
          <w:rFonts w:ascii="Times New Roman" w:eastAsia="Times New Roman" w:hAnsi="Times New Roman" w:cs="Times New Roman"/>
          <w:lang w:eastAsia="en-AU"/>
        </w:rPr>
        <w:t xml:space="preserve">2) of the Act, that </w:t>
      </w:r>
      <w:r w:rsidR="00471ED1" w:rsidRPr="00501FFD">
        <w:rPr>
          <w:rFonts w:ascii="Times New Roman" w:eastAsia="Times New Roman" w:hAnsi="Times New Roman" w:cs="Times New Roman"/>
          <w:lang w:eastAsia="en-AU"/>
        </w:rPr>
        <w:t xml:space="preserve">the </w:t>
      </w:r>
      <w:r w:rsidR="00990B1F" w:rsidRPr="00501FFD">
        <w:rPr>
          <w:rFonts w:ascii="Times New Roman" w:eastAsia="Times New Roman" w:hAnsi="Times New Roman" w:cs="Times New Roman"/>
          <w:lang w:eastAsia="en-AU"/>
        </w:rPr>
        <w:t xml:space="preserve">medicine </w:t>
      </w:r>
      <w:r w:rsidR="00471ED1" w:rsidRPr="00501FFD">
        <w:rPr>
          <w:rFonts w:ascii="Times New Roman" w:eastAsia="Times New Roman" w:hAnsi="Times New Roman" w:cs="Times New Roman"/>
          <w:lang w:eastAsia="en-AU"/>
        </w:rPr>
        <w:t xml:space="preserve">to which the application relates </w:t>
      </w:r>
      <w:r w:rsidR="00990B1F" w:rsidRPr="00501FFD">
        <w:rPr>
          <w:rFonts w:ascii="Times New Roman" w:eastAsia="Times New Roman" w:hAnsi="Times New Roman" w:cs="Times New Roman"/>
          <w:lang w:eastAsia="en-AU"/>
        </w:rPr>
        <w:t xml:space="preserve">is eligible for listing and compliant with </w:t>
      </w:r>
      <w:r w:rsidR="00507884" w:rsidRPr="00501FFD">
        <w:rPr>
          <w:rFonts w:ascii="Times New Roman" w:eastAsia="Times New Roman" w:hAnsi="Times New Roman" w:cs="Times New Roman"/>
          <w:lang w:eastAsia="en-AU"/>
        </w:rPr>
        <w:t>a number of important</w:t>
      </w:r>
      <w:r w:rsidR="00990B1F" w:rsidRPr="00501FFD">
        <w:rPr>
          <w:rFonts w:ascii="Times New Roman" w:eastAsia="Times New Roman" w:hAnsi="Times New Roman" w:cs="Times New Roman"/>
          <w:lang w:eastAsia="en-AU"/>
        </w:rPr>
        <w:t xml:space="preserve"> regulatory requirements </w:t>
      </w:r>
      <w:r w:rsidR="00ED2405" w:rsidRPr="00501FFD">
        <w:rPr>
          <w:rFonts w:ascii="Times New Roman" w:eastAsia="Times New Roman" w:hAnsi="Times New Roman" w:cs="Times New Roman"/>
          <w:lang w:eastAsia="en-AU"/>
        </w:rPr>
        <w:t>(</w:t>
      </w:r>
      <w:r w:rsidR="001460F8" w:rsidRPr="00501FFD">
        <w:rPr>
          <w:rFonts w:ascii="Times New Roman" w:eastAsia="Times New Roman" w:hAnsi="Times New Roman" w:cs="Times New Roman"/>
          <w:lang w:eastAsia="en-AU"/>
        </w:rPr>
        <w:t>for example,</w:t>
      </w:r>
      <w:r w:rsidR="00ED2405" w:rsidRPr="00501FFD">
        <w:rPr>
          <w:rFonts w:ascii="Times New Roman" w:eastAsia="Times New Roman" w:hAnsi="Times New Roman" w:cs="Times New Roman"/>
          <w:lang w:eastAsia="en-AU"/>
        </w:rPr>
        <w:t xml:space="preserve"> that the medicine is safe for the pur</w:t>
      </w:r>
      <w:r w:rsidR="00990B1F" w:rsidRPr="00501FFD">
        <w:rPr>
          <w:rFonts w:ascii="Times New Roman" w:eastAsia="Times New Roman" w:hAnsi="Times New Roman" w:cs="Times New Roman"/>
          <w:lang w:eastAsia="en-AU"/>
        </w:rPr>
        <w:t>pose for which it is to be used</w:t>
      </w:r>
      <w:r w:rsidR="00507884" w:rsidRPr="00501FFD">
        <w:rPr>
          <w:rFonts w:ascii="Times New Roman" w:eastAsia="Times New Roman" w:hAnsi="Times New Roman" w:cs="Times New Roman"/>
          <w:lang w:eastAsia="en-AU"/>
        </w:rPr>
        <w:t>,</w:t>
      </w:r>
      <w:r w:rsidR="00ED2405" w:rsidRPr="00501FFD">
        <w:rPr>
          <w:rFonts w:ascii="Times New Roman" w:eastAsia="Times New Roman" w:hAnsi="Times New Roman" w:cs="Times New Roman"/>
          <w:lang w:eastAsia="en-AU"/>
        </w:rPr>
        <w:t xml:space="preserve"> </w:t>
      </w:r>
      <w:r w:rsidR="00990B1F" w:rsidRPr="00501FFD">
        <w:rPr>
          <w:rFonts w:ascii="Times New Roman" w:eastAsia="Times New Roman" w:hAnsi="Times New Roman" w:cs="Times New Roman"/>
          <w:lang w:eastAsia="en-AU"/>
        </w:rPr>
        <w:t xml:space="preserve">and </w:t>
      </w:r>
      <w:r w:rsidR="00ED2405" w:rsidRPr="00501FFD">
        <w:rPr>
          <w:rFonts w:ascii="Times New Roman" w:eastAsia="Times New Roman" w:hAnsi="Times New Roman" w:cs="Times New Roman"/>
          <w:lang w:eastAsia="en-AU"/>
        </w:rPr>
        <w:t>complies with all applicable standards</w:t>
      </w:r>
      <w:r w:rsidR="00CD1AD1" w:rsidRPr="00501FFD">
        <w:rPr>
          <w:rFonts w:ascii="Times New Roman" w:eastAsia="Times New Roman" w:hAnsi="Times New Roman" w:cs="Times New Roman"/>
          <w:lang w:eastAsia="en-AU"/>
        </w:rPr>
        <w:t>)</w:t>
      </w:r>
      <w:r w:rsidR="00990B1F" w:rsidRPr="00501FFD">
        <w:rPr>
          <w:rFonts w:ascii="Times New Roman" w:eastAsia="Times New Roman" w:hAnsi="Times New Roman" w:cs="Times New Roman"/>
          <w:lang w:eastAsia="en-AU"/>
        </w:rPr>
        <w:t>.</w:t>
      </w:r>
    </w:p>
    <w:p w14:paraId="556F75CA" w14:textId="77777777" w:rsidR="00366461" w:rsidRPr="00501FFD" w:rsidRDefault="00366461" w:rsidP="006D3395">
      <w:pPr>
        <w:autoSpaceDE w:val="0"/>
        <w:autoSpaceDN w:val="0"/>
        <w:adjustRightInd w:val="0"/>
        <w:spacing w:after="0" w:line="240" w:lineRule="auto"/>
        <w:rPr>
          <w:rFonts w:ascii="Times New Roman" w:eastAsia="Times New Roman" w:hAnsi="Times New Roman" w:cs="Times New Roman"/>
          <w:lang w:eastAsia="en-AU"/>
        </w:rPr>
      </w:pPr>
    </w:p>
    <w:p w14:paraId="3006AFCF" w14:textId="17C73CF0" w:rsidR="00ED2405" w:rsidRPr="00501FFD" w:rsidRDefault="00ED2405" w:rsidP="00990B1F">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As </w:t>
      </w:r>
      <w:r w:rsidR="00507884" w:rsidRPr="00501FFD">
        <w:rPr>
          <w:rFonts w:ascii="Times New Roman" w:eastAsia="Times New Roman" w:hAnsi="Times New Roman" w:cs="Times New Roman"/>
          <w:lang w:eastAsia="en-AU"/>
        </w:rPr>
        <w:t xml:space="preserve">these </w:t>
      </w:r>
      <w:r w:rsidR="00CD1AD1" w:rsidRPr="00501FFD">
        <w:rPr>
          <w:rFonts w:ascii="Times New Roman" w:eastAsia="Times New Roman" w:hAnsi="Times New Roman" w:cs="Times New Roman"/>
          <w:lang w:eastAsia="en-AU"/>
        </w:rPr>
        <w:t xml:space="preserve">listed </w:t>
      </w:r>
      <w:r w:rsidRPr="00501FFD">
        <w:rPr>
          <w:rFonts w:ascii="Times New Roman" w:eastAsia="Times New Roman" w:hAnsi="Times New Roman" w:cs="Times New Roman"/>
          <w:lang w:eastAsia="en-AU"/>
        </w:rPr>
        <w:t>medicines are not evaluated by the TGA</w:t>
      </w:r>
      <w:r w:rsidR="00990B1F" w:rsidRPr="00501FFD">
        <w:rPr>
          <w:rFonts w:ascii="Times New Roman" w:eastAsia="Times New Roman" w:hAnsi="Times New Roman" w:cs="Times New Roman"/>
          <w:lang w:eastAsia="en-AU"/>
        </w:rPr>
        <w:t xml:space="preserve"> </w:t>
      </w:r>
      <w:r w:rsidR="000F1BA2" w:rsidRPr="00501FFD">
        <w:rPr>
          <w:rFonts w:ascii="Times New Roman" w:eastAsia="Times New Roman" w:hAnsi="Times New Roman" w:cs="Times New Roman"/>
          <w:lang w:eastAsia="en-AU"/>
        </w:rPr>
        <w:t xml:space="preserve">prior to obtaining </w:t>
      </w:r>
      <w:r w:rsidR="00990B1F" w:rsidRPr="00501FFD">
        <w:rPr>
          <w:rFonts w:ascii="Times New Roman" w:eastAsia="Times New Roman" w:hAnsi="Times New Roman" w:cs="Times New Roman"/>
          <w:lang w:eastAsia="en-AU"/>
        </w:rPr>
        <w:t>marketing approval</w:t>
      </w:r>
      <w:r w:rsidR="0047199C">
        <w:rPr>
          <w:rFonts w:ascii="Times New Roman" w:eastAsia="Times New Roman" w:hAnsi="Times New Roman" w:cs="Times New Roman"/>
          <w:lang w:eastAsia="en-AU"/>
        </w:rPr>
        <w:t xml:space="preserve"> to the general public</w:t>
      </w:r>
      <w:r w:rsidRPr="00501FFD">
        <w:rPr>
          <w:rFonts w:ascii="Times New Roman" w:eastAsia="Times New Roman" w:hAnsi="Times New Roman" w:cs="Times New Roman"/>
          <w:lang w:eastAsia="en-AU"/>
        </w:rPr>
        <w:t xml:space="preserve">, the Act contains </w:t>
      </w:r>
      <w:r w:rsidR="0047199C">
        <w:rPr>
          <w:rFonts w:ascii="Times New Roman" w:eastAsia="Times New Roman" w:hAnsi="Times New Roman" w:cs="Times New Roman"/>
          <w:lang w:eastAsia="en-AU"/>
        </w:rPr>
        <w:t xml:space="preserve">certain regulatory </w:t>
      </w:r>
      <w:r w:rsidRPr="00501FFD">
        <w:rPr>
          <w:rFonts w:ascii="Times New Roman" w:eastAsia="Times New Roman" w:hAnsi="Times New Roman" w:cs="Times New Roman"/>
          <w:lang w:eastAsia="en-AU"/>
        </w:rPr>
        <w:t xml:space="preserve">mechanisms to help ensure that </w:t>
      </w:r>
      <w:r w:rsidR="000F1BA2" w:rsidRPr="00501FFD">
        <w:rPr>
          <w:rFonts w:ascii="Times New Roman" w:eastAsia="Times New Roman" w:hAnsi="Times New Roman" w:cs="Times New Roman"/>
          <w:lang w:eastAsia="en-AU"/>
        </w:rPr>
        <w:t xml:space="preserve">those medicines </w:t>
      </w:r>
      <w:r w:rsidRPr="00501FFD">
        <w:rPr>
          <w:rFonts w:ascii="Times New Roman" w:eastAsia="Times New Roman" w:hAnsi="Times New Roman" w:cs="Times New Roman"/>
          <w:lang w:eastAsia="en-AU"/>
        </w:rPr>
        <w:t xml:space="preserve">are </w:t>
      </w:r>
      <w:r w:rsidR="000F1BA2" w:rsidRPr="00501FFD">
        <w:rPr>
          <w:rFonts w:ascii="Times New Roman" w:eastAsia="Times New Roman" w:hAnsi="Times New Roman" w:cs="Times New Roman"/>
          <w:lang w:eastAsia="en-AU"/>
        </w:rPr>
        <w:t xml:space="preserve">manufactured to appropriate quality standards </w:t>
      </w:r>
      <w:r w:rsidRPr="00501FFD">
        <w:rPr>
          <w:rFonts w:ascii="Times New Roman" w:eastAsia="Times New Roman" w:hAnsi="Times New Roman" w:cs="Times New Roman"/>
          <w:lang w:eastAsia="en-AU"/>
        </w:rPr>
        <w:t>and able to be used by consumers</w:t>
      </w:r>
      <w:r w:rsidR="000F1BA2" w:rsidRPr="00501FFD">
        <w:rPr>
          <w:rFonts w:ascii="Times New Roman" w:eastAsia="Times New Roman" w:hAnsi="Times New Roman" w:cs="Times New Roman"/>
          <w:lang w:eastAsia="en-AU"/>
        </w:rPr>
        <w:t xml:space="preserve"> safely</w:t>
      </w:r>
      <w:r w:rsidRPr="00501FFD">
        <w:rPr>
          <w:rFonts w:ascii="Times New Roman" w:eastAsia="Times New Roman" w:hAnsi="Times New Roman" w:cs="Times New Roman"/>
          <w:lang w:eastAsia="en-AU"/>
        </w:rPr>
        <w:t>.</w:t>
      </w:r>
      <w:r w:rsidR="00990B1F" w:rsidRPr="00501FFD">
        <w:rPr>
          <w:rFonts w:ascii="Times New Roman" w:eastAsia="Times New Roman" w:hAnsi="Times New Roman" w:cs="Times New Roman"/>
          <w:lang w:eastAsia="en-AU"/>
        </w:rPr>
        <w:t xml:space="preserve"> In particular, </w:t>
      </w:r>
      <w:r w:rsidR="000F1BA2" w:rsidRPr="00501FFD">
        <w:rPr>
          <w:rFonts w:ascii="Times New Roman" w:eastAsia="Times New Roman" w:hAnsi="Times New Roman" w:cs="Times New Roman"/>
          <w:lang w:eastAsia="en-AU"/>
        </w:rPr>
        <w:t xml:space="preserve">the medicines </w:t>
      </w:r>
      <w:r w:rsidR="00990B1F" w:rsidRPr="00501FFD">
        <w:rPr>
          <w:rFonts w:ascii="Times New Roman" w:eastAsia="Times New Roman" w:hAnsi="Times New Roman" w:cs="Times New Roman"/>
          <w:lang w:eastAsia="en-AU"/>
        </w:rPr>
        <w:t xml:space="preserve">may only contain ingredients from </w:t>
      </w:r>
      <w:r w:rsidR="0047199C">
        <w:rPr>
          <w:rFonts w:ascii="Times New Roman" w:eastAsia="Times New Roman" w:hAnsi="Times New Roman" w:cs="Times New Roman"/>
          <w:lang w:eastAsia="en-AU"/>
        </w:rPr>
        <w:t>a specified</w:t>
      </w:r>
      <w:r w:rsidR="00990B1F" w:rsidRPr="00501FFD">
        <w:rPr>
          <w:rFonts w:ascii="Times New Roman" w:eastAsia="Times New Roman" w:hAnsi="Times New Roman" w:cs="Times New Roman"/>
          <w:lang w:eastAsia="en-AU"/>
        </w:rPr>
        <w:t xml:space="preserve"> list</w:t>
      </w:r>
      <w:r w:rsidR="0047199C">
        <w:rPr>
          <w:rFonts w:ascii="Times New Roman" w:eastAsia="Times New Roman" w:hAnsi="Times New Roman" w:cs="Times New Roman"/>
          <w:lang w:eastAsia="en-AU"/>
        </w:rPr>
        <w:t xml:space="preserve"> of ingredients</w:t>
      </w:r>
      <w:r w:rsidR="00990B1F" w:rsidRPr="00501FFD">
        <w:rPr>
          <w:rFonts w:ascii="Times New Roman" w:eastAsia="Times New Roman" w:hAnsi="Times New Roman" w:cs="Times New Roman"/>
          <w:lang w:eastAsia="en-AU"/>
        </w:rPr>
        <w:t xml:space="preserve"> (</w:t>
      </w:r>
      <w:r w:rsidR="0047199C">
        <w:rPr>
          <w:rFonts w:ascii="Times New Roman" w:eastAsia="Times New Roman" w:hAnsi="Times New Roman" w:cs="Times New Roman"/>
          <w:lang w:eastAsia="en-AU"/>
        </w:rPr>
        <w:t xml:space="preserve">currently </w:t>
      </w:r>
      <w:r w:rsidR="00990B1F" w:rsidRPr="00501FFD">
        <w:rPr>
          <w:rFonts w:ascii="Times New Roman" w:eastAsia="Times New Roman" w:hAnsi="Times New Roman" w:cs="Times New Roman"/>
          <w:lang w:eastAsia="en-AU"/>
        </w:rPr>
        <w:t xml:space="preserve">set out in the </w:t>
      </w:r>
      <w:r w:rsidR="00990B1F" w:rsidRPr="00501FFD">
        <w:rPr>
          <w:rFonts w:ascii="Times New Roman" w:eastAsia="Times New Roman" w:hAnsi="Times New Roman" w:cs="Times New Roman"/>
          <w:i/>
          <w:lang w:eastAsia="en-AU"/>
        </w:rPr>
        <w:t>Therapeutic Goods (Permissible Ingredients) Determination (No.</w:t>
      </w:r>
      <w:r w:rsidR="00096642" w:rsidRPr="00501FFD">
        <w:rPr>
          <w:rFonts w:ascii="Times New Roman" w:eastAsia="Times New Roman" w:hAnsi="Times New Roman" w:cs="Times New Roman"/>
          <w:i/>
          <w:lang w:eastAsia="en-AU"/>
        </w:rPr>
        <w:t xml:space="preserve"> </w:t>
      </w:r>
      <w:r w:rsidR="00686D8A">
        <w:rPr>
          <w:rFonts w:ascii="Times New Roman" w:eastAsia="Times New Roman" w:hAnsi="Times New Roman" w:cs="Times New Roman"/>
          <w:i/>
          <w:lang w:eastAsia="en-AU"/>
        </w:rPr>
        <w:t>4</w:t>
      </w:r>
      <w:r w:rsidR="00990B1F" w:rsidRPr="00501FFD">
        <w:rPr>
          <w:rFonts w:ascii="Times New Roman" w:eastAsia="Times New Roman" w:hAnsi="Times New Roman" w:cs="Times New Roman"/>
          <w:i/>
          <w:lang w:eastAsia="en-AU"/>
        </w:rPr>
        <w:t>) 20</w:t>
      </w:r>
      <w:r w:rsidR="000418C4">
        <w:rPr>
          <w:rFonts w:ascii="Times New Roman" w:eastAsia="Times New Roman" w:hAnsi="Times New Roman" w:cs="Times New Roman"/>
          <w:i/>
          <w:lang w:eastAsia="en-AU"/>
        </w:rPr>
        <w:t>20</w:t>
      </w:r>
      <w:r w:rsidR="00990B1F" w:rsidRPr="00501FFD">
        <w:rPr>
          <w:rFonts w:ascii="Times New Roman" w:eastAsia="Times New Roman" w:hAnsi="Times New Roman" w:cs="Times New Roman"/>
          <w:lang w:eastAsia="en-AU"/>
        </w:rPr>
        <w:t xml:space="preserve">)), and </w:t>
      </w:r>
      <w:r w:rsidR="0047199C">
        <w:rPr>
          <w:rFonts w:ascii="Times New Roman" w:eastAsia="Times New Roman" w:hAnsi="Times New Roman" w:cs="Times New Roman"/>
          <w:lang w:eastAsia="en-AU"/>
        </w:rPr>
        <w:t xml:space="preserve">any </w:t>
      </w:r>
      <w:r w:rsidR="000F1BA2" w:rsidRPr="00501FFD">
        <w:rPr>
          <w:rFonts w:ascii="Times New Roman" w:eastAsia="Times New Roman" w:hAnsi="Times New Roman" w:cs="Times New Roman"/>
          <w:lang w:eastAsia="en-AU"/>
        </w:rPr>
        <w:t xml:space="preserve">indications (or therapeutic claims) for those medicines </w:t>
      </w:r>
      <w:r w:rsidR="00686D8A">
        <w:rPr>
          <w:rFonts w:ascii="Times New Roman" w:eastAsia="Times New Roman" w:hAnsi="Times New Roman" w:cs="Times New Roman"/>
          <w:lang w:eastAsia="en-AU"/>
        </w:rPr>
        <w:t>must be</w:t>
      </w:r>
      <w:r w:rsidR="00990B1F" w:rsidRPr="00501FFD">
        <w:rPr>
          <w:rFonts w:ascii="Times New Roman" w:eastAsia="Times New Roman" w:hAnsi="Times New Roman" w:cs="Times New Roman"/>
          <w:lang w:eastAsia="en-AU"/>
        </w:rPr>
        <w:t xml:space="preserve"> </w:t>
      </w:r>
      <w:r w:rsidR="0047199C">
        <w:rPr>
          <w:rFonts w:ascii="Times New Roman" w:eastAsia="Times New Roman" w:hAnsi="Times New Roman" w:cs="Times New Roman"/>
          <w:lang w:eastAsia="en-AU"/>
        </w:rPr>
        <w:t>covered by a list of permissible</w:t>
      </w:r>
      <w:r w:rsidRPr="00501FFD">
        <w:rPr>
          <w:rFonts w:ascii="Times New Roman" w:eastAsia="Times New Roman" w:hAnsi="Times New Roman" w:cs="Times New Roman"/>
          <w:lang w:eastAsia="en-AU"/>
        </w:rPr>
        <w:t xml:space="preserve"> indications </w:t>
      </w:r>
      <w:r w:rsidR="0047199C">
        <w:rPr>
          <w:rFonts w:ascii="Times New Roman" w:eastAsia="Times New Roman" w:hAnsi="Times New Roman" w:cs="Times New Roman"/>
          <w:lang w:eastAsia="en-AU"/>
        </w:rPr>
        <w:t>made</w:t>
      </w:r>
      <w:r w:rsidR="00686D8A">
        <w:rPr>
          <w:rFonts w:ascii="Times New Roman" w:eastAsia="Times New Roman" w:hAnsi="Times New Roman" w:cs="Times New Roman"/>
          <w:lang w:eastAsia="en-AU"/>
        </w:rPr>
        <w:t xml:space="preserve"> by the Minister</w:t>
      </w:r>
      <w:r w:rsidR="0047199C">
        <w:rPr>
          <w:rFonts w:ascii="Times New Roman" w:eastAsia="Times New Roman" w:hAnsi="Times New Roman" w:cs="Times New Roman"/>
          <w:lang w:eastAsia="en-AU"/>
        </w:rPr>
        <w:t xml:space="preserve"> under section 26BF of the Act. These “pre-approved” low-level indications are set out in the Determination </w:t>
      </w:r>
      <w:r w:rsidR="00686D8A">
        <w:rPr>
          <w:rFonts w:ascii="Times New Roman" w:eastAsia="Times New Roman" w:hAnsi="Times New Roman" w:cs="Times New Roman"/>
          <w:lang w:eastAsia="en-AU"/>
        </w:rPr>
        <w:t xml:space="preserve">for this purpose, </w:t>
      </w:r>
      <w:r w:rsidR="0047199C">
        <w:rPr>
          <w:rFonts w:ascii="Times New Roman" w:eastAsia="Times New Roman" w:hAnsi="Times New Roman" w:cs="Times New Roman"/>
          <w:lang w:eastAsia="en-AU"/>
        </w:rPr>
        <w:t xml:space="preserve">and are designed </w:t>
      </w:r>
      <w:r w:rsidRPr="00501FFD">
        <w:rPr>
          <w:rFonts w:ascii="Times New Roman" w:eastAsia="Times New Roman" w:hAnsi="Times New Roman" w:cs="Times New Roman"/>
          <w:lang w:eastAsia="en-AU"/>
        </w:rPr>
        <w:t xml:space="preserve">to ensure that </w:t>
      </w:r>
      <w:r w:rsidR="00686D8A">
        <w:rPr>
          <w:rFonts w:ascii="Times New Roman" w:eastAsia="Times New Roman" w:hAnsi="Times New Roman" w:cs="Times New Roman"/>
          <w:lang w:eastAsia="en-AU"/>
        </w:rPr>
        <w:t xml:space="preserve">the claims of therapeutic use for </w:t>
      </w:r>
      <w:r w:rsidR="000F1BA2" w:rsidRPr="00501FFD">
        <w:rPr>
          <w:rFonts w:ascii="Times New Roman" w:eastAsia="Times New Roman" w:hAnsi="Times New Roman" w:cs="Times New Roman"/>
          <w:lang w:eastAsia="en-AU"/>
        </w:rPr>
        <w:t xml:space="preserve">medicines </w:t>
      </w:r>
      <w:r w:rsidR="0047199C">
        <w:rPr>
          <w:rFonts w:ascii="Times New Roman" w:eastAsia="Times New Roman" w:hAnsi="Times New Roman" w:cs="Times New Roman"/>
          <w:lang w:eastAsia="en-AU"/>
        </w:rPr>
        <w:t xml:space="preserve">listed under section 26A </w:t>
      </w:r>
      <w:r w:rsidRPr="00501FFD">
        <w:rPr>
          <w:rFonts w:ascii="Times New Roman" w:eastAsia="Times New Roman" w:hAnsi="Times New Roman" w:cs="Times New Roman"/>
          <w:lang w:eastAsia="en-AU"/>
        </w:rPr>
        <w:t>do not overstate their respective therapeutic benefits.</w:t>
      </w:r>
    </w:p>
    <w:p w14:paraId="0B93617C" w14:textId="2AFE7026" w:rsidR="00C9764D" w:rsidRPr="00501FFD" w:rsidRDefault="00C9764D" w:rsidP="00990B1F">
      <w:pPr>
        <w:autoSpaceDE w:val="0"/>
        <w:autoSpaceDN w:val="0"/>
        <w:adjustRightInd w:val="0"/>
        <w:spacing w:after="0" w:line="240" w:lineRule="auto"/>
        <w:rPr>
          <w:rFonts w:ascii="Times New Roman" w:eastAsia="Times New Roman" w:hAnsi="Times New Roman" w:cs="Times New Roman"/>
          <w:lang w:eastAsia="en-AU"/>
        </w:rPr>
      </w:pPr>
    </w:p>
    <w:p w14:paraId="5C770EE3" w14:textId="27871B85" w:rsidR="00366461" w:rsidRPr="00501FFD" w:rsidRDefault="00311A17">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Determination specifies both indications and requirements </w:t>
      </w:r>
      <w:r w:rsidR="00B66282" w:rsidRPr="00501FFD">
        <w:rPr>
          <w:rFonts w:ascii="Times New Roman" w:eastAsia="Times New Roman" w:hAnsi="Times New Roman" w:cs="Times New Roman"/>
          <w:lang w:eastAsia="en-AU"/>
        </w:rPr>
        <w:t xml:space="preserve">relating to the use of those indications, </w:t>
      </w:r>
      <w:r w:rsidRPr="00501FFD">
        <w:rPr>
          <w:rFonts w:ascii="Times New Roman" w:eastAsia="Times New Roman" w:hAnsi="Times New Roman" w:cs="Times New Roman"/>
          <w:lang w:eastAsia="en-AU"/>
        </w:rPr>
        <w:t xml:space="preserve">for the purposes of </w:t>
      </w:r>
      <w:r w:rsidR="00B66282" w:rsidRPr="00501FFD">
        <w:rPr>
          <w:rFonts w:ascii="Times New Roman" w:eastAsia="Times New Roman" w:hAnsi="Times New Roman" w:cs="Times New Roman"/>
          <w:lang w:eastAsia="en-AU"/>
        </w:rPr>
        <w:t>paragraphs</w:t>
      </w:r>
      <w:r w:rsidR="003573EE" w:rsidRPr="00501FFD">
        <w:rPr>
          <w:rFonts w:ascii="Times New Roman" w:eastAsia="Times New Roman" w:hAnsi="Times New Roman" w:cs="Times New Roman"/>
          <w:lang w:eastAsia="en-AU"/>
        </w:rPr>
        <w:t xml:space="preserve"> </w:t>
      </w:r>
      <w:r w:rsidR="00643F34" w:rsidRPr="00501FFD">
        <w:rPr>
          <w:rFonts w:ascii="Times New Roman" w:eastAsia="Times New Roman" w:hAnsi="Times New Roman" w:cs="Times New Roman"/>
          <w:lang w:eastAsia="en-AU"/>
        </w:rPr>
        <w:t>26BF(1)</w:t>
      </w:r>
      <w:bookmarkStart w:id="0" w:name="_GoBack"/>
      <w:bookmarkEnd w:id="0"/>
      <w:r w:rsidR="00643F34" w:rsidRPr="00501FFD">
        <w:rPr>
          <w:rFonts w:ascii="Times New Roman" w:eastAsia="Times New Roman" w:hAnsi="Times New Roman" w:cs="Times New Roman"/>
          <w:lang w:eastAsia="en-AU"/>
        </w:rPr>
        <w:t>(a) and (b) of the Act.</w:t>
      </w:r>
      <w:r w:rsidR="0054417F" w:rsidRPr="00501FFD">
        <w:rPr>
          <w:rFonts w:ascii="Times New Roman" w:eastAsia="Times New Roman" w:hAnsi="Times New Roman" w:cs="Times New Roman"/>
          <w:lang w:eastAsia="en-AU"/>
        </w:rPr>
        <w:t xml:space="preserve"> </w:t>
      </w:r>
      <w:r w:rsidR="007C104C">
        <w:rPr>
          <w:rFonts w:ascii="Times New Roman" w:eastAsia="Times New Roman" w:hAnsi="Times New Roman" w:cs="Times New Roman"/>
          <w:lang w:eastAsia="en-AU"/>
        </w:rPr>
        <w:t>As mentioned above, t</w:t>
      </w:r>
      <w:r w:rsidR="0054417F" w:rsidRPr="00501FFD">
        <w:rPr>
          <w:rFonts w:ascii="Times New Roman" w:eastAsia="Times New Roman" w:hAnsi="Times New Roman" w:cs="Times New Roman"/>
          <w:lang w:eastAsia="en-AU"/>
        </w:rPr>
        <w:t xml:space="preserve">he Determination </w:t>
      </w:r>
      <w:r w:rsidR="007C104C">
        <w:rPr>
          <w:rFonts w:ascii="Times New Roman" w:eastAsia="Times New Roman" w:hAnsi="Times New Roman" w:cs="Times New Roman"/>
          <w:lang w:eastAsia="en-AU"/>
        </w:rPr>
        <w:t>enumerates permissible</w:t>
      </w:r>
      <w:r w:rsidR="0054417F" w:rsidRPr="00501FFD">
        <w:rPr>
          <w:rFonts w:ascii="Times New Roman" w:eastAsia="Times New Roman" w:hAnsi="Times New Roman" w:cs="Times New Roman"/>
          <w:lang w:eastAsia="en-AU"/>
        </w:rPr>
        <w:t xml:space="preserve"> indications</w:t>
      </w:r>
      <w:r w:rsidR="000F1BA2" w:rsidRPr="00501FFD">
        <w:rPr>
          <w:rFonts w:ascii="Times New Roman" w:eastAsia="Times New Roman" w:hAnsi="Times New Roman" w:cs="Times New Roman"/>
          <w:lang w:eastAsia="en-AU"/>
        </w:rPr>
        <w:t>,</w:t>
      </w:r>
      <w:r w:rsidR="0054417F" w:rsidRPr="00501FFD">
        <w:rPr>
          <w:rFonts w:ascii="Times New Roman" w:eastAsia="Times New Roman" w:hAnsi="Times New Roman" w:cs="Times New Roman"/>
          <w:lang w:eastAsia="en-AU"/>
        </w:rPr>
        <w:t xml:space="preserve"> which have been </w:t>
      </w:r>
      <w:r w:rsidR="005570EE" w:rsidRPr="00501FFD">
        <w:rPr>
          <w:rFonts w:ascii="Times New Roman" w:eastAsia="Times New Roman" w:hAnsi="Times New Roman" w:cs="Times New Roman"/>
          <w:lang w:eastAsia="en-AU"/>
        </w:rPr>
        <w:t xml:space="preserve">determined to be </w:t>
      </w:r>
      <w:r w:rsidR="007C104C">
        <w:rPr>
          <w:rFonts w:ascii="Times New Roman" w:eastAsia="Times New Roman" w:hAnsi="Times New Roman" w:cs="Times New Roman"/>
          <w:lang w:eastAsia="en-AU"/>
        </w:rPr>
        <w:t xml:space="preserve">sufficiently </w:t>
      </w:r>
      <w:r w:rsidR="005570EE" w:rsidRPr="00501FFD">
        <w:rPr>
          <w:rFonts w:ascii="Times New Roman" w:eastAsia="Times New Roman" w:hAnsi="Times New Roman" w:cs="Times New Roman"/>
          <w:lang w:eastAsia="en-AU"/>
        </w:rPr>
        <w:t>low</w:t>
      </w:r>
      <w:r w:rsidR="007C104C">
        <w:rPr>
          <w:rFonts w:ascii="Times New Roman" w:eastAsia="Times New Roman" w:hAnsi="Times New Roman" w:cs="Times New Roman"/>
          <w:lang w:eastAsia="en-AU"/>
        </w:rPr>
        <w:t>-</w:t>
      </w:r>
      <w:r w:rsidR="005570EE" w:rsidRPr="00501FFD">
        <w:rPr>
          <w:rFonts w:ascii="Times New Roman" w:eastAsia="Times New Roman" w:hAnsi="Times New Roman" w:cs="Times New Roman"/>
          <w:lang w:eastAsia="en-AU"/>
        </w:rPr>
        <w:t>level</w:t>
      </w:r>
      <w:r w:rsidR="0054417F" w:rsidRPr="00501FFD">
        <w:rPr>
          <w:rFonts w:ascii="Times New Roman" w:eastAsia="Times New Roman" w:hAnsi="Times New Roman" w:cs="Times New Roman"/>
          <w:lang w:eastAsia="en-AU"/>
        </w:rPr>
        <w:t xml:space="preserve"> and appropriate for listed medicines. The related requirements are designed to support the </w:t>
      </w:r>
      <w:r w:rsidRPr="00501FFD">
        <w:rPr>
          <w:rFonts w:ascii="Times New Roman" w:eastAsia="Times New Roman" w:hAnsi="Times New Roman" w:cs="Times New Roman"/>
          <w:lang w:eastAsia="en-AU"/>
        </w:rPr>
        <w:t>safe use of medicines for which these indications are to be used.</w:t>
      </w:r>
    </w:p>
    <w:p w14:paraId="5E8308FC" w14:textId="77777777" w:rsidR="00366461" w:rsidRPr="00501FFD" w:rsidRDefault="00366461" w:rsidP="006D3395">
      <w:pPr>
        <w:autoSpaceDE w:val="0"/>
        <w:autoSpaceDN w:val="0"/>
        <w:adjustRightInd w:val="0"/>
        <w:spacing w:after="0" w:line="240" w:lineRule="auto"/>
        <w:rPr>
          <w:rFonts w:ascii="Times New Roman" w:eastAsia="Times New Roman" w:hAnsi="Times New Roman" w:cs="Times New Roman"/>
          <w:lang w:eastAsia="en-AU"/>
        </w:rPr>
      </w:pPr>
    </w:p>
    <w:p w14:paraId="63FC8250" w14:textId="3D5BD17C" w:rsidR="00366461" w:rsidRPr="00501FFD" w:rsidRDefault="00311A17" w:rsidP="006D3395">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lastRenderedPageBreak/>
        <w:t xml:space="preserve">If a person </w:t>
      </w:r>
      <w:r w:rsidR="00F6123D" w:rsidRPr="00501FFD">
        <w:rPr>
          <w:rFonts w:ascii="Times New Roman" w:eastAsia="Times New Roman" w:hAnsi="Times New Roman" w:cs="Times New Roman"/>
          <w:lang w:eastAsia="en-AU"/>
        </w:rPr>
        <w:t xml:space="preserve">making an application for </w:t>
      </w:r>
      <w:r w:rsidR="00A532E9" w:rsidRPr="00501FFD">
        <w:rPr>
          <w:rFonts w:ascii="Times New Roman" w:eastAsia="Times New Roman" w:hAnsi="Times New Roman" w:cs="Times New Roman"/>
          <w:lang w:eastAsia="en-AU"/>
        </w:rPr>
        <w:t xml:space="preserve">the </w:t>
      </w:r>
      <w:r w:rsidR="00F6123D" w:rsidRPr="00501FFD">
        <w:rPr>
          <w:rFonts w:ascii="Times New Roman" w:eastAsia="Times New Roman" w:hAnsi="Times New Roman" w:cs="Times New Roman"/>
          <w:lang w:eastAsia="en-AU"/>
        </w:rPr>
        <w:t xml:space="preserve">listing of a medicine </w:t>
      </w:r>
      <w:r w:rsidRPr="00501FFD">
        <w:rPr>
          <w:rFonts w:ascii="Times New Roman" w:eastAsia="Times New Roman" w:hAnsi="Times New Roman" w:cs="Times New Roman"/>
          <w:lang w:eastAsia="en-AU"/>
        </w:rPr>
        <w:t>incorrectly certifies the matters</w:t>
      </w:r>
      <w:r w:rsidR="001330DA" w:rsidRPr="00501FFD">
        <w:rPr>
          <w:rFonts w:ascii="Times New Roman" w:eastAsia="Times New Roman" w:hAnsi="Times New Roman" w:cs="Times New Roman"/>
          <w:lang w:eastAsia="en-AU"/>
        </w:rPr>
        <w:t xml:space="preserve"> required</w:t>
      </w:r>
      <w:r w:rsidR="00F6123D" w:rsidRPr="00501FFD">
        <w:rPr>
          <w:rFonts w:ascii="Times New Roman" w:eastAsia="Times New Roman" w:hAnsi="Times New Roman" w:cs="Times New Roman"/>
          <w:lang w:eastAsia="en-AU"/>
        </w:rPr>
        <w:t xml:space="preserve"> </w:t>
      </w:r>
      <w:r w:rsidR="00A532E9" w:rsidRPr="00501FFD">
        <w:rPr>
          <w:rFonts w:ascii="Times New Roman" w:eastAsia="Times New Roman" w:hAnsi="Times New Roman" w:cs="Times New Roman"/>
          <w:lang w:eastAsia="en-AU"/>
        </w:rPr>
        <w:t xml:space="preserve">under </w:t>
      </w:r>
      <w:r w:rsidR="00DF3320" w:rsidRPr="00501FFD">
        <w:rPr>
          <w:rFonts w:ascii="Times New Roman" w:eastAsia="Times New Roman" w:hAnsi="Times New Roman" w:cs="Times New Roman"/>
          <w:lang w:eastAsia="en-AU"/>
        </w:rPr>
        <w:t>s</w:t>
      </w:r>
      <w:r w:rsidR="001330DA" w:rsidRPr="00501FFD">
        <w:rPr>
          <w:rFonts w:ascii="Times New Roman" w:eastAsia="Times New Roman" w:hAnsi="Times New Roman" w:cs="Times New Roman"/>
          <w:lang w:eastAsia="en-AU"/>
        </w:rPr>
        <w:t>ubs</w:t>
      </w:r>
      <w:r w:rsidR="00DF3320" w:rsidRPr="00501FFD">
        <w:rPr>
          <w:rFonts w:ascii="Times New Roman" w:eastAsia="Times New Roman" w:hAnsi="Times New Roman" w:cs="Times New Roman"/>
          <w:lang w:eastAsia="en-AU"/>
        </w:rPr>
        <w:t>ection</w:t>
      </w:r>
      <w:r w:rsidR="00A532E9" w:rsidRPr="00501FFD">
        <w:rPr>
          <w:rFonts w:ascii="Times New Roman" w:eastAsia="Times New Roman" w:hAnsi="Times New Roman" w:cs="Times New Roman"/>
          <w:lang w:eastAsia="en-AU"/>
        </w:rPr>
        <w:t xml:space="preserve"> 26A(2)</w:t>
      </w:r>
      <w:r w:rsidR="00DF3320" w:rsidRPr="00501FFD">
        <w:rPr>
          <w:rFonts w:ascii="Times New Roman" w:eastAsia="Times New Roman" w:hAnsi="Times New Roman" w:cs="Times New Roman"/>
          <w:lang w:eastAsia="en-AU"/>
        </w:rPr>
        <w:t xml:space="preserve"> in relation to</w:t>
      </w:r>
      <w:r w:rsidR="00A532E9" w:rsidRPr="00501FFD">
        <w:rPr>
          <w:rFonts w:ascii="Times New Roman" w:eastAsia="Times New Roman" w:hAnsi="Times New Roman" w:cs="Times New Roman"/>
          <w:lang w:eastAsia="en-AU"/>
        </w:rPr>
        <w:t xml:space="preserve"> </w:t>
      </w:r>
      <w:r w:rsidR="00F6123D" w:rsidRPr="00501FFD">
        <w:rPr>
          <w:rFonts w:ascii="Times New Roman" w:eastAsia="Times New Roman" w:hAnsi="Times New Roman" w:cs="Times New Roman"/>
          <w:lang w:eastAsia="en-AU"/>
        </w:rPr>
        <w:t>indications</w:t>
      </w:r>
      <w:r w:rsidRPr="00501FFD">
        <w:rPr>
          <w:rFonts w:ascii="Times New Roman" w:eastAsia="Times New Roman" w:hAnsi="Times New Roman" w:cs="Times New Roman"/>
          <w:lang w:eastAsia="en-AU"/>
        </w:rPr>
        <w:t>, the Secretary may cancel</w:t>
      </w:r>
      <w:r w:rsidR="0054417F"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 xml:space="preserve">or </w:t>
      </w:r>
      <w:r w:rsidR="0054417F" w:rsidRPr="00501FFD">
        <w:rPr>
          <w:rFonts w:ascii="Times New Roman" w:eastAsia="Times New Roman" w:hAnsi="Times New Roman" w:cs="Times New Roman"/>
          <w:lang w:eastAsia="en-AU"/>
        </w:rPr>
        <w:t>suspend</w:t>
      </w:r>
      <w:r w:rsidRPr="00501FFD">
        <w:rPr>
          <w:rFonts w:ascii="Times New Roman" w:eastAsia="Times New Roman" w:hAnsi="Times New Roman" w:cs="Times New Roman"/>
          <w:lang w:eastAsia="en-AU"/>
        </w:rPr>
        <w:t xml:space="preserve"> the </w:t>
      </w:r>
      <w:r w:rsidR="00EE581B" w:rsidRPr="00501FFD">
        <w:rPr>
          <w:rFonts w:ascii="Times New Roman" w:eastAsia="Times New Roman" w:hAnsi="Times New Roman" w:cs="Times New Roman"/>
          <w:lang w:eastAsia="en-AU"/>
        </w:rPr>
        <w:t xml:space="preserve">medicine </w:t>
      </w:r>
      <w:r w:rsidRPr="00501FFD">
        <w:rPr>
          <w:rFonts w:ascii="Times New Roman" w:eastAsia="Times New Roman" w:hAnsi="Times New Roman" w:cs="Times New Roman"/>
          <w:lang w:eastAsia="en-AU"/>
        </w:rPr>
        <w:t>from the Register</w:t>
      </w:r>
      <w:r w:rsidR="00847023" w:rsidRPr="00501FFD">
        <w:rPr>
          <w:rFonts w:ascii="Times New Roman" w:eastAsia="Times New Roman" w:hAnsi="Times New Roman" w:cs="Times New Roman"/>
          <w:lang w:eastAsia="en-AU"/>
        </w:rPr>
        <w:t xml:space="preserve"> (paragraphs 30(1)(e) and 29D(1)(b) of the Act refer)</w:t>
      </w:r>
      <w:r w:rsidR="0054417F" w:rsidRPr="00501FFD">
        <w:rPr>
          <w:rFonts w:ascii="Times New Roman" w:eastAsia="Times New Roman" w:hAnsi="Times New Roman" w:cs="Times New Roman"/>
          <w:lang w:eastAsia="en-AU"/>
        </w:rPr>
        <w:t xml:space="preserve">. Criminal </w:t>
      </w:r>
      <w:r w:rsidRPr="00501FFD">
        <w:rPr>
          <w:rFonts w:ascii="Times New Roman" w:eastAsia="Times New Roman" w:hAnsi="Times New Roman" w:cs="Times New Roman"/>
          <w:lang w:eastAsia="en-AU"/>
        </w:rPr>
        <w:t>and civil penalty provisions may apply if a person makes a false or misleading statement in, or in connection with, a certification of a matter under subsection 26A(2) of the Act, including in relation to permissible indications and related requirements (sections</w:t>
      </w:r>
      <w:r w:rsidR="00682238" w:rsidRPr="00501FFD">
        <w:rPr>
          <w:rFonts w:ascii="Times New Roman" w:eastAsia="Times New Roman" w:hAnsi="Times New Roman" w:cs="Times New Roman"/>
          <w:lang w:eastAsia="en-AU"/>
        </w:rPr>
        <w:t xml:space="preserve"> 21A and 21B of the Act refer).</w:t>
      </w:r>
    </w:p>
    <w:p w14:paraId="69201DF0" w14:textId="77777777" w:rsidR="00366461" w:rsidRPr="00501FFD" w:rsidRDefault="00366461" w:rsidP="006D3395">
      <w:pPr>
        <w:autoSpaceDE w:val="0"/>
        <w:autoSpaceDN w:val="0"/>
        <w:adjustRightInd w:val="0"/>
        <w:spacing w:after="0" w:line="240" w:lineRule="auto"/>
        <w:rPr>
          <w:rFonts w:ascii="Times New Roman" w:eastAsia="Times New Roman" w:hAnsi="Times New Roman" w:cs="Times New Roman"/>
          <w:lang w:eastAsia="en-AU"/>
        </w:rPr>
      </w:pPr>
    </w:p>
    <w:p w14:paraId="10296917" w14:textId="33299233" w:rsidR="00311A17" w:rsidRPr="00501FFD" w:rsidRDefault="00311A17" w:rsidP="006D3395">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requirement for listed medicines to use indications </w:t>
      </w:r>
      <w:r w:rsidR="007C104C">
        <w:rPr>
          <w:rFonts w:ascii="Times New Roman" w:eastAsia="Times New Roman" w:hAnsi="Times New Roman" w:cs="Times New Roman"/>
          <w:lang w:eastAsia="en-AU"/>
        </w:rPr>
        <w:t>covered by</w:t>
      </w:r>
      <w:r w:rsidRPr="00501FFD">
        <w:rPr>
          <w:rFonts w:ascii="Times New Roman" w:eastAsia="Times New Roman" w:hAnsi="Times New Roman" w:cs="Times New Roman"/>
          <w:lang w:eastAsia="en-AU"/>
        </w:rPr>
        <w:t xml:space="preserve"> the Determination</w:t>
      </w:r>
      <w:r w:rsidR="006B71A3" w:rsidRPr="00501FFD">
        <w:rPr>
          <w:rFonts w:ascii="Times New Roman" w:eastAsia="Times New Roman" w:hAnsi="Times New Roman" w:cs="Times New Roman"/>
          <w:lang w:eastAsia="en-AU"/>
        </w:rPr>
        <w:t xml:space="preserve"> is designed to</w:t>
      </w:r>
      <w:r w:rsidRPr="00501FFD">
        <w:rPr>
          <w:rFonts w:ascii="Times New Roman" w:eastAsia="Times New Roman" w:hAnsi="Times New Roman" w:cs="Times New Roman"/>
          <w:lang w:eastAsia="en-AU"/>
        </w:rPr>
        <w:t xml:space="preserve"> </w:t>
      </w:r>
      <w:r w:rsidR="00361EA8" w:rsidRPr="00501FFD">
        <w:rPr>
          <w:rFonts w:ascii="Times New Roman" w:eastAsia="Times New Roman" w:hAnsi="Times New Roman" w:cs="Times New Roman"/>
          <w:lang w:eastAsia="en-AU"/>
        </w:rPr>
        <w:t>ensure transparency</w:t>
      </w:r>
      <w:r w:rsidR="00751BE2">
        <w:rPr>
          <w:rFonts w:ascii="Times New Roman" w:eastAsia="Times New Roman" w:hAnsi="Times New Roman" w:cs="Times New Roman"/>
          <w:lang w:eastAsia="en-AU"/>
        </w:rPr>
        <w:t xml:space="preserve">, to </w:t>
      </w:r>
      <w:r w:rsidR="006B71A3" w:rsidRPr="00501FFD">
        <w:rPr>
          <w:rFonts w:ascii="Times New Roman" w:eastAsia="Times New Roman" w:hAnsi="Times New Roman" w:cs="Times New Roman"/>
          <w:lang w:eastAsia="en-AU"/>
        </w:rPr>
        <w:t xml:space="preserve">provide greater protection for consumers from misleading or inappropriate claims in relation to </w:t>
      </w:r>
      <w:r w:rsidR="007C104C">
        <w:rPr>
          <w:rFonts w:ascii="Times New Roman" w:eastAsia="Times New Roman" w:hAnsi="Times New Roman" w:cs="Times New Roman"/>
          <w:lang w:eastAsia="en-AU"/>
        </w:rPr>
        <w:t>such</w:t>
      </w:r>
      <w:r w:rsidR="007C104C" w:rsidRPr="00501FFD">
        <w:rPr>
          <w:rFonts w:ascii="Times New Roman" w:eastAsia="Times New Roman" w:hAnsi="Times New Roman" w:cs="Times New Roman"/>
          <w:lang w:eastAsia="en-AU"/>
        </w:rPr>
        <w:t xml:space="preserve"> </w:t>
      </w:r>
      <w:r w:rsidR="000F1BA2" w:rsidRPr="00501FFD">
        <w:rPr>
          <w:rFonts w:ascii="Times New Roman" w:eastAsia="Times New Roman" w:hAnsi="Times New Roman" w:cs="Times New Roman"/>
          <w:lang w:eastAsia="en-AU"/>
        </w:rPr>
        <w:t>goods</w:t>
      </w:r>
      <w:r w:rsidR="006B71A3" w:rsidRPr="00501FFD">
        <w:rPr>
          <w:rFonts w:ascii="Times New Roman" w:eastAsia="Times New Roman" w:hAnsi="Times New Roman" w:cs="Times New Roman"/>
          <w:lang w:eastAsia="en-AU"/>
        </w:rPr>
        <w:t xml:space="preserve">, </w:t>
      </w:r>
      <w:r w:rsidR="00361EA8" w:rsidRPr="00501FFD">
        <w:rPr>
          <w:rFonts w:ascii="Times New Roman" w:eastAsia="Times New Roman" w:hAnsi="Times New Roman" w:cs="Times New Roman"/>
          <w:lang w:eastAsia="en-AU"/>
        </w:rPr>
        <w:t>and t</w:t>
      </w:r>
      <w:r w:rsidR="006B71A3" w:rsidRPr="00501FFD">
        <w:rPr>
          <w:rFonts w:ascii="Times New Roman" w:eastAsia="Times New Roman" w:hAnsi="Times New Roman" w:cs="Times New Roman"/>
          <w:lang w:eastAsia="en-AU"/>
        </w:rPr>
        <w:t>o</w:t>
      </w:r>
      <w:r w:rsidR="00361EA8" w:rsidRPr="00501FFD">
        <w:rPr>
          <w:rFonts w:ascii="Times New Roman" w:eastAsia="Times New Roman" w:hAnsi="Times New Roman" w:cs="Times New Roman"/>
          <w:lang w:eastAsia="en-AU"/>
        </w:rPr>
        <w:t xml:space="preserve"> </w:t>
      </w:r>
      <w:r w:rsidR="000F1BA2" w:rsidRPr="00501FFD">
        <w:rPr>
          <w:rFonts w:ascii="Times New Roman" w:eastAsia="Times New Roman" w:hAnsi="Times New Roman" w:cs="Times New Roman"/>
          <w:lang w:eastAsia="en-AU"/>
        </w:rPr>
        <w:t xml:space="preserve">otherwise </w:t>
      </w:r>
      <w:r w:rsidRPr="00501FFD">
        <w:rPr>
          <w:rFonts w:ascii="Times New Roman" w:eastAsia="Times New Roman" w:hAnsi="Times New Roman" w:cs="Times New Roman"/>
          <w:lang w:eastAsia="en-AU"/>
        </w:rPr>
        <w:t>assist</w:t>
      </w:r>
      <w:r w:rsidR="00361EA8"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 xml:space="preserve">industry to </w:t>
      </w:r>
      <w:r w:rsidR="002846DA" w:rsidRPr="00501FFD">
        <w:rPr>
          <w:rFonts w:ascii="Times New Roman" w:eastAsia="Times New Roman" w:hAnsi="Times New Roman" w:cs="Times New Roman"/>
          <w:lang w:eastAsia="en-AU"/>
        </w:rPr>
        <w:t xml:space="preserve">use appropriate </w:t>
      </w:r>
      <w:r w:rsidR="00202C24">
        <w:rPr>
          <w:rFonts w:ascii="Times New Roman" w:eastAsia="Times New Roman" w:hAnsi="Times New Roman" w:cs="Times New Roman"/>
          <w:lang w:eastAsia="en-AU"/>
        </w:rPr>
        <w:t xml:space="preserve">low-level </w:t>
      </w:r>
      <w:r w:rsidRPr="00501FFD">
        <w:rPr>
          <w:rFonts w:ascii="Times New Roman" w:eastAsia="Times New Roman" w:hAnsi="Times New Roman" w:cs="Times New Roman"/>
          <w:lang w:eastAsia="en-AU"/>
        </w:rPr>
        <w:t>indications</w:t>
      </w:r>
      <w:r w:rsidR="00202C24">
        <w:rPr>
          <w:rFonts w:ascii="Times New Roman" w:eastAsia="Times New Roman" w:hAnsi="Times New Roman" w:cs="Times New Roman"/>
          <w:lang w:eastAsia="en-AU"/>
        </w:rPr>
        <w:t xml:space="preserve"> </w:t>
      </w:r>
      <w:r w:rsidR="007C104C">
        <w:rPr>
          <w:rFonts w:ascii="Times New Roman" w:eastAsia="Times New Roman" w:hAnsi="Times New Roman" w:cs="Times New Roman"/>
          <w:lang w:eastAsia="en-AU"/>
        </w:rPr>
        <w:t>for</w:t>
      </w:r>
      <w:r w:rsidR="00202C24">
        <w:rPr>
          <w:rFonts w:ascii="Times New Roman" w:eastAsia="Times New Roman" w:hAnsi="Times New Roman" w:cs="Times New Roman"/>
          <w:lang w:eastAsia="en-AU"/>
        </w:rPr>
        <w:t xml:space="preserve"> listed medicines</w:t>
      </w:r>
      <w:r w:rsidRPr="00501FFD">
        <w:rPr>
          <w:rFonts w:ascii="Times New Roman" w:eastAsia="Times New Roman" w:hAnsi="Times New Roman" w:cs="Times New Roman"/>
          <w:lang w:eastAsia="en-AU"/>
        </w:rPr>
        <w:t>.</w:t>
      </w:r>
    </w:p>
    <w:p w14:paraId="1FB15639" w14:textId="77777777" w:rsidR="00B51118" w:rsidRPr="00501FFD" w:rsidRDefault="00B51118">
      <w:pPr>
        <w:autoSpaceDE w:val="0"/>
        <w:autoSpaceDN w:val="0"/>
        <w:adjustRightInd w:val="0"/>
        <w:spacing w:after="0" w:line="240" w:lineRule="auto"/>
        <w:rPr>
          <w:rFonts w:ascii="Times New Roman" w:eastAsia="Times New Roman" w:hAnsi="Times New Roman" w:cs="Times New Roman"/>
          <w:lang w:eastAsia="en-AU"/>
        </w:rPr>
      </w:pPr>
    </w:p>
    <w:p w14:paraId="4902A690" w14:textId="5384D71E" w:rsidR="00311A17" w:rsidRPr="00501FFD" w:rsidRDefault="00E17C2C" w:rsidP="00501FFD">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In making a determination under subsection </w:t>
      </w:r>
      <w:proofErr w:type="gramStart"/>
      <w:r w:rsidRPr="00501FFD">
        <w:rPr>
          <w:rFonts w:ascii="Times New Roman" w:eastAsia="Times New Roman" w:hAnsi="Times New Roman" w:cs="Times New Roman"/>
          <w:lang w:eastAsia="en-AU"/>
        </w:rPr>
        <w:t>26BF(</w:t>
      </w:r>
      <w:proofErr w:type="gramEnd"/>
      <w:r w:rsidRPr="00501FFD">
        <w:rPr>
          <w:rFonts w:ascii="Times New Roman" w:eastAsia="Times New Roman" w:hAnsi="Times New Roman" w:cs="Times New Roman"/>
          <w:lang w:eastAsia="en-AU"/>
        </w:rPr>
        <w:t>1)</w:t>
      </w:r>
      <w:r w:rsidR="00CD1AD1" w:rsidRPr="00501FFD">
        <w:rPr>
          <w:rFonts w:ascii="Times New Roman" w:eastAsia="Times New Roman" w:hAnsi="Times New Roman" w:cs="Times New Roman"/>
          <w:lang w:eastAsia="en-AU"/>
        </w:rPr>
        <w:t xml:space="preserve"> of the Act</w:t>
      </w:r>
      <w:r w:rsidRPr="00501FFD">
        <w:rPr>
          <w:rFonts w:ascii="Times New Roman" w:eastAsia="Times New Roman" w:hAnsi="Times New Roman" w:cs="Times New Roman"/>
          <w:lang w:eastAsia="en-AU"/>
        </w:rPr>
        <w:t>, the Minister may have regard to whether the indication is a therapeutic use that relates to one or more of the following</w:t>
      </w:r>
      <w:r w:rsidR="006D0DA2" w:rsidRPr="00501FFD">
        <w:rPr>
          <w:rFonts w:ascii="Times New Roman" w:eastAsia="Times New Roman" w:hAnsi="Times New Roman" w:cs="Times New Roman"/>
          <w:lang w:eastAsia="en-AU"/>
        </w:rPr>
        <w:t xml:space="preserve"> matters listed in subsection 26BF(2) of the Act</w:t>
      </w:r>
      <w:r w:rsidRPr="00501FFD">
        <w:rPr>
          <w:rFonts w:ascii="Times New Roman" w:eastAsia="Times New Roman" w:hAnsi="Times New Roman" w:cs="Times New Roman"/>
          <w:lang w:eastAsia="en-AU"/>
        </w:rPr>
        <w:t>:</w:t>
      </w:r>
      <w:r w:rsidR="007C104C">
        <w:rPr>
          <w:rFonts w:ascii="Times New Roman" w:eastAsia="Times New Roman" w:hAnsi="Times New Roman" w:cs="Times New Roman"/>
          <w:lang w:eastAsia="en-AU"/>
        </w:rPr>
        <w:t xml:space="preserve"> (a) </w:t>
      </w:r>
      <w:r w:rsidR="008A5B17" w:rsidRPr="00501FFD">
        <w:rPr>
          <w:rFonts w:ascii="Times New Roman" w:eastAsia="Times New Roman" w:hAnsi="Times New Roman" w:cs="Times New Roman"/>
          <w:lang w:eastAsia="en-AU"/>
        </w:rPr>
        <w:t>maintaining health</w:t>
      </w:r>
      <w:r w:rsidR="005570EE" w:rsidRPr="00501FFD">
        <w:rPr>
          <w:rFonts w:ascii="Times New Roman" w:eastAsia="Times New Roman" w:hAnsi="Times New Roman" w:cs="Times New Roman"/>
          <w:lang w:eastAsia="en-AU"/>
        </w:rPr>
        <w:t>;</w:t>
      </w:r>
      <w:r w:rsidR="007C104C">
        <w:rPr>
          <w:rFonts w:ascii="Times New Roman" w:eastAsia="Times New Roman" w:hAnsi="Times New Roman" w:cs="Times New Roman"/>
          <w:lang w:eastAsia="en-AU"/>
        </w:rPr>
        <w:t xml:space="preserve"> (b) </w:t>
      </w:r>
      <w:r w:rsidR="008A5B17" w:rsidRPr="00501FFD">
        <w:rPr>
          <w:rFonts w:ascii="Times New Roman" w:eastAsia="Times New Roman" w:hAnsi="Times New Roman" w:cs="Times New Roman"/>
          <w:lang w:eastAsia="en-AU"/>
        </w:rPr>
        <w:t>enhancing health</w:t>
      </w:r>
      <w:r w:rsidR="005570EE" w:rsidRPr="00501FFD">
        <w:rPr>
          <w:rFonts w:ascii="Times New Roman" w:eastAsia="Times New Roman" w:hAnsi="Times New Roman" w:cs="Times New Roman"/>
          <w:lang w:eastAsia="en-AU"/>
        </w:rPr>
        <w:t>;</w:t>
      </w:r>
      <w:r w:rsidR="007C104C">
        <w:rPr>
          <w:rFonts w:ascii="Times New Roman" w:eastAsia="Times New Roman" w:hAnsi="Times New Roman" w:cs="Times New Roman"/>
          <w:lang w:eastAsia="en-AU"/>
        </w:rPr>
        <w:t xml:space="preserve"> (c) </w:t>
      </w:r>
      <w:r w:rsidR="00311A17" w:rsidRPr="00501FFD">
        <w:rPr>
          <w:rFonts w:ascii="Times New Roman" w:eastAsia="Times New Roman" w:hAnsi="Times New Roman" w:cs="Times New Roman"/>
          <w:lang w:eastAsia="en-AU"/>
        </w:rPr>
        <w:t>preventing a dietary deficiency; and</w:t>
      </w:r>
      <w:r w:rsidR="007C104C">
        <w:rPr>
          <w:rFonts w:ascii="Times New Roman" w:eastAsia="Times New Roman" w:hAnsi="Times New Roman" w:cs="Times New Roman"/>
          <w:lang w:eastAsia="en-AU"/>
        </w:rPr>
        <w:t xml:space="preserve"> (d) </w:t>
      </w:r>
      <w:r w:rsidR="00311A17" w:rsidRPr="00501FFD">
        <w:rPr>
          <w:rFonts w:ascii="Times New Roman" w:eastAsia="Times New Roman" w:hAnsi="Times New Roman" w:cs="Times New Roman"/>
          <w:lang w:eastAsia="en-AU"/>
        </w:rPr>
        <w:t>a disease, ailment, defect or injury, other than a serious form of the disease, ailment, defect or injury.</w:t>
      </w:r>
    </w:p>
    <w:p w14:paraId="05BCB8DC" w14:textId="77777777" w:rsidR="006B2521" w:rsidRPr="00501FFD" w:rsidRDefault="00E23FBE" w:rsidP="00FB7FB5">
      <w:pPr>
        <w:autoSpaceDE w:val="0"/>
        <w:autoSpaceDN w:val="0"/>
        <w:adjustRightInd w:val="0"/>
        <w:spacing w:before="120"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The Determination also authorises the use of a</w:t>
      </w:r>
      <w:r w:rsidR="00311A17" w:rsidRPr="00501FFD">
        <w:rPr>
          <w:rFonts w:ascii="Times New Roman" w:eastAsia="Times New Roman" w:hAnsi="Times New Roman" w:cs="Times New Roman"/>
          <w:lang w:eastAsia="en-AU"/>
        </w:rPr>
        <w:t xml:space="preserve"> small number of indications </w:t>
      </w:r>
      <w:r w:rsidRPr="00501FFD">
        <w:rPr>
          <w:rFonts w:ascii="Times New Roman" w:eastAsia="Times New Roman" w:hAnsi="Times New Roman" w:cs="Times New Roman"/>
          <w:lang w:eastAsia="en-AU"/>
        </w:rPr>
        <w:t xml:space="preserve">that </w:t>
      </w:r>
      <w:r w:rsidR="00311A17" w:rsidRPr="00501FFD">
        <w:rPr>
          <w:rFonts w:ascii="Times New Roman" w:eastAsia="Times New Roman" w:hAnsi="Times New Roman" w:cs="Times New Roman"/>
          <w:lang w:eastAsia="en-AU"/>
        </w:rPr>
        <w:t xml:space="preserve">extend </w:t>
      </w:r>
      <w:r w:rsidR="002F3A90" w:rsidRPr="00501FFD">
        <w:rPr>
          <w:rFonts w:ascii="Times New Roman" w:eastAsia="Times New Roman" w:hAnsi="Times New Roman" w:cs="Times New Roman"/>
          <w:lang w:eastAsia="en-AU"/>
        </w:rPr>
        <w:t>beyond the principal matters identified above</w:t>
      </w:r>
      <w:r w:rsidRPr="00501FFD">
        <w:rPr>
          <w:rFonts w:ascii="Times New Roman" w:eastAsia="Times New Roman" w:hAnsi="Times New Roman" w:cs="Times New Roman"/>
          <w:lang w:eastAsia="en-AU"/>
        </w:rPr>
        <w:t>. T</w:t>
      </w:r>
      <w:r w:rsidR="00311A17" w:rsidRPr="00501FFD">
        <w:rPr>
          <w:rFonts w:ascii="Times New Roman" w:eastAsia="Times New Roman" w:hAnsi="Times New Roman" w:cs="Times New Roman"/>
          <w:lang w:eastAsia="en-AU"/>
        </w:rPr>
        <w:t>hese</w:t>
      </w:r>
      <w:r w:rsidR="006B2521" w:rsidRPr="00501FFD">
        <w:rPr>
          <w:rFonts w:ascii="Times New Roman" w:eastAsia="Times New Roman" w:hAnsi="Times New Roman" w:cs="Times New Roman"/>
          <w:lang w:eastAsia="en-AU"/>
        </w:rPr>
        <w:t xml:space="preserve"> </w:t>
      </w:r>
      <w:r w:rsidR="00311A17" w:rsidRPr="00501FFD">
        <w:rPr>
          <w:rFonts w:ascii="Times New Roman" w:eastAsia="Times New Roman" w:hAnsi="Times New Roman" w:cs="Times New Roman"/>
          <w:lang w:eastAsia="en-AU"/>
        </w:rPr>
        <w:t>indications relate to</w:t>
      </w:r>
      <w:r w:rsidR="006B2521" w:rsidRPr="00501FFD">
        <w:rPr>
          <w:rFonts w:ascii="Times New Roman" w:eastAsia="Times New Roman" w:hAnsi="Times New Roman" w:cs="Times New Roman"/>
          <w:lang w:eastAsia="en-AU"/>
        </w:rPr>
        <w:t xml:space="preserve"> the following:</w:t>
      </w:r>
    </w:p>
    <w:p w14:paraId="340C7B88" w14:textId="77777777" w:rsidR="006B2521" w:rsidRPr="00501FFD" w:rsidRDefault="00311A17">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the link between vitamin D and calcium (referring to osteoporosis)</w:t>
      </w:r>
      <w:r w:rsidR="006B2521" w:rsidRPr="00501FFD">
        <w:rPr>
          <w:rFonts w:ascii="Times New Roman" w:eastAsia="Times New Roman" w:hAnsi="Times New Roman" w:cs="Times New Roman"/>
          <w:lang w:eastAsia="en-AU"/>
        </w:rPr>
        <w:t>;</w:t>
      </w:r>
    </w:p>
    <w:p w14:paraId="5DEBDF4E" w14:textId="2A3D8725" w:rsidR="006B2521" w:rsidRPr="00501FFD" w:rsidRDefault="00311A17">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the link between folic acid and neural tube defects</w:t>
      </w:r>
      <w:r w:rsidR="006B2521"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 xml:space="preserve"> and</w:t>
      </w:r>
    </w:p>
    <w:p w14:paraId="3CE29771" w14:textId="157669D7" w:rsidR="00261C1F" w:rsidRPr="00501FFD" w:rsidRDefault="00311A17">
      <w:pPr>
        <w:pStyle w:val="ListParagraph"/>
        <w:numPr>
          <w:ilvl w:val="0"/>
          <w:numId w:val="7"/>
        </w:numPr>
        <w:autoSpaceDE w:val="0"/>
        <w:autoSpaceDN w:val="0"/>
        <w:adjustRightInd w:val="0"/>
        <w:spacing w:after="0" w:line="240" w:lineRule="auto"/>
        <w:rPr>
          <w:rFonts w:ascii="Times New Roman" w:eastAsia="Times New Roman" w:hAnsi="Times New Roman" w:cs="Times New Roman"/>
          <w:lang w:eastAsia="en-AU"/>
        </w:rPr>
      </w:pPr>
      <w:proofErr w:type="gramStart"/>
      <w:r w:rsidRPr="00501FFD">
        <w:rPr>
          <w:rFonts w:ascii="Times New Roman" w:eastAsia="Times New Roman" w:hAnsi="Times New Roman" w:cs="Times New Roman"/>
          <w:lang w:eastAsia="en-AU"/>
        </w:rPr>
        <w:t>the</w:t>
      </w:r>
      <w:proofErr w:type="gramEnd"/>
      <w:r w:rsidRPr="00501FFD">
        <w:rPr>
          <w:rFonts w:ascii="Times New Roman" w:eastAsia="Times New Roman" w:hAnsi="Times New Roman" w:cs="Times New Roman"/>
          <w:lang w:eastAsia="en-AU"/>
        </w:rPr>
        <w:t xml:space="preserve"> use of broad spectrum sunscreens with a sun protection factor of 30 or higher in relation to the prevention of skin cancer.</w:t>
      </w:r>
    </w:p>
    <w:p w14:paraId="5BD8974D" w14:textId="77777777" w:rsidR="00261C1F" w:rsidRPr="00501FFD" w:rsidRDefault="00261C1F" w:rsidP="009826D1">
      <w:pPr>
        <w:pStyle w:val="ListParagraph"/>
        <w:autoSpaceDE w:val="0"/>
        <w:autoSpaceDN w:val="0"/>
        <w:adjustRightInd w:val="0"/>
        <w:spacing w:after="0" w:line="240" w:lineRule="auto"/>
        <w:ind w:left="0"/>
        <w:rPr>
          <w:rFonts w:ascii="Times New Roman" w:eastAsia="Times New Roman" w:hAnsi="Times New Roman" w:cs="Times New Roman"/>
          <w:lang w:eastAsia="en-AU"/>
        </w:rPr>
      </w:pPr>
    </w:p>
    <w:p w14:paraId="1F31493B" w14:textId="1D714C34" w:rsidR="006D0DA2" w:rsidRPr="00501FFD" w:rsidRDefault="00311A17" w:rsidP="006D3395">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inclusion of </w:t>
      </w:r>
      <w:r w:rsidR="006D0DA2" w:rsidRPr="00501FFD">
        <w:rPr>
          <w:rFonts w:ascii="Times New Roman" w:eastAsia="Times New Roman" w:hAnsi="Times New Roman" w:cs="Times New Roman"/>
          <w:lang w:eastAsia="en-AU"/>
        </w:rPr>
        <w:t>such</w:t>
      </w:r>
      <w:r w:rsidR="006B2521" w:rsidRPr="00501FFD">
        <w:rPr>
          <w:rFonts w:ascii="Times New Roman" w:eastAsia="Times New Roman" w:hAnsi="Times New Roman" w:cs="Times New Roman"/>
          <w:lang w:eastAsia="en-AU"/>
        </w:rPr>
        <w:t xml:space="preserve"> indications</w:t>
      </w:r>
      <w:r w:rsidRPr="00501FFD">
        <w:rPr>
          <w:rFonts w:ascii="Times New Roman" w:eastAsia="Times New Roman" w:hAnsi="Times New Roman" w:cs="Times New Roman"/>
          <w:lang w:eastAsia="en-AU"/>
        </w:rPr>
        <w:t xml:space="preserve"> in the Determination principally reflects</w:t>
      </w:r>
      <w:r w:rsidR="006B2521" w:rsidRPr="00501FFD">
        <w:rPr>
          <w:rFonts w:ascii="Times New Roman" w:eastAsia="Times New Roman" w:hAnsi="Times New Roman" w:cs="Times New Roman"/>
          <w:lang w:eastAsia="en-AU"/>
        </w:rPr>
        <w:t xml:space="preserve"> the importance of</w:t>
      </w:r>
      <w:r w:rsidRPr="00501FFD">
        <w:rPr>
          <w:rFonts w:ascii="Times New Roman" w:eastAsia="Times New Roman" w:hAnsi="Times New Roman" w:cs="Times New Roman"/>
          <w:lang w:eastAsia="en-AU"/>
        </w:rPr>
        <w:t xml:space="preserve"> </w:t>
      </w:r>
      <w:r w:rsidR="006D0DA2" w:rsidRPr="00501FFD">
        <w:rPr>
          <w:rFonts w:ascii="Times New Roman" w:eastAsia="Times New Roman" w:hAnsi="Times New Roman" w:cs="Times New Roman"/>
          <w:lang w:eastAsia="en-AU"/>
        </w:rPr>
        <w:t xml:space="preserve">these indications in relation to </w:t>
      </w:r>
      <w:r w:rsidRPr="00501FFD">
        <w:rPr>
          <w:rFonts w:ascii="Times New Roman" w:eastAsia="Times New Roman" w:hAnsi="Times New Roman" w:cs="Times New Roman"/>
          <w:lang w:eastAsia="en-AU"/>
        </w:rPr>
        <w:t>public health</w:t>
      </w:r>
      <w:r w:rsidR="00202C24">
        <w:rPr>
          <w:rFonts w:ascii="Times New Roman" w:eastAsia="Times New Roman" w:hAnsi="Times New Roman" w:cs="Times New Roman"/>
          <w:lang w:eastAsia="en-AU"/>
        </w:rPr>
        <w:t xml:space="preserve"> and</w:t>
      </w:r>
      <w:r w:rsidRPr="00501FFD">
        <w:rPr>
          <w:rFonts w:ascii="Times New Roman" w:eastAsia="Times New Roman" w:hAnsi="Times New Roman" w:cs="Times New Roman"/>
          <w:lang w:eastAsia="en-AU"/>
        </w:rPr>
        <w:t xml:space="preserve"> </w:t>
      </w:r>
      <w:r w:rsidR="006D0DA2" w:rsidRPr="00501FFD">
        <w:rPr>
          <w:rFonts w:ascii="Times New Roman" w:eastAsia="Times New Roman" w:hAnsi="Times New Roman" w:cs="Times New Roman"/>
          <w:lang w:eastAsia="en-AU"/>
        </w:rPr>
        <w:t xml:space="preserve">their </w:t>
      </w:r>
      <w:r w:rsidRPr="00501FFD">
        <w:rPr>
          <w:rFonts w:ascii="Times New Roman" w:eastAsia="Times New Roman" w:hAnsi="Times New Roman" w:cs="Times New Roman"/>
          <w:lang w:eastAsia="en-AU"/>
        </w:rPr>
        <w:t xml:space="preserve">history of </w:t>
      </w:r>
      <w:r w:rsidR="00C36D48">
        <w:rPr>
          <w:rFonts w:ascii="Times New Roman" w:eastAsia="Times New Roman" w:hAnsi="Times New Roman" w:cs="Times New Roman"/>
          <w:lang w:eastAsia="en-AU"/>
        </w:rPr>
        <w:t>s</w:t>
      </w:r>
      <w:r w:rsidR="007F21CA">
        <w:rPr>
          <w:rFonts w:ascii="Times New Roman" w:eastAsia="Times New Roman" w:hAnsi="Times New Roman" w:cs="Times New Roman"/>
          <w:lang w:eastAsia="en-AU"/>
        </w:rPr>
        <w:t>a</w:t>
      </w:r>
      <w:r w:rsidR="00C36D48">
        <w:rPr>
          <w:rFonts w:ascii="Times New Roman" w:eastAsia="Times New Roman" w:hAnsi="Times New Roman" w:cs="Times New Roman"/>
          <w:lang w:eastAsia="en-AU"/>
        </w:rPr>
        <w:t xml:space="preserve">fe </w:t>
      </w:r>
      <w:r w:rsidRPr="00501FFD">
        <w:rPr>
          <w:rFonts w:ascii="Times New Roman" w:eastAsia="Times New Roman" w:hAnsi="Times New Roman" w:cs="Times New Roman"/>
          <w:lang w:eastAsia="en-AU"/>
        </w:rPr>
        <w:t>use.</w:t>
      </w:r>
    </w:p>
    <w:p w14:paraId="40D31142" w14:textId="77777777" w:rsidR="006D0DA2" w:rsidRPr="00501FFD" w:rsidRDefault="006D0DA2" w:rsidP="006D3395">
      <w:pPr>
        <w:autoSpaceDE w:val="0"/>
        <w:autoSpaceDN w:val="0"/>
        <w:adjustRightInd w:val="0"/>
        <w:spacing w:after="0" w:line="240" w:lineRule="auto"/>
        <w:rPr>
          <w:rFonts w:ascii="Times New Roman" w:eastAsia="Times New Roman" w:hAnsi="Times New Roman" w:cs="Times New Roman"/>
          <w:lang w:eastAsia="en-AU"/>
        </w:rPr>
      </w:pPr>
    </w:p>
    <w:p w14:paraId="7C49ECFC" w14:textId="1D89811F" w:rsidR="00366461" w:rsidRPr="00501FFD" w:rsidRDefault="00E23FBE" w:rsidP="006D3395">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In relation to the authority for including </w:t>
      </w:r>
      <w:r w:rsidR="00474DBE">
        <w:rPr>
          <w:rFonts w:ascii="Times New Roman" w:eastAsia="Times New Roman" w:hAnsi="Times New Roman" w:cs="Times New Roman"/>
          <w:lang w:eastAsia="en-AU"/>
        </w:rPr>
        <w:t xml:space="preserve">these </w:t>
      </w:r>
      <w:r w:rsidRPr="00501FFD">
        <w:rPr>
          <w:rFonts w:ascii="Times New Roman" w:eastAsia="Times New Roman" w:hAnsi="Times New Roman" w:cs="Times New Roman"/>
          <w:lang w:eastAsia="en-AU"/>
        </w:rPr>
        <w:t>indications in the Determination, s</w:t>
      </w:r>
      <w:r w:rsidR="006D0DA2" w:rsidRPr="00501FFD">
        <w:rPr>
          <w:rFonts w:ascii="Times New Roman" w:eastAsia="Times New Roman" w:hAnsi="Times New Roman" w:cs="Times New Roman"/>
          <w:lang w:eastAsia="en-AU"/>
        </w:rPr>
        <w:t xml:space="preserve">ubsection </w:t>
      </w:r>
      <w:proofErr w:type="gramStart"/>
      <w:r w:rsidR="006D0DA2" w:rsidRPr="00501FFD">
        <w:rPr>
          <w:rFonts w:ascii="Times New Roman" w:eastAsia="Times New Roman" w:hAnsi="Times New Roman" w:cs="Times New Roman"/>
          <w:lang w:eastAsia="en-AU"/>
        </w:rPr>
        <w:t>26BF(</w:t>
      </w:r>
      <w:proofErr w:type="gramEnd"/>
      <w:r w:rsidR="006D0DA2" w:rsidRPr="00501FFD">
        <w:rPr>
          <w:rFonts w:ascii="Times New Roman" w:eastAsia="Times New Roman" w:hAnsi="Times New Roman" w:cs="Times New Roman"/>
          <w:lang w:eastAsia="en-AU"/>
        </w:rPr>
        <w:t>3) of the Act makes it clear that the list of matters set out in subsection 26BF(2) (outlined above) does not limit the matters to which the Minister may have regard in deciding whether to make a determination under subsection 26BF(1) in relation to a particular indication.</w:t>
      </w:r>
    </w:p>
    <w:p w14:paraId="3B1581D9" w14:textId="77777777" w:rsidR="00366461" w:rsidRPr="00501FFD" w:rsidRDefault="00366461" w:rsidP="006D3395">
      <w:pPr>
        <w:autoSpaceDE w:val="0"/>
        <w:autoSpaceDN w:val="0"/>
        <w:adjustRightInd w:val="0"/>
        <w:spacing w:after="0" w:line="240" w:lineRule="auto"/>
        <w:rPr>
          <w:rFonts w:ascii="Times New Roman" w:eastAsia="Times New Roman" w:hAnsi="Times New Roman" w:cs="Times New Roman"/>
          <w:lang w:eastAsia="en-AU"/>
        </w:rPr>
      </w:pPr>
    </w:p>
    <w:p w14:paraId="432336E0" w14:textId="6E75D8D7" w:rsidR="00311A17" w:rsidRPr="00501FFD" w:rsidRDefault="009E1C18" w:rsidP="006D3395">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It </w:t>
      </w:r>
      <w:r w:rsidR="006D0DA2" w:rsidRPr="00501FFD">
        <w:rPr>
          <w:rFonts w:ascii="Times New Roman" w:eastAsia="Times New Roman" w:hAnsi="Times New Roman" w:cs="Times New Roman"/>
          <w:lang w:eastAsia="en-AU"/>
        </w:rPr>
        <w:t xml:space="preserve">should also be noted that </w:t>
      </w:r>
      <w:r w:rsidR="001330DA" w:rsidRPr="00501FFD">
        <w:rPr>
          <w:rFonts w:ascii="Times New Roman" w:eastAsia="Times New Roman" w:hAnsi="Times New Roman" w:cs="Times New Roman"/>
          <w:lang w:eastAsia="en-AU"/>
        </w:rPr>
        <w:t xml:space="preserve">paragraph </w:t>
      </w:r>
      <w:r w:rsidR="006D0DA2" w:rsidRPr="00501FFD">
        <w:rPr>
          <w:rFonts w:ascii="Times New Roman" w:eastAsia="Times New Roman" w:hAnsi="Times New Roman" w:cs="Times New Roman"/>
          <w:lang w:eastAsia="en-AU"/>
        </w:rPr>
        <w:t>5</w:t>
      </w:r>
      <w:r w:rsidR="001330DA" w:rsidRPr="00501FFD">
        <w:rPr>
          <w:rFonts w:ascii="Times New Roman" w:eastAsia="Times New Roman" w:hAnsi="Times New Roman" w:cs="Times New Roman"/>
          <w:lang w:eastAsia="en-AU"/>
        </w:rPr>
        <w:t>(b)</w:t>
      </w:r>
      <w:r w:rsidR="00311A17" w:rsidRPr="00501FFD">
        <w:rPr>
          <w:rFonts w:ascii="Times New Roman" w:eastAsia="Times New Roman" w:hAnsi="Times New Roman" w:cs="Times New Roman"/>
          <w:lang w:eastAsia="en-AU"/>
        </w:rPr>
        <w:t xml:space="preserve"> of the Determination has the effect of allowing </w:t>
      </w:r>
      <w:r w:rsidR="00751BE2">
        <w:rPr>
          <w:rFonts w:ascii="Times New Roman" w:eastAsia="Times New Roman" w:hAnsi="Times New Roman" w:cs="Times New Roman"/>
          <w:lang w:eastAsia="en-AU"/>
        </w:rPr>
        <w:t>persons in whose names medicines are included in the Register</w:t>
      </w:r>
      <w:r w:rsidR="00751BE2" w:rsidRPr="00501FFD">
        <w:rPr>
          <w:rFonts w:ascii="Times New Roman" w:eastAsia="Times New Roman" w:hAnsi="Times New Roman" w:cs="Times New Roman"/>
          <w:lang w:eastAsia="en-AU"/>
        </w:rPr>
        <w:t xml:space="preserve"> </w:t>
      </w:r>
      <w:r w:rsidR="00311A17" w:rsidRPr="00501FFD">
        <w:rPr>
          <w:rFonts w:ascii="Times New Roman" w:eastAsia="Times New Roman" w:hAnsi="Times New Roman" w:cs="Times New Roman"/>
          <w:lang w:eastAsia="en-AU"/>
        </w:rPr>
        <w:t xml:space="preserve">to modify a </w:t>
      </w:r>
      <w:r w:rsidR="00E23FBE" w:rsidRPr="00501FFD">
        <w:rPr>
          <w:rFonts w:ascii="Times New Roman" w:eastAsia="Times New Roman" w:hAnsi="Times New Roman" w:cs="Times New Roman"/>
          <w:lang w:eastAsia="en-AU"/>
        </w:rPr>
        <w:t xml:space="preserve">permissible </w:t>
      </w:r>
      <w:r w:rsidR="00CD1AD1" w:rsidRPr="00501FFD">
        <w:rPr>
          <w:rFonts w:ascii="Times New Roman" w:eastAsia="Times New Roman" w:hAnsi="Times New Roman" w:cs="Times New Roman"/>
          <w:lang w:eastAsia="en-AU"/>
        </w:rPr>
        <w:t xml:space="preserve">indication, </w:t>
      </w:r>
      <w:r w:rsidR="00311A17" w:rsidRPr="00501FFD">
        <w:rPr>
          <w:rFonts w:ascii="Times New Roman" w:eastAsia="Times New Roman" w:hAnsi="Times New Roman" w:cs="Times New Roman"/>
          <w:lang w:eastAsia="en-AU"/>
        </w:rPr>
        <w:t xml:space="preserve">to align with the supporting evidence </w:t>
      </w:r>
      <w:r w:rsidR="00751BE2">
        <w:rPr>
          <w:rFonts w:ascii="Times New Roman" w:eastAsia="Times New Roman" w:hAnsi="Times New Roman" w:cs="Times New Roman"/>
          <w:lang w:eastAsia="en-AU"/>
        </w:rPr>
        <w:t>that person</w:t>
      </w:r>
      <w:r w:rsidR="00202C24">
        <w:rPr>
          <w:rFonts w:ascii="Times New Roman" w:eastAsia="Times New Roman" w:hAnsi="Times New Roman" w:cs="Times New Roman"/>
          <w:lang w:eastAsia="en-AU"/>
        </w:rPr>
        <w:t xml:space="preserve"> </w:t>
      </w:r>
      <w:r w:rsidR="00311A17" w:rsidRPr="00501FFD">
        <w:rPr>
          <w:rFonts w:ascii="Times New Roman" w:eastAsia="Times New Roman" w:hAnsi="Times New Roman" w:cs="Times New Roman"/>
          <w:lang w:eastAsia="en-AU"/>
        </w:rPr>
        <w:t>hold</w:t>
      </w:r>
      <w:r w:rsidR="00202C24">
        <w:rPr>
          <w:rFonts w:ascii="Times New Roman" w:eastAsia="Times New Roman" w:hAnsi="Times New Roman" w:cs="Times New Roman"/>
          <w:lang w:eastAsia="en-AU"/>
        </w:rPr>
        <w:t>s</w:t>
      </w:r>
      <w:r w:rsidR="00311A17" w:rsidRPr="00501FFD">
        <w:rPr>
          <w:rFonts w:ascii="Times New Roman" w:eastAsia="Times New Roman" w:hAnsi="Times New Roman" w:cs="Times New Roman"/>
          <w:lang w:eastAsia="en-AU"/>
        </w:rPr>
        <w:t xml:space="preserve"> </w:t>
      </w:r>
      <w:r w:rsidR="00751BE2">
        <w:rPr>
          <w:rFonts w:ascii="Times New Roman" w:eastAsia="Times New Roman" w:hAnsi="Times New Roman" w:cs="Times New Roman"/>
          <w:lang w:eastAsia="en-AU"/>
        </w:rPr>
        <w:t>in relation to the</w:t>
      </w:r>
      <w:r w:rsidR="00311A17" w:rsidRPr="00501FFD">
        <w:rPr>
          <w:rFonts w:ascii="Times New Roman" w:eastAsia="Times New Roman" w:hAnsi="Times New Roman" w:cs="Times New Roman"/>
          <w:lang w:eastAsia="en-AU"/>
        </w:rPr>
        <w:t xml:space="preserve"> medicine</w:t>
      </w:r>
      <w:r w:rsidR="00CD1AD1"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 xml:space="preserve"> by using qualifying statements contained in the </w:t>
      </w:r>
      <w:r w:rsidR="00D52C7F">
        <w:rPr>
          <w:rFonts w:ascii="Times New Roman" w:eastAsia="Times New Roman" w:hAnsi="Times New Roman" w:cs="Times New Roman"/>
          <w:lang w:eastAsia="en-AU"/>
        </w:rPr>
        <w:t>c</w:t>
      </w:r>
      <w:r w:rsidR="00311A17" w:rsidRPr="00501FFD">
        <w:rPr>
          <w:rFonts w:ascii="Times New Roman" w:eastAsia="Times New Roman" w:hAnsi="Times New Roman" w:cs="Times New Roman"/>
          <w:lang w:eastAsia="en-AU"/>
        </w:rPr>
        <w:t xml:space="preserve">ode </w:t>
      </w:r>
      <w:r w:rsidR="00D52C7F">
        <w:rPr>
          <w:rFonts w:ascii="Times New Roman" w:eastAsia="Times New Roman" w:hAnsi="Times New Roman" w:cs="Times New Roman"/>
          <w:lang w:eastAsia="en-AU"/>
        </w:rPr>
        <w:t>t</w:t>
      </w:r>
      <w:r w:rsidR="00311A17" w:rsidRPr="00501FFD">
        <w:rPr>
          <w:rFonts w:ascii="Times New Roman" w:eastAsia="Times New Roman" w:hAnsi="Times New Roman" w:cs="Times New Roman"/>
          <w:lang w:eastAsia="en-AU"/>
        </w:rPr>
        <w:t>ables document</w:t>
      </w:r>
      <w:r w:rsidR="00250627" w:rsidRPr="00501FFD">
        <w:rPr>
          <w:rFonts w:ascii="Times New Roman" w:eastAsia="Times New Roman" w:hAnsi="Times New Roman" w:cs="Times New Roman"/>
          <w:lang w:eastAsia="en-AU"/>
        </w:rPr>
        <w:t xml:space="preserve"> </w:t>
      </w:r>
      <w:r w:rsidR="00004031" w:rsidRPr="00501FFD">
        <w:rPr>
          <w:rFonts w:ascii="Times New Roman" w:eastAsia="Times New Roman" w:hAnsi="Times New Roman" w:cs="Times New Roman"/>
          <w:lang w:eastAsia="en-AU"/>
        </w:rPr>
        <w:t>published by the TGA</w:t>
      </w:r>
      <w:r w:rsidR="00250627" w:rsidRPr="00501FFD">
        <w:rPr>
          <w:rFonts w:ascii="Times New Roman" w:eastAsia="Times New Roman" w:hAnsi="Times New Roman" w:cs="Times New Roman"/>
          <w:lang w:eastAsia="en-AU"/>
        </w:rPr>
        <w:t xml:space="preserve"> </w:t>
      </w:r>
      <w:r w:rsidR="00311A17" w:rsidRPr="00501FFD">
        <w:rPr>
          <w:rFonts w:ascii="Times New Roman" w:eastAsia="Times New Roman" w:hAnsi="Times New Roman" w:cs="Times New Roman"/>
          <w:lang w:eastAsia="en-AU"/>
        </w:rPr>
        <w:t>(as at the commencement of th</w:t>
      </w:r>
      <w:r w:rsidR="00F96C07" w:rsidRPr="00501FFD">
        <w:rPr>
          <w:rFonts w:ascii="Times New Roman" w:eastAsia="Times New Roman" w:hAnsi="Times New Roman" w:cs="Times New Roman"/>
          <w:lang w:eastAsia="en-AU"/>
        </w:rPr>
        <w:t>e Determination</w:t>
      </w:r>
      <w:r w:rsidR="00311A17" w:rsidRPr="00501FFD">
        <w:rPr>
          <w:rFonts w:ascii="Times New Roman" w:eastAsia="Times New Roman" w:hAnsi="Times New Roman" w:cs="Times New Roman"/>
          <w:lang w:eastAsia="en-AU"/>
        </w:rPr>
        <w:t>)</w:t>
      </w:r>
      <w:r w:rsidR="006D0DA2"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 xml:space="preserve"> </w:t>
      </w:r>
      <w:r w:rsidR="00B55545" w:rsidRPr="00501FFD">
        <w:rPr>
          <w:rFonts w:ascii="Times New Roman" w:eastAsia="Times New Roman" w:hAnsi="Times New Roman" w:cs="Times New Roman"/>
          <w:lang w:eastAsia="en-AU"/>
        </w:rPr>
        <w:t xml:space="preserve">Paragraph </w:t>
      </w:r>
      <w:r w:rsidR="006D0DA2" w:rsidRPr="00501FFD">
        <w:rPr>
          <w:rFonts w:ascii="Times New Roman" w:eastAsia="Times New Roman" w:hAnsi="Times New Roman" w:cs="Times New Roman"/>
          <w:lang w:eastAsia="en-AU"/>
        </w:rPr>
        <w:t>5</w:t>
      </w:r>
      <w:r w:rsidR="00B55545" w:rsidRPr="00501FFD">
        <w:rPr>
          <w:rFonts w:ascii="Times New Roman" w:eastAsia="Times New Roman" w:hAnsi="Times New Roman" w:cs="Times New Roman"/>
          <w:lang w:eastAsia="en-AU"/>
        </w:rPr>
        <w:t>(b)</w:t>
      </w:r>
      <w:r w:rsidR="006D0DA2" w:rsidRPr="00501FFD">
        <w:rPr>
          <w:rFonts w:ascii="Times New Roman" w:eastAsia="Times New Roman" w:hAnsi="Times New Roman" w:cs="Times New Roman"/>
          <w:lang w:eastAsia="en-AU"/>
        </w:rPr>
        <w:t xml:space="preserve"> of the Determination has this effect </w:t>
      </w:r>
      <w:r w:rsidR="00311A17" w:rsidRPr="00501FFD">
        <w:rPr>
          <w:rFonts w:ascii="Times New Roman" w:eastAsia="Times New Roman" w:hAnsi="Times New Roman" w:cs="Times New Roman"/>
          <w:lang w:eastAsia="en-AU"/>
        </w:rPr>
        <w:t xml:space="preserve">by specifying </w:t>
      </w:r>
      <w:r w:rsidR="00E23FBE" w:rsidRPr="00501FFD">
        <w:rPr>
          <w:rFonts w:ascii="Times New Roman" w:eastAsia="Times New Roman" w:hAnsi="Times New Roman" w:cs="Times New Roman"/>
          <w:lang w:eastAsia="en-AU"/>
        </w:rPr>
        <w:t xml:space="preserve">as permissible indications </w:t>
      </w:r>
      <w:r w:rsidR="006D0DA2" w:rsidRPr="00501FFD">
        <w:rPr>
          <w:rFonts w:ascii="Times New Roman" w:eastAsia="Times New Roman" w:hAnsi="Times New Roman" w:cs="Times New Roman"/>
          <w:lang w:eastAsia="en-AU"/>
        </w:rPr>
        <w:t>for the purposes of paragraph 26BF(1)(a) of the Act</w:t>
      </w:r>
      <w:r w:rsidR="002318CE" w:rsidRPr="00501FFD">
        <w:rPr>
          <w:rFonts w:ascii="Times New Roman" w:eastAsia="Times New Roman" w:hAnsi="Times New Roman" w:cs="Times New Roman"/>
          <w:lang w:eastAsia="en-AU"/>
        </w:rPr>
        <w:t>,</w:t>
      </w:r>
      <w:r w:rsidR="006D0DA2" w:rsidRPr="00501FFD">
        <w:rPr>
          <w:rFonts w:ascii="Times New Roman" w:eastAsia="Times New Roman" w:hAnsi="Times New Roman" w:cs="Times New Roman"/>
          <w:lang w:eastAsia="en-AU"/>
        </w:rPr>
        <w:t xml:space="preserve"> </w:t>
      </w:r>
      <w:r w:rsidR="00311A17" w:rsidRPr="00501FFD">
        <w:rPr>
          <w:rFonts w:ascii="Times New Roman" w:eastAsia="Times New Roman" w:hAnsi="Times New Roman" w:cs="Times New Roman"/>
          <w:lang w:eastAsia="en-AU"/>
        </w:rPr>
        <w:t xml:space="preserve">indications </w:t>
      </w:r>
      <w:r w:rsidR="006D0DA2" w:rsidRPr="00501FFD">
        <w:rPr>
          <w:rFonts w:ascii="Times New Roman" w:eastAsia="Times New Roman" w:hAnsi="Times New Roman" w:cs="Times New Roman"/>
          <w:lang w:eastAsia="en-AU"/>
        </w:rPr>
        <w:t xml:space="preserve">set out in the tables in Schedule 1 to the Determination as </w:t>
      </w:r>
      <w:r w:rsidR="00311A17" w:rsidRPr="00501FFD">
        <w:rPr>
          <w:rFonts w:ascii="Times New Roman" w:eastAsia="Times New Roman" w:hAnsi="Times New Roman" w:cs="Times New Roman"/>
          <w:lang w:eastAsia="en-AU"/>
        </w:rPr>
        <w:t xml:space="preserve">modified by a selected qualifying statement from the </w:t>
      </w:r>
      <w:r w:rsidR="00D52C7F">
        <w:rPr>
          <w:rFonts w:ascii="Times New Roman" w:eastAsia="Times New Roman" w:hAnsi="Times New Roman" w:cs="Times New Roman"/>
          <w:lang w:eastAsia="en-AU"/>
        </w:rPr>
        <w:t>c</w:t>
      </w:r>
      <w:r w:rsidR="00311A17" w:rsidRPr="00501FFD">
        <w:rPr>
          <w:rFonts w:ascii="Times New Roman" w:eastAsia="Times New Roman" w:hAnsi="Times New Roman" w:cs="Times New Roman"/>
          <w:lang w:eastAsia="en-AU"/>
        </w:rPr>
        <w:t xml:space="preserve">ode </w:t>
      </w:r>
      <w:r w:rsidR="00D52C7F">
        <w:rPr>
          <w:rFonts w:ascii="Times New Roman" w:eastAsia="Times New Roman" w:hAnsi="Times New Roman" w:cs="Times New Roman"/>
          <w:lang w:eastAsia="en-AU"/>
        </w:rPr>
        <w:t>t</w:t>
      </w:r>
      <w:r w:rsidR="00311A17" w:rsidRPr="00501FFD">
        <w:rPr>
          <w:rFonts w:ascii="Times New Roman" w:eastAsia="Times New Roman" w:hAnsi="Times New Roman" w:cs="Times New Roman"/>
          <w:lang w:eastAsia="en-AU"/>
        </w:rPr>
        <w:t xml:space="preserve">ables. Four types of qualifying statements </w:t>
      </w:r>
      <w:r w:rsidR="00CD1AD1" w:rsidRPr="00501FFD">
        <w:rPr>
          <w:rFonts w:ascii="Times New Roman" w:eastAsia="Times New Roman" w:hAnsi="Times New Roman" w:cs="Times New Roman"/>
          <w:lang w:eastAsia="en-AU"/>
        </w:rPr>
        <w:t>are</w:t>
      </w:r>
      <w:r w:rsidR="00311A17" w:rsidRPr="00501FFD">
        <w:rPr>
          <w:rFonts w:ascii="Times New Roman" w:eastAsia="Times New Roman" w:hAnsi="Times New Roman" w:cs="Times New Roman"/>
          <w:lang w:eastAsia="en-AU"/>
        </w:rPr>
        <w:t xml:space="preserve"> available for selection in this regard:</w:t>
      </w:r>
    </w:p>
    <w:p w14:paraId="38FD0F6F" w14:textId="1AC330BC" w:rsidR="00311A17" w:rsidRPr="00501FFD" w:rsidRDefault="00B55545" w:rsidP="00501FFD">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proofErr w:type="gramStart"/>
      <w:r w:rsidRPr="00501FFD">
        <w:rPr>
          <w:rFonts w:ascii="Times New Roman" w:eastAsia="Times New Roman" w:hAnsi="Times New Roman" w:cs="Times New Roman"/>
          <w:lang w:eastAsia="en-AU"/>
        </w:rPr>
        <w:t>t</w:t>
      </w:r>
      <w:r w:rsidR="00311A17" w:rsidRPr="00501FFD">
        <w:rPr>
          <w:rFonts w:ascii="Times New Roman" w:eastAsia="Times New Roman" w:hAnsi="Times New Roman" w:cs="Times New Roman"/>
          <w:lang w:eastAsia="en-AU"/>
        </w:rPr>
        <w:t>raditional</w:t>
      </w:r>
      <w:proofErr w:type="gramEnd"/>
      <w:r w:rsidR="00311A17" w:rsidRPr="00501FFD">
        <w:rPr>
          <w:rFonts w:ascii="Times New Roman" w:eastAsia="Times New Roman" w:hAnsi="Times New Roman" w:cs="Times New Roman"/>
          <w:lang w:eastAsia="en-AU"/>
        </w:rPr>
        <w:t xml:space="preserve"> </w:t>
      </w:r>
      <w:r w:rsidR="00137051" w:rsidRPr="00501FFD">
        <w:rPr>
          <w:rFonts w:ascii="Times New Roman" w:eastAsia="Times New Roman" w:hAnsi="Times New Roman" w:cs="Times New Roman"/>
          <w:lang w:eastAsia="en-AU"/>
        </w:rPr>
        <w:t xml:space="preserve">context </w:t>
      </w:r>
      <w:r w:rsidR="009C6B20" w:rsidRPr="00501FFD">
        <w:rPr>
          <w:rFonts w:ascii="Times New Roman" w:eastAsia="Times New Roman" w:hAnsi="Times New Roman" w:cs="Times New Roman"/>
          <w:lang w:eastAsia="en-AU"/>
        </w:rPr>
        <w:t>qualifier</w:t>
      </w:r>
      <w:r w:rsidR="00004031" w:rsidRPr="00501FFD">
        <w:rPr>
          <w:rFonts w:ascii="Times New Roman" w:eastAsia="Times New Roman" w:hAnsi="Times New Roman" w:cs="Times New Roman"/>
          <w:lang w:eastAsia="en-AU"/>
        </w:rPr>
        <w:t>s</w:t>
      </w:r>
      <w:r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 xml:space="preserve">which specify the traditional paradigm for medicines supported by evidence of traditional use, </w:t>
      </w:r>
      <w:r w:rsidR="00DB1CC9">
        <w:rPr>
          <w:rFonts w:ascii="Times New Roman" w:eastAsia="Times New Roman" w:hAnsi="Times New Roman" w:cs="Times New Roman"/>
          <w:lang w:eastAsia="en-AU"/>
        </w:rPr>
        <w:t>for example,</w:t>
      </w:r>
      <w:r w:rsidR="00311A17" w:rsidRPr="00501FFD">
        <w:rPr>
          <w:rFonts w:ascii="Times New Roman" w:eastAsia="Times New Roman" w:hAnsi="Times New Roman" w:cs="Times New Roman"/>
          <w:lang w:eastAsia="en-AU"/>
        </w:rPr>
        <w:t xml:space="preserve"> </w:t>
      </w:r>
      <w:r w:rsidR="00CD1AD1"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Traditionally used in Western herbal medicine</w:t>
      </w:r>
      <w:r w:rsidR="00CD1AD1" w:rsidRPr="00501FFD">
        <w:rPr>
          <w:rFonts w:ascii="Times New Roman" w:eastAsia="Times New Roman" w:hAnsi="Times New Roman" w:cs="Times New Roman"/>
          <w:lang w:eastAsia="en-AU"/>
        </w:rPr>
        <w:t xml:space="preserve">’. </w:t>
      </w:r>
      <w:r w:rsidR="00311A17" w:rsidRPr="00501FFD">
        <w:rPr>
          <w:rFonts w:ascii="Times New Roman" w:eastAsia="Times New Roman" w:hAnsi="Times New Roman" w:cs="Times New Roman"/>
          <w:lang w:eastAsia="en-AU"/>
        </w:rPr>
        <w:t>The traditional context is a mandatory qualifier for indications where the sponsor holds evidence of traditional use;</w:t>
      </w:r>
    </w:p>
    <w:p w14:paraId="5F45E9EB" w14:textId="231B5559" w:rsidR="00B55545" w:rsidRPr="00501FFD" w:rsidRDefault="00B55545" w:rsidP="00501FFD">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population qualifiers—which specify the target population for a medicine, </w:t>
      </w:r>
      <w:r w:rsidR="00DB1CC9">
        <w:rPr>
          <w:rFonts w:ascii="Times New Roman" w:eastAsia="Times New Roman" w:hAnsi="Times New Roman" w:cs="Times New Roman"/>
          <w:lang w:eastAsia="en-AU"/>
        </w:rPr>
        <w:t>for example,</w:t>
      </w:r>
      <w:r w:rsidRPr="00501FFD">
        <w:rPr>
          <w:rFonts w:ascii="Times New Roman" w:eastAsia="Times New Roman" w:hAnsi="Times New Roman" w:cs="Times New Roman"/>
          <w:lang w:eastAsia="en-AU"/>
        </w:rPr>
        <w:t xml:space="preserve"> ‘in healthy individuals’, ‘in adults’ or </w:t>
      </w:r>
      <w:r w:rsidR="00834DEA"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in females’</w:t>
      </w:r>
      <w:r w:rsidR="00E5107E" w:rsidRPr="00501FFD">
        <w:rPr>
          <w:rFonts w:ascii="Times New Roman" w:eastAsia="Times New Roman" w:hAnsi="Times New Roman" w:cs="Times New Roman"/>
          <w:lang w:eastAsia="en-AU"/>
        </w:rPr>
        <w:t>;</w:t>
      </w:r>
    </w:p>
    <w:p w14:paraId="182BB8FC" w14:textId="2CD5944D" w:rsidR="00B55545" w:rsidRPr="00501FFD" w:rsidRDefault="00B55545" w:rsidP="00501FFD">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time of use qualifiers—which indicate the time of the intended therapeutic benefit for a medicine </w:t>
      </w:r>
      <w:r w:rsidR="005E2AE4" w:rsidRPr="00501FFD">
        <w:rPr>
          <w:rFonts w:ascii="Times New Roman" w:eastAsia="Times New Roman" w:hAnsi="Times New Roman" w:cs="Times New Roman"/>
          <w:lang w:eastAsia="en-AU"/>
        </w:rPr>
        <w:t xml:space="preserve">(for example, </w:t>
      </w:r>
      <w:r w:rsidRPr="00501FFD">
        <w:rPr>
          <w:rFonts w:ascii="Times New Roman" w:eastAsia="Times New Roman" w:hAnsi="Times New Roman" w:cs="Times New Roman"/>
          <w:lang w:eastAsia="en-AU"/>
        </w:rPr>
        <w:t>‘Maintain/support energy levels during the day’</w:t>
      </w:r>
      <w:r w:rsidR="005E2AE4"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 xml:space="preserve"> or the time of occurrence of a symptom of a disease, ailment, defect or injury </w:t>
      </w:r>
      <w:r w:rsidR="005E2AE4" w:rsidRPr="00501FFD">
        <w:rPr>
          <w:rFonts w:ascii="Times New Roman" w:eastAsia="Times New Roman" w:hAnsi="Times New Roman" w:cs="Times New Roman"/>
          <w:lang w:eastAsia="en-AU"/>
        </w:rPr>
        <w:t xml:space="preserve">(for example, </w:t>
      </w:r>
      <w:r w:rsidRPr="00501FFD">
        <w:rPr>
          <w:rFonts w:ascii="Times New Roman" w:eastAsia="Times New Roman" w:hAnsi="Times New Roman" w:cs="Times New Roman"/>
          <w:lang w:eastAsia="en-AU"/>
        </w:rPr>
        <w:t>‘Decrease/reduce/relieve muscle stiffness after exercise’</w:t>
      </w:r>
      <w:r w:rsidR="005E2AE4" w:rsidRPr="00501FFD">
        <w:rPr>
          <w:rFonts w:ascii="Times New Roman" w:eastAsia="Times New Roman" w:hAnsi="Times New Roman" w:cs="Times New Roman"/>
          <w:lang w:eastAsia="en-AU"/>
        </w:rPr>
        <w:t>)</w:t>
      </w:r>
      <w:r w:rsidR="00E5107E" w:rsidRPr="00501FFD">
        <w:rPr>
          <w:rFonts w:ascii="Times New Roman" w:eastAsia="Times New Roman" w:hAnsi="Times New Roman" w:cs="Times New Roman"/>
          <w:lang w:eastAsia="en-AU"/>
        </w:rPr>
        <w:t>; and</w:t>
      </w:r>
    </w:p>
    <w:p w14:paraId="0623C93B" w14:textId="79466874" w:rsidR="00834DEA" w:rsidRPr="00501FFD" w:rsidRDefault="00263465" w:rsidP="00501FFD">
      <w:pPr>
        <w:pStyle w:val="ListParagraph"/>
        <w:numPr>
          <w:ilvl w:val="0"/>
          <w:numId w:val="7"/>
        </w:numPr>
        <w:autoSpaceDE w:val="0"/>
        <w:autoSpaceDN w:val="0"/>
        <w:adjustRightInd w:val="0"/>
        <w:spacing w:before="120"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Traditional Chinese Medicine (“</w:t>
      </w:r>
      <w:r w:rsidR="00311A17" w:rsidRPr="00501FFD">
        <w:rPr>
          <w:rFonts w:ascii="Times New Roman" w:eastAsia="Times New Roman" w:hAnsi="Times New Roman" w:cs="Times New Roman"/>
          <w:lang w:eastAsia="en-AU"/>
        </w:rPr>
        <w:t>TCM</w:t>
      </w:r>
      <w:r>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 xml:space="preserve"> pattern qualifiers</w:t>
      </w:r>
      <w:r w:rsidR="00B55545"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which are only available for traditional Chinese medicines, and specify the underlying ‘pattern’ causing symptoms of a condition or illness in the TCM paradigm, for example</w:t>
      </w:r>
      <w:r w:rsidR="00DB1CC9">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 xml:space="preserve"> </w:t>
      </w:r>
      <w:r w:rsidR="00CD1AD1"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Spleen Qi Deficiency pattern</w:t>
      </w:r>
      <w:r w:rsidR="00CD1AD1" w:rsidRPr="00501FFD">
        <w:rPr>
          <w:rFonts w:ascii="Times New Roman" w:eastAsia="Times New Roman" w:hAnsi="Times New Roman" w:cs="Times New Roman"/>
          <w:lang w:eastAsia="en-AU"/>
        </w:rPr>
        <w:t>’</w:t>
      </w:r>
      <w:r w:rsidR="00E5107E" w:rsidRPr="00501FFD">
        <w:rPr>
          <w:rFonts w:ascii="Times New Roman" w:eastAsia="Times New Roman" w:hAnsi="Times New Roman" w:cs="Times New Roman"/>
          <w:lang w:eastAsia="en-AU"/>
        </w:rPr>
        <w:t>.</w:t>
      </w:r>
    </w:p>
    <w:p w14:paraId="6D04C7FD" w14:textId="170EC724" w:rsidR="00311A17" w:rsidRPr="00501FFD" w:rsidRDefault="00311A17" w:rsidP="005E2AE4">
      <w:pPr>
        <w:shd w:val="clear" w:color="auto" w:fill="FFFFFF"/>
        <w:spacing w:before="100" w:beforeAutospacing="1"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lastRenderedPageBreak/>
        <w:t>In addition to specifying permissible indications for listed medicines, the Determination also specifies requirements</w:t>
      </w:r>
      <w:r w:rsidR="006E1EC4" w:rsidRPr="00501FFD">
        <w:rPr>
          <w:rFonts w:ascii="Times New Roman" w:eastAsia="Times New Roman" w:hAnsi="Times New Roman" w:cs="Times New Roman"/>
          <w:lang w:eastAsia="en-AU"/>
        </w:rPr>
        <w:t>, for the purposes of</w:t>
      </w:r>
      <w:r w:rsidRPr="00501FFD">
        <w:rPr>
          <w:rFonts w:ascii="Times New Roman" w:eastAsia="Times New Roman" w:hAnsi="Times New Roman" w:cs="Times New Roman"/>
          <w:lang w:eastAsia="en-AU"/>
        </w:rPr>
        <w:t xml:space="preserve"> </w:t>
      </w:r>
      <w:r w:rsidR="006E1EC4" w:rsidRPr="00501FFD">
        <w:rPr>
          <w:rFonts w:ascii="Times New Roman" w:eastAsia="Times New Roman" w:hAnsi="Times New Roman" w:cs="Times New Roman"/>
          <w:lang w:eastAsia="en-AU"/>
        </w:rPr>
        <w:t xml:space="preserve">paragraph </w:t>
      </w:r>
      <w:proofErr w:type="gramStart"/>
      <w:r w:rsidR="006E1EC4" w:rsidRPr="00501FFD">
        <w:rPr>
          <w:rFonts w:ascii="Times New Roman" w:eastAsia="Times New Roman" w:hAnsi="Times New Roman" w:cs="Times New Roman"/>
          <w:lang w:eastAsia="en-AU"/>
        </w:rPr>
        <w:t>26BF(</w:t>
      </w:r>
      <w:proofErr w:type="gramEnd"/>
      <w:r w:rsidR="006E1EC4" w:rsidRPr="00501FFD">
        <w:rPr>
          <w:rFonts w:ascii="Times New Roman" w:eastAsia="Times New Roman" w:hAnsi="Times New Roman" w:cs="Times New Roman"/>
          <w:lang w:eastAsia="en-AU"/>
        </w:rPr>
        <w:t xml:space="preserve">1)(b) of the Act, </w:t>
      </w:r>
      <w:r w:rsidR="00C36D48">
        <w:rPr>
          <w:rFonts w:ascii="Times New Roman" w:eastAsia="Times New Roman" w:hAnsi="Times New Roman" w:cs="Times New Roman"/>
          <w:lang w:eastAsia="en-AU"/>
        </w:rPr>
        <w:t>which</w:t>
      </w:r>
      <w:r w:rsidR="00C36D48" w:rsidRPr="00501FFD">
        <w:rPr>
          <w:rFonts w:ascii="Times New Roman" w:eastAsia="Times New Roman" w:hAnsi="Times New Roman" w:cs="Times New Roman"/>
          <w:lang w:eastAsia="en-AU"/>
        </w:rPr>
        <w:t xml:space="preserve"> </w:t>
      </w:r>
      <w:r w:rsidR="005E2AE4">
        <w:rPr>
          <w:rFonts w:ascii="Times New Roman" w:eastAsia="Times New Roman" w:hAnsi="Times New Roman" w:cs="Times New Roman"/>
          <w:lang w:eastAsia="en-AU"/>
        </w:rPr>
        <w:t xml:space="preserve">persons </w:t>
      </w:r>
      <w:r w:rsidRPr="00501FFD">
        <w:rPr>
          <w:rFonts w:ascii="Times New Roman" w:eastAsia="Times New Roman" w:hAnsi="Times New Roman" w:cs="Times New Roman"/>
          <w:lang w:eastAsia="en-AU"/>
        </w:rPr>
        <w:t xml:space="preserve">must comply with when using </w:t>
      </w:r>
      <w:r w:rsidR="00142766" w:rsidRPr="00501FFD">
        <w:rPr>
          <w:rFonts w:ascii="Times New Roman" w:eastAsia="Times New Roman" w:hAnsi="Times New Roman" w:cs="Times New Roman"/>
          <w:lang w:eastAsia="en-AU"/>
        </w:rPr>
        <w:t xml:space="preserve">the permissible </w:t>
      </w:r>
      <w:r w:rsidRPr="00501FFD">
        <w:rPr>
          <w:rFonts w:ascii="Times New Roman" w:eastAsia="Times New Roman" w:hAnsi="Times New Roman" w:cs="Times New Roman"/>
          <w:lang w:eastAsia="en-AU"/>
        </w:rPr>
        <w:t xml:space="preserve">indications for their </w:t>
      </w:r>
      <w:r w:rsidR="005E2AE4" w:rsidRPr="00501FFD">
        <w:rPr>
          <w:rFonts w:ascii="Times New Roman" w:eastAsia="Times New Roman" w:hAnsi="Times New Roman" w:cs="Times New Roman"/>
          <w:lang w:eastAsia="en-AU"/>
        </w:rPr>
        <w:t xml:space="preserve">listed </w:t>
      </w:r>
      <w:r w:rsidRPr="00501FFD">
        <w:rPr>
          <w:rFonts w:ascii="Times New Roman" w:eastAsia="Times New Roman" w:hAnsi="Times New Roman" w:cs="Times New Roman"/>
          <w:lang w:eastAsia="en-AU"/>
        </w:rPr>
        <w:t>medicines. These requirements principally relate to ensuring the safe and appropriate use of listed medicines and may for example:</w:t>
      </w:r>
    </w:p>
    <w:p w14:paraId="6B7922E7" w14:textId="1BD44B51" w:rsidR="00311A17" w:rsidRPr="00501FFD" w:rsidRDefault="00311A17">
      <w:pPr>
        <w:numPr>
          <w:ilvl w:val="0"/>
          <w:numId w:val="3"/>
        </w:numPr>
        <w:autoSpaceDE w:val="0"/>
        <w:autoSpaceDN w:val="0"/>
        <w:adjustRightInd w:val="0"/>
        <w:spacing w:after="0" w:line="240" w:lineRule="auto"/>
        <w:rPr>
          <w:rFonts w:ascii="Times New Roman" w:eastAsia="Times New Roman" w:hAnsi="Times New Roman" w:cs="Times New Roman"/>
        </w:rPr>
      </w:pPr>
      <w:r w:rsidRPr="00501FFD">
        <w:rPr>
          <w:rFonts w:ascii="Times New Roman" w:eastAsia="Times New Roman" w:hAnsi="Times New Roman" w:cs="Times New Roman"/>
        </w:rPr>
        <w:t xml:space="preserve">specify the type of evidence that a sponsor must hold to support the use of an indication, such as </w:t>
      </w:r>
      <w:r w:rsidR="0029276A">
        <w:rPr>
          <w:rFonts w:ascii="Times New Roman" w:eastAsia="Times New Roman" w:hAnsi="Times New Roman" w:cs="Times New Roman"/>
        </w:rPr>
        <w:t xml:space="preserve">scientific evidence or </w:t>
      </w:r>
      <w:r w:rsidRPr="00501FFD">
        <w:rPr>
          <w:rFonts w:ascii="Times New Roman" w:eastAsia="Times New Roman" w:hAnsi="Times New Roman" w:cs="Times New Roman"/>
        </w:rPr>
        <w:t>evidence of traditional use</w:t>
      </w:r>
      <w:r w:rsidR="00F96C07" w:rsidRPr="00501FFD">
        <w:rPr>
          <w:rFonts w:ascii="Times New Roman" w:eastAsia="Times New Roman" w:hAnsi="Times New Roman" w:cs="Times New Roman"/>
        </w:rPr>
        <w:t>;</w:t>
      </w:r>
    </w:p>
    <w:p w14:paraId="213CEAA3" w14:textId="77777777" w:rsidR="00311A17" w:rsidRPr="00501FFD" w:rsidRDefault="00311A17">
      <w:pPr>
        <w:numPr>
          <w:ilvl w:val="0"/>
          <w:numId w:val="1"/>
        </w:numPr>
        <w:autoSpaceDE w:val="0"/>
        <w:autoSpaceDN w:val="0"/>
        <w:adjustRightInd w:val="0"/>
        <w:spacing w:after="0" w:line="240" w:lineRule="auto"/>
        <w:rPr>
          <w:rFonts w:ascii="Times New Roman" w:eastAsia="Times New Roman" w:hAnsi="Times New Roman" w:cs="Times New Roman"/>
        </w:rPr>
      </w:pPr>
      <w:r w:rsidRPr="00501FFD">
        <w:rPr>
          <w:rFonts w:ascii="Times New Roman" w:eastAsia="Times New Roman" w:hAnsi="Times New Roman" w:cs="Times New Roman"/>
        </w:rPr>
        <w:t>specify a vulnerable population for which the indication is not suitable, such as children; or</w:t>
      </w:r>
    </w:p>
    <w:p w14:paraId="3902264A" w14:textId="3D58F182" w:rsidR="00311A17" w:rsidRPr="00501FFD" w:rsidRDefault="00311A17">
      <w:pPr>
        <w:numPr>
          <w:ilvl w:val="0"/>
          <w:numId w:val="1"/>
        </w:numPr>
        <w:autoSpaceDE w:val="0"/>
        <w:autoSpaceDN w:val="0"/>
        <w:adjustRightInd w:val="0"/>
        <w:spacing w:after="0" w:line="240" w:lineRule="auto"/>
        <w:rPr>
          <w:rFonts w:ascii="Times New Roman" w:eastAsia="Times New Roman" w:hAnsi="Times New Roman" w:cs="Times New Roman"/>
        </w:rPr>
      </w:pPr>
      <w:proofErr w:type="gramStart"/>
      <w:r w:rsidRPr="00501FFD">
        <w:rPr>
          <w:rFonts w:ascii="Times New Roman" w:eastAsia="Times New Roman" w:hAnsi="Times New Roman" w:cs="Times New Roman"/>
        </w:rPr>
        <w:t>require</w:t>
      </w:r>
      <w:proofErr w:type="gramEnd"/>
      <w:r w:rsidRPr="00501FFD">
        <w:rPr>
          <w:rFonts w:ascii="Times New Roman" w:eastAsia="Times New Roman" w:hAnsi="Times New Roman" w:cs="Times New Roman"/>
        </w:rPr>
        <w:t xml:space="preserve"> a statement to accompany the use of an indication on a medicine’s label</w:t>
      </w:r>
      <w:r w:rsidR="005E2AE4">
        <w:rPr>
          <w:rFonts w:ascii="Times New Roman" w:eastAsia="Times New Roman" w:hAnsi="Times New Roman" w:cs="Times New Roman"/>
        </w:rPr>
        <w:t xml:space="preserve"> (for example,</w:t>
      </w:r>
      <w:r w:rsidRPr="00501FFD">
        <w:rPr>
          <w:rFonts w:ascii="Times New Roman" w:eastAsia="Times New Roman" w:hAnsi="Times New Roman" w:cs="Times New Roman"/>
        </w:rPr>
        <w:t xml:space="preserve"> </w:t>
      </w:r>
      <w:r w:rsidR="00A62871" w:rsidRPr="00501FFD">
        <w:rPr>
          <w:rFonts w:ascii="Times New Roman" w:eastAsia="Times New Roman" w:hAnsi="Times New Roman" w:cs="Times New Roman"/>
        </w:rPr>
        <w:t>‘</w:t>
      </w:r>
      <w:r w:rsidRPr="00501FFD">
        <w:rPr>
          <w:rFonts w:ascii="Times New Roman" w:eastAsia="Times New Roman" w:hAnsi="Times New Roman" w:cs="Times New Roman"/>
        </w:rPr>
        <w:t xml:space="preserve">If symptoms persist </w:t>
      </w:r>
      <w:r w:rsidR="007F21CA">
        <w:rPr>
          <w:rFonts w:ascii="Times New Roman" w:eastAsia="Times New Roman" w:hAnsi="Times New Roman" w:cs="Times New Roman"/>
        </w:rPr>
        <w:t>talk to</w:t>
      </w:r>
      <w:r w:rsidR="007F21CA" w:rsidRPr="00501FFD">
        <w:rPr>
          <w:rFonts w:ascii="Times New Roman" w:eastAsia="Times New Roman" w:hAnsi="Times New Roman" w:cs="Times New Roman"/>
        </w:rPr>
        <w:t xml:space="preserve"> </w:t>
      </w:r>
      <w:r w:rsidRPr="00501FFD">
        <w:rPr>
          <w:rFonts w:ascii="Times New Roman" w:eastAsia="Times New Roman" w:hAnsi="Times New Roman" w:cs="Times New Roman"/>
        </w:rPr>
        <w:t>your health</w:t>
      </w:r>
      <w:r w:rsidR="007F21CA">
        <w:rPr>
          <w:rFonts w:ascii="Times New Roman" w:eastAsia="Times New Roman" w:hAnsi="Times New Roman" w:cs="Times New Roman"/>
        </w:rPr>
        <w:t xml:space="preserve"> professional’</w:t>
      </w:r>
      <w:r w:rsidRPr="00501FFD">
        <w:rPr>
          <w:rFonts w:ascii="Times New Roman" w:eastAsia="Times New Roman" w:hAnsi="Times New Roman" w:cs="Times New Roman"/>
        </w:rPr>
        <w:t>).</w:t>
      </w:r>
    </w:p>
    <w:p w14:paraId="2283ABC4" w14:textId="77777777" w:rsidR="00486120" w:rsidRPr="00501FFD" w:rsidRDefault="00486120" w:rsidP="00501FFD">
      <w:pPr>
        <w:autoSpaceDE w:val="0"/>
        <w:autoSpaceDN w:val="0"/>
        <w:adjustRightInd w:val="0"/>
        <w:spacing w:after="0" w:line="240" w:lineRule="auto"/>
        <w:rPr>
          <w:rFonts w:ascii="Times New Roman" w:eastAsia="Times New Roman" w:hAnsi="Times New Roman" w:cs="Times New Roman"/>
          <w:lang w:eastAsia="en-AU"/>
        </w:rPr>
      </w:pPr>
    </w:p>
    <w:p w14:paraId="30615199" w14:textId="5F16A8D9" w:rsidR="00C22780" w:rsidRPr="00501FFD" w:rsidRDefault="00486120" w:rsidP="00501FFD">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Schedule 1 to t</w:t>
      </w:r>
      <w:r w:rsidR="00C22780" w:rsidRPr="00501FFD">
        <w:rPr>
          <w:rFonts w:ascii="Times New Roman" w:eastAsia="Times New Roman" w:hAnsi="Times New Roman" w:cs="Times New Roman"/>
          <w:lang w:eastAsia="en-AU"/>
        </w:rPr>
        <w:t xml:space="preserve">he Determination </w:t>
      </w:r>
      <w:r w:rsidRPr="00501FFD">
        <w:rPr>
          <w:rFonts w:ascii="Times New Roman" w:eastAsia="Times New Roman" w:hAnsi="Times New Roman" w:cs="Times New Roman"/>
          <w:lang w:eastAsia="en-AU"/>
        </w:rPr>
        <w:t xml:space="preserve">sets out </w:t>
      </w:r>
      <w:r w:rsidR="00C22780" w:rsidRPr="00501FFD">
        <w:rPr>
          <w:rFonts w:ascii="Times New Roman" w:eastAsia="Times New Roman" w:hAnsi="Times New Roman" w:cs="Times New Roman"/>
          <w:lang w:eastAsia="en-AU"/>
        </w:rPr>
        <w:t>Tables 1 to 15</w:t>
      </w:r>
      <w:r w:rsidRPr="00501FFD">
        <w:rPr>
          <w:rFonts w:ascii="Times New Roman" w:eastAsia="Times New Roman" w:hAnsi="Times New Roman" w:cs="Times New Roman"/>
          <w:lang w:eastAsia="en-AU"/>
        </w:rPr>
        <w:t>,</w:t>
      </w:r>
      <w:r w:rsidR="00C22780" w:rsidRPr="00501FFD">
        <w:rPr>
          <w:rFonts w:ascii="Times New Roman" w:eastAsia="Times New Roman" w:hAnsi="Times New Roman" w:cs="Times New Roman"/>
          <w:lang w:eastAsia="en-AU"/>
        </w:rPr>
        <w:t xml:space="preserve"> which </w:t>
      </w:r>
      <w:r w:rsidR="003132BE" w:rsidRPr="00501FFD">
        <w:rPr>
          <w:rFonts w:ascii="Times New Roman" w:eastAsia="Times New Roman" w:hAnsi="Times New Roman" w:cs="Times New Roman"/>
          <w:lang w:eastAsia="en-AU"/>
        </w:rPr>
        <w:t>list the following</w:t>
      </w:r>
      <w:r w:rsidR="004362FA" w:rsidRPr="00501FFD">
        <w:rPr>
          <w:rFonts w:ascii="Times New Roman" w:eastAsia="Times New Roman" w:hAnsi="Times New Roman" w:cs="Times New Roman"/>
          <w:lang w:eastAsia="en-AU"/>
        </w:rPr>
        <w:t xml:space="preserve"> </w:t>
      </w:r>
      <w:r w:rsidR="005E2AE4" w:rsidRPr="00DB7C1A">
        <w:rPr>
          <w:rFonts w:ascii="Times New Roman" w:eastAsia="Times New Roman" w:hAnsi="Times New Roman" w:cs="Times New Roman"/>
          <w:lang w:eastAsia="en-AU"/>
        </w:rPr>
        <w:t>indications that can be used in relation to listed medicines;</w:t>
      </w:r>
      <w:r w:rsidR="005E2AE4" w:rsidRPr="005E2AE4">
        <w:rPr>
          <w:rFonts w:ascii="Times New Roman" w:eastAsia="Times New Roman" w:hAnsi="Times New Roman" w:cs="Times New Roman"/>
          <w:lang w:eastAsia="en-AU"/>
        </w:rPr>
        <w:t xml:space="preserve"> </w:t>
      </w:r>
      <w:r w:rsidR="005E2AE4" w:rsidRPr="00DA45A4">
        <w:rPr>
          <w:rFonts w:ascii="Times New Roman" w:eastAsia="Times New Roman" w:hAnsi="Times New Roman" w:cs="Times New Roman"/>
          <w:lang w:eastAsia="en-AU"/>
        </w:rPr>
        <w:t xml:space="preserve">requirements relating to the type of evidence required to support the use of an indication; and </w:t>
      </w:r>
      <w:r w:rsidR="005E2AE4" w:rsidRPr="00133ABB">
        <w:rPr>
          <w:rFonts w:ascii="Times New Roman" w:eastAsia="Times New Roman" w:hAnsi="Times New Roman" w:cs="Times New Roman"/>
          <w:lang w:eastAsia="en-AU"/>
        </w:rPr>
        <w:t>a range of other requirements relating to the use of a permissible indication</w:t>
      </w:r>
      <w:r w:rsidR="005E2AE4" w:rsidRPr="005E2AE4">
        <w:rPr>
          <w:rFonts w:ascii="Times New Roman" w:eastAsia="Times New Roman" w:hAnsi="Times New Roman" w:cs="Times New Roman"/>
          <w:lang w:eastAsia="en-AU"/>
        </w:rPr>
        <w:t xml:space="preserve"> </w:t>
      </w:r>
      <w:r w:rsidR="004362FA" w:rsidRPr="00501FFD">
        <w:rPr>
          <w:rFonts w:ascii="Times New Roman" w:eastAsia="Times New Roman" w:hAnsi="Times New Roman" w:cs="Times New Roman"/>
          <w:lang w:eastAsia="en-AU"/>
        </w:rPr>
        <w:t>(sections 5 and 6 of the Determination refer</w:t>
      </w:r>
      <w:r w:rsidR="00781E9A" w:rsidRPr="00501FFD">
        <w:rPr>
          <w:rFonts w:ascii="Times New Roman" w:eastAsia="Times New Roman" w:hAnsi="Times New Roman" w:cs="Times New Roman"/>
          <w:lang w:eastAsia="en-AU"/>
        </w:rPr>
        <w:t>)</w:t>
      </w:r>
      <w:r w:rsidR="005E2AE4">
        <w:rPr>
          <w:rFonts w:ascii="Times New Roman" w:eastAsia="Times New Roman" w:hAnsi="Times New Roman" w:cs="Times New Roman"/>
          <w:lang w:eastAsia="en-AU"/>
        </w:rPr>
        <w:t>.</w:t>
      </w:r>
    </w:p>
    <w:p w14:paraId="1F1142F2" w14:textId="77777777" w:rsidR="00C32385" w:rsidRPr="00501FFD" w:rsidRDefault="00C32385" w:rsidP="006D3395">
      <w:pPr>
        <w:autoSpaceDE w:val="0"/>
        <w:autoSpaceDN w:val="0"/>
        <w:adjustRightInd w:val="0"/>
        <w:spacing w:after="0" w:line="240" w:lineRule="auto"/>
        <w:rPr>
          <w:rFonts w:ascii="Times New Roman" w:eastAsia="Times New Roman" w:hAnsi="Times New Roman" w:cs="Times New Roman"/>
          <w:lang w:eastAsia="en-AU"/>
        </w:rPr>
      </w:pPr>
    </w:p>
    <w:p w14:paraId="6D53B3FE" w14:textId="796932D9" w:rsidR="009826D1" w:rsidRPr="00501FFD" w:rsidRDefault="00781E9A">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S</w:t>
      </w:r>
      <w:r w:rsidR="009D2C23" w:rsidRPr="00501FFD">
        <w:rPr>
          <w:rFonts w:ascii="Times New Roman" w:eastAsia="Times New Roman" w:hAnsi="Times New Roman" w:cs="Times New Roman"/>
          <w:lang w:eastAsia="en-AU"/>
        </w:rPr>
        <w:t>ubs</w:t>
      </w:r>
      <w:r w:rsidRPr="00501FFD">
        <w:rPr>
          <w:rFonts w:ascii="Times New Roman" w:eastAsia="Times New Roman" w:hAnsi="Times New Roman" w:cs="Times New Roman"/>
          <w:lang w:eastAsia="en-AU"/>
        </w:rPr>
        <w:t>ection</w:t>
      </w:r>
      <w:r w:rsidR="009D2C23" w:rsidRPr="00501FFD">
        <w:rPr>
          <w:rFonts w:ascii="Times New Roman" w:eastAsia="Times New Roman" w:hAnsi="Times New Roman" w:cs="Times New Roman"/>
          <w:lang w:eastAsia="en-AU"/>
        </w:rPr>
        <w:t>s</w:t>
      </w:r>
      <w:r w:rsidRPr="00501FFD">
        <w:rPr>
          <w:rFonts w:ascii="Times New Roman" w:eastAsia="Times New Roman" w:hAnsi="Times New Roman" w:cs="Times New Roman"/>
          <w:lang w:eastAsia="en-AU"/>
        </w:rPr>
        <w:t xml:space="preserve"> 6</w:t>
      </w:r>
      <w:r w:rsidR="009D2C23" w:rsidRPr="00501FFD">
        <w:rPr>
          <w:rFonts w:ascii="Times New Roman" w:eastAsia="Times New Roman" w:hAnsi="Times New Roman" w:cs="Times New Roman"/>
          <w:lang w:eastAsia="en-AU"/>
        </w:rPr>
        <w:t>(</w:t>
      </w:r>
      <w:r w:rsidR="00357525" w:rsidRPr="00501FFD">
        <w:rPr>
          <w:rFonts w:ascii="Times New Roman" w:eastAsia="Times New Roman" w:hAnsi="Times New Roman" w:cs="Times New Roman"/>
          <w:lang w:eastAsia="en-AU"/>
        </w:rPr>
        <w:t xml:space="preserve">3) to </w:t>
      </w:r>
      <w:r w:rsidR="005E2AE4">
        <w:rPr>
          <w:rFonts w:ascii="Times New Roman" w:eastAsia="Times New Roman" w:hAnsi="Times New Roman" w:cs="Times New Roman"/>
          <w:lang w:eastAsia="en-AU"/>
        </w:rPr>
        <w:t>6</w:t>
      </w:r>
      <w:r w:rsidR="00357525" w:rsidRPr="00501FFD">
        <w:rPr>
          <w:rFonts w:ascii="Times New Roman" w:eastAsia="Times New Roman" w:hAnsi="Times New Roman" w:cs="Times New Roman"/>
          <w:lang w:eastAsia="en-AU"/>
        </w:rPr>
        <w:t>(6</w:t>
      </w:r>
      <w:r w:rsidR="009D2C23"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 xml:space="preserve"> of t</w:t>
      </w:r>
      <w:r w:rsidR="00311A17" w:rsidRPr="00501FFD">
        <w:rPr>
          <w:rFonts w:ascii="Times New Roman" w:eastAsia="Times New Roman" w:hAnsi="Times New Roman" w:cs="Times New Roman"/>
          <w:lang w:eastAsia="en-AU"/>
        </w:rPr>
        <w:t>he Determination also set out a number of overarching requirements that are</w:t>
      </w:r>
      <w:r w:rsidR="00F96C07" w:rsidRPr="00501FFD">
        <w:rPr>
          <w:rFonts w:ascii="Times New Roman" w:eastAsia="Times New Roman" w:hAnsi="Times New Roman" w:cs="Times New Roman"/>
          <w:lang w:eastAsia="en-AU"/>
        </w:rPr>
        <w:t xml:space="preserve"> not replicated in the Table</w:t>
      </w:r>
      <w:r w:rsidR="003132BE" w:rsidRPr="00501FFD">
        <w:rPr>
          <w:rFonts w:ascii="Times New Roman" w:eastAsia="Times New Roman" w:hAnsi="Times New Roman" w:cs="Times New Roman"/>
          <w:lang w:eastAsia="en-AU"/>
        </w:rPr>
        <w:t>s</w:t>
      </w:r>
      <w:r w:rsidR="00F96C07" w:rsidRPr="00501FFD">
        <w:rPr>
          <w:rFonts w:ascii="Times New Roman" w:eastAsia="Times New Roman" w:hAnsi="Times New Roman" w:cs="Times New Roman"/>
          <w:lang w:eastAsia="en-AU"/>
        </w:rPr>
        <w:t>.</w:t>
      </w:r>
      <w:r w:rsidR="001460F8" w:rsidRPr="00501FFD">
        <w:rPr>
          <w:rFonts w:ascii="Times New Roman" w:eastAsia="Times New Roman" w:hAnsi="Times New Roman" w:cs="Times New Roman"/>
          <w:lang w:eastAsia="en-AU"/>
        </w:rPr>
        <w:t xml:space="preserve"> </w:t>
      </w:r>
      <w:r w:rsidR="00311A17" w:rsidRPr="00501FFD">
        <w:rPr>
          <w:rFonts w:ascii="Times New Roman" w:eastAsia="Times New Roman" w:hAnsi="Times New Roman" w:cs="Times New Roman"/>
          <w:lang w:eastAsia="en-AU"/>
        </w:rPr>
        <w:t xml:space="preserve">These include, for example, </w:t>
      </w:r>
      <w:r w:rsidR="00491422" w:rsidRPr="00501FFD">
        <w:rPr>
          <w:rFonts w:ascii="Times New Roman" w:eastAsia="Times New Roman" w:hAnsi="Times New Roman" w:cs="Times New Roman"/>
          <w:lang w:eastAsia="en-AU"/>
        </w:rPr>
        <w:t xml:space="preserve">an overarching requirement </w:t>
      </w:r>
      <w:r w:rsidR="00311A17" w:rsidRPr="00501FFD">
        <w:rPr>
          <w:rFonts w:ascii="Times New Roman" w:eastAsia="Times New Roman" w:hAnsi="Times New Roman" w:cs="Times New Roman"/>
          <w:lang w:eastAsia="en-AU"/>
        </w:rPr>
        <w:t>that if the wording of a</w:t>
      </w:r>
      <w:r w:rsidR="00491422" w:rsidRPr="00501FFD">
        <w:rPr>
          <w:rFonts w:ascii="Times New Roman" w:eastAsia="Times New Roman" w:hAnsi="Times New Roman" w:cs="Times New Roman"/>
          <w:lang w:eastAsia="en-AU"/>
        </w:rPr>
        <w:t xml:space="preserve"> permissible</w:t>
      </w:r>
      <w:r w:rsidR="00311A17" w:rsidRPr="00501FFD">
        <w:rPr>
          <w:rFonts w:ascii="Times New Roman" w:eastAsia="Times New Roman" w:hAnsi="Times New Roman" w:cs="Times New Roman"/>
          <w:lang w:eastAsia="en-AU"/>
        </w:rPr>
        <w:t xml:space="preserve"> indication is varied on the label of a medicine</w:t>
      </w:r>
      <w:r w:rsidR="00491422"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 xml:space="preserve"> or combined with another </w:t>
      </w:r>
      <w:r w:rsidR="00491422" w:rsidRPr="00501FFD">
        <w:rPr>
          <w:rFonts w:ascii="Times New Roman" w:eastAsia="Times New Roman" w:hAnsi="Times New Roman" w:cs="Times New Roman"/>
          <w:lang w:eastAsia="en-AU"/>
        </w:rPr>
        <w:t xml:space="preserve">permissible </w:t>
      </w:r>
      <w:r w:rsidR="00311A17" w:rsidRPr="00501FFD">
        <w:rPr>
          <w:rFonts w:ascii="Times New Roman" w:eastAsia="Times New Roman" w:hAnsi="Times New Roman" w:cs="Times New Roman"/>
          <w:lang w:eastAsia="en-AU"/>
        </w:rPr>
        <w:t xml:space="preserve">indication to form a simple sentence, </w:t>
      </w:r>
      <w:r w:rsidR="007F3472" w:rsidRPr="00501FFD">
        <w:rPr>
          <w:rFonts w:ascii="Times New Roman" w:eastAsia="Times New Roman" w:hAnsi="Times New Roman" w:cs="Times New Roman"/>
          <w:lang w:eastAsia="en-AU"/>
        </w:rPr>
        <w:t xml:space="preserve">then </w:t>
      </w:r>
      <w:r w:rsidR="00311A17" w:rsidRPr="00501FFD">
        <w:rPr>
          <w:rFonts w:ascii="Times New Roman" w:eastAsia="Times New Roman" w:hAnsi="Times New Roman" w:cs="Times New Roman"/>
          <w:lang w:eastAsia="en-AU"/>
        </w:rPr>
        <w:t xml:space="preserve">the meaning </w:t>
      </w:r>
      <w:r w:rsidR="007F3472" w:rsidRPr="00501FFD">
        <w:rPr>
          <w:rFonts w:ascii="Times New Roman" w:eastAsia="Times New Roman" w:hAnsi="Times New Roman" w:cs="Times New Roman"/>
          <w:lang w:eastAsia="en-AU"/>
        </w:rPr>
        <w:t xml:space="preserve">or intent </w:t>
      </w:r>
      <w:r w:rsidR="00311A17" w:rsidRPr="00501FFD">
        <w:rPr>
          <w:rFonts w:ascii="Times New Roman" w:eastAsia="Times New Roman" w:hAnsi="Times New Roman" w:cs="Times New Roman"/>
          <w:lang w:eastAsia="en-AU"/>
        </w:rPr>
        <w:t>of the indication must not be changed</w:t>
      </w:r>
      <w:r w:rsidR="007F3472" w:rsidRPr="00501FFD">
        <w:rPr>
          <w:rFonts w:ascii="Times New Roman" w:eastAsia="Times New Roman" w:hAnsi="Times New Roman" w:cs="Times New Roman"/>
          <w:lang w:eastAsia="en-AU"/>
        </w:rPr>
        <w:t>,</w:t>
      </w:r>
      <w:r w:rsidR="00311A17" w:rsidRPr="00501FFD">
        <w:rPr>
          <w:rFonts w:ascii="Times New Roman" w:eastAsia="Times New Roman" w:hAnsi="Times New Roman" w:cs="Times New Roman"/>
          <w:lang w:eastAsia="en-AU"/>
        </w:rPr>
        <w:t xml:space="preserve"> and the varied or combined indications must not infer or imply that the medicine </w:t>
      </w:r>
      <w:r w:rsidR="005E2AE4">
        <w:rPr>
          <w:rFonts w:ascii="Times New Roman" w:eastAsia="Times New Roman" w:hAnsi="Times New Roman" w:cs="Times New Roman"/>
          <w:lang w:eastAsia="en-AU"/>
        </w:rPr>
        <w:t xml:space="preserve">is indicated for </w:t>
      </w:r>
      <w:r w:rsidR="00311A17" w:rsidRPr="00501FFD">
        <w:rPr>
          <w:rFonts w:ascii="Times New Roman" w:eastAsia="Times New Roman" w:hAnsi="Times New Roman" w:cs="Times New Roman"/>
          <w:lang w:eastAsia="en-AU"/>
        </w:rPr>
        <w:t>the treatment of a serious</w:t>
      </w:r>
      <w:r w:rsidR="00357525" w:rsidRPr="00501FFD">
        <w:rPr>
          <w:rFonts w:ascii="Times New Roman" w:eastAsia="Times New Roman" w:hAnsi="Times New Roman" w:cs="Times New Roman"/>
          <w:lang w:eastAsia="en-AU"/>
        </w:rPr>
        <w:t xml:space="preserve"> form of a</w:t>
      </w:r>
      <w:r w:rsidR="00311A17" w:rsidRPr="00501FFD">
        <w:rPr>
          <w:rFonts w:ascii="Times New Roman" w:eastAsia="Times New Roman" w:hAnsi="Times New Roman" w:cs="Times New Roman"/>
          <w:lang w:eastAsia="en-AU"/>
        </w:rPr>
        <w:t xml:space="preserve"> disease, ailment, defect or injury.</w:t>
      </w:r>
    </w:p>
    <w:p w14:paraId="3F2D189A" w14:textId="53D0B6C0" w:rsidR="00727886" w:rsidRPr="00501FFD" w:rsidRDefault="00727886" w:rsidP="00727886">
      <w:pPr>
        <w:shd w:val="clear" w:color="auto" w:fill="FFFFFF"/>
        <w:spacing w:after="0" w:line="240" w:lineRule="auto"/>
        <w:rPr>
          <w:rFonts w:ascii="Times New Roman" w:eastAsia="Times New Roman" w:hAnsi="Times New Roman" w:cs="Times New Roman"/>
          <w:lang w:eastAsia="en-AU"/>
        </w:rPr>
      </w:pPr>
    </w:p>
    <w:p w14:paraId="40159334" w14:textId="730F1B74" w:rsidR="006B71A3" w:rsidRPr="00501FFD" w:rsidRDefault="00727886" w:rsidP="00501FFD">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‘Serious’ in this context is defined in section 4 of the Determination as having the same meaning as</w:t>
      </w:r>
      <w:r w:rsidR="00357525" w:rsidRPr="00501FFD">
        <w:rPr>
          <w:rFonts w:ascii="Times New Roman" w:eastAsia="Times New Roman" w:hAnsi="Times New Roman" w:cs="Times New Roman"/>
          <w:lang w:eastAsia="en-AU"/>
        </w:rPr>
        <w:t xml:space="preserve"> ‘serious’ in relation to a form of a disease, condition, ailment or defect</w:t>
      </w:r>
      <w:r w:rsidRPr="00501FFD">
        <w:rPr>
          <w:rFonts w:ascii="Times New Roman" w:eastAsia="Times New Roman" w:hAnsi="Times New Roman" w:cs="Times New Roman"/>
          <w:lang w:eastAsia="en-AU"/>
        </w:rPr>
        <w:t xml:space="preserve"> </w:t>
      </w:r>
      <w:r w:rsidR="00491422" w:rsidRPr="00501FFD">
        <w:rPr>
          <w:rFonts w:ascii="Times New Roman" w:eastAsia="Times New Roman" w:hAnsi="Times New Roman" w:cs="Times New Roman"/>
          <w:lang w:eastAsia="en-AU"/>
        </w:rPr>
        <w:t>in</w:t>
      </w:r>
      <w:r w:rsidR="007F3472" w:rsidRPr="00501FFD">
        <w:rPr>
          <w:rFonts w:ascii="Times New Roman" w:eastAsia="Times New Roman" w:hAnsi="Times New Roman" w:cs="Times New Roman"/>
          <w:lang w:eastAsia="en-AU"/>
        </w:rPr>
        <w:t xml:space="preserve"> section 28 of</w:t>
      </w:r>
      <w:r w:rsidR="00491422" w:rsidRPr="00501FFD">
        <w:rPr>
          <w:rFonts w:ascii="Times New Roman" w:eastAsia="Times New Roman" w:hAnsi="Times New Roman" w:cs="Times New Roman"/>
          <w:lang w:eastAsia="en-AU"/>
        </w:rPr>
        <w:t xml:space="preserve"> the Therapeutic Goods Advertising Code (</w:t>
      </w:r>
      <w:r w:rsidR="00357525" w:rsidRPr="00501FFD">
        <w:rPr>
          <w:rFonts w:ascii="Times New Roman" w:eastAsia="Times New Roman" w:hAnsi="Times New Roman" w:cs="Times New Roman"/>
          <w:lang w:eastAsia="en-AU"/>
        </w:rPr>
        <w:t>“</w:t>
      </w:r>
      <w:r w:rsidR="00491422" w:rsidRPr="00501FFD">
        <w:rPr>
          <w:rFonts w:ascii="Times New Roman" w:eastAsia="Times New Roman" w:hAnsi="Times New Roman" w:cs="Times New Roman"/>
          <w:lang w:eastAsia="en-AU"/>
        </w:rPr>
        <w:t>the Code</w:t>
      </w:r>
      <w:r w:rsidR="00357525" w:rsidRPr="00501FFD">
        <w:rPr>
          <w:rFonts w:ascii="Times New Roman" w:eastAsia="Times New Roman" w:hAnsi="Times New Roman" w:cs="Times New Roman"/>
          <w:lang w:eastAsia="en-AU"/>
        </w:rPr>
        <w:t>”</w:t>
      </w:r>
      <w:r w:rsidR="00491422" w:rsidRPr="00501FFD">
        <w:rPr>
          <w:rFonts w:ascii="Times New Roman" w:eastAsia="Times New Roman" w:hAnsi="Times New Roman" w:cs="Times New Roman"/>
          <w:lang w:eastAsia="en-AU"/>
        </w:rPr>
        <w:t xml:space="preserve">). </w:t>
      </w:r>
      <w:r w:rsidR="00357525" w:rsidRPr="00501FFD">
        <w:rPr>
          <w:rFonts w:ascii="Times New Roman" w:eastAsia="Times New Roman" w:hAnsi="Times New Roman" w:cs="Times New Roman"/>
          <w:lang w:eastAsia="en-AU"/>
        </w:rPr>
        <w:t>The note in s</w:t>
      </w:r>
      <w:r w:rsidR="00491422" w:rsidRPr="00501FFD">
        <w:rPr>
          <w:rFonts w:ascii="Times New Roman" w:eastAsia="Times New Roman" w:hAnsi="Times New Roman" w:cs="Times New Roman"/>
          <w:lang w:eastAsia="en-AU"/>
        </w:rPr>
        <w:t xml:space="preserve">ection 4 of the Determination makes it clear that </w:t>
      </w:r>
      <w:r w:rsidR="00357525" w:rsidRPr="00501FFD">
        <w:rPr>
          <w:rFonts w:ascii="Times New Roman" w:eastAsia="Times New Roman" w:hAnsi="Times New Roman" w:cs="Times New Roman"/>
          <w:lang w:eastAsia="en-AU"/>
        </w:rPr>
        <w:t>‘Therapeutic Goods Advertising</w:t>
      </w:r>
      <w:r w:rsidR="00491422" w:rsidRPr="00501FFD">
        <w:rPr>
          <w:rFonts w:ascii="Times New Roman" w:eastAsia="Times New Roman" w:hAnsi="Times New Roman" w:cs="Times New Roman"/>
          <w:lang w:eastAsia="en-AU"/>
        </w:rPr>
        <w:t xml:space="preserve"> Code</w:t>
      </w:r>
      <w:r w:rsidR="00357525" w:rsidRPr="00501FFD">
        <w:rPr>
          <w:rFonts w:ascii="Times New Roman" w:eastAsia="Times New Roman" w:hAnsi="Times New Roman" w:cs="Times New Roman"/>
          <w:lang w:eastAsia="en-AU"/>
        </w:rPr>
        <w:t>’</w:t>
      </w:r>
      <w:r w:rsidR="00491422" w:rsidRPr="00501FFD">
        <w:rPr>
          <w:rFonts w:ascii="Times New Roman" w:eastAsia="Times New Roman" w:hAnsi="Times New Roman" w:cs="Times New Roman"/>
          <w:lang w:eastAsia="en-AU"/>
        </w:rPr>
        <w:t xml:space="preserve"> has the same meaning as in subsection 3(1) of the Act, which defines th</w:t>
      </w:r>
      <w:r w:rsidR="00357525" w:rsidRPr="00501FFD">
        <w:rPr>
          <w:rFonts w:ascii="Times New Roman" w:eastAsia="Times New Roman" w:hAnsi="Times New Roman" w:cs="Times New Roman"/>
          <w:lang w:eastAsia="en-AU"/>
        </w:rPr>
        <w:t>at term</w:t>
      </w:r>
      <w:r w:rsidR="00491422" w:rsidRPr="00501FFD">
        <w:rPr>
          <w:rFonts w:ascii="Times New Roman" w:eastAsia="Times New Roman" w:hAnsi="Times New Roman" w:cs="Times New Roman"/>
          <w:lang w:eastAsia="en-AU"/>
        </w:rPr>
        <w:t xml:space="preserve"> as the </w:t>
      </w:r>
      <w:r w:rsidR="006B71A3" w:rsidRPr="00501FFD">
        <w:rPr>
          <w:rFonts w:ascii="Times New Roman" w:eastAsia="Times New Roman" w:hAnsi="Times New Roman" w:cs="Times New Roman"/>
          <w:lang w:eastAsia="en-AU"/>
        </w:rPr>
        <w:t>code in force under section 42BAA of the Act. Currently</w:t>
      </w:r>
      <w:r w:rsidR="005E2AE4">
        <w:rPr>
          <w:rFonts w:ascii="Times New Roman" w:eastAsia="Times New Roman" w:hAnsi="Times New Roman" w:cs="Times New Roman"/>
          <w:lang w:eastAsia="en-AU"/>
        </w:rPr>
        <w:t>,</w:t>
      </w:r>
      <w:r w:rsidR="006B71A3" w:rsidRPr="00501FFD">
        <w:rPr>
          <w:rFonts w:ascii="Times New Roman" w:eastAsia="Times New Roman" w:hAnsi="Times New Roman" w:cs="Times New Roman"/>
          <w:lang w:eastAsia="en-AU"/>
        </w:rPr>
        <w:t xml:space="preserve"> this is the </w:t>
      </w:r>
      <w:r w:rsidR="006B71A3" w:rsidRPr="00501FFD">
        <w:rPr>
          <w:rFonts w:ascii="Times New Roman" w:eastAsia="Times New Roman" w:hAnsi="Times New Roman" w:cs="Times New Roman"/>
          <w:i/>
          <w:lang w:eastAsia="en-AU"/>
        </w:rPr>
        <w:t>Therapeutic Goods Advertising Code (No.2) 2018</w:t>
      </w:r>
      <w:r w:rsidR="00A62871" w:rsidRPr="00501FFD">
        <w:rPr>
          <w:rFonts w:ascii="Times New Roman" w:eastAsia="Times New Roman" w:hAnsi="Times New Roman" w:cs="Times New Roman"/>
          <w:lang w:eastAsia="en-AU"/>
        </w:rPr>
        <w:t>.</w:t>
      </w:r>
    </w:p>
    <w:p w14:paraId="16BD01C4" w14:textId="77777777" w:rsidR="009826D1" w:rsidRPr="00501FFD" w:rsidRDefault="009826D1" w:rsidP="00501FFD">
      <w:pPr>
        <w:shd w:val="clear" w:color="auto" w:fill="FFFFFF"/>
        <w:spacing w:after="0" w:line="240" w:lineRule="auto"/>
        <w:rPr>
          <w:rFonts w:ascii="Times New Roman" w:eastAsia="Times New Roman" w:hAnsi="Times New Roman" w:cs="Times New Roman"/>
          <w:lang w:eastAsia="en-AU"/>
        </w:rPr>
      </w:pPr>
    </w:p>
    <w:p w14:paraId="5B7B460D" w14:textId="77777777" w:rsidR="00263465" w:rsidRDefault="00916034" w:rsidP="00501FFD">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Determination </w:t>
      </w:r>
      <w:r w:rsidR="001E36A0" w:rsidRPr="00501FFD">
        <w:rPr>
          <w:rFonts w:ascii="Times New Roman" w:eastAsia="Times New Roman" w:hAnsi="Times New Roman" w:cs="Times New Roman"/>
          <w:lang w:eastAsia="en-AU"/>
        </w:rPr>
        <w:t xml:space="preserve">also </w:t>
      </w:r>
      <w:r w:rsidRPr="00501FFD">
        <w:rPr>
          <w:rFonts w:ascii="Times New Roman" w:eastAsia="Times New Roman" w:hAnsi="Times New Roman" w:cs="Times New Roman"/>
          <w:lang w:eastAsia="en-AU"/>
        </w:rPr>
        <w:t>repeal</w:t>
      </w:r>
      <w:r w:rsidR="00727886" w:rsidRPr="00501FFD">
        <w:rPr>
          <w:rFonts w:ascii="Times New Roman" w:eastAsia="Times New Roman" w:hAnsi="Times New Roman" w:cs="Times New Roman"/>
          <w:lang w:eastAsia="en-AU"/>
        </w:rPr>
        <w:t>s</w:t>
      </w:r>
      <w:r w:rsidRPr="00501FFD">
        <w:rPr>
          <w:rFonts w:ascii="Times New Roman" w:eastAsia="Times New Roman" w:hAnsi="Times New Roman" w:cs="Times New Roman"/>
          <w:lang w:eastAsia="en-AU"/>
        </w:rPr>
        <w:t xml:space="preserve"> and replace</w:t>
      </w:r>
      <w:r w:rsidR="00727886" w:rsidRPr="00501FFD">
        <w:rPr>
          <w:rFonts w:ascii="Times New Roman" w:eastAsia="Times New Roman" w:hAnsi="Times New Roman" w:cs="Times New Roman"/>
          <w:lang w:eastAsia="en-AU"/>
        </w:rPr>
        <w:t>s</w:t>
      </w:r>
      <w:r w:rsidRPr="00501FFD">
        <w:rPr>
          <w:rFonts w:ascii="Times New Roman" w:eastAsia="Times New Roman" w:hAnsi="Times New Roman" w:cs="Times New Roman"/>
          <w:lang w:eastAsia="en-AU"/>
        </w:rPr>
        <w:t xml:space="preserve"> the </w:t>
      </w:r>
      <w:r w:rsidR="00EC7EC5" w:rsidRPr="00501FFD">
        <w:rPr>
          <w:rFonts w:ascii="Times New Roman" w:eastAsia="Times New Roman" w:hAnsi="Times New Roman" w:cs="Times New Roman"/>
          <w:lang w:eastAsia="en-AU"/>
        </w:rPr>
        <w:t xml:space="preserve">Former </w:t>
      </w:r>
      <w:r w:rsidRPr="00501FFD">
        <w:rPr>
          <w:rFonts w:ascii="Times New Roman" w:eastAsia="Times New Roman" w:hAnsi="Times New Roman" w:cs="Times New Roman"/>
          <w:lang w:eastAsia="en-AU"/>
        </w:rPr>
        <w:t>Determination</w:t>
      </w:r>
      <w:r w:rsidR="007E31C2" w:rsidRPr="00501FFD">
        <w:rPr>
          <w:rFonts w:ascii="Times New Roman" w:eastAsia="Times New Roman" w:hAnsi="Times New Roman" w:cs="Times New Roman"/>
          <w:lang w:eastAsia="en-AU"/>
        </w:rPr>
        <w:t xml:space="preserve">. </w:t>
      </w:r>
    </w:p>
    <w:p w14:paraId="018D59FB" w14:textId="77777777" w:rsidR="00263465" w:rsidRDefault="00263465" w:rsidP="00501FFD">
      <w:pPr>
        <w:shd w:val="clear" w:color="auto" w:fill="FFFFFF"/>
        <w:spacing w:after="0" w:line="240" w:lineRule="auto"/>
        <w:rPr>
          <w:rFonts w:ascii="Times New Roman" w:eastAsia="Times New Roman" w:hAnsi="Times New Roman" w:cs="Times New Roman"/>
          <w:lang w:eastAsia="en-AU"/>
        </w:rPr>
      </w:pPr>
    </w:p>
    <w:p w14:paraId="6BF987CE" w14:textId="250D128C" w:rsidR="00916034" w:rsidRPr="00501FFD" w:rsidRDefault="00727886" w:rsidP="00501FFD">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Determination </w:t>
      </w:r>
      <w:r w:rsidR="00376347" w:rsidRPr="00501FFD">
        <w:rPr>
          <w:rFonts w:ascii="Times New Roman" w:eastAsia="Times New Roman" w:hAnsi="Times New Roman" w:cs="Times New Roman"/>
          <w:lang w:eastAsia="en-AU"/>
        </w:rPr>
        <w:t xml:space="preserve">includes </w:t>
      </w:r>
      <w:r w:rsidR="009D0C7A" w:rsidRPr="00501FFD">
        <w:rPr>
          <w:rFonts w:ascii="Times New Roman" w:eastAsia="Times New Roman" w:hAnsi="Times New Roman" w:cs="Times New Roman"/>
          <w:lang w:eastAsia="en-AU"/>
        </w:rPr>
        <w:t>a number of</w:t>
      </w:r>
      <w:r w:rsidR="00F505C3" w:rsidRPr="00501FFD">
        <w:rPr>
          <w:rFonts w:ascii="Times New Roman" w:hAnsi="Times New Roman" w:cs="Times New Roman"/>
        </w:rPr>
        <w:t xml:space="preserve"> </w:t>
      </w:r>
      <w:r w:rsidRPr="00501FFD">
        <w:rPr>
          <w:rFonts w:ascii="Times New Roman" w:hAnsi="Times New Roman" w:cs="Times New Roman"/>
        </w:rPr>
        <w:t xml:space="preserve">changes compared to the </w:t>
      </w:r>
      <w:r w:rsidR="00FF79B6" w:rsidRPr="00501FFD">
        <w:rPr>
          <w:rFonts w:ascii="Times New Roman" w:hAnsi="Times New Roman" w:cs="Times New Roman"/>
        </w:rPr>
        <w:t xml:space="preserve">Former </w:t>
      </w:r>
      <w:r w:rsidRPr="00501FFD">
        <w:rPr>
          <w:rFonts w:ascii="Times New Roman" w:hAnsi="Times New Roman" w:cs="Times New Roman"/>
        </w:rPr>
        <w:t>Determination</w:t>
      </w:r>
      <w:r w:rsidR="00EC7EC5" w:rsidRPr="00501FFD">
        <w:rPr>
          <w:rFonts w:ascii="Times New Roman" w:hAnsi="Times New Roman" w:cs="Times New Roman"/>
        </w:rPr>
        <w:t>,</w:t>
      </w:r>
      <w:r w:rsidR="009D0C7A" w:rsidRPr="00501FFD">
        <w:rPr>
          <w:rFonts w:ascii="Times New Roman" w:hAnsi="Times New Roman" w:cs="Times New Roman"/>
        </w:rPr>
        <w:t xml:space="preserve"> including </w:t>
      </w:r>
      <w:r w:rsidR="00FA3078" w:rsidRPr="00501FFD">
        <w:rPr>
          <w:rFonts w:ascii="Times New Roman" w:hAnsi="Times New Roman" w:cs="Times New Roman"/>
        </w:rPr>
        <w:t>in particular</w:t>
      </w:r>
      <w:r w:rsidR="00376347" w:rsidRPr="00501FFD">
        <w:rPr>
          <w:rFonts w:ascii="Times New Roman" w:hAnsi="Times New Roman" w:cs="Times New Roman"/>
        </w:rPr>
        <w:t>:</w:t>
      </w:r>
    </w:p>
    <w:p w14:paraId="5EDBCE3D" w14:textId="1347A521" w:rsidR="005136AE" w:rsidRPr="00483C0E" w:rsidRDefault="005136AE" w:rsidP="00483C0E">
      <w:pPr>
        <w:pStyle w:val="ListBullet3"/>
        <w:numPr>
          <w:ilvl w:val="0"/>
          <w:numId w:val="32"/>
        </w:numPr>
        <w:ind w:left="567" w:hanging="567"/>
        <w:rPr>
          <w:rFonts w:ascii="Times New Roman" w:eastAsia="Times New Roman" w:hAnsi="Times New Roman" w:cs="Times New Roman"/>
        </w:rPr>
      </w:pPr>
      <w:r w:rsidRPr="00483C0E">
        <w:rPr>
          <w:rFonts w:ascii="Times New Roman" w:eastAsia="Times New Roman" w:hAnsi="Times New Roman" w:cs="Times New Roman"/>
        </w:rPr>
        <w:t xml:space="preserve">the addition of </w:t>
      </w:r>
      <w:r w:rsidR="00881749" w:rsidRPr="00483C0E">
        <w:rPr>
          <w:rFonts w:ascii="Times New Roman" w:eastAsia="Times New Roman" w:hAnsi="Times New Roman" w:cs="Times New Roman"/>
        </w:rPr>
        <w:t xml:space="preserve"> </w:t>
      </w:r>
      <w:r w:rsidR="00263465">
        <w:rPr>
          <w:rFonts w:ascii="Times New Roman" w:eastAsia="Times New Roman" w:hAnsi="Times New Roman" w:cs="Times New Roman"/>
        </w:rPr>
        <w:t xml:space="preserve">three </w:t>
      </w:r>
      <w:r w:rsidRPr="00483C0E">
        <w:rPr>
          <w:rFonts w:ascii="Times New Roman" w:eastAsia="Times New Roman" w:hAnsi="Times New Roman" w:cs="Times New Roman"/>
        </w:rPr>
        <w:t>new indications</w:t>
      </w:r>
      <w:r w:rsidR="00263465">
        <w:rPr>
          <w:rFonts w:ascii="Times New Roman" w:eastAsia="Times New Roman" w:hAnsi="Times New Roman" w:cs="Times New Roman"/>
        </w:rPr>
        <w:t>, along</w:t>
      </w:r>
      <w:r w:rsidRPr="00483C0E">
        <w:rPr>
          <w:rFonts w:ascii="Times New Roman" w:eastAsia="Times New Roman" w:hAnsi="Times New Roman" w:cs="Times New Roman"/>
        </w:rPr>
        <w:t xml:space="preserve"> with associated requirements relating to </w:t>
      </w:r>
      <w:r w:rsidR="00246F78" w:rsidRPr="00483C0E">
        <w:rPr>
          <w:rFonts w:ascii="Times New Roman" w:eastAsia="Times New Roman" w:hAnsi="Times New Roman" w:cs="Times New Roman"/>
        </w:rPr>
        <w:t>the</w:t>
      </w:r>
      <w:r w:rsidR="00263465">
        <w:rPr>
          <w:rFonts w:ascii="Times New Roman" w:eastAsia="Times New Roman" w:hAnsi="Times New Roman" w:cs="Times New Roman"/>
        </w:rPr>
        <w:t>ir</w:t>
      </w:r>
      <w:r w:rsidR="00246F78" w:rsidRPr="00483C0E">
        <w:rPr>
          <w:rFonts w:ascii="Times New Roman" w:eastAsia="Times New Roman" w:hAnsi="Times New Roman" w:cs="Times New Roman"/>
        </w:rPr>
        <w:t xml:space="preserve"> </w:t>
      </w:r>
      <w:r w:rsidRPr="00483C0E">
        <w:rPr>
          <w:rFonts w:ascii="Times New Roman" w:eastAsia="Times New Roman" w:hAnsi="Times New Roman" w:cs="Times New Roman"/>
        </w:rPr>
        <w:t>use:</w:t>
      </w:r>
    </w:p>
    <w:p w14:paraId="187E8C6C" w14:textId="45947438" w:rsidR="00B27CB9" w:rsidRDefault="00263465" w:rsidP="00483C0E">
      <w:pPr>
        <w:numPr>
          <w:ilvl w:val="4"/>
          <w:numId w:val="4"/>
        </w:numPr>
        <w:autoSpaceDE w:val="0"/>
        <w:autoSpaceDN w:val="0"/>
        <w:adjustRightInd w:val="0"/>
        <w:spacing w:before="120" w:after="120" w:line="240" w:lineRule="auto"/>
        <w:ind w:left="1134" w:hanging="566"/>
        <w:rPr>
          <w:rFonts w:ascii="Times New Roman" w:eastAsia="Times New Roman" w:hAnsi="Times New Roman" w:cs="Times New Roman"/>
          <w:bCs/>
        </w:rPr>
      </w:pPr>
      <w:r>
        <w:rPr>
          <w:rFonts w:ascii="Times New Roman" w:eastAsia="Times New Roman" w:hAnsi="Times New Roman" w:cs="Times New Roman"/>
          <w:bCs/>
        </w:rPr>
        <w:t>e</w:t>
      </w:r>
      <w:r w:rsidR="00B27CB9">
        <w:rPr>
          <w:rFonts w:ascii="Times New Roman" w:eastAsia="Times New Roman" w:hAnsi="Times New Roman" w:cs="Times New Roman"/>
          <w:bCs/>
        </w:rPr>
        <w:t>nhance/promote/increase temporary weight loss</w:t>
      </w:r>
      <w:r>
        <w:rPr>
          <w:rFonts w:ascii="Times New Roman" w:eastAsia="Times New Roman" w:hAnsi="Times New Roman" w:cs="Times New Roman"/>
          <w:bCs/>
        </w:rPr>
        <w:t>;</w:t>
      </w:r>
    </w:p>
    <w:p w14:paraId="0971DF2A" w14:textId="4AE664B4" w:rsidR="00B27CB9" w:rsidRDefault="00263465" w:rsidP="00483C0E">
      <w:pPr>
        <w:numPr>
          <w:ilvl w:val="4"/>
          <w:numId w:val="4"/>
        </w:numPr>
        <w:autoSpaceDE w:val="0"/>
        <w:autoSpaceDN w:val="0"/>
        <w:adjustRightInd w:val="0"/>
        <w:spacing w:before="120" w:after="120" w:line="240" w:lineRule="auto"/>
        <w:ind w:left="1134" w:hanging="566"/>
        <w:rPr>
          <w:rFonts w:ascii="Times New Roman" w:eastAsia="Times New Roman" w:hAnsi="Times New Roman" w:cs="Times New Roman"/>
          <w:bCs/>
        </w:rPr>
      </w:pPr>
      <w:r>
        <w:rPr>
          <w:rFonts w:ascii="Times New Roman" w:eastAsia="Times New Roman" w:hAnsi="Times New Roman" w:cs="Times New Roman"/>
          <w:bCs/>
        </w:rPr>
        <w:t>m</w:t>
      </w:r>
      <w:r w:rsidR="00B27CB9">
        <w:rPr>
          <w:rFonts w:ascii="Times New Roman" w:eastAsia="Times New Roman" w:hAnsi="Times New Roman" w:cs="Times New Roman"/>
          <w:bCs/>
        </w:rPr>
        <w:t>aintain/</w:t>
      </w:r>
      <w:r w:rsidR="00B27CB9" w:rsidRPr="002C5684">
        <w:rPr>
          <w:rFonts w:ascii="Times New Roman" w:eastAsia="Times New Roman" w:hAnsi="Times New Roman" w:cs="Times New Roman"/>
        </w:rPr>
        <w:t>support</w:t>
      </w:r>
      <w:r w:rsidR="00B27CB9">
        <w:rPr>
          <w:rFonts w:ascii="Times New Roman" w:eastAsia="Times New Roman" w:hAnsi="Times New Roman" w:cs="Times New Roman"/>
          <w:bCs/>
        </w:rPr>
        <w:t xml:space="preserve"> healthy thyroid gland function for pregnancy</w:t>
      </w:r>
      <w:r>
        <w:rPr>
          <w:rFonts w:ascii="Times New Roman" w:eastAsia="Times New Roman" w:hAnsi="Times New Roman" w:cs="Times New Roman"/>
          <w:bCs/>
        </w:rPr>
        <w:t>; and</w:t>
      </w:r>
    </w:p>
    <w:p w14:paraId="66877D66" w14:textId="0277AA7C" w:rsidR="00B27CB9" w:rsidRDefault="00263465" w:rsidP="00483C0E">
      <w:pPr>
        <w:numPr>
          <w:ilvl w:val="4"/>
          <w:numId w:val="4"/>
        </w:numPr>
        <w:autoSpaceDE w:val="0"/>
        <w:autoSpaceDN w:val="0"/>
        <w:adjustRightInd w:val="0"/>
        <w:spacing w:before="120" w:after="120" w:line="240" w:lineRule="auto"/>
        <w:ind w:left="1134" w:hanging="566"/>
        <w:rPr>
          <w:rFonts w:ascii="Times New Roman" w:eastAsia="Times New Roman" w:hAnsi="Times New Roman" w:cs="Times New Roman"/>
          <w:bCs/>
        </w:rPr>
      </w:pPr>
      <w:r>
        <w:rPr>
          <w:rFonts w:ascii="Times New Roman" w:eastAsia="Times New Roman" w:hAnsi="Times New Roman" w:cs="Times New Roman"/>
          <w:bCs/>
        </w:rPr>
        <w:t>a</w:t>
      </w:r>
      <w:r w:rsidR="00B27CB9">
        <w:rPr>
          <w:rFonts w:ascii="Times New Roman" w:eastAsia="Times New Roman" w:hAnsi="Times New Roman" w:cs="Times New Roman"/>
          <w:bCs/>
        </w:rPr>
        <w:t>id/assist healthy thyroid hormone production for pregnancy</w:t>
      </w:r>
      <w:r>
        <w:rPr>
          <w:rFonts w:ascii="Times New Roman" w:eastAsia="Times New Roman" w:hAnsi="Times New Roman" w:cs="Times New Roman"/>
          <w:bCs/>
        </w:rPr>
        <w:t>;</w:t>
      </w:r>
    </w:p>
    <w:p w14:paraId="76E62972" w14:textId="3629B18F" w:rsidR="00B27CB9" w:rsidRPr="00483C0E" w:rsidRDefault="00263465" w:rsidP="00483C0E">
      <w:pPr>
        <w:pStyle w:val="ListBullet"/>
        <w:rPr>
          <w:rFonts w:ascii="Times New Roman" w:eastAsia="Times New Roman" w:hAnsi="Times New Roman" w:cs="Times New Roman"/>
        </w:rPr>
      </w:pPr>
      <w:r>
        <w:rPr>
          <w:rFonts w:ascii="Times New Roman" w:eastAsia="Times New Roman" w:hAnsi="Times New Roman" w:cs="Times New Roman"/>
        </w:rPr>
        <w:t>e</w:t>
      </w:r>
      <w:r w:rsidR="00B27CB9" w:rsidRPr="00483C0E">
        <w:rPr>
          <w:rFonts w:ascii="Times New Roman" w:eastAsia="Times New Roman" w:hAnsi="Times New Roman" w:cs="Times New Roman"/>
        </w:rPr>
        <w:t>xpan</w:t>
      </w:r>
      <w:r>
        <w:rPr>
          <w:rFonts w:ascii="Times New Roman" w:eastAsia="Times New Roman" w:hAnsi="Times New Roman" w:cs="Times New Roman"/>
        </w:rPr>
        <w:t>ding</w:t>
      </w:r>
      <w:r w:rsidR="00B27CB9" w:rsidRPr="00483C0E">
        <w:rPr>
          <w:rFonts w:ascii="Times New Roman" w:eastAsia="Times New Roman" w:hAnsi="Times New Roman" w:cs="Times New Roman"/>
        </w:rPr>
        <w:t xml:space="preserve"> </w:t>
      </w:r>
      <w:r>
        <w:rPr>
          <w:rFonts w:ascii="Times New Roman" w:eastAsia="Times New Roman" w:hAnsi="Times New Roman" w:cs="Times New Roman"/>
        </w:rPr>
        <w:t>the</w:t>
      </w:r>
      <w:r w:rsidR="00B27CB9" w:rsidRPr="00483C0E">
        <w:rPr>
          <w:rFonts w:ascii="Times New Roman" w:eastAsia="Times New Roman" w:hAnsi="Times New Roman" w:cs="Times New Roman"/>
        </w:rPr>
        <w:t xml:space="preserve"> </w:t>
      </w:r>
      <w:r w:rsidR="00BE63ED">
        <w:rPr>
          <w:rFonts w:ascii="Times New Roman" w:eastAsia="Times New Roman" w:hAnsi="Times New Roman" w:cs="Times New Roman"/>
        </w:rPr>
        <w:t>type</w:t>
      </w:r>
      <w:r>
        <w:rPr>
          <w:rFonts w:ascii="Times New Roman" w:eastAsia="Times New Roman" w:hAnsi="Times New Roman" w:cs="Times New Roman"/>
        </w:rPr>
        <w:t>s</w:t>
      </w:r>
      <w:r w:rsidR="00BE63ED">
        <w:rPr>
          <w:rFonts w:ascii="Times New Roman" w:eastAsia="Times New Roman" w:hAnsi="Times New Roman" w:cs="Times New Roman"/>
        </w:rPr>
        <w:t xml:space="preserve"> of </w:t>
      </w:r>
      <w:r w:rsidR="00B27CB9" w:rsidRPr="00483C0E">
        <w:rPr>
          <w:rFonts w:ascii="Times New Roman" w:eastAsia="Times New Roman" w:hAnsi="Times New Roman" w:cs="Times New Roman"/>
        </w:rPr>
        <w:t>evidence from ‘traditional’ to ‘traditional or scientific evidence’ for the following indication:</w:t>
      </w:r>
    </w:p>
    <w:p w14:paraId="6BBECD5D" w14:textId="195ABD70" w:rsidR="00B27CB9" w:rsidRDefault="00263465" w:rsidP="00483C0E">
      <w:pPr>
        <w:numPr>
          <w:ilvl w:val="4"/>
          <w:numId w:val="4"/>
        </w:numPr>
        <w:autoSpaceDE w:val="0"/>
        <w:autoSpaceDN w:val="0"/>
        <w:adjustRightInd w:val="0"/>
        <w:spacing w:before="120" w:after="120" w:line="240" w:lineRule="auto"/>
        <w:ind w:left="1134" w:hanging="567"/>
        <w:rPr>
          <w:rFonts w:ascii="Times New Roman" w:eastAsia="Times New Roman" w:hAnsi="Times New Roman" w:cs="Times New Roman"/>
          <w:bCs/>
        </w:rPr>
      </w:pPr>
      <w:r>
        <w:rPr>
          <w:rFonts w:ascii="Times New Roman" w:eastAsia="Times New Roman" w:hAnsi="Times New Roman" w:cs="Times New Roman"/>
          <w:bCs/>
        </w:rPr>
        <w:t>h</w:t>
      </w:r>
      <w:r w:rsidR="00B27CB9" w:rsidRPr="00483C0E">
        <w:rPr>
          <w:rFonts w:ascii="Times New Roman" w:eastAsia="Times New Roman" w:hAnsi="Times New Roman" w:cs="Times New Roman"/>
          <w:bCs/>
        </w:rPr>
        <w:t>elps maintain/support healthy heart function</w:t>
      </w:r>
      <w:r>
        <w:rPr>
          <w:rFonts w:ascii="Times New Roman" w:eastAsia="Times New Roman" w:hAnsi="Times New Roman" w:cs="Times New Roman"/>
          <w:bCs/>
        </w:rPr>
        <w:t>;</w:t>
      </w:r>
    </w:p>
    <w:p w14:paraId="0983FEF6" w14:textId="4A3E5793" w:rsidR="001521D9" w:rsidRPr="002C5684" w:rsidRDefault="00263465" w:rsidP="00483C0E">
      <w:pPr>
        <w:pStyle w:val="ListParagraph"/>
        <w:numPr>
          <w:ilvl w:val="0"/>
          <w:numId w:val="30"/>
        </w:numPr>
        <w:autoSpaceDE w:val="0"/>
        <w:autoSpaceDN w:val="0"/>
        <w:adjustRightInd w:val="0"/>
        <w:spacing w:before="120" w:after="120" w:line="240" w:lineRule="auto"/>
        <w:ind w:left="284" w:hanging="284"/>
        <w:rPr>
          <w:rFonts w:ascii="Times New Roman" w:eastAsia="Times New Roman" w:hAnsi="Times New Roman" w:cs="Times New Roman"/>
        </w:rPr>
      </w:pPr>
      <w:r>
        <w:rPr>
          <w:rFonts w:ascii="Times New Roman" w:eastAsia="Times New Roman" w:hAnsi="Times New Roman" w:cs="Times New Roman"/>
        </w:rPr>
        <w:t>c</w:t>
      </w:r>
      <w:r w:rsidR="001521D9" w:rsidRPr="002C5684">
        <w:rPr>
          <w:rFonts w:ascii="Times New Roman" w:eastAsia="Times New Roman" w:hAnsi="Times New Roman" w:cs="Times New Roman"/>
        </w:rPr>
        <w:t>onsolidati</w:t>
      </w:r>
      <w:r>
        <w:rPr>
          <w:rFonts w:ascii="Times New Roman" w:eastAsia="Times New Roman" w:hAnsi="Times New Roman" w:cs="Times New Roman"/>
        </w:rPr>
        <w:t>ng</w:t>
      </w:r>
      <w:r w:rsidR="001521D9" w:rsidRPr="002C5684">
        <w:rPr>
          <w:rFonts w:ascii="Times New Roman" w:eastAsia="Times New Roman" w:hAnsi="Times New Roman" w:cs="Times New Roman"/>
        </w:rPr>
        <w:t xml:space="preserve"> </w:t>
      </w:r>
      <w:r>
        <w:rPr>
          <w:rFonts w:ascii="Times New Roman" w:eastAsia="Times New Roman" w:hAnsi="Times New Roman" w:cs="Times New Roman"/>
        </w:rPr>
        <w:t>two duplicat</w:t>
      </w:r>
      <w:r w:rsidR="00562442">
        <w:rPr>
          <w:rFonts w:ascii="Times New Roman" w:eastAsia="Times New Roman" w:hAnsi="Times New Roman" w:cs="Times New Roman"/>
        </w:rPr>
        <w:t>e</w:t>
      </w:r>
      <w:r>
        <w:rPr>
          <w:rFonts w:ascii="Times New Roman" w:eastAsia="Times New Roman" w:hAnsi="Times New Roman" w:cs="Times New Roman"/>
        </w:rPr>
        <w:t xml:space="preserve"> indications into a single </w:t>
      </w:r>
      <w:r w:rsidR="001521D9" w:rsidRPr="002C5684">
        <w:rPr>
          <w:rFonts w:ascii="Times New Roman" w:eastAsia="Times New Roman" w:hAnsi="Times New Roman" w:cs="Times New Roman"/>
        </w:rPr>
        <w:t>indication:</w:t>
      </w:r>
    </w:p>
    <w:p w14:paraId="50B5CA5D" w14:textId="1D5A1B93" w:rsidR="001521D9" w:rsidRDefault="00F74AE8" w:rsidP="00483C0E">
      <w:pPr>
        <w:numPr>
          <w:ilvl w:val="4"/>
          <w:numId w:val="4"/>
        </w:numPr>
        <w:autoSpaceDE w:val="0"/>
        <w:autoSpaceDN w:val="0"/>
        <w:adjustRightInd w:val="0"/>
        <w:spacing w:before="120" w:after="120" w:line="240" w:lineRule="auto"/>
        <w:ind w:left="1134" w:hanging="567"/>
        <w:rPr>
          <w:rFonts w:ascii="Times New Roman" w:eastAsia="Times New Roman" w:hAnsi="Times New Roman" w:cs="Times New Roman"/>
          <w:bCs/>
        </w:rPr>
      </w:pPr>
      <w:r>
        <w:rPr>
          <w:rFonts w:ascii="Times New Roman" w:eastAsia="Times New Roman" w:hAnsi="Times New Roman" w:cs="Times New Roman"/>
          <w:bCs/>
        </w:rPr>
        <w:t>m</w:t>
      </w:r>
      <w:r w:rsidR="001521D9">
        <w:rPr>
          <w:rFonts w:ascii="Times New Roman" w:eastAsia="Times New Roman" w:hAnsi="Times New Roman" w:cs="Times New Roman"/>
          <w:bCs/>
        </w:rPr>
        <w:t>aintain/support healthy blood capillary health</w:t>
      </w:r>
      <w:r w:rsidR="00263465">
        <w:rPr>
          <w:rFonts w:ascii="Times New Roman" w:eastAsia="Times New Roman" w:hAnsi="Times New Roman" w:cs="Times New Roman"/>
          <w:bCs/>
        </w:rPr>
        <w:t>;</w:t>
      </w:r>
      <w:r>
        <w:rPr>
          <w:rFonts w:ascii="Times New Roman" w:eastAsia="Times New Roman" w:hAnsi="Times New Roman" w:cs="Times New Roman"/>
          <w:bCs/>
        </w:rPr>
        <w:t xml:space="preserve"> and</w:t>
      </w:r>
    </w:p>
    <w:p w14:paraId="332CC440" w14:textId="22E7349B" w:rsidR="00C07074" w:rsidRPr="00FE199F" w:rsidRDefault="00C07074" w:rsidP="00FE199F">
      <w:pPr>
        <w:pStyle w:val="ListParagraph"/>
        <w:numPr>
          <w:ilvl w:val="0"/>
          <w:numId w:val="30"/>
        </w:numPr>
        <w:autoSpaceDE w:val="0"/>
        <w:autoSpaceDN w:val="0"/>
        <w:adjustRightInd w:val="0"/>
        <w:spacing w:before="120" w:after="120" w:line="240" w:lineRule="auto"/>
        <w:ind w:left="284" w:hanging="284"/>
        <w:rPr>
          <w:rFonts w:ascii="Times New Roman" w:eastAsia="Times New Roman" w:hAnsi="Times New Roman" w:cs="Times New Roman"/>
        </w:rPr>
      </w:pPr>
      <w:r w:rsidRPr="00FE199F">
        <w:rPr>
          <w:rFonts w:ascii="Times New Roman" w:eastAsia="Times New Roman" w:hAnsi="Times New Roman" w:cs="Times New Roman"/>
        </w:rPr>
        <w:t xml:space="preserve">amending </w:t>
      </w:r>
      <w:r w:rsidR="00F27185" w:rsidRPr="00FE199F">
        <w:rPr>
          <w:rFonts w:ascii="Times New Roman" w:eastAsia="Times New Roman" w:hAnsi="Times New Roman" w:cs="Times New Roman"/>
        </w:rPr>
        <w:t xml:space="preserve">a </w:t>
      </w:r>
      <w:r w:rsidR="00FE199F">
        <w:rPr>
          <w:rFonts w:ascii="Times New Roman" w:eastAsia="Times New Roman" w:hAnsi="Times New Roman" w:cs="Times New Roman"/>
        </w:rPr>
        <w:t xml:space="preserve">label statement </w:t>
      </w:r>
      <w:r w:rsidR="00F27185" w:rsidRPr="00FE199F">
        <w:rPr>
          <w:rFonts w:ascii="Times New Roman" w:eastAsia="Times New Roman" w:hAnsi="Times New Roman" w:cs="Times New Roman"/>
        </w:rPr>
        <w:t xml:space="preserve">requirement relating to 11 indications for </w:t>
      </w:r>
      <w:r w:rsidRPr="00FE199F">
        <w:rPr>
          <w:rFonts w:ascii="Times New Roman" w:eastAsia="Times New Roman" w:hAnsi="Times New Roman" w:cs="Times New Roman"/>
        </w:rPr>
        <w:t>vitamin and mineral supplement</w:t>
      </w:r>
      <w:r w:rsidR="00F27185" w:rsidRPr="00FE199F">
        <w:rPr>
          <w:rFonts w:ascii="Times New Roman" w:eastAsia="Times New Roman" w:hAnsi="Times New Roman" w:cs="Times New Roman"/>
        </w:rPr>
        <w:t xml:space="preserve"> products</w:t>
      </w:r>
      <w:r w:rsidRPr="00FE199F">
        <w:rPr>
          <w:rFonts w:ascii="Times New Roman" w:eastAsia="Times New Roman" w:hAnsi="Times New Roman" w:cs="Times New Roman"/>
        </w:rPr>
        <w:t xml:space="preserve"> to enable sponsors to select ‘vitamins’, ‘minerals’, ‘nutrients’ and/or ‘dietary supplements’ (rather than just ‘vitamins and minerals’ as per the previous wording of the requirement). This requirement also now includes the statement ‘or words to the effect’ to enable for sponsors to select the label statement that accurately reflects their medicine formulation.</w:t>
      </w:r>
    </w:p>
    <w:p w14:paraId="0F98013E" w14:textId="5732EC49" w:rsidR="00311A17" w:rsidRPr="00501FFD" w:rsidRDefault="00EC7EC5" w:rsidP="00501FFD">
      <w:pPr>
        <w:keepNext/>
        <w:spacing w:after="0" w:line="240" w:lineRule="auto"/>
        <w:ind w:right="-96"/>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lastRenderedPageBreak/>
        <w:t>Consultation</w:t>
      </w:r>
    </w:p>
    <w:p w14:paraId="55746351" w14:textId="77777777" w:rsidR="00EC7EC5" w:rsidRPr="00501FFD" w:rsidRDefault="00EC7EC5" w:rsidP="00501FFD">
      <w:pPr>
        <w:autoSpaceDE w:val="0"/>
        <w:autoSpaceDN w:val="0"/>
        <w:adjustRightInd w:val="0"/>
        <w:spacing w:after="0" w:line="240" w:lineRule="auto"/>
        <w:rPr>
          <w:rFonts w:ascii="Times New Roman" w:eastAsia="Times New Roman" w:hAnsi="Times New Roman" w:cs="Times New Roman"/>
          <w:lang w:eastAsia="en-AU"/>
        </w:rPr>
      </w:pPr>
    </w:p>
    <w:p w14:paraId="167208FD" w14:textId="3DEE2148" w:rsidR="004D2DCD" w:rsidRDefault="005136AE" w:rsidP="005136AE">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Determination addresses a number of issues raised </w:t>
      </w:r>
      <w:r w:rsidR="00F27185">
        <w:rPr>
          <w:rFonts w:ascii="Times New Roman" w:eastAsia="Times New Roman" w:hAnsi="Times New Roman" w:cs="Times New Roman"/>
          <w:lang w:eastAsia="en-AU"/>
        </w:rPr>
        <w:t>in</w:t>
      </w:r>
      <w:r w:rsidR="00DC3968">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stakeholder feedback</w:t>
      </w:r>
      <w:r w:rsidR="004B4DB7">
        <w:rPr>
          <w:rFonts w:ascii="Times New Roman" w:eastAsia="Times New Roman" w:hAnsi="Times New Roman" w:cs="Times New Roman"/>
          <w:lang w:eastAsia="en-AU"/>
        </w:rPr>
        <w:t xml:space="preserve"> received since the implementation of the </w:t>
      </w:r>
      <w:r w:rsidR="004A7E6A">
        <w:rPr>
          <w:rFonts w:ascii="Times New Roman" w:eastAsia="Times New Roman" w:hAnsi="Times New Roman" w:cs="Times New Roman"/>
          <w:lang w:eastAsia="en-AU"/>
        </w:rPr>
        <w:t>previous</w:t>
      </w:r>
      <w:r w:rsidR="004B4DB7">
        <w:rPr>
          <w:rFonts w:ascii="Times New Roman" w:eastAsia="Times New Roman" w:hAnsi="Times New Roman" w:cs="Times New Roman"/>
          <w:lang w:eastAsia="en-AU"/>
        </w:rPr>
        <w:t xml:space="preserve"> Determination</w:t>
      </w:r>
      <w:r w:rsidRPr="00501FFD">
        <w:rPr>
          <w:rFonts w:ascii="Times New Roman" w:eastAsia="Times New Roman" w:hAnsi="Times New Roman" w:cs="Times New Roman"/>
          <w:lang w:eastAsia="en-AU"/>
        </w:rPr>
        <w:t xml:space="preserve"> including </w:t>
      </w:r>
      <w:r w:rsidR="00F27185">
        <w:rPr>
          <w:rFonts w:ascii="Times New Roman" w:eastAsia="Times New Roman" w:hAnsi="Times New Roman" w:cs="Times New Roman"/>
          <w:lang w:eastAsia="en-AU"/>
        </w:rPr>
        <w:t xml:space="preserve">in relation to </w:t>
      </w:r>
      <w:r w:rsidRPr="00501FFD">
        <w:rPr>
          <w:rFonts w:ascii="Times New Roman" w:eastAsia="Times New Roman" w:hAnsi="Times New Roman" w:cs="Times New Roman"/>
          <w:lang w:eastAsia="en-AU"/>
        </w:rPr>
        <w:t>the clarification</w:t>
      </w:r>
      <w:r w:rsidR="00DC3968">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 xml:space="preserve"> correction</w:t>
      </w:r>
      <w:r w:rsidR="00DC3968">
        <w:rPr>
          <w:rFonts w:ascii="Times New Roman" w:eastAsia="Times New Roman" w:hAnsi="Times New Roman" w:cs="Times New Roman"/>
          <w:lang w:eastAsia="en-AU"/>
        </w:rPr>
        <w:t xml:space="preserve"> and improved consistency</w:t>
      </w:r>
      <w:r w:rsidRPr="00501FFD">
        <w:rPr>
          <w:rFonts w:ascii="Times New Roman" w:eastAsia="Times New Roman" w:hAnsi="Times New Roman" w:cs="Times New Roman"/>
          <w:lang w:eastAsia="en-AU"/>
        </w:rPr>
        <w:t xml:space="preserve"> of a number of indication requirements in the Determination. </w:t>
      </w:r>
    </w:p>
    <w:p w14:paraId="2EE52D81" w14:textId="77777777" w:rsidR="004D2DCD" w:rsidRDefault="004D2DCD" w:rsidP="005136AE">
      <w:pPr>
        <w:autoSpaceDE w:val="0"/>
        <w:autoSpaceDN w:val="0"/>
        <w:adjustRightInd w:val="0"/>
        <w:spacing w:after="0" w:line="240" w:lineRule="auto"/>
        <w:rPr>
          <w:rFonts w:ascii="Times New Roman" w:eastAsia="Times New Roman" w:hAnsi="Times New Roman" w:cs="Times New Roman"/>
          <w:lang w:eastAsia="en-AU"/>
        </w:rPr>
      </w:pPr>
    </w:p>
    <w:p w14:paraId="57A1C91B" w14:textId="2937CC03" w:rsidR="005136AE" w:rsidRDefault="004D2DCD" w:rsidP="005136AE">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Three n</w:t>
      </w:r>
      <w:r w:rsidR="00EF3ECB" w:rsidRPr="00501FFD">
        <w:rPr>
          <w:rFonts w:ascii="Times New Roman" w:eastAsia="Times New Roman" w:hAnsi="Times New Roman" w:cs="Times New Roman"/>
          <w:lang w:eastAsia="en-AU"/>
        </w:rPr>
        <w:t xml:space="preserve">ew </w:t>
      </w:r>
      <w:r w:rsidR="005136AE" w:rsidRPr="00501FFD">
        <w:rPr>
          <w:rFonts w:ascii="Times New Roman" w:eastAsia="Times New Roman" w:hAnsi="Times New Roman" w:cs="Times New Roman"/>
          <w:lang w:eastAsia="en-AU"/>
        </w:rPr>
        <w:t xml:space="preserve">indications have </w:t>
      </w:r>
      <w:r>
        <w:rPr>
          <w:rFonts w:ascii="Times New Roman" w:eastAsia="Times New Roman" w:hAnsi="Times New Roman" w:cs="Times New Roman"/>
          <w:lang w:eastAsia="en-AU"/>
        </w:rPr>
        <w:t xml:space="preserve">also </w:t>
      </w:r>
      <w:r w:rsidR="005136AE" w:rsidRPr="00501FFD">
        <w:rPr>
          <w:rFonts w:ascii="Times New Roman" w:eastAsia="Times New Roman" w:hAnsi="Times New Roman" w:cs="Times New Roman"/>
          <w:lang w:eastAsia="en-AU"/>
        </w:rPr>
        <w:t xml:space="preserve">been included in the Determination as a result of applications </w:t>
      </w:r>
      <w:r>
        <w:rPr>
          <w:rFonts w:ascii="Times New Roman" w:eastAsia="Times New Roman" w:hAnsi="Times New Roman" w:cs="Times New Roman"/>
          <w:lang w:eastAsia="en-AU"/>
        </w:rPr>
        <w:t xml:space="preserve">by sponsors </w:t>
      </w:r>
      <w:r w:rsidR="005136AE" w:rsidRPr="00501FFD">
        <w:rPr>
          <w:rFonts w:ascii="Times New Roman" w:eastAsia="Times New Roman" w:hAnsi="Times New Roman" w:cs="Times New Roman"/>
          <w:lang w:eastAsia="en-AU"/>
        </w:rPr>
        <w:t>to amend the Determination</w:t>
      </w:r>
      <w:r>
        <w:rPr>
          <w:rFonts w:ascii="Times New Roman" w:eastAsia="Times New Roman" w:hAnsi="Times New Roman" w:cs="Times New Roman"/>
          <w:lang w:eastAsia="en-AU"/>
        </w:rPr>
        <w:t xml:space="preserve"> for that purpose</w:t>
      </w:r>
      <w:r w:rsidR="005136AE" w:rsidRPr="00501FFD">
        <w:rPr>
          <w:rFonts w:ascii="Times New Roman" w:eastAsia="Times New Roman" w:hAnsi="Times New Roman" w:cs="Times New Roman"/>
          <w:lang w:eastAsia="en-AU"/>
        </w:rPr>
        <w:t>.</w:t>
      </w:r>
    </w:p>
    <w:p w14:paraId="57E25B1C" w14:textId="357DD893" w:rsidR="004B4DB7" w:rsidRDefault="00F27185" w:rsidP="00C07074">
      <w:pPr>
        <w:autoSpaceDE w:val="0"/>
        <w:autoSpaceDN w:val="0"/>
        <w:adjustRightInd w:val="0"/>
        <w:spacing w:before="240" w:after="0" w:line="240" w:lineRule="auto"/>
        <w:rPr>
          <w:color w:val="1F4E79"/>
        </w:rPr>
      </w:pPr>
      <w:r>
        <w:rPr>
          <w:rFonts w:ascii="Times New Roman" w:eastAsia="Times New Roman" w:hAnsi="Times New Roman" w:cs="Times New Roman"/>
          <w:lang w:eastAsia="en-AU"/>
        </w:rPr>
        <w:t>The TGA</w:t>
      </w:r>
      <w:r w:rsidR="004B4DB7" w:rsidRPr="004B4DB7">
        <w:rPr>
          <w:rFonts w:ascii="Times New Roman" w:eastAsia="Times New Roman" w:hAnsi="Times New Roman" w:cs="Times New Roman"/>
          <w:lang w:eastAsia="en-AU"/>
        </w:rPr>
        <w:t xml:space="preserve"> sought advice from the Office of Best Regulatory Practice in relation to whether a Regulatory Impact statement is required for this update to the Determination. OBPR have advised that the changes are unlikely to have a more than minor regulatory impact and therefore, the preparation of a Regulation I</w:t>
      </w:r>
      <w:r w:rsidR="004B4DB7">
        <w:rPr>
          <w:rFonts w:ascii="Times New Roman" w:eastAsia="Times New Roman" w:hAnsi="Times New Roman" w:cs="Times New Roman"/>
          <w:lang w:eastAsia="en-AU"/>
        </w:rPr>
        <w:t xml:space="preserve">mpact Statement is not required (OBPR reference </w:t>
      </w:r>
      <w:r w:rsidR="004B4DB7" w:rsidRPr="00C07074">
        <w:rPr>
          <w:rFonts w:ascii="Times New Roman" w:eastAsia="Times New Roman" w:hAnsi="Times New Roman" w:cs="Times New Roman"/>
          <w:lang w:eastAsia="en-AU"/>
        </w:rPr>
        <w:t>ID 43443</w:t>
      </w:r>
      <w:r w:rsidR="004A7E6A">
        <w:rPr>
          <w:rFonts w:ascii="Times New Roman" w:eastAsia="Times New Roman" w:hAnsi="Times New Roman" w:cs="Times New Roman"/>
          <w:lang w:eastAsia="en-AU"/>
        </w:rPr>
        <w:t>)</w:t>
      </w:r>
      <w:r w:rsidR="004B4DB7" w:rsidRPr="00C07074">
        <w:rPr>
          <w:rFonts w:ascii="Times New Roman" w:eastAsia="Times New Roman" w:hAnsi="Times New Roman" w:cs="Times New Roman"/>
          <w:lang w:eastAsia="en-AU"/>
        </w:rPr>
        <w:t>.</w:t>
      </w:r>
    </w:p>
    <w:p w14:paraId="073D9651" w14:textId="71AFC171" w:rsidR="004B4DB7" w:rsidRPr="004B4DB7" w:rsidRDefault="00F27185" w:rsidP="00C07074">
      <w:pPr>
        <w:autoSpaceDE w:val="0"/>
        <w:autoSpaceDN w:val="0"/>
        <w:adjustRightInd w:val="0"/>
        <w:spacing w:before="240"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TGA</w:t>
      </w:r>
      <w:r w:rsidR="004B4DB7" w:rsidRPr="00C07074">
        <w:rPr>
          <w:rFonts w:ascii="Times New Roman" w:eastAsia="Times New Roman" w:hAnsi="Times New Roman" w:cs="Times New Roman"/>
          <w:lang w:eastAsia="en-AU"/>
        </w:rPr>
        <w:t xml:space="preserve"> also provided </w:t>
      </w:r>
      <w:r>
        <w:rPr>
          <w:rFonts w:ascii="Times New Roman" w:eastAsia="Times New Roman" w:hAnsi="Times New Roman" w:cs="Times New Roman"/>
          <w:lang w:eastAsia="en-AU"/>
        </w:rPr>
        <w:t xml:space="preserve">details of </w:t>
      </w:r>
      <w:r w:rsidR="004B4DB7" w:rsidRPr="00C07074">
        <w:rPr>
          <w:rFonts w:ascii="Times New Roman" w:eastAsia="Times New Roman" w:hAnsi="Times New Roman" w:cs="Times New Roman"/>
          <w:lang w:eastAsia="en-AU"/>
        </w:rPr>
        <w:t>th</w:t>
      </w:r>
      <w:r w:rsidR="004B4DB7">
        <w:rPr>
          <w:rFonts w:ascii="Times New Roman" w:eastAsia="Times New Roman" w:hAnsi="Times New Roman" w:cs="Times New Roman"/>
          <w:lang w:eastAsia="en-AU"/>
        </w:rPr>
        <w:t xml:space="preserve">e changes </w:t>
      </w:r>
      <w:r>
        <w:rPr>
          <w:rFonts w:ascii="Times New Roman" w:eastAsia="Times New Roman" w:hAnsi="Times New Roman" w:cs="Times New Roman"/>
          <w:lang w:eastAsia="en-AU"/>
        </w:rPr>
        <w:t xml:space="preserve">to be reflected in the Determination </w:t>
      </w:r>
      <w:r w:rsidR="004B4DB7">
        <w:rPr>
          <w:rFonts w:ascii="Times New Roman" w:eastAsia="Times New Roman" w:hAnsi="Times New Roman" w:cs="Times New Roman"/>
          <w:lang w:eastAsia="en-AU"/>
        </w:rPr>
        <w:t xml:space="preserve">to peak industry bodies (Complementary Medicines Australia and Consumer Health Products Australia) </w:t>
      </w:r>
      <w:r w:rsidR="001043AB">
        <w:rPr>
          <w:rFonts w:ascii="Times New Roman" w:eastAsia="Times New Roman" w:hAnsi="Times New Roman" w:cs="Times New Roman"/>
          <w:lang w:eastAsia="en-AU"/>
        </w:rPr>
        <w:t xml:space="preserve">in early January 2021 </w:t>
      </w:r>
      <w:r w:rsidR="004B4DB7">
        <w:rPr>
          <w:rFonts w:ascii="Times New Roman" w:eastAsia="Times New Roman" w:hAnsi="Times New Roman" w:cs="Times New Roman"/>
          <w:lang w:eastAsia="en-AU"/>
        </w:rPr>
        <w:t>who have raised no objections.</w:t>
      </w:r>
    </w:p>
    <w:p w14:paraId="4048E591" w14:textId="77777777" w:rsidR="004B4DB7" w:rsidRPr="00501FFD" w:rsidRDefault="004B4DB7" w:rsidP="005136AE">
      <w:pPr>
        <w:autoSpaceDE w:val="0"/>
        <w:autoSpaceDN w:val="0"/>
        <w:adjustRightInd w:val="0"/>
        <w:spacing w:after="0" w:line="240" w:lineRule="auto"/>
        <w:rPr>
          <w:rFonts w:ascii="Times New Roman" w:eastAsia="Times New Roman" w:hAnsi="Times New Roman" w:cs="Times New Roman"/>
          <w:lang w:eastAsia="en-AU"/>
        </w:rPr>
      </w:pPr>
    </w:p>
    <w:p w14:paraId="505F7EBE" w14:textId="77777777" w:rsidR="00033F94" w:rsidRPr="00501FFD" w:rsidRDefault="00033F94" w:rsidP="00501FFD">
      <w:pPr>
        <w:spacing w:after="0"/>
        <w:rPr>
          <w:rFonts w:ascii="Times New Roman" w:hAnsi="Times New Roman" w:cs="Times New Roman"/>
          <w:b/>
          <w:lang w:eastAsia="en-AU"/>
        </w:rPr>
      </w:pPr>
      <w:r w:rsidRPr="00501FFD">
        <w:rPr>
          <w:rFonts w:ascii="Times New Roman" w:hAnsi="Times New Roman" w:cs="Times New Roman"/>
          <w:b/>
          <w:lang w:eastAsia="en-AU"/>
        </w:rPr>
        <w:t>Incorporation by reference</w:t>
      </w:r>
    </w:p>
    <w:p w14:paraId="7A8E0CDF" w14:textId="77777777" w:rsidR="009826D1" w:rsidRPr="00501FFD" w:rsidRDefault="009826D1" w:rsidP="00501FFD">
      <w:pPr>
        <w:spacing w:after="0"/>
        <w:rPr>
          <w:rFonts w:ascii="Times New Roman" w:hAnsi="Times New Roman" w:cs="Times New Roman"/>
          <w:b/>
          <w:lang w:eastAsia="en-AU"/>
        </w:rPr>
      </w:pPr>
    </w:p>
    <w:p w14:paraId="3690BCA6" w14:textId="57C1CF3F" w:rsidR="00033F94" w:rsidRPr="00501FFD" w:rsidRDefault="00033F94" w:rsidP="00501FFD">
      <w:pPr>
        <w:autoSpaceDE w:val="0"/>
        <w:autoSpaceDN w:val="0"/>
        <w:adjustRightInd w:val="0"/>
        <w:spacing w:after="0" w:line="240" w:lineRule="auto"/>
        <w:rPr>
          <w:rFonts w:ascii="Times New Roman" w:hAnsi="Times New Roman" w:cs="Times New Roman"/>
        </w:rPr>
      </w:pPr>
      <w:r w:rsidRPr="00501FFD">
        <w:rPr>
          <w:rFonts w:ascii="Times New Roman" w:hAnsi="Times New Roman" w:cs="Times New Roman"/>
        </w:rPr>
        <w:t xml:space="preserve">The Determination adopts the document titled </w:t>
      </w:r>
      <w:r w:rsidRPr="00501FFD">
        <w:rPr>
          <w:rFonts w:ascii="Times New Roman" w:hAnsi="Times New Roman" w:cs="Times New Roman"/>
          <w:i/>
        </w:rPr>
        <w:t>Evidence guidelines: Guidelines on the evidence required to support indications for listed complementary medicines</w:t>
      </w:r>
      <w:r w:rsidRPr="00501FFD">
        <w:rPr>
          <w:rFonts w:ascii="Times New Roman" w:hAnsi="Times New Roman" w:cs="Times New Roman"/>
        </w:rPr>
        <w:t xml:space="preserve">, published by the TGA. This document provides information </w:t>
      </w:r>
      <w:r w:rsidR="009D2862">
        <w:rPr>
          <w:rFonts w:ascii="Times New Roman" w:hAnsi="Times New Roman" w:cs="Times New Roman"/>
        </w:rPr>
        <w:t xml:space="preserve">regarding </w:t>
      </w:r>
      <w:r w:rsidRPr="00501FFD">
        <w:rPr>
          <w:rFonts w:ascii="Times New Roman" w:hAnsi="Times New Roman" w:cs="Times New Roman"/>
        </w:rPr>
        <w:t>the type of evidence that is required to support indications for listed complementary medicines; and</w:t>
      </w:r>
      <w:r w:rsidR="00987DA4" w:rsidRPr="00501FFD">
        <w:rPr>
          <w:rFonts w:ascii="Times New Roman" w:hAnsi="Times New Roman" w:cs="Times New Roman"/>
        </w:rPr>
        <w:t xml:space="preserve"> obligations in relation to holding such evidence.</w:t>
      </w:r>
      <w:r w:rsidRPr="00501FFD">
        <w:rPr>
          <w:rFonts w:ascii="Times New Roman" w:hAnsi="Times New Roman" w:cs="Times New Roman"/>
        </w:rPr>
        <w:t xml:space="preserve"> </w:t>
      </w:r>
      <w:r w:rsidR="008C7BD9" w:rsidRPr="00501FFD">
        <w:rPr>
          <w:rFonts w:ascii="Times New Roman" w:hAnsi="Times New Roman" w:cs="Times New Roman"/>
        </w:rPr>
        <w:t>In accordance with paragraph 14(1</w:t>
      </w:r>
      <w:proofErr w:type="gramStart"/>
      <w:r w:rsidR="008C7BD9" w:rsidRPr="00501FFD">
        <w:rPr>
          <w:rFonts w:ascii="Times New Roman" w:hAnsi="Times New Roman" w:cs="Times New Roman"/>
        </w:rPr>
        <w:t>)(</w:t>
      </w:r>
      <w:proofErr w:type="gramEnd"/>
      <w:r w:rsidR="008C7BD9" w:rsidRPr="00501FFD">
        <w:rPr>
          <w:rFonts w:ascii="Times New Roman" w:hAnsi="Times New Roman" w:cs="Times New Roman"/>
        </w:rPr>
        <w:t xml:space="preserve">b) of the </w:t>
      </w:r>
      <w:r w:rsidR="008C7BD9" w:rsidRPr="00501FFD">
        <w:rPr>
          <w:rFonts w:ascii="Times New Roman" w:hAnsi="Times New Roman" w:cs="Times New Roman"/>
          <w:i/>
        </w:rPr>
        <w:t>Legislation Act 2003</w:t>
      </w:r>
      <w:r w:rsidR="008C7BD9" w:rsidRPr="00501FFD">
        <w:rPr>
          <w:rFonts w:ascii="Times New Roman" w:hAnsi="Times New Roman" w:cs="Times New Roman"/>
        </w:rPr>
        <w:t xml:space="preserve"> (“Legislation Act”), t</w:t>
      </w:r>
      <w:r w:rsidRPr="00501FFD">
        <w:rPr>
          <w:rFonts w:ascii="Times New Roman" w:hAnsi="Times New Roman" w:cs="Times New Roman"/>
        </w:rPr>
        <w:t xml:space="preserve">he </w:t>
      </w:r>
      <w:r w:rsidR="00987DA4" w:rsidRPr="00501FFD">
        <w:rPr>
          <w:rFonts w:ascii="Times New Roman" w:hAnsi="Times New Roman" w:cs="Times New Roman"/>
        </w:rPr>
        <w:t xml:space="preserve">Determination </w:t>
      </w:r>
      <w:r w:rsidRPr="00501FFD">
        <w:rPr>
          <w:rFonts w:ascii="Times New Roman" w:hAnsi="Times New Roman" w:cs="Times New Roman"/>
        </w:rPr>
        <w:t xml:space="preserve">incorporates that document as it is in force or existing </w:t>
      </w:r>
      <w:r w:rsidR="00987DA4" w:rsidRPr="00501FFD">
        <w:rPr>
          <w:rFonts w:ascii="Times New Roman" w:hAnsi="Times New Roman" w:cs="Times New Roman"/>
        </w:rPr>
        <w:t>at</w:t>
      </w:r>
      <w:r w:rsidRPr="00501FFD">
        <w:rPr>
          <w:rFonts w:ascii="Times New Roman" w:hAnsi="Times New Roman" w:cs="Times New Roman"/>
        </w:rPr>
        <w:t xml:space="preserve"> the commencement of the </w:t>
      </w:r>
      <w:r w:rsidR="00987DA4" w:rsidRPr="00501FFD">
        <w:rPr>
          <w:rFonts w:ascii="Times New Roman" w:hAnsi="Times New Roman" w:cs="Times New Roman"/>
        </w:rPr>
        <w:t>Determination</w:t>
      </w:r>
      <w:r w:rsidRPr="00501FFD">
        <w:rPr>
          <w:rFonts w:ascii="Times New Roman" w:hAnsi="Times New Roman" w:cs="Times New Roman"/>
        </w:rPr>
        <w:t>. This document is available for free from the</w:t>
      </w:r>
      <w:r w:rsidR="00987DA4" w:rsidRPr="00501FFD">
        <w:rPr>
          <w:rFonts w:ascii="Times New Roman" w:hAnsi="Times New Roman" w:cs="Times New Roman"/>
        </w:rPr>
        <w:t xml:space="preserve"> TGA’s website, </w:t>
      </w:r>
      <w:hyperlink r:id="rId8" w:history="1">
        <w:r w:rsidR="000418C4" w:rsidRPr="00483C0E">
          <w:rPr>
            <w:rFonts w:ascii="Times New Roman" w:hAnsi="Times New Roman" w:cs="Times New Roman"/>
          </w:rPr>
          <w:t>https://www.tga.gov.au/publication/evidence-guidelines</w:t>
        </w:r>
      </w:hyperlink>
    </w:p>
    <w:p w14:paraId="69A20D09" w14:textId="77777777" w:rsidR="00987DA4" w:rsidRPr="00501FFD" w:rsidRDefault="00033F94" w:rsidP="00033F94">
      <w:pPr>
        <w:autoSpaceDE w:val="0"/>
        <w:autoSpaceDN w:val="0"/>
        <w:adjustRightInd w:val="0"/>
        <w:spacing w:before="240" w:after="0" w:line="240" w:lineRule="auto"/>
        <w:rPr>
          <w:rFonts w:ascii="Times New Roman" w:hAnsi="Times New Roman" w:cs="Times New Roman"/>
        </w:rPr>
      </w:pPr>
      <w:r w:rsidRPr="00501FFD">
        <w:rPr>
          <w:rFonts w:ascii="Times New Roman" w:hAnsi="Times New Roman" w:cs="Times New Roman"/>
        </w:rPr>
        <w:t xml:space="preserve">The </w:t>
      </w:r>
      <w:r w:rsidR="008C7BD9" w:rsidRPr="00501FFD">
        <w:rPr>
          <w:rFonts w:ascii="Times New Roman" w:hAnsi="Times New Roman" w:cs="Times New Roman"/>
        </w:rPr>
        <w:t>Determination</w:t>
      </w:r>
      <w:r w:rsidRPr="00501FFD">
        <w:rPr>
          <w:rFonts w:ascii="Times New Roman" w:hAnsi="Times New Roman" w:cs="Times New Roman"/>
        </w:rPr>
        <w:t xml:space="preserve"> also refers to the </w:t>
      </w:r>
      <w:r w:rsidR="009826D1" w:rsidRPr="00501FFD">
        <w:rPr>
          <w:rFonts w:ascii="Times New Roman" w:hAnsi="Times New Roman" w:cs="Times New Roman"/>
        </w:rPr>
        <w:t>c</w:t>
      </w:r>
      <w:r w:rsidR="00987DA4" w:rsidRPr="00501FFD">
        <w:rPr>
          <w:rFonts w:ascii="Times New Roman" w:hAnsi="Times New Roman" w:cs="Times New Roman"/>
        </w:rPr>
        <w:t xml:space="preserve">ode </w:t>
      </w:r>
      <w:r w:rsidR="009826D1" w:rsidRPr="00501FFD">
        <w:rPr>
          <w:rFonts w:ascii="Times New Roman" w:hAnsi="Times New Roman" w:cs="Times New Roman"/>
        </w:rPr>
        <w:t>t</w:t>
      </w:r>
      <w:r w:rsidR="00987DA4" w:rsidRPr="00501FFD">
        <w:rPr>
          <w:rFonts w:ascii="Times New Roman" w:hAnsi="Times New Roman" w:cs="Times New Roman"/>
        </w:rPr>
        <w:t>ables which are published by the TGA and provide terminology for use in product applications and on medicine labels, where relevant.</w:t>
      </w:r>
      <w:r w:rsidR="009826D1" w:rsidRPr="00501FFD">
        <w:rPr>
          <w:rFonts w:ascii="Times New Roman" w:hAnsi="Times New Roman" w:cs="Times New Roman"/>
        </w:rPr>
        <w:t xml:space="preserve"> The code t</w:t>
      </w:r>
      <w:r w:rsidR="00987DA4" w:rsidRPr="00501FFD">
        <w:rPr>
          <w:rFonts w:ascii="Times New Roman" w:hAnsi="Times New Roman" w:cs="Times New Roman"/>
        </w:rPr>
        <w:t xml:space="preserve">ables may be accessed for free on the TGA website via the </w:t>
      </w:r>
      <w:r w:rsidR="00987DA4" w:rsidRPr="00501FFD">
        <w:rPr>
          <w:rFonts w:ascii="Times New Roman" w:hAnsi="Times New Roman" w:cs="Times New Roman"/>
          <w:i/>
        </w:rPr>
        <w:t>Public TGA Information</w:t>
      </w:r>
      <w:r w:rsidR="00987DA4" w:rsidRPr="00501FFD">
        <w:rPr>
          <w:rFonts w:ascii="Times New Roman" w:hAnsi="Times New Roman" w:cs="Times New Roman"/>
        </w:rPr>
        <w:t xml:space="preserve"> menu in TGA </w:t>
      </w:r>
      <w:proofErr w:type="spellStart"/>
      <w:r w:rsidR="00987DA4" w:rsidRPr="00501FFD">
        <w:rPr>
          <w:rFonts w:ascii="Times New Roman" w:hAnsi="Times New Roman" w:cs="Times New Roman"/>
        </w:rPr>
        <w:t>eBusiness</w:t>
      </w:r>
      <w:proofErr w:type="spellEnd"/>
      <w:r w:rsidR="00987DA4" w:rsidRPr="00501FFD">
        <w:rPr>
          <w:rFonts w:ascii="Times New Roman" w:hAnsi="Times New Roman" w:cs="Times New Roman"/>
        </w:rPr>
        <w:t xml:space="preserve"> Services at </w:t>
      </w:r>
      <w:hyperlink r:id="rId9" w:history="1">
        <w:r w:rsidR="00987DA4" w:rsidRPr="00501FFD">
          <w:rPr>
            <w:rStyle w:val="Hyperlink"/>
            <w:rFonts w:ascii="Times New Roman" w:hAnsi="Times New Roman" w:cs="Times New Roman"/>
          </w:rPr>
          <w:t>www.ebs.tga.gov.au</w:t>
        </w:r>
      </w:hyperlink>
      <w:r w:rsidR="00987DA4" w:rsidRPr="00501FFD">
        <w:rPr>
          <w:rFonts w:ascii="Times New Roman" w:hAnsi="Times New Roman" w:cs="Times New Roman"/>
        </w:rPr>
        <w:t xml:space="preserve">. Once again, the </w:t>
      </w:r>
      <w:r w:rsidR="009826D1" w:rsidRPr="00501FFD">
        <w:rPr>
          <w:rFonts w:ascii="Times New Roman" w:hAnsi="Times New Roman" w:cs="Times New Roman"/>
        </w:rPr>
        <w:t>Determination incorporates the code t</w:t>
      </w:r>
      <w:r w:rsidR="00987DA4" w:rsidRPr="00501FFD">
        <w:rPr>
          <w:rFonts w:ascii="Times New Roman" w:hAnsi="Times New Roman" w:cs="Times New Roman"/>
        </w:rPr>
        <w:t>ables as in force or existing at the commencement of the Determination</w:t>
      </w:r>
      <w:r w:rsidR="00C2299D" w:rsidRPr="00501FFD">
        <w:rPr>
          <w:rFonts w:ascii="Times New Roman" w:hAnsi="Times New Roman" w:cs="Times New Roman"/>
        </w:rPr>
        <w:t xml:space="preserve"> in accordance with paragraph 14(1</w:t>
      </w:r>
      <w:proofErr w:type="gramStart"/>
      <w:r w:rsidR="00C2299D" w:rsidRPr="00501FFD">
        <w:rPr>
          <w:rFonts w:ascii="Times New Roman" w:hAnsi="Times New Roman" w:cs="Times New Roman"/>
        </w:rPr>
        <w:t>)(</w:t>
      </w:r>
      <w:proofErr w:type="gramEnd"/>
      <w:r w:rsidR="00C2299D" w:rsidRPr="00501FFD">
        <w:rPr>
          <w:rFonts w:ascii="Times New Roman" w:hAnsi="Times New Roman" w:cs="Times New Roman"/>
        </w:rPr>
        <w:t>b) of the Legislation Act</w:t>
      </w:r>
      <w:r w:rsidR="00987DA4" w:rsidRPr="00501FFD">
        <w:rPr>
          <w:rFonts w:ascii="Times New Roman" w:hAnsi="Times New Roman" w:cs="Times New Roman"/>
        </w:rPr>
        <w:t>.</w:t>
      </w:r>
    </w:p>
    <w:p w14:paraId="08DAFF38" w14:textId="77777777" w:rsidR="00E27707" w:rsidRPr="00501FFD" w:rsidRDefault="00E27707" w:rsidP="005136AE">
      <w:pPr>
        <w:autoSpaceDE w:val="0"/>
        <w:autoSpaceDN w:val="0"/>
        <w:adjustRightInd w:val="0"/>
        <w:spacing w:after="0" w:line="240" w:lineRule="auto"/>
        <w:rPr>
          <w:rFonts w:ascii="Times New Roman" w:eastAsia="Times New Roman" w:hAnsi="Times New Roman" w:cs="Times New Roman"/>
          <w:lang w:eastAsia="en-AU"/>
        </w:rPr>
      </w:pPr>
    </w:p>
    <w:p w14:paraId="547DBEDD" w14:textId="3A52809B" w:rsidR="00E27707" w:rsidRPr="00501FFD" w:rsidRDefault="00C2299D" w:rsidP="005136AE">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As discussed above, the Determination incorporates the meaning of ‘serious’ as that term is defined in section 28 of the Therapeutic Goods Advertising Code. ‘Therapeutic Goods Advertising Code’ is defined in subsection 3(1) of the Act as meaning the code in force under section 42BAA of the Act, which is currently the </w:t>
      </w:r>
      <w:r w:rsidRPr="00501FFD">
        <w:rPr>
          <w:rFonts w:ascii="Times New Roman" w:eastAsia="Times New Roman" w:hAnsi="Times New Roman" w:cs="Times New Roman"/>
          <w:i/>
          <w:lang w:eastAsia="en-AU"/>
        </w:rPr>
        <w:t>Therapeutic Goods Advertising Code (No.2) 201</w:t>
      </w:r>
      <w:r w:rsidR="004D2DCD">
        <w:rPr>
          <w:rFonts w:ascii="Times New Roman" w:eastAsia="Times New Roman" w:hAnsi="Times New Roman" w:cs="Times New Roman"/>
          <w:i/>
          <w:lang w:eastAsia="en-AU"/>
        </w:rPr>
        <w:t>8</w:t>
      </w:r>
      <w:r w:rsidRPr="00501FFD">
        <w:rPr>
          <w:rFonts w:ascii="Times New Roman" w:eastAsia="Times New Roman" w:hAnsi="Times New Roman" w:cs="Times New Roman"/>
          <w:lang w:eastAsia="en-AU"/>
        </w:rPr>
        <w:t xml:space="preserve">. The Code </w:t>
      </w:r>
      <w:r w:rsidR="00BB37FB" w:rsidRPr="00501FFD">
        <w:rPr>
          <w:rFonts w:ascii="Times New Roman" w:eastAsia="Times New Roman" w:hAnsi="Times New Roman" w:cs="Times New Roman"/>
          <w:lang w:eastAsia="en-AU"/>
        </w:rPr>
        <w:t>sets out a range of requirements relating to the advertising of therapeutic goods in Australia. In accordance with paragraph 14(1</w:t>
      </w:r>
      <w:proofErr w:type="gramStart"/>
      <w:r w:rsidR="00BB37FB" w:rsidRPr="00501FFD">
        <w:rPr>
          <w:rFonts w:ascii="Times New Roman" w:eastAsia="Times New Roman" w:hAnsi="Times New Roman" w:cs="Times New Roman"/>
          <w:lang w:eastAsia="en-AU"/>
        </w:rPr>
        <w:t>)(</w:t>
      </w:r>
      <w:proofErr w:type="gramEnd"/>
      <w:r w:rsidR="00BB37FB" w:rsidRPr="00501FFD">
        <w:rPr>
          <w:rFonts w:ascii="Times New Roman" w:eastAsia="Times New Roman" w:hAnsi="Times New Roman" w:cs="Times New Roman"/>
          <w:lang w:eastAsia="en-AU"/>
        </w:rPr>
        <w:t>a) of the Legislation Act, the Determination incorporates the Code as in force from time to time. The Code is on the Federal Register of Legislation and is freely available at www.legislation.gov.au.</w:t>
      </w:r>
    </w:p>
    <w:p w14:paraId="3F019BDA" w14:textId="77777777" w:rsidR="00C2299D" w:rsidRPr="00501FFD" w:rsidRDefault="00C2299D" w:rsidP="005136AE">
      <w:pPr>
        <w:autoSpaceDE w:val="0"/>
        <w:autoSpaceDN w:val="0"/>
        <w:adjustRightInd w:val="0"/>
        <w:spacing w:after="0" w:line="240" w:lineRule="auto"/>
        <w:rPr>
          <w:rFonts w:ascii="Times New Roman" w:eastAsia="Times New Roman" w:hAnsi="Times New Roman" w:cs="Times New Roman"/>
          <w:lang w:eastAsia="en-AU"/>
        </w:rPr>
      </w:pPr>
    </w:p>
    <w:p w14:paraId="6B88A841" w14:textId="1DC4B8D4" w:rsidR="00366461" w:rsidRPr="00501FFD" w:rsidRDefault="002726C8">
      <w:pPr>
        <w:spacing w:after="240" w:line="240" w:lineRule="auto"/>
        <w:rPr>
          <w:rFonts w:ascii="Times New Roman" w:hAnsi="Times New Roman" w:cs="Times New Roman"/>
        </w:rPr>
      </w:pPr>
      <w:r w:rsidRPr="00501FFD">
        <w:rPr>
          <w:rFonts w:ascii="Times New Roman" w:eastAsia="Times New Roman" w:hAnsi="Times New Roman" w:cs="Times New Roman"/>
          <w:lang w:eastAsia="en-AU"/>
        </w:rPr>
        <w:t xml:space="preserve">Details of the Determination are set out in </w:t>
      </w:r>
      <w:r w:rsidRPr="00501FFD">
        <w:rPr>
          <w:rFonts w:ascii="Times New Roman" w:eastAsia="Times New Roman" w:hAnsi="Times New Roman" w:cs="Times New Roman"/>
          <w:b/>
          <w:lang w:eastAsia="en-AU"/>
        </w:rPr>
        <w:t>Attachment A</w:t>
      </w:r>
      <w:r w:rsidRPr="00501FFD">
        <w:rPr>
          <w:rFonts w:ascii="Times New Roman" w:eastAsia="Times New Roman" w:hAnsi="Times New Roman" w:cs="Times New Roman"/>
          <w:lang w:eastAsia="en-AU"/>
        </w:rPr>
        <w:t>.</w:t>
      </w:r>
    </w:p>
    <w:p w14:paraId="74ABBF4B" w14:textId="77777777" w:rsidR="00366461" w:rsidRPr="00501FFD" w:rsidRDefault="00366461" w:rsidP="006D3395">
      <w:pPr>
        <w:spacing w:after="0" w:line="240" w:lineRule="auto"/>
        <w:rPr>
          <w:rFonts w:ascii="Times New Roman" w:hAnsi="Times New Roman" w:cs="Times New Roman"/>
        </w:rPr>
      </w:pPr>
      <w:r w:rsidRPr="00501FFD">
        <w:rPr>
          <w:rFonts w:ascii="Times New Roman" w:hAnsi="Times New Roman" w:cs="Times New Roman"/>
        </w:rPr>
        <w:t xml:space="preserve">The Determination is compatible with the human rights and freedoms recognised or declared under section 3 of the </w:t>
      </w:r>
      <w:r w:rsidRPr="00501FFD">
        <w:rPr>
          <w:rFonts w:ascii="Times New Roman" w:hAnsi="Times New Roman" w:cs="Times New Roman"/>
          <w:i/>
        </w:rPr>
        <w:t>Human Rights (Parliamentary Scrutiny) Act 2011</w:t>
      </w:r>
      <w:r w:rsidRPr="00501FFD">
        <w:rPr>
          <w:rFonts w:ascii="Times New Roman" w:hAnsi="Times New Roman" w:cs="Times New Roman"/>
        </w:rPr>
        <w:t xml:space="preserve">. A full statement of compatibility is set out in </w:t>
      </w:r>
      <w:r w:rsidRPr="00501FFD">
        <w:rPr>
          <w:rFonts w:ascii="Times New Roman" w:hAnsi="Times New Roman" w:cs="Times New Roman"/>
          <w:b/>
        </w:rPr>
        <w:t>Attachment B</w:t>
      </w:r>
      <w:r w:rsidRPr="00501FFD">
        <w:rPr>
          <w:rFonts w:ascii="Times New Roman" w:hAnsi="Times New Roman" w:cs="Times New Roman"/>
        </w:rPr>
        <w:t>.</w:t>
      </w:r>
    </w:p>
    <w:p w14:paraId="7BD69FD8" w14:textId="77777777" w:rsidR="00366461" w:rsidRPr="00501FFD" w:rsidRDefault="00366461" w:rsidP="006D3395">
      <w:pPr>
        <w:spacing w:after="0" w:line="240" w:lineRule="auto"/>
        <w:rPr>
          <w:rFonts w:ascii="Times New Roman" w:hAnsi="Times New Roman" w:cs="Times New Roman"/>
        </w:rPr>
      </w:pPr>
    </w:p>
    <w:p w14:paraId="73BF2E8E" w14:textId="1EF366BF" w:rsidR="00DC7343" w:rsidRPr="00501FFD" w:rsidRDefault="00F413AA" w:rsidP="00311A17">
      <w:pPr>
        <w:spacing w:after="0" w:line="240" w:lineRule="auto"/>
        <w:rPr>
          <w:rFonts w:ascii="Times New Roman" w:hAnsi="Times New Roman" w:cs="Times New Roman"/>
        </w:rPr>
      </w:pPr>
      <w:r w:rsidRPr="00501FFD">
        <w:rPr>
          <w:rFonts w:ascii="Times New Roman" w:hAnsi="Times New Roman" w:cs="Times New Roman"/>
        </w:rPr>
        <w:t>This Determination is a disallowable legislative instrument, and commences</w:t>
      </w:r>
      <w:r w:rsidR="00DC7343" w:rsidRPr="00501FFD">
        <w:rPr>
          <w:rFonts w:ascii="Times New Roman" w:hAnsi="Times New Roman" w:cs="Times New Roman"/>
        </w:rPr>
        <w:t xml:space="preserve"> on</w:t>
      </w:r>
      <w:r w:rsidRPr="00501FFD">
        <w:rPr>
          <w:rFonts w:ascii="Times New Roman" w:hAnsi="Times New Roman" w:cs="Times New Roman"/>
        </w:rPr>
        <w:t xml:space="preserve"> </w:t>
      </w:r>
      <w:r w:rsidR="00F12459" w:rsidRPr="00501FFD">
        <w:rPr>
          <w:rFonts w:ascii="Times New Roman" w:hAnsi="Times New Roman" w:cs="Times New Roman"/>
        </w:rPr>
        <w:t xml:space="preserve">the day after </w:t>
      </w:r>
      <w:r w:rsidR="00096642" w:rsidRPr="00501FFD">
        <w:rPr>
          <w:rFonts w:ascii="Times New Roman" w:hAnsi="Times New Roman" w:cs="Times New Roman"/>
        </w:rPr>
        <w:t>it is registered on the Federal Register of Legislation</w:t>
      </w:r>
      <w:r w:rsidR="00F12459" w:rsidRPr="00501FFD">
        <w:rPr>
          <w:rFonts w:ascii="Times New Roman" w:hAnsi="Times New Roman" w:cs="Times New Roman"/>
        </w:rPr>
        <w:t>.</w:t>
      </w:r>
    </w:p>
    <w:p w14:paraId="0869FEFE" w14:textId="7AB97D08" w:rsidR="00311A17" w:rsidRPr="00501FFD" w:rsidRDefault="00311A17" w:rsidP="00311A17">
      <w:pPr>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br w:type="page"/>
      </w:r>
    </w:p>
    <w:p w14:paraId="6567FE0F" w14:textId="38FE9F55" w:rsidR="00F413AA" w:rsidRPr="00501FFD" w:rsidRDefault="00066CE9" w:rsidP="00501FFD">
      <w:pPr>
        <w:spacing w:before="360" w:after="240" w:line="240" w:lineRule="auto"/>
        <w:jc w:val="right"/>
        <w:rPr>
          <w:rFonts w:ascii="Times New Roman" w:hAnsi="Times New Roman" w:cs="Times New Roman"/>
          <w:b/>
        </w:rPr>
      </w:pPr>
      <w:r w:rsidRPr="00501FFD">
        <w:rPr>
          <w:rFonts w:ascii="Times New Roman" w:hAnsi="Times New Roman" w:cs="Times New Roman"/>
          <w:b/>
        </w:rPr>
        <w:lastRenderedPageBreak/>
        <w:t xml:space="preserve">Attachment </w:t>
      </w:r>
      <w:r w:rsidR="00F413AA" w:rsidRPr="00501FFD">
        <w:rPr>
          <w:rFonts w:ascii="Times New Roman" w:hAnsi="Times New Roman" w:cs="Times New Roman"/>
          <w:b/>
        </w:rPr>
        <w:t>A</w:t>
      </w:r>
    </w:p>
    <w:p w14:paraId="618A7098" w14:textId="17BDC215" w:rsidR="00675380" w:rsidRPr="00501FFD" w:rsidRDefault="002726C8" w:rsidP="00621FBA">
      <w:pPr>
        <w:spacing w:after="0" w:line="240" w:lineRule="auto"/>
        <w:rPr>
          <w:rFonts w:ascii="Times New Roman" w:eastAsia="Times New Roman" w:hAnsi="Times New Roman" w:cs="Times New Roman"/>
          <w:b/>
          <w:i/>
          <w:lang w:eastAsia="en-AU"/>
        </w:rPr>
      </w:pPr>
      <w:bookmarkStart w:id="1" w:name="_Toc199566624"/>
      <w:r w:rsidRPr="00501FFD">
        <w:rPr>
          <w:rFonts w:ascii="Times New Roman" w:hAnsi="Times New Roman" w:cs="Times New Roman"/>
          <w:b/>
        </w:rPr>
        <w:t xml:space="preserve">Details of </w:t>
      </w:r>
      <w:r w:rsidR="00675380" w:rsidRPr="00501FFD">
        <w:rPr>
          <w:rFonts w:ascii="Times New Roman" w:eastAsia="Times New Roman" w:hAnsi="Times New Roman" w:cs="Times New Roman"/>
          <w:b/>
          <w:i/>
          <w:lang w:eastAsia="en-AU"/>
        </w:rPr>
        <w:t>Therapeutic Goods (Permissible Indications) Determination (No.</w:t>
      </w:r>
      <w:r w:rsidR="00066CE9" w:rsidRPr="00501FFD">
        <w:rPr>
          <w:rFonts w:ascii="Times New Roman" w:eastAsia="Times New Roman" w:hAnsi="Times New Roman" w:cs="Times New Roman"/>
          <w:b/>
          <w:i/>
          <w:lang w:eastAsia="en-AU"/>
        </w:rPr>
        <w:t xml:space="preserve"> </w:t>
      </w:r>
      <w:r w:rsidR="000418C4">
        <w:rPr>
          <w:rFonts w:ascii="Times New Roman" w:eastAsia="Times New Roman" w:hAnsi="Times New Roman" w:cs="Times New Roman"/>
          <w:b/>
          <w:i/>
          <w:lang w:eastAsia="en-AU"/>
        </w:rPr>
        <w:t>1</w:t>
      </w:r>
      <w:r w:rsidR="00675380" w:rsidRPr="00501FFD">
        <w:rPr>
          <w:rFonts w:ascii="Times New Roman" w:eastAsia="Times New Roman" w:hAnsi="Times New Roman" w:cs="Times New Roman"/>
          <w:b/>
          <w:i/>
          <w:lang w:eastAsia="en-AU"/>
        </w:rPr>
        <w:t>) 20</w:t>
      </w:r>
      <w:r w:rsidR="000418C4">
        <w:rPr>
          <w:rFonts w:ascii="Times New Roman" w:eastAsia="Times New Roman" w:hAnsi="Times New Roman" w:cs="Times New Roman"/>
          <w:b/>
          <w:i/>
          <w:lang w:eastAsia="en-AU"/>
        </w:rPr>
        <w:t>2</w:t>
      </w:r>
      <w:r w:rsidR="00154813">
        <w:rPr>
          <w:rFonts w:ascii="Times New Roman" w:eastAsia="Times New Roman" w:hAnsi="Times New Roman" w:cs="Times New Roman"/>
          <w:b/>
          <w:i/>
          <w:lang w:eastAsia="en-AU"/>
        </w:rPr>
        <w:t>1</w:t>
      </w:r>
    </w:p>
    <w:p w14:paraId="170E6DAF" w14:textId="77777777" w:rsidR="002726C8" w:rsidRPr="00501FFD" w:rsidRDefault="002726C8" w:rsidP="00501FFD">
      <w:pPr>
        <w:tabs>
          <w:tab w:val="left" w:pos="851"/>
        </w:tabs>
        <w:spacing w:after="0" w:line="240" w:lineRule="auto"/>
        <w:outlineLvl w:val="0"/>
        <w:rPr>
          <w:rFonts w:ascii="Times New Roman" w:hAnsi="Times New Roman" w:cs="Times New Roman"/>
          <w:b/>
        </w:rPr>
      </w:pPr>
    </w:p>
    <w:p w14:paraId="1F928CB9" w14:textId="77777777" w:rsidR="009A605F" w:rsidRPr="00501FFD" w:rsidRDefault="002726C8" w:rsidP="00501FFD">
      <w:pPr>
        <w:tabs>
          <w:tab w:val="left" w:pos="851"/>
        </w:tabs>
        <w:spacing w:after="120" w:line="240" w:lineRule="auto"/>
        <w:outlineLvl w:val="0"/>
        <w:rPr>
          <w:rFonts w:ascii="Times New Roman" w:hAnsi="Times New Roman" w:cs="Times New Roman"/>
          <w:b/>
        </w:rPr>
      </w:pPr>
      <w:r w:rsidRPr="00501FFD">
        <w:rPr>
          <w:rFonts w:ascii="Times New Roman" w:hAnsi="Times New Roman" w:cs="Times New Roman"/>
          <w:b/>
        </w:rPr>
        <w:t xml:space="preserve">Section </w:t>
      </w:r>
      <w:proofErr w:type="gramStart"/>
      <w:r w:rsidRPr="00501FFD">
        <w:rPr>
          <w:rFonts w:ascii="Times New Roman" w:hAnsi="Times New Roman" w:cs="Times New Roman"/>
          <w:b/>
        </w:rPr>
        <w:t xml:space="preserve">1 </w:t>
      </w:r>
      <w:r w:rsidR="00066CE9" w:rsidRPr="00501FFD">
        <w:rPr>
          <w:rFonts w:ascii="Times New Roman" w:hAnsi="Times New Roman" w:cs="Times New Roman"/>
          <w:b/>
        </w:rPr>
        <w:t xml:space="preserve"> </w:t>
      </w:r>
      <w:r w:rsidRPr="00501FFD">
        <w:rPr>
          <w:rFonts w:ascii="Times New Roman" w:hAnsi="Times New Roman" w:cs="Times New Roman"/>
          <w:b/>
        </w:rPr>
        <w:t>Name</w:t>
      </w:r>
      <w:proofErr w:type="gramEnd"/>
    </w:p>
    <w:p w14:paraId="542D46E2" w14:textId="3A503577" w:rsidR="002726C8" w:rsidRPr="00501FFD" w:rsidRDefault="002726C8" w:rsidP="00621FBA">
      <w:pPr>
        <w:spacing w:after="0" w:line="240" w:lineRule="auto"/>
        <w:rPr>
          <w:rFonts w:ascii="Times New Roman" w:eastAsia="Times New Roman" w:hAnsi="Times New Roman" w:cs="Times New Roman"/>
          <w:b/>
          <w:lang w:eastAsia="en-AU"/>
        </w:rPr>
      </w:pPr>
      <w:r w:rsidRPr="00501FFD">
        <w:rPr>
          <w:rFonts w:ascii="Times New Roman" w:hAnsi="Times New Roman" w:cs="Times New Roman"/>
        </w:rPr>
        <w:t>This section provides that the name of th</w:t>
      </w:r>
      <w:r w:rsidR="00660ECA" w:rsidRPr="00501FFD">
        <w:rPr>
          <w:rFonts w:ascii="Times New Roman" w:hAnsi="Times New Roman" w:cs="Times New Roman"/>
        </w:rPr>
        <w:t>e</w:t>
      </w:r>
      <w:r w:rsidRPr="00501FFD">
        <w:rPr>
          <w:rFonts w:ascii="Times New Roman" w:hAnsi="Times New Roman" w:cs="Times New Roman"/>
        </w:rPr>
        <w:t xml:space="preserve"> Determination is </w:t>
      </w:r>
      <w:bookmarkEnd w:id="1"/>
      <w:r w:rsidRPr="00501FFD">
        <w:rPr>
          <w:rFonts w:ascii="Times New Roman" w:hAnsi="Times New Roman" w:cs="Times New Roman"/>
        </w:rPr>
        <w:t xml:space="preserve">the </w:t>
      </w:r>
      <w:r w:rsidRPr="00501FFD">
        <w:rPr>
          <w:rFonts w:ascii="Times New Roman" w:eastAsia="Times New Roman" w:hAnsi="Times New Roman" w:cs="Times New Roman"/>
          <w:i/>
          <w:lang w:eastAsia="en-AU"/>
        </w:rPr>
        <w:t xml:space="preserve">Therapeutic Goods (Permissible Indications) Determination </w:t>
      </w:r>
      <w:r w:rsidR="003F6FF1"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No.</w:t>
      </w:r>
      <w:r w:rsidR="00066CE9" w:rsidRPr="00501FFD">
        <w:rPr>
          <w:rFonts w:ascii="Times New Roman" w:eastAsia="Times New Roman" w:hAnsi="Times New Roman" w:cs="Times New Roman"/>
          <w:i/>
          <w:lang w:eastAsia="en-AU"/>
        </w:rPr>
        <w:t xml:space="preserve"> </w:t>
      </w:r>
      <w:r w:rsidR="000418C4">
        <w:rPr>
          <w:rFonts w:ascii="Times New Roman" w:eastAsia="Times New Roman" w:hAnsi="Times New Roman" w:cs="Times New Roman"/>
          <w:i/>
          <w:lang w:eastAsia="en-AU"/>
        </w:rPr>
        <w:t>1</w:t>
      </w:r>
      <w:r w:rsidR="003F6FF1"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 xml:space="preserve"> </w:t>
      </w:r>
      <w:r w:rsidR="001535F7" w:rsidRPr="00501FFD">
        <w:rPr>
          <w:rFonts w:ascii="Times New Roman" w:eastAsia="Times New Roman" w:hAnsi="Times New Roman" w:cs="Times New Roman"/>
          <w:i/>
          <w:lang w:eastAsia="en-AU"/>
        </w:rPr>
        <w:t>20</w:t>
      </w:r>
      <w:r w:rsidR="000418C4">
        <w:rPr>
          <w:rFonts w:ascii="Times New Roman" w:eastAsia="Times New Roman" w:hAnsi="Times New Roman" w:cs="Times New Roman"/>
          <w:i/>
          <w:lang w:eastAsia="en-AU"/>
        </w:rPr>
        <w:t>2</w:t>
      </w:r>
      <w:r w:rsidR="00154813">
        <w:rPr>
          <w:rFonts w:ascii="Times New Roman" w:eastAsia="Times New Roman" w:hAnsi="Times New Roman" w:cs="Times New Roman"/>
          <w:i/>
          <w:lang w:eastAsia="en-AU"/>
        </w:rPr>
        <w:t>1</w:t>
      </w:r>
      <w:r w:rsidR="00066CE9" w:rsidRPr="00501FFD">
        <w:rPr>
          <w:rFonts w:ascii="Times New Roman" w:eastAsia="Times New Roman" w:hAnsi="Times New Roman" w:cs="Times New Roman"/>
          <w:i/>
          <w:lang w:eastAsia="en-AU"/>
        </w:rPr>
        <w:t>.</w:t>
      </w:r>
    </w:p>
    <w:p w14:paraId="68053659" w14:textId="77777777" w:rsidR="002726C8" w:rsidRPr="00501FFD" w:rsidRDefault="002726C8" w:rsidP="005A6CD1">
      <w:pPr>
        <w:spacing w:after="0" w:line="240" w:lineRule="auto"/>
        <w:rPr>
          <w:rFonts w:ascii="Times New Roman" w:eastAsia="Times New Roman" w:hAnsi="Times New Roman" w:cs="Times New Roman"/>
          <w:b/>
          <w:lang w:eastAsia="en-AU"/>
        </w:rPr>
      </w:pPr>
    </w:p>
    <w:p w14:paraId="2B02E3E7" w14:textId="77777777" w:rsidR="009A605F" w:rsidRPr="00501FFD" w:rsidRDefault="002726C8" w:rsidP="00501FFD">
      <w:pPr>
        <w:tabs>
          <w:tab w:val="left" w:pos="851"/>
        </w:tabs>
        <w:spacing w:after="120" w:line="240" w:lineRule="auto"/>
        <w:outlineLvl w:val="0"/>
        <w:rPr>
          <w:rFonts w:ascii="Times New Roman" w:hAnsi="Times New Roman" w:cs="Times New Roman"/>
        </w:rPr>
      </w:pPr>
      <w:bookmarkStart w:id="2" w:name="_Toc199566625"/>
      <w:r w:rsidRPr="00501FFD">
        <w:rPr>
          <w:rFonts w:ascii="Times New Roman" w:hAnsi="Times New Roman" w:cs="Times New Roman"/>
          <w:b/>
        </w:rPr>
        <w:t xml:space="preserve">Section </w:t>
      </w:r>
      <w:proofErr w:type="gramStart"/>
      <w:r w:rsidRPr="00501FFD">
        <w:rPr>
          <w:rFonts w:ascii="Times New Roman" w:hAnsi="Times New Roman" w:cs="Times New Roman"/>
          <w:b/>
        </w:rPr>
        <w:t xml:space="preserve">2 </w:t>
      </w:r>
      <w:r w:rsidR="00066CE9" w:rsidRPr="00501FFD">
        <w:rPr>
          <w:rFonts w:ascii="Times New Roman" w:hAnsi="Times New Roman" w:cs="Times New Roman"/>
          <w:b/>
        </w:rPr>
        <w:t xml:space="preserve"> </w:t>
      </w:r>
      <w:r w:rsidRPr="00501FFD">
        <w:rPr>
          <w:rFonts w:ascii="Times New Roman" w:hAnsi="Times New Roman" w:cs="Times New Roman"/>
          <w:b/>
        </w:rPr>
        <w:t>Commencement</w:t>
      </w:r>
      <w:proofErr w:type="gramEnd"/>
    </w:p>
    <w:p w14:paraId="28EDDA27" w14:textId="1B981509" w:rsidR="009A605F" w:rsidRPr="00501FFD" w:rsidRDefault="002726C8" w:rsidP="00501FFD">
      <w:pPr>
        <w:tabs>
          <w:tab w:val="left" w:pos="851"/>
        </w:tabs>
        <w:spacing w:after="0" w:line="240" w:lineRule="auto"/>
        <w:outlineLvl w:val="0"/>
        <w:rPr>
          <w:rFonts w:ascii="Times New Roman" w:hAnsi="Times New Roman" w:cs="Times New Roman"/>
        </w:rPr>
      </w:pPr>
      <w:r w:rsidRPr="00501FFD">
        <w:rPr>
          <w:rFonts w:ascii="Times New Roman" w:hAnsi="Times New Roman" w:cs="Times New Roman"/>
        </w:rPr>
        <w:t>This section provides that</w:t>
      </w:r>
      <w:bookmarkEnd w:id="2"/>
      <w:r w:rsidRPr="00501FFD">
        <w:rPr>
          <w:rFonts w:ascii="Times New Roman" w:hAnsi="Times New Roman" w:cs="Times New Roman"/>
        </w:rPr>
        <w:t xml:space="preserve"> this Determination commences</w:t>
      </w:r>
      <w:r w:rsidR="00C6442E" w:rsidRPr="00501FFD">
        <w:rPr>
          <w:rFonts w:ascii="Times New Roman" w:hAnsi="Times New Roman" w:cs="Times New Roman"/>
        </w:rPr>
        <w:t xml:space="preserve"> on</w:t>
      </w:r>
      <w:r w:rsidRPr="00501FFD">
        <w:rPr>
          <w:rFonts w:ascii="Times New Roman" w:hAnsi="Times New Roman" w:cs="Times New Roman"/>
        </w:rPr>
        <w:t xml:space="preserve"> the day after </w:t>
      </w:r>
      <w:r w:rsidR="00066CE9" w:rsidRPr="00501FFD">
        <w:rPr>
          <w:rFonts w:ascii="Times New Roman" w:hAnsi="Times New Roman" w:cs="Times New Roman"/>
        </w:rPr>
        <w:t xml:space="preserve">it is </w:t>
      </w:r>
      <w:r w:rsidRPr="00501FFD">
        <w:rPr>
          <w:rFonts w:ascii="Times New Roman" w:hAnsi="Times New Roman" w:cs="Times New Roman"/>
        </w:rPr>
        <w:t>regist</w:t>
      </w:r>
      <w:r w:rsidR="00066CE9" w:rsidRPr="00501FFD">
        <w:rPr>
          <w:rFonts w:ascii="Times New Roman" w:hAnsi="Times New Roman" w:cs="Times New Roman"/>
        </w:rPr>
        <w:t xml:space="preserve">ered on the Federal Register of </w:t>
      </w:r>
      <w:r w:rsidR="00C6442E" w:rsidRPr="00501FFD">
        <w:rPr>
          <w:rFonts w:ascii="Times New Roman" w:hAnsi="Times New Roman" w:cs="Times New Roman"/>
        </w:rPr>
        <w:t>Legislation</w:t>
      </w:r>
      <w:r w:rsidRPr="00501FFD">
        <w:rPr>
          <w:rFonts w:ascii="Times New Roman" w:hAnsi="Times New Roman" w:cs="Times New Roman"/>
        </w:rPr>
        <w:t>.</w:t>
      </w:r>
    </w:p>
    <w:p w14:paraId="47D6DDB6" w14:textId="346BC63F" w:rsidR="002726C8" w:rsidRPr="00501FFD" w:rsidRDefault="002726C8" w:rsidP="00501FFD">
      <w:pPr>
        <w:tabs>
          <w:tab w:val="left" w:pos="851"/>
        </w:tabs>
        <w:spacing w:after="0" w:line="240" w:lineRule="auto"/>
        <w:outlineLvl w:val="0"/>
        <w:rPr>
          <w:rFonts w:ascii="Times New Roman" w:hAnsi="Times New Roman" w:cs="Times New Roman"/>
        </w:rPr>
      </w:pPr>
    </w:p>
    <w:p w14:paraId="19047D44" w14:textId="77777777" w:rsidR="009A605F" w:rsidRPr="00501FFD" w:rsidRDefault="002726C8" w:rsidP="00501FFD">
      <w:pPr>
        <w:tabs>
          <w:tab w:val="left" w:pos="851"/>
        </w:tabs>
        <w:spacing w:after="120" w:line="240" w:lineRule="auto"/>
        <w:outlineLvl w:val="0"/>
        <w:rPr>
          <w:rFonts w:ascii="Times New Roman" w:hAnsi="Times New Roman" w:cs="Times New Roman"/>
          <w:b/>
        </w:rPr>
      </w:pPr>
      <w:bookmarkStart w:id="3" w:name="_Toc199566627"/>
      <w:r w:rsidRPr="00501FFD">
        <w:rPr>
          <w:rFonts w:ascii="Times New Roman" w:hAnsi="Times New Roman" w:cs="Times New Roman"/>
          <w:b/>
        </w:rPr>
        <w:t xml:space="preserve">Section </w:t>
      </w:r>
      <w:proofErr w:type="gramStart"/>
      <w:r w:rsidRPr="00501FFD">
        <w:rPr>
          <w:rFonts w:ascii="Times New Roman" w:hAnsi="Times New Roman" w:cs="Times New Roman"/>
          <w:b/>
        </w:rPr>
        <w:t>3</w:t>
      </w:r>
      <w:bookmarkEnd w:id="3"/>
      <w:r w:rsidRPr="00501FFD">
        <w:rPr>
          <w:rFonts w:ascii="Times New Roman" w:hAnsi="Times New Roman" w:cs="Times New Roman"/>
        </w:rPr>
        <w:t xml:space="preserve"> </w:t>
      </w:r>
      <w:r w:rsidR="00066CE9" w:rsidRPr="00501FFD">
        <w:rPr>
          <w:rFonts w:ascii="Times New Roman" w:hAnsi="Times New Roman" w:cs="Times New Roman"/>
        </w:rPr>
        <w:t xml:space="preserve"> </w:t>
      </w:r>
      <w:r w:rsidRPr="00501FFD">
        <w:rPr>
          <w:rFonts w:ascii="Times New Roman" w:hAnsi="Times New Roman" w:cs="Times New Roman"/>
          <w:b/>
        </w:rPr>
        <w:t>Authority</w:t>
      </w:r>
      <w:proofErr w:type="gramEnd"/>
    </w:p>
    <w:p w14:paraId="5C464DA1" w14:textId="676CB982" w:rsidR="002726C8" w:rsidRPr="00501FFD" w:rsidRDefault="002726C8" w:rsidP="00501FFD">
      <w:pPr>
        <w:tabs>
          <w:tab w:val="left" w:pos="851"/>
        </w:tabs>
        <w:spacing w:after="0" w:line="240" w:lineRule="auto"/>
        <w:outlineLvl w:val="0"/>
        <w:rPr>
          <w:rFonts w:ascii="Times New Roman" w:hAnsi="Times New Roman" w:cs="Times New Roman"/>
        </w:rPr>
      </w:pPr>
      <w:r w:rsidRPr="00501FFD">
        <w:rPr>
          <w:rFonts w:ascii="Times New Roman" w:hAnsi="Times New Roman" w:cs="Times New Roman"/>
        </w:rPr>
        <w:t xml:space="preserve">This section provides that the legislative authority for making the Determination is section 26BF of the </w:t>
      </w:r>
      <w:r w:rsidRPr="00501FFD">
        <w:rPr>
          <w:rFonts w:ascii="Times New Roman" w:hAnsi="Times New Roman" w:cs="Times New Roman"/>
          <w:i/>
        </w:rPr>
        <w:t>Therapeutic Goods Act 1989</w:t>
      </w:r>
      <w:r w:rsidRPr="00501FFD">
        <w:rPr>
          <w:rFonts w:ascii="Times New Roman" w:hAnsi="Times New Roman" w:cs="Times New Roman"/>
        </w:rPr>
        <w:t>.</w:t>
      </w:r>
    </w:p>
    <w:p w14:paraId="101CEE9C" w14:textId="77777777" w:rsidR="009A605F" w:rsidRPr="00501FFD" w:rsidRDefault="009A605F" w:rsidP="00501FFD">
      <w:pPr>
        <w:tabs>
          <w:tab w:val="left" w:pos="851"/>
        </w:tabs>
        <w:spacing w:after="0" w:line="240" w:lineRule="auto"/>
        <w:outlineLvl w:val="0"/>
        <w:rPr>
          <w:rFonts w:ascii="Times New Roman" w:hAnsi="Times New Roman" w:cs="Times New Roman"/>
        </w:rPr>
      </w:pPr>
    </w:p>
    <w:p w14:paraId="40FA9756" w14:textId="77777777" w:rsidR="009A605F" w:rsidRPr="00501FFD" w:rsidRDefault="002726C8" w:rsidP="00501FFD">
      <w:pPr>
        <w:tabs>
          <w:tab w:val="left" w:pos="851"/>
        </w:tabs>
        <w:spacing w:after="120" w:line="240" w:lineRule="auto"/>
        <w:outlineLvl w:val="0"/>
        <w:rPr>
          <w:rFonts w:ascii="Times New Roman" w:hAnsi="Times New Roman" w:cs="Times New Roman"/>
        </w:rPr>
      </w:pPr>
      <w:bookmarkStart w:id="4" w:name="_Toc199566628"/>
      <w:r w:rsidRPr="00501FFD">
        <w:rPr>
          <w:rFonts w:ascii="Times New Roman" w:hAnsi="Times New Roman" w:cs="Times New Roman"/>
          <w:b/>
        </w:rPr>
        <w:t xml:space="preserve">Section </w:t>
      </w:r>
      <w:proofErr w:type="gramStart"/>
      <w:r w:rsidRPr="00501FFD">
        <w:rPr>
          <w:rFonts w:ascii="Times New Roman" w:hAnsi="Times New Roman" w:cs="Times New Roman"/>
          <w:b/>
        </w:rPr>
        <w:t>4</w:t>
      </w:r>
      <w:r w:rsidRPr="00501FFD">
        <w:rPr>
          <w:rFonts w:ascii="Times New Roman" w:hAnsi="Times New Roman" w:cs="Times New Roman"/>
        </w:rPr>
        <w:t xml:space="preserve"> </w:t>
      </w:r>
      <w:r w:rsidR="00066CE9" w:rsidRPr="00501FFD">
        <w:rPr>
          <w:rFonts w:ascii="Times New Roman" w:hAnsi="Times New Roman" w:cs="Times New Roman"/>
        </w:rPr>
        <w:t xml:space="preserve"> </w:t>
      </w:r>
      <w:r w:rsidRPr="00501FFD">
        <w:rPr>
          <w:rFonts w:ascii="Times New Roman" w:hAnsi="Times New Roman" w:cs="Times New Roman"/>
          <w:b/>
        </w:rPr>
        <w:t>Definitions</w:t>
      </w:r>
      <w:proofErr w:type="gramEnd"/>
    </w:p>
    <w:p w14:paraId="688C8EB7" w14:textId="69E932A1" w:rsidR="009A605F" w:rsidRPr="00501FFD" w:rsidRDefault="002726C8" w:rsidP="00501FFD">
      <w:pPr>
        <w:tabs>
          <w:tab w:val="left" w:pos="851"/>
        </w:tabs>
        <w:spacing w:after="0" w:line="240" w:lineRule="auto"/>
        <w:outlineLvl w:val="0"/>
        <w:rPr>
          <w:rFonts w:ascii="Times New Roman" w:hAnsi="Times New Roman" w:cs="Times New Roman"/>
        </w:rPr>
      </w:pPr>
      <w:r w:rsidRPr="00501FFD">
        <w:rPr>
          <w:rFonts w:ascii="Times New Roman" w:hAnsi="Times New Roman" w:cs="Times New Roman"/>
        </w:rPr>
        <w:t xml:space="preserve">This section </w:t>
      </w:r>
      <w:r w:rsidR="009A605F" w:rsidRPr="00501FFD">
        <w:rPr>
          <w:rFonts w:ascii="Times New Roman" w:hAnsi="Times New Roman" w:cs="Times New Roman"/>
        </w:rPr>
        <w:t xml:space="preserve">sets out </w:t>
      </w:r>
      <w:r w:rsidR="003F6FF1" w:rsidRPr="00501FFD">
        <w:rPr>
          <w:rFonts w:ascii="Times New Roman" w:hAnsi="Times New Roman" w:cs="Times New Roman"/>
        </w:rPr>
        <w:t>definitions for a number of terms used in the Determination</w:t>
      </w:r>
      <w:r w:rsidR="009A605F" w:rsidRPr="00501FFD">
        <w:rPr>
          <w:rFonts w:ascii="Times New Roman" w:hAnsi="Times New Roman" w:cs="Times New Roman"/>
        </w:rPr>
        <w:t>. In particular,</w:t>
      </w:r>
      <w:r w:rsidR="003F6FF1" w:rsidRPr="00501FFD">
        <w:rPr>
          <w:rFonts w:ascii="Times New Roman" w:hAnsi="Times New Roman" w:cs="Times New Roman"/>
        </w:rPr>
        <w:t xml:space="preserve"> </w:t>
      </w:r>
      <w:r w:rsidR="009A605F" w:rsidRPr="00501FFD">
        <w:rPr>
          <w:rFonts w:ascii="Times New Roman" w:hAnsi="Times New Roman" w:cs="Times New Roman"/>
        </w:rPr>
        <w:t>these include</w:t>
      </w:r>
      <w:r w:rsidR="003F6FF1" w:rsidRPr="00501FFD">
        <w:rPr>
          <w:rFonts w:ascii="Times New Roman" w:hAnsi="Times New Roman" w:cs="Times New Roman"/>
        </w:rPr>
        <w:t xml:space="preserve"> </w:t>
      </w:r>
      <w:r w:rsidR="009A605F" w:rsidRPr="00501FFD">
        <w:rPr>
          <w:rFonts w:ascii="Times New Roman" w:hAnsi="Times New Roman" w:cs="Times New Roman"/>
        </w:rPr>
        <w:t>‘c</w:t>
      </w:r>
      <w:r w:rsidR="003F6FF1" w:rsidRPr="00501FFD">
        <w:rPr>
          <w:rFonts w:ascii="Times New Roman" w:hAnsi="Times New Roman" w:cs="Times New Roman"/>
        </w:rPr>
        <w:t xml:space="preserve">ode </w:t>
      </w:r>
      <w:r w:rsidR="009A605F" w:rsidRPr="00501FFD">
        <w:rPr>
          <w:rFonts w:ascii="Times New Roman" w:hAnsi="Times New Roman" w:cs="Times New Roman"/>
        </w:rPr>
        <w:t>t</w:t>
      </w:r>
      <w:r w:rsidR="003F6FF1" w:rsidRPr="00501FFD">
        <w:rPr>
          <w:rFonts w:ascii="Times New Roman" w:hAnsi="Times New Roman" w:cs="Times New Roman"/>
        </w:rPr>
        <w:t>ables</w:t>
      </w:r>
      <w:r w:rsidR="009A605F" w:rsidRPr="00501FFD">
        <w:rPr>
          <w:rFonts w:ascii="Times New Roman" w:hAnsi="Times New Roman" w:cs="Times New Roman"/>
        </w:rPr>
        <w:t>’</w:t>
      </w:r>
      <w:r w:rsidR="003F6FF1" w:rsidRPr="00501FFD">
        <w:rPr>
          <w:rFonts w:ascii="Times New Roman" w:hAnsi="Times New Roman" w:cs="Times New Roman"/>
        </w:rPr>
        <w:t xml:space="preserve">, </w:t>
      </w:r>
      <w:r w:rsidR="009A605F" w:rsidRPr="00501FFD">
        <w:rPr>
          <w:rFonts w:ascii="Times New Roman" w:hAnsi="Times New Roman" w:cs="Times New Roman"/>
        </w:rPr>
        <w:t>‘</w:t>
      </w:r>
      <w:r w:rsidR="00B07ED2" w:rsidRPr="00501FFD">
        <w:rPr>
          <w:rFonts w:ascii="Times New Roman" w:hAnsi="Times New Roman" w:cs="Times New Roman"/>
        </w:rPr>
        <w:t>health professional</w:t>
      </w:r>
      <w:r w:rsidR="009A605F" w:rsidRPr="00501FFD">
        <w:rPr>
          <w:rFonts w:ascii="Times New Roman" w:hAnsi="Times New Roman" w:cs="Times New Roman"/>
        </w:rPr>
        <w:t>’, ‘</w:t>
      </w:r>
      <w:r w:rsidR="00841797" w:rsidRPr="00501FFD">
        <w:rPr>
          <w:rFonts w:ascii="Times New Roman" w:hAnsi="Times New Roman" w:cs="Times New Roman"/>
        </w:rPr>
        <w:t>m</w:t>
      </w:r>
      <w:r w:rsidR="003F6FF1" w:rsidRPr="00501FFD">
        <w:rPr>
          <w:rFonts w:ascii="Times New Roman" w:hAnsi="Times New Roman" w:cs="Times New Roman"/>
        </w:rPr>
        <w:t>edical practitioner</w:t>
      </w:r>
      <w:r w:rsidR="009A605F" w:rsidRPr="00501FFD">
        <w:rPr>
          <w:rFonts w:ascii="Times New Roman" w:hAnsi="Times New Roman" w:cs="Times New Roman"/>
        </w:rPr>
        <w:t>’</w:t>
      </w:r>
      <w:r w:rsidR="003F6FF1" w:rsidRPr="00501FFD">
        <w:rPr>
          <w:rFonts w:ascii="Times New Roman" w:hAnsi="Times New Roman" w:cs="Times New Roman"/>
        </w:rPr>
        <w:t xml:space="preserve"> and </w:t>
      </w:r>
      <w:r w:rsidR="009A605F" w:rsidRPr="00501FFD">
        <w:rPr>
          <w:rFonts w:ascii="Times New Roman" w:hAnsi="Times New Roman" w:cs="Times New Roman"/>
        </w:rPr>
        <w:t>‘</w:t>
      </w:r>
      <w:r w:rsidR="00841797" w:rsidRPr="00501FFD">
        <w:rPr>
          <w:rFonts w:ascii="Times New Roman" w:hAnsi="Times New Roman" w:cs="Times New Roman"/>
        </w:rPr>
        <w:t>t</w:t>
      </w:r>
      <w:r w:rsidR="003F6FF1" w:rsidRPr="00501FFD">
        <w:rPr>
          <w:rFonts w:ascii="Times New Roman" w:hAnsi="Times New Roman" w:cs="Times New Roman"/>
        </w:rPr>
        <w:t>raditional Chinese medicine</w:t>
      </w:r>
      <w:r w:rsidR="009A605F" w:rsidRPr="00501FFD">
        <w:rPr>
          <w:rFonts w:ascii="Times New Roman" w:hAnsi="Times New Roman" w:cs="Times New Roman"/>
        </w:rPr>
        <w:t>’</w:t>
      </w:r>
      <w:r w:rsidR="006C794F">
        <w:rPr>
          <w:rFonts w:ascii="Times New Roman" w:hAnsi="Times New Roman" w:cs="Times New Roman"/>
        </w:rPr>
        <w:t xml:space="preserve"> </w:t>
      </w:r>
      <w:r w:rsidR="00B07ED2" w:rsidRPr="00501FFD">
        <w:rPr>
          <w:rFonts w:ascii="Times New Roman" w:hAnsi="Times New Roman" w:cs="Times New Roman"/>
        </w:rPr>
        <w:t>(</w:t>
      </w:r>
      <w:r w:rsidR="009A605F" w:rsidRPr="00501FFD">
        <w:rPr>
          <w:rFonts w:ascii="Times New Roman" w:hAnsi="Times New Roman" w:cs="Times New Roman"/>
        </w:rPr>
        <w:t>in relation to the type of evidence for an</w:t>
      </w:r>
      <w:r w:rsidR="00841797" w:rsidRPr="00501FFD">
        <w:rPr>
          <w:rFonts w:ascii="Times New Roman" w:hAnsi="Times New Roman" w:cs="Times New Roman"/>
        </w:rPr>
        <w:t xml:space="preserve"> indication</w:t>
      </w:r>
      <w:r w:rsidR="00B07ED2" w:rsidRPr="00501FFD">
        <w:rPr>
          <w:rFonts w:ascii="Times New Roman" w:hAnsi="Times New Roman" w:cs="Times New Roman"/>
        </w:rPr>
        <w:t>)</w:t>
      </w:r>
      <w:r w:rsidR="003F6FF1" w:rsidRPr="00501FFD">
        <w:rPr>
          <w:rFonts w:ascii="Times New Roman" w:hAnsi="Times New Roman" w:cs="Times New Roman"/>
        </w:rPr>
        <w:t>.</w:t>
      </w:r>
    </w:p>
    <w:p w14:paraId="734BDF77" w14:textId="4145AD86" w:rsidR="009A605F" w:rsidRPr="00501FFD" w:rsidRDefault="009A605F" w:rsidP="00501FFD">
      <w:pPr>
        <w:tabs>
          <w:tab w:val="left" w:pos="851"/>
        </w:tabs>
        <w:spacing w:after="0" w:line="240" w:lineRule="auto"/>
        <w:outlineLvl w:val="0"/>
        <w:rPr>
          <w:rFonts w:ascii="Times New Roman" w:hAnsi="Times New Roman" w:cs="Times New Roman"/>
        </w:rPr>
      </w:pPr>
    </w:p>
    <w:p w14:paraId="40C8C208" w14:textId="291ED143" w:rsidR="002726C8" w:rsidRPr="00501FFD" w:rsidRDefault="003F6FF1" w:rsidP="00501FFD">
      <w:pPr>
        <w:tabs>
          <w:tab w:val="left" w:pos="851"/>
        </w:tabs>
        <w:spacing w:after="0" w:line="240" w:lineRule="auto"/>
        <w:outlineLvl w:val="0"/>
        <w:rPr>
          <w:rFonts w:ascii="Times New Roman" w:hAnsi="Times New Roman" w:cs="Times New Roman"/>
        </w:rPr>
      </w:pPr>
      <w:r w:rsidRPr="00501FFD">
        <w:rPr>
          <w:rFonts w:ascii="Times New Roman" w:hAnsi="Times New Roman" w:cs="Times New Roman"/>
        </w:rPr>
        <w:t xml:space="preserve">This section also </w:t>
      </w:r>
      <w:r w:rsidR="002726C8" w:rsidRPr="00501FFD">
        <w:rPr>
          <w:rFonts w:ascii="Times New Roman" w:hAnsi="Times New Roman" w:cs="Times New Roman"/>
        </w:rPr>
        <w:t>highlights that a number of terms used in the Determination have the meaning given to them in subsection 3(1) of the Act</w:t>
      </w:r>
      <w:r w:rsidRPr="00501FFD">
        <w:rPr>
          <w:rFonts w:ascii="Times New Roman" w:hAnsi="Times New Roman" w:cs="Times New Roman"/>
        </w:rPr>
        <w:t xml:space="preserve">, </w:t>
      </w:r>
      <w:r w:rsidR="00B07ED2" w:rsidRPr="00501FFD">
        <w:rPr>
          <w:rFonts w:ascii="Times New Roman" w:hAnsi="Times New Roman" w:cs="Times New Roman"/>
        </w:rPr>
        <w:t>for example,</w:t>
      </w:r>
      <w:r w:rsidRPr="00501FFD">
        <w:rPr>
          <w:rFonts w:ascii="Times New Roman" w:hAnsi="Times New Roman" w:cs="Times New Roman"/>
        </w:rPr>
        <w:t xml:space="preserve"> </w:t>
      </w:r>
      <w:r w:rsidR="00B07ED2" w:rsidRPr="00501FFD">
        <w:rPr>
          <w:rFonts w:ascii="Times New Roman" w:hAnsi="Times New Roman" w:cs="Times New Roman"/>
        </w:rPr>
        <w:t xml:space="preserve">‘health practitioner’, </w:t>
      </w:r>
      <w:r w:rsidRPr="00501FFD">
        <w:rPr>
          <w:rFonts w:ascii="Times New Roman" w:hAnsi="Times New Roman" w:cs="Times New Roman"/>
        </w:rPr>
        <w:t>‘indications’,</w:t>
      </w:r>
      <w:r w:rsidR="002726C8" w:rsidRPr="00501FFD">
        <w:rPr>
          <w:rFonts w:ascii="Times New Roman" w:hAnsi="Times New Roman" w:cs="Times New Roman"/>
        </w:rPr>
        <w:t xml:space="preserve"> </w:t>
      </w:r>
      <w:r w:rsidRPr="00501FFD">
        <w:rPr>
          <w:rFonts w:ascii="Times New Roman" w:hAnsi="Times New Roman" w:cs="Times New Roman"/>
        </w:rPr>
        <w:t xml:space="preserve">‘label’ and </w:t>
      </w:r>
      <w:r w:rsidR="002726C8" w:rsidRPr="00501FFD">
        <w:rPr>
          <w:rFonts w:ascii="Times New Roman" w:hAnsi="Times New Roman" w:cs="Times New Roman"/>
        </w:rPr>
        <w:t>‘medicine’.</w:t>
      </w:r>
    </w:p>
    <w:p w14:paraId="70C872A9" w14:textId="77777777" w:rsidR="009A605F" w:rsidRPr="00501FFD" w:rsidRDefault="009A605F" w:rsidP="00501FFD">
      <w:pPr>
        <w:tabs>
          <w:tab w:val="left" w:pos="851"/>
        </w:tabs>
        <w:spacing w:after="0" w:line="240" w:lineRule="auto"/>
        <w:outlineLvl w:val="0"/>
        <w:rPr>
          <w:rFonts w:ascii="Times New Roman" w:hAnsi="Times New Roman" w:cs="Times New Roman"/>
        </w:rPr>
      </w:pPr>
    </w:p>
    <w:bookmarkEnd w:id="4"/>
    <w:p w14:paraId="54E3C1B8" w14:textId="1D891340" w:rsidR="009A605F" w:rsidRPr="00501FFD" w:rsidRDefault="002726C8" w:rsidP="00501FFD">
      <w:pPr>
        <w:tabs>
          <w:tab w:val="left" w:pos="851"/>
        </w:tabs>
        <w:spacing w:after="120" w:line="240" w:lineRule="auto"/>
        <w:outlineLvl w:val="0"/>
        <w:rPr>
          <w:rFonts w:ascii="Times New Roman" w:hAnsi="Times New Roman" w:cs="Times New Roman"/>
          <w:b/>
        </w:rPr>
      </w:pPr>
      <w:r w:rsidRPr="00501FFD">
        <w:rPr>
          <w:rFonts w:ascii="Times New Roman" w:hAnsi="Times New Roman" w:cs="Times New Roman"/>
          <w:b/>
        </w:rPr>
        <w:t xml:space="preserve">Section </w:t>
      </w:r>
      <w:proofErr w:type="gramStart"/>
      <w:r w:rsidRPr="00501FFD">
        <w:rPr>
          <w:rFonts w:ascii="Times New Roman" w:hAnsi="Times New Roman" w:cs="Times New Roman"/>
          <w:b/>
        </w:rPr>
        <w:t xml:space="preserve">5 </w:t>
      </w:r>
      <w:r w:rsidR="00066CE9" w:rsidRPr="00501FFD">
        <w:rPr>
          <w:rFonts w:ascii="Times New Roman" w:hAnsi="Times New Roman" w:cs="Times New Roman"/>
          <w:b/>
        </w:rPr>
        <w:t xml:space="preserve"> </w:t>
      </w:r>
      <w:r w:rsidRPr="00501FFD">
        <w:rPr>
          <w:rFonts w:ascii="Times New Roman" w:hAnsi="Times New Roman" w:cs="Times New Roman"/>
          <w:b/>
        </w:rPr>
        <w:t>Permissible</w:t>
      </w:r>
      <w:proofErr w:type="gramEnd"/>
      <w:r w:rsidRPr="00501FFD">
        <w:rPr>
          <w:rFonts w:ascii="Times New Roman" w:hAnsi="Times New Roman" w:cs="Times New Roman"/>
          <w:b/>
        </w:rPr>
        <w:t xml:space="preserve"> indications</w:t>
      </w:r>
    </w:p>
    <w:p w14:paraId="408B814B" w14:textId="66D339AF" w:rsidR="00B07ED2" w:rsidRPr="00501FFD" w:rsidRDefault="00B07ED2" w:rsidP="00501FFD">
      <w:pPr>
        <w:tabs>
          <w:tab w:val="left" w:pos="851"/>
        </w:tabs>
        <w:spacing w:after="0" w:line="240" w:lineRule="auto"/>
        <w:outlineLvl w:val="0"/>
        <w:rPr>
          <w:rFonts w:ascii="Times New Roman" w:eastAsia="Times New Roman" w:hAnsi="Times New Roman" w:cs="Times New Roman"/>
          <w:lang w:eastAsia="en-AU"/>
        </w:rPr>
      </w:pPr>
      <w:r w:rsidRPr="00501FFD">
        <w:rPr>
          <w:rFonts w:ascii="Times New Roman" w:hAnsi="Times New Roman" w:cs="Times New Roman"/>
        </w:rPr>
        <w:t>Paragraph 5(a) of the Determination</w:t>
      </w:r>
      <w:r w:rsidR="002726C8" w:rsidRPr="00501FFD">
        <w:rPr>
          <w:rFonts w:ascii="Times New Roman" w:hAnsi="Times New Roman" w:cs="Times New Roman"/>
        </w:rPr>
        <w:t xml:space="preserve"> </w:t>
      </w:r>
      <w:r w:rsidR="00841797" w:rsidRPr="00501FFD">
        <w:rPr>
          <w:rFonts w:ascii="Times New Roman" w:eastAsia="Times New Roman" w:hAnsi="Times New Roman" w:cs="Times New Roman"/>
          <w:lang w:eastAsia="en-AU"/>
        </w:rPr>
        <w:t>provides that</w:t>
      </w:r>
      <w:r w:rsidR="00344143"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 xml:space="preserve">each </w:t>
      </w:r>
      <w:r w:rsidR="0020148B" w:rsidRPr="00501FFD">
        <w:rPr>
          <w:rFonts w:ascii="Times New Roman" w:eastAsia="Times New Roman" w:hAnsi="Times New Roman" w:cs="Times New Roman"/>
          <w:lang w:eastAsia="en-AU"/>
        </w:rPr>
        <w:t xml:space="preserve">indication </w:t>
      </w:r>
      <w:r w:rsidRPr="00501FFD">
        <w:rPr>
          <w:rFonts w:ascii="Times New Roman" w:eastAsia="Times New Roman" w:hAnsi="Times New Roman" w:cs="Times New Roman"/>
          <w:lang w:eastAsia="en-AU"/>
        </w:rPr>
        <w:t>specified</w:t>
      </w:r>
      <w:r w:rsidR="00252A73" w:rsidRPr="00501FFD">
        <w:rPr>
          <w:rFonts w:ascii="Times New Roman" w:eastAsia="Times New Roman" w:hAnsi="Times New Roman" w:cs="Times New Roman"/>
          <w:lang w:eastAsia="en-AU"/>
        </w:rPr>
        <w:t xml:space="preserve"> in column 2 of </w:t>
      </w:r>
      <w:r w:rsidRPr="00501FFD">
        <w:rPr>
          <w:rFonts w:ascii="Times New Roman" w:eastAsia="Times New Roman" w:hAnsi="Times New Roman" w:cs="Times New Roman"/>
          <w:lang w:eastAsia="en-AU"/>
        </w:rPr>
        <w:t>a t</w:t>
      </w:r>
      <w:r w:rsidR="0020148B" w:rsidRPr="00501FFD">
        <w:rPr>
          <w:rFonts w:ascii="Times New Roman" w:eastAsia="Times New Roman" w:hAnsi="Times New Roman" w:cs="Times New Roman"/>
          <w:lang w:eastAsia="en-AU"/>
        </w:rPr>
        <w:t xml:space="preserve">able </w:t>
      </w:r>
      <w:r w:rsidRPr="00501FFD">
        <w:rPr>
          <w:rFonts w:ascii="Times New Roman" w:eastAsia="Times New Roman" w:hAnsi="Times New Roman" w:cs="Times New Roman"/>
          <w:lang w:eastAsia="en-AU"/>
        </w:rPr>
        <w:t>in</w:t>
      </w:r>
      <w:r w:rsidR="0020148B" w:rsidRPr="00501FFD">
        <w:rPr>
          <w:rFonts w:ascii="Times New Roman" w:eastAsia="Times New Roman" w:hAnsi="Times New Roman" w:cs="Times New Roman"/>
          <w:lang w:eastAsia="en-AU"/>
        </w:rPr>
        <w:t xml:space="preserve"> </w:t>
      </w:r>
      <w:r w:rsidR="00344143" w:rsidRPr="00501FFD">
        <w:rPr>
          <w:rFonts w:ascii="Times New Roman" w:eastAsia="Times New Roman" w:hAnsi="Times New Roman" w:cs="Times New Roman"/>
          <w:lang w:eastAsia="en-AU"/>
        </w:rPr>
        <w:t>Schedule 1</w:t>
      </w:r>
      <w:r w:rsidR="00252A73"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 xml:space="preserve">is covered by the Determination </w:t>
      </w:r>
      <w:r w:rsidR="00252A73" w:rsidRPr="00501FFD">
        <w:rPr>
          <w:rFonts w:ascii="Times New Roman" w:eastAsia="Times New Roman" w:hAnsi="Times New Roman" w:cs="Times New Roman"/>
          <w:lang w:eastAsia="en-AU"/>
        </w:rPr>
        <w:t xml:space="preserve">for the purposes of paragraph </w:t>
      </w:r>
      <w:proofErr w:type="gramStart"/>
      <w:r w:rsidR="00252A73" w:rsidRPr="00501FFD">
        <w:rPr>
          <w:rFonts w:ascii="Times New Roman" w:eastAsia="Times New Roman" w:hAnsi="Times New Roman" w:cs="Times New Roman"/>
          <w:lang w:eastAsia="en-AU"/>
        </w:rPr>
        <w:t>26BF(</w:t>
      </w:r>
      <w:proofErr w:type="gramEnd"/>
      <w:r w:rsidR="00252A73" w:rsidRPr="00501FFD">
        <w:rPr>
          <w:rFonts w:ascii="Times New Roman" w:eastAsia="Times New Roman" w:hAnsi="Times New Roman" w:cs="Times New Roman"/>
          <w:lang w:eastAsia="en-AU"/>
        </w:rPr>
        <w:t>1)(a) of the Act</w:t>
      </w:r>
      <w:r w:rsidR="0020148B" w:rsidRPr="00501FFD">
        <w:rPr>
          <w:rFonts w:ascii="Times New Roman" w:eastAsia="Times New Roman" w:hAnsi="Times New Roman" w:cs="Times New Roman"/>
          <w:lang w:eastAsia="en-AU"/>
        </w:rPr>
        <w:t>.</w:t>
      </w:r>
    </w:p>
    <w:p w14:paraId="42EBDEBB" w14:textId="77777777" w:rsidR="00B07ED2" w:rsidRPr="00501FFD" w:rsidRDefault="00B07ED2" w:rsidP="00501FFD">
      <w:pPr>
        <w:tabs>
          <w:tab w:val="left" w:pos="851"/>
        </w:tabs>
        <w:spacing w:after="0" w:line="240" w:lineRule="auto"/>
        <w:outlineLvl w:val="0"/>
        <w:rPr>
          <w:rFonts w:ascii="Times New Roman" w:eastAsia="Times New Roman" w:hAnsi="Times New Roman" w:cs="Times New Roman"/>
          <w:lang w:eastAsia="en-AU"/>
        </w:rPr>
      </w:pPr>
    </w:p>
    <w:p w14:paraId="6DCC8685" w14:textId="49C2CD21" w:rsidR="002726C8" w:rsidRPr="00501FFD" w:rsidRDefault="00B07ED2" w:rsidP="00501FFD">
      <w:pPr>
        <w:tabs>
          <w:tab w:val="left" w:pos="851"/>
        </w:tabs>
        <w:spacing w:after="0" w:line="240" w:lineRule="auto"/>
        <w:outlineLvl w:val="0"/>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Paragraph 5(b)</w:t>
      </w:r>
      <w:r w:rsidR="00621FBA">
        <w:rPr>
          <w:rFonts w:ascii="Times New Roman" w:eastAsia="Times New Roman" w:hAnsi="Times New Roman" w:cs="Times New Roman"/>
          <w:lang w:eastAsia="en-AU"/>
        </w:rPr>
        <w:t xml:space="preserve"> of the Determination provides that </w:t>
      </w:r>
      <w:r w:rsidRPr="00501FFD">
        <w:rPr>
          <w:rFonts w:ascii="Times New Roman" w:eastAsia="Times New Roman" w:hAnsi="Times New Roman" w:cs="Times New Roman"/>
          <w:lang w:eastAsia="en-AU"/>
        </w:rPr>
        <w:t xml:space="preserve">each </w:t>
      </w:r>
      <w:r w:rsidR="00252A73" w:rsidRPr="00501FFD">
        <w:rPr>
          <w:rFonts w:ascii="Times New Roman" w:eastAsia="Times New Roman" w:hAnsi="Times New Roman" w:cs="Times New Roman"/>
          <w:lang w:eastAsia="en-AU"/>
        </w:rPr>
        <w:t xml:space="preserve">indication </w:t>
      </w:r>
      <w:r w:rsidR="00621FBA">
        <w:rPr>
          <w:rFonts w:ascii="Times New Roman" w:eastAsia="Times New Roman" w:hAnsi="Times New Roman" w:cs="Times New Roman"/>
          <w:lang w:eastAsia="en-AU"/>
        </w:rPr>
        <w:t xml:space="preserve">specified </w:t>
      </w:r>
      <w:r w:rsidR="00252A73" w:rsidRPr="00501FFD">
        <w:rPr>
          <w:rFonts w:ascii="Times New Roman" w:eastAsia="Times New Roman" w:hAnsi="Times New Roman" w:cs="Times New Roman"/>
          <w:lang w:eastAsia="en-AU"/>
        </w:rPr>
        <w:t xml:space="preserve">in column 2 of </w:t>
      </w:r>
      <w:r w:rsidRPr="00501FFD">
        <w:rPr>
          <w:rFonts w:ascii="Times New Roman" w:eastAsia="Times New Roman" w:hAnsi="Times New Roman" w:cs="Times New Roman"/>
          <w:lang w:eastAsia="en-AU"/>
        </w:rPr>
        <w:t>a t</w:t>
      </w:r>
      <w:r w:rsidR="00252A73" w:rsidRPr="00501FFD">
        <w:rPr>
          <w:rFonts w:ascii="Times New Roman" w:eastAsia="Times New Roman" w:hAnsi="Times New Roman" w:cs="Times New Roman"/>
          <w:lang w:eastAsia="en-AU"/>
        </w:rPr>
        <w:t xml:space="preserve">able in Schedule 1 </w:t>
      </w:r>
      <w:r w:rsidR="00621FBA">
        <w:rPr>
          <w:rFonts w:ascii="Times New Roman" w:eastAsia="Times New Roman" w:hAnsi="Times New Roman" w:cs="Times New Roman"/>
          <w:lang w:eastAsia="en-AU"/>
        </w:rPr>
        <w:t xml:space="preserve">is also covered by </w:t>
      </w:r>
      <w:r w:rsidR="00252A73" w:rsidRPr="00501FFD">
        <w:rPr>
          <w:rFonts w:ascii="Times New Roman" w:eastAsia="Times New Roman" w:hAnsi="Times New Roman" w:cs="Times New Roman"/>
          <w:lang w:eastAsia="en-AU"/>
        </w:rPr>
        <w:t xml:space="preserve">the Determination when modified using </w:t>
      </w:r>
      <w:r w:rsidRPr="00501FFD">
        <w:rPr>
          <w:rFonts w:ascii="Times New Roman" w:eastAsia="Times New Roman" w:hAnsi="Times New Roman" w:cs="Times New Roman"/>
          <w:lang w:eastAsia="en-AU"/>
        </w:rPr>
        <w:t xml:space="preserve">one or more </w:t>
      </w:r>
      <w:r w:rsidR="00252A73" w:rsidRPr="00501FFD">
        <w:rPr>
          <w:rFonts w:ascii="Times New Roman" w:eastAsia="Times New Roman" w:hAnsi="Times New Roman" w:cs="Times New Roman"/>
          <w:lang w:eastAsia="en-AU"/>
        </w:rPr>
        <w:t xml:space="preserve">qualifying statements in the </w:t>
      </w:r>
      <w:r w:rsidR="006D798B" w:rsidRPr="00501FFD">
        <w:rPr>
          <w:rFonts w:ascii="Times New Roman" w:eastAsia="Times New Roman" w:hAnsi="Times New Roman" w:cs="Times New Roman"/>
          <w:lang w:eastAsia="en-AU"/>
        </w:rPr>
        <w:t>c</w:t>
      </w:r>
      <w:r w:rsidR="00252A73" w:rsidRPr="00501FFD">
        <w:rPr>
          <w:rFonts w:ascii="Times New Roman" w:eastAsia="Times New Roman" w:hAnsi="Times New Roman" w:cs="Times New Roman"/>
          <w:lang w:eastAsia="en-AU"/>
        </w:rPr>
        <w:t xml:space="preserve">ode </w:t>
      </w:r>
      <w:r w:rsidR="006D798B" w:rsidRPr="00501FFD">
        <w:rPr>
          <w:rFonts w:ascii="Times New Roman" w:eastAsia="Times New Roman" w:hAnsi="Times New Roman" w:cs="Times New Roman"/>
          <w:lang w:eastAsia="en-AU"/>
        </w:rPr>
        <w:t>t</w:t>
      </w:r>
      <w:r w:rsidR="00252A73" w:rsidRPr="00501FFD">
        <w:rPr>
          <w:rFonts w:ascii="Times New Roman" w:eastAsia="Times New Roman" w:hAnsi="Times New Roman" w:cs="Times New Roman"/>
          <w:lang w:eastAsia="en-AU"/>
        </w:rPr>
        <w:t xml:space="preserve">ables under the headings </w:t>
      </w:r>
      <w:r w:rsidR="00841797" w:rsidRPr="00501FFD">
        <w:rPr>
          <w:rFonts w:ascii="Times New Roman" w:eastAsia="Times New Roman" w:hAnsi="Times New Roman" w:cs="Times New Roman"/>
          <w:lang w:eastAsia="en-AU"/>
        </w:rPr>
        <w:t>referred to</w:t>
      </w:r>
      <w:r w:rsidR="00252A73" w:rsidRPr="00501FFD">
        <w:rPr>
          <w:rFonts w:ascii="Times New Roman" w:eastAsia="Times New Roman" w:hAnsi="Times New Roman" w:cs="Times New Roman"/>
          <w:lang w:eastAsia="en-AU"/>
        </w:rPr>
        <w:t xml:space="preserve"> in </w:t>
      </w:r>
      <w:r w:rsidRPr="00501FFD">
        <w:rPr>
          <w:rFonts w:ascii="Times New Roman" w:eastAsia="Times New Roman" w:hAnsi="Times New Roman" w:cs="Times New Roman"/>
          <w:lang w:eastAsia="en-AU"/>
        </w:rPr>
        <w:t>sub</w:t>
      </w:r>
      <w:r w:rsidR="00252A73" w:rsidRPr="00501FFD">
        <w:rPr>
          <w:rFonts w:ascii="Times New Roman" w:eastAsia="Times New Roman" w:hAnsi="Times New Roman" w:cs="Times New Roman"/>
          <w:lang w:eastAsia="en-AU"/>
        </w:rPr>
        <w:t>paragraphs 5(</w:t>
      </w:r>
      <w:r w:rsidRPr="00501FFD">
        <w:rPr>
          <w:rFonts w:ascii="Times New Roman" w:eastAsia="Times New Roman" w:hAnsi="Times New Roman" w:cs="Times New Roman"/>
          <w:lang w:eastAsia="en-AU"/>
        </w:rPr>
        <w:t>b</w:t>
      </w:r>
      <w:proofErr w:type="gramStart"/>
      <w:r w:rsidR="00252A73" w:rsidRPr="00501FFD">
        <w:rPr>
          <w:rFonts w:ascii="Times New Roman" w:eastAsia="Times New Roman" w:hAnsi="Times New Roman" w:cs="Times New Roman"/>
          <w:lang w:eastAsia="en-AU"/>
        </w:rPr>
        <w:t>)(</w:t>
      </w:r>
      <w:proofErr w:type="spellStart"/>
      <w:proofErr w:type="gramEnd"/>
      <w:r w:rsidRPr="00501FFD">
        <w:rPr>
          <w:rFonts w:ascii="Times New Roman" w:eastAsia="Times New Roman" w:hAnsi="Times New Roman" w:cs="Times New Roman"/>
          <w:lang w:eastAsia="en-AU"/>
        </w:rPr>
        <w:t>i</w:t>
      </w:r>
      <w:proofErr w:type="spellEnd"/>
      <w:r w:rsidR="00252A73" w:rsidRPr="00501FFD">
        <w:rPr>
          <w:rFonts w:ascii="Times New Roman" w:eastAsia="Times New Roman" w:hAnsi="Times New Roman" w:cs="Times New Roman"/>
          <w:lang w:eastAsia="en-AU"/>
        </w:rPr>
        <w:t>)</w:t>
      </w:r>
      <w:r w:rsidR="006D798B" w:rsidRPr="00501FFD">
        <w:rPr>
          <w:rFonts w:ascii="Times New Roman" w:eastAsia="Times New Roman" w:hAnsi="Times New Roman" w:cs="Times New Roman"/>
          <w:lang w:eastAsia="en-AU"/>
        </w:rPr>
        <w:t xml:space="preserve"> to</w:t>
      </w:r>
      <w:r w:rsidR="00252A73"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iv</w:t>
      </w:r>
      <w:r w:rsidR="00252A73" w:rsidRPr="00501FFD">
        <w:rPr>
          <w:rFonts w:ascii="Times New Roman" w:eastAsia="Times New Roman" w:hAnsi="Times New Roman" w:cs="Times New Roman"/>
          <w:lang w:eastAsia="en-AU"/>
        </w:rPr>
        <w:t>).</w:t>
      </w:r>
    </w:p>
    <w:p w14:paraId="5A518D4F" w14:textId="77777777" w:rsidR="009A605F" w:rsidRPr="00501FFD" w:rsidRDefault="009A605F" w:rsidP="00501FFD">
      <w:pPr>
        <w:tabs>
          <w:tab w:val="left" w:pos="851"/>
        </w:tabs>
        <w:spacing w:after="0" w:line="240" w:lineRule="auto"/>
        <w:outlineLvl w:val="0"/>
        <w:rPr>
          <w:rFonts w:ascii="Times New Roman" w:eastAsia="Times New Roman" w:hAnsi="Times New Roman" w:cs="Times New Roman"/>
          <w:lang w:eastAsia="en-AU"/>
        </w:rPr>
      </w:pPr>
    </w:p>
    <w:p w14:paraId="05A6E63F" w14:textId="77777777" w:rsidR="009A605F" w:rsidRPr="00501FFD" w:rsidRDefault="00066CE9" w:rsidP="00501FFD">
      <w:pPr>
        <w:tabs>
          <w:tab w:val="left" w:pos="851"/>
        </w:tabs>
        <w:spacing w:after="120" w:line="240" w:lineRule="auto"/>
        <w:outlineLvl w:val="0"/>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t xml:space="preserve">Section </w:t>
      </w:r>
      <w:proofErr w:type="gramStart"/>
      <w:r w:rsidRPr="00501FFD">
        <w:rPr>
          <w:rFonts w:ascii="Times New Roman" w:eastAsia="Times New Roman" w:hAnsi="Times New Roman" w:cs="Times New Roman"/>
          <w:b/>
          <w:lang w:eastAsia="en-AU"/>
        </w:rPr>
        <w:t>6  Requirements</w:t>
      </w:r>
      <w:proofErr w:type="gramEnd"/>
      <w:r w:rsidR="00B07ED2" w:rsidRPr="00501FFD">
        <w:rPr>
          <w:rFonts w:ascii="Times New Roman" w:eastAsia="Times New Roman" w:hAnsi="Times New Roman" w:cs="Times New Roman"/>
          <w:b/>
          <w:lang w:eastAsia="en-AU"/>
        </w:rPr>
        <w:t xml:space="preserve"> in relation to permissible indications</w:t>
      </w:r>
    </w:p>
    <w:p w14:paraId="6EDBAA7E" w14:textId="77777777" w:rsidR="00B07ED2" w:rsidRPr="00501FFD" w:rsidRDefault="00B07ED2" w:rsidP="00501FFD">
      <w:pPr>
        <w:tabs>
          <w:tab w:val="left" w:pos="851"/>
        </w:tabs>
        <w:spacing w:after="0" w:line="240" w:lineRule="auto"/>
        <w:outlineLvl w:val="0"/>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Section 6 specifies requirements in relation to an indication covered by the Determination for the purposes of paragraph </w:t>
      </w:r>
      <w:proofErr w:type="gramStart"/>
      <w:r w:rsidRPr="00501FFD">
        <w:rPr>
          <w:rFonts w:ascii="Times New Roman" w:eastAsia="Times New Roman" w:hAnsi="Times New Roman" w:cs="Times New Roman"/>
          <w:lang w:eastAsia="en-AU"/>
        </w:rPr>
        <w:t>26BF(</w:t>
      </w:r>
      <w:proofErr w:type="gramEnd"/>
      <w:r w:rsidRPr="00501FFD">
        <w:rPr>
          <w:rFonts w:ascii="Times New Roman" w:eastAsia="Times New Roman" w:hAnsi="Times New Roman" w:cs="Times New Roman"/>
          <w:lang w:eastAsia="en-AU"/>
        </w:rPr>
        <w:t>1)(b) of the Act.</w:t>
      </w:r>
    </w:p>
    <w:p w14:paraId="7C289908" w14:textId="77777777" w:rsidR="00B07ED2" w:rsidRPr="00501FFD" w:rsidRDefault="00B07ED2" w:rsidP="00501FFD">
      <w:pPr>
        <w:tabs>
          <w:tab w:val="left" w:pos="851"/>
        </w:tabs>
        <w:spacing w:after="0" w:line="240" w:lineRule="auto"/>
        <w:outlineLvl w:val="0"/>
        <w:rPr>
          <w:rFonts w:ascii="Times New Roman" w:eastAsia="Times New Roman" w:hAnsi="Times New Roman" w:cs="Times New Roman"/>
          <w:lang w:eastAsia="en-AU"/>
        </w:rPr>
      </w:pPr>
    </w:p>
    <w:p w14:paraId="3C83D273" w14:textId="59FB9C71" w:rsidR="00174247" w:rsidRPr="00501FFD" w:rsidRDefault="00252A73" w:rsidP="00501FFD">
      <w:pPr>
        <w:tabs>
          <w:tab w:val="left" w:pos="851"/>
        </w:tabs>
        <w:spacing w:after="0" w:line="240" w:lineRule="auto"/>
        <w:outlineLvl w:val="0"/>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Subsection </w:t>
      </w:r>
      <w:r w:rsidR="00B07ED2" w:rsidRPr="00501FFD">
        <w:rPr>
          <w:rFonts w:ascii="Times New Roman" w:eastAsia="Times New Roman" w:hAnsi="Times New Roman" w:cs="Times New Roman"/>
          <w:lang w:eastAsia="en-AU"/>
        </w:rPr>
        <w:t>6</w:t>
      </w:r>
      <w:r w:rsidRPr="00501FFD">
        <w:rPr>
          <w:rFonts w:ascii="Times New Roman" w:eastAsia="Times New Roman" w:hAnsi="Times New Roman" w:cs="Times New Roman"/>
          <w:lang w:eastAsia="en-AU"/>
        </w:rPr>
        <w:t>(</w:t>
      </w:r>
      <w:r w:rsidR="00B07ED2" w:rsidRPr="00501FFD">
        <w:rPr>
          <w:rFonts w:ascii="Times New Roman" w:eastAsia="Times New Roman" w:hAnsi="Times New Roman" w:cs="Times New Roman"/>
          <w:lang w:eastAsia="en-AU"/>
        </w:rPr>
        <w:t>2</w:t>
      </w:r>
      <w:r w:rsidRPr="00501FFD">
        <w:rPr>
          <w:rFonts w:ascii="Times New Roman" w:eastAsia="Times New Roman" w:hAnsi="Times New Roman" w:cs="Times New Roman"/>
          <w:lang w:eastAsia="en-AU"/>
        </w:rPr>
        <w:t xml:space="preserve">) provides that </w:t>
      </w:r>
      <w:r w:rsidR="00F67321" w:rsidRPr="00501FFD">
        <w:rPr>
          <w:rFonts w:ascii="Times New Roman" w:eastAsia="Times New Roman" w:hAnsi="Times New Roman" w:cs="Times New Roman"/>
          <w:lang w:eastAsia="en-AU"/>
        </w:rPr>
        <w:t xml:space="preserve">each </w:t>
      </w:r>
      <w:r w:rsidRPr="00501FFD">
        <w:rPr>
          <w:rFonts w:ascii="Times New Roman" w:eastAsia="Times New Roman" w:hAnsi="Times New Roman" w:cs="Times New Roman"/>
          <w:lang w:eastAsia="en-AU"/>
        </w:rPr>
        <w:t xml:space="preserve">indication </w:t>
      </w:r>
      <w:r w:rsidR="00621FBA">
        <w:rPr>
          <w:rFonts w:ascii="Times New Roman" w:eastAsia="Times New Roman" w:hAnsi="Times New Roman" w:cs="Times New Roman"/>
          <w:lang w:eastAsia="en-AU"/>
        </w:rPr>
        <w:t>specified</w:t>
      </w:r>
      <w:r w:rsidR="00B07ED2" w:rsidRPr="00501FFD">
        <w:rPr>
          <w:rFonts w:ascii="Times New Roman" w:eastAsia="Times New Roman" w:hAnsi="Times New Roman" w:cs="Times New Roman"/>
          <w:lang w:eastAsia="en-AU"/>
        </w:rPr>
        <w:t xml:space="preserve"> in column 2 of a table in Schedule 1 may only be use</w:t>
      </w:r>
      <w:r w:rsidR="00174247" w:rsidRPr="00501FFD">
        <w:rPr>
          <w:rFonts w:ascii="Times New Roman" w:eastAsia="Times New Roman" w:hAnsi="Times New Roman" w:cs="Times New Roman"/>
          <w:lang w:eastAsia="en-AU"/>
        </w:rPr>
        <w:t xml:space="preserve">d for </w:t>
      </w:r>
      <w:r w:rsidR="006D798B" w:rsidRPr="00501FFD">
        <w:rPr>
          <w:rFonts w:ascii="Times New Roman" w:eastAsia="Times New Roman" w:hAnsi="Times New Roman" w:cs="Times New Roman"/>
          <w:lang w:eastAsia="en-AU"/>
        </w:rPr>
        <w:t>a</w:t>
      </w:r>
      <w:r w:rsidR="00174247" w:rsidRPr="00501FFD">
        <w:rPr>
          <w:rFonts w:ascii="Times New Roman" w:eastAsia="Times New Roman" w:hAnsi="Times New Roman" w:cs="Times New Roman"/>
          <w:lang w:eastAsia="en-AU"/>
        </w:rPr>
        <w:t xml:space="preserve"> medicine if the indication is supported by evidence of</w:t>
      </w:r>
      <w:r w:rsidR="00881749" w:rsidRPr="00501FFD">
        <w:rPr>
          <w:rFonts w:ascii="Times New Roman" w:eastAsia="Times New Roman" w:hAnsi="Times New Roman" w:cs="Times New Roman"/>
          <w:lang w:eastAsia="en-AU"/>
        </w:rPr>
        <w:t xml:space="preserve"> the type specified in column 3,</w:t>
      </w:r>
      <w:r w:rsidR="00174247" w:rsidRPr="00501FFD">
        <w:rPr>
          <w:rFonts w:ascii="Times New Roman" w:eastAsia="Times New Roman" w:hAnsi="Times New Roman" w:cs="Times New Roman"/>
          <w:lang w:eastAsia="en-AU"/>
        </w:rPr>
        <w:t xml:space="preserve"> and the requirements set out in column 4 are met</w:t>
      </w:r>
      <w:r w:rsidR="00F67321" w:rsidRPr="00501FFD">
        <w:rPr>
          <w:rFonts w:ascii="Times New Roman" w:eastAsia="Times New Roman" w:hAnsi="Times New Roman" w:cs="Times New Roman"/>
          <w:lang w:eastAsia="en-AU"/>
        </w:rPr>
        <w:t>, in relation to the relevant indication</w:t>
      </w:r>
      <w:r w:rsidR="00174247" w:rsidRPr="00501FFD">
        <w:rPr>
          <w:rFonts w:ascii="Times New Roman" w:eastAsia="Times New Roman" w:hAnsi="Times New Roman" w:cs="Times New Roman"/>
          <w:lang w:eastAsia="en-AU"/>
        </w:rPr>
        <w:t>.</w:t>
      </w:r>
    </w:p>
    <w:p w14:paraId="282D5A13" w14:textId="77777777" w:rsidR="00174247" w:rsidRPr="00501FFD" w:rsidRDefault="00174247" w:rsidP="00501FFD">
      <w:pPr>
        <w:tabs>
          <w:tab w:val="left" w:pos="851"/>
        </w:tabs>
        <w:spacing w:after="0" w:line="240" w:lineRule="auto"/>
        <w:outlineLvl w:val="0"/>
        <w:rPr>
          <w:rFonts w:ascii="Times New Roman" w:eastAsia="Times New Roman" w:hAnsi="Times New Roman" w:cs="Times New Roman"/>
          <w:lang w:eastAsia="en-AU"/>
        </w:rPr>
      </w:pPr>
    </w:p>
    <w:p w14:paraId="6D93AA04" w14:textId="5AF26DD7" w:rsidR="009A605F" w:rsidRPr="00501FFD" w:rsidRDefault="00174247" w:rsidP="00501FFD">
      <w:pPr>
        <w:tabs>
          <w:tab w:val="left" w:pos="851"/>
        </w:tabs>
        <w:spacing w:after="0" w:line="240" w:lineRule="auto"/>
        <w:outlineLvl w:val="0"/>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S</w:t>
      </w:r>
      <w:r w:rsidR="00252A73" w:rsidRPr="00501FFD">
        <w:rPr>
          <w:rFonts w:ascii="Times New Roman" w:eastAsia="Times New Roman" w:hAnsi="Times New Roman" w:cs="Times New Roman"/>
          <w:lang w:eastAsia="en-AU"/>
        </w:rPr>
        <w:t>ubsection</w:t>
      </w:r>
      <w:r w:rsidR="006D798B" w:rsidRPr="00501FFD">
        <w:rPr>
          <w:rFonts w:ascii="Times New Roman" w:eastAsia="Times New Roman" w:hAnsi="Times New Roman" w:cs="Times New Roman"/>
          <w:lang w:eastAsia="en-AU"/>
        </w:rPr>
        <w:t>s</w:t>
      </w:r>
      <w:r w:rsidR="00252A73"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6</w:t>
      </w:r>
      <w:r w:rsidR="00252A73"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3</w:t>
      </w:r>
      <w:r w:rsidR="00252A73" w:rsidRPr="00501FFD">
        <w:rPr>
          <w:rFonts w:ascii="Times New Roman" w:eastAsia="Times New Roman" w:hAnsi="Times New Roman" w:cs="Times New Roman"/>
          <w:lang w:eastAsia="en-AU"/>
        </w:rPr>
        <w:t>)</w:t>
      </w:r>
      <w:r w:rsidR="006D798B"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to</w:t>
      </w:r>
      <w:r w:rsidR="00252A73"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6</w:t>
      </w:r>
      <w:r w:rsidR="00252A73" w:rsidRPr="00501FFD">
        <w:rPr>
          <w:rFonts w:ascii="Times New Roman" w:eastAsia="Times New Roman" w:hAnsi="Times New Roman" w:cs="Times New Roman"/>
          <w:lang w:eastAsia="en-AU"/>
        </w:rPr>
        <w:t>)</w:t>
      </w:r>
      <w:r w:rsidR="00841797" w:rsidRPr="00501FFD">
        <w:rPr>
          <w:rFonts w:ascii="Times New Roman" w:eastAsia="Times New Roman" w:hAnsi="Times New Roman" w:cs="Times New Roman"/>
          <w:lang w:eastAsia="en-AU"/>
        </w:rPr>
        <w:t xml:space="preserve"> of the Determination</w:t>
      </w:r>
      <w:r w:rsidR="005E3ACE" w:rsidRPr="00501FFD">
        <w:rPr>
          <w:rFonts w:ascii="Times New Roman" w:eastAsia="Times New Roman" w:hAnsi="Times New Roman" w:cs="Times New Roman"/>
          <w:lang w:eastAsia="en-AU"/>
        </w:rPr>
        <w:t xml:space="preserve"> contain a number of overarching requirements</w:t>
      </w:r>
      <w:r w:rsidR="00F67321" w:rsidRPr="00501FFD">
        <w:rPr>
          <w:rFonts w:ascii="Times New Roman" w:eastAsia="Times New Roman" w:hAnsi="Times New Roman" w:cs="Times New Roman"/>
          <w:lang w:eastAsia="en-AU"/>
        </w:rPr>
        <w:t>. These</w:t>
      </w:r>
      <w:r w:rsidR="00841797" w:rsidRPr="00501FFD">
        <w:rPr>
          <w:rFonts w:ascii="Times New Roman" w:eastAsia="Times New Roman" w:hAnsi="Times New Roman" w:cs="Times New Roman"/>
          <w:lang w:eastAsia="en-AU"/>
        </w:rPr>
        <w:t xml:space="preserve"> includ</w:t>
      </w:r>
      <w:r w:rsidR="00F67321" w:rsidRPr="00501FFD">
        <w:rPr>
          <w:rFonts w:ascii="Times New Roman" w:eastAsia="Times New Roman" w:hAnsi="Times New Roman" w:cs="Times New Roman"/>
          <w:lang w:eastAsia="en-AU"/>
        </w:rPr>
        <w:t>e</w:t>
      </w:r>
      <w:r w:rsidR="00841797" w:rsidRPr="00501FFD">
        <w:rPr>
          <w:rFonts w:ascii="Times New Roman" w:eastAsia="Times New Roman" w:hAnsi="Times New Roman" w:cs="Times New Roman"/>
          <w:lang w:eastAsia="en-AU"/>
        </w:rPr>
        <w:t>, for example, that where</w:t>
      </w:r>
      <w:r w:rsidR="00F67321" w:rsidRPr="00501FFD">
        <w:rPr>
          <w:rFonts w:ascii="Times New Roman" w:eastAsia="Times New Roman" w:hAnsi="Times New Roman" w:cs="Times New Roman"/>
          <w:lang w:eastAsia="en-AU"/>
        </w:rPr>
        <w:t xml:space="preserve"> an indication for a medicine is supported by</w:t>
      </w:r>
      <w:r w:rsidR="00841797" w:rsidRPr="00501FFD">
        <w:rPr>
          <w:rFonts w:ascii="Times New Roman" w:eastAsia="Times New Roman" w:hAnsi="Times New Roman" w:cs="Times New Roman"/>
          <w:lang w:eastAsia="en-AU"/>
        </w:rPr>
        <w:t xml:space="preserve"> traditional </w:t>
      </w:r>
      <w:r w:rsidR="00F67321" w:rsidRPr="00501FFD">
        <w:rPr>
          <w:rFonts w:ascii="Times New Roman" w:eastAsia="Times New Roman" w:hAnsi="Times New Roman" w:cs="Times New Roman"/>
          <w:lang w:eastAsia="en-AU"/>
        </w:rPr>
        <w:t>evidence,</w:t>
      </w:r>
      <w:r w:rsidR="00841797" w:rsidRPr="00501FFD">
        <w:rPr>
          <w:rFonts w:ascii="Times New Roman" w:eastAsia="Times New Roman" w:hAnsi="Times New Roman" w:cs="Times New Roman"/>
          <w:lang w:eastAsia="en-AU"/>
        </w:rPr>
        <w:t xml:space="preserve"> the indication must be qualified with an appropriate </w:t>
      </w:r>
      <w:r w:rsidR="006D798B" w:rsidRPr="00501FFD">
        <w:rPr>
          <w:rFonts w:ascii="Times New Roman" w:eastAsia="Times New Roman" w:hAnsi="Times New Roman" w:cs="Times New Roman"/>
          <w:lang w:eastAsia="en-AU"/>
        </w:rPr>
        <w:t>‘</w:t>
      </w:r>
      <w:r w:rsidR="00841797" w:rsidRPr="00501FFD">
        <w:rPr>
          <w:rFonts w:ascii="Times New Roman" w:eastAsia="Times New Roman" w:hAnsi="Times New Roman" w:cs="Times New Roman"/>
          <w:lang w:eastAsia="en-AU"/>
        </w:rPr>
        <w:t>Traditional context qualifier</w:t>
      </w:r>
      <w:r w:rsidR="006D798B" w:rsidRPr="00501FFD">
        <w:rPr>
          <w:rFonts w:ascii="Times New Roman" w:eastAsia="Times New Roman" w:hAnsi="Times New Roman" w:cs="Times New Roman"/>
          <w:lang w:eastAsia="en-AU"/>
        </w:rPr>
        <w:t>’</w:t>
      </w:r>
      <w:r w:rsidR="00841797" w:rsidRPr="00501FFD">
        <w:rPr>
          <w:rFonts w:ascii="Times New Roman" w:eastAsia="Times New Roman" w:hAnsi="Times New Roman" w:cs="Times New Roman"/>
          <w:lang w:eastAsia="en-AU"/>
        </w:rPr>
        <w:t xml:space="preserve"> from the </w:t>
      </w:r>
      <w:r w:rsidR="00F67321" w:rsidRPr="00501FFD">
        <w:rPr>
          <w:rFonts w:ascii="Times New Roman" w:eastAsia="Times New Roman" w:hAnsi="Times New Roman" w:cs="Times New Roman"/>
          <w:lang w:eastAsia="en-AU"/>
        </w:rPr>
        <w:t>c</w:t>
      </w:r>
      <w:r w:rsidR="00841797" w:rsidRPr="00501FFD">
        <w:rPr>
          <w:rFonts w:ascii="Times New Roman" w:eastAsia="Times New Roman" w:hAnsi="Times New Roman" w:cs="Times New Roman"/>
          <w:lang w:eastAsia="en-AU"/>
        </w:rPr>
        <w:t xml:space="preserve">ode </w:t>
      </w:r>
      <w:r w:rsidR="00F67321" w:rsidRPr="00501FFD">
        <w:rPr>
          <w:rFonts w:ascii="Times New Roman" w:eastAsia="Times New Roman" w:hAnsi="Times New Roman" w:cs="Times New Roman"/>
          <w:lang w:eastAsia="en-AU"/>
        </w:rPr>
        <w:t>t</w:t>
      </w:r>
      <w:r w:rsidR="00841797" w:rsidRPr="00501FFD">
        <w:rPr>
          <w:rFonts w:ascii="Times New Roman" w:eastAsia="Times New Roman" w:hAnsi="Times New Roman" w:cs="Times New Roman"/>
          <w:lang w:eastAsia="en-AU"/>
        </w:rPr>
        <w:t xml:space="preserve">ables, and that this qualifier must be </w:t>
      </w:r>
      <w:r w:rsidR="00F67321" w:rsidRPr="00501FFD">
        <w:rPr>
          <w:rFonts w:ascii="Times New Roman" w:eastAsia="Times New Roman" w:hAnsi="Times New Roman" w:cs="Times New Roman"/>
          <w:lang w:eastAsia="en-AU"/>
        </w:rPr>
        <w:t xml:space="preserve">set out </w:t>
      </w:r>
      <w:r w:rsidR="00841797" w:rsidRPr="00501FFD">
        <w:rPr>
          <w:rFonts w:ascii="Times New Roman" w:eastAsia="Times New Roman" w:hAnsi="Times New Roman" w:cs="Times New Roman"/>
          <w:lang w:eastAsia="en-AU"/>
        </w:rPr>
        <w:t>on the label of the medicine</w:t>
      </w:r>
      <w:r w:rsidR="00252A73" w:rsidRPr="00501FFD">
        <w:rPr>
          <w:rFonts w:ascii="Times New Roman" w:eastAsia="Times New Roman" w:hAnsi="Times New Roman" w:cs="Times New Roman"/>
          <w:lang w:eastAsia="en-AU"/>
        </w:rPr>
        <w:t>.</w:t>
      </w:r>
    </w:p>
    <w:p w14:paraId="54EE5AC1" w14:textId="77777777" w:rsidR="006D798B" w:rsidRPr="00501FFD" w:rsidRDefault="006D798B" w:rsidP="00501FFD">
      <w:pPr>
        <w:tabs>
          <w:tab w:val="left" w:pos="851"/>
        </w:tabs>
        <w:spacing w:after="0" w:line="240" w:lineRule="auto"/>
        <w:outlineLvl w:val="0"/>
        <w:rPr>
          <w:rFonts w:ascii="Times New Roman" w:eastAsia="Times New Roman" w:hAnsi="Times New Roman" w:cs="Times New Roman"/>
          <w:lang w:eastAsia="en-AU"/>
        </w:rPr>
      </w:pPr>
    </w:p>
    <w:p w14:paraId="571C8F54" w14:textId="540EFA19" w:rsidR="00252A73" w:rsidRPr="00501FFD" w:rsidRDefault="00252A73" w:rsidP="00501FFD">
      <w:pPr>
        <w:tabs>
          <w:tab w:val="left" w:pos="851"/>
        </w:tabs>
        <w:spacing w:after="120" w:line="240" w:lineRule="auto"/>
        <w:outlineLvl w:val="0"/>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t xml:space="preserve">Section </w:t>
      </w:r>
      <w:proofErr w:type="gramStart"/>
      <w:r w:rsidR="00066CE9" w:rsidRPr="00501FFD">
        <w:rPr>
          <w:rFonts w:ascii="Times New Roman" w:eastAsia="Times New Roman" w:hAnsi="Times New Roman" w:cs="Times New Roman"/>
          <w:b/>
          <w:lang w:eastAsia="en-AU"/>
        </w:rPr>
        <w:t>7</w:t>
      </w:r>
      <w:r w:rsidRPr="00501FFD">
        <w:rPr>
          <w:rFonts w:ascii="Times New Roman" w:eastAsia="Times New Roman" w:hAnsi="Times New Roman" w:cs="Times New Roman"/>
          <w:b/>
          <w:lang w:eastAsia="en-AU"/>
        </w:rPr>
        <w:t xml:space="preserve"> </w:t>
      </w:r>
      <w:r w:rsidR="00066CE9" w:rsidRPr="00501FFD">
        <w:rPr>
          <w:rFonts w:ascii="Times New Roman" w:eastAsia="Times New Roman" w:hAnsi="Times New Roman" w:cs="Times New Roman"/>
          <w:b/>
          <w:lang w:eastAsia="en-AU"/>
        </w:rPr>
        <w:t xml:space="preserve"> </w:t>
      </w:r>
      <w:r w:rsidRPr="00501FFD">
        <w:rPr>
          <w:rFonts w:ascii="Times New Roman" w:eastAsia="Times New Roman" w:hAnsi="Times New Roman" w:cs="Times New Roman"/>
          <w:b/>
          <w:lang w:eastAsia="en-AU"/>
        </w:rPr>
        <w:t>Repeals</w:t>
      </w:r>
      <w:proofErr w:type="gramEnd"/>
    </w:p>
    <w:p w14:paraId="7DB374F6" w14:textId="77777777" w:rsidR="00252A73" w:rsidRPr="00501FFD" w:rsidRDefault="00252A73" w:rsidP="00501FFD">
      <w:pPr>
        <w:tabs>
          <w:tab w:val="left" w:pos="851"/>
        </w:tabs>
        <w:spacing w:after="0" w:line="240" w:lineRule="auto"/>
        <w:outlineLvl w:val="0"/>
        <w:rPr>
          <w:rFonts w:ascii="Times New Roman" w:hAnsi="Times New Roman" w:cs="Times New Roman"/>
        </w:rPr>
      </w:pPr>
      <w:r w:rsidRPr="00501FFD">
        <w:rPr>
          <w:rFonts w:ascii="Times New Roman" w:hAnsi="Times New Roman" w:cs="Times New Roman"/>
        </w:rPr>
        <w:t xml:space="preserve">This section provides that each instrument that is specified in Schedule 2 to the Determination is repealed as set out in </w:t>
      </w:r>
      <w:r w:rsidR="00841797" w:rsidRPr="00501FFD">
        <w:rPr>
          <w:rFonts w:ascii="Times New Roman" w:hAnsi="Times New Roman" w:cs="Times New Roman"/>
        </w:rPr>
        <w:t xml:space="preserve">the applicable items in </w:t>
      </w:r>
      <w:r w:rsidRPr="00501FFD">
        <w:rPr>
          <w:rFonts w:ascii="Times New Roman" w:hAnsi="Times New Roman" w:cs="Times New Roman"/>
        </w:rPr>
        <w:t>that Schedule.</w:t>
      </w:r>
    </w:p>
    <w:p w14:paraId="689AED56" w14:textId="77777777" w:rsidR="009A605F" w:rsidRPr="00501FFD" w:rsidRDefault="009A605F" w:rsidP="00501FFD">
      <w:pPr>
        <w:tabs>
          <w:tab w:val="left" w:pos="851"/>
        </w:tabs>
        <w:spacing w:after="0" w:line="240" w:lineRule="auto"/>
        <w:outlineLvl w:val="0"/>
        <w:rPr>
          <w:rFonts w:ascii="Times New Roman" w:hAnsi="Times New Roman" w:cs="Times New Roman"/>
        </w:rPr>
      </w:pPr>
    </w:p>
    <w:p w14:paraId="4AE9B386" w14:textId="77777777" w:rsidR="00621FBA" w:rsidRDefault="00621FBA">
      <w:pPr>
        <w:rPr>
          <w:rFonts w:ascii="Times New Roman" w:hAnsi="Times New Roman" w:cs="Times New Roman"/>
          <w:b/>
        </w:rPr>
      </w:pPr>
      <w:bookmarkStart w:id="5" w:name="_Toc199566634"/>
      <w:r>
        <w:rPr>
          <w:rFonts w:ascii="Times New Roman" w:hAnsi="Times New Roman" w:cs="Times New Roman"/>
          <w:b/>
        </w:rPr>
        <w:br w:type="page"/>
      </w:r>
    </w:p>
    <w:p w14:paraId="1A8FF2B5" w14:textId="7D80A292" w:rsidR="002726C8" w:rsidRPr="00501FFD" w:rsidRDefault="002726C8" w:rsidP="00501FFD">
      <w:pPr>
        <w:tabs>
          <w:tab w:val="left" w:pos="567"/>
          <w:tab w:val="left" w:pos="1134"/>
          <w:tab w:val="left" w:pos="1701"/>
          <w:tab w:val="left" w:pos="2268"/>
          <w:tab w:val="left" w:pos="2835"/>
          <w:tab w:val="left" w:pos="3402"/>
        </w:tabs>
        <w:spacing w:after="120" w:line="240" w:lineRule="auto"/>
        <w:outlineLvl w:val="0"/>
        <w:rPr>
          <w:rFonts w:ascii="Times New Roman" w:hAnsi="Times New Roman" w:cs="Times New Roman"/>
        </w:rPr>
      </w:pPr>
      <w:r w:rsidRPr="00501FFD">
        <w:rPr>
          <w:rFonts w:ascii="Times New Roman" w:hAnsi="Times New Roman" w:cs="Times New Roman"/>
          <w:b/>
        </w:rPr>
        <w:lastRenderedPageBreak/>
        <w:t>Schedule 1</w:t>
      </w:r>
      <w:bookmarkEnd w:id="5"/>
    </w:p>
    <w:p w14:paraId="1F5EC3E7" w14:textId="6935B936" w:rsidR="0020148B" w:rsidRPr="00501FFD" w:rsidRDefault="0020148B" w:rsidP="00501FFD">
      <w:pPr>
        <w:keepNext/>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Schedule 1</w:t>
      </w:r>
      <w:r w:rsidR="00621FBA">
        <w:rPr>
          <w:rFonts w:ascii="Times New Roman" w:eastAsia="Times New Roman" w:hAnsi="Times New Roman" w:cs="Times New Roman"/>
          <w:lang w:eastAsia="en-AU"/>
        </w:rPr>
        <w:t xml:space="preserve"> specifies</w:t>
      </w:r>
      <w:r w:rsidRPr="00501FFD">
        <w:rPr>
          <w:rFonts w:ascii="Times New Roman" w:eastAsia="Times New Roman" w:hAnsi="Times New Roman" w:cs="Times New Roman"/>
          <w:lang w:eastAsia="en-AU"/>
        </w:rPr>
        <w:t xml:space="preserve"> </w:t>
      </w:r>
      <w:r w:rsidR="00724A25" w:rsidRPr="00501FFD">
        <w:rPr>
          <w:rFonts w:ascii="Times New Roman" w:eastAsia="Times New Roman" w:hAnsi="Times New Roman" w:cs="Times New Roman"/>
          <w:lang w:eastAsia="en-AU"/>
        </w:rPr>
        <w:t>indications and related requirements for the purposes of section</w:t>
      </w:r>
      <w:r w:rsidR="00737EF5" w:rsidRPr="00501FFD">
        <w:rPr>
          <w:rFonts w:ascii="Times New Roman" w:eastAsia="Times New Roman" w:hAnsi="Times New Roman" w:cs="Times New Roman"/>
          <w:lang w:eastAsia="en-AU"/>
        </w:rPr>
        <w:t>s</w:t>
      </w:r>
      <w:r w:rsidR="00724A25" w:rsidRPr="00501FFD">
        <w:rPr>
          <w:rFonts w:ascii="Times New Roman" w:eastAsia="Times New Roman" w:hAnsi="Times New Roman" w:cs="Times New Roman"/>
          <w:lang w:eastAsia="en-AU"/>
        </w:rPr>
        <w:t xml:space="preserve"> 5 </w:t>
      </w:r>
      <w:r w:rsidR="00737EF5" w:rsidRPr="00501FFD">
        <w:rPr>
          <w:rFonts w:ascii="Times New Roman" w:eastAsia="Times New Roman" w:hAnsi="Times New Roman" w:cs="Times New Roman"/>
          <w:lang w:eastAsia="en-AU"/>
        </w:rPr>
        <w:t xml:space="preserve">and 6 </w:t>
      </w:r>
      <w:r w:rsidR="00724A25" w:rsidRPr="00501FFD">
        <w:rPr>
          <w:rFonts w:ascii="Times New Roman" w:eastAsia="Times New Roman" w:hAnsi="Times New Roman" w:cs="Times New Roman"/>
          <w:lang w:eastAsia="en-AU"/>
        </w:rPr>
        <w:t>of the Determination</w:t>
      </w:r>
      <w:r w:rsidRPr="00501FFD">
        <w:rPr>
          <w:rFonts w:ascii="Times New Roman" w:eastAsia="Times New Roman" w:hAnsi="Times New Roman" w:cs="Times New Roman"/>
          <w:lang w:eastAsia="en-AU"/>
        </w:rPr>
        <w:t>.</w:t>
      </w:r>
    </w:p>
    <w:p w14:paraId="118E2699" w14:textId="77777777" w:rsidR="009A605F" w:rsidRPr="00501FFD" w:rsidRDefault="009A605F" w:rsidP="00501FFD">
      <w:pPr>
        <w:autoSpaceDE w:val="0"/>
        <w:autoSpaceDN w:val="0"/>
        <w:adjustRightInd w:val="0"/>
        <w:spacing w:after="0" w:line="240" w:lineRule="auto"/>
        <w:rPr>
          <w:rFonts w:ascii="Times New Roman" w:eastAsia="Times New Roman" w:hAnsi="Times New Roman" w:cs="Times New Roman"/>
          <w:b/>
          <w:lang w:eastAsia="en-AU"/>
        </w:rPr>
      </w:pPr>
    </w:p>
    <w:p w14:paraId="156B7F78" w14:textId="77777777" w:rsidR="00724A25" w:rsidRPr="00501FFD" w:rsidRDefault="00724A25" w:rsidP="00501FFD">
      <w:pPr>
        <w:spacing w:after="120" w:line="240" w:lineRule="auto"/>
        <w:outlineLvl w:val="0"/>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t>Schedule 2</w:t>
      </w:r>
    </w:p>
    <w:p w14:paraId="5805E7CC" w14:textId="31E66A2E" w:rsidR="00841797" w:rsidRPr="00501FFD" w:rsidRDefault="00724A25" w:rsidP="00501FFD">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Schedule 2 provides that the Determination repeals the </w:t>
      </w:r>
      <w:r w:rsidRPr="00501FFD">
        <w:rPr>
          <w:rFonts w:ascii="Times New Roman" w:eastAsia="Times New Roman" w:hAnsi="Times New Roman" w:cs="Times New Roman"/>
          <w:i/>
          <w:lang w:eastAsia="en-AU"/>
        </w:rPr>
        <w:t xml:space="preserve">Therapeutic Goods (Permissible Indications) Determination </w:t>
      </w:r>
      <w:r w:rsidR="00737EF5"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No.</w:t>
      </w:r>
      <w:r w:rsidR="002704D5">
        <w:rPr>
          <w:rFonts w:ascii="Times New Roman" w:eastAsia="Times New Roman" w:hAnsi="Times New Roman" w:cs="Times New Roman"/>
          <w:i/>
          <w:lang w:eastAsia="en-AU"/>
        </w:rPr>
        <w:t xml:space="preserve"> </w:t>
      </w:r>
      <w:r w:rsidR="000418C4">
        <w:rPr>
          <w:rFonts w:ascii="Times New Roman" w:eastAsia="Times New Roman" w:hAnsi="Times New Roman" w:cs="Times New Roman"/>
          <w:i/>
          <w:lang w:eastAsia="en-AU"/>
        </w:rPr>
        <w:t>2</w:t>
      </w:r>
      <w:r w:rsidR="00737EF5" w:rsidRPr="00501FFD">
        <w:rPr>
          <w:rFonts w:ascii="Times New Roman" w:eastAsia="Times New Roman" w:hAnsi="Times New Roman" w:cs="Times New Roman"/>
          <w:i/>
          <w:lang w:eastAsia="en-AU"/>
        </w:rPr>
        <w:t>)</w:t>
      </w:r>
      <w:r w:rsidRPr="00501FFD">
        <w:rPr>
          <w:rFonts w:ascii="Times New Roman" w:eastAsia="Times New Roman" w:hAnsi="Times New Roman" w:cs="Times New Roman"/>
          <w:i/>
          <w:lang w:eastAsia="en-AU"/>
        </w:rPr>
        <w:t xml:space="preserve"> 201</w:t>
      </w:r>
      <w:r w:rsidR="005136AE" w:rsidRPr="00501FFD">
        <w:rPr>
          <w:rFonts w:ascii="Times New Roman" w:eastAsia="Times New Roman" w:hAnsi="Times New Roman" w:cs="Times New Roman"/>
          <w:i/>
          <w:lang w:eastAsia="en-AU"/>
        </w:rPr>
        <w:t>9</w:t>
      </w:r>
      <w:r w:rsidRPr="00501FFD">
        <w:rPr>
          <w:rFonts w:ascii="Times New Roman" w:eastAsia="Times New Roman" w:hAnsi="Times New Roman" w:cs="Times New Roman"/>
          <w:lang w:eastAsia="en-AU"/>
        </w:rPr>
        <w:t>.</w:t>
      </w:r>
    </w:p>
    <w:p w14:paraId="759A68B4" w14:textId="77777777" w:rsidR="00841797" w:rsidRPr="00501FFD" w:rsidRDefault="00841797">
      <w:pPr>
        <w:rPr>
          <w:rFonts w:ascii="Times New Roman" w:eastAsia="Times New Roman" w:hAnsi="Times New Roman" w:cs="Times New Roman"/>
          <w:lang w:eastAsia="en-AU"/>
        </w:rPr>
      </w:pPr>
      <w:r w:rsidRPr="00501FFD">
        <w:rPr>
          <w:rFonts w:ascii="Times New Roman" w:eastAsia="Times New Roman" w:hAnsi="Times New Roman" w:cs="Times New Roman"/>
          <w:lang w:eastAsia="en-AU"/>
        </w:rPr>
        <w:br w:type="page"/>
      </w:r>
    </w:p>
    <w:p w14:paraId="3FAFBB4D" w14:textId="3253C111" w:rsidR="00366461" w:rsidRPr="00501FFD" w:rsidRDefault="007056CD" w:rsidP="007056CD">
      <w:pPr>
        <w:spacing w:before="360" w:after="120" w:line="240" w:lineRule="auto"/>
        <w:jc w:val="right"/>
        <w:rPr>
          <w:rFonts w:ascii="Times New Roman" w:hAnsi="Times New Roman" w:cs="Times New Roman"/>
          <w:b/>
        </w:rPr>
      </w:pPr>
      <w:r w:rsidRPr="00501FFD">
        <w:rPr>
          <w:rFonts w:ascii="Times New Roman" w:hAnsi="Times New Roman" w:cs="Times New Roman"/>
          <w:b/>
        </w:rPr>
        <w:lastRenderedPageBreak/>
        <w:t xml:space="preserve">Attachment </w:t>
      </w:r>
      <w:r w:rsidR="00366461" w:rsidRPr="00501FFD">
        <w:rPr>
          <w:rFonts w:ascii="Times New Roman" w:hAnsi="Times New Roman" w:cs="Times New Roman"/>
          <w:b/>
        </w:rPr>
        <w:t>B</w:t>
      </w:r>
    </w:p>
    <w:p w14:paraId="53B140D4" w14:textId="77777777" w:rsidR="00311A17" w:rsidRPr="00501FFD" w:rsidRDefault="00311A17" w:rsidP="00501FFD">
      <w:pPr>
        <w:spacing w:before="240" w:after="0" w:line="240" w:lineRule="auto"/>
        <w:jc w:val="center"/>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t>Statement of Compatibility with Human Rights</w:t>
      </w:r>
    </w:p>
    <w:p w14:paraId="5210E646" w14:textId="77777777" w:rsidR="007056CD" w:rsidRPr="00501FFD" w:rsidRDefault="007056CD" w:rsidP="00501FFD">
      <w:pPr>
        <w:spacing w:after="0" w:line="240" w:lineRule="auto"/>
        <w:jc w:val="center"/>
        <w:rPr>
          <w:rFonts w:ascii="Times New Roman" w:eastAsia="Times New Roman" w:hAnsi="Times New Roman" w:cs="Times New Roman"/>
          <w:b/>
          <w:lang w:eastAsia="en-AU"/>
        </w:rPr>
      </w:pPr>
    </w:p>
    <w:p w14:paraId="6D5EDC6D" w14:textId="77777777" w:rsidR="00311A17" w:rsidRPr="00501FFD" w:rsidRDefault="00311A17" w:rsidP="00501FFD">
      <w:pPr>
        <w:spacing w:after="0" w:line="240" w:lineRule="auto"/>
        <w:jc w:val="center"/>
        <w:rPr>
          <w:rFonts w:ascii="Times New Roman" w:eastAsia="Times New Roman" w:hAnsi="Times New Roman" w:cs="Times New Roman"/>
          <w:i/>
          <w:lang w:eastAsia="en-AU"/>
        </w:rPr>
      </w:pPr>
      <w:r w:rsidRPr="00501FFD">
        <w:rPr>
          <w:rFonts w:ascii="Times New Roman" w:eastAsia="Times New Roman" w:hAnsi="Times New Roman" w:cs="Times New Roman"/>
          <w:i/>
          <w:lang w:eastAsia="en-AU"/>
        </w:rPr>
        <w:t xml:space="preserve">Prepared in accordance with </w:t>
      </w:r>
      <w:r w:rsidR="00366461" w:rsidRPr="00501FFD">
        <w:rPr>
          <w:rFonts w:ascii="Times New Roman" w:eastAsia="Times New Roman" w:hAnsi="Times New Roman" w:cs="Times New Roman"/>
          <w:i/>
          <w:lang w:eastAsia="en-AU"/>
        </w:rPr>
        <w:t>Part</w:t>
      </w:r>
      <w:r w:rsidR="00F413AA" w:rsidRPr="00501FFD">
        <w:rPr>
          <w:rFonts w:ascii="Times New Roman" w:eastAsia="Times New Roman" w:hAnsi="Times New Roman" w:cs="Times New Roman"/>
          <w:i/>
          <w:lang w:eastAsia="en-AU"/>
        </w:rPr>
        <w:t xml:space="preserve"> </w:t>
      </w:r>
      <w:r w:rsidRPr="00501FFD">
        <w:rPr>
          <w:rFonts w:ascii="Times New Roman" w:eastAsia="Times New Roman" w:hAnsi="Times New Roman" w:cs="Times New Roman"/>
          <w:i/>
          <w:lang w:eastAsia="en-AU"/>
        </w:rPr>
        <w:t>3 of the Human Rights (Parliamentary Scrutiny) Act 2011</w:t>
      </w:r>
    </w:p>
    <w:p w14:paraId="6B3B28FF" w14:textId="77777777" w:rsidR="007056CD" w:rsidRPr="00501FFD" w:rsidRDefault="007056CD" w:rsidP="00501FFD">
      <w:pPr>
        <w:spacing w:after="0" w:line="240" w:lineRule="auto"/>
        <w:jc w:val="center"/>
        <w:rPr>
          <w:rFonts w:ascii="Times New Roman" w:eastAsia="Times New Roman" w:hAnsi="Times New Roman" w:cs="Times New Roman"/>
          <w:i/>
          <w:lang w:eastAsia="en-AU"/>
        </w:rPr>
      </w:pPr>
    </w:p>
    <w:p w14:paraId="4AD7A619" w14:textId="06615270" w:rsidR="00605C84" w:rsidRPr="00501FFD" w:rsidRDefault="00B66FF4" w:rsidP="00501FFD">
      <w:pPr>
        <w:spacing w:after="0" w:line="240" w:lineRule="auto"/>
        <w:jc w:val="center"/>
        <w:rPr>
          <w:rFonts w:ascii="Times New Roman" w:eastAsia="Times New Roman" w:hAnsi="Times New Roman" w:cs="Times New Roman"/>
          <w:b/>
          <w:i/>
          <w:lang w:eastAsia="en-AU"/>
        </w:rPr>
      </w:pPr>
      <w:r w:rsidRPr="00501FFD">
        <w:rPr>
          <w:rFonts w:ascii="Times New Roman" w:eastAsia="Times New Roman" w:hAnsi="Times New Roman" w:cs="Times New Roman"/>
          <w:b/>
          <w:i/>
          <w:lang w:eastAsia="en-AU"/>
        </w:rPr>
        <w:t xml:space="preserve">Therapeutic Goods (Permissible </w:t>
      </w:r>
      <w:r w:rsidR="005136AE" w:rsidRPr="00501FFD">
        <w:rPr>
          <w:rFonts w:ascii="Times New Roman" w:eastAsia="Times New Roman" w:hAnsi="Times New Roman" w:cs="Times New Roman"/>
          <w:b/>
          <w:i/>
          <w:lang w:eastAsia="en-AU"/>
        </w:rPr>
        <w:t>Indications) Determination (No.</w:t>
      </w:r>
      <w:r w:rsidR="007056CD" w:rsidRPr="00501FFD">
        <w:rPr>
          <w:rFonts w:ascii="Times New Roman" w:eastAsia="Times New Roman" w:hAnsi="Times New Roman" w:cs="Times New Roman"/>
          <w:b/>
          <w:i/>
          <w:lang w:eastAsia="en-AU"/>
        </w:rPr>
        <w:t xml:space="preserve"> </w:t>
      </w:r>
      <w:r w:rsidR="000418C4">
        <w:rPr>
          <w:rFonts w:ascii="Times New Roman" w:eastAsia="Times New Roman" w:hAnsi="Times New Roman" w:cs="Times New Roman"/>
          <w:b/>
          <w:i/>
          <w:lang w:eastAsia="en-AU"/>
        </w:rPr>
        <w:t>1</w:t>
      </w:r>
      <w:r w:rsidRPr="00501FFD">
        <w:rPr>
          <w:rFonts w:ascii="Times New Roman" w:eastAsia="Times New Roman" w:hAnsi="Times New Roman" w:cs="Times New Roman"/>
          <w:b/>
          <w:i/>
          <w:lang w:eastAsia="en-AU"/>
        </w:rPr>
        <w:t>) 20</w:t>
      </w:r>
      <w:r w:rsidR="000418C4">
        <w:rPr>
          <w:rFonts w:ascii="Times New Roman" w:eastAsia="Times New Roman" w:hAnsi="Times New Roman" w:cs="Times New Roman"/>
          <w:b/>
          <w:i/>
          <w:lang w:eastAsia="en-AU"/>
        </w:rPr>
        <w:t>2</w:t>
      </w:r>
      <w:r w:rsidR="00BC5FC6">
        <w:rPr>
          <w:rFonts w:ascii="Times New Roman" w:eastAsia="Times New Roman" w:hAnsi="Times New Roman" w:cs="Times New Roman"/>
          <w:b/>
          <w:i/>
          <w:lang w:eastAsia="en-AU"/>
        </w:rPr>
        <w:t>1</w:t>
      </w:r>
    </w:p>
    <w:p w14:paraId="4E0BD95C" w14:textId="77777777" w:rsidR="007056CD" w:rsidRPr="00501FFD" w:rsidRDefault="007056CD" w:rsidP="00501FFD">
      <w:pPr>
        <w:spacing w:after="0" w:line="240" w:lineRule="auto"/>
        <w:jc w:val="center"/>
        <w:rPr>
          <w:rFonts w:ascii="Times New Roman" w:eastAsia="Times New Roman" w:hAnsi="Times New Roman" w:cs="Times New Roman"/>
          <w:b/>
          <w:i/>
          <w:lang w:eastAsia="en-AU"/>
        </w:rPr>
      </w:pPr>
    </w:p>
    <w:p w14:paraId="379E74D1" w14:textId="77777777" w:rsidR="00311A17" w:rsidRPr="00501FFD" w:rsidRDefault="00311A17" w:rsidP="00501FFD">
      <w:pPr>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This </w:t>
      </w:r>
      <w:r w:rsidR="007056CD" w:rsidRPr="00501FFD">
        <w:rPr>
          <w:rFonts w:ascii="Times New Roman" w:eastAsia="Times New Roman" w:hAnsi="Times New Roman" w:cs="Times New Roman"/>
          <w:lang w:eastAsia="en-AU"/>
        </w:rPr>
        <w:t xml:space="preserve">disallowable </w:t>
      </w:r>
      <w:r w:rsidRPr="00501FFD">
        <w:rPr>
          <w:rFonts w:ascii="Times New Roman" w:eastAsia="Times New Roman" w:hAnsi="Times New Roman" w:cs="Times New Roman"/>
          <w:lang w:eastAsia="en-AU"/>
        </w:rPr>
        <w:t>legislative instrument is compatible with the human rights and freedoms recognised or</w:t>
      </w:r>
      <w:r w:rsidR="004B328B"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 xml:space="preserve">declared in the international instruments listed in section 3 of the </w:t>
      </w:r>
      <w:r w:rsidRPr="00501FFD">
        <w:rPr>
          <w:rFonts w:ascii="Times New Roman" w:eastAsia="Times New Roman" w:hAnsi="Times New Roman" w:cs="Times New Roman"/>
          <w:i/>
          <w:lang w:eastAsia="en-AU"/>
        </w:rPr>
        <w:t>Human Rights (Parliamentary Scrutiny) Act 2011</w:t>
      </w:r>
      <w:r w:rsidRPr="00501FFD">
        <w:rPr>
          <w:rFonts w:ascii="Times New Roman" w:eastAsia="Times New Roman" w:hAnsi="Times New Roman" w:cs="Times New Roman"/>
          <w:lang w:eastAsia="en-AU"/>
        </w:rPr>
        <w:t>.</w:t>
      </w:r>
    </w:p>
    <w:p w14:paraId="54F439F6" w14:textId="77777777" w:rsidR="007056CD" w:rsidRPr="00501FFD" w:rsidRDefault="007056CD" w:rsidP="00501FFD">
      <w:pPr>
        <w:spacing w:after="0" w:line="240" w:lineRule="auto"/>
        <w:rPr>
          <w:rFonts w:ascii="Times New Roman" w:eastAsia="Times New Roman" w:hAnsi="Times New Roman" w:cs="Times New Roman"/>
          <w:lang w:eastAsia="en-AU"/>
        </w:rPr>
      </w:pPr>
    </w:p>
    <w:p w14:paraId="38606982" w14:textId="77777777" w:rsidR="00366461" w:rsidRPr="00501FFD" w:rsidRDefault="00311A17" w:rsidP="00501FFD">
      <w:pPr>
        <w:spacing w:after="0" w:line="240" w:lineRule="auto"/>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t>Overview of the Legislative Instrument</w:t>
      </w:r>
    </w:p>
    <w:p w14:paraId="65BC8394" w14:textId="77777777" w:rsidR="007056CD" w:rsidRPr="00501FFD" w:rsidRDefault="007056CD" w:rsidP="00501FFD">
      <w:pPr>
        <w:spacing w:after="0" w:line="240" w:lineRule="auto"/>
        <w:rPr>
          <w:rFonts w:ascii="Times New Roman" w:eastAsia="Times New Roman" w:hAnsi="Times New Roman" w:cs="Times New Roman"/>
          <w:b/>
          <w:lang w:eastAsia="en-AU"/>
        </w:rPr>
      </w:pPr>
    </w:p>
    <w:p w14:paraId="1D17AFB0" w14:textId="21751A2C" w:rsidR="00DA775C" w:rsidRPr="00501FFD" w:rsidRDefault="00E81B43" w:rsidP="007056CD">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w:t>
      </w:r>
      <w:r w:rsidR="00B66FF4" w:rsidRPr="00501FFD">
        <w:rPr>
          <w:rFonts w:ascii="Times New Roman" w:eastAsia="Times New Roman" w:hAnsi="Times New Roman" w:cs="Times New Roman"/>
          <w:i/>
          <w:lang w:eastAsia="en-AU"/>
        </w:rPr>
        <w:t>Therapeutic Goods (Permissible Indications) Determination (No.</w:t>
      </w:r>
      <w:r w:rsidR="007056CD" w:rsidRPr="00501FFD">
        <w:rPr>
          <w:rFonts w:ascii="Times New Roman" w:eastAsia="Times New Roman" w:hAnsi="Times New Roman" w:cs="Times New Roman"/>
          <w:i/>
          <w:lang w:eastAsia="en-AU"/>
        </w:rPr>
        <w:t xml:space="preserve"> </w:t>
      </w:r>
      <w:r w:rsidR="000418C4">
        <w:rPr>
          <w:rFonts w:ascii="Times New Roman" w:eastAsia="Times New Roman" w:hAnsi="Times New Roman" w:cs="Times New Roman"/>
          <w:i/>
          <w:lang w:eastAsia="en-AU"/>
        </w:rPr>
        <w:t>1</w:t>
      </w:r>
      <w:r w:rsidR="00B66FF4" w:rsidRPr="00501FFD">
        <w:rPr>
          <w:rFonts w:ascii="Times New Roman" w:eastAsia="Times New Roman" w:hAnsi="Times New Roman" w:cs="Times New Roman"/>
          <w:i/>
          <w:lang w:eastAsia="en-AU"/>
        </w:rPr>
        <w:t>) 20</w:t>
      </w:r>
      <w:r w:rsidR="000418C4">
        <w:rPr>
          <w:rFonts w:ascii="Times New Roman" w:eastAsia="Times New Roman" w:hAnsi="Times New Roman" w:cs="Times New Roman"/>
          <w:i/>
          <w:lang w:eastAsia="en-AU"/>
        </w:rPr>
        <w:t>2</w:t>
      </w:r>
      <w:r w:rsidR="00BC5FC6">
        <w:rPr>
          <w:rFonts w:ascii="Times New Roman" w:eastAsia="Times New Roman" w:hAnsi="Times New Roman" w:cs="Times New Roman"/>
          <w:i/>
          <w:lang w:eastAsia="en-AU"/>
        </w:rPr>
        <w:t>1</w:t>
      </w:r>
      <w:r w:rsidR="00DB0640" w:rsidRPr="00501FFD">
        <w:rPr>
          <w:rFonts w:ascii="Times New Roman" w:eastAsia="Times New Roman" w:hAnsi="Times New Roman" w:cs="Times New Roman"/>
          <w:i/>
          <w:lang w:eastAsia="en-AU"/>
        </w:rPr>
        <w:t xml:space="preserve"> </w:t>
      </w:r>
      <w:r w:rsidR="007056CD" w:rsidRPr="00501FFD">
        <w:rPr>
          <w:rFonts w:ascii="Times New Roman" w:eastAsia="Times New Roman" w:hAnsi="Times New Roman" w:cs="Times New Roman"/>
          <w:lang w:eastAsia="en-AU"/>
        </w:rPr>
        <w:t xml:space="preserve">(“the instrument”) </w:t>
      </w:r>
      <w:r w:rsidRPr="00501FFD">
        <w:rPr>
          <w:rFonts w:ascii="Times New Roman" w:eastAsia="Times New Roman" w:hAnsi="Times New Roman" w:cs="Times New Roman"/>
          <w:lang w:eastAsia="en-AU"/>
        </w:rPr>
        <w:t>is</w:t>
      </w:r>
      <w:r w:rsidR="00DB1CC9">
        <w:rPr>
          <w:rFonts w:ascii="Times New Roman" w:eastAsia="Times New Roman" w:hAnsi="Times New Roman" w:cs="Times New Roman"/>
          <w:lang w:eastAsia="en-AU"/>
        </w:rPr>
        <w:t> </w:t>
      </w:r>
      <w:r w:rsidRPr="00501FFD">
        <w:rPr>
          <w:rFonts w:ascii="Times New Roman" w:eastAsia="Times New Roman" w:hAnsi="Times New Roman" w:cs="Times New Roman"/>
          <w:lang w:eastAsia="en-AU"/>
        </w:rPr>
        <w:t xml:space="preserve">made </w:t>
      </w:r>
      <w:r w:rsidR="006B71A3" w:rsidRPr="00501FFD">
        <w:rPr>
          <w:rFonts w:ascii="Times New Roman" w:eastAsia="Times New Roman" w:hAnsi="Times New Roman" w:cs="Times New Roman"/>
          <w:lang w:eastAsia="en-AU"/>
        </w:rPr>
        <w:t xml:space="preserve">by the Minister </w:t>
      </w:r>
      <w:r w:rsidRPr="00501FFD">
        <w:rPr>
          <w:rFonts w:ascii="Times New Roman" w:eastAsia="Times New Roman" w:hAnsi="Times New Roman" w:cs="Times New Roman"/>
          <w:lang w:eastAsia="en-AU"/>
        </w:rPr>
        <w:t xml:space="preserve">under section 26BF of the </w:t>
      </w:r>
      <w:r w:rsidR="007056CD" w:rsidRPr="00501FFD">
        <w:rPr>
          <w:rFonts w:ascii="Times New Roman" w:eastAsia="Times New Roman" w:hAnsi="Times New Roman" w:cs="Times New Roman"/>
          <w:i/>
          <w:lang w:eastAsia="en-AU"/>
        </w:rPr>
        <w:t xml:space="preserve">Therapeutic Goods </w:t>
      </w:r>
      <w:r w:rsidRPr="00501FFD">
        <w:rPr>
          <w:rFonts w:ascii="Times New Roman" w:eastAsia="Times New Roman" w:hAnsi="Times New Roman" w:cs="Times New Roman"/>
          <w:i/>
          <w:lang w:eastAsia="en-AU"/>
        </w:rPr>
        <w:t>Act</w:t>
      </w:r>
      <w:r w:rsidR="007056CD" w:rsidRPr="00501FFD">
        <w:rPr>
          <w:rFonts w:ascii="Times New Roman" w:eastAsia="Times New Roman" w:hAnsi="Times New Roman" w:cs="Times New Roman"/>
          <w:i/>
          <w:lang w:eastAsia="en-AU"/>
        </w:rPr>
        <w:t xml:space="preserve"> 1989</w:t>
      </w:r>
      <w:r w:rsidR="007056CD" w:rsidRPr="00501FFD">
        <w:rPr>
          <w:rFonts w:ascii="Times New Roman" w:eastAsia="Times New Roman" w:hAnsi="Times New Roman" w:cs="Times New Roman"/>
          <w:lang w:eastAsia="en-AU"/>
        </w:rPr>
        <w:t xml:space="preserve"> (“the Act”)</w:t>
      </w:r>
      <w:r w:rsidRPr="00501FFD">
        <w:rPr>
          <w:rFonts w:ascii="Times New Roman" w:eastAsia="Times New Roman" w:hAnsi="Times New Roman" w:cs="Times New Roman"/>
          <w:lang w:eastAsia="en-AU"/>
        </w:rPr>
        <w:t>.</w:t>
      </w:r>
      <w:r w:rsidR="00DB1CC9">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 xml:space="preserve">The </w:t>
      </w:r>
      <w:r w:rsidR="007056CD" w:rsidRPr="00501FFD">
        <w:rPr>
          <w:rFonts w:ascii="Times New Roman" w:eastAsia="Times New Roman" w:hAnsi="Times New Roman" w:cs="Times New Roman"/>
          <w:lang w:eastAsia="en-AU"/>
        </w:rPr>
        <w:t xml:space="preserve">purpose </w:t>
      </w:r>
      <w:r w:rsidRPr="00501FFD">
        <w:rPr>
          <w:rFonts w:ascii="Times New Roman" w:eastAsia="Times New Roman" w:hAnsi="Times New Roman" w:cs="Times New Roman"/>
          <w:lang w:eastAsia="en-AU"/>
        </w:rPr>
        <w:t>of th</w:t>
      </w:r>
      <w:r w:rsidR="006B71A3" w:rsidRPr="00501FFD">
        <w:rPr>
          <w:rFonts w:ascii="Times New Roman" w:eastAsia="Times New Roman" w:hAnsi="Times New Roman" w:cs="Times New Roman"/>
          <w:lang w:eastAsia="en-AU"/>
        </w:rPr>
        <w:t>e</w:t>
      </w:r>
      <w:r w:rsidRPr="00501FFD">
        <w:rPr>
          <w:rFonts w:ascii="Times New Roman" w:eastAsia="Times New Roman" w:hAnsi="Times New Roman" w:cs="Times New Roman"/>
          <w:lang w:eastAsia="en-AU"/>
        </w:rPr>
        <w:t xml:space="preserve"> </w:t>
      </w:r>
      <w:r w:rsidR="007056CD" w:rsidRPr="00501FFD">
        <w:rPr>
          <w:rFonts w:ascii="Times New Roman" w:eastAsia="Times New Roman" w:hAnsi="Times New Roman" w:cs="Times New Roman"/>
          <w:lang w:eastAsia="en-AU"/>
        </w:rPr>
        <w:t xml:space="preserve">instrument </w:t>
      </w:r>
      <w:r w:rsidRPr="00501FFD">
        <w:rPr>
          <w:rFonts w:ascii="Times New Roman" w:eastAsia="Times New Roman" w:hAnsi="Times New Roman" w:cs="Times New Roman"/>
          <w:lang w:eastAsia="en-AU"/>
        </w:rPr>
        <w:t xml:space="preserve">is to specify indications </w:t>
      </w:r>
      <w:r w:rsidR="00897760" w:rsidRPr="00501FFD">
        <w:rPr>
          <w:rFonts w:ascii="Times New Roman" w:eastAsia="Times New Roman" w:hAnsi="Times New Roman" w:cs="Times New Roman"/>
          <w:lang w:eastAsia="en-AU"/>
        </w:rPr>
        <w:t xml:space="preserve">(statements of therapeutic use) </w:t>
      </w:r>
      <w:r w:rsidRPr="00501FFD">
        <w:rPr>
          <w:rFonts w:ascii="Times New Roman" w:eastAsia="Times New Roman" w:hAnsi="Times New Roman" w:cs="Times New Roman"/>
          <w:lang w:eastAsia="en-AU"/>
        </w:rPr>
        <w:t xml:space="preserve">that </w:t>
      </w:r>
      <w:r w:rsidR="00897760" w:rsidRPr="00501FFD">
        <w:rPr>
          <w:rFonts w:ascii="Times New Roman" w:eastAsia="Times New Roman" w:hAnsi="Times New Roman" w:cs="Times New Roman"/>
          <w:lang w:eastAsia="en-AU"/>
        </w:rPr>
        <w:t>are permitted to</w:t>
      </w:r>
      <w:r w:rsidR="00DB1CC9">
        <w:rPr>
          <w:rFonts w:ascii="Times New Roman" w:eastAsia="Times New Roman" w:hAnsi="Times New Roman" w:cs="Times New Roman"/>
          <w:lang w:eastAsia="en-AU"/>
        </w:rPr>
        <w:t> </w:t>
      </w:r>
      <w:r w:rsidR="00897760" w:rsidRPr="00501FFD">
        <w:rPr>
          <w:rFonts w:ascii="Times New Roman" w:eastAsia="Times New Roman" w:hAnsi="Times New Roman" w:cs="Times New Roman"/>
          <w:lang w:eastAsia="en-AU"/>
        </w:rPr>
        <w:t>be made in relation to</w:t>
      </w:r>
      <w:r w:rsidRPr="00501FFD">
        <w:rPr>
          <w:rFonts w:ascii="Times New Roman" w:eastAsia="Times New Roman" w:hAnsi="Times New Roman" w:cs="Times New Roman"/>
          <w:lang w:eastAsia="en-AU"/>
        </w:rPr>
        <w:t xml:space="preserve"> medicines </w:t>
      </w:r>
      <w:r w:rsidR="006B71A3" w:rsidRPr="00501FFD">
        <w:rPr>
          <w:rFonts w:ascii="Times New Roman" w:eastAsia="Times New Roman" w:hAnsi="Times New Roman" w:cs="Times New Roman"/>
          <w:lang w:eastAsia="en-AU"/>
        </w:rPr>
        <w:t xml:space="preserve">that are </w:t>
      </w:r>
      <w:r w:rsidRPr="00501FFD">
        <w:rPr>
          <w:rFonts w:ascii="Times New Roman" w:eastAsia="Times New Roman" w:hAnsi="Times New Roman" w:cs="Times New Roman"/>
          <w:lang w:eastAsia="en-AU"/>
        </w:rPr>
        <w:t>listed in the Australian Register of Therapeutic Goods (</w:t>
      </w:r>
      <w:r w:rsidR="00897760"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the Register</w:t>
      </w:r>
      <w:r w:rsidR="00897760"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 xml:space="preserve">) </w:t>
      </w:r>
      <w:r w:rsidR="006B71A3" w:rsidRPr="00501FFD">
        <w:rPr>
          <w:rFonts w:ascii="Times New Roman" w:eastAsia="Times New Roman" w:hAnsi="Times New Roman" w:cs="Times New Roman"/>
          <w:lang w:eastAsia="en-AU"/>
        </w:rPr>
        <w:t>under section 26A of the Act</w:t>
      </w:r>
      <w:r w:rsidR="00897760" w:rsidRPr="00501FFD">
        <w:rPr>
          <w:rFonts w:ascii="Times New Roman" w:eastAsia="Times New Roman" w:hAnsi="Times New Roman" w:cs="Times New Roman"/>
          <w:lang w:eastAsia="en-AU"/>
        </w:rPr>
        <w:t xml:space="preserve">. The instrument also specifies </w:t>
      </w:r>
      <w:r w:rsidRPr="00501FFD">
        <w:rPr>
          <w:rFonts w:ascii="Times New Roman" w:eastAsia="Times New Roman" w:hAnsi="Times New Roman" w:cs="Times New Roman"/>
          <w:lang w:eastAsia="en-AU"/>
        </w:rPr>
        <w:t>requirements in relation to the use of such indications.</w:t>
      </w:r>
    </w:p>
    <w:p w14:paraId="29C983BC" w14:textId="77777777" w:rsidR="006B71A3" w:rsidRPr="00501FFD" w:rsidRDefault="006B71A3" w:rsidP="007056CD">
      <w:pPr>
        <w:autoSpaceDE w:val="0"/>
        <w:autoSpaceDN w:val="0"/>
        <w:adjustRightInd w:val="0"/>
        <w:spacing w:after="0" w:line="240" w:lineRule="auto"/>
        <w:rPr>
          <w:rFonts w:ascii="Times New Roman" w:eastAsia="Times New Roman" w:hAnsi="Times New Roman" w:cs="Times New Roman"/>
          <w:lang w:eastAsia="en-AU"/>
        </w:rPr>
      </w:pPr>
    </w:p>
    <w:p w14:paraId="01DC4CAA" w14:textId="0453A85B" w:rsidR="00DB1CC9" w:rsidRDefault="00B66FF4" w:rsidP="005A6CD1">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Medicines that are listed in the Register under section 26A (</w:t>
      </w:r>
      <w:r w:rsidR="00DA775C" w:rsidRPr="00501FFD">
        <w:rPr>
          <w:rFonts w:ascii="Times New Roman" w:eastAsia="Times New Roman" w:hAnsi="Times New Roman" w:cs="Times New Roman"/>
          <w:lang w:eastAsia="en-AU"/>
        </w:rPr>
        <w:t>principally</w:t>
      </w:r>
      <w:r w:rsidR="00DB1CC9">
        <w:rPr>
          <w:rFonts w:ascii="Times New Roman" w:eastAsia="Times New Roman" w:hAnsi="Times New Roman" w:cs="Times New Roman"/>
          <w:lang w:eastAsia="en-AU"/>
        </w:rPr>
        <w:t>,</w:t>
      </w:r>
      <w:r w:rsidR="00DA775C" w:rsidRPr="00501FFD">
        <w:rPr>
          <w:rFonts w:ascii="Times New Roman" w:eastAsia="Times New Roman" w:hAnsi="Times New Roman" w:cs="Times New Roman"/>
          <w:lang w:eastAsia="en-AU"/>
        </w:rPr>
        <w:t xml:space="preserve"> listed complementary medicines and listed over the counter medicines, such as sunscreens</w:t>
      </w:r>
      <w:r w:rsidRPr="00501FFD">
        <w:rPr>
          <w:rFonts w:ascii="Times New Roman" w:eastAsia="Times New Roman" w:hAnsi="Times New Roman" w:cs="Times New Roman"/>
          <w:lang w:eastAsia="en-AU"/>
        </w:rPr>
        <w:t xml:space="preserve">) are considered </w:t>
      </w:r>
      <w:r w:rsidR="00DB1CC9">
        <w:rPr>
          <w:rFonts w:ascii="Times New Roman" w:eastAsia="Times New Roman" w:hAnsi="Times New Roman" w:cs="Times New Roman"/>
          <w:lang w:eastAsia="en-AU"/>
        </w:rPr>
        <w:t xml:space="preserve">to be </w:t>
      </w:r>
      <w:r w:rsidRPr="00501FFD">
        <w:rPr>
          <w:rFonts w:ascii="Times New Roman" w:eastAsia="Times New Roman" w:hAnsi="Times New Roman" w:cs="Times New Roman"/>
          <w:lang w:eastAsia="en-AU"/>
        </w:rPr>
        <w:t xml:space="preserve">‘low risk’ and are not individually evaluated </w:t>
      </w:r>
      <w:r w:rsidR="005A6CD1">
        <w:rPr>
          <w:rFonts w:ascii="Times New Roman" w:eastAsia="Times New Roman" w:hAnsi="Times New Roman" w:cs="Times New Roman"/>
          <w:lang w:eastAsia="en-AU"/>
        </w:rPr>
        <w:t xml:space="preserve">prior to being </w:t>
      </w:r>
      <w:r w:rsidRPr="00501FFD">
        <w:rPr>
          <w:rFonts w:ascii="Times New Roman" w:eastAsia="Times New Roman" w:hAnsi="Times New Roman" w:cs="Times New Roman"/>
          <w:lang w:eastAsia="en-AU"/>
        </w:rPr>
        <w:t>entered in the Register.</w:t>
      </w:r>
      <w:r w:rsidR="00DB1CC9">
        <w:rPr>
          <w:rFonts w:ascii="Times New Roman" w:eastAsia="Times New Roman" w:hAnsi="Times New Roman" w:cs="Times New Roman"/>
          <w:lang w:eastAsia="en-AU"/>
        </w:rPr>
        <w:t xml:space="preserve"> </w:t>
      </w:r>
      <w:r w:rsidR="005A6CD1" w:rsidRPr="008C419B">
        <w:rPr>
          <w:rFonts w:ascii="Times New Roman" w:eastAsia="Times New Roman" w:hAnsi="Times New Roman" w:cs="Times New Roman"/>
          <w:lang w:eastAsia="en-AU"/>
        </w:rPr>
        <w:t xml:space="preserve">As these listed </w:t>
      </w:r>
      <w:r w:rsidR="00564B6E">
        <w:rPr>
          <w:rFonts w:ascii="Times New Roman" w:eastAsia="Times New Roman" w:hAnsi="Times New Roman" w:cs="Times New Roman"/>
          <w:lang w:eastAsia="en-AU"/>
        </w:rPr>
        <w:t>medicines are </w:t>
      </w:r>
      <w:r w:rsidR="005A6CD1" w:rsidRPr="008C419B">
        <w:rPr>
          <w:rFonts w:ascii="Times New Roman" w:eastAsia="Times New Roman" w:hAnsi="Times New Roman" w:cs="Times New Roman"/>
          <w:lang w:eastAsia="en-AU"/>
        </w:rPr>
        <w:t>not evaluated by the TGA prior to obtaining marketing approval</w:t>
      </w:r>
      <w:r w:rsidR="005A6CD1">
        <w:rPr>
          <w:rFonts w:ascii="Times New Roman" w:eastAsia="Times New Roman" w:hAnsi="Times New Roman" w:cs="Times New Roman"/>
          <w:lang w:eastAsia="en-AU"/>
        </w:rPr>
        <w:t xml:space="preserve"> to the general public</w:t>
      </w:r>
      <w:r w:rsidR="005A6CD1" w:rsidRPr="008C419B">
        <w:rPr>
          <w:rFonts w:ascii="Times New Roman" w:eastAsia="Times New Roman" w:hAnsi="Times New Roman" w:cs="Times New Roman"/>
          <w:lang w:eastAsia="en-AU"/>
        </w:rPr>
        <w:t xml:space="preserve">, the Act contains </w:t>
      </w:r>
      <w:r w:rsidR="005A6CD1">
        <w:rPr>
          <w:rFonts w:ascii="Times New Roman" w:eastAsia="Times New Roman" w:hAnsi="Times New Roman" w:cs="Times New Roman"/>
          <w:lang w:eastAsia="en-AU"/>
        </w:rPr>
        <w:t xml:space="preserve">certain regulatory </w:t>
      </w:r>
      <w:r w:rsidR="005A6CD1" w:rsidRPr="008C419B">
        <w:rPr>
          <w:rFonts w:ascii="Times New Roman" w:eastAsia="Times New Roman" w:hAnsi="Times New Roman" w:cs="Times New Roman"/>
          <w:lang w:eastAsia="en-AU"/>
        </w:rPr>
        <w:t>mechanisms to help ensure that those medicines are manufactured to appropriate quality standards and able to be used by consumers safely.</w:t>
      </w:r>
    </w:p>
    <w:p w14:paraId="16B84344" w14:textId="77777777" w:rsidR="00DB1CC9" w:rsidRDefault="00DB1CC9" w:rsidP="005A6CD1">
      <w:pPr>
        <w:autoSpaceDE w:val="0"/>
        <w:autoSpaceDN w:val="0"/>
        <w:adjustRightInd w:val="0"/>
        <w:spacing w:after="0" w:line="240" w:lineRule="auto"/>
        <w:rPr>
          <w:rFonts w:ascii="Times New Roman" w:eastAsia="Times New Roman" w:hAnsi="Times New Roman" w:cs="Times New Roman"/>
          <w:lang w:eastAsia="en-AU"/>
        </w:rPr>
      </w:pPr>
    </w:p>
    <w:p w14:paraId="50FFAD7D" w14:textId="3CBFCB8D" w:rsidR="005A6CD1" w:rsidRPr="008C419B" w:rsidRDefault="005A6CD1" w:rsidP="005A6CD1">
      <w:pPr>
        <w:autoSpaceDE w:val="0"/>
        <w:autoSpaceDN w:val="0"/>
        <w:adjustRightInd w:val="0"/>
        <w:spacing w:after="0" w:line="240" w:lineRule="auto"/>
        <w:rPr>
          <w:rFonts w:ascii="Times New Roman" w:eastAsia="Times New Roman" w:hAnsi="Times New Roman" w:cs="Times New Roman"/>
          <w:lang w:eastAsia="en-AU"/>
        </w:rPr>
      </w:pPr>
      <w:r w:rsidRPr="008C419B">
        <w:rPr>
          <w:rFonts w:ascii="Times New Roman" w:eastAsia="Times New Roman" w:hAnsi="Times New Roman" w:cs="Times New Roman"/>
          <w:lang w:eastAsia="en-AU"/>
        </w:rPr>
        <w:t xml:space="preserve">In particular, the medicines may only contain ingredients from </w:t>
      </w:r>
      <w:r>
        <w:rPr>
          <w:rFonts w:ascii="Times New Roman" w:eastAsia="Times New Roman" w:hAnsi="Times New Roman" w:cs="Times New Roman"/>
          <w:lang w:eastAsia="en-AU"/>
        </w:rPr>
        <w:t>a specified</w:t>
      </w:r>
      <w:r w:rsidRPr="008C419B">
        <w:rPr>
          <w:rFonts w:ascii="Times New Roman" w:eastAsia="Times New Roman" w:hAnsi="Times New Roman" w:cs="Times New Roman"/>
          <w:lang w:eastAsia="en-AU"/>
        </w:rPr>
        <w:t xml:space="preserve"> list</w:t>
      </w:r>
      <w:r>
        <w:rPr>
          <w:rFonts w:ascii="Times New Roman" w:eastAsia="Times New Roman" w:hAnsi="Times New Roman" w:cs="Times New Roman"/>
          <w:lang w:eastAsia="en-AU"/>
        </w:rPr>
        <w:t xml:space="preserve"> of ingredients</w:t>
      </w:r>
      <w:r w:rsidRPr="008C419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currently </w:t>
      </w:r>
      <w:r w:rsidRPr="008C419B">
        <w:rPr>
          <w:rFonts w:ascii="Times New Roman" w:eastAsia="Times New Roman" w:hAnsi="Times New Roman" w:cs="Times New Roman"/>
          <w:lang w:eastAsia="en-AU"/>
        </w:rPr>
        <w:t xml:space="preserve">set out in the </w:t>
      </w:r>
      <w:r w:rsidRPr="008C419B">
        <w:rPr>
          <w:rFonts w:ascii="Times New Roman" w:eastAsia="Times New Roman" w:hAnsi="Times New Roman" w:cs="Times New Roman"/>
          <w:i/>
          <w:lang w:eastAsia="en-AU"/>
        </w:rPr>
        <w:t xml:space="preserve">Therapeutic Goods (Permissible Ingredients) Determination (No. </w:t>
      </w:r>
      <w:r w:rsidR="00F74AE8">
        <w:rPr>
          <w:rFonts w:ascii="Times New Roman" w:eastAsia="Times New Roman" w:hAnsi="Times New Roman" w:cs="Times New Roman"/>
          <w:i/>
          <w:lang w:eastAsia="en-AU"/>
        </w:rPr>
        <w:t>4</w:t>
      </w:r>
      <w:r w:rsidRPr="008C419B">
        <w:rPr>
          <w:rFonts w:ascii="Times New Roman" w:eastAsia="Times New Roman" w:hAnsi="Times New Roman" w:cs="Times New Roman"/>
          <w:i/>
          <w:lang w:eastAsia="en-AU"/>
        </w:rPr>
        <w:t>) 20</w:t>
      </w:r>
      <w:r w:rsidR="000418C4">
        <w:rPr>
          <w:rFonts w:ascii="Times New Roman" w:eastAsia="Times New Roman" w:hAnsi="Times New Roman" w:cs="Times New Roman"/>
          <w:i/>
          <w:lang w:eastAsia="en-AU"/>
        </w:rPr>
        <w:t>2</w:t>
      </w:r>
      <w:r w:rsidR="00F74AE8">
        <w:rPr>
          <w:rFonts w:ascii="Times New Roman" w:eastAsia="Times New Roman" w:hAnsi="Times New Roman" w:cs="Times New Roman"/>
          <w:i/>
          <w:lang w:eastAsia="en-AU"/>
        </w:rPr>
        <w:t>0</w:t>
      </w:r>
      <w:r w:rsidRPr="008C419B">
        <w:rPr>
          <w:rFonts w:ascii="Times New Roman" w:eastAsia="Times New Roman" w:hAnsi="Times New Roman" w:cs="Times New Roman"/>
          <w:lang w:eastAsia="en-AU"/>
        </w:rPr>
        <w:t xml:space="preserve">)), and </w:t>
      </w:r>
      <w:r>
        <w:rPr>
          <w:rFonts w:ascii="Times New Roman" w:eastAsia="Times New Roman" w:hAnsi="Times New Roman" w:cs="Times New Roman"/>
          <w:lang w:eastAsia="en-AU"/>
        </w:rPr>
        <w:t xml:space="preserve">any </w:t>
      </w:r>
      <w:r w:rsidRPr="008C419B">
        <w:rPr>
          <w:rFonts w:ascii="Times New Roman" w:eastAsia="Times New Roman" w:hAnsi="Times New Roman" w:cs="Times New Roman"/>
          <w:lang w:eastAsia="en-AU"/>
        </w:rPr>
        <w:t xml:space="preserve">indications for those medicines are </w:t>
      </w:r>
      <w:r>
        <w:rPr>
          <w:rFonts w:ascii="Times New Roman" w:eastAsia="Times New Roman" w:hAnsi="Times New Roman" w:cs="Times New Roman"/>
          <w:lang w:eastAsia="en-AU"/>
        </w:rPr>
        <w:t>covered by a list of permissible</w:t>
      </w:r>
      <w:r w:rsidRPr="008C419B">
        <w:rPr>
          <w:rFonts w:ascii="Times New Roman" w:eastAsia="Times New Roman" w:hAnsi="Times New Roman" w:cs="Times New Roman"/>
          <w:lang w:eastAsia="en-AU"/>
        </w:rPr>
        <w:t xml:space="preserve"> indications </w:t>
      </w:r>
      <w:r>
        <w:rPr>
          <w:rFonts w:ascii="Times New Roman" w:eastAsia="Times New Roman" w:hAnsi="Times New Roman" w:cs="Times New Roman"/>
          <w:lang w:eastAsia="en-AU"/>
        </w:rPr>
        <w:t xml:space="preserve">made under section 26BF of the Act. These “pre-approved” low-level indications are set out in the Determination and are designed </w:t>
      </w:r>
      <w:r w:rsidRPr="008C419B">
        <w:rPr>
          <w:rFonts w:ascii="Times New Roman" w:eastAsia="Times New Roman" w:hAnsi="Times New Roman" w:cs="Times New Roman"/>
          <w:lang w:eastAsia="en-AU"/>
        </w:rPr>
        <w:t xml:space="preserve">to ensure that medicines </w:t>
      </w:r>
      <w:r>
        <w:rPr>
          <w:rFonts w:ascii="Times New Roman" w:eastAsia="Times New Roman" w:hAnsi="Times New Roman" w:cs="Times New Roman"/>
          <w:lang w:eastAsia="en-AU"/>
        </w:rPr>
        <w:t xml:space="preserve">listed under section 26A </w:t>
      </w:r>
      <w:r w:rsidRPr="008C419B">
        <w:rPr>
          <w:rFonts w:ascii="Times New Roman" w:eastAsia="Times New Roman" w:hAnsi="Times New Roman" w:cs="Times New Roman"/>
          <w:lang w:eastAsia="en-AU"/>
        </w:rPr>
        <w:t>do not overstate their respective therapeutic benefits.</w:t>
      </w:r>
    </w:p>
    <w:p w14:paraId="6A8BBA42" w14:textId="77777777" w:rsidR="00B66FF4" w:rsidRPr="00501FFD" w:rsidRDefault="00B66FF4" w:rsidP="007056CD">
      <w:pPr>
        <w:autoSpaceDE w:val="0"/>
        <w:autoSpaceDN w:val="0"/>
        <w:adjustRightInd w:val="0"/>
        <w:spacing w:after="0" w:line="240" w:lineRule="auto"/>
        <w:rPr>
          <w:rFonts w:ascii="Times New Roman" w:eastAsia="Times New Roman" w:hAnsi="Times New Roman" w:cs="Times New Roman"/>
          <w:lang w:eastAsia="en-AU"/>
        </w:rPr>
      </w:pPr>
    </w:p>
    <w:p w14:paraId="0D7566BF" w14:textId="60C28522" w:rsidR="009D7B95" w:rsidRPr="00501FFD" w:rsidRDefault="009D7B95" w:rsidP="007056CD">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An applicant for the listing of a medicine must certify a range of matters specified in section 26A of</w:t>
      </w:r>
      <w:r w:rsidR="00564B6E">
        <w:rPr>
          <w:rFonts w:ascii="Times New Roman" w:eastAsia="Times New Roman" w:hAnsi="Times New Roman" w:cs="Times New Roman"/>
          <w:lang w:eastAsia="en-AU"/>
        </w:rPr>
        <w:t> </w:t>
      </w:r>
      <w:r w:rsidRPr="00501FFD">
        <w:rPr>
          <w:rFonts w:ascii="Times New Roman" w:eastAsia="Times New Roman" w:hAnsi="Times New Roman" w:cs="Times New Roman"/>
          <w:lang w:eastAsia="en-AU"/>
        </w:rPr>
        <w:t xml:space="preserve">the Act. In particular, paragraphs </w:t>
      </w:r>
      <w:r w:rsidR="002448CB" w:rsidRPr="00501FFD">
        <w:rPr>
          <w:rFonts w:ascii="Times New Roman" w:eastAsia="Times New Roman" w:hAnsi="Times New Roman" w:cs="Times New Roman"/>
          <w:lang w:eastAsia="en-AU"/>
        </w:rPr>
        <w:t>26A(2)</w:t>
      </w:r>
      <w:r w:rsidRPr="00501FFD">
        <w:rPr>
          <w:rFonts w:ascii="Times New Roman" w:eastAsia="Times New Roman" w:hAnsi="Times New Roman" w:cs="Times New Roman"/>
          <w:lang w:eastAsia="en-AU"/>
        </w:rPr>
        <w:t>(</w:t>
      </w:r>
      <w:proofErr w:type="spellStart"/>
      <w:r w:rsidRPr="00501FFD">
        <w:rPr>
          <w:rFonts w:ascii="Times New Roman" w:eastAsia="Times New Roman" w:hAnsi="Times New Roman" w:cs="Times New Roman"/>
          <w:lang w:eastAsia="en-AU"/>
        </w:rPr>
        <w:t>fba</w:t>
      </w:r>
      <w:proofErr w:type="spellEnd"/>
      <w:r w:rsidRPr="00501FFD">
        <w:rPr>
          <w:rFonts w:ascii="Times New Roman" w:eastAsia="Times New Roman" w:hAnsi="Times New Roman" w:cs="Times New Roman"/>
          <w:lang w:eastAsia="en-AU"/>
        </w:rPr>
        <w:t>), (</w:t>
      </w:r>
      <w:proofErr w:type="spellStart"/>
      <w:r w:rsidRPr="00501FFD">
        <w:rPr>
          <w:rFonts w:ascii="Times New Roman" w:eastAsia="Times New Roman" w:hAnsi="Times New Roman" w:cs="Times New Roman"/>
          <w:lang w:eastAsia="en-AU"/>
        </w:rPr>
        <w:t>fd</w:t>
      </w:r>
      <w:proofErr w:type="spellEnd"/>
      <w:r w:rsidRPr="00501FFD">
        <w:rPr>
          <w:rFonts w:ascii="Times New Roman" w:eastAsia="Times New Roman" w:hAnsi="Times New Roman" w:cs="Times New Roman"/>
          <w:lang w:eastAsia="en-AU"/>
        </w:rPr>
        <w:t>) and (</w:t>
      </w:r>
      <w:proofErr w:type="spellStart"/>
      <w:r w:rsidRPr="00501FFD">
        <w:rPr>
          <w:rFonts w:ascii="Times New Roman" w:eastAsia="Times New Roman" w:hAnsi="Times New Roman" w:cs="Times New Roman"/>
          <w:lang w:eastAsia="en-AU"/>
        </w:rPr>
        <w:t>fe</w:t>
      </w:r>
      <w:proofErr w:type="spellEnd"/>
      <w:r w:rsidRPr="00501FFD">
        <w:rPr>
          <w:rFonts w:ascii="Times New Roman" w:eastAsia="Times New Roman" w:hAnsi="Times New Roman" w:cs="Times New Roman"/>
          <w:lang w:eastAsia="en-AU"/>
        </w:rPr>
        <w:t>) require an applicant to certify that the</w:t>
      </w:r>
      <w:r w:rsidR="00564B6E">
        <w:rPr>
          <w:rFonts w:ascii="Times New Roman" w:eastAsia="Times New Roman" w:hAnsi="Times New Roman" w:cs="Times New Roman"/>
          <w:lang w:eastAsia="en-AU"/>
        </w:rPr>
        <w:t> </w:t>
      </w:r>
      <w:r w:rsidRPr="00501FFD">
        <w:rPr>
          <w:rFonts w:ascii="Times New Roman" w:eastAsia="Times New Roman" w:hAnsi="Times New Roman" w:cs="Times New Roman"/>
          <w:lang w:eastAsia="en-AU"/>
        </w:rPr>
        <w:t>indications included in the medicine’s entry in the Register, and on the label, are covered by a determination made under subsection 26BF(1), and that any relevant requirements specified in the instrument have not been contravened.</w:t>
      </w:r>
    </w:p>
    <w:p w14:paraId="464DF0CE" w14:textId="77777777" w:rsidR="00B66FF4" w:rsidRPr="00501FFD" w:rsidRDefault="00B66FF4" w:rsidP="007056CD">
      <w:pPr>
        <w:autoSpaceDE w:val="0"/>
        <w:autoSpaceDN w:val="0"/>
        <w:adjustRightInd w:val="0"/>
        <w:spacing w:after="0" w:line="240" w:lineRule="auto"/>
        <w:rPr>
          <w:rFonts w:ascii="Times New Roman" w:eastAsia="Times New Roman" w:hAnsi="Times New Roman" w:cs="Times New Roman"/>
          <w:lang w:eastAsia="en-AU"/>
        </w:rPr>
      </w:pPr>
    </w:p>
    <w:p w14:paraId="371BDE30" w14:textId="5D3753A2" w:rsidR="00B66FF4" w:rsidRPr="00501FFD" w:rsidRDefault="00B66FF4" w:rsidP="007056CD">
      <w:pPr>
        <w:autoSpaceDE w:val="0"/>
        <w:autoSpaceDN w:val="0"/>
        <w:adjustRightInd w:val="0"/>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If a person incorrectly certifies these matters, the Secretary may cancel or suspend the medicine from the Register (paragraphs 30(1</w:t>
      </w:r>
      <w:proofErr w:type="gramStart"/>
      <w:r w:rsidRPr="00501FFD">
        <w:rPr>
          <w:rFonts w:ascii="Times New Roman" w:eastAsia="Times New Roman" w:hAnsi="Times New Roman" w:cs="Times New Roman"/>
          <w:lang w:eastAsia="en-AU"/>
        </w:rPr>
        <w:t>)(</w:t>
      </w:r>
      <w:proofErr w:type="gramEnd"/>
      <w:r w:rsidRPr="00501FFD">
        <w:rPr>
          <w:rFonts w:ascii="Times New Roman" w:eastAsia="Times New Roman" w:hAnsi="Times New Roman" w:cs="Times New Roman"/>
          <w:lang w:eastAsia="en-AU"/>
        </w:rPr>
        <w:t>e) and 29D(1)(b) of the Act refer). Criminal and civil penalty provisions may apply if a person makes a false or misleading statement in, or in connection with, a certification of a matter under subsection 26A(2) of the Act, including in relation to permissible indications and related requirements (sections 21A and 21B of the Act refer).</w:t>
      </w:r>
    </w:p>
    <w:p w14:paraId="432798A0" w14:textId="77777777" w:rsidR="001532ED" w:rsidRPr="00501FFD" w:rsidRDefault="001532ED" w:rsidP="007056CD">
      <w:pPr>
        <w:autoSpaceDE w:val="0"/>
        <w:autoSpaceDN w:val="0"/>
        <w:adjustRightInd w:val="0"/>
        <w:spacing w:after="0" w:line="240" w:lineRule="auto"/>
        <w:rPr>
          <w:rFonts w:ascii="Times New Roman" w:eastAsia="Times New Roman" w:hAnsi="Times New Roman" w:cs="Times New Roman"/>
          <w:lang w:eastAsia="en-AU"/>
        </w:rPr>
      </w:pPr>
    </w:p>
    <w:p w14:paraId="607A37C4" w14:textId="07C9A52D" w:rsidR="00751BE2" w:rsidRDefault="00751BE2" w:rsidP="00751BE2">
      <w:pPr>
        <w:autoSpaceDE w:val="0"/>
        <w:autoSpaceDN w:val="0"/>
        <w:adjustRightInd w:val="0"/>
        <w:spacing w:after="0" w:line="240" w:lineRule="auto"/>
        <w:rPr>
          <w:rFonts w:ascii="Times New Roman" w:eastAsia="Times New Roman" w:hAnsi="Times New Roman" w:cs="Times New Roman"/>
          <w:lang w:eastAsia="en-AU"/>
        </w:rPr>
      </w:pPr>
      <w:r w:rsidRPr="008C419B">
        <w:rPr>
          <w:rFonts w:ascii="Times New Roman" w:eastAsia="Times New Roman" w:hAnsi="Times New Roman" w:cs="Times New Roman"/>
          <w:lang w:eastAsia="en-AU"/>
        </w:rPr>
        <w:t xml:space="preserve">The requirement for listed medicines to use indications </w:t>
      </w:r>
      <w:r>
        <w:rPr>
          <w:rFonts w:ascii="Times New Roman" w:eastAsia="Times New Roman" w:hAnsi="Times New Roman" w:cs="Times New Roman"/>
          <w:lang w:eastAsia="en-AU"/>
        </w:rPr>
        <w:t>covered by</w:t>
      </w:r>
      <w:r w:rsidRPr="008C419B">
        <w:rPr>
          <w:rFonts w:ascii="Times New Roman" w:eastAsia="Times New Roman" w:hAnsi="Times New Roman" w:cs="Times New Roman"/>
          <w:lang w:eastAsia="en-AU"/>
        </w:rPr>
        <w:t xml:space="preserve"> the Determination is designed to ensure transparency</w:t>
      </w:r>
      <w:r>
        <w:rPr>
          <w:rFonts w:ascii="Times New Roman" w:eastAsia="Times New Roman" w:hAnsi="Times New Roman" w:cs="Times New Roman"/>
          <w:lang w:eastAsia="en-AU"/>
        </w:rPr>
        <w:t xml:space="preserve">, to </w:t>
      </w:r>
      <w:r w:rsidRPr="008C419B">
        <w:rPr>
          <w:rFonts w:ascii="Times New Roman" w:eastAsia="Times New Roman" w:hAnsi="Times New Roman" w:cs="Times New Roman"/>
          <w:lang w:eastAsia="en-AU"/>
        </w:rPr>
        <w:t xml:space="preserve">provide greater protection for consumers from misleading or inappropriate claims in relation to </w:t>
      </w:r>
      <w:r>
        <w:rPr>
          <w:rFonts w:ascii="Times New Roman" w:eastAsia="Times New Roman" w:hAnsi="Times New Roman" w:cs="Times New Roman"/>
          <w:lang w:eastAsia="en-AU"/>
        </w:rPr>
        <w:t>such</w:t>
      </w:r>
      <w:r w:rsidRPr="008C419B">
        <w:rPr>
          <w:rFonts w:ascii="Times New Roman" w:eastAsia="Times New Roman" w:hAnsi="Times New Roman" w:cs="Times New Roman"/>
          <w:lang w:eastAsia="en-AU"/>
        </w:rPr>
        <w:t xml:space="preserve"> goods, and to otherwise assist industry to use appropriate </w:t>
      </w:r>
      <w:r>
        <w:rPr>
          <w:rFonts w:ascii="Times New Roman" w:eastAsia="Times New Roman" w:hAnsi="Times New Roman" w:cs="Times New Roman"/>
          <w:lang w:eastAsia="en-AU"/>
        </w:rPr>
        <w:t xml:space="preserve">low-level </w:t>
      </w:r>
      <w:r w:rsidRPr="008C419B">
        <w:rPr>
          <w:rFonts w:ascii="Times New Roman" w:eastAsia="Times New Roman" w:hAnsi="Times New Roman" w:cs="Times New Roman"/>
          <w:lang w:eastAsia="en-AU"/>
        </w:rPr>
        <w:t>indications</w:t>
      </w:r>
      <w:r>
        <w:rPr>
          <w:rFonts w:ascii="Times New Roman" w:eastAsia="Times New Roman" w:hAnsi="Times New Roman" w:cs="Times New Roman"/>
          <w:lang w:eastAsia="en-AU"/>
        </w:rPr>
        <w:t xml:space="preserve"> for listed medicines</w:t>
      </w:r>
      <w:r w:rsidRPr="008C419B">
        <w:rPr>
          <w:rFonts w:ascii="Times New Roman" w:eastAsia="Times New Roman" w:hAnsi="Times New Roman" w:cs="Times New Roman"/>
          <w:lang w:eastAsia="en-AU"/>
        </w:rPr>
        <w:t>.</w:t>
      </w:r>
    </w:p>
    <w:p w14:paraId="5DD270FC" w14:textId="77777777" w:rsidR="00DB1CC9" w:rsidRPr="008C419B" w:rsidRDefault="00DB1CC9" w:rsidP="00751BE2">
      <w:pPr>
        <w:autoSpaceDE w:val="0"/>
        <w:autoSpaceDN w:val="0"/>
        <w:adjustRightInd w:val="0"/>
        <w:spacing w:after="0" w:line="240" w:lineRule="auto"/>
        <w:rPr>
          <w:rFonts w:ascii="Times New Roman" w:eastAsia="Times New Roman" w:hAnsi="Times New Roman" w:cs="Times New Roman"/>
          <w:lang w:eastAsia="en-AU"/>
        </w:rPr>
      </w:pPr>
    </w:p>
    <w:p w14:paraId="476551FF" w14:textId="38104FAB" w:rsidR="00F71C11" w:rsidRPr="008C419B" w:rsidRDefault="00F71C11" w:rsidP="00501FFD">
      <w:pPr>
        <w:shd w:val="clear" w:color="auto" w:fill="FFFFFF"/>
        <w:spacing w:line="240" w:lineRule="auto"/>
        <w:rPr>
          <w:rFonts w:ascii="Times New Roman" w:eastAsia="Times New Roman" w:hAnsi="Times New Roman" w:cs="Times New Roman"/>
          <w:lang w:eastAsia="en-AU"/>
        </w:rPr>
      </w:pPr>
      <w:r w:rsidRPr="008C419B">
        <w:rPr>
          <w:rFonts w:ascii="Times New Roman" w:eastAsia="Times New Roman" w:hAnsi="Times New Roman" w:cs="Times New Roman"/>
          <w:lang w:eastAsia="en-AU"/>
        </w:rPr>
        <w:t>In addition to specifying permissible indications for listed medicines, the Determination also specifies requirements</w:t>
      </w:r>
      <w:r>
        <w:rPr>
          <w:rFonts w:ascii="Times New Roman" w:eastAsia="Times New Roman" w:hAnsi="Times New Roman" w:cs="Times New Roman"/>
          <w:lang w:eastAsia="en-AU"/>
        </w:rPr>
        <w:t xml:space="preserve"> that</w:t>
      </w:r>
      <w:r w:rsidRPr="008C419B">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persons </w:t>
      </w:r>
      <w:r w:rsidRPr="008C419B">
        <w:rPr>
          <w:rFonts w:ascii="Times New Roman" w:eastAsia="Times New Roman" w:hAnsi="Times New Roman" w:cs="Times New Roman"/>
          <w:lang w:eastAsia="en-AU"/>
        </w:rPr>
        <w:t xml:space="preserve">must comply with when using the permissible indications for their listed </w:t>
      </w:r>
      <w:r w:rsidRPr="008C419B">
        <w:rPr>
          <w:rFonts w:ascii="Times New Roman" w:eastAsia="Times New Roman" w:hAnsi="Times New Roman" w:cs="Times New Roman"/>
          <w:lang w:eastAsia="en-AU"/>
        </w:rPr>
        <w:lastRenderedPageBreak/>
        <w:t>medicines. These requirements principally relate to ensuring the safe and appropriate use of listed medicines and may for example:</w:t>
      </w:r>
    </w:p>
    <w:p w14:paraId="15077696" w14:textId="77777777" w:rsidR="00F71C11" w:rsidRPr="008C419B" w:rsidRDefault="00F71C11" w:rsidP="00F71C11">
      <w:pPr>
        <w:numPr>
          <w:ilvl w:val="0"/>
          <w:numId w:val="3"/>
        </w:numPr>
        <w:autoSpaceDE w:val="0"/>
        <w:autoSpaceDN w:val="0"/>
        <w:adjustRightInd w:val="0"/>
        <w:spacing w:after="0" w:line="240" w:lineRule="auto"/>
        <w:rPr>
          <w:rFonts w:ascii="Times New Roman" w:eastAsia="Times New Roman" w:hAnsi="Times New Roman" w:cs="Times New Roman"/>
        </w:rPr>
      </w:pPr>
      <w:r w:rsidRPr="008C419B">
        <w:rPr>
          <w:rFonts w:ascii="Times New Roman" w:eastAsia="Times New Roman" w:hAnsi="Times New Roman" w:cs="Times New Roman"/>
        </w:rPr>
        <w:t xml:space="preserve">specify the type of evidence that a sponsor must hold to support the use of an indication, such as </w:t>
      </w:r>
      <w:r>
        <w:rPr>
          <w:rFonts w:ascii="Times New Roman" w:eastAsia="Times New Roman" w:hAnsi="Times New Roman" w:cs="Times New Roman"/>
        </w:rPr>
        <w:t xml:space="preserve">scientific evidence or </w:t>
      </w:r>
      <w:r w:rsidRPr="008C419B">
        <w:rPr>
          <w:rFonts w:ascii="Times New Roman" w:eastAsia="Times New Roman" w:hAnsi="Times New Roman" w:cs="Times New Roman"/>
        </w:rPr>
        <w:t>evidence of traditional use;</w:t>
      </w:r>
    </w:p>
    <w:p w14:paraId="5A5D0EE4" w14:textId="77777777" w:rsidR="00F71C11" w:rsidRPr="008C419B" w:rsidRDefault="00F71C11" w:rsidP="00F71C11">
      <w:pPr>
        <w:numPr>
          <w:ilvl w:val="0"/>
          <w:numId w:val="1"/>
        </w:numPr>
        <w:autoSpaceDE w:val="0"/>
        <w:autoSpaceDN w:val="0"/>
        <w:adjustRightInd w:val="0"/>
        <w:spacing w:after="0" w:line="240" w:lineRule="auto"/>
        <w:rPr>
          <w:rFonts w:ascii="Times New Roman" w:eastAsia="Times New Roman" w:hAnsi="Times New Roman" w:cs="Times New Roman"/>
        </w:rPr>
      </w:pPr>
      <w:r w:rsidRPr="008C419B">
        <w:rPr>
          <w:rFonts w:ascii="Times New Roman" w:eastAsia="Times New Roman" w:hAnsi="Times New Roman" w:cs="Times New Roman"/>
        </w:rPr>
        <w:t>specify a vulnerable population for which the indication is not suitable, such as children; or</w:t>
      </w:r>
    </w:p>
    <w:p w14:paraId="3F1115B9" w14:textId="2078885E" w:rsidR="00F71C11" w:rsidRPr="008C419B" w:rsidRDefault="00F71C11" w:rsidP="00F71C11">
      <w:pPr>
        <w:numPr>
          <w:ilvl w:val="0"/>
          <w:numId w:val="1"/>
        </w:numPr>
        <w:autoSpaceDE w:val="0"/>
        <w:autoSpaceDN w:val="0"/>
        <w:adjustRightInd w:val="0"/>
        <w:spacing w:after="0" w:line="240" w:lineRule="auto"/>
        <w:rPr>
          <w:rFonts w:ascii="Times New Roman" w:eastAsia="Times New Roman" w:hAnsi="Times New Roman" w:cs="Times New Roman"/>
        </w:rPr>
      </w:pPr>
      <w:proofErr w:type="gramStart"/>
      <w:r w:rsidRPr="008C419B">
        <w:rPr>
          <w:rFonts w:ascii="Times New Roman" w:eastAsia="Times New Roman" w:hAnsi="Times New Roman" w:cs="Times New Roman"/>
        </w:rPr>
        <w:t>require</w:t>
      </w:r>
      <w:proofErr w:type="gramEnd"/>
      <w:r w:rsidRPr="008C419B">
        <w:rPr>
          <w:rFonts w:ascii="Times New Roman" w:eastAsia="Times New Roman" w:hAnsi="Times New Roman" w:cs="Times New Roman"/>
        </w:rPr>
        <w:t xml:space="preserve"> a statement to accompany the use of an indication on a medicine’s label</w:t>
      </w:r>
      <w:r>
        <w:rPr>
          <w:rFonts w:ascii="Times New Roman" w:eastAsia="Times New Roman" w:hAnsi="Times New Roman" w:cs="Times New Roman"/>
        </w:rPr>
        <w:t xml:space="preserve"> (for example,</w:t>
      </w:r>
      <w:r w:rsidRPr="008C419B">
        <w:rPr>
          <w:rFonts w:ascii="Times New Roman" w:eastAsia="Times New Roman" w:hAnsi="Times New Roman" w:cs="Times New Roman"/>
        </w:rPr>
        <w:t xml:space="preserve"> ‘</w:t>
      </w:r>
      <w:r w:rsidR="006C794F" w:rsidRPr="008C419B">
        <w:rPr>
          <w:rFonts w:ascii="Times New Roman" w:eastAsia="Times New Roman" w:hAnsi="Times New Roman" w:cs="Times New Roman"/>
        </w:rPr>
        <w:t xml:space="preserve">If </w:t>
      </w:r>
      <w:r w:rsidR="006C794F">
        <w:rPr>
          <w:rFonts w:ascii="Times New Roman" w:eastAsia="Times New Roman" w:hAnsi="Times New Roman" w:cs="Times New Roman"/>
        </w:rPr>
        <w:t>symptoms</w:t>
      </w:r>
      <w:r w:rsidRPr="008C419B">
        <w:rPr>
          <w:rFonts w:ascii="Times New Roman" w:eastAsia="Times New Roman" w:hAnsi="Times New Roman" w:cs="Times New Roman"/>
        </w:rPr>
        <w:t xml:space="preserve"> persist</w:t>
      </w:r>
      <w:r w:rsidR="006C794F">
        <w:rPr>
          <w:rFonts w:ascii="Times New Roman" w:eastAsia="Times New Roman" w:hAnsi="Times New Roman" w:cs="Times New Roman"/>
        </w:rPr>
        <w:t>,</w:t>
      </w:r>
      <w:r w:rsidRPr="008C419B">
        <w:rPr>
          <w:rFonts w:ascii="Times New Roman" w:eastAsia="Times New Roman" w:hAnsi="Times New Roman" w:cs="Times New Roman"/>
        </w:rPr>
        <w:t xml:space="preserve"> </w:t>
      </w:r>
      <w:r w:rsidR="006C794F">
        <w:rPr>
          <w:rFonts w:ascii="Times New Roman" w:eastAsia="Times New Roman" w:hAnsi="Times New Roman" w:cs="Times New Roman"/>
        </w:rPr>
        <w:t>talk to</w:t>
      </w:r>
      <w:r w:rsidR="006C794F" w:rsidRPr="008C419B">
        <w:rPr>
          <w:rFonts w:ascii="Times New Roman" w:eastAsia="Times New Roman" w:hAnsi="Times New Roman" w:cs="Times New Roman"/>
        </w:rPr>
        <w:t xml:space="preserve"> </w:t>
      </w:r>
      <w:r w:rsidRPr="008C419B">
        <w:rPr>
          <w:rFonts w:ascii="Times New Roman" w:eastAsia="Times New Roman" w:hAnsi="Times New Roman" w:cs="Times New Roman"/>
        </w:rPr>
        <w:t>your health</w:t>
      </w:r>
      <w:r w:rsidR="006C794F">
        <w:rPr>
          <w:rFonts w:ascii="Times New Roman" w:eastAsia="Times New Roman" w:hAnsi="Times New Roman" w:cs="Times New Roman"/>
        </w:rPr>
        <w:t xml:space="preserve"> </w:t>
      </w:r>
      <w:r w:rsidR="006C794F" w:rsidRPr="008C419B">
        <w:rPr>
          <w:rFonts w:ascii="Times New Roman" w:eastAsia="Times New Roman" w:hAnsi="Times New Roman" w:cs="Times New Roman"/>
        </w:rPr>
        <w:t>pr</w:t>
      </w:r>
      <w:r w:rsidR="006C794F">
        <w:rPr>
          <w:rFonts w:ascii="Times New Roman" w:eastAsia="Times New Roman" w:hAnsi="Times New Roman" w:cs="Times New Roman"/>
        </w:rPr>
        <w:t>ofessional</w:t>
      </w:r>
      <w:r w:rsidR="006C794F" w:rsidRPr="008C419B">
        <w:rPr>
          <w:rFonts w:ascii="Times New Roman" w:eastAsia="Times New Roman" w:hAnsi="Times New Roman" w:cs="Times New Roman"/>
        </w:rPr>
        <w:t>’</w:t>
      </w:r>
      <w:r w:rsidRPr="008C419B">
        <w:rPr>
          <w:rFonts w:ascii="Times New Roman" w:eastAsia="Times New Roman" w:hAnsi="Times New Roman" w:cs="Times New Roman"/>
        </w:rPr>
        <w:t>).</w:t>
      </w:r>
    </w:p>
    <w:p w14:paraId="69F1C2A5" w14:textId="77777777" w:rsidR="009543D5" w:rsidRPr="00501FFD" w:rsidRDefault="009543D5" w:rsidP="00501FFD">
      <w:pPr>
        <w:shd w:val="clear" w:color="auto" w:fill="FFFFFF"/>
        <w:spacing w:after="0" w:line="240" w:lineRule="auto"/>
        <w:rPr>
          <w:rFonts w:ascii="Times New Roman" w:eastAsia="Times New Roman" w:hAnsi="Times New Roman" w:cs="Times New Roman"/>
          <w:lang w:eastAsia="en-AU"/>
        </w:rPr>
      </w:pPr>
    </w:p>
    <w:p w14:paraId="1E0398F6" w14:textId="146DFF5D" w:rsidR="00F74AE8" w:rsidRPr="00501FFD" w:rsidRDefault="00B66FF4" w:rsidP="00F74AE8">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w:t>
      </w:r>
      <w:r w:rsidR="009D7B95" w:rsidRPr="00501FFD">
        <w:rPr>
          <w:rFonts w:ascii="Times New Roman" w:eastAsia="Times New Roman" w:hAnsi="Times New Roman" w:cs="Times New Roman"/>
          <w:lang w:eastAsia="en-AU"/>
        </w:rPr>
        <w:t xml:space="preserve">instrument </w:t>
      </w:r>
      <w:r w:rsidRPr="00501FFD">
        <w:rPr>
          <w:rFonts w:ascii="Times New Roman" w:eastAsia="Times New Roman" w:hAnsi="Times New Roman" w:cs="Times New Roman"/>
          <w:lang w:eastAsia="en-AU"/>
        </w:rPr>
        <w:t xml:space="preserve">also repeals and replaces the </w:t>
      </w:r>
      <w:r w:rsidR="009D7B95" w:rsidRPr="00501FFD">
        <w:rPr>
          <w:rFonts w:ascii="Times New Roman" w:eastAsia="Times New Roman" w:hAnsi="Times New Roman" w:cs="Times New Roman"/>
          <w:i/>
          <w:lang w:eastAsia="en-AU"/>
        </w:rPr>
        <w:t xml:space="preserve">Therapeutic Goods (Permissible Indications) Determination </w:t>
      </w:r>
      <w:r w:rsidR="00083D91" w:rsidRPr="00501FFD">
        <w:rPr>
          <w:rFonts w:ascii="Times New Roman" w:eastAsia="Times New Roman" w:hAnsi="Times New Roman" w:cs="Times New Roman"/>
          <w:i/>
          <w:lang w:eastAsia="en-AU"/>
        </w:rPr>
        <w:t>(</w:t>
      </w:r>
      <w:r w:rsidR="009D7B95" w:rsidRPr="00501FFD">
        <w:rPr>
          <w:rFonts w:ascii="Times New Roman" w:eastAsia="Times New Roman" w:hAnsi="Times New Roman" w:cs="Times New Roman"/>
          <w:i/>
          <w:lang w:eastAsia="en-AU"/>
        </w:rPr>
        <w:t>No.</w:t>
      </w:r>
      <w:r w:rsidR="002704D5">
        <w:rPr>
          <w:rFonts w:ascii="Times New Roman" w:eastAsia="Times New Roman" w:hAnsi="Times New Roman" w:cs="Times New Roman"/>
          <w:i/>
          <w:lang w:eastAsia="en-AU"/>
        </w:rPr>
        <w:t xml:space="preserve"> </w:t>
      </w:r>
      <w:r w:rsidR="000418C4">
        <w:rPr>
          <w:rFonts w:ascii="Times New Roman" w:eastAsia="Times New Roman" w:hAnsi="Times New Roman" w:cs="Times New Roman"/>
          <w:i/>
          <w:lang w:eastAsia="en-AU"/>
        </w:rPr>
        <w:t>2</w:t>
      </w:r>
      <w:r w:rsidR="00083D91" w:rsidRPr="00501FFD">
        <w:rPr>
          <w:rFonts w:ascii="Times New Roman" w:eastAsia="Times New Roman" w:hAnsi="Times New Roman" w:cs="Times New Roman"/>
          <w:i/>
          <w:lang w:eastAsia="en-AU"/>
        </w:rPr>
        <w:t>)</w:t>
      </w:r>
      <w:r w:rsidR="009D7B95" w:rsidRPr="00501FFD">
        <w:rPr>
          <w:rFonts w:ascii="Times New Roman" w:eastAsia="Times New Roman" w:hAnsi="Times New Roman" w:cs="Times New Roman"/>
          <w:i/>
          <w:lang w:eastAsia="en-AU"/>
        </w:rPr>
        <w:t xml:space="preserve"> 201</w:t>
      </w:r>
      <w:r w:rsidR="00083D91" w:rsidRPr="00501FFD">
        <w:rPr>
          <w:rFonts w:ascii="Times New Roman" w:eastAsia="Times New Roman" w:hAnsi="Times New Roman" w:cs="Times New Roman"/>
          <w:i/>
          <w:lang w:eastAsia="en-AU"/>
        </w:rPr>
        <w:t>9</w:t>
      </w:r>
      <w:r w:rsidR="009D7B95" w:rsidRPr="00501FFD">
        <w:rPr>
          <w:rFonts w:ascii="Times New Roman" w:eastAsia="Times New Roman" w:hAnsi="Times New Roman" w:cs="Times New Roman"/>
          <w:lang w:eastAsia="en-AU"/>
        </w:rPr>
        <w:t xml:space="preserve"> (“the former instrument”)</w:t>
      </w:r>
      <w:r w:rsidR="00F74AE8">
        <w:rPr>
          <w:rFonts w:ascii="Times New Roman" w:eastAsia="Times New Roman" w:hAnsi="Times New Roman" w:cs="Times New Roman"/>
          <w:lang w:eastAsia="en-AU"/>
        </w:rPr>
        <w:t xml:space="preserve"> and reflects </w:t>
      </w:r>
      <w:r w:rsidR="00F74AE8" w:rsidRPr="00501FFD">
        <w:rPr>
          <w:rFonts w:ascii="Times New Roman" w:eastAsia="Times New Roman" w:hAnsi="Times New Roman" w:cs="Times New Roman"/>
          <w:lang w:eastAsia="en-AU"/>
        </w:rPr>
        <w:t>a number of</w:t>
      </w:r>
      <w:r w:rsidR="00F74AE8" w:rsidRPr="00501FFD">
        <w:rPr>
          <w:rFonts w:ascii="Times New Roman" w:hAnsi="Times New Roman" w:cs="Times New Roman"/>
        </w:rPr>
        <w:t xml:space="preserve"> changes compared to the </w:t>
      </w:r>
      <w:r w:rsidR="00F74AE8">
        <w:rPr>
          <w:rFonts w:ascii="Times New Roman" w:hAnsi="Times New Roman" w:cs="Times New Roman"/>
        </w:rPr>
        <w:t>f</w:t>
      </w:r>
      <w:r w:rsidR="00F74AE8" w:rsidRPr="00501FFD">
        <w:rPr>
          <w:rFonts w:ascii="Times New Roman" w:hAnsi="Times New Roman" w:cs="Times New Roman"/>
        </w:rPr>
        <w:t xml:space="preserve">ormer </w:t>
      </w:r>
      <w:r w:rsidR="00F74AE8">
        <w:rPr>
          <w:rFonts w:ascii="Times New Roman" w:hAnsi="Times New Roman" w:cs="Times New Roman"/>
        </w:rPr>
        <w:t>instrument</w:t>
      </w:r>
      <w:r w:rsidR="00F74AE8" w:rsidRPr="00501FFD">
        <w:rPr>
          <w:rFonts w:ascii="Times New Roman" w:hAnsi="Times New Roman" w:cs="Times New Roman"/>
        </w:rPr>
        <w:t>, including in particular:</w:t>
      </w:r>
    </w:p>
    <w:p w14:paraId="0B0FDAE7" w14:textId="77777777" w:rsidR="00F74AE8" w:rsidRPr="00483C0E" w:rsidRDefault="00F74AE8" w:rsidP="00F74AE8">
      <w:pPr>
        <w:pStyle w:val="ListBullet3"/>
        <w:numPr>
          <w:ilvl w:val="0"/>
          <w:numId w:val="32"/>
        </w:numPr>
        <w:ind w:left="567" w:hanging="567"/>
        <w:rPr>
          <w:rFonts w:ascii="Times New Roman" w:eastAsia="Times New Roman" w:hAnsi="Times New Roman" w:cs="Times New Roman"/>
        </w:rPr>
      </w:pPr>
      <w:r w:rsidRPr="00483C0E">
        <w:rPr>
          <w:rFonts w:ascii="Times New Roman" w:eastAsia="Times New Roman" w:hAnsi="Times New Roman" w:cs="Times New Roman"/>
        </w:rPr>
        <w:t xml:space="preserve">the addition of  </w:t>
      </w:r>
      <w:r>
        <w:rPr>
          <w:rFonts w:ascii="Times New Roman" w:eastAsia="Times New Roman" w:hAnsi="Times New Roman" w:cs="Times New Roman"/>
        </w:rPr>
        <w:t xml:space="preserve">three </w:t>
      </w:r>
      <w:r w:rsidRPr="00483C0E">
        <w:rPr>
          <w:rFonts w:ascii="Times New Roman" w:eastAsia="Times New Roman" w:hAnsi="Times New Roman" w:cs="Times New Roman"/>
        </w:rPr>
        <w:t>new indications</w:t>
      </w:r>
      <w:r>
        <w:rPr>
          <w:rFonts w:ascii="Times New Roman" w:eastAsia="Times New Roman" w:hAnsi="Times New Roman" w:cs="Times New Roman"/>
        </w:rPr>
        <w:t>, along</w:t>
      </w:r>
      <w:r w:rsidRPr="00483C0E">
        <w:rPr>
          <w:rFonts w:ascii="Times New Roman" w:eastAsia="Times New Roman" w:hAnsi="Times New Roman" w:cs="Times New Roman"/>
        </w:rPr>
        <w:t xml:space="preserve"> with associated requirements relating to the</w:t>
      </w:r>
      <w:r>
        <w:rPr>
          <w:rFonts w:ascii="Times New Roman" w:eastAsia="Times New Roman" w:hAnsi="Times New Roman" w:cs="Times New Roman"/>
        </w:rPr>
        <w:t>ir</w:t>
      </w:r>
      <w:r w:rsidRPr="00483C0E">
        <w:rPr>
          <w:rFonts w:ascii="Times New Roman" w:eastAsia="Times New Roman" w:hAnsi="Times New Roman" w:cs="Times New Roman"/>
        </w:rPr>
        <w:t xml:space="preserve"> use:</w:t>
      </w:r>
    </w:p>
    <w:p w14:paraId="7A4D98F8" w14:textId="77777777" w:rsidR="00F74AE8" w:rsidRDefault="00F74AE8" w:rsidP="00F74AE8">
      <w:pPr>
        <w:numPr>
          <w:ilvl w:val="4"/>
          <w:numId w:val="4"/>
        </w:numPr>
        <w:autoSpaceDE w:val="0"/>
        <w:autoSpaceDN w:val="0"/>
        <w:adjustRightInd w:val="0"/>
        <w:spacing w:before="120" w:after="120" w:line="240" w:lineRule="auto"/>
        <w:ind w:left="1134" w:hanging="566"/>
        <w:rPr>
          <w:rFonts w:ascii="Times New Roman" w:eastAsia="Times New Roman" w:hAnsi="Times New Roman" w:cs="Times New Roman"/>
          <w:bCs/>
        </w:rPr>
      </w:pPr>
      <w:r>
        <w:rPr>
          <w:rFonts w:ascii="Times New Roman" w:eastAsia="Times New Roman" w:hAnsi="Times New Roman" w:cs="Times New Roman"/>
          <w:bCs/>
        </w:rPr>
        <w:t>enhance/promote/increase temporary weight loss;</w:t>
      </w:r>
    </w:p>
    <w:p w14:paraId="0DF2661F" w14:textId="77777777" w:rsidR="00F74AE8" w:rsidRDefault="00F74AE8" w:rsidP="00F74AE8">
      <w:pPr>
        <w:numPr>
          <w:ilvl w:val="4"/>
          <w:numId w:val="4"/>
        </w:numPr>
        <w:autoSpaceDE w:val="0"/>
        <w:autoSpaceDN w:val="0"/>
        <w:adjustRightInd w:val="0"/>
        <w:spacing w:before="120" w:after="120" w:line="240" w:lineRule="auto"/>
        <w:ind w:left="1134" w:hanging="566"/>
        <w:rPr>
          <w:rFonts w:ascii="Times New Roman" w:eastAsia="Times New Roman" w:hAnsi="Times New Roman" w:cs="Times New Roman"/>
          <w:bCs/>
        </w:rPr>
      </w:pPr>
      <w:r>
        <w:rPr>
          <w:rFonts w:ascii="Times New Roman" w:eastAsia="Times New Roman" w:hAnsi="Times New Roman" w:cs="Times New Roman"/>
          <w:bCs/>
        </w:rPr>
        <w:t>maintain/</w:t>
      </w:r>
      <w:r w:rsidRPr="002C5684">
        <w:rPr>
          <w:rFonts w:ascii="Times New Roman" w:eastAsia="Times New Roman" w:hAnsi="Times New Roman" w:cs="Times New Roman"/>
        </w:rPr>
        <w:t>support</w:t>
      </w:r>
      <w:r>
        <w:rPr>
          <w:rFonts w:ascii="Times New Roman" w:eastAsia="Times New Roman" w:hAnsi="Times New Roman" w:cs="Times New Roman"/>
          <w:bCs/>
        </w:rPr>
        <w:t xml:space="preserve"> healthy thyroid gland function for pregnancy; and</w:t>
      </w:r>
    </w:p>
    <w:p w14:paraId="274468D6" w14:textId="77777777" w:rsidR="00F74AE8" w:rsidRDefault="00F74AE8" w:rsidP="00F74AE8">
      <w:pPr>
        <w:numPr>
          <w:ilvl w:val="4"/>
          <w:numId w:val="4"/>
        </w:numPr>
        <w:autoSpaceDE w:val="0"/>
        <w:autoSpaceDN w:val="0"/>
        <w:adjustRightInd w:val="0"/>
        <w:spacing w:before="120" w:after="120" w:line="240" w:lineRule="auto"/>
        <w:ind w:left="1134" w:hanging="566"/>
        <w:rPr>
          <w:rFonts w:ascii="Times New Roman" w:eastAsia="Times New Roman" w:hAnsi="Times New Roman" w:cs="Times New Roman"/>
          <w:bCs/>
        </w:rPr>
      </w:pPr>
      <w:r>
        <w:rPr>
          <w:rFonts w:ascii="Times New Roman" w:eastAsia="Times New Roman" w:hAnsi="Times New Roman" w:cs="Times New Roman"/>
          <w:bCs/>
        </w:rPr>
        <w:t>aid/assist healthy thyroid hormone production for pregnancy;</w:t>
      </w:r>
    </w:p>
    <w:p w14:paraId="0676AEB7" w14:textId="77777777" w:rsidR="00F74AE8" w:rsidRPr="00483C0E" w:rsidRDefault="00F74AE8" w:rsidP="00F74AE8">
      <w:pPr>
        <w:pStyle w:val="ListBullet"/>
        <w:rPr>
          <w:rFonts w:ascii="Times New Roman" w:eastAsia="Times New Roman" w:hAnsi="Times New Roman" w:cs="Times New Roman"/>
        </w:rPr>
      </w:pPr>
      <w:r>
        <w:rPr>
          <w:rFonts w:ascii="Times New Roman" w:eastAsia="Times New Roman" w:hAnsi="Times New Roman" w:cs="Times New Roman"/>
        </w:rPr>
        <w:t>e</w:t>
      </w:r>
      <w:r w:rsidRPr="00483C0E">
        <w:rPr>
          <w:rFonts w:ascii="Times New Roman" w:eastAsia="Times New Roman" w:hAnsi="Times New Roman" w:cs="Times New Roman"/>
        </w:rPr>
        <w:t>xpan</w:t>
      </w:r>
      <w:r>
        <w:rPr>
          <w:rFonts w:ascii="Times New Roman" w:eastAsia="Times New Roman" w:hAnsi="Times New Roman" w:cs="Times New Roman"/>
        </w:rPr>
        <w:t>ding</w:t>
      </w:r>
      <w:r w:rsidRPr="00483C0E">
        <w:rPr>
          <w:rFonts w:ascii="Times New Roman" w:eastAsia="Times New Roman" w:hAnsi="Times New Roman" w:cs="Times New Roman"/>
        </w:rPr>
        <w:t xml:space="preserve"> </w:t>
      </w:r>
      <w:r>
        <w:rPr>
          <w:rFonts w:ascii="Times New Roman" w:eastAsia="Times New Roman" w:hAnsi="Times New Roman" w:cs="Times New Roman"/>
        </w:rPr>
        <w:t>the</w:t>
      </w:r>
      <w:r w:rsidRPr="00483C0E">
        <w:rPr>
          <w:rFonts w:ascii="Times New Roman" w:eastAsia="Times New Roman" w:hAnsi="Times New Roman" w:cs="Times New Roman"/>
        </w:rPr>
        <w:t xml:space="preserve"> </w:t>
      </w:r>
      <w:r>
        <w:rPr>
          <w:rFonts w:ascii="Times New Roman" w:eastAsia="Times New Roman" w:hAnsi="Times New Roman" w:cs="Times New Roman"/>
        </w:rPr>
        <w:t xml:space="preserve">types of </w:t>
      </w:r>
      <w:r w:rsidRPr="00483C0E">
        <w:rPr>
          <w:rFonts w:ascii="Times New Roman" w:eastAsia="Times New Roman" w:hAnsi="Times New Roman" w:cs="Times New Roman"/>
        </w:rPr>
        <w:t>evidence from ‘traditional’ to ‘traditional or scientific evidence’ for the following indication:</w:t>
      </w:r>
    </w:p>
    <w:p w14:paraId="12195536" w14:textId="77777777" w:rsidR="00F74AE8" w:rsidRDefault="00F74AE8" w:rsidP="00F74AE8">
      <w:pPr>
        <w:numPr>
          <w:ilvl w:val="4"/>
          <w:numId w:val="4"/>
        </w:numPr>
        <w:autoSpaceDE w:val="0"/>
        <w:autoSpaceDN w:val="0"/>
        <w:adjustRightInd w:val="0"/>
        <w:spacing w:before="120" w:after="120" w:line="240" w:lineRule="auto"/>
        <w:ind w:left="1134" w:hanging="567"/>
        <w:rPr>
          <w:rFonts w:ascii="Times New Roman" w:eastAsia="Times New Roman" w:hAnsi="Times New Roman" w:cs="Times New Roman"/>
          <w:bCs/>
        </w:rPr>
      </w:pPr>
      <w:r>
        <w:rPr>
          <w:rFonts w:ascii="Times New Roman" w:eastAsia="Times New Roman" w:hAnsi="Times New Roman" w:cs="Times New Roman"/>
          <w:bCs/>
        </w:rPr>
        <w:t>h</w:t>
      </w:r>
      <w:r w:rsidRPr="00483C0E">
        <w:rPr>
          <w:rFonts w:ascii="Times New Roman" w:eastAsia="Times New Roman" w:hAnsi="Times New Roman" w:cs="Times New Roman"/>
          <w:bCs/>
        </w:rPr>
        <w:t>elps maintain/support healthy heart function</w:t>
      </w:r>
      <w:r>
        <w:rPr>
          <w:rFonts w:ascii="Times New Roman" w:eastAsia="Times New Roman" w:hAnsi="Times New Roman" w:cs="Times New Roman"/>
          <w:bCs/>
        </w:rPr>
        <w:t>;</w:t>
      </w:r>
    </w:p>
    <w:p w14:paraId="70E6AAF7" w14:textId="2CE79B14" w:rsidR="00F74AE8" w:rsidRPr="002C5684" w:rsidRDefault="00F74AE8" w:rsidP="00F74AE8">
      <w:pPr>
        <w:pStyle w:val="ListParagraph"/>
        <w:numPr>
          <w:ilvl w:val="0"/>
          <w:numId w:val="30"/>
        </w:numPr>
        <w:autoSpaceDE w:val="0"/>
        <w:autoSpaceDN w:val="0"/>
        <w:adjustRightInd w:val="0"/>
        <w:spacing w:before="120" w:after="120" w:line="240" w:lineRule="auto"/>
        <w:ind w:left="284" w:hanging="284"/>
        <w:rPr>
          <w:rFonts w:ascii="Times New Roman" w:eastAsia="Times New Roman" w:hAnsi="Times New Roman" w:cs="Times New Roman"/>
        </w:rPr>
      </w:pPr>
      <w:r>
        <w:rPr>
          <w:rFonts w:ascii="Times New Roman" w:eastAsia="Times New Roman" w:hAnsi="Times New Roman" w:cs="Times New Roman"/>
        </w:rPr>
        <w:t>c</w:t>
      </w:r>
      <w:r w:rsidRPr="002C5684">
        <w:rPr>
          <w:rFonts w:ascii="Times New Roman" w:eastAsia="Times New Roman" w:hAnsi="Times New Roman" w:cs="Times New Roman"/>
        </w:rPr>
        <w:t>onsolidati</w:t>
      </w:r>
      <w:r>
        <w:rPr>
          <w:rFonts w:ascii="Times New Roman" w:eastAsia="Times New Roman" w:hAnsi="Times New Roman" w:cs="Times New Roman"/>
        </w:rPr>
        <w:t>ng</w:t>
      </w:r>
      <w:r w:rsidRPr="002C5684">
        <w:rPr>
          <w:rFonts w:ascii="Times New Roman" w:eastAsia="Times New Roman" w:hAnsi="Times New Roman" w:cs="Times New Roman"/>
        </w:rPr>
        <w:t xml:space="preserve"> </w:t>
      </w:r>
      <w:r>
        <w:rPr>
          <w:rFonts w:ascii="Times New Roman" w:eastAsia="Times New Roman" w:hAnsi="Times New Roman" w:cs="Times New Roman"/>
        </w:rPr>
        <w:t>two duplicat</w:t>
      </w:r>
      <w:r w:rsidR="00156078">
        <w:rPr>
          <w:rFonts w:ascii="Times New Roman" w:eastAsia="Times New Roman" w:hAnsi="Times New Roman" w:cs="Times New Roman"/>
        </w:rPr>
        <w:t>e</w:t>
      </w:r>
      <w:r>
        <w:rPr>
          <w:rFonts w:ascii="Times New Roman" w:eastAsia="Times New Roman" w:hAnsi="Times New Roman" w:cs="Times New Roman"/>
        </w:rPr>
        <w:t xml:space="preserve"> indications into a single </w:t>
      </w:r>
      <w:r w:rsidRPr="002C5684">
        <w:rPr>
          <w:rFonts w:ascii="Times New Roman" w:eastAsia="Times New Roman" w:hAnsi="Times New Roman" w:cs="Times New Roman"/>
        </w:rPr>
        <w:t>indication:</w:t>
      </w:r>
    </w:p>
    <w:p w14:paraId="5C39C854" w14:textId="4791798F" w:rsidR="00F74AE8" w:rsidRDefault="00F74AE8" w:rsidP="00F74AE8">
      <w:pPr>
        <w:numPr>
          <w:ilvl w:val="4"/>
          <w:numId w:val="4"/>
        </w:numPr>
        <w:autoSpaceDE w:val="0"/>
        <w:autoSpaceDN w:val="0"/>
        <w:adjustRightInd w:val="0"/>
        <w:spacing w:before="120" w:after="120" w:line="240" w:lineRule="auto"/>
        <w:ind w:left="1134" w:hanging="567"/>
        <w:rPr>
          <w:rFonts w:ascii="Times New Roman" w:eastAsia="Times New Roman" w:hAnsi="Times New Roman" w:cs="Times New Roman"/>
          <w:bCs/>
        </w:rPr>
      </w:pPr>
      <w:r>
        <w:rPr>
          <w:rFonts w:ascii="Times New Roman" w:eastAsia="Times New Roman" w:hAnsi="Times New Roman" w:cs="Times New Roman"/>
          <w:bCs/>
        </w:rPr>
        <w:t>maintain/support healthy blood capillary health; and</w:t>
      </w:r>
    </w:p>
    <w:p w14:paraId="6E63B502" w14:textId="6BDE5003" w:rsidR="00C07074" w:rsidRPr="004A7E6A" w:rsidRDefault="00C07074" w:rsidP="0054409A">
      <w:pPr>
        <w:pStyle w:val="ListBullet"/>
        <w:rPr>
          <w:rFonts w:ascii="Times New Roman" w:eastAsia="Times New Roman" w:hAnsi="Times New Roman" w:cs="Times New Roman"/>
        </w:rPr>
      </w:pPr>
      <w:r w:rsidRPr="004A7E6A">
        <w:rPr>
          <w:rFonts w:ascii="Times New Roman" w:eastAsia="Times New Roman" w:hAnsi="Times New Roman" w:cs="Times New Roman"/>
        </w:rPr>
        <w:t xml:space="preserve">amending </w:t>
      </w:r>
      <w:r w:rsidR="00F27185" w:rsidRPr="001043AB">
        <w:rPr>
          <w:rFonts w:ascii="Times New Roman" w:eastAsia="Times New Roman" w:hAnsi="Times New Roman" w:cs="Times New Roman"/>
        </w:rPr>
        <w:t xml:space="preserve">a </w:t>
      </w:r>
      <w:r w:rsidR="0054409A" w:rsidRPr="0054409A">
        <w:rPr>
          <w:rFonts w:ascii="Times New Roman" w:eastAsia="Times New Roman" w:hAnsi="Times New Roman" w:cs="Times New Roman"/>
        </w:rPr>
        <w:t xml:space="preserve">label statement </w:t>
      </w:r>
      <w:r w:rsidR="00F27185" w:rsidRPr="001043AB">
        <w:rPr>
          <w:rFonts w:ascii="Times New Roman" w:eastAsia="Times New Roman" w:hAnsi="Times New Roman" w:cs="Times New Roman"/>
        </w:rPr>
        <w:t xml:space="preserve">requirement relating to 11 indications for </w:t>
      </w:r>
      <w:r w:rsidRPr="004A7E6A">
        <w:rPr>
          <w:rFonts w:ascii="Times New Roman" w:eastAsia="Times New Roman" w:hAnsi="Times New Roman" w:cs="Times New Roman"/>
        </w:rPr>
        <w:t xml:space="preserve">vitamin and mineral supplement </w:t>
      </w:r>
      <w:r w:rsidR="00F27185">
        <w:rPr>
          <w:rFonts w:ascii="Times New Roman" w:eastAsia="Times New Roman" w:hAnsi="Times New Roman" w:cs="Times New Roman"/>
        </w:rPr>
        <w:t>products,</w:t>
      </w:r>
      <w:r w:rsidRPr="004A7E6A">
        <w:rPr>
          <w:rFonts w:ascii="Times New Roman" w:eastAsia="Times New Roman" w:hAnsi="Times New Roman" w:cs="Times New Roman"/>
        </w:rPr>
        <w:t xml:space="preserve"> to enable sponsors to select ‘vitamins’, ‘minerals’, ‘nutrients’ and/or ‘dietary supplements’ (rather than just ‘vitamins and minerals’ as per the previous wording of the requirement). This requirement also now includes the statement ‘or words to the effect’ to enable for sponsors to select the label statement that accurately reflects their medicine formulation.</w:t>
      </w:r>
    </w:p>
    <w:p w14:paraId="05B64EBE" w14:textId="77777777" w:rsidR="00261C1F" w:rsidRPr="00501FFD" w:rsidRDefault="00311A17" w:rsidP="00501FFD">
      <w:pPr>
        <w:spacing w:after="0" w:line="240" w:lineRule="auto"/>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t>Human rights implications</w:t>
      </w:r>
    </w:p>
    <w:p w14:paraId="3DF78D70" w14:textId="77777777" w:rsidR="00C509B7" w:rsidRPr="00501FFD" w:rsidRDefault="00C509B7" w:rsidP="00501FFD">
      <w:pPr>
        <w:spacing w:after="0" w:line="240" w:lineRule="auto"/>
        <w:rPr>
          <w:rFonts w:ascii="Times New Roman" w:eastAsia="Times New Roman" w:hAnsi="Times New Roman" w:cs="Times New Roman"/>
          <w:b/>
          <w:lang w:eastAsia="en-AU"/>
        </w:rPr>
      </w:pPr>
    </w:p>
    <w:p w14:paraId="5CF9E74A" w14:textId="52D1D406" w:rsidR="00E27146" w:rsidRPr="00501FFD" w:rsidRDefault="001E36A0" w:rsidP="00501FFD">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w:t>
      </w:r>
      <w:r w:rsidR="00E27146" w:rsidRPr="00501FFD">
        <w:rPr>
          <w:rFonts w:ascii="Times New Roman" w:eastAsia="Times New Roman" w:hAnsi="Times New Roman" w:cs="Times New Roman"/>
          <w:lang w:eastAsia="en-AU"/>
        </w:rPr>
        <w:t xml:space="preserve">instrument </w:t>
      </w:r>
      <w:r w:rsidRPr="00501FFD">
        <w:rPr>
          <w:rFonts w:ascii="Times New Roman" w:eastAsia="Times New Roman" w:hAnsi="Times New Roman" w:cs="Times New Roman"/>
          <w:lang w:eastAsia="en-AU"/>
        </w:rPr>
        <w:t>takes positive steps to promote the right to health in article 12 of the International Covenant on Economic, Social and Cultural Rights (</w:t>
      </w:r>
      <w:r w:rsidR="00E27146"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the ICESCR</w:t>
      </w:r>
      <w:r w:rsidR="00E27146" w:rsidRPr="00501FFD">
        <w:rPr>
          <w:rFonts w:ascii="Times New Roman" w:eastAsia="Times New Roman" w:hAnsi="Times New Roman" w:cs="Times New Roman"/>
          <w:lang w:eastAsia="en-AU"/>
        </w:rPr>
        <w:t>”</w:t>
      </w:r>
      <w:r w:rsidRPr="00501FFD">
        <w:rPr>
          <w:rFonts w:ascii="Times New Roman" w:eastAsia="Times New Roman" w:hAnsi="Times New Roman" w:cs="Times New Roman"/>
          <w:lang w:eastAsia="en-AU"/>
        </w:rPr>
        <w:t>). This right is understood as the right of everyone to enjoy the highest attainable standard of physical and mental health, and includes an obligation to take reasonable measures within available resources to progressively secure broader enjoyment of the right.</w:t>
      </w:r>
    </w:p>
    <w:p w14:paraId="7A2AE768" w14:textId="77777777" w:rsidR="00E27146" w:rsidRPr="00501FFD" w:rsidRDefault="00E27146" w:rsidP="00501FFD">
      <w:pPr>
        <w:shd w:val="clear" w:color="auto" w:fill="FFFFFF"/>
        <w:spacing w:after="0" w:line="240" w:lineRule="auto"/>
        <w:rPr>
          <w:rFonts w:ascii="Times New Roman" w:eastAsia="Times New Roman" w:hAnsi="Times New Roman" w:cs="Times New Roman"/>
          <w:lang w:eastAsia="en-AU"/>
        </w:rPr>
      </w:pPr>
    </w:p>
    <w:p w14:paraId="5AFC85B4" w14:textId="77777777" w:rsidR="001E36A0" w:rsidRPr="00501FFD" w:rsidRDefault="001E36A0" w:rsidP="00501FFD">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In </w:t>
      </w:r>
      <w:r w:rsidRPr="00501FFD">
        <w:rPr>
          <w:rFonts w:ascii="Times New Roman" w:eastAsia="Times New Roman" w:hAnsi="Times New Roman" w:cs="Times New Roman"/>
          <w:i/>
          <w:lang w:eastAsia="en-AU"/>
        </w:rPr>
        <w:t>General Comment No. 14: The Right to the Highest Attainable Standard of Health (Art. 12)</w:t>
      </w:r>
      <w:r w:rsidRPr="00501FFD">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24A22D39" w14:textId="77777777" w:rsidR="004A4AF7" w:rsidRPr="00501FFD" w:rsidRDefault="004A4AF7" w:rsidP="00501FFD">
      <w:pPr>
        <w:shd w:val="clear" w:color="auto" w:fill="FFFFFF"/>
        <w:spacing w:after="0" w:line="240" w:lineRule="auto"/>
        <w:rPr>
          <w:rFonts w:ascii="Times New Roman" w:eastAsia="Times New Roman" w:hAnsi="Times New Roman" w:cs="Times New Roman"/>
          <w:lang w:eastAsia="en-AU"/>
        </w:rPr>
      </w:pPr>
    </w:p>
    <w:p w14:paraId="7CADAD95" w14:textId="43258166" w:rsidR="004A4AF7" w:rsidRDefault="00F71C11" w:rsidP="00501FFD">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Specifying permissible</w:t>
      </w:r>
      <w:r w:rsidR="00060C81" w:rsidRPr="00501FFD">
        <w:rPr>
          <w:rFonts w:ascii="Times New Roman" w:eastAsia="Times New Roman" w:hAnsi="Times New Roman" w:cs="Times New Roman"/>
          <w:lang w:eastAsia="en-AU"/>
        </w:rPr>
        <w:t xml:space="preserve"> indications</w:t>
      </w:r>
      <w:r w:rsidR="001E36A0" w:rsidRPr="00501FFD">
        <w:rPr>
          <w:rFonts w:ascii="Times New Roman" w:eastAsia="Times New Roman" w:hAnsi="Times New Roman" w:cs="Times New Roman"/>
          <w:lang w:eastAsia="en-AU"/>
        </w:rPr>
        <w:t xml:space="preserve"> that are considered to be safe for use in </w:t>
      </w:r>
      <w:r w:rsidR="00060C81" w:rsidRPr="00501FFD">
        <w:rPr>
          <w:rFonts w:ascii="Times New Roman" w:eastAsia="Times New Roman" w:hAnsi="Times New Roman" w:cs="Times New Roman"/>
          <w:lang w:eastAsia="en-AU"/>
        </w:rPr>
        <w:t xml:space="preserve">relation to </w:t>
      </w:r>
      <w:r w:rsidR="001E36A0" w:rsidRPr="00501FFD">
        <w:rPr>
          <w:rFonts w:ascii="Times New Roman" w:eastAsia="Times New Roman" w:hAnsi="Times New Roman" w:cs="Times New Roman"/>
          <w:lang w:eastAsia="en-AU"/>
        </w:rPr>
        <w:t xml:space="preserve">listed medicines, </w:t>
      </w:r>
      <w:r>
        <w:rPr>
          <w:rFonts w:ascii="Times New Roman" w:eastAsia="Times New Roman" w:hAnsi="Times New Roman" w:cs="Times New Roman"/>
          <w:lang w:eastAsia="en-AU"/>
        </w:rPr>
        <w:t xml:space="preserve">together with </w:t>
      </w:r>
      <w:r w:rsidR="001E36A0" w:rsidRPr="00501FFD">
        <w:rPr>
          <w:rFonts w:ascii="Times New Roman" w:eastAsia="Times New Roman" w:hAnsi="Times New Roman" w:cs="Times New Roman"/>
          <w:lang w:eastAsia="en-AU"/>
        </w:rPr>
        <w:t>important requirements relating to</w:t>
      </w:r>
      <w:r w:rsidR="00060C81" w:rsidRPr="00501FFD">
        <w:rPr>
          <w:rFonts w:ascii="Times New Roman" w:eastAsia="Times New Roman" w:hAnsi="Times New Roman" w:cs="Times New Roman"/>
          <w:lang w:eastAsia="en-AU"/>
        </w:rPr>
        <w:t xml:space="preserve"> the use of those indications for</w:t>
      </w:r>
      <w:r w:rsidR="001E36A0" w:rsidRPr="00501FFD">
        <w:rPr>
          <w:rFonts w:ascii="Times New Roman" w:eastAsia="Times New Roman" w:hAnsi="Times New Roman" w:cs="Times New Roman"/>
          <w:lang w:eastAsia="en-AU"/>
        </w:rPr>
        <w:t xml:space="preserve"> such medicines, </w:t>
      </w:r>
      <w:r w:rsidR="000140B5" w:rsidRPr="00501FFD">
        <w:rPr>
          <w:rFonts w:ascii="Times New Roman" w:eastAsia="Times New Roman" w:hAnsi="Times New Roman" w:cs="Times New Roman"/>
          <w:lang w:eastAsia="en-AU"/>
        </w:rPr>
        <w:t xml:space="preserve">will enable </w:t>
      </w:r>
      <w:r w:rsidR="001E36A0" w:rsidRPr="00501FFD">
        <w:rPr>
          <w:rFonts w:ascii="Times New Roman" w:eastAsia="Times New Roman" w:hAnsi="Times New Roman" w:cs="Times New Roman"/>
          <w:lang w:eastAsia="en-AU"/>
        </w:rPr>
        <w:t xml:space="preserve">Australian consumers </w:t>
      </w:r>
      <w:r w:rsidR="000140B5" w:rsidRPr="00501FFD">
        <w:rPr>
          <w:rFonts w:ascii="Times New Roman" w:eastAsia="Times New Roman" w:hAnsi="Times New Roman" w:cs="Times New Roman"/>
          <w:lang w:eastAsia="en-AU"/>
        </w:rPr>
        <w:t>to</w:t>
      </w:r>
      <w:r w:rsidR="001E36A0" w:rsidRPr="00501FFD">
        <w:rPr>
          <w:rFonts w:ascii="Times New Roman" w:eastAsia="Times New Roman" w:hAnsi="Times New Roman" w:cs="Times New Roman"/>
          <w:lang w:eastAsia="en-AU"/>
        </w:rPr>
        <w:t xml:space="preserve"> be better protected</w:t>
      </w:r>
      <w:r w:rsidR="000140B5" w:rsidRPr="00501FFD">
        <w:rPr>
          <w:rFonts w:ascii="Times New Roman" w:eastAsia="Times New Roman" w:hAnsi="Times New Roman" w:cs="Times New Roman"/>
          <w:lang w:eastAsia="en-AU"/>
        </w:rPr>
        <w:t xml:space="preserve"> from the making of inappropriate claims about the benefits of listed medicines</w:t>
      </w:r>
      <w:r w:rsidR="00C72CB7" w:rsidRPr="00501FFD">
        <w:rPr>
          <w:rFonts w:ascii="Times New Roman" w:eastAsia="Times New Roman" w:hAnsi="Times New Roman" w:cs="Times New Roman"/>
          <w:lang w:eastAsia="en-AU"/>
        </w:rPr>
        <w:t xml:space="preserve"> and</w:t>
      </w:r>
      <w:r w:rsidR="00D0355F" w:rsidRPr="00501FFD">
        <w:rPr>
          <w:rFonts w:ascii="Times New Roman" w:eastAsia="Times New Roman" w:hAnsi="Times New Roman" w:cs="Times New Roman"/>
          <w:lang w:eastAsia="en-AU"/>
        </w:rPr>
        <w:t xml:space="preserve"> also</w:t>
      </w:r>
      <w:r w:rsidR="00C72CB7" w:rsidRPr="00501FFD">
        <w:rPr>
          <w:rFonts w:ascii="Times New Roman" w:eastAsia="Times New Roman" w:hAnsi="Times New Roman" w:cs="Times New Roman"/>
          <w:lang w:eastAsia="en-AU"/>
        </w:rPr>
        <w:t xml:space="preserve"> more</w:t>
      </w:r>
      <w:r w:rsidR="001E36A0" w:rsidRPr="00501FFD">
        <w:rPr>
          <w:rFonts w:ascii="Times New Roman" w:eastAsia="Times New Roman" w:hAnsi="Times New Roman" w:cs="Times New Roman"/>
          <w:lang w:eastAsia="en-AU"/>
        </w:rPr>
        <w:t xml:space="preserve"> </w:t>
      </w:r>
      <w:r w:rsidR="000140B5" w:rsidRPr="00501FFD">
        <w:rPr>
          <w:rFonts w:ascii="Times New Roman" w:eastAsia="Times New Roman" w:hAnsi="Times New Roman" w:cs="Times New Roman"/>
          <w:lang w:eastAsia="en-AU"/>
        </w:rPr>
        <w:t>aware of important safety information relating to the use of such products</w:t>
      </w:r>
      <w:r w:rsidR="00C72CB7" w:rsidRPr="00501FFD">
        <w:rPr>
          <w:rFonts w:ascii="Times New Roman" w:eastAsia="Times New Roman" w:hAnsi="Times New Roman" w:cs="Times New Roman"/>
          <w:lang w:eastAsia="en-AU"/>
        </w:rPr>
        <w:t>. Consumers will also be better able to</w:t>
      </w:r>
      <w:r w:rsidR="001E36A0" w:rsidRPr="00501FFD">
        <w:rPr>
          <w:rFonts w:ascii="Times New Roman" w:eastAsia="Times New Roman" w:hAnsi="Times New Roman" w:cs="Times New Roman"/>
          <w:lang w:eastAsia="en-AU"/>
        </w:rPr>
        <w:t xml:space="preserve"> make </w:t>
      </w:r>
      <w:r w:rsidR="000140B5" w:rsidRPr="00501FFD">
        <w:rPr>
          <w:rFonts w:ascii="Times New Roman" w:eastAsia="Times New Roman" w:hAnsi="Times New Roman" w:cs="Times New Roman"/>
          <w:lang w:eastAsia="en-AU"/>
        </w:rPr>
        <w:t xml:space="preserve">more </w:t>
      </w:r>
      <w:r w:rsidR="001E36A0" w:rsidRPr="00501FFD">
        <w:rPr>
          <w:rFonts w:ascii="Times New Roman" w:eastAsia="Times New Roman" w:hAnsi="Times New Roman" w:cs="Times New Roman"/>
          <w:lang w:eastAsia="en-AU"/>
        </w:rPr>
        <w:t>informed decisions about such medicines</w:t>
      </w:r>
      <w:r w:rsidR="00C72CB7" w:rsidRPr="00501FFD">
        <w:rPr>
          <w:rFonts w:ascii="Times New Roman" w:eastAsia="Times New Roman" w:hAnsi="Times New Roman" w:cs="Times New Roman"/>
          <w:lang w:eastAsia="en-AU"/>
        </w:rPr>
        <w:t xml:space="preserve"> as a result of these measures</w:t>
      </w:r>
      <w:r w:rsidR="001E36A0" w:rsidRPr="00501FFD">
        <w:rPr>
          <w:rFonts w:ascii="Times New Roman" w:eastAsia="Times New Roman" w:hAnsi="Times New Roman" w:cs="Times New Roman"/>
          <w:lang w:eastAsia="en-AU"/>
        </w:rPr>
        <w:t>.</w:t>
      </w:r>
    </w:p>
    <w:p w14:paraId="2DE93114" w14:textId="7EB06C6A" w:rsidR="00C72CB7" w:rsidRPr="00501FFD" w:rsidRDefault="00C72CB7" w:rsidP="00501FFD">
      <w:pPr>
        <w:shd w:val="clear" w:color="auto" w:fill="FFFFFF"/>
        <w:spacing w:after="0" w:line="240" w:lineRule="auto"/>
        <w:rPr>
          <w:rFonts w:ascii="Times New Roman" w:eastAsia="Times New Roman" w:hAnsi="Times New Roman" w:cs="Times New Roman"/>
          <w:lang w:eastAsia="en-AU"/>
        </w:rPr>
      </w:pPr>
    </w:p>
    <w:p w14:paraId="53629A4A" w14:textId="31585570" w:rsidR="004A4AF7" w:rsidRPr="00501FFD" w:rsidRDefault="000140B5" w:rsidP="00501FFD">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lastRenderedPageBreak/>
        <w:t>These benefits</w:t>
      </w:r>
      <w:r w:rsidR="001E36A0" w:rsidRPr="00501FFD">
        <w:rPr>
          <w:rFonts w:ascii="Times New Roman" w:eastAsia="Times New Roman" w:hAnsi="Times New Roman" w:cs="Times New Roman"/>
          <w:lang w:eastAsia="en-AU"/>
        </w:rPr>
        <w:t xml:space="preserve"> </w:t>
      </w:r>
      <w:r w:rsidRPr="00501FFD">
        <w:rPr>
          <w:rFonts w:ascii="Times New Roman" w:eastAsia="Times New Roman" w:hAnsi="Times New Roman" w:cs="Times New Roman"/>
          <w:lang w:eastAsia="en-AU"/>
        </w:rPr>
        <w:t>are</w:t>
      </w:r>
      <w:r w:rsidR="001E36A0" w:rsidRPr="00501FFD">
        <w:rPr>
          <w:rFonts w:ascii="Times New Roman" w:eastAsia="Times New Roman" w:hAnsi="Times New Roman" w:cs="Times New Roman"/>
          <w:lang w:eastAsia="en-AU"/>
        </w:rPr>
        <w:t xml:space="preserve"> particularly important </w:t>
      </w:r>
      <w:r w:rsidRPr="00501FFD">
        <w:rPr>
          <w:rFonts w:ascii="Times New Roman" w:eastAsia="Times New Roman" w:hAnsi="Times New Roman" w:cs="Times New Roman"/>
          <w:lang w:eastAsia="en-AU"/>
        </w:rPr>
        <w:t>in relation to</w:t>
      </w:r>
      <w:r w:rsidR="001E36A0" w:rsidRPr="00501FFD">
        <w:rPr>
          <w:rFonts w:ascii="Times New Roman" w:eastAsia="Times New Roman" w:hAnsi="Times New Roman" w:cs="Times New Roman"/>
          <w:lang w:eastAsia="en-AU"/>
        </w:rPr>
        <w:t xml:space="preserve"> listed medicines, as </w:t>
      </w:r>
      <w:r w:rsidRPr="00501FFD">
        <w:rPr>
          <w:rFonts w:ascii="Times New Roman" w:eastAsia="Times New Roman" w:hAnsi="Times New Roman" w:cs="Times New Roman"/>
          <w:lang w:eastAsia="en-AU"/>
        </w:rPr>
        <w:t>these medicines</w:t>
      </w:r>
      <w:r w:rsidR="001E36A0" w:rsidRPr="00501FFD">
        <w:rPr>
          <w:rFonts w:ascii="Times New Roman" w:eastAsia="Times New Roman" w:hAnsi="Times New Roman" w:cs="Times New Roman"/>
          <w:lang w:eastAsia="en-AU"/>
        </w:rPr>
        <w:t xml:space="preserve"> are usually available for self-selection by consumers</w:t>
      </w:r>
      <w:r w:rsidRPr="00501FFD">
        <w:rPr>
          <w:rFonts w:ascii="Times New Roman" w:eastAsia="Times New Roman" w:hAnsi="Times New Roman" w:cs="Times New Roman"/>
          <w:lang w:eastAsia="en-AU"/>
        </w:rPr>
        <w:t>,</w:t>
      </w:r>
      <w:r w:rsidR="001E36A0" w:rsidRPr="00501FFD">
        <w:rPr>
          <w:rFonts w:ascii="Times New Roman" w:eastAsia="Times New Roman" w:hAnsi="Times New Roman" w:cs="Times New Roman"/>
          <w:lang w:eastAsia="en-AU"/>
        </w:rPr>
        <w:t xml:space="preserve"> without a requirement to first obtain </w:t>
      </w:r>
      <w:r w:rsidR="00F71C11">
        <w:rPr>
          <w:rFonts w:ascii="Times New Roman" w:eastAsia="Times New Roman" w:hAnsi="Times New Roman" w:cs="Times New Roman"/>
          <w:lang w:eastAsia="en-AU"/>
        </w:rPr>
        <w:t xml:space="preserve">a prescription, </w:t>
      </w:r>
      <w:r w:rsidR="00DB1CC9">
        <w:rPr>
          <w:rFonts w:ascii="Times New Roman" w:eastAsia="Times New Roman" w:hAnsi="Times New Roman" w:cs="Times New Roman"/>
          <w:lang w:eastAsia="en-AU"/>
        </w:rPr>
        <w:t xml:space="preserve">or </w:t>
      </w:r>
      <w:r w:rsidR="00564B6E">
        <w:rPr>
          <w:rFonts w:ascii="Times New Roman" w:eastAsia="Times New Roman" w:hAnsi="Times New Roman" w:cs="Times New Roman"/>
          <w:lang w:eastAsia="en-AU"/>
        </w:rPr>
        <w:t xml:space="preserve">to seek </w:t>
      </w:r>
      <w:r w:rsidR="00F71C11">
        <w:rPr>
          <w:rFonts w:ascii="Times New Roman" w:eastAsia="Times New Roman" w:hAnsi="Times New Roman" w:cs="Times New Roman"/>
          <w:lang w:eastAsia="en-AU"/>
        </w:rPr>
        <w:t xml:space="preserve">the advice </w:t>
      </w:r>
      <w:r w:rsidR="001E36A0" w:rsidRPr="00501FFD">
        <w:rPr>
          <w:rFonts w:ascii="Times New Roman" w:eastAsia="Times New Roman" w:hAnsi="Times New Roman" w:cs="Times New Roman"/>
          <w:lang w:eastAsia="en-AU"/>
        </w:rPr>
        <w:t xml:space="preserve">of a registered medical </w:t>
      </w:r>
      <w:r w:rsidR="00F71C11">
        <w:rPr>
          <w:rFonts w:ascii="Times New Roman" w:eastAsia="Times New Roman" w:hAnsi="Times New Roman" w:cs="Times New Roman"/>
          <w:lang w:eastAsia="en-AU"/>
        </w:rPr>
        <w:t>practitioner</w:t>
      </w:r>
      <w:r w:rsidR="00DB1CC9">
        <w:rPr>
          <w:rFonts w:ascii="Times New Roman" w:eastAsia="Times New Roman" w:hAnsi="Times New Roman" w:cs="Times New Roman"/>
          <w:lang w:eastAsia="en-AU"/>
        </w:rPr>
        <w:t xml:space="preserve"> or pharmacist</w:t>
      </w:r>
      <w:r w:rsidR="001E36A0" w:rsidRPr="00501FFD">
        <w:rPr>
          <w:rFonts w:ascii="Times New Roman" w:eastAsia="Times New Roman" w:hAnsi="Times New Roman" w:cs="Times New Roman"/>
          <w:lang w:eastAsia="en-AU"/>
        </w:rPr>
        <w:t>.</w:t>
      </w:r>
    </w:p>
    <w:p w14:paraId="08C5E4C0" w14:textId="24D28421" w:rsidR="001E36A0" w:rsidRPr="00501FFD" w:rsidRDefault="001E36A0" w:rsidP="00501FFD">
      <w:pPr>
        <w:shd w:val="clear" w:color="auto" w:fill="FFFFFF"/>
        <w:spacing w:after="0" w:line="240" w:lineRule="auto"/>
        <w:rPr>
          <w:rFonts w:ascii="Times New Roman" w:eastAsia="Times New Roman" w:hAnsi="Times New Roman" w:cs="Times New Roman"/>
          <w:lang w:eastAsia="en-AU"/>
        </w:rPr>
      </w:pPr>
    </w:p>
    <w:p w14:paraId="2AE54164" w14:textId="0C5A71FD" w:rsidR="001E36A0" w:rsidRPr="00501FFD" w:rsidRDefault="001E36A0" w:rsidP="00C07074">
      <w:pPr>
        <w:spacing w:after="0" w:line="240" w:lineRule="auto"/>
        <w:rPr>
          <w:rFonts w:ascii="Times New Roman" w:eastAsia="Times New Roman" w:hAnsi="Times New Roman" w:cs="Times New Roman"/>
          <w:b/>
          <w:lang w:eastAsia="en-AU"/>
        </w:rPr>
      </w:pPr>
      <w:r w:rsidRPr="00501FFD">
        <w:rPr>
          <w:rFonts w:ascii="Times New Roman" w:eastAsia="Times New Roman" w:hAnsi="Times New Roman" w:cs="Times New Roman"/>
          <w:b/>
          <w:lang w:eastAsia="en-AU"/>
        </w:rPr>
        <w:t>Conclusion</w:t>
      </w:r>
    </w:p>
    <w:p w14:paraId="380A502D" w14:textId="77777777" w:rsidR="004A4AF7" w:rsidRPr="00501FFD" w:rsidRDefault="004A4AF7" w:rsidP="00501FFD">
      <w:pPr>
        <w:keepNext/>
        <w:shd w:val="clear" w:color="auto" w:fill="FFFFFF"/>
        <w:spacing w:after="0" w:line="240" w:lineRule="auto"/>
        <w:rPr>
          <w:rFonts w:ascii="Times New Roman" w:eastAsia="Times New Roman" w:hAnsi="Times New Roman" w:cs="Times New Roman"/>
          <w:b/>
          <w:lang w:eastAsia="en-AU"/>
        </w:rPr>
      </w:pPr>
    </w:p>
    <w:p w14:paraId="7EB2A6AF" w14:textId="7369DFF0" w:rsidR="001E36A0" w:rsidRPr="00501FFD" w:rsidRDefault="001E36A0" w:rsidP="00501FFD">
      <w:pPr>
        <w:shd w:val="clear" w:color="auto" w:fill="FFFFFF"/>
        <w:spacing w:after="0" w:line="240" w:lineRule="auto"/>
        <w:rPr>
          <w:rFonts w:ascii="Times New Roman" w:eastAsia="Times New Roman" w:hAnsi="Times New Roman" w:cs="Times New Roman"/>
          <w:lang w:eastAsia="en-AU"/>
        </w:rPr>
      </w:pPr>
      <w:r w:rsidRPr="00501FFD">
        <w:rPr>
          <w:rFonts w:ascii="Times New Roman" w:eastAsia="Times New Roman" w:hAnsi="Times New Roman" w:cs="Times New Roman"/>
          <w:lang w:eastAsia="en-AU"/>
        </w:rPr>
        <w:t xml:space="preserve">The </w:t>
      </w:r>
      <w:r w:rsidR="004A4AF7" w:rsidRPr="00501FFD">
        <w:rPr>
          <w:rFonts w:ascii="Times New Roman" w:eastAsia="Times New Roman" w:hAnsi="Times New Roman" w:cs="Times New Roman"/>
          <w:lang w:eastAsia="en-AU"/>
        </w:rPr>
        <w:t xml:space="preserve">instrument </w:t>
      </w:r>
      <w:r w:rsidRPr="00501FFD">
        <w:rPr>
          <w:rFonts w:ascii="Times New Roman" w:eastAsia="Times New Roman" w:hAnsi="Times New Roman" w:cs="Times New Roman"/>
          <w:lang w:eastAsia="en-AU"/>
        </w:rPr>
        <w:t>is compatible with human rights because it promotes the right to health in article 12 of the ICESCR as outlined above, and otherwise does not raise any human rights issues.</w:t>
      </w:r>
    </w:p>
    <w:p w14:paraId="26B18DB3" w14:textId="77777777" w:rsidR="00856D32" w:rsidRPr="00501FFD" w:rsidRDefault="00856D32" w:rsidP="00501FFD">
      <w:pPr>
        <w:shd w:val="clear" w:color="auto" w:fill="FFFFFF"/>
        <w:spacing w:after="0" w:line="240" w:lineRule="auto"/>
        <w:rPr>
          <w:rFonts w:ascii="Times New Roman" w:eastAsia="Times New Roman" w:hAnsi="Times New Roman" w:cs="Times New Roman"/>
          <w:lang w:eastAsia="en-AU"/>
        </w:rPr>
      </w:pPr>
    </w:p>
    <w:p w14:paraId="67D6EE49" w14:textId="77777777" w:rsidR="00311A17" w:rsidRPr="00501FFD" w:rsidRDefault="00311A17" w:rsidP="007056CD">
      <w:pPr>
        <w:tabs>
          <w:tab w:val="left" w:pos="4395"/>
          <w:tab w:val="left" w:pos="5529"/>
          <w:tab w:val="right" w:pos="8306"/>
        </w:tabs>
        <w:spacing w:after="0" w:line="240" w:lineRule="auto"/>
        <w:ind w:hanging="1797"/>
        <w:rPr>
          <w:rFonts w:ascii="Times New Roman" w:eastAsia="Times New Roman" w:hAnsi="Times New Roman" w:cs="Times New Roman"/>
          <w:i/>
          <w:lang w:eastAsia="en-AU"/>
        </w:rPr>
      </w:pPr>
    </w:p>
    <w:sectPr w:rsidR="00311A17" w:rsidRPr="00501FF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B52D" w14:textId="77777777" w:rsidR="00621FBA" w:rsidRDefault="00621FBA">
      <w:pPr>
        <w:spacing w:after="0" w:line="240" w:lineRule="auto"/>
      </w:pPr>
      <w:r>
        <w:separator/>
      </w:r>
    </w:p>
  </w:endnote>
  <w:endnote w:type="continuationSeparator" w:id="0">
    <w:p w14:paraId="49AC1AE6" w14:textId="77777777" w:rsidR="00621FBA" w:rsidRDefault="0062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92438"/>
      <w:docPartObj>
        <w:docPartGallery w:val="Page Numbers (Bottom of Page)"/>
        <w:docPartUnique/>
      </w:docPartObj>
    </w:sdtPr>
    <w:sdtEndPr>
      <w:rPr>
        <w:noProof/>
      </w:rPr>
    </w:sdtEndPr>
    <w:sdtContent>
      <w:p w14:paraId="4DFB49FF" w14:textId="03695B4D" w:rsidR="00621FBA" w:rsidRDefault="00621FBA">
        <w:pPr>
          <w:pStyle w:val="Footer"/>
          <w:jc w:val="center"/>
        </w:pPr>
        <w:r>
          <w:fldChar w:fldCharType="begin"/>
        </w:r>
        <w:r>
          <w:instrText xml:space="preserve"> PAGE   \* MERGEFORMAT </w:instrText>
        </w:r>
        <w:r>
          <w:fldChar w:fldCharType="separate"/>
        </w:r>
        <w:r w:rsidR="006A0015">
          <w:rPr>
            <w:noProof/>
          </w:rPr>
          <w:t>8</w:t>
        </w:r>
        <w:r>
          <w:rPr>
            <w:noProof/>
          </w:rPr>
          <w:fldChar w:fldCharType="end"/>
        </w:r>
      </w:p>
    </w:sdtContent>
  </w:sdt>
  <w:p w14:paraId="3C5298EC" w14:textId="77777777" w:rsidR="00621FBA" w:rsidRDefault="00621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BB18" w14:textId="77777777" w:rsidR="00621FBA" w:rsidRDefault="00621FBA">
      <w:pPr>
        <w:spacing w:after="0" w:line="240" w:lineRule="auto"/>
      </w:pPr>
      <w:r>
        <w:separator/>
      </w:r>
    </w:p>
  </w:footnote>
  <w:footnote w:type="continuationSeparator" w:id="0">
    <w:p w14:paraId="304309BE" w14:textId="77777777" w:rsidR="00621FBA" w:rsidRDefault="00621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C08C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A00C4"/>
    <w:multiLevelType w:val="hybridMultilevel"/>
    <w:tmpl w:val="2A6486EE"/>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7C36F4E"/>
    <w:multiLevelType w:val="hybridMultilevel"/>
    <w:tmpl w:val="9F4E0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23324A"/>
    <w:multiLevelType w:val="hybridMultilevel"/>
    <w:tmpl w:val="E988C088"/>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9516561"/>
    <w:multiLevelType w:val="hybridMultilevel"/>
    <w:tmpl w:val="0714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0053F"/>
    <w:multiLevelType w:val="hybridMultilevel"/>
    <w:tmpl w:val="769A5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CB091E"/>
    <w:multiLevelType w:val="hybridMultilevel"/>
    <w:tmpl w:val="366C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C5E17"/>
    <w:multiLevelType w:val="hybridMultilevel"/>
    <w:tmpl w:val="E372466E"/>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29C532E0"/>
    <w:multiLevelType w:val="hybridMultilevel"/>
    <w:tmpl w:val="F4307520"/>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2C265C7B"/>
    <w:multiLevelType w:val="hybridMultilevel"/>
    <w:tmpl w:val="24A67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D96762"/>
    <w:multiLevelType w:val="hybridMultilevel"/>
    <w:tmpl w:val="8AB84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E2F5A24"/>
    <w:multiLevelType w:val="hybridMultilevel"/>
    <w:tmpl w:val="B98243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C686B22"/>
    <w:multiLevelType w:val="hybridMultilevel"/>
    <w:tmpl w:val="7C10D644"/>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4D18566A"/>
    <w:multiLevelType w:val="hybridMultilevel"/>
    <w:tmpl w:val="ED14D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C861B5"/>
    <w:multiLevelType w:val="hybridMultilevel"/>
    <w:tmpl w:val="6CF0A00C"/>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524A2923"/>
    <w:multiLevelType w:val="hybridMultilevel"/>
    <w:tmpl w:val="9C528820"/>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56983E2D"/>
    <w:multiLevelType w:val="hybridMultilevel"/>
    <w:tmpl w:val="F352409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71A3913"/>
    <w:multiLevelType w:val="hybridMultilevel"/>
    <w:tmpl w:val="ABD48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6619CE"/>
    <w:multiLevelType w:val="hybridMultilevel"/>
    <w:tmpl w:val="569C2D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D358E8"/>
    <w:multiLevelType w:val="hybridMultilevel"/>
    <w:tmpl w:val="292C012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5E773299"/>
    <w:multiLevelType w:val="hybridMultilevel"/>
    <w:tmpl w:val="AB28C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4B0B15"/>
    <w:multiLevelType w:val="hybridMultilevel"/>
    <w:tmpl w:val="875680FC"/>
    <w:lvl w:ilvl="0" w:tplc="A04AD474">
      <w:start w:val="1"/>
      <w:numFmt w:val="bullet"/>
      <w:lvlText w:val="–"/>
      <w:lvlJc w:val="left"/>
      <w:pPr>
        <w:ind w:left="927" w:hanging="360"/>
      </w:pPr>
      <w:rPr>
        <w:rFonts w:ascii="Arial" w:hAnsi="Arial"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66DB3166"/>
    <w:multiLevelType w:val="hybridMultilevel"/>
    <w:tmpl w:val="82E8730E"/>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671D07D1"/>
    <w:multiLevelType w:val="multilevel"/>
    <w:tmpl w:val="DA360B98"/>
    <w:numStyleLink w:val="ListBullets"/>
  </w:abstractNum>
  <w:abstractNum w:abstractNumId="25" w15:restartNumberingAfterBreak="0">
    <w:nsid w:val="67C25C6C"/>
    <w:multiLevelType w:val="hybridMultilevel"/>
    <w:tmpl w:val="D9123C06"/>
    <w:lvl w:ilvl="0" w:tplc="0C09000F">
      <w:start w:val="1"/>
      <w:numFmt w:val="decimal"/>
      <w:lvlText w:val="%1."/>
      <w:lvlJc w:val="left"/>
      <w:pPr>
        <w:ind w:left="927" w:hanging="360"/>
      </w:pPr>
      <w:rPr>
        <w:rFonts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8F007EC"/>
    <w:multiLevelType w:val="hybridMultilevel"/>
    <w:tmpl w:val="0F824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1136E7"/>
    <w:multiLevelType w:val="hybridMultilevel"/>
    <w:tmpl w:val="0BFAD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30016C"/>
    <w:multiLevelType w:val="hybridMultilevel"/>
    <w:tmpl w:val="6B3A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663F13"/>
    <w:multiLevelType w:val="hybridMultilevel"/>
    <w:tmpl w:val="02E4541A"/>
    <w:lvl w:ilvl="0" w:tplc="A04AD474">
      <w:start w:val="1"/>
      <w:numFmt w:val="bullet"/>
      <w:lvlText w:val="–"/>
      <w:lvlJc w:val="left"/>
      <w:pPr>
        <w:ind w:left="927" w:hanging="360"/>
      </w:pPr>
      <w:rPr>
        <w:rFonts w:ascii="Arial" w:hAnsi="Aria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770E2490"/>
    <w:multiLevelType w:val="hybridMultilevel"/>
    <w:tmpl w:val="C3F0665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FE30E8D"/>
    <w:multiLevelType w:val="hybridMultilevel"/>
    <w:tmpl w:val="C82CEDFA"/>
    <w:lvl w:ilvl="0" w:tplc="0C090003">
      <w:start w:val="1"/>
      <w:numFmt w:val="bullet"/>
      <w:lvlText w:val="o"/>
      <w:lvlJc w:val="left"/>
      <w:pPr>
        <w:ind w:left="927" w:hanging="360"/>
      </w:pPr>
      <w:rPr>
        <w:rFonts w:ascii="Courier New" w:hAnsi="Courier New" w:cs="Courier New" w:hint="default"/>
      </w:rPr>
    </w:lvl>
    <w:lvl w:ilvl="1" w:tplc="A04AD474">
      <w:start w:val="1"/>
      <w:numFmt w:val="bullet"/>
      <w:lvlText w:val="–"/>
      <w:lvlJc w:val="left"/>
      <w:pPr>
        <w:ind w:left="1647" w:hanging="360"/>
      </w:pPr>
      <w:rPr>
        <w:rFonts w:ascii="Arial" w:hAnsi="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9"/>
  </w:num>
  <w:num w:numId="2">
    <w:abstractNumId w:val="20"/>
  </w:num>
  <w:num w:numId="3">
    <w:abstractNumId w:val="21"/>
  </w:num>
  <w:num w:numId="4">
    <w:abstractNumId w:val="30"/>
  </w:num>
  <w:num w:numId="5">
    <w:abstractNumId w:val="30"/>
  </w:num>
  <w:num w:numId="6">
    <w:abstractNumId w:val="6"/>
  </w:num>
  <w:num w:numId="7">
    <w:abstractNumId w:val="27"/>
  </w:num>
  <w:num w:numId="8">
    <w:abstractNumId w:val="2"/>
  </w:num>
  <w:num w:numId="9">
    <w:abstractNumId w:val="26"/>
  </w:num>
  <w:num w:numId="10">
    <w:abstractNumId w:val="11"/>
  </w:num>
  <w:num w:numId="11">
    <w:abstractNumId w:val="4"/>
  </w:num>
  <w:num w:numId="12">
    <w:abstractNumId w:val="7"/>
  </w:num>
  <w:num w:numId="13">
    <w:abstractNumId w:val="17"/>
  </w:num>
  <w:num w:numId="14">
    <w:abstractNumId w:val="10"/>
  </w:num>
  <w:num w:numId="15">
    <w:abstractNumId w:val="5"/>
  </w:num>
  <w:num w:numId="16">
    <w:abstractNumId w:val="17"/>
  </w:num>
  <w:num w:numId="17">
    <w:abstractNumId w:val="30"/>
  </w:num>
  <w:num w:numId="18">
    <w:abstractNumId w:val="31"/>
  </w:num>
  <w:num w:numId="19">
    <w:abstractNumId w:val="8"/>
  </w:num>
  <w:num w:numId="20">
    <w:abstractNumId w:val="29"/>
  </w:num>
  <w:num w:numId="21">
    <w:abstractNumId w:val="9"/>
  </w:num>
  <w:num w:numId="22">
    <w:abstractNumId w:val="22"/>
  </w:num>
  <w:num w:numId="23">
    <w:abstractNumId w:val="1"/>
  </w:num>
  <w:num w:numId="24">
    <w:abstractNumId w:val="25"/>
  </w:num>
  <w:num w:numId="25">
    <w:abstractNumId w:val="15"/>
  </w:num>
  <w:num w:numId="26">
    <w:abstractNumId w:val="23"/>
  </w:num>
  <w:num w:numId="27">
    <w:abstractNumId w:val="13"/>
  </w:num>
  <w:num w:numId="28">
    <w:abstractNumId w:val="3"/>
  </w:num>
  <w:num w:numId="29">
    <w:abstractNumId w:val="16"/>
  </w:num>
  <w:num w:numId="30">
    <w:abstractNumId w:val="18"/>
  </w:num>
  <w:num w:numId="31">
    <w:abstractNumId w:val="24"/>
  </w:num>
  <w:num w:numId="32">
    <w:abstractNumId w:val="12"/>
  </w:num>
  <w:num w:numId="33">
    <w:abstractNumId w:val="28"/>
  </w:num>
  <w:num w:numId="34">
    <w:abstractNumId w:val="14"/>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17"/>
    <w:rsid w:val="00001A52"/>
    <w:rsid w:val="00004031"/>
    <w:rsid w:val="000140B5"/>
    <w:rsid w:val="00033419"/>
    <w:rsid w:val="00033F94"/>
    <w:rsid w:val="000341FE"/>
    <w:rsid w:val="000418C4"/>
    <w:rsid w:val="00046297"/>
    <w:rsid w:val="00060C81"/>
    <w:rsid w:val="00066CE9"/>
    <w:rsid w:val="00083D91"/>
    <w:rsid w:val="000900F0"/>
    <w:rsid w:val="000952E3"/>
    <w:rsid w:val="00096642"/>
    <w:rsid w:val="000A5EBA"/>
    <w:rsid w:val="000A6BF1"/>
    <w:rsid w:val="000D023F"/>
    <w:rsid w:val="000F1BA2"/>
    <w:rsid w:val="001043AB"/>
    <w:rsid w:val="00112384"/>
    <w:rsid w:val="001230D1"/>
    <w:rsid w:val="001330DA"/>
    <w:rsid w:val="00137051"/>
    <w:rsid w:val="00140937"/>
    <w:rsid w:val="00142766"/>
    <w:rsid w:val="001460F8"/>
    <w:rsid w:val="001521D9"/>
    <w:rsid w:val="00152B6F"/>
    <w:rsid w:val="001532ED"/>
    <w:rsid w:val="001535F7"/>
    <w:rsid w:val="001539B7"/>
    <w:rsid w:val="00153F4D"/>
    <w:rsid w:val="00154813"/>
    <w:rsid w:val="00155836"/>
    <w:rsid w:val="00156078"/>
    <w:rsid w:val="00167C7B"/>
    <w:rsid w:val="00174247"/>
    <w:rsid w:val="00181060"/>
    <w:rsid w:val="0019185D"/>
    <w:rsid w:val="001C0E0D"/>
    <w:rsid w:val="001C24E6"/>
    <w:rsid w:val="001C509A"/>
    <w:rsid w:val="001D1863"/>
    <w:rsid w:val="001D508D"/>
    <w:rsid w:val="001E0620"/>
    <w:rsid w:val="001E36A0"/>
    <w:rsid w:val="001E391B"/>
    <w:rsid w:val="0020148B"/>
    <w:rsid w:val="00202C24"/>
    <w:rsid w:val="002318CE"/>
    <w:rsid w:val="0023413A"/>
    <w:rsid w:val="00240B37"/>
    <w:rsid w:val="00243E91"/>
    <w:rsid w:val="002448CB"/>
    <w:rsid w:val="0024696E"/>
    <w:rsid w:val="00246F78"/>
    <w:rsid w:val="00250627"/>
    <w:rsid w:val="00250D67"/>
    <w:rsid w:val="00252A73"/>
    <w:rsid w:val="002531B0"/>
    <w:rsid w:val="002578CC"/>
    <w:rsid w:val="00261C1F"/>
    <w:rsid w:val="00263465"/>
    <w:rsid w:val="00264439"/>
    <w:rsid w:val="002704D5"/>
    <w:rsid w:val="002726C8"/>
    <w:rsid w:val="002846DA"/>
    <w:rsid w:val="0029276A"/>
    <w:rsid w:val="002A1441"/>
    <w:rsid w:val="002A4E00"/>
    <w:rsid w:val="002A5352"/>
    <w:rsid w:val="002C291C"/>
    <w:rsid w:val="002C5684"/>
    <w:rsid w:val="002D6A1A"/>
    <w:rsid w:val="002E6A49"/>
    <w:rsid w:val="002F3A90"/>
    <w:rsid w:val="00311A17"/>
    <w:rsid w:val="003132BE"/>
    <w:rsid w:val="00331F3D"/>
    <w:rsid w:val="00335BC4"/>
    <w:rsid w:val="00337221"/>
    <w:rsid w:val="00344143"/>
    <w:rsid w:val="003505DD"/>
    <w:rsid w:val="00351D4D"/>
    <w:rsid w:val="003573EE"/>
    <w:rsid w:val="00357525"/>
    <w:rsid w:val="00361EA8"/>
    <w:rsid w:val="00366461"/>
    <w:rsid w:val="00376347"/>
    <w:rsid w:val="00383FE9"/>
    <w:rsid w:val="003B0EBD"/>
    <w:rsid w:val="003B4D00"/>
    <w:rsid w:val="003C1857"/>
    <w:rsid w:val="003C514E"/>
    <w:rsid w:val="003D09A5"/>
    <w:rsid w:val="003D7395"/>
    <w:rsid w:val="003F6FF1"/>
    <w:rsid w:val="003F7DE0"/>
    <w:rsid w:val="004016A8"/>
    <w:rsid w:val="00405CEA"/>
    <w:rsid w:val="004362FA"/>
    <w:rsid w:val="00436D8C"/>
    <w:rsid w:val="004414C1"/>
    <w:rsid w:val="00451091"/>
    <w:rsid w:val="004522E3"/>
    <w:rsid w:val="00461BB0"/>
    <w:rsid w:val="00461F8F"/>
    <w:rsid w:val="0047199C"/>
    <w:rsid w:val="00471ED1"/>
    <w:rsid w:val="00472AC9"/>
    <w:rsid w:val="00474DBE"/>
    <w:rsid w:val="00483C0E"/>
    <w:rsid w:val="00484569"/>
    <w:rsid w:val="00486120"/>
    <w:rsid w:val="00491422"/>
    <w:rsid w:val="00491479"/>
    <w:rsid w:val="004932A1"/>
    <w:rsid w:val="004A4AF7"/>
    <w:rsid w:val="004A7E6A"/>
    <w:rsid w:val="004B0559"/>
    <w:rsid w:val="004B328B"/>
    <w:rsid w:val="004B4DB7"/>
    <w:rsid w:val="004C13FC"/>
    <w:rsid w:val="004D2DCD"/>
    <w:rsid w:val="004D3784"/>
    <w:rsid w:val="004D5304"/>
    <w:rsid w:val="004E1235"/>
    <w:rsid w:val="004F37E6"/>
    <w:rsid w:val="004F6310"/>
    <w:rsid w:val="00501FFD"/>
    <w:rsid w:val="00507884"/>
    <w:rsid w:val="00510C11"/>
    <w:rsid w:val="005136AE"/>
    <w:rsid w:val="0053357F"/>
    <w:rsid w:val="00543A71"/>
    <w:rsid w:val="0054409A"/>
    <w:rsid w:val="0054417F"/>
    <w:rsid w:val="0055075D"/>
    <w:rsid w:val="005561D8"/>
    <w:rsid w:val="005570EE"/>
    <w:rsid w:val="00562442"/>
    <w:rsid w:val="00564B6E"/>
    <w:rsid w:val="00566D33"/>
    <w:rsid w:val="005905BF"/>
    <w:rsid w:val="005A66D1"/>
    <w:rsid w:val="005A6CD1"/>
    <w:rsid w:val="005C6C4F"/>
    <w:rsid w:val="005D23EE"/>
    <w:rsid w:val="005D31F9"/>
    <w:rsid w:val="005E1E72"/>
    <w:rsid w:val="005E2AE4"/>
    <w:rsid w:val="005E3ACE"/>
    <w:rsid w:val="005F5BBA"/>
    <w:rsid w:val="005F6F21"/>
    <w:rsid w:val="00605C84"/>
    <w:rsid w:val="00621FBA"/>
    <w:rsid w:val="00625AAC"/>
    <w:rsid w:val="00641B75"/>
    <w:rsid w:val="00643F34"/>
    <w:rsid w:val="00651356"/>
    <w:rsid w:val="006564D8"/>
    <w:rsid w:val="00660ECA"/>
    <w:rsid w:val="006707CC"/>
    <w:rsid w:val="00675380"/>
    <w:rsid w:val="00682238"/>
    <w:rsid w:val="00686D8A"/>
    <w:rsid w:val="00691190"/>
    <w:rsid w:val="00692737"/>
    <w:rsid w:val="00693C36"/>
    <w:rsid w:val="006A0015"/>
    <w:rsid w:val="006A04F4"/>
    <w:rsid w:val="006A49CC"/>
    <w:rsid w:val="006B2521"/>
    <w:rsid w:val="006B5059"/>
    <w:rsid w:val="006B71A3"/>
    <w:rsid w:val="006C2D1C"/>
    <w:rsid w:val="006C794F"/>
    <w:rsid w:val="006D0A90"/>
    <w:rsid w:val="006D0D57"/>
    <w:rsid w:val="006D0DA2"/>
    <w:rsid w:val="006D3395"/>
    <w:rsid w:val="006D4EAC"/>
    <w:rsid w:val="006D798B"/>
    <w:rsid w:val="006E1EC4"/>
    <w:rsid w:val="006E3330"/>
    <w:rsid w:val="006E4395"/>
    <w:rsid w:val="006F041A"/>
    <w:rsid w:val="006F4AAF"/>
    <w:rsid w:val="007056CD"/>
    <w:rsid w:val="00715928"/>
    <w:rsid w:val="00724A25"/>
    <w:rsid w:val="00727886"/>
    <w:rsid w:val="00737EF5"/>
    <w:rsid w:val="00751BE2"/>
    <w:rsid w:val="007521C5"/>
    <w:rsid w:val="00761B86"/>
    <w:rsid w:val="00762209"/>
    <w:rsid w:val="00764CB0"/>
    <w:rsid w:val="00780293"/>
    <w:rsid w:val="00781E9A"/>
    <w:rsid w:val="00787B53"/>
    <w:rsid w:val="00790C85"/>
    <w:rsid w:val="007B327F"/>
    <w:rsid w:val="007B43F0"/>
    <w:rsid w:val="007C104C"/>
    <w:rsid w:val="007D48D7"/>
    <w:rsid w:val="007D6739"/>
    <w:rsid w:val="007D78B3"/>
    <w:rsid w:val="007E31C2"/>
    <w:rsid w:val="007F0720"/>
    <w:rsid w:val="007F21CA"/>
    <w:rsid w:val="007F3472"/>
    <w:rsid w:val="00820830"/>
    <w:rsid w:val="00822AC9"/>
    <w:rsid w:val="008276E0"/>
    <w:rsid w:val="00834C6A"/>
    <w:rsid w:val="00834DEA"/>
    <w:rsid w:val="0083535D"/>
    <w:rsid w:val="00841797"/>
    <w:rsid w:val="0084482E"/>
    <w:rsid w:val="00847023"/>
    <w:rsid w:val="00856D32"/>
    <w:rsid w:val="00861CD7"/>
    <w:rsid w:val="00864440"/>
    <w:rsid w:val="00867918"/>
    <w:rsid w:val="0088096F"/>
    <w:rsid w:val="00881749"/>
    <w:rsid w:val="00882144"/>
    <w:rsid w:val="00883CF1"/>
    <w:rsid w:val="0089592F"/>
    <w:rsid w:val="00897760"/>
    <w:rsid w:val="008A1FDC"/>
    <w:rsid w:val="008A5B17"/>
    <w:rsid w:val="008B046B"/>
    <w:rsid w:val="008B4794"/>
    <w:rsid w:val="008B7A74"/>
    <w:rsid w:val="008C50E4"/>
    <w:rsid w:val="008C6E0F"/>
    <w:rsid w:val="008C70EA"/>
    <w:rsid w:val="008C7BD9"/>
    <w:rsid w:val="008D1A4B"/>
    <w:rsid w:val="008D2C53"/>
    <w:rsid w:val="00906538"/>
    <w:rsid w:val="00916034"/>
    <w:rsid w:val="009333D9"/>
    <w:rsid w:val="009365E5"/>
    <w:rsid w:val="00941852"/>
    <w:rsid w:val="009507FD"/>
    <w:rsid w:val="009514E4"/>
    <w:rsid w:val="00953E3D"/>
    <w:rsid w:val="009543D5"/>
    <w:rsid w:val="0096182E"/>
    <w:rsid w:val="00972390"/>
    <w:rsid w:val="0097248D"/>
    <w:rsid w:val="009726B6"/>
    <w:rsid w:val="009769D5"/>
    <w:rsid w:val="009826D1"/>
    <w:rsid w:val="00985D5D"/>
    <w:rsid w:val="00987DA4"/>
    <w:rsid w:val="009904F7"/>
    <w:rsid w:val="00990B1F"/>
    <w:rsid w:val="009A4002"/>
    <w:rsid w:val="009A605F"/>
    <w:rsid w:val="009B2821"/>
    <w:rsid w:val="009B3DBD"/>
    <w:rsid w:val="009C6B20"/>
    <w:rsid w:val="009D0C7A"/>
    <w:rsid w:val="009D2862"/>
    <w:rsid w:val="009D2C23"/>
    <w:rsid w:val="009D7B95"/>
    <w:rsid w:val="009E1C18"/>
    <w:rsid w:val="009E39E7"/>
    <w:rsid w:val="009F3849"/>
    <w:rsid w:val="00A0304B"/>
    <w:rsid w:val="00A121F0"/>
    <w:rsid w:val="00A13A9A"/>
    <w:rsid w:val="00A43AEE"/>
    <w:rsid w:val="00A50E48"/>
    <w:rsid w:val="00A532E9"/>
    <w:rsid w:val="00A62871"/>
    <w:rsid w:val="00A6536A"/>
    <w:rsid w:val="00A74E07"/>
    <w:rsid w:val="00A75231"/>
    <w:rsid w:val="00A83FA7"/>
    <w:rsid w:val="00AB539C"/>
    <w:rsid w:val="00AD4290"/>
    <w:rsid w:val="00AD5965"/>
    <w:rsid w:val="00AD7D5B"/>
    <w:rsid w:val="00AE4289"/>
    <w:rsid w:val="00AF1910"/>
    <w:rsid w:val="00AF37EA"/>
    <w:rsid w:val="00B07ED2"/>
    <w:rsid w:val="00B15B18"/>
    <w:rsid w:val="00B16D6E"/>
    <w:rsid w:val="00B27CB9"/>
    <w:rsid w:val="00B346E0"/>
    <w:rsid w:val="00B47AA6"/>
    <w:rsid w:val="00B51118"/>
    <w:rsid w:val="00B55545"/>
    <w:rsid w:val="00B63D86"/>
    <w:rsid w:val="00B66282"/>
    <w:rsid w:val="00B66FF4"/>
    <w:rsid w:val="00B76AA8"/>
    <w:rsid w:val="00BA1131"/>
    <w:rsid w:val="00BA6A6D"/>
    <w:rsid w:val="00BB37FB"/>
    <w:rsid w:val="00BC3DD7"/>
    <w:rsid w:val="00BC5FC6"/>
    <w:rsid w:val="00BD4E13"/>
    <w:rsid w:val="00BE63ED"/>
    <w:rsid w:val="00BF1BF8"/>
    <w:rsid w:val="00C04B08"/>
    <w:rsid w:val="00C0503F"/>
    <w:rsid w:val="00C07074"/>
    <w:rsid w:val="00C15EB0"/>
    <w:rsid w:val="00C1618E"/>
    <w:rsid w:val="00C22780"/>
    <w:rsid w:val="00C2299D"/>
    <w:rsid w:val="00C3186B"/>
    <w:rsid w:val="00C31B7D"/>
    <w:rsid w:val="00C32385"/>
    <w:rsid w:val="00C36D48"/>
    <w:rsid w:val="00C509B7"/>
    <w:rsid w:val="00C534E8"/>
    <w:rsid w:val="00C6442E"/>
    <w:rsid w:val="00C72CB7"/>
    <w:rsid w:val="00C82312"/>
    <w:rsid w:val="00C84095"/>
    <w:rsid w:val="00C90D6B"/>
    <w:rsid w:val="00C9764D"/>
    <w:rsid w:val="00CB3113"/>
    <w:rsid w:val="00CB52D8"/>
    <w:rsid w:val="00CC1C58"/>
    <w:rsid w:val="00CC4118"/>
    <w:rsid w:val="00CD1AD1"/>
    <w:rsid w:val="00CE14D2"/>
    <w:rsid w:val="00CE46E6"/>
    <w:rsid w:val="00CF1152"/>
    <w:rsid w:val="00D00FF1"/>
    <w:rsid w:val="00D0355F"/>
    <w:rsid w:val="00D11D7F"/>
    <w:rsid w:val="00D35202"/>
    <w:rsid w:val="00D52C7F"/>
    <w:rsid w:val="00D53146"/>
    <w:rsid w:val="00D7321C"/>
    <w:rsid w:val="00D76AD7"/>
    <w:rsid w:val="00D77DEF"/>
    <w:rsid w:val="00D86267"/>
    <w:rsid w:val="00D90D63"/>
    <w:rsid w:val="00D95D02"/>
    <w:rsid w:val="00DA1EE5"/>
    <w:rsid w:val="00DA559C"/>
    <w:rsid w:val="00DA775C"/>
    <w:rsid w:val="00DB0640"/>
    <w:rsid w:val="00DB1CC9"/>
    <w:rsid w:val="00DB6DE0"/>
    <w:rsid w:val="00DC36BB"/>
    <w:rsid w:val="00DC3968"/>
    <w:rsid w:val="00DC7343"/>
    <w:rsid w:val="00DE0B44"/>
    <w:rsid w:val="00DF3320"/>
    <w:rsid w:val="00DF55D4"/>
    <w:rsid w:val="00E044F8"/>
    <w:rsid w:val="00E06B49"/>
    <w:rsid w:val="00E12B8A"/>
    <w:rsid w:val="00E1477C"/>
    <w:rsid w:val="00E17612"/>
    <w:rsid w:val="00E17C2C"/>
    <w:rsid w:val="00E23FBE"/>
    <w:rsid w:val="00E27146"/>
    <w:rsid w:val="00E27707"/>
    <w:rsid w:val="00E5107E"/>
    <w:rsid w:val="00E52C4C"/>
    <w:rsid w:val="00E547B6"/>
    <w:rsid w:val="00E638AD"/>
    <w:rsid w:val="00E76E5A"/>
    <w:rsid w:val="00E81B43"/>
    <w:rsid w:val="00E9325B"/>
    <w:rsid w:val="00EC09E8"/>
    <w:rsid w:val="00EC0AD7"/>
    <w:rsid w:val="00EC7EC5"/>
    <w:rsid w:val="00ED09D3"/>
    <w:rsid w:val="00ED2405"/>
    <w:rsid w:val="00EE39DE"/>
    <w:rsid w:val="00EE581B"/>
    <w:rsid w:val="00EE5C62"/>
    <w:rsid w:val="00EF1127"/>
    <w:rsid w:val="00EF3ECB"/>
    <w:rsid w:val="00EF6A31"/>
    <w:rsid w:val="00F00326"/>
    <w:rsid w:val="00F11540"/>
    <w:rsid w:val="00F12459"/>
    <w:rsid w:val="00F2706A"/>
    <w:rsid w:val="00F27185"/>
    <w:rsid w:val="00F30069"/>
    <w:rsid w:val="00F413AA"/>
    <w:rsid w:val="00F47C8C"/>
    <w:rsid w:val="00F505C3"/>
    <w:rsid w:val="00F5064A"/>
    <w:rsid w:val="00F6123D"/>
    <w:rsid w:val="00F67321"/>
    <w:rsid w:val="00F71C11"/>
    <w:rsid w:val="00F74AE8"/>
    <w:rsid w:val="00F74FB1"/>
    <w:rsid w:val="00F96C07"/>
    <w:rsid w:val="00FA3078"/>
    <w:rsid w:val="00FB4286"/>
    <w:rsid w:val="00FB7FB5"/>
    <w:rsid w:val="00FC4A0C"/>
    <w:rsid w:val="00FC4EC1"/>
    <w:rsid w:val="00FE199F"/>
    <w:rsid w:val="00FE6426"/>
    <w:rsid w:val="00FF7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28F4"/>
  <w15:docId w15:val="{D6905D05-7F0D-4326-A3D2-7AB1BEF8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F8"/>
  </w:style>
  <w:style w:type="paragraph" w:styleId="Heading5">
    <w:name w:val="heading 5"/>
    <w:basedOn w:val="Normal"/>
    <w:next w:val="Normal"/>
    <w:link w:val="Heading5Char"/>
    <w:uiPriority w:val="9"/>
    <w:rsid w:val="00D11D7F"/>
    <w:pPr>
      <w:keepNext/>
      <w:keepLines/>
      <w:spacing w:before="240" w:after="120" w:line="240" w:lineRule="atLeast"/>
      <w:outlineLvl w:val="4"/>
    </w:pPr>
    <w:rPr>
      <w:rFonts w:ascii="Cambria" w:eastAsia="Times New Roman" w:hAnsi="Cambria"/>
      <w:b/>
      <w:bCs/>
      <w:color w:val="00152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A17"/>
    <w:rPr>
      <w:sz w:val="16"/>
      <w:szCs w:val="16"/>
    </w:rPr>
  </w:style>
  <w:style w:type="paragraph" w:styleId="CommentText">
    <w:name w:val="annotation text"/>
    <w:basedOn w:val="Normal"/>
    <w:link w:val="CommentTextChar"/>
    <w:uiPriority w:val="99"/>
    <w:unhideWhenUsed/>
    <w:rsid w:val="00311A17"/>
    <w:pPr>
      <w:spacing w:after="0" w:line="240" w:lineRule="auto"/>
    </w:pPr>
    <w:rPr>
      <w:rFonts w:ascii="Tms Rmn" w:eastAsia="Times New Roman" w:hAnsi="Tms Rmn" w:cs="Times New Roman"/>
      <w:sz w:val="20"/>
      <w:szCs w:val="20"/>
      <w:lang w:eastAsia="en-AU"/>
    </w:rPr>
  </w:style>
  <w:style w:type="character" w:customStyle="1" w:styleId="CommentTextChar">
    <w:name w:val="Comment Text Char"/>
    <w:basedOn w:val="DefaultParagraphFont"/>
    <w:link w:val="CommentText"/>
    <w:uiPriority w:val="99"/>
    <w:rsid w:val="00311A17"/>
    <w:rPr>
      <w:rFonts w:ascii="Tms Rmn" w:eastAsia="Times New Roman" w:hAnsi="Tms Rmn" w:cs="Times New Roman"/>
      <w:sz w:val="20"/>
      <w:szCs w:val="20"/>
      <w:lang w:eastAsia="en-AU"/>
    </w:rPr>
  </w:style>
  <w:style w:type="paragraph" w:styleId="Footer">
    <w:name w:val="footer"/>
    <w:basedOn w:val="Normal"/>
    <w:link w:val="FooterChar"/>
    <w:uiPriority w:val="99"/>
    <w:unhideWhenUsed/>
    <w:rsid w:val="00311A17"/>
    <w:pPr>
      <w:tabs>
        <w:tab w:val="center" w:pos="4513"/>
        <w:tab w:val="right" w:pos="9026"/>
      </w:tabs>
      <w:spacing w:after="0" w:line="240" w:lineRule="auto"/>
    </w:pPr>
    <w:rPr>
      <w:rFonts w:ascii="Tms Rmn" w:eastAsia="Times New Roman" w:hAnsi="Tms Rmn" w:cs="Times New Roman"/>
      <w:sz w:val="24"/>
      <w:szCs w:val="20"/>
      <w:lang w:eastAsia="en-AU"/>
    </w:rPr>
  </w:style>
  <w:style w:type="character" w:customStyle="1" w:styleId="FooterChar">
    <w:name w:val="Footer Char"/>
    <w:basedOn w:val="DefaultParagraphFont"/>
    <w:link w:val="Footer"/>
    <w:uiPriority w:val="99"/>
    <w:rsid w:val="00311A17"/>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31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A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48D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48D7"/>
    <w:rPr>
      <w:rFonts w:ascii="Tms Rmn" w:eastAsia="Times New Roman" w:hAnsi="Tms Rmn" w:cs="Times New Roman"/>
      <w:b/>
      <w:bCs/>
      <w:sz w:val="20"/>
      <w:szCs w:val="20"/>
      <w:lang w:eastAsia="en-AU"/>
    </w:rPr>
  </w:style>
  <w:style w:type="paragraph" w:styleId="ListParagraph">
    <w:name w:val="List Paragraph"/>
    <w:basedOn w:val="Normal"/>
    <w:uiPriority w:val="34"/>
    <w:qFormat/>
    <w:rsid w:val="00BC3DD7"/>
    <w:pPr>
      <w:ind w:left="720"/>
      <w:contextualSpacing/>
    </w:pPr>
  </w:style>
  <w:style w:type="paragraph" w:styleId="Revision">
    <w:name w:val="Revision"/>
    <w:hidden/>
    <w:uiPriority w:val="99"/>
    <w:semiHidden/>
    <w:rsid w:val="0023413A"/>
    <w:pPr>
      <w:spacing w:after="0" w:line="240" w:lineRule="auto"/>
    </w:pPr>
  </w:style>
  <w:style w:type="paragraph" w:customStyle="1" w:styleId="smallpara">
    <w:name w:val="smallpara"/>
    <w:basedOn w:val="Normal"/>
    <w:rsid w:val="002726C8"/>
    <w:pPr>
      <w:spacing w:before="100" w:beforeAutospacing="1" w:after="100" w:afterAutospacing="1" w:line="240" w:lineRule="auto"/>
    </w:pPr>
    <w:rPr>
      <w:rFonts w:ascii="Arial" w:eastAsia="Times New Roman" w:hAnsi="Arial" w:cs="Arial"/>
      <w:sz w:val="17"/>
      <w:szCs w:val="17"/>
      <w:lang w:eastAsia="en-AU"/>
    </w:rPr>
  </w:style>
  <w:style w:type="paragraph" w:styleId="NoSpacing">
    <w:name w:val="No Spacing"/>
    <w:uiPriority w:val="1"/>
    <w:qFormat/>
    <w:rsid w:val="00D35202"/>
    <w:pPr>
      <w:spacing w:after="0" w:line="240" w:lineRule="auto"/>
    </w:pPr>
  </w:style>
  <w:style w:type="paragraph" w:styleId="ListBullet">
    <w:name w:val="List Bullet"/>
    <w:basedOn w:val="Normal"/>
    <w:uiPriority w:val="2"/>
    <w:qFormat/>
    <w:rsid w:val="00A83FA7"/>
    <w:pPr>
      <w:numPr>
        <w:numId w:val="31"/>
      </w:numPr>
      <w:spacing w:before="180" w:after="180" w:line="240" w:lineRule="atLeast"/>
    </w:pPr>
    <w:rPr>
      <w:rFonts w:ascii="Cambria" w:eastAsia="Cambria" w:hAnsi="Cambria"/>
    </w:rPr>
  </w:style>
  <w:style w:type="paragraph" w:styleId="ListBullet2">
    <w:name w:val="List Bullet 2"/>
    <w:basedOn w:val="Normal"/>
    <w:uiPriority w:val="2"/>
    <w:qFormat/>
    <w:rsid w:val="00A83FA7"/>
    <w:pPr>
      <w:numPr>
        <w:ilvl w:val="1"/>
        <w:numId w:val="31"/>
      </w:numPr>
      <w:spacing w:before="180" w:after="180" w:line="240" w:lineRule="atLeast"/>
    </w:pPr>
    <w:rPr>
      <w:rFonts w:ascii="Cambria" w:eastAsia="Cambria" w:hAnsi="Cambria"/>
    </w:rPr>
  </w:style>
  <w:style w:type="paragraph" w:styleId="ListBullet3">
    <w:name w:val="List Bullet 3"/>
    <w:basedOn w:val="Normal"/>
    <w:uiPriority w:val="2"/>
    <w:qFormat/>
    <w:rsid w:val="00A83FA7"/>
    <w:pPr>
      <w:numPr>
        <w:ilvl w:val="2"/>
        <w:numId w:val="31"/>
      </w:numPr>
      <w:spacing w:before="180" w:after="180" w:line="240" w:lineRule="atLeast"/>
    </w:pPr>
    <w:rPr>
      <w:rFonts w:ascii="Cambria" w:eastAsia="Cambria" w:hAnsi="Cambria"/>
    </w:rPr>
  </w:style>
  <w:style w:type="numbering" w:customStyle="1" w:styleId="ListBullets">
    <w:name w:val="ListBullets"/>
    <w:uiPriority w:val="99"/>
    <w:locked/>
    <w:rsid w:val="00A83FA7"/>
    <w:pPr>
      <w:numPr>
        <w:numId w:val="11"/>
      </w:numPr>
    </w:pPr>
  </w:style>
  <w:style w:type="character" w:styleId="Hyperlink">
    <w:name w:val="Hyperlink"/>
    <w:uiPriority w:val="99"/>
    <w:rsid w:val="00033F94"/>
    <w:rPr>
      <w:color w:val="0D6F8B"/>
      <w:u w:val="single"/>
    </w:rPr>
  </w:style>
  <w:style w:type="character" w:customStyle="1" w:styleId="Heading5Char">
    <w:name w:val="Heading 5 Char"/>
    <w:basedOn w:val="DefaultParagraphFont"/>
    <w:link w:val="Heading5"/>
    <w:uiPriority w:val="9"/>
    <w:rsid w:val="00D11D7F"/>
    <w:rPr>
      <w:rFonts w:ascii="Cambria" w:eastAsia="Times New Roman" w:hAnsi="Cambria"/>
      <w:b/>
      <w:bCs/>
      <w:color w:val="001523"/>
      <w:sz w:val="26"/>
      <w:szCs w:val="26"/>
    </w:rPr>
  </w:style>
  <w:style w:type="character" w:customStyle="1" w:styleId="ms-rtethemeforecolor-2-0">
    <w:name w:val="ms-rtethemeforecolor-2-0"/>
    <w:basedOn w:val="DefaultParagraphFont"/>
    <w:rsid w:val="00CC1C58"/>
  </w:style>
  <w:style w:type="character" w:styleId="Emphasis">
    <w:name w:val="Emphasis"/>
    <w:basedOn w:val="DefaultParagraphFont"/>
    <w:uiPriority w:val="20"/>
    <w:qFormat/>
    <w:rsid w:val="00CC1C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984">
      <w:bodyDiv w:val="1"/>
      <w:marLeft w:val="0"/>
      <w:marRight w:val="0"/>
      <w:marTop w:val="0"/>
      <w:marBottom w:val="0"/>
      <w:divBdr>
        <w:top w:val="none" w:sz="0" w:space="0" w:color="auto"/>
        <w:left w:val="none" w:sz="0" w:space="0" w:color="auto"/>
        <w:bottom w:val="none" w:sz="0" w:space="0" w:color="auto"/>
        <w:right w:val="none" w:sz="0" w:space="0" w:color="auto"/>
      </w:divBdr>
    </w:div>
    <w:div w:id="1064449680">
      <w:bodyDiv w:val="1"/>
      <w:marLeft w:val="0"/>
      <w:marRight w:val="0"/>
      <w:marTop w:val="0"/>
      <w:marBottom w:val="0"/>
      <w:divBdr>
        <w:top w:val="none" w:sz="0" w:space="0" w:color="auto"/>
        <w:left w:val="none" w:sz="0" w:space="0" w:color="auto"/>
        <w:bottom w:val="none" w:sz="0" w:space="0" w:color="auto"/>
        <w:right w:val="none" w:sz="0" w:space="0" w:color="auto"/>
      </w:divBdr>
    </w:div>
    <w:div w:id="1359116191">
      <w:bodyDiv w:val="1"/>
      <w:marLeft w:val="0"/>
      <w:marRight w:val="0"/>
      <w:marTop w:val="0"/>
      <w:marBottom w:val="0"/>
      <w:divBdr>
        <w:top w:val="none" w:sz="0" w:space="0" w:color="auto"/>
        <w:left w:val="none" w:sz="0" w:space="0" w:color="auto"/>
        <w:bottom w:val="none" w:sz="0" w:space="0" w:color="auto"/>
        <w:right w:val="none" w:sz="0" w:space="0" w:color="auto"/>
      </w:divBdr>
    </w:div>
    <w:div w:id="1548757119">
      <w:bodyDiv w:val="1"/>
      <w:marLeft w:val="0"/>
      <w:marRight w:val="0"/>
      <w:marTop w:val="0"/>
      <w:marBottom w:val="0"/>
      <w:divBdr>
        <w:top w:val="none" w:sz="0" w:space="0" w:color="auto"/>
        <w:left w:val="none" w:sz="0" w:space="0" w:color="auto"/>
        <w:bottom w:val="none" w:sz="0" w:space="0" w:color="auto"/>
        <w:right w:val="none" w:sz="0" w:space="0" w:color="auto"/>
      </w:divBdr>
    </w:div>
    <w:div w:id="1789742268">
      <w:bodyDiv w:val="1"/>
      <w:marLeft w:val="0"/>
      <w:marRight w:val="0"/>
      <w:marTop w:val="0"/>
      <w:marBottom w:val="0"/>
      <w:divBdr>
        <w:top w:val="none" w:sz="0" w:space="0" w:color="auto"/>
        <w:left w:val="none" w:sz="0" w:space="0" w:color="auto"/>
        <w:bottom w:val="none" w:sz="0" w:space="0" w:color="auto"/>
        <w:right w:val="none" w:sz="0" w:space="0" w:color="auto"/>
      </w:divBdr>
    </w:div>
    <w:div w:id="18966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evidence-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bs.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4A55-7FE2-461D-BB6A-C7E088AB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Diane</dc:creator>
  <cp:lastModifiedBy>CARTER, Bless</cp:lastModifiedBy>
  <cp:revision>3</cp:revision>
  <cp:lastPrinted>2019-11-04T02:54:00Z</cp:lastPrinted>
  <dcterms:created xsi:type="dcterms:W3CDTF">2021-01-19T04:11:00Z</dcterms:created>
  <dcterms:modified xsi:type="dcterms:W3CDTF">2021-01-19T23:19:00Z</dcterms:modified>
</cp:coreProperties>
</file>