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F203" w14:textId="77777777" w:rsidR="00BC6AC3" w:rsidRPr="00601B0E" w:rsidRDefault="00BC6AC3" w:rsidP="00BA4CCD">
      <w:pPr>
        <w:jc w:val="center"/>
        <w:rPr>
          <w:b/>
          <w:sz w:val="40"/>
          <w:szCs w:val="40"/>
        </w:rPr>
      </w:pPr>
    </w:p>
    <w:p w14:paraId="6C5417FB" w14:textId="199E6EA7" w:rsidR="00BA4F48" w:rsidRPr="00601B0E" w:rsidRDefault="00BA4F48" w:rsidP="003A3E29">
      <w:pPr>
        <w:jc w:val="center"/>
        <w:rPr>
          <w:b/>
          <w:sz w:val="40"/>
          <w:szCs w:val="40"/>
        </w:rPr>
      </w:pPr>
      <w:r w:rsidRPr="00601B0E">
        <w:rPr>
          <w:b/>
          <w:sz w:val="40"/>
          <w:szCs w:val="40"/>
        </w:rPr>
        <w:t>Vehicle Standard (</w:t>
      </w:r>
      <w:r w:rsidR="00E87372" w:rsidRPr="00E87372">
        <w:rPr>
          <w:b/>
          <w:sz w:val="40"/>
          <w:szCs w:val="40"/>
        </w:rPr>
        <w:t xml:space="preserve">Definitions </w:t>
      </w:r>
      <w:r w:rsidR="00E87372">
        <w:rPr>
          <w:b/>
          <w:sz w:val="40"/>
          <w:szCs w:val="40"/>
        </w:rPr>
        <w:t>and</w:t>
      </w:r>
      <w:r w:rsidR="00E87372" w:rsidRPr="00E87372">
        <w:rPr>
          <w:b/>
          <w:sz w:val="40"/>
          <w:szCs w:val="40"/>
        </w:rPr>
        <w:t xml:space="preserve"> Vehicle Categories</w:t>
      </w:r>
      <w:r w:rsidR="0035138A" w:rsidRPr="00601B0E">
        <w:rPr>
          <w:b/>
          <w:sz w:val="40"/>
          <w:szCs w:val="40"/>
        </w:rPr>
        <w:t>) 20</w:t>
      </w:r>
      <w:r w:rsidR="00996E4F">
        <w:rPr>
          <w:b/>
          <w:sz w:val="40"/>
          <w:szCs w:val="40"/>
        </w:rPr>
        <w:t>05</w:t>
      </w:r>
      <w:r w:rsidR="00927FA7">
        <w:rPr>
          <w:b/>
          <w:sz w:val="40"/>
          <w:szCs w:val="40"/>
        </w:rPr>
        <w:t xml:space="preserve"> </w:t>
      </w:r>
      <w:r w:rsidR="00E87372" w:rsidRPr="00E87372">
        <w:rPr>
          <w:b/>
          <w:sz w:val="40"/>
          <w:szCs w:val="40"/>
        </w:rPr>
        <w:t>Amendment 1</w:t>
      </w:r>
      <w:r w:rsidR="00252961">
        <w:rPr>
          <w:b/>
          <w:sz w:val="40"/>
          <w:szCs w:val="40"/>
        </w:rPr>
        <w:t>1</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2D1C3BA0" w:rsidR="00BA4F48" w:rsidRPr="00601B0E" w:rsidRDefault="00BA4F48" w:rsidP="00D82CC0">
      <w:pPr>
        <w:jc w:val="center"/>
      </w:pPr>
      <w:r w:rsidRPr="00601B0E">
        <w:t xml:space="preserve">Made under section </w:t>
      </w:r>
      <w:r w:rsidR="00996E4F">
        <w:t>7</w:t>
      </w:r>
      <w:r w:rsidRPr="00601B0E">
        <w:t xml:space="preserve"> of the </w:t>
      </w:r>
      <w:r w:rsidR="00996E4F">
        <w:rPr>
          <w:i/>
        </w:rPr>
        <w:t>Motor</w:t>
      </w:r>
      <w:r w:rsidRPr="00601B0E">
        <w:rPr>
          <w:i/>
        </w:rPr>
        <w:t xml:space="preserve"> Vehicle Standards Act </w:t>
      </w:r>
      <w:r w:rsidR="00996E4F">
        <w:rPr>
          <w:i/>
        </w:rPr>
        <w:t>1989</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77777777" w:rsidR="00BA4F48" w:rsidRPr="00601B0E" w:rsidRDefault="00BA4F48" w:rsidP="00BA4CCD">
      <w:pPr>
        <w:jc w:val="center"/>
        <w:rPr>
          <w:b/>
          <w:bCs/>
          <w:sz w:val="40"/>
        </w:rPr>
      </w:pPr>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448C89" w14:textId="30CCD73B" w:rsidR="00EB513A" w:rsidRDefault="0092063E" w:rsidP="00D82CC0">
      <w:pPr>
        <w:jc w:val="center"/>
      </w:pPr>
      <w:r w:rsidRPr="0092063E">
        <w:t xml:space="preserve">Approved by the Hon </w:t>
      </w:r>
      <w:r w:rsidR="00EB513A">
        <w:t xml:space="preserve">Kevin Hogan </w:t>
      </w:r>
      <w:r w:rsidRPr="0092063E">
        <w:t>MP</w:t>
      </w:r>
    </w:p>
    <w:p w14:paraId="3CA6A544" w14:textId="6E974525" w:rsidR="00BA4F48" w:rsidRPr="00601B0E" w:rsidRDefault="00EB513A" w:rsidP="00D82CC0">
      <w:pPr>
        <w:jc w:val="center"/>
      </w:pPr>
      <w:r>
        <w:t xml:space="preserve">Assistant Minister to the </w:t>
      </w:r>
      <w:r w:rsidR="00832A9A">
        <w:t xml:space="preserve">Deputy Prime </w:t>
      </w:r>
      <w:r w:rsidR="00832A9A" w:rsidRPr="007C5A35">
        <w:t>Minister</w:t>
      </w:r>
      <w:r w:rsidR="00832A9A">
        <w:t xml:space="preserve"> </w:t>
      </w:r>
      <w:r w:rsidR="00832A9A">
        <w:br/>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0122AE63" w:rsidR="00BA4F48" w:rsidRPr="00601B0E" w:rsidRDefault="00797D71" w:rsidP="00BA4CCD">
      <w:pPr>
        <w:jc w:val="center"/>
        <w:rPr>
          <w:b/>
          <w:bCs/>
          <w:sz w:val="40"/>
        </w:rPr>
      </w:pPr>
      <w:r>
        <w:rPr>
          <w:b/>
          <w:bCs/>
          <w:sz w:val="40"/>
        </w:rPr>
        <w:t>January 2021</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7197A75F" w14:textId="56A65CD6" w:rsidR="00BA4F48" w:rsidRDefault="00BA4F48" w:rsidP="005142E1">
      <w:pPr>
        <w:pStyle w:val="ContentsHeading"/>
      </w:pPr>
      <w:r w:rsidRPr="00601B0E">
        <w:t>CONTENTS</w:t>
      </w:r>
    </w:p>
    <w:p w14:paraId="47445B41" w14:textId="77777777" w:rsidR="007D5A43" w:rsidRPr="00601B0E" w:rsidRDefault="007D5A43" w:rsidP="00EA1536">
      <w:pPr>
        <w:pStyle w:val="ContentsHeading"/>
      </w:pPr>
    </w:p>
    <w:p w14:paraId="75116348" w14:textId="0F351075" w:rsidR="002C2704" w:rsidRDefault="002C270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C95440">
        <w:rPr>
          <w:noProof/>
        </w:rPr>
        <w:t>3</w:t>
      </w:r>
    </w:p>
    <w:p w14:paraId="371AC242" w14:textId="1EA862A7" w:rsidR="002C2704" w:rsidRDefault="002C2704">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C95440">
        <w:rPr>
          <w:noProof/>
        </w:rPr>
        <w:t>3</w:t>
      </w:r>
    </w:p>
    <w:p w14:paraId="189B369F" w14:textId="6FDBFB22" w:rsidR="002C2704" w:rsidRDefault="002C2704">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w:t>
      </w:r>
      <w:r>
        <w:rPr>
          <w:noProof/>
        </w:rPr>
        <w:tab/>
      </w:r>
      <w:r w:rsidR="00C95440">
        <w:rPr>
          <w:noProof/>
        </w:rPr>
        <w:t>3</w:t>
      </w:r>
    </w:p>
    <w:p w14:paraId="158B20AB" w14:textId="4FDAACB8" w:rsidR="002C2704" w:rsidRDefault="002C2704">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r>
      <w:r w:rsidR="00C95440">
        <w:rPr>
          <w:noProof/>
        </w:rPr>
        <w:t>3</w:t>
      </w:r>
    </w:p>
    <w:p w14:paraId="3B14816C" w14:textId="6ABE1E81" w:rsidR="002C2704" w:rsidRPr="006F3792" w:rsidRDefault="002C2704" w:rsidP="006F3792">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C95440">
        <w:rPr>
          <w:noProof/>
        </w:rPr>
        <w:t>4</w:t>
      </w:r>
    </w:p>
    <w:p w14:paraId="1CB5EEFE" w14:textId="49C5619F" w:rsidR="002C2704" w:rsidRDefault="002C270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C95440">
        <w:rPr>
          <w:noProof/>
        </w:rPr>
        <w:t>4</w:t>
      </w:r>
    </w:p>
    <w:p w14:paraId="756A71C7" w14:textId="4CCC7A1D" w:rsidR="002C2704" w:rsidRDefault="002C2704">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C95440">
        <w:rPr>
          <w:noProof/>
        </w:rPr>
        <w:t>4</w:t>
      </w:r>
    </w:p>
    <w:p w14:paraId="0F9BDA1B" w14:textId="3E695871" w:rsidR="002C2704" w:rsidRDefault="002C2704">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C95440">
        <w:rPr>
          <w:noProof/>
        </w:rPr>
        <w:t>5</w:t>
      </w:r>
    </w:p>
    <w:p w14:paraId="690AE631" w14:textId="70F0FF5B" w:rsidR="002C2704" w:rsidRDefault="002C2704">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Benefits and Costs</w:t>
      </w:r>
      <w:r>
        <w:rPr>
          <w:noProof/>
        </w:rPr>
        <w:tab/>
      </w:r>
      <w:r w:rsidR="00C95440">
        <w:rPr>
          <w:noProof/>
        </w:rPr>
        <w:t>5</w:t>
      </w:r>
    </w:p>
    <w:p w14:paraId="622DE254" w14:textId="1F3FB264" w:rsidR="002C2704" w:rsidRDefault="002C2704">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Regulation Impact Statement</w:t>
      </w:r>
      <w:r>
        <w:rPr>
          <w:noProof/>
        </w:rPr>
        <w:tab/>
      </w:r>
      <w:r w:rsidR="00C95440">
        <w:rPr>
          <w:noProof/>
        </w:rPr>
        <w:t>5</w:t>
      </w:r>
    </w:p>
    <w:p w14:paraId="1550AC60" w14:textId="7D8628C0" w:rsidR="002C2704" w:rsidRDefault="002C2704">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C95440">
        <w:rPr>
          <w:noProof/>
        </w:rPr>
        <w:t>5</w:t>
      </w:r>
    </w:p>
    <w:p w14:paraId="52F19C04" w14:textId="6E71EFDE" w:rsidR="002C2704" w:rsidRDefault="002C2704">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C95440">
        <w:rPr>
          <w:noProof/>
        </w:rPr>
        <w:t>5</w:t>
      </w:r>
    </w:p>
    <w:p w14:paraId="19FB27B0" w14:textId="6245AF12" w:rsidR="002C2704" w:rsidRDefault="002C2704">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C95440">
        <w:rPr>
          <w:noProof/>
        </w:rPr>
        <w:t>5</w:t>
      </w:r>
    </w:p>
    <w:p w14:paraId="532E436F" w14:textId="773D223F" w:rsidR="002C2704" w:rsidRDefault="002C2704">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C95440">
        <w:rPr>
          <w:noProof/>
        </w:rPr>
        <w:t>5</w:t>
      </w:r>
    </w:p>
    <w:p w14:paraId="68ECACB8" w14:textId="4A1127EA" w:rsidR="00C32942" w:rsidRPr="007D5A43" w:rsidRDefault="00C32942" w:rsidP="00C32942"/>
    <w:p w14:paraId="085BD5D6" w14:textId="7CE41693" w:rsidR="00BA4F48" w:rsidRPr="007D5A43" w:rsidRDefault="00BA4F48" w:rsidP="00D17480">
      <w:pPr>
        <w:pStyle w:val="HeadingLevel1"/>
      </w:pPr>
      <w:r w:rsidRPr="00601B0E">
        <w:rPr>
          <w:color w:val="3366FF"/>
        </w:rPr>
        <w:br w:type="page"/>
      </w:r>
      <w:bookmarkStart w:id="0" w:name="_Toc167864611"/>
      <w:bookmarkStart w:id="1" w:name="_Toc505092258"/>
      <w:bookmarkStart w:id="2" w:name="_Toc46333216"/>
      <w:bookmarkStart w:id="3" w:name="_Toc46333470"/>
      <w:bookmarkStart w:id="4" w:name="_Toc46333624"/>
      <w:bookmarkStart w:id="5" w:name="_Toc46333789"/>
      <w:bookmarkStart w:id="6" w:name="_Toc46333903"/>
      <w:bookmarkStart w:id="7" w:name="_Toc46334639"/>
      <w:bookmarkStart w:id="8" w:name="_Toc47694024"/>
      <w:r w:rsidRPr="007D5A43">
        <w:lastRenderedPageBreak/>
        <w:t xml:space="preserve">legislative </w:t>
      </w:r>
      <w:bookmarkEnd w:id="0"/>
      <w:bookmarkEnd w:id="1"/>
      <w:r w:rsidR="00832A9A" w:rsidRPr="007D5A43">
        <w:t>Authority</w:t>
      </w:r>
      <w:bookmarkEnd w:id="2"/>
      <w:bookmarkEnd w:id="3"/>
      <w:bookmarkEnd w:id="4"/>
      <w:bookmarkEnd w:id="5"/>
      <w:bookmarkEnd w:id="6"/>
      <w:bookmarkEnd w:id="7"/>
      <w:bookmarkEnd w:id="8"/>
    </w:p>
    <w:p w14:paraId="103661A1" w14:textId="3B269E28" w:rsidR="007F2456" w:rsidRDefault="007F2456" w:rsidP="00D82CC0">
      <w:r w:rsidRPr="007F2456">
        <w:t xml:space="preserve">Vehicle Standard (Australian Design Rule – </w:t>
      </w:r>
      <w:r w:rsidR="00E87372" w:rsidRPr="00E87372">
        <w:t>Definitions and Vehicle Categories) 2005 Amendment 1</w:t>
      </w:r>
      <w:r w:rsidR="004F301C">
        <w:t>1</w:t>
      </w:r>
      <w:r w:rsidR="00996E4F">
        <w:t xml:space="preserve"> </w:t>
      </w:r>
      <w:r w:rsidRPr="007F2456">
        <w:t xml:space="preserve">is made under the </w:t>
      </w:r>
      <w:r w:rsidR="00996E4F">
        <w:rPr>
          <w:i/>
        </w:rPr>
        <w:t>Motor</w:t>
      </w:r>
      <w:r w:rsidRPr="007F2456">
        <w:rPr>
          <w:i/>
        </w:rPr>
        <w:t xml:space="preserve"> Vehicle Standards Act </w:t>
      </w:r>
      <w:r w:rsidR="00996E4F">
        <w:rPr>
          <w:i/>
        </w:rPr>
        <w:t>1989</w:t>
      </w:r>
      <w:r w:rsidRPr="007F2456">
        <w:t xml:space="preserve"> (</w:t>
      </w:r>
      <w:r>
        <w:t xml:space="preserve">the </w:t>
      </w:r>
      <w:r w:rsidR="00BE00D9">
        <w:t>Act</w:t>
      </w:r>
      <w:r w:rsidRPr="007F2456">
        <w:t xml:space="preserve">).  The </w:t>
      </w:r>
      <w:r w:rsidR="00BE00D9">
        <w:t>Act</w:t>
      </w:r>
      <w:r w:rsidRPr="007F2456">
        <w:t xml:space="preserve"> enables the Australian Government to establish nationally uniform standards that apply to new road vehicles when they are provided to the market in Australia.  The </w:t>
      </w:r>
      <w:r w:rsidR="00BE00D9">
        <w:t>Act</w:t>
      </w:r>
      <w:r w:rsidRPr="007F2456">
        <w:t xml:space="preserve"> applies to such vehicles</w:t>
      </w:r>
      <w:r w:rsidR="00FC6C50">
        <w:t xml:space="preserve"> </w:t>
      </w:r>
      <w:r w:rsidRPr="007F2456">
        <w:t>whether they are manufactured in Australia or imported.</w:t>
      </w:r>
    </w:p>
    <w:p w14:paraId="67C0FAB4" w14:textId="3F0F50F6" w:rsidR="003F01D5" w:rsidRPr="00601B0E" w:rsidRDefault="003F01D5" w:rsidP="00D82CC0">
      <w:pPr>
        <w:pStyle w:val="StyledotArialLeft0cmFirstline0cmAfter12pt"/>
      </w:pPr>
      <w:r w:rsidRPr="00601B0E">
        <w:t xml:space="preserve">The making of the vehicle standards necessary for the </w:t>
      </w:r>
      <w:r w:rsidR="00BE00D9">
        <w:t>Act</w:t>
      </w:r>
      <w:r w:rsidR="00A52B9D" w:rsidRPr="00601B0E">
        <w:t>’</w:t>
      </w:r>
      <w:r w:rsidRPr="00601B0E">
        <w:t>s e</w:t>
      </w:r>
      <w:bookmarkStart w:id="9" w:name="_GoBack"/>
      <w:bookmarkEnd w:id="9"/>
      <w:r w:rsidRPr="00601B0E">
        <w:t xml:space="preserve">ffective operation is provided for in section </w:t>
      </w:r>
      <w:r w:rsidR="00996E4F">
        <w:t>7</w:t>
      </w:r>
      <w:r w:rsidR="00A52B9D" w:rsidRPr="00601B0E">
        <w:t>,</w:t>
      </w:r>
      <w:r w:rsidRPr="00601B0E">
        <w:t xml:space="preserve"> which empowers the Minister to </w:t>
      </w:r>
      <w:r w:rsidR="00A52B9D" w:rsidRPr="00601B0E">
        <w:t>“</w:t>
      </w:r>
      <w:r w:rsidRPr="00601B0E">
        <w:t xml:space="preserve">determine </w:t>
      </w:r>
      <w:r w:rsidR="00996E4F">
        <w:t xml:space="preserve">vehicle </w:t>
      </w:r>
      <w:r w:rsidRPr="00601B0E">
        <w:t xml:space="preserve">standards for road vehicles or </w:t>
      </w:r>
      <w:r w:rsidR="007F2456">
        <w:t xml:space="preserve">road </w:t>
      </w:r>
      <w:r w:rsidRPr="00601B0E">
        <w:t>vehicle components</w:t>
      </w:r>
      <w:r w:rsidR="00A52B9D" w:rsidRPr="00601B0E">
        <w:t>”</w:t>
      </w:r>
      <w:r w:rsidRPr="00601B0E">
        <w:t>.</w:t>
      </w:r>
    </w:p>
    <w:p w14:paraId="586B494B" w14:textId="4F1670FF" w:rsidR="00BA4F48" w:rsidRPr="007D5A43" w:rsidRDefault="00662BF8" w:rsidP="00D17480">
      <w:pPr>
        <w:pStyle w:val="HeadingLevel1"/>
      </w:pPr>
      <w:bookmarkStart w:id="10" w:name="_Toc46333217"/>
      <w:bookmarkStart w:id="11" w:name="_Toc46333471"/>
      <w:bookmarkStart w:id="12" w:name="_Toc46333625"/>
      <w:bookmarkStart w:id="13" w:name="_Toc46333790"/>
      <w:bookmarkStart w:id="14" w:name="_Toc46333904"/>
      <w:bookmarkStart w:id="15" w:name="_Toc46334640"/>
      <w:bookmarkStart w:id="16" w:name="_Toc47694025"/>
      <w:r w:rsidRPr="007D5A43">
        <w:t>Purpose and Operation</w:t>
      </w:r>
      <w:bookmarkEnd w:id="10"/>
      <w:bookmarkEnd w:id="11"/>
      <w:bookmarkEnd w:id="12"/>
      <w:bookmarkEnd w:id="13"/>
      <w:bookmarkEnd w:id="14"/>
      <w:bookmarkEnd w:id="15"/>
      <w:bookmarkEnd w:id="16"/>
    </w:p>
    <w:p w14:paraId="26E79CFC" w14:textId="3D2E336B" w:rsidR="00BA4F48" w:rsidRPr="007D5A43" w:rsidRDefault="00BA4F48" w:rsidP="00D17480">
      <w:pPr>
        <w:pStyle w:val="HeadingLevel2"/>
      </w:pPr>
      <w:bookmarkStart w:id="17" w:name="_Toc167864613"/>
      <w:bookmarkStart w:id="18" w:name="_Toc505092260"/>
      <w:bookmarkStart w:id="19" w:name="_Toc46333218"/>
      <w:bookmarkStart w:id="20" w:name="_Toc46333472"/>
      <w:bookmarkStart w:id="21" w:name="_Toc46333626"/>
      <w:bookmarkStart w:id="22" w:name="_Toc46333791"/>
      <w:bookmarkStart w:id="23" w:name="_Toc46333905"/>
      <w:bookmarkStart w:id="24" w:name="_Toc46334641"/>
      <w:bookmarkStart w:id="25" w:name="_Toc47694026"/>
      <w:r w:rsidRPr="007D5A43">
        <w:t>Overview</w:t>
      </w:r>
      <w:bookmarkEnd w:id="17"/>
      <w:bookmarkEnd w:id="18"/>
      <w:bookmarkEnd w:id="19"/>
      <w:bookmarkEnd w:id="20"/>
      <w:bookmarkEnd w:id="21"/>
      <w:bookmarkEnd w:id="22"/>
      <w:bookmarkEnd w:id="23"/>
      <w:bookmarkEnd w:id="24"/>
      <w:bookmarkEnd w:id="25"/>
    </w:p>
    <w:p w14:paraId="6CAAEC96" w14:textId="0D3C7232" w:rsidR="006B6354" w:rsidRDefault="00AE591E" w:rsidP="00BB3D12">
      <w:r>
        <w:t xml:space="preserve">The </w:t>
      </w:r>
      <w:r w:rsidRPr="007F2456">
        <w:t>Vehicle Standard (Australian Design Rule</w:t>
      </w:r>
      <w:r w:rsidR="00CE6DAD">
        <w:t xml:space="preserve"> </w:t>
      </w:r>
      <w:r w:rsidRPr="007F2456">
        <w:t xml:space="preserve">– </w:t>
      </w:r>
      <w:r w:rsidR="00CE6DAD" w:rsidRPr="00E87372">
        <w:t xml:space="preserve">Definitions and Vehicle Categories) 2005 </w:t>
      </w:r>
      <w:r w:rsidR="00E87ECB">
        <w:t>(the</w:t>
      </w:r>
      <w:r w:rsidR="00E87ECB" w:rsidRPr="00E87ECB">
        <w:t xml:space="preserve"> </w:t>
      </w:r>
      <w:r w:rsidR="00E87ECB" w:rsidRPr="007F2456">
        <w:t>Australian Design Rule</w:t>
      </w:r>
      <w:r w:rsidR="00E87ECB">
        <w:t xml:space="preserve"> </w:t>
      </w:r>
      <w:r w:rsidR="00E87ECB" w:rsidRPr="007F2456">
        <w:t xml:space="preserve">– </w:t>
      </w:r>
      <w:r w:rsidR="00E87ECB" w:rsidRPr="00E87372">
        <w:t>Definitions and Vehicle Categories</w:t>
      </w:r>
      <w:r w:rsidR="00E87ECB">
        <w:t xml:space="preserve">) </w:t>
      </w:r>
      <w:r w:rsidR="00CB49E9">
        <w:t xml:space="preserve">sets </w:t>
      </w:r>
      <w:r w:rsidR="00CB49E9" w:rsidRPr="00CB49E9">
        <w:t xml:space="preserve">out definitions for many terms used in the </w:t>
      </w:r>
      <w:r w:rsidR="00CB49E9">
        <w:t>Australian Design Rules (</w:t>
      </w:r>
      <w:r w:rsidR="00CB49E9" w:rsidRPr="00CB49E9">
        <w:t>ADRs</w:t>
      </w:r>
      <w:r w:rsidR="00CB49E9">
        <w:t>)</w:t>
      </w:r>
      <w:r w:rsidR="00CB49E9" w:rsidRPr="00CB49E9">
        <w:t xml:space="preserve">, including the vehicle categories used in ADR applicability tables. </w:t>
      </w:r>
      <w:bookmarkStart w:id="26" w:name="_Toc167864614"/>
      <w:r>
        <w:t xml:space="preserve"> </w:t>
      </w:r>
    </w:p>
    <w:p w14:paraId="48C163C9" w14:textId="7A6E3C41" w:rsidR="005B00DB" w:rsidRDefault="00CB49E9" w:rsidP="005B00DB">
      <w:r>
        <w:t xml:space="preserve">This </w:t>
      </w:r>
      <w:r w:rsidR="00106E24">
        <w:t>vehicle standard</w:t>
      </w:r>
      <w:r w:rsidR="000E1532">
        <w:t xml:space="preserve"> </w:t>
      </w:r>
      <w:r w:rsidR="00A76E2F">
        <w:t xml:space="preserve">was originally determined in 2005 and has since been amended by </w:t>
      </w:r>
      <w:r w:rsidR="004F301C">
        <w:t>ten</w:t>
      </w:r>
      <w:r w:rsidR="00A76E2F">
        <w:t xml:space="preserve"> separate legislative instruments</w:t>
      </w:r>
      <w:r w:rsidR="005B00DB">
        <w:t>.</w:t>
      </w:r>
      <w:r w:rsidR="005B00DB" w:rsidRPr="00AE591E">
        <w:t xml:space="preserve"> </w:t>
      </w:r>
    </w:p>
    <w:p w14:paraId="1E7E481D" w14:textId="6192E379" w:rsidR="003F01D5" w:rsidRPr="00601B0E" w:rsidRDefault="00A76E2F" w:rsidP="00D17480">
      <w:pPr>
        <w:pStyle w:val="HeadingLevel2"/>
      </w:pPr>
      <w:bookmarkStart w:id="27" w:name="_Toc47694027"/>
      <w:bookmarkEnd w:id="26"/>
      <w:r>
        <w:t>Effect of the Amendment</w:t>
      </w:r>
      <w:bookmarkEnd w:id="27"/>
    </w:p>
    <w:p w14:paraId="2E39B495" w14:textId="41BEC4CC" w:rsidR="00D422E8" w:rsidRDefault="00884F63" w:rsidP="002F32C5">
      <w:r>
        <w:t>This amendment includes the removal and replacement of definitions supporting the amendment of the Motor Vehicle (Road Vehicle) Amendment Determination (No.1) 2020 (the Determination)</w:t>
      </w:r>
      <w:r w:rsidR="000E5144">
        <w:t xml:space="preserve">. </w:t>
      </w:r>
      <w:r w:rsidR="00E63D1F">
        <w:t>Change</w:t>
      </w:r>
      <w:r w:rsidR="00714FD5">
        <w:t>s</w:t>
      </w:r>
      <w:r w:rsidR="00E63D1F">
        <w:t xml:space="preserve"> include the removal of the definition of </w:t>
      </w:r>
      <w:r w:rsidR="00714FD5">
        <w:t>a Pedalec, as well as the inclusion of definitions for E</w:t>
      </w:r>
      <w:r w:rsidR="00E63D1F">
        <w:t xml:space="preserve">lectrically </w:t>
      </w:r>
      <w:r w:rsidR="00714FD5">
        <w:t xml:space="preserve">Power Assisted </w:t>
      </w:r>
      <w:r w:rsidR="00E129E5">
        <w:t>Cycles</w:t>
      </w:r>
      <w:r w:rsidR="00714FD5">
        <w:t xml:space="preserve"> and Power Assisted Pedal Cycle</w:t>
      </w:r>
      <w:r w:rsidR="00E129E5">
        <w:t>s.</w:t>
      </w:r>
      <w:r w:rsidR="00C95440">
        <w:t xml:space="preserve"> Changes also include removal of vehicle categories Pedal Cycle (AA) and Power-Assisted Pedal Cycle (AB).</w:t>
      </w:r>
    </w:p>
    <w:p w14:paraId="0FC4033C" w14:textId="1F60F952" w:rsidR="00626993" w:rsidRDefault="00714FD5" w:rsidP="002F32C5">
      <w:r>
        <w:t xml:space="preserve">These changes </w:t>
      </w:r>
      <w:r w:rsidR="00D422E8">
        <w:t xml:space="preserve">do not vary the intent of the </w:t>
      </w:r>
      <w:r w:rsidR="00F9402D">
        <w:t>Determination or the ADRs</w:t>
      </w:r>
      <w:r w:rsidR="00D422E8">
        <w:t xml:space="preserve"> </w:t>
      </w:r>
      <w:r w:rsidR="00E129E5">
        <w:t>but</w:t>
      </w:r>
      <w:r w:rsidR="00D422E8">
        <w:t xml:space="preserve"> provide clarity to vehicle manufacturers, imp</w:t>
      </w:r>
      <w:r w:rsidR="00F9402D">
        <w:t>o</w:t>
      </w:r>
      <w:r w:rsidR="00D422E8">
        <w:t>rters and members of the public about vehicle classes which are not required</w:t>
      </w:r>
      <w:r w:rsidR="00240D62">
        <w:t xml:space="preserve"> to meet the Act. The amendment is</w:t>
      </w:r>
      <w:r w:rsidR="00D422E8">
        <w:t xml:space="preserve"> </w:t>
      </w:r>
      <w:r>
        <w:t xml:space="preserve">essential to ensure </w:t>
      </w:r>
      <w:r w:rsidR="00C95440">
        <w:t>consistency with changes to the Determination</w:t>
      </w:r>
      <w:r>
        <w:t xml:space="preserve">. </w:t>
      </w:r>
    </w:p>
    <w:p w14:paraId="42BF2E33" w14:textId="2B39D73A" w:rsidR="00121BEF" w:rsidRPr="00047B3E" w:rsidRDefault="00F11935" w:rsidP="00121BEF">
      <w:pPr>
        <w:rPr>
          <w:u w:val="single"/>
        </w:rPr>
      </w:pPr>
      <w:r w:rsidRPr="00047B3E">
        <w:rPr>
          <w:u w:val="single"/>
        </w:rPr>
        <w:t>Pedalec/</w:t>
      </w:r>
      <w:r w:rsidR="00121BEF" w:rsidRPr="00047B3E">
        <w:rPr>
          <w:u w:val="single"/>
        </w:rPr>
        <w:t>Electrically Power Assisted Cycle</w:t>
      </w:r>
    </w:p>
    <w:p w14:paraId="1C9B8061" w14:textId="014705C8" w:rsidR="00743333" w:rsidRDefault="000A3069" w:rsidP="00A76E2F">
      <w:r>
        <w:t xml:space="preserve">This amendment </w:t>
      </w:r>
      <w:r w:rsidR="00121BEF" w:rsidRPr="00121BEF">
        <w:t xml:space="preserve">replaces </w:t>
      </w:r>
      <w:r>
        <w:t xml:space="preserve">the definition </w:t>
      </w:r>
      <w:r w:rsidR="00121BEF" w:rsidRPr="00121BEF">
        <w:t>o</w:t>
      </w:r>
      <w:r>
        <w:t>f</w:t>
      </w:r>
      <w:r w:rsidR="00121BEF" w:rsidRPr="00121BEF">
        <w:t xml:space="preserve"> ‘</w:t>
      </w:r>
      <w:r>
        <w:t>p</w:t>
      </w:r>
      <w:r w:rsidR="00121BEF" w:rsidRPr="00121BEF">
        <w:t>ed</w:t>
      </w:r>
      <w:r w:rsidR="00E917D0">
        <w:t>a</w:t>
      </w:r>
      <w:r w:rsidR="00121BEF" w:rsidRPr="00121BEF">
        <w:t>lec’ with ‘</w:t>
      </w:r>
      <w:r>
        <w:t>e</w:t>
      </w:r>
      <w:r w:rsidR="00121BEF" w:rsidRPr="00121BEF">
        <w:t>l</w:t>
      </w:r>
      <w:r>
        <w:t>ectrically power-assisted cycle’</w:t>
      </w:r>
      <w:r w:rsidR="00C95440">
        <w:t xml:space="preserve"> (EPAC)</w:t>
      </w:r>
      <w:r w:rsidR="00121BEF" w:rsidRPr="00121BEF">
        <w:t xml:space="preserve">. This is because the term ‘Electrically power-assisted cycle’ links it directly with the European Committee for Standardization EN15194:2009 or EN15194:2009+A1:2011 or EN15194:2017, which was the international standard referenced in the previous Determination. </w:t>
      </w:r>
    </w:p>
    <w:p w14:paraId="11F161EE" w14:textId="1A3BF58B" w:rsidR="00121BEF" w:rsidRDefault="00121BEF" w:rsidP="00A76E2F">
      <w:r w:rsidRPr="00121BEF">
        <w:t>The reason to replace the term ‘ped</w:t>
      </w:r>
      <w:r w:rsidR="00C95440">
        <w:t>a</w:t>
      </w:r>
      <w:r w:rsidRPr="00121BEF">
        <w:t>lec’ with a definition of ‘Electrically power-assisted cycle is that since the definition of ‘ped</w:t>
      </w:r>
      <w:r w:rsidR="00C95440">
        <w:t>a</w:t>
      </w:r>
      <w:r w:rsidRPr="00121BEF">
        <w:t xml:space="preserve">lec’ was first included in the Determination the term EPAC </w:t>
      </w:r>
      <w:r w:rsidR="00BC3134">
        <w:t>ha</w:t>
      </w:r>
      <w:r w:rsidRPr="00121BEF">
        <w:t>s settled as the official term for the class of vehicle intended to be covered. Whereas the term ‘ped</w:t>
      </w:r>
      <w:r w:rsidR="00240F32">
        <w:t>a</w:t>
      </w:r>
      <w:r w:rsidRPr="00121BEF">
        <w:t>lec’ is used for a variety of classes of vehicles, including some that are pedal assisted power cycles, as opposed to power assisted pedal cycles.</w:t>
      </w:r>
    </w:p>
    <w:p w14:paraId="42614CA8" w14:textId="73CADC6D" w:rsidR="00E129E5" w:rsidRPr="00047B3E" w:rsidRDefault="00F11935" w:rsidP="00A76E2F">
      <w:pPr>
        <w:rPr>
          <w:u w:val="single"/>
        </w:rPr>
      </w:pPr>
      <w:r w:rsidRPr="00047B3E">
        <w:rPr>
          <w:u w:val="single"/>
        </w:rPr>
        <w:t>Power</w:t>
      </w:r>
      <w:r w:rsidR="00240F32">
        <w:rPr>
          <w:u w:val="single"/>
        </w:rPr>
        <w:t>-</w:t>
      </w:r>
      <w:r w:rsidRPr="00047B3E">
        <w:rPr>
          <w:u w:val="single"/>
        </w:rPr>
        <w:t xml:space="preserve">Assisted Pedal Cycle </w:t>
      </w:r>
      <w:r w:rsidR="00BE5706">
        <w:rPr>
          <w:u w:val="single"/>
        </w:rPr>
        <w:t>and Mopeds</w:t>
      </w:r>
    </w:p>
    <w:p w14:paraId="5EEEC72F" w14:textId="096E06D7" w:rsidR="00121BEF" w:rsidRDefault="00121BEF" w:rsidP="00121BEF">
      <w:pPr>
        <w:widowControl w:val="0"/>
      </w:pPr>
      <w:r>
        <w:t xml:space="preserve">The </w:t>
      </w:r>
      <w:r w:rsidR="00F55678">
        <w:t xml:space="preserve">amendment reflects </w:t>
      </w:r>
      <w:r w:rsidR="00C83FC2">
        <w:t xml:space="preserve">a </w:t>
      </w:r>
      <w:r w:rsidR="00BC3134">
        <w:t>broadened</w:t>
      </w:r>
      <w:r w:rsidRPr="00DD0340">
        <w:t xml:space="preserve"> focus </w:t>
      </w:r>
      <w:r w:rsidR="00C95440">
        <w:t xml:space="preserve">in the definition </w:t>
      </w:r>
      <w:r w:rsidRPr="00DD0340">
        <w:t xml:space="preserve">from </w:t>
      </w:r>
      <w:r>
        <w:t xml:space="preserve">relying solely on </w:t>
      </w:r>
      <w:r w:rsidRPr="00DD0340">
        <w:t>the power output rating</w:t>
      </w:r>
      <w:r>
        <w:t xml:space="preserve"> to include certain design features</w:t>
      </w:r>
      <w:r w:rsidRPr="00DD0340">
        <w:t xml:space="preserve">. </w:t>
      </w:r>
      <w:r>
        <w:t>Th</w:t>
      </w:r>
      <w:r w:rsidR="00BC3134">
        <w:t>is clarifies</w:t>
      </w:r>
      <w:r>
        <w:t xml:space="preserve"> that the policy </w:t>
      </w:r>
      <w:r>
        <w:lastRenderedPageBreak/>
        <w:t xml:space="preserve">intent of the definition relates to bicycles of a traditional build, albeit assisted by electric motor power, but not to take in other types of two wheeled vehicles designed with pedals that may assist propulsion, such as certain types of mopeds, more appropriately deemed as LA category vehicles according to the </w:t>
      </w:r>
      <w:r w:rsidR="00FA06E3">
        <w:t xml:space="preserve">Ausralian Design Rule - </w:t>
      </w:r>
      <w:r>
        <w:t>Definitions</w:t>
      </w:r>
      <w:r w:rsidR="00FA06E3">
        <w:t xml:space="preserve"> and Vehicle Categories</w:t>
      </w:r>
      <w:r>
        <w:t>.</w:t>
      </w:r>
    </w:p>
    <w:p w14:paraId="4F807E56" w14:textId="63C2DC5A" w:rsidR="00240F32" w:rsidRPr="00240F32" w:rsidRDefault="00240F32" w:rsidP="00121BEF">
      <w:pPr>
        <w:widowControl w:val="0"/>
        <w:rPr>
          <w:u w:val="single"/>
        </w:rPr>
      </w:pPr>
      <w:r w:rsidRPr="00240F32">
        <w:rPr>
          <w:u w:val="single"/>
        </w:rPr>
        <w:t>Pedal Cycle (AA)/Power-Assisted Pedal Cycle (AB)</w:t>
      </w:r>
    </w:p>
    <w:p w14:paraId="458C56EA" w14:textId="0A655B65" w:rsidR="00240F32" w:rsidRDefault="00240F32" w:rsidP="00121BEF">
      <w:pPr>
        <w:widowControl w:val="0"/>
      </w:pPr>
      <w:r>
        <w:t xml:space="preserve">Removing vehicle categories for Pedal Cycle (AA) and Power-Assisted Pedal Cycle (AB) from the </w:t>
      </w:r>
      <w:r w:rsidR="00E12864">
        <w:t>Australian Design Rule – Definitions and Vehicle Categories</w:t>
      </w:r>
      <w:r>
        <w:t xml:space="preserve"> is appropriate because it is not </w:t>
      </w:r>
      <w:r w:rsidR="00E12864">
        <w:t>sensible to have a vehicle category for classes of vehicles that have been defined as not being road motor vehicles for the purpose of the Act.</w:t>
      </w:r>
    </w:p>
    <w:p w14:paraId="270DEE64" w14:textId="0292601A" w:rsidR="00E129E5" w:rsidRDefault="00E129E5" w:rsidP="00A76E2F"/>
    <w:p w14:paraId="19D6EBCB" w14:textId="494E1AED" w:rsidR="00297D5D" w:rsidRPr="00601B0E" w:rsidRDefault="000F7895" w:rsidP="008266F8">
      <w:pPr>
        <w:pStyle w:val="HeadingLevel1"/>
      </w:pPr>
      <w:bookmarkStart w:id="28" w:name="_Toc47694028"/>
      <w:bookmarkStart w:id="29" w:name="_Toc167864615"/>
      <w:r>
        <w:t>MAttEr</w:t>
      </w:r>
      <w:r w:rsidR="002C2704">
        <w:t>s</w:t>
      </w:r>
      <w:r w:rsidR="00BC27D6">
        <w:t xml:space="preserve"> </w:t>
      </w:r>
      <w:r w:rsidR="00BC27D6" w:rsidRPr="00601B0E">
        <w:t>Incorporated</w:t>
      </w:r>
      <w:r w:rsidR="00BC27D6">
        <w:t xml:space="preserve"> By Reference</w:t>
      </w:r>
      <w:bookmarkEnd w:id="28"/>
    </w:p>
    <w:p w14:paraId="7F3C62DF" w14:textId="5B37A5BC" w:rsidR="000C6717" w:rsidRDefault="00531C92" w:rsidP="000C6717">
      <w:r>
        <w:t>N/A</w:t>
      </w:r>
      <w:r w:rsidR="000C6717">
        <w:t>.</w:t>
      </w:r>
    </w:p>
    <w:p w14:paraId="00DE0ED1" w14:textId="77777777" w:rsidR="0040179A" w:rsidRPr="00601B0E" w:rsidRDefault="0040179A" w:rsidP="000C6717"/>
    <w:p w14:paraId="29EF8BC8" w14:textId="6AA27F79" w:rsidR="00BA4F48" w:rsidRPr="00601B0E" w:rsidRDefault="00132DC9" w:rsidP="008266F8">
      <w:pPr>
        <w:pStyle w:val="HeadingLevel1"/>
      </w:pPr>
      <w:bookmarkStart w:id="30" w:name="_Toc504999786"/>
      <w:bookmarkStart w:id="31" w:name="_Toc504999787"/>
      <w:bookmarkStart w:id="32" w:name="_Toc504999788"/>
      <w:bookmarkStart w:id="33" w:name="_Toc47694031"/>
      <w:bookmarkStart w:id="34" w:name="_Toc505092263"/>
      <w:bookmarkStart w:id="35" w:name="_Toc46333221"/>
      <w:bookmarkStart w:id="36" w:name="_Toc46333475"/>
      <w:bookmarkStart w:id="37" w:name="_Toc46333629"/>
      <w:bookmarkStart w:id="38" w:name="_Toc46333794"/>
      <w:bookmarkStart w:id="39" w:name="_Toc46333908"/>
      <w:bookmarkStart w:id="40" w:name="_Toc46334644"/>
      <w:bookmarkEnd w:id="30"/>
      <w:bookmarkEnd w:id="31"/>
      <w:bookmarkEnd w:id="32"/>
      <w:r>
        <w:t>Consultation</w:t>
      </w:r>
      <w:bookmarkEnd w:id="33"/>
      <w:r>
        <w:t xml:space="preserve"> </w:t>
      </w:r>
      <w:bookmarkEnd w:id="29"/>
      <w:bookmarkEnd w:id="34"/>
      <w:bookmarkEnd w:id="35"/>
      <w:bookmarkEnd w:id="36"/>
      <w:bookmarkEnd w:id="37"/>
      <w:bookmarkEnd w:id="38"/>
      <w:bookmarkEnd w:id="39"/>
      <w:bookmarkEnd w:id="40"/>
    </w:p>
    <w:p w14:paraId="76A6CDC9" w14:textId="10BEBBCA" w:rsidR="00626DBC" w:rsidRPr="00601B0E" w:rsidRDefault="00626DBC" w:rsidP="00D17480">
      <w:pPr>
        <w:pStyle w:val="HeadingLevel2"/>
      </w:pPr>
      <w:bookmarkStart w:id="41" w:name="_Toc167864617"/>
      <w:bookmarkStart w:id="42" w:name="_Toc505092265"/>
      <w:bookmarkStart w:id="43" w:name="_Toc46333223"/>
      <w:bookmarkStart w:id="44" w:name="_Toc46333477"/>
      <w:bookmarkStart w:id="45" w:name="_Toc46333631"/>
      <w:bookmarkStart w:id="46" w:name="_Toc46333796"/>
      <w:bookmarkStart w:id="47" w:name="_Toc46333910"/>
      <w:bookmarkStart w:id="48" w:name="_Toc46334646"/>
      <w:bookmarkStart w:id="49" w:name="_Toc47694032"/>
      <w:r w:rsidRPr="00601B0E">
        <w:t>General Consultation Arrangements</w:t>
      </w:r>
      <w:bookmarkEnd w:id="41"/>
      <w:bookmarkEnd w:id="42"/>
      <w:bookmarkEnd w:id="43"/>
      <w:bookmarkEnd w:id="44"/>
      <w:bookmarkEnd w:id="45"/>
      <w:bookmarkEnd w:id="46"/>
      <w:bookmarkEnd w:id="47"/>
      <w:bookmarkEnd w:id="48"/>
      <w:bookmarkEnd w:id="49"/>
    </w:p>
    <w:p w14:paraId="78317EE5" w14:textId="4D2B2AD0" w:rsidR="00C14345" w:rsidRPr="00601B0E" w:rsidRDefault="00C14345" w:rsidP="00D82CC0">
      <w:bookmarkStart w:id="50" w:name="_Toc167864618"/>
      <w:r w:rsidRPr="00601B0E">
        <w:t>It has been longstanding practice to consult widely on proposed new or amended vehicle standards.  For many years</w:t>
      </w:r>
      <w:r w:rsidR="00F2389A">
        <w:t>,</w:t>
      </w:r>
      <w:r w:rsidRPr="00601B0E">
        <w:t xml:space="preserve">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1DDE002B" w14:textId="7E173744" w:rsidR="00C14345" w:rsidRPr="00601B0E" w:rsidRDefault="00C14345" w:rsidP="00D82CC0">
      <w:r w:rsidRPr="00601B0E">
        <w:t>Depending on the nature of the proposed changes, consultation could involve the Technical Liaison Group (TLG)</w:t>
      </w:r>
      <w:r w:rsidR="00BD453B" w:rsidRPr="00601B0E">
        <w:t xml:space="preserve"> and the Australian Motor Vehicle Certification Board (AMVCB)</w:t>
      </w:r>
      <w:r w:rsidRPr="00601B0E">
        <w:t xml:space="preserve">, </w:t>
      </w:r>
      <w:r w:rsidR="00BD453B" w:rsidRPr="00601B0E">
        <w:t xml:space="preserve">the </w:t>
      </w:r>
      <w:r w:rsidRPr="00601B0E">
        <w:t>Strategic Vehicle Safety and Environment Group (SVSEG)</w:t>
      </w:r>
      <w:r w:rsidR="00BD453B" w:rsidRPr="00601B0E">
        <w:t xml:space="preserve"> and the Safe Vehicles Theme Group (SVTG)</w:t>
      </w:r>
      <w:r w:rsidRPr="00601B0E">
        <w:t xml:space="preserve">, </w:t>
      </w:r>
      <w:r w:rsidR="00BD453B" w:rsidRPr="00601B0E">
        <w:t xml:space="preserve">the </w:t>
      </w:r>
      <w:r w:rsidRPr="00601B0E">
        <w:t>Transport and Infrastructure Senior Officials’ Committee (TISOC) and the Transport and Infrastructure Council (the Council).</w:t>
      </w:r>
    </w:p>
    <w:p w14:paraId="68B93787" w14:textId="66AF2A77" w:rsidR="00C14345" w:rsidRPr="00601B0E" w:rsidRDefault="00C14345" w:rsidP="006B306D">
      <w:pPr>
        <w:pStyle w:val="BulletList"/>
        <w:keepLines/>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sidR="00BD453B" w:rsidRPr="00601B0E">
        <w:t xml:space="preserve">  AMVCB consists of the government members of TLG.</w:t>
      </w:r>
    </w:p>
    <w:p w14:paraId="249421F1" w14:textId="4A986F40" w:rsidR="00C14345" w:rsidRPr="00601B0E" w:rsidRDefault="00C14345" w:rsidP="00E63D47">
      <w:pPr>
        <w:pStyle w:val="BulletLis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BD453B" w:rsidRPr="00601B0E">
        <w:t xml:space="preserve">  SVTG consists of the government members of SVSEG.</w:t>
      </w:r>
    </w:p>
    <w:p w14:paraId="61E6E39B" w14:textId="77777777" w:rsidR="00C14345" w:rsidRPr="00601B0E" w:rsidRDefault="00C14345" w:rsidP="00D065C8">
      <w:pPr>
        <w:pStyle w:val="BulletList"/>
      </w:pPr>
      <w:r w:rsidRPr="00601B0E">
        <w:t xml:space="preserve">TISOC consists of state and territory transport and/or infrastructure Chief </w:t>
      </w:r>
      <w:r w:rsidRPr="00601B0E">
        <w:lastRenderedPageBreak/>
        <w:t>Executive Officers (CEOs) (or equivalents), the CEO of the National Transport Commission, New Zealand and the Australian Local Government Association.</w:t>
      </w:r>
    </w:p>
    <w:p w14:paraId="71B68EF7" w14:textId="63CEBB87" w:rsidR="00C14345" w:rsidRPr="00601B0E" w:rsidRDefault="00C14345" w:rsidP="00D065C8">
      <w:pPr>
        <w:pStyle w:val="BulletList"/>
      </w:pPr>
      <w:r w:rsidRPr="00601B0E">
        <w:t xml:space="preserve">The Council consists of the Australian, state/territory and New Zealand Ministers with responsibility for transport and infrastructure </w:t>
      </w:r>
      <w:r w:rsidR="00F04103">
        <w:t>matters</w:t>
      </w:r>
      <w:r w:rsidRPr="00601B0E">
        <w:t>.</w:t>
      </w:r>
    </w:p>
    <w:p w14:paraId="03979BE3" w14:textId="69430E5B" w:rsidR="00C14345" w:rsidRPr="00601B0E" w:rsidRDefault="00C14345" w:rsidP="009075A1">
      <w:pPr>
        <w:keepLines/>
      </w:pPr>
      <w:r w:rsidRPr="00601B0E">
        <w:t>Editorial changes and changes to correct errors are processed by the</w:t>
      </w:r>
      <w:r w:rsidR="00BF3C1B">
        <w:t xml:space="preserve"> Department of Infrastructure, Transport, Regional Development and Communications (the Department)</w:t>
      </w:r>
      <w:r w:rsidRPr="00601B0E">
        <w:t>.  This approach is only used where the amendments do not vary the intent of the vehicle standard.</w:t>
      </w:r>
    </w:p>
    <w:p w14:paraId="6A43F435" w14:textId="379712C1" w:rsidR="00C14345" w:rsidRPr="00601B0E" w:rsidRDefault="00C14345" w:rsidP="000377B3">
      <w:pPr>
        <w:keepLines/>
      </w:pPr>
      <w:r w:rsidRPr="00601B0E">
        <w:t xml:space="preserve">Proposals that are regarded as significant need to be supported by a </w:t>
      </w:r>
      <w:r w:rsidR="007873C1" w:rsidRPr="00A939B2">
        <w:t xml:space="preserve">Regulation Impact Statement </w:t>
      </w:r>
      <w:r w:rsidRPr="00601B0E">
        <w:t xml:space="preserve">meeting the requirements of the Office of Best Practice Regulation (OBPR) as published in </w:t>
      </w:r>
      <w:r w:rsidRPr="00601B0E">
        <w:rPr>
          <w:i/>
        </w:rPr>
        <w:t xml:space="preserve">the </w:t>
      </w:r>
      <w:r w:rsidRPr="00601B0E">
        <w:rPr>
          <w:i/>
          <w:iCs/>
        </w:rPr>
        <w:t xml:space="preserve">Australian Government Guide to </w:t>
      </w:r>
      <w:r w:rsidR="00F04103">
        <w:rPr>
          <w:i/>
          <w:iCs/>
        </w:rPr>
        <w:t>Regulatory Impact Analysis</w:t>
      </w:r>
      <w:r w:rsidRPr="00601B0E">
        <w:t xml:space="preserve"> and the Council of Australian Governments’ </w:t>
      </w:r>
      <w:r w:rsidRPr="00601B0E">
        <w:rPr>
          <w:i/>
          <w:iCs/>
        </w:rPr>
        <w:t>Best Practice Regulation: A Guide for Ministerial Councils and National Standard Setting Bodies</w:t>
      </w:r>
      <w:r w:rsidRPr="00601B0E">
        <w:rPr>
          <w:i/>
        </w:rPr>
        <w:t>.</w:t>
      </w:r>
    </w:p>
    <w:p w14:paraId="6C19A228" w14:textId="45AD88B3" w:rsidR="00132DC9" w:rsidRDefault="00132DC9" w:rsidP="00D17480">
      <w:pPr>
        <w:pStyle w:val="HeadingLevel1"/>
      </w:pPr>
      <w:bookmarkStart w:id="51" w:name="_Toc47694034"/>
      <w:bookmarkStart w:id="52" w:name="_Toc318271645"/>
      <w:bookmarkStart w:id="53" w:name="_Toc317171517"/>
      <w:bookmarkStart w:id="54" w:name="_Toc317171391"/>
      <w:bookmarkStart w:id="55" w:name="_Toc317158948"/>
      <w:bookmarkStart w:id="56" w:name="_Toc318272904"/>
      <w:bookmarkStart w:id="57" w:name="_Toc319402529"/>
      <w:bookmarkStart w:id="58" w:name="_Toc505092267"/>
      <w:bookmarkStart w:id="59" w:name="_Toc46333225"/>
      <w:bookmarkStart w:id="60" w:name="_Toc46333479"/>
      <w:bookmarkStart w:id="61" w:name="_Toc46333633"/>
      <w:bookmarkStart w:id="62" w:name="_Toc46333798"/>
      <w:bookmarkStart w:id="63" w:name="_Toc46333912"/>
      <w:bookmarkStart w:id="64" w:name="_Toc46334648"/>
      <w:bookmarkEnd w:id="50"/>
      <w:r>
        <w:t>Regulatory I</w:t>
      </w:r>
      <w:r w:rsidR="00D929FE">
        <w:t>mpact</w:t>
      </w:r>
      <w:bookmarkEnd w:id="51"/>
    </w:p>
    <w:p w14:paraId="7510819A" w14:textId="77777777" w:rsidR="00132DC9" w:rsidRPr="00601B0E" w:rsidRDefault="00132DC9" w:rsidP="00D17480">
      <w:pPr>
        <w:pStyle w:val="HeadingLevel2"/>
      </w:pPr>
      <w:bookmarkStart w:id="65" w:name="_Toc167864616"/>
      <w:bookmarkStart w:id="66" w:name="_Toc505092264"/>
      <w:bookmarkStart w:id="67" w:name="_Toc46333222"/>
      <w:bookmarkStart w:id="68" w:name="_Toc46333476"/>
      <w:bookmarkStart w:id="69" w:name="_Toc46333630"/>
      <w:bookmarkStart w:id="70" w:name="_Toc46333795"/>
      <w:bookmarkStart w:id="71" w:name="_Toc46333909"/>
      <w:bookmarkStart w:id="72" w:name="_Toc46334645"/>
      <w:bookmarkStart w:id="73" w:name="_Toc47694035"/>
      <w:r w:rsidRPr="00601B0E">
        <w:t>B</w:t>
      </w:r>
      <w:bookmarkEnd w:id="65"/>
      <w:r w:rsidRPr="00601B0E">
        <w:t>enefits and Costs</w:t>
      </w:r>
      <w:bookmarkEnd w:id="66"/>
      <w:bookmarkEnd w:id="67"/>
      <w:bookmarkEnd w:id="68"/>
      <w:bookmarkEnd w:id="69"/>
      <w:bookmarkEnd w:id="70"/>
      <w:bookmarkEnd w:id="71"/>
      <w:bookmarkEnd w:id="72"/>
      <w:bookmarkEnd w:id="73"/>
    </w:p>
    <w:p w14:paraId="15DD3994" w14:textId="436C65C4" w:rsidR="00976FC2" w:rsidRDefault="0041187B" w:rsidP="00BC2CD5">
      <w:pPr>
        <w:keepLines/>
      </w:pPr>
      <w:r w:rsidRPr="0041187B">
        <w:t xml:space="preserve">This amendment will have a neutral regulatory impact, </w:t>
      </w:r>
      <w:r w:rsidR="00531C92">
        <w:t xml:space="preserve">both </w:t>
      </w:r>
      <w:r w:rsidRPr="0041187B">
        <w:t>in terms of the benefits and costs of regulation</w:t>
      </w:r>
      <w:r w:rsidR="00531C92">
        <w:t xml:space="preserve">. The amendments to the definitions concerned will only clarify the operation and application of </w:t>
      </w:r>
      <w:r w:rsidR="0040179A">
        <w:t>ADRs</w:t>
      </w:r>
      <w:r w:rsidRPr="0041187B">
        <w:t>.</w:t>
      </w:r>
    </w:p>
    <w:p w14:paraId="09A78765" w14:textId="477DF9B6" w:rsidR="00132DC9" w:rsidRPr="00601B0E" w:rsidRDefault="00132DC9" w:rsidP="00D17480">
      <w:pPr>
        <w:pStyle w:val="HeadingLevel2"/>
      </w:pPr>
      <w:bookmarkStart w:id="74" w:name="_Toc47694036"/>
      <w:r>
        <w:t>Regulation Impact Statement</w:t>
      </w:r>
      <w:bookmarkEnd w:id="74"/>
    </w:p>
    <w:p w14:paraId="7B01EF1A" w14:textId="6FA82AD5" w:rsidR="00132DC9" w:rsidRPr="00601B0E" w:rsidRDefault="0041187B" w:rsidP="00A37DF5">
      <w:r w:rsidRPr="0041187B">
        <w:t>A Regulation Impact Statement is not required, as the decision maker is not the Australian Government’s Cabinet, and this amendment will have a neutral regulatory impact</w:t>
      </w:r>
      <w:r w:rsidR="00132DC9" w:rsidRPr="00A939B2">
        <w:t>.</w:t>
      </w:r>
    </w:p>
    <w:p w14:paraId="36369E34" w14:textId="00CAD138" w:rsidR="00586887" w:rsidRPr="00601B0E" w:rsidRDefault="00586887" w:rsidP="00D17480">
      <w:pPr>
        <w:pStyle w:val="HeadingLevel1"/>
      </w:pPr>
      <w:bookmarkStart w:id="75" w:name="_Toc47694037"/>
      <w:r w:rsidRPr="00601B0E">
        <w:t>STATEMENT OF COMPATIBILITY WITH HUMAN RIGHTS</w:t>
      </w:r>
      <w:bookmarkEnd w:id="52"/>
      <w:bookmarkEnd w:id="53"/>
      <w:bookmarkEnd w:id="54"/>
      <w:bookmarkEnd w:id="55"/>
      <w:bookmarkEnd w:id="56"/>
      <w:bookmarkEnd w:id="57"/>
      <w:bookmarkEnd w:id="58"/>
      <w:bookmarkEnd w:id="59"/>
      <w:bookmarkEnd w:id="60"/>
      <w:bookmarkEnd w:id="61"/>
      <w:bookmarkEnd w:id="62"/>
      <w:bookmarkEnd w:id="63"/>
      <w:bookmarkEnd w:id="64"/>
      <w:bookmarkEnd w:id="75"/>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601B0E" w:rsidRDefault="00586887" w:rsidP="00D17480">
      <w:pPr>
        <w:pStyle w:val="HeadingLevel2"/>
      </w:pPr>
      <w:bookmarkStart w:id="76" w:name="_Toc318271646"/>
      <w:bookmarkStart w:id="77" w:name="_Toc317171518"/>
      <w:bookmarkStart w:id="78" w:name="_Toc317171392"/>
      <w:bookmarkStart w:id="79" w:name="_Toc318272905"/>
      <w:bookmarkStart w:id="80" w:name="_Toc319402530"/>
      <w:bookmarkStart w:id="81" w:name="_Toc505092268"/>
      <w:bookmarkStart w:id="82" w:name="_Toc46333226"/>
      <w:bookmarkStart w:id="83" w:name="_Toc46333480"/>
      <w:bookmarkStart w:id="84" w:name="_Toc46333634"/>
      <w:bookmarkStart w:id="85" w:name="_Toc46333799"/>
      <w:bookmarkStart w:id="86" w:name="_Toc46333913"/>
      <w:bookmarkStart w:id="87" w:name="_Toc46334649"/>
      <w:bookmarkStart w:id="88" w:name="_Toc47694038"/>
      <w:r w:rsidRPr="00601B0E">
        <w:t>Overview</w:t>
      </w:r>
      <w:bookmarkEnd w:id="76"/>
      <w:bookmarkEnd w:id="77"/>
      <w:bookmarkEnd w:id="78"/>
      <w:bookmarkEnd w:id="79"/>
      <w:bookmarkEnd w:id="80"/>
      <w:bookmarkEnd w:id="81"/>
      <w:bookmarkEnd w:id="82"/>
      <w:bookmarkEnd w:id="83"/>
      <w:bookmarkEnd w:id="84"/>
      <w:bookmarkEnd w:id="85"/>
      <w:bookmarkEnd w:id="86"/>
      <w:bookmarkEnd w:id="87"/>
      <w:bookmarkEnd w:id="88"/>
    </w:p>
    <w:p w14:paraId="7AEA0EBB" w14:textId="074A7F92" w:rsidR="00884F63" w:rsidRDefault="00884F63" w:rsidP="00D82CC0">
      <w:r>
        <w:t>This amendment includes the removal and replacement of definitions supporting the amendment of the Motor Vehicle (Road Vehicle) Amendment Determination (No.1) 2020 (the Determination). Changes include the removal of the definition of a Pedalec, as well as the inclusion of definitions for Electrically Power Assisted Cycles and Power Assisted Pedal Cycles.</w:t>
      </w:r>
    </w:p>
    <w:p w14:paraId="76BF1088" w14:textId="456CD1E7" w:rsidR="00586887" w:rsidRPr="00601B0E" w:rsidRDefault="00586887" w:rsidP="00D17480">
      <w:pPr>
        <w:pStyle w:val="HeadingLevel2"/>
      </w:pPr>
      <w:bookmarkStart w:id="89" w:name="_Toc318271647"/>
      <w:bookmarkStart w:id="90" w:name="_Toc317171519"/>
      <w:bookmarkStart w:id="91" w:name="_Toc317171393"/>
      <w:bookmarkStart w:id="92" w:name="_Toc318272906"/>
      <w:bookmarkStart w:id="93" w:name="_Toc319402531"/>
      <w:bookmarkStart w:id="94" w:name="_Toc505092269"/>
      <w:bookmarkStart w:id="95" w:name="_Toc46333227"/>
      <w:bookmarkStart w:id="96" w:name="_Toc46333481"/>
      <w:bookmarkStart w:id="97" w:name="_Toc46333635"/>
      <w:bookmarkStart w:id="98" w:name="_Toc46333800"/>
      <w:bookmarkStart w:id="99" w:name="_Toc46333914"/>
      <w:bookmarkStart w:id="100" w:name="_Toc46334650"/>
      <w:bookmarkStart w:id="101" w:name="_Toc47694039"/>
      <w:r w:rsidRPr="00601B0E">
        <w:t>Human Rights Implications</w:t>
      </w:r>
      <w:bookmarkEnd w:id="89"/>
      <w:bookmarkEnd w:id="90"/>
      <w:bookmarkEnd w:id="91"/>
      <w:bookmarkEnd w:id="92"/>
      <w:bookmarkEnd w:id="93"/>
      <w:bookmarkEnd w:id="94"/>
      <w:bookmarkEnd w:id="95"/>
      <w:bookmarkEnd w:id="96"/>
      <w:bookmarkEnd w:id="97"/>
      <w:bookmarkEnd w:id="98"/>
      <w:bookmarkEnd w:id="99"/>
      <w:bookmarkEnd w:id="100"/>
      <w:bookmarkEnd w:id="101"/>
    </w:p>
    <w:p w14:paraId="1AEA2180" w14:textId="526774C7" w:rsidR="00586887" w:rsidRPr="00601B0E" w:rsidRDefault="00AE591E" w:rsidP="00D82CC0">
      <w:r>
        <w:t xml:space="preserve">This amendment to </w:t>
      </w:r>
      <w:r w:rsidR="00F326F0">
        <w:t xml:space="preserve">the Australian Design Rule – Definitions and Vehicle Categories </w:t>
      </w:r>
      <w:r w:rsidR="002D7E26" w:rsidRPr="00601B0E">
        <w:t xml:space="preserve">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601B0E" w:rsidRDefault="00586887" w:rsidP="00D17480">
      <w:pPr>
        <w:pStyle w:val="HeadingLevel2"/>
      </w:pPr>
      <w:bookmarkStart w:id="102" w:name="_Toc319402532"/>
      <w:bookmarkStart w:id="103" w:name="_Toc505092270"/>
      <w:bookmarkStart w:id="104" w:name="_Toc46333228"/>
      <w:bookmarkStart w:id="105" w:name="_Toc46333482"/>
      <w:bookmarkStart w:id="106" w:name="_Toc46333636"/>
      <w:bookmarkStart w:id="107" w:name="_Toc46333801"/>
      <w:bookmarkStart w:id="108" w:name="_Toc46333915"/>
      <w:bookmarkStart w:id="109" w:name="_Toc46334651"/>
      <w:bookmarkStart w:id="110" w:name="_Toc47694040"/>
      <w:r w:rsidRPr="00601B0E">
        <w:t>Conclusion</w:t>
      </w:r>
      <w:bookmarkEnd w:id="102"/>
      <w:bookmarkEnd w:id="103"/>
      <w:bookmarkEnd w:id="104"/>
      <w:bookmarkEnd w:id="105"/>
      <w:bookmarkEnd w:id="106"/>
      <w:bookmarkEnd w:id="107"/>
      <w:bookmarkEnd w:id="108"/>
      <w:bookmarkEnd w:id="109"/>
      <w:bookmarkEnd w:id="110"/>
    </w:p>
    <w:p w14:paraId="5096BDDD" w14:textId="6687569C" w:rsidR="002D7277" w:rsidRPr="00601B0E" w:rsidRDefault="00AE591E" w:rsidP="00D82CC0">
      <w:r>
        <w:t xml:space="preserve">This amendment </w:t>
      </w:r>
      <w:r w:rsidR="00F326F0">
        <w:t xml:space="preserve">to the Australian Design Rule – Definitions and Vehicle Categories </w:t>
      </w:r>
      <w:r w:rsidR="00586887" w:rsidRPr="00601B0E">
        <w:t>is compatible with human rights</w:t>
      </w:r>
      <w:r w:rsidR="00DF5206" w:rsidRPr="00601B0E">
        <w:t>,</w:t>
      </w:r>
      <w:r w:rsidR="00586887" w:rsidRPr="00601B0E">
        <w:t xml:space="preserve"> as it does not raise any human rights issues.</w:t>
      </w:r>
    </w:p>
    <w:sectPr w:rsidR="002D7277" w:rsidRPr="00601B0E" w:rsidSect="005142E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F7D2A" w14:textId="77777777" w:rsidR="00DA72E8" w:rsidRDefault="00DA72E8" w:rsidP="00D82CC0">
      <w:r>
        <w:separator/>
      </w:r>
    </w:p>
  </w:endnote>
  <w:endnote w:type="continuationSeparator" w:id="0">
    <w:p w14:paraId="09495495" w14:textId="77777777" w:rsidR="00DA72E8" w:rsidRDefault="00DA72E8"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5A91B" w14:textId="77777777" w:rsidR="00DA72E8" w:rsidRDefault="00DA72E8" w:rsidP="00D82CC0">
      <w:r>
        <w:separator/>
      </w:r>
    </w:p>
  </w:footnote>
  <w:footnote w:type="continuationSeparator" w:id="0">
    <w:p w14:paraId="79F673FA" w14:textId="77777777" w:rsidR="00DA72E8" w:rsidRDefault="00DA72E8"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927FA7" w:rsidRPr="005F7AFE" w14:paraId="7A3E3E8D" w14:textId="77777777" w:rsidTr="003852A0">
      <w:tc>
        <w:tcPr>
          <w:tcW w:w="8973" w:type="dxa"/>
          <w:shd w:val="clear" w:color="auto" w:fill="auto"/>
          <w:vAlign w:val="center"/>
        </w:tcPr>
        <w:p w14:paraId="30D0C7A5" w14:textId="32726D3A" w:rsidR="00927FA7" w:rsidRPr="008A05F7" w:rsidRDefault="00927FA7" w:rsidP="007B664E">
          <w:pPr>
            <w:pStyle w:val="Header"/>
            <w:spacing w:before="0" w:after="0"/>
            <w:rPr>
              <w:szCs w:val="20"/>
            </w:rPr>
          </w:pPr>
          <w:r w:rsidRPr="00DC33CF">
            <w:t>Vehicle Standard (</w:t>
          </w:r>
          <w:r w:rsidR="001A330B">
            <w:rPr>
              <w:szCs w:val="20"/>
            </w:rPr>
            <w:t>Australian Design Rule</w:t>
          </w:r>
          <w:r w:rsidRPr="00A03992">
            <w:rPr>
              <w:szCs w:val="20"/>
            </w:rPr>
            <w:t xml:space="preserve"> </w:t>
          </w:r>
          <w:r>
            <w:rPr>
              <w:szCs w:val="20"/>
            </w:rPr>
            <w:t xml:space="preserve">– </w:t>
          </w:r>
          <w:r w:rsidR="00E87372" w:rsidRPr="00E87372">
            <w:rPr>
              <w:szCs w:val="20"/>
            </w:rPr>
            <w:t>Definitions and Vehicle Categories) 2005 Amendment 1</w:t>
          </w:r>
          <w:r w:rsidR="007B664E">
            <w:rPr>
              <w:szCs w:val="20"/>
            </w:rPr>
            <w:t>1</w:t>
          </w:r>
        </w:p>
      </w:tc>
      <w:tc>
        <w:tcPr>
          <w:tcW w:w="346" w:type="dxa"/>
          <w:shd w:val="clear" w:color="auto" w:fill="auto"/>
        </w:tcPr>
        <w:p w14:paraId="5487D68A" w14:textId="21C7D003" w:rsidR="00927FA7" w:rsidRPr="005F7AFE" w:rsidRDefault="00927FA7" w:rsidP="003852A0">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CF3694">
            <w:rPr>
              <w:noProof/>
              <w:spacing w:val="-2"/>
              <w:sz w:val="20"/>
              <w:szCs w:val="20"/>
              <w:lang w:val="x-none" w:eastAsia="x-none"/>
            </w:rPr>
            <w:t>4</w:t>
          </w:r>
          <w:r w:rsidRPr="005F7AFE">
            <w:rPr>
              <w:spacing w:val="-2"/>
              <w:sz w:val="20"/>
              <w:szCs w:val="20"/>
              <w:lang w:val="x-none" w:eastAsia="x-none"/>
            </w:rPr>
            <w:fldChar w:fldCharType="end"/>
          </w:r>
        </w:p>
      </w:tc>
    </w:tr>
    <w:tr w:rsidR="00927FA7" w:rsidRPr="005F7AFE" w14:paraId="71C9FD42" w14:textId="77777777" w:rsidTr="00927FA7">
      <w:tc>
        <w:tcPr>
          <w:tcW w:w="8973" w:type="dxa"/>
          <w:tcBorders>
            <w:bottom w:val="single" w:sz="4" w:space="0" w:color="auto"/>
          </w:tcBorders>
          <w:shd w:val="clear" w:color="auto" w:fill="auto"/>
          <w:vAlign w:val="center"/>
        </w:tcPr>
        <w:p w14:paraId="40F29FEF" w14:textId="77777777" w:rsidR="00927FA7" w:rsidRPr="00DC33CF" w:rsidRDefault="00927FA7" w:rsidP="00927FA7">
          <w:pPr>
            <w:pStyle w:val="Header"/>
            <w:spacing w:before="0" w:after="0"/>
          </w:pPr>
          <w:r>
            <w:t>Explanatory Statement</w:t>
          </w:r>
        </w:p>
      </w:tc>
      <w:tc>
        <w:tcPr>
          <w:tcW w:w="346" w:type="dxa"/>
          <w:tcBorders>
            <w:bottom w:val="single" w:sz="4" w:space="0" w:color="auto"/>
          </w:tcBorders>
          <w:shd w:val="clear" w:color="auto" w:fill="auto"/>
          <w:vAlign w:val="center"/>
        </w:tcPr>
        <w:p w14:paraId="36EE5F47" w14:textId="77777777"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927FA7" w:rsidRPr="005F7AFE" w14:paraId="65878BD3" w14:textId="77777777" w:rsidTr="003852A0">
      <w:tc>
        <w:tcPr>
          <w:tcW w:w="8973" w:type="dxa"/>
          <w:shd w:val="clear" w:color="auto" w:fill="auto"/>
          <w:vAlign w:val="center"/>
        </w:tcPr>
        <w:p w14:paraId="4F242680" w14:textId="0FC3A34A" w:rsidR="00927FA7" w:rsidRPr="008A05F7" w:rsidRDefault="00927FA7" w:rsidP="004F301C">
          <w:pPr>
            <w:pStyle w:val="Header"/>
            <w:spacing w:before="0" w:after="0"/>
            <w:rPr>
              <w:szCs w:val="20"/>
            </w:rPr>
          </w:pPr>
          <w:r w:rsidRPr="00DC33CF">
            <w:t>Vehicle Standard (</w:t>
          </w:r>
          <w:r w:rsidR="001A330B">
            <w:rPr>
              <w:szCs w:val="20"/>
            </w:rPr>
            <w:t>Australian Design Rule</w:t>
          </w:r>
          <w:r w:rsidRPr="00A03992">
            <w:rPr>
              <w:szCs w:val="20"/>
            </w:rPr>
            <w:t xml:space="preserve"> </w:t>
          </w:r>
          <w:r>
            <w:rPr>
              <w:szCs w:val="20"/>
            </w:rPr>
            <w:t xml:space="preserve">– </w:t>
          </w:r>
          <w:r w:rsidR="00E87372" w:rsidRPr="00E87372">
            <w:rPr>
              <w:szCs w:val="20"/>
            </w:rPr>
            <w:t>Definitions and Vehicle Categories) 2005 Amendment 1</w:t>
          </w:r>
          <w:r w:rsidR="004F301C">
            <w:rPr>
              <w:szCs w:val="20"/>
            </w:rPr>
            <w:t>1</w:t>
          </w:r>
        </w:p>
      </w:tc>
      <w:tc>
        <w:tcPr>
          <w:tcW w:w="346" w:type="dxa"/>
          <w:shd w:val="clear" w:color="auto" w:fill="auto"/>
        </w:tcPr>
        <w:p w14:paraId="38E5DE22" w14:textId="03DDC571" w:rsidR="00927FA7" w:rsidRPr="005F7AFE" w:rsidRDefault="00927FA7" w:rsidP="003852A0">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CF3694">
            <w:rPr>
              <w:noProof/>
              <w:spacing w:val="-2"/>
              <w:sz w:val="20"/>
              <w:szCs w:val="20"/>
              <w:lang w:val="x-none" w:eastAsia="x-none"/>
            </w:rPr>
            <w:t>2</w:t>
          </w:r>
          <w:r w:rsidRPr="005F7AFE">
            <w:rPr>
              <w:spacing w:val="-2"/>
              <w:sz w:val="20"/>
              <w:szCs w:val="20"/>
              <w:lang w:val="x-none" w:eastAsia="x-none"/>
            </w:rPr>
            <w:fldChar w:fldCharType="end"/>
          </w:r>
        </w:p>
      </w:tc>
    </w:tr>
    <w:tr w:rsidR="00927FA7" w:rsidRPr="005F7AFE" w14:paraId="7F511CAC" w14:textId="77777777" w:rsidTr="00927FA7">
      <w:tc>
        <w:tcPr>
          <w:tcW w:w="8973" w:type="dxa"/>
          <w:tcBorders>
            <w:bottom w:val="single" w:sz="4" w:space="0" w:color="auto"/>
          </w:tcBorders>
          <w:shd w:val="clear" w:color="auto" w:fill="auto"/>
          <w:vAlign w:val="center"/>
        </w:tcPr>
        <w:p w14:paraId="2E6DFC16" w14:textId="16894451" w:rsidR="00927FA7" w:rsidRPr="00DC33CF" w:rsidRDefault="00927FA7" w:rsidP="00927FA7">
          <w:pPr>
            <w:pStyle w:val="Header"/>
            <w:spacing w:before="0" w:after="0"/>
          </w:pPr>
          <w:r>
            <w:t>Explanatory Statement</w:t>
          </w:r>
        </w:p>
      </w:tc>
      <w:tc>
        <w:tcPr>
          <w:tcW w:w="346" w:type="dxa"/>
          <w:tcBorders>
            <w:bottom w:val="single" w:sz="4" w:space="0" w:color="auto"/>
          </w:tcBorders>
          <w:shd w:val="clear" w:color="auto" w:fill="auto"/>
          <w:vAlign w:val="center"/>
        </w:tcPr>
        <w:p w14:paraId="4C6CA70B" w14:textId="77777777"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C440470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2553"/>
        </w:tabs>
        <w:ind w:left="2553"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1"/>
  </w:num>
  <w:num w:numId="21">
    <w:abstractNumId w:val="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0614"/>
    <w:rsid w:val="000040F7"/>
    <w:rsid w:val="000069C7"/>
    <w:rsid w:val="00006B90"/>
    <w:rsid w:val="00011FA5"/>
    <w:rsid w:val="000157B0"/>
    <w:rsid w:val="000166ED"/>
    <w:rsid w:val="000170EC"/>
    <w:rsid w:val="000220C0"/>
    <w:rsid w:val="00022CA1"/>
    <w:rsid w:val="000241C6"/>
    <w:rsid w:val="000245BE"/>
    <w:rsid w:val="0002471C"/>
    <w:rsid w:val="00025A8A"/>
    <w:rsid w:val="00027BA8"/>
    <w:rsid w:val="00031993"/>
    <w:rsid w:val="000335E2"/>
    <w:rsid w:val="000347C4"/>
    <w:rsid w:val="00035887"/>
    <w:rsid w:val="00036526"/>
    <w:rsid w:val="000377B3"/>
    <w:rsid w:val="00037E8F"/>
    <w:rsid w:val="000462E5"/>
    <w:rsid w:val="00047B3E"/>
    <w:rsid w:val="00050FB8"/>
    <w:rsid w:val="00052EF3"/>
    <w:rsid w:val="0005416F"/>
    <w:rsid w:val="00054DEF"/>
    <w:rsid w:val="000562F1"/>
    <w:rsid w:val="000571CD"/>
    <w:rsid w:val="000604A0"/>
    <w:rsid w:val="00060FE2"/>
    <w:rsid w:val="00064AFA"/>
    <w:rsid w:val="000650DA"/>
    <w:rsid w:val="0006686B"/>
    <w:rsid w:val="00066F93"/>
    <w:rsid w:val="00067219"/>
    <w:rsid w:val="000713D8"/>
    <w:rsid w:val="00072E73"/>
    <w:rsid w:val="000740DE"/>
    <w:rsid w:val="00074D90"/>
    <w:rsid w:val="000760A3"/>
    <w:rsid w:val="0008418F"/>
    <w:rsid w:val="00085D26"/>
    <w:rsid w:val="0008652F"/>
    <w:rsid w:val="0008670D"/>
    <w:rsid w:val="0009011D"/>
    <w:rsid w:val="000957CE"/>
    <w:rsid w:val="0009658B"/>
    <w:rsid w:val="000A3069"/>
    <w:rsid w:val="000A6787"/>
    <w:rsid w:val="000B0E53"/>
    <w:rsid w:val="000B1C73"/>
    <w:rsid w:val="000B3D64"/>
    <w:rsid w:val="000B3DBE"/>
    <w:rsid w:val="000B4684"/>
    <w:rsid w:val="000B538B"/>
    <w:rsid w:val="000C0B71"/>
    <w:rsid w:val="000C0E62"/>
    <w:rsid w:val="000C14D3"/>
    <w:rsid w:val="000C171E"/>
    <w:rsid w:val="000C2AF4"/>
    <w:rsid w:val="000C3C06"/>
    <w:rsid w:val="000C46B1"/>
    <w:rsid w:val="000C57AC"/>
    <w:rsid w:val="000C5EBA"/>
    <w:rsid w:val="000C6717"/>
    <w:rsid w:val="000C796D"/>
    <w:rsid w:val="000D0DD0"/>
    <w:rsid w:val="000D1A08"/>
    <w:rsid w:val="000D3459"/>
    <w:rsid w:val="000D6331"/>
    <w:rsid w:val="000E1532"/>
    <w:rsid w:val="000E3161"/>
    <w:rsid w:val="000E3BAA"/>
    <w:rsid w:val="000E3CB6"/>
    <w:rsid w:val="000E46B1"/>
    <w:rsid w:val="000E5144"/>
    <w:rsid w:val="000E556E"/>
    <w:rsid w:val="000E6F99"/>
    <w:rsid w:val="000E7A76"/>
    <w:rsid w:val="000F184B"/>
    <w:rsid w:val="000F4182"/>
    <w:rsid w:val="000F534E"/>
    <w:rsid w:val="000F6F83"/>
    <w:rsid w:val="000F7895"/>
    <w:rsid w:val="000F793B"/>
    <w:rsid w:val="00101E42"/>
    <w:rsid w:val="00102781"/>
    <w:rsid w:val="00102CCC"/>
    <w:rsid w:val="00102EE7"/>
    <w:rsid w:val="00105209"/>
    <w:rsid w:val="00106C75"/>
    <w:rsid w:val="00106E24"/>
    <w:rsid w:val="001143B9"/>
    <w:rsid w:val="0012081F"/>
    <w:rsid w:val="0012110B"/>
    <w:rsid w:val="00121BEF"/>
    <w:rsid w:val="00121CBA"/>
    <w:rsid w:val="0012466F"/>
    <w:rsid w:val="00127289"/>
    <w:rsid w:val="00130F68"/>
    <w:rsid w:val="00131492"/>
    <w:rsid w:val="00132DC9"/>
    <w:rsid w:val="00141E4F"/>
    <w:rsid w:val="00141FF9"/>
    <w:rsid w:val="00147F05"/>
    <w:rsid w:val="00150C04"/>
    <w:rsid w:val="0015120A"/>
    <w:rsid w:val="00152636"/>
    <w:rsid w:val="001536B1"/>
    <w:rsid w:val="00155DDC"/>
    <w:rsid w:val="00155FE4"/>
    <w:rsid w:val="00157142"/>
    <w:rsid w:val="00157631"/>
    <w:rsid w:val="001606BF"/>
    <w:rsid w:val="00160C84"/>
    <w:rsid w:val="00166DC2"/>
    <w:rsid w:val="00167283"/>
    <w:rsid w:val="00170AE8"/>
    <w:rsid w:val="001717FC"/>
    <w:rsid w:val="00171B84"/>
    <w:rsid w:val="00172F4C"/>
    <w:rsid w:val="00177811"/>
    <w:rsid w:val="00177ADF"/>
    <w:rsid w:val="00177EB2"/>
    <w:rsid w:val="001811E9"/>
    <w:rsid w:val="0018147E"/>
    <w:rsid w:val="00181511"/>
    <w:rsid w:val="00185894"/>
    <w:rsid w:val="00187070"/>
    <w:rsid w:val="00187D37"/>
    <w:rsid w:val="00190975"/>
    <w:rsid w:val="00192F2E"/>
    <w:rsid w:val="00197EE4"/>
    <w:rsid w:val="001A0762"/>
    <w:rsid w:val="001A0E75"/>
    <w:rsid w:val="001A28AB"/>
    <w:rsid w:val="001A330B"/>
    <w:rsid w:val="001B0EFB"/>
    <w:rsid w:val="001B217D"/>
    <w:rsid w:val="001B35BE"/>
    <w:rsid w:val="001B38AA"/>
    <w:rsid w:val="001B3B65"/>
    <w:rsid w:val="001B5F38"/>
    <w:rsid w:val="001B7A5F"/>
    <w:rsid w:val="001C1EC8"/>
    <w:rsid w:val="001C69AE"/>
    <w:rsid w:val="001D01E5"/>
    <w:rsid w:val="001D0DE6"/>
    <w:rsid w:val="001D17F3"/>
    <w:rsid w:val="001D2618"/>
    <w:rsid w:val="001D2D0B"/>
    <w:rsid w:val="001D467A"/>
    <w:rsid w:val="001D4C8A"/>
    <w:rsid w:val="001D592B"/>
    <w:rsid w:val="001E0205"/>
    <w:rsid w:val="001E0A6A"/>
    <w:rsid w:val="001E1A19"/>
    <w:rsid w:val="001E218D"/>
    <w:rsid w:val="001E543A"/>
    <w:rsid w:val="001E5490"/>
    <w:rsid w:val="001E6F6F"/>
    <w:rsid w:val="001F0A7E"/>
    <w:rsid w:val="001F128D"/>
    <w:rsid w:val="001F566C"/>
    <w:rsid w:val="001F6B19"/>
    <w:rsid w:val="00200879"/>
    <w:rsid w:val="00201648"/>
    <w:rsid w:val="002019EC"/>
    <w:rsid w:val="00205431"/>
    <w:rsid w:val="0020549D"/>
    <w:rsid w:val="00206EF3"/>
    <w:rsid w:val="00207C63"/>
    <w:rsid w:val="00210C5E"/>
    <w:rsid w:val="00212153"/>
    <w:rsid w:val="00215C84"/>
    <w:rsid w:val="00216DD3"/>
    <w:rsid w:val="002211E8"/>
    <w:rsid w:val="00225589"/>
    <w:rsid w:val="0022575C"/>
    <w:rsid w:val="00225EEA"/>
    <w:rsid w:val="00226CB6"/>
    <w:rsid w:val="0022719C"/>
    <w:rsid w:val="00227A72"/>
    <w:rsid w:val="0023125C"/>
    <w:rsid w:val="00231B30"/>
    <w:rsid w:val="002325B1"/>
    <w:rsid w:val="00233E87"/>
    <w:rsid w:val="00233F4B"/>
    <w:rsid w:val="00235D5D"/>
    <w:rsid w:val="00237477"/>
    <w:rsid w:val="00237831"/>
    <w:rsid w:val="00240C00"/>
    <w:rsid w:val="00240D62"/>
    <w:rsid w:val="00240F32"/>
    <w:rsid w:val="002411F9"/>
    <w:rsid w:val="0024155C"/>
    <w:rsid w:val="002425A0"/>
    <w:rsid w:val="00242D6F"/>
    <w:rsid w:val="002449FF"/>
    <w:rsid w:val="00246F06"/>
    <w:rsid w:val="00252961"/>
    <w:rsid w:val="00253F55"/>
    <w:rsid w:val="00254F16"/>
    <w:rsid w:val="002550C2"/>
    <w:rsid w:val="002565EA"/>
    <w:rsid w:val="00256C8A"/>
    <w:rsid w:val="0026352E"/>
    <w:rsid w:val="002640E7"/>
    <w:rsid w:val="00265ABF"/>
    <w:rsid w:val="002667FE"/>
    <w:rsid w:val="00266FE7"/>
    <w:rsid w:val="00267F4B"/>
    <w:rsid w:val="0027051E"/>
    <w:rsid w:val="002707F7"/>
    <w:rsid w:val="0027099F"/>
    <w:rsid w:val="00270FAD"/>
    <w:rsid w:val="002714C6"/>
    <w:rsid w:val="00271DCE"/>
    <w:rsid w:val="00280A0E"/>
    <w:rsid w:val="00282AAC"/>
    <w:rsid w:val="0028346B"/>
    <w:rsid w:val="002834A5"/>
    <w:rsid w:val="00283C75"/>
    <w:rsid w:val="00283F35"/>
    <w:rsid w:val="00285ADA"/>
    <w:rsid w:val="00287770"/>
    <w:rsid w:val="002904A2"/>
    <w:rsid w:val="00292D0D"/>
    <w:rsid w:val="00293513"/>
    <w:rsid w:val="002968C5"/>
    <w:rsid w:val="00297504"/>
    <w:rsid w:val="002975C7"/>
    <w:rsid w:val="00297D5D"/>
    <w:rsid w:val="002A005B"/>
    <w:rsid w:val="002A063C"/>
    <w:rsid w:val="002A19CC"/>
    <w:rsid w:val="002A1C88"/>
    <w:rsid w:val="002A4357"/>
    <w:rsid w:val="002A435A"/>
    <w:rsid w:val="002A45B8"/>
    <w:rsid w:val="002A4E59"/>
    <w:rsid w:val="002B0075"/>
    <w:rsid w:val="002B14ED"/>
    <w:rsid w:val="002B1FE3"/>
    <w:rsid w:val="002B574B"/>
    <w:rsid w:val="002B7491"/>
    <w:rsid w:val="002B7CA5"/>
    <w:rsid w:val="002C2704"/>
    <w:rsid w:val="002C4578"/>
    <w:rsid w:val="002C55A1"/>
    <w:rsid w:val="002D070C"/>
    <w:rsid w:val="002D0D1B"/>
    <w:rsid w:val="002D2357"/>
    <w:rsid w:val="002D3608"/>
    <w:rsid w:val="002D508E"/>
    <w:rsid w:val="002D5B95"/>
    <w:rsid w:val="002D630E"/>
    <w:rsid w:val="002D7277"/>
    <w:rsid w:val="002D7D28"/>
    <w:rsid w:val="002D7E26"/>
    <w:rsid w:val="002E026C"/>
    <w:rsid w:val="002E10E0"/>
    <w:rsid w:val="002E14C2"/>
    <w:rsid w:val="002E1691"/>
    <w:rsid w:val="002E1798"/>
    <w:rsid w:val="002E1BBE"/>
    <w:rsid w:val="002E37E2"/>
    <w:rsid w:val="002E5035"/>
    <w:rsid w:val="002E51D2"/>
    <w:rsid w:val="002E6D99"/>
    <w:rsid w:val="002F17FE"/>
    <w:rsid w:val="002F310C"/>
    <w:rsid w:val="002F32C5"/>
    <w:rsid w:val="002F3EEF"/>
    <w:rsid w:val="002F48AF"/>
    <w:rsid w:val="002F6C96"/>
    <w:rsid w:val="0030081B"/>
    <w:rsid w:val="0030182F"/>
    <w:rsid w:val="003039C0"/>
    <w:rsid w:val="00304422"/>
    <w:rsid w:val="00304CAD"/>
    <w:rsid w:val="003057C9"/>
    <w:rsid w:val="00310E9F"/>
    <w:rsid w:val="003119C5"/>
    <w:rsid w:val="003127EB"/>
    <w:rsid w:val="003157F6"/>
    <w:rsid w:val="003206B1"/>
    <w:rsid w:val="003210C8"/>
    <w:rsid w:val="00326E4B"/>
    <w:rsid w:val="003319EF"/>
    <w:rsid w:val="0033287C"/>
    <w:rsid w:val="0034024E"/>
    <w:rsid w:val="00341E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34D5"/>
    <w:rsid w:val="00365500"/>
    <w:rsid w:val="00366380"/>
    <w:rsid w:val="00367091"/>
    <w:rsid w:val="00373116"/>
    <w:rsid w:val="003736E6"/>
    <w:rsid w:val="003737A4"/>
    <w:rsid w:val="00373A7D"/>
    <w:rsid w:val="00376103"/>
    <w:rsid w:val="00376574"/>
    <w:rsid w:val="0037674C"/>
    <w:rsid w:val="003771C7"/>
    <w:rsid w:val="003778A3"/>
    <w:rsid w:val="00382699"/>
    <w:rsid w:val="0038362C"/>
    <w:rsid w:val="003852A0"/>
    <w:rsid w:val="003864BF"/>
    <w:rsid w:val="003866F9"/>
    <w:rsid w:val="003868ED"/>
    <w:rsid w:val="003917B0"/>
    <w:rsid w:val="0039439E"/>
    <w:rsid w:val="00395DAB"/>
    <w:rsid w:val="00396C92"/>
    <w:rsid w:val="00397976"/>
    <w:rsid w:val="00397F88"/>
    <w:rsid w:val="003A2BF6"/>
    <w:rsid w:val="003A3373"/>
    <w:rsid w:val="003A3E29"/>
    <w:rsid w:val="003A4451"/>
    <w:rsid w:val="003A45FB"/>
    <w:rsid w:val="003A462D"/>
    <w:rsid w:val="003A4F94"/>
    <w:rsid w:val="003A7701"/>
    <w:rsid w:val="003B220C"/>
    <w:rsid w:val="003B2EB6"/>
    <w:rsid w:val="003B4057"/>
    <w:rsid w:val="003B4482"/>
    <w:rsid w:val="003B5BF0"/>
    <w:rsid w:val="003B6992"/>
    <w:rsid w:val="003B7123"/>
    <w:rsid w:val="003C06B1"/>
    <w:rsid w:val="003C095B"/>
    <w:rsid w:val="003C0FCE"/>
    <w:rsid w:val="003C33AE"/>
    <w:rsid w:val="003C3B0E"/>
    <w:rsid w:val="003C5C3D"/>
    <w:rsid w:val="003C7829"/>
    <w:rsid w:val="003C7EEF"/>
    <w:rsid w:val="003D1A38"/>
    <w:rsid w:val="003D1AB8"/>
    <w:rsid w:val="003D1BC8"/>
    <w:rsid w:val="003D3D19"/>
    <w:rsid w:val="003D4224"/>
    <w:rsid w:val="003D7E2A"/>
    <w:rsid w:val="003E2ACE"/>
    <w:rsid w:val="003E40C9"/>
    <w:rsid w:val="003E5643"/>
    <w:rsid w:val="003E56E7"/>
    <w:rsid w:val="003E6FFF"/>
    <w:rsid w:val="003F01D5"/>
    <w:rsid w:val="003F05AD"/>
    <w:rsid w:val="003F25A8"/>
    <w:rsid w:val="003F43E4"/>
    <w:rsid w:val="003F51E5"/>
    <w:rsid w:val="003F584A"/>
    <w:rsid w:val="003F610F"/>
    <w:rsid w:val="003F65A7"/>
    <w:rsid w:val="003F6981"/>
    <w:rsid w:val="003F6FBD"/>
    <w:rsid w:val="003F732D"/>
    <w:rsid w:val="003F756D"/>
    <w:rsid w:val="0040179A"/>
    <w:rsid w:val="00402B28"/>
    <w:rsid w:val="0040305E"/>
    <w:rsid w:val="004047EF"/>
    <w:rsid w:val="00404CC7"/>
    <w:rsid w:val="00406B4C"/>
    <w:rsid w:val="00407EDD"/>
    <w:rsid w:val="00410063"/>
    <w:rsid w:val="00410952"/>
    <w:rsid w:val="00410CF0"/>
    <w:rsid w:val="0041187B"/>
    <w:rsid w:val="00411ED1"/>
    <w:rsid w:val="004120B1"/>
    <w:rsid w:val="00412A94"/>
    <w:rsid w:val="00414BCC"/>
    <w:rsid w:val="004161CF"/>
    <w:rsid w:val="00420724"/>
    <w:rsid w:val="00420BFB"/>
    <w:rsid w:val="004215DD"/>
    <w:rsid w:val="00422A41"/>
    <w:rsid w:val="00423778"/>
    <w:rsid w:val="00424D88"/>
    <w:rsid w:val="00426BF7"/>
    <w:rsid w:val="004303A6"/>
    <w:rsid w:val="00431883"/>
    <w:rsid w:val="00433473"/>
    <w:rsid w:val="00436451"/>
    <w:rsid w:val="00436891"/>
    <w:rsid w:val="00437142"/>
    <w:rsid w:val="00440876"/>
    <w:rsid w:val="00441C3D"/>
    <w:rsid w:val="00441D7B"/>
    <w:rsid w:val="00443380"/>
    <w:rsid w:val="004433E1"/>
    <w:rsid w:val="004454CA"/>
    <w:rsid w:val="00445A77"/>
    <w:rsid w:val="00445D95"/>
    <w:rsid w:val="004472A2"/>
    <w:rsid w:val="00450F3A"/>
    <w:rsid w:val="00451400"/>
    <w:rsid w:val="004524F9"/>
    <w:rsid w:val="00453027"/>
    <w:rsid w:val="004536D3"/>
    <w:rsid w:val="004544F8"/>
    <w:rsid w:val="00454834"/>
    <w:rsid w:val="00455920"/>
    <w:rsid w:val="00457BD8"/>
    <w:rsid w:val="00457C83"/>
    <w:rsid w:val="004619D3"/>
    <w:rsid w:val="00461CA7"/>
    <w:rsid w:val="004621A1"/>
    <w:rsid w:val="004625CE"/>
    <w:rsid w:val="00462A19"/>
    <w:rsid w:val="00462B01"/>
    <w:rsid w:val="00465D1F"/>
    <w:rsid w:val="004674D6"/>
    <w:rsid w:val="00471762"/>
    <w:rsid w:val="00472C2C"/>
    <w:rsid w:val="004767B9"/>
    <w:rsid w:val="00476B93"/>
    <w:rsid w:val="00476D9D"/>
    <w:rsid w:val="00477592"/>
    <w:rsid w:val="00477BBB"/>
    <w:rsid w:val="00481ACE"/>
    <w:rsid w:val="00485D93"/>
    <w:rsid w:val="00485E16"/>
    <w:rsid w:val="0048697B"/>
    <w:rsid w:val="0049097D"/>
    <w:rsid w:val="0049177C"/>
    <w:rsid w:val="004923CD"/>
    <w:rsid w:val="004A196C"/>
    <w:rsid w:val="004A45AD"/>
    <w:rsid w:val="004A68FD"/>
    <w:rsid w:val="004B17C6"/>
    <w:rsid w:val="004B182E"/>
    <w:rsid w:val="004B6159"/>
    <w:rsid w:val="004C0560"/>
    <w:rsid w:val="004C3365"/>
    <w:rsid w:val="004C52F0"/>
    <w:rsid w:val="004C68B7"/>
    <w:rsid w:val="004C77FE"/>
    <w:rsid w:val="004D6CC1"/>
    <w:rsid w:val="004D785B"/>
    <w:rsid w:val="004D7FF6"/>
    <w:rsid w:val="004E0001"/>
    <w:rsid w:val="004E32D3"/>
    <w:rsid w:val="004E3E84"/>
    <w:rsid w:val="004E5834"/>
    <w:rsid w:val="004E5AA5"/>
    <w:rsid w:val="004E7515"/>
    <w:rsid w:val="004F2333"/>
    <w:rsid w:val="004F301C"/>
    <w:rsid w:val="004F3265"/>
    <w:rsid w:val="004F56B7"/>
    <w:rsid w:val="004F7380"/>
    <w:rsid w:val="004F7C96"/>
    <w:rsid w:val="00500F7A"/>
    <w:rsid w:val="005022F7"/>
    <w:rsid w:val="0050367A"/>
    <w:rsid w:val="0050439A"/>
    <w:rsid w:val="005066DA"/>
    <w:rsid w:val="00506E55"/>
    <w:rsid w:val="00510C5B"/>
    <w:rsid w:val="00510E74"/>
    <w:rsid w:val="005111D7"/>
    <w:rsid w:val="00513380"/>
    <w:rsid w:val="0051368F"/>
    <w:rsid w:val="005142E1"/>
    <w:rsid w:val="00515D0D"/>
    <w:rsid w:val="0051772C"/>
    <w:rsid w:val="00517A1D"/>
    <w:rsid w:val="00522D2F"/>
    <w:rsid w:val="005242E3"/>
    <w:rsid w:val="00525905"/>
    <w:rsid w:val="0052639B"/>
    <w:rsid w:val="00531C92"/>
    <w:rsid w:val="00532AF9"/>
    <w:rsid w:val="00532F57"/>
    <w:rsid w:val="005338E3"/>
    <w:rsid w:val="00536F80"/>
    <w:rsid w:val="005405AD"/>
    <w:rsid w:val="005425A9"/>
    <w:rsid w:val="00542FE1"/>
    <w:rsid w:val="0054701F"/>
    <w:rsid w:val="0055004F"/>
    <w:rsid w:val="00550A6B"/>
    <w:rsid w:val="005538D3"/>
    <w:rsid w:val="00557504"/>
    <w:rsid w:val="00560C37"/>
    <w:rsid w:val="00561BCD"/>
    <w:rsid w:val="005625B8"/>
    <w:rsid w:val="0056701E"/>
    <w:rsid w:val="00571229"/>
    <w:rsid w:val="00571381"/>
    <w:rsid w:val="005725C2"/>
    <w:rsid w:val="005753E3"/>
    <w:rsid w:val="00577BF0"/>
    <w:rsid w:val="00581B01"/>
    <w:rsid w:val="00581C0B"/>
    <w:rsid w:val="00581CB5"/>
    <w:rsid w:val="00582135"/>
    <w:rsid w:val="00582247"/>
    <w:rsid w:val="005831BF"/>
    <w:rsid w:val="00583CD6"/>
    <w:rsid w:val="00583F7F"/>
    <w:rsid w:val="00585F21"/>
    <w:rsid w:val="00586887"/>
    <w:rsid w:val="00590013"/>
    <w:rsid w:val="0059095D"/>
    <w:rsid w:val="0059192A"/>
    <w:rsid w:val="00591CFD"/>
    <w:rsid w:val="00594765"/>
    <w:rsid w:val="00595B2F"/>
    <w:rsid w:val="005963A1"/>
    <w:rsid w:val="00596853"/>
    <w:rsid w:val="00596B55"/>
    <w:rsid w:val="005A44A1"/>
    <w:rsid w:val="005A526D"/>
    <w:rsid w:val="005B00DB"/>
    <w:rsid w:val="005B114C"/>
    <w:rsid w:val="005B1D19"/>
    <w:rsid w:val="005B31F5"/>
    <w:rsid w:val="005B36D2"/>
    <w:rsid w:val="005B40A5"/>
    <w:rsid w:val="005B578B"/>
    <w:rsid w:val="005B70A8"/>
    <w:rsid w:val="005C0DEA"/>
    <w:rsid w:val="005C1161"/>
    <w:rsid w:val="005C170C"/>
    <w:rsid w:val="005C2244"/>
    <w:rsid w:val="005C36F7"/>
    <w:rsid w:val="005C3839"/>
    <w:rsid w:val="005C4195"/>
    <w:rsid w:val="005C42CD"/>
    <w:rsid w:val="005C461B"/>
    <w:rsid w:val="005C46E4"/>
    <w:rsid w:val="005C48D4"/>
    <w:rsid w:val="005C628F"/>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7B0"/>
    <w:rsid w:val="005F7F32"/>
    <w:rsid w:val="006009E2"/>
    <w:rsid w:val="00601265"/>
    <w:rsid w:val="00601B0E"/>
    <w:rsid w:val="00604430"/>
    <w:rsid w:val="00605DCE"/>
    <w:rsid w:val="006061F6"/>
    <w:rsid w:val="00606506"/>
    <w:rsid w:val="00606DC2"/>
    <w:rsid w:val="00606EC1"/>
    <w:rsid w:val="006072EA"/>
    <w:rsid w:val="00607F79"/>
    <w:rsid w:val="0061321A"/>
    <w:rsid w:val="006136AA"/>
    <w:rsid w:val="00613CD3"/>
    <w:rsid w:val="0061498D"/>
    <w:rsid w:val="00614AE7"/>
    <w:rsid w:val="0061509A"/>
    <w:rsid w:val="0062031F"/>
    <w:rsid w:val="00621320"/>
    <w:rsid w:val="00621558"/>
    <w:rsid w:val="00625912"/>
    <w:rsid w:val="00626433"/>
    <w:rsid w:val="00626576"/>
    <w:rsid w:val="00626993"/>
    <w:rsid w:val="00626DBC"/>
    <w:rsid w:val="0062723C"/>
    <w:rsid w:val="00630795"/>
    <w:rsid w:val="00630A4B"/>
    <w:rsid w:val="00630F38"/>
    <w:rsid w:val="00631AE5"/>
    <w:rsid w:val="00633730"/>
    <w:rsid w:val="0063421C"/>
    <w:rsid w:val="00635090"/>
    <w:rsid w:val="00636B66"/>
    <w:rsid w:val="00637000"/>
    <w:rsid w:val="0063768F"/>
    <w:rsid w:val="006434F1"/>
    <w:rsid w:val="006438BB"/>
    <w:rsid w:val="006440AF"/>
    <w:rsid w:val="00645C09"/>
    <w:rsid w:val="006512CC"/>
    <w:rsid w:val="00651832"/>
    <w:rsid w:val="00651885"/>
    <w:rsid w:val="006534F5"/>
    <w:rsid w:val="00654410"/>
    <w:rsid w:val="00654C03"/>
    <w:rsid w:val="006550CE"/>
    <w:rsid w:val="006562FA"/>
    <w:rsid w:val="0066109A"/>
    <w:rsid w:val="00662397"/>
    <w:rsid w:val="00662BBA"/>
    <w:rsid w:val="00662BF8"/>
    <w:rsid w:val="00663810"/>
    <w:rsid w:val="00665E2A"/>
    <w:rsid w:val="006665C5"/>
    <w:rsid w:val="00670871"/>
    <w:rsid w:val="00672700"/>
    <w:rsid w:val="00674CF8"/>
    <w:rsid w:val="00674E82"/>
    <w:rsid w:val="00675C3C"/>
    <w:rsid w:val="00680C49"/>
    <w:rsid w:val="0068132F"/>
    <w:rsid w:val="006815B3"/>
    <w:rsid w:val="00681FF3"/>
    <w:rsid w:val="00682451"/>
    <w:rsid w:val="00683139"/>
    <w:rsid w:val="00684A9B"/>
    <w:rsid w:val="00684AA8"/>
    <w:rsid w:val="006856EE"/>
    <w:rsid w:val="0069340C"/>
    <w:rsid w:val="0069365C"/>
    <w:rsid w:val="00694C9C"/>
    <w:rsid w:val="00696758"/>
    <w:rsid w:val="006971C6"/>
    <w:rsid w:val="00697C3D"/>
    <w:rsid w:val="006A0D9E"/>
    <w:rsid w:val="006A3C57"/>
    <w:rsid w:val="006A5E2A"/>
    <w:rsid w:val="006A5FCD"/>
    <w:rsid w:val="006A6CDC"/>
    <w:rsid w:val="006B2A4B"/>
    <w:rsid w:val="006B306D"/>
    <w:rsid w:val="006B420D"/>
    <w:rsid w:val="006B55BE"/>
    <w:rsid w:val="006B6354"/>
    <w:rsid w:val="006B7D5F"/>
    <w:rsid w:val="006C11BB"/>
    <w:rsid w:val="006C1E06"/>
    <w:rsid w:val="006C330D"/>
    <w:rsid w:val="006C415F"/>
    <w:rsid w:val="006C4478"/>
    <w:rsid w:val="006C44F6"/>
    <w:rsid w:val="006C69D9"/>
    <w:rsid w:val="006C6A77"/>
    <w:rsid w:val="006C6AFC"/>
    <w:rsid w:val="006C7137"/>
    <w:rsid w:val="006D3E64"/>
    <w:rsid w:val="006D493C"/>
    <w:rsid w:val="006D497D"/>
    <w:rsid w:val="006D5556"/>
    <w:rsid w:val="006D6283"/>
    <w:rsid w:val="006E381D"/>
    <w:rsid w:val="006E6538"/>
    <w:rsid w:val="006F2BF5"/>
    <w:rsid w:val="006F3792"/>
    <w:rsid w:val="006F5DBF"/>
    <w:rsid w:val="006F6F26"/>
    <w:rsid w:val="00700027"/>
    <w:rsid w:val="007011DC"/>
    <w:rsid w:val="0070137A"/>
    <w:rsid w:val="00702D02"/>
    <w:rsid w:val="0070692D"/>
    <w:rsid w:val="00707003"/>
    <w:rsid w:val="0071103C"/>
    <w:rsid w:val="007127F7"/>
    <w:rsid w:val="007136C2"/>
    <w:rsid w:val="00714FD5"/>
    <w:rsid w:val="0071541C"/>
    <w:rsid w:val="007163CE"/>
    <w:rsid w:val="00716F31"/>
    <w:rsid w:val="007243F0"/>
    <w:rsid w:val="00724DE7"/>
    <w:rsid w:val="00725167"/>
    <w:rsid w:val="00725705"/>
    <w:rsid w:val="007276AA"/>
    <w:rsid w:val="0073109B"/>
    <w:rsid w:val="00731996"/>
    <w:rsid w:val="00731D99"/>
    <w:rsid w:val="00734046"/>
    <w:rsid w:val="0073476E"/>
    <w:rsid w:val="007358A7"/>
    <w:rsid w:val="00740F06"/>
    <w:rsid w:val="00743333"/>
    <w:rsid w:val="00743AC9"/>
    <w:rsid w:val="00743B9A"/>
    <w:rsid w:val="00744CAF"/>
    <w:rsid w:val="007458ED"/>
    <w:rsid w:val="00746F95"/>
    <w:rsid w:val="00747D71"/>
    <w:rsid w:val="00747F6A"/>
    <w:rsid w:val="00757931"/>
    <w:rsid w:val="00760342"/>
    <w:rsid w:val="00760426"/>
    <w:rsid w:val="00761C3F"/>
    <w:rsid w:val="00762957"/>
    <w:rsid w:val="00763CE8"/>
    <w:rsid w:val="0076466E"/>
    <w:rsid w:val="007653BB"/>
    <w:rsid w:val="00765739"/>
    <w:rsid w:val="007668B6"/>
    <w:rsid w:val="00767D05"/>
    <w:rsid w:val="007753E7"/>
    <w:rsid w:val="007759BE"/>
    <w:rsid w:val="00780DE8"/>
    <w:rsid w:val="0078303D"/>
    <w:rsid w:val="00785284"/>
    <w:rsid w:val="00785BEC"/>
    <w:rsid w:val="00785C95"/>
    <w:rsid w:val="00787252"/>
    <w:rsid w:val="007873C1"/>
    <w:rsid w:val="007879C0"/>
    <w:rsid w:val="00790656"/>
    <w:rsid w:val="00792882"/>
    <w:rsid w:val="00792C5E"/>
    <w:rsid w:val="00793E3C"/>
    <w:rsid w:val="00796570"/>
    <w:rsid w:val="00797BD2"/>
    <w:rsid w:val="00797D71"/>
    <w:rsid w:val="00797ECB"/>
    <w:rsid w:val="007A1E1A"/>
    <w:rsid w:val="007A36C3"/>
    <w:rsid w:val="007A3BB4"/>
    <w:rsid w:val="007A42F2"/>
    <w:rsid w:val="007A576D"/>
    <w:rsid w:val="007B136E"/>
    <w:rsid w:val="007B14D6"/>
    <w:rsid w:val="007B247C"/>
    <w:rsid w:val="007B331E"/>
    <w:rsid w:val="007B664E"/>
    <w:rsid w:val="007B6B17"/>
    <w:rsid w:val="007B779C"/>
    <w:rsid w:val="007C337C"/>
    <w:rsid w:val="007C379F"/>
    <w:rsid w:val="007C4142"/>
    <w:rsid w:val="007C454A"/>
    <w:rsid w:val="007C45EA"/>
    <w:rsid w:val="007C4A0E"/>
    <w:rsid w:val="007C6571"/>
    <w:rsid w:val="007C7202"/>
    <w:rsid w:val="007D28E4"/>
    <w:rsid w:val="007D5A43"/>
    <w:rsid w:val="007D5AE7"/>
    <w:rsid w:val="007D65A6"/>
    <w:rsid w:val="007D671C"/>
    <w:rsid w:val="007D6B3A"/>
    <w:rsid w:val="007D7CA7"/>
    <w:rsid w:val="007E25A1"/>
    <w:rsid w:val="007F1CA7"/>
    <w:rsid w:val="007F1DC7"/>
    <w:rsid w:val="007F2456"/>
    <w:rsid w:val="007F2A6F"/>
    <w:rsid w:val="007F2AA2"/>
    <w:rsid w:val="007F3A3C"/>
    <w:rsid w:val="007F5822"/>
    <w:rsid w:val="007F60ED"/>
    <w:rsid w:val="00802062"/>
    <w:rsid w:val="0080372E"/>
    <w:rsid w:val="0080439B"/>
    <w:rsid w:val="00805CB4"/>
    <w:rsid w:val="00807755"/>
    <w:rsid w:val="00811BFA"/>
    <w:rsid w:val="00813DBA"/>
    <w:rsid w:val="00816F99"/>
    <w:rsid w:val="00816FAC"/>
    <w:rsid w:val="00817E2B"/>
    <w:rsid w:val="00820DA2"/>
    <w:rsid w:val="0082139D"/>
    <w:rsid w:val="008217CA"/>
    <w:rsid w:val="008235EB"/>
    <w:rsid w:val="0082469D"/>
    <w:rsid w:val="008266F8"/>
    <w:rsid w:val="00827FAE"/>
    <w:rsid w:val="00832A9A"/>
    <w:rsid w:val="00833446"/>
    <w:rsid w:val="008353AD"/>
    <w:rsid w:val="008356AB"/>
    <w:rsid w:val="0084379C"/>
    <w:rsid w:val="008439FD"/>
    <w:rsid w:val="0084493D"/>
    <w:rsid w:val="00845ABF"/>
    <w:rsid w:val="00846B0F"/>
    <w:rsid w:val="008470F8"/>
    <w:rsid w:val="00850136"/>
    <w:rsid w:val="008511A9"/>
    <w:rsid w:val="0085194A"/>
    <w:rsid w:val="00854105"/>
    <w:rsid w:val="00854C95"/>
    <w:rsid w:val="008553C3"/>
    <w:rsid w:val="0085695A"/>
    <w:rsid w:val="0085751C"/>
    <w:rsid w:val="00862803"/>
    <w:rsid w:val="00863D7E"/>
    <w:rsid w:val="00863EF3"/>
    <w:rsid w:val="00864344"/>
    <w:rsid w:val="00866749"/>
    <w:rsid w:val="00866C59"/>
    <w:rsid w:val="00867EFD"/>
    <w:rsid w:val="008701EA"/>
    <w:rsid w:val="00872B7C"/>
    <w:rsid w:val="00875846"/>
    <w:rsid w:val="008807C9"/>
    <w:rsid w:val="00880D9C"/>
    <w:rsid w:val="00882145"/>
    <w:rsid w:val="0088281D"/>
    <w:rsid w:val="008835B0"/>
    <w:rsid w:val="0088400D"/>
    <w:rsid w:val="008845CA"/>
    <w:rsid w:val="00884A8F"/>
    <w:rsid w:val="00884F63"/>
    <w:rsid w:val="00887882"/>
    <w:rsid w:val="00887A60"/>
    <w:rsid w:val="00887FC8"/>
    <w:rsid w:val="00892F2C"/>
    <w:rsid w:val="008933EB"/>
    <w:rsid w:val="00896B15"/>
    <w:rsid w:val="00896E0E"/>
    <w:rsid w:val="008A1132"/>
    <w:rsid w:val="008A1EBB"/>
    <w:rsid w:val="008A207F"/>
    <w:rsid w:val="008A428F"/>
    <w:rsid w:val="008A4638"/>
    <w:rsid w:val="008A51A2"/>
    <w:rsid w:val="008A5774"/>
    <w:rsid w:val="008A5F73"/>
    <w:rsid w:val="008A62BC"/>
    <w:rsid w:val="008B10C5"/>
    <w:rsid w:val="008B457B"/>
    <w:rsid w:val="008B6644"/>
    <w:rsid w:val="008C0815"/>
    <w:rsid w:val="008C1455"/>
    <w:rsid w:val="008C1BC3"/>
    <w:rsid w:val="008C3DED"/>
    <w:rsid w:val="008C59A1"/>
    <w:rsid w:val="008C605A"/>
    <w:rsid w:val="008C6C0A"/>
    <w:rsid w:val="008C737C"/>
    <w:rsid w:val="008C7693"/>
    <w:rsid w:val="008D0660"/>
    <w:rsid w:val="008D374F"/>
    <w:rsid w:val="008D37EE"/>
    <w:rsid w:val="008D7191"/>
    <w:rsid w:val="008E2AE7"/>
    <w:rsid w:val="008E3028"/>
    <w:rsid w:val="008E3282"/>
    <w:rsid w:val="008E4D40"/>
    <w:rsid w:val="008F0FBE"/>
    <w:rsid w:val="008F2C8A"/>
    <w:rsid w:val="008F6DCD"/>
    <w:rsid w:val="008F74E6"/>
    <w:rsid w:val="00900694"/>
    <w:rsid w:val="0090191B"/>
    <w:rsid w:val="009025D1"/>
    <w:rsid w:val="009043D9"/>
    <w:rsid w:val="0090564C"/>
    <w:rsid w:val="0090590B"/>
    <w:rsid w:val="009074B5"/>
    <w:rsid w:val="009075A1"/>
    <w:rsid w:val="009108C3"/>
    <w:rsid w:val="0091237F"/>
    <w:rsid w:val="00912F0B"/>
    <w:rsid w:val="00915987"/>
    <w:rsid w:val="009173CE"/>
    <w:rsid w:val="0092063E"/>
    <w:rsid w:val="00921439"/>
    <w:rsid w:val="00921D04"/>
    <w:rsid w:val="009231EC"/>
    <w:rsid w:val="00923635"/>
    <w:rsid w:val="00924700"/>
    <w:rsid w:val="009250CC"/>
    <w:rsid w:val="00925A90"/>
    <w:rsid w:val="00925D8C"/>
    <w:rsid w:val="00927FA7"/>
    <w:rsid w:val="00927FBE"/>
    <w:rsid w:val="00931136"/>
    <w:rsid w:val="009327EF"/>
    <w:rsid w:val="0093299E"/>
    <w:rsid w:val="009331A0"/>
    <w:rsid w:val="00933218"/>
    <w:rsid w:val="00933F3C"/>
    <w:rsid w:val="009348EC"/>
    <w:rsid w:val="00934F06"/>
    <w:rsid w:val="00943DF1"/>
    <w:rsid w:val="00944396"/>
    <w:rsid w:val="00946184"/>
    <w:rsid w:val="00946AE0"/>
    <w:rsid w:val="00950416"/>
    <w:rsid w:val="00950BD1"/>
    <w:rsid w:val="00950F8F"/>
    <w:rsid w:val="0095143D"/>
    <w:rsid w:val="009514F9"/>
    <w:rsid w:val="00951959"/>
    <w:rsid w:val="0095255D"/>
    <w:rsid w:val="00952828"/>
    <w:rsid w:val="00952B82"/>
    <w:rsid w:val="00953401"/>
    <w:rsid w:val="0095385B"/>
    <w:rsid w:val="00954A41"/>
    <w:rsid w:val="0095554F"/>
    <w:rsid w:val="00956D94"/>
    <w:rsid w:val="00957B66"/>
    <w:rsid w:val="00960911"/>
    <w:rsid w:val="00961528"/>
    <w:rsid w:val="00961F3B"/>
    <w:rsid w:val="0096345D"/>
    <w:rsid w:val="00963ABC"/>
    <w:rsid w:val="00963CB4"/>
    <w:rsid w:val="00971128"/>
    <w:rsid w:val="009758ED"/>
    <w:rsid w:val="00976110"/>
    <w:rsid w:val="00976FC2"/>
    <w:rsid w:val="00977D4F"/>
    <w:rsid w:val="009835D6"/>
    <w:rsid w:val="0098397F"/>
    <w:rsid w:val="009846F3"/>
    <w:rsid w:val="00984D14"/>
    <w:rsid w:val="00985846"/>
    <w:rsid w:val="00985862"/>
    <w:rsid w:val="009860B3"/>
    <w:rsid w:val="00995292"/>
    <w:rsid w:val="00996E4F"/>
    <w:rsid w:val="0099738B"/>
    <w:rsid w:val="009975C1"/>
    <w:rsid w:val="00997893"/>
    <w:rsid w:val="009A1670"/>
    <w:rsid w:val="009A269A"/>
    <w:rsid w:val="009A362A"/>
    <w:rsid w:val="009A375F"/>
    <w:rsid w:val="009A38D2"/>
    <w:rsid w:val="009A3B5E"/>
    <w:rsid w:val="009A40C7"/>
    <w:rsid w:val="009A4DF7"/>
    <w:rsid w:val="009B04C6"/>
    <w:rsid w:val="009B0BFD"/>
    <w:rsid w:val="009B43CC"/>
    <w:rsid w:val="009C0B8F"/>
    <w:rsid w:val="009C0F3B"/>
    <w:rsid w:val="009C1BA6"/>
    <w:rsid w:val="009C1F80"/>
    <w:rsid w:val="009C3304"/>
    <w:rsid w:val="009C407C"/>
    <w:rsid w:val="009C4376"/>
    <w:rsid w:val="009C69B1"/>
    <w:rsid w:val="009C6FCA"/>
    <w:rsid w:val="009C70AE"/>
    <w:rsid w:val="009D0B83"/>
    <w:rsid w:val="009D2E35"/>
    <w:rsid w:val="009D3A0B"/>
    <w:rsid w:val="009D6FB6"/>
    <w:rsid w:val="009E6091"/>
    <w:rsid w:val="009E67A7"/>
    <w:rsid w:val="009E7D0B"/>
    <w:rsid w:val="009F04AC"/>
    <w:rsid w:val="009F1D53"/>
    <w:rsid w:val="009F2020"/>
    <w:rsid w:val="009F5065"/>
    <w:rsid w:val="009F5254"/>
    <w:rsid w:val="009F6964"/>
    <w:rsid w:val="009F75E4"/>
    <w:rsid w:val="009F7D12"/>
    <w:rsid w:val="00A0000C"/>
    <w:rsid w:val="00A04951"/>
    <w:rsid w:val="00A0637E"/>
    <w:rsid w:val="00A064D6"/>
    <w:rsid w:val="00A065ED"/>
    <w:rsid w:val="00A06C15"/>
    <w:rsid w:val="00A1063D"/>
    <w:rsid w:val="00A10B52"/>
    <w:rsid w:val="00A10F22"/>
    <w:rsid w:val="00A12980"/>
    <w:rsid w:val="00A25A9A"/>
    <w:rsid w:val="00A26967"/>
    <w:rsid w:val="00A27335"/>
    <w:rsid w:val="00A275B2"/>
    <w:rsid w:val="00A30939"/>
    <w:rsid w:val="00A30DC9"/>
    <w:rsid w:val="00A31E20"/>
    <w:rsid w:val="00A321D7"/>
    <w:rsid w:val="00A333B7"/>
    <w:rsid w:val="00A34A31"/>
    <w:rsid w:val="00A36FAB"/>
    <w:rsid w:val="00A37DF5"/>
    <w:rsid w:val="00A41F5B"/>
    <w:rsid w:val="00A43237"/>
    <w:rsid w:val="00A43C6E"/>
    <w:rsid w:val="00A4528C"/>
    <w:rsid w:val="00A45ACC"/>
    <w:rsid w:val="00A46041"/>
    <w:rsid w:val="00A501A3"/>
    <w:rsid w:val="00A50649"/>
    <w:rsid w:val="00A50768"/>
    <w:rsid w:val="00A51E84"/>
    <w:rsid w:val="00A52B9D"/>
    <w:rsid w:val="00A53C3C"/>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D08"/>
    <w:rsid w:val="00A74E67"/>
    <w:rsid w:val="00A7568B"/>
    <w:rsid w:val="00A75C91"/>
    <w:rsid w:val="00A76E2F"/>
    <w:rsid w:val="00A82B4B"/>
    <w:rsid w:val="00A836D0"/>
    <w:rsid w:val="00A8398A"/>
    <w:rsid w:val="00A85932"/>
    <w:rsid w:val="00A8675A"/>
    <w:rsid w:val="00A87552"/>
    <w:rsid w:val="00A87D8E"/>
    <w:rsid w:val="00A9118A"/>
    <w:rsid w:val="00A939B2"/>
    <w:rsid w:val="00A954A2"/>
    <w:rsid w:val="00A9660B"/>
    <w:rsid w:val="00A96EC8"/>
    <w:rsid w:val="00A97EBD"/>
    <w:rsid w:val="00AA2899"/>
    <w:rsid w:val="00AA61C9"/>
    <w:rsid w:val="00AB119D"/>
    <w:rsid w:val="00AB1873"/>
    <w:rsid w:val="00AB3396"/>
    <w:rsid w:val="00AB42B4"/>
    <w:rsid w:val="00AB4A3F"/>
    <w:rsid w:val="00AB52D9"/>
    <w:rsid w:val="00AB7541"/>
    <w:rsid w:val="00AC2F31"/>
    <w:rsid w:val="00AC3972"/>
    <w:rsid w:val="00AC74A7"/>
    <w:rsid w:val="00AD4991"/>
    <w:rsid w:val="00AD4A22"/>
    <w:rsid w:val="00AE000F"/>
    <w:rsid w:val="00AE13EB"/>
    <w:rsid w:val="00AE5123"/>
    <w:rsid w:val="00AE52FE"/>
    <w:rsid w:val="00AE591E"/>
    <w:rsid w:val="00AE5AB2"/>
    <w:rsid w:val="00AE6EF0"/>
    <w:rsid w:val="00AE73B7"/>
    <w:rsid w:val="00AF5477"/>
    <w:rsid w:val="00AF6452"/>
    <w:rsid w:val="00B001FD"/>
    <w:rsid w:val="00B00656"/>
    <w:rsid w:val="00B01F01"/>
    <w:rsid w:val="00B03FF8"/>
    <w:rsid w:val="00B047C3"/>
    <w:rsid w:val="00B065D6"/>
    <w:rsid w:val="00B06BC0"/>
    <w:rsid w:val="00B07906"/>
    <w:rsid w:val="00B07B3F"/>
    <w:rsid w:val="00B129D9"/>
    <w:rsid w:val="00B1441E"/>
    <w:rsid w:val="00B14F33"/>
    <w:rsid w:val="00B17607"/>
    <w:rsid w:val="00B22AEA"/>
    <w:rsid w:val="00B25A3B"/>
    <w:rsid w:val="00B262E8"/>
    <w:rsid w:val="00B26D4D"/>
    <w:rsid w:val="00B27156"/>
    <w:rsid w:val="00B27EF4"/>
    <w:rsid w:val="00B30204"/>
    <w:rsid w:val="00B31E5C"/>
    <w:rsid w:val="00B32043"/>
    <w:rsid w:val="00B3415A"/>
    <w:rsid w:val="00B35A95"/>
    <w:rsid w:val="00B35C1D"/>
    <w:rsid w:val="00B36270"/>
    <w:rsid w:val="00B369F9"/>
    <w:rsid w:val="00B41A41"/>
    <w:rsid w:val="00B441BF"/>
    <w:rsid w:val="00B4433A"/>
    <w:rsid w:val="00B44D82"/>
    <w:rsid w:val="00B4535C"/>
    <w:rsid w:val="00B45F4C"/>
    <w:rsid w:val="00B468E6"/>
    <w:rsid w:val="00B47D54"/>
    <w:rsid w:val="00B50DFD"/>
    <w:rsid w:val="00B51198"/>
    <w:rsid w:val="00B5379B"/>
    <w:rsid w:val="00B559A6"/>
    <w:rsid w:val="00B563B9"/>
    <w:rsid w:val="00B60857"/>
    <w:rsid w:val="00B62D54"/>
    <w:rsid w:val="00B633CD"/>
    <w:rsid w:val="00B64155"/>
    <w:rsid w:val="00B64310"/>
    <w:rsid w:val="00B64F65"/>
    <w:rsid w:val="00B66E60"/>
    <w:rsid w:val="00B6776C"/>
    <w:rsid w:val="00B75982"/>
    <w:rsid w:val="00B779DB"/>
    <w:rsid w:val="00B831FE"/>
    <w:rsid w:val="00B83C7F"/>
    <w:rsid w:val="00B9033E"/>
    <w:rsid w:val="00B9726F"/>
    <w:rsid w:val="00BA0190"/>
    <w:rsid w:val="00BA233E"/>
    <w:rsid w:val="00BA3F64"/>
    <w:rsid w:val="00BA4CCD"/>
    <w:rsid w:val="00BA4F48"/>
    <w:rsid w:val="00BB05C3"/>
    <w:rsid w:val="00BB1899"/>
    <w:rsid w:val="00BB31F0"/>
    <w:rsid w:val="00BB3C00"/>
    <w:rsid w:val="00BB3D12"/>
    <w:rsid w:val="00BB5D41"/>
    <w:rsid w:val="00BC0731"/>
    <w:rsid w:val="00BC1371"/>
    <w:rsid w:val="00BC2672"/>
    <w:rsid w:val="00BC27D6"/>
    <w:rsid w:val="00BC2B83"/>
    <w:rsid w:val="00BC2CD5"/>
    <w:rsid w:val="00BC3134"/>
    <w:rsid w:val="00BC3DB2"/>
    <w:rsid w:val="00BC5A17"/>
    <w:rsid w:val="00BC5CF7"/>
    <w:rsid w:val="00BC6AC3"/>
    <w:rsid w:val="00BC77EA"/>
    <w:rsid w:val="00BC77EE"/>
    <w:rsid w:val="00BD170E"/>
    <w:rsid w:val="00BD187C"/>
    <w:rsid w:val="00BD4273"/>
    <w:rsid w:val="00BD453B"/>
    <w:rsid w:val="00BD4708"/>
    <w:rsid w:val="00BD4AA2"/>
    <w:rsid w:val="00BD71DF"/>
    <w:rsid w:val="00BE00D9"/>
    <w:rsid w:val="00BE0170"/>
    <w:rsid w:val="00BE1F04"/>
    <w:rsid w:val="00BE409A"/>
    <w:rsid w:val="00BE4399"/>
    <w:rsid w:val="00BE44C6"/>
    <w:rsid w:val="00BE51BB"/>
    <w:rsid w:val="00BE5706"/>
    <w:rsid w:val="00BE7974"/>
    <w:rsid w:val="00BF2FD1"/>
    <w:rsid w:val="00BF3C1B"/>
    <w:rsid w:val="00BF6354"/>
    <w:rsid w:val="00C02832"/>
    <w:rsid w:val="00C03821"/>
    <w:rsid w:val="00C03DAD"/>
    <w:rsid w:val="00C04554"/>
    <w:rsid w:val="00C0461E"/>
    <w:rsid w:val="00C1029D"/>
    <w:rsid w:val="00C11D56"/>
    <w:rsid w:val="00C12E27"/>
    <w:rsid w:val="00C14345"/>
    <w:rsid w:val="00C14482"/>
    <w:rsid w:val="00C14FE4"/>
    <w:rsid w:val="00C15132"/>
    <w:rsid w:val="00C15164"/>
    <w:rsid w:val="00C15408"/>
    <w:rsid w:val="00C16AC9"/>
    <w:rsid w:val="00C17538"/>
    <w:rsid w:val="00C17636"/>
    <w:rsid w:val="00C20AA8"/>
    <w:rsid w:val="00C22F60"/>
    <w:rsid w:val="00C23B63"/>
    <w:rsid w:val="00C24752"/>
    <w:rsid w:val="00C24B5D"/>
    <w:rsid w:val="00C24B8F"/>
    <w:rsid w:val="00C24D97"/>
    <w:rsid w:val="00C25FC1"/>
    <w:rsid w:val="00C262AF"/>
    <w:rsid w:val="00C271D6"/>
    <w:rsid w:val="00C277F3"/>
    <w:rsid w:val="00C3088D"/>
    <w:rsid w:val="00C319A8"/>
    <w:rsid w:val="00C319F9"/>
    <w:rsid w:val="00C32942"/>
    <w:rsid w:val="00C3530A"/>
    <w:rsid w:val="00C35C89"/>
    <w:rsid w:val="00C36BB8"/>
    <w:rsid w:val="00C36EEA"/>
    <w:rsid w:val="00C3779F"/>
    <w:rsid w:val="00C40A38"/>
    <w:rsid w:val="00C43C8F"/>
    <w:rsid w:val="00C451FF"/>
    <w:rsid w:val="00C45889"/>
    <w:rsid w:val="00C476BC"/>
    <w:rsid w:val="00C51114"/>
    <w:rsid w:val="00C52421"/>
    <w:rsid w:val="00C5289D"/>
    <w:rsid w:val="00C52AD3"/>
    <w:rsid w:val="00C54034"/>
    <w:rsid w:val="00C56213"/>
    <w:rsid w:val="00C56894"/>
    <w:rsid w:val="00C651A7"/>
    <w:rsid w:val="00C6582D"/>
    <w:rsid w:val="00C667DD"/>
    <w:rsid w:val="00C70B84"/>
    <w:rsid w:val="00C72D86"/>
    <w:rsid w:val="00C72FAD"/>
    <w:rsid w:val="00C73560"/>
    <w:rsid w:val="00C7407A"/>
    <w:rsid w:val="00C74150"/>
    <w:rsid w:val="00C749DA"/>
    <w:rsid w:val="00C76BCF"/>
    <w:rsid w:val="00C77983"/>
    <w:rsid w:val="00C80926"/>
    <w:rsid w:val="00C818D7"/>
    <w:rsid w:val="00C83FC2"/>
    <w:rsid w:val="00C847AA"/>
    <w:rsid w:val="00C87C30"/>
    <w:rsid w:val="00C90D80"/>
    <w:rsid w:val="00C92559"/>
    <w:rsid w:val="00C931EC"/>
    <w:rsid w:val="00C937E6"/>
    <w:rsid w:val="00C940D9"/>
    <w:rsid w:val="00C94C86"/>
    <w:rsid w:val="00C95440"/>
    <w:rsid w:val="00C96DCD"/>
    <w:rsid w:val="00CA0B88"/>
    <w:rsid w:val="00CA1826"/>
    <w:rsid w:val="00CA1D08"/>
    <w:rsid w:val="00CA25DB"/>
    <w:rsid w:val="00CA283F"/>
    <w:rsid w:val="00CA46B8"/>
    <w:rsid w:val="00CA5C25"/>
    <w:rsid w:val="00CA6875"/>
    <w:rsid w:val="00CA6F29"/>
    <w:rsid w:val="00CA70D7"/>
    <w:rsid w:val="00CA7778"/>
    <w:rsid w:val="00CA7F62"/>
    <w:rsid w:val="00CA7FA6"/>
    <w:rsid w:val="00CB0314"/>
    <w:rsid w:val="00CB1379"/>
    <w:rsid w:val="00CB2CAE"/>
    <w:rsid w:val="00CB30AC"/>
    <w:rsid w:val="00CB3A64"/>
    <w:rsid w:val="00CB49E9"/>
    <w:rsid w:val="00CB5631"/>
    <w:rsid w:val="00CB5A16"/>
    <w:rsid w:val="00CB5E63"/>
    <w:rsid w:val="00CB6542"/>
    <w:rsid w:val="00CB73CD"/>
    <w:rsid w:val="00CB7C18"/>
    <w:rsid w:val="00CC0798"/>
    <w:rsid w:val="00CC0A3F"/>
    <w:rsid w:val="00CC28A7"/>
    <w:rsid w:val="00CC4E80"/>
    <w:rsid w:val="00CC57B3"/>
    <w:rsid w:val="00CD02EB"/>
    <w:rsid w:val="00CD085E"/>
    <w:rsid w:val="00CD2A42"/>
    <w:rsid w:val="00CD3030"/>
    <w:rsid w:val="00CD3BF9"/>
    <w:rsid w:val="00CD4BC8"/>
    <w:rsid w:val="00CD5CEA"/>
    <w:rsid w:val="00CD7B08"/>
    <w:rsid w:val="00CE191B"/>
    <w:rsid w:val="00CE3907"/>
    <w:rsid w:val="00CE6DAD"/>
    <w:rsid w:val="00CE7CEC"/>
    <w:rsid w:val="00CF0DE5"/>
    <w:rsid w:val="00CF1314"/>
    <w:rsid w:val="00CF1817"/>
    <w:rsid w:val="00CF1DAF"/>
    <w:rsid w:val="00CF3248"/>
    <w:rsid w:val="00CF3694"/>
    <w:rsid w:val="00CF3BAD"/>
    <w:rsid w:val="00CF6DAA"/>
    <w:rsid w:val="00CF7B2E"/>
    <w:rsid w:val="00D00750"/>
    <w:rsid w:val="00D00F46"/>
    <w:rsid w:val="00D02685"/>
    <w:rsid w:val="00D0411B"/>
    <w:rsid w:val="00D0517D"/>
    <w:rsid w:val="00D05929"/>
    <w:rsid w:val="00D0611E"/>
    <w:rsid w:val="00D065C8"/>
    <w:rsid w:val="00D10E77"/>
    <w:rsid w:val="00D13401"/>
    <w:rsid w:val="00D160C9"/>
    <w:rsid w:val="00D1718C"/>
    <w:rsid w:val="00D17480"/>
    <w:rsid w:val="00D2039E"/>
    <w:rsid w:val="00D20477"/>
    <w:rsid w:val="00D21C2F"/>
    <w:rsid w:val="00D2209E"/>
    <w:rsid w:val="00D22DA8"/>
    <w:rsid w:val="00D2796E"/>
    <w:rsid w:val="00D307DD"/>
    <w:rsid w:val="00D3110E"/>
    <w:rsid w:val="00D320C8"/>
    <w:rsid w:val="00D3344C"/>
    <w:rsid w:val="00D36368"/>
    <w:rsid w:val="00D422E8"/>
    <w:rsid w:val="00D42718"/>
    <w:rsid w:val="00D43A16"/>
    <w:rsid w:val="00D452A5"/>
    <w:rsid w:val="00D46B41"/>
    <w:rsid w:val="00D50541"/>
    <w:rsid w:val="00D514DB"/>
    <w:rsid w:val="00D53600"/>
    <w:rsid w:val="00D5709E"/>
    <w:rsid w:val="00D600BE"/>
    <w:rsid w:val="00D6400D"/>
    <w:rsid w:val="00D647E7"/>
    <w:rsid w:val="00D64DA9"/>
    <w:rsid w:val="00D6570D"/>
    <w:rsid w:val="00D6618A"/>
    <w:rsid w:val="00D66306"/>
    <w:rsid w:val="00D71B6E"/>
    <w:rsid w:val="00D71CF3"/>
    <w:rsid w:val="00D723CB"/>
    <w:rsid w:val="00D73BC7"/>
    <w:rsid w:val="00D749DB"/>
    <w:rsid w:val="00D7635A"/>
    <w:rsid w:val="00D769DF"/>
    <w:rsid w:val="00D77391"/>
    <w:rsid w:val="00D803FA"/>
    <w:rsid w:val="00D8139A"/>
    <w:rsid w:val="00D81A4E"/>
    <w:rsid w:val="00D821C1"/>
    <w:rsid w:val="00D82CC0"/>
    <w:rsid w:val="00D84F5A"/>
    <w:rsid w:val="00D850AF"/>
    <w:rsid w:val="00D85DE4"/>
    <w:rsid w:val="00D86FF6"/>
    <w:rsid w:val="00D91886"/>
    <w:rsid w:val="00D929FE"/>
    <w:rsid w:val="00D92FE3"/>
    <w:rsid w:val="00D93B61"/>
    <w:rsid w:val="00D952C5"/>
    <w:rsid w:val="00D96789"/>
    <w:rsid w:val="00D97173"/>
    <w:rsid w:val="00D97232"/>
    <w:rsid w:val="00DA1DB9"/>
    <w:rsid w:val="00DA4154"/>
    <w:rsid w:val="00DA45D5"/>
    <w:rsid w:val="00DA5969"/>
    <w:rsid w:val="00DA72E8"/>
    <w:rsid w:val="00DA76B7"/>
    <w:rsid w:val="00DB053E"/>
    <w:rsid w:val="00DB3101"/>
    <w:rsid w:val="00DB47E9"/>
    <w:rsid w:val="00DB7024"/>
    <w:rsid w:val="00DC233D"/>
    <w:rsid w:val="00DC4200"/>
    <w:rsid w:val="00DC6202"/>
    <w:rsid w:val="00DC6A07"/>
    <w:rsid w:val="00DD1E62"/>
    <w:rsid w:val="00DD24B1"/>
    <w:rsid w:val="00DD2FF5"/>
    <w:rsid w:val="00DD375E"/>
    <w:rsid w:val="00DD3D05"/>
    <w:rsid w:val="00DD51BB"/>
    <w:rsid w:val="00DD5A80"/>
    <w:rsid w:val="00DD6F4A"/>
    <w:rsid w:val="00DE0385"/>
    <w:rsid w:val="00DE1C49"/>
    <w:rsid w:val="00DE550D"/>
    <w:rsid w:val="00DE57E6"/>
    <w:rsid w:val="00DE7B48"/>
    <w:rsid w:val="00DF02AF"/>
    <w:rsid w:val="00DF0E66"/>
    <w:rsid w:val="00DF2398"/>
    <w:rsid w:val="00DF31B1"/>
    <w:rsid w:val="00DF437C"/>
    <w:rsid w:val="00DF4EB8"/>
    <w:rsid w:val="00DF4F8A"/>
    <w:rsid w:val="00DF5206"/>
    <w:rsid w:val="00DF536E"/>
    <w:rsid w:val="00DF5443"/>
    <w:rsid w:val="00DF7C51"/>
    <w:rsid w:val="00E01BDB"/>
    <w:rsid w:val="00E02091"/>
    <w:rsid w:val="00E03457"/>
    <w:rsid w:val="00E0625B"/>
    <w:rsid w:val="00E069A2"/>
    <w:rsid w:val="00E12716"/>
    <w:rsid w:val="00E12864"/>
    <w:rsid w:val="00E129E5"/>
    <w:rsid w:val="00E13FD9"/>
    <w:rsid w:val="00E15A1E"/>
    <w:rsid w:val="00E20518"/>
    <w:rsid w:val="00E23931"/>
    <w:rsid w:val="00E24EFB"/>
    <w:rsid w:val="00E32662"/>
    <w:rsid w:val="00E3785E"/>
    <w:rsid w:val="00E43E64"/>
    <w:rsid w:val="00E44BDA"/>
    <w:rsid w:val="00E452CA"/>
    <w:rsid w:val="00E4548F"/>
    <w:rsid w:val="00E4712A"/>
    <w:rsid w:val="00E47F7E"/>
    <w:rsid w:val="00E50EC0"/>
    <w:rsid w:val="00E524EA"/>
    <w:rsid w:val="00E532C7"/>
    <w:rsid w:val="00E5549B"/>
    <w:rsid w:val="00E5721E"/>
    <w:rsid w:val="00E60568"/>
    <w:rsid w:val="00E61E45"/>
    <w:rsid w:val="00E62372"/>
    <w:rsid w:val="00E62678"/>
    <w:rsid w:val="00E62757"/>
    <w:rsid w:val="00E63D1F"/>
    <w:rsid w:val="00E63D47"/>
    <w:rsid w:val="00E64E18"/>
    <w:rsid w:val="00E65EAB"/>
    <w:rsid w:val="00E708DE"/>
    <w:rsid w:val="00E71CF4"/>
    <w:rsid w:val="00E72F59"/>
    <w:rsid w:val="00E757F0"/>
    <w:rsid w:val="00E75F57"/>
    <w:rsid w:val="00E82C94"/>
    <w:rsid w:val="00E86850"/>
    <w:rsid w:val="00E87372"/>
    <w:rsid w:val="00E87ECB"/>
    <w:rsid w:val="00E9029F"/>
    <w:rsid w:val="00E904DD"/>
    <w:rsid w:val="00E917D0"/>
    <w:rsid w:val="00E919FA"/>
    <w:rsid w:val="00E932EE"/>
    <w:rsid w:val="00E9460A"/>
    <w:rsid w:val="00E952CB"/>
    <w:rsid w:val="00E96B44"/>
    <w:rsid w:val="00EA0D24"/>
    <w:rsid w:val="00EA1536"/>
    <w:rsid w:val="00EA57A3"/>
    <w:rsid w:val="00EB037C"/>
    <w:rsid w:val="00EB07AF"/>
    <w:rsid w:val="00EB0B49"/>
    <w:rsid w:val="00EB1C77"/>
    <w:rsid w:val="00EB293D"/>
    <w:rsid w:val="00EB3DE0"/>
    <w:rsid w:val="00EB4CDB"/>
    <w:rsid w:val="00EB513A"/>
    <w:rsid w:val="00EB6FF1"/>
    <w:rsid w:val="00EB7372"/>
    <w:rsid w:val="00EB7D96"/>
    <w:rsid w:val="00EC1B82"/>
    <w:rsid w:val="00EC209B"/>
    <w:rsid w:val="00EC59F4"/>
    <w:rsid w:val="00EC5E6A"/>
    <w:rsid w:val="00EC6915"/>
    <w:rsid w:val="00EC6C15"/>
    <w:rsid w:val="00EC7758"/>
    <w:rsid w:val="00ED3152"/>
    <w:rsid w:val="00ED3A54"/>
    <w:rsid w:val="00ED3E7E"/>
    <w:rsid w:val="00EE025D"/>
    <w:rsid w:val="00EE02BB"/>
    <w:rsid w:val="00EE0782"/>
    <w:rsid w:val="00EE109D"/>
    <w:rsid w:val="00EE276D"/>
    <w:rsid w:val="00EE32E7"/>
    <w:rsid w:val="00EE6384"/>
    <w:rsid w:val="00EF1E7E"/>
    <w:rsid w:val="00EF1F5F"/>
    <w:rsid w:val="00EF414D"/>
    <w:rsid w:val="00EF4403"/>
    <w:rsid w:val="00EF7A48"/>
    <w:rsid w:val="00F00724"/>
    <w:rsid w:val="00F04103"/>
    <w:rsid w:val="00F061F9"/>
    <w:rsid w:val="00F06AF9"/>
    <w:rsid w:val="00F06EBB"/>
    <w:rsid w:val="00F10914"/>
    <w:rsid w:val="00F10EE1"/>
    <w:rsid w:val="00F11530"/>
    <w:rsid w:val="00F11935"/>
    <w:rsid w:val="00F122DA"/>
    <w:rsid w:val="00F12511"/>
    <w:rsid w:val="00F135DF"/>
    <w:rsid w:val="00F14473"/>
    <w:rsid w:val="00F1554D"/>
    <w:rsid w:val="00F157F1"/>
    <w:rsid w:val="00F20ADC"/>
    <w:rsid w:val="00F231F5"/>
    <w:rsid w:val="00F2389A"/>
    <w:rsid w:val="00F24B9A"/>
    <w:rsid w:val="00F24E76"/>
    <w:rsid w:val="00F25A34"/>
    <w:rsid w:val="00F31D2F"/>
    <w:rsid w:val="00F326F0"/>
    <w:rsid w:val="00F34566"/>
    <w:rsid w:val="00F34BB0"/>
    <w:rsid w:val="00F37121"/>
    <w:rsid w:val="00F37DB9"/>
    <w:rsid w:val="00F44541"/>
    <w:rsid w:val="00F452BF"/>
    <w:rsid w:val="00F45D54"/>
    <w:rsid w:val="00F4754C"/>
    <w:rsid w:val="00F51B92"/>
    <w:rsid w:val="00F51DE9"/>
    <w:rsid w:val="00F51F5C"/>
    <w:rsid w:val="00F52A23"/>
    <w:rsid w:val="00F53CDB"/>
    <w:rsid w:val="00F553C0"/>
    <w:rsid w:val="00F55678"/>
    <w:rsid w:val="00F569A1"/>
    <w:rsid w:val="00F56EDC"/>
    <w:rsid w:val="00F57937"/>
    <w:rsid w:val="00F57C9C"/>
    <w:rsid w:val="00F6076A"/>
    <w:rsid w:val="00F6085C"/>
    <w:rsid w:val="00F63CE3"/>
    <w:rsid w:val="00F64443"/>
    <w:rsid w:val="00F648B2"/>
    <w:rsid w:val="00F65091"/>
    <w:rsid w:val="00F6530F"/>
    <w:rsid w:val="00F670C8"/>
    <w:rsid w:val="00F67361"/>
    <w:rsid w:val="00F70097"/>
    <w:rsid w:val="00F7011B"/>
    <w:rsid w:val="00F71B4E"/>
    <w:rsid w:val="00F731FA"/>
    <w:rsid w:val="00F7387B"/>
    <w:rsid w:val="00F7536E"/>
    <w:rsid w:val="00F7564C"/>
    <w:rsid w:val="00F80A33"/>
    <w:rsid w:val="00F81154"/>
    <w:rsid w:val="00F82B48"/>
    <w:rsid w:val="00F8343B"/>
    <w:rsid w:val="00F8524C"/>
    <w:rsid w:val="00F85838"/>
    <w:rsid w:val="00F8648D"/>
    <w:rsid w:val="00F8665A"/>
    <w:rsid w:val="00F875AE"/>
    <w:rsid w:val="00F90262"/>
    <w:rsid w:val="00F90A19"/>
    <w:rsid w:val="00F92159"/>
    <w:rsid w:val="00F9402D"/>
    <w:rsid w:val="00F94400"/>
    <w:rsid w:val="00F946B9"/>
    <w:rsid w:val="00F94AFB"/>
    <w:rsid w:val="00FA06E3"/>
    <w:rsid w:val="00FA4BB6"/>
    <w:rsid w:val="00FA6A12"/>
    <w:rsid w:val="00FA6A3F"/>
    <w:rsid w:val="00FA6E0C"/>
    <w:rsid w:val="00FA7ABA"/>
    <w:rsid w:val="00FB06DA"/>
    <w:rsid w:val="00FB08E8"/>
    <w:rsid w:val="00FC0F02"/>
    <w:rsid w:val="00FC1CA3"/>
    <w:rsid w:val="00FC25FB"/>
    <w:rsid w:val="00FC3F44"/>
    <w:rsid w:val="00FC6C50"/>
    <w:rsid w:val="00FC7C4B"/>
    <w:rsid w:val="00FD0DE3"/>
    <w:rsid w:val="00FD12B2"/>
    <w:rsid w:val="00FD272C"/>
    <w:rsid w:val="00FD59BF"/>
    <w:rsid w:val="00FD6C2B"/>
    <w:rsid w:val="00FD6ED5"/>
    <w:rsid w:val="00FD79D3"/>
    <w:rsid w:val="00FE0084"/>
    <w:rsid w:val="00FE05F0"/>
    <w:rsid w:val="00FE36E8"/>
    <w:rsid w:val="00FE5281"/>
    <w:rsid w:val="00FE666D"/>
    <w:rsid w:val="00FE73BF"/>
    <w:rsid w:val="00FF09B0"/>
    <w:rsid w:val="00FF12A4"/>
    <w:rsid w:val="00FF14E5"/>
    <w:rsid w:val="00FF307F"/>
    <w:rsid w:val="00FF3129"/>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2553"/>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D17480"/>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17480"/>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5078-136F-4E63-B46D-26750CBF7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ADEE3-9FAD-4510-9E70-755935492EE4}">
  <ds:schemaRefs>
    <ds:schemaRef ds:uri="http://schemas.microsoft.com/office/2006/metadata/properties"/>
    <ds:schemaRef ds:uri="http://schemas.microsoft.com/office/infopath/2007/PartnerControls"/>
    <ds:schemaRef ds:uri="479673DD-B42C-447B-83BB-C665E4FBE352"/>
  </ds:schemaRefs>
</ds:datastoreItem>
</file>

<file path=customXml/itemProps3.xml><?xml version="1.0" encoding="utf-8"?>
<ds:datastoreItem xmlns:ds="http://schemas.openxmlformats.org/officeDocument/2006/customXml" ds:itemID="{4CBCD948-B134-4439-9BE5-EC6785A2BDD9}">
  <ds:schemaRefs>
    <ds:schemaRef ds:uri="http://schemas.microsoft.com/sharepoint/v3/contenttype/forms"/>
  </ds:schemaRefs>
</ds:datastoreItem>
</file>

<file path=customXml/itemProps4.xml><?xml version="1.0" encoding="utf-8"?>
<ds:datastoreItem xmlns:ds="http://schemas.openxmlformats.org/officeDocument/2006/customXml" ds:itemID="{9C3752E6-17DF-4A8F-A242-588A53D0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2021-01-19T23:48:00Z</dcterms:created>
  <dcterms:modified xsi:type="dcterms:W3CDTF">2021-01-19T23:48:00Z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