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03187" w14:textId="28CA7A7B" w:rsidR="002E3895" w:rsidRPr="005F09F7" w:rsidRDefault="6B329A72" w:rsidP="0086430F">
      <w:pPr>
        <w:pStyle w:val="Title"/>
      </w:pPr>
      <w:bookmarkStart w:id="0" w:name="_GoBack"/>
      <w:bookmarkEnd w:id="0"/>
      <w:r>
        <w:t>EXPLANATORY STATEMENT</w:t>
      </w:r>
    </w:p>
    <w:p w14:paraId="7316064B" w14:textId="164F97C5" w:rsidR="00DF4A7A" w:rsidRPr="00C668F1" w:rsidRDefault="00DF4A7A" w:rsidP="00C668F1">
      <w:pPr>
        <w:pStyle w:val="Sub-subtitle"/>
        <w:rPr>
          <w:u w:val="single"/>
        </w:rPr>
      </w:pPr>
      <w:r w:rsidRPr="00C668F1">
        <w:rPr>
          <w:sz w:val="24"/>
          <w:u w:val="single"/>
        </w:rPr>
        <w:t>Issued by the authority of the Minister for Energy and Emissions Reduction</w:t>
      </w:r>
    </w:p>
    <w:p w14:paraId="5108F897" w14:textId="6ED54BDB" w:rsidR="6B329A72" w:rsidRDefault="004F1713" w:rsidP="6B329A72">
      <w:pPr>
        <w:pStyle w:val="Subtitle"/>
      </w:pPr>
      <w:r w:rsidRPr="003220D5">
        <w:rPr>
          <w:rFonts w:eastAsia="Times New Roman"/>
          <w:iCs/>
          <w:lang w:eastAsia="en-AU"/>
        </w:rPr>
        <w:t>Fuel Quality Standards Act 2000</w:t>
      </w:r>
    </w:p>
    <w:p w14:paraId="5E1723ED" w14:textId="1563A56A" w:rsidR="6B329A72" w:rsidRPr="00F5714F" w:rsidRDefault="004F1713" w:rsidP="6B329A72">
      <w:pPr>
        <w:pStyle w:val="Subtitle"/>
        <w:rPr>
          <w:u w:val="single"/>
        </w:rPr>
      </w:pPr>
      <w:r w:rsidRPr="00F5714F">
        <w:rPr>
          <w:u w:val="single"/>
        </w:rPr>
        <w:t xml:space="preserve">Fuel Quality Standards (Petrol) </w:t>
      </w:r>
      <w:r w:rsidR="00E11C3D" w:rsidRPr="00F5714F">
        <w:rPr>
          <w:u w:val="single"/>
        </w:rPr>
        <w:t xml:space="preserve">Amendment </w:t>
      </w:r>
      <w:r w:rsidRPr="00F5714F">
        <w:rPr>
          <w:u w:val="single"/>
        </w:rPr>
        <w:t>Determination</w:t>
      </w:r>
      <w:r w:rsidR="00326A4A" w:rsidRPr="00F5714F">
        <w:rPr>
          <w:u w:val="single"/>
        </w:rPr>
        <w:t> </w:t>
      </w:r>
      <w:r w:rsidR="00255214" w:rsidRPr="00F5714F">
        <w:rPr>
          <w:u w:val="single"/>
        </w:rPr>
        <w:t>202</w:t>
      </w:r>
      <w:r w:rsidR="00255214">
        <w:rPr>
          <w:u w:val="single"/>
        </w:rPr>
        <w:t>1</w:t>
      </w:r>
    </w:p>
    <w:p w14:paraId="199207AC" w14:textId="289B8122" w:rsidR="000D0E22" w:rsidRDefault="00E11C3D" w:rsidP="005F09F7">
      <w:pPr>
        <w:pStyle w:val="Heading1"/>
      </w:pPr>
      <w:r>
        <w:t>Background</w:t>
      </w:r>
    </w:p>
    <w:p w14:paraId="1B9659A1" w14:textId="52124160" w:rsidR="00FA1E06" w:rsidRDefault="00FA1E06" w:rsidP="00E2762F">
      <w:pPr>
        <w:spacing w:after="0"/>
        <w:rPr>
          <w:szCs w:val="24"/>
        </w:rPr>
      </w:pPr>
      <w:r w:rsidRPr="00C6086C">
        <w:rPr>
          <w:szCs w:val="24"/>
        </w:rPr>
        <w:t xml:space="preserve">The </w:t>
      </w:r>
      <w:r w:rsidRPr="00C6086C">
        <w:rPr>
          <w:i/>
          <w:szCs w:val="24"/>
        </w:rPr>
        <w:t>Fuel Quality Standards Act</w:t>
      </w:r>
      <w:r>
        <w:rPr>
          <w:i/>
          <w:szCs w:val="24"/>
        </w:rPr>
        <w:t> </w:t>
      </w:r>
      <w:r w:rsidRPr="00C6086C">
        <w:rPr>
          <w:i/>
          <w:szCs w:val="24"/>
        </w:rPr>
        <w:t xml:space="preserve">2000 </w:t>
      </w:r>
      <w:r w:rsidRPr="00C6086C">
        <w:rPr>
          <w:szCs w:val="24"/>
        </w:rPr>
        <w:t xml:space="preserve">(the Act) </w:t>
      </w:r>
      <w:r>
        <w:rPr>
          <w:szCs w:val="24"/>
        </w:rPr>
        <w:t>provides the legislative framework for regulating</w:t>
      </w:r>
      <w:r w:rsidRPr="00C6086C">
        <w:rPr>
          <w:szCs w:val="24"/>
        </w:rPr>
        <w:t xml:space="preserve"> the quality of fuel supplied in Australia</w:t>
      </w:r>
      <w:r>
        <w:rPr>
          <w:szCs w:val="24"/>
        </w:rPr>
        <w:t>. The objectives of the Act are</w:t>
      </w:r>
      <w:r w:rsidRPr="00C6086C">
        <w:rPr>
          <w:szCs w:val="24"/>
        </w:rPr>
        <w:t xml:space="preserve"> to reduc</w:t>
      </w:r>
      <w:r>
        <w:rPr>
          <w:szCs w:val="24"/>
        </w:rPr>
        <w:t>e</w:t>
      </w:r>
      <w:r w:rsidRPr="00C6086C">
        <w:rPr>
          <w:szCs w:val="24"/>
        </w:rPr>
        <w:t xml:space="preserve"> the level of pollutants and emissions arising from the use of fuel that may cause environmental an</w:t>
      </w:r>
      <w:r>
        <w:rPr>
          <w:szCs w:val="24"/>
        </w:rPr>
        <w:t>d health problems</w:t>
      </w:r>
      <w:r w:rsidR="00326A4A">
        <w:rPr>
          <w:szCs w:val="24"/>
        </w:rPr>
        <w:t>;</w:t>
      </w:r>
      <w:r w:rsidRPr="00C6086C">
        <w:rPr>
          <w:szCs w:val="24"/>
        </w:rPr>
        <w:t xml:space="preserve"> </w:t>
      </w:r>
      <w:r>
        <w:rPr>
          <w:szCs w:val="24"/>
        </w:rPr>
        <w:t>facilitate</w:t>
      </w:r>
      <w:r w:rsidRPr="00C6086C">
        <w:rPr>
          <w:szCs w:val="24"/>
        </w:rPr>
        <w:t xml:space="preserve"> the adoption of better engine and emission c</w:t>
      </w:r>
      <w:r>
        <w:rPr>
          <w:szCs w:val="24"/>
        </w:rPr>
        <w:t>ontrol technology</w:t>
      </w:r>
      <w:r w:rsidR="003F0E1C">
        <w:rPr>
          <w:szCs w:val="24"/>
        </w:rPr>
        <w:t>;</w:t>
      </w:r>
      <w:r w:rsidR="00822651">
        <w:rPr>
          <w:szCs w:val="24"/>
        </w:rPr>
        <w:t xml:space="preserve"> </w:t>
      </w:r>
      <w:r>
        <w:rPr>
          <w:szCs w:val="24"/>
        </w:rPr>
        <w:t>allow</w:t>
      </w:r>
      <w:r w:rsidRPr="00C6086C">
        <w:rPr>
          <w:szCs w:val="24"/>
        </w:rPr>
        <w:t xml:space="preserve"> the more</w:t>
      </w:r>
      <w:r>
        <w:rPr>
          <w:szCs w:val="24"/>
        </w:rPr>
        <w:t xml:space="preserve"> effective operation of engines</w:t>
      </w:r>
      <w:r w:rsidR="00822651" w:rsidRPr="00822651">
        <w:rPr>
          <w:szCs w:val="24"/>
        </w:rPr>
        <w:t xml:space="preserve"> </w:t>
      </w:r>
      <w:r w:rsidR="00822651">
        <w:rPr>
          <w:szCs w:val="24"/>
        </w:rPr>
        <w:t xml:space="preserve">and </w:t>
      </w:r>
      <w:r w:rsidR="00822651" w:rsidRPr="00E1016F">
        <w:rPr>
          <w:szCs w:val="24"/>
        </w:rPr>
        <w:t>ensure that, where appropriate, information about fuel is provided when the fuel is supplied</w:t>
      </w:r>
      <w:r w:rsidR="00822651">
        <w:rPr>
          <w:szCs w:val="24"/>
        </w:rPr>
        <w:t>.</w:t>
      </w:r>
      <w:r>
        <w:rPr>
          <w:szCs w:val="24"/>
        </w:rPr>
        <w:t xml:space="preserve"> </w:t>
      </w:r>
    </w:p>
    <w:p w14:paraId="6040E55F" w14:textId="4B733C90" w:rsidR="00E11C3D" w:rsidRDefault="00E11C3D" w:rsidP="00FA1E06">
      <w:pPr>
        <w:spacing w:after="0" w:line="240" w:lineRule="auto"/>
        <w:rPr>
          <w:szCs w:val="24"/>
        </w:rPr>
      </w:pPr>
    </w:p>
    <w:p w14:paraId="47D40F7C" w14:textId="09E01C38" w:rsidR="00D70985" w:rsidRDefault="00E11C3D" w:rsidP="00E2762F">
      <w:pPr>
        <w:spacing w:after="0"/>
        <w:rPr>
          <w:szCs w:val="24"/>
        </w:rPr>
      </w:pPr>
      <w:r>
        <w:rPr>
          <w:szCs w:val="24"/>
        </w:rPr>
        <w:t xml:space="preserve">The </w:t>
      </w:r>
      <w:r>
        <w:rPr>
          <w:i/>
          <w:szCs w:val="24"/>
        </w:rPr>
        <w:t xml:space="preserve">Fuel Quality Standards (Petrol) Determination 2019 </w:t>
      </w:r>
      <w:r>
        <w:rPr>
          <w:szCs w:val="24"/>
        </w:rPr>
        <w:t xml:space="preserve">(the 2019 Determination) was made under section 21 of the Act. </w:t>
      </w:r>
      <w:r w:rsidR="00D70985">
        <w:rPr>
          <w:szCs w:val="24"/>
        </w:rPr>
        <w:t xml:space="preserve">Section 21 of the Act </w:t>
      </w:r>
      <w:r w:rsidR="009667E7">
        <w:rPr>
          <w:szCs w:val="24"/>
        </w:rPr>
        <w:t>provides that</w:t>
      </w:r>
      <w:r w:rsidR="00D70985">
        <w:rPr>
          <w:szCs w:val="24"/>
        </w:rPr>
        <w:t xml:space="preserve"> the Minister </w:t>
      </w:r>
      <w:r w:rsidR="009667E7">
        <w:rPr>
          <w:szCs w:val="24"/>
        </w:rPr>
        <w:t>may</w:t>
      </w:r>
      <w:r w:rsidR="00D70985">
        <w:rPr>
          <w:szCs w:val="24"/>
        </w:rPr>
        <w:t xml:space="preserve"> determine</w:t>
      </w:r>
      <w:r w:rsidR="0015410F">
        <w:rPr>
          <w:szCs w:val="24"/>
        </w:rPr>
        <w:t xml:space="preserve">, by legislative instrument, </w:t>
      </w:r>
      <w:r w:rsidR="009667E7">
        <w:rPr>
          <w:szCs w:val="24"/>
        </w:rPr>
        <w:t xml:space="preserve">that specified matters constitute </w:t>
      </w:r>
      <w:r w:rsidR="00D70985">
        <w:rPr>
          <w:szCs w:val="24"/>
        </w:rPr>
        <w:t xml:space="preserve">a fuel standard in respect of a specified kind of fuel. </w:t>
      </w:r>
    </w:p>
    <w:p w14:paraId="2EBFB396" w14:textId="7A188D15" w:rsidR="0015410F" w:rsidRDefault="00E63B2F" w:rsidP="004922B0">
      <w:pPr>
        <w:pStyle w:val="subsection"/>
        <w:ind w:left="0" w:firstLine="0"/>
        <w:rPr>
          <w:rFonts w:eastAsiaTheme="minorHAnsi" w:cstheme="minorBidi"/>
          <w:sz w:val="24"/>
          <w:szCs w:val="24"/>
          <w:lang w:eastAsia="en-US"/>
        </w:rPr>
      </w:pPr>
      <w:r w:rsidRPr="001D11DE">
        <w:rPr>
          <w:rFonts w:eastAsiaTheme="minorHAnsi" w:cstheme="minorBidi"/>
          <w:sz w:val="24"/>
          <w:szCs w:val="24"/>
          <w:lang w:eastAsia="en-US"/>
        </w:rPr>
        <w:t xml:space="preserve">The </w:t>
      </w:r>
      <w:r w:rsidR="00E11C3D">
        <w:rPr>
          <w:rFonts w:eastAsiaTheme="minorHAnsi" w:cstheme="minorBidi"/>
          <w:sz w:val="24"/>
          <w:szCs w:val="24"/>
          <w:lang w:eastAsia="en-US"/>
        </w:rPr>
        <w:t>2019</w:t>
      </w:r>
      <w:r w:rsidRPr="001D11DE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4353BF" w:rsidRPr="001D11DE">
        <w:rPr>
          <w:rFonts w:eastAsiaTheme="minorHAnsi" w:cstheme="minorBidi"/>
          <w:sz w:val="24"/>
          <w:szCs w:val="24"/>
          <w:lang w:eastAsia="en-US"/>
        </w:rPr>
        <w:t>Determination</w:t>
      </w:r>
      <w:r w:rsidRPr="001D11DE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4E0221">
        <w:rPr>
          <w:rFonts w:eastAsiaTheme="minorHAnsi" w:cstheme="minorBidi"/>
          <w:sz w:val="24"/>
          <w:szCs w:val="24"/>
          <w:lang w:eastAsia="en-US"/>
        </w:rPr>
        <w:t>was</w:t>
      </w:r>
      <w:r w:rsidR="004E0221" w:rsidRPr="001D11DE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E11C3D">
        <w:rPr>
          <w:rFonts w:eastAsiaTheme="minorHAnsi" w:cstheme="minorBidi"/>
          <w:sz w:val="24"/>
          <w:szCs w:val="24"/>
          <w:lang w:eastAsia="en-US"/>
        </w:rPr>
        <w:t xml:space="preserve">made on 18 March 2019 </w:t>
      </w:r>
      <w:r w:rsidRPr="001D11DE">
        <w:rPr>
          <w:rFonts w:eastAsiaTheme="minorHAnsi" w:cstheme="minorBidi"/>
          <w:sz w:val="24"/>
          <w:szCs w:val="24"/>
          <w:lang w:eastAsia="en-US"/>
        </w:rPr>
        <w:t>to</w:t>
      </w:r>
      <w:r w:rsidR="0015410F">
        <w:rPr>
          <w:rFonts w:eastAsiaTheme="minorHAnsi" w:cstheme="minorBidi"/>
          <w:sz w:val="24"/>
          <w:szCs w:val="24"/>
          <w:lang w:eastAsia="en-US"/>
        </w:rPr>
        <w:t>:</w:t>
      </w:r>
      <w:r w:rsidRPr="001D11DE">
        <w:rPr>
          <w:rFonts w:eastAsiaTheme="minorHAnsi" w:cstheme="minorBidi"/>
          <w:sz w:val="24"/>
          <w:szCs w:val="24"/>
          <w:lang w:eastAsia="en-US"/>
        </w:rPr>
        <w:t xml:space="preserve"> </w:t>
      </w:r>
    </w:p>
    <w:p w14:paraId="60B234B5" w14:textId="0213AF4E" w:rsidR="0015410F" w:rsidRDefault="00E63B2F" w:rsidP="00C668F1">
      <w:pPr>
        <w:pStyle w:val="subsection"/>
        <w:numPr>
          <w:ilvl w:val="0"/>
          <w:numId w:val="5"/>
        </w:numPr>
        <w:rPr>
          <w:rFonts w:eastAsiaTheme="minorHAnsi" w:cstheme="minorBidi"/>
          <w:sz w:val="24"/>
          <w:szCs w:val="24"/>
          <w:lang w:eastAsia="en-US"/>
        </w:rPr>
      </w:pPr>
      <w:r w:rsidRPr="001D11DE">
        <w:rPr>
          <w:rFonts w:eastAsiaTheme="minorHAnsi" w:cstheme="minorBidi"/>
          <w:sz w:val="24"/>
          <w:szCs w:val="24"/>
          <w:lang w:eastAsia="en-US"/>
        </w:rPr>
        <w:t xml:space="preserve">revoke and replace the sunsetting </w:t>
      </w:r>
      <w:r w:rsidRPr="00F5714F">
        <w:rPr>
          <w:rFonts w:eastAsiaTheme="minorHAnsi" w:cstheme="minorBidi"/>
          <w:i/>
          <w:sz w:val="24"/>
          <w:szCs w:val="24"/>
          <w:lang w:eastAsia="en-US"/>
        </w:rPr>
        <w:t xml:space="preserve">Fuel </w:t>
      </w:r>
      <w:r w:rsidR="00C37C38" w:rsidRPr="00F5714F">
        <w:rPr>
          <w:rFonts w:eastAsiaTheme="minorHAnsi" w:cstheme="minorBidi"/>
          <w:i/>
          <w:sz w:val="24"/>
          <w:szCs w:val="24"/>
          <w:lang w:eastAsia="en-US"/>
        </w:rPr>
        <w:t>Standard (Petrol) Determination </w:t>
      </w:r>
      <w:r w:rsidRPr="00F5714F">
        <w:rPr>
          <w:rFonts w:eastAsiaTheme="minorHAnsi" w:cstheme="minorBidi"/>
          <w:i/>
          <w:sz w:val="24"/>
          <w:szCs w:val="24"/>
          <w:lang w:eastAsia="en-US"/>
        </w:rPr>
        <w:t>2001</w:t>
      </w:r>
      <w:r w:rsidR="0015410F">
        <w:rPr>
          <w:rFonts w:eastAsiaTheme="minorHAnsi" w:cstheme="minorBidi"/>
          <w:sz w:val="24"/>
          <w:szCs w:val="24"/>
          <w:lang w:eastAsia="en-US"/>
        </w:rPr>
        <w:t xml:space="preserve">; </w:t>
      </w:r>
    </w:p>
    <w:p w14:paraId="4DEEB557" w14:textId="463B040F" w:rsidR="0015410F" w:rsidRDefault="0015410F" w:rsidP="00C668F1">
      <w:pPr>
        <w:pStyle w:val="subsection"/>
        <w:numPr>
          <w:ilvl w:val="0"/>
          <w:numId w:val="5"/>
        </w:numPr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set out the parameters and testing methods for petrol used in Australia; and</w:t>
      </w:r>
      <w:r w:rsidR="00DC4E3E">
        <w:rPr>
          <w:rFonts w:eastAsiaTheme="minorHAnsi" w:cstheme="minorBidi"/>
          <w:sz w:val="24"/>
          <w:szCs w:val="24"/>
          <w:lang w:eastAsia="en-US"/>
        </w:rPr>
        <w:t xml:space="preserve"> </w:t>
      </w:r>
    </w:p>
    <w:p w14:paraId="461DAF61" w14:textId="59AFAE42" w:rsidR="00303E3E" w:rsidRDefault="00DC4E3E" w:rsidP="00C668F1">
      <w:pPr>
        <w:pStyle w:val="subsection"/>
        <w:numPr>
          <w:ilvl w:val="0"/>
          <w:numId w:val="5"/>
        </w:numPr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provide certainty for the quality of petrol supplied in Australia</w:t>
      </w:r>
      <w:r w:rsidR="00E63B2F" w:rsidRPr="001D11DE">
        <w:rPr>
          <w:rFonts w:eastAsiaTheme="minorHAnsi" w:cstheme="minorBidi"/>
          <w:sz w:val="24"/>
          <w:szCs w:val="24"/>
          <w:lang w:eastAsia="en-US"/>
        </w:rPr>
        <w:t>.</w:t>
      </w:r>
      <w:r w:rsidR="000B3F27" w:rsidRPr="001D11DE">
        <w:rPr>
          <w:rFonts w:eastAsiaTheme="minorHAnsi" w:cstheme="minorBidi"/>
          <w:sz w:val="24"/>
          <w:szCs w:val="24"/>
          <w:lang w:eastAsia="en-US"/>
        </w:rPr>
        <w:t xml:space="preserve"> </w:t>
      </w:r>
    </w:p>
    <w:p w14:paraId="6E434214" w14:textId="43DBEBF9" w:rsidR="000D0E22" w:rsidRDefault="00E11C3D" w:rsidP="005F09F7">
      <w:pPr>
        <w:pStyle w:val="Heading1"/>
      </w:pPr>
      <w:r>
        <w:t xml:space="preserve">Purpose and operation </w:t>
      </w:r>
    </w:p>
    <w:p w14:paraId="27BFC4E3" w14:textId="639F2C03" w:rsidR="003C51BF" w:rsidRDefault="00E11C3D" w:rsidP="00E2762F">
      <w:pPr>
        <w:rPr>
          <w:szCs w:val="24"/>
        </w:rPr>
      </w:pPr>
      <w:r>
        <w:t xml:space="preserve">The purpose of the </w:t>
      </w:r>
      <w:r>
        <w:rPr>
          <w:i/>
          <w:szCs w:val="24"/>
        </w:rPr>
        <w:t xml:space="preserve">Fuel Quality Standards (Petrol) Amendment Determination </w:t>
      </w:r>
      <w:r w:rsidR="00255214">
        <w:rPr>
          <w:i/>
          <w:szCs w:val="24"/>
        </w:rPr>
        <w:t xml:space="preserve">2021 </w:t>
      </w:r>
      <w:r>
        <w:rPr>
          <w:szCs w:val="24"/>
        </w:rPr>
        <w:t xml:space="preserve">(the </w:t>
      </w:r>
      <w:r w:rsidR="00255214">
        <w:rPr>
          <w:szCs w:val="24"/>
        </w:rPr>
        <w:t xml:space="preserve">2021 </w:t>
      </w:r>
      <w:r>
        <w:rPr>
          <w:szCs w:val="24"/>
        </w:rPr>
        <w:t>Determination) is to</w:t>
      </w:r>
      <w:r w:rsidR="00CB35AF">
        <w:rPr>
          <w:szCs w:val="24"/>
        </w:rPr>
        <w:t xml:space="preserve"> amend the 2019 Determination to</w:t>
      </w:r>
      <w:r>
        <w:rPr>
          <w:szCs w:val="24"/>
        </w:rPr>
        <w:t xml:space="preserve"> </w:t>
      </w:r>
      <w:r w:rsidR="00CB35AF">
        <w:rPr>
          <w:szCs w:val="24"/>
        </w:rPr>
        <w:t xml:space="preserve">(i) correct spelling errors in the 2019 Determination, and (ii) </w:t>
      </w:r>
      <w:r>
        <w:rPr>
          <w:szCs w:val="24"/>
        </w:rPr>
        <w:t>align the limit for water in ethanol with the Government’s</w:t>
      </w:r>
      <w:r w:rsidR="00CB35AF">
        <w:rPr>
          <w:szCs w:val="24"/>
        </w:rPr>
        <w:t xml:space="preserve"> </w:t>
      </w:r>
      <w:r>
        <w:rPr>
          <w:szCs w:val="24"/>
        </w:rPr>
        <w:t>policy intent</w:t>
      </w:r>
      <w:r w:rsidR="00CB35AF">
        <w:rPr>
          <w:szCs w:val="24"/>
        </w:rPr>
        <w:t xml:space="preserve"> for the </w:t>
      </w:r>
      <w:r w:rsidR="00CB35AF" w:rsidRPr="00141B74">
        <w:rPr>
          <w:szCs w:val="24"/>
        </w:rPr>
        <w:t>2019 Determination</w:t>
      </w:r>
      <w:r w:rsidR="00340BBE" w:rsidRPr="00141B74">
        <w:rPr>
          <w:szCs w:val="24"/>
        </w:rPr>
        <w:t xml:space="preserve">. </w:t>
      </w:r>
      <w:r w:rsidR="00141B74" w:rsidRPr="006067D1">
        <w:rPr>
          <w:szCs w:val="24"/>
        </w:rPr>
        <w:t xml:space="preserve">The policy intention in making the 2019 Determination was to adjust the unit of measurement for water content in ethanol from volume by volume (expressed as v/v) to mass by mass (m/m), while retaining the equivalent value and taking into consideration the relative density of water to ethanol. The </w:t>
      </w:r>
      <w:r w:rsidR="00255214" w:rsidRPr="006067D1">
        <w:rPr>
          <w:szCs w:val="24"/>
        </w:rPr>
        <w:t>202</w:t>
      </w:r>
      <w:r w:rsidR="00255214">
        <w:rPr>
          <w:szCs w:val="24"/>
        </w:rPr>
        <w:t>1</w:t>
      </w:r>
      <w:r w:rsidR="00255214" w:rsidRPr="006067D1">
        <w:rPr>
          <w:szCs w:val="24"/>
        </w:rPr>
        <w:t xml:space="preserve"> </w:t>
      </w:r>
      <w:r w:rsidR="00141B74" w:rsidRPr="006067D1">
        <w:rPr>
          <w:szCs w:val="24"/>
        </w:rPr>
        <w:t>Determination amends the value to reflect th</w:t>
      </w:r>
      <w:r w:rsidR="0071339D">
        <w:rPr>
          <w:szCs w:val="24"/>
        </w:rPr>
        <w:t>is</w:t>
      </w:r>
      <w:r w:rsidR="00141B74" w:rsidRPr="006067D1">
        <w:rPr>
          <w:szCs w:val="24"/>
        </w:rPr>
        <w:t xml:space="preserve"> intent. </w:t>
      </w:r>
      <w:r w:rsidR="009944B2">
        <w:rPr>
          <w:szCs w:val="24"/>
        </w:rPr>
        <w:t xml:space="preserve"> </w:t>
      </w:r>
    </w:p>
    <w:p w14:paraId="3BC92A06" w14:textId="7A15A95C" w:rsidR="0015410F" w:rsidRPr="00E11C3D" w:rsidRDefault="0015410F" w:rsidP="00E2762F">
      <w:pPr>
        <w:spacing w:before="120" w:after="120"/>
      </w:pPr>
      <w:r>
        <w:t>The</w:t>
      </w:r>
      <w:r w:rsidR="000E0678">
        <w:t xml:space="preserve"> </w:t>
      </w:r>
      <w:r w:rsidR="00255214">
        <w:t xml:space="preserve">2021 </w:t>
      </w:r>
      <w:r>
        <w:t xml:space="preserve">Determination is a legislative instrument for the purposes of the </w:t>
      </w:r>
      <w:r>
        <w:rPr>
          <w:i/>
        </w:rPr>
        <w:t>Legislation Act 2003</w:t>
      </w:r>
      <w:r>
        <w:t xml:space="preserve">. </w:t>
      </w:r>
    </w:p>
    <w:p w14:paraId="1204FA38" w14:textId="54519E04" w:rsidR="000D0E22" w:rsidRDefault="000D0E22" w:rsidP="005F09F7">
      <w:pPr>
        <w:pStyle w:val="Heading1"/>
      </w:pPr>
      <w:r>
        <w:t>Consultation</w:t>
      </w:r>
    </w:p>
    <w:p w14:paraId="51519BD6" w14:textId="64B79F24" w:rsidR="000558F3" w:rsidRDefault="00FA1E06" w:rsidP="00E2762F">
      <w:pPr>
        <w:spacing w:after="0"/>
        <w:rPr>
          <w:szCs w:val="24"/>
        </w:rPr>
      </w:pPr>
      <w:r>
        <w:rPr>
          <w:szCs w:val="24"/>
        </w:rPr>
        <w:t>Th</w:t>
      </w:r>
      <w:r w:rsidR="00E11C3D">
        <w:rPr>
          <w:szCs w:val="24"/>
        </w:rPr>
        <w:t>e</w:t>
      </w:r>
      <w:r w:rsidR="00F8128C">
        <w:rPr>
          <w:szCs w:val="24"/>
        </w:rPr>
        <w:t xml:space="preserve"> </w:t>
      </w:r>
      <w:r w:rsidR="00E11C3D">
        <w:rPr>
          <w:szCs w:val="24"/>
        </w:rPr>
        <w:t>2019</w:t>
      </w:r>
      <w:r w:rsidR="003D74B0">
        <w:rPr>
          <w:szCs w:val="24"/>
        </w:rPr>
        <w:t xml:space="preserve"> </w:t>
      </w:r>
      <w:r w:rsidR="00F8128C">
        <w:rPr>
          <w:szCs w:val="24"/>
        </w:rPr>
        <w:t>Determination</w:t>
      </w:r>
      <w:r w:rsidR="00303E3E">
        <w:rPr>
          <w:szCs w:val="24"/>
        </w:rPr>
        <w:t xml:space="preserve"> was</w:t>
      </w:r>
      <w:r w:rsidR="00F8128C">
        <w:rPr>
          <w:szCs w:val="24"/>
        </w:rPr>
        <w:t xml:space="preserve"> developed following</w:t>
      </w:r>
      <w:r>
        <w:rPr>
          <w:szCs w:val="24"/>
        </w:rPr>
        <w:t xml:space="preserve"> extensive public consultation in relation to </w:t>
      </w:r>
      <w:r w:rsidR="00F8128C">
        <w:rPr>
          <w:szCs w:val="24"/>
        </w:rPr>
        <w:t xml:space="preserve">a range of </w:t>
      </w:r>
      <w:r>
        <w:rPr>
          <w:szCs w:val="24"/>
        </w:rPr>
        <w:t xml:space="preserve">policy options </w:t>
      </w:r>
      <w:r w:rsidR="00F8128C">
        <w:rPr>
          <w:szCs w:val="24"/>
        </w:rPr>
        <w:t>to improve Australia’s fuel quality</w:t>
      </w:r>
      <w:r>
        <w:rPr>
          <w:szCs w:val="24"/>
        </w:rPr>
        <w:t>. Two rounds of public consultation were conducted</w:t>
      </w:r>
      <w:r w:rsidR="00BE38CD">
        <w:rPr>
          <w:szCs w:val="24"/>
        </w:rPr>
        <w:t>, as well as t</w:t>
      </w:r>
      <w:r>
        <w:rPr>
          <w:szCs w:val="24"/>
        </w:rPr>
        <w:t xml:space="preserve">argeted consultation with key industry stakeholders to finalise options for the legislative instruments that prescribe fuel standards. </w:t>
      </w:r>
      <w:r w:rsidR="002C6E63">
        <w:rPr>
          <w:szCs w:val="24"/>
        </w:rPr>
        <w:t>The stakeholders included fuel producers, fuel importers</w:t>
      </w:r>
      <w:r w:rsidR="00777049">
        <w:rPr>
          <w:szCs w:val="24"/>
        </w:rPr>
        <w:t>,</w:t>
      </w:r>
      <w:r w:rsidR="002C6E63">
        <w:rPr>
          <w:szCs w:val="24"/>
        </w:rPr>
        <w:t xml:space="preserve"> vehicle manufacturers</w:t>
      </w:r>
      <w:r w:rsidR="00777049">
        <w:rPr>
          <w:szCs w:val="24"/>
        </w:rPr>
        <w:t xml:space="preserve"> and automobile </w:t>
      </w:r>
      <w:r w:rsidR="00777049">
        <w:rPr>
          <w:szCs w:val="24"/>
        </w:rPr>
        <w:lastRenderedPageBreak/>
        <w:t>associations</w:t>
      </w:r>
      <w:r w:rsidR="002C6E63">
        <w:rPr>
          <w:szCs w:val="24"/>
        </w:rPr>
        <w:t xml:space="preserve">. </w:t>
      </w:r>
      <w:r>
        <w:rPr>
          <w:szCs w:val="24"/>
        </w:rPr>
        <w:t xml:space="preserve">Targeted consultation with key testing laboratories occurred to ensure the proposed </w:t>
      </w:r>
      <w:r w:rsidR="003E40BB">
        <w:rPr>
          <w:szCs w:val="24"/>
        </w:rPr>
        <w:t>changes</w:t>
      </w:r>
      <w:r>
        <w:rPr>
          <w:szCs w:val="24"/>
        </w:rPr>
        <w:t xml:space="preserve"> reflected the most up-to-date </w:t>
      </w:r>
      <w:r w:rsidR="00243397">
        <w:rPr>
          <w:szCs w:val="24"/>
        </w:rPr>
        <w:t>testing methods for the relevant parameter.</w:t>
      </w:r>
    </w:p>
    <w:p w14:paraId="1A086856" w14:textId="77777777" w:rsidR="00303E3E" w:rsidRDefault="00303E3E" w:rsidP="00FA1E06">
      <w:pPr>
        <w:spacing w:after="0" w:line="240" w:lineRule="auto"/>
        <w:rPr>
          <w:szCs w:val="24"/>
        </w:rPr>
      </w:pPr>
    </w:p>
    <w:p w14:paraId="4F9770B3" w14:textId="6DD24C2D" w:rsidR="00303E3E" w:rsidRDefault="00303E3E" w:rsidP="00E2762F">
      <w:pPr>
        <w:spacing w:after="0"/>
        <w:rPr>
          <w:szCs w:val="24"/>
        </w:rPr>
      </w:pPr>
      <w:r>
        <w:rPr>
          <w:szCs w:val="24"/>
        </w:rPr>
        <w:t>The amendments to the</w:t>
      </w:r>
      <w:r w:rsidR="006447EF">
        <w:rPr>
          <w:szCs w:val="24"/>
        </w:rPr>
        <w:t xml:space="preserve"> spelling of</w:t>
      </w:r>
      <w:r>
        <w:rPr>
          <w:szCs w:val="24"/>
        </w:rPr>
        <w:t xml:space="preserve"> phosphorus and </w:t>
      </w:r>
      <w:r w:rsidR="006447EF">
        <w:rPr>
          <w:szCs w:val="24"/>
        </w:rPr>
        <w:t xml:space="preserve">the </w:t>
      </w:r>
      <w:r>
        <w:rPr>
          <w:szCs w:val="24"/>
        </w:rPr>
        <w:t xml:space="preserve">water parameters align the </w:t>
      </w:r>
      <w:r w:rsidR="006447EF">
        <w:rPr>
          <w:szCs w:val="24"/>
        </w:rPr>
        <w:t>text of the</w:t>
      </w:r>
      <w:r w:rsidR="00E11C3D">
        <w:rPr>
          <w:szCs w:val="24"/>
        </w:rPr>
        <w:t xml:space="preserve"> 2019 Determination</w:t>
      </w:r>
      <w:r>
        <w:rPr>
          <w:szCs w:val="24"/>
        </w:rPr>
        <w:t xml:space="preserve"> with the intent of the Government’s policy and</w:t>
      </w:r>
      <w:r w:rsidR="006447EF">
        <w:rPr>
          <w:szCs w:val="24"/>
        </w:rPr>
        <w:t xml:space="preserve"> these two changes were the subject of</w:t>
      </w:r>
      <w:r>
        <w:rPr>
          <w:szCs w:val="24"/>
        </w:rPr>
        <w:t xml:space="preserve"> the</w:t>
      </w:r>
      <w:r w:rsidR="006447EF">
        <w:rPr>
          <w:szCs w:val="24"/>
        </w:rPr>
        <w:t xml:space="preserve"> initial</w:t>
      </w:r>
      <w:r>
        <w:rPr>
          <w:szCs w:val="24"/>
        </w:rPr>
        <w:t xml:space="preserve"> consultation process described above.</w:t>
      </w:r>
    </w:p>
    <w:p w14:paraId="6D0CD4F2" w14:textId="77777777" w:rsidR="002C6E63" w:rsidRDefault="002C6E63" w:rsidP="00FA1E06">
      <w:pPr>
        <w:spacing w:after="0" w:line="240" w:lineRule="auto"/>
        <w:rPr>
          <w:szCs w:val="24"/>
        </w:rPr>
      </w:pPr>
    </w:p>
    <w:p w14:paraId="5B1F6D90" w14:textId="2C0F252F" w:rsidR="002C6E63" w:rsidRPr="002C6E63" w:rsidRDefault="002C6E63" w:rsidP="00E2762F">
      <w:pPr>
        <w:spacing w:after="0"/>
        <w:rPr>
          <w:rFonts w:cs="Times New Roman"/>
          <w:szCs w:val="24"/>
        </w:rPr>
      </w:pPr>
      <w:r w:rsidRPr="002C6E63">
        <w:rPr>
          <w:rFonts w:cs="Times New Roman"/>
          <w:szCs w:val="24"/>
        </w:rPr>
        <w:t xml:space="preserve">Under the Act, before making a fuel standard, the Minister must also consult the </w:t>
      </w:r>
      <w:r w:rsidRPr="002C6E63">
        <w:rPr>
          <w:rFonts w:cs="Times New Roman"/>
          <w:color w:val="000000"/>
          <w:szCs w:val="24"/>
        </w:rPr>
        <w:t>Fuel Standards Consultative Committee</w:t>
      </w:r>
      <w:r w:rsidR="00E11C3D">
        <w:rPr>
          <w:rFonts w:cs="Times New Roman"/>
          <w:color w:val="000000"/>
          <w:szCs w:val="24"/>
        </w:rPr>
        <w:t xml:space="preserve"> (the Committee)</w:t>
      </w:r>
      <w:r w:rsidR="006447EF">
        <w:rPr>
          <w:rFonts w:cs="Times New Roman"/>
          <w:color w:val="000000"/>
          <w:szCs w:val="24"/>
        </w:rPr>
        <w:t xml:space="preserve"> (s</w:t>
      </w:r>
      <w:r w:rsidR="006A4DC1">
        <w:rPr>
          <w:rFonts w:cs="Times New Roman"/>
          <w:color w:val="000000"/>
          <w:szCs w:val="24"/>
        </w:rPr>
        <w:t>ection</w:t>
      </w:r>
      <w:r w:rsidR="006447EF">
        <w:rPr>
          <w:rFonts w:cs="Times New Roman"/>
          <w:color w:val="000000"/>
          <w:szCs w:val="24"/>
        </w:rPr>
        <w:t xml:space="preserve"> </w:t>
      </w:r>
      <w:r w:rsidR="007C45D5">
        <w:rPr>
          <w:rFonts w:cs="Times New Roman"/>
          <w:color w:val="000000"/>
          <w:szCs w:val="24"/>
        </w:rPr>
        <w:t>24A</w:t>
      </w:r>
      <w:r w:rsidR="006447EF">
        <w:rPr>
          <w:rFonts w:cs="Times New Roman"/>
          <w:color w:val="000000"/>
          <w:szCs w:val="24"/>
        </w:rPr>
        <w:t>)</w:t>
      </w:r>
      <w:r w:rsidRPr="002C6E63">
        <w:rPr>
          <w:rFonts w:cs="Times New Roman"/>
          <w:color w:val="000000"/>
          <w:szCs w:val="24"/>
        </w:rPr>
        <w:t xml:space="preserve">. The </w:t>
      </w:r>
      <w:r w:rsidR="00E11C3D">
        <w:rPr>
          <w:rFonts w:cs="Times New Roman"/>
          <w:color w:val="000000"/>
          <w:szCs w:val="24"/>
        </w:rPr>
        <w:t>C</w:t>
      </w:r>
      <w:r w:rsidRPr="002C6E63">
        <w:rPr>
          <w:rFonts w:cs="Times New Roman"/>
          <w:color w:val="000000"/>
          <w:szCs w:val="24"/>
        </w:rPr>
        <w:t xml:space="preserve">ommittee provided advice on the exposure draft of the </w:t>
      </w:r>
      <w:r w:rsidR="00255214">
        <w:rPr>
          <w:rFonts w:cs="Times New Roman"/>
          <w:color w:val="000000"/>
          <w:szCs w:val="24"/>
        </w:rPr>
        <w:t xml:space="preserve">2021 </w:t>
      </w:r>
      <w:r w:rsidR="004353BF">
        <w:t>Determination</w:t>
      </w:r>
      <w:r w:rsidRPr="002C6E63">
        <w:rPr>
          <w:rFonts w:cs="Times New Roman"/>
          <w:color w:val="000000"/>
          <w:szCs w:val="24"/>
        </w:rPr>
        <w:t>.</w:t>
      </w:r>
    </w:p>
    <w:p w14:paraId="6E2C92C4" w14:textId="63B5AF38" w:rsidR="000D0E22" w:rsidRDefault="00AD646A" w:rsidP="005F09F7">
      <w:pPr>
        <w:pStyle w:val="Heading1"/>
      </w:pPr>
      <w:r>
        <w:t>Regulation</w:t>
      </w:r>
      <w:r w:rsidR="00327D76">
        <w:t xml:space="preserve"> i</w:t>
      </w:r>
      <w:r w:rsidR="000D0E22">
        <w:t>mpact</w:t>
      </w:r>
      <w:r w:rsidR="00003F2D">
        <w:t xml:space="preserve"> </w:t>
      </w:r>
      <w:r w:rsidR="009109F9">
        <w:t>analysis</w:t>
      </w:r>
    </w:p>
    <w:p w14:paraId="402952A9" w14:textId="45BAA81E" w:rsidR="002E0454" w:rsidRDefault="00E11C3D" w:rsidP="00E2762F">
      <w:pPr>
        <w:rPr>
          <w:szCs w:val="24"/>
        </w:rPr>
      </w:pPr>
      <w:r>
        <w:rPr>
          <w:szCs w:val="24"/>
        </w:rPr>
        <w:t>The regulatory impacts of the</w:t>
      </w:r>
      <w:r w:rsidR="00DC7EAD">
        <w:rPr>
          <w:szCs w:val="24"/>
        </w:rPr>
        <w:t>se</w:t>
      </w:r>
      <w:r>
        <w:rPr>
          <w:szCs w:val="24"/>
        </w:rPr>
        <w:t xml:space="preserve"> amendments</w:t>
      </w:r>
      <w:r w:rsidR="00DC7EAD">
        <w:rPr>
          <w:szCs w:val="24"/>
        </w:rPr>
        <w:t xml:space="preserve"> to the 2019 Determination</w:t>
      </w:r>
      <w:r>
        <w:rPr>
          <w:szCs w:val="24"/>
        </w:rPr>
        <w:t xml:space="preserve"> were assessed as minor and not requiring a Regulation Impact Statement by the Office of Best Practice Regulation (</w:t>
      </w:r>
      <w:r w:rsidR="006D7219">
        <w:rPr>
          <w:szCs w:val="24"/>
        </w:rPr>
        <w:t xml:space="preserve">OBPR ID </w:t>
      </w:r>
      <w:r>
        <w:rPr>
          <w:szCs w:val="24"/>
        </w:rPr>
        <w:t xml:space="preserve">20699). </w:t>
      </w:r>
    </w:p>
    <w:p w14:paraId="4DE2E39B" w14:textId="1CF6F963" w:rsidR="005C1037" w:rsidRDefault="005C1037" w:rsidP="00CC6F3F">
      <w:pPr>
        <w:spacing w:before="120" w:after="120" w:line="240" w:lineRule="auto"/>
      </w:pPr>
    </w:p>
    <w:p w14:paraId="5CCD5E75" w14:textId="77777777" w:rsidR="005C1037" w:rsidRDefault="005C1037" w:rsidP="00CC6F3F">
      <w:pPr>
        <w:spacing w:before="120" w:after="120" w:line="240" w:lineRule="auto"/>
      </w:pPr>
    </w:p>
    <w:p w14:paraId="4DAD8BB7" w14:textId="77777777" w:rsidR="005C1037" w:rsidRDefault="005C1037" w:rsidP="00CC6F3F">
      <w:pPr>
        <w:spacing w:before="120" w:after="120" w:line="240" w:lineRule="auto"/>
      </w:pPr>
    </w:p>
    <w:p w14:paraId="15D5C3D3" w14:textId="77777777" w:rsidR="005C1037" w:rsidRDefault="005C1037" w:rsidP="00CC6F3F">
      <w:pPr>
        <w:spacing w:before="120" w:after="120" w:line="240" w:lineRule="auto"/>
      </w:pPr>
    </w:p>
    <w:p w14:paraId="44C62F0C" w14:textId="77777777" w:rsidR="005C1037" w:rsidRDefault="005C1037" w:rsidP="00CC6F3F">
      <w:pPr>
        <w:spacing w:before="120" w:after="120" w:line="240" w:lineRule="auto"/>
      </w:pPr>
    </w:p>
    <w:p w14:paraId="0207BE73" w14:textId="77777777" w:rsidR="005C1037" w:rsidRDefault="005C1037" w:rsidP="00CC6F3F">
      <w:pPr>
        <w:spacing w:before="120" w:after="120" w:line="240" w:lineRule="auto"/>
      </w:pPr>
    </w:p>
    <w:p w14:paraId="7E21E225" w14:textId="77777777" w:rsidR="005C1037" w:rsidRDefault="005C1037" w:rsidP="00CC6F3F">
      <w:pPr>
        <w:spacing w:before="120" w:after="120" w:line="240" w:lineRule="auto"/>
      </w:pPr>
    </w:p>
    <w:p w14:paraId="74ED9143" w14:textId="77777777" w:rsidR="005C1037" w:rsidRDefault="005C1037" w:rsidP="00CC6F3F">
      <w:pPr>
        <w:spacing w:before="120" w:after="120" w:line="240" w:lineRule="auto"/>
      </w:pPr>
    </w:p>
    <w:p w14:paraId="58EAB6CB" w14:textId="77777777" w:rsidR="005C1037" w:rsidRDefault="005C1037" w:rsidP="00CC6F3F">
      <w:pPr>
        <w:spacing w:before="120" w:after="120" w:line="240" w:lineRule="auto"/>
      </w:pPr>
    </w:p>
    <w:p w14:paraId="3F736289" w14:textId="77777777" w:rsidR="005C1037" w:rsidRDefault="005C1037" w:rsidP="00CC6F3F">
      <w:pPr>
        <w:spacing w:before="120" w:after="120" w:line="240" w:lineRule="auto"/>
      </w:pPr>
    </w:p>
    <w:p w14:paraId="489804F9" w14:textId="77777777" w:rsidR="005C1037" w:rsidRDefault="005C1037" w:rsidP="00CC6F3F">
      <w:pPr>
        <w:spacing w:before="120" w:after="120" w:line="240" w:lineRule="auto"/>
      </w:pPr>
    </w:p>
    <w:p w14:paraId="0B03B12E" w14:textId="77777777" w:rsidR="005C1037" w:rsidRDefault="005C1037" w:rsidP="00CC6F3F">
      <w:pPr>
        <w:spacing w:before="120" w:after="120" w:line="240" w:lineRule="auto"/>
      </w:pPr>
    </w:p>
    <w:p w14:paraId="27B0FAB1" w14:textId="77777777" w:rsidR="005C1037" w:rsidRDefault="005C1037" w:rsidP="00CC6F3F">
      <w:pPr>
        <w:spacing w:before="120" w:after="120" w:line="240" w:lineRule="auto"/>
      </w:pPr>
    </w:p>
    <w:p w14:paraId="4B8E2EFE" w14:textId="77777777" w:rsidR="005C1037" w:rsidRDefault="005C1037" w:rsidP="00CC6F3F">
      <w:pPr>
        <w:spacing w:before="120" w:after="120" w:line="240" w:lineRule="auto"/>
      </w:pPr>
    </w:p>
    <w:p w14:paraId="28ADA62F" w14:textId="77777777" w:rsidR="005C1037" w:rsidRDefault="005C1037" w:rsidP="00CC6F3F">
      <w:pPr>
        <w:spacing w:before="120" w:after="120" w:line="240" w:lineRule="auto"/>
      </w:pPr>
    </w:p>
    <w:p w14:paraId="28CD1FBC" w14:textId="77777777" w:rsidR="005C1037" w:rsidRDefault="005C1037" w:rsidP="00CC6F3F">
      <w:pPr>
        <w:spacing w:before="120" w:after="120" w:line="240" w:lineRule="auto"/>
      </w:pPr>
    </w:p>
    <w:p w14:paraId="60472DC9" w14:textId="77777777" w:rsidR="005C1037" w:rsidRDefault="005C1037" w:rsidP="00CC6F3F">
      <w:pPr>
        <w:spacing w:before="120" w:after="120" w:line="240" w:lineRule="auto"/>
      </w:pPr>
    </w:p>
    <w:p w14:paraId="25B46498" w14:textId="77777777" w:rsidR="005C1037" w:rsidRDefault="005C1037" w:rsidP="00CC6F3F">
      <w:pPr>
        <w:spacing w:before="120" w:after="120" w:line="240" w:lineRule="auto"/>
      </w:pPr>
    </w:p>
    <w:p w14:paraId="1483D644" w14:textId="77777777" w:rsidR="005C1037" w:rsidRDefault="005C1037" w:rsidP="00CC6F3F">
      <w:pPr>
        <w:spacing w:before="120" w:after="120" w:line="240" w:lineRule="auto"/>
      </w:pPr>
    </w:p>
    <w:p w14:paraId="20BFA747" w14:textId="77777777" w:rsidR="005C1037" w:rsidRDefault="005C1037" w:rsidP="00CC6F3F">
      <w:pPr>
        <w:spacing w:before="120" w:after="120" w:line="240" w:lineRule="auto"/>
      </w:pPr>
    </w:p>
    <w:p w14:paraId="73810796" w14:textId="77777777" w:rsidR="005C1037" w:rsidRDefault="005C1037" w:rsidP="00CC6F3F">
      <w:pPr>
        <w:spacing w:before="120" w:after="120" w:line="240" w:lineRule="auto"/>
      </w:pPr>
    </w:p>
    <w:p w14:paraId="4FA097EA" w14:textId="77777777" w:rsidR="00F5714F" w:rsidRDefault="00F5714F" w:rsidP="00CC6F3F">
      <w:pPr>
        <w:spacing w:before="120" w:after="120" w:line="240" w:lineRule="auto"/>
      </w:pPr>
    </w:p>
    <w:p w14:paraId="5EF0C9BE" w14:textId="77777777" w:rsidR="00F5714F" w:rsidRDefault="00F5714F" w:rsidP="00CC6F3F">
      <w:pPr>
        <w:spacing w:before="120" w:after="120" w:line="240" w:lineRule="auto"/>
      </w:pPr>
    </w:p>
    <w:p w14:paraId="567860C7" w14:textId="77777777" w:rsidR="00F5714F" w:rsidRDefault="00F5714F" w:rsidP="00CC6F3F">
      <w:pPr>
        <w:spacing w:before="120" w:after="120" w:line="240" w:lineRule="auto"/>
      </w:pPr>
    </w:p>
    <w:p w14:paraId="63259B91" w14:textId="77777777" w:rsidR="00F5714F" w:rsidRDefault="00F5714F" w:rsidP="00CC6F3F">
      <w:pPr>
        <w:spacing w:before="120" w:after="120" w:line="240" w:lineRule="auto"/>
      </w:pPr>
    </w:p>
    <w:p w14:paraId="351507EA" w14:textId="5C12522A" w:rsidR="000D0E22" w:rsidRPr="003B37A0" w:rsidRDefault="006A4DC1" w:rsidP="002060A0">
      <w:pPr>
        <w:spacing w:before="120" w:after="120" w:line="240" w:lineRule="auto"/>
        <w:jc w:val="center"/>
      </w:pPr>
      <w:r w:rsidRPr="00F5714F">
        <w:rPr>
          <w:b/>
        </w:rPr>
        <w:t xml:space="preserve">Details on the </w:t>
      </w:r>
      <w:r w:rsidR="00DD088F" w:rsidRPr="006A4DC1">
        <w:rPr>
          <w:b/>
          <w:i/>
        </w:rPr>
        <w:t>F</w:t>
      </w:r>
      <w:r w:rsidR="00DD088F" w:rsidRPr="002060A0">
        <w:rPr>
          <w:b/>
          <w:i/>
        </w:rPr>
        <w:t>uel Quality S</w:t>
      </w:r>
      <w:r w:rsidR="005949F7" w:rsidRPr="002060A0">
        <w:rPr>
          <w:b/>
          <w:i/>
        </w:rPr>
        <w:t>tandards (Petrol)</w:t>
      </w:r>
      <w:r w:rsidR="005C1037" w:rsidRPr="002060A0">
        <w:rPr>
          <w:b/>
          <w:i/>
        </w:rPr>
        <w:t xml:space="preserve"> Amendment</w:t>
      </w:r>
      <w:r w:rsidR="005949F7" w:rsidRPr="002060A0">
        <w:rPr>
          <w:b/>
          <w:i/>
        </w:rPr>
        <w:t xml:space="preserve"> Determination </w:t>
      </w:r>
      <w:r w:rsidR="00DD088F" w:rsidRPr="002060A0">
        <w:rPr>
          <w:b/>
          <w:i/>
        </w:rPr>
        <w:t>20</w:t>
      </w:r>
      <w:r w:rsidR="005C1037" w:rsidRPr="002060A0">
        <w:rPr>
          <w:b/>
          <w:i/>
        </w:rPr>
        <w:t>2</w:t>
      </w:r>
      <w:r w:rsidR="00615868">
        <w:rPr>
          <w:b/>
          <w:i/>
        </w:rPr>
        <w:t>1</w:t>
      </w:r>
    </w:p>
    <w:p w14:paraId="01DE7E37" w14:textId="77777777" w:rsidR="006A4DC1" w:rsidRPr="000055D7" w:rsidRDefault="006A4DC1" w:rsidP="00F5714F"/>
    <w:p w14:paraId="7EC9F454" w14:textId="43CAC6EE" w:rsidR="006745C3" w:rsidRPr="002060A0" w:rsidRDefault="006745C3" w:rsidP="009109F9">
      <w:pPr>
        <w:pStyle w:val="Heading2"/>
        <w:rPr>
          <w:b/>
          <w:u w:val="none"/>
        </w:rPr>
      </w:pPr>
      <w:r w:rsidRPr="002060A0">
        <w:rPr>
          <w:b/>
          <w:u w:val="none"/>
        </w:rPr>
        <w:t xml:space="preserve">Section 1 – Name of </w:t>
      </w:r>
      <w:r w:rsidR="00E86117" w:rsidRPr="002060A0">
        <w:rPr>
          <w:b/>
          <w:u w:val="none"/>
        </w:rPr>
        <w:t>i</w:t>
      </w:r>
      <w:r w:rsidRPr="002060A0">
        <w:rPr>
          <w:b/>
          <w:u w:val="none"/>
        </w:rPr>
        <w:t>nstrument</w:t>
      </w:r>
    </w:p>
    <w:p w14:paraId="51370CB9" w14:textId="02B3884B" w:rsidR="007A0926" w:rsidRPr="004356C7" w:rsidRDefault="006745C3" w:rsidP="00E2762F">
      <w:pPr>
        <w:spacing w:before="240"/>
        <w:rPr>
          <w:rFonts w:cs="Times New Roman"/>
          <w:szCs w:val="24"/>
        </w:rPr>
      </w:pPr>
      <w:r w:rsidRPr="006745C3">
        <w:rPr>
          <w:rFonts w:cs="Times New Roman"/>
          <w:szCs w:val="24"/>
        </w:rPr>
        <w:t xml:space="preserve">This </w:t>
      </w:r>
      <w:r>
        <w:rPr>
          <w:rFonts w:cs="Times New Roman"/>
          <w:szCs w:val="24"/>
        </w:rPr>
        <w:t xml:space="preserve">section </w:t>
      </w:r>
      <w:r w:rsidRPr="006745C3">
        <w:rPr>
          <w:rFonts w:cs="Times New Roman"/>
          <w:szCs w:val="24"/>
        </w:rPr>
        <w:t xml:space="preserve">specifies </w:t>
      </w:r>
      <w:r w:rsidR="00CC6F3F">
        <w:rPr>
          <w:rFonts w:cs="Times New Roman"/>
          <w:szCs w:val="24"/>
        </w:rPr>
        <w:t xml:space="preserve">that </w:t>
      </w:r>
      <w:r w:rsidRPr="006745C3">
        <w:rPr>
          <w:rFonts w:cs="Times New Roman"/>
          <w:szCs w:val="24"/>
        </w:rPr>
        <w:t xml:space="preserve">the name of the </w:t>
      </w:r>
      <w:r w:rsidR="00DD088F">
        <w:rPr>
          <w:rFonts w:cs="Times New Roman"/>
          <w:szCs w:val="24"/>
        </w:rPr>
        <w:t>Determination</w:t>
      </w:r>
      <w:r>
        <w:rPr>
          <w:rFonts w:cs="Times New Roman"/>
          <w:szCs w:val="24"/>
        </w:rPr>
        <w:t xml:space="preserve"> </w:t>
      </w:r>
      <w:r w:rsidR="004356C7">
        <w:rPr>
          <w:rFonts w:cs="Times New Roman"/>
          <w:szCs w:val="24"/>
        </w:rPr>
        <w:t xml:space="preserve">is </w:t>
      </w:r>
      <w:r w:rsidRPr="006745C3">
        <w:rPr>
          <w:rFonts w:cs="Times New Roman"/>
          <w:szCs w:val="24"/>
        </w:rPr>
        <w:t xml:space="preserve">the </w:t>
      </w:r>
      <w:r w:rsidR="00DD088F" w:rsidRPr="002060A0">
        <w:rPr>
          <w:i/>
        </w:rPr>
        <w:t xml:space="preserve">Fuel Quality Standards (Petrol) </w:t>
      </w:r>
      <w:r w:rsidR="005C1037" w:rsidRPr="002060A0">
        <w:rPr>
          <w:i/>
        </w:rPr>
        <w:t xml:space="preserve">Amendment </w:t>
      </w:r>
      <w:r w:rsidR="00DD088F" w:rsidRPr="002060A0">
        <w:rPr>
          <w:i/>
        </w:rPr>
        <w:t>Determination</w:t>
      </w:r>
      <w:r w:rsidR="00CC6F3F" w:rsidRPr="002060A0">
        <w:rPr>
          <w:i/>
        </w:rPr>
        <w:t> </w:t>
      </w:r>
      <w:r w:rsidR="00255214" w:rsidRPr="002060A0">
        <w:rPr>
          <w:i/>
        </w:rPr>
        <w:t>202</w:t>
      </w:r>
      <w:r w:rsidR="00255214">
        <w:rPr>
          <w:i/>
        </w:rPr>
        <w:t xml:space="preserve">1 </w:t>
      </w:r>
      <w:r w:rsidR="004356C7">
        <w:rPr>
          <w:rFonts w:cs="Times New Roman"/>
          <w:szCs w:val="24"/>
        </w:rPr>
        <w:t>(</w:t>
      </w:r>
      <w:r w:rsidR="00DD088F" w:rsidRPr="00DD088F">
        <w:rPr>
          <w:rFonts w:cs="Times New Roman"/>
          <w:szCs w:val="24"/>
        </w:rPr>
        <w:t>the</w:t>
      </w:r>
      <w:r w:rsidR="005C1037">
        <w:rPr>
          <w:rFonts w:cs="Times New Roman"/>
          <w:szCs w:val="24"/>
        </w:rPr>
        <w:t xml:space="preserve"> </w:t>
      </w:r>
      <w:r w:rsidR="00255214">
        <w:rPr>
          <w:rFonts w:cs="Times New Roman"/>
          <w:szCs w:val="24"/>
        </w:rPr>
        <w:t>2021</w:t>
      </w:r>
      <w:r w:rsidR="00255214" w:rsidRPr="00DD088F">
        <w:rPr>
          <w:rFonts w:cs="Times New Roman"/>
          <w:szCs w:val="24"/>
        </w:rPr>
        <w:t xml:space="preserve"> </w:t>
      </w:r>
      <w:r w:rsidR="00DD088F" w:rsidRPr="00DD088F">
        <w:rPr>
          <w:rFonts w:cs="Times New Roman"/>
          <w:szCs w:val="24"/>
        </w:rPr>
        <w:t>Determination</w:t>
      </w:r>
      <w:r w:rsidR="004356C7">
        <w:rPr>
          <w:rFonts w:cs="Times New Roman"/>
          <w:szCs w:val="24"/>
        </w:rPr>
        <w:t>)</w:t>
      </w:r>
      <w:r w:rsidRPr="004356C7">
        <w:rPr>
          <w:rFonts w:cs="Times New Roman"/>
          <w:szCs w:val="24"/>
        </w:rPr>
        <w:t>.</w:t>
      </w:r>
    </w:p>
    <w:p w14:paraId="6E781CAA" w14:textId="77777777" w:rsidR="006745C3" w:rsidRPr="002060A0" w:rsidRDefault="006745C3" w:rsidP="009109F9">
      <w:pPr>
        <w:pStyle w:val="Heading2"/>
        <w:rPr>
          <w:b/>
          <w:u w:val="none"/>
        </w:rPr>
      </w:pPr>
      <w:r w:rsidRPr="002060A0">
        <w:rPr>
          <w:b/>
          <w:u w:val="none"/>
        </w:rPr>
        <w:t>Section 2 – Commencement</w:t>
      </w:r>
    </w:p>
    <w:p w14:paraId="10F094A8" w14:textId="0458A86E" w:rsidR="006745C3" w:rsidRPr="006745C3" w:rsidRDefault="006745C3" w:rsidP="00E2762F">
      <w:pPr>
        <w:spacing w:before="240" w:after="100" w:afterAutospacing="1"/>
        <w:rPr>
          <w:rFonts w:cs="Times New Roman"/>
          <w:szCs w:val="24"/>
        </w:rPr>
      </w:pPr>
      <w:r w:rsidRPr="006745C3">
        <w:rPr>
          <w:rFonts w:cs="Times New Roman"/>
          <w:szCs w:val="24"/>
        </w:rPr>
        <w:t xml:space="preserve">This </w:t>
      </w:r>
      <w:r>
        <w:rPr>
          <w:rFonts w:cs="Times New Roman"/>
          <w:szCs w:val="24"/>
        </w:rPr>
        <w:t xml:space="preserve">section </w:t>
      </w:r>
      <w:r w:rsidRPr="006745C3">
        <w:rPr>
          <w:rFonts w:cs="Times New Roman"/>
          <w:szCs w:val="24"/>
        </w:rPr>
        <w:t xml:space="preserve">provides that the </w:t>
      </w:r>
      <w:r w:rsidR="006D7219">
        <w:rPr>
          <w:rFonts w:cs="Times New Roman"/>
          <w:szCs w:val="24"/>
        </w:rPr>
        <w:t xml:space="preserve">Determination </w:t>
      </w:r>
      <w:r w:rsidRPr="006745C3">
        <w:rPr>
          <w:rFonts w:cs="Times New Roman"/>
          <w:szCs w:val="24"/>
        </w:rPr>
        <w:t>commence</w:t>
      </w:r>
      <w:r w:rsidR="00D50056">
        <w:rPr>
          <w:rFonts w:cs="Times New Roman"/>
          <w:szCs w:val="24"/>
        </w:rPr>
        <w:t>s</w:t>
      </w:r>
      <w:r w:rsidR="005C1037">
        <w:rPr>
          <w:rFonts w:cs="Times New Roman"/>
          <w:szCs w:val="24"/>
        </w:rPr>
        <w:t xml:space="preserve"> the day after </w:t>
      </w:r>
      <w:r w:rsidR="00571626">
        <w:rPr>
          <w:rFonts w:cs="Times New Roman"/>
          <w:szCs w:val="24"/>
        </w:rPr>
        <w:t>it is registered</w:t>
      </w:r>
      <w:r w:rsidR="005C1037">
        <w:rPr>
          <w:rFonts w:cs="Times New Roman"/>
          <w:szCs w:val="24"/>
        </w:rPr>
        <w:t xml:space="preserve"> on the Federal Register of Legislation. </w:t>
      </w:r>
    </w:p>
    <w:p w14:paraId="78839DE9" w14:textId="77777777" w:rsidR="006745C3" w:rsidRPr="002060A0" w:rsidRDefault="006745C3" w:rsidP="009109F9">
      <w:pPr>
        <w:pStyle w:val="Heading2"/>
        <w:rPr>
          <w:b/>
          <w:u w:val="none"/>
        </w:rPr>
      </w:pPr>
      <w:r w:rsidRPr="002060A0">
        <w:rPr>
          <w:b/>
          <w:u w:val="none"/>
        </w:rPr>
        <w:t>Section 3 – Authority</w:t>
      </w:r>
    </w:p>
    <w:p w14:paraId="6C4DEC47" w14:textId="3D9E211B" w:rsidR="006745C3" w:rsidRDefault="006745C3" w:rsidP="00E2762F">
      <w:pPr>
        <w:spacing w:before="240"/>
        <w:rPr>
          <w:rFonts w:cs="Times New Roman"/>
          <w:szCs w:val="24"/>
        </w:rPr>
      </w:pPr>
      <w:r w:rsidRPr="006745C3">
        <w:rPr>
          <w:rFonts w:cs="Times New Roman"/>
          <w:szCs w:val="24"/>
        </w:rPr>
        <w:t>This s</w:t>
      </w:r>
      <w:r>
        <w:rPr>
          <w:rFonts w:cs="Times New Roman"/>
          <w:szCs w:val="24"/>
        </w:rPr>
        <w:t>ection s</w:t>
      </w:r>
      <w:r w:rsidRPr="006745C3">
        <w:rPr>
          <w:rFonts w:cs="Times New Roman"/>
          <w:szCs w:val="24"/>
        </w:rPr>
        <w:t xml:space="preserve">ets out the provision of the </w:t>
      </w:r>
      <w:r w:rsidR="002E5746">
        <w:rPr>
          <w:i/>
        </w:rPr>
        <w:t>Fuel Quality Standards Act 2000</w:t>
      </w:r>
      <w:r>
        <w:rPr>
          <w:rFonts w:cs="Times New Roman"/>
          <w:i/>
          <w:szCs w:val="24"/>
        </w:rPr>
        <w:t xml:space="preserve"> </w:t>
      </w:r>
      <w:r w:rsidRPr="006745C3">
        <w:rPr>
          <w:rFonts w:cs="Times New Roman"/>
          <w:szCs w:val="24"/>
        </w:rPr>
        <w:t xml:space="preserve">under which the </w:t>
      </w:r>
      <w:r w:rsidR="002E5746">
        <w:rPr>
          <w:rFonts w:cs="Times New Roman"/>
          <w:szCs w:val="24"/>
        </w:rPr>
        <w:t>Determination</w:t>
      </w:r>
      <w:r w:rsidRPr="006745C3">
        <w:rPr>
          <w:rFonts w:cs="Times New Roman"/>
          <w:szCs w:val="24"/>
        </w:rPr>
        <w:t xml:space="preserve"> </w:t>
      </w:r>
      <w:r w:rsidR="004356C7">
        <w:rPr>
          <w:rFonts w:cs="Times New Roman"/>
          <w:szCs w:val="24"/>
        </w:rPr>
        <w:t xml:space="preserve">is </w:t>
      </w:r>
      <w:r w:rsidRPr="006745C3">
        <w:rPr>
          <w:rFonts w:cs="Times New Roman"/>
          <w:szCs w:val="24"/>
        </w:rPr>
        <w:t>made.</w:t>
      </w:r>
    </w:p>
    <w:p w14:paraId="046E4AB8" w14:textId="584231AB" w:rsidR="006745C3" w:rsidRPr="002060A0" w:rsidRDefault="006745C3" w:rsidP="009109F9">
      <w:pPr>
        <w:pStyle w:val="Heading2"/>
        <w:rPr>
          <w:b/>
          <w:u w:val="none"/>
        </w:rPr>
      </w:pPr>
      <w:r w:rsidRPr="002060A0">
        <w:rPr>
          <w:b/>
          <w:u w:val="none"/>
        </w:rPr>
        <w:t xml:space="preserve">Section 4 – </w:t>
      </w:r>
      <w:r w:rsidR="005C1037" w:rsidRPr="002060A0">
        <w:rPr>
          <w:b/>
          <w:u w:val="none"/>
        </w:rPr>
        <w:t xml:space="preserve">Schedules </w:t>
      </w:r>
    </w:p>
    <w:p w14:paraId="1635301D" w14:textId="1AC62663" w:rsidR="006745C3" w:rsidRDefault="00551B02" w:rsidP="00E2762F">
      <w:pPr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This section </w:t>
      </w:r>
      <w:r w:rsidR="006A4DC1">
        <w:rPr>
          <w:rFonts w:cs="Times New Roman"/>
          <w:szCs w:val="24"/>
        </w:rPr>
        <w:t>is a machinery clause that allows the Schedule to operate according to its terms</w:t>
      </w:r>
      <w:r>
        <w:rPr>
          <w:rFonts w:cs="Times New Roman"/>
          <w:szCs w:val="24"/>
        </w:rPr>
        <w:t xml:space="preserve">. </w:t>
      </w:r>
    </w:p>
    <w:p w14:paraId="253C511D" w14:textId="51235C79" w:rsidR="006D7219" w:rsidRDefault="006D7219" w:rsidP="006745C3">
      <w:pPr>
        <w:spacing w:before="240"/>
        <w:rPr>
          <w:rFonts w:cs="Times New Roman"/>
          <w:szCs w:val="24"/>
        </w:rPr>
      </w:pPr>
    </w:p>
    <w:p w14:paraId="60EBCCF9" w14:textId="77777777" w:rsidR="006D7219" w:rsidRDefault="006D7219" w:rsidP="006745C3">
      <w:pPr>
        <w:spacing w:before="240"/>
        <w:rPr>
          <w:rFonts w:cs="Times New Roman"/>
          <w:szCs w:val="24"/>
        </w:rPr>
      </w:pPr>
    </w:p>
    <w:p w14:paraId="48E24BF8" w14:textId="77777777" w:rsidR="006D7219" w:rsidRDefault="006D7219" w:rsidP="006745C3">
      <w:pPr>
        <w:spacing w:before="240"/>
        <w:rPr>
          <w:rFonts w:cs="Times New Roman"/>
          <w:szCs w:val="24"/>
        </w:rPr>
      </w:pPr>
    </w:p>
    <w:p w14:paraId="5E7D3482" w14:textId="77777777" w:rsidR="006D7219" w:rsidRDefault="006D7219" w:rsidP="006745C3">
      <w:pPr>
        <w:spacing w:before="240"/>
        <w:rPr>
          <w:rFonts w:cs="Times New Roman"/>
          <w:szCs w:val="24"/>
        </w:rPr>
      </w:pPr>
    </w:p>
    <w:p w14:paraId="2785D679" w14:textId="77777777" w:rsidR="006D7219" w:rsidRDefault="006D7219" w:rsidP="006745C3">
      <w:pPr>
        <w:spacing w:before="240"/>
        <w:rPr>
          <w:rFonts w:cs="Times New Roman"/>
          <w:szCs w:val="24"/>
        </w:rPr>
      </w:pPr>
    </w:p>
    <w:p w14:paraId="204B089E" w14:textId="77777777" w:rsidR="006D7219" w:rsidRDefault="006D7219" w:rsidP="006745C3">
      <w:pPr>
        <w:spacing w:before="240"/>
        <w:rPr>
          <w:rFonts w:cs="Times New Roman"/>
          <w:szCs w:val="24"/>
        </w:rPr>
      </w:pPr>
    </w:p>
    <w:p w14:paraId="7C34F67D" w14:textId="77777777" w:rsidR="006D7219" w:rsidRDefault="006D7219" w:rsidP="006745C3">
      <w:pPr>
        <w:spacing w:before="240"/>
        <w:rPr>
          <w:rFonts w:cs="Times New Roman"/>
          <w:szCs w:val="24"/>
        </w:rPr>
      </w:pPr>
    </w:p>
    <w:p w14:paraId="786C753B" w14:textId="77777777" w:rsidR="006D7219" w:rsidRDefault="006D7219" w:rsidP="006745C3">
      <w:pPr>
        <w:spacing w:before="240"/>
        <w:rPr>
          <w:rFonts w:cs="Times New Roman"/>
          <w:szCs w:val="24"/>
        </w:rPr>
      </w:pPr>
    </w:p>
    <w:p w14:paraId="5945ACDA" w14:textId="77777777" w:rsidR="006D7219" w:rsidRDefault="006D7219" w:rsidP="006745C3">
      <w:pPr>
        <w:spacing w:before="240"/>
        <w:rPr>
          <w:rFonts w:cs="Times New Roman"/>
          <w:szCs w:val="24"/>
        </w:rPr>
      </w:pPr>
    </w:p>
    <w:p w14:paraId="012B6D0E" w14:textId="77777777" w:rsidR="006D7219" w:rsidRDefault="006D7219" w:rsidP="006745C3">
      <w:pPr>
        <w:spacing w:before="240"/>
        <w:rPr>
          <w:rFonts w:cs="Times New Roman"/>
          <w:szCs w:val="24"/>
        </w:rPr>
      </w:pPr>
    </w:p>
    <w:p w14:paraId="1D1E0613" w14:textId="77777777" w:rsidR="006D7219" w:rsidRDefault="006D7219" w:rsidP="006745C3">
      <w:pPr>
        <w:spacing w:before="240"/>
        <w:rPr>
          <w:rFonts w:cs="Times New Roman"/>
          <w:szCs w:val="24"/>
        </w:rPr>
      </w:pPr>
    </w:p>
    <w:p w14:paraId="32DE9751" w14:textId="77777777" w:rsidR="006D7219" w:rsidRDefault="006D7219" w:rsidP="006745C3">
      <w:pPr>
        <w:spacing w:before="240"/>
        <w:rPr>
          <w:rFonts w:cs="Times New Roman"/>
          <w:szCs w:val="24"/>
        </w:rPr>
      </w:pPr>
    </w:p>
    <w:p w14:paraId="653F60F1" w14:textId="77777777" w:rsidR="006D7219" w:rsidRDefault="006D7219" w:rsidP="006745C3">
      <w:pPr>
        <w:spacing w:before="240"/>
        <w:rPr>
          <w:rFonts w:cs="Times New Roman"/>
          <w:szCs w:val="24"/>
        </w:rPr>
      </w:pPr>
    </w:p>
    <w:p w14:paraId="001EC3E4" w14:textId="211A69AC" w:rsidR="006745C3" w:rsidRPr="006D7219" w:rsidRDefault="005C1037" w:rsidP="002060A0">
      <w:pPr>
        <w:pStyle w:val="Heading2"/>
        <w:jc w:val="center"/>
      </w:pPr>
      <w:r w:rsidRPr="006D7219">
        <w:t>Schedule 1 – Amendments</w:t>
      </w:r>
    </w:p>
    <w:p w14:paraId="363AFDAA" w14:textId="77777777" w:rsidR="006D7219" w:rsidRDefault="006D7219" w:rsidP="002060A0">
      <w:pPr>
        <w:rPr>
          <w:b/>
        </w:rPr>
      </w:pPr>
    </w:p>
    <w:p w14:paraId="269322A3" w14:textId="0D54B405" w:rsidR="00551B02" w:rsidRPr="00276E20" w:rsidRDefault="00551B02" w:rsidP="002060A0">
      <w:r w:rsidRPr="002060A0">
        <w:rPr>
          <w:u w:val="single"/>
        </w:rPr>
        <w:t xml:space="preserve">Item 1: </w:t>
      </w:r>
      <w:r w:rsidR="006A4DC1">
        <w:rPr>
          <w:u w:val="single"/>
        </w:rPr>
        <w:t>Subsection 5(2) (i</w:t>
      </w:r>
      <w:r w:rsidRPr="002060A0">
        <w:rPr>
          <w:u w:val="single"/>
        </w:rPr>
        <w:t>tem 15 of the table in section 5(2)</w:t>
      </w:r>
      <w:r w:rsidR="006A4DC1">
        <w:rPr>
          <w:u w:val="single"/>
        </w:rPr>
        <w:t>)</w:t>
      </w:r>
    </w:p>
    <w:p w14:paraId="5501CB81" w14:textId="3335BC47" w:rsidR="006D7219" w:rsidRDefault="00324920" w:rsidP="00E2762F">
      <w:pPr>
        <w:rPr>
          <w:b/>
        </w:rPr>
      </w:pPr>
      <w:r>
        <w:t xml:space="preserve">This item amends the reference to the phosphorus parameter in the fuel standard for petrol. </w:t>
      </w:r>
      <w:r w:rsidR="00B16040">
        <w:t>In the 2019 Determination, t</w:t>
      </w:r>
      <w:r>
        <w:t>he adjective “Phosphor</w:t>
      </w:r>
      <w:r w:rsidR="00B16040">
        <w:t>o</w:t>
      </w:r>
      <w:r>
        <w:t xml:space="preserve">us” </w:t>
      </w:r>
      <w:r w:rsidR="00B16040">
        <w:t>was</w:t>
      </w:r>
      <w:r>
        <w:t xml:space="preserve"> incorrectly used. The intent of the 2019 Determination was to refer to the noun “Phosphorus”</w:t>
      </w:r>
      <w:r w:rsidR="00E7567A">
        <w:t>.</w:t>
      </w:r>
      <w:r>
        <w:t xml:space="preserve"> This amendmen</w:t>
      </w:r>
      <w:r w:rsidR="00B16040">
        <w:t xml:space="preserve">t aligns the 2019 Determination with the Government’s policy intention. </w:t>
      </w:r>
    </w:p>
    <w:p w14:paraId="04967CC2" w14:textId="7F4C36CE" w:rsidR="00551B02" w:rsidRPr="002060A0" w:rsidRDefault="00551B02" w:rsidP="002060A0">
      <w:r w:rsidRPr="002060A0">
        <w:rPr>
          <w:u w:val="single"/>
        </w:rPr>
        <w:t>Item 2: S</w:t>
      </w:r>
      <w:r w:rsidR="006A4DC1">
        <w:rPr>
          <w:u w:val="single"/>
        </w:rPr>
        <w:t>ubs</w:t>
      </w:r>
      <w:r w:rsidRPr="002060A0">
        <w:rPr>
          <w:u w:val="single"/>
        </w:rPr>
        <w:t>ection 5(5)</w:t>
      </w:r>
    </w:p>
    <w:p w14:paraId="20E581AB" w14:textId="2F84C12B" w:rsidR="006D7219" w:rsidRDefault="00551B02" w:rsidP="00E2762F">
      <w:pPr>
        <w:rPr>
          <w:b/>
        </w:rPr>
      </w:pPr>
      <w:r>
        <w:t xml:space="preserve">This item </w:t>
      </w:r>
      <w:r w:rsidR="00324920">
        <w:t xml:space="preserve">amends </w:t>
      </w:r>
      <w:r>
        <w:t xml:space="preserve">the </w:t>
      </w:r>
      <w:r w:rsidR="00B16040">
        <w:t xml:space="preserve">reference to phosphorus in </w:t>
      </w:r>
      <w:r w:rsidR="006A4DC1">
        <w:t>sub</w:t>
      </w:r>
      <w:r w:rsidR="00B16040">
        <w:t>section</w:t>
      </w:r>
      <w:r w:rsidR="002C46BE">
        <w:t xml:space="preserve"> 5(5)</w:t>
      </w:r>
      <w:r w:rsidR="00B16040">
        <w:t xml:space="preserve"> of the 2019 Determination. In the 2019 Determination, the adjective “phosphorous” was incorrectly used. The intent of the 2019 Determination was to refer to the noun “phosphorus”</w:t>
      </w:r>
      <w:r w:rsidR="00E7567A">
        <w:t>.</w:t>
      </w:r>
      <w:r w:rsidR="00B16040">
        <w:t xml:space="preserve"> This amendment aligns the 2019 Determination with the Government’s policy intention.  </w:t>
      </w:r>
    </w:p>
    <w:p w14:paraId="37F4EF3D" w14:textId="5BA4C46A" w:rsidR="00551B02" w:rsidRPr="002060A0" w:rsidRDefault="00551B02" w:rsidP="002060A0">
      <w:pPr>
        <w:rPr>
          <w:u w:val="single"/>
        </w:rPr>
      </w:pPr>
      <w:r w:rsidRPr="002060A0">
        <w:rPr>
          <w:u w:val="single"/>
        </w:rPr>
        <w:t xml:space="preserve">Item 3: </w:t>
      </w:r>
      <w:r w:rsidR="006A4DC1">
        <w:rPr>
          <w:u w:val="single"/>
        </w:rPr>
        <w:t>Subsection 6(2) (i</w:t>
      </w:r>
      <w:r w:rsidRPr="002060A0">
        <w:rPr>
          <w:u w:val="single"/>
        </w:rPr>
        <w:t>tem 1</w:t>
      </w:r>
      <w:r w:rsidR="00571626">
        <w:rPr>
          <w:u w:val="single"/>
        </w:rPr>
        <w:t>2</w:t>
      </w:r>
      <w:r w:rsidRPr="002060A0">
        <w:rPr>
          <w:u w:val="single"/>
        </w:rPr>
        <w:t xml:space="preserve"> of the table</w:t>
      </w:r>
      <w:r w:rsidR="006A4DC1">
        <w:rPr>
          <w:u w:val="single"/>
        </w:rPr>
        <w:t>)</w:t>
      </w:r>
      <w:r w:rsidRPr="002060A0">
        <w:rPr>
          <w:u w:val="single"/>
        </w:rPr>
        <w:t xml:space="preserve"> </w:t>
      </w:r>
    </w:p>
    <w:p w14:paraId="4FC89876" w14:textId="25640F06" w:rsidR="00551B02" w:rsidRPr="0015410F" w:rsidRDefault="00551B02" w:rsidP="00E2762F">
      <w:r w:rsidRPr="0054585C">
        <w:t>T</w:t>
      </w:r>
      <w:r w:rsidRPr="005173F1">
        <w:t xml:space="preserve">his item </w:t>
      </w:r>
      <w:r w:rsidRPr="0015410F">
        <w:t>changes the</w:t>
      </w:r>
      <w:r w:rsidR="00F93F3C">
        <w:t xml:space="preserve"> maximum</w:t>
      </w:r>
      <w:r w:rsidRPr="0015410F">
        <w:t xml:space="preserve"> water parameter for ethanol.</w:t>
      </w:r>
      <w:r w:rsidR="00B16040">
        <w:t xml:space="preserve"> The 2019 Determination provided that the water parameter for ethanol was 1.0%</w:t>
      </w:r>
      <w:r w:rsidR="00141B74">
        <w:t xml:space="preserve"> m/m</w:t>
      </w:r>
      <w:r w:rsidR="00F93F3C">
        <w:t>, however the policy intent was for the parameter to be 1.25%</w:t>
      </w:r>
      <w:r w:rsidR="00141B74">
        <w:t xml:space="preserve"> m/m</w:t>
      </w:r>
      <w:r w:rsidR="00551E8E">
        <w:t xml:space="preserve"> (</w:t>
      </w:r>
      <w:r w:rsidR="00551E8E" w:rsidRPr="00551E8E">
        <w:t>equivalent to 1.0% v/</w:t>
      </w:r>
      <w:r w:rsidR="00551E8E">
        <w:t>v)</w:t>
      </w:r>
      <w:r w:rsidR="00F93F3C">
        <w:t>.</w:t>
      </w:r>
      <w:r w:rsidR="00B16040">
        <w:t xml:space="preserve"> This item changes the water parameter for ethanol to 1.25%</w:t>
      </w:r>
      <w:r w:rsidR="00141B74">
        <w:t xml:space="preserve"> m/m</w:t>
      </w:r>
      <w:r w:rsidR="00B16040">
        <w:t xml:space="preserve">, </w:t>
      </w:r>
      <w:r w:rsidR="008405A1">
        <w:t>consistent</w:t>
      </w:r>
      <w:r w:rsidRPr="0015410F">
        <w:t xml:space="preserve"> with the </w:t>
      </w:r>
      <w:r w:rsidR="0054585C" w:rsidRPr="0015410F">
        <w:t xml:space="preserve">Government’s </w:t>
      </w:r>
      <w:r w:rsidR="008405A1">
        <w:t>original</w:t>
      </w:r>
      <w:r w:rsidR="00F93F3C">
        <w:t xml:space="preserve"> </w:t>
      </w:r>
      <w:r w:rsidR="0054585C" w:rsidRPr="0015410F">
        <w:t xml:space="preserve">policy intent. </w:t>
      </w:r>
    </w:p>
    <w:p w14:paraId="61B46D50" w14:textId="77777777" w:rsidR="00551B02" w:rsidRPr="00551B02" w:rsidRDefault="00551B02" w:rsidP="002060A0"/>
    <w:p w14:paraId="45D21E22" w14:textId="77777777" w:rsidR="00551B02" w:rsidRPr="00551B02" w:rsidRDefault="00551B02" w:rsidP="002060A0"/>
    <w:p w14:paraId="790B3811" w14:textId="77777777" w:rsidR="005C1037" w:rsidRPr="005C1037" w:rsidRDefault="005C1037" w:rsidP="005C1037"/>
    <w:p w14:paraId="1A3BA121" w14:textId="37243874" w:rsidR="00167B38" w:rsidRDefault="00AD745E" w:rsidP="00F440B2">
      <w:pPr>
        <w:spacing w:line="240" w:lineRule="auto"/>
        <w:rPr>
          <w:rFonts w:cs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14:paraId="2A1B731D" w14:textId="498B465A" w:rsidR="00547F8D" w:rsidRPr="00547F8D" w:rsidRDefault="00547F8D" w:rsidP="00503E08">
      <w:pPr>
        <w:pStyle w:val="Title"/>
      </w:pPr>
      <w:r w:rsidRPr="00547F8D">
        <w:lastRenderedPageBreak/>
        <w:t>Statement of Compatibility with Human Rights</w:t>
      </w:r>
    </w:p>
    <w:p w14:paraId="7A1BEF1B" w14:textId="77777777" w:rsidR="00547F8D" w:rsidRPr="00547F8D" w:rsidRDefault="00547F8D" w:rsidP="00503E08">
      <w:pPr>
        <w:pStyle w:val="Subtitle"/>
      </w:pPr>
      <w:r w:rsidRPr="00547F8D">
        <w:t>Prepared in accordance with Part 3 of the Human Rights (Parliamentary Scrutiny) Act 2011</w:t>
      </w:r>
    </w:p>
    <w:p w14:paraId="1CB0DB44" w14:textId="1FF00461" w:rsidR="00547F8D" w:rsidRPr="002060A0" w:rsidRDefault="00553EB4" w:rsidP="00503E08">
      <w:pPr>
        <w:pStyle w:val="Subtitle"/>
        <w:rPr>
          <w:b/>
        </w:rPr>
      </w:pPr>
      <w:r w:rsidRPr="002060A0">
        <w:rPr>
          <w:b/>
        </w:rPr>
        <w:t xml:space="preserve">Fuel Quality Standards (Petrol) </w:t>
      </w:r>
      <w:r w:rsidR="005C1037" w:rsidRPr="002060A0">
        <w:rPr>
          <w:b/>
        </w:rPr>
        <w:t xml:space="preserve">Amendment </w:t>
      </w:r>
      <w:r w:rsidRPr="002060A0">
        <w:rPr>
          <w:b/>
        </w:rPr>
        <w:t>Determination</w:t>
      </w:r>
      <w:r w:rsidR="00BC6CF0" w:rsidRPr="002060A0">
        <w:rPr>
          <w:b/>
        </w:rPr>
        <w:t> </w:t>
      </w:r>
      <w:r w:rsidR="00255214" w:rsidRPr="002060A0">
        <w:rPr>
          <w:b/>
        </w:rPr>
        <w:t>202</w:t>
      </w:r>
      <w:r w:rsidR="00255214">
        <w:rPr>
          <w:b/>
        </w:rPr>
        <w:t>1</w:t>
      </w:r>
    </w:p>
    <w:p w14:paraId="47D88E4E" w14:textId="5D574FED" w:rsidR="00547F8D" w:rsidRPr="00547F8D" w:rsidRDefault="00547F8D" w:rsidP="00E2762F">
      <w:pPr>
        <w:spacing w:before="240" w:after="240"/>
        <w:rPr>
          <w:rFonts w:cs="Times New Roman"/>
          <w:szCs w:val="24"/>
        </w:rPr>
      </w:pPr>
      <w:r w:rsidRPr="00547F8D">
        <w:rPr>
          <w:rFonts w:cs="Times New Roman"/>
          <w:szCs w:val="24"/>
        </w:rPr>
        <w:t xml:space="preserve">This </w:t>
      </w:r>
      <w:r w:rsidR="00553EB4">
        <w:rPr>
          <w:rFonts w:cs="Times New Roman"/>
          <w:szCs w:val="24"/>
        </w:rPr>
        <w:t>Determination</w:t>
      </w:r>
      <w:r w:rsidRPr="00547F8D">
        <w:rPr>
          <w:rFonts w:cs="Times New Roman"/>
          <w:szCs w:val="24"/>
        </w:rPr>
        <w:t xml:space="preserve"> is compatible with the human rights and freedoms recognised or declared in the international instruments listed in section 3 of the </w:t>
      </w:r>
      <w:r w:rsidRPr="00547F8D">
        <w:rPr>
          <w:rFonts w:cs="Times New Roman"/>
          <w:i/>
          <w:szCs w:val="24"/>
        </w:rPr>
        <w:t>Human Rights (Parliamentary Scrutiny) Act 2011</w:t>
      </w:r>
      <w:r w:rsidRPr="00547F8D">
        <w:rPr>
          <w:rFonts w:cs="Times New Roman"/>
          <w:szCs w:val="24"/>
        </w:rPr>
        <w:t>.</w:t>
      </w:r>
    </w:p>
    <w:p w14:paraId="59D80E91" w14:textId="45304338" w:rsidR="00547F8D" w:rsidRPr="00547F8D" w:rsidRDefault="00547F8D" w:rsidP="00E55B44">
      <w:pPr>
        <w:pStyle w:val="Heading1"/>
      </w:pPr>
      <w:r w:rsidRPr="00547F8D">
        <w:t xml:space="preserve">Overview of the </w:t>
      </w:r>
      <w:r w:rsidR="00503E08">
        <w:t>l</w:t>
      </w:r>
      <w:r w:rsidRPr="00547F8D">
        <w:t xml:space="preserve">egislative </w:t>
      </w:r>
      <w:r w:rsidR="00503E08">
        <w:t>i</w:t>
      </w:r>
      <w:r w:rsidRPr="00547F8D">
        <w:t>nstrument</w:t>
      </w:r>
    </w:p>
    <w:p w14:paraId="5A11E43E" w14:textId="4D72E0BD" w:rsidR="007216DF" w:rsidRPr="00E30573" w:rsidRDefault="007216DF" w:rsidP="00E2762F">
      <w:pPr>
        <w:spacing w:before="120" w:after="120"/>
        <w:rPr>
          <w:rFonts w:cs="Times New Roman"/>
          <w:color w:val="000000"/>
          <w:szCs w:val="24"/>
        </w:rPr>
      </w:pPr>
      <w:r>
        <w:rPr>
          <w:szCs w:val="24"/>
        </w:rPr>
        <w:t xml:space="preserve">The purpose of the </w:t>
      </w:r>
      <w:r w:rsidRPr="002060A0">
        <w:rPr>
          <w:rFonts w:eastAsia="Calibri" w:cs="Times New Roman"/>
          <w:i/>
          <w:szCs w:val="24"/>
        </w:rPr>
        <w:t xml:space="preserve">Fuel </w:t>
      </w:r>
      <w:r w:rsidR="0031317F" w:rsidRPr="002060A0">
        <w:rPr>
          <w:rFonts w:eastAsia="Calibri" w:cs="Times New Roman"/>
          <w:i/>
          <w:szCs w:val="24"/>
        </w:rPr>
        <w:t xml:space="preserve">Quality </w:t>
      </w:r>
      <w:r w:rsidRPr="002060A0">
        <w:rPr>
          <w:rFonts w:eastAsia="Calibri" w:cs="Times New Roman"/>
          <w:i/>
          <w:szCs w:val="24"/>
        </w:rPr>
        <w:t>Standard</w:t>
      </w:r>
      <w:r w:rsidR="00BC6CF0" w:rsidRPr="002060A0">
        <w:rPr>
          <w:rFonts w:eastAsia="Calibri" w:cs="Times New Roman"/>
          <w:i/>
          <w:szCs w:val="24"/>
        </w:rPr>
        <w:t>s</w:t>
      </w:r>
      <w:r w:rsidRPr="002060A0">
        <w:rPr>
          <w:rFonts w:eastAsia="Calibri" w:cs="Times New Roman"/>
          <w:i/>
          <w:szCs w:val="24"/>
        </w:rPr>
        <w:t xml:space="preserve"> (Petrol) Determination</w:t>
      </w:r>
      <w:r w:rsidR="00BC6CF0" w:rsidRPr="002060A0">
        <w:rPr>
          <w:rFonts w:eastAsia="Calibri" w:cs="Times New Roman"/>
          <w:i/>
          <w:szCs w:val="24"/>
        </w:rPr>
        <w:t> </w:t>
      </w:r>
      <w:r w:rsidR="00255214" w:rsidRPr="002060A0">
        <w:rPr>
          <w:i/>
          <w:szCs w:val="24"/>
        </w:rPr>
        <w:t>202</w:t>
      </w:r>
      <w:r w:rsidR="00255214">
        <w:rPr>
          <w:i/>
          <w:szCs w:val="24"/>
        </w:rPr>
        <w:t>1</w:t>
      </w:r>
      <w:r w:rsidR="00255214">
        <w:rPr>
          <w:szCs w:val="24"/>
        </w:rPr>
        <w:t xml:space="preserve"> </w:t>
      </w:r>
      <w:r w:rsidR="005173F1">
        <w:rPr>
          <w:szCs w:val="24"/>
        </w:rPr>
        <w:t xml:space="preserve">(the </w:t>
      </w:r>
      <w:r w:rsidR="00255214">
        <w:rPr>
          <w:szCs w:val="24"/>
        </w:rPr>
        <w:t xml:space="preserve">2021 </w:t>
      </w:r>
      <w:r w:rsidR="005173F1">
        <w:rPr>
          <w:szCs w:val="24"/>
        </w:rPr>
        <w:t xml:space="preserve">Determination) </w:t>
      </w:r>
      <w:r w:rsidR="00BC6CF0">
        <w:rPr>
          <w:szCs w:val="24"/>
        </w:rPr>
        <w:t>is</w:t>
      </w:r>
      <w:r>
        <w:rPr>
          <w:szCs w:val="24"/>
        </w:rPr>
        <w:t xml:space="preserve"> to </w:t>
      </w:r>
      <w:r w:rsidR="005C1037">
        <w:rPr>
          <w:szCs w:val="24"/>
        </w:rPr>
        <w:t xml:space="preserve">amend </w:t>
      </w:r>
      <w:r w:rsidRPr="002060A0">
        <w:rPr>
          <w:rFonts w:eastAsia="Calibri" w:cs="Times New Roman"/>
          <w:i/>
          <w:szCs w:val="24"/>
        </w:rPr>
        <w:t xml:space="preserve">Fuel </w:t>
      </w:r>
      <w:r w:rsidR="005C1037" w:rsidRPr="002060A0">
        <w:rPr>
          <w:rFonts w:eastAsia="Calibri" w:cs="Times New Roman"/>
          <w:i/>
          <w:szCs w:val="24"/>
        </w:rPr>
        <w:t xml:space="preserve">Quality </w:t>
      </w:r>
      <w:r w:rsidRPr="002060A0">
        <w:rPr>
          <w:rFonts w:eastAsia="Calibri" w:cs="Times New Roman"/>
          <w:i/>
          <w:szCs w:val="24"/>
        </w:rPr>
        <w:t>Standard</w:t>
      </w:r>
      <w:r w:rsidR="005C1037" w:rsidRPr="002060A0">
        <w:rPr>
          <w:rFonts w:eastAsia="Calibri" w:cs="Times New Roman"/>
          <w:i/>
          <w:szCs w:val="24"/>
        </w:rPr>
        <w:t>s</w:t>
      </w:r>
      <w:r w:rsidRPr="002060A0">
        <w:rPr>
          <w:rFonts w:eastAsia="Calibri" w:cs="Times New Roman"/>
          <w:i/>
          <w:szCs w:val="24"/>
        </w:rPr>
        <w:t xml:space="preserve"> (Petrol) Determination</w:t>
      </w:r>
      <w:r w:rsidR="00BC6CF0" w:rsidRPr="002060A0">
        <w:rPr>
          <w:rFonts w:eastAsia="Calibri" w:cs="Times New Roman"/>
          <w:i/>
          <w:szCs w:val="24"/>
        </w:rPr>
        <w:t> </w:t>
      </w:r>
      <w:r w:rsidRPr="002060A0">
        <w:rPr>
          <w:rFonts w:eastAsia="Calibri" w:cs="Times New Roman"/>
          <w:i/>
          <w:szCs w:val="24"/>
        </w:rPr>
        <w:t>20</w:t>
      </w:r>
      <w:r w:rsidR="005C1037" w:rsidRPr="002060A0">
        <w:rPr>
          <w:rFonts w:eastAsia="Calibri" w:cs="Times New Roman"/>
          <w:i/>
          <w:szCs w:val="24"/>
        </w:rPr>
        <w:t>19</w:t>
      </w:r>
      <w:r w:rsidR="0015410F" w:rsidRPr="002060A0">
        <w:rPr>
          <w:rFonts w:eastAsia="Calibri" w:cs="Times New Roman"/>
          <w:i/>
          <w:szCs w:val="24"/>
        </w:rPr>
        <w:t xml:space="preserve"> </w:t>
      </w:r>
      <w:r w:rsidR="0015410F">
        <w:rPr>
          <w:rFonts w:eastAsia="Calibri" w:cs="Times New Roman"/>
          <w:szCs w:val="24"/>
        </w:rPr>
        <w:t>(the 2019 Determination)</w:t>
      </w:r>
      <w:r>
        <w:rPr>
          <w:szCs w:val="24"/>
        </w:rPr>
        <w:t>.</w:t>
      </w:r>
      <w:r>
        <w:rPr>
          <w:i/>
        </w:rPr>
        <w:t xml:space="preserve"> </w:t>
      </w:r>
      <w:r w:rsidR="005C1037" w:rsidRPr="00E63B2F">
        <w:rPr>
          <w:rFonts w:cs="Times New Roman"/>
          <w:szCs w:val="24"/>
        </w:rPr>
        <w:t xml:space="preserve">The </w:t>
      </w:r>
      <w:r w:rsidR="0015410F">
        <w:rPr>
          <w:rFonts w:cs="Times New Roman"/>
          <w:szCs w:val="24"/>
        </w:rPr>
        <w:t>2019 Determination</w:t>
      </w:r>
      <w:r w:rsidR="005C1037" w:rsidRPr="00E63B2F">
        <w:rPr>
          <w:rFonts w:cs="Times New Roman"/>
          <w:szCs w:val="24"/>
        </w:rPr>
        <w:t xml:space="preserve"> sets out the parameters and testing methods for </w:t>
      </w:r>
      <w:r w:rsidR="005C1037">
        <w:rPr>
          <w:rFonts w:cs="Times New Roman"/>
          <w:szCs w:val="24"/>
        </w:rPr>
        <w:t>p</w:t>
      </w:r>
      <w:r w:rsidR="005C1037" w:rsidRPr="00E63B2F">
        <w:rPr>
          <w:rFonts w:cs="Times New Roman"/>
          <w:szCs w:val="24"/>
        </w:rPr>
        <w:t xml:space="preserve">etrol </w:t>
      </w:r>
      <w:r w:rsidR="005C1037">
        <w:rPr>
          <w:rFonts w:cs="Times New Roman"/>
          <w:szCs w:val="24"/>
        </w:rPr>
        <w:t xml:space="preserve">and ethanol in petrol </w:t>
      </w:r>
      <w:r w:rsidR="005C1037" w:rsidRPr="00E63B2F">
        <w:rPr>
          <w:rFonts w:cs="Times New Roman"/>
          <w:szCs w:val="24"/>
        </w:rPr>
        <w:t>used in Australia</w:t>
      </w:r>
      <w:r w:rsidR="005C1037">
        <w:rPr>
          <w:rFonts w:cs="Times New Roman"/>
          <w:szCs w:val="24"/>
        </w:rPr>
        <w:t xml:space="preserve">. </w:t>
      </w:r>
      <w:r w:rsidR="00AC46FF">
        <w:rPr>
          <w:rFonts w:cs="Times New Roman"/>
          <w:szCs w:val="24"/>
        </w:rPr>
        <w:t>The</w:t>
      </w:r>
      <w:r w:rsidR="00783348">
        <w:rPr>
          <w:rFonts w:cs="Times New Roman"/>
          <w:szCs w:val="24"/>
        </w:rPr>
        <w:t xml:space="preserve"> </w:t>
      </w:r>
      <w:r w:rsidR="00255214">
        <w:rPr>
          <w:rFonts w:cs="Times New Roman"/>
          <w:szCs w:val="24"/>
        </w:rPr>
        <w:t xml:space="preserve">2021 </w:t>
      </w:r>
      <w:r w:rsidR="00783348">
        <w:rPr>
          <w:rFonts w:cs="Times New Roman"/>
          <w:szCs w:val="24"/>
        </w:rPr>
        <w:t>Determination makes three amendments to</w:t>
      </w:r>
      <w:r w:rsidR="00AC46FF">
        <w:rPr>
          <w:rFonts w:cs="Times New Roman"/>
          <w:szCs w:val="24"/>
        </w:rPr>
        <w:t xml:space="preserve"> the </w:t>
      </w:r>
      <w:r w:rsidR="005173F1">
        <w:rPr>
          <w:rFonts w:cs="Times New Roman"/>
          <w:szCs w:val="24"/>
        </w:rPr>
        <w:t>20</w:t>
      </w:r>
      <w:r w:rsidR="0015410F">
        <w:rPr>
          <w:rFonts w:cs="Times New Roman"/>
          <w:szCs w:val="24"/>
        </w:rPr>
        <w:t>19</w:t>
      </w:r>
      <w:r w:rsidR="005173F1">
        <w:rPr>
          <w:rFonts w:cs="Times New Roman"/>
          <w:szCs w:val="24"/>
        </w:rPr>
        <w:t xml:space="preserve"> </w:t>
      </w:r>
      <w:r w:rsidR="00AC46FF">
        <w:rPr>
          <w:rFonts w:cs="Times New Roman"/>
          <w:szCs w:val="24"/>
        </w:rPr>
        <w:t>Determination</w:t>
      </w:r>
      <w:r w:rsidR="00783348">
        <w:rPr>
          <w:rFonts w:cs="Times New Roman"/>
          <w:szCs w:val="24"/>
        </w:rPr>
        <w:t xml:space="preserve"> to align the 2019 Determination</w:t>
      </w:r>
      <w:r w:rsidR="00AC46FF">
        <w:rPr>
          <w:rFonts w:cs="Times New Roman"/>
          <w:szCs w:val="24"/>
        </w:rPr>
        <w:t xml:space="preserve"> with the Government’s</w:t>
      </w:r>
      <w:r w:rsidR="00783348">
        <w:rPr>
          <w:rFonts w:cs="Times New Roman"/>
          <w:szCs w:val="24"/>
        </w:rPr>
        <w:t xml:space="preserve"> original</w:t>
      </w:r>
      <w:r w:rsidR="00AC46FF">
        <w:rPr>
          <w:rFonts w:cs="Times New Roman"/>
          <w:szCs w:val="24"/>
        </w:rPr>
        <w:t xml:space="preserve"> policy intent. </w:t>
      </w:r>
    </w:p>
    <w:p w14:paraId="1836D4E7" w14:textId="77777777" w:rsidR="00547F8D" w:rsidRPr="00547F8D" w:rsidRDefault="00547F8D" w:rsidP="00E55B44">
      <w:pPr>
        <w:pStyle w:val="Heading1"/>
      </w:pPr>
      <w:r w:rsidRPr="00547F8D">
        <w:t>Human rights implications</w:t>
      </w:r>
    </w:p>
    <w:p w14:paraId="73EE83C1" w14:textId="7B6579DD" w:rsidR="00B569AC" w:rsidRDefault="00547F8D" w:rsidP="00E2762F">
      <w:pPr>
        <w:spacing w:before="120" w:after="120"/>
        <w:rPr>
          <w:rFonts w:cs="Times New Roman"/>
          <w:szCs w:val="24"/>
        </w:rPr>
      </w:pPr>
      <w:r w:rsidRPr="00547F8D">
        <w:rPr>
          <w:rFonts w:cs="Times New Roman"/>
          <w:szCs w:val="24"/>
        </w:rPr>
        <w:t xml:space="preserve">This </w:t>
      </w:r>
      <w:r w:rsidR="000941AA">
        <w:rPr>
          <w:rFonts w:cs="Times New Roman"/>
          <w:szCs w:val="24"/>
        </w:rPr>
        <w:t>Determination</w:t>
      </w:r>
      <w:r w:rsidR="00882263" w:rsidRPr="00547F8D">
        <w:rPr>
          <w:rFonts w:cs="Times New Roman"/>
          <w:szCs w:val="24"/>
        </w:rPr>
        <w:t xml:space="preserve"> </w:t>
      </w:r>
      <w:r w:rsidRPr="00547F8D">
        <w:rPr>
          <w:rFonts w:cs="Times New Roman"/>
          <w:szCs w:val="24"/>
        </w:rPr>
        <w:t xml:space="preserve">does </w:t>
      </w:r>
      <w:r w:rsidR="005949F7">
        <w:rPr>
          <w:rFonts w:cs="Times New Roman"/>
          <w:szCs w:val="24"/>
        </w:rPr>
        <w:t xml:space="preserve">not </w:t>
      </w:r>
      <w:r w:rsidRPr="00547F8D">
        <w:rPr>
          <w:rFonts w:cs="Times New Roman"/>
          <w:szCs w:val="24"/>
        </w:rPr>
        <w:t>engage any of the applicable rights or freedoms.</w:t>
      </w:r>
      <w:r w:rsidR="00B569AC">
        <w:rPr>
          <w:rFonts w:cs="Times New Roman"/>
          <w:szCs w:val="24"/>
        </w:rPr>
        <w:t xml:space="preserve"> </w:t>
      </w:r>
    </w:p>
    <w:p w14:paraId="2D32FAB9" w14:textId="77777777" w:rsidR="00547F8D" w:rsidRPr="00547F8D" w:rsidRDefault="00547F8D" w:rsidP="00E55B44">
      <w:pPr>
        <w:pStyle w:val="Heading1"/>
      </w:pPr>
      <w:r w:rsidRPr="00547F8D">
        <w:t>Conclusion</w:t>
      </w:r>
    </w:p>
    <w:p w14:paraId="17C95FA7" w14:textId="23168FB3" w:rsidR="00547F8D" w:rsidRDefault="00547F8D" w:rsidP="00E2762F">
      <w:pPr>
        <w:spacing w:before="120" w:after="120"/>
        <w:rPr>
          <w:rFonts w:cs="Times New Roman"/>
          <w:szCs w:val="24"/>
        </w:rPr>
      </w:pPr>
      <w:r w:rsidRPr="00547F8D">
        <w:rPr>
          <w:rFonts w:cs="Times New Roman"/>
          <w:szCs w:val="24"/>
        </w:rPr>
        <w:t xml:space="preserve">This </w:t>
      </w:r>
      <w:r w:rsidR="007453E4">
        <w:rPr>
          <w:rFonts w:cs="Times New Roman"/>
          <w:szCs w:val="24"/>
        </w:rPr>
        <w:t>Determination</w:t>
      </w:r>
      <w:r w:rsidR="005F09F7" w:rsidRPr="00547F8D">
        <w:rPr>
          <w:rFonts w:cs="Times New Roman"/>
          <w:szCs w:val="24"/>
        </w:rPr>
        <w:t xml:space="preserve"> </w:t>
      </w:r>
      <w:r w:rsidRPr="00547F8D">
        <w:rPr>
          <w:rFonts w:cs="Times New Roman"/>
          <w:szCs w:val="24"/>
        </w:rPr>
        <w:t>is compatible with human rights as it does not raise any human rights issues.</w:t>
      </w:r>
    </w:p>
    <w:p w14:paraId="4A1CA2E5" w14:textId="3FB799C6" w:rsidR="00AD646A" w:rsidRDefault="00AD646A" w:rsidP="002060A0">
      <w:pPr>
        <w:rPr>
          <w:rFonts w:cs="Times New Roman"/>
          <w:szCs w:val="24"/>
        </w:rPr>
      </w:pPr>
    </w:p>
    <w:p w14:paraId="27ED1B56" w14:textId="77777777" w:rsidR="00A26CD5" w:rsidRPr="00A26CD5" w:rsidRDefault="00A26CD5" w:rsidP="00F5714F">
      <w:pPr>
        <w:jc w:val="center"/>
        <w:rPr>
          <w:rFonts w:cs="Times New Roman"/>
          <w:b/>
          <w:szCs w:val="24"/>
        </w:rPr>
      </w:pPr>
      <w:r w:rsidRPr="00A26CD5">
        <w:rPr>
          <w:rFonts w:cs="Times New Roman"/>
          <w:b/>
          <w:szCs w:val="24"/>
        </w:rPr>
        <w:t>The Hon Angus Taylor MP</w:t>
      </w:r>
    </w:p>
    <w:p w14:paraId="3D19EA19" w14:textId="6E721564" w:rsidR="006A4DC1" w:rsidRPr="00AD646A" w:rsidRDefault="00A26CD5" w:rsidP="00F5714F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Minister for Energy and Emissions Reduction</w:t>
      </w:r>
    </w:p>
    <w:sectPr w:rsidR="006A4DC1" w:rsidRPr="00AD646A" w:rsidSect="00766CFD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356E1" w14:textId="77777777" w:rsidR="000779B8" w:rsidRDefault="000779B8" w:rsidP="00E34600">
      <w:pPr>
        <w:spacing w:after="0" w:line="240" w:lineRule="auto"/>
      </w:pPr>
      <w:r>
        <w:separator/>
      </w:r>
    </w:p>
  </w:endnote>
  <w:endnote w:type="continuationSeparator" w:id="0">
    <w:p w14:paraId="0883DB4F" w14:textId="77777777" w:rsidR="000779B8" w:rsidRDefault="000779B8" w:rsidP="00E34600">
      <w:pPr>
        <w:spacing w:after="0" w:line="240" w:lineRule="auto"/>
      </w:pPr>
      <w:r>
        <w:continuationSeparator/>
      </w:r>
    </w:p>
  </w:endnote>
  <w:endnote w:type="continuationNotice" w:id="1">
    <w:p w14:paraId="044DE96C" w14:textId="77777777" w:rsidR="000779B8" w:rsidRDefault="000779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819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B4E16" w14:textId="7AE6957F" w:rsidR="00C37C38" w:rsidRDefault="00C37C38" w:rsidP="00E346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4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F92E0" w14:textId="77777777" w:rsidR="000779B8" w:rsidRDefault="000779B8" w:rsidP="00E34600">
      <w:pPr>
        <w:spacing w:after="0" w:line="240" w:lineRule="auto"/>
      </w:pPr>
      <w:r>
        <w:separator/>
      </w:r>
    </w:p>
  </w:footnote>
  <w:footnote w:type="continuationSeparator" w:id="0">
    <w:p w14:paraId="263EC588" w14:textId="77777777" w:rsidR="000779B8" w:rsidRDefault="000779B8" w:rsidP="00E34600">
      <w:pPr>
        <w:spacing w:after="0" w:line="240" w:lineRule="auto"/>
      </w:pPr>
      <w:r>
        <w:continuationSeparator/>
      </w:r>
    </w:p>
  </w:footnote>
  <w:footnote w:type="continuationNotice" w:id="1">
    <w:p w14:paraId="3D346F1D" w14:textId="77777777" w:rsidR="000779B8" w:rsidRDefault="000779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D54FE" w14:textId="5BB1669E" w:rsidR="00766CFD" w:rsidRPr="008F3406" w:rsidRDefault="00766CFD" w:rsidP="00766CFD">
    <w:pPr>
      <w:jc w:val="right"/>
      <w:rPr>
        <w:rFonts w:ascii="Arial" w:hAnsi="Arial" w:cs="Arial"/>
        <w:b/>
      </w:rPr>
    </w:pPr>
    <w:r w:rsidRPr="008F3406">
      <w:rPr>
        <w:rFonts w:ascii="Arial" w:hAnsi="Arial" w:cs="Arial"/>
        <w:b/>
      </w:rPr>
      <w:t xml:space="preserve">Attachment </w:t>
    </w:r>
    <w:r>
      <w:rPr>
        <w:rFonts w:ascii="Arial" w:hAnsi="Arial" w:cs="Arial"/>
        <w:b/>
      </w:rPr>
      <w:t>B</w:t>
    </w:r>
  </w:p>
  <w:p w14:paraId="3034298A" w14:textId="77777777" w:rsidR="003C2AF7" w:rsidRDefault="003C2A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44260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DCAA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6F717B"/>
    <w:multiLevelType w:val="multilevel"/>
    <w:tmpl w:val="9078B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9605DD1"/>
    <w:multiLevelType w:val="hybridMultilevel"/>
    <w:tmpl w:val="95FC6ED6"/>
    <w:lvl w:ilvl="0" w:tplc="07664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72D97"/>
    <w:multiLevelType w:val="hybridMultilevel"/>
    <w:tmpl w:val="8B32A796"/>
    <w:lvl w:ilvl="0" w:tplc="849E0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20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BD"/>
    <w:rsid w:val="00003F2D"/>
    <w:rsid w:val="000055D7"/>
    <w:rsid w:val="000103CE"/>
    <w:rsid w:val="00027BCE"/>
    <w:rsid w:val="00034F39"/>
    <w:rsid w:val="000558F3"/>
    <w:rsid w:val="00067DAC"/>
    <w:rsid w:val="000702C6"/>
    <w:rsid w:val="00075F18"/>
    <w:rsid w:val="000779B8"/>
    <w:rsid w:val="000941AA"/>
    <w:rsid w:val="000A04E9"/>
    <w:rsid w:val="000B21FA"/>
    <w:rsid w:val="000B3F27"/>
    <w:rsid w:val="000D0E22"/>
    <w:rsid w:val="000D5103"/>
    <w:rsid w:val="000E0678"/>
    <w:rsid w:val="000E4E93"/>
    <w:rsid w:val="000F0B84"/>
    <w:rsid w:val="0012245F"/>
    <w:rsid w:val="0013767C"/>
    <w:rsid w:val="00141B74"/>
    <w:rsid w:val="0014547D"/>
    <w:rsid w:val="001470E1"/>
    <w:rsid w:val="00150D50"/>
    <w:rsid w:val="0015410F"/>
    <w:rsid w:val="00167B38"/>
    <w:rsid w:val="00176597"/>
    <w:rsid w:val="001B67BD"/>
    <w:rsid w:val="001C5CEA"/>
    <w:rsid w:val="001D11DE"/>
    <w:rsid w:val="001E3BB5"/>
    <w:rsid w:val="002060A0"/>
    <w:rsid w:val="00224110"/>
    <w:rsid w:val="002323C4"/>
    <w:rsid w:val="0023656E"/>
    <w:rsid w:val="00243397"/>
    <w:rsid w:val="002510F5"/>
    <w:rsid w:val="00255214"/>
    <w:rsid w:val="00255319"/>
    <w:rsid w:val="00262722"/>
    <w:rsid w:val="00276E20"/>
    <w:rsid w:val="002B6053"/>
    <w:rsid w:val="002B7389"/>
    <w:rsid w:val="002B7B97"/>
    <w:rsid w:val="002C46BE"/>
    <w:rsid w:val="002C6E63"/>
    <w:rsid w:val="002E0454"/>
    <w:rsid w:val="002E3895"/>
    <w:rsid w:val="002E5746"/>
    <w:rsid w:val="00303E3E"/>
    <w:rsid w:val="0031317F"/>
    <w:rsid w:val="003149EE"/>
    <w:rsid w:val="00324920"/>
    <w:rsid w:val="00326A4A"/>
    <w:rsid w:val="00327D76"/>
    <w:rsid w:val="00340BBE"/>
    <w:rsid w:val="00355D0F"/>
    <w:rsid w:val="00366EF0"/>
    <w:rsid w:val="00367CCD"/>
    <w:rsid w:val="0039069D"/>
    <w:rsid w:val="00393CC6"/>
    <w:rsid w:val="003A3BD1"/>
    <w:rsid w:val="003B2603"/>
    <w:rsid w:val="003B37A0"/>
    <w:rsid w:val="003C1DC6"/>
    <w:rsid w:val="003C2AF7"/>
    <w:rsid w:val="003C3198"/>
    <w:rsid w:val="003C3FF5"/>
    <w:rsid w:val="003C51BF"/>
    <w:rsid w:val="003D1260"/>
    <w:rsid w:val="003D74B0"/>
    <w:rsid w:val="003E221A"/>
    <w:rsid w:val="003E40BB"/>
    <w:rsid w:val="003F0E1C"/>
    <w:rsid w:val="004064EA"/>
    <w:rsid w:val="004265F5"/>
    <w:rsid w:val="00426637"/>
    <w:rsid w:val="004353BF"/>
    <w:rsid w:val="004356C7"/>
    <w:rsid w:val="004922B0"/>
    <w:rsid w:val="004B3BE6"/>
    <w:rsid w:val="004E0221"/>
    <w:rsid w:val="004E0E3B"/>
    <w:rsid w:val="004E67F8"/>
    <w:rsid w:val="004E68C7"/>
    <w:rsid w:val="004F1713"/>
    <w:rsid w:val="004F1884"/>
    <w:rsid w:val="00503E08"/>
    <w:rsid w:val="00507232"/>
    <w:rsid w:val="0051060C"/>
    <w:rsid w:val="005173F1"/>
    <w:rsid w:val="00517832"/>
    <w:rsid w:val="00535D36"/>
    <w:rsid w:val="005403D0"/>
    <w:rsid w:val="0054585C"/>
    <w:rsid w:val="00547F8D"/>
    <w:rsid w:val="00551B02"/>
    <w:rsid w:val="00551E8E"/>
    <w:rsid w:val="00553EB4"/>
    <w:rsid w:val="00556966"/>
    <w:rsid w:val="00571626"/>
    <w:rsid w:val="00576160"/>
    <w:rsid w:val="00576478"/>
    <w:rsid w:val="005836CC"/>
    <w:rsid w:val="00593F42"/>
    <w:rsid w:val="005949F7"/>
    <w:rsid w:val="005A17A6"/>
    <w:rsid w:val="005B7033"/>
    <w:rsid w:val="005C1037"/>
    <w:rsid w:val="005D1E81"/>
    <w:rsid w:val="005F026C"/>
    <w:rsid w:val="005F09F7"/>
    <w:rsid w:val="005F2944"/>
    <w:rsid w:val="0060183B"/>
    <w:rsid w:val="006067D1"/>
    <w:rsid w:val="0061478D"/>
    <w:rsid w:val="00615868"/>
    <w:rsid w:val="00622387"/>
    <w:rsid w:val="006354BA"/>
    <w:rsid w:val="00637DFD"/>
    <w:rsid w:val="00642391"/>
    <w:rsid w:val="006447EF"/>
    <w:rsid w:val="006472E0"/>
    <w:rsid w:val="00663E3B"/>
    <w:rsid w:val="006745C3"/>
    <w:rsid w:val="00674FC1"/>
    <w:rsid w:val="0067773A"/>
    <w:rsid w:val="00696D28"/>
    <w:rsid w:val="006A4DC1"/>
    <w:rsid w:val="006A54CD"/>
    <w:rsid w:val="006D4023"/>
    <w:rsid w:val="006D7219"/>
    <w:rsid w:val="006F0B6D"/>
    <w:rsid w:val="0071339D"/>
    <w:rsid w:val="00720249"/>
    <w:rsid w:val="007216DF"/>
    <w:rsid w:val="0072540E"/>
    <w:rsid w:val="00727908"/>
    <w:rsid w:val="007453E4"/>
    <w:rsid w:val="00757CA8"/>
    <w:rsid w:val="00760406"/>
    <w:rsid w:val="007628FC"/>
    <w:rsid w:val="00762A9F"/>
    <w:rsid w:val="00766CFD"/>
    <w:rsid w:val="00777049"/>
    <w:rsid w:val="00782FDD"/>
    <w:rsid w:val="00783348"/>
    <w:rsid w:val="007A0926"/>
    <w:rsid w:val="007B012D"/>
    <w:rsid w:val="007C45D5"/>
    <w:rsid w:val="007D5840"/>
    <w:rsid w:val="007E3DD0"/>
    <w:rsid w:val="00822651"/>
    <w:rsid w:val="008405A1"/>
    <w:rsid w:val="00860D61"/>
    <w:rsid w:val="0086430F"/>
    <w:rsid w:val="00866117"/>
    <w:rsid w:val="008728C6"/>
    <w:rsid w:val="0087628B"/>
    <w:rsid w:val="00881D77"/>
    <w:rsid w:val="00882263"/>
    <w:rsid w:val="0088778B"/>
    <w:rsid w:val="00895745"/>
    <w:rsid w:val="008C710E"/>
    <w:rsid w:val="008E2F4B"/>
    <w:rsid w:val="008E397E"/>
    <w:rsid w:val="008E3F69"/>
    <w:rsid w:val="008E3F70"/>
    <w:rsid w:val="008E70E9"/>
    <w:rsid w:val="008F10D9"/>
    <w:rsid w:val="008F6091"/>
    <w:rsid w:val="00903470"/>
    <w:rsid w:val="009109F9"/>
    <w:rsid w:val="00921A81"/>
    <w:rsid w:val="0095088F"/>
    <w:rsid w:val="00954AF1"/>
    <w:rsid w:val="009667E7"/>
    <w:rsid w:val="00987091"/>
    <w:rsid w:val="009944B2"/>
    <w:rsid w:val="009B6354"/>
    <w:rsid w:val="009C76BA"/>
    <w:rsid w:val="009E037E"/>
    <w:rsid w:val="009E3689"/>
    <w:rsid w:val="009E7BE3"/>
    <w:rsid w:val="00A26CD5"/>
    <w:rsid w:val="00A33284"/>
    <w:rsid w:val="00A42E9A"/>
    <w:rsid w:val="00A6090F"/>
    <w:rsid w:val="00A624AD"/>
    <w:rsid w:val="00A85E55"/>
    <w:rsid w:val="00A865A2"/>
    <w:rsid w:val="00AC46FF"/>
    <w:rsid w:val="00AD555D"/>
    <w:rsid w:val="00AD646A"/>
    <w:rsid w:val="00AD745E"/>
    <w:rsid w:val="00AE3A07"/>
    <w:rsid w:val="00AF02CB"/>
    <w:rsid w:val="00B07DFA"/>
    <w:rsid w:val="00B16040"/>
    <w:rsid w:val="00B26F36"/>
    <w:rsid w:val="00B438DC"/>
    <w:rsid w:val="00B529D1"/>
    <w:rsid w:val="00B569AC"/>
    <w:rsid w:val="00BB1184"/>
    <w:rsid w:val="00BB2956"/>
    <w:rsid w:val="00BC4AD2"/>
    <w:rsid w:val="00BC6CF0"/>
    <w:rsid w:val="00BD67DE"/>
    <w:rsid w:val="00BE38CD"/>
    <w:rsid w:val="00BF1475"/>
    <w:rsid w:val="00BF4510"/>
    <w:rsid w:val="00C27C94"/>
    <w:rsid w:val="00C31419"/>
    <w:rsid w:val="00C37438"/>
    <w:rsid w:val="00C37C38"/>
    <w:rsid w:val="00C668F1"/>
    <w:rsid w:val="00C93AFB"/>
    <w:rsid w:val="00CA7674"/>
    <w:rsid w:val="00CB35AF"/>
    <w:rsid w:val="00CC0B34"/>
    <w:rsid w:val="00CC6F3F"/>
    <w:rsid w:val="00CD4C17"/>
    <w:rsid w:val="00CF3F23"/>
    <w:rsid w:val="00D035EC"/>
    <w:rsid w:val="00D14AF6"/>
    <w:rsid w:val="00D2025A"/>
    <w:rsid w:val="00D30113"/>
    <w:rsid w:val="00D33764"/>
    <w:rsid w:val="00D45DFF"/>
    <w:rsid w:val="00D50056"/>
    <w:rsid w:val="00D670FE"/>
    <w:rsid w:val="00D70985"/>
    <w:rsid w:val="00D73130"/>
    <w:rsid w:val="00D93F40"/>
    <w:rsid w:val="00DA767F"/>
    <w:rsid w:val="00DC323C"/>
    <w:rsid w:val="00DC4E3E"/>
    <w:rsid w:val="00DC7EAD"/>
    <w:rsid w:val="00DD088F"/>
    <w:rsid w:val="00DD577B"/>
    <w:rsid w:val="00DF4A7A"/>
    <w:rsid w:val="00DF78AE"/>
    <w:rsid w:val="00E11C3D"/>
    <w:rsid w:val="00E14DF0"/>
    <w:rsid w:val="00E226DE"/>
    <w:rsid w:val="00E2762F"/>
    <w:rsid w:val="00E30573"/>
    <w:rsid w:val="00E34600"/>
    <w:rsid w:val="00E35FE5"/>
    <w:rsid w:val="00E455E1"/>
    <w:rsid w:val="00E460AA"/>
    <w:rsid w:val="00E55B44"/>
    <w:rsid w:val="00E63B2F"/>
    <w:rsid w:val="00E7567A"/>
    <w:rsid w:val="00E86117"/>
    <w:rsid w:val="00E9000B"/>
    <w:rsid w:val="00E93F85"/>
    <w:rsid w:val="00EB298A"/>
    <w:rsid w:val="00EF15CA"/>
    <w:rsid w:val="00F05F4B"/>
    <w:rsid w:val="00F42D77"/>
    <w:rsid w:val="00F440B2"/>
    <w:rsid w:val="00F457CC"/>
    <w:rsid w:val="00F5714F"/>
    <w:rsid w:val="00F71F22"/>
    <w:rsid w:val="00F7482D"/>
    <w:rsid w:val="00F8128C"/>
    <w:rsid w:val="00F831A4"/>
    <w:rsid w:val="00F918A8"/>
    <w:rsid w:val="00F93F3C"/>
    <w:rsid w:val="00FA1E06"/>
    <w:rsid w:val="00FA4CEF"/>
    <w:rsid w:val="00FA6A17"/>
    <w:rsid w:val="00FD1B66"/>
    <w:rsid w:val="00FE0D86"/>
    <w:rsid w:val="33AD26C0"/>
    <w:rsid w:val="6B329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9414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2C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9F7"/>
    <w:pPr>
      <w:keepNext/>
      <w:keepLines/>
      <w:spacing w:before="240" w:after="60" w:line="240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9F7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9F9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9F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09F7"/>
    <w:rPr>
      <w:rFonts w:ascii="Times New Roman" w:eastAsiaTheme="majorEastAsia" w:hAnsi="Times New Roman" w:cstheme="majorBidi"/>
      <w:sz w:val="24"/>
      <w:szCs w:val="26"/>
      <w:u w:val="single"/>
    </w:rPr>
  </w:style>
  <w:style w:type="paragraph" w:customStyle="1" w:styleId="Templateinstructions">
    <w:name w:val="Template instructions"/>
    <w:basedOn w:val="Normal"/>
    <w:next w:val="Normal"/>
    <w:link w:val="TemplateinstructionsChar"/>
    <w:qFormat/>
    <w:rsid w:val="007A0926"/>
    <w:pPr>
      <w:spacing w:after="120" w:line="240" w:lineRule="auto"/>
    </w:pPr>
    <w:rPr>
      <w:rFonts w:cs="Times New Roman"/>
      <w:i/>
      <w:color w:val="1F497D" w:themeColor="text2"/>
      <w:sz w:val="22"/>
      <w:szCs w:val="24"/>
    </w:rPr>
  </w:style>
  <w:style w:type="character" w:customStyle="1" w:styleId="TemplateinstructionsChar">
    <w:name w:val="Template instructions Char"/>
    <w:basedOn w:val="DefaultParagraphFont"/>
    <w:link w:val="Templateinstructions"/>
    <w:rsid w:val="007A0926"/>
    <w:rPr>
      <w:rFonts w:ascii="Times New Roman" w:hAnsi="Times New Roman" w:cs="Times New Roman"/>
      <w:i/>
      <w:color w:val="1F497D" w:themeColor="text2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9109F9"/>
    <w:rPr>
      <w:rFonts w:ascii="Times New Roman" w:hAnsi="Times New Roman"/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B569AC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09F9"/>
    <w:rPr>
      <w:rFonts w:ascii="Times New Roman" w:eastAsiaTheme="majorEastAsia" w:hAnsi="Times New Roman" w:cstheme="majorBidi"/>
      <w:i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rsid w:val="009109F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9F9"/>
    <w:rPr>
      <w:rFonts w:ascii="Times New Roman" w:hAnsi="Times New Roman"/>
      <w:i/>
      <w:iCs/>
      <w:color w:val="404040" w:themeColor="text1" w:themeTint="BF"/>
      <w:sz w:val="24"/>
    </w:rPr>
  </w:style>
  <w:style w:type="character" w:styleId="SubtleReference">
    <w:name w:val="Subtle Reference"/>
    <w:basedOn w:val="DefaultParagraphFont"/>
    <w:uiPriority w:val="31"/>
    <w:rsid w:val="009109F9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503E08"/>
    <w:pPr>
      <w:spacing w:after="240"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E08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E08"/>
    <w:pPr>
      <w:spacing w:after="240" w:line="240" w:lineRule="auto"/>
      <w:jc w:val="center"/>
    </w:pPr>
    <w:rPr>
      <w:rFonts w:cs="Times New Roman"/>
      <w:i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3E08"/>
    <w:rPr>
      <w:rFonts w:ascii="Times New Roman" w:hAnsi="Times New Roman" w:cs="Times New Roman"/>
      <w:i/>
      <w:sz w:val="24"/>
      <w:szCs w:val="24"/>
    </w:rPr>
  </w:style>
  <w:style w:type="paragraph" w:customStyle="1" w:styleId="Sub-subtitle">
    <w:name w:val="Sub-subtitle"/>
    <w:basedOn w:val="Normal"/>
    <w:link w:val="Sub-subtitleChar"/>
    <w:rsid w:val="005836CC"/>
    <w:pPr>
      <w:spacing w:before="240" w:after="240"/>
      <w:jc w:val="center"/>
    </w:pPr>
    <w:rPr>
      <w:rFonts w:cs="Times New Roman"/>
      <w:sz w:val="22"/>
      <w:szCs w:val="24"/>
    </w:rPr>
  </w:style>
  <w:style w:type="character" w:customStyle="1" w:styleId="Sub-subtitleChar">
    <w:name w:val="Sub-subtitle Char"/>
    <w:basedOn w:val="DefaultParagraphFont"/>
    <w:link w:val="Sub-subtitle"/>
    <w:rsid w:val="005836CC"/>
    <w:rPr>
      <w:rFonts w:ascii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97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97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9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60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34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600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FA6A1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E40B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61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BD67DE"/>
    <w:pPr>
      <w:tabs>
        <w:tab w:val="right" w:pos="1021"/>
      </w:tabs>
      <w:spacing w:before="180" w:after="0" w:line="240" w:lineRule="auto"/>
      <w:ind w:left="1134" w:hanging="1134"/>
    </w:pPr>
    <w:rPr>
      <w:rFonts w:eastAsia="Times New Roman" w:cs="Times New Roman"/>
      <w:sz w:val="2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67D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Italic">
    <w:name w:val="CharItalic"/>
    <w:basedOn w:val="DefaultParagraphFont"/>
    <w:uiPriority w:val="1"/>
    <w:qFormat/>
    <w:rsid w:val="00C31419"/>
    <w:rPr>
      <w:i/>
    </w:rPr>
  </w:style>
  <w:style w:type="paragraph" w:customStyle="1" w:styleId="Definition">
    <w:name w:val="Definition"/>
    <w:aliases w:val="dd"/>
    <w:basedOn w:val="Normal"/>
    <w:rsid w:val="00A6090F"/>
    <w:pPr>
      <w:spacing w:before="180" w:after="0" w:line="240" w:lineRule="auto"/>
      <w:ind w:left="1134"/>
    </w:pPr>
    <w:rPr>
      <w:rFonts w:eastAsia="Times New Roman" w:cs="Times New Roman"/>
      <w:sz w:val="22"/>
      <w:szCs w:val="20"/>
      <w:lang w:eastAsia="en-AU"/>
    </w:rPr>
  </w:style>
  <w:style w:type="paragraph" w:styleId="ListNumber">
    <w:name w:val="List Number"/>
    <w:basedOn w:val="Normal"/>
    <w:uiPriority w:val="99"/>
    <w:unhideWhenUsed/>
    <w:rsid w:val="00A6090F"/>
    <w:pPr>
      <w:numPr>
        <w:numId w:val="3"/>
      </w:numPr>
      <w:contextualSpacing/>
    </w:pPr>
  </w:style>
  <w:style w:type="numbering" w:customStyle="1" w:styleId="Attach">
    <w:name w:val="Attach"/>
    <w:basedOn w:val="NoList"/>
    <w:uiPriority w:val="99"/>
    <w:rsid w:val="00A6090F"/>
    <w:pPr>
      <w:numPr>
        <w:numId w:val="4"/>
      </w:numPr>
    </w:pPr>
  </w:style>
  <w:style w:type="table" w:styleId="TableGrid">
    <w:name w:val="Table Grid"/>
    <w:basedOn w:val="TableNormal"/>
    <w:uiPriority w:val="59"/>
    <w:rsid w:val="006F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517832"/>
    <w:pPr>
      <w:widowControl w:val="0"/>
      <w:spacing w:after="240" w:line="240" w:lineRule="auto"/>
    </w:pPr>
    <w:rPr>
      <w:rFonts w:ascii="Arial" w:eastAsia="Courier New" w:hAnsi="Arial" w:cs="Courier New"/>
      <w:sz w:val="20"/>
      <w:szCs w:val="24"/>
      <w:lang w:val="en-US" w:eastAsia="en-IN"/>
    </w:rPr>
  </w:style>
  <w:style w:type="character" w:customStyle="1" w:styleId="BodyTextChar">
    <w:name w:val="Body Text Char"/>
    <w:basedOn w:val="DefaultParagraphFont"/>
    <w:link w:val="BodyText"/>
    <w:uiPriority w:val="99"/>
    <w:rsid w:val="00517832"/>
    <w:rPr>
      <w:rFonts w:ascii="Arial" w:eastAsia="Courier New" w:hAnsi="Arial" w:cs="Courier New"/>
      <w:sz w:val="20"/>
      <w:szCs w:val="24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7BEA0A67BE37648BA98304C3D788F2A" ma:contentTypeVersion="" ma:contentTypeDescription="PDMS Document Site Content Type" ma:contentTypeScope="" ma:versionID="cb3e5cd49d9387cd7a2965f806466ddb">
  <xsd:schema xmlns:xsd="http://www.w3.org/2001/XMLSchema" xmlns:xs="http://www.w3.org/2001/XMLSchema" xmlns:p="http://schemas.microsoft.com/office/2006/metadata/properties" xmlns:ns2="8E84C31B-CD25-4DC4-A19C-30CFE000B86F" targetNamespace="http://schemas.microsoft.com/office/2006/metadata/properties" ma:root="true" ma:fieldsID="3a1748c9251eefa8ae04f34b45cb2cef" ns2:_="">
    <xsd:import namespace="8E84C31B-CD25-4DC4-A19C-30CFE000B86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4C31B-CD25-4DC4-A19C-30CFE000B86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E84C31B-CD25-4DC4-A19C-30CFE000B8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13EC-9664-4796-A7C8-0D15075AB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2D78F-FEC4-42CF-9D62-CEF3E368D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4C31B-CD25-4DC4-A19C-30CFE000B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6FD98-FCC1-4718-A421-E7003A672A1F}">
  <ds:schemaRefs>
    <ds:schemaRef ds:uri="8E84C31B-CD25-4DC4-A19C-30CFE000B86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F8D93A-43DC-4971-A56B-100E9056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2021-02-07T22:48:00Z</dcterms:created>
  <dcterms:modified xsi:type="dcterms:W3CDTF">2021-02-07T22:48:00Z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0x010100266966F133664895A6EE3632470D45F50067BEA0A67BE37648BA98304C3D788F2A</vt:lpwstr>
  </property>
  <property fmtid="{D5CDD505-2E9C-101B-9397-08002B2CF9AE}" pid="3" name="DocHub_LegalKeywords">
    <vt:lpwstr/>
  </property>
  <property fmtid="{D5CDD505-2E9C-101B-9397-08002B2CF9AE}" pid="4" name="DocHub_Year">
    <vt:lpwstr>7276;#2020|6a3660c5-15bd-4052-a0a1-6237663b7600</vt:lpwstr>
  </property>
  <property fmtid="{D5CDD505-2E9C-101B-9397-08002B2CF9AE}" pid="5" name="DocHub_DocumentType">
    <vt:lpwstr>524;#Legislative Instrument|edbe159b-95f5-40e7-bf23-9dfb62f2e7f0</vt:lpwstr>
  </property>
  <property fmtid="{D5CDD505-2E9C-101B-9397-08002B2CF9AE}" pid="6" name="DocHub_SecurityClassification">
    <vt:lpwstr>434;#Legal privilege|e0e7653a-6457-4726-a51f-c98e23f83bad</vt:lpwstr>
  </property>
  <property fmtid="{D5CDD505-2E9C-101B-9397-08002B2CF9AE}" pid="7" name="DocHub_LegalClient">
    <vt:lpwstr/>
  </property>
  <property fmtid="{D5CDD505-2E9C-101B-9397-08002B2CF9AE}" pid="8" name="DocHub_Keywords">
    <vt:lpwstr>14867;#Explanatory Statement|967e668f-22a1-43ad-a516-1c5962c1c92f</vt:lpwstr>
  </property>
  <property fmtid="{D5CDD505-2E9C-101B-9397-08002B2CF9AE}" pid="9" name="DocHub_WorkActivity">
    <vt:lpwstr>513;#Legislation and Regulation|6cbc66f5-f4a2-4565-a58b-d5f2d2ac9bd0</vt:lpwstr>
  </property>
  <property fmtid="{D5CDD505-2E9C-101B-9397-08002B2CF9AE}" pid="10" name="_dlc_DocIdItemGuid">
    <vt:lpwstr>58e6b378-8650-4e6c-bc15-70d12a516686</vt:lpwstr>
  </property>
</Properties>
</file>