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E53FF" w14:textId="77777777" w:rsidR="00337749" w:rsidRPr="00F93707" w:rsidRDefault="00337749" w:rsidP="00337749">
      <w:pPr>
        <w:shd w:val="clear" w:color="auto" w:fill="FFFFFF"/>
        <w:spacing w:after="120" w:line="240" w:lineRule="auto"/>
        <w:jc w:val="center"/>
        <w:rPr>
          <w:rFonts w:ascii="Arial" w:eastAsia="Times New Roman" w:hAnsi="Arial" w:cs="Arial"/>
          <w:sz w:val="19"/>
          <w:szCs w:val="19"/>
          <w:lang w:eastAsia="en-AU"/>
        </w:rPr>
      </w:pPr>
      <w:r w:rsidRPr="00F93707">
        <w:rPr>
          <w:rFonts w:ascii="Arial" w:eastAsia="Times New Roman" w:hAnsi="Arial" w:cs="Arial"/>
          <w:sz w:val="28"/>
          <w:szCs w:val="28"/>
          <w:u w:val="single"/>
          <w:lang w:eastAsia="en-AU"/>
        </w:rPr>
        <w:t>EXPLANATORY STATEMENT</w:t>
      </w:r>
    </w:p>
    <w:p w14:paraId="74693B38" w14:textId="77777777" w:rsidR="00337749" w:rsidRPr="00F93707" w:rsidRDefault="00337749" w:rsidP="00337749">
      <w:pPr>
        <w:shd w:val="clear" w:color="auto" w:fill="FFFFFF"/>
        <w:spacing w:after="120" w:line="240" w:lineRule="auto"/>
        <w:jc w:val="center"/>
        <w:rPr>
          <w:rFonts w:ascii="Arial" w:eastAsia="Times New Roman" w:hAnsi="Arial" w:cs="Arial"/>
          <w:sz w:val="16"/>
          <w:szCs w:val="16"/>
          <w:lang w:eastAsia="en-AU"/>
        </w:rPr>
      </w:pPr>
    </w:p>
    <w:p w14:paraId="0411CE88" w14:textId="77777777" w:rsidR="00337749" w:rsidRPr="00F93707" w:rsidRDefault="00337749" w:rsidP="00337749">
      <w:pPr>
        <w:shd w:val="clear" w:color="auto" w:fill="FFFFFF"/>
        <w:spacing w:after="120" w:line="240" w:lineRule="auto"/>
        <w:jc w:val="center"/>
        <w:rPr>
          <w:rFonts w:ascii="Arial" w:eastAsia="Times New Roman" w:hAnsi="Arial" w:cs="Arial"/>
          <w:szCs w:val="19"/>
          <w:lang w:eastAsia="en-AU"/>
        </w:rPr>
      </w:pPr>
      <w:r w:rsidRPr="00F93707">
        <w:rPr>
          <w:rFonts w:ascii="Arial" w:eastAsia="Times New Roman" w:hAnsi="Arial" w:cs="Arial"/>
          <w:b/>
          <w:bCs/>
          <w:szCs w:val="19"/>
          <w:lang w:eastAsia="en-AU"/>
        </w:rPr>
        <w:t>Issued by the authority of the Minister for Aged Care and Senior Australians</w:t>
      </w:r>
    </w:p>
    <w:p w14:paraId="3A2CDC32" w14:textId="77777777" w:rsidR="00337749" w:rsidRPr="00F93707" w:rsidRDefault="00337749" w:rsidP="00337749">
      <w:pPr>
        <w:shd w:val="clear" w:color="auto" w:fill="FFFFFF"/>
        <w:spacing w:after="120" w:line="240" w:lineRule="auto"/>
        <w:jc w:val="center"/>
        <w:rPr>
          <w:rFonts w:ascii="Arial" w:eastAsia="Times New Roman" w:hAnsi="Arial" w:cs="Arial"/>
          <w:sz w:val="16"/>
          <w:szCs w:val="16"/>
          <w:lang w:eastAsia="en-AU"/>
        </w:rPr>
      </w:pPr>
    </w:p>
    <w:p w14:paraId="66084B1F" w14:textId="77777777" w:rsidR="00337749" w:rsidRPr="00F93707" w:rsidRDefault="00337749" w:rsidP="00337749">
      <w:pPr>
        <w:shd w:val="clear" w:color="auto" w:fill="FFFFFF"/>
        <w:spacing w:after="120" w:line="240" w:lineRule="auto"/>
        <w:jc w:val="center"/>
        <w:rPr>
          <w:rFonts w:ascii="Arial" w:eastAsia="Times New Roman" w:hAnsi="Arial" w:cs="Arial"/>
          <w:szCs w:val="19"/>
          <w:lang w:eastAsia="en-AU"/>
        </w:rPr>
      </w:pPr>
      <w:r w:rsidRPr="00F93707">
        <w:rPr>
          <w:rFonts w:ascii="Arial" w:eastAsia="Times New Roman" w:hAnsi="Arial" w:cs="Arial"/>
          <w:b/>
          <w:bCs/>
          <w:i/>
          <w:iCs/>
          <w:szCs w:val="19"/>
          <w:lang w:eastAsia="en-AU"/>
        </w:rPr>
        <w:t>Aged Care Act 1997</w:t>
      </w:r>
    </w:p>
    <w:p w14:paraId="6736BFBF" w14:textId="77777777" w:rsidR="00337749" w:rsidRPr="00F93707" w:rsidRDefault="00337749" w:rsidP="00337749">
      <w:pPr>
        <w:shd w:val="clear" w:color="auto" w:fill="FFFFFF"/>
        <w:spacing w:after="120" w:line="240" w:lineRule="auto"/>
        <w:jc w:val="center"/>
        <w:rPr>
          <w:rFonts w:ascii="Arial" w:eastAsia="Times New Roman" w:hAnsi="Arial" w:cs="Arial"/>
          <w:sz w:val="16"/>
          <w:szCs w:val="16"/>
          <w:lang w:eastAsia="en-AU"/>
        </w:rPr>
      </w:pPr>
    </w:p>
    <w:p w14:paraId="3A66FA46" w14:textId="77777777" w:rsidR="00337749" w:rsidRPr="00F93707" w:rsidRDefault="00337749" w:rsidP="00337749">
      <w:pPr>
        <w:shd w:val="clear" w:color="auto" w:fill="FFFFFF"/>
        <w:spacing w:after="120" w:line="240" w:lineRule="auto"/>
        <w:jc w:val="center"/>
        <w:rPr>
          <w:rFonts w:ascii="Arial" w:eastAsia="Times New Roman" w:hAnsi="Arial" w:cs="Arial"/>
          <w:szCs w:val="19"/>
          <w:lang w:eastAsia="en-AU"/>
        </w:rPr>
      </w:pPr>
      <w:r w:rsidRPr="00F93707">
        <w:rPr>
          <w:rFonts w:ascii="Arial" w:eastAsia="Times New Roman" w:hAnsi="Arial" w:cs="Arial"/>
          <w:b/>
          <w:bCs/>
          <w:i/>
          <w:iCs/>
          <w:szCs w:val="19"/>
          <w:lang w:eastAsia="en-AU"/>
        </w:rPr>
        <w:t>Aged Care Legislation Amendment (</w:t>
      </w:r>
      <w:r w:rsidR="00332566" w:rsidRPr="00F93707">
        <w:rPr>
          <w:rFonts w:ascii="Arial" w:eastAsia="Times New Roman" w:hAnsi="Arial" w:cs="Arial"/>
          <w:b/>
          <w:bCs/>
          <w:i/>
          <w:iCs/>
          <w:szCs w:val="19"/>
          <w:lang w:eastAsia="en-AU"/>
        </w:rPr>
        <w:t>Basic Subsidy Amount</w:t>
      </w:r>
      <w:r w:rsidRPr="00F93707">
        <w:rPr>
          <w:rFonts w:ascii="Arial" w:eastAsia="Times New Roman" w:hAnsi="Arial" w:cs="Arial"/>
          <w:b/>
          <w:bCs/>
          <w:i/>
          <w:iCs/>
          <w:szCs w:val="19"/>
          <w:lang w:eastAsia="en-AU"/>
        </w:rPr>
        <w:t xml:space="preserve">-COVID-19 Support) </w:t>
      </w:r>
      <w:r w:rsidR="00332566" w:rsidRPr="00F93707">
        <w:rPr>
          <w:rFonts w:ascii="Arial" w:eastAsia="Times New Roman" w:hAnsi="Arial" w:cs="Arial"/>
          <w:b/>
          <w:bCs/>
          <w:i/>
          <w:iCs/>
          <w:szCs w:val="19"/>
          <w:lang w:eastAsia="en-AU"/>
        </w:rPr>
        <w:t>Determination</w:t>
      </w:r>
      <w:r w:rsidRPr="00F93707">
        <w:rPr>
          <w:rFonts w:ascii="Arial" w:eastAsia="Times New Roman" w:hAnsi="Arial" w:cs="Arial"/>
          <w:b/>
          <w:bCs/>
          <w:i/>
          <w:iCs/>
          <w:szCs w:val="19"/>
          <w:lang w:eastAsia="en-AU"/>
        </w:rPr>
        <w:t xml:space="preserve"> 2020</w:t>
      </w:r>
    </w:p>
    <w:p w14:paraId="1B9C1AE3" w14:textId="77777777" w:rsidR="00337749" w:rsidRPr="00F93707" w:rsidRDefault="00337749" w:rsidP="00337749">
      <w:pPr>
        <w:shd w:val="clear" w:color="auto" w:fill="FFFFFF"/>
        <w:spacing w:after="120" w:line="240" w:lineRule="auto"/>
        <w:jc w:val="center"/>
        <w:rPr>
          <w:rFonts w:ascii="Arial" w:eastAsia="Times New Roman" w:hAnsi="Arial" w:cs="Arial"/>
          <w:sz w:val="16"/>
          <w:szCs w:val="16"/>
          <w:lang w:eastAsia="en-AU"/>
        </w:rPr>
      </w:pPr>
    </w:p>
    <w:p w14:paraId="4EC02691" w14:textId="5AF2E76D"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 </w:t>
      </w:r>
      <w:r w:rsidRPr="00F93707">
        <w:rPr>
          <w:rFonts w:ascii="Arial" w:eastAsia="Times New Roman" w:hAnsi="Arial" w:cs="Arial"/>
          <w:i/>
          <w:iCs/>
          <w:lang w:eastAsia="en-AU"/>
        </w:rPr>
        <w:t xml:space="preserve">Aged Care Act 1997 </w:t>
      </w:r>
      <w:r w:rsidRPr="00F93707">
        <w:rPr>
          <w:rFonts w:ascii="Arial" w:eastAsia="Times New Roman" w:hAnsi="Arial" w:cs="Arial"/>
          <w:lang w:eastAsia="en-AU"/>
        </w:rPr>
        <w:t xml:space="preserve">(the Act) and the </w:t>
      </w:r>
      <w:r w:rsidRPr="00F93707">
        <w:rPr>
          <w:rFonts w:ascii="Arial" w:eastAsia="Times New Roman" w:hAnsi="Arial" w:cs="Arial"/>
          <w:i/>
          <w:iCs/>
          <w:lang w:eastAsia="en-AU"/>
        </w:rPr>
        <w:t>Aged Care (Transitional Provisions) Act 1997</w:t>
      </w:r>
      <w:r w:rsidRPr="00F93707">
        <w:rPr>
          <w:rFonts w:ascii="Arial" w:eastAsia="Times New Roman" w:hAnsi="Arial" w:cs="Arial"/>
          <w:lang w:eastAsia="en-AU"/>
        </w:rPr>
        <w:t xml:space="preserve"> (the</w:t>
      </w:r>
      <w:r w:rsidR="0021668E" w:rsidRPr="00F93707">
        <w:rPr>
          <w:rFonts w:ascii="Arial" w:eastAsia="Times New Roman" w:hAnsi="Arial" w:cs="Arial"/>
          <w:lang w:eastAsia="en-AU"/>
        </w:rPr>
        <w:t> </w:t>
      </w:r>
      <w:r w:rsidRPr="00F93707">
        <w:rPr>
          <w:rFonts w:ascii="Arial" w:eastAsia="Times New Roman" w:hAnsi="Arial" w:cs="Arial"/>
          <w:lang w:eastAsia="en-AU"/>
        </w:rPr>
        <w:t xml:space="preserve">TP Act) provide for the </w:t>
      </w:r>
      <w:r w:rsidR="00296317" w:rsidRPr="00F93707">
        <w:rPr>
          <w:rFonts w:ascii="Arial" w:eastAsia="Times New Roman" w:hAnsi="Arial" w:cs="Arial"/>
          <w:lang w:eastAsia="en-AU"/>
        </w:rPr>
        <w:t xml:space="preserve">Commonwealth to give financial support </w:t>
      </w:r>
      <w:r w:rsidR="0021668E" w:rsidRPr="00F93707">
        <w:rPr>
          <w:rFonts w:ascii="Arial" w:eastAsia="Times New Roman" w:hAnsi="Arial" w:cs="Arial"/>
          <w:lang w:eastAsia="en-AU"/>
        </w:rPr>
        <w:t>through payment of subsidies for the provision of aged care</w:t>
      </w:r>
      <w:r w:rsidR="00E90726" w:rsidRPr="00F93707">
        <w:rPr>
          <w:rFonts w:ascii="Arial" w:eastAsia="Times New Roman" w:hAnsi="Arial" w:cs="Arial"/>
          <w:lang w:eastAsia="en-AU"/>
        </w:rPr>
        <w:t>.</w:t>
      </w:r>
    </w:p>
    <w:p w14:paraId="470A1039" w14:textId="77777777" w:rsidR="006E1D20" w:rsidRPr="00F93707" w:rsidRDefault="006E1D20" w:rsidP="0035160D">
      <w:pPr>
        <w:shd w:val="clear" w:color="auto" w:fill="FFFFFF"/>
        <w:spacing w:after="0" w:line="259" w:lineRule="auto"/>
        <w:contextualSpacing/>
        <w:jc w:val="both"/>
        <w:rPr>
          <w:rFonts w:ascii="Arial" w:eastAsia="Times New Roman" w:hAnsi="Arial" w:cs="Arial"/>
          <w:lang w:eastAsia="en-AU"/>
        </w:rPr>
      </w:pPr>
    </w:p>
    <w:p w14:paraId="3C947A0B" w14:textId="04FAC1FE" w:rsidR="00337749" w:rsidRPr="00F93707" w:rsidRDefault="0021668E"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Under Chapter 3 of the Act, the Commonwealth pay</w:t>
      </w:r>
      <w:r w:rsidR="00700E28" w:rsidRPr="00F93707">
        <w:rPr>
          <w:rFonts w:ascii="Arial" w:eastAsia="Times New Roman" w:hAnsi="Arial" w:cs="Arial"/>
          <w:lang w:eastAsia="en-AU"/>
        </w:rPr>
        <w:t>s</w:t>
      </w:r>
      <w:r w:rsidRPr="00F93707">
        <w:rPr>
          <w:rFonts w:ascii="Arial" w:eastAsia="Times New Roman" w:hAnsi="Arial" w:cs="Arial"/>
          <w:lang w:eastAsia="en-AU"/>
        </w:rPr>
        <w:t xml:space="preserve"> subsidies to approved providers for aged care that has been provided. </w:t>
      </w:r>
      <w:r w:rsidR="00337749" w:rsidRPr="00F93707">
        <w:rPr>
          <w:rFonts w:ascii="Arial" w:eastAsia="Times New Roman" w:hAnsi="Arial" w:cs="Arial"/>
          <w:lang w:eastAsia="en-AU"/>
        </w:rPr>
        <w:t xml:space="preserve">Approved providers may also be eligible to receive </w:t>
      </w:r>
      <w:r w:rsidRPr="00F93707">
        <w:rPr>
          <w:rFonts w:ascii="Arial" w:eastAsia="Times New Roman" w:hAnsi="Arial" w:cs="Arial"/>
          <w:lang w:eastAsia="en-AU"/>
        </w:rPr>
        <w:t>aged care</w:t>
      </w:r>
      <w:r w:rsidR="00702FCE" w:rsidRPr="00F93707">
        <w:rPr>
          <w:rFonts w:ascii="Arial" w:eastAsia="Times New Roman" w:hAnsi="Arial" w:cs="Arial"/>
          <w:lang w:eastAsia="en-AU"/>
        </w:rPr>
        <w:t xml:space="preserve"> subsidy</w:t>
      </w:r>
      <w:r w:rsidR="00337749" w:rsidRPr="00F93707">
        <w:rPr>
          <w:rFonts w:ascii="Arial" w:eastAsia="Times New Roman" w:hAnsi="Arial" w:cs="Arial"/>
          <w:lang w:eastAsia="en-AU"/>
        </w:rPr>
        <w:t xml:space="preserve"> under the TP Act in respect of the care they provide to continuing care recipients. Continuing care recipients are those who entered an aged care service before 1 July 2014 and since that time have not left the service for a continuous period of more than 28 days (other than because the person is on leave), or before moving to another service, have not made a written choice to be subject to new rules relating to fees and payments that came into effect on 1 July 2014.</w:t>
      </w:r>
    </w:p>
    <w:p w14:paraId="46586F4B" w14:textId="77777777" w:rsidR="006E1D20" w:rsidRPr="00F93707" w:rsidRDefault="006E1D20" w:rsidP="0035160D">
      <w:pPr>
        <w:shd w:val="clear" w:color="auto" w:fill="FFFFFF"/>
        <w:spacing w:after="0" w:line="259" w:lineRule="auto"/>
        <w:contextualSpacing/>
        <w:jc w:val="both"/>
        <w:rPr>
          <w:rFonts w:ascii="Arial" w:eastAsia="Times New Roman" w:hAnsi="Arial" w:cs="Arial"/>
          <w:lang w:eastAsia="en-AU"/>
        </w:rPr>
      </w:pPr>
    </w:p>
    <w:p w14:paraId="271ACB05" w14:textId="397B0BB8"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Both the Act and the TP Act provide that for each type of aged care, the Minister may determine the amount of subsidy and supplement payable to an approved provider for the provision of that type of aged care.</w:t>
      </w:r>
    </w:p>
    <w:p w14:paraId="49EB3C2F" w14:textId="777777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p>
    <w:p w14:paraId="6070A7D8" w14:textId="777777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Purpose</w:t>
      </w:r>
    </w:p>
    <w:p w14:paraId="5CE40254" w14:textId="7C61B4CF"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 </w:t>
      </w:r>
      <w:r w:rsidRPr="00F93707">
        <w:rPr>
          <w:rFonts w:ascii="Arial" w:eastAsia="Times New Roman" w:hAnsi="Arial" w:cs="Arial"/>
          <w:i/>
          <w:iCs/>
          <w:lang w:eastAsia="en-AU"/>
        </w:rPr>
        <w:t>Aged Care Legislation Amendment (</w:t>
      </w:r>
      <w:r w:rsidR="00EE2528" w:rsidRPr="00F93707">
        <w:rPr>
          <w:rFonts w:ascii="Arial" w:eastAsia="Times New Roman" w:hAnsi="Arial" w:cs="Arial"/>
          <w:i/>
          <w:iCs/>
          <w:lang w:eastAsia="en-AU"/>
        </w:rPr>
        <w:t>Basic Subsidy Amount-COVID-19 Support) Determination</w:t>
      </w:r>
      <w:r w:rsidRPr="00F93707">
        <w:rPr>
          <w:rFonts w:ascii="Arial" w:eastAsia="Times New Roman" w:hAnsi="Arial" w:cs="Arial"/>
          <w:i/>
          <w:iCs/>
          <w:lang w:eastAsia="en-AU"/>
        </w:rPr>
        <w:t xml:space="preserve"> 2020 </w:t>
      </w:r>
      <w:r w:rsidRPr="00F93707">
        <w:rPr>
          <w:rFonts w:ascii="Arial" w:eastAsia="Times New Roman" w:hAnsi="Arial" w:cs="Arial"/>
          <w:lang w:eastAsia="en-AU"/>
        </w:rPr>
        <w:t xml:space="preserve">(the Amending </w:t>
      </w:r>
      <w:r w:rsidR="00EE2528" w:rsidRPr="00F93707">
        <w:rPr>
          <w:rFonts w:ascii="Arial" w:eastAsia="Times New Roman" w:hAnsi="Arial" w:cs="Arial"/>
          <w:lang w:eastAsia="en-AU"/>
        </w:rPr>
        <w:t>Determination</w:t>
      </w:r>
      <w:r w:rsidRPr="00F93707">
        <w:rPr>
          <w:rFonts w:ascii="Arial" w:eastAsia="Times New Roman" w:hAnsi="Arial" w:cs="Arial"/>
          <w:lang w:eastAsia="en-AU"/>
        </w:rPr>
        <w:t xml:space="preserve">) amends the </w:t>
      </w:r>
      <w:r w:rsidRPr="00F93707">
        <w:rPr>
          <w:rFonts w:ascii="Arial" w:eastAsia="Times New Roman" w:hAnsi="Arial" w:cs="Arial"/>
          <w:i/>
          <w:iCs/>
          <w:lang w:eastAsia="en-AU"/>
        </w:rPr>
        <w:t>Aged Care (Subsidy, Fees and Payments) Determination 2014</w:t>
      </w:r>
      <w:r w:rsidRPr="00F93707">
        <w:rPr>
          <w:rFonts w:ascii="Arial" w:eastAsia="Times New Roman" w:hAnsi="Arial" w:cs="Arial"/>
          <w:lang w:eastAsia="en-AU"/>
        </w:rPr>
        <w:t xml:space="preserve"> </w:t>
      </w:r>
      <w:r w:rsidR="00232A20" w:rsidRPr="00F93707">
        <w:rPr>
          <w:rFonts w:ascii="Arial" w:eastAsia="Times New Roman" w:hAnsi="Arial" w:cs="Arial"/>
          <w:lang w:eastAsia="en-AU"/>
        </w:rPr>
        <w:t xml:space="preserve">(the Subsidy, Fees and Payments Determination) </w:t>
      </w:r>
      <w:r w:rsidR="00DF2FF3" w:rsidRPr="00F93707">
        <w:rPr>
          <w:rFonts w:ascii="Arial" w:eastAsia="Times New Roman" w:hAnsi="Arial" w:cs="Arial"/>
          <w:lang w:eastAsia="en-AU"/>
        </w:rPr>
        <w:t xml:space="preserve">and </w:t>
      </w:r>
      <w:r w:rsidRPr="00F93707">
        <w:rPr>
          <w:rFonts w:ascii="Arial" w:eastAsia="Times New Roman" w:hAnsi="Arial" w:cs="Arial"/>
          <w:lang w:eastAsia="en-AU"/>
        </w:rPr>
        <w:t xml:space="preserve">the </w:t>
      </w:r>
      <w:r w:rsidRPr="00F93707">
        <w:rPr>
          <w:rFonts w:ascii="Arial" w:eastAsia="Times New Roman" w:hAnsi="Arial" w:cs="Arial"/>
          <w:i/>
          <w:iCs/>
          <w:lang w:eastAsia="en-AU"/>
        </w:rPr>
        <w:t>Aged Care (Transitional Provisions) (Subsidy and Other Measures) Determination 2014</w:t>
      </w:r>
      <w:r w:rsidR="00232A20" w:rsidRPr="00F93707">
        <w:rPr>
          <w:rFonts w:ascii="Arial" w:eastAsia="Times New Roman" w:hAnsi="Arial" w:cs="Arial"/>
          <w:i/>
          <w:iCs/>
          <w:lang w:eastAsia="en-AU"/>
        </w:rPr>
        <w:t xml:space="preserve"> </w:t>
      </w:r>
      <w:r w:rsidR="00232A20" w:rsidRPr="00F93707">
        <w:rPr>
          <w:rFonts w:ascii="Arial" w:eastAsia="Times New Roman" w:hAnsi="Arial" w:cs="Arial"/>
          <w:iCs/>
          <w:lang w:eastAsia="en-AU"/>
        </w:rPr>
        <w:t>(the</w:t>
      </w:r>
      <w:r w:rsidR="005667BB" w:rsidRPr="00F93707">
        <w:rPr>
          <w:rFonts w:ascii="Arial" w:eastAsia="Times New Roman" w:hAnsi="Arial" w:cs="Arial"/>
          <w:iCs/>
          <w:lang w:eastAsia="en-AU"/>
        </w:rPr>
        <w:t> </w:t>
      </w:r>
      <w:r w:rsidR="00232A20" w:rsidRPr="00F93707">
        <w:rPr>
          <w:rFonts w:ascii="Arial" w:eastAsia="Times New Roman" w:hAnsi="Arial" w:cs="Arial"/>
          <w:iCs/>
          <w:lang w:eastAsia="en-AU"/>
        </w:rPr>
        <w:t>Subsidy and Other Measures Determination)</w:t>
      </w:r>
      <w:r w:rsidRPr="00F93707">
        <w:rPr>
          <w:rFonts w:ascii="Arial" w:eastAsia="Times New Roman" w:hAnsi="Arial" w:cs="Arial"/>
          <w:lang w:eastAsia="en-AU"/>
        </w:rPr>
        <w:t>.</w:t>
      </w:r>
    </w:p>
    <w:p w14:paraId="5ECD2672" w14:textId="10C4465E" w:rsidR="006E1D20" w:rsidRPr="00F93707" w:rsidRDefault="006E1D20" w:rsidP="0035160D">
      <w:pPr>
        <w:shd w:val="clear" w:color="auto" w:fill="FFFFFF"/>
        <w:spacing w:after="0" w:line="259" w:lineRule="auto"/>
        <w:contextualSpacing/>
        <w:jc w:val="both"/>
        <w:rPr>
          <w:rFonts w:ascii="Arial" w:eastAsia="Times New Roman" w:hAnsi="Arial" w:cs="Arial"/>
          <w:lang w:eastAsia="en-AU"/>
        </w:rPr>
      </w:pPr>
    </w:p>
    <w:p w14:paraId="54CC2FC1" w14:textId="13CB8E0B" w:rsidR="00F037E2" w:rsidRPr="00F93707" w:rsidRDefault="00C47C0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 purpose of the Amending Determination is to </w:t>
      </w:r>
      <w:r w:rsidR="00C93C8F" w:rsidRPr="00F93707">
        <w:rPr>
          <w:rFonts w:ascii="Arial" w:eastAsia="Times New Roman" w:hAnsi="Arial" w:cs="Arial"/>
          <w:lang w:eastAsia="en-AU"/>
        </w:rPr>
        <w:t>amend</w:t>
      </w:r>
      <w:r w:rsidR="00F31D0B" w:rsidRPr="00F93707">
        <w:rPr>
          <w:rFonts w:ascii="Arial" w:eastAsia="Times New Roman" w:hAnsi="Arial" w:cs="Arial"/>
          <w:lang w:eastAsia="en-AU"/>
        </w:rPr>
        <w:t xml:space="preserve"> the Subsidy, Fees and Payments Determination to provide that </w:t>
      </w:r>
      <w:r w:rsidR="00C93C8F" w:rsidRPr="00F93707">
        <w:rPr>
          <w:rFonts w:ascii="Arial" w:eastAsia="Times New Roman" w:hAnsi="Arial" w:cs="Arial"/>
          <w:lang w:eastAsia="en-AU"/>
        </w:rPr>
        <w:t xml:space="preserve">aged care subsidy in relation to care recipients on extended hospital leave will not be reduced </w:t>
      </w:r>
      <w:r w:rsidR="004336D7" w:rsidRPr="00F93707">
        <w:rPr>
          <w:rFonts w:ascii="Arial" w:eastAsia="Times New Roman" w:hAnsi="Arial" w:cs="Arial"/>
          <w:lang w:eastAsia="en-AU"/>
        </w:rPr>
        <w:t>during</w:t>
      </w:r>
      <w:r w:rsidR="00C93C8F" w:rsidRPr="00F93707">
        <w:rPr>
          <w:rFonts w:ascii="Arial" w:eastAsia="Times New Roman" w:hAnsi="Arial" w:cs="Arial"/>
          <w:lang w:eastAsia="en-AU"/>
        </w:rPr>
        <w:t xml:space="preserve"> the </w:t>
      </w:r>
      <w:r w:rsidRPr="00F93707">
        <w:rPr>
          <w:rFonts w:ascii="Arial" w:eastAsia="Times New Roman" w:hAnsi="Arial" w:cs="Arial"/>
          <w:lang w:eastAsia="en-AU"/>
        </w:rPr>
        <w:t>period 1 July </w:t>
      </w:r>
      <w:r w:rsidR="00F31D0B" w:rsidRPr="00F93707">
        <w:rPr>
          <w:rFonts w:ascii="Arial" w:eastAsia="Times New Roman" w:hAnsi="Arial" w:cs="Arial"/>
          <w:lang w:eastAsia="en-AU"/>
        </w:rPr>
        <w:t>2020 to </w:t>
      </w:r>
      <w:r w:rsidRPr="00F93707">
        <w:rPr>
          <w:rFonts w:ascii="Arial" w:eastAsia="Times New Roman" w:hAnsi="Arial" w:cs="Arial"/>
          <w:lang w:eastAsia="en-AU"/>
        </w:rPr>
        <w:t>3</w:t>
      </w:r>
      <w:r w:rsidR="00A41C51" w:rsidRPr="00F93707">
        <w:rPr>
          <w:rFonts w:ascii="Arial" w:eastAsia="Times New Roman" w:hAnsi="Arial" w:cs="Arial"/>
          <w:lang w:eastAsia="en-AU"/>
        </w:rPr>
        <w:t>0</w:t>
      </w:r>
      <w:r w:rsidRPr="00F93707">
        <w:rPr>
          <w:rFonts w:ascii="Arial" w:eastAsia="Times New Roman" w:hAnsi="Arial" w:cs="Arial"/>
          <w:lang w:eastAsia="en-AU"/>
        </w:rPr>
        <w:t> </w:t>
      </w:r>
      <w:r w:rsidR="00E82F69" w:rsidRPr="00F93707">
        <w:rPr>
          <w:rFonts w:ascii="Arial" w:eastAsia="Times New Roman" w:hAnsi="Arial" w:cs="Arial"/>
          <w:lang w:eastAsia="en-AU"/>
        </w:rPr>
        <w:t>June</w:t>
      </w:r>
      <w:r w:rsidRPr="00F93707">
        <w:rPr>
          <w:rFonts w:ascii="Arial" w:eastAsia="Times New Roman" w:hAnsi="Arial" w:cs="Arial"/>
          <w:lang w:eastAsia="en-AU"/>
        </w:rPr>
        <w:t xml:space="preserve"> 2021 (inclusive). </w:t>
      </w:r>
    </w:p>
    <w:p w14:paraId="14BBEAFB" w14:textId="47549CC7" w:rsidR="00F037E2" w:rsidRPr="00F93707" w:rsidRDefault="00F037E2" w:rsidP="0035160D">
      <w:pPr>
        <w:shd w:val="clear" w:color="auto" w:fill="FFFFFF"/>
        <w:spacing w:after="0" w:line="259" w:lineRule="auto"/>
        <w:contextualSpacing/>
        <w:jc w:val="both"/>
        <w:rPr>
          <w:rFonts w:ascii="Arial" w:eastAsia="Times New Roman" w:hAnsi="Arial" w:cs="Arial"/>
          <w:lang w:eastAsia="en-AU"/>
        </w:rPr>
      </w:pPr>
    </w:p>
    <w:p w14:paraId="2DDDFE68" w14:textId="16C08535" w:rsidR="00C47C09" w:rsidRPr="00F93707" w:rsidRDefault="003B170F" w:rsidP="00C47C09">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I</w:t>
      </w:r>
      <w:r w:rsidR="00296317" w:rsidRPr="00F93707">
        <w:rPr>
          <w:rFonts w:ascii="Arial" w:eastAsia="Times New Roman" w:hAnsi="Arial" w:cs="Arial"/>
          <w:lang w:eastAsia="en-AU"/>
        </w:rPr>
        <w:t>n relation to a care recipient provided with residential care</w:t>
      </w:r>
      <w:r w:rsidRPr="00F93707">
        <w:rPr>
          <w:rFonts w:ascii="Arial" w:eastAsia="Times New Roman" w:hAnsi="Arial" w:cs="Arial"/>
          <w:lang w:eastAsia="en-AU"/>
        </w:rPr>
        <w:t xml:space="preserve">, the Act defines extended hospital leave </w:t>
      </w:r>
      <w:r w:rsidR="00296317" w:rsidRPr="00F93707">
        <w:rPr>
          <w:rFonts w:ascii="Arial" w:eastAsia="Times New Roman" w:hAnsi="Arial" w:cs="Arial"/>
          <w:lang w:eastAsia="en-AU"/>
        </w:rPr>
        <w:t xml:space="preserve">to </w:t>
      </w:r>
      <w:r w:rsidRPr="00F93707">
        <w:rPr>
          <w:rFonts w:ascii="Arial" w:eastAsia="Times New Roman" w:hAnsi="Arial" w:cs="Arial"/>
          <w:lang w:eastAsia="en-AU"/>
        </w:rPr>
        <w:t xml:space="preserve">include </w:t>
      </w:r>
      <w:r w:rsidR="009D7A62" w:rsidRPr="00F93707">
        <w:rPr>
          <w:rFonts w:ascii="Arial" w:eastAsia="Times New Roman" w:hAnsi="Arial" w:cs="Arial"/>
          <w:lang w:eastAsia="en-AU"/>
        </w:rPr>
        <w:t>a period during which the care recipient takes leave to attend hospital for the purpose of receiving hospital treatment under subsection</w:t>
      </w:r>
      <w:r w:rsidR="00E90726" w:rsidRPr="00F93707">
        <w:rPr>
          <w:rFonts w:ascii="Arial" w:eastAsia="Times New Roman" w:hAnsi="Arial" w:cs="Arial"/>
          <w:lang w:eastAsia="en-AU"/>
        </w:rPr>
        <w:t> </w:t>
      </w:r>
      <w:r w:rsidR="009D7A62" w:rsidRPr="00F93707">
        <w:rPr>
          <w:rFonts w:ascii="Arial" w:eastAsia="Times New Roman" w:hAnsi="Arial" w:cs="Arial"/>
          <w:lang w:eastAsia="en-AU"/>
        </w:rPr>
        <w:t>42-2(2) for a continuous period of 30 days or more.</w:t>
      </w:r>
    </w:p>
    <w:p w14:paraId="57AE62C4" w14:textId="5139ACAD" w:rsidR="003B170F" w:rsidRPr="00F93707" w:rsidRDefault="003B170F" w:rsidP="00C47C09">
      <w:pPr>
        <w:shd w:val="clear" w:color="auto" w:fill="FFFFFF"/>
        <w:spacing w:after="0" w:line="259" w:lineRule="auto"/>
        <w:contextualSpacing/>
        <w:jc w:val="both"/>
        <w:rPr>
          <w:rFonts w:ascii="Arial" w:eastAsia="Times New Roman" w:hAnsi="Arial" w:cs="Arial"/>
          <w:lang w:eastAsia="en-AU"/>
        </w:rPr>
      </w:pPr>
    </w:p>
    <w:p w14:paraId="006B5508" w14:textId="1D612176" w:rsidR="00052B85" w:rsidRPr="00F93707" w:rsidRDefault="003B170F"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Section 9 of the </w:t>
      </w:r>
      <w:r w:rsidR="00457BC8" w:rsidRPr="00F93707">
        <w:rPr>
          <w:rFonts w:ascii="Arial" w:eastAsia="Times New Roman" w:hAnsi="Arial" w:cs="Arial"/>
          <w:lang w:eastAsia="en-AU"/>
        </w:rPr>
        <w:t>Subsidy, Fees and Payments Determination</w:t>
      </w:r>
      <w:r w:rsidRPr="00F93707">
        <w:rPr>
          <w:rFonts w:ascii="Arial" w:eastAsia="Times New Roman" w:hAnsi="Arial" w:cs="Arial"/>
          <w:lang w:eastAsia="en-AU"/>
        </w:rPr>
        <w:t xml:space="preserve"> </w:t>
      </w:r>
      <w:r w:rsidR="00700E28" w:rsidRPr="00F93707">
        <w:rPr>
          <w:rFonts w:ascii="Arial" w:eastAsia="Times New Roman" w:hAnsi="Arial" w:cs="Arial"/>
          <w:lang w:eastAsia="en-AU"/>
        </w:rPr>
        <w:t>shows how to calculate the basic</w:t>
      </w:r>
      <w:r w:rsidRPr="00F93707">
        <w:rPr>
          <w:rFonts w:ascii="Arial" w:eastAsia="Times New Roman" w:hAnsi="Arial" w:cs="Arial"/>
          <w:lang w:eastAsia="en-AU"/>
        </w:rPr>
        <w:t xml:space="preserve"> subsidy amount in respect of a care recipient who has</w:t>
      </w:r>
      <w:r w:rsidR="00052B85" w:rsidRPr="00F93707">
        <w:rPr>
          <w:rFonts w:ascii="Arial" w:eastAsia="Times New Roman" w:hAnsi="Arial" w:cs="Arial"/>
          <w:lang w:eastAsia="en-AU"/>
        </w:rPr>
        <w:t xml:space="preserve"> an </w:t>
      </w:r>
      <w:r w:rsidR="0057124A" w:rsidRPr="00F93707">
        <w:rPr>
          <w:rFonts w:ascii="Arial" w:eastAsia="Times New Roman" w:hAnsi="Arial" w:cs="Arial"/>
          <w:lang w:eastAsia="en-AU"/>
        </w:rPr>
        <w:t>Aged Care Funding Instrument (</w:t>
      </w:r>
      <w:r w:rsidR="00052B85" w:rsidRPr="00F93707">
        <w:rPr>
          <w:rFonts w:ascii="Arial" w:eastAsia="Times New Roman" w:hAnsi="Arial" w:cs="Arial"/>
          <w:lang w:eastAsia="en-AU"/>
        </w:rPr>
        <w:t>ACFI</w:t>
      </w:r>
      <w:r w:rsidR="0057124A" w:rsidRPr="00F93707">
        <w:rPr>
          <w:rFonts w:ascii="Arial" w:eastAsia="Times New Roman" w:hAnsi="Arial" w:cs="Arial"/>
          <w:lang w:eastAsia="en-AU"/>
        </w:rPr>
        <w:t>)</w:t>
      </w:r>
      <w:r w:rsidR="00052B85" w:rsidRPr="00F93707">
        <w:rPr>
          <w:rFonts w:ascii="Arial" w:eastAsia="Times New Roman" w:hAnsi="Arial" w:cs="Arial"/>
          <w:lang w:eastAsia="en-AU"/>
        </w:rPr>
        <w:t xml:space="preserve"> classification that is in effect and</w:t>
      </w:r>
      <w:r w:rsidRPr="00F93707">
        <w:rPr>
          <w:rFonts w:ascii="Arial" w:eastAsia="Times New Roman" w:hAnsi="Arial" w:cs="Arial"/>
          <w:lang w:eastAsia="en-AU"/>
        </w:rPr>
        <w:t xml:space="preserve"> who </w:t>
      </w:r>
      <w:r w:rsidR="00052B85" w:rsidRPr="00F93707">
        <w:rPr>
          <w:rFonts w:ascii="Arial" w:eastAsia="Times New Roman" w:hAnsi="Arial" w:cs="Arial"/>
          <w:lang w:eastAsia="en-AU"/>
        </w:rPr>
        <w:t>is on extended hospital leave.</w:t>
      </w:r>
    </w:p>
    <w:p w14:paraId="1BCE54F2" w14:textId="77777777" w:rsidR="004336D7" w:rsidRPr="00F93707" w:rsidRDefault="004336D7" w:rsidP="0035160D">
      <w:pPr>
        <w:shd w:val="clear" w:color="auto" w:fill="FFFFFF"/>
        <w:spacing w:after="0" w:line="259" w:lineRule="auto"/>
        <w:contextualSpacing/>
        <w:jc w:val="both"/>
        <w:rPr>
          <w:rFonts w:ascii="Arial" w:eastAsia="Times New Roman" w:hAnsi="Arial" w:cs="Arial"/>
          <w:lang w:eastAsia="en-AU"/>
        </w:rPr>
      </w:pPr>
    </w:p>
    <w:p w14:paraId="6276B9F3" w14:textId="735E0829" w:rsidR="003B170F" w:rsidRPr="00F93707" w:rsidRDefault="003B170F"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In accordance with this section, different amounts of subsidy apply depending on the duration of the care recipient’s extended hospital leave. For the first 28 days that the care recipient is on leave, the basic subsidy amount is the amount calculated under section 7 or 8 of the </w:t>
      </w:r>
      <w:r w:rsidRPr="00F93707">
        <w:rPr>
          <w:rFonts w:ascii="Arial" w:eastAsia="Times New Roman" w:hAnsi="Arial" w:cs="Arial"/>
          <w:lang w:eastAsia="en-AU"/>
        </w:rPr>
        <w:lastRenderedPageBreak/>
        <w:t>Subsidy, Fees and Payments Determination (whichever is applicable). For any other day, the basic subsidy amount is half that amount.</w:t>
      </w:r>
    </w:p>
    <w:p w14:paraId="506475DF" w14:textId="77777777" w:rsidR="00C47C09" w:rsidRPr="00F93707" w:rsidRDefault="00C47C09" w:rsidP="0035160D">
      <w:pPr>
        <w:shd w:val="clear" w:color="auto" w:fill="FFFFFF"/>
        <w:spacing w:after="0" w:line="259" w:lineRule="auto"/>
        <w:contextualSpacing/>
        <w:jc w:val="both"/>
        <w:rPr>
          <w:rFonts w:ascii="Arial" w:eastAsia="Times New Roman" w:hAnsi="Arial" w:cs="Arial"/>
          <w:lang w:eastAsia="en-AU"/>
        </w:rPr>
      </w:pPr>
    </w:p>
    <w:p w14:paraId="7C6397A2" w14:textId="3081CEBA" w:rsidR="00136DF0" w:rsidRPr="00F93707" w:rsidRDefault="0062040F"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These provisions are mirrored in the TP Act and </w:t>
      </w:r>
      <w:r w:rsidR="00F037E2" w:rsidRPr="00F93707">
        <w:rPr>
          <w:rFonts w:ascii="Arial" w:eastAsia="Times New Roman" w:hAnsi="Arial" w:cs="Arial"/>
          <w:lang w:eastAsia="en-AU"/>
        </w:rPr>
        <w:t xml:space="preserve">section 11 of </w:t>
      </w:r>
      <w:r w:rsidRPr="00F93707">
        <w:rPr>
          <w:rFonts w:ascii="Arial" w:eastAsia="Times New Roman" w:hAnsi="Arial" w:cs="Arial"/>
          <w:lang w:eastAsia="en-AU"/>
        </w:rPr>
        <w:t>the Subsidy</w:t>
      </w:r>
      <w:r w:rsidRPr="00F93707">
        <w:rPr>
          <w:rFonts w:ascii="Arial" w:eastAsia="Times New Roman" w:hAnsi="Arial" w:cs="Arial"/>
          <w:i/>
          <w:lang w:eastAsia="en-AU"/>
        </w:rPr>
        <w:t xml:space="preserve"> </w:t>
      </w:r>
      <w:r w:rsidRPr="00F93707">
        <w:rPr>
          <w:rFonts w:ascii="Arial" w:eastAsia="Times New Roman" w:hAnsi="Arial" w:cs="Arial"/>
          <w:lang w:eastAsia="en-AU"/>
        </w:rPr>
        <w:t>and Other Measures</w:t>
      </w:r>
      <w:r w:rsidR="00F037E2" w:rsidRPr="00F93707">
        <w:rPr>
          <w:rFonts w:ascii="Arial" w:eastAsia="Times New Roman" w:hAnsi="Arial" w:cs="Arial"/>
          <w:lang w:eastAsia="en-AU"/>
        </w:rPr>
        <w:t xml:space="preserve"> Determination</w:t>
      </w:r>
      <w:r w:rsidRPr="00F93707">
        <w:rPr>
          <w:rFonts w:ascii="Arial" w:eastAsia="Times New Roman" w:hAnsi="Arial" w:cs="Arial"/>
          <w:lang w:eastAsia="en-AU"/>
        </w:rPr>
        <w:t xml:space="preserve">. </w:t>
      </w:r>
    </w:p>
    <w:p w14:paraId="7858BFD7" w14:textId="77777777" w:rsidR="003276E7" w:rsidRPr="00F93707" w:rsidRDefault="003276E7" w:rsidP="0035160D">
      <w:pPr>
        <w:shd w:val="clear" w:color="auto" w:fill="FFFFFF"/>
        <w:spacing w:after="0" w:line="259" w:lineRule="auto"/>
        <w:contextualSpacing/>
        <w:jc w:val="both"/>
        <w:rPr>
          <w:rFonts w:ascii="Arial" w:eastAsia="Times New Roman" w:hAnsi="Arial" w:cs="Arial"/>
          <w:lang w:eastAsia="en-AU"/>
        </w:rPr>
      </w:pPr>
    </w:p>
    <w:p w14:paraId="528EC52A" w14:textId="714E71F2" w:rsidR="00C366F6" w:rsidRPr="00F93707" w:rsidRDefault="003B170F"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 </w:t>
      </w:r>
      <w:r w:rsidR="00F31D0B" w:rsidRPr="00F93707">
        <w:rPr>
          <w:rFonts w:ascii="Arial" w:eastAsia="Times New Roman" w:hAnsi="Arial" w:cs="Arial"/>
          <w:lang w:eastAsia="en-AU"/>
        </w:rPr>
        <w:t>Amending Determination</w:t>
      </w:r>
      <w:r w:rsidRPr="00F93707">
        <w:rPr>
          <w:rFonts w:ascii="Arial" w:eastAsia="Times New Roman" w:hAnsi="Arial" w:cs="Arial"/>
          <w:lang w:eastAsia="en-AU"/>
        </w:rPr>
        <w:t xml:space="preserve"> will ensure </w:t>
      </w:r>
      <w:r w:rsidR="00C366F6" w:rsidRPr="00F93707">
        <w:rPr>
          <w:rFonts w:ascii="Arial" w:eastAsia="Times New Roman" w:hAnsi="Arial" w:cs="Arial"/>
          <w:lang w:eastAsia="en-AU"/>
        </w:rPr>
        <w:t xml:space="preserve">the </w:t>
      </w:r>
      <w:r w:rsidR="00302E8D" w:rsidRPr="00F93707">
        <w:rPr>
          <w:rFonts w:ascii="Arial" w:eastAsia="Times New Roman" w:hAnsi="Arial" w:cs="Arial"/>
          <w:lang w:eastAsia="en-AU"/>
        </w:rPr>
        <w:t>basic</w:t>
      </w:r>
      <w:r w:rsidR="0057124A" w:rsidRPr="00F93707">
        <w:rPr>
          <w:rFonts w:ascii="Arial" w:eastAsia="Times New Roman" w:hAnsi="Arial" w:cs="Arial"/>
          <w:lang w:eastAsia="en-AU"/>
        </w:rPr>
        <w:t xml:space="preserve"> </w:t>
      </w:r>
      <w:r w:rsidR="00C366F6" w:rsidRPr="00F93707">
        <w:rPr>
          <w:rFonts w:ascii="Arial" w:eastAsia="Times New Roman" w:hAnsi="Arial" w:cs="Arial"/>
          <w:lang w:eastAsia="en-AU"/>
        </w:rPr>
        <w:t xml:space="preserve">subsidy </w:t>
      </w:r>
      <w:r w:rsidR="00302E8D" w:rsidRPr="00F93707">
        <w:rPr>
          <w:rFonts w:ascii="Arial" w:eastAsia="Times New Roman" w:hAnsi="Arial" w:cs="Arial"/>
          <w:lang w:eastAsia="en-AU"/>
        </w:rPr>
        <w:t>amount</w:t>
      </w:r>
      <w:r w:rsidR="00C366F6" w:rsidRPr="00F93707">
        <w:rPr>
          <w:rFonts w:ascii="Arial" w:eastAsia="Times New Roman" w:hAnsi="Arial" w:cs="Arial"/>
          <w:lang w:eastAsia="en-AU"/>
        </w:rPr>
        <w:t xml:space="preserve"> will not be reduced </w:t>
      </w:r>
      <w:r w:rsidR="00302E8D" w:rsidRPr="00F93707">
        <w:rPr>
          <w:rFonts w:ascii="Arial" w:eastAsia="Times New Roman" w:hAnsi="Arial" w:cs="Arial"/>
          <w:lang w:eastAsia="en-AU"/>
        </w:rPr>
        <w:t xml:space="preserve">in circumstances where a care recipient is on extended hospital leave </w:t>
      </w:r>
      <w:r w:rsidR="004336D7" w:rsidRPr="00F93707">
        <w:rPr>
          <w:rFonts w:ascii="Arial" w:eastAsia="Times New Roman" w:hAnsi="Arial" w:cs="Arial"/>
          <w:lang w:eastAsia="en-AU"/>
        </w:rPr>
        <w:t>during the period 1 July 2020 to </w:t>
      </w:r>
      <w:r w:rsidR="00E82F69" w:rsidRPr="00F93707">
        <w:rPr>
          <w:rFonts w:ascii="Arial" w:eastAsia="Times New Roman" w:hAnsi="Arial" w:cs="Arial"/>
          <w:lang w:eastAsia="en-AU"/>
        </w:rPr>
        <w:t>30</w:t>
      </w:r>
      <w:r w:rsidR="004336D7" w:rsidRPr="00F93707">
        <w:rPr>
          <w:rFonts w:ascii="Arial" w:eastAsia="Times New Roman" w:hAnsi="Arial" w:cs="Arial"/>
          <w:lang w:eastAsia="en-AU"/>
        </w:rPr>
        <w:t> </w:t>
      </w:r>
      <w:r w:rsidR="00E82F69" w:rsidRPr="00F93707">
        <w:rPr>
          <w:rFonts w:ascii="Arial" w:eastAsia="Times New Roman" w:hAnsi="Arial" w:cs="Arial"/>
          <w:lang w:eastAsia="en-AU"/>
        </w:rPr>
        <w:t>June</w:t>
      </w:r>
      <w:r w:rsidR="004336D7" w:rsidRPr="00F93707">
        <w:rPr>
          <w:rFonts w:ascii="Arial" w:eastAsia="Times New Roman" w:hAnsi="Arial" w:cs="Arial"/>
          <w:lang w:eastAsia="en-AU"/>
        </w:rPr>
        <w:t> 2021 (inclusive)</w:t>
      </w:r>
      <w:r w:rsidR="00302E8D" w:rsidRPr="00F93707">
        <w:rPr>
          <w:rFonts w:ascii="Arial" w:eastAsia="Times New Roman" w:hAnsi="Arial" w:cs="Arial"/>
          <w:lang w:eastAsia="en-AU"/>
        </w:rPr>
        <w:t xml:space="preserve">. </w:t>
      </w:r>
      <w:r w:rsidR="00F31D0B" w:rsidRPr="00F93707">
        <w:rPr>
          <w:rFonts w:ascii="Arial" w:eastAsia="Times New Roman" w:hAnsi="Arial" w:cs="Arial"/>
          <w:lang w:eastAsia="en-AU"/>
        </w:rPr>
        <w:t>This amendment is in response to the increased movement of residents into hospital settings during the COVID</w:t>
      </w:r>
      <w:r w:rsidR="00887F69" w:rsidRPr="00F93707">
        <w:rPr>
          <w:rFonts w:ascii="Arial" w:eastAsia="Times New Roman" w:hAnsi="Arial" w:cs="Arial"/>
          <w:lang w:eastAsia="en-AU"/>
        </w:rPr>
        <w:noBreakHyphen/>
      </w:r>
      <w:r w:rsidR="00F31D0B" w:rsidRPr="00F93707">
        <w:rPr>
          <w:rFonts w:ascii="Arial" w:eastAsia="Times New Roman" w:hAnsi="Arial" w:cs="Arial"/>
          <w:lang w:eastAsia="en-AU"/>
        </w:rPr>
        <w:t>19 pandemic.</w:t>
      </w:r>
    </w:p>
    <w:p w14:paraId="69BC7045" w14:textId="77777777" w:rsidR="003276E7" w:rsidRPr="00F93707" w:rsidRDefault="003276E7" w:rsidP="0035160D">
      <w:pPr>
        <w:shd w:val="clear" w:color="auto" w:fill="FFFFFF"/>
        <w:spacing w:after="0" w:line="259" w:lineRule="auto"/>
        <w:contextualSpacing/>
        <w:jc w:val="both"/>
        <w:rPr>
          <w:rFonts w:ascii="Arial" w:eastAsia="Times New Roman" w:hAnsi="Arial" w:cs="Arial"/>
          <w:lang w:eastAsia="en-AU"/>
        </w:rPr>
      </w:pPr>
    </w:p>
    <w:p w14:paraId="5851F61B" w14:textId="35E5B305" w:rsidR="00337749" w:rsidRPr="00F93707" w:rsidRDefault="00337749" w:rsidP="0035160D">
      <w:pPr>
        <w:shd w:val="clear" w:color="auto" w:fill="FFFFFF"/>
        <w:spacing w:after="0" w:line="259" w:lineRule="auto"/>
        <w:contextualSpacing/>
        <w:jc w:val="both"/>
        <w:rPr>
          <w:rFonts w:ascii="Arial" w:eastAsia="Times New Roman" w:hAnsi="Arial" w:cs="Arial"/>
          <w:i/>
          <w:iCs/>
          <w:lang w:eastAsia="en-AU"/>
        </w:rPr>
      </w:pPr>
      <w:r w:rsidRPr="00F93707">
        <w:rPr>
          <w:rFonts w:ascii="Arial" w:eastAsia="Times New Roman" w:hAnsi="Arial" w:cs="Arial"/>
          <w:lang w:eastAsia="en-AU"/>
        </w:rPr>
        <w:t xml:space="preserve">The Amending </w:t>
      </w:r>
      <w:r w:rsidR="004118A3" w:rsidRPr="00F93707">
        <w:rPr>
          <w:rFonts w:ascii="Arial" w:eastAsia="Times New Roman" w:hAnsi="Arial" w:cs="Arial"/>
          <w:lang w:eastAsia="en-AU"/>
        </w:rPr>
        <w:t>Determination</w:t>
      </w:r>
      <w:r w:rsidRPr="00F93707">
        <w:rPr>
          <w:rFonts w:ascii="Arial" w:eastAsia="Times New Roman" w:hAnsi="Arial" w:cs="Arial"/>
          <w:lang w:eastAsia="en-AU"/>
        </w:rPr>
        <w:t xml:space="preserve"> is a legislati</w:t>
      </w:r>
      <w:r w:rsidR="004118A3" w:rsidRPr="00F93707">
        <w:rPr>
          <w:rFonts w:ascii="Arial" w:eastAsia="Times New Roman" w:hAnsi="Arial" w:cs="Arial"/>
          <w:lang w:eastAsia="en-AU"/>
        </w:rPr>
        <w:t xml:space="preserve">ve </w:t>
      </w:r>
      <w:r w:rsidR="00714578" w:rsidRPr="00F93707">
        <w:rPr>
          <w:rFonts w:ascii="Arial" w:eastAsia="Times New Roman" w:hAnsi="Arial" w:cs="Arial"/>
          <w:lang w:eastAsia="en-AU"/>
        </w:rPr>
        <w:t>instrument</w:t>
      </w:r>
      <w:r w:rsidRPr="00F93707">
        <w:rPr>
          <w:rFonts w:ascii="Arial" w:eastAsia="Times New Roman" w:hAnsi="Arial" w:cs="Arial"/>
          <w:lang w:eastAsia="en-AU"/>
        </w:rPr>
        <w:t xml:space="preserve"> for the purposes of the </w:t>
      </w:r>
      <w:r w:rsidRPr="00F93707">
        <w:rPr>
          <w:rFonts w:ascii="Arial" w:eastAsia="Times New Roman" w:hAnsi="Arial" w:cs="Arial"/>
          <w:i/>
          <w:iCs/>
          <w:lang w:eastAsia="en-AU"/>
        </w:rPr>
        <w:t xml:space="preserve">Legislation Act 2003. </w:t>
      </w:r>
    </w:p>
    <w:p w14:paraId="48118528" w14:textId="77777777" w:rsidR="003276E7" w:rsidRPr="00F93707" w:rsidRDefault="003276E7" w:rsidP="0035160D">
      <w:pPr>
        <w:shd w:val="clear" w:color="auto" w:fill="FFFFFF"/>
        <w:spacing w:after="0" w:line="259" w:lineRule="auto"/>
        <w:contextualSpacing/>
        <w:jc w:val="both"/>
        <w:rPr>
          <w:rFonts w:ascii="Arial" w:eastAsia="Times New Roman" w:hAnsi="Arial" w:cs="Arial"/>
          <w:lang w:eastAsia="en-AU"/>
        </w:rPr>
      </w:pPr>
    </w:p>
    <w:p w14:paraId="5AEAFEB0" w14:textId="4240B943" w:rsidR="00337749" w:rsidRPr="00F93707" w:rsidRDefault="00337749" w:rsidP="0035160D">
      <w:pPr>
        <w:shd w:val="clear" w:color="auto" w:fill="FFFFFF"/>
        <w:spacing w:after="0" w:line="259" w:lineRule="auto"/>
        <w:contextualSpacing/>
        <w:jc w:val="both"/>
        <w:rPr>
          <w:rFonts w:ascii="Arial" w:eastAsia="Times New Roman" w:hAnsi="Arial" w:cs="Arial"/>
          <w:b/>
          <w:bCs/>
          <w:lang w:eastAsia="en-AU"/>
        </w:rPr>
      </w:pPr>
      <w:r w:rsidRPr="00F93707">
        <w:rPr>
          <w:rFonts w:ascii="Arial" w:eastAsia="Times New Roman" w:hAnsi="Arial" w:cs="Arial"/>
          <w:b/>
          <w:bCs/>
          <w:lang w:eastAsia="en-AU"/>
        </w:rPr>
        <w:t>Background</w:t>
      </w:r>
    </w:p>
    <w:p w14:paraId="6A20BC94" w14:textId="47B4F74E" w:rsidR="00E27F1C" w:rsidRPr="00F93707" w:rsidRDefault="004F10A4">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Under section 42-2 of the Act, a care recipient may be taken to be provided with residential care on each day that they are on leave from a residential care service. </w:t>
      </w:r>
    </w:p>
    <w:p w14:paraId="04EF79F9" w14:textId="77777777" w:rsidR="00E27F1C" w:rsidRPr="00F93707" w:rsidRDefault="00E27F1C" w:rsidP="00E27F1C">
      <w:pPr>
        <w:shd w:val="clear" w:color="auto" w:fill="FFFFFF"/>
        <w:spacing w:after="0" w:line="259" w:lineRule="auto"/>
        <w:contextualSpacing/>
        <w:jc w:val="both"/>
        <w:rPr>
          <w:rFonts w:ascii="Arial" w:eastAsia="Times New Roman" w:hAnsi="Arial" w:cs="Arial"/>
          <w:lang w:eastAsia="en-AU"/>
        </w:rPr>
      </w:pPr>
    </w:p>
    <w:p w14:paraId="7226F0C3" w14:textId="4A4EAA26" w:rsidR="00E27F1C" w:rsidRPr="00F93707" w:rsidRDefault="00E27F1C" w:rsidP="00E27F1C">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Subsection 42-2(1) of the Act provides that a care recipient is on leave from a residential care service on each day of any period during which the care recipient attends hospital for the purpose of receiving hospital treatment, so long as the day is on or after the day on which the care recipient enters the residential care service.</w:t>
      </w:r>
    </w:p>
    <w:p w14:paraId="6F8F0BF9" w14:textId="5DCB416C" w:rsidR="008B4538" w:rsidRPr="00F93707" w:rsidRDefault="008B4538" w:rsidP="00E27F1C">
      <w:pPr>
        <w:shd w:val="clear" w:color="auto" w:fill="FFFFFF"/>
        <w:spacing w:after="0" w:line="259" w:lineRule="auto"/>
        <w:contextualSpacing/>
        <w:jc w:val="both"/>
        <w:rPr>
          <w:rFonts w:ascii="Arial" w:eastAsia="Times New Roman" w:hAnsi="Arial" w:cs="Arial"/>
          <w:lang w:eastAsia="en-AU"/>
        </w:rPr>
      </w:pPr>
    </w:p>
    <w:p w14:paraId="781D2635" w14:textId="5DC4432C" w:rsidR="008B4538" w:rsidRPr="00F93707" w:rsidRDefault="008B4538" w:rsidP="008B4538">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A permanent resident of a residential aged care service may be on leave for an unlimited number of days to receive hospital treatment, without losing their place in the residential care service. This leave is referred to informally as hospital leave. The aged care provider must retain the care recipient’s place in the aged care service while the resident is on hospital leave, irrespective of the length of time they are in hospital. The security of tenure provisions (section</w:t>
      </w:r>
      <w:r w:rsidR="00ED6F0F" w:rsidRPr="00F93707">
        <w:rPr>
          <w:rFonts w:ascii="Arial" w:eastAsia="Times New Roman" w:hAnsi="Arial" w:cs="Arial"/>
          <w:lang w:eastAsia="en-AU"/>
        </w:rPr>
        <w:t> </w:t>
      </w:r>
      <w:r w:rsidRPr="00F93707">
        <w:rPr>
          <w:rFonts w:ascii="Arial" w:eastAsia="Times New Roman" w:hAnsi="Arial" w:cs="Arial"/>
          <w:lang w:eastAsia="en-AU"/>
        </w:rPr>
        <w:t xml:space="preserve">6 – </w:t>
      </w:r>
      <w:r w:rsidRPr="00F93707">
        <w:rPr>
          <w:rFonts w:ascii="Arial" w:eastAsia="Times New Roman" w:hAnsi="Arial" w:cs="Arial"/>
          <w:i/>
          <w:lang w:eastAsia="en-AU"/>
        </w:rPr>
        <w:t>User Rights Principles 2014</w:t>
      </w:r>
      <w:r w:rsidRPr="00F93707">
        <w:rPr>
          <w:rFonts w:ascii="Arial" w:eastAsia="Times New Roman" w:hAnsi="Arial" w:cs="Arial"/>
          <w:lang w:eastAsia="en-AU"/>
        </w:rPr>
        <w:t>) outline the circumstances in which an approved provider may ask or require a care recipient to leave a residential aged care service.</w:t>
      </w:r>
    </w:p>
    <w:p w14:paraId="24A37068" w14:textId="77777777" w:rsidR="008B4538" w:rsidRPr="00F93707" w:rsidRDefault="008B4538" w:rsidP="008B4538">
      <w:pPr>
        <w:shd w:val="clear" w:color="auto" w:fill="FFFFFF"/>
        <w:spacing w:after="0" w:line="259" w:lineRule="auto"/>
        <w:contextualSpacing/>
        <w:jc w:val="both"/>
        <w:rPr>
          <w:rFonts w:ascii="Arial" w:eastAsia="Times New Roman" w:hAnsi="Arial" w:cs="Arial"/>
          <w:lang w:eastAsia="en-AU"/>
        </w:rPr>
      </w:pPr>
    </w:p>
    <w:p w14:paraId="0031C21F" w14:textId="5D0CC93D" w:rsidR="008B4538" w:rsidRPr="00F93707" w:rsidRDefault="008B4538" w:rsidP="008B4538">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Subject to certain other requirements, an approved provider may continue to remain eligible to receive subsidy in relation to an aged care rec</w:t>
      </w:r>
      <w:r w:rsidR="00215D99" w:rsidRPr="00F93707">
        <w:rPr>
          <w:rFonts w:ascii="Arial" w:eastAsia="Times New Roman" w:hAnsi="Arial" w:cs="Arial"/>
          <w:lang w:eastAsia="en-AU"/>
        </w:rPr>
        <w:t>ipient while they are on leave.</w:t>
      </w:r>
    </w:p>
    <w:p w14:paraId="6D452EF9" w14:textId="0F535A62" w:rsidR="00302E8D" w:rsidRPr="00F93707" w:rsidRDefault="00302E8D" w:rsidP="008B4538">
      <w:pPr>
        <w:shd w:val="clear" w:color="auto" w:fill="FFFFFF"/>
        <w:spacing w:after="0" w:line="259" w:lineRule="auto"/>
        <w:contextualSpacing/>
        <w:jc w:val="both"/>
        <w:rPr>
          <w:rFonts w:ascii="Arial" w:eastAsia="Times New Roman" w:hAnsi="Arial" w:cs="Arial"/>
          <w:lang w:eastAsia="en-AU"/>
        </w:rPr>
      </w:pPr>
    </w:p>
    <w:p w14:paraId="42248C71" w14:textId="324D7B24" w:rsidR="00302E8D" w:rsidRPr="00F93707" w:rsidRDefault="00302E8D" w:rsidP="00302E8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Section 44-3 of the Act provides that the basic subsidy amount for a day is the amount determined by the Minister by legislative instrument. Paragraph 44-3(3)(ca) of the Act provides that the Minister may determine different amounts based on whether a care recipient is on extended hospital leave.</w:t>
      </w:r>
    </w:p>
    <w:p w14:paraId="0F2C9FA6" w14:textId="77777777" w:rsidR="00302E8D" w:rsidRPr="00F93707" w:rsidRDefault="00302E8D" w:rsidP="00302E8D">
      <w:pPr>
        <w:shd w:val="clear" w:color="auto" w:fill="FFFFFF"/>
        <w:spacing w:after="0" w:line="259" w:lineRule="auto"/>
        <w:contextualSpacing/>
        <w:jc w:val="both"/>
        <w:rPr>
          <w:rFonts w:ascii="Arial" w:eastAsia="Times New Roman" w:hAnsi="Arial" w:cs="Arial"/>
          <w:lang w:eastAsia="en-AU"/>
        </w:rPr>
      </w:pPr>
    </w:p>
    <w:p w14:paraId="0BBF0C9D" w14:textId="3DF5598E" w:rsidR="00302E8D" w:rsidRPr="00F93707" w:rsidRDefault="00302E8D" w:rsidP="00302E8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These provisions are mirrored in the equivalent sections in the TP Act.</w:t>
      </w:r>
    </w:p>
    <w:p w14:paraId="5AEF6897" w14:textId="77777777" w:rsidR="00E27F1C" w:rsidRPr="00F93707" w:rsidRDefault="00E27F1C" w:rsidP="00E27F1C">
      <w:pPr>
        <w:shd w:val="clear" w:color="auto" w:fill="FFFFFF"/>
        <w:spacing w:after="0" w:line="259" w:lineRule="auto"/>
        <w:contextualSpacing/>
        <w:jc w:val="both"/>
        <w:rPr>
          <w:rFonts w:ascii="Arial" w:eastAsia="Times New Roman" w:hAnsi="Arial" w:cs="Arial"/>
          <w:lang w:eastAsia="en-AU"/>
        </w:rPr>
      </w:pPr>
    </w:p>
    <w:p w14:paraId="6372F5F6" w14:textId="5F56416D" w:rsidR="00942581" w:rsidRPr="00F93707" w:rsidRDefault="00302E8D"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Currently</w:t>
      </w:r>
      <w:r w:rsidR="00D46819" w:rsidRPr="00F93707">
        <w:rPr>
          <w:rFonts w:ascii="Arial" w:eastAsia="Times New Roman" w:hAnsi="Arial" w:cs="Arial"/>
          <w:lang w:eastAsia="en-AU"/>
        </w:rPr>
        <w:t>,</w:t>
      </w:r>
      <w:r w:rsidRPr="00F93707">
        <w:rPr>
          <w:rFonts w:ascii="Arial" w:eastAsia="Times New Roman" w:hAnsi="Arial" w:cs="Arial"/>
          <w:lang w:eastAsia="en-AU"/>
        </w:rPr>
        <w:t xml:space="preserve"> where a care recipient attends </w:t>
      </w:r>
      <w:r w:rsidR="00E27F1C" w:rsidRPr="00F93707">
        <w:rPr>
          <w:rFonts w:ascii="Arial" w:eastAsia="Times New Roman" w:hAnsi="Arial" w:cs="Arial"/>
          <w:lang w:eastAsia="en-AU"/>
        </w:rPr>
        <w:t>hospital for a period of extended hospital leave</w:t>
      </w:r>
      <w:r w:rsidRPr="00F93707">
        <w:rPr>
          <w:rFonts w:ascii="Arial" w:eastAsia="Times New Roman" w:hAnsi="Arial" w:cs="Arial"/>
          <w:lang w:eastAsia="en-AU"/>
        </w:rPr>
        <w:t>, the basic subsidy amount is reduced after the first 28 days of extended hospital leave.</w:t>
      </w:r>
      <w:r w:rsidR="00182945" w:rsidRPr="00F93707">
        <w:rPr>
          <w:rFonts w:ascii="Arial" w:eastAsia="Times New Roman" w:hAnsi="Arial" w:cs="Arial"/>
          <w:lang w:eastAsia="en-AU"/>
        </w:rPr>
        <w:t xml:space="preserve"> </w:t>
      </w:r>
      <w:r w:rsidR="00700E28" w:rsidRPr="00F93707">
        <w:rPr>
          <w:rFonts w:ascii="Arial" w:eastAsia="Times New Roman" w:hAnsi="Arial" w:cs="Arial"/>
          <w:lang w:eastAsia="en-AU"/>
        </w:rPr>
        <w:t>T</w:t>
      </w:r>
      <w:r w:rsidR="009A2A18" w:rsidRPr="00F93707">
        <w:rPr>
          <w:rFonts w:ascii="Arial" w:eastAsia="Times New Roman" w:hAnsi="Arial" w:cs="Arial"/>
          <w:lang w:eastAsia="en-AU"/>
        </w:rPr>
        <w:t xml:space="preserve">he approved provider may not increase the fees payable by the aged care recipient </w:t>
      </w:r>
      <w:r w:rsidRPr="00F93707">
        <w:rPr>
          <w:rFonts w:ascii="Arial" w:eastAsia="Times New Roman" w:hAnsi="Arial" w:cs="Arial"/>
          <w:lang w:eastAsia="en-AU"/>
        </w:rPr>
        <w:t>in response to any</w:t>
      </w:r>
      <w:r w:rsidR="00215D99" w:rsidRPr="00F93707">
        <w:rPr>
          <w:rFonts w:ascii="Arial" w:eastAsia="Times New Roman" w:hAnsi="Arial" w:cs="Arial"/>
          <w:lang w:eastAsia="en-AU"/>
        </w:rPr>
        <w:t xml:space="preserve"> reduction in subsidy</w:t>
      </w:r>
      <w:r w:rsidR="00EE2528" w:rsidRPr="00F93707">
        <w:rPr>
          <w:rFonts w:ascii="Arial" w:eastAsia="Times New Roman" w:hAnsi="Arial" w:cs="Arial"/>
          <w:lang w:eastAsia="en-AU"/>
        </w:rPr>
        <w:t>.</w:t>
      </w:r>
    </w:p>
    <w:p w14:paraId="0F0E3697" w14:textId="77777777" w:rsidR="008B4538" w:rsidRPr="00F93707" w:rsidRDefault="008B4538" w:rsidP="0035160D">
      <w:pPr>
        <w:shd w:val="clear" w:color="auto" w:fill="FFFFFF"/>
        <w:spacing w:after="0" w:line="259" w:lineRule="auto"/>
        <w:contextualSpacing/>
        <w:jc w:val="both"/>
        <w:rPr>
          <w:rFonts w:ascii="Arial" w:eastAsia="Times New Roman" w:hAnsi="Arial" w:cs="Arial"/>
          <w:lang w:eastAsia="en-AU"/>
        </w:rPr>
      </w:pPr>
    </w:p>
    <w:p w14:paraId="4C52D5E1" w14:textId="58E15BDD" w:rsidR="00942581" w:rsidRPr="00F93707" w:rsidRDefault="0049380E"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During </w:t>
      </w:r>
      <w:r w:rsidR="00942581" w:rsidRPr="00F93707">
        <w:rPr>
          <w:rFonts w:ascii="Arial" w:eastAsia="Times New Roman" w:hAnsi="Arial" w:cs="Arial"/>
          <w:lang w:eastAsia="en-AU"/>
        </w:rPr>
        <w:t xml:space="preserve">the COVID-19 pandemic, many aged care recipients have been moved from residential aged care to hospital settings for extended periods of time. </w:t>
      </w:r>
      <w:r w:rsidR="00302E8D" w:rsidRPr="00F93707">
        <w:rPr>
          <w:rFonts w:ascii="Arial" w:eastAsia="Times New Roman" w:hAnsi="Arial" w:cs="Arial"/>
          <w:lang w:eastAsia="en-AU"/>
        </w:rPr>
        <w:t>T</w:t>
      </w:r>
      <w:r w:rsidR="00942581" w:rsidRPr="00F93707">
        <w:rPr>
          <w:rFonts w:ascii="Arial" w:eastAsia="Times New Roman" w:hAnsi="Arial" w:cs="Arial"/>
          <w:lang w:eastAsia="en-AU"/>
        </w:rPr>
        <w:t xml:space="preserve">he </w:t>
      </w:r>
      <w:r w:rsidR="00302E8D" w:rsidRPr="00F93707">
        <w:rPr>
          <w:rFonts w:ascii="Arial" w:eastAsia="Times New Roman" w:hAnsi="Arial" w:cs="Arial"/>
          <w:lang w:eastAsia="en-AU"/>
        </w:rPr>
        <w:t xml:space="preserve">current reduction in </w:t>
      </w:r>
      <w:r w:rsidR="00942581" w:rsidRPr="00F93707">
        <w:rPr>
          <w:rFonts w:ascii="Arial" w:eastAsia="Times New Roman" w:hAnsi="Arial" w:cs="Arial"/>
          <w:lang w:eastAsia="en-AU"/>
        </w:rPr>
        <w:t xml:space="preserve">subsidy payable </w:t>
      </w:r>
      <w:r w:rsidR="00302E8D" w:rsidRPr="00F93707">
        <w:rPr>
          <w:rFonts w:ascii="Arial" w:eastAsia="Times New Roman" w:hAnsi="Arial" w:cs="Arial"/>
          <w:lang w:eastAsia="en-AU"/>
        </w:rPr>
        <w:t xml:space="preserve">in relation to </w:t>
      </w:r>
      <w:r w:rsidR="00942581" w:rsidRPr="00F93707">
        <w:rPr>
          <w:rFonts w:ascii="Arial" w:eastAsia="Times New Roman" w:hAnsi="Arial" w:cs="Arial"/>
          <w:lang w:eastAsia="en-AU"/>
        </w:rPr>
        <w:t xml:space="preserve">these care recipients </w:t>
      </w:r>
      <w:r w:rsidR="00635D3E" w:rsidRPr="00F93707">
        <w:rPr>
          <w:rFonts w:ascii="Arial" w:eastAsia="Times New Roman" w:hAnsi="Arial" w:cs="Arial"/>
          <w:lang w:eastAsia="en-AU"/>
        </w:rPr>
        <w:t>is</w:t>
      </w:r>
      <w:r w:rsidR="00942581" w:rsidRPr="00F93707">
        <w:rPr>
          <w:rFonts w:ascii="Arial" w:eastAsia="Times New Roman" w:hAnsi="Arial" w:cs="Arial"/>
          <w:lang w:eastAsia="en-AU"/>
        </w:rPr>
        <w:t xml:space="preserve"> negatively impact</w:t>
      </w:r>
      <w:r w:rsidR="00AF61C5" w:rsidRPr="00F93707">
        <w:rPr>
          <w:rFonts w:ascii="Arial" w:eastAsia="Times New Roman" w:hAnsi="Arial" w:cs="Arial"/>
          <w:lang w:eastAsia="en-AU"/>
        </w:rPr>
        <w:t>ing</w:t>
      </w:r>
      <w:r w:rsidR="00942581" w:rsidRPr="00F93707">
        <w:rPr>
          <w:rFonts w:ascii="Arial" w:eastAsia="Times New Roman" w:hAnsi="Arial" w:cs="Arial"/>
          <w:lang w:eastAsia="en-AU"/>
        </w:rPr>
        <w:t xml:space="preserve"> the financial viability of</w:t>
      </w:r>
      <w:r w:rsidR="008455CC" w:rsidRPr="00F93707">
        <w:rPr>
          <w:rFonts w:ascii="Arial" w:eastAsia="Times New Roman" w:hAnsi="Arial" w:cs="Arial"/>
          <w:lang w:eastAsia="en-AU"/>
        </w:rPr>
        <w:t> </w:t>
      </w:r>
      <w:r w:rsidR="00942581" w:rsidRPr="00F93707">
        <w:rPr>
          <w:rFonts w:ascii="Arial" w:eastAsia="Times New Roman" w:hAnsi="Arial" w:cs="Arial"/>
          <w:lang w:eastAsia="en-AU"/>
        </w:rPr>
        <w:t>aged care providers who are already under pressure due to the effects of COV</w:t>
      </w:r>
      <w:r w:rsidR="00E11D59" w:rsidRPr="00F93707">
        <w:rPr>
          <w:rFonts w:ascii="Arial" w:eastAsia="Times New Roman" w:hAnsi="Arial" w:cs="Arial"/>
          <w:lang w:eastAsia="en-AU"/>
        </w:rPr>
        <w:t>I</w:t>
      </w:r>
      <w:r w:rsidR="00942581" w:rsidRPr="00F93707">
        <w:rPr>
          <w:rFonts w:ascii="Arial" w:eastAsia="Times New Roman" w:hAnsi="Arial" w:cs="Arial"/>
          <w:lang w:eastAsia="en-AU"/>
        </w:rPr>
        <w:t>D</w:t>
      </w:r>
      <w:r w:rsidR="00302E8D" w:rsidRPr="00F93707">
        <w:rPr>
          <w:rFonts w:ascii="Arial" w:eastAsia="Times New Roman" w:hAnsi="Arial" w:cs="Arial"/>
          <w:lang w:eastAsia="en-AU"/>
        </w:rPr>
        <w:noBreakHyphen/>
      </w:r>
      <w:r w:rsidR="00942581" w:rsidRPr="00F93707">
        <w:rPr>
          <w:rFonts w:ascii="Arial" w:eastAsia="Times New Roman" w:hAnsi="Arial" w:cs="Arial"/>
          <w:lang w:eastAsia="en-AU"/>
        </w:rPr>
        <w:t>19.</w:t>
      </w:r>
    </w:p>
    <w:p w14:paraId="4D722555" w14:textId="77777777" w:rsidR="003276E7" w:rsidRPr="00F93707" w:rsidRDefault="003276E7" w:rsidP="0035160D">
      <w:pPr>
        <w:shd w:val="clear" w:color="auto" w:fill="FFFFFF"/>
        <w:spacing w:after="0" w:line="259" w:lineRule="auto"/>
        <w:contextualSpacing/>
        <w:jc w:val="both"/>
        <w:rPr>
          <w:rFonts w:ascii="Arial" w:eastAsia="Times New Roman" w:hAnsi="Arial" w:cs="Arial"/>
          <w:lang w:eastAsia="en-AU"/>
        </w:rPr>
      </w:pPr>
    </w:p>
    <w:p w14:paraId="0D18BF56" w14:textId="4D7790D2" w:rsidR="00DC629C" w:rsidRPr="00F93707" w:rsidRDefault="00C366F6"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 </w:t>
      </w:r>
      <w:r w:rsidR="008B4538" w:rsidRPr="00F93707">
        <w:rPr>
          <w:rFonts w:ascii="Arial" w:eastAsia="Times New Roman" w:hAnsi="Arial" w:cs="Arial"/>
          <w:lang w:eastAsia="en-AU"/>
        </w:rPr>
        <w:t xml:space="preserve">amendments introduced by the </w:t>
      </w:r>
      <w:r w:rsidRPr="00F93707">
        <w:rPr>
          <w:rFonts w:ascii="Arial" w:eastAsia="Times New Roman" w:hAnsi="Arial" w:cs="Arial"/>
          <w:lang w:eastAsia="en-AU"/>
        </w:rPr>
        <w:t xml:space="preserve">Amending Determination </w:t>
      </w:r>
      <w:r w:rsidR="008B4538" w:rsidRPr="00F93707">
        <w:rPr>
          <w:rFonts w:ascii="Arial" w:eastAsia="Times New Roman" w:hAnsi="Arial" w:cs="Arial"/>
          <w:lang w:eastAsia="en-AU"/>
        </w:rPr>
        <w:t xml:space="preserve">will apply </w:t>
      </w:r>
      <w:r w:rsidRPr="00F93707">
        <w:rPr>
          <w:rFonts w:ascii="Arial" w:eastAsia="Times New Roman" w:hAnsi="Arial" w:cs="Arial"/>
          <w:lang w:eastAsia="en-AU"/>
        </w:rPr>
        <w:t>retrospectively from 1</w:t>
      </w:r>
      <w:r w:rsidR="008B4538" w:rsidRPr="00F93707">
        <w:rPr>
          <w:rFonts w:ascii="Arial" w:eastAsia="Times New Roman" w:hAnsi="Arial" w:cs="Arial"/>
          <w:lang w:eastAsia="en-AU"/>
        </w:rPr>
        <w:t> </w:t>
      </w:r>
      <w:r w:rsidRPr="00F93707">
        <w:rPr>
          <w:rFonts w:ascii="Arial" w:eastAsia="Times New Roman" w:hAnsi="Arial" w:cs="Arial"/>
          <w:lang w:eastAsia="en-AU"/>
        </w:rPr>
        <w:t>July</w:t>
      </w:r>
      <w:r w:rsidR="008B4538" w:rsidRPr="00F93707">
        <w:rPr>
          <w:rFonts w:ascii="Arial" w:eastAsia="Times New Roman" w:hAnsi="Arial" w:cs="Arial"/>
          <w:lang w:eastAsia="en-AU"/>
        </w:rPr>
        <w:t> </w:t>
      </w:r>
      <w:r w:rsidRPr="00F93707">
        <w:rPr>
          <w:rFonts w:ascii="Arial" w:eastAsia="Times New Roman" w:hAnsi="Arial" w:cs="Arial"/>
          <w:lang w:eastAsia="en-AU"/>
        </w:rPr>
        <w:t>2020</w:t>
      </w:r>
      <w:r w:rsidR="00E82F69" w:rsidRPr="00F93707">
        <w:rPr>
          <w:rFonts w:ascii="Arial" w:eastAsia="Times New Roman" w:hAnsi="Arial" w:cs="Arial"/>
          <w:lang w:eastAsia="en-AU"/>
        </w:rPr>
        <w:t xml:space="preserve"> until 30</w:t>
      </w:r>
      <w:r w:rsidR="008B4538" w:rsidRPr="00F93707">
        <w:rPr>
          <w:rFonts w:ascii="Arial" w:eastAsia="Times New Roman" w:hAnsi="Arial" w:cs="Arial"/>
          <w:lang w:eastAsia="en-AU"/>
        </w:rPr>
        <w:t> </w:t>
      </w:r>
      <w:r w:rsidR="00E82F69" w:rsidRPr="00F93707">
        <w:rPr>
          <w:rFonts w:ascii="Arial" w:eastAsia="Times New Roman" w:hAnsi="Arial" w:cs="Arial"/>
          <w:lang w:eastAsia="en-AU"/>
        </w:rPr>
        <w:t>June</w:t>
      </w:r>
      <w:r w:rsidR="008B4538" w:rsidRPr="00F93707">
        <w:rPr>
          <w:rFonts w:ascii="Arial" w:eastAsia="Times New Roman" w:hAnsi="Arial" w:cs="Arial"/>
          <w:lang w:eastAsia="en-AU"/>
        </w:rPr>
        <w:t> </w:t>
      </w:r>
      <w:r w:rsidR="0016614A" w:rsidRPr="00F93707">
        <w:rPr>
          <w:rFonts w:ascii="Arial" w:eastAsia="Times New Roman" w:hAnsi="Arial" w:cs="Arial"/>
          <w:lang w:eastAsia="en-AU"/>
        </w:rPr>
        <w:t>2021</w:t>
      </w:r>
      <w:r w:rsidRPr="00F93707">
        <w:rPr>
          <w:rFonts w:ascii="Arial" w:eastAsia="Times New Roman" w:hAnsi="Arial" w:cs="Arial"/>
          <w:lang w:eastAsia="en-AU"/>
        </w:rPr>
        <w:t xml:space="preserve">. As </w:t>
      </w:r>
      <w:r w:rsidR="004336D7" w:rsidRPr="00F93707">
        <w:rPr>
          <w:rFonts w:ascii="Arial" w:eastAsia="Times New Roman" w:hAnsi="Arial" w:cs="Arial"/>
          <w:lang w:eastAsia="en-AU"/>
        </w:rPr>
        <w:t xml:space="preserve">the effect of </w:t>
      </w:r>
      <w:r w:rsidRPr="00F93707">
        <w:rPr>
          <w:rFonts w:ascii="Arial" w:eastAsia="Times New Roman" w:hAnsi="Arial" w:cs="Arial"/>
          <w:lang w:eastAsia="en-AU"/>
        </w:rPr>
        <w:t>th</w:t>
      </w:r>
      <w:r w:rsidR="004336D7" w:rsidRPr="00F93707">
        <w:rPr>
          <w:rFonts w:ascii="Arial" w:eastAsia="Times New Roman" w:hAnsi="Arial" w:cs="Arial"/>
          <w:lang w:eastAsia="en-AU"/>
        </w:rPr>
        <w:t>e</w:t>
      </w:r>
      <w:r w:rsidRPr="00F93707">
        <w:rPr>
          <w:rFonts w:ascii="Arial" w:eastAsia="Times New Roman" w:hAnsi="Arial" w:cs="Arial"/>
          <w:lang w:eastAsia="en-AU"/>
        </w:rPr>
        <w:t xml:space="preserve"> </w:t>
      </w:r>
      <w:r w:rsidR="0016614A" w:rsidRPr="00F93707">
        <w:rPr>
          <w:rFonts w:ascii="Arial" w:eastAsia="Times New Roman" w:hAnsi="Arial" w:cs="Arial"/>
          <w:lang w:eastAsia="en-AU"/>
        </w:rPr>
        <w:t>A</w:t>
      </w:r>
      <w:r w:rsidRPr="00F93707">
        <w:rPr>
          <w:rFonts w:ascii="Arial" w:eastAsia="Times New Roman" w:hAnsi="Arial" w:cs="Arial"/>
          <w:lang w:eastAsia="en-AU"/>
        </w:rPr>
        <w:t>mend</w:t>
      </w:r>
      <w:r w:rsidR="00A11605" w:rsidRPr="00F93707">
        <w:rPr>
          <w:rFonts w:ascii="Arial" w:eastAsia="Times New Roman" w:hAnsi="Arial" w:cs="Arial"/>
          <w:lang w:eastAsia="en-AU"/>
        </w:rPr>
        <w:t>ing</w:t>
      </w:r>
      <w:r w:rsidRPr="00F93707">
        <w:rPr>
          <w:rFonts w:ascii="Arial" w:eastAsia="Times New Roman" w:hAnsi="Arial" w:cs="Arial"/>
          <w:lang w:eastAsia="en-AU"/>
        </w:rPr>
        <w:t xml:space="preserve"> </w:t>
      </w:r>
      <w:r w:rsidR="0016614A" w:rsidRPr="00F93707">
        <w:rPr>
          <w:rFonts w:ascii="Arial" w:eastAsia="Times New Roman" w:hAnsi="Arial" w:cs="Arial"/>
          <w:lang w:eastAsia="en-AU"/>
        </w:rPr>
        <w:t xml:space="preserve">Determination </w:t>
      </w:r>
      <w:r w:rsidRPr="00F93707">
        <w:rPr>
          <w:rFonts w:ascii="Arial" w:eastAsia="Times New Roman" w:hAnsi="Arial" w:cs="Arial"/>
          <w:lang w:eastAsia="en-AU"/>
        </w:rPr>
        <w:t>increases the subsidy payable to providers</w:t>
      </w:r>
      <w:r w:rsidR="00215D99" w:rsidRPr="00F93707">
        <w:rPr>
          <w:rFonts w:ascii="Arial" w:eastAsia="Times New Roman" w:hAnsi="Arial" w:cs="Arial"/>
          <w:lang w:eastAsia="en-AU"/>
        </w:rPr>
        <w:t xml:space="preserve"> a </w:t>
      </w:r>
      <w:r w:rsidRPr="00F93707">
        <w:rPr>
          <w:rFonts w:ascii="Arial" w:eastAsia="Times New Roman" w:hAnsi="Arial" w:cs="Arial"/>
          <w:lang w:eastAsia="en-AU"/>
        </w:rPr>
        <w:t>retrospective commencement will not have detrimental consequences for the</w:t>
      </w:r>
      <w:r w:rsidR="0016614A" w:rsidRPr="00F93707">
        <w:rPr>
          <w:rFonts w:ascii="Arial" w:eastAsia="Times New Roman" w:hAnsi="Arial" w:cs="Arial"/>
          <w:lang w:eastAsia="en-AU"/>
        </w:rPr>
        <w:t xml:space="preserve"> aged care</w:t>
      </w:r>
      <w:r w:rsidRPr="00F93707">
        <w:rPr>
          <w:rFonts w:ascii="Arial" w:eastAsia="Times New Roman" w:hAnsi="Arial" w:cs="Arial"/>
          <w:lang w:eastAsia="en-AU"/>
        </w:rPr>
        <w:t xml:space="preserve"> sector. </w:t>
      </w:r>
    </w:p>
    <w:p w14:paraId="55A996FD" w14:textId="77777777" w:rsidR="003276E7" w:rsidRPr="00F93707" w:rsidRDefault="003276E7" w:rsidP="0035160D">
      <w:pPr>
        <w:shd w:val="clear" w:color="auto" w:fill="FFFFFF"/>
        <w:spacing w:after="0" w:line="259" w:lineRule="auto"/>
        <w:contextualSpacing/>
        <w:jc w:val="both"/>
        <w:rPr>
          <w:rFonts w:ascii="Arial" w:eastAsia="Times New Roman" w:hAnsi="Arial" w:cs="Arial"/>
          <w:lang w:eastAsia="en-AU"/>
        </w:rPr>
      </w:pPr>
    </w:p>
    <w:p w14:paraId="2C144013" w14:textId="5E51DF6D" w:rsidR="00C366F6" w:rsidRPr="00F93707" w:rsidRDefault="00C366F6"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It is intended that no retrospective increase in resident fees will be passed on</w:t>
      </w:r>
      <w:r w:rsidR="005108F6" w:rsidRPr="00F93707">
        <w:rPr>
          <w:rFonts w:ascii="Arial" w:eastAsia="Times New Roman" w:hAnsi="Arial" w:cs="Arial"/>
          <w:lang w:eastAsia="en-AU"/>
        </w:rPr>
        <w:t xml:space="preserve"> </w:t>
      </w:r>
      <w:r w:rsidRPr="00F93707">
        <w:rPr>
          <w:rFonts w:ascii="Arial" w:eastAsia="Times New Roman" w:hAnsi="Arial" w:cs="Arial"/>
          <w:lang w:eastAsia="en-AU"/>
        </w:rPr>
        <w:t>to residents as</w:t>
      </w:r>
      <w:r w:rsidR="00ED6F0F" w:rsidRPr="00F93707">
        <w:rPr>
          <w:rFonts w:ascii="Arial" w:eastAsia="Times New Roman" w:hAnsi="Arial" w:cs="Arial"/>
          <w:lang w:eastAsia="en-AU"/>
        </w:rPr>
        <w:t> </w:t>
      </w:r>
      <w:r w:rsidRPr="00F93707">
        <w:rPr>
          <w:rFonts w:ascii="Arial" w:eastAsia="Times New Roman" w:hAnsi="Arial" w:cs="Arial"/>
          <w:lang w:eastAsia="en-AU"/>
        </w:rPr>
        <w:t>a</w:t>
      </w:r>
      <w:r w:rsidR="00ED6F0F" w:rsidRPr="00F93707">
        <w:rPr>
          <w:rFonts w:ascii="Arial" w:eastAsia="Times New Roman" w:hAnsi="Arial" w:cs="Arial"/>
          <w:lang w:eastAsia="en-AU"/>
        </w:rPr>
        <w:t> </w:t>
      </w:r>
      <w:r w:rsidRPr="00F93707">
        <w:rPr>
          <w:rFonts w:ascii="Arial" w:eastAsia="Times New Roman" w:hAnsi="Arial" w:cs="Arial"/>
          <w:lang w:eastAsia="en-AU"/>
        </w:rPr>
        <w:t>result of these amendments. While the aged care payment system administered by</w:t>
      </w:r>
      <w:r w:rsidR="00E90726" w:rsidRPr="00F93707">
        <w:rPr>
          <w:rFonts w:ascii="Arial" w:eastAsia="Times New Roman" w:hAnsi="Arial" w:cs="Arial"/>
          <w:lang w:eastAsia="en-AU"/>
        </w:rPr>
        <w:t> </w:t>
      </w:r>
      <w:r w:rsidRPr="00F93707">
        <w:rPr>
          <w:rFonts w:ascii="Arial" w:eastAsia="Times New Roman" w:hAnsi="Arial" w:cs="Arial"/>
          <w:lang w:eastAsia="en-AU"/>
        </w:rPr>
        <w:t>Services Australia may calculate a retrospective resident debt due to this proposed change, this is</w:t>
      </w:r>
      <w:r w:rsidR="00ED6F0F" w:rsidRPr="00F93707">
        <w:rPr>
          <w:rFonts w:ascii="Arial" w:eastAsia="Times New Roman" w:hAnsi="Arial" w:cs="Arial"/>
          <w:lang w:eastAsia="en-AU"/>
        </w:rPr>
        <w:t> </w:t>
      </w:r>
      <w:r w:rsidRPr="00F93707">
        <w:rPr>
          <w:rFonts w:ascii="Arial" w:eastAsia="Times New Roman" w:hAnsi="Arial" w:cs="Arial"/>
          <w:lang w:eastAsia="en-AU"/>
        </w:rPr>
        <w:t>automatically suppressed by the payment system and will not passed on to aged care recipients.</w:t>
      </w:r>
    </w:p>
    <w:p w14:paraId="623D1C30" w14:textId="777777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p>
    <w:p w14:paraId="5D6F4CEE" w14:textId="29D8ADF9" w:rsidR="00337749" w:rsidRPr="00F93707" w:rsidRDefault="00337749" w:rsidP="009F361C">
      <w:pPr>
        <w:keepNext/>
        <w:keepLines/>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Authority</w:t>
      </w:r>
    </w:p>
    <w:p w14:paraId="11E72B18" w14:textId="66123FB9" w:rsidR="00337749" w:rsidRPr="00F93707" w:rsidRDefault="00337749" w:rsidP="009F361C">
      <w:pPr>
        <w:keepNext/>
        <w:keepLines/>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 Act and the TP Act both provide that for each type of aged care, the Minister may determine the amount of subsidy and supplement payable to an approved provider for the provision of that type of aged care. </w:t>
      </w:r>
    </w:p>
    <w:p w14:paraId="652397E9" w14:textId="77777777" w:rsidR="003276E7" w:rsidRPr="00F93707" w:rsidRDefault="003276E7" w:rsidP="0035160D">
      <w:pPr>
        <w:shd w:val="clear" w:color="auto" w:fill="FFFFFF"/>
        <w:spacing w:after="0" w:line="259" w:lineRule="auto"/>
        <w:contextualSpacing/>
        <w:jc w:val="both"/>
        <w:rPr>
          <w:rFonts w:ascii="Arial" w:eastAsia="Times New Roman" w:hAnsi="Arial" w:cs="Arial"/>
          <w:lang w:eastAsia="en-AU"/>
        </w:rPr>
      </w:pPr>
    </w:p>
    <w:p w14:paraId="6C6CE905" w14:textId="05F534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 authority for making specific </w:t>
      </w:r>
      <w:r w:rsidR="00B656C4" w:rsidRPr="00F93707">
        <w:rPr>
          <w:rFonts w:ascii="Arial" w:eastAsia="Times New Roman" w:hAnsi="Arial" w:cs="Arial"/>
          <w:lang w:eastAsia="en-AU"/>
        </w:rPr>
        <w:t>determinations in the Amending Determination</w:t>
      </w:r>
      <w:r w:rsidRPr="00F93707">
        <w:rPr>
          <w:rFonts w:ascii="Arial" w:eastAsia="Times New Roman" w:hAnsi="Arial" w:cs="Arial"/>
          <w:lang w:eastAsia="en-AU"/>
        </w:rPr>
        <w:t xml:space="preserve"> is set out in</w:t>
      </w:r>
      <w:r w:rsidR="00ED6F0F" w:rsidRPr="00F93707">
        <w:rPr>
          <w:rFonts w:ascii="Arial" w:eastAsia="Times New Roman" w:hAnsi="Arial" w:cs="Arial"/>
          <w:lang w:eastAsia="en-AU"/>
        </w:rPr>
        <w:t> </w:t>
      </w:r>
      <w:r w:rsidRPr="00F93707">
        <w:rPr>
          <w:rFonts w:ascii="Arial" w:eastAsia="Times New Roman" w:hAnsi="Arial" w:cs="Arial"/>
          <w:lang w:eastAsia="en-AU"/>
        </w:rPr>
        <w:t>the following tables:</w:t>
      </w:r>
    </w:p>
    <w:p w14:paraId="29345297" w14:textId="777777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w:t>
      </w:r>
    </w:p>
    <w:tbl>
      <w:tblPr>
        <w:tblW w:w="92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1"/>
        <w:gridCol w:w="4621"/>
      </w:tblGrid>
      <w:tr w:rsidR="00B656C4" w:rsidRPr="00F93707" w14:paraId="5EA0AD91" w14:textId="77777777" w:rsidTr="00337749">
        <w:tc>
          <w:tcPr>
            <w:tcW w:w="924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7512260" w14:textId="77777777" w:rsidR="00337749" w:rsidRPr="00F93707" w:rsidRDefault="00337749" w:rsidP="0035160D">
            <w:pPr>
              <w:spacing w:after="0" w:line="259" w:lineRule="auto"/>
              <w:contextualSpacing/>
              <w:jc w:val="both"/>
              <w:rPr>
                <w:rFonts w:ascii="Arial" w:eastAsia="Times New Roman" w:hAnsi="Arial" w:cs="Arial"/>
                <w:i/>
                <w:lang w:eastAsia="en-AU"/>
              </w:rPr>
            </w:pPr>
            <w:r w:rsidRPr="00F93707">
              <w:rPr>
                <w:rFonts w:ascii="Arial" w:eastAsia="Times New Roman" w:hAnsi="Arial" w:cs="Arial"/>
                <w:b/>
                <w:bCs/>
                <w:i/>
                <w:lang w:eastAsia="en-AU"/>
              </w:rPr>
              <w:t>Aged Care Act 1997</w:t>
            </w:r>
          </w:p>
        </w:tc>
      </w:tr>
      <w:tr w:rsidR="00B656C4" w:rsidRPr="00F93707" w14:paraId="5FCFB304" w14:textId="77777777" w:rsidTr="00337749">
        <w:tc>
          <w:tcPr>
            <w:tcW w:w="4621" w:type="dxa"/>
            <w:tcBorders>
              <w:top w:val="nil"/>
              <w:left w:val="single" w:sz="8" w:space="0" w:color="auto"/>
              <w:bottom w:val="single" w:sz="8" w:space="0" w:color="auto"/>
              <w:right w:val="nil"/>
            </w:tcBorders>
            <w:shd w:val="clear" w:color="auto" w:fill="D9D9D9"/>
            <w:tcMar>
              <w:top w:w="0" w:type="dxa"/>
              <w:left w:w="108" w:type="dxa"/>
              <w:bottom w:w="0" w:type="dxa"/>
              <w:right w:w="108" w:type="dxa"/>
            </w:tcMar>
            <w:hideMark/>
          </w:tcPr>
          <w:p w14:paraId="552F74B5" w14:textId="77777777" w:rsidR="00337749" w:rsidRPr="00F93707" w:rsidRDefault="00337749" w:rsidP="0035160D">
            <w:pPr>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Residential care</w:t>
            </w:r>
          </w:p>
        </w:tc>
        <w:tc>
          <w:tcPr>
            <w:tcW w:w="462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89D2636" w14:textId="77777777" w:rsidR="00337749" w:rsidRPr="00F93707" w:rsidRDefault="00337749" w:rsidP="0035160D">
            <w:pPr>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Section</w:t>
            </w:r>
          </w:p>
        </w:tc>
      </w:tr>
      <w:tr w:rsidR="00B656C4" w:rsidRPr="00F93707" w14:paraId="28C25F3A" w14:textId="77777777" w:rsidTr="0033774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392A5" w14:textId="5FF38626" w:rsidR="00337749" w:rsidRPr="00F93707" w:rsidRDefault="00714578" w:rsidP="0035160D">
            <w:pPr>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Basic Subsidy Amount</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0FED96E4" w14:textId="3FDD8612" w:rsidR="00337749" w:rsidRPr="00F93707" w:rsidRDefault="00714578" w:rsidP="0035160D">
            <w:pPr>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44-3</w:t>
            </w:r>
          </w:p>
        </w:tc>
      </w:tr>
    </w:tbl>
    <w:p w14:paraId="6E7CB1E2" w14:textId="710C1572"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p>
    <w:tbl>
      <w:tblPr>
        <w:tblW w:w="92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1"/>
        <w:gridCol w:w="4621"/>
      </w:tblGrid>
      <w:tr w:rsidR="00B656C4" w:rsidRPr="00F93707" w14:paraId="4D6DA3AB" w14:textId="77777777" w:rsidTr="00337749">
        <w:tc>
          <w:tcPr>
            <w:tcW w:w="924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C129CE" w14:textId="77777777" w:rsidR="00337749" w:rsidRPr="00F93707" w:rsidRDefault="00337749" w:rsidP="0035160D">
            <w:pPr>
              <w:keepNext/>
              <w:spacing w:after="0" w:line="259" w:lineRule="auto"/>
              <w:contextualSpacing/>
              <w:jc w:val="both"/>
              <w:rPr>
                <w:rFonts w:ascii="Arial" w:eastAsia="Times New Roman" w:hAnsi="Arial" w:cs="Arial"/>
                <w:i/>
                <w:lang w:eastAsia="en-AU"/>
              </w:rPr>
            </w:pPr>
            <w:r w:rsidRPr="00F93707">
              <w:rPr>
                <w:rFonts w:ascii="Arial" w:eastAsia="Times New Roman" w:hAnsi="Arial" w:cs="Arial"/>
                <w:b/>
                <w:bCs/>
                <w:i/>
                <w:lang w:eastAsia="en-AU"/>
              </w:rPr>
              <w:t>Aged Care (Transitional Provisions) Act 1997</w:t>
            </w:r>
          </w:p>
        </w:tc>
      </w:tr>
      <w:tr w:rsidR="00B656C4" w:rsidRPr="00F93707" w14:paraId="15F08835" w14:textId="77777777" w:rsidTr="00337749">
        <w:tc>
          <w:tcPr>
            <w:tcW w:w="4621" w:type="dxa"/>
            <w:tcBorders>
              <w:top w:val="nil"/>
              <w:left w:val="single" w:sz="8" w:space="0" w:color="auto"/>
              <w:bottom w:val="single" w:sz="8" w:space="0" w:color="auto"/>
              <w:right w:val="nil"/>
            </w:tcBorders>
            <w:shd w:val="clear" w:color="auto" w:fill="D9D9D9"/>
            <w:tcMar>
              <w:top w:w="0" w:type="dxa"/>
              <w:left w:w="108" w:type="dxa"/>
              <w:bottom w:w="0" w:type="dxa"/>
              <w:right w:w="108" w:type="dxa"/>
            </w:tcMar>
            <w:hideMark/>
          </w:tcPr>
          <w:p w14:paraId="022CBD2D" w14:textId="77777777" w:rsidR="00337749" w:rsidRPr="00F93707" w:rsidRDefault="00337749" w:rsidP="0035160D">
            <w:pPr>
              <w:keepNext/>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Residential care</w:t>
            </w:r>
          </w:p>
        </w:tc>
        <w:tc>
          <w:tcPr>
            <w:tcW w:w="462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96229F6" w14:textId="77777777" w:rsidR="00337749" w:rsidRPr="00F93707" w:rsidRDefault="00337749" w:rsidP="0035160D">
            <w:pPr>
              <w:keepNext/>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Section</w:t>
            </w:r>
          </w:p>
        </w:tc>
      </w:tr>
      <w:tr w:rsidR="00B656C4" w:rsidRPr="00F93707" w14:paraId="39A995A4" w14:textId="77777777" w:rsidTr="0033774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60873" w14:textId="16D98FFF" w:rsidR="00337749" w:rsidRPr="00F93707" w:rsidRDefault="00714578" w:rsidP="0035160D">
            <w:pPr>
              <w:keepNext/>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Basic Subsidy Amount</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479EFF01" w14:textId="14305B24" w:rsidR="00337749" w:rsidRPr="00F93707" w:rsidRDefault="00714578" w:rsidP="0035160D">
            <w:pPr>
              <w:keepNext/>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44-3</w:t>
            </w:r>
          </w:p>
        </w:tc>
      </w:tr>
    </w:tbl>
    <w:p w14:paraId="56565C5E" w14:textId="4DF5F275"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p>
    <w:p w14:paraId="4A225997" w14:textId="3FAAA013"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 xml:space="preserve">Reliance on subsection 33(3) of the </w:t>
      </w:r>
      <w:r w:rsidRPr="00F93707">
        <w:rPr>
          <w:rFonts w:ascii="Arial" w:eastAsia="Times New Roman" w:hAnsi="Arial" w:cs="Arial"/>
          <w:b/>
          <w:bCs/>
          <w:i/>
          <w:iCs/>
          <w:lang w:eastAsia="en-AU"/>
        </w:rPr>
        <w:t>Acts Interpretation Act 1901</w:t>
      </w:r>
    </w:p>
    <w:p w14:paraId="22D3CEB9" w14:textId="2EBB2D44"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Under subsection 33(3) of the </w:t>
      </w:r>
      <w:r w:rsidRPr="00F93707">
        <w:rPr>
          <w:rFonts w:ascii="Arial" w:eastAsia="Times New Roman" w:hAnsi="Arial" w:cs="Arial"/>
          <w:i/>
          <w:iCs/>
          <w:lang w:eastAsia="en-AU"/>
        </w:rPr>
        <w:t>Acts Interpretation Act 1901</w:t>
      </w:r>
      <w:r w:rsidRPr="00F93707">
        <w:rPr>
          <w:rFonts w:ascii="Arial" w:eastAsia="Times New Roman" w:hAnsi="Arial" w:cs="Arial"/>
          <w:lang w:eastAsia="en-AU"/>
        </w:rPr>
        <w:t>, where an Act confers a power to</w:t>
      </w:r>
      <w:r w:rsidR="00ED6F0F" w:rsidRPr="00F93707">
        <w:rPr>
          <w:rFonts w:ascii="Arial" w:eastAsia="Times New Roman" w:hAnsi="Arial" w:cs="Arial"/>
          <w:lang w:eastAsia="en-AU"/>
        </w:rPr>
        <w:t> </w:t>
      </w:r>
      <w:r w:rsidRPr="00F93707">
        <w:rPr>
          <w:rFonts w:ascii="Arial" w:eastAsia="Times New Roman" w:hAnsi="Arial" w:cs="Arial"/>
          <w:lang w:eastAsia="en-AU"/>
        </w:rPr>
        <w:t>make, grant or issue any instrument of a legislative or administrative character (including rules, regulations or by-laws), the power shall be construed as including a power exercisable in</w:t>
      </w:r>
      <w:r w:rsidR="00ED6F0F" w:rsidRPr="00F93707">
        <w:rPr>
          <w:rFonts w:ascii="Arial" w:eastAsia="Times New Roman" w:hAnsi="Arial" w:cs="Arial"/>
          <w:lang w:eastAsia="en-AU"/>
        </w:rPr>
        <w:t> </w:t>
      </w:r>
      <w:r w:rsidRPr="00F93707">
        <w:rPr>
          <w:rFonts w:ascii="Arial" w:eastAsia="Times New Roman" w:hAnsi="Arial" w:cs="Arial"/>
          <w:lang w:eastAsia="en-AU"/>
        </w:rPr>
        <w:t>the like manner and subject to the like conditions (if any) to repeal, rescind, revoke, amend, or</w:t>
      </w:r>
      <w:r w:rsidR="00ED6F0F" w:rsidRPr="00F93707">
        <w:rPr>
          <w:rFonts w:ascii="Arial" w:eastAsia="Times New Roman" w:hAnsi="Arial" w:cs="Arial"/>
          <w:lang w:eastAsia="en-AU"/>
        </w:rPr>
        <w:t> </w:t>
      </w:r>
      <w:r w:rsidRPr="00F93707">
        <w:rPr>
          <w:rFonts w:ascii="Arial" w:eastAsia="Times New Roman" w:hAnsi="Arial" w:cs="Arial"/>
          <w:lang w:eastAsia="en-AU"/>
        </w:rPr>
        <w:t>vary any such instrument.</w:t>
      </w:r>
    </w:p>
    <w:p w14:paraId="32AE5305" w14:textId="777777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w:t>
      </w:r>
    </w:p>
    <w:p w14:paraId="64B3A90D" w14:textId="777777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Consultation</w:t>
      </w:r>
    </w:p>
    <w:p w14:paraId="5B694770" w14:textId="4B30E658" w:rsidR="00337749" w:rsidRPr="00F93707" w:rsidRDefault="00AF61C5"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Aged care providers and peak bodies </w:t>
      </w:r>
      <w:r w:rsidR="0049380E" w:rsidRPr="00F93707">
        <w:rPr>
          <w:rFonts w:ascii="Arial" w:eastAsia="Times New Roman" w:hAnsi="Arial" w:cs="Arial"/>
          <w:lang w:eastAsia="en-AU"/>
        </w:rPr>
        <w:t>have discussed this issue with the Department of Health.</w:t>
      </w:r>
      <w:r w:rsidR="00215D99" w:rsidRPr="00F93707">
        <w:rPr>
          <w:rFonts w:ascii="Arial" w:eastAsia="Times New Roman" w:hAnsi="Arial" w:cs="Arial"/>
          <w:lang w:eastAsia="en-AU"/>
        </w:rPr>
        <w:t xml:space="preserve"> This is a temporary measure that will benefit the aged care sector</w:t>
      </w:r>
      <w:r w:rsidRPr="00F93707">
        <w:rPr>
          <w:rFonts w:ascii="Arial" w:eastAsia="Times New Roman" w:hAnsi="Arial" w:cs="Arial"/>
          <w:lang w:eastAsia="en-AU"/>
        </w:rPr>
        <w:t>.</w:t>
      </w:r>
    </w:p>
    <w:p w14:paraId="70E68D38" w14:textId="777777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p>
    <w:p w14:paraId="57C48F02" w14:textId="77777777" w:rsidR="00337749" w:rsidRPr="00F93707" w:rsidRDefault="00337749" w:rsidP="0035160D">
      <w:pPr>
        <w:keepNext/>
        <w:keepLines/>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Commencement</w:t>
      </w:r>
    </w:p>
    <w:p w14:paraId="2AAF2EB2" w14:textId="6CD664F5" w:rsidR="00337749" w:rsidRPr="00F93707" w:rsidRDefault="00337749" w:rsidP="0035160D">
      <w:pPr>
        <w:keepNext/>
        <w:keepLines/>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 xml:space="preserve">The Amending </w:t>
      </w:r>
      <w:r w:rsidR="00E662F0" w:rsidRPr="00F93707">
        <w:rPr>
          <w:rFonts w:ascii="Arial" w:eastAsia="Times New Roman" w:hAnsi="Arial" w:cs="Arial"/>
          <w:lang w:eastAsia="en-AU"/>
        </w:rPr>
        <w:t>Determination</w:t>
      </w:r>
      <w:r w:rsidRPr="00F93707">
        <w:rPr>
          <w:rFonts w:ascii="Arial" w:eastAsia="Times New Roman" w:hAnsi="Arial" w:cs="Arial"/>
          <w:lang w:eastAsia="en-AU"/>
        </w:rPr>
        <w:t xml:space="preserve"> commences the day after it is registered on the Federal Register of Legislation.</w:t>
      </w:r>
    </w:p>
    <w:p w14:paraId="1D9F3CE1" w14:textId="77777777"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p>
    <w:p w14:paraId="00EF51E5" w14:textId="77777777" w:rsidR="00337749" w:rsidRPr="00F93707" w:rsidRDefault="00337749" w:rsidP="00215D99">
      <w:pPr>
        <w:keepNext/>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b/>
          <w:bCs/>
          <w:lang w:eastAsia="en-AU"/>
        </w:rPr>
        <w:t>Regulation Impact Statement (RIS)</w:t>
      </w:r>
    </w:p>
    <w:p w14:paraId="78255C9C" w14:textId="05938ABE" w:rsidR="00337749" w:rsidRPr="00F93707" w:rsidRDefault="00337749" w:rsidP="0035160D">
      <w:pPr>
        <w:shd w:val="clear" w:color="auto" w:fill="FFFFFF"/>
        <w:spacing w:after="0" w:line="259" w:lineRule="auto"/>
        <w:contextualSpacing/>
        <w:jc w:val="both"/>
        <w:rPr>
          <w:rFonts w:ascii="Arial" w:eastAsia="Times New Roman" w:hAnsi="Arial" w:cs="Arial"/>
          <w:lang w:eastAsia="en-AU"/>
        </w:rPr>
      </w:pPr>
      <w:r w:rsidRPr="00F93707">
        <w:rPr>
          <w:rFonts w:ascii="Arial" w:eastAsia="Times New Roman" w:hAnsi="Arial" w:cs="Arial"/>
          <w:lang w:eastAsia="en-AU"/>
        </w:rPr>
        <w:t>The Office of Best Practice Regulation (OBPR) was consulted and on</w:t>
      </w:r>
      <w:r w:rsidR="001579DD" w:rsidRPr="00F93707">
        <w:rPr>
          <w:rFonts w:ascii="Arial" w:eastAsia="Times New Roman" w:hAnsi="Arial" w:cs="Arial"/>
          <w:lang w:eastAsia="en-AU"/>
        </w:rPr>
        <w:t xml:space="preserve"> </w:t>
      </w:r>
      <w:r w:rsidR="008739AA" w:rsidRPr="00F93707">
        <w:rPr>
          <w:rFonts w:ascii="Arial" w:eastAsia="Times New Roman" w:hAnsi="Arial" w:cs="Arial"/>
          <w:lang w:eastAsia="en-AU"/>
        </w:rPr>
        <w:t>4</w:t>
      </w:r>
      <w:r w:rsidR="001579DD" w:rsidRPr="00F93707">
        <w:rPr>
          <w:rFonts w:ascii="Arial" w:eastAsia="Times New Roman" w:hAnsi="Arial" w:cs="Arial"/>
          <w:lang w:eastAsia="en-AU"/>
        </w:rPr>
        <w:t> September</w:t>
      </w:r>
      <w:r w:rsidRPr="00F93707">
        <w:rPr>
          <w:rFonts w:ascii="Arial" w:eastAsia="Times New Roman" w:hAnsi="Arial" w:cs="Arial"/>
          <w:lang w:eastAsia="en-AU"/>
        </w:rPr>
        <w:t xml:space="preserve"> 2020 OBPR advised that a Regulatory Impact Statement is not required for the Amending </w:t>
      </w:r>
      <w:r w:rsidR="00E662F0" w:rsidRPr="00F93707">
        <w:rPr>
          <w:rFonts w:ascii="Arial" w:eastAsia="Times New Roman" w:hAnsi="Arial" w:cs="Arial"/>
          <w:lang w:eastAsia="en-AU"/>
        </w:rPr>
        <w:t>Determination</w:t>
      </w:r>
      <w:r w:rsidRPr="00F93707">
        <w:rPr>
          <w:rFonts w:ascii="Arial" w:eastAsia="Times New Roman" w:hAnsi="Arial" w:cs="Arial"/>
          <w:lang w:eastAsia="en-AU"/>
        </w:rPr>
        <w:t xml:space="preserve"> (OBPR ID </w:t>
      </w:r>
      <w:r w:rsidR="008739AA" w:rsidRPr="00F93707">
        <w:rPr>
          <w:rFonts w:ascii="Arial" w:eastAsia="Times New Roman" w:hAnsi="Arial" w:cs="Arial"/>
          <w:lang w:eastAsia="en-AU"/>
        </w:rPr>
        <w:t>26445</w:t>
      </w:r>
      <w:r w:rsidRPr="00F93707">
        <w:rPr>
          <w:rFonts w:ascii="Arial" w:eastAsia="Times New Roman" w:hAnsi="Arial" w:cs="Arial"/>
          <w:lang w:eastAsia="en-AU"/>
        </w:rPr>
        <w:t>).</w:t>
      </w:r>
    </w:p>
    <w:p w14:paraId="4C5EC322" w14:textId="77777777" w:rsidR="00337749" w:rsidRPr="00F93707" w:rsidRDefault="00337749" w:rsidP="006E1D20">
      <w:pPr>
        <w:shd w:val="clear" w:color="auto" w:fill="FFFFFF"/>
        <w:spacing w:after="0" w:line="240" w:lineRule="auto"/>
        <w:contextualSpacing/>
        <w:rPr>
          <w:rFonts w:ascii="Arial" w:eastAsia="Times New Roman" w:hAnsi="Arial" w:cs="Arial"/>
          <w:lang w:eastAsia="en-AU"/>
        </w:rPr>
      </w:pPr>
      <w:r w:rsidRPr="00F93707">
        <w:rPr>
          <w:rFonts w:ascii="Arial" w:eastAsia="Times New Roman" w:hAnsi="Arial" w:cs="Arial"/>
          <w:lang w:eastAsia="en-AU"/>
        </w:rPr>
        <w:t> </w:t>
      </w:r>
    </w:p>
    <w:p w14:paraId="6A70DB79" w14:textId="77777777" w:rsidR="00337749" w:rsidRPr="00F93707" w:rsidRDefault="00337749" w:rsidP="00337749">
      <w:pPr>
        <w:shd w:val="clear" w:color="auto" w:fill="FFFFFF"/>
        <w:spacing w:after="120"/>
        <w:ind w:left="6480" w:firstLine="720"/>
        <w:rPr>
          <w:rFonts w:ascii="Arial" w:eastAsia="Times New Roman" w:hAnsi="Arial" w:cs="Arial"/>
          <w:szCs w:val="19"/>
          <w:lang w:eastAsia="en-AU"/>
        </w:rPr>
      </w:pPr>
      <w:r w:rsidRPr="00F93707">
        <w:rPr>
          <w:rFonts w:ascii="Times New Roman" w:eastAsia="Times New Roman" w:hAnsi="Times New Roman" w:cs="Times New Roman"/>
          <w:b/>
          <w:bCs/>
          <w:sz w:val="24"/>
          <w:szCs w:val="24"/>
          <w:lang w:eastAsia="en-AU"/>
        </w:rPr>
        <w:br w:type="page"/>
      </w:r>
      <w:r w:rsidRPr="00F93707">
        <w:rPr>
          <w:rFonts w:ascii="Arial" w:eastAsia="Times New Roman" w:hAnsi="Arial" w:cs="Arial"/>
          <w:b/>
          <w:bCs/>
          <w:szCs w:val="19"/>
          <w:lang w:eastAsia="en-AU"/>
        </w:rPr>
        <w:t>ATTACHMENT</w:t>
      </w:r>
    </w:p>
    <w:p w14:paraId="06A08EEC" w14:textId="77777777" w:rsidR="00337749" w:rsidRPr="00F93707" w:rsidRDefault="00337749" w:rsidP="0035160D">
      <w:pPr>
        <w:shd w:val="clear" w:color="auto" w:fill="FFFFFF"/>
        <w:spacing w:before="240" w:after="120" w:line="240" w:lineRule="auto"/>
        <w:rPr>
          <w:rFonts w:ascii="Arial" w:eastAsia="Times New Roman" w:hAnsi="Arial" w:cs="Arial"/>
          <w:szCs w:val="19"/>
          <w:lang w:eastAsia="en-AU"/>
        </w:rPr>
      </w:pPr>
      <w:r w:rsidRPr="00F93707">
        <w:rPr>
          <w:rFonts w:ascii="Arial" w:eastAsia="Times New Roman" w:hAnsi="Arial" w:cs="Arial"/>
          <w:b/>
          <w:bCs/>
          <w:i/>
          <w:iCs/>
          <w:szCs w:val="19"/>
          <w:u w:val="single"/>
          <w:lang w:eastAsia="en-AU"/>
        </w:rPr>
        <w:t>Details of the Aged Care Legislation Amendment (</w:t>
      </w:r>
      <w:r w:rsidR="009606BB" w:rsidRPr="00F93707">
        <w:rPr>
          <w:rFonts w:ascii="Arial" w:eastAsia="Times New Roman" w:hAnsi="Arial" w:cs="Arial"/>
          <w:b/>
          <w:bCs/>
          <w:i/>
          <w:iCs/>
          <w:szCs w:val="19"/>
          <w:u w:val="single"/>
          <w:lang w:eastAsia="en-AU"/>
        </w:rPr>
        <w:t>Basic Subsidy Amount</w:t>
      </w:r>
      <w:r w:rsidRPr="00F93707">
        <w:rPr>
          <w:rFonts w:ascii="Arial" w:eastAsia="Times New Roman" w:hAnsi="Arial" w:cs="Arial"/>
          <w:b/>
          <w:bCs/>
          <w:i/>
          <w:iCs/>
          <w:szCs w:val="19"/>
          <w:u w:val="single"/>
          <w:lang w:eastAsia="en-AU"/>
        </w:rPr>
        <w:t xml:space="preserve">-COVID-19 Support) </w:t>
      </w:r>
      <w:r w:rsidR="009606BB" w:rsidRPr="00F93707">
        <w:rPr>
          <w:rFonts w:ascii="Arial" w:eastAsia="Times New Roman" w:hAnsi="Arial" w:cs="Arial"/>
          <w:b/>
          <w:bCs/>
          <w:i/>
          <w:iCs/>
          <w:szCs w:val="19"/>
          <w:u w:val="single"/>
          <w:lang w:eastAsia="en-AU"/>
        </w:rPr>
        <w:t>Determination</w:t>
      </w:r>
      <w:r w:rsidRPr="00F93707">
        <w:rPr>
          <w:rFonts w:ascii="Arial" w:eastAsia="Times New Roman" w:hAnsi="Arial" w:cs="Arial"/>
          <w:b/>
          <w:bCs/>
          <w:i/>
          <w:iCs/>
          <w:szCs w:val="19"/>
          <w:u w:val="single"/>
          <w:lang w:eastAsia="en-AU"/>
        </w:rPr>
        <w:t xml:space="preserve"> 2020</w:t>
      </w:r>
    </w:p>
    <w:p w14:paraId="58979EAB" w14:textId="77777777" w:rsidR="00337749" w:rsidRPr="00F93707" w:rsidRDefault="00337749" w:rsidP="0035160D">
      <w:pPr>
        <w:shd w:val="clear" w:color="auto" w:fill="FFFFFF"/>
        <w:spacing w:after="0" w:line="240" w:lineRule="auto"/>
        <w:rPr>
          <w:rFonts w:ascii="Arial" w:eastAsia="Times New Roman" w:hAnsi="Arial" w:cs="Arial"/>
          <w:szCs w:val="19"/>
          <w:lang w:eastAsia="en-AU"/>
        </w:rPr>
      </w:pPr>
    </w:p>
    <w:p w14:paraId="4BAEE308" w14:textId="24A6CB9D"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szCs w:val="19"/>
          <w:lang w:eastAsia="en-AU"/>
        </w:rPr>
        <w:t>Section 1</w:t>
      </w:r>
      <w:r w:rsidRPr="00F93707">
        <w:rPr>
          <w:rFonts w:ascii="Arial" w:eastAsia="Times New Roman" w:hAnsi="Arial" w:cs="Arial"/>
          <w:szCs w:val="19"/>
          <w:lang w:eastAsia="en-AU"/>
        </w:rPr>
        <w:t xml:space="preserve"> states that the name of the Amending </w:t>
      </w:r>
      <w:r w:rsidR="00EE4172" w:rsidRPr="00F93707">
        <w:rPr>
          <w:rFonts w:ascii="Arial" w:eastAsia="Times New Roman" w:hAnsi="Arial" w:cs="Arial"/>
          <w:szCs w:val="19"/>
          <w:lang w:eastAsia="en-AU"/>
        </w:rPr>
        <w:t>Determination</w:t>
      </w:r>
      <w:r w:rsidRPr="00F93707">
        <w:rPr>
          <w:rFonts w:ascii="Arial" w:eastAsia="Times New Roman" w:hAnsi="Arial" w:cs="Arial"/>
          <w:szCs w:val="19"/>
          <w:lang w:eastAsia="en-AU"/>
        </w:rPr>
        <w:t xml:space="preserve"> is the </w:t>
      </w:r>
      <w:r w:rsidRPr="00F93707">
        <w:rPr>
          <w:rFonts w:ascii="Arial" w:eastAsia="Times New Roman" w:hAnsi="Arial" w:cs="Arial"/>
          <w:i/>
          <w:iCs/>
          <w:szCs w:val="19"/>
          <w:lang w:eastAsia="en-AU"/>
        </w:rPr>
        <w:t>Aged Care Legislation Amendment (</w:t>
      </w:r>
      <w:r w:rsidR="009606BB" w:rsidRPr="00F93707">
        <w:rPr>
          <w:rFonts w:ascii="Arial" w:eastAsia="Times New Roman" w:hAnsi="Arial" w:cs="Arial"/>
          <w:i/>
          <w:iCs/>
          <w:szCs w:val="19"/>
          <w:lang w:eastAsia="en-AU"/>
        </w:rPr>
        <w:t>Basic Subsidy Amount</w:t>
      </w:r>
      <w:r w:rsidR="00887F69" w:rsidRPr="00F93707">
        <w:rPr>
          <w:i/>
          <w:noProof/>
        </w:rPr>
        <w:t>—</w:t>
      </w:r>
      <w:r w:rsidR="009606BB" w:rsidRPr="00F93707">
        <w:rPr>
          <w:rFonts w:ascii="Arial" w:eastAsia="Times New Roman" w:hAnsi="Arial" w:cs="Arial"/>
          <w:i/>
          <w:iCs/>
          <w:szCs w:val="19"/>
          <w:lang w:eastAsia="en-AU"/>
        </w:rPr>
        <w:t>COVID-19 Support) Determination</w:t>
      </w:r>
      <w:r w:rsidRPr="00F93707">
        <w:rPr>
          <w:rFonts w:ascii="Arial" w:eastAsia="Times New Roman" w:hAnsi="Arial" w:cs="Arial"/>
          <w:i/>
          <w:iCs/>
          <w:szCs w:val="19"/>
          <w:lang w:eastAsia="en-AU"/>
        </w:rPr>
        <w:t xml:space="preserve"> 2020.</w:t>
      </w:r>
    </w:p>
    <w:p w14:paraId="0F488CBD"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6D4BF889" w14:textId="2A990F14"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szCs w:val="19"/>
          <w:lang w:eastAsia="en-AU"/>
        </w:rPr>
        <w:t xml:space="preserve">Section 2 </w:t>
      </w:r>
      <w:r w:rsidRPr="00F93707">
        <w:rPr>
          <w:rFonts w:ascii="Arial" w:eastAsia="Times New Roman" w:hAnsi="Arial" w:cs="Arial"/>
          <w:szCs w:val="19"/>
          <w:lang w:eastAsia="en-AU"/>
        </w:rPr>
        <w:t xml:space="preserve">states that the Amending </w:t>
      </w:r>
      <w:r w:rsidR="00EE4172" w:rsidRPr="00F93707">
        <w:rPr>
          <w:rFonts w:ascii="Arial" w:eastAsia="Times New Roman" w:hAnsi="Arial" w:cs="Arial"/>
          <w:szCs w:val="19"/>
          <w:lang w:eastAsia="en-AU"/>
        </w:rPr>
        <w:t>Determination</w:t>
      </w:r>
      <w:r w:rsidRPr="00F93707">
        <w:rPr>
          <w:rFonts w:ascii="Arial" w:eastAsia="Times New Roman" w:hAnsi="Arial" w:cs="Arial"/>
          <w:szCs w:val="19"/>
          <w:lang w:eastAsia="en-AU"/>
        </w:rPr>
        <w:t xml:space="preserve"> commences the day after it is registered.</w:t>
      </w:r>
    </w:p>
    <w:p w14:paraId="168AA3B9"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5FB79EBC"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szCs w:val="19"/>
          <w:lang w:eastAsia="en-AU"/>
        </w:rPr>
        <w:t xml:space="preserve">Section 3 </w:t>
      </w:r>
      <w:r w:rsidRPr="00F93707">
        <w:rPr>
          <w:rFonts w:ascii="Arial" w:eastAsia="Times New Roman" w:hAnsi="Arial" w:cs="Arial"/>
          <w:szCs w:val="19"/>
          <w:lang w:eastAsia="en-AU"/>
        </w:rPr>
        <w:t xml:space="preserve">provides that the authority for the making of this instrument is the </w:t>
      </w:r>
      <w:r w:rsidRPr="00F93707">
        <w:rPr>
          <w:rFonts w:ascii="Arial" w:eastAsia="Times New Roman" w:hAnsi="Arial" w:cs="Arial"/>
          <w:i/>
          <w:iCs/>
          <w:szCs w:val="19"/>
          <w:lang w:eastAsia="en-AU"/>
        </w:rPr>
        <w:t xml:space="preserve">Aged Care Act 1997 </w:t>
      </w:r>
      <w:r w:rsidRPr="00F93707">
        <w:rPr>
          <w:rFonts w:ascii="Arial" w:eastAsia="Times New Roman" w:hAnsi="Arial" w:cs="Arial"/>
          <w:szCs w:val="19"/>
          <w:lang w:eastAsia="en-AU"/>
        </w:rPr>
        <w:t xml:space="preserve">and the </w:t>
      </w:r>
      <w:r w:rsidRPr="00F93707">
        <w:rPr>
          <w:rFonts w:ascii="Arial" w:eastAsia="Times New Roman" w:hAnsi="Arial" w:cs="Arial"/>
          <w:i/>
          <w:iCs/>
          <w:szCs w:val="19"/>
          <w:lang w:eastAsia="en-AU"/>
        </w:rPr>
        <w:t>Aged Care (Transitional Provisions) Act 1997</w:t>
      </w:r>
      <w:r w:rsidRPr="00F93707">
        <w:rPr>
          <w:rFonts w:ascii="Arial" w:eastAsia="Times New Roman" w:hAnsi="Arial" w:cs="Arial"/>
          <w:szCs w:val="19"/>
          <w:lang w:eastAsia="en-AU"/>
        </w:rPr>
        <w:t>.</w:t>
      </w:r>
    </w:p>
    <w:p w14:paraId="22518AC9"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2D45F77E" w14:textId="1D298BA5"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szCs w:val="19"/>
          <w:lang w:eastAsia="en-AU"/>
        </w:rPr>
        <w:t xml:space="preserve">Section 4 </w:t>
      </w:r>
      <w:r w:rsidRPr="00F93707">
        <w:rPr>
          <w:rFonts w:ascii="Arial" w:eastAsia="Times New Roman" w:hAnsi="Arial" w:cs="Arial"/>
          <w:szCs w:val="19"/>
          <w:lang w:eastAsia="en-AU"/>
        </w:rPr>
        <w:t>provides that each instrument that is specified in a Schedule to this instrument is</w:t>
      </w:r>
      <w:r w:rsidR="00ED6F0F" w:rsidRPr="00F93707">
        <w:rPr>
          <w:rFonts w:ascii="Arial" w:eastAsia="Times New Roman" w:hAnsi="Arial" w:cs="Arial"/>
          <w:szCs w:val="19"/>
          <w:lang w:eastAsia="en-AU"/>
        </w:rPr>
        <w:t> </w:t>
      </w:r>
      <w:r w:rsidRPr="00F93707">
        <w:rPr>
          <w:rFonts w:ascii="Arial" w:eastAsia="Times New Roman" w:hAnsi="Arial" w:cs="Arial"/>
          <w:szCs w:val="19"/>
          <w:lang w:eastAsia="en-AU"/>
        </w:rPr>
        <w:t>amended or repealed as set out in the applicable items in the Schedule concerned, and any other item in a Schedule to this instrument has effect according to its terms.</w:t>
      </w:r>
    </w:p>
    <w:p w14:paraId="703478A2"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2804D338"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szCs w:val="19"/>
          <w:lang w:eastAsia="en-AU"/>
        </w:rPr>
        <w:t xml:space="preserve">Schedule 1 </w:t>
      </w:r>
      <w:r w:rsidRPr="00F93707">
        <w:rPr>
          <w:rFonts w:ascii="Arial" w:eastAsia="Times New Roman" w:hAnsi="Arial" w:cs="Arial"/>
          <w:szCs w:val="19"/>
          <w:lang w:eastAsia="en-AU"/>
        </w:rPr>
        <w:t xml:space="preserve">amends the following </w:t>
      </w:r>
      <w:r w:rsidR="009606BB" w:rsidRPr="00F93707">
        <w:rPr>
          <w:rFonts w:ascii="Arial" w:eastAsia="Times New Roman" w:hAnsi="Arial" w:cs="Arial"/>
          <w:szCs w:val="19"/>
          <w:lang w:eastAsia="en-AU"/>
        </w:rPr>
        <w:t>two</w:t>
      </w:r>
      <w:r w:rsidRPr="00F93707">
        <w:rPr>
          <w:rFonts w:ascii="Arial" w:eastAsia="Times New Roman" w:hAnsi="Arial" w:cs="Arial"/>
          <w:szCs w:val="19"/>
          <w:lang w:eastAsia="en-AU"/>
        </w:rPr>
        <w:t xml:space="preserve"> legislative instruments:</w:t>
      </w:r>
    </w:p>
    <w:p w14:paraId="5C27C244" w14:textId="5095C333" w:rsidR="00337749" w:rsidRPr="00F93707" w:rsidRDefault="00337749" w:rsidP="0035160D">
      <w:pPr>
        <w:pStyle w:val="ListParagraph"/>
        <w:numPr>
          <w:ilvl w:val="0"/>
          <w:numId w:val="3"/>
        </w:numPr>
        <w:shd w:val="clear" w:color="auto" w:fill="FFFFFF"/>
        <w:spacing w:before="0" w:beforeAutospacing="0" w:after="0" w:afterAutospacing="0" w:line="259" w:lineRule="auto"/>
        <w:jc w:val="both"/>
        <w:rPr>
          <w:rFonts w:ascii="Arial" w:hAnsi="Arial" w:cs="Arial"/>
          <w:sz w:val="22"/>
          <w:szCs w:val="19"/>
        </w:rPr>
      </w:pPr>
      <w:r w:rsidRPr="00F93707">
        <w:rPr>
          <w:rFonts w:ascii="Arial" w:hAnsi="Arial" w:cs="Arial"/>
          <w:sz w:val="22"/>
          <w:szCs w:val="19"/>
        </w:rPr>
        <w:t xml:space="preserve">The </w:t>
      </w:r>
      <w:r w:rsidRPr="00F93707">
        <w:rPr>
          <w:rFonts w:ascii="Arial" w:hAnsi="Arial" w:cs="Arial"/>
          <w:i/>
          <w:iCs/>
          <w:sz w:val="22"/>
          <w:szCs w:val="19"/>
        </w:rPr>
        <w:t xml:space="preserve">Aged Care (Subsidy, Fees and Payments) Determination 2014 </w:t>
      </w:r>
      <w:r w:rsidRPr="00F93707">
        <w:rPr>
          <w:rFonts w:ascii="Arial" w:hAnsi="Arial" w:cs="Arial"/>
          <w:sz w:val="22"/>
          <w:szCs w:val="19"/>
        </w:rPr>
        <w:t>;</w:t>
      </w:r>
      <w:r w:rsidR="00607D13" w:rsidRPr="00F93707">
        <w:rPr>
          <w:rFonts w:ascii="Arial" w:hAnsi="Arial" w:cs="Arial"/>
          <w:sz w:val="22"/>
          <w:szCs w:val="19"/>
        </w:rPr>
        <w:t xml:space="preserve"> and</w:t>
      </w:r>
    </w:p>
    <w:p w14:paraId="7C548A02" w14:textId="06C05C8C" w:rsidR="00337749" w:rsidRPr="00F93707" w:rsidRDefault="00337749" w:rsidP="0035160D">
      <w:pPr>
        <w:pStyle w:val="ListParagraph"/>
        <w:numPr>
          <w:ilvl w:val="0"/>
          <w:numId w:val="3"/>
        </w:numPr>
        <w:shd w:val="clear" w:color="auto" w:fill="FFFFFF"/>
        <w:spacing w:after="0" w:afterAutospacing="0" w:line="259" w:lineRule="auto"/>
        <w:jc w:val="both"/>
        <w:rPr>
          <w:rFonts w:ascii="Arial" w:hAnsi="Arial" w:cs="Arial"/>
          <w:sz w:val="22"/>
          <w:szCs w:val="19"/>
        </w:rPr>
      </w:pPr>
      <w:r w:rsidRPr="00F93707">
        <w:rPr>
          <w:rFonts w:ascii="Arial" w:hAnsi="Arial" w:cs="Arial"/>
          <w:sz w:val="22"/>
          <w:szCs w:val="19"/>
        </w:rPr>
        <w:t xml:space="preserve">The </w:t>
      </w:r>
      <w:r w:rsidRPr="00F93707">
        <w:rPr>
          <w:rFonts w:ascii="Arial" w:hAnsi="Arial" w:cs="Arial"/>
          <w:i/>
          <w:iCs/>
          <w:sz w:val="22"/>
          <w:szCs w:val="19"/>
        </w:rPr>
        <w:t>Aged Care (Transitional Provisions) (Subsidy and Other Measures) Determination 2014</w:t>
      </w:r>
      <w:r w:rsidR="00607D13" w:rsidRPr="00F93707">
        <w:rPr>
          <w:rFonts w:ascii="Arial" w:hAnsi="Arial" w:cs="Arial"/>
          <w:sz w:val="22"/>
          <w:szCs w:val="19"/>
        </w:rPr>
        <w:t>.</w:t>
      </w:r>
    </w:p>
    <w:p w14:paraId="0B5EADA4" w14:textId="77777777" w:rsidR="003276E7" w:rsidRPr="00F93707" w:rsidRDefault="003276E7" w:rsidP="0035160D">
      <w:pPr>
        <w:shd w:val="clear" w:color="auto" w:fill="FFFFFF"/>
        <w:spacing w:after="0" w:line="259" w:lineRule="auto"/>
        <w:jc w:val="both"/>
        <w:rPr>
          <w:rFonts w:ascii="Arial" w:eastAsia="Times New Roman" w:hAnsi="Arial" w:cs="Arial"/>
          <w:szCs w:val="19"/>
          <w:lang w:eastAsia="en-AU"/>
        </w:rPr>
      </w:pPr>
    </w:p>
    <w:p w14:paraId="523F70BA" w14:textId="654E63FC"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The amendments to the Subsidy, Fees and Payments Determination</w:t>
      </w:r>
      <w:r w:rsidRPr="00F93707">
        <w:rPr>
          <w:rFonts w:ascii="Arial" w:eastAsia="Times New Roman" w:hAnsi="Arial" w:cs="Arial"/>
          <w:i/>
          <w:iCs/>
          <w:szCs w:val="19"/>
          <w:lang w:eastAsia="en-AU"/>
        </w:rPr>
        <w:t xml:space="preserve"> </w:t>
      </w:r>
      <w:r w:rsidRPr="00F93707">
        <w:rPr>
          <w:rFonts w:ascii="Arial" w:eastAsia="Times New Roman" w:hAnsi="Arial" w:cs="Arial"/>
          <w:szCs w:val="19"/>
          <w:lang w:eastAsia="en-AU"/>
        </w:rPr>
        <w:t>apply to care recipients under the Act.</w:t>
      </w:r>
    </w:p>
    <w:p w14:paraId="57DC4397" w14:textId="77777777" w:rsidR="00603A46" w:rsidRPr="00F93707" w:rsidRDefault="00603A46" w:rsidP="0035160D">
      <w:pPr>
        <w:shd w:val="clear" w:color="auto" w:fill="FFFFFF"/>
        <w:spacing w:after="0" w:line="259" w:lineRule="auto"/>
        <w:jc w:val="both"/>
        <w:rPr>
          <w:rFonts w:ascii="Arial" w:eastAsia="Times New Roman" w:hAnsi="Arial" w:cs="Arial"/>
          <w:szCs w:val="19"/>
          <w:lang w:eastAsia="en-AU"/>
        </w:rPr>
      </w:pPr>
    </w:p>
    <w:p w14:paraId="66D46F1A" w14:textId="1CAB29EC"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 xml:space="preserve">The amendments to the </w:t>
      </w:r>
      <w:r w:rsidR="00887F69" w:rsidRPr="00F93707">
        <w:rPr>
          <w:rFonts w:ascii="Arial" w:eastAsia="Times New Roman" w:hAnsi="Arial" w:cs="Arial"/>
          <w:szCs w:val="19"/>
          <w:lang w:eastAsia="en-AU"/>
        </w:rPr>
        <w:t>Subsidy and Other Measures</w:t>
      </w:r>
      <w:r w:rsidRPr="00F93707">
        <w:rPr>
          <w:rFonts w:ascii="Arial" w:eastAsia="Times New Roman" w:hAnsi="Arial" w:cs="Arial"/>
          <w:szCs w:val="19"/>
          <w:lang w:eastAsia="en-AU"/>
        </w:rPr>
        <w:t xml:space="preserve"> Determination apply to continuing care recipients under the TP Act.</w:t>
      </w:r>
    </w:p>
    <w:p w14:paraId="7EB728FC"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53AC4501"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szCs w:val="19"/>
          <w:lang w:eastAsia="en-AU"/>
        </w:rPr>
        <w:t>Schedule 1 – Amendments</w:t>
      </w:r>
    </w:p>
    <w:p w14:paraId="12E02224"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3B8A6C56"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i/>
          <w:iCs/>
          <w:szCs w:val="19"/>
          <w:lang w:eastAsia="en-AU"/>
        </w:rPr>
        <w:t>Aged Care (Subsidy, Fees and Payments) Determination 2014</w:t>
      </w:r>
    </w:p>
    <w:p w14:paraId="486AEDFE"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2AAC678C" w14:textId="734D53A8"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szCs w:val="19"/>
          <w:lang w:eastAsia="en-AU"/>
        </w:rPr>
        <w:t xml:space="preserve">Item 1 – At the end of </w:t>
      </w:r>
      <w:r w:rsidR="008C19B2" w:rsidRPr="00F93707">
        <w:rPr>
          <w:rFonts w:ascii="Arial" w:eastAsia="Times New Roman" w:hAnsi="Arial" w:cs="Arial"/>
          <w:b/>
          <w:bCs/>
          <w:szCs w:val="19"/>
          <w:lang w:eastAsia="en-AU"/>
        </w:rPr>
        <w:t>Section 9</w:t>
      </w:r>
    </w:p>
    <w:p w14:paraId="330D2301" w14:textId="26B6E5F1" w:rsidR="00607D13" w:rsidRPr="00F93707" w:rsidRDefault="00607D13"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 xml:space="preserve">This item inserts new </w:t>
      </w:r>
      <w:r w:rsidR="008C19B2" w:rsidRPr="00F93707">
        <w:rPr>
          <w:rFonts w:ascii="Arial" w:eastAsia="Times New Roman" w:hAnsi="Arial" w:cs="Arial"/>
          <w:szCs w:val="19"/>
          <w:lang w:eastAsia="en-AU"/>
        </w:rPr>
        <w:t>subsection</w:t>
      </w:r>
      <w:r w:rsidR="00F05EB7" w:rsidRPr="00F93707">
        <w:rPr>
          <w:rFonts w:ascii="Arial" w:eastAsia="Times New Roman" w:hAnsi="Arial" w:cs="Arial"/>
          <w:szCs w:val="19"/>
          <w:lang w:eastAsia="en-AU"/>
        </w:rPr>
        <w:t> </w:t>
      </w:r>
      <w:r w:rsidR="008C19B2" w:rsidRPr="00F93707">
        <w:rPr>
          <w:rFonts w:ascii="Arial" w:eastAsia="Times New Roman" w:hAnsi="Arial" w:cs="Arial"/>
          <w:szCs w:val="19"/>
          <w:lang w:eastAsia="en-AU"/>
        </w:rPr>
        <w:t>9(3) after subsection</w:t>
      </w:r>
      <w:r w:rsidR="00F05EB7" w:rsidRPr="00F93707">
        <w:rPr>
          <w:rFonts w:ascii="Arial" w:eastAsia="Times New Roman" w:hAnsi="Arial" w:cs="Arial"/>
          <w:szCs w:val="19"/>
          <w:lang w:eastAsia="en-AU"/>
        </w:rPr>
        <w:t> </w:t>
      </w:r>
      <w:r w:rsidR="008C19B2" w:rsidRPr="00F93707">
        <w:rPr>
          <w:rFonts w:ascii="Arial" w:eastAsia="Times New Roman" w:hAnsi="Arial" w:cs="Arial"/>
          <w:szCs w:val="19"/>
          <w:lang w:eastAsia="en-AU"/>
        </w:rPr>
        <w:t xml:space="preserve">9(2). </w:t>
      </w:r>
      <w:r w:rsidR="00771D35" w:rsidRPr="00F93707">
        <w:rPr>
          <w:rFonts w:ascii="Arial" w:eastAsia="Times New Roman" w:hAnsi="Arial" w:cs="Arial"/>
          <w:szCs w:val="19"/>
          <w:lang w:eastAsia="en-AU"/>
        </w:rPr>
        <w:t>Subsection 9(3) sets out that</w:t>
      </w:r>
      <w:r w:rsidR="00FF1FD1" w:rsidRPr="00F93707">
        <w:rPr>
          <w:rFonts w:ascii="Arial" w:eastAsia="Times New Roman" w:hAnsi="Arial" w:cs="Arial"/>
          <w:szCs w:val="19"/>
          <w:lang w:eastAsia="en-AU"/>
        </w:rPr>
        <w:t xml:space="preserve"> section 9 does not apply </w:t>
      </w:r>
      <w:r w:rsidR="00BB791D" w:rsidRPr="00F93707">
        <w:rPr>
          <w:rFonts w:ascii="Arial" w:eastAsia="Times New Roman" w:hAnsi="Arial" w:cs="Arial"/>
          <w:szCs w:val="19"/>
          <w:lang w:eastAsia="en-AU"/>
        </w:rPr>
        <w:t xml:space="preserve">in relation to a care recipient and </w:t>
      </w:r>
      <w:r w:rsidR="004601D7" w:rsidRPr="00F93707">
        <w:rPr>
          <w:rFonts w:ascii="Arial" w:eastAsia="Times New Roman" w:hAnsi="Arial" w:cs="Arial"/>
          <w:szCs w:val="19"/>
          <w:lang w:eastAsia="en-AU"/>
        </w:rPr>
        <w:t xml:space="preserve">a day </w:t>
      </w:r>
      <w:r w:rsidR="00BB791D" w:rsidRPr="00F93707">
        <w:rPr>
          <w:rFonts w:ascii="Arial" w:eastAsia="Times New Roman" w:hAnsi="Arial" w:cs="Arial"/>
          <w:szCs w:val="19"/>
          <w:lang w:eastAsia="en-AU"/>
        </w:rPr>
        <w:t>if</w:t>
      </w:r>
      <w:r w:rsidR="00734582" w:rsidRPr="00F93707">
        <w:rPr>
          <w:rFonts w:ascii="Arial" w:eastAsia="Times New Roman" w:hAnsi="Arial" w:cs="Arial"/>
          <w:szCs w:val="19"/>
          <w:lang w:eastAsia="en-AU"/>
        </w:rPr>
        <w:t xml:space="preserve"> the day is</w:t>
      </w:r>
      <w:r w:rsidR="00BB791D" w:rsidRPr="00F93707">
        <w:rPr>
          <w:rFonts w:ascii="Arial" w:eastAsia="Times New Roman" w:hAnsi="Arial" w:cs="Arial"/>
          <w:szCs w:val="19"/>
          <w:lang w:eastAsia="en-AU"/>
        </w:rPr>
        <w:t xml:space="preserve"> in the period</w:t>
      </w:r>
      <w:r w:rsidR="00734582" w:rsidRPr="00F93707">
        <w:rPr>
          <w:rFonts w:ascii="Arial" w:eastAsia="Times New Roman" w:hAnsi="Arial" w:cs="Arial"/>
          <w:szCs w:val="19"/>
          <w:lang w:eastAsia="en-AU"/>
        </w:rPr>
        <w:t xml:space="preserve"> between 1 July 2020 and 3</w:t>
      </w:r>
      <w:r w:rsidR="00E82F69" w:rsidRPr="00F93707">
        <w:rPr>
          <w:rFonts w:ascii="Arial" w:eastAsia="Times New Roman" w:hAnsi="Arial" w:cs="Arial"/>
          <w:szCs w:val="19"/>
          <w:lang w:eastAsia="en-AU"/>
        </w:rPr>
        <w:t>0</w:t>
      </w:r>
      <w:r w:rsidR="00734582" w:rsidRPr="00F93707">
        <w:rPr>
          <w:rFonts w:ascii="Arial" w:eastAsia="Times New Roman" w:hAnsi="Arial" w:cs="Arial"/>
          <w:szCs w:val="19"/>
          <w:lang w:eastAsia="en-AU"/>
        </w:rPr>
        <w:t xml:space="preserve"> </w:t>
      </w:r>
      <w:r w:rsidR="00E82F69" w:rsidRPr="00F93707">
        <w:rPr>
          <w:rFonts w:ascii="Arial" w:eastAsia="Times New Roman" w:hAnsi="Arial" w:cs="Arial"/>
          <w:szCs w:val="19"/>
          <w:lang w:eastAsia="en-AU"/>
        </w:rPr>
        <w:t>June</w:t>
      </w:r>
      <w:r w:rsidR="00734582" w:rsidRPr="00F93707">
        <w:rPr>
          <w:rFonts w:ascii="Arial" w:eastAsia="Times New Roman" w:hAnsi="Arial" w:cs="Arial"/>
          <w:szCs w:val="19"/>
          <w:lang w:eastAsia="en-AU"/>
        </w:rPr>
        <w:t xml:space="preserve"> 2021 (inclusive).</w:t>
      </w:r>
      <w:r w:rsidR="008C19B2" w:rsidRPr="00F93707">
        <w:rPr>
          <w:rFonts w:ascii="Arial" w:eastAsia="Times New Roman" w:hAnsi="Arial" w:cs="Arial"/>
          <w:szCs w:val="19"/>
          <w:lang w:eastAsia="en-AU"/>
        </w:rPr>
        <w:t xml:space="preserve"> </w:t>
      </w:r>
      <w:r w:rsidR="009E4BE3" w:rsidRPr="00F93707">
        <w:rPr>
          <w:rFonts w:ascii="Arial" w:eastAsia="Times New Roman" w:hAnsi="Arial" w:cs="Arial"/>
          <w:szCs w:val="19"/>
          <w:lang w:eastAsia="en-AU"/>
        </w:rPr>
        <w:t xml:space="preserve">In effect, no subsidy reduction will apply </w:t>
      </w:r>
      <w:r w:rsidR="002660EF" w:rsidRPr="00F93707">
        <w:rPr>
          <w:rFonts w:ascii="Arial" w:eastAsia="Times New Roman" w:hAnsi="Arial" w:cs="Arial"/>
          <w:szCs w:val="19"/>
          <w:lang w:eastAsia="en-AU"/>
        </w:rPr>
        <w:t>during</w:t>
      </w:r>
      <w:r w:rsidR="009E4BE3" w:rsidRPr="00F93707">
        <w:rPr>
          <w:rFonts w:ascii="Arial" w:eastAsia="Times New Roman" w:hAnsi="Arial" w:cs="Arial"/>
          <w:szCs w:val="19"/>
          <w:lang w:eastAsia="en-AU"/>
        </w:rPr>
        <w:t xml:space="preserve"> this period.</w:t>
      </w:r>
    </w:p>
    <w:p w14:paraId="1A04993C" w14:textId="4D0912F5"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3D774B4B"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i/>
          <w:iCs/>
          <w:szCs w:val="19"/>
          <w:lang w:eastAsia="en-AU"/>
        </w:rPr>
        <w:t>Aged Care (Transitional Provisions) (Subsidy and Other Measures) Determination 2014</w:t>
      </w:r>
    </w:p>
    <w:p w14:paraId="24905470"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50041E82" w14:textId="7777777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b/>
          <w:bCs/>
          <w:szCs w:val="19"/>
          <w:lang w:eastAsia="en-AU"/>
        </w:rPr>
        <w:t xml:space="preserve">Item </w:t>
      </w:r>
      <w:r w:rsidR="008C19B2" w:rsidRPr="00F93707">
        <w:rPr>
          <w:rFonts w:ascii="Arial" w:eastAsia="Times New Roman" w:hAnsi="Arial" w:cs="Arial"/>
          <w:b/>
          <w:bCs/>
          <w:szCs w:val="19"/>
          <w:lang w:eastAsia="en-AU"/>
        </w:rPr>
        <w:t>2</w:t>
      </w:r>
      <w:r w:rsidRPr="00F93707">
        <w:rPr>
          <w:rFonts w:ascii="Arial" w:eastAsia="Times New Roman" w:hAnsi="Arial" w:cs="Arial"/>
          <w:b/>
          <w:bCs/>
          <w:szCs w:val="19"/>
          <w:lang w:eastAsia="en-AU"/>
        </w:rPr>
        <w:t xml:space="preserve"> – At the end of </w:t>
      </w:r>
      <w:r w:rsidR="008C19B2" w:rsidRPr="00F93707">
        <w:rPr>
          <w:rFonts w:ascii="Arial" w:eastAsia="Times New Roman" w:hAnsi="Arial" w:cs="Arial"/>
          <w:b/>
          <w:bCs/>
          <w:szCs w:val="19"/>
          <w:lang w:eastAsia="en-AU"/>
        </w:rPr>
        <w:t>Section 11</w:t>
      </w:r>
      <w:r w:rsidRPr="00F93707">
        <w:rPr>
          <w:rFonts w:ascii="Arial" w:eastAsia="Times New Roman" w:hAnsi="Arial" w:cs="Arial"/>
          <w:b/>
          <w:bCs/>
          <w:szCs w:val="19"/>
          <w:lang w:eastAsia="en-AU"/>
        </w:rPr>
        <w:t xml:space="preserve"> </w:t>
      </w:r>
    </w:p>
    <w:p w14:paraId="4913488D" w14:textId="0EA58FE8"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 xml:space="preserve">This item adds new </w:t>
      </w:r>
      <w:r w:rsidR="008C19B2" w:rsidRPr="00F93707">
        <w:rPr>
          <w:rFonts w:ascii="Arial" w:eastAsia="Times New Roman" w:hAnsi="Arial" w:cs="Arial"/>
          <w:szCs w:val="19"/>
          <w:lang w:eastAsia="en-AU"/>
        </w:rPr>
        <w:t>subsection 11(3)</w:t>
      </w:r>
      <w:r w:rsidRPr="00F93707">
        <w:rPr>
          <w:rFonts w:ascii="Arial" w:eastAsia="Times New Roman" w:hAnsi="Arial" w:cs="Arial"/>
          <w:szCs w:val="19"/>
          <w:lang w:eastAsia="en-AU"/>
        </w:rPr>
        <w:t xml:space="preserve"> </w:t>
      </w:r>
      <w:r w:rsidR="008C19B2" w:rsidRPr="00F93707">
        <w:rPr>
          <w:rFonts w:ascii="Arial" w:eastAsia="Times New Roman" w:hAnsi="Arial" w:cs="Arial"/>
          <w:szCs w:val="19"/>
          <w:lang w:eastAsia="en-AU"/>
        </w:rPr>
        <w:t>after subsection 11(2)</w:t>
      </w:r>
      <w:r w:rsidRPr="00F93707">
        <w:rPr>
          <w:rFonts w:ascii="Arial" w:eastAsia="Times New Roman" w:hAnsi="Arial" w:cs="Arial"/>
          <w:i/>
          <w:iCs/>
          <w:szCs w:val="19"/>
          <w:lang w:eastAsia="en-AU"/>
        </w:rPr>
        <w:t xml:space="preserve">. </w:t>
      </w:r>
      <w:r w:rsidR="00771D35" w:rsidRPr="00F93707">
        <w:rPr>
          <w:rFonts w:ascii="Arial" w:eastAsia="Times New Roman" w:hAnsi="Arial" w:cs="Arial"/>
          <w:iCs/>
          <w:szCs w:val="19"/>
          <w:lang w:eastAsia="en-AU"/>
        </w:rPr>
        <w:t>Subsection 11(3) sets out that</w:t>
      </w:r>
      <w:r w:rsidR="00F05EB7" w:rsidRPr="00F93707">
        <w:rPr>
          <w:rFonts w:ascii="Arial" w:eastAsia="Times New Roman" w:hAnsi="Arial" w:cs="Arial"/>
          <w:iCs/>
          <w:szCs w:val="19"/>
          <w:lang w:eastAsia="en-AU"/>
        </w:rPr>
        <w:t xml:space="preserve"> </w:t>
      </w:r>
      <w:r w:rsidR="00FF1FD1" w:rsidRPr="00F93707">
        <w:rPr>
          <w:rFonts w:ascii="Arial" w:eastAsia="Times New Roman" w:hAnsi="Arial" w:cs="Arial"/>
          <w:iCs/>
          <w:szCs w:val="19"/>
          <w:lang w:eastAsia="en-AU"/>
        </w:rPr>
        <w:t xml:space="preserve">section 11 does not apply </w:t>
      </w:r>
      <w:r w:rsidR="00BB791D" w:rsidRPr="00F93707">
        <w:rPr>
          <w:rFonts w:ascii="Arial" w:eastAsia="Times New Roman" w:hAnsi="Arial" w:cs="Arial"/>
          <w:szCs w:val="19"/>
          <w:lang w:eastAsia="en-AU"/>
        </w:rPr>
        <w:t>in relation to a care recipient and a day if the day is in the period between 1 July 2020 and 3</w:t>
      </w:r>
      <w:r w:rsidR="00E82F69" w:rsidRPr="00F93707">
        <w:rPr>
          <w:rFonts w:ascii="Arial" w:eastAsia="Times New Roman" w:hAnsi="Arial" w:cs="Arial"/>
          <w:szCs w:val="19"/>
          <w:lang w:eastAsia="en-AU"/>
        </w:rPr>
        <w:t>0</w:t>
      </w:r>
      <w:r w:rsidR="00BB791D" w:rsidRPr="00F93707">
        <w:rPr>
          <w:rFonts w:ascii="Arial" w:eastAsia="Times New Roman" w:hAnsi="Arial" w:cs="Arial"/>
          <w:szCs w:val="19"/>
          <w:lang w:eastAsia="en-AU"/>
        </w:rPr>
        <w:t xml:space="preserve"> </w:t>
      </w:r>
      <w:r w:rsidR="00E82F69" w:rsidRPr="00F93707">
        <w:rPr>
          <w:rFonts w:ascii="Arial" w:eastAsia="Times New Roman" w:hAnsi="Arial" w:cs="Arial"/>
          <w:szCs w:val="19"/>
          <w:lang w:eastAsia="en-AU"/>
        </w:rPr>
        <w:t>June</w:t>
      </w:r>
      <w:r w:rsidR="00BB791D" w:rsidRPr="00F93707">
        <w:rPr>
          <w:rFonts w:ascii="Arial" w:eastAsia="Times New Roman" w:hAnsi="Arial" w:cs="Arial"/>
          <w:szCs w:val="19"/>
          <w:lang w:eastAsia="en-AU"/>
        </w:rPr>
        <w:t xml:space="preserve"> 2021 (inclusive).</w:t>
      </w:r>
      <w:r w:rsidR="009E4BE3" w:rsidRPr="00F93707">
        <w:rPr>
          <w:rFonts w:ascii="Arial" w:eastAsia="Times New Roman" w:hAnsi="Arial" w:cs="Arial"/>
          <w:szCs w:val="19"/>
          <w:lang w:eastAsia="en-AU"/>
        </w:rPr>
        <w:t xml:space="preserve"> In effect, no subsidy reduction will apply </w:t>
      </w:r>
      <w:r w:rsidR="002660EF" w:rsidRPr="00F93707">
        <w:rPr>
          <w:rFonts w:ascii="Arial" w:eastAsia="Times New Roman" w:hAnsi="Arial" w:cs="Arial"/>
          <w:szCs w:val="19"/>
          <w:lang w:eastAsia="en-AU"/>
        </w:rPr>
        <w:t>during</w:t>
      </w:r>
      <w:r w:rsidR="009E4BE3" w:rsidRPr="00F93707">
        <w:rPr>
          <w:rFonts w:ascii="Arial" w:eastAsia="Times New Roman" w:hAnsi="Arial" w:cs="Arial"/>
          <w:szCs w:val="19"/>
          <w:lang w:eastAsia="en-AU"/>
        </w:rPr>
        <w:t xml:space="preserve"> this period.</w:t>
      </w:r>
    </w:p>
    <w:p w14:paraId="03D33593" w14:textId="175A9C67" w:rsidR="00337749" w:rsidRPr="00F93707" w:rsidRDefault="00337749" w:rsidP="00771D35">
      <w:pPr>
        <w:shd w:val="clear" w:color="auto" w:fill="FFFFFF"/>
        <w:spacing w:after="120" w:line="240" w:lineRule="auto"/>
        <w:rPr>
          <w:rFonts w:ascii="Arial" w:eastAsia="Times New Roman" w:hAnsi="Arial" w:cs="Arial"/>
          <w:sz w:val="19"/>
          <w:szCs w:val="19"/>
          <w:lang w:eastAsia="en-AU"/>
        </w:rPr>
      </w:pPr>
    </w:p>
    <w:p w14:paraId="165E0F6F" w14:textId="2BE5D9EE" w:rsidR="00337749" w:rsidRPr="00F93707" w:rsidRDefault="00337749" w:rsidP="00337749">
      <w:pPr>
        <w:shd w:val="clear" w:color="auto" w:fill="FFFFFF"/>
        <w:spacing w:after="120"/>
        <w:rPr>
          <w:rFonts w:ascii="Arial" w:eastAsia="Times New Roman" w:hAnsi="Arial" w:cs="Arial"/>
          <w:sz w:val="19"/>
          <w:szCs w:val="19"/>
          <w:lang w:eastAsia="en-AU"/>
        </w:rPr>
      </w:pPr>
      <w:r w:rsidRPr="00F93707">
        <w:rPr>
          <w:rFonts w:ascii="Times New Roman" w:eastAsia="Times New Roman" w:hAnsi="Times New Roman" w:cs="Times New Roman"/>
          <w:color w:val="FF0000"/>
          <w:sz w:val="24"/>
          <w:szCs w:val="24"/>
          <w:lang w:eastAsia="en-AU"/>
        </w:rPr>
        <w:br w:type="page"/>
      </w:r>
    </w:p>
    <w:p w14:paraId="3182CCFF" w14:textId="77777777" w:rsidR="00337749" w:rsidRPr="00F93707" w:rsidRDefault="00337749" w:rsidP="00337749">
      <w:pPr>
        <w:shd w:val="clear" w:color="auto" w:fill="FFFFFF"/>
        <w:spacing w:after="120" w:line="240" w:lineRule="auto"/>
        <w:jc w:val="center"/>
        <w:rPr>
          <w:rFonts w:ascii="Arial" w:eastAsia="Times New Roman" w:hAnsi="Arial" w:cs="Arial"/>
          <w:sz w:val="19"/>
          <w:szCs w:val="19"/>
          <w:lang w:eastAsia="en-AU"/>
        </w:rPr>
      </w:pPr>
      <w:r w:rsidRPr="00F93707">
        <w:rPr>
          <w:rFonts w:ascii="Arial" w:eastAsia="Times New Roman" w:hAnsi="Arial" w:cs="Arial"/>
          <w:b/>
          <w:bCs/>
          <w:sz w:val="28"/>
          <w:szCs w:val="28"/>
          <w:lang w:eastAsia="en-AU"/>
        </w:rPr>
        <w:t>Statement of Compatibility with Human Rights</w:t>
      </w:r>
    </w:p>
    <w:p w14:paraId="01FF2AE8" w14:textId="77777777" w:rsidR="00337749" w:rsidRPr="00F93707" w:rsidRDefault="00337749" w:rsidP="003276E7">
      <w:pPr>
        <w:shd w:val="clear" w:color="auto" w:fill="FFFFFF"/>
        <w:spacing w:after="0" w:line="259" w:lineRule="auto"/>
        <w:jc w:val="center"/>
        <w:rPr>
          <w:rFonts w:ascii="Arial" w:eastAsia="Times New Roman" w:hAnsi="Arial" w:cs="Arial"/>
          <w:szCs w:val="19"/>
          <w:lang w:eastAsia="en-AU"/>
        </w:rPr>
      </w:pPr>
      <w:r w:rsidRPr="00F93707">
        <w:rPr>
          <w:rFonts w:ascii="Arial" w:eastAsia="Times New Roman" w:hAnsi="Arial" w:cs="Arial"/>
          <w:i/>
          <w:iCs/>
          <w:szCs w:val="19"/>
          <w:lang w:eastAsia="en-AU"/>
        </w:rPr>
        <w:t>Prepared in accordance with Part 3 of the Humans Rights (Parliamentary Scrutiny) Act 2011</w:t>
      </w:r>
    </w:p>
    <w:p w14:paraId="351DB8B6" w14:textId="08C834BE" w:rsidR="00337749" w:rsidRPr="00F93707" w:rsidRDefault="00337749" w:rsidP="003276E7">
      <w:pPr>
        <w:shd w:val="clear" w:color="auto" w:fill="FFFFFF"/>
        <w:spacing w:after="0" w:line="259" w:lineRule="auto"/>
        <w:jc w:val="center"/>
        <w:rPr>
          <w:rFonts w:ascii="Arial" w:eastAsia="Times New Roman" w:hAnsi="Arial" w:cs="Arial"/>
          <w:szCs w:val="19"/>
          <w:lang w:eastAsia="en-AU"/>
        </w:rPr>
      </w:pPr>
    </w:p>
    <w:p w14:paraId="5043DAF6" w14:textId="28D4FD7C" w:rsidR="00337749" w:rsidRPr="00F93707" w:rsidRDefault="00337749" w:rsidP="003276E7">
      <w:pPr>
        <w:shd w:val="clear" w:color="auto" w:fill="FFFFFF"/>
        <w:spacing w:after="0" w:line="259" w:lineRule="auto"/>
        <w:jc w:val="center"/>
        <w:rPr>
          <w:rFonts w:ascii="Arial" w:eastAsia="Times New Roman" w:hAnsi="Arial" w:cs="Arial"/>
          <w:b/>
          <w:szCs w:val="19"/>
          <w:lang w:eastAsia="en-AU"/>
        </w:rPr>
      </w:pPr>
      <w:r w:rsidRPr="00F93707">
        <w:rPr>
          <w:rFonts w:ascii="Arial" w:eastAsia="Times New Roman" w:hAnsi="Arial" w:cs="Arial"/>
          <w:b/>
          <w:i/>
          <w:iCs/>
          <w:szCs w:val="19"/>
          <w:lang w:eastAsia="en-AU"/>
        </w:rPr>
        <w:t>Aged Care Legislation Amendment (</w:t>
      </w:r>
      <w:r w:rsidR="00F05EB7" w:rsidRPr="00F93707">
        <w:rPr>
          <w:rFonts w:ascii="Arial" w:eastAsia="Times New Roman" w:hAnsi="Arial" w:cs="Arial"/>
          <w:b/>
          <w:i/>
          <w:iCs/>
          <w:szCs w:val="19"/>
          <w:lang w:eastAsia="en-AU"/>
        </w:rPr>
        <w:t>Basic Subsidy Amount</w:t>
      </w:r>
      <w:r w:rsidRPr="00F93707">
        <w:rPr>
          <w:rFonts w:ascii="Arial" w:eastAsia="Times New Roman" w:hAnsi="Arial" w:cs="Arial"/>
          <w:b/>
          <w:i/>
          <w:iCs/>
          <w:szCs w:val="19"/>
          <w:lang w:eastAsia="en-AU"/>
        </w:rPr>
        <w:t xml:space="preserve">-COVID-19 Support) </w:t>
      </w:r>
      <w:r w:rsidR="00F05EB7" w:rsidRPr="00F93707">
        <w:rPr>
          <w:rFonts w:ascii="Arial" w:eastAsia="Times New Roman" w:hAnsi="Arial" w:cs="Arial"/>
          <w:b/>
          <w:i/>
          <w:iCs/>
          <w:szCs w:val="19"/>
          <w:lang w:eastAsia="en-AU"/>
        </w:rPr>
        <w:t>Determination</w:t>
      </w:r>
      <w:r w:rsidRPr="00F93707">
        <w:rPr>
          <w:rFonts w:ascii="Arial" w:eastAsia="Times New Roman" w:hAnsi="Arial" w:cs="Arial"/>
          <w:b/>
          <w:i/>
          <w:iCs/>
          <w:szCs w:val="19"/>
          <w:lang w:eastAsia="en-AU"/>
        </w:rPr>
        <w:t xml:space="preserve"> 2020</w:t>
      </w:r>
    </w:p>
    <w:p w14:paraId="47A84B83" w14:textId="77777777" w:rsidR="003276E7" w:rsidRPr="00F93707" w:rsidRDefault="003276E7" w:rsidP="003276E7">
      <w:pPr>
        <w:shd w:val="clear" w:color="auto" w:fill="FFFFFF"/>
        <w:spacing w:after="0" w:line="259" w:lineRule="auto"/>
        <w:jc w:val="center"/>
        <w:rPr>
          <w:rFonts w:ascii="Arial" w:eastAsia="Times New Roman" w:hAnsi="Arial" w:cs="Arial"/>
          <w:szCs w:val="19"/>
          <w:lang w:eastAsia="en-AU"/>
        </w:rPr>
      </w:pPr>
    </w:p>
    <w:p w14:paraId="5633ECBA" w14:textId="4D40BD3A" w:rsidR="00337749" w:rsidRPr="00F93707" w:rsidRDefault="00337749" w:rsidP="003276E7">
      <w:pPr>
        <w:shd w:val="clear" w:color="auto" w:fill="FFFFFF"/>
        <w:spacing w:after="0" w:line="259" w:lineRule="auto"/>
        <w:jc w:val="center"/>
        <w:rPr>
          <w:rFonts w:ascii="Arial" w:eastAsia="Times New Roman" w:hAnsi="Arial" w:cs="Arial"/>
          <w:szCs w:val="19"/>
          <w:lang w:eastAsia="en-AU"/>
        </w:rPr>
      </w:pPr>
      <w:r w:rsidRPr="00F93707">
        <w:rPr>
          <w:rFonts w:ascii="Arial" w:eastAsia="Times New Roman" w:hAnsi="Arial" w:cs="Arial"/>
          <w:szCs w:val="19"/>
          <w:lang w:eastAsia="en-AU"/>
        </w:rPr>
        <w:t xml:space="preserve">The </w:t>
      </w:r>
      <w:r w:rsidRPr="00F93707">
        <w:rPr>
          <w:rFonts w:ascii="Arial" w:eastAsia="Times New Roman" w:hAnsi="Arial" w:cs="Arial"/>
          <w:i/>
          <w:iCs/>
          <w:szCs w:val="19"/>
          <w:lang w:eastAsia="en-AU"/>
        </w:rPr>
        <w:t>Aged Care Legislation Amendment (</w:t>
      </w:r>
      <w:r w:rsidR="00F05EB7" w:rsidRPr="00F93707">
        <w:rPr>
          <w:rFonts w:ascii="Arial" w:eastAsia="Times New Roman" w:hAnsi="Arial" w:cs="Arial"/>
          <w:i/>
          <w:iCs/>
          <w:szCs w:val="19"/>
          <w:lang w:eastAsia="en-AU"/>
        </w:rPr>
        <w:t>Basic Subsidy Amount</w:t>
      </w:r>
      <w:r w:rsidRPr="00F93707">
        <w:rPr>
          <w:rFonts w:ascii="Arial" w:eastAsia="Times New Roman" w:hAnsi="Arial" w:cs="Arial"/>
          <w:i/>
          <w:iCs/>
          <w:szCs w:val="19"/>
          <w:lang w:eastAsia="en-AU"/>
        </w:rPr>
        <w:t xml:space="preserve">-COVID-19 Support) </w:t>
      </w:r>
      <w:r w:rsidR="00F05EB7" w:rsidRPr="00F93707">
        <w:rPr>
          <w:rFonts w:ascii="Arial" w:eastAsia="Times New Roman" w:hAnsi="Arial" w:cs="Arial"/>
          <w:i/>
          <w:iCs/>
          <w:szCs w:val="19"/>
          <w:lang w:eastAsia="en-AU"/>
        </w:rPr>
        <w:t>Determination</w:t>
      </w:r>
      <w:r w:rsidRPr="00F93707">
        <w:rPr>
          <w:rFonts w:ascii="Arial" w:eastAsia="Times New Roman" w:hAnsi="Arial" w:cs="Arial"/>
          <w:i/>
          <w:iCs/>
          <w:szCs w:val="19"/>
          <w:lang w:eastAsia="en-AU"/>
        </w:rPr>
        <w:t xml:space="preserve"> 2020</w:t>
      </w:r>
      <w:r w:rsidRPr="00F93707">
        <w:rPr>
          <w:rFonts w:ascii="Arial" w:eastAsia="Times New Roman" w:hAnsi="Arial" w:cs="Arial"/>
          <w:szCs w:val="19"/>
          <w:lang w:eastAsia="en-AU"/>
        </w:rPr>
        <w:t xml:space="preserve"> is compatible with the human rights and freedoms recognised or declared in the international instruments listed in section 3 of the </w:t>
      </w:r>
      <w:r w:rsidRPr="00F93707">
        <w:rPr>
          <w:rFonts w:ascii="Arial" w:eastAsia="Times New Roman" w:hAnsi="Arial" w:cs="Arial"/>
          <w:i/>
          <w:iCs/>
          <w:szCs w:val="19"/>
          <w:lang w:eastAsia="en-AU"/>
        </w:rPr>
        <w:t>Human Rights (Parliamentary Scrutiny Act) Act 2011</w:t>
      </w:r>
      <w:r w:rsidRPr="00F93707">
        <w:rPr>
          <w:rFonts w:ascii="Arial" w:eastAsia="Times New Roman" w:hAnsi="Arial" w:cs="Arial"/>
          <w:szCs w:val="19"/>
          <w:lang w:eastAsia="en-AU"/>
        </w:rPr>
        <w:t>.</w:t>
      </w:r>
    </w:p>
    <w:p w14:paraId="210D81DA" w14:textId="54B00BB9" w:rsidR="00337749" w:rsidRPr="00F93707" w:rsidRDefault="00337749" w:rsidP="003276E7">
      <w:pPr>
        <w:shd w:val="clear" w:color="auto" w:fill="FFFFFF"/>
        <w:spacing w:after="0" w:line="259" w:lineRule="auto"/>
        <w:rPr>
          <w:rFonts w:ascii="Arial" w:eastAsia="Times New Roman" w:hAnsi="Arial" w:cs="Arial"/>
          <w:szCs w:val="19"/>
          <w:lang w:eastAsia="en-AU"/>
        </w:rPr>
      </w:pPr>
    </w:p>
    <w:p w14:paraId="1E3B395A" w14:textId="77777777" w:rsidR="00337749" w:rsidRPr="00F93707" w:rsidRDefault="00337749" w:rsidP="0035160D">
      <w:pPr>
        <w:shd w:val="clear" w:color="auto" w:fill="FFFFFF"/>
        <w:spacing w:after="0" w:line="259" w:lineRule="auto"/>
        <w:jc w:val="both"/>
        <w:rPr>
          <w:rFonts w:ascii="Arial" w:eastAsia="Times New Roman" w:hAnsi="Arial" w:cs="Arial"/>
          <w:b/>
          <w:szCs w:val="19"/>
          <w:lang w:eastAsia="en-AU"/>
        </w:rPr>
      </w:pPr>
      <w:r w:rsidRPr="00F93707">
        <w:rPr>
          <w:rFonts w:ascii="Arial" w:eastAsia="Times New Roman" w:hAnsi="Arial" w:cs="Arial"/>
          <w:b/>
          <w:szCs w:val="19"/>
          <w:lang w:eastAsia="en-AU"/>
        </w:rPr>
        <w:t>Overview of Legislative Instrument</w:t>
      </w:r>
    </w:p>
    <w:p w14:paraId="5431904F" w14:textId="480F4588"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 xml:space="preserve">The </w:t>
      </w:r>
      <w:r w:rsidRPr="00F93707">
        <w:rPr>
          <w:rFonts w:ascii="Arial" w:eastAsia="Times New Roman" w:hAnsi="Arial" w:cs="Arial"/>
          <w:i/>
          <w:iCs/>
          <w:szCs w:val="19"/>
          <w:lang w:eastAsia="en-AU"/>
        </w:rPr>
        <w:t>Aged Care Legislation Amendment (</w:t>
      </w:r>
      <w:r w:rsidR="00F05EB7" w:rsidRPr="00F93707">
        <w:rPr>
          <w:rFonts w:ascii="Arial" w:eastAsia="Times New Roman" w:hAnsi="Arial" w:cs="Arial"/>
          <w:i/>
          <w:iCs/>
          <w:szCs w:val="19"/>
          <w:lang w:eastAsia="en-AU"/>
        </w:rPr>
        <w:t>Basic Subsidy Amount</w:t>
      </w:r>
      <w:r w:rsidRPr="00F93707">
        <w:rPr>
          <w:rFonts w:ascii="Arial" w:eastAsia="Times New Roman" w:hAnsi="Arial" w:cs="Arial"/>
          <w:i/>
          <w:iCs/>
          <w:szCs w:val="19"/>
          <w:lang w:eastAsia="en-AU"/>
        </w:rPr>
        <w:t xml:space="preserve">-COVID-19 Support) </w:t>
      </w:r>
      <w:r w:rsidR="00F05EB7" w:rsidRPr="00F93707">
        <w:rPr>
          <w:rFonts w:ascii="Arial" w:eastAsia="Times New Roman" w:hAnsi="Arial" w:cs="Arial"/>
          <w:i/>
          <w:iCs/>
          <w:szCs w:val="19"/>
          <w:lang w:eastAsia="en-AU"/>
        </w:rPr>
        <w:t>Determination</w:t>
      </w:r>
      <w:r w:rsidRPr="00F93707">
        <w:rPr>
          <w:rFonts w:ascii="Arial" w:eastAsia="Times New Roman" w:hAnsi="Arial" w:cs="Arial"/>
          <w:i/>
          <w:iCs/>
          <w:szCs w:val="19"/>
          <w:lang w:eastAsia="en-AU"/>
        </w:rPr>
        <w:t xml:space="preserve"> 2020</w:t>
      </w:r>
      <w:r w:rsidR="00F05EB7" w:rsidRPr="00F93707">
        <w:rPr>
          <w:rFonts w:ascii="Arial" w:eastAsia="Times New Roman" w:hAnsi="Arial" w:cs="Arial"/>
          <w:szCs w:val="19"/>
          <w:lang w:eastAsia="en-AU"/>
        </w:rPr>
        <w:t xml:space="preserve"> (the Amending Determination</w:t>
      </w:r>
      <w:r w:rsidRPr="00F93707">
        <w:rPr>
          <w:rFonts w:ascii="Arial" w:eastAsia="Times New Roman" w:hAnsi="Arial" w:cs="Arial"/>
          <w:szCs w:val="19"/>
          <w:lang w:eastAsia="en-AU"/>
        </w:rPr>
        <w:t xml:space="preserve">) amends the </w:t>
      </w:r>
      <w:r w:rsidRPr="00F93707">
        <w:rPr>
          <w:rFonts w:ascii="Arial" w:eastAsia="Times New Roman" w:hAnsi="Arial" w:cs="Arial"/>
          <w:i/>
          <w:iCs/>
          <w:szCs w:val="19"/>
          <w:lang w:eastAsia="en-AU"/>
        </w:rPr>
        <w:t>Aged Care (Subsidy, Fees and Payments) Determination 2014</w:t>
      </w:r>
      <w:r w:rsidR="009E4BE3" w:rsidRPr="00F93707">
        <w:rPr>
          <w:rFonts w:ascii="Arial" w:eastAsia="Times New Roman" w:hAnsi="Arial" w:cs="Arial"/>
          <w:i/>
          <w:iCs/>
          <w:szCs w:val="19"/>
          <w:lang w:eastAsia="en-AU"/>
        </w:rPr>
        <w:t xml:space="preserve"> </w:t>
      </w:r>
      <w:r w:rsidR="009E4BE3" w:rsidRPr="00F93707">
        <w:rPr>
          <w:rFonts w:ascii="Arial" w:eastAsia="Times New Roman" w:hAnsi="Arial" w:cs="Arial"/>
          <w:iCs/>
          <w:szCs w:val="19"/>
          <w:lang w:eastAsia="en-AU"/>
        </w:rPr>
        <w:t>(the Subsidy, Fees and Payments Determination)</w:t>
      </w:r>
      <w:r w:rsidRPr="00F93707">
        <w:rPr>
          <w:rFonts w:ascii="Arial" w:eastAsia="Times New Roman" w:hAnsi="Arial" w:cs="Arial"/>
          <w:szCs w:val="19"/>
          <w:lang w:eastAsia="en-AU"/>
        </w:rPr>
        <w:t xml:space="preserve"> </w:t>
      </w:r>
      <w:r w:rsidR="00F05EB7" w:rsidRPr="00F93707">
        <w:rPr>
          <w:rFonts w:ascii="Arial" w:eastAsia="Times New Roman" w:hAnsi="Arial" w:cs="Arial"/>
          <w:szCs w:val="19"/>
          <w:lang w:eastAsia="en-AU"/>
        </w:rPr>
        <w:t>and</w:t>
      </w:r>
      <w:r w:rsidRPr="00F93707">
        <w:rPr>
          <w:rFonts w:ascii="Arial" w:eastAsia="Times New Roman" w:hAnsi="Arial" w:cs="Arial"/>
          <w:szCs w:val="19"/>
          <w:lang w:eastAsia="en-AU"/>
        </w:rPr>
        <w:t xml:space="preserve"> the </w:t>
      </w:r>
      <w:r w:rsidRPr="00F93707">
        <w:rPr>
          <w:rFonts w:ascii="Arial" w:eastAsia="Times New Roman" w:hAnsi="Arial" w:cs="Arial"/>
          <w:i/>
          <w:iCs/>
          <w:szCs w:val="19"/>
          <w:lang w:eastAsia="en-AU"/>
        </w:rPr>
        <w:t>Aged Care (Transitional Provisions) (Subsidy and Other Measures) Determination 2014</w:t>
      </w:r>
      <w:r w:rsidR="009E4BE3" w:rsidRPr="00F93707">
        <w:rPr>
          <w:rFonts w:ascii="Arial" w:eastAsia="Times New Roman" w:hAnsi="Arial" w:cs="Arial"/>
          <w:i/>
          <w:iCs/>
          <w:szCs w:val="19"/>
          <w:lang w:eastAsia="en-AU"/>
        </w:rPr>
        <w:t xml:space="preserve"> </w:t>
      </w:r>
      <w:r w:rsidR="009E4BE3" w:rsidRPr="00F93707">
        <w:rPr>
          <w:rFonts w:ascii="Arial" w:eastAsia="Times New Roman" w:hAnsi="Arial" w:cs="Arial"/>
          <w:iCs/>
          <w:szCs w:val="19"/>
          <w:lang w:eastAsia="en-AU"/>
        </w:rPr>
        <w:t>(the Subsidy and Other Measures Determination)</w:t>
      </w:r>
      <w:r w:rsidRPr="00F93707">
        <w:rPr>
          <w:rFonts w:ascii="Arial" w:eastAsia="Times New Roman" w:hAnsi="Arial" w:cs="Arial"/>
          <w:szCs w:val="19"/>
          <w:lang w:eastAsia="en-AU"/>
        </w:rPr>
        <w:t xml:space="preserve">. </w:t>
      </w:r>
    </w:p>
    <w:p w14:paraId="344C7F12" w14:textId="77777777" w:rsidR="003276E7" w:rsidRPr="00F93707" w:rsidRDefault="003276E7" w:rsidP="0035160D">
      <w:pPr>
        <w:shd w:val="clear" w:color="auto" w:fill="FFFFFF"/>
        <w:spacing w:after="0" w:line="259" w:lineRule="auto"/>
        <w:jc w:val="both"/>
        <w:rPr>
          <w:rFonts w:ascii="Arial" w:eastAsia="Times New Roman" w:hAnsi="Arial" w:cs="Arial"/>
          <w:szCs w:val="19"/>
          <w:lang w:eastAsia="en-AU"/>
        </w:rPr>
      </w:pPr>
    </w:p>
    <w:p w14:paraId="4EBB3E47" w14:textId="056CBA3C" w:rsidR="005108F6" w:rsidRPr="00F93707" w:rsidRDefault="005108F6"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 xml:space="preserve">The purpose of the Amending Determination is to </w:t>
      </w:r>
      <w:r w:rsidR="00887F69" w:rsidRPr="00F93707">
        <w:rPr>
          <w:rFonts w:ascii="Arial" w:eastAsia="Times New Roman" w:hAnsi="Arial" w:cs="Arial"/>
          <w:szCs w:val="19"/>
          <w:lang w:eastAsia="en-AU"/>
        </w:rPr>
        <w:t xml:space="preserve">prevent </w:t>
      </w:r>
      <w:r w:rsidRPr="00F93707">
        <w:rPr>
          <w:rFonts w:ascii="Arial" w:eastAsia="Times New Roman" w:hAnsi="Arial" w:cs="Arial"/>
          <w:szCs w:val="19"/>
          <w:lang w:eastAsia="en-AU"/>
        </w:rPr>
        <w:t xml:space="preserve">the subsidy reduction that </w:t>
      </w:r>
      <w:r w:rsidR="0007544B" w:rsidRPr="00F93707">
        <w:rPr>
          <w:rFonts w:ascii="Arial" w:eastAsia="Times New Roman" w:hAnsi="Arial" w:cs="Arial"/>
          <w:szCs w:val="19"/>
          <w:lang w:eastAsia="en-AU"/>
        </w:rPr>
        <w:t xml:space="preserve">applies </w:t>
      </w:r>
      <w:r w:rsidRPr="00F93707">
        <w:rPr>
          <w:rFonts w:ascii="Arial" w:eastAsia="Times New Roman" w:hAnsi="Arial" w:cs="Arial"/>
          <w:szCs w:val="19"/>
          <w:lang w:eastAsia="en-AU"/>
        </w:rPr>
        <w:t xml:space="preserve">from the 29th day of </w:t>
      </w:r>
      <w:r w:rsidR="0007544B" w:rsidRPr="00F93707">
        <w:rPr>
          <w:rFonts w:ascii="Arial" w:eastAsia="Times New Roman" w:hAnsi="Arial" w:cs="Arial"/>
          <w:szCs w:val="19"/>
          <w:lang w:eastAsia="en-AU"/>
        </w:rPr>
        <w:t xml:space="preserve">extended </w:t>
      </w:r>
      <w:r w:rsidRPr="00F93707">
        <w:rPr>
          <w:rFonts w:ascii="Arial" w:eastAsia="Times New Roman" w:hAnsi="Arial" w:cs="Arial"/>
          <w:szCs w:val="19"/>
          <w:lang w:eastAsia="en-AU"/>
        </w:rPr>
        <w:t>hospital leave as set out in subsection 9(2) of the Subsidy, Fees and Payments Determination</w:t>
      </w:r>
      <w:r w:rsidR="0007544B" w:rsidRPr="00F93707">
        <w:rPr>
          <w:rFonts w:ascii="Arial" w:eastAsia="Times New Roman" w:hAnsi="Arial" w:cs="Arial"/>
          <w:szCs w:val="19"/>
          <w:lang w:eastAsia="en-AU"/>
        </w:rPr>
        <w:t xml:space="preserve"> and subsection 11(2) of the Subsidy and Other Measures Determination</w:t>
      </w:r>
      <w:r w:rsidRPr="00F93707">
        <w:rPr>
          <w:rFonts w:ascii="Arial" w:eastAsia="Times New Roman" w:hAnsi="Arial" w:cs="Arial"/>
          <w:szCs w:val="19"/>
          <w:lang w:eastAsia="en-AU"/>
        </w:rPr>
        <w:t xml:space="preserve"> </w:t>
      </w:r>
      <w:r w:rsidR="00887F69" w:rsidRPr="00F93707">
        <w:rPr>
          <w:rFonts w:ascii="Arial" w:eastAsia="Times New Roman" w:hAnsi="Arial" w:cs="Arial"/>
          <w:szCs w:val="19"/>
          <w:lang w:eastAsia="en-AU"/>
        </w:rPr>
        <w:t>applying in</w:t>
      </w:r>
      <w:r w:rsidR="0007544B" w:rsidRPr="00F93707">
        <w:rPr>
          <w:rFonts w:ascii="Arial" w:eastAsia="Times New Roman" w:hAnsi="Arial" w:cs="Arial"/>
          <w:szCs w:val="19"/>
          <w:lang w:eastAsia="en-AU"/>
        </w:rPr>
        <w:t xml:space="preserve"> the </w:t>
      </w:r>
      <w:r w:rsidRPr="00F93707">
        <w:rPr>
          <w:rFonts w:ascii="Arial" w:eastAsia="Times New Roman" w:hAnsi="Arial" w:cs="Arial"/>
          <w:szCs w:val="19"/>
          <w:lang w:eastAsia="en-AU"/>
        </w:rPr>
        <w:t>period 1 July 2020 to 3</w:t>
      </w:r>
      <w:r w:rsidR="00E82F69" w:rsidRPr="00F93707">
        <w:rPr>
          <w:rFonts w:ascii="Arial" w:eastAsia="Times New Roman" w:hAnsi="Arial" w:cs="Arial"/>
          <w:szCs w:val="19"/>
          <w:lang w:eastAsia="en-AU"/>
        </w:rPr>
        <w:t>0 June</w:t>
      </w:r>
      <w:r w:rsidRPr="00F93707">
        <w:rPr>
          <w:rFonts w:ascii="Arial" w:eastAsia="Times New Roman" w:hAnsi="Arial" w:cs="Arial"/>
          <w:szCs w:val="19"/>
          <w:lang w:eastAsia="en-AU"/>
        </w:rPr>
        <w:t xml:space="preserve"> 2021</w:t>
      </w:r>
      <w:r w:rsidR="0041135F" w:rsidRPr="00F93707">
        <w:rPr>
          <w:rFonts w:ascii="Arial" w:eastAsia="Times New Roman" w:hAnsi="Arial" w:cs="Arial"/>
          <w:szCs w:val="19"/>
          <w:lang w:eastAsia="en-AU"/>
        </w:rPr>
        <w:t xml:space="preserve"> (inclusive)</w:t>
      </w:r>
      <w:r w:rsidRPr="00F93707">
        <w:rPr>
          <w:rFonts w:ascii="Arial" w:eastAsia="Times New Roman" w:hAnsi="Arial" w:cs="Arial"/>
          <w:szCs w:val="19"/>
          <w:lang w:eastAsia="en-AU"/>
        </w:rPr>
        <w:t>. This amendment is in response to the increased movement of residents into hospital settings for precautionary measures during the COVID-19 pandemic. As a result, during the current COVID-19 pandemic the subsidy paid to aged care providers will not be reduced due to</w:t>
      </w:r>
      <w:r w:rsidR="00ED6F0F" w:rsidRPr="00F93707">
        <w:rPr>
          <w:rFonts w:ascii="Arial" w:eastAsia="Times New Roman" w:hAnsi="Arial" w:cs="Arial"/>
          <w:szCs w:val="19"/>
          <w:lang w:eastAsia="en-AU"/>
        </w:rPr>
        <w:t> </w:t>
      </w:r>
      <w:r w:rsidRPr="00F93707">
        <w:rPr>
          <w:rFonts w:ascii="Arial" w:eastAsia="Times New Roman" w:hAnsi="Arial" w:cs="Arial"/>
          <w:szCs w:val="19"/>
          <w:lang w:eastAsia="en-AU"/>
        </w:rPr>
        <w:t>aged care recipients remaining in a hospital setting for an extended period of</w:t>
      </w:r>
      <w:r w:rsidR="00ED6F0F" w:rsidRPr="00F93707">
        <w:rPr>
          <w:rFonts w:ascii="Arial" w:eastAsia="Times New Roman" w:hAnsi="Arial" w:cs="Arial"/>
          <w:szCs w:val="19"/>
          <w:lang w:eastAsia="en-AU"/>
        </w:rPr>
        <w:t> </w:t>
      </w:r>
      <w:r w:rsidRPr="00F93707">
        <w:rPr>
          <w:rFonts w:ascii="Arial" w:eastAsia="Times New Roman" w:hAnsi="Arial" w:cs="Arial"/>
          <w:szCs w:val="19"/>
          <w:lang w:eastAsia="en-AU"/>
        </w:rPr>
        <w:t xml:space="preserve">time. </w:t>
      </w:r>
    </w:p>
    <w:p w14:paraId="51C4B5B9" w14:textId="77777777" w:rsidR="005108F6" w:rsidRPr="00F93707" w:rsidRDefault="005108F6" w:rsidP="0035160D">
      <w:pPr>
        <w:shd w:val="clear" w:color="auto" w:fill="FFFFFF"/>
        <w:spacing w:after="0" w:line="259" w:lineRule="auto"/>
        <w:jc w:val="both"/>
        <w:rPr>
          <w:rFonts w:ascii="Arial" w:eastAsia="Times New Roman" w:hAnsi="Arial" w:cs="Arial"/>
          <w:szCs w:val="19"/>
          <w:lang w:eastAsia="en-AU"/>
        </w:rPr>
      </w:pPr>
    </w:p>
    <w:p w14:paraId="508A6923" w14:textId="77777777" w:rsidR="00337749" w:rsidRPr="00F93707" w:rsidRDefault="00337749" w:rsidP="0035160D">
      <w:pPr>
        <w:shd w:val="clear" w:color="auto" w:fill="FFFFFF"/>
        <w:spacing w:after="0" w:line="259" w:lineRule="auto"/>
        <w:jc w:val="both"/>
        <w:rPr>
          <w:rFonts w:ascii="Arial" w:eastAsia="Times New Roman" w:hAnsi="Arial" w:cs="Arial"/>
          <w:b/>
          <w:szCs w:val="19"/>
          <w:lang w:eastAsia="en-AU"/>
        </w:rPr>
      </w:pPr>
      <w:r w:rsidRPr="00F93707">
        <w:rPr>
          <w:rFonts w:ascii="Arial" w:eastAsia="Times New Roman" w:hAnsi="Arial" w:cs="Arial"/>
          <w:b/>
          <w:szCs w:val="19"/>
          <w:lang w:eastAsia="en-AU"/>
        </w:rPr>
        <w:t>Human Rights Implications</w:t>
      </w:r>
    </w:p>
    <w:p w14:paraId="6FA80DB7" w14:textId="1BC8E408" w:rsidR="009F361C" w:rsidRPr="00F93707" w:rsidRDefault="009F361C" w:rsidP="009F361C">
      <w:pPr>
        <w:shd w:val="clear" w:color="auto" w:fill="FFFFFF"/>
        <w:spacing w:after="0" w:line="259" w:lineRule="auto"/>
        <w:jc w:val="both"/>
        <w:rPr>
          <w:rFonts w:ascii="Arial" w:eastAsia="Times New Roman" w:hAnsi="Arial" w:cs="Arial"/>
          <w:szCs w:val="19"/>
          <w:lang w:val="en-GB" w:eastAsia="en-AU"/>
        </w:rPr>
      </w:pPr>
      <w:r w:rsidRPr="00F93707">
        <w:rPr>
          <w:rFonts w:ascii="Arial" w:eastAsia="Times New Roman" w:hAnsi="Arial" w:cs="Arial"/>
          <w:szCs w:val="19"/>
          <w:lang w:val="en-GB" w:eastAsia="en-AU"/>
        </w:rPr>
        <w:t>The Amending Determination engages the following human rights as contained in article 11(1) and article 12(1) of the </w:t>
      </w:r>
      <w:r w:rsidRPr="00F93707">
        <w:rPr>
          <w:rFonts w:ascii="Arial" w:eastAsia="Times New Roman" w:hAnsi="Arial" w:cs="Arial"/>
          <w:i/>
          <w:iCs/>
          <w:szCs w:val="19"/>
          <w:lang w:val="en-GB" w:eastAsia="en-AU"/>
        </w:rPr>
        <w:t>International Convention on Economic, Social and Cultural Rights </w:t>
      </w:r>
      <w:r w:rsidRPr="00F93707">
        <w:rPr>
          <w:rFonts w:ascii="Arial" w:eastAsia="Times New Roman" w:hAnsi="Arial" w:cs="Arial"/>
          <w:szCs w:val="19"/>
          <w:lang w:val="en-GB" w:eastAsia="en-AU"/>
        </w:rPr>
        <w:t>and articles 25 and 28 of the </w:t>
      </w:r>
      <w:r w:rsidRPr="00F93707">
        <w:rPr>
          <w:rFonts w:ascii="Arial" w:eastAsia="Times New Roman" w:hAnsi="Arial" w:cs="Arial"/>
          <w:i/>
          <w:iCs/>
          <w:szCs w:val="19"/>
          <w:lang w:val="en-GB" w:eastAsia="en-AU"/>
        </w:rPr>
        <w:t>Convention of the Rights of Persons with Disabilities</w:t>
      </w:r>
      <w:r w:rsidRPr="00F93707">
        <w:rPr>
          <w:rFonts w:ascii="Arial" w:eastAsia="Times New Roman" w:hAnsi="Arial" w:cs="Arial"/>
          <w:szCs w:val="19"/>
          <w:lang w:val="en-GB" w:eastAsia="en-AU"/>
        </w:rPr>
        <w:t>:</w:t>
      </w:r>
    </w:p>
    <w:p w14:paraId="04E0BCA2" w14:textId="77777777" w:rsidR="009F361C" w:rsidRPr="00F93707" w:rsidRDefault="009F361C" w:rsidP="009F361C">
      <w:pPr>
        <w:shd w:val="clear" w:color="auto" w:fill="FFFFFF"/>
        <w:spacing w:after="0" w:line="259" w:lineRule="auto"/>
        <w:jc w:val="both"/>
        <w:rPr>
          <w:rFonts w:ascii="Arial" w:eastAsia="Times New Roman" w:hAnsi="Arial" w:cs="Arial"/>
          <w:szCs w:val="19"/>
          <w:lang w:eastAsia="en-AU"/>
        </w:rPr>
      </w:pPr>
    </w:p>
    <w:p w14:paraId="1D2323F6" w14:textId="61024B88" w:rsidR="009F361C" w:rsidRPr="00F93707" w:rsidRDefault="009F361C" w:rsidP="007A383E">
      <w:pPr>
        <w:pStyle w:val="ListParagraph"/>
        <w:numPr>
          <w:ilvl w:val="0"/>
          <w:numId w:val="5"/>
        </w:numPr>
        <w:shd w:val="clear" w:color="auto" w:fill="FFFFFF"/>
        <w:spacing w:before="0" w:beforeAutospacing="0" w:after="0" w:line="259" w:lineRule="auto"/>
        <w:jc w:val="both"/>
        <w:rPr>
          <w:rFonts w:ascii="Arial" w:hAnsi="Arial" w:cs="Arial"/>
          <w:szCs w:val="19"/>
        </w:rPr>
      </w:pPr>
      <w:r w:rsidRPr="00F93707">
        <w:rPr>
          <w:rFonts w:ascii="Arial" w:hAnsi="Arial" w:cs="Arial"/>
          <w:sz w:val="22"/>
          <w:szCs w:val="19"/>
          <w:lang w:val="en-GB"/>
        </w:rPr>
        <w:t>the right to an adequate standard of living, </w:t>
      </w:r>
      <w:r w:rsidRPr="00F93707">
        <w:rPr>
          <w:rFonts w:ascii="Arial" w:hAnsi="Arial" w:cs="Arial"/>
          <w:sz w:val="22"/>
          <w:szCs w:val="19"/>
        </w:rPr>
        <w:t>including with respect to food, clothing and housing, and to the continuous improvement of living conditions; and</w:t>
      </w:r>
    </w:p>
    <w:p w14:paraId="68275F38" w14:textId="02C128E0" w:rsidR="009F361C" w:rsidRPr="00F93707" w:rsidRDefault="009F361C" w:rsidP="007A383E">
      <w:pPr>
        <w:pStyle w:val="ListParagraph"/>
        <w:numPr>
          <w:ilvl w:val="0"/>
          <w:numId w:val="5"/>
        </w:numPr>
        <w:shd w:val="clear" w:color="auto" w:fill="FFFFFF"/>
        <w:spacing w:before="0" w:beforeAutospacing="0" w:after="0" w:afterAutospacing="0" w:line="259" w:lineRule="auto"/>
        <w:ind w:left="714" w:hanging="357"/>
        <w:jc w:val="both"/>
        <w:rPr>
          <w:rFonts w:ascii="Arial" w:hAnsi="Arial" w:cs="Arial"/>
          <w:szCs w:val="19"/>
        </w:rPr>
      </w:pPr>
      <w:r w:rsidRPr="00F93707">
        <w:rPr>
          <w:rFonts w:ascii="Arial" w:hAnsi="Arial" w:cs="Arial"/>
          <w:sz w:val="22"/>
          <w:szCs w:val="19"/>
          <w:lang w:val="en-GB"/>
        </w:rPr>
        <w:t>the right to the enjoyment of the highest attainable standard of physical and mental health.</w:t>
      </w:r>
    </w:p>
    <w:p w14:paraId="1C6C9A50" w14:textId="77777777" w:rsidR="00D110CD" w:rsidRPr="00F93707" w:rsidRDefault="00D110CD" w:rsidP="00D110CD">
      <w:pPr>
        <w:shd w:val="clear" w:color="auto" w:fill="FFFFFF"/>
        <w:spacing w:after="0" w:line="259" w:lineRule="auto"/>
        <w:jc w:val="both"/>
        <w:rPr>
          <w:rFonts w:ascii="Arial" w:hAnsi="Arial" w:cs="Arial"/>
          <w:szCs w:val="19"/>
        </w:rPr>
      </w:pPr>
    </w:p>
    <w:p w14:paraId="0B3097DE" w14:textId="46013B70" w:rsidR="00337749" w:rsidRPr="00F93707" w:rsidRDefault="00394FF4" w:rsidP="00D110CD">
      <w:pPr>
        <w:shd w:val="clear" w:color="auto" w:fill="FFFFFF"/>
        <w:spacing w:after="0" w:line="259" w:lineRule="auto"/>
        <w:jc w:val="both"/>
        <w:rPr>
          <w:rFonts w:ascii="Arial" w:eastAsia="Times New Roman" w:hAnsi="Arial" w:cs="Arial"/>
          <w:szCs w:val="19"/>
          <w:lang w:eastAsia="en-AU"/>
        </w:rPr>
      </w:pPr>
      <w:r w:rsidRPr="00F93707">
        <w:rPr>
          <w:rFonts w:ascii="Arial" w:hAnsi="Arial" w:cs="Arial"/>
          <w:szCs w:val="19"/>
        </w:rPr>
        <w:t>The United Nations Committee on Economic Social and Cultural Rights has stated that the right to health is not a right for e</w:t>
      </w:r>
      <w:r w:rsidR="00462892" w:rsidRPr="00F93707">
        <w:rPr>
          <w:rFonts w:ascii="Arial" w:hAnsi="Arial" w:cs="Arial"/>
          <w:szCs w:val="19"/>
        </w:rPr>
        <w:t>a</w:t>
      </w:r>
      <w:r w:rsidRPr="00F93707">
        <w:rPr>
          <w:rFonts w:ascii="Arial" w:hAnsi="Arial" w:cs="Arial"/>
          <w:szCs w:val="19"/>
        </w:rPr>
        <w:t>ch individual to be healthy, but is a right to a system of health protection which provides equality</w:t>
      </w:r>
      <w:r w:rsidR="00462892" w:rsidRPr="00F93707">
        <w:rPr>
          <w:rFonts w:ascii="Arial" w:hAnsi="Arial" w:cs="Arial"/>
          <w:szCs w:val="19"/>
        </w:rPr>
        <w:t xml:space="preserve"> of opportunity for people to enjoy the highest attainable level of health. </w:t>
      </w:r>
    </w:p>
    <w:p w14:paraId="182D2585" w14:textId="158FFF1A" w:rsidR="0035160D" w:rsidRPr="00F93707" w:rsidRDefault="0035160D" w:rsidP="0035160D">
      <w:pPr>
        <w:shd w:val="clear" w:color="auto" w:fill="FFFFFF"/>
        <w:spacing w:after="0" w:line="259" w:lineRule="auto"/>
        <w:jc w:val="both"/>
        <w:rPr>
          <w:rFonts w:ascii="Arial" w:eastAsia="Times New Roman" w:hAnsi="Arial" w:cs="Arial"/>
          <w:szCs w:val="19"/>
          <w:lang w:eastAsia="en-AU"/>
        </w:rPr>
      </w:pPr>
    </w:p>
    <w:p w14:paraId="7F6BA8F3" w14:textId="77777777" w:rsidR="00D110CD" w:rsidRPr="00F93707" w:rsidRDefault="00D110CD" w:rsidP="00D110C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The Australian Government recognises that aged care is a critical sector that faces additional costs of caring for the health and wellbeing of residents due to the COVID</w:t>
      </w:r>
      <w:r w:rsidRPr="00F93707">
        <w:rPr>
          <w:rFonts w:ascii="Arial" w:eastAsia="Times New Roman" w:hAnsi="Arial" w:cs="Arial"/>
          <w:szCs w:val="19"/>
          <w:lang w:eastAsia="en-AU"/>
        </w:rPr>
        <w:noBreakHyphen/>
        <w:t xml:space="preserve">19 pandemic. </w:t>
      </w:r>
    </w:p>
    <w:p w14:paraId="503A3C12" w14:textId="77777777" w:rsidR="00D110CD" w:rsidRPr="00F93707" w:rsidRDefault="00D110CD" w:rsidP="0035160D">
      <w:pPr>
        <w:shd w:val="clear" w:color="auto" w:fill="FFFFFF"/>
        <w:spacing w:after="0" w:line="259" w:lineRule="auto"/>
        <w:jc w:val="both"/>
        <w:rPr>
          <w:rFonts w:ascii="Arial" w:eastAsia="Times New Roman" w:hAnsi="Arial" w:cs="Arial"/>
          <w:szCs w:val="19"/>
          <w:lang w:eastAsia="en-AU"/>
        </w:rPr>
      </w:pPr>
    </w:p>
    <w:p w14:paraId="1F7B4132" w14:textId="4C03ECF6" w:rsidR="00337749" w:rsidRPr="00F93707" w:rsidRDefault="005108F6" w:rsidP="005608C7">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 xml:space="preserve">The temporary </w:t>
      </w:r>
      <w:r w:rsidR="00887F69" w:rsidRPr="00F93707">
        <w:rPr>
          <w:rFonts w:ascii="Arial" w:eastAsia="Times New Roman" w:hAnsi="Arial" w:cs="Arial"/>
          <w:szCs w:val="19"/>
          <w:lang w:eastAsia="en-AU"/>
        </w:rPr>
        <w:t xml:space="preserve">pause </w:t>
      </w:r>
      <w:r w:rsidRPr="00F93707">
        <w:rPr>
          <w:rFonts w:ascii="Arial" w:eastAsia="Times New Roman" w:hAnsi="Arial" w:cs="Arial"/>
          <w:szCs w:val="19"/>
          <w:lang w:eastAsia="en-AU"/>
        </w:rPr>
        <w:t>of the extended hospital leave subsidy reduction</w:t>
      </w:r>
      <w:r w:rsidR="0041135F" w:rsidRPr="00F93707">
        <w:rPr>
          <w:rFonts w:ascii="Arial" w:eastAsia="Times New Roman" w:hAnsi="Arial" w:cs="Arial"/>
          <w:szCs w:val="19"/>
          <w:lang w:eastAsia="en-AU"/>
        </w:rPr>
        <w:t xml:space="preserve"> for the period of</w:t>
      </w:r>
      <w:r w:rsidR="00ED6F0F" w:rsidRPr="00F93707">
        <w:rPr>
          <w:rFonts w:ascii="Arial" w:eastAsia="Times New Roman" w:hAnsi="Arial" w:cs="Arial"/>
          <w:szCs w:val="19"/>
          <w:lang w:eastAsia="en-AU"/>
        </w:rPr>
        <w:t> </w:t>
      </w:r>
      <w:r w:rsidR="0041135F" w:rsidRPr="00F93707">
        <w:rPr>
          <w:rFonts w:ascii="Arial" w:eastAsia="Times New Roman" w:hAnsi="Arial" w:cs="Arial"/>
          <w:szCs w:val="19"/>
          <w:lang w:eastAsia="en-AU"/>
        </w:rPr>
        <w:t>1</w:t>
      </w:r>
      <w:r w:rsidR="00E27F1C" w:rsidRPr="00F93707">
        <w:rPr>
          <w:rFonts w:ascii="Arial" w:eastAsia="Times New Roman" w:hAnsi="Arial" w:cs="Arial"/>
          <w:szCs w:val="19"/>
          <w:lang w:eastAsia="en-AU"/>
        </w:rPr>
        <w:t> </w:t>
      </w:r>
      <w:r w:rsidR="0041135F" w:rsidRPr="00F93707">
        <w:rPr>
          <w:rFonts w:ascii="Arial" w:eastAsia="Times New Roman" w:hAnsi="Arial" w:cs="Arial"/>
          <w:szCs w:val="19"/>
          <w:lang w:eastAsia="en-AU"/>
        </w:rPr>
        <w:t>July</w:t>
      </w:r>
      <w:r w:rsidR="00E27F1C" w:rsidRPr="00F93707">
        <w:rPr>
          <w:rFonts w:ascii="Arial" w:eastAsia="Times New Roman" w:hAnsi="Arial" w:cs="Arial"/>
          <w:szCs w:val="19"/>
          <w:lang w:eastAsia="en-AU"/>
        </w:rPr>
        <w:t> </w:t>
      </w:r>
      <w:r w:rsidR="0041135F" w:rsidRPr="00F93707">
        <w:rPr>
          <w:rFonts w:ascii="Arial" w:eastAsia="Times New Roman" w:hAnsi="Arial" w:cs="Arial"/>
          <w:szCs w:val="19"/>
          <w:lang w:eastAsia="en-AU"/>
        </w:rPr>
        <w:t>202</w:t>
      </w:r>
      <w:r w:rsidR="00E82F69" w:rsidRPr="00F93707">
        <w:rPr>
          <w:rFonts w:ascii="Arial" w:eastAsia="Times New Roman" w:hAnsi="Arial" w:cs="Arial"/>
          <w:szCs w:val="19"/>
          <w:lang w:eastAsia="en-AU"/>
        </w:rPr>
        <w:t>0 to 30</w:t>
      </w:r>
      <w:r w:rsidR="00E27F1C" w:rsidRPr="00F93707">
        <w:rPr>
          <w:rFonts w:ascii="Arial" w:eastAsia="Times New Roman" w:hAnsi="Arial" w:cs="Arial"/>
          <w:szCs w:val="19"/>
          <w:lang w:eastAsia="en-AU"/>
        </w:rPr>
        <w:t> </w:t>
      </w:r>
      <w:r w:rsidR="00E82F69" w:rsidRPr="00F93707">
        <w:rPr>
          <w:rFonts w:ascii="Arial" w:eastAsia="Times New Roman" w:hAnsi="Arial" w:cs="Arial"/>
          <w:szCs w:val="19"/>
          <w:lang w:eastAsia="en-AU"/>
        </w:rPr>
        <w:t>June</w:t>
      </w:r>
      <w:r w:rsidR="00E27F1C" w:rsidRPr="00F93707">
        <w:rPr>
          <w:rFonts w:ascii="Arial" w:eastAsia="Times New Roman" w:hAnsi="Arial" w:cs="Arial"/>
          <w:szCs w:val="19"/>
          <w:lang w:eastAsia="en-AU"/>
        </w:rPr>
        <w:t> </w:t>
      </w:r>
      <w:r w:rsidR="0041135F" w:rsidRPr="00F93707">
        <w:rPr>
          <w:rFonts w:ascii="Arial" w:eastAsia="Times New Roman" w:hAnsi="Arial" w:cs="Arial"/>
          <w:szCs w:val="19"/>
          <w:lang w:eastAsia="en-AU"/>
        </w:rPr>
        <w:t>2021 (inclusive)</w:t>
      </w:r>
      <w:r w:rsidRPr="00F93707">
        <w:rPr>
          <w:rFonts w:ascii="Arial" w:eastAsia="Times New Roman" w:hAnsi="Arial" w:cs="Arial"/>
          <w:szCs w:val="19"/>
          <w:lang w:eastAsia="en-AU"/>
        </w:rPr>
        <w:t xml:space="preserve"> increase</w:t>
      </w:r>
      <w:r w:rsidR="001B54E1" w:rsidRPr="00F93707">
        <w:rPr>
          <w:rFonts w:ascii="Arial" w:eastAsia="Times New Roman" w:hAnsi="Arial" w:cs="Arial"/>
          <w:szCs w:val="19"/>
          <w:lang w:eastAsia="en-AU"/>
        </w:rPr>
        <w:t>s</w:t>
      </w:r>
      <w:r w:rsidRPr="00F93707">
        <w:rPr>
          <w:rFonts w:ascii="Arial" w:eastAsia="Times New Roman" w:hAnsi="Arial" w:cs="Arial"/>
          <w:szCs w:val="19"/>
          <w:lang w:eastAsia="en-AU"/>
        </w:rPr>
        <w:t xml:space="preserve"> </w:t>
      </w:r>
      <w:r w:rsidR="00E7029C" w:rsidRPr="00F93707">
        <w:rPr>
          <w:rFonts w:ascii="Arial" w:eastAsia="Times New Roman" w:hAnsi="Arial" w:cs="Arial"/>
          <w:szCs w:val="19"/>
          <w:lang w:eastAsia="en-AU"/>
        </w:rPr>
        <w:t>the amount of funding payable to</w:t>
      </w:r>
      <w:r w:rsidR="00ED6F0F" w:rsidRPr="00F93707">
        <w:rPr>
          <w:rFonts w:ascii="Arial" w:eastAsia="Times New Roman" w:hAnsi="Arial" w:cs="Arial"/>
          <w:szCs w:val="19"/>
          <w:lang w:eastAsia="en-AU"/>
        </w:rPr>
        <w:t> </w:t>
      </w:r>
      <w:r w:rsidR="00E7029C" w:rsidRPr="00F93707">
        <w:rPr>
          <w:rFonts w:ascii="Arial" w:eastAsia="Times New Roman" w:hAnsi="Arial" w:cs="Arial"/>
          <w:szCs w:val="19"/>
          <w:lang w:eastAsia="en-AU"/>
        </w:rPr>
        <w:t>approved providers</w:t>
      </w:r>
      <w:r w:rsidRPr="00F93707">
        <w:rPr>
          <w:rFonts w:ascii="Arial" w:eastAsia="Times New Roman" w:hAnsi="Arial" w:cs="Arial"/>
          <w:szCs w:val="19"/>
          <w:lang w:eastAsia="en-AU"/>
        </w:rPr>
        <w:t xml:space="preserve"> affected by COVID-19</w:t>
      </w:r>
      <w:r w:rsidR="00E7029C" w:rsidRPr="00F93707">
        <w:rPr>
          <w:rFonts w:ascii="Arial" w:eastAsia="Times New Roman" w:hAnsi="Arial" w:cs="Arial"/>
          <w:szCs w:val="19"/>
          <w:lang w:eastAsia="en-AU"/>
        </w:rPr>
        <w:t xml:space="preserve"> for the provision of care and services to people with a condition of frailty or disability who require assistance to achieve and maintain the highest attainable standard of physical and mental health. </w:t>
      </w:r>
      <w:r w:rsidR="00337749" w:rsidRPr="00F93707">
        <w:rPr>
          <w:rFonts w:ascii="Arial" w:eastAsia="Times New Roman" w:hAnsi="Arial" w:cs="Arial"/>
          <w:szCs w:val="19"/>
          <w:lang w:eastAsia="en-AU"/>
        </w:rPr>
        <w:t>This will assist approved providers to provide care to their care recipients in accordance with an adequate standard of living and the right to the enjoyment of the highest attainable standard of physical and mental health.</w:t>
      </w:r>
    </w:p>
    <w:p w14:paraId="35190EE0" w14:textId="77777777" w:rsidR="0035160D" w:rsidRPr="00F93707" w:rsidRDefault="0035160D" w:rsidP="0035160D">
      <w:pPr>
        <w:shd w:val="clear" w:color="auto" w:fill="FFFFFF"/>
        <w:spacing w:after="0" w:line="259" w:lineRule="auto"/>
        <w:jc w:val="both"/>
        <w:rPr>
          <w:rFonts w:ascii="Arial" w:eastAsia="Times New Roman" w:hAnsi="Arial" w:cs="Arial"/>
          <w:szCs w:val="19"/>
          <w:lang w:eastAsia="en-AU"/>
        </w:rPr>
      </w:pPr>
    </w:p>
    <w:p w14:paraId="311135E7" w14:textId="2D941A10" w:rsidR="00F037E2" w:rsidRPr="00F93707" w:rsidRDefault="001B54E1"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The</w:t>
      </w:r>
      <w:r w:rsidR="00E7029C" w:rsidRPr="00F93707">
        <w:rPr>
          <w:rFonts w:ascii="Arial" w:eastAsia="Times New Roman" w:hAnsi="Arial" w:cs="Arial"/>
          <w:szCs w:val="19"/>
          <w:lang w:eastAsia="en-AU"/>
        </w:rPr>
        <w:t xml:space="preserve"> additional </w:t>
      </w:r>
      <w:r w:rsidRPr="00F93707">
        <w:rPr>
          <w:rFonts w:ascii="Arial" w:eastAsia="Times New Roman" w:hAnsi="Arial" w:cs="Arial"/>
          <w:szCs w:val="19"/>
          <w:lang w:eastAsia="en-AU"/>
        </w:rPr>
        <w:t>funding payable to approved aged care providers</w:t>
      </w:r>
      <w:r w:rsidR="00E7029C" w:rsidRPr="00F93707">
        <w:rPr>
          <w:rFonts w:ascii="Arial" w:eastAsia="Times New Roman" w:hAnsi="Arial" w:cs="Arial"/>
          <w:szCs w:val="19"/>
          <w:lang w:eastAsia="en-AU"/>
        </w:rPr>
        <w:t xml:space="preserve"> </w:t>
      </w:r>
      <w:r w:rsidRPr="00F93707">
        <w:rPr>
          <w:rFonts w:ascii="Arial" w:eastAsia="Times New Roman" w:hAnsi="Arial" w:cs="Arial"/>
          <w:szCs w:val="19"/>
          <w:lang w:eastAsia="en-AU"/>
        </w:rPr>
        <w:t>as a result of</w:t>
      </w:r>
      <w:r w:rsidR="00E7029C" w:rsidRPr="00F93707">
        <w:rPr>
          <w:rFonts w:ascii="Arial" w:eastAsia="Times New Roman" w:hAnsi="Arial" w:cs="Arial"/>
          <w:szCs w:val="19"/>
          <w:lang w:eastAsia="en-AU"/>
        </w:rPr>
        <w:t xml:space="preserve"> this legislative instrument will help </w:t>
      </w:r>
      <w:r w:rsidRPr="00F93707">
        <w:rPr>
          <w:rFonts w:ascii="Arial" w:eastAsia="Times New Roman" w:hAnsi="Arial" w:cs="Arial"/>
          <w:szCs w:val="19"/>
          <w:lang w:eastAsia="en-AU"/>
        </w:rPr>
        <w:t>maintain</w:t>
      </w:r>
      <w:r w:rsidR="00E7029C" w:rsidRPr="00F93707">
        <w:rPr>
          <w:rFonts w:ascii="Arial" w:eastAsia="Times New Roman" w:hAnsi="Arial" w:cs="Arial"/>
          <w:szCs w:val="19"/>
          <w:lang w:eastAsia="en-AU"/>
        </w:rPr>
        <w:t xml:space="preserve"> the viability of providers who have multiple care recipients on extended hospital leave as a result of the COVID-19 pandemic. </w:t>
      </w:r>
      <w:r w:rsidRPr="00F93707">
        <w:rPr>
          <w:rFonts w:ascii="Arial" w:eastAsia="Times New Roman" w:hAnsi="Arial" w:cs="Arial"/>
          <w:szCs w:val="19"/>
          <w:lang w:eastAsia="en-AU"/>
        </w:rPr>
        <w:t>This will, in turn, support</w:t>
      </w:r>
      <w:r w:rsidR="00337749" w:rsidRPr="00F93707">
        <w:rPr>
          <w:rFonts w:ascii="Arial" w:eastAsia="Times New Roman" w:hAnsi="Arial" w:cs="Arial"/>
          <w:szCs w:val="19"/>
          <w:lang w:eastAsia="en-AU"/>
        </w:rPr>
        <w:t xml:space="preserve"> the viability of the </w:t>
      </w:r>
      <w:r w:rsidR="00E7029C" w:rsidRPr="00F93707">
        <w:rPr>
          <w:rFonts w:ascii="Arial" w:eastAsia="Times New Roman" w:hAnsi="Arial" w:cs="Arial"/>
          <w:szCs w:val="19"/>
          <w:lang w:eastAsia="en-AU"/>
        </w:rPr>
        <w:t>aged care sector</w:t>
      </w:r>
      <w:r w:rsidRPr="00F93707">
        <w:rPr>
          <w:rFonts w:ascii="Arial" w:eastAsia="Times New Roman" w:hAnsi="Arial" w:cs="Arial"/>
          <w:szCs w:val="19"/>
          <w:lang w:eastAsia="en-AU"/>
        </w:rPr>
        <w:t xml:space="preserve"> that is</w:t>
      </w:r>
      <w:r w:rsidR="00337749" w:rsidRPr="00F93707">
        <w:rPr>
          <w:rFonts w:ascii="Arial" w:eastAsia="Times New Roman" w:hAnsi="Arial" w:cs="Arial"/>
          <w:szCs w:val="19"/>
          <w:lang w:eastAsia="en-AU"/>
        </w:rPr>
        <w:t xml:space="preserve"> being financially impacted by</w:t>
      </w:r>
      <w:r w:rsidR="00ED6F0F" w:rsidRPr="00F93707">
        <w:rPr>
          <w:rFonts w:ascii="Arial" w:eastAsia="Times New Roman" w:hAnsi="Arial" w:cs="Arial"/>
          <w:szCs w:val="19"/>
          <w:lang w:eastAsia="en-AU"/>
        </w:rPr>
        <w:t> </w:t>
      </w:r>
      <w:r w:rsidR="00337749" w:rsidRPr="00F93707">
        <w:rPr>
          <w:rFonts w:ascii="Arial" w:eastAsia="Times New Roman" w:hAnsi="Arial" w:cs="Arial"/>
          <w:szCs w:val="19"/>
          <w:lang w:eastAsia="en-AU"/>
        </w:rPr>
        <w:t>COVID</w:t>
      </w:r>
      <w:r w:rsidR="00337749" w:rsidRPr="00F93707">
        <w:rPr>
          <w:rFonts w:ascii="Arial" w:eastAsia="Times New Roman" w:hAnsi="Arial" w:cs="Arial"/>
          <w:szCs w:val="19"/>
          <w:lang w:eastAsia="en-AU"/>
        </w:rPr>
        <w:noBreakHyphen/>
        <w:t>19.</w:t>
      </w:r>
    </w:p>
    <w:p w14:paraId="28DFE018" w14:textId="7C4D9BC2"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5DE72F62" w14:textId="644D5CCC"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Legislation requires government-subsidised aged care homes meet standards to ensure that quality care and services are provided to all residents. The Australian Government’s spending on aged care will protect aged care recipient’s rights to an adequate standard of</w:t>
      </w:r>
      <w:r w:rsidR="00ED6F0F" w:rsidRPr="00F93707">
        <w:rPr>
          <w:rFonts w:ascii="Arial" w:eastAsia="Times New Roman" w:hAnsi="Arial" w:cs="Arial"/>
          <w:szCs w:val="19"/>
          <w:lang w:eastAsia="en-AU"/>
        </w:rPr>
        <w:t> </w:t>
      </w:r>
      <w:r w:rsidRPr="00F93707">
        <w:rPr>
          <w:rFonts w:ascii="Arial" w:eastAsia="Times New Roman" w:hAnsi="Arial" w:cs="Arial"/>
          <w:szCs w:val="19"/>
          <w:lang w:eastAsia="en-AU"/>
        </w:rPr>
        <w:t>living.</w:t>
      </w:r>
    </w:p>
    <w:p w14:paraId="0911AA15" w14:textId="45AC5B88"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p>
    <w:p w14:paraId="05B69530" w14:textId="77777777" w:rsidR="00337749" w:rsidRPr="00F93707" w:rsidRDefault="00337749" w:rsidP="0035160D">
      <w:pPr>
        <w:shd w:val="clear" w:color="auto" w:fill="FFFFFF"/>
        <w:spacing w:after="0" w:line="259" w:lineRule="auto"/>
        <w:jc w:val="both"/>
        <w:rPr>
          <w:rFonts w:ascii="Arial" w:eastAsia="Times New Roman" w:hAnsi="Arial" w:cs="Arial"/>
          <w:b/>
          <w:szCs w:val="19"/>
          <w:lang w:eastAsia="en-AU"/>
        </w:rPr>
      </w:pPr>
      <w:r w:rsidRPr="00F93707">
        <w:rPr>
          <w:rFonts w:ascii="Arial" w:eastAsia="Times New Roman" w:hAnsi="Arial" w:cs="Arial"/>
          <w:b/>
          <w:szCs w:val="19"/>
          <w:lang w:eastAsia="en-AU"/>
        </w:rPr>
        <w:t xml:space="preserve">Conclusion </w:t>
      </w:r>
    </w:p>
    <w:p w14:paraId="488616B2" w14:textId="32EB6317" w:rsidR="00337749" w:rsidRPr="00F93707" w:rsidRDefault="00337749" w:rsidP="0035160D">
      <w:pPr>
        <w:shd w:val="clear" w:color="auto" w:fill="FFFFFF"/>
        <w:spacing w:after="0" w:line="259" w:lineRule="auto"/>
        <w:jc w:val="both"/>
        <w:rPr>
          <w:rFonts w:ascii="Arial" w:eastAsia="Times New Roman" w:hAnsi="Arial" w:cs="Arial"/>
          <w:szCs w:val="19"/>
          <w:lang w:eastAsia="en-AU"/>
        </w:rPr>
      </w:pPr>
      <w:r w:rsidRPr="00F93707">
        <w:rPr>
          <w:rFonts w:ascii="Arial" w:eastAsia="Times New Roman" w:hAnsi="Arial" w:cs="Arial"/>
          <w:szCs w:val="19"/>
          <w:lang w:eastAsia="en-AU"/>
        </w:rPr>
        <w:t>This legislative instrument is compatible with human rights as it promotes the human right to</w:t>
      </w:r>
      <w:r w:rsidR="00ED6F0F" w:rsidRPr="00F93707">
        <w:rPr>
          <w:rFonts w:ascii="Arial" w:eastAsia="Times New Roman" w:hAnsi="Arial" w:cs="Arial"/>
          <w:szCs w:val="19"/>
          <w:lang w:eastAsia="en-AU"/>
        </w:rPr>
        <w:t> </w:t>
      </w:r>
      <w:r w:rsidRPr="00F93707">
        <w:rPr>
          <w:rFonts w:ascii="Arial" w:eastAsia="Times New Roman" w:hAnsi="Arial" w:cs="Arial"/>
          <w:szCs w:val="19"/>
          <w:lang w:eastAsia="en-AU"/>
        </w:rPr>
        <w:t>an adequate standard of living and the highest attainable standard of physical and mental health.</w:t>
      </w:r>
    </w:p>
    <w:p w14:paraId="5B2196B6" w14:textId="72BA98DD" w:rsidR="00337749" w:rsidRPr="00F93707" w:rsidRDefault="00337749" w:rsidP="003276E7">
      <w:pPr>
        <w:shd w:val="clear" w:color="auto" w:fill="FFFFFF"/>
        <w:spacing w:after="0" w:line="259" w:lineRule="auto"/>
        <w:rPr>
          <w:rFonts w:ascii="Arial" w:eastAsia="Times New Roman" w:hAnsi="Arial" w:cs="Arial"/>
          <w:szCs w:val="19"/>
          <w:lang w:eastAsia="en-AU"/>
        </w:rPr>
      </w:pPr>
    </w:p>
    <w:p w14:paraId="329F9B1C" w14:textId="1D5C747B" w:rsidR="00337749" w:rsidRPr="00F93707" w:rsidRDefault="00337749" w:rsidP="003276E7">
      <w:pPr>
        <w:keepNext/>
        <w:shd w:val="clear" w:color="auto" w:fill="FFFFFF"/>
        <w:spacing w:after="0" w:line="259" w:lineRule="auto"/>
        <w:rPr>
          <w:rFonts w:ascii="Arial" w:eastAsia="Times New Roman" w:hAnsi="Arial" w:cs="Arial"/>
          <w:szCs w:val="19"/>
          <w:lang w:eastAsia="en-AU"/>
        </w:rPr>
      </w:pPr>
    </w:p>
    <w:p w14:paraId="7EED42A2" w14:textId="77777777" w:rsidR="0035160D" w:rsidRPr="00F93707" w:rsidRDefault="0035160D" w:rsidP="003276E7">
      <w:pPr>
        <w:keepNext/>
        <w:shd w:val="clear" w:color="auto" w:fill="FFFFFF"/>
        <w:spacing w:after="0" w:line="259" w:lineRule="auto"/>
        <w:rPr>
          <w:rFonts w:ascii="Arial" w:eastAsia="Times New Roman" w:hAnsi="Arial" w:cs="Arial"/>
          <w:szCs w:val="19"/>
          <w:lang w:eastAsia="en-AU"/>
        </w:rPr>
      </w:pPr>
    </w:p>
    <w:p w14:paraId="300E5697" w14:textId="77777777" w:rsidR="00337749" w:rsidRPr="00F93707" w:rsidRDefault="00337749" w:rsidP="0035160D">
      <w:pPr>
        <w:keepNext/>
        <w:shd w:val="clear" w:color="auto" w:fill="FFFFFF"/>
        <w:spacing w:after="0" w:line="259" w:lineRule="auto"/>
        <w:jc w:val="center"/>
        <w:rPr>
          <w:rFonts w:ascii="Arial" w:eastAsia="Times New Roman" w:hAnsi="Arial" w:cs="Arial"/>
          <w:b/>
          <w:szCs w:val="19"/>
          <w:lang w:eastAsia="en-AU"/>
        </w:rPr>
      </w:pPr>
      <w:r w:rsidRPr="00F93707">
        <w:rPr>
          <w:rFonts w:ascii="Arial" w:eastAsia="Times New Roman" w:hAnsi="Arial" w:cs="Arial"/>
          <w:b/>
          <w:szCs w:val="19"/>
          <w:lang w:eastAsia="en-AU"/>
        </w:rPr>
        <w:t>Senator the Hon Richard Colbeck</w:t>
      </w:r>
    </w:p>
    <w:p w14:paraId="311CBB65" w14:textId="77777777" w:rsidR="00337749" w:rsidRPr="005608C7" w:rsidRDefault="00337749" w:rsidP="0035160D">
      <w:pPr>
        <w:keepNext/>
        <w:shd w:val="clear" w:color="auto" w:fill="FFFFFF"/>
        <w:spacing w:after="0" w:line="259" w:lineRule="auto"/>
        <w:jc w:val="center"/>
        <w:rPr>
          <w:rFonts w:ascii="Arial" w:eastAsia="Times New Roman" w:hAnsi="Arial" w:cs="Arial"/>
          <w:b/>
          <w:szCs w:val="19"/>
          <w:lang w:eastAsia="en-AU"/>
        </w:rPr>
      </w:pPr>
      <w:r w:rsidRPr="00F93707">
        <w:rPr>
          <w:rFonts w:ascii="Arial" w:eastAsia="Times New Roman" w:hAnsi="Arial" w:cs="Arial"/>
          <w:b/>
          <w:szCs w:val="19"/>
          <w:lang w:eastAsia="en-AU"/>
        </w:rPr>
        <w:t>Minister for Aged Care and Senior Australians</w:t>
      </w:r>
      <w:bookmarkStart w:id="0" w:name="_GoBack"/>
      <w:bookmarkEnd w:id="0"/>
    </w:p>
    <w:p w14:paraId="364DD1AE" w14:textId="77777777" w:rsidR="00E421D6" w:rsidRPr="005608C7" w:rsidRDefault="00E421D6" w:rsidP="00337749">
      <w:pPr>
        <w:spacing w:after="120"/>
      </w:pPr>
    </w:p>
    <w:sectPr w:rsidR="00E421D6" w:rsidRPr="005608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BB1CB" w14:textId="77777777" w:rsidR="0041135F" w:rsidRDefault="0041135F" w:rsidP="0041135F">
      <w:pPr>
        <w:spacing w:after="0" w:line="240" w:lineRule="auto"/>
      </w:pPr>
      <w:r>
        <w:separator/>
      </w:r>
    </w:p>
  </w:endnote>
  <w:endnote w:type="continuationSeparator" w:id="0">
    <w:p w14:paraId="360A41F8" w14:textId="77777777" w:rsidR="0041135F" w:rsidRDefault="0041135F" w:rsidP="0041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62243" w14:textId="77777777" w:rsidR="0041135F" w:rsidRDefault="0041135F" w:rsidP="0041135F">
      <w:pPr>
        <w:spacing w:after="0" w:line="240" w:lineRule="auto"/>
      </w:pPr>
      <w:r>
        <w:separator/>
      </w:r>
    </w:p>
  </w:footnote>
  <w:footnote w:type="continuationSeparator" w:id="0">
    <w:p w14:paraId="28EA013F" w14:textId="77777777" w:rsidR="0041135F" w:rsidRDefault="0041135F" w:rsidP="00411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92003"/>
    <w:multiLevelType w:val="hybridMultilevel"/>
    <w:tmpl w:val="930838D8"/>
    <w:lvl w:ilvl="0" w:tplc="68A4C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FA69BD"/>
    <w:multiLevelType w:val="hybridMultilevel"/>
    <w:tmpl w:val="813A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997297"/>
    <w:multiLevelType w:val="hybridMultilevel"/>
    <w:tmpl w:val="976CB41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62521DD0"/>
    <w:multiLevelType w:val="hybridMultilevel"/>
    <w:tmpl w:val="F188953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66FA5D24"/>
    <w:multiLevelType w:val="hybridMultilevel"/>
    <w:tmpl w:val="DD824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49"/>
    <w:rsid w:val="00024B22"/>
    <w:rsid w:val="00052B85"/>
    <w:rsid w:val="0006151E"/>
    <w:rsid w:val="000674B7"/>
    <w:rsid w:val="0007544B"/>
    <w:rsid w:val="00110F89"/>
    <w:rsid w:val="00136DF0"/>
    <w:rsid w:val="001579DD"/>
    <w:rsid w:val="0016614A"/>
    <w:rsid w:val="00182945"/>
    <w:rsid w:val="001B54E1"/>
    <w:rsid w:val="00204F4B"/>
    <w:rsid w:val="00215D99"/>
    <w:rsid w:val="0021668E"/>
    <w:rsid w:val="002219E3"/>
    <w:rsid w:val="00232A20"/>
    <w:rsid w:val="002660EF"/>
    <w:rsid w:val="00296317"/>
    <w:rsid w:val="002C6BA6"/>
    <w:rsid w:val="002D3D94"/>
    <w:rsid w:val="00302E8D"/>
    <w:rsid w:val="00312AC8"/>
    <w:rsid w:val="003276E7"/>
    <w:rsid w:val="00332566"/>
    <w:rsid w:val="00337749"/>
    <w:rsid w:val="0035160D"/>
    <w:rsid w:val="00365CC9"/>
    <w:rsid w:val="00365F55"/>
    <w:rsid w:val="00394FF4"/>
    <w:rsid w:val="003A03D7"/>
    <w:rsid w:val="003A349C"/>
    <w:rsid w:val="003B170F"/>
    <w:rsid w:val="003C3140"/>
    <w:rsid w:val="003E5BAE"/>
    <w:rsid w:val="003F6CCF"/>
    <w:rsid w:val="0041135F"/>
    <w:rsid w:val="004118A3"/>
    <w:rsid w:val="004336D7"/>
    <w:rsid w:val="00443720"/>
    <w:rsid w:val="00457BC8"/>
    <w:rsid w:val="004601D7"/>
    <w:rsid w:val="00461733"/>
    <w:rsid w:val="00462892"/>
    <w:rsid w:val="0049380E"/>
    <w:rsid w:val="00495A61"/>
    <w:rsid w:val="004C7F49"/>
    <w:rsid w:val="004C7F66"/>
    <w:rsid w:val="004E2CF4"/>
    <w:rsid w:val="004E6BA0"/>
    <w:rsid w:val="004F10A4"/>
    <w:rsid w:val="004F3F26"/>
    <w:rsid w:val="005108F6"/>
    <w:rsid w:val="00531067"/>
    <w:rsid w:val="005608C7"/>
    <w:rsid w:val="005667BB"/>
    <w:rsid w:val="0057124A"/>
    <w:rsid w:val="005F5F0C"/>
    <w:rsid w:val="00603A46"/>
    <w:rsid w:val="00607D13"/>
    <w:rsid w:val="0061655B"/>
    <w:rsid w:val="0062040F"/>
    <w:rsid w:val="006314CC"/>
    <w:rsid w:val="00635D3E"/>
    <w:rsid w:val="00692382"/>
    <w:rsid w:val="006C4987"/>
    <w:rsid w:val="006E1D20"/>
    <w:rsid w:val="00700E28"/>
    <w:rsid w:val="00702FCE"/>
    <w:rsid w:val="00710B46"/>
    <w:rsid w:val="00714578"/>
    <w:rsid w:val="00734582"/>
    <w:rsid w:val="00771D35"/>
    <w:rsid w:val="007A383E"/>
    <w:rsid w:val="007C0CBB"/>
    <w:rsid w:val="008067D6"/>
    <w:rsid w:val="008128A7"/>
    <w:rsid w:val="008455CC"/>
    <w:rsid w:val="008739AA"/>
    <w:rsid w:val="00887F69"/>
    <w:rsid w:val="008B1468"/>
    <w:rsid w:val="008B44BA"/>
    <w:rsid w:val="008B4538"/>
    <w:rsid w:val="008C19B2"/>
    <w:rsid w:val="008E2B5A"/>
    <w:rsid w:val="00942581"/>
    <w:rsid w:val="009606BB"/>
    <w:rsid w:val="009A2A18"/>
    <w:rsid w:val="009D485D"/>
    <w:rsid w:val="009D7A62"/>
    <w:rsid w:val="009E4BE3"/>
    <w:rsid w:val="009F361C"/>
    <w:rsid w:val="00A008D3"/>
    <w:rsid w:val="00A11605"/>
    <w:rsid w:val="00A268E4"/>
    <w:rsid w:val="00A41C51"/>
    <w:rsid w:val="00AE5EBC"/>
    <w:rsid w:val="00AF29B2"/>
    <w:rsid w:val="00AF61C5"/>
    <w:rsid w:val="00B034BC"/>
    <w:rsid w:val="00B656C4"/>
    <w:rsid w:val="00B82DEB"/>
    <w:rsid w:val="00B863D1"/>
    <w:rsid w:val="00B97B84"/>
    <w:rsid w:val="00BB791D"/>
    <w:rsid w:val="00BD685F"/>
    <w:rsid w:val="00C038A1"/>
    <w:rsid w:val="00C25D2E"/>
    <w:rsid w:val="00C366F6"/>
    <w:rsid w:val="00C47C09"/>
    <w:rsid w:val="00C54167"/>
    <w:rsid w:val="00C8052A"/>
    <w:rsid w:val="00C83612"/>
    <w:rsid w:val="00C93C8F"/>
    <w:rsid w:val="00CD24CF"/>
    <w:rsid w:val="00D110CD"/>
    <w:rsid w:val="00D2186D"/>
    <w:rsid w:val="00D458EA"/>
    <w:rsid w:val="00D46819"/>
    <w:rsid w:val="00DC629C"/>
    <w:rsid w:val="00DD3921"/>
    <w:rsid w:val="00DE23B6"/>
    <w:rsid w:val="00DE2C45"/>
    <w:rsid w:val="00DF2FF3"/>
    <w:rsid w:val="00E11D59"/>
    <w:rsid w:val="00E27F1C"/>
    <w:rsid w:val="00E41ACF"/>
    <w:rsid w:val="00E421D6"/>
    <w:rsid w:val="00E4567C"/>
    <w:rsid w:val="00E662F0"/>
    <w:rsid w:val="00E7029C"/>
    <w:rsid w:val="00E75CB5"/>
    <w:rsid w:val="00E82F69"/>
    <w:rsid w:val="00E90726"/>
    <w:rsid w:val="00ED001F"/>
    <w:rsid w:val="00ED6F0F"/>
    <w:rsid w:val="00EE2528"/>
    <w:rsid w:val="00EE4172"/>
    <w:rsid w:val="00F037E2"/>
    <w:rsid w:val="00F05EB7"/>
    <w:rsid w:val="00F11C6A"/>
    <w:rsid w:val="00F31D0B"/>
    <w:rsid w:val="00F3600B"/>
    <w:rsid w:val="00F40CEB"/>
    <w:rsid w:val="00F745D9"/>
    <w:rsid w:val="00F93707"/>
    <w:rsid w:val="00FF1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247"/>
  <w15:chartTrackingRefBased/>
  <w15:docId w15:val="{F03A0E3D-6A84-4474-8952-B6E479BA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749"/>
    <w:rPr>
      <w:color w:val="0000FF"/>
      <w:u w:val="single"/>
    </w:rPr>
  </w:style>
  <w:style w:type="paragraph" w:styleId="Title">
    <w:name w:val="Title"/>
    <w:basedOn w:val="Normal"/>
    <w:link w:val="TitleChar"/>
    <w:uiPriority w:val="10"/>
    <w:qFormat/>
    <w:rsid w:val="003377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337749"/>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377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337749"/>
  </w:style>
  <w:style w:type="character" w:customStyle="1" w:styleId="charsubdno">
    <w:name w:val="charsubdno"/>
    <w:basedOn w:val="DefaultParagraphFont"/>
    <w:rsid w:val="00337749"/>
  </w:style>
  <w:style w:type="character" w:styleId="CommentReference">
    <w:name w:val="annotation reference"/>
    <w:basedOn w:val="DefaultParagraphFont"/>
    <w:uiPriority w:val="99"/>
    <w:semiHidden/>
    <w:unhideWhenUsed/>
    <w:rsid w:val="004E6BA0"/>
    <w:rPr>
      <w:sz w:val="16"/>
      <w:szCs w:val="16"/>
    </w:rPr>
  </w:style>
  <w:style w:type="paragraph" w:styleId="CommentText">
    <w:name w:val="annotation text"/>
    <w:basedOn w:val="Normal"/>
    <w:link w:val="CommentTextChar"/>
    <w:uiPriority w:val="99"/>
    <w:semiHidden/>
    <w:unhideWhenUsed/>
    <w:rsid w:val="004E6BA0"/>
    <w:pPr>
      <w:spacing w:line="240" w:lineRule="auto"/>
    </w:pPr>
    <w:rPr>
      <w:sz w:val="20"/>
      <w:szCs w:val="20"/>
    </w:rPr>
  </w:style>
  <w:style w:type="character" w:customStyle="1" w:styleId="CommentTextChar">
    <w:name w:val="Comment Text Char"/>
    <w:basedOn w:val="DefaultParagraphFont"/>
    <w:link w:val="CommentText"/>
    <w:uiPriority w:val="99"/>
    <w:semiHidden/>
    <w:rsid w:val="004E6BA0"/>
    <w:rPr>
      <w:sz w:val="20"/>
      <w:szCs w:val="20"/>
    </w:rPr>
  </w:style>
  <w:style w:type="paragraph" w:styleId="CommentSubject">
    <w:name w:val="annotation subject"/>
    <w:basedOn w:val="CommentText"/>
    <w:next w:val="CommentText"/>
    <w:link w:val="CommentSubjectChar"/>
    <w:uiPriority w:val="99"/>
    <w:semiHidden/>
    <w:unhideWhenUsed/>
    <w:rsid w:val="004E6BA0"/>
    <w:rPr>
      <w:b/>
      <w:bCs/>
    </w:rPr>
  </w:style>
  <w:style w:type="character" w:customStyle="1" w:styleId="CommentSubjectChar">
    <w:name w:val="Comment Subject Char"/>
    <w:basedOn w:val="CommentTextChar"/>
    <w:link w:val="CommentSubject"/>
    <w:uiPriority w:val="99"/>
    <w:semiHidden/>
    <w:rsid w:val="004E6BA0"/>
    <w:rPr>
      <w:b/>
      <w:bCs/>
      <w:sz w:val="20"/>
      <w:szCs w:val="20"/>
    </w:rPr>
  </w:style>
  <w:style w:type="paragraph" w:styleId="BalloonText">
    <w:name w:val="Balloon Text"/>
    <w:basedOn w:val="Normal"/>
    <w:link w:val="BalloonTextChar"/>
    <w:uiPriority w:val="99"/>
    <w:semiHidden/>
    <w:unhideWhenUsed/>
    <w:rsid w:val="004E6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A0"/>
    <w:rPr>
      <w:rFonts w:ascii="Segoe UI" w:hAnsi="Segoe UI" w:cs="Segoe UI"/>
      <w:sz w:val="18"/>
      <w:szCs w:val="18"/>
    </w:rPr>
  </w:style>
  <w:style w:type="paragraph" w:styleId="Header">
    <w:name w:val="header"/>
    <w:basedOn w:val="Normal"/>
    <w:link w:val="HeaderChar"/>
    <w:uiPriority w:val="99"/>
    <w:unhideWhenUsed/>
    <w:rsid w:val="0041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5F"/>
  </w:style>
  <w:style w:type="paragraph" w:styleId="Footer">
    <w:name w:val="footer"/>
    <w:basedOn w:val="Normal"/>
    <w:link w:val="FooterChar"/>
    <w:uiPriority w:val="99"/>
    <w:unhideWhenUsed/>
    <w:rsid w:val="0041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5F"/>
  </w:style>
  <w:style w:type="paragraph" w:styleId="Revision">
    <w:name w:val="Revision"/>
    <w:hidden/>
    <w:uiPriority w:val="99"/>
    <w:semiHidden/>
    <w:rsid w:val="00216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3601">
      <w:bodyDiv w:val="1"/>
      <w:marLeft w:val="0"/>
      <w:marRight w:val="0"/>
      <w:marTop w:val="0"/>
      <w:marBottom w:val="0"/>
      <w:divBdr>
        <w:top w:val="none" w:sz="0" w:space="0" w:color="auto"/>
        <w:left w:val="none" w:sz="0" w:space="0" w:color="auto"/>
        <w:bottom w:val="none" w:sz="0" w:space="0" w:color="auto"/>
        <w:right w:val="none" w:sz="0" w:space="0" w:color="auto"/>
      </w:divBdr>
      <w:divsChild>
        <w:div w:id="747970215">
          <w:marLeft w:val="0"/>
          <w:marRight w:val="0"/>
          <w:marTop w:val="0"/>
          <w:marBottom w:val="0"/>
          <w:divBdr>
            <w:top w:val="none" w:sz="0" w:space="0" w:color="auto"/>
            <w:left w:val="none" w:sz="0" w:space="0" w:color="auto"/>
            <w:bottom w:val="none" w:sz="0" w:space="0" w:color="auto"/>
            <w:right w:val="none" w:sz="0" w:space="0" w:color="auto"/>
          </w:divBdr>
          <w:divsChild>
            <w:div w:id="937564223">
              <w:marLeft w:val="0"/>
              <w:marRight w:val="0"/>
              <w:marTop w:val="0"/>
              <w:marBottom w:val="0"/>
              <w:divBdr>
                <w:top w:val="none" w:sz="0" w:space="0" w:color="auto"/>
                <w:left w:val="none" w:sz="0" w:space="0" w:color="auto"/>
                <w:bottom w:val="none" w:sz="0" w:space="0" w:color="auto"/>
                <w:right w:val="none" w:sz="0" w:space="0" w:color="auto"/>
              </w:divBdr>
              <w:divsChild>
                <w:div w:id="319316089">
                  <w:marLeft w:val="0"/>
                  <w:marRight w:val="0"/>
                  <w:marTop w:val="0"/>
                  <w:marBottom w:val="0"/>
                  <w:divBdr>
                    <w:top w:val="none" w:sz="0" w:space="0" w:color="auto"/>
                    <w:left w:val="none" w:sz="0" w:space="0" w:color="auto"/>
                    <w:bottom w:val="none" w:sz="0" w:space="0" w:color="auto"/>
                    <w:right w:val="none" w:sz="0" w:space="0" w:color="auto"/>
                  </w:divBdr>
                  <w:divsChild>
                    <w:div w:id="1212880571">
                      <w:marLeft w:val="0"/>
                      <w:marRight w:val="0"/>
                      <w:marTop w:val="0"/>
                      <w:marBottom w:val="0"/>
                      <w:divBdr>
                        <w:top w:val="none" w:sz="0" w:space="0" w:color="auto"/>
                        <w:left w:val="none" w:sz="0" w:space="0" w:color="auto"/>
                        <w:bottom w:val="none" w:sz="0" w:space="0" w:color="auto"/>
                        <w:right w:val="none" w:sz="0" w:space="0" w:color="auto"/>
                      </w:divBdr>
                      <w:divsChild>
                        <w:div w:id="1669209272">
                          <w:marLeft w:val="0"/>
                          <w:marRight w:val="0"/>
                          <w:marTop w:val="0"/>
                          <w:marBottom w:val="0"/>
                          <w:divBdr>
                            <w:top w:val="none" w:sz="0" w:space="0" w:color="auto"/>
                            <w:left w:val="none" w:sz="0" w:space="0" w:color="auto"/>
                            <w:bottom w:val="none" w:sz="0" w:space="0" w:color="auto"/>
                            <w:right w:val="none" w:sz="0" w:space="0" w:color="auto"/>
                          </w:divBdr>
                          <w:divsChild>
                            <w:div w:id="1896622102">
                              <w:marLeft w:val="0"/>
                              <w:marRight w:val="0"/>
                              <w:marTop w:val="0"/>
                              <w:marBottom w:val="0"/>
                              <w:divBdr>
                                <w:top w:val="none" w:sz="0" w:space="0" w:color="auto"/>
                                <w:left w:val="none" w:sz="0" w:space="0" w:color="auto"/>
                                <w:bottom w:val="none" w:sz="0" w:space="0" w:color="auto"/>
                                <w:right w:val="none" w:sz="0" w:space="0" w:color="auto"/>
                              </w:divBdr>
                              <w:divsChild>
                                <w:div w:id="2006276802">
                                  <w:marLeft w:val="0"/>
                                  <w:marRight w:val="0"/>
                                  <w:marTop w:val="0"/>
                                  <w:marBottom w:val="0"/>
                                  <w:divBdr>
                                    <w:top w:val="none" w:sz="0" w:space="0" w:color="auto"/>
                                    <w:left w:val="none" w:sz="0" w:space="0" w:color="auto"/>
                                    <w:bottom w:val="none" w:sz="0" w:space="0" w:color="auto"/>
                                    <w:right w:val="none" w:sz="0" w:space="0" w:color="auto"/>
                                  </w:divBdr>
                                  <w:divsChild>
                                    <w:div w:id="1768387468">
                                      <w:marLeft w:val="0"/>
                                      <w:marRight w:val="0"/>
                                      <w:marTop w:val="0"/>
                                      <w:marBottom w:val="0"/>
                                      <w:divBdr>
                                        <w:top w:val="none" w:sz="0" w:space="0" w:color="auto"/>
                                        <w:left w:val="none" w:sz="0" w:space="0" w:color="auto"/>
                                        <w:bottom w:val="none" w:sz="0" w:space="0" w:color="auto"/>
                                        <w:right w:val="none" w:sz="0" w:space="0" w:color="auto"/>
                                      </w:divBdr>
                                      <w:divsChild>
                                        <w:div w:id="1558282165">
                                          <w:marLeft w:val="0"/>
                                          <w:marRight w:val="0"/>
                                          <w:marTop w:val="0"/>
                                          <w:marBottom w:val="0"/>
                                          <w:divBdr>
                                            <w:top w:val="none" w:sz="0" w:space="0" w:color="auto"/>
                                            <w:left w:val="none" w:sz="0" w:space="0" w:color="auto"/>
                                            <w:bottom w:val="none" w:sz="0" w:space="0" w:color="auto"/>
                                            <w:right w:val="none" w:sz="0" w:space="0" w:color="auto"/>
                                          </w:divBdr>
                                          <w:divsChild>
                                            <w:div w:id="1006052787">
                                              <w:marLeft w:val="0"/>
                                              <w:marRight w:val="0"/>
                                              <w:marTop w:val="0"/>
                                              <w:marBottom w:val="0"/>
                                              <w:divBdr>
                                                <w:top w:val="none" w:sz="0" w:space="0" w:color="auto"/>
                                                <w:left w:val="none" w:sz="0" w:space="0" w:color="auto"/>
                                                <w:bottom w:val="none" w:sz="0" w:space="0" w:color="auto"/>
                                                <w:right w:val="none" w:sz="0" w:space="0" w:color="auto"/>
                                              </w:divBdr>
                                              <w:divsChild>
                                                <w:div w:id="1674802102">
                                                  <w:marLeft w:val="0"/>
                                                  <w:marRight w:val="0"/>
                                                  <w:marTop w:val="0"/>
                                                  <w:marBottom w:val="0"/>
                                                  <w:divBdr>
                                                    <w:top w:val="none" w:sz="0" w:space="0" w:color="auto"/>
                                                    <w:left w:val="none" w:sz="0" w:space="0" w:color="auto"/>
                                                    <w:bottom w:val="none" w:sz="0" w:space="0" w:color="auto"/>
                                                    <w:right w:val="none" w:sz="0" w:space="0" w:color="auto"/>
                                                  </w:divBdr>
                                                  <w:divsChild>
                                                    <w:div w:id="631398503">
                                                      <w:marLeft w:val="0"/>
                                                      <w:marRight w:val="0"/>
                                                      <w:marTop w:val="0"/>
                                                      <w:marBottom w:val="0"/>
                                                      <w:divBdr>
                                                        <w:top w:val="none" w:sz="0" w:space="0" w:color="auto"/>
                                                        <w:left w:val="none" w:sz="0" w:space="0" w:color="auto"/>
                                                        <w:bottom w:val="none" w:sz="0" w:space="0" w:color="auto"/>
                                                        <w:right w:val="none" w:sz="0" w:space="0" w:color="auto"/>
                                                      </w:divBdr>
                                                      <w:divsChild>
                                                        <w:div w:id="12385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0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F50E7066D74A146B8A07B7BA300FECD" ma:contentTypeVersion="" ma:contentTypeDescription="PDMS Document Site Content Type" ma:contentTypeScope="" ma:versionID="9bd5968db7c14c6e97b1fa9637d61160">
  <xsd:schema xmlns:xsd="http://www.w3.org/2001/XMLSchema" xmlns:xs="http://www.w3.org/2001/XMLSchema" xmlns:p="http://schemas.microsoft.com/office/2006/metadata/properties" xmlns:ns2="979BB1BE-F9FE-4BE1-A98E-1AFDA19035B6" targetNamespace="http://schemas.microsoft.com/office/2006/metadata/properties" ma:root="true" ma:fieldsID="d9126ce36fbd6cb25a26dd74b428c5e2" ns2:_="">
    <xsd:import namespace="979BB1BE-F9FE-4BE1-A98E-1AFDA19035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BB1BE-F9FE-4BE1-A98E-1AFDA19035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79BB1BE-F9FE-4BE1-A98E-1AFDA19035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FAF9-3DD6-40BD-A2D9-934AFF0495D4}">
  <ds:schemaRefs>
    <ds:schemaRef ds:uri="http://schemas.microsoft.com/sharepoint/v3/contenttype/forms"/>
  </ds:schemaRefs>
</ds:datastoreItem>
</file>

<file path=customXml/itemProps2.xml><?xml version="1.0" encoding="utf-8"?>
<ds:datastoreItem xmlns:ds="http://schemas.openxmlformats.org/officeDocument/2006/customXml" ds:itemID="{84EFEA5F-6DC9-4DBC-A82B-E56410315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BB1BE-F9FE-4BE1-A98E-1AFDA1903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6594B-D22B-4107-84EB-2238B87A8ED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79BB1BE-F9FE-4BE1-A98E-1AFDA19035B6"/>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42860B-409A-45DE-85AB-18B6D363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CHRISTENSON</dc:creator>
  <cp:keywords/>
  <dc:description/>
  <cp:lastModifiedBy>NG, Jason</cp:lastModifiedBy>
  <cp:revision>3</cp:revision>
  <dcterms:created xsi:type="dcterms:W3CDTF">2021-02-08T05:28:00Z</dcterms:created>
  <dcterms:modified xsi:type="dcterms:W3CDTF">2021-02-08T05:36:00Z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0x010100266966F133664895A6EE3632470D45F500DF50E7066D74A146B8A07B7BA300FECD</vt:lpwstr>
  </property>
</Properties>
</file>