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6CC7531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5C7AFE2F" w:rsidR="005E317F" w:rsidRPr="00D15A4D" w:rsidRDefault="003F506B" w:rsidP="005E317F">
      <w:pPr>
        <w:pStyle w:val="ShortT"/>
      </w:pPr>
      <w:bookmarkStart w:id="0" w:name="Determination_Title"/>
      <w:r>
        <w:t>Defence</w:t>
      </w:r>
      <w:r w:rsidR="0035148D">
        <w:t xml:space="preserve"> (Location allowance)</w:t>
      </w:r>
      <w:r>
        <w:t xml:space="preserve"> Determination</w:t>
      </w:r>
      <w:r w:rsidR="00506A01">
        <w:t xml:space="preserve"> 20</w:t>
      </w:r>
      <w:r w:rsidR="0035148D">
        <w:t>21</w:t>
      </w:r>
      <w:r w:rsidR="00A575F1">
        <w:t xml:space="preserve"> </w:t>
      </w:r>
      <w:bookmarkEnd w:id="0"/>
    </w:p>
    <w:p w14:paraId="2C45D911" w14:textId="59269ED5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47465C">
        <w:rPr>
          <w:szCs w:val="22"/>
        </w:rPr>
        <w:t>COLONEL KIRK LLOYD</w:t>
      </w:r>
      <w:r w:rsidR="00506A01" w:rsidRPr="00D15A4D">
        <w:rPr>
          <w:szCs w:val="22"/>
        </w:rPr>
        <w:t xml:space="preserve">, </w:t>
      </w:r>
      <w:r w:rsidR="0047465C">
        <w:rPr>
          <w:szCs w:val="22"/>
        </w:rPr>
        <w:t xml:space="preserve">Acting </w:t>
      </w:r>
      <w:r w:rsidR="00506A01" w:rsidRPr="00D15A4D">
        <w:rPr>
          <w:szCs w:val="22"/>
        </w:rPr>
        <w:t>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62AB664B" w:rsidR="005E317F" w:rsidRPr="00D15A4D" w:rsidRDefault="005E317F" w:rsidP="005E317F">
      <w:pPr>
        <w:keepNext/>
        <w:spacing w:before="300" w:line="240" w:lineRule="atLeast"/>
        <w:ind w:right="397"/>
        <w:jc w:val="both"/>
      </w:pPr>
      <w:r w:rsidRPr="2B5FB48C">
        <w:t>Dated</w:t>
      </w:r>
      <w:r w:rsidR="005B1820">
        <w:rPr>
          <w:szCs w:val="22"/>
        </w:rPr>
        <w:t xml:space="preserve"> 12 February </w:t>
      </w:r>
      <w:bookmarkStart w:id="1" w:name="_GoBack"/>
      <w:bookmarkEnd w:id="1"/>
      <w:r w:rsidR="00506A01" w:rsidRPr="2B5FB48C">
        <w:t>20</w:t>
      </w:r>
      <w:r w:rsidR="0035148D">
        <w:t>21</w:t>
      </w:r>
    </w:p>
    <w:p w14:paraId="73FB3871" w14:textId="7B0F30F4" w:rsidR="005E317F" w:rsidRPr="00D15A4D" w:rsidRDefault="0047465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Colonel Kirk Lloyd</w:t>
      </w:r>
    </w:p>
    <w:p w14:paraId="07B13799" w14:textId="65A6146B" w:rsidR="00506A01" w:rsidRPr="00D15A4D" w:rsidRDefault="0047465C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506A01" w:rsidRPr="00D15A4D">
        <w:rPr>
          <w:sz w:val="22"/>
        </w:rPr>
        <w:t>Assistant Secretary</w:t>
      </w:r>
      <w:r w:rsidR="00506A01" w:rsidRPr="00D15A4D">
        <w:rPr>
          <w:sz w:val="22"/>
        </w:rPr>
        <w:br/>
        <w:t>People Policy and Employment Conditions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2E177255" w14:textId="679DB2BB" w:rsidR="006609AE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6609AE">
        <w:rPr>
          <w:noProof/>
        </w:rPr>
        <w:t>1  Name</w:t>
      </w:r>
      <w:r w:rsidR="006609AE">
        <w:rPr>
          <w:noProof/>
        </w:rPr>
        <w:tab/>
      </w:r>
      <w:r w:rsidR="006609AE">
        <w:rPr>
          <w:noProof/>
        </w:rPr>
        <w:fldChar w:fldCharType="begin"/>
      </w:r>
      <w:r w:rsidR="006609AE">
        <w:rPr>
          <w:noProof/>
        </w:rPr>
        <w:instrText xml:space="preserve"> PAGEREF _Toc63364805 \h </w:instrText>
      </w:r>
      <w:r w:rsidR="006609AE">
        <w:rPr>
          <w:noProof/>
        </w:rPr>
      </w:r>
      <w:r w:rsidR="006609AE">
        <w:rPr>
          <w:noProof/>
        </w:rPr>
        <w:fldChar w:fldCharType="separate"/>
      </w:r>
      <w:r w:rsidR="00FD429E">
        <w:rPr>
          <w:noProof/>
        </w:rPr>
        <w:t>1</w:t>
      </w:r>
      <w:r w:rsidR="006609AE">
        <w:rPr>
          <w:noProof/>
        </w:rPr>
        <w:fldChar w:fldCharType="end"/>
      </w:r>
    </w:p>
    <w:p w14:paraId="5489F6D4" w14:textId="22F5D8F6" w:rsidR="006609AE" w:rsidRDefault="006609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_Toc63364806 \h </w:instrText>
      </w:r>
      <w:r>
        <w:rPr>
          <w:noProof/>
        </w:rPr>
      </w:r>
      <w:r>
        <w:rPr>
          <w:noProof/>
        </w:rPr>
        <w:fldChar w:fldCharType="separate"/>
      </w:r>
      <w:r w:rsidR="00FD429E">
        <w:rPr>
          <w:noProof/>
        </w:rPr>
        <w:t>1</w:t>
      </w:r>
      <w:r>
        <w:rPr>
          <w:noProof/>
        </w:rPr>
        <w:fldChar w:fldCharType="end"/>
      </w:r>
    </w:p>
    <w:p w14:paraId="4BCEF596" w14:textId="75577DC1" w:rsidR="006609AE" w:rsidRDefault="006609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_Toc63364807 \h </w:instrText>
      </w:r>
      <w:r>
        <w:rPr>
          <w:noProof/>
        </w:rPr>
      </w:r>
      <w:r>
        <w:rPr>
          <w:noProof/>
        </w:rPr>
        <w:fldChar w:fldCharType="separate"/>
      </w:r>
      <w:r w:rsidR="00FD429E">
        <w:rPr>
          <w:noProof/>
        </w:rPr>
        <w:t>1</w:t>
      </w:r>
      <w:r>
        <w:rPr>
          <w:noProof/>
        </w:rPr>
        <w:fldChar w:fldCharType="end"/>
      </w:r>
    </w:p>
    <w:p w14:paraId="5DB05BC6" w14:textId="2EC31142" w:rsidR="006609AE" w:rsidRDefault="006609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_Toc63364808 \h </w:instrText>
      </w:r>
      <w:r>
        <w:rPr>
          <w:noProof/>
        </w:rPr>
      </w:r>
      <w:r>
        <w:rPr>
          <w:noProof/>
        </w:rPr>
        <w:fldChar w:fldCharType="separate"/>
      </w:r>
      <w:r w:rsidR="00FD429E">
        <w:rPr>
          <w:noProof/>
        </w:rPr>
        <w:t>1</w:t>
      </w:r>
      <w:r>
        <w:rPr>
          <w:noProof/>
        </w:rPr>
        <w:fldChar w:fldCharType="end"/>
      </w:r>
    </w:p>
    <w:p w14:paraId="51BDA46E" w14:textId="3CB37FC7" w:rsidR="006609AE" w:rsidRDefault="006609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1—Location allowance – Greece and Romania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_Toc63364809 \h </w:instrText>
      </w:r>
      <w:r>
        <w:rPr>
          <w:noProof/>
        </w:rPr>
      </w:r>
      <w:r>
        <w:rPr>
          <w:noProof/>
        </w:rPr>
        <w:fldChar w:fldCharType="separate"/>
      </w:r>
      <w:r w:rsidR="00FD429E">
        <w:rPr>
          <w:noProof/>
        </w:rPr>
        <w:t>2</w:t>
      </w:r>
      <w:r>
        <w:rPr>
          <w:noProof/>
        </w:rPr>
        <w:fldChar w:fldCharType="end"/>
      </w:r>
    </w:p>
    <w:p w14:paraId="7359E035" w14:textId="3EAF32CF" w:rsidR="006609AE" w:rsidRDefault="006609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_Toc63364810 \h </w:instrText>
      </w:r>
      <w:r>
        <w:rPr>
          <w:noProof/>
        </w:rPr>
      </w:r>
      <w:r>
        <w:rPr>
          <w:noProof/>
        </w:rPr>
        <w:fldChar w:fldCharType="separate"/>
      </w:r>
      <w:r w:rsidR="00FD429E">
        <w:rPr>
          <w:noProof/>
        </w:rPr>
        <w:t>3</w:t>
      </w:r>
      <w:r>
        <w:rPr>
          <w:noProof/>
        </w:rPr>
        <w:fldChar w:fldCharType="end"/>
      </w:r>
    </w:p>
    <w:p w14:paraId="59FB3FB2" w14:textId="57B39748" w:rsidR="006609AE" w:rsidRDefault="006609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Defence Determination, Conditions of service Amendment Determination 2021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_Toc63364811 \h </w:instrText>
      </w:r>
      <w:r>
        <w:rPr>
          <w:noProof/>
        </w:rPr>
      </w:r>
      <w:r>
        <w:rPr>
          <w:noProof/>
        </w:rPr>
        <w:fldChar w:fldCharType="separate"/>
      </w:r>
      <w:r w:rsidR="00FD429E">
        <w:rPr>
          <w:noProof/>
        </w:rPr>
        <w:t>3</w:t>
      </w:r>
      <w:r>
        <w:rPr>
          <w:noProof/>
        </w:rPr>
        <w:fldChar w:fldCharType="end"/>
      </w:r>
    </w:p>
    <w:p w14:paraId="2E6536A0" w14:textId="1A9A89AE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3" w:name="_Toc63364805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</w:p>
    <w:p w14:paraId="221E1065" w14:textId="4BFEFD57" w:rsidR="00F22240" w:rsidRPr="007E3976" w:rsidRDefault="00F22240" w:rsidP="00F22240">
      <w:pPr>
        <w:pStyle w:val="subsection"/>
        <w:ind w:firstLine="0"/>
      </w:pPr>
      <w:r w:rsidRPr="007E3976">
        <w:t xml:space="preserve">This instrument is the </w:t>
      </w:r>
      <w:r w:rsidRPr="007E3976">
        <w:rPr>
          <w:i/>
        </w:rPr>
        <w:fldChar w:fldCharType="begin"/>
      </w:r>
      <w:r w:rsidRPr="007E3976">
        <w:rPr>
          <w:i/>
        </w:rPr>
        <w:instrText xml:space="preserve"> STYLEREF  ShortT </w:instrText>
      </w:r>
      <w:r w:rsidRPr="007E3976">
        <w:rPr>
          <w:i/>
        </w:rPr>
        <w:fldChar w:fldCharType="separate"/>
      </w:r>
      <w:r w:rsidR="00FD429E">
        <w:rPr>
          <w:i/>
          <w:noProof/>
        </w:rPr>
        <w:t>Defence (Location allowance) Determination 2021</w:t>
      </w:r>
      <w:r w:rsidRPr="007E3976">
        <w:rPr>
          <w:i/>
        </w:rPr>
        <w:fldChar w:fldCharType="end"/>
      </w:r>
      <w:r w:rsidRPr="007E3976">
        <w:rPr>
          <w:i/>
        </w:rPr>
        <w:t>.</w:t>
      </w:r>
    </w:p>
    <w:p w14:paraId="43B3511C" w14:textId="75E489C4" w:rsidR="005E317F" w:rsidRPr="00D15A4D" w:rsidRDefault="005E317F" w:rsidP="005E317F">
      <w:pPr>
        <w:pStyle w:val="ActHead5"/>
      </w:pPr>
      <w:bookmarkStart w:id="4" w:name="_Toc63364806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</w:p>
    <w:p w14:paraId="513B67DA" w14:textId="2EF50846" w:rsidR="005E317F" w:rsidRPr="00D15A4D" w:rsidRDefault="005E317F" w:rsidP="007E3976">
      <w:pPr>
        <w:pStyle w:val="subsection"/>
        <w:ind w:firstLine="0"/>
      </w:pPr>
      <w:r w:rsidRPr="00D15A4D">
        <w:t>This instrument commences</w:t>
      </w:r>
      <w:r w:rsidR="00FF63B0">
        <w:t xml:space="preserve"> </w:t>
      </w:r>
      <w:r w:rsidR="00FF63B0" w:rsidRPr="00B91D93">
        <w:t>on</w:t>
      </w:r>
      <w:r w:rsidRPr="00B91D93">
        <w:t xml:space="preserve"> </w:t>
      </w:r>
      <w:r w:rsidR="007F580B" w:rsidRPr="00B91D93">
        <w:t>the day after registration.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63364807"/>
      <w:r w:rsidRPr="00D15A4D">
        <w:rPr>
          <w:rStyle w:val="CharSectno"/>
        </w:rPr>
        <w:t>3</w:t>
      </w:r>
      <w:r w:rsidRPr="00D15A4D">
        <w:t xml:space="preserve">  Authority</w:t>
      </w:r>
      <w:bookmarkEnd w:id="5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0A56777F" w14:textId="77777777" w:rsidR="00F22240" w:rsidRPr="00D15A4D" w:rsidRDefault="00F22240" w:rsidP="00F22240">
      <w:pPr>
        <w:pStyle w:val="ActHead5"/>
      </w:pPr>
      <w:bookmarkStart w:id="6" w:name="_Toc57729023"/>
      <w:bookmarkStart w:id="7" w:name="_Toc63364808"/>
      <w:bookmarkStart w:id="8" w:name="_Toc62118891"/>
      <w:bookmarkStart w:id="9" w:name="_Toc63329469"/>
      <w:bookmarkStart w:id="10" w:name="Schedule_1"/>
      <w:r w:rsidRPr="00D15A4D">
        <w:t>4  Schedules</w:t>
      </w:r>
      <w:bookmarkEnd w:id="6"/>
      <w:bookmarkEnd w:id="7"/>
    </w:p>
    <w:p w14:paraId="3232F03F" w14:textId="77777777" w:rsidR="00F22240" w:rsidRPr="00D15A4D" w:rsidRDefault="00F22240" w:rsidP="00F22240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E552776" w14:textId="576788A3" w:rsidR="0035148D" w:rsidRPr="00D15A4D" w:rsidRDefault="0035148D" w:rsidP="00F22240">
      <w:pPr>
        <w:pStyle w:val="ActHead6"/>
        <w:pageBreakBefore/>
      </w:pPr>
      <w:bookmarkStart w:id="11" w:name="_Toc63364809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1</w:t>
      </w:r>
      <w:r w:rsidRPr="00D15A4D">
        <w:t>—</w:t>
      </w:r>
      <w:bookmarkEnd w:id="8"/>
      <w:r>
        <w:rPr>
          <w:rStyle w:val="CharAmSchText"/>
        </w:rPr>
        <w:t>Location allowance</w:t>
      </w:r>
      <w:bookmarkEnd w:id="9"/>
      <w:r w:rsidR="007F580B">
        <w:rPr>
          <w:rStyle w:val="CharAmSchText"/>
        </w:rPr>
        <w:t xml:space="preserve"> – </w:t>
      </w:r>
      <w:r w:rsidR="006347F5">
        <w:rPr>
          <w:rStyle w:val="CharAmSchText"/>
        </w:rPr>
        <w:t>Greece and Romania</w:t>
      </w:r>
      <w:bookmarkEnd w:id="11"/>
    </w:p>
    <w:tbl>
      <w:tblPr>
        <w:tblW w:w="9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3"/>
        <w:gridCol w:w="8368"/>
      </w:tblGrid>
      <w:tr w:rsidR="0035148D" w:rsidRPr="00991733" w14:paraId="20CACE0A" w14:textId="77777777" w:rsidTr="00B2183D">
        <w:tc>
          <w:tcPr>
            <w:tcW w:w="983" w:type="dxa"/>
          </w:tcPr>
          <w:p w14:paraId="43D79E6D" w14:textId="77777777" w:rsidR="0035148D" w:rsidRPr="00991733" w:rsidRDefault="0035148D" w:rsidP="00834B71">
            <w:pPr>
              <w:pStyle w:val="Heading5"/>
            </w:pPr>
            <w:r>
              <w:t>1</w:t>
            </w:r>
          </w:p>
        </w:tc>
        <w:tc>
          <w:tcPr>
            <w:tcW w:w="8368" w:type="dxa"/>
          </w:tcPr>
          <w:p w14:paraId="41E59D28" w14:textId="77777777" w:rsidR="0035148D" w:rsidRPr="00991733" w:rsidRDefault="0035148D" w:rsidP="00834B71">
            <w:pPr>
              <w:pStyle w:val="Heading5"/>
            </w:pPr>
            <w:r>
              <w:t>Definition</w:t>
            </w:r>
          </w:p>
        </w:tc>
      </w:tr>
      <w:tr w:rsidR="0035148D" w14:paraId="5C9A0624" w14:textId="77777777" w:rsidTr="00B2183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2C8D" w14:textId="77777777" w:rsidR="0035148D" w:rsidRDefault="0035148D" w:rsidP="00834B71">
            <w:pPr>
              <w:pStyle w:val="blocktext-plain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EBAC" w14:textId="54257A6C" w:rsidR="0035148D" w:rsidRDefault="0035148D" w:rsidP="00C50B91">
            <w:pPr>
              <w:pStyle w:val="blocktext-plain0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this schedule </w:t>
            </w:r>
            <w:r w:rsidRPr="00917E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Defence Determination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means the Defence Determination 2016/19, Conditions of service, as in force immediately before the commencement of this </w:t>
            </w:r>
            <w:r w:rsidR="00C50B91">
              <w:rPr>
                <w:rFonts w:ascii="Arial" w:hAnsi="Arial" w:cs="Arial"/>
                <w:color w:val="000000"/>
                <w:sz w:val="20"/>
                <w:szCs w:val="20"/>
              </w:rPr>
              <w:t>Determination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22240" w14:paraId="2F3C5B76" w14:textId="77777777" w:rsidTr="00B2183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0846" w14:textId="7FD038FB" w:rsidR="00F22240" w:rsidRDefault="00F22240" w:rsidP="00F22240">
            <w:pPr>
              <w:pStyle w:val="Heading5"/>
              <w:rPr>
                <w:rFonts w:cs="Arial"/>
                <w:color w:val="000000"/>
                <w:sz w:val="20"/>
              </w:rPr>
            </w:pPr>
            <w:r>
              <w:t>2</w:t>
            </w:r>
          </w:p>
        </w:tc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23A0" w14:textId="7226EEA4" w:rsidR="00F22240" w:rsidRDefault="00F22240" w:rsidP="00F22240">
            <w:pPr>
              <w:pStyle w:val="Heading5"/>
              <w:rPr>
                <w:rFonts w:cs="Arial"/>
                <w:color w:val="000000"/>
                <w:sz w:val="20"/>
              </w:rPr>
            </w:pPr>
            <w:r>
              <w:t>Greece and Romania allowances and benefits – transitional provision</w:t>
            </w:r>
          </w:p>
        </w:tc>
      </w:tr>
      <w:tr w:rsidR="00F22240" w14:paraId="5576A7E5" w14:textId="77777777" w:rsidTr="00B2183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5521" w14:textId="5A9DF45A" w:rsidR="00F22240" w:rsidRDefault="00F22240" w:rsidP="00F22240">
            <w:pPr>
              <w:pStyle w:val="blocktext-plain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A089" w14:textId="78B3F463" w:rsidR="00F22240" w:rsidRDefault="00F22240" w:rsidP="00F22240">
            <w:pPr>
              <w:pStyle w:val="blocktext-plain0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section applies to a member who performed duty in Greece or Romania between 12 August 2020 and the commencement of this Determination.</w:t>
            </w:r>
          </w:p>
        </w:tc>
      </w:tr>
      <w:tr w:rsidR="00F22240" w14:paraId="29541383" w14:textId="77777777" w:rsidTr="00B2183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77A7" w14:textId="197D42F6" w:rsidR="00F22240" w:rsidRDefault="00F22240" w:rsidP="00F22240">
            <w:pPr>
              <w:pStyle w:val="blocktext-plain0"/>
              <w:spacing w:before="0" w:beforeAutospacing="0" w:after="20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B49" w14:textId="3781BE6B" w:rsidR="00F22240" w:rsidRDefault="00F22240" w:rsidP="00C50B91">
            <w:pPr>
              <w:pStyle w:val="blocktext-plain0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91C">
              <w:rPr>
                <w:rFonts w:ascii="Arial" w:hAnsi="Arial" w:cs="Arial"/>
                <w:color w:val="000000"/>
                <w:sz w:val="20"/>
              </w:rPr>
              <w:t>The member is eligible for location allowance under Chapter 16 Part 2A of the Defence Determination for duty performed by the member in Greece or Romania between 12 Aug</w:t>
            </w:r>
            <w:r>
              <w:rPr>
                <w:rFonts w:ascii="Arial" w:hAnsi="Arial" w:cs="Arial"/>
                <w:color w:val="000000"/>
                <w:sz w:val="20"/>
              </w:rPr>
              <w:t>ust 2020 and</w:t>
            </w:r>
            <w:r w:rsidRPr="009C191C">
              <w:rPr>
                <w:rFonts w:ascii="Arial" w:hAnsi="Arial" w:cs="Arial"/>
                <w:color w:val="000000"/>
                <w:sz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</w:rPr>
              <w:t>he commencement of this Determination as though</w:t>
            </w:r>
            <w:r w:rsidR="00C50B91">
              <w:rPr>
                <w:rFonts w:ascii="Arial" w:hAnsi="Arial" w:cs="Arial"/>
                <w:color w:val="000000"/>
                <w:sz w:val="20"/>
              </w:rPr>
              <w:t xml:space="preserve"> Annex 16.B of the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Defence Determination</w:t>
            </w:r>
            <w:r w:rsidR="00B91D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9C191C">
              <w:rPr>
                <w:rFonts w:ascii="Arial" w:hAnsi="Arial" w:cs="Arial"/>
                <w:color w:val="000000"/>
                <w:sz w:val="20"/>
              </w:rPr>
              <w:t xml:space="preserve">was in force </w:t>
            </w:r>
            <w:r>
              <w:rPr>
                <w:rFonts w:ascii="Arial" w:hAnsi="Arial" w:cs="Arial"/>
                <w:color w:val="000000"/>
                <w:sz w:val="20"/>
              </w:rPr>
              <w:t>at the time.</w:t>
            </w:r>
          </w:p>
        </w:tc>
      </w:tr>
    </w:tbl>
    <w:p w14:paraId="196C5C45" w14:textId="77777777" w:rsidR="0035148D" w:rsidRPr="00D15A4D" w:rsidRDefault="0035148D" w:rsidP="0035148D">
      <w:pPr>
        <w:pStyle w:val="ActHead6"/>
        <w:pageBreakBefore/>
      </w:pPr>
      <w:bookmarkStart w:id="12" w:name="_Toc59116239"/>
      <w:bookmarkStart w:id="13" w:name="_Toc63329470"/>
      <w:bookmarkStart w:id="14" w:name="_Toc63364810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D15A4D">
        <w:t>—</w:t>
      </w:r>
      <w:r w:rsidRPr="00D15A4D">
        <w:rPr>
          <w:rStyle w:val="CharAmSchText"/>
        </w:rPr>
        <w:t>Repeals</w:t>
      </w:r>
      <w:bookmarkEnd w:id="12"/>
      <w:bookmarkEnd w:id="13"/>
      <w:bookmarkEnd w:id="14"/>
    </w:p>
    <w:p w14:paraId="7B01C160" w14:textId="092EF35C" w:rsidR="0035148D" w:rsidRPr="00DC03A1" w:rsidRDefault="0035148D" w:rsidP="0035148D">
      <w:pPr>
        <w:pStyle w:val="ActHead9"/>
        <w:ind w:left="0" w:firstLine="0"/>
      </w:pPr>
      <w:bookmarkStart w:id="15" w:name="_Toc59116240"/>
      <w:bookmarkStart w:id="16" w:name="_Toc63329471"/>
      <w:bookmarkStart w:id="17" w:name="_Toc63364811"/>
      <w:r w:rsidRPr="00F95D9E">
        <w:t>Defence Determination</w:t>
      </w:r>
      <w:r>
        <w:t>, Conditions of service Amendment Determination 2021 (No. 1)</w:t>
      </w:r>
      <w:bookmarkEnd w:id="15"/>
      <w:bookmarkEnd w:id="16"/>
      <w:bookmarkEnd w:id="17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35148D" w:rsidRPr="00E55625" w14:paraId="2C6E9B33" w14:textId="77777777" w:rsidTr="00834B71">
        <w:tc>
          <w:tcPr>
            <w:tcW w:w="992" w:type="dxa"/>
          </w:tcPr>
          <w:p w14:paraId="0D6483AD" w14:textId="77777777" w:rsidR="0035148D" w:rsidRPr="00E55625" w:rsidRDefault="0035148D" w:rsidP="00834B71">
            <w:pPr>
              <w:pStyle w:val="Heading5"/>
            </w:pPr>
            <w:r w:rsidRPr="00E55625">
              <w:t>1</w:t>
            </w:r>
          </w:p>
        </w:tc>
        <w:tc>
          <w:tcPr>
            <w:tcW w:w="8367" w:type="dxa"/>
          </w:tcPr>
          <w:p w14:paraId="641C4ACE" w14:textId="6259D465" w:rsidR="0035148D" w:rsidRPr="00E55625" w:rsidRDefault="0035148D" w:rsidP="006609AE">
            <w:pPr>
              <w:pStyle w:val="Heading5"/>
            </w:pPr>
            <w:r>
              <w:t>Schedule 3</w:t>
            </w:r>
            <w:r w:rsidR="00C50B91">
              <w:t xml:space="preserve"> </w:t>
            </w:r>
            <w:r w:rsidR="00C50B91" w:rsidRPr="006609AE">
              <w:t>(</w:t>
            </w:r>
            <w:r w:rsidR="006609AE">
              <w:rPr>
                <w:rStyle w:val="CharAmSchText"/>
              </w:rPr>
              <w:t>Transitional provisions</w:t>
            </w:r>
            <w:r w:rsidR="00C50B91" w:rsidRPr="006609AE">
              <w:t>)</w:t>
            </w:r>
          </w:p>
        </w:tc>
      </w:tr>
      <w:tr w:rsidR="00C50B91" w:rsidRPr="00E55625" w14:paraId="1F9F107B" w14:textId="77777777" w:rsidTr="00834B71">
        <w:tc>
          <w:tcPr>
            <w:tcW w:w="992" w:type="dxa"/>
          </w:tcPr>
          <w:p w14:paraId="79BBD774" w14:textId="77777777" w:rsidR="00C50B91" w:rsidRPr="00E55625" w:rsidRDefault="00C50B91" w:rsidP="00834B71">
            <w:pPr>
              <w:pStyle w:val="Heading5"/>
            </w:pPr>
          </w:p>
        </w:tc>
        <w:tc>
          <w:tcPr>
            <w:tcW w:w="8367" w:type="dxa"/>
          </w:tcPr>
          <w:p w14:paraId="36456777" w14:textId="22B354A8" w:rsidR="00C50B91" w:rsidRPr="006609AE" w:rsidRDefault="00C50B91" w:rsidP="00834B71">
            <w:pPr>
              <w:pStyle w:val="Heading5"/>
              <w:rPr>
                <w:rFonts w:eastAsia="Times New Roman" w:cs="Arial"/>
                <w:b w:val="0"/>
                <w:color w:val="000000"/>
                <w:sz w:val="20"/>
                <w:lang w:eastAsia="en-AU"/>
              </w:rPr>
            </w:pPr>
            <w:r w:rsidRPr="006609AE">
              <w:rPr>
                <w:rFonts w:eastAsia="Times New Roman" w:cs="Arial"/>
                <w:b w:val="0"/>
                <w:color w:val="000000"/>
                <w:sz w:val="20"/>
                <w:lang w:eastAsia="en-AU"/>
              </w:rPr>
              <w:t>Repeal the schedule.</w:t>
            </w:r>
          </w:p>
        </w:tc>
      </w:tr>
      <w:bookmarkEnd w:id="10"/>
    </w:tbl>
    <w:p w14:paraId="2A44CF9E" w14:textId="437FF075" w:rsidR="0035148D" w:rsidRPr="00CE779F" w:rsidRDefault="0035148D" w:rsidP="0035148D">
      <w:pPr>
        <w:pStyle w:val="subsection"/>
        <w:ind w:left="0" w:firstLine="0"/>
      </w:pPr>
    </w:p>
    <w:sectPr w:rsidR="0035148D" w:rsidRPr="00CE779F" w:rsidSect="00F92C42">
      <w:headerReference w:type="first" r:id="rId23"/>
      <w:footerReference w:type="first" r:id="rId24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3645" w14:textId="77777777" w:rsidR="0045738D" w:rsidRDefault="0045738D" w:rsidP="0048364F">
      <w:pPr>
        <w:spacing w:line="240" w:lineRule="auto"/>
      </w:pPr>
      <w:r>
        <w:separator/>
      </w:r>
    </w:p>
  </w:endnote>
  <w:endnote w:type="continuationSeparator" w:id="0">
    <w:p w14:paraId="299E6CFD" w14:textId="77777777" w:rsidR="0045738D" w:rsidRDefault="004573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B0F2" w14:textId="5B6A96E4" w:rsidR="00B20990" w:rsidRPr="00486382" w:rsidRDefault="00B20990" w:rsidP="00B60A90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8"/>
      <w:gridCol w:w="7060"/>
      <w:gridCol w:w="1813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219949C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D429E">
            <w:rPr>
              <w:i/>
              <w:noProof/>
              <w:sz w:val="18"/>
            </w:rPr>
            <w:t>Defence (Location allowance)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D2D4F" w14:textId="77777777" w:rsidR="00F22240" w:rsidRPr="00E33C1C" w:rsidRDefault="00F22240" w:rsidP="00F222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812"/>
      <w:gridCol w:w="7060"/>
      <w:gridCol w:w="699"/>
    </w:tblGrid>
    <w:tr w:rsidR="00F22240" w14:paraId="6855FEDF" w14:textId="77777777" w:rsidTr="00C00D7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C301CA4" w14:textId="77777777" w:rsidR="00F22240" w:rsidRDefault="00F22240" w:rsidP="00F2224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7C3D3" w14:textId="7038A825" w:rsidR="00F22240" w:rsidRPr="00B20990" w:rsidRDefault="00F22240" w:rsidP="00F2224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B1820">
            <w:rPr>
              <w:i/>
              <w:noProof/>
              <w:sz w:val="18"/>
            </w:rPr>
            <w:t>Defence (Location allowance)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B0666B" w14:textId="7858C615" w:rsidR="00F22240" w:rsidRDefault="00F22240" w:rsidP="00F222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18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2240" w14:paraId="43CB171C" w14:textId="77777777" w:rsidTr="00C00D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61F8F59" w14:textId="77777777" w:rsidR="00F22240" w:rsidRDefault="00F22240" w:rsidP="00F22240">
          <w:pPr>
            <w:rPr>
              <w:sz w:val="18"/>
            </w:rPr>
          </w:pPr>
        </w:p>
      </w:tc>
    </w:tr>
  </w:tbl>
  <w:p w14:paraId="6142557A" w14:textId="77777777" w:rsidR="00F22240" w:rsidRPr="00ED79B6" w:rsidRDefault="00F22240" w:rsidP="00F22240">
    <w:pPr>
      <w:rPr>
        <w:i/>
        <w:sz w:val="18"/>
      </w:rPr>
    </w:pPr>
  </w:p>
  <w:p w14:paraId="1E3A9C80" w14:textId="77777777" w:rsidR="00B20990" w:rsidRPr="00ED79B6" w:rsidRDefault="00B20990" w:rsidP="00F22240">
    <w:pPr>
      <w:pStyle w:val="Footer"/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34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3D913" w14:textId="77777777" w:rsidR="00F92C42" w:rsidRDefault="00F92C42">
        <w:pPr>
          <w:pStyle w:val="Footer"/>
          <w:jc w:val="right"/>
          <w:rPr>
            <w:noProof/>
          </w:rPr>
        </w:pPr>
      </w:p>
      <w:tbl>
        <w:tblPr>
          <w:tblStyle w:val="TableGrid"/>
          <w:tblW w:w="5000" w:type="pct"/>
          <w:tblLook w:val="04A0" w:firstRow="1" w:lastRow="0" w:firstColumn="1" w:lastColumn="0" w:noHBand="0" w:noVBand="1"/>
        </w:tblPr>
        <w:tblGrid>
          <w:gridCol w:w="1812"/>
          <w:gridCol w:w="7060"/>
          <w:gridCol w:w="699"/>
        </w:tblGrid>
        <w:tr w:rsidR="00F92C42" w14:paraId="11B829CC" w14:textId="77777777" w:rsidTr="00C00D72">
          <w:tc>
            <w:tcPr>
              <w:tcW w:w="947" w:type="pct"/>
              <w:tcBorders>
                <w:top w:val="nil"/>
                <w:left w:val="nil"/>
                <w:bottom w:val="nil"/>
                <w:right w:val="nil"/>
              </w:tcBorders>
            </w:tcPr>
            <w:p w14:paraId="187B8499" w14:textId="77777777" w:rsidR="00F92C42" w:rsidRDefault="00F92C42" w:rsidP="00F22240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3688" w:type="pct"/>
              <w:tcBorders>
                <w:top w:val="nil"/>
                <w:left w:val="nil"/>
                <w:bottom w:val="nil"/>
                <w:right w:val="nil"/>
              </w:tcBorders>
            </w:tcPr>
            <w:p w14:paraId="559A9B20" w14:textId="5DB55DD1" w:rsidR="00F92C42" w:rsidRPr="00B20990" w:rsidRDefault="00F92C42" w:rsidP="00F22240">
              <w:pPr>
                <w:spacing w:line="0" w:lineRule="atLeast"/>
                <w:jc w:val="center"/>
                <w:rPr>
                  <w:i/>
                  <w:sz w:val="18"/>
                </w:rPr>
              </w:pPr>
              <w:r>
                <w:rPr>
                  <w:i/>
                  <w:sz w:val="18"/>
                </w:rPr>
                <w:fldChar w:fldCharType="begin"/>
              </w:r>
              <w:r>
                <w:rPr>
                  <w:i/>
                  <w:sz w:val="18"/>
                </w:rPr>
                <w:instrText xml:space="preserve"> STYLEREF  ShortT </w:instrText>
              </w:r>
              <w:r>
                <w:rPr>
                  <w:i/>
                  <w:sz w:val="18"/>
                </w:rPr>
                <w:fldChar w:fldCharType="separate"/>
              </w:r>
              <w:r w:rsidR="00FD429E">
                <w:rPr>
                  <w:i/>
                  <w:noProof/>
                  <w:sz w:val="18"/>
                </w:rPr>
                <w:t>Defence (Location allowance) Determination 2021</w:t>
              </w:r>
              <w:r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365" w:type="pct"/>
              <w:tcBorders>
                <w:top w:val="nil"/>
                <w:left w:val="nil"/>
                <w:bottom w:val="nil"/>
                <w:right w:val="nil"/>
              </w:tcBorders>
            </w:tcPr>
            <w:p w14:paraId="273E07A6" w14:textId="42009DD7" w:rsidR="00F92C42" w:rsidRDefault="00F92C42" w:rsidP="00F22240">
              <w:pPr>
                <w:spacing w:line="0" w:lineRule="atLeast"/>
                <w:jc w:val="right"/>
                <w:rPr>
                  <w:sz w:val="18"/>
                </w:rPr>
              </w:pPr>
            </w:p>
          </w:tc>
        </w:tr>
        <w:tr w:rsidR="00F92C42" w14:paraId="5FC52DD5" w14:textId="77777777" w:rsidTr="00C00D72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5000" w:type="pct"/>
              <w:gridSpan w:val="3"/>
            </w:tcPr>
            <w:p w14:paraId="61283D51" w14:textId="77777777" w:rsidR="00F92C42" w:rsidRDefault="00F92C42" w:rsidP="00F22240">
              <w:pPr>
                <w:rPr>
                  <w:sz w:val="18"/>
                </w:rPr>
              </w:pPr>
            </w:p>
          </w:tc>
        </w:tr>
      </w:tbl>
      <w:p w14:paraId="2A7C2351" w14:textId="77777777" w:rsidR="00F92C42" w:rsidRPr="00486382" w:rsidRDefault="0045738D" w:rsidP="00F22240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2A83" w14:textId="77777777" w:rsidR="0045738D" w:rsidRDefault="0045738D" w:rsidP="0048364F">
      <w:pPr>
        <w:spacing w:line="240" w:lineRule="auto"/>
      </w:pPr>
      <w:r>
        <w:separator/>
      </w:r>
    </w:p>
  </w:footnote>
  <w:footnote w:type="continuationSeparator" w:id="0">
    <w:p w14:paraId="395967A2" w14:textId="77777777" w:rsidR="0045738D" w:rsidRDefault="004573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B"/>
    <w:rsid w:val="00000263"/>
    <w:rsid w:val="000113BC"/>
    <w:rsid w:val="000136AF"/>
    <w:rsid w:val="00034420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117D"/>
    <w:rsid w:val="002468D7"/>
    <w:rsid w:val="00247E97"/>
    <w:rsid w:val="00256C81"/>
    <w:rsid w:val="00257824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F2F7B"/>
    <w:rsid w:val="0031713F"/>
    <w:rsid w:val="003222D1"/>
    <w:rsid w:val="0032750F"/>
    <w:rsid w:val="003415D3"/>
    <w:rsid w:val="003442F6"/>
    <w:rsid w:val="00346335"/>
    <w:rsid w:val="0035148D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5738D"/>
    <w:rsid w:val="004600B0"/>
    <w:rsid w:val="00460499"/>
    <w:rsid w:val="00460FBA"/>
    <w:rsid w:val="0047465C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C76"/>
    <w:rsid w:val="00593AA6"/>
    <w:rsid w:val="00594161"/>
    <w:rsid w:val="00594749"/>
    <w:rsid w:val="00594956"/>
    <w:rsid w:val="005B1555"/>
    <w:rsid w:val="005B1820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074EA"/>
    <w:rsid w:val="0061058B"/>
    <w:rsid w:val="006347F5"/>
    <w:rsid w:val="00640402"/>
    <w:rsid w:val="00640F78"/>
    <w:rsid w:val="00655D6A"/>
    <w:rsid w:val="00656DE9"/>
    <w:rsid w:val="006609AE"/>
    <w:rsid w:val="00672876"/>
    <w:rsid w:val="00677CC2"/>
    <w:rsid w:val="00685F42"/>
    <w:rsid w:val="0069207B"/>
    <w:rsid w:val="00697CB2"/>
    <w:rsid w:val="006A29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80B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23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1733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183D"/>
    <w:rsid w:val="00B23FAF"/>
    <w:rsid w:val="00B33B3C"/>
    <w:rsid w:val="00B40D74"/>
    <w:rsid w:val="00B42649"/>
    <w:rsid w:val="00B46467"/>
    <w:rsid w:val="00B52663"/>
    <w:rsid w:val="00B56DCB"/>
    <w:rsid w:val="00B60A90"/>
    <w:rsid w:val="00B61728"/>
    <w:rsid w:val="00B770D2"/>
    <w:rsid w:val="00B91D93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B91"/>
    <w:rsid w:val="00C50F4A"/>
    <w:rsid w:val="00C72D10"/>
    <w:rsid w:val="00C7573B"/>
    <w:rsid w:val="00C76CF3"/>
    <w:rsid w:val="00C93205"/>
    <w:rsid w:val="00C945DC"/>
    <w:rsid w:val="00CA3670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51C92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240"/>
    <w:rsid w:val="00F32FCB"/>
    <w:rsid w:val="00F33523"/>
    <w:rsid w:val="00F677A9"/>
    <w:rsid w:val="00F8121C"/>
    <w:rsid w:val="00F84CF5"/>
    <w:rsid w:val="00F8612E"/>
    <w:rsid w:val="00F92C42"/>
    <w:rsid w:val="00F94583"/>
    <w:rsid w:val="00FA083A"/>
    <w:rsid w:val="00FA420B"/>
    <w:rsid w:val="00FB6AEE"/>
    <w:rsid w:val="00FC3EAC"/>
    <w:rsid w:val="00FD429E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45C06EE0-86F6-4A19-BBE9-6AF36E9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blocktext-plain0">
    <w:name w:val="blocktext-plain"/>
    <w:basedOn w:val="Normal"/>
    <w:rsid w:val="003514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  <SharedWithUsers xmlns="8a6f563f-2bdb-41f3-82d1-8dc8753557f6">
      <UserInfo>
        <DisplayName>Michael McCulloch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  <ds:schemaRef ds:uri="8a6f563f-2bdb-41f3-82d1-8dc8753557f6"/>
  </ds:schemaRefs>
</ds:datastoreItem>
</file>

<file path=customXml/itemProps4.xml><?xml version="1.0" encoding="utf-8"?>
<ds:datastoreItem xmlns:ds="http://schemas.openxmlformats.org/officeDocument/2006/customXml" ds:itemID="{49699CB3-7B7B-494B-AB81-C4195D76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55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23</cp:revision>
  <cp:lastPrinted>2021-02-11T04:29:00Z</cp:lastPrinted>
  <dcterms:created xsi:type="dcterms:W3CDTF">2020-02-12T02:58:00Z</dcterms:created>
  <dcterms:modified xsi:type="dcterms:W3CDTF">2021-02-11T22:21:00Z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