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64D2" w14:textId="77777777" w:rsidR="00FF6E25" w:rsidRPr="00C75F26" w:rsidRDefault="00FF6E25" w:rsidP="00FF6E25">
      <w:pPr>
        <w:jc w:val="center"/>
        <w:rPr>
          <w:rFonts w:asciiTheme="minorHAnsi" w:hAnsiTheme="minorHAnsi" w:cstheme="minorHAnsi"/>
          <w:b/>
          <w:sz w:val="28"/>
          <w:szCs w:val="24"/>
          <w:u w:val="single"/>
        </w:rPr>
      </w:pPr>
      <w:r w:rsidRPr="00C75F26">
        <w:rPr>
          <w:rFonts w:asciiTheme="minorHAnsi" w:hAnsiTheme="minorHAnsi" w:cstheme="minorHAnsi"/>
          <w:b/>
          <w:sz w:val="28"/>
          <w:szCs w:val="24"/>
          <w:u w:val="single"/>
        </w:rPr>
        <w:t>EXPLANATORY STATEMENT</w:t>
      </w:r>
    </w:p>
    <w:p w14:paraId="528F7C64" w14:textId="790574F5" w:rsidR="0088497A" w:rsidRPr="00C75F26" w:rsidRDefault="0088497A" w:rsidP="00FF6E25">
      <w:pPr>
        <w:jc w:val="center"/>
        <w:rPr>
          <w:rFonts w:asciiTheme="minorHAnsi" w:hAnsiTheme="minorHAnsi" w:cstheme="minorHAnsi"/>
          <w:szCs w:val="24"/>
          <w:u w:val="single"/>
        </w:rPr>
      </w:pPr>
      <w:r w:rsidRPr="00C75F26">
        <w:rPr>
          <w:rFonts w:asciiTheme="minorHAnsi" w:hAnsiTheme="minorHAnsi" w:cstheme="minorHAnsi"/>
          <w:szCs w:val="24"/>
          <w:u w:val="single"/>
        </w:rPr>
        <w:t xml:space="preserve">Issued by the authority of </w:t>
      </w:r>
      <w:r w:rsidR="00937727" w:rsidRPr="00C75F26">
        <w:rPr>
          <w:rFonts w:asciiTheme="minorHAnsi" w:hAnsiTheme="minorHAnsi" w:cstheme="minorHAnsi"/>
          <w:bCs/>
          <w:szCs w:val="24"/>
          <w:u w:val="single"/>
        </w:rPr>
        <w:t xml:space="preserve">The Hon </w:t>
      </w:r>
      <w:r w:rsidR="00E0694E" w:rsidRPr="00C75F26">
        <w:rPr>
          <w:rFonts w:asciiTheme="minorHAnsi" w:hAnsiTheme="minorHAnsi" w:cstheme="minorHAnsi"/>
          <w:bCs/>
          <w:szCs w:val="24"/>
          <w:u w:val="single"/>
        </w:rPr>
        <w:t xml:space="preserve">Alan </w:t>
      </w:r>
      <w:proofErr w:type="spellStart"/>
      <w:r w:rsidR="00E0694E" w:rsidRPr="00C75F26">
        <w:rPr>
          <w:rFonts w:asciiTheme="minorHAnsi" w:hAnsiTheme="minorHAnsi" w:cstheme="minorHAnsi"/>
          <w:bCs/>
          <w:szCs w:val="24"/>
          <w:u w:val="single"/>
        </w:rPr>
        <w:t>Tudge</w:t>
      </w:r>
      <w:proofErr w:type="spellEnd"/>
      <w:r w:rsidR="00937727" w:rsidRPr="00C75F26">
        <w:rPr>
          <w:rFonts w:asciiTheme="minorHAnsi" w:hAnsiTheme="minorHAnsi" w:cstheme="minorHAnsi"/>
          <w:bCs/>
          <w:szCs w:val="24"/>
          <w:u w:val="single"/>
        </w:rPr>
        <w:t xml:space="preserve"> MP, Minister for Education</w:t>
      </w:r>
      <w:r w:rsidR="00E0694E" w:rsidRPr="00C75F26">
        <w:rPr>
          <w:rFonts w:asciiTheme="minorHAnsi" w:hAnsiTheme="minorHAnsi" w:cstheme="minorHAnsi"/>
          <w:bCs/>
          <w:szCs w:val="24"/>
          <w:u w:val="single"/>
        </w:rPr>
        <w:t xml:space="preserve"> and Youth</w:t>
      </w:r>
    </w:p>
    <w:p w14:paraId="65A3F9B1" w14:textId="4E9A98B5" w:rsidR="00455C2A" w:rsidRPr="00C75F26" w:rsidRDefault="00937727" w:rsidP="00FF6E25">
      <w:pPr>
        <w:jc w:val="center"/>
        <w:rPr>
          <w:rFonts w:asciiTheme="minorHAnsi" w:hAnsiTheme="minorHAnsi" w:cstheme="minorHAnsi"/>
          <w:b/>
          <w:i/>
          <w:szCs w:val="24"/>
        </w:rPr>
      </w:pPr>
      <w:r w:rsidRPr="00C75F26">
        <w:rPr>
          <w:rFonts w:asciiTheme="minorHAnsi" w:hAnsiTheme="minorHAnsi" w:cstheme="minorHAnsi"/>
          <w:b/>
          <w:i/>
          <w:szCs w:val="24"/>
        </w:rPr>
        <w:t>Higher Education Support Act 2003</w:t>
      </w:r>
    </w:p>
    <w:p w14:paraId="5EAEF4AF" w14:textId="31E4DADE" w:rsidR="00503218" w:rsidRPr="00C75F26" w:rsidRDefault="00594EB7" w:rsidP="00DA552F">
      <w:pPr>
        <w:jc w:val="center"/>
        <w:rPr>
          <w:rFonts w:asciiTheme="minorHAnsi" w:hAnsiTheme="minorHAnsi" w:cstheme="minorHAnsi"/>
          <w:b/>
          <w:i/>
          <w:szCs w:val="24"/>
        </w:rPr>
      </w:pPr>
      <w:r w:rsidRPr="00C75F26">
        <w:rPr>
          <w:rFonts w:asciiTheme="minorHAnsi" w:hAnsiTheme="minorHAnsi" w:cstheme="minorHAnsi"/>
          <w:b/>
          <w:i/>
          <w:szCs w:val="24"/>
        </w:rPr>
        <w:t xml:space="preserve">Commonwealth Grant Scheme Guidelines Amendment </w:t>
      </w:r>
      <w:r w:rsidR="0070043E" w:rsidRPr="00C75F26">
        <w:rPr>
          <w:rFonts w:asciiTheme="minorHAnsi" w:hAnsiTheme="minorHAnsi" w:cstheme="minorHAnsi"/>
          <w:b/>
          <w:i/>
          <w:szCs w:val="24"/>
        </w:rPr>
        <w:t>(</w:t>
      </w:r>
      <w:r w:rsidR="00AB6D31" w:rsidRPr="00C75F26">
        <w:rPr>
          <w:rFonts w:asciiTheme="minorHAnsi" w:hAnsiTheme="minorHAnsi" w:cstheme="minorHAnsi"/>
          <w:b/>
          <w:i/>
          <w:szCs w:val="24"/>
        </w:rPr>
        <w:t xml:space="preserve">No. 1) </w:t>
      </w:r>
      <w:r w:rsidRPr="00C75F26">
        <w:rPr>
          <w:rFonts w:asciiTheme="minorHAnsi" w:hAnsiTheme="minorHAnsi" w:cstheme="minorHAnsi"/>
          <w:b/>
          <w:i/>
          <w:szCs w:val="24"/>
        </w:rPr>
        <w:t>202</w:t>
      </w:r>
      <w:r w:rsidR="00AB6D31" w:rsidRPr="00C75F26">
        <w:rPr>
          <w:rFonts w:asciiTheme="minorHAnsi" w:hAnsiTheme="minorHAnsi" w:cstheme="minorHAnsi"/>
          <w:b/>
          <w:i/>
          <w:szCs w:val="24"/>
        </w:rPr>
        <w:t>1</w:t>
      </w:r>
    </w:p>
    <w:p w14:paraId="78EDC14D" w14:textId="77777777" w:rsidR="00455C2A" w:rsidRPr="00C75F26" w:rsidRDefault="00144950" w:rsidP="00F513EB">
      <w:pPr>
        <w:pStyle w:val="Heading2"/>
        <w:rPr>
          <w:rFonts w:asciiTheme="minorHAnsi" w:hAnsiTheme="minorHAnsi" w:cstheme="minorHAnsi"/>
          <w:color w:val="auto"/>
        </w:rPr>
      </w:pPr>
      <w:bookmarkStart w:id="0" w:name="_Toc23942238"/>
      <w:bookmarkStart w:id="1" w:name="_Toc34293358"/>
      <w:r w:rsidRPr="00C75F26">
        <w:rPr>
          <w:rFonts w:asciiTheme="minorHAnsi" w:hAnsiTheme="minorHAnsi" w:cstheme="minorHAnsi"/>
          <w:color w:val="auto"/>
        </w:rPr>
        <w:t>AUTHORITY</w:t>
      </w:r>
    </w:p>
    <w:p w14:paraId="78CF725C" w14:textId="2A4187F8" w:rsidR="00937727" w:rsidRPr="00C75F26" w:rsidRDefault="003A7146" w:rsidP="00937727">
      <w:pPr>
        <w:spacing w:before="120" w:after="120"/>
        <w:rPr>
          <w:rFonts w:asciiTheme="minorHAnsi" w:hAnsiTheme="minorHAnsi" w:cstheme="minorHAnsi"/>
          <w:iCs/>
          <w:szCs w:val="24"/>
        </w:rPr>
      </w:pPr>
      <w:r w:rsidRPr="00C75F26">
        <w:rPr>
          <w:rFonts w:asciiTheme="minorHAnsi" w:hAnsiTheme="minorHAnsi" w:cstheme="minorHAnsi"/>
          <w:iCs/>
          <w:szCs w:val="24"/>
        </w:rPr>
        <w:t>Section 238</w:t>
      </w:r>
      <w:r w:rsidRPr="00C75F26">
        <w:rPr>
          <w:rFonts w:asciiTheme="minorHAnsi" w:hAnsiTheme="minorHAnsi" w:cstheme="minorHAnsi"/>
          <w:iCs/>
          <w:szCs w:val="24"/>
        </w:rPr>
        <w:noBreakHyphen/>
        <w:t xml:space="preserve">10 of the </w:t>
      </w:r>
      <w:r w:rsidRPr="00C75F26">
        <w:rPr>
          <w:rFonts w:asciiTheme="minorHAnsi" w:hAnsiTheme="minorHAnsi" w:cstheme="minorHAnsi"/>
          <w:i/>
          <w:szCs w:val="24"/>
        </w:rPr>
        <w:t>Higher Education Support Act 2003</w:t>
      </w:r>
      <w:r w:rsidRPr="00C75F26">
        <w:rPr>
          <w:rFonts w:asciiTheme="minorHAnsi" w:hAnsiTheme="minorHAnsi" w:cstheme="minorHAnsi"/>
          <w:iCs/>
          <w:szCs w:val="24"/>
        </w:rPr>
        <w:t xml:space="preserve"> (</w:t>
      </w:r>
      <w:r w:rsidR="00407E3D" w:rsidRPr="00C75F26">
        <w:rPr>
          <w:rFonts w:asciiTheme="minorHAnsi" w:hAnsiTheme="minorHAnsi" w:cstheme="minorHAnsi"/>
          <w:iCs/>
          <w:szCs w:val="24"/>
        </w:rPr>
        <w:t xml:space="preserve">the </w:t>
      </w:r>
      <w:r w:rsidRPr="00C75F26">
        <w:rPr>
          <w:rFonts w:asciiTheme="minorHAnsi" w:hAnsiTheme="minorHAnsi" w:cstheme="minorHAnsi"/>
          <w:iCs/>
          <w:szCs w:val="24"/>
        </w:rPr>
        <w:t>Act) provides that the Minister may make guidelines for the purposes of the Act. In particular, item 2 of the table at section 238</w:t>
      </w:r>
      <w:r w:rsidRPr="00C75F26">
        <w:rPr>
          <w:rFonts w:asciiTheme="minorHAnsi" w:hAnsiTheme="minorHAnsi" w:cstheme="minorHAnsi"/>
          <w:iCs/>
          <w:szCs w:val="24"/>
        </w:rPr>
        <w:noBreakHyphen/>
        <w:t>10 specifies that the Minister may make the Commonwealth Grant Scheme Guidelines in order to carry out or give effect to the matters set out in Part 2</w:t>
      </w:r>
      <w:r w:rsidRPr="00C75F26">
        <w:rPr>
          <w:rFonts w:asciiTheme="minorHAnsi" w:hAnsiTheme="minorHAnsi" w:cstheme="minorHAnsi"/>
          <w:iCs/>
          <w:szCs w:val="24"/>
        </w:rPr>
        <w:noBreakHyphen/>
        <w:t>2 of the Act.</w:t>
      </w:r>
    </w:p>
    <w:p w14:paraId="6919386D" w14:textId="12756D6D" w:rsidR="003A7146" w:rsidRPr="00C75F26" w:rsidRDefault="00937727" w:rsidP="00937727">
      <w:pPr>
        <w:spacing w:before="120" w:after="120"/>
        <w:rPr>
          <w:rFonts w:asciiTheme="minorHAnsi" w:hAnsiTheme="minorHAnsi" w:cstheme="minorHAnsi"/>
          <w:iCs/>
          <w:szCs w:val="24"/>
        </w:rPr>
      </w:pPr>
      <w:r w:rsidRPr="00C75F26">
        <w:rPr>
          <w:rFonts w:asciiTheme="minorHAnsi" w:hAnsiTheme="minorHAnsi" w:cstheme="minorHAnsi"/>
          <w:iCs/>
          <w:szCs w:val="24"/>
        </w:rPr>
        <w:t>Under subsection 33(3) of the </w:t>
      </w:r>
      <w:r w:rsidRPr="00C75F26">
        <w:rPr>
          <w:rFonts w:asciiTheme="minorHAnsi" w:hAnsiTheme="minorHAnsi" w:cstheme="minorHAnsi"/>
          <w:i/>
          <w:szCs w:val="24"/>
        </w:rPr>
        <w:t>Acts Interpretation Act 1901</w:t>
      </w:r>
      <w:r w:rsidRPr="00C75F26">
        <w:rPr>
          <w:rFonts w:asciiTheme="minorHAnsi" w:hAnsiTheme="minorHAnsi" w:cstheme="minorHAnsi"/>
          <w:iCs/>
          <w:szCs w:val="24"/>
        </w:rPr>
        <w:t>, where an Act confers a power to make, grant or issue any instrument of a legislative or administrative character (including rules, regulations or by</w:t>
      </w:r>
      <w:r w:rsidRPr="00C75F26">
        <w:rPr>
          <w:rFonts w:asciiTheme="minorHAnsi" w:hAnsiTheme="minorHAnsi" w:cstheme="minorHAnsi"/>
          <w:iCs/>
          <w:szCs w:val="24"/>
        </w:rPr>
        <w:noBreakHyphen/>
        <w:t>laws), the power shall be construed as including a power exercisable in the like manner and subject to the like conditions (if any) to repeal, rescind, revoke, amend, or vary any such instrument. The amendment</w:t>
      </w:r>
      <w:r w:rsidR="005D2A3E" w:rsidRPr="00C75F26">
        <w:rPr>
          <w:rFonts w:asciiTheme="minorHAnsi" w:hAnsiTheme="minorHAnsi" w:cstheme="minorHAnsi"/>
          <w:iCs/>
          <w:szCs w:val="24"/>
        </w:rPr>
        <w:t>s</w:t>
      </w:r>
      <w:r w:rsidRPr="00C75F26">
        <w:rPr>
          <w:rFonts w:asciiTheme="minorHAnsi" w:hAnsiTheme="minorHAnsi" w:cstheme="minorHAnsi"/>
          <w:iCs/>
          <w:szCs w:val="24"/>
        </w:rPr>
        <w:t xml:space="preserve"> to the </w:t>
      </w:r>
      <w:r w:rsidRPr="00C75F26">
        <w:rPr>
          <w:rFonts w:asciiTheme="minorHAnsi" w:hAnsiTheme="minorHAnsi" w:cstheme="minorHAnsi"/>
          <w:i/>
          <w:szCs w:val="24"/>
        </w:rPr>
        <w:t>Commonwealth Grant Scheme Guidelines 2020</w:t>
      </w:r>
      <w:r w:rsidR="00222DE6" w:rsidRPr="00C75F26">
        <w:rPr>
          <w:rFonts w:asciiTheme="minorHAnsi" w:hAnsiTheme="minorHAnsi" w:cstheme="minorHAnsi"/>
          <w:i/>
          <w:szCs w:val="24"/>
        </w:rPr>
        <w:t xml:space="preserve"> </w:t>
      </w:r>
      <w:r w:rsidR="00222DE6" w:rsidRPr="00C75F26">
        <w:rPr>
          <w:rFonts w:asciiTheme="minorHAnsi" w:hAnsiTheme="minorHAnsi" w:cstheme="minorHAnsi"/>
          <w:szCs w:val="24"/>
        </w:rPr>
        <w:t>(the Guidelines)</w:t>
      </w:r>
      <w:r w:rsidR="00D76FF4" w:rsidRPr="00C75F26">
        <w:rPr>
          <w:rFonts w:asciiTheme="minorHAnsi" w:hAnsiTheme="minorHAnsi" w:cstheme="minorHAnsi"/>
          <w:szCs w:val="24"/>
        </w:rPr>
        <w:t xml:space="preserve"> </w:t>
      </w:r>
      <w:r w:rsidR="00392D45" w:rsidRPr="00C75F26">
        <w:rPr>
          <w:rFonts w:asciiTheme="minorHAnsi" w:hAnsiTheme="minorHAnsi" w:cstheme="minorHAnsi"/>
          <w:szCs w:val="24"/>
        </w:rPr>
        <w:t xml:space="preserve">made by </w:t>
      </w:r>
      <w:r w:rsidR="00D76FF4" w:rsidRPr="00C75F26">
        <w:rPr>
          <w:rFonts w:asciiTheme="minorHAnsi" w:hAnsiTheme="minorHAnsi" w:cstheme="minorHAnsi"/>
          <w:szCs w:val="24"/>
        </w:rPr>
        <w:t>this instrument</w:t>
      </w:r>
      <w:r w:rsidR="003A7146" w:rsidRPr="00C75F26">
        <w:rPr>
          <w:rFonts w:asciiTheme="minorHAnsi" w:hAnsiTheme="minorHAnsi" w:cstheme="minorHAnsi"/>
          <w:iCs/>
          <w:szCs w:val="24"/>
        </w:rPr>
        <w:t xml:space="preserve"> rel</w:t>
      </w:r>
      <w:r w:rsidR="00144483" w:rsidRPr="00C75F26">
        <w:rPr>
          <w:rFonts w:asciiTheme="minorHAnsi" w:hAnsiTheme="minorHAnsi" w:cstheme="minorHAnsi"/>
          <w:iCs/>
          <w:szCs w:val="24"/>
        </w:rPr>
        <w:t>y</w:t>
      </w:r>
      <w:r w:rsidR="003A7146" w:rsidRPr="00C75F26">
        <w:rPr>
          <w:rFonts w:asciiTheme="minorHAnsi" w:hAnsiTheme="minorHAnsi" w:cstheme="minorHAnsi"/>
          <w:iCs/>
          <w:szCs w:val="24"/>
        </w:rPr>
        <w:t xml:space="preserve"> on that provision. </w:t>
      </w:r>
    </w:p>
    <w:bookmarkEnd w:id="0"/>
    <w:bookmarkEnd w:id="1"/>
    <w:p w14:paraId="58EE92B9" w14:textId="77777777" w:rsidR="00DA552F" w:rsidRPr="00C75F26" w:rsidRDefault="00144950" w:rsidP="00F513EB">
      <w:pPr>
        <w:pStyle w:val="Heading2"/>
        <w:rPr>
          <w:rFonts w:asciiTheme="minorHAnsi" w:hAnsiTheme="minorHAnsi" w:cstheme="minorHAnsi"/>
          <w:color w:val="auto"/>
        </w:rPr>
      </w:pPr>
      <w:r w:rsidRPr="00C75F26">
        <w:rPr>
          <w:rFonts w:asciiTheme="minorHAnsi" w:hAnsiTheme="minorHAnsi" w:cstheme="minorHAnsi"/>
          <w:color w:val="auto"/>
        </w:rPr>
        <w:t>PURPOSE AND OPERATION</w:t>
      </w:r>
    </w:p>
    <w:p w14:paraId="0F42C46D" w14:textId="761BFB10" w:rsidR="00407E3D" w:rsidRPr="00C75F26" w:rsidRDefault="00407E3D" w:rsidP="00DA552F">
      <w:pPr>
        <w:spacing w:before="120" w:after="120"/>
        <w:rPr>
          <w:rFonts w:asciiTheme="minorHAnsi" w:hAnsiTheme="minorHAnsi" w:cstheme="minorHAnsi"/>
          <w:bCs/>
          <w:iCs/>
          <w:szCs w:val="24"/>
        </w:rPr>
      </w:pPr>
      <w:r w:rsidRPr="00C75F26">
        <w:rPr>
          <w:rFonts w:asciiTheme="minorHAnsi" w:hAnsiTheme="minorHAnsi" w:cstheme="minorHAnsi"/>
          <w:iCs/>
          <w:szCs w:val="24"/>
        </w:rPr>
        <w:t xml:space="preserve">The </w:t>
      </w:r>
      <w:r w:rsidRPr="00C75F26">
        <w:rPr>
          <w:rFonts w:asciiTheme="minorHAnsi" w:hAnsiTheme="minorHAnsi" w:cstheme="minorHAnsi"/>
          <w:bCs/>
          <w:iCs/>
          <w:szCs w:val="24"/>
        </w:rPr>
        <w:t xml:space="preserve">Commonwealth Grant Scheme Guidelines Amendment </w:t>
      </w:r>
      <w:r w:rsidR="00F070E1" w:rsidRPr="00C75F26">
        <w:rPr>
          <w:rFonts w:asciiTheme="minorHAnsi" w:hAnsiTheme="minorHAnsi" w:cstheme="minorHAnsi"/>
          <w:bCs/>
          <w:iCs/>
          <w:szCs w:val="24"/>
        </w:rPr>
        <w:t>(</w:t>
      </w:r>
      <w:r w:rsidR="00AB6D31" w:rsidRPr="00C75F26">
        <w:rPr>
          <w:rFonts w:asciiTheme="minorHAnsi" w:hAnsiTheme="minorHAnsi" w:cstheme="minorHAnsi"/>
          <w:bCs/>
          <w:iCs/>
          <w:szCs w:val="24"/>
        </w:rPr>
        <w:t xml:space="preserve">No. 1) </w:t>
      </w:r>
      <w:r w:rsidRPr="00C75F26">
        <w:rPr>
          <w:rFonts w:asciiTheme="minorHAnsi" w:hAnsiTheme="minorHAnsi" w:cstheme="minorHAnsi"/>
          <w:bCs/>
          <w:iCs/>
          <w:szCs w:val="24"/>
        </w:rPr>
        <w:t>202</w:t>
      </w:r>
      <w:r w:rsidR="00AB6D31" w:rsidRPr="00C75F26">
        <w:rPr>
          <w:rFonts w:asciiTheme="minorHAnsi" w:hAnsiTheme="minorHAnsi" w:cstheme="minorHAnsi"/>
          <w:bCs/>
          <w:iCs/>
          <w:szCs w:val="24"/>
        </w:rPr>
        <w:t>1</w:t>
      </w:r>
      <w:r w:rsidRPr="00C75F26">
        <w:rPr>
          <w:rFonts w:asciiTheme="minorHAnsi" w:hAnsiTheme="minorHAnsi" w:cstheme="minorHAnsi"/>
          <w:bCs/>
          <w:iCs/>
          <w:szCs w:val="24"/>
        </w:rPr>
        <w:t xml:space="preserve"> (the</w:t>
      </w:r>
      <w:r w:rsidR="00AB6D31" w:rsidRPr="00C75F26">
        <w:rPr>
          <w:rFonts w:asciiTheme="minorHAnsi" w:hAnsiTheme="minorHAnsi" w:cstheme="minorHAnsi"/>
          <w:bCs/>
          <w:iCs/>
          <w:szCs w:val="24"/>
        </w:rPr>
        <w:t> </w:t>
      </w:r>
      <w:r w:rsidRPr="00C75F26">
        <w:rPr>
          <w:rFonts w:asciiTheme="minorHAnsi" w:hAnsiTheme="minorHAnsi" w:cstheme="minorHAnsi"/>
          <w:bCs/>
          <w:iCs/>
          <w:szCs w:val="24"/>
        </w:rPr>
        <w:t>Instrument)</w:t>
      </w:r>
      <w:r w:rsidR="00E10FFE" w:rsidRPr="00C75F26">
        <w:rPr>
          <w:rFonts w:asciiTheme="minorHAnsi" w:hAnsiTheme="minorHAnsi" w:cstheme="minorHAnsi"/>
          <w:bCs/>
          <w:iCs/>
          <w:szCs w:val="24"/>
        </w:rPr>
        <w:t xml:space="preserve"> amends </w:t>
      </w:r>
      <w:r w:rsidR="00E10FFE" w:rsidRPr="00C75F26">
        <w:rPr>
          <w:rFonts w:asciiTheme="minorHAnsi" w:hAnsiTheme="minorHAnsi" w:cstheme="minorHAnsi"/>
          <w:bCs/>
          <w:szCs w:val="24"/>
        </w:rPr>
        <w:t>the</w:t>
      </w:r>
      <w:r w:rsidR="00AB6D31" w:rsidRPr="00C75F26">
        <w:rPr>
          <w:rFonts w:asciiTheme="minorHAnsi" w:hAnsiTheme="minorHAnsi" w:cstheme="minorHAnsi"/>
          <w:bCs/>
          <w:szCs w:val="24"/>
        </w:rPr>
        <w:t> </w:t>
      </w:r>
      <w:r w:rsidR="00E10FFE" w:rsidRPr="00C75F26">
        <w:rPr>
          <w:rFonts w:asciiTheme="minorHAnsi" w:hAnsiTheme="minorHAnsi" w:cstheme="minorHAnsi"/>
          <w:bCs/>
          <w:szCs w:val="24"/>
        </w:rPr>
        <w:t>Guidelines</w:t>
      </w:r>
      <w:r w:rsidR="00306920" w:rsidRPr="00C75F26">
        <w:rPr>
          <w:rFonts w:asciiTheme="minorHAnsi" w:hAnsiTheme="minorHAnsi" w:cstheme="minorHAnsi"/>
          <w:bCs/>
          <w:szCs w:val="24"/>
        </w:rPr>
        <w:t xml:space="preserve"> to</w:t>
      </w:r>
      <w:r w:rsidRPr="00C75F26">
        <w:rPr>
          <w:rFonts w:asciiTheme="minorHAnsi" w:hAnsiTheme="minorHAnsi" w:cstheme="minorHAnsi"/>
          <w:bCs/>
          <w:iCs/>
          <w:szCs w:val="24"/>
        </w:rPr>
        <w:t xml:space="preserve">: </w:t>
      </w:r>
    </w:p>
    <w:p w14:paraId="590F2541" w14:textId="65791490" w:rsidR="00407E3D" w:rsidRPr="00C75F26" w:rsidRDefault="00306920" w:rsidP="00407E3D">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list, for the purposes of subparagraph 30-1(1)(b)(</w:t>
      </w:r>
      <w:proofErr w:type="spellStart"/>
      <w:r w:rsidRPr="00C75F26">
        <w:rPr>
          <w:rFonts w:asciiTheme="minorHAnsi" w:hAnsiTheme="minorHAnsi" w:cstheme="minorHAnsi"/>
          <w:iCs/>
          <w:szCs w:val="24"/>
        </w:rPr>
        <w:t>i</w:t>
      </w:r>
      <w:proofErr w:type="spellEnd"/>
      <w:r w:rsidRPr="00C75F26">
        <w:rPr>
          <w:rFonts w:asciiTheme="minorHAnsi" w:hAnsiTheme="minorHAnsi" w:cstheme="minorHAnsi"/>
          <w:iCs/>
          <w:szCs w:val="24"/>
        </w:rPr>
        <w:t>) of the Act, higher education providers, that are not Table A providers, that can be paid grants under Part 2-2 of the Act</w:t>
      </w:r>
      <w:r w:rsidR="00A41EE9" w:rsidRPr="00C75F26">
        <w:rPr>
          <w:rFonts w:asciiTheme="minorHAnsi" w:hAnsiTheme="minorHAnsi" w:cstheme="minorHAnsi"/>
          <w:iCs/>
          <w:szCs w:val="24"/>
        </w:rPr>
        <w:t xml:space="preserve">; </w:t>
      </w:r>
    </w:p>
    <w:p w14:paraId="1218A4E3" w14:textId="2AD47BC2" w:rsidR="00306920" w:rsidRPr="00C75F26" w:rsidRDefault="00306920" w:rsidP="00407E3D">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specify</w:t>
      </w:r>
      <w:r w:rsidR="00C64798" w:rsidRPr="00C75F26">
        <w:rPr>
          <w:rFonts w:asciiTheme="minorHAnsi" w:hAnsiTheme="minorHAnsi" w:cstheme="minorHAnsi"/>
          <w:iCs/>
          <w:szCs w:val="24"/>
        </w:rPr>
        <w:t>,</w:t>
      </w:r>
      <w:r w:rsidR="00C64798" w:rsidRPr="00C75F26">
        <w:rPr>
          <w:rFonts w:ascii="Helvetica Neue" w:hAnsi="Helvetica Neue"/>
          <w:sz w:val="19"/>
          <w:szCs w:val="19"/>
        </w:rPr>
        <w:t xml:space="preserve"> </w:t>
      </w:r>
      <w:r w:rsidR="00C64798" w:rsidRPr="00C75F26">
        <w:rPr>
          <w:rFonts w:asciiTheme="minorHAnsi" w:hAnsiTheme="minorHAnsi" w:cstheme="minorHAnsi"/>
          <w:iCs/>
          <w:szCs w:val="24"/>
        </w:rPr>
        <w:t xml:space="preserve">for the purposes of paragraph 30-20(b) of the Act, a new outcome in the provision of higher education as </w:t>
      </w:r>
      <w:r w:rsidRPr="00C75F26">
        <w:rPr>
          <w:rFonts w:asciiTheme="minorHAnsi" w:hAnsiTheme="minorHAnsi" w:cstheme="minorHAnsi"/>
          <w:iCs/>
          <w:szCs w:val="24"/>
        </w:rPr>
        <w:t>a</w:t>
      </w:r>
      <w:r w:rsidR="00C64798" w:rsidRPr="00C75F26">
        <w:rPr>
          <w:rFonts w:asciiTheme="minorHAnsi" w:hAnsiTheme="minorHAnsi" w:cstheme="minorHAnsi"/>
          <w:iCs/>
          <w:szCs w:val="24"/>
        </w:rPr>
        <w:t xml:space="preserve"> </w:t>
      </w:r>
      <w:r w:rsidRPr="00C75F26">
        <w:rPr>
          <w:rFonts w:asciiTheme="minorHAnsi" w:hAnsiTheme="minorHAnsi" w:cstheme="minorHAnsi"/>
          <w:iCs/>
          <w:szCs w:val="24"/>
        </w:rPr>
        <w:t>national priority</w:t>
      </w:r>
      <w:r w:rsidR="00C64798" w:rsidRPr="00C75F26">
        <w:rPr>
          <w:rFonts w:asciiTheme="minorHAnsi" w:hAnsiTheme="minorHAnsi" w:cstheme="minorHAnsi"/>
          <w:iCs/>
          <w:szCs w:val="24"/>
        </w:rPr>
        <w:t>,</w:t>
      </w:r>
      <w:r w:rsidRPr="00C75F26">
        <w:rPr>
          <w:rFonts w:asciiTheme="minorHAnsi" w:hAnsiTheme="minorHAnsi" w:cstheme="minorHAnsi"/>
          <w:iCs/>
          <w:szCs w:val="24"/>
        </w:rPr>
        <w:t xml:space="preserve"> that is in addition to the national priorities already specified in the Guidelines; </w:t>
      </w:r>
    </w:p>
    <w:p w14:paraId="02F97656" w14:textId="72637165" w:rsidR="00A41EE9" w:rsidRPr="00C75F26" w:rsidRDefault="00C45889" w:rsidP="00A41EE9">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update</w:t>
      </w:r>
      <w:r w:rsidR="009D7F9A" w:rsidRPr="00C75F26">
        <w:rPr>
          <w:rFonts w:asciiTheme="minorHAnsi" w:hAnsiTheme="minorHAnsi" w:cstheme="minorHAnsi"/>
          <w:iCs/>
          <w:szCs w:val="24"/>
        </w:rPr>
        <w:t xml:space="preserve"> note</w:t>
      </w:r>
      <w:r w:rsidR="00FA2A78" w:rsidRPr="00C75F26">
        <w:rPr>
          <w:rFonts w:asciiTheme="minorHAnsi" w:hAnsiTheme="minorHAnsi" w:cstheme="minorHAnsi"/>
          <w:iCs/>
          <w:szCs w:val="24"/>
        </w:rPr>
        <w:t>s 5 and 6</w:t>
      </w:r>
      <w:r w:rsidR="009D7F9A" w:rsidRPr="00C75F26">
        <w:rPr>
          <w:rFonts w:asciiTheme="minorHAnsi" w:hAnsiTheme="minorHAnsi" w:cstheme="minorHAnsi"/>
          <w:iCs/>
          <w:szCs w:val="24"/>
        </w:rPr>
        <w:t xml:space="preserve"> at the end of the table at section 14 of the Guidelines to</w:t>
      </w:r>
      <w:r w:rsidR="00FA2A78" w:rsidRPr="00C75F26">
        <w:rPr>
          <w:rFonts w:asciiTheme="minorHAnsi" w:hAnsiTheme="minorHAnsi" w:cstheme="minorHAnsi"/>
          <w:iCs/>
          <w:szCs w:val="24"/>
        </w:rPr>
        <w:t xml:space="preserve"> correct a drafting error and</w:t>
      </w:r>
      <w:r w:rsidR="009D7F9A" w:rsidRPr="00C75F26">
        <w:rPr>
          <w:rFonts w:asciiTheme="minorHAnsi" w:hAnsiTheme="minorHAnsi" w:cstheme="minorHAnsi"/>
          <w:iCs/>
          <w:szCs w:val="24"/>
        </w:rPr>
        <w:t xml:space="preserve"> expand </w:t>
      </w:r>
      <w:r w:rsidRPr="00C75F26">
        <w:rPr>
          <w:rFonts w:asciiTheme="minorHAnsi" w:hAnsiTheme="minorHAnsi" w:cstheme="minorHAnsi"/>
          <w:iCs/>
          <w:szCs w:val="24"/>
        </w:rPr>
        <w:t xml:space="preserve">the </w:t>
      </w:r>
      <w:r w:rsidR="00A41EE9" w:rsidRPr="00C75F26">
        <w:rPr>
          <w:rFonts w:asciiTheme="minorHAnsi" w:hAnsiTheme="minorHAnsi" w:cstheme="minorHAnsi"/>
          <w:iCs/>
          <w:szCs w:val="24"/>
        </w:rPr>
        <w:t>Professional Pathway Social Work</w:t>
      </w:r>
      <w:r w:rsidRPr="00C75F26">
        <w:rPr>
          <w:rFonts w:asciiTheme="minorHAnsi" w:hAnsiTheme="minorHAnsi" w:cstheme="minorHAnsi"/>
          <w:iCs/>
          <w:szCs w:val="24"/>
        </w:rPr>
        <w:t xml:space="preserve"> part of funding cluster two</w:t>
      </w:r>
      <w:r w:rsidR="00A41EE9" w:rsidRPr="00C75F26">
        <w:rPr>
          <w:rFonts w:asciiTheme="minorHAnsi" w:hAnsiTheme="minorHAnsi" w:cstheme="minorHAnsi"/>
          <w:iCs/>
          <w:szCs w:val="24"/>
        </w:rPr>
        <w:t xml:space="preserve"> to include courses of study that lead to a bachelor degree, honours degree or master’s degree in:</w:t>
      </w:r>
    </w:p>
    <w:p w14:paraId="373D6BE1" w14:textId="77777777" w:rsidR="00A41EE9" w:rsidRPr="00C75F26" w:rsidRDefault="00A41EE9" w:rsidP="00A41EE9">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social work accredited by the Australian Association of Social Workers;</w:t>
      </w:r>
    </w:p>
    <w:p w14:paraId="4A6057C7" w14:textId="77777777" w:rsidR="00A41EE9" w:rsidRPr="00C75F26" w:rsidRDefault="00A41EE9" w:rsidP="00A41EE9">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youth work accredited by Youth Work Australia;</w:t>
      </w:r>
    </w:p>
    <w:p w14:paraId="6D14513F" w14:textId="77777777" w:rsidR="00A41EE9" w:rsidRPr="00C75F26" w:rsidRDefault="00A41EE9" w:rsidP="00A41EE9">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counselling accredited by the Australian Counsellors Association and/or the Psychotherapy and Counselling Federation of Australia; and</w:t>
      </w:r>
    </w:p>
    <w:p w14:paraId="2BCB35B7" w14:textId="77777777" w:rsidR="00425269" w:rsidRPr="00C75F26" w:rsidRDefault="00A41EE9" w:rsidP="00A41EE9">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community work accredited by the Australian Community Workers Association</w:t>
      </w:r>
      <w:r w:rsidR="00425269" w:rsidRPr="00C75F26">
        <w:rPr>
          <w:rFonts w:asciiTheme="minorHAnsi" w:hAnsiTheme="minorHAnsi" w:cstheme="minorHAnsi"/>
          <w:iCs/>
          <w:szCs w:val="24"/>
        </w:rPr>
        <w:t>;</w:t>
      </w:r>
    </w:p>
    <w:p w14:paraId="6DF1ABD9" w14:textId="349C7DCB" w:rsidR="00425269" w:rsidRPr="00C75F26" w:rsidRDefault="00FF4BE1" w:rsidP="000744BA">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amend</w:t>
      </w:r>
      <w:r w:rsidR="00425269" w:rsidRPr="00C75F26">
        <w:rPr>
          <w:rFonts w:asciiTheme="minorHAnsi" w:hAnsiTheme="minorHAnsi" w:cstheme="minorHAnsi"/>
          <w:iCs/>
          <w:szCs w:val="24"/>
        </w:rPr>
        <w:t xml:space="preserve"> paragraph 10(b) to state that supporting a number of persons undertaking courses of study in any field of education at the University of Notre Dame Australia (UNDA) is a national priority for the purposes of paragraph 30-20(b) of the Act; and </w:t>
      </w:r>
    </w:p>
    <w:p w14:paraId="37B95D28" w14:textId="28D142D3" w:rsidR="00306920" w:rsidRPr="00C75F26" w:rsidRDefault="00425269" w:rsidP="000744BA">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lastRenderedPageBreak/>
        <w:t xml:space="preserve">repeal paragraph 10(c) which is no longer required due to the changes made to paragraph 10(b). </w:t>
      </w:r>
    </w:p>
    <w:p w14:paraId="765DB937" w14:textId="66919784" w:rsidR="00A73E26" w:rsidRPr="00C75F26" w:rsidRDefault="00A73E26" w:rsidP="00A41EE9">
      <w:pPr>
        <w:spacing w:before="120" w:after="120"/>
        <w:rPr>
          <w:rFonts w:asciiTheme="minorHAnsi" w:hAnsiTheme="minorHAnsi" w:cstheme="minorHAnsi"/>
          <w:iCs/>
          <w:szCs w:val="24"/>
        </w:rPr>
      </w:pPr>
      <w:r w:rsidRPr="00C75F26">
        <w:rPr>
          <w:rFonts w:asciiTheme="minorHAnsi" w:hAnsiTheme="minorHAnsi" w:cstheme="minorHAnsi"/>
          <w:iCs/>
          <w:szCs w:val="24"/>
        </w:rPr>
        <w:t>The</w:t>
      </w:r>
      <w:r w:rsidR="00285B63" w:rsidRPr="00C75F26">
        <w:rPr>
          <w:rFonts w:asciiTheme="minorHAnsi" w:hAnsiTheme="minorHAnsi" w:cstheme="minorHAnsi"/>
          <w:iCs/>
          <w:szCs w:val="24"/>
        </w:rPr>
        <w:t xml:space="preserve"> expanded</w:t>
      </w:r>
      <w:r w:rsidR="002278E1" w:rsidRPr="00C75F26">
        <w:rPr>
          <w:rFonts w:asciiTheme="minorHAnsi" w:hAnsiTheme="minorHAnsi" w:cstheme="minorHAnsi"/>
          <w:iCs/>
          <w:szCs w:val="24"/>
        </w:rPr>
        <w:t xml:space="preserve"> and </w:t>
      </w:r>
      <w:r w:rsidR="00285B63" w:rsidRPr="00C75F26">
        <w:rPr>
          <w:rFonts w:asciiTheme="minorHAnsi" w:hAnsiTheme="minorHAnsi" w:cstheme="minorHAnsi"/>
          <w:iCs/>
          <w:szCs w:val="24"/>
        </w:rPr>
        <w:t>revised</w:t>
      </w:r>
      <w:r w:rsidRPr="00C75F26">
        <w:rPr>
          <w:rFonts w:asciiTheme="minorHAnsi" w:hAnsiTheme="minorHAnsi" w:cstheme="minorHAnsi"/>
          <w:iCs/>
          <w:szCs w:val="24"/>
        </w:rPr>
        <w:t xml:space="preserve"> list of providers is required to enable those providers to</w:t>
      </w:r>
      <w:r w:rsidR="00487812" w:rsidRPr="00C75F26">
        <w:rPr>
          <w:rFonts w:asciiTheme="minorHAnsi" w:hAnsiTheme="minorHAnsi" w:cstheme="minorHAnsi"/>
          <w:iCs/>
          <w:szCs w:val="24"/>
        </w:rPr>
        <w:t xml:space="preserve"> be eligible for grants under Part 2-2 of the Act and</w:t>
      </w:r>
      <w:r w:rsidRPr="00C75F26">
        <w:rPr>
          <w:rFonts w:asciiTheme="minorHAnsi" w:hAnsiTheme="minorHAnsi" w:cstheme="minorHAnsi"/>
          <w:iCs/>
          <w:szCs w:val="24"/>
        </w:rPr>
        <w:t xml:space="preserve"> offer Commonwealth supported places in short courses in national priority areas in 2021.</w:t>
      </w:r>
      <w:r w:rsidR="0050457F" w:rsidRPr="00C75F26">
        <w:rPr>
          <w:rFonts w:asciiTheme="minorHAnsi" w:hAnsiTheme="minorHAnsi" w:cstheme="minorHAnsi"/>
          <w:iCs/>
          <w:szCs w:val="24"/>
        </w:rPr>
        <w:t xml:space="preserve"> These providers and courses have been selected through a competitive application process.</w:t>
      </w:r>
    </w:p>
    <w:p w14:paraId="2F58B503" w14:textId="771350E0" w:rsidR="00763525" w:rsidRPr="00C75F26" w:rsidRDefault="00E32A2B" w:rsidP="00A41EE9">
      <w:pPr>
        <w:spacing w:before="120" w:after="120"/>
        <w:rPr>
          <w:rFonts w:asciiTheme="minorHAnsi" w:hAnsiTheme="minorHAnsi" w:cstheme="minorHAnsi"/>
          <w:iCs/>
          <w:szCs w:val="24"/>
        </w:rPr>
      </w:pPr>
      <w:r w:rsidRPr="00C75F26">
        <w:rPr>
          <w:rFonts w:asciiTheme="minorHAnsi" w:hAnsiTheme="minorHAnsi" w:cstheme="minorHAnsi"/>
          <w:iCs/>
          <w:szCs w:val="24"/>
        </w:rPr>
        <w:t xml:space="preserve">Expansion of the Professional Pathway Social Work </w:t>
      </w:r>
      <w:r w:rsidR="00C45889" w:rsidRPr="00C75F26">
        <w:rPr>
          <w:rFonts w:asciiTheme="minorHAnsi" w:hAnsiTheme="minorHAnsi" w:cstheme="minorHAnsi"/>
          <w:iCs/>
          <w:szCs w:val="24"/>
        </w:rPr>
        <w:t xml:space="preserve">part of funding cluster two </w:t>
      </w:r>
      <w:r w:rsidRPr="00C75F26">
        <w:rPr>
          <w:rFonts w:asciiTheme="minorHAnsi" w:hAnsiTheme="minorHAnsi" w:cstheme="minorHAnsi"/>
          <w:iCs/>
          <w:szCs w:val="24"/>
        </w:rPr>
        <w:t xml:space="preserve">reflects the importance of </w:t>
      </w:r>
      <w:r w:rsidR="00E02E51" w:rsidRPr="00C75F26">
        <w:rPr>
          <w:rFonts w:asciiTheme="minorHAnsi" w:hAnsiTheme="minorHAnsi" w:cstheme="minorHAnsi"/>
          <w:iCs/>
          <w:szCs w:val="24"/>
        </w:rPr>
        <w:t xml:space="preserve">youth workers, counsellors and community workers to Australia and will encourage Australians into these professions. The expansion also acknowledges that, as </w:t>
      </w:r>
      <w:r w:rsidR="00C45889" w:rsidRPr="00C75F26">
        <w:rPr>
          <w:rFonts w:asciiTheme="minorHAnsi" w:hAnsiTheme="minorHAnsi" w:cstheme="minorHAnsi"/>
          <w:iCs/>
          <w:szCs w:val="24"/>
        </w:rPr>
        <w:t xml:space="preserve">is the case </w:t>
      </w:r>
      <w:r w:rsidR="00E02E51" w:rsidRPr="00C75F26">
        <w:rPr>
          <w:rFonts w:asciiTheme="minorHAnsi" w:hAnsiTheme="minorHAnsi" w:cstheme="minorHAnsi"/>
          <w:iCs/>
          <w:szCs w:val="24"/>
        </w:rPr>
        <w:t>for social workers, youth workers, counsellors and community workers</w:t>
      </w:r>
      <w:r w:rsidR="00B369D9" w:rsidRPr="00C75F26">
        <w:rPr>
          <w:rFonts w:asciiTheme="minorHAnsi" w:hAnsiTheme="minorHAnsi" w:cstheme="minorHAnsi"/>
          <w:iCs/>
          <w:szCs w:val="24"/>
        </w:rPr>
        <w:t>,</w:t>
      </w:r>
      <w:r w:rsidR="00E02E51" w:rsidRPr="00C75F26">
        <w:rPr>
          <w:rFonts w:asciiTheme="minorHAnsi" w:hAnsiTheme="minorHAnsi" w:cstheme="minorHAnsi"/>
          <w:iCs/>
          <w:szCs w:val="24"/>
        </w:rPr>
        <w:t xml:space="preserve"> </w:t>
      </w:r>
      <w:r w:rsidR="00B369D9" w:rsidRPr="00C75F26">
        <w:rPr>
          <w:rFonts w:asciiTheme="minorHAnsi" w:hAnsiTheme="minorHAnsi" w:cstheme="minorHAnsi"/>
          <w:iCs/>
          <w:szCs w:val="24"/>
        </w:rPr>
        <w:t xml:space="preserve">who </w:t>
      </w:r>
      <w:r w:rsidR="00E02E51" w:rsidRPr="00C75F26">
        <w:rPr>
          <w:rFonts w:asciiTheme="minorHAnsi" w:hAnsiTheme="minorHAnsi" w:cstheme="minorHAnsi"/>
          <w:iCs/>
          <w:szCs w:val="24"/>
        </w:rPr>
        <w:t>require an undergraduate degree to practi</w:t>
      </w:r>
      <w:r w:rsidR="00592C30" w:rsidRPr="00C75F26">
        <w:rPr>
          <w:rFonts w:asciiTheme="minorHAnsi" w:hAnsiTheme="minorHAnsi" w:cstheme="minorHAnsi"/>
          <w:iCs/>
          <w:szCs w:val="24"/>
        </w:rPr>
        <w:t>s</w:t>
      </w:r>
      <w:r w:rsidR="00E02E51" w:rsidRPr="00C75F26">
        <w:rPr>
          <w:rFonts w:asciiTheme="minorHAnsi" w:hAnsiTheme="minorHAnsi" w:cstheme="minorHAnsi"/>
          <w:iCs/>
          <w:szCs w:val="24"/>
        </w:rPr>
        <w:t>e, a professional body accredits designated units, and work-integrated learning is required before being able to practi</w:t>
      </w:r>
      <w:r w:rsidR="00AD6BC0" w:rsidRPr="00C75F26">
        <w:rPr>
          <w:rFonts w:asciiTheme="minorHAnsi" w:hAnsiTheme="minorHAnsi" w:cstheme="minorHAnsi"/>
          <w:iCs/>
          <w:szCs w:val="24"/>
        </w:rPr>
        <w:t>s</w:t>
      </w:r>
      <w:r w:rsidR="00E02E51" w:rsidRPr="00C75F26">
        <w:rPr>
          <w:rFonts w:asciiTheme="minorHAnsi" w:hAnsiTheme="minorHAnsi" w:cstheme="minorHAnsi"/>
          <w:iCs/>
          <w:szCs w:val="24"/>
        </w:rPr>
        <w:t>e in the profession.</w:t>
      </w:r>
    </w:p>
    <w:p w14:paraId="682A9408" w14:textId="3B12A027" w:rsidR="00567D26" w:rsidRPr="00C75F26" w:rsidRDefault="00567D26" w:rsidP="00567D26">
      <w:pPr>
        <w:spacing w:before="120" w:after="120"/>
        <w:rPr>
          <w:rFonts w:asciiTheme="minorHAnsi" w:hAnsiTheme="minorHAnsi" w:cstheme="minorHAnsi"/>
          <w:iCs/>
          <w:szCs w:val="24"/>
        </w:rPr>
      </w:pPr>
      <w:r w:rsidRPr="00C75F26">
        <w:rPr>
          <w:rFonts w:asciiTheme="minorHAnsi" w:hAnsiTheme="minorHAnsi" w:cstheme="minorHAnsi"/>
          <w:iCs/>
          <w:szCs w:val="24"/>
        </w:rPr>
        <w:t xml:space="preserve">The amendment to paragraph 10(b) of the Guidelines is a transitional amendment that implements the Government’s 2020-21 MYEFO commitment to re-categorise UNDA as a Table A provider under the Act. UNDA is currently a Table B provider and is only eligible to receive funding under Part 2-2 (Commonwealth Grant Scheme) of the Act for its </w:t>
      </w:r>
      <w:r w:rsidRPr="00C75F26">
        <w:rPr>
          <w:rFonts w:asciiTheme="minorHAnsi" w:hAnsiTheme="minorHAnsi" w:cstheme="minorHAnsi"/>
          <w:iCs/>
          <w:szCs w:val="24"/>
        </w:rPr>
        <w:br/>
        <w:t xml:space="preserve">non-medical domestic undergraduate students in relation to the courses listed in the national priority set out in existing paragraph 10(b) of the Guidelines, i.e. UNDA </w:t>
      </w:r>
      <w:r w:rsidR="00105CE1" w:rsidRPr="00C75F26">
        <w:rPr>
          <w:rFonts w:asciiTheme="minorHAnsi" w:hAnsiTheme="minorHAnsi" w:cstheme="minorHAnsi"/>
          <w:iCs/>
          <w:szCs w:val="24"/>
        </w:rPr>
        <w:t xml:space="preserve">only </w:t>
      </w:r>
      <w:r w:rsidRPr="00C75F26">
        <w:rPr>
          <w:rFonts w:asciiTheme="minorHAnsi" w:hAnsiTheme="minorHAnsi" w:cstheme="minorHAnsi"/>
          <w:iCs/>
          <w:szCs w:val="24"/>
        </w:rPr>
        <w:t xml:space="preserve">receives Part 2-2 funding in relation to </w:t>
      </w:r>
      <w:r w:rsidR="00105CE1" w:rsidRPr="00C75F26">
        <w:rPr>
          <w:rFonts w:asciiTheme="minorHAnsi" w:hAnsiTheme="minorHAnsi" w:cstheme="minorHAnsi"/>
          <w:iCs/>
          <w:szCs w:val="24"/>
        </w:rPr>
        <w:t>some</w:t>
      </w:r>
      <w:r w:rsidRPr="00C75F26">
        <w:rPr>
          <w:rFonts w:asciiTheme="minorHAnsi" w:hAnsiTheme="minorHAnsi" w:cstheme="minorHAnsi"/>
          <w:iCs/>
          <w:szCs w:val="24"/>
        </w:rPr>
        <w:t xml:space="preserve"> of its non-medical domestic undergraduate students. </w:t>
      </w:r>
    </w:p>
    <w:p w14:paraId="36CCE809" w14:textId="6A180FA3" w:rsidR="00567D26" w:rsidRPr="00C75F26" w:rsidRDefault="00567D26" w:rsidP="00A41EE9">
      <w:pPr>
        <w:spacing w:before="120" w:after="120"/>
        <w:rPr>
          <w:rFonts w:asciiTheme="minorHAnsi" w:hAnsiTheme="minorHAnsi" w:cstheme="minorHAnsi"/>
          <w:iCs/>
          <w:szCs w:val="24"/>
        </w:rPr>
      </w:pPr>
      <w:r w:rsidRPr="00C75F26">
        <w:rPr>
          <w:rFonts w:asciiTheme="minorHAnsi" w:hAnsiTheme="minorHAnsi" w:cstheme="minorHAnsi"/>
          <w:iCs/>
          <w:szCs w:val="24"/>
        </w:rPr>
        <w:t xml:space="preserve">The Government intends to amend the Act to change UNDA from a Table B provider to a Table A provider, meaning that UNDA will be eligible to receive Part 2-2 funding in relation to all of its non-medical domestic undergraduate students; however, this is expected to occur later in 2021. To ensure that this Government commitment is implemented as soon as possible, it is proposed that the Guidelines be amended now to ensure that UNDA is effectively treated like a Table A provider for the purposes of receiving funding for its </w:t>
      </w:r>
      <w:r w:rsidRPr="00C75F26">
        <w:rPr>
          <w:rFonts w:asciiTheme="minorHAnsi" w:hAnsiTheme="minorHAnsi" w:cstheme="minorHAnsi"/>
          <w:iCs/>
          <w:szCs w:val="24"/>
        </w:rPr>
        <w:br/>
        <w:t>non-medical domestic undergraduate students. This change will also mean that all of UNDA’s non-medical domestic undergraduate students will be eligible to</w:t>
      </w:r>
      <w:r w:rsidR="00974603" w:rsidRPr="00C75F26">
        <w:rPr>
          <w:rFonts w:asciiTheme="minorHAnsi" w:hAnsiTheme="minorHAnsi" w:cstheme="minorHAnsi"/>
          <w:iCs/>
          <w:szCs w:val="24"/>
        </w:rPr>
        <w:t xml:space="preserve"> access</w:t>
      </w:r>
      <w:r w:rsidRPr="00C75F26">
        <w:rPr>
          <w:rFonts w:asciiTheme="minorHAnsi" w:hAnsiTheme="minorHAnsi" w:cstheme="minorHAnsi"/>
          <w:iCs/>
          <w:szCs w:val="24"/>
        </w:rPr>
        <w:t xml:space="preserve"> Commonwealth supported </w:t>
      </w:r>
      <w:r w:rsidR="00974603" w:rsidRPr="00C75F26">
        <w:rPr>
          <w:rFonts w:asciiTheme="minorHAnsi" w:hAnsiTheme="minorHAnsi" w:cstheme="minorHAnsi"/>
          <w:iCs/>
          <w:szCs w:val="24"/>
        </w:rPr>
        <w:t>places</w:t>
      </w:r>
      <w:r w:rsidRPr="00C75F26">
        <w:rPr>
          <w:rFonts w:asciiTheme="minorHAnsi" w:hAnsiTheme="minorHAnsi" w:cstheme="minorHAnsi"/>
          <w:iCs/>
          <w:szCs w:val="24"/>
        </w:rPr>
        <w:t xml:space="preserve"> </w:t>
      </w:r>
      <w:r w:rsidRPr="00C75F26">
        <w:rPr>
          <w:rFonts w:asciiTheme="minorHAnsi" w:hAnsiTheme="minorHAnsi" w:cstheme="minorHAnsi"/>
          <w:bCs/>
          <w:iCs/>
        </w:rPr>
        <w:t>(provided they also meet the other eligibility criteria in the Act).</w:t>
      </w:r>
      <w:r w:rsidRPr="00C75F26">
        <w:rPr>
          <w:rFonts w:asciiTheme="minorHAnsi" w:hAnsiTheme="minorHAnsi" w:cstheme="minorHAnsi"/>
          <w:iCs/>
          <w:szCs w:val="24"/>
        </w:rPr>
        <w:t xml:space="preserve">    </w:t>
      </w:r>
    </w:p>
    <w:p w14:paraId="2F60D3B9" w14:textId="77777777" w:rsidR="00350779" w:rsidRPr="00C75F26" w:rsidRDefault="00144950" w:rsidP="00350779">
      <w:pPr>
        <w:pStyle w:val="Heading2"/>
        <w:rPr>
          <w:rFonts w:asciiTheme="minorHAnsi" w:hAnsiTheme="minorHAnsi" w:cstheme="minorHAnsi"/>
          <w:color w:val="auto"/>
        </w:rPr>
      </w:pPr>
      <w:r w:rsidRPr="00C75F26">
        <w:rPr>
          <w:rFonts w:asciiTheme="minorHAnsi" w:hAnsiTheme="minorHAnsi" w:cstheme="minorHAnsi"/>
          <w:color w:val="auto"/>
        </w:rPr>
        <w:t>REGULATORY IMPACT</w:t>
      </w:r>
    </w:p>
    <w:p w14:paraId="33BBC9E9" w14:textId="7E6CBDBE" w:rsidR="00227DA9" w:rsidRPr="00C75F26" w:rsidRDefault="00227DA9" w:rsidP="00DA552F">
      <w:pPr>
        <w:spacing w:before="120" w:after="120"/>
        <w:rPr>
          <w:rFonts w:asciiTheme="minorHAnsi" w:hAnsiTheme="minorHAnsi" w:cstheme="minorHAnsi"/>
          <w:szCs w:val="24"/>
        </w:rPr>
      </w:pPr>
      <w:r w:rsidRPr="00C75F26">
        <w:rPr>
          <w:rFonts w:asciiTheme="minorHAnsi" w:hAnsiTheme="minorHAnsi" w:cstheme="minorHAnsi"/>
          <w:szCs w:val="24"/>
        </w:rPr>
        <w:t xml:space="preserve">The Office of Best Practice Regulation </w:t>
      </w:r>
      <w:r w:rsidR="00493FF3" w:rsidRPr="00C75F26">
        <w:rPr>
          <w:rFonts w:asciiTheme="minorHAnsi" w:hAnsiTheme="minorHAnsi" w:cstheme="minorHAnsi"/>
          <w:szCs w:val="24"/>
        </w:rPr>
        <w:t xml:space="preserve">(OBPR) </w:t>
      </w:r>
      <w:r w:rsidRPr="00C75F26">
        <w:rPr>
          <w:rFonts w:asciiTheme="minorHAnsi" w:hAnsiTheme="minorHAnsi" w:cstheme="minorHAnsi"/>
          <w:szCs w:val="24"/>
        </w:rPr>
        <w:t xml:space="preserve">has determined that </w:t>
      </w:r>
      <w:r w:rsidR="008A1BC6" w:rsidRPr="00C75F26">
        <w:rPr>
          <w:rFonts w:asciiTheme="minorHAnsi" w:hAnsiTheme="minorHAnsi" w:cstheme="minorHAnsi"/>
          <w:szCs w:val="24"/>
        </w:rPr>
        <w:t>the amendments relating to the</w:t>
      </w:r>
      <w:r w:rsidR="00432EA1" w:rsidRPr="00C75F26">
        <w:rPr>
          <w:rFonts w:asciiTheme="minorHAnsi" w:hAnsiTheme="minorHAnsi" w:cstheme="minorHAnsi"/>
          <w:szCs w:val="24"/>
        </w:rPr>
        <w:t xml:space="preserve"> list of providers and </w:t>
      </w:r>
      <w:r w:rsidR="008A1BC6" w:rsidRPr="00C75F26">
        <w:rPr>
          <w:rFonts w:asciiTheme="minorHAnsi" w:hAnsiTheme="minorHAnsi" w:cstheme="minorHAnsi"/>
          <w:szCs w:val="24"/>
        </w:rPr>
        <w:t xml:space="preserve">new </w:t>
      </w:r>
      <w:r w:rsidR="00432EA1" w:rsidRPr="00C75F26">
        <w:rPr>
          <w:rFonts w:asciiTheme="minorHAnsi" w:hAnsiTheme="minorHAnsi" w:cstheme="minorHAnsi"/>
          <w:szCs w:val="24"/>
        </w:rPr>
        <w:t>national priorit</w:t>
      </w:r>
      <w:r w:rsidR="008A1BC6" w:rsidRPr="00C75F26">
        <w:rPr>
          <w:rFonts w:asciiTheme="minorHAnsi" w:hAnsiTheme="minorHAnsi" w:cstheme="minorHAnsi"/>
          <w:szCs w:val="24"/>
        </w:rPr>
        <w:t>y areas in the Instrument</w:t>
      </w:r>
      <w:r w:rsidRPr="00C75F26">
        <w:rPr>
          <w:rFonts w:asciiTheme="minorHAnsi" w:hAnsiTheme="minorHAnsi" w:cstheme="minorHAnsi"/>
          <w:szCs w:val="24"/>
        </w:rPr>
        <w:t xml:space="preserve"> ha</w:t>
      </w:r>
      <w:r w:rsidR="005F32BD" w:rsidRPr="00C75F26">
        <w:rPr>
          <w:rFonts w:asciiTheme="minorHAnsi" w:hAnsiTheme="minorHAnsi" w:cstheme="minorHAnsi"/>
          <w:szCs w:val="24"/>
        </w:rPr>
        <w:t>ve</w:t>
      </w:r>
      <w:r w:rsidRPr="00C75F26">
        <w:rPr>
          <w:rFonts w:asciiTheme="minorHAnsi" w:hAnsiTheme="minorHAnsi" w:cstheme="minorHAnsi"/>
          <w:szCs w:val="24"/>
        </w:rPr>
        <w:t xml:space="preserve"> minor regulatory impact (OB</w:t>
      </w:r>
      <w:r w:rsidR="00285B63" w:rsidRPr="00C75F26">
        <w:rPr>
          <w:rFonts w:asciiTheme="minorHAnsi" w:hAnsiTheme="minorHAnsi" w:cstheme="minorHAnsi"/>
          <w:szCs w:val="24"/>
        </w:rPr>
        <w:t>P</w:t>
      </w:r>
      <w:r w:rsidRPr="00C75F26">
        <w:rPr>
          <w:rFonts w:asciiTheme="minorHAnsi" w:hAnsiTheme="minorHAnsi" w:cstheme="minorHAnsi"/>
          <w:szCs w:val="24"/>
        </w:rPr>
        <w:t>R ID 42899) and a regulation impact statement</w:t>
      </w:r>
      <w:r w:rsidR="009020F3" w:rsidRPr="00C75F26">
        <w:rPr>
          <w:rFonts w:asciiTheme="minorHAnsi" w:hAnsiTheme="minorHAnsi" w:cstheme="minorHAnsi"/>
          <w:szCs w:val="24"/>
        </w:rPr>
        <w:t xml:space="preserve"> (RIS)</w:t>
      </w:r>
      <w:r w:rsidRPr="00C75F26">
        <w:rPr>
          <w:rFonts w:asciiTheme="minorHAnsi" w:hAnsiTheme="minorHAnsi" w:cstheme="minorHAnsi"/>
          <w:szCs w:val="24"/>
        </w:rPr>
        <w:t xml:space="preserve"> is not required. </w:t>
      </w:r>
    </w:p>
    <w:p w14:paraId="071937E0" w14:textId="2006C3CB" w:rsidR="008A1BC6" w:rsidRPr="00C75F26" w:rsidRDefault="008A1BC6" w:rsidP="00DA552F">
      <w:pPr>
        <w:spacing w:before="120" w:after="120"/>
        <w:rPr>
          <w:rFonts w:asciiTheme="minorHAnsi" w:hAnsiTheme="minorHAnsi" w:cstheme="minorHAnsi"/>
          <w:szCs w:val="24"/>
        </w:rPr>
      </w:pPr>
      <w:r w:rsidRPr="00C75F26">
        <w:rPr>
          <w:rFonts w:asciiTheme="minorHAnsi" w:hAnsiTheme="minorHAnsi" w:cstheme="minorHAnsi"/>
          <w:szCs w:val="24"/>
        </w:rPr>
        <w:t xml:space="preserve">The amendment relating to the Professional Pathway Social Work is part of measures contained in the </w:t>
      </w:r>
      <w:r w:rsidRPr="00C75F26">
        <w:rPr>
          <w:rFonts w:asciiTheme="minorHAnsi" w:hAnsiTheme="minorHAnsi" w:cstheme="minorHAnsi"/>
          <w:i/>
          <w:iCs/>
          <w:szCs w:val="24"/>
        </w:rPr>
        <w:t>Higher Education Support Amendment (Job-Ready Graduates and Supporting Regional and Remote Students) Act 2020</w:t>
      </w:r>
      <w:r w:rsidRPr="00C75F26">
        <w:rPr>
          <w:rFonts w:asciiTheme="minorHAnsi" w:hAnsiTheme="minorHAnsi" w:cstheme="minorHAnsi"/>
          <w:szCs w:val="24"/>
        </w:rPr>
        <w:t>, which have minimal regulatory impact.</w:t>
      </w:r>
    </w:p>
    <w:p w14:paraId="3E920F8C" w14:textId="0132ECEA" w:rsidR="00567D26" w:rsidRPr="00C75F26" w:rsidRDefault="00567D26" w:rsidP="00DA552F">
      <w:pPr>
        <w:spacing w:before="120" w:after="120"/>
        <w:rPr>
          <w:rFonts w:asciiTheme="minorHAnsi" w:hAnsiTheme="minorHAnsi" w:cstheme="minorHAnsi"/>
          <w:szCs w:val="24"/>
        </w:rPr>
      </w:pPr>
      <w:r w:rsidRPr="00C75F26">
        <w:rPr>
          <w:rFonts w:asciiTheme="minorHAnsi" w:hAnsiTheme="minorHAnsi" w:cstheme="minorHAnsi"/>
          <w:szCs w:val="24"/>
        </w:rPr>
        <w:lastRenderedPageBreak/>
        <w:t xml:space="preserve">The amendment to re-categorise UNDA as a Table A provider has </w:t>
      </w:r>
      <w:r w:rsidR="00D408E5" w:rsidRPr="00C75F26">
        <w:rPr>
          <w:rFonts w:asciiTheme="minorHAnsi" w:hAnsiTheme="minorHAnsi" w:cstheme="minorHAnsi"/>
          <w:szCs w:val="24"/>
        </w:rPr>
        <w:t xml:space="preserve">a </w:t>
      </w:r>
      <w:r w:rsidRPr="00C75F26">
        <w:rPr>
          <w:rFonts w:asciiTheme="minorHAnsi" w:hAnsiTheme="minorHAnsi" w:cstheme="minorHAnsi"/>
          <w:szCs w:val="24"/>
        </w:rPr>
        <w:t>minor regulator</w:t>
      </w:r>
      <w:r w:rsidR="00D408E5" w:rsidRPr="00C75F26">
        <w:rPr>
          <w:rFonts w:asciiTheme="minorHAnsi" w:hAnsiTheme="minorHAnsi" w:cstheme="minorHAnsi"/>
          <w:szCs w:val="24"/>
        </w:rPr>
        <w:t>y</w:t>
      </w:r>
      <w:r w:rsidRPr="00C75F26">
        <w:rPr>
          <w:rFonts w:asciiTheme="minorHAnsi" w:hAnsiTheme="minorHAnsi" w:cstheme="minorHAnsi"/>
          <w:szCs w:val="24"/>
        </w:rPr>
        <w:t xml:space="preserve"> impact and a RIS is not required (OBPR ID 43451).</w:t>
      </w:r>
    </w:p>
    <w:p w14:paraId="1E6A4238" w14:textId="77777777" w:rsidR="00696CF0" w:rsidRPr="00C75F26" w:rsidRDefault="00144950" w:rsidP="0088497A">
      <w:pPr>
        <w:pStyle w:val="Heading2"/>
        <w:rPr>
          <w:rFonts w:asciiTheme="minorHAnsi" w:hAnsiTheme="minorHAnsi" w:cstheme="minorHAnsi"/>
          <w:color w:val="auto"/>
        </w:rPr>
      </w:pPr>
      <w:r w:rsidRPr="00C75F26">
        <w:rPr>
          <w:rFonts w:asciiTheme="minorHAnsi" w:hAnsiTheme="minorHAnsi" w:cstheme="minorHAnsi"/>
          <w:color w:val="auto"/>
        </w:rPr>
        <w:t>COMMENCEMENT</w:t>
      </w:r>
    </w:p>
    <w:p w14:paraId="60201671" w14:textId="0851D4A8" w:rsidR="007F4757" w:rsidRPr="00C75F26" w:rsidRDefault="00567D26" w:rsidP="00DA552F">
      <w:pPr>
        <w:spacing w:before="120" w:after="120"/>
        <w:rPr>
          <w:rFonts w:asciiTheme="minorHAnsi" w:hAnsiTheme="minorHAnsi" w:cstheme="minorHAnsi"/>
          <w:iCs/>
          <w:szCs w:val="24"/>
        </w:rPr>
      </w:pPr>
      <w:r w:rsidRPr="00C75F26">
        <w:rPr>
          <w:rFonts w:asciiTheme="minorHAnsi" w:hAnsiTheme="minorHAnsi" w:cstheme="minorHAnsi"/>
          <w:iCs/>
          <w:szCs w:val="24"/>
        </w:rPr>
        <w:t xml:space="preserve">Part 1 of Schedule 1 to the </w:t>
      </w:r>
      <w:r w:rsidR="00432EA1" w:rsidRPr="00C75F26">
        <w:rPr>
          <w:rFonts w:asciiTheme="minorHAnsi" w:hAnsiTheme="minorHAnsi" w:cstheme="minorHAnsi"/>
          <w:iCs/>
          <w:szCs w:val="24"/>
        </w:rPr>
        <w:t>I</w:t>
      </w:r>
      <w:r w:rsidR="00724D25" w:rsidRPr="00C75F26">
        <w:rPr>
          <w:rFonts w:asciiTheme="minorHAnsi" w:hAnsiTheme="minorHAnsi" w:cstheme="minorHAnsi"/>
          <w:iCs/>
          <w:szCs w:val="24"/>
        </w:rPr>
        <w:t>nstrument will commence</w:t>
      </w:r>
      <w:r w:rsidR="001C1422" w:rsidRPr="00C75F26">
        <w:rPr>
          <w:rFonts w:asciiTheme="minorHAnsi" w:hAnsiTheme="minorHAnsi" w:cstheme="minorHAnsi"/>
          <w:iCs/>
          <w:szCs w:val="24"/>
        </w:rPr>
        <w:t xml:space="preserve"> retrospectively</w:t>
      </w:r>
      <w:r w:rsidR="00724D25" w:rsidRPr="00C75F26">
        <w:rPr>
          <w:rFonts w:asciiTheme="minorHAnsi" w:hAnsiTheme="minorHAnsi" w:cstheme="minorHAnsi"/>
          <w:iCs/>
          <w:szCs w:val="24"/>
        </w:rPr>
        <w:t xml:space="preserve"> </w:t>
      </w:r>
      <w:r w:rsidR="00643B85" w:rsidRPr="00C75F26">
        <w:rPr>
          <w:rFonts w:asciiTheme="minorHAnsi" w:hAnsiTheme="minorHAnsi" w:cstheme="minorHAnsi"/>
          <w:iCs/>
          <w:szCs w:val="24"/>
        </w:rPr>
        <w:t>on 1 January 2021</w:t>
      </w:r>
      <w:r w:rsidR="002278E1" w:rsidRPr="00C75F26">
        <w:rPr>
          <w:rFonts w:asciiTheme="minorHAnsi" w:hAnsiTheme="minorHAnsi" w:cstheme="minorHAnsi"/>
          <w:iCs/>
          <w:szCs w:val="24"/>
        </w:rPr>
        <w:t xml:space="preserve">, which is the date that the main amendments made by the </w:t>
      </w:r>
      <w:r w:rsidR="002278E1" w:rsidRPr="00C75F26">
        <w:rPr>
          <w:rFonts w:asciiTheme="minorHAnsi" w:hAnsiTheme="minorHAnsi" w:cstheme="minorHAnsi"/>
          <w:i/>
          <w:szCs w:val="24"/>
        </w:rPr>
        <w:t>Higher Education Support Amendment (Job</w:t>
      </w:r>
      <w:r w:rsidR="002278E1" w:rsidRPr="00C75F26">
        <w:rPr>
          <w:rFonts w:ascii="Cambria Math" w:hAnsi="Cambria Math" w:cs="Cambria Math"/>
          <w:i/>
          <w:szCs w:val="24"/>
        </w:rPr>
        <w:t>‑</w:t>
      </w:r>
      <w:r w:rsidR="002278E1" w:rsidRPr="00C75F26">
        <w:rPr>
          <w:rFonts w:asciiTheme="minorHAnsi" w:hAnsiTheme="minorHAnsi" w:cstheme="minorHAnsi"/>
          <w:i/>
          <w:szCs w:val="24"/>
        </w:rPr>
        <w:t>Ready Graduates and Supporting Regional and Remote Students) Act 2020</w:t>
      </w:r>
      <w:r w:rsidR="002278E1" w:rsidRPr="00C75F26">
        <w:rPr>
          <w:rFonts w:asciiTheme="minorHAnsi" w:hAnsiTheme="minorHAnsi" w:cstheme="minorHAnsi"/>
          <w:iCs/>
          <w:szCs w:val="24"/>
        </w:rPr>
        <w:t xml:space="preserve"> </w:t>
      </w:r>
      <w:r w:rsidR="00A814AA" w:rsidRPr="00C75F26">
        <w:rPr>
          <w:rFonts w:asciiTheme="minorHAnsi" w:hAnsiTheme="minorHAnsi" w:cstheme="minorHAnsi"/>
          <w:iCs/>
          <w:szCs w:val="24"/>
        </w:rPr>
        <w:t>came into effect</w:t>
      </w:r>
      <w:r w:rsidR="002278E1" w:rsidRPr="00C75F26">
        <w:rPr>
          <w:rFonts w:asciiTheme="minorHAnsi" w:hAnsiTheme="minorHAnsi" w:cstheme="minorHAnsi"/>
          <w:iCs/>
          <w:szCs w:val="24"/>
        </w:rPr>
        <w:t>.</w:t>
      </w:r>
      <w:r w:rsidR="001C1422" w:rsidRPr="00C75F26">
        <w:rPr>
          <w:rFonts w:asciiTheme="minorHAnsi" w:hAnsiTheme="minorHAnsi" w:cstheme="minorHAnsi"/>
          <w:iCs/>
          <w:szCs w:val="24"/>
        </w:rPr>
        <w:t xml:space="preserve"> </w:t>
      </w:r>
      <w:r w:rsidR="007F4757" w:rsidRPr="00C75F26">
        <w:rPr>
          <w:rFonts w:asciiTheme="minorHAnsi" w:hAnsiTheme="minorHAnsi" w:cstheme="minorHAnsi"/>
          <w:iCs/>
          <w:szCs w:val="24"/>
        </w:rPr>
        <w:t xml:space="preserve">The retrospective commencement is appropriate to ensure that the listed providers are eligible to receive grants under Part 2-2 of the Act from 1 January 2021. </w:t>
      </w:r>
    </w:p>
    <w:p w14:paraId="03F39C11" w14:textId="484CA569" w:rsidR="001C1422" w:rsidRPr="00C75F26" w:rsidRDefault="007A16B5" w:rsidP="00DA552F">
      <w:pPr>
        <w:spacing w:before="120" w:after="120"/>
        <w:rPr>
          <w:rFonts w:asciiTheme="minorHAnsi" w:hAnsiTheme="minorHAnsi" w:cstheme="minorHAnsi"/>
          <w:iCs/>
          <w:szCs w:val="24"/>
        </w:rPr>
      </w:pPr>
      <w:r w:rsidRPr="00C75F26">
        <w:rPr>
          <w:rFonts w:asciiTheme="minorHAnsi" w:hAnsiTheme="minorHAnsi" w:cstheme="minorHAnsi"/>
          <w:iCs/>
          <w:szCs w:val="24"/>
        </w:rPr>
        <w:t>The commencement</w:t>
      </w:r>
      <w:r w:rsidR="00475FBD" w:rsidRPr="00C75F26">
        <w:rPr>
          <w:rFonts w:asciiTheme="minorHAnsi" w:hAnsiTheme="minorHAnsi" w:cstheme="minorHAnsi"/>
          <w:iCs/>
          <w:szCs w:val="24"/>
        </w:rPr>
        <w:t xml:space="preserve"> is consistent with public messaging to the higher education sector and students</w:t>
      </w:r>
      <w:r w:rsidR="005F32BD" w:rsidRPr="00C75F26">
        <w:rPr>
          <w:rFonts w:asciiTheme="minorHAnsi" w:hAnsiTheme="minorHAnsi" w:cstheme="minorHAnsi"/>
          <w:iCs/>
          <w:szCs w:val="24"/>
        </w:rPr>
        <w:t>,</w:t>
      </w:r>
      <w:r w:rsidR="00475FBD" w:rsidRPr="00C75F26">
        <w:rPr>
          <w:rFonts w:asciiTheme="minorHAnsi" w:hAnsiTheme="minorHAnsi" w:cstheme="minorHAnsi"/>
          <w:iCs/>
          <w:szCs w:val="24"/>
        </w:rPr>
        <w:t xml:space="preserve"> and </w:t>
      </w:r>
      <w:r w:rsidR="00143BAC" w:rsidRPr="00C75F26">
        <w:rPr>
          <w:rFonts w:asciiTheme="minorHAnsi" w:hAnsiTheme="minorHAnsi" w:cstheme="minorHAnsi"/>
          <w:iCs/>
          <w:szCs w:val="24"/>
        </w:rPr>
        <w:t>is beneficial to</w:t>
      </w:r>
      <w:r w:rsidR="001C1422" w:rsidRPr="00C75F26">
        <w:rPr>
          <w:rFonts w:asciiTheme="minorHAnsi" w:hAnsiTheme="minorHAnsi" w:cstheme="minorHAnsi"/>
          <w:iCs/>
          <w:szCs w:val="24"/>
        </w:rPr>
        <w:t xml:space="preserve"> </w:t>
      </w:r>
      <w:r w:rsidR="00475FBD" w:rsidRPr="00C75F26">
        <w:rPr>
          <w:rFonts w:asciiTheme="minorHAnsi" w:hAnsiTheme="minorHAnsi" w:cstheme="minorHAnsi"/>
          <w:iCs/>
          <w:szCs w:val="24"/>
        </w:rPr>
        <w:t xml:space="preserve">both </w:t>
      </w:r>
      <w:r w:rsidR="001C1422" w:rsidRPr="00C75F26">
        <w:rPr>
          <w:rFonts w:asciiTheme="minorHAnsi" w:hAnsiTheme="minorHAnsi" w:cstheme="minorHAnsi"/>
          <w:iCs/>
          <w:szCs w:val="24"/>
        </w:rPr>
        <w:t xml:space="preserve">providers and students. For providers, it will ensure </w:t>
      </w:r>
      <w:r w:rsidR="00891051" w:rsidRPr="00C75F26">
        <w:rPr>
          <w:rFonts w:asciiTheme="minorHAnsi" w:hAnsiTheme="minorHAnsi" w:cstheme="minorHAnsi"/>
          <w:iCs/>
          <w:szCs w:val="24"/>
        </w:rPr>
        <w:t xml:space="preserve">Commonwealth </w:t>
      </w:r>
      <w:r w:rsidR="001C1422" w:rsidRPr="00C75F26">
        <w:rPr>
          <w:rFonts w:asciiTheme="minorHAnsi" w:hAnsiTheme="minorHAnsi" w:cstheme="minorHAnsi"/>
          <w:iCs/>
          <w:szCs w:val="24"/>
        </w:rPr>
        <w:t>payments are accurate for</w:t>
      </w:r>
      <w:r w:rsidR="00475FBD" w:rsidRPr="00C75F26">
        <w:rPr>
          <w:rFonts w:asciiTheme="minorHAnsi" w:hAnsiTheme="minorHAnsi" w:cstheme="minorHAnsi"/>
          <w:iCs/>
          <w:szCs w:val="24"/>
        </w:rPr>
        <w:t xml:space="preserve"> any</w:t>
      </w:r>
      <w:r w:rsidR="001C1422" w:rsidRPr="00C75F26">
        <w:rPr>
          <w:rFonts w:asciiTheme="minorHAnsi" w:hAnsiTheme="minorHAnsi" w:cstheme="minorHAnsi"/>
          <w:iCs/>
          <w:szCs w:val="24"/>
        </w:rPr>
        <w:t xml:space="preserve"> </w:t>
      </w:r>
      <w:r w:rsidR="00475FBD" w:rsidRPr="00C75F26">
        <w:rPr>
          <w:rFonts w:asciiTheme="minorHAnsi" w:hAnsiTheme="minorHAnsi" w:cstheme="minorHAnsi"/>
          <w:iCs/>
          <w:szCs w:val="24"/>
        </w:rPr>
        <w:t xml:space="preserve">Professional Pathway Social Work </w:t>
      </w:r>
      <w:r w:rsidR="001C1422" w:rsidRPr="00C75F26">
        <w:rPr>
          <w:rFonts w:asciiTheme="minorHAnsi" w:hAnsiTheme="minorHAnsi" w:cstheme="minorHAnsi"/>
          <w:iCs/>
          <w:szCs w:val="24"/>
        </w:rPr>
        <w:t xml:space="preserve">units </w:t>
      </w:r>
      <w:r w:rsidR="00143BAC" w:rsidRPr="00C75F26">
        <w:rPr>
          <w:rFonts w:asciiTheme="minorHAnsi" w:hAnsiTheme="minorHAnsi" w:cstheme="minorHAnsi"/>
          <w:iCs/>
          <w:szCs w:val="24"/>
        </w:rPr>
        <w:t>the</w:t>
      </w:r>
      <w:r w:rsidR="001C1422" w:rsidRPr="00C75F26">
        <w:rPr>
          <w:rFonts w:asciiTheme="minorHAnsi" w:hAnsiTheme="minorHAnsi" w:cstheme="minorHAnsi"/>
          <w:iCs/>
          <w:szCs w:val="24"/>
        </w:rPr>
        <w:t xml:space="preserve"> provider</w:t>
      </w:r>
      <w:r w:rsidR="00143BAC" w:rsidRPr="00C75F26">
        <w:rPr>
          <w:rFonts w:asciiTheme="minorHAnsi" w:hAnsiTheme="minorHAnsi" w:cstheme="minorHAnsi"/>
          <w:iCs/>
          <w:szCs w:val="24"/>
        </w:rPr>
        <w:t xml:space="preserve"> delivers</w:t>
      </w:r>
      <w:r w:rsidR="001C1422" w:rsidRPr="00C75F26">
        <w:rPr>
          <w:rFonts w:asciiTheme="minorHAnsi" w:hAnsiTheme="minorHAnsi" w:cstheme="minorHAnsi"/>
          <w:iCs/>
          <w:szCs w:val="24"/>
        </w:rPr>
        <w:t xml:space="preserve"> from the start of 2021. The retrospective </w:t>
      </w:r>
      <w:r w:rsidR="000D16CD" w:rsidRPr="00C75F26">
        <w:rPr>
          <w:rFonts w:asciiTheme="minorHAnsi" w:hAnsiTheme="minorHAnsi" w:cstheme="minorHAnsi"/>
          <w:iCs/>
          <w:szCs w:val="24"/>
        </w:rPr>
        <w:t>commencement</w:t>
      </w:r>
      <w:r w:rsidR="001C1422" w:rsidRPr="00C75F26">
        <w:rPr>
          <w:rFonts w:asciiTheme="minorHAnsi" w:hAnsiTheme="minorHAnsi" w:cstheme="minorHAnsi"/>
          <w:iCs/>
          <w:szCs w:val="24"/>
        </w:rPr>
        <w:t xml:space="preserve"> </w:t>
      </w:r>
      <w:r w:rsidR="00143BAC" w:rsidRPr="00C75F26">
        <w:rPr>
          <w:rFonts w:asciiTheme="minorHAnsi" w:hAnsiTheme="minorHAnsi" w:cstheme="minorHAnsi"/>
          <w:iCs/>
          <w:szCs w:val="24"/>
        </w:rPr>
        <w:t>also ensures</w:t>
      </w:r>
      <w:r w:rsidR="00475FBD" w:rsidRPr="00C75F26">
        <w:rPr>
          <w:rFonts w:asciiTheme="minorHAnsi" w:hAnsiTheme="minorHAnsi" w:cstheme="minorHAnsi"/>
          <w:iCs/>
          <w:szCs w:val="24"/>
        </w:rPr>
        <w:t xml:space="preserve"> students</w:t>
      </w:r>
      <w:r w:rsidR="001C1422" w:rsidRPr="00C75F26">
        <w:rPr>
          <w:rFonts w:asciiTheme="minorHAnsi" w:hAnsiTheme="minorHAnsi" w:cstheme="minorHAnsi"/>
          <w:iCs/>
          <w:szCs w:val="24"/>
        </w:rPr>
        <w:t xml:space="preserve"> are charged </w:t>
      </w:r>
      <w:r w:rsidR="00143BAC" w:rsidRPr="00C75F26">
        <w:rPr>
          <w:rFonts w:asciiTheme="minorHAnsi" w:hAnsiTheme="minorHAnsi" w:cstheme="minorHAnsi"/>
          <w:iCs/>
          <w:szCs w:val="24"/>
        </w:rPr>
        <w:t>accurate</w:t>
      </w:r>
      <w:r w:rsidR="001C1422" w:rsidRPr="00C75F26">
        <w:rPr>
          <w:rFonts w:asciiTheme="minorHAnsi" w:hAnsiTheme="minorHAnsi" w:cstheme="minorHAnsi"/>
          <w:iCs/>
          <w:szCs w:val="24"/>
        </w:rPr>
        <w:t xml:space="preserve"> student contribution amounts for </w:t>
      </w:r>
      <w:r w:rsidR="00475FBD" w:rsidRPr="00C75F26">
        <w:rPr>
          <w:rFonts w:asciiTheme="minorHAnsi" w:hAnsiTheme="minorHAnsi" w:cstheme="minorHAnsi"/>
          <w:iCs/>
          <w:szCs w:val="24"/>
        </w:rPr>
        <w:t xml:space="preserve">Professional Pathway Social Work </w:t>
      </w:r>
      <w:r w:rsidR="001C1422" w:rsidRPr="00C75F26">
        <w:rPr>
          <w:rFonts w:asciiTheme="minorHAnsi" w:hAnsiTheme="minorHAnsi" w:cstheme="minorHAnsi"/>
          <w:iCs/>
          <w:szCs w:val="24"/>
        </w:rPr>
        <w:t xml:space="preserve">units </w:t>
      </w:r>
      <w:r w:rsidR="00475FBD" w:rsidRPr="00C75F26">
        <w:rPr>
          <w:rFonts w:asciiTheme="minorHAnsi" w:hAnsiTheme="minorHAnsi" w:cstheme="minorHAnsi"/>
          <w:iCs/>
          <w:szCs w:val="24"/>
        </w:rPr>
        <w:t>in which they enrol</w:t>
      </w:r>
      <w:r w:rsidR="001C1422" w:rsidRPr="00C75F26">
        <w:rPr>
          <w:rFonts w:asciiTheme="minorHAnsi" w:hAnsiTheme="minorHAnsi" w:cstheme="minorHAnsi"/>
          <w:iCs/>
          <w:szCs w:val="24"/>
        </w:rPr>
        <w:t xml:space="preserve"> from the start of 2021. </w:t>
      </w:r>
      <w:r w:rsidR="00475FBD" w:rsidRPr="00C75F26">
        <w:rPr>
          <w:rFonts w:asciiTheme="minorHAnsi" w:hAnsiTheme="minorHAnsi" w:cstheme="minorHAnsi"/>
          <w:iCs/>
          <w:szCs w:val="24"/>
        </w:rPr>
        <w:t>For Professional Pathway Social Work accredited courses, a</w:t>
      </w:r>
      <w:r w:rsidR="001C1422" w:rsidRPr="00C75F26">
        <w:rPr>
          <w:rFonts w:asciiTheme="minorHAnsi" w:hAnsiTheme="minorHAnsi" w:cstheme="minorHAnsi"/>
          <w:iCs/>
          <w:szCs w:val="24"/>
        </w:rPr>
        <w:t xml:space="preserve"> lower maximum student contribution amount of $7,950 </w:t>
      </w:r>
      <w:r w:rsidR="00475FBD" w:rsidRPr="00C75F26">
        <w:rPr>
          <w:rFonts w:asciiTheme="minorHAnsi" w:hAnsiTheme="minorHAnsi" w:cstheme="minorHAnsi"/>
          <w:iCs/>
          <w:szCs w:val="24"/>
        </w:rPr>
        <w:t>applies from</w:t>
      </w:r>
      <w:r w:rsidR="001C1422" w:rsidRPr="00C75F26">
        <w:rPr>
          <w:rFonts w:asciiTheme="minorHAnsi" w:hAnsiTheme="minorHAnsi" w:cstheme="minorHAnsi"/>
          <w:iCs/>
          <w:szCs w:val="24"/>
        </w:rPr>
        <w:t xml:space="preserve"> 1 January 2021. </w:t>
      </w:r>
      <w:r w:rsidR="00143BAC" w:rsidRPr="00C75F26">
        <w:rPr>
          <w:rFonts w:asciiTheme="minorHAnsi" w:hAnsiTheme="minorHAnsi" w:cstheme="minorHAnsi"/>
          <w:iCs/>
          <w:szCs w:val="24"/>
        </w:rPr>
        <w:t xml:space="preserve">Should the commencement date for the </w:t>
      </w:r>
      <w:r w:rsidR="005D2A3E" w:rsidRPr="00C75F26">
        <w:rPr>
          <w:rFonts w:asciiTheme="minorHAnsi" w:hAnsiTheme="minorHAnsi" w:cstheme="minorHAnsi"/>
          <w:iCs/>
          <w:szCs w:val="24"/>
        </w:rPr>
        <w:t>I</w:t>
      </w:r>
      <w:r w:rsidR="00143BAC" w:rsidRPr="00C75F26">
        <w:rPr>
          <w:rFonts w:asciiTheme="minorHAnsi" w:hAnsiTheme="minorHAnsi" w:cstheme="minorHAnsi"/>
          <w:iCs/>
          <w:szCs w:val="24"/>
        </w:rPr>
        <w:t xml:space="preserve">nstrument be the day after it </w:t>
      </w:r>
      <w:r w:rsidR="003B6A0E" w:rsidRPr="00C75F26">
        <w:rPr>
          <w:rFonts w:asciiTheme="minorHAnsi" w:hAnsiTheme="minorHAnsi" w:cstheme="minorHAnsi"/>
          <w:iCs/>
          <w:szCs w:val="24"/>
        </w:rPr>
        <w:t>is registered</w:t>
      </w:r>
      <w:r w:rsidR="00143BAC" w:rsidRPr="00C75F26">
        <w:rPr>
          <w:rFonts w:asciiTheme="minorHAnsi" w:hAnsiTheme="minorHAnsi" w:cstheme="minorHAnsi"/>
          <w:iCs/>
          <w:szCs w:val="24"/>
        </w:rPr>
        <w:t>, t</w:t>
      </w:r>
      <w:r w:rsidR="001C1422" w:rsidRPr="00C75F26">
        <w:rPr>
          <w:rFonts w:asciiTheme="minorHAnsi" w:hAnsiTheme="minorHAnsi" w:cstheme="minorHAnsi"/>
          <w:iCs/>
          <w:szCs w:val="24"/>
        </w:rPr>
        <w:t>he higher maximum student contribution amount of $14,500 would apply to students undertaking these accredited courses in early January 2021</w:t>
      </w:r>
      <w:r w:rsidR="00891051" w:rsidRPr="00C75F26">
        <w:rPr>
          <w:rFonts w:asciiTheme="minorHAnsi" w:hAnsiTheme="minorHAnsi" w:cstheme="minorHAnsi"/>
          <w:iCs/>
          <w:szCs w:val="24"/>
        </w:rPr>
        <w:t xml:space="preserve"> which would disadvantage those students</w:t>
      </w:r>
      <w:r w:rsidR="00143BAC" w:rsidRPr="00C75F26">
        <w:rPr>
          <w:rFonts w:asciiTheme="minorHAnsi" w:hAnsiTheme="minorHAnsi" w:cstheme="minorHAnsi"/>
          <w:iCs/>
          <w:szCs w:val="24"/>
        </w:rPr>
        <w:t>.</w:t>
      </w:r>
    </w:p>
    <w:p w14:paraId="3F727DFE" w14:textId="00B3DF61" w:rsidR="00567D26" w:rsidRPr="00C75F26" w:rsidRDefault="00567D26" w:rsidP="00DA552F">
      <w:pPr>
        <w:spacing w:before="120" w:after="120"/>
        <w:rPr>
          <w:rFonts w:asciiTheme="minorHAnsi" w:hAnsiTheme="minorHAnsi" w:cstheme="minorHAnsi"/>
          <w:iCs/>
          <w:szCs w:val="24"/>
        </w:rPr>
      </w:pPr>
      <w:r w:rsidRPr="00C75F26">
        <w:rPr>
          <w:rFonts w:asciiTheme="minorHAnsi" w:hAnsiTheme="minorHAnsi" w:cstheme="minorHAnsi"/>
          <w:iCs/>
          <w:szCs w:val="24"/>
        </w:rPr>
        <w:t xml:space="preserve">Part 2 of </w:t>
      </w:r>
      <w:r w:rsidR="00C034C3" w:rsidRPr="00C75F26">
        <w:rPr>
          <w:rFonts w:asciiTheme="minorHAnsi" w:hAnsiTheme="minorHAnsi" w:cstheme="minorHAnsi"/>
          <w:iCs/>
          <w:szCs w:val="24"/>
        </w:rPr>
        <w:t xml:space="preserve">Schedule 1 to the Instrument </w:t>
      </w:r>
      <w:r w:rsidR="00D408E5" w:rsidRPr="00C75F26">
        <w:rPr>
          <w:rFonts w:asciiTheme="minorHAnsi" w:hAnsiTheme="minorHAnsi" w:cstheme="minorHAnsi"/>
          <w:iCs/>
          <w:szCs w:val="24"/>
        </w:rPr>
        <w:t xml:space="preserve">will </w:t>
      </w:r>
      <w:r w:rsidR="00C034C3" w:rsidRPr="00C75F26">
        <w:rPr>
          <w:rFonts w:asciiTheme="minorHAnsi" w:hAnsiTheme="minorHAnsi" w:cstheme="minorHAnsi"/>
          <w:iCs/>
          <w:szCs w:val="24"/>
        </w:rPr>
        <w:t xml:space="preserve">commence the day after the Instrument is registered on the Federal Register of Legislation. </w:t>
      </w:r>
    </w:p>
    <w:p w14:paraId="238BEBB0" w14:textId="0548A9F0" w:rsidR="000C0732" w:rsidRPr="00C75F26" w:rsidRDefault="000C0732" w:rsidP="000C0732">
      <w:pPr>
        <w:pStyle w:val="Heading2"/>
        <w:rPr>
          <w:rFonts w:asciiTheme="minorHAnsi" w:hAnsiTheme="minorHAnsi" w:cstheme="minorHAnsi"/>
          <w:color w:val="auto"/>
        </w:rPr>
      </w:pPr>
      <w:bookmarkStart w:id="2" w:name="_Toc34293360"/>
      <w:r w:rsidRPr="00C75F26">
        <w:rPr>
          <w:rFonts w:asciiTheme="minorHAnsi" w:hAnsiTheme="minorHAnsi" w:cstheme="minorHAnsi"/>
          <w:color w:val="auto"/>
        </w:rPr>
        <w:t>AVAILABILITY OF MERITS REVIEW</w:t>
      </w:r>
    </w:p>
    <w:p w14:paraId="4FEE3002" w14:textId="665245DC" w:rsidR="000C0732" w:rsidRPr="00C75F26" w:rsidRDefault="000C0732" w:rsidP="000C0732">
      <w:pPr>
        <w:spacing w:before="120" w:after="120"/>
        <w:rPr>
          <w:rFonts w:asciiTheme="minorHAnsi" w:hAnsiTheme="minorHAnsi" w:cstheme="minorHAnsi"/>
        </w:rPr>
      </w:pPr>
      <w:r w:rsidRPr="00C75F26">
        <w:rPr>
          <w:rFonts w:asciiTheme="minorHAnsi" w:hAnsiTheme="minorHAnsi" w:cstheme="minorHAnsi"/>
        </w:rPr>
        <w:t xml:space="preserve">The Commonwealth makes grants to eligible providers under Part 2-2 (Commonwealth Grant Scheme) of the Act. These decisions are not made under the Instrument or the Guidelines, but are made consistently with the matters set out in the Guidelines. </w:t>
      </w:r>
    </w:p>
    <w:p w14:paraId="6636BD69" w14:textId="4D257158" w:rsidR="000C0732" w:rsidRPr="00C75F26" w:rsidRDefault="000C0732" w:rsidP="000C0732">
      <w:pPr>
        <w:spacing w:before="120" w:after="120"/>
        <w:rPr>
          <w:rFonts w:asciiTheme="minorHAnsi" w:hAnsiTheme="minorHAnsi" w:cstheme="minorHAnsi"/>
        </w:rPr>
      </w:pPr>
      <w:r w:rsidRPr="00C75F26">
        <w:rPr>
          <w:rFonts w:asciiTheme="minorHAnsi" w:hAnsiTheme="minorHAnsi" w:cstheme="minorHAnsi"/>
        </w:rPr>
        <w:t xml:space="preserve">Section 206-1 of the Act specifies the types of decisions made under the Act that are reviewable decisions. This is an exhaustive list. Funding decisions made under Part 2-2 of the Act are not specified at section 206-1 as decisions that are reviewable. The Instrument does not create new decision making powers, </w:t>
      </w:r>
      <w:r w:rsidR="00592C30" w:rsidRPr="00C75F26">
        <w:rPr>
          <w:rFonts w:asciiTheme="minorHAnsi" w:hAnsiTheme="minorHAnsi" w:cstheme="minorHAnsi"/>
        </w:rPr>
        <w:t>n</w:t>
      </w:r>
      <w:r w:rsidRPr="00C75F26">
        <w:rPr>
          <w:rFonts w:asciiTheme="minorHAnsi" w:hAnsiTheme="minorHAnsi" w:cstheme="minorHAnsi"/>
        </w:rPr>
        <w:t xml:space="preserve">or </w:t>
      </w:r>
      <w:r w:rsidR="00592C30" w:rsidRPr="00C75F26">
        <w:rPr>
          <w:rFonts w:asciiTheme="minorHAnsi" w:hAnsiTheme="minorHAnsi" w:cstheme="minorHAnsi"/>
        </w:rPr>
        <w:t xml:space="preserve">does it </w:t>
      </w:r>
      <w:r w:rsidRPr="00C75F26">
        <w:rPr>
          <w:rFonts w:asciiTheme="minorHAnsi" w:hAnsiTheme="minorHAnsi" w:cstheme="minorHAnsi"/>
        </w:rPr>
        <w:t xml:space="preserve">provide the Minister with the power to establish a new review mechanism in addition to the review process available under the Act. </w:t>
      </w:r>
    </w:p>
    <w:p w14:paraId="1EFB94CB" w14:textId="27DFA5C4" w:rsidR="000C0732" w:rsidRPr="00C75F26" w:rsidRDefault="00144950" w:rsidP="000C0732">
      <w:pPr>
        <w:pStyle w:val="Heading2"/>
        <w:rPr>
          <w:rFonts w:asciiTheme="minorHAnsi" w:hAnsiTheme="minorHAnsi" w:cstheme="minorHAnsi"/>
          <w:color w:val="auto"/>
        </w:rPr>
      </w:pPr>
      <w:r w:rsidRPr="00C75F26">
        <w:rPr>
          <w:rFonts w:asciiTheme="minorHAnsi" w:hAnsiTheme="minorHAnsi" w:cstheme="minorHAnsi"/>
          <w:color w:val="auto"/>
        </w:rPr>
        <w:t>CONSULTATION</w:t>
      </w:r>
      <w:bookmarkEnd w:id="2"/>
    </w:p>
    <w:p w14:paraId="5AFCEDC9" w14:textId="5FBA71BA" w:rsidR="00FD4031" w:rsidRPr="00C75F26" w:rsidRDefault="00D408E5" w:rsidP="00B22F73">
      <w:pPr>
        <w:spacing w:before="120" w:after="120"/>
        <w:rPr>
          <w:rFonts w:asciiTheme="minorHAnsi" w:hAnsiTheme="minorHAnsi" w:cstheme="minorHAnsi"/>
          <w:iCs/>
        </w:rPr>
      </w:pPr>
      <w:r w:rsidRPr="00C75F26">
        <w:rPr>
          <w:rFonts w:asciiTheme="minorHAnsi" w:hAnsiTheme="minorHAnsi" w:cstheme="minorHAnsi"/>
          <w:iCs/>
        </w:rPr>
        <w:t xml:space="preserve">The expanded list of providers results from a competitive application process undertaken in the second half of 2020 to allocate Commonwealth Grant Scheme funding to non-university higher education providers to deliver short courses in areas of national priority in 2021. This process was similar to the application process undertaken earlier in 2020 that allocated funding to non-university higher education providers for short course delivery from May–December 2020. An expression of </w:t>
      </w:r>
      <w:r w:rsidR="00530F76" w:rsidRPr="00C75F26">
        <w:rPr>
          <w:rFonts w:asciiTheme="minorHAnsi" w:hAnsiTheme="minorHAnsi" w:cstheme="minorHAnsi"/>
          <w:iCs/>
        </w:rPr>
        <w:t xml:space="preserve">interest to apply for short courses was </w:t>
      </w:r>
      <w:r w:rsidR="00890031" w:rsidRPr="00C75F26">
        <w:rPr>
          <w:rFonts w:asciiTheme="minorHAnsi" w:hAnsiTheme="minorHAnsi" w:cstheme="minorHAnsi"/>
          <w:iCs/>
        </w:rPr>
        <w:t>provided</w:t>
      </w:r>
      <w:r w:rsidR="00530F76" w:rsidRPr="00C75F26">
        <w:rPr>
          <w:rFonts w:asciiTheme="minorHAnsi" w:hAnsiTheme="minorHAnsi" w:cstheme="minorHAnsi"/>
          <w:iCs/>
        </w:rPr>
        <w:t xml:space="preserve"> to all non-university higher education providers with an application form and guidelines on the </w:t>
      </w:r>
      <w:r w:rsidR="00530F76" w:rsidRPr="00C75F26">
        <w:rPr>
          <w:rFonts w:asciiTheme="minorHAnsi" w:hAnsiTheme="minorHAnsi" w:cstheme="minorHAnsi"/>
          <w:iCs/>
        </w:rPr>
        <w:lastRenderedPageBreak/>
        <w:t>assessment criteria. Courses were assessed against criteria which</w:t>
      </w:r>
      <w:r w:rsidR="00A73E26" w:rsidRPr="00C75F26">
        <w:rPr>
          <w:rFonts w:asciiTheme="minorHAnsi" w:hAnsiTheme="minorHAnsi" w:cstheme="minorHAnsi"/>
          <w:iCs/>
        </w:rPr>
        <w:t xml:space="preserve"> focused on an assessment of the labour force relevance of each </w:t>
      </w:r>
      <w:r w:rsidR="00890031" w:rsidRPr="00C75F26">
        <w:rPr>
          <w:rFonts w:asciiTheme="minorHAnsi" w:hAnsiTheme="minorHAnsi" w:cstheme="minorHAnsi"/>
          <w:iCs/>
        </w:rPr>
        <w:t>provider</w:t>
      </w:r>
      <w:r w:rsidR="00A73E26" w:rsidRPr="00C75F26">
        <w:rPr>
          <w:rFonts w:asciiTheme="minorHAnsi" w:hAnsiTheme="minorHAnsi" w:cstheme="minorHAnsi"/>
          <w:iCs/>
        </w:rPr>
        <w:t xml:space="preserve">’s individual course proposals, along with the assessment of each </w:t>
      </w:r>
      <w:r w:rsidR="00890031" w:rsidRPr="00C75F26">
        <w:rPr>
          <w:rFonts w:asciiTheme="minorHAnsi" w:hAnsiTheme="minorHAnsi" w:cstheme="minorHAnsi"/>
          <w:iCs/>
        </w:rPr>
        <w:t>provider</w:t>
      </w:r>
      <w:r w:rsidR="00A73E26" w:rsidRPr="00C75F26">
        <w:rPr>
          <w:rFonts w:asciiTheme="minorHAnsi" w:hAnsiTheme="minorHAnsi" w:cstheme="minorHAnsi"/>
          <w:iCs/>
        </w:rPr>
        <w:t xml:space="preserve">’s capacity to fill the courses proposed in their application. In particular, </w:t>
      </w:r>
      <w:r w:rsidR="00692053" w:rsidRPr="00C75F26">
        <w:rPr>
          <w:rFonts w:asciiTheme="minorHAnsi" w:hAnsiTheme="minorHAnsi" w:cstheme="minorHAnsi"/>
          <w:iCs/>
        </w:rPr>
        <w:t>the Department of Education, Skills and Employment</w:t>
      </w:r>
      <w:r w:rsidR="00A73E26" w:rsidRPr="00C75F26">
        <w:rPr>
          <w:rFonts w:asciiTheme="minorHAnsi" w:hAnsiTheme="minorHAnsi" w:cstheme="minorHAnsi"/>
          <w:iCs/>
        </w:rPr>
        <w:t xml:space="preserve"> </w:t>
      </w:r>
      <w:r w:rsidR="00285B63" w:rsidRPr="00C75F26">
        <w:rPr>
          <w:rFonts w:asciiTheme="minorHAnsi" w:hAnsiTheme="minorHAnsi" w:cstheme="minorHAnsi"/>
          <w:iCs/>
        </w:rPr>
        <w:t xml:space="preserve">(the department) </w:t>
      </w:r>
      <w:r w:rsidR="00A73E26" w:rsidRPr="00C75F26">
        <w:rPr>
          <w:rFonts w:asciiTheme="minorHAnsi" w:hAnsiTheme="minorHAnsi" w:cstheme="minorHAnsi"/>
          <w:iCs/>
        </w:rPr>
        <w:t xml:space="preserve">examined the recent performance of providers in filling places allocated under </w:t>
      </w:r>
      <w:r w:rsidR="00890031" w:rsidRPr="00C75F26">
        <w:rPr>
          <w:rFonts w:asciiTheme="minorHAnsi" w:hAnsiTheme="minorHAnsi" w:cstheme="minorHAnsi"/>
          <w:iCs/>
        </w:rPr>
        <w:t>the 2020 short course allocation</w:t>
      </w:r>
      <w:r w:rsidR="00773E2E" w:rsidRPr="00C75F26">
        <w:rPr>
          <w:rFonts w:asciiTheme="minorHAnsi" w:hAnsiTheme="minorHAnsi" w:cstheme="minorHAnsi"/>
          <w:iCs/>
        </w:rPr>
        <w:t>. The national priorities are areas of community and industry need in Australia’s labour market, where training opportunities will improve the employability of displaced workers</w:t>
      </w:r>
      <w:r w:rsidR="008C1284" w:rsidRPr="00C75F26">
        <w:rPr>
          <w:rFonts w:asciiTheme="minorHAnsi" w:hAnsiTheme="minorHAnsi" w:cstheme="minorHAnsi"/>
          <w:iCs/>
        </w:rPr>
        <w:t xml:space="preserve"> as the economy recovers</w:t>
      </w:r>
      <w:r w:rsidR="00773E2E" w:rsidRPr="00C75F26">
        <w:rPr>
          <w:rFonts w:asciiTheme="minorHAnsi" w:hAnsiTheme="minorHAnsi" w:cstheme="minorHAnsi"/>
          <w:iCs/>
        </w:rPr>
        <w:t xml:space="preserve"> from the COVID-19 pandemic. These fields of education were </w:t>
      </w:r>
      <w:r w:rsidR="00E0694E" w:rsidRPr="00C75F26">
        <w:rPr>
          <w:rFonts w:asciiTheme="minorHAnsi" w:hAnsiTheme="minorHAnsi" w:cstheme="minorHAnsi"/>
          <w:iCs/>
        </w:rPr>
        <w:t xml:space="preserve">initially </w:t>
      </w:r>
      <w:r w:rsidR="00773E2E" w:rsidRPr="00C75F26">
        <w:rPr>
          <w:rFonts w:asciiTheme="minorHAnsi" w:hAnsiTheme="minorHAnsi" w:cstheme="minorHAnsi"/>
          <w:iCs/>
        </w:rPr>
        <w:t>u</w:t>
      </w:r>
      <w:r w:rsidR="00E0694E" w:rsidRPr="00C75F26">
        <w:rPr>
          <w:rFonts w:asciiTheme="minorHAnsi" w:hAnsiTheme="minorHAnsi" w:cstheme="minorHAnsi"/>
          <w:iCs/>
        </w:rPr>
        <w:t>tilised for</w:t>
      </w:r>
      <w:r w:rsidR="00773E2E" w:rsidRPr="00C75F26">
        <w:rPr>
          <w:rFonts w:asciiTheme="minorHAnsi" w:hAnsiTheme="minorHAnsi" w:cstheme="minorHAnsi"/>
          <w:iCs/>
        </w:rPr>
        <w:t xml:space="preserve"> the 2020 short course initiative </w:t>
      </w:r>
      <w:r w:rsidR="00E0694E" w:rsidRPr="00C75F26">
        <w:rPr>
          <w:rFonts w:asciiTheme="minorHAnsi" w:hAnsiTheme="minorHAnsi" w:cstheme="minorHAnsi"/>
          <w:iCs/>
        </w:rPr>
        <w:t>element of</w:t>
      </w:r>
      <w:r w:rsidR="00773E2E" w:rsidRPr="00C75F26">
        <w:rPr>
          <w:rFonts w:asciiTheme="minorHAnsi" w:hAnsiTheme="minorHAnsi" w:cstheme="minorHAnsi"/>
          <w:iCs/>
        </w:rPr>
        <w:t xml:space="preserve"> the Higher Education Relief Package</w:t>
      </w:r>
      <w:r w:rsidR="00E0694E" w:rsidRPr="00C75F26">
        <w:rPr>
          <w:rFonts w:asciiTheme="minorHAnsi" w:hAnsiTheme="minorHAnsi" w:cstheme="minorHAnsi"/>
          <w:iCs/>
        </w:rPr>
        <w:t xml:space="preserve"> delivered between May and December 2020.</w:t>
      </w:r>
    </w:p>
    <w:p w14:paraId="25901BBE" w14:textId="5AB4D0DA" w:rsidR="000C0732" w:rsidRPr="00C75F26" w:rsidRDefault="000C0732" w:rsidP="00B22F73">
      <w:pPr>
        <w:spacing w:before="120" w:after="120"/>
        <w:rPr>
          <w:rFonts w:asciiTheme="minorHAnsi" w:hAnsiTheme="minorHAnsi" w:cstheme="minorHAnsi"/>
          <w:iCs/>
        </w:rPr>
      </w:pPr>
      <w:r w:rsidRPr="00C75F26">
        <w:rPr>
          <w:rFonts w:asciiTheme="minorHAnsi" w:hAnsiTheme="minorHAnsi" w:cstheme="minorHAnsi"/>
          <w:iCs/>
        </w:rPr>
        <w:t xml:space="preserve">The </w:t>
      </w:r>
      <w:r w:rsidR="00285B63" w:rsidRPr="00C75F26">
        <w:rPr>
          <w:rFonts w:asciiTheme="minorHAnsi" w:hAnsiTheme="minorHAnsi" w:cstheme="minorHAnsi"/>
          <w:iCs/>
        </w:rPr>
        <w:t>d</w:t>
      </w:r>
      <w:r w:rsidRPr="00C75F26">
        <w:rPr>
          <w:rFonts w:asciiTheme="minorHAnsi" w:hAnsiTheme="minorHAnsi" w:cstheme="minorHAnsi"/>
          <w:iCs/>
        </w:rPr>
        <w:t xml:space="preserve">epartment engaged a working group of university vice-chancellors to consult with peak bodies in the areas of psychology and social work to finalise the details of the Professional Pathways policy. The peak bodies consulted were the Australian Psychological Society (APS), the Australian Clinical Psychology Association (ACPA), the Australian Association of Psychologists (AAP), the Psychology Board of Australia, Heads of Departments and Schools on Psychology Association (HODSPA), the Australian Psychology Accreditation Council (APAC), the Australian Association of Social Workers (AASW), the Australian Council of Heads of Schools of Social Work (ACHSSW), the Australian Services Union (ASU), the Commonwealth Alliance of Youth Workers Associations (CAYWA), the Youth Workers’ Association (YWA), the Australian Counselling Association (ACA), the Psychotherapy and Counselling Federation of Australia (PACFA), and the Australian Community Workers Association. The consultations informed the working group’s advice to Government on the Professional Pathways policy, including the inclusion of </w:t>
      </w:r>
      <w:r w:rsidR="003133D5" w:rsidRPr="00C75F26">
        <w:rPr>
          <w:rFonts w:asciiTheme="minorHAnsi" w:hAnsiTheme="minorHAnsi" w:cstheme="minorHAnsi"/>
          <w:iCs/>
        </w:rPr>
        <w:t>youth</w:t>
      </w:r>
      <w:r w:rsidRPr="00C75F26">
        <w:rPr>
          <w:rFonts w:asciiTheme="minorHAnsi" w:hAnsiTheme="minorHAnsi" w:cstheme="minorHAnsi"/>
          <w:iCs/>
        </w:rPr>
        <w:t xml:space="preserve"> work, counselling and community work units in Professional Pathway Social Work. </w:t>
      </w:r>
    </w:p>
    <w:p w14:paraId="007F7158" w14:textId="1871146A" w:rsidR="00AF0E79" w:rsidRPr="00C75F26" w:rsidRDefault="00D408E5" w:rsidP="00B22F73">
      <w:pPr>
        <w:spacing w:before="120" w:after="120"/>
        <w:rPr>
          <w:rFonts w:asciiTheme="minorHAnsi" w:hAnsiTheme="minorHAnsi" w:cstheme="minorHAnsi"/>
          <w:iCs/>
        </w:rPr>
      </w:pPr>
      <w:r w:rsidRPr="00C75F26">
        <w:rPr>
          <w:rFonts w:asciiTheme="minorHAnsi" w:hAnsiTheme="minorHAnsi" w:cstheme="minorHAnsi"/>
          <w:iCs/>
        </w:rPr>
        <w:t xml:space="preserve">Over the past year, the department has been in discussions with UNDA on the re-categorisation of the university. The university and its community fully support </w:t>
      </w:r>
      <w:r w:rsidR="00B0644A" w:rsidRPr="00C75F26">
        <w:rPr>
          <w:rFonts w:asciiTheme="minorHAnsi" w:hAnsiTheme="minorHAnsi" w:cstheme="minorHAnsi"/>
          <w:iCs/>
        </w:rPr>
        <w:t>UNDA’s</w:t>
      </w:r>
      <w:r w:rsidRPr="00C75F26">
        <w:rPr>
          <w:rFonts w:asciiTheme="minorHAnsi" w:hAnsiTheme="minorHAnsi" w:cstheme="minorHAnsi"/>
          <w:iCs/>
        </w:rPr>
        <w:t xml:space="preserve"> transition to </w:t>
      </w:r>
      <w:r w:rsidR="00B0644A" w:rsidRPr="00C75F26">
        <w:rPr>
          <w:rFonts w:asciiTheme="minorHAnsi" w:hAnsiTheme="minorHAnsi" w:cstheme="minorHAnsi"/>
          <w:iCs/>
        </w:rPr>
        <w:t xml:space="preserve">a </w:t>
      </w:r>
      <w:r w:rsidRPr="00C75F26">
        <w:rPr>
          <w:rFonts w:asciiTheme="minorHAnsi" w:hAnsiTheme="minorHAnsi" w:cstheme="minorHAnsi"/>
          <w:iCs/>
        </w:rPr>
        <w:t>Table A</w:t>
      </w:r>
      <w:r w:rsidR="00B0644A" w:rsidRPr="00C75F26">
        <w:rPr>
          <w:rFonts w:asciiTheme="minorHAnsi" w:hAnsiTheme="minorHAnsi" w:cstheme="minorHAnsi"/>
          <w:iCs/>
        </w:rPr>
        <w:t xml:space="preserve"> provider</w:t>
      </w:r>
      <w:r w:rsidRPr="00C75F26">
        <w:rPr>
          <w:rFonts w:asciiTheme="minorHAnsi" w:hAnsiTheme="minorHAnsi" w:cstheme="minorHAnsi"/>
          <w:iCs/>
        </w:rPr>
        <w:t>. In January 2021</w:t>
      </w:r>
      <w:r w:rsidR="00B0644A" w:rsidRPr="00C75F26">
        <w:rPr>
          <w:rFonts w:asciiTheme="minorHAnsi" w:hAnsiTheme="minorHAnsi" w:cstheme="minorHAnsi"/>
          <w:iCs/>
        </w:rPr>
        <w:t>,</w:t>
      </w:r>
      <w:r w:rsidRPr="00C75F26">
        <w:rPr>
          <w:rFonts w:asciiTheme="minorHAnsi" w:hAnsiTheme="minorHAnsi" w:cstheme="minorHAnsi"/>
          <w:iCs/>
        </w:rPr>
        <w:t xml:space="preserve"> the department also consulted with UNDA on the transition arrangements implemented through this Instrument. The university is supportive of the amendments, which will provide the practical effect of</w:t>
      </w:r>
      <w:r w:rsidR="00B0644A" w:rsidRPr="00C75F26">
        <w:rPr>
          <w:rFonts w:asciiTheme="minorHAnsi" w:hAnsiTheme="minorHAnsi" w:cstheme="minorHAnsi"/>
          <w:iCs/>
        </w:rPr>
        <w:t xml:space="preserve"> UNDA becoming</w:t>
      </w:r>
      <w:r w:rsidRPr="00C75F26">
        <w:rPr>
          <w:rFonts w:asciiTheme="minorHAnsi" w:hAnsiTheme="minorHAnsi" w:cstheme="minorHAnsi"/>
          <w:iCs/>
        </w:rPr>
        <w:t xml:space="preserve"> a Table A </w:t>
      </w:r>
      <w:r w:rsidR="00B0644A" w:rsidRPr="00C75F26">
        <w:rPr>
          <w:rFonts w:asciiTheme="minorHAnsi" w:hAnsiTheme="minorHAnsi" w:cstheme="minorHAnsi"/>
          <w:iCs/>
        </w:rPr>
        <w:t>provider</w:t>
      </w:r>
      <w:r w:rsidRPr="00C75F26">
        <w:rPr>
          <w:rFonts w:asciiTheme="minorHAnsi" w:hAnsiTheme="minorHAnsi" w:cstheme="minorHAnsi"/>
          <w:iCs/>
        </w:rPr>
        <w:t xml:space="preserve"> as soon as possible and immediately benefit students in Semester 1 2021.</w:t>
      </w:r>
    </w:p>
    <w:p w14:paraId="7C530002" w14:textId="343B15AE" w:rsidR="0088497A" w:rsidRPr="00C75F26" w:rsidRDefault="00DA552F" w:rsidP="00FD4031">
      <w:pPr>
        <w:spacing w:before="120" w:after="120"/>
        <w:rPr>
          <w:rFonts w:asciiTheme="minorHAnsi" w:hAnsiTheme="minorHAnsi" w:cstheme="minorHAnsi"/>
        </w:rPr>
      </w:pPr>
      <w:r w:rsidRPr="00C75F26">
        <w:rPr>
          <w:rFonts w:asciiTheme="minorHAnsi" w:hAnsiTheme="minorHAnsi" w:cstheme="minorHAnsi"/>
        </w:rPr>
        <w:br w:type="page"/>
      </w:r>
      <w:bookmarkStart w:id="3" w:name="_Toc23942241"/>
      <w:bookmarkStart w:id="4" w:name="_Toc34293362"/>
    </w:p>
    <w:p w14:paraId="17345A7E" w14:textId="77777777" w:rsidR="00DA552F" w:rsidRPr="00C75F26" w:rsidRDefault="00DA552F" w:rsidP="00F62708">
      <w:pPr>
        <w:pStyle w:val="Heading2"/>
        <w:jc w:val="center"/>
        <w:rPr>
          <w:rFonts w:asciiTheme="minorHAnsi" w:hAnsiTheme="minorHAnsi" w:cstheme="minorHAnsi"/>
          <w:color w:val="auto"/>
        </w:rPr>
      </w:pPr>
      <w:r w:rsidRPr="00C75F26">
        <w:rPr>
          <w:rFonts w:asciiTheme="minorHAnsi" w:hAnsiTheme="minorHAnsi" w:cstheme="minorHAnsi"/>
          <w:color w:val="auto"/>
        </w:rPr>
        <w:lastRenderedPageBreak/>
        <w:t>STATEMENT OF COMPATIBILITY WITH HUMAN RIGHTS</w:t>
      </w:r>
      <w:bookmarkEnd w:id="3"/>
      <w:bookmarkEnd w:id="4"/>
    </w:p>
    <w:p w14:paraId="4E8060B9" w14:textId="77777777" w:rsidR="00DA552F" w:rsidRPr="00C75F26" w:rsidRDefault="00DA552F" w:rsidP="00DA552F">
      <w:pPr>
        <w:spacing w:before="120" w:after="120"/>
        <w:jc w:val="center"/>
        <w:rPr>
          <w:rFonts w:asciiTheme="minorHAnsi" w:hAnsiTheme="minorHAnsi" w:cstheme="minorHAnsi"/>
          <w:szCs w:val="24"/>
        </w:rPr>
      </w:pPr>
      <w:r w:rsidRPr="00C75F26">
        <w:rPr>
          <w:rFonts w:asciiTheme="minorHAnsi" w:hAnsiTheme="minorHAnsi" w:cstheme="minorHAnsi"/>
          <w:i/>
          <w:szCs w:val="24"/>
        </w:rPr>
        <w:t xml:space="preserve">Prepared in accordance with Part 3 of the Human Rights (Parliamentary </w:t>
      </w:r>
      <w:r w:rsidR="003440C7" w:rsidRPr="00C75F26">
        <w:rPr>
          <w:rFonts w:asciiTheme="minorHAnsi" w:hAnsiTheme="minorHAnsi" w:cstheme="minorHAnsi"/>
          <w:i/>
          <w:szCs w:val="24"/>
        </w:rPr>
        <w:t>Scrutiny) Act 2011</w:t>
      </w:r>
    </w:p>
    <w:p w14:paraId="2E0B87F4" w14:textId="299681EF" w:rsidR="00DA552F" w:rsidRPr="00C75F26" w:rsidRDefault="00724D25" w:rsidP="00DA552F">
      <w:pPr>
        <w:spacing w:before="120" w:after="120"/>
        <w:jc w:val="center"/>
        <w:rPr>
          <w:rFonts w:asciiTheme="minorHAnsi" w:hAnsiTheme="minorHAnsi" w:cstheme="minorHAnsi"/>
          <w:b/>
          <w:iCs/>
          <w:szCs w:val="24"/>
        </w:rPr>
      </w:pPr>
      <w:r w:rsidRPr="00C75F26">
        <w:rPr>
          <w:rFonts w:asciiTheme="minorHAnsi" w:hAnsiTheme="minorHAnsi" w:cstheme="minorHAnsi"/>
          <w:b/>
          <w:iCs/>
          <w:szCs w:val="24"/>
        </w:rPr>
        <w:t>Commonwealth Grant Scheme Guidelines</w:t>
      </w:r>
      <w:r w:rsidR="00705F80" w:rsidRPr="00C75F26">
        <w:rPr>
          <w:rFonts w:asciiTheme="minorHAnsi" w:hAnsiTheme="minorHAnsi" w:cstheme="minorHAnsi"/>
          <w:b/>
          <w:iCs/>
          <w:szCs w:val="24"/>
        </w:rPr>
        <w:t xml:space="preserve"> </w:t>
      </w:r>
      <w:r w:rsidRPr="00C75F26">
        <w:rPr>
          <w:rFonts w:asciiTheme="minorHAnsi" w:hAnsiTheme="minorHAnsi" w:cstheme="minorHAnsi"/>
          <w:b/>
          <w:iCs/>
          <w:szCs w:val="24"/>
        </w:rPr>
        <w:t>Amendment</w:t>
      </w:r>
      <w:r w:rsidR="00705F80" w:rsidRPr="00C75F26">
        <w:rPr>
          <w:rFonts w:asciiTheme="minorHAnsi" w:hAnsiTheme="minorHAnsi" w:cstheme="minorHAnsi"/>
          <w:b/>
          <w:iCs/>
          <w:szCs w:val="24"/>
        </w:rPr>
        <w:t xml:space="preserve"> </w:t>
      </w:r>
      <w:r w:rsidR="00F070E1" w:rsidRPr="00C75F26">
        <w:rPr>
          <w:rFonts w:asciiTheme="minorHAnsi" w:hAnsiTheme="minorHAnsi" w:cstheme="minorHAnsi"/>
          <w:b/>
          <w:iCs/>
          <w:szCs w:val="24"/>
        </w:rPr>
        <w:t>(</w:t>
      </w:r>
      <w:r w:rsidR="00705F80" w:rsidRPr="00C75F26">
        <w:rPr>
          <w:rFonts w:asciiTheme="minorHAnsi" w:hAnsiTheme="minorHAnsi" w:cstheme="minorHAnsi"/>
          <w:b/>
          <w:iCs/>
          <w:szCs w:val="24"/>
        </w:rPr>
        <w:t>No. 1)</w:t>
      </w:r>
      <w:r w:rsidRPr="00C75F26">
        <w:rPr>
          <w:rFonts w:asciiTheme="minorHAnsi" w:hAnsiTheme="minorHAnsi" w:cstheme="minorHAnsi"/>
          <w:b/>
          <w:iCs/>
          <w:szCs w:val="24"/>
        </w:rPr>
        <w:t xml:space="preserve"> 202</w:t>
      </w:r>
      <w:r w:rsidR="00705F80" w:rsidRPr="00C75F26">
        <w:rPr>
          <w:rFonts w:asciiTheme="minorHAnsi" w:hAnsiTheme="minorHAnsi" w:cstheme="minorHAnsi"/>
          <w:b/>
          <w:iCs/>
          <w:szCs w:val="24"/>
        </w:rPr>
        <w:t>1</w:t>
      </w:r>
    </w:p>
    <w:p w14:paraId="0B6B60F4" w14:textId="383BF925" w:rsidR="00DA552F" w:rsidRPr="00C75F26" w:rsidRDefault="00F9205E" w:rsidP="002278E1">
      <w:pPr>
        <w:spacing w:before="120" w:after="120"/>
        <w:jc w:val="center"/>
        <w:rPr>
          <w:rFonts w:asciiTheme="minorHAnsi" w:hAnsiTheme="minorHAnsi" w:cstheme="minorHAnsi"/>
          <w:szCs w:val="24"/>
        </w:rPr>
      </w:pPr>
      <w:r w:rsidRPr="00C75F26">
        <w:rPr>
          <w:rFonts w:asciiTheme="minorHAnsi" w:hAnsiTheme="minorHAnsi" w:cstheme="minorHAnsi"/>
          <w:szCs w:val="24"/>
        </w:rPr>
        <w:t xml:space="preserve">The </w:t>
      </w:r>
      <w:r w:rsidR="00724D25" w:rsidRPr="00C75F26">
        <w:rPr>
          <w:rFonts w:asciiTheme="minorHAnsi" w:hAnsiTheme="minorHAnsi" w:cstheme="minorHAnsi"/>
          <w:bCs/>
          <w:iCs/>
          <w:szCs w:val="24"/>
        </w:rPr>
        <w:t>Commonwealth Grant Scheme Guidelines Amendment</w:t>
      </w:r>
      <w:r w:rsidR="00705F80" w:rsidRPr="00C75F26">
        <w:rPr>
          <w:rFonts w:asciiTheme="minorHAnsi" w:hAnsiTheme="minorHAnsi" w:cstheme="minorHAnsi"/>
          <w:bCs/>
          <w:iCs/>
          <w:szCs w:val="24"/>
        </w:rPr>
        <w:t xml:space="preserve"> </w:t>
      </w:r>
      <w:r w:rsidR="00F070E1" w:rsidRPr="00C75F26">
        <w:rPr>
          <w:rFonts w:asciiTheme="minorHAnsi" w:hAnsiTheme="minorHAnsi" w:cstheme="minorHAnsi"/>
          <w:bCs/>
          <w:iCs/>
          <w:szCs w:val="24"/>
        </w:rPr>
        <w:t>(</w:t>
      </w:r>
      <w:r w:rsidR="00705F80" w:rsidRPr="00C75F26">
        <w:rPr>
          <w:rFonts w:asciiTheme="minorHAnsi" w:hAnsiTheme="minorHAnsi" w:cstheme="minorHAnsi"/>
          <w:bCs/>
          <w:iCs/>
          <w:szCs w:val="24"/>
        </w:rPr>
        <w:t>No. 1)</w:t>
      </w:r>
      <w:r w:rsidR="00724D25" w:rsidRPr="00C75F26">
        <w:rPr>
          <w:rFonts w:asciiTheme="minorHAnsi" w:hAnsiTheme="minorHAnsi" w:cstheme="minorHAnsi"/>
          <w:bCs/>
          <w:iCs/>
          <w:szCs w:val="24"/>
        </w:rPr>
        <w:t xml:space="preserve"> 202</w:t>
      </w:r>
      <w:r w:rsidR="00705F80" w:rsidRPr="00C75F26">
        <w:rPr>
          <w:rFonts w:asciiTheme="minorHAnsi" w:hAnsiTheme="minorHAnsi" w:cstheme="minorHAnsi"/>
          <w:bCs/>
          <w:iCs/>
          <w:szCs w:val="24"/>
        </w:rPr>
        <w:t>1</w:t>
      </w:r>
      <w:r w:rsidR="00724D25" w:rsidRPr="00C75F26">
        <w:rPr>
          <w:rFonts w:asciiTheme="minorHAnsi" w:hAnsiTheme="minorHAnsi" w:cstheme="minorHAnsi"/>
          <w:szCs w:val="24"/>
        </w:rPr>
        <w:t xml:space="preserve"> </w:t>
      </w:r>
      <w:r w:rsidR="001E52EB" w:rsidRPr="00C75F26">
        <w:rPr>
          <w:rFonts w:asciiTheme="minorHAnsi" w:hAnsiTheme="minorHAnsi" w:cstheme="minorHAnsi"/>
          <w:szCs w:val="24"/>
        </w:rPr>
        <w:t xml:space="preserve">(the </w:t>
      </w:r>
      <w:r w:rsidR="00FF6E25" w:rsidRPr="00C75F26">
        <w:rPr>
          <w:rFonts w:asciiTheme="minorHAnsi" w:hAnsiTheme="minorHAnsi" w:cstheme="minorHAnsi"/>
          <w:szCs w:val="24"/>
        </w:rPr>
        <w:t>Instrument</w:t>
      </w:r>
      <w:r w:rsidR="001E52EB" w:rsidRPr="00C75F26">
        <w:rPr>
          <w:rFonts w:asciiTheme="minorHAnsi" w:hAnsiTheme="minorHAnsi" w:cstheme="minorHAnsi"/>
          <w:szCs w:val="24"/>
        </w:rPr>
        <w:t xml:space="preserve">) </w:t>
      </w:r>
      <w:r w:rsidR="002B5C28" w:rsidRPr="00C75F26">
        <w:rPr>
          <w:rFonts w:asciiTheme="minorHAnsi" w:hAnsiTheme="minorHAnsi" w:cstheme="minorHAnsi"/>
          <w:szCs w:val="24"/>
        </w:rPr>
        <w:t xml:space="preserve">is </w:t>
      </w:r>
      <w:r w:rsidRPr="00C75F26">
        <w:rPr>
          <w:rFonts w:asciiTheme="minorHAnsi" w:hAnsiTheme="minorHAnsi" w:cstheme="minorHAnsi"/>
          <w:szCs w:val="24"/>
        </w:rPr>
        <w:t xml:space="preserve">compatible with the human rights and freedoms recognised or declared in the international instruments listed in section 3 of the </w:t>
      </w:r>
      <w:r w:rsidRPr="00C75F26">
        <w:rPr>
          <w:rFonts w:asciiTheme="minorHAnsi" w:hAnsiTheme="minorHAnsi" w:cstheme="minorHAnsi"/>
          <w:i/>
          <w:szCs w:val="24"/>
        </w:rPr>
        <w:t>Human Rights (Parliamentary Scrutiny) Act 2011</w:t>
      </w:r>
      <w:r w:rsidRPr="00C75F26">
        <w:rPr>
          <w:rFonts w:asciiTheme="minorHAnsi" w:hAnsiTheme="minorHAnsi" w:cstheme="minorHAnsi"/>
          <w:szCs w:val="24"/>
        </w:rPr>
        <w:t>.</w:t>
      </w:r>
    </w:p>
    <w:p w14:paraId="317324CB" w14:textId="79C9930F" w:rsidR="00F9205E" w:rsidRPr="00C75F26" w:rsidRDefault="00F9205E" w:rsidP="00DA552F">
      <w:pPr>
        <w:spacing w:before="120" w:after="120"/>
        <w:rPr>
          <w:rFonts w:asciiTheme="minorHAnsi" w:hAnsiTheme="minorHAnsi" w:cstheme="minorHAnsi"/>
          <w:szCs w:val="24"/>
        </w:rPr>
      </w:pPr>
      <w:r w:rsidRPr="00C75F26">
        <w:rPr>
          <w:rFonts w:asciiTheme="minorHAnsi" w:hAnsiTheme="minorHAnsi" w:cstheme="minorHAnsi"/>
          <w:b/>
          <w:szCs w:val="24"/>
        </w:rPr>
        <w:t xml:space="preserve">Overview of the </w:t>
      </w:r>
      <w:r w:rsidR="003370D5" w:rsidRPr="00C75F26">
        <w:rPr>
          <w:rFonts w:asciiTheme="minorHAnsi" w:hAnsiTheme="minorHAnsi" w:cstheme="minorHAnsi"/>
          <w:b/>
          <w:szCs w:val="24"/>
        </w:rPr>
        <w:t>Instrument</w:t>
      </w:r>
    </w:p>
    <w:p w14:paraId="481EC956" w14:textId="470FC75A" w:rsidR="002278E1" w:rsidRPr="00C75F26" w:rsidRDefault="002278E1" w:rsidP="002278E1">
      <w:pPr>
        <w:spacing w:before="120" w:after="120"/>
        <w:rPr>
          <w:rFonts w:asciiTheme="minorHAnsi" w:hAnsiTheme="minorHAnsi" w:cstheme="minorHAnsi"/>
          <w:bCs/>
          <w:iCs/>
          <w:szCs w:val="24"/>
        </w:rPr>
      </w:pPr>
      <w:r w:rsidRPr="00C75F26">
        <w:rPr>
          <w:rFonts w:asciiTheme="minorHAnsi" w:hAnsiTheme="minorHAnsi" w:cstheme="minorHAnsi"/>
          <w:iCs/>
          <w:szCs w:val="24"/>
        </w:rPr>
        <w:t xml:space="preserve">The </w:t>
      </w:r>
      <w:r w:rsidRPr="00C75F26">
        <w:rPr>
          <w:rFonts w:asciiTheme="minorHAnsi" w:hAnsiTheme="minorHAnsi" w:cstheme="minorHAnsi"/>
          <w:bCs/>
          <w:iCs/>
          <w:szCs w:val="24"/>
        </w:rPr>
        <w:t xml:space="preserve">Instrument amends the </w:t>
      </w:r>
      <w:r w:rsidRPr="00C75F26">
        <w:rPr>
          <w:rFonts w:asciiTheme="minorHAnsi" w:hAnsiTheme="minorHAnsi" w:cstheme="minorHAnsi"/>
          <w:bCs/>
          <w:i/>
          <w:iCs/>
          <w:szCs w:val="24"/>
        </w:rPr>
        <w:t xml:space="preserve">Commonwealth Grant Scheme Guidelines 2020 </w:t>
      </w:r>
      <w:r w:rsidRPr="00C75F26">
        <w:rPr>
          <w:rFonts w:asciiTheme="minorHAnsi" w:hAnsiTheme="minorHAnsi" w:cstheme="minorHAnsi"/>
          <w:bCs/>
          <w:szCs w:val="24"/>
        </w:rPr>
        <w:t xml:space="preserve">(the Guidelines) </w:t>
      </w:r>
      <w:r w:rsidR="00DC7757" w:rsidRPr="00C75F26">
        <w:rPr>
          <w:rFonts w:asciiTheme="minorHAnsi" w:hAnsiTheme="minorHAnsi" w:cstheme="minorHAnsi"/>
          <w:bCs/>
          <w:szCs w:val="24"/>
        </w:rPr>
        <w:t xml:space="preserve">made under the </w:t>
      </w:r>
      <w:r w:rsidR="00DC7757" w:rsidRPr="00C75F26">
        <w:rPr>
          <w:rFonts w:asciiTheme="minorHAnsi" w:hAnsiTheme="minorHAnsi" w:cstheme="minorHAnsi"/>
          <w:bCs/>
          <w:i/>
          <w:szCs w:val="24"/>
        </w:rPr>
        <w:t xml:space="preserve">Higher Education Support Act 2003 </w:t>
      </w:r>
      <w:r w:rsidR="00DC7757" w:rsidRPr="00C75F26">
        <w:rPr>
          <w:rFonts w:asciiTheme="minorHAnsi" w:hAnsiTheme="minorHAnsi" w:cstheme="minorHAnsi"/>
          <w:bCs/>
          <w:szCs w:val="24"/>
        </w:rPr>
        <w:t xml:space="preserve">(the Act) </w:t>
      </w:r>
      <w:r w:rsidRPr="00C75F26">
        <w:rPr>
          <w:rFonts w:asciiTheme="minorHAnsi" w:hAnsiTheme="minorHAnsi" w:cstheme="minorHAnsi"/>
          <w:bCs/>
          <w:szCs w:val="24"/>
        </w:rPr>
        <w:t>to</w:t>
      </w:r>
      <w:r w:rsidRPr="00C75F26">
        <w:rPr>
          <w:rFonts w:asciiTheme="minorHAnsi" w:hAnsiTheme="minorHAnsi" w:cstheme="minorHAnsi"/>
          <w:bCs/>
          <w:iCs/>
          <w:szCs w:val="24"/>
        </w:rPr>
        <w:t xml:space="preserve">: </w:t>
      </w:r>
    </w:p>
    <w:p w14:paraId="601EB3C5" w14:textId="37560640" w:rsidR="002278E1" w:rsidRPr="00C75F26" w:rsidRDefault="002278E1" w:rsidP="002278E1">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list, for the purposes of subparagraph 30-1(1)(b)(</w:t>
      </w:r>
      <w:proofErr w:type="spellStart"/>
      <w:r w:rsidRPr="00C75F26">
        <w:rPr>
          <w:rFonts w:asciiTheme="minorHAnsi" w:hAnsiTheme="minorHAnsi" w:cstheme="minorHAnsi"/>
          <w:iCs/>
          <w:szCs w:val="24"/>
        </w:rPr>
        <w:t>i</w:t>
      </w:r>
      <w:proofErr w:type="spellEnd"/>
      <w:r w:rsidRPr="00C75F26">
        <w:rPr>
          <w:rFonts w:asciiTheme="minorHAnsi" w:hAnsiTheme="minorHAnsi" w:cstheme="minorHAnsi"/>
          <w:iCs/>
          <w:szCs w:val="24"/>
        </w:rPr>
        <w:t xml:space="preserve">) of the Act, higher education providers, that are not Table A providers, that can be paid grants under Part 2-2 of the Act; </w:t>
      </w:r>
    </w:p>
    <w:p w14:paraId="14E36A01" w14:textId="38EB5E6D" w:rsidR="002278E1" w:rsidRPr="00C75F26" w:rsidRDefault="002278E1" w:rsidP="002278E1">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specify,</w:t>
      </w:r>
      <w:r w:rsidRPr="00C75F26">
        <w:rPr>
          <w:rFonts w:ascii="Helvetica Neue" w:hAnsi="Helvetica Neue"/>
          <w:sz w:val="19"/>
          <w:szCs w:val="19"/>
        </w:rPr>
        <w:t xml:space="preserve"> </w:t>
      </w:r>
      <w:r w:rsidRPr="00C75F26">
        <w:rPr>
          <w:rFonts w:asciiTheme="minorHAnsi" w:hAnsiTheme="minorHAnsi" w:cstheme="minorHAnsi"/>
          <w:iCs/>
          <w:szCs w:val="24"/>
        </w:rPr>
        <w:t xml:space="preserve">for the purposes of paragraph 30-20(b) of the Act, a new outcome in the provision of higher education as a national priority, that is in addition to the national priorities already specified in the Guidelines; </w:t>
      </w:r>
    </w:p>
    <w:p w14:paraId="73666F3E" w14:textId="2CB81770" w:rsidR="002278E1" w:rsidRPr="00C75F26" w:rsidRDefault="004452CF" w:rsidP="002278E1">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update</w:t>
      </w:r>
      <w:r w:rsidR="002278E1" w:rsidRPr="00C75F26">
        <w:rPr>
          <w:rFonts w:asciiTheme="minorHAnsi" w:hAnsiTheme="minorHAnsi" w:cstheme="minorHAnsi"/>
          <w:iCs/>
          <w:szCs w:val="24"/>
        </w:rPr>
        <w:t xml:space="preserve"> notes 5 and 6 at the end of the table at section 14 of the Guidelines to correct a drafting error and expand </w:t>
      </w:r>
      <w:r w:rsidRPr="00C75F26">
        <w:rPr>
          <w:rFonts w:asciiTheme="minorHAnsi" w:hAnsiTheme="minorHAnsi" w:cstheme="minorHAnsi"/>
          <w:iCs/>
          <w:szCs w:val="24"/>
        </w:rPr>
        <w:t xml:space="preserve">the </w:t>
      </w:r>
      <w:r w:rsidR="002278E1" w:rsidRPr="00C75F26">
        <w:rPr>
          <w:rFonts w:asciiTheme="minorHAnsi" w:hAnsiTheme="minorHAnsi" w:cstheme="minorHAnsi"/>
          <w:iCs/>
          <w:szCs w:val="24"/>
        </w:rPr>
        <w:t>Professional Pathway Social Work</w:t>
      </w:r>
      <w:r w:rsidRPr="00C75F26">
        <w:rPr>
          <w:rFonts w:asciiTheme="minorHAnsi" w:hAnsiTheme="minorHAnsi" w:cstheme="minorHAnsi"/>
          <w:iCs/>
          <w:szCs w:val="24"/>
        </w:rPr>
        <w:t xml:space="preserve"> part of funding cluster two</w:t>
      </w:r>
      <w:r w:rsidR="002278E1" w:rsidRPr="00C75F26">
        <w:rPr>
          <w:rFonts w:asciiTheme="minorHAnsi" w:hAnsiTheme="minorHAnsi" w:cstheme="minorHAnsi"/>
          <w:iCs/>
          <w:szCs w:val="24"/>
        </w:rPr>
        <w:t xml:space="preserve"> to include courses of study that lead to a bachelor degree, honours degree or master’s degree in:</w:t>
      </w:r>
    </w:p>
    <w:p w14:paraId="3BC69748" w14:textId="77777777" w:rsidR="002278E1" w:rsidRPr="00C75F26" w:rsidRDefault="002278E1" w:rsidP="002278E1">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social work accredited by the Australian Association of Social Workers;</w:t>
      </w:r>
    </w:p>
    <w:p w14:paraId="4CA68570" w14:textId="77777777" w:rsidR="002278E1" w:rsidRPr="00C75F26" w:rsidRDefault="002278E1" w:rsidP="002278E1">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youth work accredited by Youth Work Australia;</w:t>
      </w:r>
    </w:p>
    <w:p w14:paraId="2B5A0330" w14:textId="77777777" w:rsidR="002278E1" w:rsidRPr="00C75F26" w:rsidRDefault="002278E1" w:rsidP="002278E1">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counselling accredited by the Australian Counsellors Association and/or the Psychotherapy and Counselling Federation of Australia; and</w:t>
      </w:r>
    </w:p>
    <w:p w14:paraId="10CBEFB6" w14:textId="77777777" w:rsidR="00697005" w:rsidRPr="00C75F26" w:rsidRDefault="002278E1" w:rsidP="00E8671C">
      <w:pPr>
        <w:pStyle w:val="ListParagraph"/>
        <w:numPr>
          <w:ilvl w:val="1"/>
          <w:numId w:val="3"/>
        </w:numPr>
        <w:spacing w:before="120" w:after="120"/>
        <w:rPr>
          <w:rFonts w:asciiTheme="minorHAnsi" w:hAnsiTheme="minorHAnsi" w:cstheme="minorHAnsi"/>
          <w:iCs/>
          <w:szCs w:val="24"/>
        </w:rPr>
      </w:pPr>
      <w:r w:rsidRPr="00C75F26">
        <w:rPr>
          <w:rFonts w:asciiTheme="minorHAnsi" w:hAnsiTheme="minorHAnsi" w:cstheme="minorHAnsi"/>
          <w:iCs/>
          <w:szCs w:val="24"/>
        </w:rPr>
        <w:t>community work accredited by the Australian Community Workers Association</w:t>
      </w:r>
      <w:r w:rsidR="00697005" w:rsidRPr="00C75F26">
        <w:rPr>
          <w:rFonts w:asciiTheme="minorHAnsi" w:hAnsiTheme="minorHAnsi" w:cstheme="minorHAnsi"/>
          <w:iCs/>
          <w:szCs w:val="24"/>
        </w:rPr>
        <w:t xml:space="preserve">; </w:t>
      </w:r>
    </w:p>
    <w:p w14:paraId="36FA0162" w14:textId="60ED1AF8" w:rsidR="00697005" w:rsidRPr="00C75F26" w:rsidRDefault="00FF4BE1" w:rsidP="00697005">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amend</w:t>
      </w:r>
      <w:r w:rsidR="00697005" w:rsidRPr="00C75F26">
        <w:rPr>
          <w:rFonts w:asciiTheme="minorHAnsi" w:hAnsiTheme="minorHAnsi" w:cstheme="minorHAnsi"/>
          <w:iCs/>
          <w:szCs w:val="24"/>
        </w:rPr>
        <w:t xml:space="preserve"> paragraph 10(b) to state that supporting a number of persons undertaking courses of study in any field of education at the University of Notre Dame Australia (UNDA) is a national priority for the purposes of paragraph 30-20(b) of the Act; and </w:t>
      </w:r>
    </w:p>
    <w:p w14:paraId="13C1C773" w14:textId="0EE62D7E" w:rsidR="00E8671C" w:rsidRPr="00C75F26" w:rsidRDefault="00697005" w:rsidP="005B68AF">
      <w:pPr>
        <w:pStyle w:val="ListParagraph"/>
        <w:numPr>
          <w:ilvl w:val="0"/>
          <w:numId w:val="3"/>
        </w:numPr>
        <w:spacing w:before="120" w:after="120"/>
        <w:rPr>
          <w:rFonts w:asciiTheme="minorHAnsi" w:hAnsiTheme="minorHAnsi" w:cstheme="minorHAnsi"/>
          <w:iCs/>
          <w:szCs w:val="24"/>
        </w:rPr>
      </w:pPr>
      <w:r w:rsidRPr="00C75F26">
        <w:rPr>
          <w:rFonts w:asciiTheme="minorHAnsi" w:hAnsiTheme="minorHAnsi" w:cstheme="minorHAnsi"/>
          <w:iCs/>
          <w:szCs w:val="24"/>
        </w:rPr>
        <w:t>repeal paragraph 10(c) which is no longer required due to the changes made to paragraph 10(b).</w:t>
      </w:r>
    </w:p>
    <w:p w14:paraId="7DFBD545" w14:textId="2E86844E" w:rsidR="0068420E" w:rsidRPr="00C75F26" w:rsidRDefault="0068420E" w:rsidP="00432EA1">
      <w:pPr>
        <w:spacing w:before="120" w:after="120"/>
        <w:rPr>
          <w:rFonts w:asciiTheme="minorHAnsi" w:hAnsiTheme="minorHAnsi" w:cstheme="minorHAnsi"/>
          <w:iCs/>
          <w:szCs w:val="24"/>
        </w:rPr>
      </w:pPr>
      <w:r w:rsidRPr="00C75F26">
        <w:rPr>
          <w:rFonts w:asciiTheme="minorHAnsi" w:hAnsiTheme="minorHAnsi" w:cstheme="minorHAnsi"/>
          <w:iCs/>
          <w:szCs w:val="24"/>
        </w:rPr>
        <w:t xml:space="preserve">The expanded and revised list of providers is required to enable those providers </w:t>
      </w:r>
      <w:r w:rsidR="00487812" w:rsidRPr="00C75F26">
        <w:rPr>
          <w:rFonts w:asciiTheme="minorHAnsi" w:hAnsiTheme="minorHAnsi" w:cstheme="minorHAnsi"/>
          <w:iCs/>
          <w:szCs w:val="24"/>
        </w:rPr>
        <w:t>to be eligible for grants under Part 2-2 of the Act and</w:t>
      </w:r>
      <w:r w:rsidRPr="00C75F26">
        <w:rPr>
          <w:rFonts w:asciiTheme="minorHAnsi" w:hAnsiTheme="minorHAnsi" w:cstheme="minorHAnsi"/>
          <w:iCs/>
          <w:szCs w:val="24"/>
        </w:rPr>
        <w:t xml:space="preserve"> offer Commonwealth supported places in short courses in national priority areas in 2021. These providers and courses have been selected through a competitive application process.</w:t>
      </w:r>
    </w:p>
    <w:p w14:paraId="511C73CF" w14:textId="45330F71" w:rsidR="0068420E" w:rsidRPr="00C75F26" w:rsidRDefault="0068420E" w:rsidP="0068420E">
      <w:pPr>
        <w:spacing w:before="120" w:after="120"/>
        <w:rPr>
          <w:rFonts w:asciiTheme="minorHAnsi" w:hAnsiTheme="minorHAnsi" w:cstheme="minorHAnsi"/>
          <w:iCs/>
          <w:szCs w:val="24"/>
        </w:rPr>
      </w:pPr>
      <w:r w:rsidRPr="00C75F26">
        <w:rPr>
          <w:rFonts w:asciiTheme="minorHAnsi" w:hAnsiTheme="minorHAnsi" w:cstheme="minorHAnsi"/>
          <w:iCs/>
          <w:szCs w:val="24"/>
        </w:rPr>
        <w:t xml:space="preserve">Expansion of the Professional Pathway Social Work </w:t>
      </w:r>
      <w:r w:rsidR="00FD2E60" w:rsidRPr="00C75F26">
        <w:rPr>
          <w:rFonts w:asciiTheme="minorHAnsi" w:hAnsiTheme="minorHAnsi" w:cstheme="minorHAnsi"/>
          <w:iCs/>
          <w:szCs w:val="24"/>
        </w:rPr>
        <w:t xml:space="preserve">of funding cluster two </w:t>
      </w:r>
      <w:r w:rsidRPr="00C75F26">
        <w:rPr>
          <w:rFonts w:asciiTheme="minorHAnsi" w:hAnsiTheme="minorHAnsi" w:cstheme="minorHAnsi"/>
          <w:iCs/>
          <w:szCs w:val="24"/>
        </w:rPr>
        <w:t xml:space="preserve">reflects the importance of youth workers, counsellors and community workers to Australia and will encourage Australians into these professions. The expansion also acknowledges that, as </w:t>
      </w:r>
      <w:r w:rsidR="00FD2E60" w:rsidRPr="00C75F26">
        <w:rPr>
          <w:rFonts w:asciiTheme="minorHAnsi" w:hAnsiTheme="minorHAnsi" w:cstheme="minorHAnsi"/>
          <w:iCs/>
          <w:szCs w:val="24"/>
        </w:rPr>
        <w:t xml:space="preserve">is the case </w:t>
      </w:r>
      <w:r w:rsidRPr="00C75F26">
        <w:rPr>
          <w:rFonts w:asciiTheme="minorHAnsi" w:hAnsiTheme="minorHAnsi" w:cstheme="minorHAnsi"/>
          <w:iCs/>
          <w:szCs w:val="24"/>
        </w:rPr>
        <w:t xml:space="preserve">for social workers, youth workers, counsellors and community workers require an </w:t>
      </w:r>
      <w:r w:rsidRPr="00C75F26">
        <w:rPr>
          <w:rFonts w:asciiTheme="minorHAnsi" w:hAnsiTheme="minorHAnsi" w:cstheme="minorHAnsi"/>
          <w:iCs/>
          <w:szCs w:val="24"/>
        </w:rPr>
        <w:lastRenderedPageBreak/>
        <w:t xml:space="preserve">undergraduate degree to practise, a professional body accredits designated units, and </w:t>
      </w:r>
      <w:r w:rsidR="00B106E6" w:rsidRPr="00C75F26">
        <w:rPr>
          <w:rFonts w:asciiTheme="minorHAnsi" w:hAnsiTheme="minorHAnsi" w:cstheme="minorHAnsi"/>
          <w:iCs/>
          <w:szCs w:val="24"/>
        </w:rPr>
        <w:br/>
      </w:r>
      <w:r w:rsidRPr="00C75F26">
        <w:rPr>
          <w:rFonts w:asciiTheme="minorHAnsi" w:hAnsiTheme="minorHAnsi" w:cstheme="minorHAnsi"/>
          <w:iCs/>
          <w:szCs w:val="24"/>
        </w:rPr>
        <w:t>work-integrated learning is required before being able to p</w:t>
      </w:r>
      <w:r w:rsidR="00A62457" w:rsidRPr="00C75F26">
        <w:rPr>
          <w:rFonts w:asciiTheme="minorHAnsi" w:hAnsiTheme="minorHAnsi" w:cstheme="minorHAnsi"/>
          <w:iCs/>
          <w:szCs w:val="24"/>
        </w:rPr>
        <w:t>ractise</w:t>
      </w:r>
      <w:r w:rsidRPr="00C75F26">
        <w:rPr>
          <w:rFonts w:asciiTheme="minorHAnsi" w:hAnsiTheme="minorHAnsi" w:cstheme="minorHAnsi"/>
          <w:iCs/>
          <w:szCs w:val="24"/>
        </w:rPr>
        <w:t xml:space="preserve"> in the profession</w:t>
      </w:r>
      <w:r w:rsidR="004452CF" w:rsidRPr="00C75F26">
        <w:rPr>
          <w:rFonts w:asciiTheme="minorHAnsi" w:hAnsiTheme="minorHAnsi" w:cstheme="minorHAnsi"/>
          <w:iCs/>
          <w:szCs w:val="24"/>
        </w:rPr>
        <w:t>.</w:t>
      </w:r>
    </w:p>
    <w:p w14:paraId="03E14D3A" w14:textId="52E4300D" w:rsidR="0036040B" w:rsidRPr="00C75F26" w:rsidRDefault="0036040B" w:rsidP="0036040B">
      <w:pPr>
        <w:spacing w:before="120" w:after="120"/>
        <w:rPr>
          <w:rFonts w:asciiTheme="minorHAnsi" w:hAnsiTheme="minorHAnsi" w:cstheme="minorHAnsi"/>
          <w:iCs/>
          <w:szCs w:val="24"/>
        </w:rPr>
      </w:pPr>
      <w:r w:rsidRPr="00C75F26">
        <w:rPr>
          <w:rFonts w:asciiTheme="minorHAnsi" w:hAnsiTheme="minorHAnsi" w:cstheme="minorHAnsi"/>
          <w:iCs/>
          <w:szCs w:val="24"/>
        </w:rPr>
        <w:t xml:space="preserve">The amendment to paragraph 10(b) of the Guidelines is a transitional amendment that implements the Government’s 2020-21 MYEFO commitment to re-categorise UNDA as a Table A provider under the Act. UNDA is currently a Table B provider and is only eligible to receive funding under Part 2-2 (Commonwealth Grant Scheme) of the Act for its </w:t>
      </w:r>
      <w:r w:rsidRPr="00C75F26">
        <w:rPr>
          <w:rFonts w:asciiTheme="minorHAnsi" w:hAnsiTheme="minorHAnsi" w:cstheme="minorHAnsi"/>
          <w:iCs/>
          <w:szCs w:val="24"/>
        </w:rPr>
        <w:br/>
        <w:t xml:space="preserve">non-medical domestic undergraduate students in relation to the courses listed in the national priority set out in existing paragraph 10(b) of the Guidelines, i.e. UNDA </w:t>
      </w:r>
      <w:r w:rsidR="005B68AF" w:rsidRPr="00C75F26">
        <w:rPr>
          <w:rFonts w:asciiTheme="minorHAnsi" w:hAnsiTheme="minorHAnsi" w:cstheme="minorHAnsi"/>
          <w:iCs/>
          <w:szCs w:val="24"/>
        </w:rPr>
        <w:t xml:space="preserve">only </w:t>
      </w:r>
      <w:r w:rsidRPr="00C75F26">
        <w:rPr>
          <w:rFonts w:asciiTheme="minorHAnsi" w:hAnsiTheme="minorHAnsi" w:cstheme="minorHAnsi"/>
          <w:iCs/>
          <w:szCs w:val="24"/>
        </w:rPr>
        <w:t xml:space="preserve">receives Part 2-2 funding in relation to </w:t>
      </w:r>
      <w:r w:rsidR="005B68AF" w:rsidRPr="00C75F26">
        <w:rPr>
          <w:rFonts w:asciiTheme="minorHAnsi" w:hAnsiTheme="minorHAnsi" w:cstheme="minorHAnsi"/>
          <w:iCs/>
          <w:szCs w:val="24"/>
        </w:rPr>
        <w:t xml:space="preserve">some </w:t>
      </w:r>
      <w:r w:rsidRPr="00C75F26">
        <w:rPr>
          <w:rFonts w:asciiTheme="minorHAnsi" w:hAnsiTheme="minorHAnsi" w:cstheme="minorHAnsi"/>
          <w:iCs/>
          <w:szCs w:val="24"/>
        </w:rPr>
        <w:t xml:space="preserve">of its non-medical domestic undergraduate students. </w:t>
      </w:r>
    </w:p>
    <w:p w14:paraId="41340645" w14:textId="473F0704" w:rsidR="0036040B" w:rsidRPr="00C75F26" w:rsidRDefault="0036040B" w:rsidP="0068420E">
      <w:pPr>
        <w:spacing w:before="120" w:after="120"/>
        <w:rPr>
          <w:rFonts w:asciiTheme="minorHAnsi" w:hAnsiTheme="minorHAnsi" w:cstheme="minorHAnsi"/>
          <w:iCs/>
          <w:szCs w:val="24"/>
        </w:rPr>
      </w:pPr>
      <w:r w:rsidRPr="00C75F26">
        <w:rPr>
          <w:rFonts w:asciiTheme="minorHAnsi" w:hAnsiTheme="minorHAnsi" w:cstheme="minorHAnsi"/>
          <w:iCs/>
          <w:szCs w:val="24"/>
        </w:rPr>
        <w:t xml:space="preserve">The Government intends to amend the Act to change UNDA from a Table B provider to a Table A provider, meaning that UNDA will be eligible to receive Part 2-2 funding in relation to all of its non-medical domestic undergraduate students; however, this is expected to occur later in 2021. To ensure that this Government commitment is implemented as soon as possible, it is proposed that the Guidelines be amended now to ensure that UNDA is effectively treated like a Table A provider for the purposes of receiving funding for its </w:t>
      </w:r>
      <w:r w:rsidRPr="00C75F26">
        <w:rPr>
          <w:rFonts w:asciiTheme="minorHAnsi" w:hAnsiTheme="minorHAnsi" w:cstheme="minorHAnsi"/>
          <w:iCs/>
          <w:szCs w:val="24"/>
        </w:rPr>
        <w:br/>
        <w:t xml:space="preserve">non-medical domestic undergraduate students. This change will also mean that all of UNDA’s non-medical domestic undergraduate students will be eligible to </w:t>
      </w:r>
      <w:r w:rsidR="00974603" w:rsidRPr="00C75F26">
        <w:rPr>
          <w:rFonts w:asciiTheme="minorHAnsi" w:hAnsiTheme="minorHAnsi" w:cstheme="minorHAnsi"/>
          <w:iCs/>
          <w:szCs w:val="24"/>
        </w:rPr>
        <w:t>access</w:t>
      </w:r>
      <w:r w:rsidRPr="00C75F26">
        <w:rPr>
          <w:rFonts w:asciiTheme="minorHAnsi" w:hAnsiTheme="minorHAnsi" w:cstheme="minorHAnsi"/>
          <w:iCs/>
          <w:szCs w:val="24"/>
        </w:rPr>
        <w:t xml:space="preserve"> Commonwealth supported </w:t>
      </w:r>
      <w:r w:rsidR="00974603" w:rsidRPr="00C75F26">
        <w:rPr>
          <w:rFonts w:asciiTheme="minorHAnsi" w:hAnsiTheme="minorHAnsi" w:cstheme="minorHAnsi"/>
          <w:iCs/>
          <w:szCs w:val="24"/>
        </w:rPr>
        <w:t>places</w:t>
      </w:r>
      <w:r w:rsidRPr="00C75F26">
        <w:rPr>
          <w:rFonts w:asciiTheme="minorHAnsi" w:hAnsiTheme="minorHAnsi" w:cstheme="minorHAnsi"/>
          <w:iCs/>
          <w:szCs w:val="24"/>
        </w:rPr>
        <w:t xml:space="preserve"> </w:t>
      </w:r>
      <w:r w:rsidRPr="00C75F26">
        <w:rPr>
          <w:rFonts w:asciiTheme="minorHAnsi" w:hAnsiTheme="minorHAnsi" w:cstheme="minorHAnsi"/>
          <w:bCs/>
          <w:iCs/>
          <w:szCs w:val="24"/>
        </w:rPr>
        <w:t>(provided they also meet the other eligibility criteria in the Act).</w:t>
      </w:r>
      <w:r w:rsidRPr="00C75F26">
        <w:rPr>
          <w:rFonts w:asciiTheme="minorHAnsi" w:hAnsiTheme="minorHAnsi" w:cstheme="minorHAnsi"/>
          <w:iCs/>
          <w:szCs w:val="24"/>
        </w:rPr>
        <w:t xml:space="preserve">    </w:t>
      </w:r>
    </w:p>
    <w:p w14:paraId="50D4FAB5" w14:textId="0CEBE77E" w:rsidR="00FE312C" w:rsidRPr="00C75F26" w:rsidRDefault="00F9205E" w:rsidP="0084651C">
      <w:pPr>
        <w:spacing w:before="120" w:after="120"/>
        <w:rPr>
          <w:rFonts w:asciiTheme="minorHAnsi" w:hAnsiTheme="minorHAnsi" w:cstheme="minorHAnsi"/>
          <w:szCs w:val="24"/>
        </w:rPr>
      </w:pPr>
      <w:r w:rsidRPr="00C75F26">
        <w:rPr>
          <w:rFonts w:asciiTheme="minorHAnsi" w:hAnsiTheme="minorHAnsi" w:cstheme="minorHAnsi"/>
          <w:b/>
          <w:szCs w:val="24"/>
        </w:rPr>
        <w:t>Human rights implications</w:t>
      </w:r>
    </w:p>
    <w:p w14:paraId="0BCE697F" w14:textId="77777777" w:rsidR="00D02448" w:rsidRPr="00C75F26" w:rsidRDefault="00D02448" w:rsidP="00D02448">
      <w:pPr>
        <w:spacing w:before="120" w:after="120"/>
        <w:rPr>
          <w:rFonts w:asciiTheme="minorHAnsi" w:hAnsiTheme="minorHAnsi" w:cstheme="minorHAnsi"/>
          <w:iCs/>
          <w:szCs w:val="24"/>
          <w:u w:val="single"/>
        </w:rPr>
      </w:pPr>
      <w:r w:rsidRPr="00C75F26">
        <w:rPr>
          <w:rFonts w:asciiTheme="minorHAnsi" w:hAnsiTheme="minorHAnsi" w:cstheme="minorHAnsi"/>
          <w:iCs/>
          <w:szCs w:val="24"/>
          <w:u w:val="single"/>
        </w:rPr>
        <w:t>Right to education</w:t>
      </w:r>
    </w:p>
    <w:p w14:paraId="08B1ED21" w14:textId="06E31173" w:rsidR="00D02448" w:rsidRPr="00C75F26" w:rsidRDefault="00D02448" w:rsidP="00D02448">
      <w:pPr>
        <w:spacing w:before="120" w:after="120"/>
        <w:rPr>
          <w:rFonts w:asciiTheme="minorHAnsi" w:hAnsiTheme="minorHAnsi" w:cstheme="minorHAnsi"/>
          <w:szCs w:val="24"/>
        </w:rPr>
      </w:pPr>
      <w:r w:rsidRPr="00C75F26">
        <w:rPr>
          <w:rFonts w:asciiTheme="minorHAnsi" w:hAnsiTheme="minorHAnsi" w:cstheme="minorHAnsi"/>
          <w:szCs w:val="24"/>
        </w:rPr>
        <w:t>Th</w:t>
      </w:r>
      <w:r w:rsidR="00A72B63" w:rsidRPr="00C75F26">
        <w:rPr>
          <w:rFonts w:asciiTheme="minorHAnsi" w:hAnsiTheme="minorHAnsi" w:cstheme="minorHAnsi"/>
          <w:szCs w:val="24"/>
        </w:rPr>
        <w:t xml:space="preserve">is </w:t>
      </w:r>
      <w:r w:rsidRPr="00C75F26">
        <w:rPr>
          <w:rFonts w:asciiTheme="minorHAnsi" w:hAnsiTheme="minorHAnsi" w:cstheme="minorHAnsi"/>
          <w:szCs w:val="24"/>
        </w:rPr>
        <w:t xml:space="preserve">Instrument engages the right to education contained in Article 13 of the </w:t>
      </w:r>
      <w:r w:rsidRPr="00C75F26">
        <w:rPr>
          <w:rFonts w:asciiTheme="minorHAnsi" w:hAnsiTheme="minorHAnsi" w:cstheme="minorHAnsi"/>
          <w:i/>
          <w:szCs w:val="24"/>
        </w:rPr>
        <w:t xml:space="preserve">International Covenant on Economic, Social and Cultural Rights </w:t>
      </w:r>
      <w:r w:rsidRPr="00C75F26">
        <w:rPr>
          <w:rFonts w:asciiTheme="minorHAnsi" w:hAnsiTheme="minorHAnsi" w:cstheme="minorHAnsi"/>
          <w:szCs w:val="24"/>
        </w:rPr>
        <w:t xml:space="preserve">(ICESCR). </w:t>
      </w:r>
      <w:r w:rsidRPr="00C75F26">
        <w:rPr>
          <w:rFonts w:asciiTheme="minorHAnsi" w:hAnsiTheme="minorHAnsi" w:cstheme="minorHAnsi"/>
          <w:szCs w:val="24"/>
          <w:lang w:val="en-US"/>
        </w:rPr>
        <w:t>Article 13(2)(c) of the ICESCR provides that ‘higher education shall be made equally accessible to all, on the basis of capacity, by every appropriate means, and in particular by the progressive introduction of free education.’</w:t>
      </w:r>
    </w:p>
    <w:p w14:paraId="2CE2C31C" w14:textId="1F7F8FB9" w:rsidR="00D02448" w:rsidRPr="00C75F26" w:rsidRDefault="00D02448" w:rsidP="00D02448">
      <w:pPr>
        <w:spacing w:before="120" w:after="120"/>
        <w:rPr>
          <w:rFonts w:asciiTheme="minorHAnsi" w:hAnsiTheme="minorHAnsi" w:cstheme="minorHAnsi"/>
          <w:szCs w:val="24"/>
        </w:rPr>
      </w:pPr>
      <w:r w:rsidRPr="00C75F26">
        <w:rPr>
          <w:rFonts w:asciiTheme="minorHAnsi" w:hAnsiTheme="minorHAnsi" w:cstheme="minorHAnsi"/>
          <w:szCs w:val="24"/>
        </w:rPr>
        <w:t xml:space="preserve">The Instrument improves access to higher education by listing non-Table A providers that can receive grants under Part 2-2 of the </w:t>
      </w:r>
      <w:r w:rsidR="00DC7757" w:rsidRPr="00C75F26">
        <w:rPr>
          <w:rFonts w:asciiTheme="minorHAnsi" w:hAnsiTheme="minorHAnsi" w:cstheme="minorHAnsi"/>
          <w:iCs/>
          <w:szCs w:val="24"/>
        </w:rPr>
        <w:t xml:space="preserve">Act </w:t>
      </w:r>
      <w:r w:rsidRPr="00C75F26">
        <w:rPr>
          <w:rFonts w:asciiTheme="minorHAnsi" w:hAnsiTheme="minorHAnsi" w:cstheme="minorHAnsi"/>
          <w:szCs w:val="24"/>
        </w:rPr>
        <w:t xml:space="preserve">for the purposes of supporting Commonwealth supported students, and by including additional national priorities in relation to which these providers can receive funding. This gives students more choice when considering undertaking higher education, by ensuring that more providers are able to offer students subsidised places in a range of different locations and in relation to a range of different areas of study. </w:t>
      </w:r>
    </w:p>
    <w:p w14:paraId="7AFE80E2" w14:textId="5C0F45B3" w:rsidR="00672C4C" w:rsidRPr="00C75F26" w:rsidRDefault="00672C4C" w:rsidP="00DA552F">
      <w:pPr>
        <w:spacing w:before="120" w:after="120"/>
        <w:rPr>
          <w:rFonts w:asciiTheme="minorHAnsi" w:hAnsiTheme="minorHAnsi" w:cstheme="minorHAnsi"/>
          <w:szCs w:val="24"/>
        </w:rPr>
      </w:pPr>
      <w:r w:rsidRPr="00C75F26">
        <w:rPr>
          <w:rFonts w:asciiTheme="minorHAnsi" w:hAnsiTheme="minorHAnsi" w:cstheme="minorHAnsi"/>
          <w:szCs w:val="24"/>
        </w:rPr>
        <w:t xml:space="preserve">The Instrument also improves access to education for </w:t>
      </w:r>
      <w:r w:rsidR="00641F7A" w:rsidRPr="00C75F26">
        <w:rPr>
          <w:rFonts w:asciiTheme="minorHAnsi" w:hAnsiTheme="minorHAnsi" w:cstheme="minorHAnsi"/>
          <w:szCs w:val="24"/>
        </w:rPr>
        <w:t xml:space="preserve">non-medical </w:t>
      </w:r>
      <w:r w:rsidRPr="00C75F26">
        <w:rPr>
          <w:rFonts w:asciiTheme="minorHAnsi" w:hAnsiTheme="minorHAnsi" w:cstheme="minorHAnsi"/>
          <w:szCs w:val="24"/>
        </w:rPr>
        <w:t>domestic undergraduate students at UNDA</w:t>
      </w:r>
      <w:r w:rsidR="001C28F9" w:rsidRPr="00C75F26">
        <w:rPr>
          <w:rFonts w:asciiTheme="minorHAnsi" w:hAnsiTheme="minorHAnsi" w:cstheme="minorHAnsi"/>
          <w:szCs w:val="24"/>
        </w:rPr>
        <w:t xml:space="preserve">, by making all of these students eligible </w:t>
      </w:r>
      <w:r w:rsidR="002F0550" w:rsidRPr="00C75F26">
        <w:rPr>
          <w:rFonts w:asciiTheme="minorHAnsi" w:hAnsiTheme="minorHAnsi" w:cstheme="minorHAnsi"/>
          <w:szCs w:val="24"/>
        </w:rPr>
        <w:t xml:space="preserve">to </w:t>
      </w:r>
      <w:r w:rsidR="00974603" w:rsidRPr="00C75F26">
        <w:rPr>
          <w:rFonts w:asciiTheme="minorHAnsi" w:hAnsiTheme="minorHAnsi" w:cstheme="minorHAnsi"/>
          <w:szCs w:val="24"/>
        </w:rPr>
        <w:t xml:space="preserve">access </w:t>
      </w:r>
      <w:r w:rsidR="002F0550" w:rsidRPr="00C75F26">
        <w:rPr>
          <w:rFonts w:asciiTheme="minorHAnsi" w:hAnsiTheme="minorHAnsi" w:cstheme="minorHAnsi"/>
          <w:szCs w:val="24"/>
        </w:rPr>
        <w:t xml:space="preserve">Commonwealth supported </w:t>
      </w:r>
      <w:r w:rsidR="00974603" w:rsidRPr="00C75F26">
        <w:rPr>
          <w:rFonts w:asciiTheme="minorHAnsi" w:hAnsiTheme="minorHAnsi" w:cstheme="minorHAnsi"/>
          <w:szCs w:val="24"/>
        </w:rPr>
        <w:t xml:space="preserve">places </w:t>
      </w:r>
      <w:r w:rsidR="001C28F9" w:rsidRPr="00C75F26">
        <w:rPr>
          <w:rFonts w:asciiTheme="minorHAnsi" w:hAnsiTheme="minorHAnsi" w:cstheme="minorHAnsi"/>
          <w:iCs/>
          <w:szCs w:val="24"/>
        </w:rPr>
        <w:t>(provided they also meet the other eligibility criteria in the Act). This mean</w:t>
      </w:r>
      <w:r w:rsidR="00A00DB3" w:rsidRPr="00C75F26">
        <w:rPr>
          <w:rFonts w:asciiTheme="minorHAnsi" w:hAnsiTheme="minorHAnsi" w:cstheme="minorHAnsi"/>
          <w:iCs/>
          <w:szCs w:val="24"/>
        </w:rPr>
        <w:t>s</w:t>
      </w:r>
      <w:r w:rsidR="001C28F9" w:rsidRPr="00C75F26">
        <w:rPr>
          <w:rFonts w:asciiTheme="minorHAnsi" w:hAnsiTheme="minorHAnsi" w:cstheme="minorHAnsi"/>
          <w:iCs/>
          <w:szCs w:val="24"/>
        </w:rPr>
        <w:t xml:space="preserve"> these students will pay lower tuition fees based on the maximum student contribution amounts set out in the Act.</w:t>
      </w:r>
    </w:p>
    <w:p w14:paraId="2CF6A63A" w14:textId="2D1C19A2" w:rsidR="00862D59" w:rsidRPr="00C75F26" w:rsidRDefault="00F919AE" w:rsidP="00256DBE">
      <w:pPr>
        <w:spacing w:before="120" w:after="120"/>
        <w:rPr>
          <w:rFonts w:asciiTheme="minorHAnsi" w:hAnsiTheme="minorHAnsi" w:cstheme="minorHAnsi"/>
          <w:b/>
          <w:szCs w:val="24"/>
        </w:rPr>
      </w:pPr>
      <w:r w:rsidRPr="00C75F26">
        <w:rPr>
          <w:rFonts w:asciiTheme="minorHAnsi" w:hAnsiTheme="minorHAnsi" w:cstheme="minorHAnsi"/>
          <w:szCs w:val="24"/>
        </w:rPr>
        <w:lastRenderedPageBreak/>
        <w:t xml:space="preserve">The </w:t>
      </w:r>
      <w:r w:rsidR="003D5B2B" w:rsidRPr="00C75F26">
        <w:rPr>
          <w:rFonts w:asciiTheme="minorHAnsi" w:hAnsiTheme="minorHAnsi" w:cstheme="minorHAnsi"/>
          <w:szCs w:val="24"/>
        </w:rPr>
        <w:t>I</w:t>
      </w:r>
      <w:r w:rsidRPr="00C75F26">
        <w:rPr>
          <w:rFonts w:asciiTheme="minorHAnsi" w:hAnsiTheme="minorHAnsi" w:cstheme="minorHAnsi"/>
          <w:szCs w:val="24"/>
        </w:rPr>
        <w:t xml:space="preserve">nstrument also </w:t>
      </w:r>
      <w:r w:rsidR="005B7B6E" w:rsidRPr="00C75F26">
        <w:rPr>
          <w:rFonts w:asciiTheme="minorHAnsi" w:hAnsiTheme="minorHAnsi" w:cstheme="minorHAnsi"/>
          <w:szCs w:val="24"/>
        </w:rPr>
        <w:t xml:space="preserve">expands the description of the Professional Pathway Social Work part of funding cluster two to include </w:t>
      </w:r>
      <w:r w:rsidR="00145746" w:rsidRPr="00C75F26">
        <w:rPr>
          <w:rFonts w:asciiTheme="minorHAnsi" w:hAnsiTheme="minorHAnsi" w:cstheme="minorHAnsi"/>
          <w:iCs/>
          <w:szCs w:val="24"/>
        </w:rPr>
        <w:t>youth</w:t>
      </w:r>
      <w:r w:rsidR="005B7B6E" w:rsidRPr="00C75F26">
        <w:rPr>
          <w:rFonts w:asciiTheme="minorHAnsi" w:hAnsiTheme="minorHAnsi" w:cstheme="minorHAnsi"/>
          <w:iCs/>
          <w:szCs w:val="24"/>
        </w:rPr>
        <w:t xml:space="preserve"> work, counselling and community work units of study undertaken in courses leading to certain accredited qualifications. This amendment means that the lower maximum student contribution amount of $7,950 will apply to students </w:t>
      </w:r>
      <w:r w:rsidR="003D5B2B" w:rsidRPr="00C75F26">
        <w:rPr>
          <w:rFonts w:asciiTheme="minorHAnsi" w:hAnsiTheme="minorHAnsi" w:cstheme="minorHAnsi"/>
          <w:iCs/>
          <w:szCs w:val="24"/>
        </w:rPr>
        <w:t>undertaking</w:t>
      </w:r>
      <w:r w:rsidR="005B7B6E" w:rsidRPr="00C75F26">
        <w:rPr>
          <w:rFonts w:asciiTheme="minorHAnsi" w:hAnsiTheme="minorHAnsi" w:cstheme="minorHAnsi"/>
          <w:iCs/>
          <w:szCs w:val="24"/>
        </w:rPr>
        <w:t xml:space="preserve"> these accredited courses. </w:t>
      </w:r>
      <w:r w:rsidR="003D5B2B" w:rsidRPr="00C75F26">
        <w:rPr>
          <w:rFonts w:asciiTheme="minorHAnsi" w:hAnsiTheme="minorHAnsi" w:cstheme="minorHAnsi"/>
          <w:iCs/>
          <w:szCs w:val="24"/>
        </w:rPr>
        <w:t xml:space="preserve">Without this amendment, the higher maximum student contribution amount of $14,500 would apply to students undertaking these accredited courses. As such, the Instrument assists these students to access higher education by lowering the price of these accredited </w:t>
      </w:r>
      <w:r w:rsidR="00145746" w:rsidRPr="00C75F26">
        <w:rPr>
          <w:rFonts w:asciiTheme="minorHAnsi" w:hAnsiTheme="minorHAnsi" w:cstheme="minorHAnsi"/>
          <w:iCs/>
          <w:szCs w:val="24"/>
        </w:rPr>
        <w:t>youth</w:t>
      </w:r>
      <w:r w:rsidR="003D5B2B" w:rsidRPr="00C75F26">
        <w:rPr>
          <w:rFonts w:asciiTheme="minorHAnsi" w:hAnsiTheme="minorHAnsi" w:cstheme="minorHAnsi"/>
          <w:iCs/>
          <w:szCs w:val="24"/>
        </w:rPr>
        <w:t xml:space="preserve"> work, counselling and community work courses, reducing barriers to their study and ensuring they have less debt</w:t>
      </w:r>
      <w:r w:rsidR="00B70CC3" w:rsidRPr="00C75F26">
        <w:rPr>
          <w:rFonts w:asciiTheme="minorHAnsi" w:hAnsiTheme="minorHAnsi" w:cstheme="minorHAnsi"/>
          <w:iCs/>
          <w:szCs w:val="24"/>
        </w:rPr>
        <w:t xml:space="preserve"> when they graduate. </w:t>
      </w:r>
    </w:p>
    <w:p w14:paraId="45D3B98D" w14:textId="6FF88AED" w:rsidR="00DA552F" w:rsidRPr="00C75F26" w:rsidRDefault="00F9205E" w:rsidP="00DA552F">
      <w:pPr>
        <w:spacing w:before="120" w:after="120"/>
        <w:rPr>
          <w:rFonts w:asciiTheme="minorHAnsi" w:hAnsiTheme="minorHAnsi" w:cstheme="minorHAnsi"/>
          <w:szCs w:val="24"/>
        </w:rPr>
      </w:pPr>
      <w:r w:rsidRPr="00C75F26">
        <w:rPr>
          <w:rFonts w:asciiTheme="minorHAnsi" w:hAnsiTheme="minorHAnsi" w:cstheme="minorHAnsi"/>
          <w:b/>
          <w:szCs w:val="24"/>
        </w:rPr>
        <w:t>Conclusion</w:t>
      </w:r>
    </w:p>
    <w:p w14:paraId="668227F8" w14:textId="77AA51DD" w:rsidR="00F9205E" w:rsidRPr="00C75F26" w:rsidRDefault="00F9205E" w:rsidP="00DA552F">
      <w:pPr>
        <w:spacing w:before="120" w:after="120"/>
        <w:rPr>
          <w:rFonts w:asciiTheme="minorHAnsi" w:hAnsiTheme="minorHAnsi" w:cstheme="minorHAnsi"/>
          <w:szCs w:val="24"/>
        </w:rPr>
      </w:pPr>
      <w:r w:rsidRPr="00C75F26">
        <w:rPr>
          <w:rFonts w:asciiTheme="minorHAnsi" w:hAnsiTheme="minorHAnsi" w:cstheme="minorHAnsi"/>
          <w:szCs w:val="24"/>
        </w:rPr>
        <w:t>The</w:t>
      </w:r>
      <w:r w:rsidR="002278E1" w:rsidRPr="00C75F26">
        <w:rPr>
          <w:rFonts w:asciiTheme="minorHAnsi" w:hAnsiTheme="minorHAnsi" w:cstheme="minorHAnsi"/>
          <w:szCs w:val="24"/>
        </w:rPr>
        <w:t xml:space="preserve"> </w:t>
      </w:r>
      <w:r w:rsidR="00DD7496" w:rsidRPr="00C75F26">
        <w:rPr>
          <w:rFonts w:asciiTheme="minorHAnsi" w:hAnsiTheme="minorHAnsi" w:cstheme="minorHAnsi"/>
          <w:szCs w:val="24"/>
        </w:rPr>
        <w:t xml:space="preserve">Instrument </w:t>
      </w:r>
      <w:r w:rsidRPr="00C75F26">
        <w:rPr>
          <w:rFonts w:asciiTheme="minorHAnsi" w:hAnsiTheme="minorHAnsi" w:cstheme="minorHAnsi"/>
          <w:szCs w:val="24"/>
        </w:rPr>
        <w:t xml:space="preserve">is compatible with human rights because </w:t>
      </w:r>
      <w:r w:rsidR="002B5C28" w:rsidRPr="00C75F26">
        <w:rPr>
          <w:rFonts w:asciiTheme="minorHAnsi" w:hAnsiTheme="minorHAnsi" w:cstheme="minorHAnsi"/>
          <w:szCs w:val="24"/>
        </w:rPr>
        <w:t>it promotes the protection of human rights</w:t>
      </w:r>
      <w:r w:rsidRPr="00C75F26">
        <w:rPr>
          <w:rFonts w:asciiTheme="minorHAnsi" w:hAnsiTheme="minorHAnsi" w:cstheme="minorHAnsi"/>
          <w:szCs w:val="24"/>
        </w:rPr>
        <w:t xml:space="preserve">. </w:t>
      </w:r>
    </w:p>
    <w:p w14:paraId="2A443574" w14:textId="77777777" w:rsidR="00D8103E" w:rsidRPr="00C75F26" w:rsidRDefault="00D8103E" w:rsidP="00DA552F">
      <w:pPr>
        <w:spacing w:before="120" w:after="120"/>
        <w:rPr>
          <w:rFonts w:asciiTheme="minorHAnsi" w:hAnsiTheme="minorHAnsi" w:cstheme="minorHAnsi"/>
          <w:b/>
          <w:szCs w:val="24"/>
        </w:rPr>
      </w:pPr>
    </w:p>
    <w:p w14:paraId="0542D605" w14:textId="46BF0B1D" w:rsidR="00DA552F" w:rsidRPr="00C75F26" w:rsidRDefault="00D8103E" w:rsidP="00E83F5A">
      <w:pPr>
        <w:spacing w:before="120" w:after="120"/>
        <w:jc w:val="center"/>
        <w:rPr>
          <w:rFonts w:asciiTheme="minorHAnsi" w:hAnsiTheme="minorHAnsi" w:cstheme="minorHAnsi"/>
          <w:szCs w:val="24"/>
        </w:rPr>
        <w:sectPr w:rsidR="00DA552F" w:rsidRPr="00C75F26" w:rsidSect="00785B13">
          <w:footerReference w:type="default" r:id="rId11"/>
          <w:pgSz w:w="11906" w:h="16838"/>
          <w:pgMar w:top="1440" w:right="1440" w:bottom="1440" w:left="1440" w:header="708" w:footer="708" w:gutter="0"/>
          <w:pgNumType w:start="1"/>
          <w:cols w:space="708"/>
          <w:docGrid w:linePitch="360"/>
        </w:sectPr>
      </w:pPr>
      <w:r w:rsidRPr="00C75F26">
        <w:rPr>
          <w:rFonts w:asciiTheme="minorHAnsi" w:hAnsiTheme="minorHAnsi" w:cstheme="minorHAnsi"/>
          <w:b/>
          <w:szCs w:val="24"/>
        </w:rPr>
        <w:t xml:space="preserve">Minister for </w:t>
      </w:r>
      <w:r w:rsidR="00CE3B88" w:rsidRPr="00C75F26">
        <w:rPr>
          <w:rFonts w:asciiTheme="minorHAnsi" w:hAnsiTheme="minorHAnsi" w:cstheme="minorHAnsi"/>
          <w:b/>
          <w:szCs w:val="24"/>
        </w:rPr>
        <w:t>Education</w:t>
      </w:r>
      <w:r w:rsidR="008C1284" w:rsidRPr="00C75F26">
        <w:rPr>
          <w:rFonts w:asciiTheme="minorHAnsi" w:hAnsiTheme="minorHAnsi" w:cstheme="minorHAnsi"/>
          <w:b/>
          <w:szCs w:val="24"/>
        </w:rPr>
        <w:t xml:space="preserve"> and Youth</w:t>
      </w:r>
      <w:r w:rsidR="00E8671C" w:rsidRPr="00C75F26">
        <w:rPr>
          <w:rFonts w:asciiTheme="minorHAnsi" w:hAnsiTheme="minorHAnsi" w:cstheme="minorHAnsi"/>
          <w:b/>
          <w:szCs w:val="24"/>
        </w:rPr>
        <w:t xml:space="preserve">, </w:t>
      </w:r>
      <w:r w:rsidR="00432EA1" w:rsidRPr="00C75F26">
        <w:rPr>
          <w:rFonts w:asciiTheme="minorHAnsi" w:hAnsiTheme="minorHAnsi" w:cstheme="minorHAnsi"/>
          <w:b/>
          <w:szCs w:val="24"/>
        </w:rPr>
        <w:t xml:space="preserve">the </w:t>
      </w:r>
      <w:r w:rsidR="00CE3B88" w:rsidRPr="00C75F26">
        <w:rPr>
          <w:rFonts w:asciiTheme="minorHAnsi" w:hAnsiTheme="minorHAnsi" w:cstheme="minorHAnsi"/>
          <w:b/>
          <w:szCs w:val="24"/>
        </w:rPr>
        <w:t xml:space="preserve">Hon </w:t>
      </w:r>
      <w:r w:rsidR="008C1284" w:rsidRPr="00C75F26">
        <w:rPr>
          <w:rFonts w:asciiTheme="minorHAnsi" w:hAnsiTheme="minorHAnsi" w:cstheme="minorHAnsi"/>
          <w:b/>
          <w:szCs w:val="24"/>
        </w:rPr>
        <w:t xml:space="preserve">Alan </w:t>
      </w:r>
      <w:proofErr w:type="spellStart"/>
      <w:r w:rsidR="008C1284" w:rsidRPr="00C75F26">
        <w:rPr>
          <w:rFonts w:asciiTheme="minorHAnsi" w:hAnsiTheme="minorHAnsi" w:cstheme="minorHAnsi"/>
          <w:b/>
          <w:szCs w:val="24"/>
        </w:rPr>
        <w:t>Tudge</w:t>
      </w:r>
      <w:proofErr w:type="spellEnd"/>
      <w:r w:rsidR="00CE3B88" w:rsidRPr="00C75F26">
        <w:rPr>
          <w:rFonts w:asciiTheme="minorHAnsi" w:hAnsiTheme="minorHAnsi" w:cstheme="minorHAnsi"/>
          <w:b/>
          <w:szCs w:val="24"/>
        </w:rPr>
        <w:t xml:space="preserve"> MP</w:t>
      </w:r>
    </w:p>
    <w:p w14:paraId="5CDBDAC3" w14:textId="314A0E7F" w:rsidR="00DA552F" w:rsidRPr="00C75F26" w:rsidRDefault="00E83F5A" w:rsidP="001E52EB">
      <w:pPr>
        <w:jc w:val="center"/>
        <w:rPr>
          <w:rFonts w:asciiTheme="minorHAnsi" w:hAnsiTheme="minorHAnsi" w:cstheme="minorHAnsi"/>
          <w:b/>
          <w:szCs w:val="24"/>
        </w:rPr>
      </w:pPr>
      <w:r w:rsidRPr="00C75F26">
        <w:rPr>
          <w:rFonts w:asciiTheme="minorHAnsi" w:hAnsiTheme="minorHAnsi" w:cstheme="minorHAnsi"/>
          <w:b/>
          <w:bCs/>
          <w:iCs/>
          <w:szCs w:val="24"/>
        </w:rPr>
        <w:lastRenderedPageBreak/>
        <w:t>COMMONWEALTH GRANT SCHEME GUIDELINES</w:t>
      </w:r>
      <w:r w:rsidR="009A5D85" w:rsidRPr="00C75F26">
        <w:rPr>
          <w:rFonts w:asciiTheme="minorHAnsi" w:hAnsiTheme="minorHAnsi" w:cstheme="minorHAnsi"/>
          <w:b/>
          <w:bCs/>
          <w:iCs/>
          <w:szCs w:val="24"/>
        </w:rPr>
        <w:t xml:space="preserve"> </w:t>
      </w:r>
      <w:r w:rsidRPr="00C75F26">
        <w:rPr>
          <w:rFonts w:asciiTheme="minorHAnsi" w:hAnsiTheme="minorHAnsi" w:cstheme="minorHAnsi"/>
          <w:b/>
          <w:bCs/>
          <w:iCs/>
          <w:szCs w:val="24"/>
        </w:rPr>
        <w:t xml:space="preserve">AMENDMENT </w:t>
      </w:r>
      <w:r w:rsidR="00F070E1" w:rsidRPr="00C75F26">
        <w:rPr>
          <w:rFonts w:asciiTheme="minorHAnsi" w:hAnsiTheme="minorHAnsi" w:cstheme="minorHAnsi"/>
          <w:b/>
          <w:bCs/>
          <w:iCs/>
          <w:szCs w:val="24"/>
        </w:rPr>
        <w:t>(</w:t>
      </w:r>
      <w:r w:rsidR="009A5D85" w:rsidRPr="00C75F26">
        <w:rPr>
          <w:rFonts w:asciiTheme="minorHAnsi" w:hAnsiTheme="minorHAnsi" w:cstheme="minorHAnsi"/>
          <w:b/>
          <w:bCs/>
          <w:iCs/>
          <w:szCs w:val="24"/>
        </w:rPr>
        <w:t xml:space="preserve">NO. 1) </w:t>
      </w:r>
      <w:r w:rsidRPr="00C75F26">
        <w:rPr>
          <w:rFonts w:asciiTheme="minorHAnsi" w:hAnsiTheme="minorHAnsi" w:cstheme="minorHAnsi"/>
          <w:b/>
          <w:bCs/>
          <w:iCs/>
          <w:szCs w:val="24"/>
        </w:rPr>
        <w:t>202</w:t>
      </w:r>
      <w:r w:rsidR="009A5D85" w:rsidRPr="00C75F26">
        <w:rPr>
          <w:rFonts w:asciiTheme="minorHAnsi" w:hAnsiTheme="minorHAnsi" w:cstheme="minorHAnsi"/>
          <w:b/>
          <w:bCs/>
          <w:iCs/>
          <w:szCs w:val="24"/>
        </w:rPr>
        <w:t>1</w:t>
      </w:r>
    </w:p>
    <w:p w14:paraId="79646019" w14:textId="77777777" w:rsidR="00DA552F" w:rsidRPr="00C75F26" w:rsidRDefault="00DB6247">
      <w:pPr>
        <w:pStyle w:val="Heading2"/>
        <w:jc w:val="center"/>
        <w:rPr>
          <w:rFonts w:asciiTheme="minorHAnsi" w:hAnsiTheme="minorHAnsi" w:cstheme="minorHAnsi"/>
          <w:color w:val="auto"/>
        </w:rPr>
      </w:pPr>
      <w:r w:rsidRPr="00C75F26">
        <w:rPr>
          <w:rFonts w:asciiTheme="minorHAnsi" w:hAnsiTheme="minorHAnsi" w:cstheme="minorHAnsi"/>
          <w:color w:val="auto"/>
        </w:rPr>
        <w:t>EXPLANATION OF PROVISIONS</w:t>
      </w:r>
    </w:p>
    <w:p w14:paraId="1AC7A98D" w14:textId="77777777" w:rsidR="00DA552F" w:rsidRPr="00C75F26" w:rsidRDefault="00DB6247" w:rsidP="00F62708">
      <w:pPr>
        <w:keepNext/>
        <w:rPr>
          <w:rFonts w:asciiTheme="minorHAnsi" w:hAnsiTheme="minorHAnsi" w:cstheme="minorHAnsi"/>
          <w:b/>
          <w:u w:val="single"/>
        </w:rPr>
      </w:pPr>
      <w:r w:rsidRPr="00C75F26">
        <w:rPr>
          <w:rFonts w:asciiTheme="minorHAnsi" w:hAnsiTheme="minorHAnsi" w:cstheme="minorHAnsi"/>
          <w:b/>
          <w:u w:val="single"/>
        </w:rPr>
        <w:t>Section</w:t>
      </w:r>
      <w:r w:rsidR="00DA552F" w:rsidRPr="00C75F26">
        <w:rPr>
          <w:rFonts w:asciiTheme="minorHAnsi" w:hAnsiTheme="minorHAnsi" w:cstheme="minorHAnsi"/>
          <w:b/>
          <w:u w:val="single"/>
        </w:rPr>
        <w:t xml:space="preserve"> 1: </w:t>
      </w:r>
      <w:r w:rsidR="00E631F9" w:rsidRPr="00C75F26">
        <w:rPr>
          <w:rFonts w:asciiTheme="minorHAnsi" w:hAnsiTheme="minorHAnsi" w:cstheme="minorHAnsi"/>
          <w:b/>
          <w:u w:val="single"/>
        </w:rPr>
        <w:t>Name</w:t>
      </w:r>
    </w:p>
    <w:p w14:paraId="54EE5F2A" w14:textId="5580C11E" w:rsidR="002278E1" w:rsidRPr="00C75F26" w:rsidRDefault="002278E1" w:rsidP="00432EA1">
      <w:pPr>
        <w:pStyle w:val="ListParagraph"/>
        <w:keepNext/>
        <w:numPr>
          <w:ilvl w:val="0"/>
          <w:numId w:val="7"/>
        </w:numPr>
        <w:rPr>
          <w:rFonts w:asciiTheme="minorHAnsi" w:hAnsiTheme="minorHAnsi" w:cstheme="minorHAnsi"/>
          <w:bCs/>
        </w:rPr>
      </w:pPr>
      <w:r w:rsidRPr="00C75F26">
        <w:rPr>
          <w:rFonts w:asciiTheme="minorHAnsi" w:hAnsiTheme="minorHAnsi" w:cstheme="minorHAnsi"/>
          <w:bCs/>
        </w:rPr>
        <w:t xml:space="preserve">This </w:t>
      </w:r>
      <w:r w:rsidR="00DC7757" w:rsidRPr="00C75F26">
        <w:rPr>
          <w:rFonts w:asciiTheme="minorHAnsi" w:hAnsiTheme="minorHAnsi" w:cstheme="minorHAnsi"/>
          <w:bCs/>
        </w:rPr>
        <w:t xml:space="preserve">section </w:t>
      </w:r>
      <w:r w:rsidR="008C4047" w:rsidRPr="00C75F26">
        <w:rPr>
          <w:rFonts w:asciiTheme="minorHAnsi" w:hAnsiTheme="minorHAnsi" w:cstheme="minorHAnsi"/>
          <w:bCs/>
        </w:rPr>
        <w:t>states</w:t>
      </w:r>
      <w:r w:rsidRPr="00C75F26">
        <w:rPr>
          <w:rFonts w:asciiTheme="minorHAnsi" w:hAnsiTheme="minorHAnsi" w:cstheme="minorHAnsi"/>
          <w:bCs/>
        </w:rPr>
        <w:t xml:space="preserve"> the name of the </w:t>
      </w:r>
      <w:r w:rsidR="00DC7757" w:rsidRPr="00C75F26">
        <w:rPr>
          <w:rFonts w:asciiTheme="minorHAnsi" w:hAnsiTheme="minorHAnsi" w:cstheme="minorHAnsi"/>
          <w:bCs/>
        </w:rPr>
        <w:t>i</w:t>
      </w:r>
      <w:r w:rsidRPr="00C75F26">
        <w:rPr>
          <w:rFonts w:asciiTheme="minorHAnsi" w:hAnsiTheme="minorHAnsi" w:cstheme="minorHAnsi"/>
          <w:bCs/>
        </w:rPr>
        <w:t>nstrument</w:t>
      </w:r>
      <w:r w:rsidR="00DC7757" w:rsidRPr="00C75F26">
        <w:rPr>
          <w:rFonts w:asciiTheme="minorHAnsi" w:hAnsiTheme="minorHAnsi" w:cstheme="minorHAnsi"/>
          <w:bCs/>
        </w:rPr>
        <w:t xml:space="preserve">, the Commonwealth Grant Scheme Guidelines Amendment (No.1) 2021 (the Instrument). </w:t>
      </w:r>
    </w:p>
    <w:p w14:paraId="054F2D37" w14:textId="121BF0B7" w:rsidR="00DA552F" w:rsidRPr="00C75F26" w:rsidRDefault="00DB6247" w:rsidP="00F62708">
      <w:pPr>
        <w:keepNext/>
        <w:rPr>
          <w:rFonts w:asciiTheme="minorHAnsi" w:hAnsiTheme="minorHAnsi" w:cstheme="minorHAnsi"/>
          <w:b/>
          <w:u w:val="single"/>
        </w:rPr>
      </w:pPr>
      <w:r w:rsidRPr="00C75F26">
        <w:rPr>
          <w:rFonts w:asciiTheme="minorHAnsi" w:hAnsiTheme="minorHAnsi" w:cstheme="minorHAnsi"/>
          <w:b/>
          <w:u w:val="single"/>
        </w:rPr>
        <w:t>Section</w:t>
      </w:r>
      <w:r w:rsidR="00DA552F" w:rsidRPr="00C75F26">
        <w:rPr>
          <w:rFonts w:asciiTheme="minorHAnsi" w:hAnsiTheme="minorHAnsi" w:cstheme="minorHAnsi"/>
          <w:b/>
          <w:u w:val="single"/>
        </w:rPr>
        <w:t xml:space="preserve"> 2: Commencement</w:t>
      </w:r>
    </w:p>
    <w:p w14:paraId="49864BF4" w14:textId="00C9BB78" w:rsidR="00E631F9" w:rsidRPr="00C75F26" w:rsidRDefault="00B12789" w:rsidP="00432EA1">
      <w:pPr>
        <w:pStyle w:val="ListParagraph"/>
        <w:keepNext/>
        <w:numPr>
          <w:ilvl w:val="0"/>
          <w:numId w:val="7"/>
        </w:numPr>
        <w:spacing w:before="360" w:after="120"/>
        <w:rPr>
          <w:rFonts w:asciiTheme="minorHAnsi" w:hAnsiTheme="minorHAnsi" w:cstheme="minorHAnsi"/>
          <w:iCs/>
        </w:rPr>
      </w:pPr>
      <w:r w:rsidRPr="00C75F26">
        <w:rPr>
          <w:rFonts w:asciiTheme="minorHAnsi" w:hAnsiTheme="minorHAnsi" w:cstheme="minorHAnsi"/>
          <w:iCs/>
        </w:rPr>
        <w:t xml:space="preserve">This section provides for the </w:t>
      </w:r>
      <w:r w:rsidR="00DC7757" w:rsidRPr="00C75F26">
        <w:rPr>
          <w:rFonts w:asciiTheme="minorHAnsi" w:hAnsiTheme="minorHAnsi" w:cstheme="minorHAnsi"/>
          <w:iCs/>
        </w:rPr>
        <w:t xml:space="preserve">retrospective </w:t>
      </w:r>
      <w:r w:rsidRPr="00C75F26">
        <w:rPr>
          <w:rFonts w:asciiTheme="minorHAnsi" w:hAnsiTheme="minorHAnsi" w:cstheme="minorHAnsi"/>
          <w:iCs/>
        </w:rPr>
        <w:t>commencement of</w:t>
      </w:r>
      <w:r w:rsidR="006A3C0C" w:rsidRPr="00C75F26">
        <w:rPr>
          <w:rFonts w:asciiTheme="minorHAnsi" w:hAnsiTheme="minorHAnsi" w:cstheme="minorHAnsi"/>
          <w:iCs/>
        </w:rPr>
        <w:t xml:space="preserve"> Part 1 of Schedule 1 to</w:t>
      </w:r>
      <w:r w:rsidRPr="00C75F26">
        <w:rPr>
          <w:rFonts w:asciiTheme="minorHAnsi" w:hAnsiTheme="minorHAnsi" w:cstheme="minorHAnsi"/>
          <w:iCs/>
        </w:rPr>
        <w:t xml:space="preserve"> the Instrument </w:t>
      </w:r>
      <w:r w:rsidR="00602184" w:rsidRPr="00C75F26">
        <w:rPr>
          <w:rFonts w:asciiTheme="minorHAnsi" w:hAnsiTheme="minorHAnsi" w:cstheme="minorHAnsi"/>
          <w:iCs/>
        </w:rPr>
        <w:t>on 1</w:t>
      </w:r>
      <w:r w:rsidR="00C46B2B" w:rsidRPr="00C75F26">
        <w:rPr>
          <w:rFonts w:asciiTheme="minorHAnsi" w:hAnsiTheme="minorHAnsi" w:cstheme="minorHAnsi"/>
          <w:iCs/>
        </w:rPr>
        <w:t> </w:t>
      </w:r>
      <w:r w:rsidR="00602184" w:rsidRPr="00C75F26">
        <w:rPr>
          <w:rFonts w:asciiTheme="minorHAnsi" w:hAnsiTheme="minorHAnsi" w:cstheme="minorHAnsi"/>
          <w:iCs/>
        </w:rPr>
        <w:t>January 2021</w:t>
      </w:r>
      <w:r w:rsidR="002278E1" w:rsidRPr="00C75F26">
        <w:rPr>
          <w:rFonts w:asciiTheme="minorHAnsi" w:hAnsiTheme="minorHAnsi" w:cstheme="minorHAnsi"/>
          <w:iCs/>
        </w:rPr>
        <w:t xml:space="preserve">, to align with the commencement of key provisions in the </w:t>
      </w:r>
      <w:r w:rsidR="002278E1" w:rsidRPr="00C75F26">
        <w:rPr>
          <w:rFonts w:asciiTheme="minorHAnsi" w:hAnsiTheme="minorHAnsi" w:cstheme="minorHAnsi"/>
          <w:i/>
        </w:rPr>
        <w:t>Higher Education Support Amendment (Job</w:t>
      </w:r>
      <w:r w:rsidR="002278E1" w:rsidRPr="00C75F26">
        <w:rPr>
          <w:rFonts w:ascii="Cambria Math" w:hAnsi="Cambria Math" w:cs="Cambria Math"/>
          <w:i/>
        </w:rPr>
        <w:t>‑</w:t>
      </w:r>
      <w:r w:rsidR="002278E1" w:rsidRPr="00C75F26">
        <w:rPr>
          <w:rFonts w:asciiTheme="minorHAnsi" w:hAnsiTheme="minorHAnsi" w:cstheme="minorHAnsi"/>
          <w:i/>
        </w:rPr>
        <w:t>Ready Graduates and Supporting Regional and Remote Students) Act 2020</w:t>
      </w:r>
      <w:r w:rsidR="002278E1" w:rsidRPr="00C75F26">
        <w:rPr>
          <w:rFonts w:asciiTheme="minorHAnsi" w:hAnsiTheme="minorHAnsi" w:cstheme="minorHAnsi"/>
          <w:iCs/>
        </w:rPr>
        <w:t>.</w:t>
      </w:r>
      <w:r w:rsidR="007F4757" w:rsidRPr="00C75F26">
        <w:rPr>
          <w:rFonts w:asciiTheme="minorHAnsi" w:hAnsiTheme="minorHAnsi" w:cstheme="minorHAnsi"/>
          <w:iCs/>
        </w:rPr>
        <w:t xml:space="preserve"> </w:t>
      </w:r>
      <w:r w:rsidR="0068306C" w:rsidRPr="00C75F26">
        <w:rPr>
          <w:rFonts w:asciiTheme="minorHAnsi" w:hAnsiTheme="minorHAnsi" w:cstheme="minorHAnsi"/>
          <w:iCs/>
        </w:rPr>
        <w:t>R</w:t>
      </w:r>
      <w:r w:rsidR="007F4757" w:rsidRPr="00C75F26">
        <w:rPr>
          <w:rFonts w:asciiTheme="minorHAnsi" w:hAnsiTheme="minorHAnsi" w:cstheme="minorHAnsi"/>
          <w:iCs/>
        </w:rPr>
        <w:t xml:space="preserve">etrospective commencement </w:t>
      </w:r>
      <w:r w:rsidR="0068306C" w:rsidRPr="00C75F26">
        <w:rPr>
          <w:rFonts w:asciiTheme="minorHAnsi" w:hAnsiTheme="minorHAnsi" w:cstheme="minorHAnsi"/>
          <w:iCs/>
        </w:rPr>
        <w:t>is appropriate for the reasons</w:t>
      </w:r>
      <w:r w:rsidR="007F4757" w:rsidRPr="00C75F26">
        <w:rPr>
          <w:rFonts w:asciiTheme="minorHAnsi" w:hAnsiTheme="minorHAnsi" w:cstheme="minorHAnsi"/>
          <w:iCs/>
        </w:rPr>
        <w:t xml:space="preserve"> described in the outline above. </w:t>
      </w:r>
    </w:p>
    <w:p w14:paraId="5629ADA7" w14:textId="3567C441" w:rsidR="006A3C0C" w:rsidRPr="00C75F26" w:rsidRDefault="006A3C0C" w:rsidP="00432EA1">
      <w:pPr>
        <w:pStyle w:val="ListParagraph"/>
        <w:keepNext/>
        <w:numPr>
          <w:ilvl w:val="0"/>
          <w:numId w:val="7"/>
        </w:numPr>
        <w:spacing w:before="360" w:after="120"/>
        <w:rPr>
          <w:rFonts w:asciiTheme="minorHAnsi" w:hAnsiTheme="minorHAnsi" w:cstheme="minorHAnsi"/>
          <w:iCs/>
        </w:rPr>
      </w:pPr>
      <w:r w:rsidRPr="00C75F26">
        <w:rPr>
          <w:rFonts w:asciiTheme="minorHAnsi" w:hAnsiTheme="minorHAnsi" w:cstheme="minorHAnsi"/>
          <w:iCs/>
        </w:rPr>
        <w:t xml:space="preserve">This section also provides that Part 2 of Schedule 1 to the Instrument commences the day after the Instrument is registered on the Federal Register of Legislation. </w:t>
      </w:r>
    </w:p>
    <w:p w14:paraId="401CB997" w14:textId="77777777" w:rsidR="00E631F9" w:rsidRPr="00C75F26" w:rsidRDefault="00E631F9" w:rsidP="00E631F9">
      <w:pPr>
        <w:keepNext/>
        <w:spacing w:before="360" w:after="120"/>
        <w:rPr>
          <w:rFonts w:asciiTheme="minorHAnsi" w:hAnsiTheme="minorHAnsi" w:cstheme="minorHAnsi"/>
          <w:b/>
          <w:u w:val="single"/>
        </w:rPr>
      </w:pPr>
      <w:r w:rsidRPr="00C75F26">
        <w:rPr>
          <w:rFonts w:asciiTheme="minorHAnsi" w:hAnsiTheme="minorHAnsi" w:cstheme="minorHAnsi"/>
          <w:b/>
          <w:u w:val="single"/>
        </w:rPr>
        <w:t>Section 3: Authority</w:t>
      </w:r>
    </w:p>
    <w:p w14:paraId="2908A98D" w14:textId="17885757" w:rsidR="00E631F9" w:rsidRPr="00C75F26" w:rsidRDefault="00E24DA9" w:rsidP="00432EA1">
      <w:pPr>
        <w:pStyle w:val="ListParagraph"/>
        <w:keepNext/>
        <w:numPr>
          <w:ilvl w:val="0"/>
          <w:numId w:val="7"/>
        </w:numPr>
        <w:spacing w:before="360" w:after="120"/>
        <w:rPr>
          <w:rFonts w:asciiTheme="minorHAnsi" w:hAnsiTheme="minorHAnsi" w:cstheme="minorHAnsi"/>
          <w:iCs/>
        </w:rPr>
      </w:pPr>
      <w:r w:rsidRPr="00C75F26">
        <w:rPr>
          <w:rFonts w:asciiTheme="minorHAnsi" w:hAnsiTheme="minorHAnsi" w:cstheme="minorHAnsi"/>
          <w:bCs/>
          <w:iCs/>
        </w:rPr>
        <w:t xml:space="preserve">This section states that the Instrument is made under section 238-10 of the </w:t>
      </w:r>
      <w:r w:rsidRPr="00C75F26">
        <w:rPr>
          <w:rFonts w:asciiTheme="minorHAnsi" w:hAnsiTheme="minorHAnsi" w:cstheme="minorHAnsi"/>
          <w:bCs/>
          <w:i/>
        </w:rPr>
        <w:t>Higher Education Support Act 2003</w:t>
      </w:r>
      <w:r w:rsidRPr="00C75F26">
        <w:rPr>
          <w:rFonts w:asciiTheme="minorHAnsi" w:hAnsiTheme="minorHAnsi" w:cstheme="minorHAnsi"/>
          <w:bCs/>
          <w:iCs/>
        </w:rPr>
        <w:t xml:space="preserve"> (Act)</w:t>
      </w:r>
      <w:r w:rsidR="009C10C1" w:rsidRPr="00C75F26">
        <w:rPr>
          <w:rFonts w:asciiTheme="minorHAnsi" w:hAnsiTheme="minorHAnsi" w:cstheme="minorHAnsi"/>
          <w:iCs/>
        </w:rPr>
        <w:t>.</w:t>
      </w:r>
    </w:p>
    <w:p w14:paraId="4C5D5BF1" w14:textId="4B536F26" w:rsidR="00DA552F" w:rsidRPr="00C75F26" w:rsidRDefault="00E631F9" w:rsidP="00E631F9">
      <w:pPr>
        <w:keepNext/>
        <w:spacing w:before="360" w:after="120"/>
        <w:rPr>
          <w:rFonts w:asciiTheme="minorHAnsi" w:hAnsiTheme="minorHAnsi" w:cstheme="minorHAnsi"/>
        </w:rPr>
      </w:pPr>
      <w:r w:rsidRPr="00C75F26">
        <w:rPr>
          <w:rFonts w:asciiTheme="minorHAnsi" w:hAnsiTheme="minorHAnsi" w:cstheme="minorHAnsi"/>
          <w:b/>
          <w:u w:val="single"/>
        </w:rPr>
        <w:t xml:space="preserve">Section 4: </w:t>
      </w:r>
      <w:r w:rsidR="003323DD" w:rsidRPr="00C75F26">
        <w:rPr>
          <w:rFonts w:asciiTheme="minorHAnsi" w:hAnsiTheme="minorHAnsi" w:cstheme="minorHAnsi"/>
          <w:b/>
          <w:u w:val="single"/>
        </w:rPr>
        <w:t>Schedules</w:t>
      </w:r>
    </w:p>
    <w:p w14:paraId="349CFE99" w14:textId="7E3F2AEA" w:rsidR="00E757D0" w:rsidRPr="00C75F26" w:rsidRDefault="003323DD" w:rsidP="00432EA1">
      <w:pPr>
        <w:pStyle w:val="ListParagraph"/>
        <w:numPr>
          <w:ilvl w:val="0"/>
          <w:numId w:val="7"/>
        </w:numPr>
        <w:spacing w:before="360" w:after="120"/>
        <w:rPr>
          <w:rFonts w:asciiTheme="minorHAnsi" w:hAnsiTheme="minorHAnsi" w:cstheme="minorHAnsi"/>
          <w:iCs/>
          <w:szCs w:val="24"/>
        </w:rPr>
      </w:pPr>
      <w:r w:rsidRPr="00C75F26">
        <w:rPr>
          <w:rFonts w:asciiTheme="minorHAnsi" w:hAnsiTheme="minorHAnsi" w:cstheme="minorHAnsi"/>
          <w:iCs/>
          <w:szCs w:val="24"/>
        </w:rPr>
        <w:t xml:space="preserve">This section provides that the instrument specified in the Schedule to the Instrument is amended as set out in the Schedule. </w:t>
      </w:r>
    </w:p>
    <w:p w14:paraId="6AB0BA2A" w14:textId="2A6C3FA5" w:rsidR="003323DD" w:rsidRPr="00C75F26" w:rsidRDefault="003323DD" w:rsidP="003323DD">
      <w:pPr>
        <w:keepNext/>
        <w:spacing w:before="360" w:after="120"/>
        <w:rPr>
          <w:rFonts w:asciiTheme="minorHAnsi" w:hAnsiTheme="minorHAnsi" w:cstheme="minorHAnsi"/>
          <w:b/>
          <w:u w:val="single"/>
        </w:rPr>
      </w:pPr>
      <w:bookmarkStart w:id="5" w:name="_Hlk59180111"/>
      <w:r w:rsidRPr="00C75F26">
        <w:rPr>
          <w:rFonts w:asciiTheme="minorHAnsi" w:hAnsiTheme="minorHAnsi" w:cstheme="minorHAnsi"/>
          <w:b/>
          <w:u w:val="single"/>
        </w:rPr>
        <w:t>Schedule 1</w:t>
      </w:r>
      <w:r w:rsidR="007C2010" w:rsidRPr="00C75F26">
        <w:rPr>
          <w:rFonts w:asciiTheme="minorHAnsi" w:hAnsiTheme="minorHAnsi" w:cstheme="minorHAnsi"/>
          <w:b/>
          <w:u w:val="single"/>
        </w:rPr>
        <w:t>, Part 1</w:t>
      </w:r>
      <w:r w:rsidRPr="00C75F26">
        <w:rPr>
          <w:rFonts w:asciiTheme="minorHAnsi" w:hAnsiTheme="minorHAnsi" w:cstheme="minorHAnsi"/>
          <w:b/>
          <w:u w:val="single"/>
        </w:rPr>
        <w:t xml:space="preserve"> – Item 1: Section 8</w:t>
      </w:r>
    </w:p>
    <w:bookmarkEnd w:id="5"/>
    <w:p w14:paraId="56EAC713" w14:textId="7E7D5408" w:rsidR="001B7B10" w:rsidRPr="00C75F26" w:rsidRDefault="008F1942" w:rsidP="00432EA1">
      <w:pPr>
        <w:pStyle w:val="ListParagraph"/>
        <w:numPr>
          <w:ilvl w:val="0"/>
          <w:numId w:val="7"/>
        </w:numPr>
        <w:spacing w:before="360" w:after="120"/>
        <w:rPr>
          <w:rFonts w:asciiTheme="minorHAnsi" w:hAnsiTheme="minorHAnsi" w:cstheme="minorHAnsi"/>
          <w:iCs/>
          <w:szCs w:val="24"/>
        </w:rPr>
      </w:pPr>
      <w:r w:rsidRPr="00C75F26">
        <w:rPr>
          <w:rFonts w:asciiTheme="minorHAnsi" w:hAnsiTheme="minorHAnsi" w:cstheme="minorHAnsi"/>
          <w:iCs/>
          <w:szCs w:val="24"/>
        </w:rPr>
        <w:t xml:space="preserve">Item 1 repeals section 8 of the </w:t>
      </w:r>
      <w:r w:rsidRPr="00C75F26">
        <w:rPr>
          <w:rFonts w:asciiTheme="minorHAnsi" w:hAnsiTheme="minorHAnsi" w:cstheme="minorHAnsi"/>
          <w:i/>
          <w:szCs w:val="24"/>
        </w:rPr>
        <w:t>Commonwealth Grant Scheme Guidelines 2020</w:t>
      </w:r>
      <w:r w:rsidRPr="00C75F26">
        <w:rPr>
          <w:rFonts w:asciiTheme="minorHAnsi" w:hAnsiTheme="minorHAnsi" w:cstheme="minorHAnsi"/>
          <w:iCs/>
          <w:szCs w:val="24"/>
        </w:rPr>
        <w:t xml:space="preserve"> (Guidelines) </w:t>
      </w:r>
      <w:r w:rsidR="004B30B7" w:rsidRPr="00C75F26">
        <w:rPr>
          <w:rFonts w:asciiTheme="minorHAnsi" w:hAnsiTheme="minorHAnsi" w:cstheme="minorHAnsi"/>
          <w:iCs/>
          <w:szCs w:val="24"/>
        </w:rPr>
        <w:t>and substitutes</w:t>
      </w:r>
      <w:r w:rsidR="009D685F" w:rsidRPr="00C75F26">
        <w:rPr>
          <w:rFonts w:asciiTheme="minorHAnsi" w:hAnsiTheme="minorHAnsi" w:cstheme="minorHAnsi"/>
          <w:iCs/>
          <w:szCs w:val="24"/>
        </w:rPr>
        <w:t xml:space="preserve"> it with a new section that lists, for the purposes of subparagraph 30-1(1)(b)(</w:t>
      </w:r>
      <w:proofErr w:type="spellStart"/>
      <w:r w:rsidR="009D685F" w:rsidRPr="00C75F26">
        <w:rPr>
          <w:rFonts w:asciiTheme="minorHAnsi" w:hAnsiTheme="minorHAnsi" w:cstheme="minorHAnsi"/>
          <w:iCs/>
          <w:szCs w:val="24"/>
        </w:rPr>
        <w:t>i</w:t>
      </w:r>
      <w:proofErr w:type="spellEnd"/>
      <w:r w:rsidR="009D685F" w:rsidRPr="00C75F26">
        <w:rPr>
          <w:rFonts w:asciiTheme="minorHAnsi" w:hAnsiTheme="minorHAnsi" w:cstheme="minorHAnsi"/>
          <w:iCs/>
          <w:szCs w:val="24"/>
        </w:rPr>
        <w:t>) of the Act, higher education providers, that are not Table</w:t>
      </w:r>
      <w:r w:rsidR="00C46B2B" w:rsidRPr="00C75F26">
        <w:rPr>
          <w:rFonts w:asciiTheme="minorHAnsi" w:hAnsiTheme="minorHAnsi" w:cstheme="minorHAnsi"/>
          <w:iCs/>
          <w:szCs w:val="24"/>
        </w:rPr>
        <w:t> </w:t>
      </w:r>
      <w:r w:rsidR="009D685F" w:rsidRPr="00C75F26">
        <w:rPr>
          <w:rFonts w:asciiTheme="minorHAnsi" w:hAnsiTheme="minorHAnsi" w:cstheme="minorHAnsi"/>
          <w:iCs/>
          <w:szCs w:val="24"/>
        </w:rPr>
        <w:t xml:space="preserve">A providers, that can be paid grants under Part 2-2 of the Act. </w:t>
      </w:r>
    </w:p>
    <w:p w14:paraId="1FA0B3F9" w14:textId="77777777" w:rsidR="007F4757" w:rsidRPr="00C75F26" w:rsidRDefault="007F4757" w:rsidP="00432EA1">
      <w:pPr>
        <w:pStyle w:val="ListParagraph"/>
        <w:spacing w:before="360" w:after="120"/>
        <w:rPr>
          <w:rFonts w:asciiTheme="minorHAnsi" w:hAnsiTheme="minorHAnsi" w:cstheme="minorHAnsi"/>
          <w:iCs/>
          <w:szCs w:val="24"/>
        </w:rPr>
      </w:pPr>
    </w:p>
    <w:p w14:paraId="70A978FF" w14:textId="0C48152B" w:rsidR="007F4757" w:rsidRPr="00C75F26" w:rsidRDefault="009D685F" w:rsidP="00432EA1">
      <w:pPr>
        <w:pStyle w:val="ListParagraph"/>
        <w:numPr>
          <w:ilvl w:val="0"/>
          <w:numId w:val="7"/>
        </w:numPr>
        <w:spacing w:before="360" w:after="120"/>
        <w:rPr>
          <w:rFonts w:asciiTheme="minorHAnsi" w:hAnsiTheme="minorHAnsi" w:cstheme="minorHAnsi"/>
          <w:iCs/>
          <w:szCs w:val="24"/>
        </w:rPr>
      </w:pPr>
      <w:r w:rsidRPr="00C75F26">
        <w:rPr>
          <w:rFonts w:asciiTheme="minorHAnsi" w:hAnsiTheme="minorHAnsi" w:cstheme="minorHAnsi"/>
          <w:iCs/>
          <w:szCs w:val="24"/>
        </w:rPr>
        <w:t xml:space="preserve">The </w:t>
      </w:r>
      <w:r w:rsidR="001B7B10" w:rsidRPr="00C75F26">
        <w:rPr>
          <w:rFonts w:asciiTheme="minorHAnsi" w:hAnsiTheme="minorHAnsi" w:cstheme="minorHAnsi"/>
          <w:iCs/>
          <w:szCs w:val="24"/>
        </w:rPr>
        <w:t xml:space="preserve">first nine providers in the list are currently specified in section 8 of the Guidelines and receive grants under Part 2-2 (the Instrument updates the legal </w:t>
      </w:r>
      <w:r w:rsidR="005D2A3E" w:rsidRPr="00C75F26">
        <w:rPr>
          <w:rFonts w:asciiTheme="minorHAnsi" w:hAnsiTheme="minorHAnsi" w:cstheme="minorHAnsi"/>
          <w:iCs/>
          <w:szCs w:val="24"/>
        </w:rPr>
        <w:t xml:space="preserve">and trading </w:t>
      </w:r>
      <w:r w:rsidR="001B7B10" w:rsidRPr="00C75F26">
        <w:rPr>
          <w:rFonts w:asciiTheme="minorHAnsi" w:hAnsiTheme="minorHAnsi" w:cstheme="minorHAnsi"/>
          <w:iCs/>
          <w:szCs w:val="24"/>
        </w:rPr>
        <w:t>name</w:t>
      </w:r>
      <w:r w:rsidR="005D2A3E" w:rsidRPr="00C75F26">
        <w:rPr>
          <w:rFonts w:asciiTheme="minorHAnsi" w:hAnsiTheme="minorHAnsi" w:cstheme="minorHAnsi"/>
          <w:iCs/>
          <w:szCs w:val="24"/>
        </w:rPr>
        <w:t>s of providers as necessary</w:t>
      </w:r>
      <w:r w:rsidR="001B7B10" w:rsidRPr="00C75F26">
        <w:rPr>
          <w:rFonts w:asciiTheme="minorHAnsi" w:hAnsiTheme="minorHAnsi" w:cstheme="minorHAnsi"/>
          <w:iCs/>
          <w:szCs w:val="24"/>
        </w:rPr>
        <w:t xml:space="preserve">). The other providers in the list are providers that do not currently receive grants under Part 2-2, but </w:t>
      </w:r>
      <w:r w:rsidR="002278E1" w:rsidRPr="00C75F26">
        <w:rPr>
          <w:rFonts w:asciiTheme="minorHAnsi" w:hAnsiTheme="minorHAnsi" w:cstheme="minorHAnsi"/>
          <w:iCs/>
          <w:szCs w:val="24"/>
        </w:rPr>
        <w:t>are intended to</w:t>
      </w:r>
      <w:r w:rsidR="001B7B10" w:rsidRPr="00C75F26">
        <w:rPr>
          <w:rFonts w:asciiTheme="minorHAnsi" w:hAnsiTheme="minorHAnsi" w:cstheme="minorHAnsi"/>
          <w:iCs/>
          <w:szCs w:val="24"/>
        </w:rPr>
        <w:t xml:space="preserve"> be eligible to receive these grants from 1</w:t>
      </w:r>
      <w:r w:rsidR="002278E1" w:rsidRPr="00C75F26">
        <w:rPr>
          <w:rFonts w:asciiTheme="minorHAnsi" w:hAnsiTheme="minorHAnsi" w:cstheme="minorHAnsi"/>
          <w:iCs/>
          <w:szCs w:val="24"/>
        </w:rPr>
        <w:t> </w:t>
      </w:r>
      <w:r w:rsidR="001B7B10" w:rsidRPr="00C75F26">
        <w:rPr>
          <w:rFonts w:asciiTheme="minorHAnsi" w:hAnsiTheme="minorHAnsi" w:cstheme="minorHAnsi"/>
          <w:iCs/>
          <w:szCs w:val="24"/>
        </w:rPr>
        <w:t xml:space="preserve">January 2021.  </w:t>
      </w:r>
      <w:r w:rsidRPr="00C75F26">
        <w:rPr>
          <w:rFonts w:asciiTheme="minorHAnsi" w:hAnsiTheme="minorHAnsi" w:cstheme="minorHAnsi"/>
          <w:iCs/>
          <w:szCs w:val="24"/>
        </w:rPr>
        <w:t xml:space="preserve"> </w:t>
      </w:r>
    </w:p>
    <w:p w14:paraId="58A3F063" w14:textId="77777777" w:rsidR="007F4757" w:rsidRPr="00C75F26" w:rsidRDefault="007F4757" w:rsidP="00432EA1">
      <w:pPr>
        <w:pStyle w:val="ListParagraph"/>
        <w:spacing w:before="360" w:after="120"/>
        <w:rPr>
          <w:rFonts w:asciiTheme="minorHAnsi" w:hAnsiTheme="minorHAnsi" w:cstheme="minorHAnsi"/>
          <w:iCs/>
          <w:szCs w:val="24"/>
        </w:rPr>
      </w:pPr>
    </w:p>
    <w:p w14:paraId="7ED760C2" w14:textId="6A5A38D6" w:rsidR="00E757D0" w:rsidRPr="00C75F26" w:rsidRDefault="00372395" w:rsidP="00432EA1">
      <w:pPr>
        <w:pStyle w:val="ListParagraph"/>
        <w:numPr>
          <w:ilvl w:val="0"/>
          <w:numId w:val="7"/>
        </w:numPr>
        <w:spacing w:before="360" w:after="120"/>
        <w:rPr>
          <w:rFonts w:asciiTheme="minorHAnsi" w:hAnsiTheme="minorHAnsi" w:cstheme="minorHAnsi"/>
          <w:iCs/>
          <w:szCs w:val="24"/>
        </w:rPr>
      </w:pPr>
      <w:r w:rsidRPr="00C75F26">
        <w:rPr>
          <w:rFonts w:asciiTheme="minorHAnsi" w:hAnsiTheme="minorHAnsi" w:cstheme="minorHAnsi"/>
          <w:iCs/>
          <w:szCs w:val="24"/>
        </w:rPr>
        <w:lastRenderedPageBreak/>
        <w:t xml:space="preserve">The providers are required to be listed in order to be able to offer Commonwealth supported places in short courses </w:t>
      </w:r>
      <w:r w:rsidR="007F4757" w:rsidRPr="00C75F26">
        <w:rPr>
          <w:rFonts w:asciiTheme="minorHAnsi" w:hAnsiTheme="minorHAnsi" w:cstheme="minorHAnsi"/>
          <w:iCs/>
          <w:szCs w:val="24"/>
        </w:rPr>
        <w:t>from 1 January</w:t>
      </w:r>
      <w:r w:rsidRPr="00C75F26">
        <w:rPr>
          <w:rFonts w:asciiTheme="minorHAnsi" w:hAnsiTheme="minorHAnsi" w:cstheme="minorHAnsi"/>
          <w:iCs/>
          <w:szCs w:val="24"/>
        </w:rPr>
        <w:t xml:space="preserve"> 2021. These providers and courses have been selected by the Department of Education, Skills and Employment through a competitive application process. </w:t>
      </w:r>
    </w:p>
    <w:p w14:paraId="0D5C0348" w14:textId="5AF1D252" w:rsidR="001B7B10" w:rsidRPr="00C75F26" w:rsidRDefault="001B7B10" w:rsidP="001B7B10">
      <w:pPr>
        <w:keepNext/>
        <w:spacing w:before="360" w:after="120"/>
        <w:rPr>
          <w:rFonts w:asciiTheme="minorHAnsi" w:hAnsiTheme="minorHAnsi" w:cstheme="minorHAnsi"/>
          <w:b/>
          <w:u w:val="single"/>
        </w:rPr>
      </w:pPr>
      <w:bookmarkStart w:id="6" w:name="_Hlk59180553"/>
      <w:r w:rsidRPr="00C75F26">
        <w:rPr>
          <w:rFonts w:asciiTheme="minorHAnsi" w:hAnsiTheme="minorHAnsi" w:cstheme="minorHAnsi"/>
          <w:b/>
          <w:u w:val="single"/>
        </w:rPr>
        <w:t>Schedule 1</w:t>
      </w:r>
      <w:r w:rsidR="007C2010" w:rsidRPr="00C75F26">
        <w:rPr>
          <w:rFonts w:asciiTheme="minorHAnsi" w:hAnsiTheme="minorHAnsi" w:cstheme="minorHAnsi"/>
          <w:b/>
          <w:u w:val="single"/>
        </w:rPr>
        <w:t>, Part 1</w:t>
      </w:r>
      <w:r w:rsidRPr="00C75F26">
        <w:rPr>
          <w:rFonts w:asciiTheme="minorHAnsi" w:hAnsiTheme="minorHAnsi" w:cstheme="minorHAnsi"/>
          <w:b/>
          <w:u w:val="single"/>
        </w:rPr>
        <w:t xml:space="preserve"> – Item </w:t>
      </w:r>
      <w:r w:rsidR="007C2010" w:rsidRPr="00C75F26">
        <w:rPr>
          <w:rFonts w:asciiTheme="minorHAnsi" w:hAnsiTheme="minorHAnsi" w:cstheme="minorHAnsi"/>
          <w:b/>
          <w:u w:val="single"/>
        </w:rPr>
        <w:t>2</w:t>
      </w:r>
      <w:r w:rsidRPr="00C75F26">
        <w:rPr>
          <w:rFonts w:asciiTheme="minorHAnsi" w:hAnsiTheme="minorHAnsi" w:cstheme="minorHAnsi"/>
          <w:b/>
          <w:u w:val="single"/>
        </w:rPr>
        <w:t xml:space="preserve">: </w:t>
      </w:r>
      <w:r w:rsidR="007F5CED" w:rsidRPr="00C75F26">
        <w:rPr>
          <w:rFonts w:asciiTheme="minorHAnsi" w:hAnsiTheme="minorHAnsi" w:cstheme="minorHAnsi"/>
          <w:b/>
          <w:u w:val="single"/>
        </w:rPr>
        <w:t>Section</w:t>
      </w:r>
      <w:r w:rsidR="003649C4" w:rsidRPr="00C75F26">
        <w:rPr>
          <w:rFonts w:asciiTheme="minorHAnsi" w:hAnsiTheme="minorHAnsi" w:cstheme="minorHAnsi"/>
          <w:b/>
          <w:u w:val="single"/>
        </w:rPr>
        <w:t xml:space="preserve"> 10</w:t>
      </w:r>
    </w:p>
    <w:p w14:paraId="53EE249A" w14:textId="0A1E6816" w:rsidR="002F6B4C" w:rsidRPr="00C75F26" w:rsidRDefault="002F6B4C" w:rsidP="00432EA1">
      <w:pPr>
        <w:pStyle w:val="ListParagraph"/>
        <w:numPr>
          <w:ilvl w:val="0"/>
          <w:numId w:val="7"/>
        </w:numPr>
        <w:spacing w:before="360" w:after="120"/>
        <w:rPr>
          <w:rFonts w:asciiTheme="minorHAnsi" w:hAnsiTheme="minorHAnsi" w:cstheme="minorHAnsi"/>
          <w:iCs/>
          <w:szCs w:val="24"/>
        </w:rPr>
      </w:pPr>
      <w:bookmarkStart w:id="7" w:name="_Toc23942243"/>
      <w:bookmarkEnd w:id="6"/>
      <w:bookmarkEnd w:id="7"/>
      <w:r w:rsidRPr="00C75F26">
        <w:rPr>
          <w:rFonts w:asciiTheme="minorHAnsi" w:hAnsiTheme="minorHAnsi" w:cstheme="minorHAnsi"/>
          <w:iCs/>
          <w:szCs w:val="24"/>
        </w:rPr>
        <w:t>I</w:t>
      </w:r>
      <w:r w:rsidR="003649C4" w:rsidRPr="00C75F26">
        <w:rPr>
          <w:rFonts w:asciiTheme="minorHAnsi" w:hAnsiTheme="minorHAnsi" w:cstheme="minorHAnsi"/>
          <w:iCs/>
          <w:szCs w:val="24"/>
        </w:rPr>
        <w:t xml:space="preserve">tem </w:t>
      </w:r>
      <w:r w:rsidR="0026604B" w:rsidRPr="00C75F26">
        <w:rPr>
          <w:rFonts w:asciiTheme="minorHAnsi" w:hAnsiTheme="minorHAnsi" w:cstheme="minorHAnsi"/>
          <w:iCs/>
          <w:szCs w:val="24"/>
        </w:rPr>
        <w:t>2</w:t>
      </w:r>
      <w:r w:rsidR="003649C4" w:rsidRPr="00C75F26">
        <w:rPr>
          <w:rFonts w:asciiTheme="minorHAnsi" w:hAnsiTheme="minorHAnsi" w:cstheme="minorHAnsi"/>
          <w:iCs/>
          <w:szCs w:val="24"/>
        </w:rPr>
        <w:t xml:space="preserve"> </w:t>
      </w:r>
      <w:r w:rsidR="00FD5000" w:rsidRPr="00C75F26">
        <w:rPr>
          <w:rFonts w:asciiTheme="minorHAnsi" w:hAnsiTheme="minorHAnsi" w:cstheme="minorHAnsi"/>
          <w:iCs/>
          <w:szCs w:val="24"/>
        </w:rPr>
        <w:t xml:space="preserve">amends section 10 of the Guidelines to specify, for the purposes of paragraph 30-20(b) of the Act, a new outcome in the provision of higher education as a national priority, that is in addition to the national priorities already specified in the Guidelines. This new outcome </w:t>
      </w:r>
      <w:r w:rsidR="003E68E5" w:rsidRPr="00C75F26">
        <w:rPr>
          <w:rFonts w:asciiTheme="minorHAnsi" w:hAnsiTheme="minorHAnsi" w:cstheme="minorHAnsi"/>
          <w:iCs/>
          <w:szCs w:val="24"/>
        </w:rPr>
        <w:t xml:space="preserve">is included for 2021 only and relates to the provision of retraining and upskilling opportunities in a number of areas of study. </w:t>
      </w:r>
    </w:p>
    <w:p w14:paraId="1439799A" w14:textId="77777777" w:rsidR="000D16CD" w:rsidRPr="00C75F26" w:rsidRDefault="000D16CD" w:rsidP="00432EA1">
      <w:pPr>
        <w:pStyle w:val="ListParagraph"/>
        <w:spacing w:before="360" w:after="120"/>
        <w:rPr>
          <w:rFonts w:asciiTheme="minorHAnsi" w:hAnsiTheme="minorHAnsi" w:cstheme="minorHAnsi"/>
          <w:iCs/>
          <w:szCs w:val="24"/>
        </w:rPr>
      </w:pPr>
    </w:p>
    <w:p w14:paraId="3435CEF2" w14:textId="560642AF" w:rsidR="005D2A3E" w:rsidRPr="00C75F26" w:rsidRDefault="00FD5000" w:rsidP="00432EA1">
      <w:pPr>
        <w:pStyle w:val="ListParagraph"/>
        <w:numPr>
          <w:ilvl w:val="0"/>
          <w:numId w:val="7"/>
        </w:numPr>
        <w:spacing w:before="360" w:after="120"/>
        <w:rPr>
          <w:rFonts w:asciiTheme="minorHAnsi" w:hAnsiTheme="minorHAnsi" w:cstheme="minorHAnsi"/>
          <w:iCs/>
          <w:szCs w:val="24"/>
        </w:rPr>
      </w:pPr>
      <w:r w:rsidRPr="00C75F26">
        <w:rPr>
          <w:rFonts w:asciiTheme="minorHAnsi" w:hAnsiTheme="minorHAnsi" w:cstheme="minorHAnsi"/>
          <w:iCs/>
          <w:szCs w:val="24"/>
        </w:rPr>
        <w:t xml:space="preserve">Under subsection 30-1(2) of the Act, a provider that is not a Table A provider is only eligible for a grant under Part 2-2 if the grant relates to the national priorities that are specified in the Guidelines. </w:t>
      </w:r>
      <w:r w:rsidR="00B923A2" w:rsidRPr="00C75F26">
        <w:rPr>
          <w:rFonts w:asciiTheme="minorHAnsi" w:hAnsiTheme="minorHAnsi" w:cstheme="minorHAnsi"/>
          <w:iCs/>
          <w:szCs w:val="24"/>
        </w:rPr>
        <w:t xml:space="preserve">If the </w:t>
      </w:r>
      <w:r w:rsidR="00FA3753" w:rsidRPr="00C75F26">
        <w:rPr>
          <w:rFonts w:asciiTheme="minorHAnsi" w:hAnsiTheme="minorHAnsi" w:cstheme="minorHAnsi"/>
          <w:iCs/>
          <w:szCs w:val="24"/>
        </w:rPr>
        <w:t>amendment to section 10 is not made, the new providers listed in section 8 would only be eligible to receive grants under Part 2-2 in relation to the national priorities currently listed in section 10 (being increasing the number of persons undertaking Education and Nursing courses of study).</w:t>
      </w:r>
    </w:p>
    <w:p w14:paraId="2AB8ED7F" w14:textId="77777777" w:rsidR="005D2A3E" w:rsidRPr="00C75F26" w:rsidRDefault="005D2A3E" w:rsidP="00432EA1">
      <w:pPr>
        <w:pStyle w:val="ListParagraph"/>
        <w:spacing w:before="360" w:after="120"/>
        <w:rPr>
          <w:rFonts w:asciiTheme="minorHAnsi" w:hAnsiTheme="minorHAnsi" w:cstheme="minorHAnsi"/>
          <w:iCs/>
          <w:szCs w:val="24"/>
        </w:rPr>
      </w:pPr>
    </w:p>
    <w:p w14:paraId="06917E5D" w14:textId="67831491" w:rsidR="00FA3753" w:rsidRPr="00C75F26" w:rsidRDefault="008C1284" w:rsidP="00432EA1">
      <w:pPr>
        <w:pStyle w:val="ListParagraph"/>
        <w:numPr>
          <w:ilvl w:val="0"/>
          <w:numId w:val="7"/>
        </w:numPr>
        <w:spacing w:before="360" w:after="120"/>
        <w:rPr>
          <w:rFonts w:asciiTheme="minorHAnsi" w:hAnsiTheme="minorHAnsi" w:cstheme="minorHAnsi"/>
          <w:iCs/>
          <w:szCs w:val="24"/>
        </w:rPr>
      </w:pPr>
      <w:r w:rsidRPr="00C75F26">
        <w:rPr>
          <w:rFonts w:asciiTheme="minorHAnsi" w:hAnsiTheme="minorHAnsi" w:cstheme="minorHAnsi"/>
          <w:iCs/>
          <w:szCs w:val="24"/>
        </w:rPr>
        <w:t>The national priorities are areas of community and industry need in Australia’s labour market, where training opportunities will improve the employability of displaced workers as the economy recovers from the COVID-19 pandemic. These fields of education were initially utilised for the 2020 short course initiative element of the Higher Education Relief Package delivered between May and December 2020.</w:t>
      </w:r>
    </w:p>
    <w:p w14:paraId="343C804A" w14:textId="4B8BD4BB" w:rsidR="00370076" w:rsidRPr="00C75F26" w:rsidRDefault="00370076" w:rsidP="00370076">
      <w:pPr>
        <w:keepNext/>
        <w:spacing w:before="360" w:after="120"/>
        <w:rPr>
          <w:rFonts w:asciiTheme="minorHAnsi" w:hAnsiTheme="minorHAnsi" w:cstheme="minorHAnsi"/>
          <w:b/>
          <w:u w:val="single"/>
        </w:rPr>
      </w:pPr>
      <w:r w:rsidRPr="00C75F26">
        <w:rPr>
          <w:rFonts w:asciiTheme="minorHAnsi" w:hAnsiTheme="minorHAnsi" w:cstheme="minorHAnsi"/>
          <w:b/>
          <w:u w:val="single"/>
        </w:rPr>
        <w:t>Schedule 1</w:t>
      </w:r>
      <w:r w:rsidR="007C2010" w:rsidRPr="00C75F26">
        <w:rPr>
          <w:rFonts w:asciiTheme="minorHAnsi" w:hAnsiTheme="minorHAnsi" w:cstheme="minorHAnsi"/>
          <w:b/>
          <w:u w:val="single"/>
        </w:rPr>
        <w:t>, Part 1</w:t>
      </w:r>
      <w:r w:rsidRPr="00C75F26">
        <w:rPr>
          <w:rFonts w:asciiTheme="minorHAnsi" w:hAnsiTheme="minorHAnsi" w:cstheme="minorHAnsi"/>
          <w:b/>
          <w:u w:val="single"/>
        </w:rPr>
        <w:t xml:space="preserve"> – Item </w:t>
      </w:r>
      <w:r w:rsidR="007C2010" w:rsidRPr="00C75F26">
        <w:rPr>
          <w:rFonts w:asciiTheme="minorHAnsi" w:hAnsiTheme="minorHAnsi" w:cstheme="minorHAnsi"/>
          <w:b/>
          <w:u w:val="single"/>
        </w:rPr>
        <w:t>3</w:t>
      </w:r>
      <w:r w:rsidRPr="00C75F26">
        <w:rPr>
          <w:rFonts w:asciiTheme="minorHAnsi" w:hAnsiTheme="minorHAnsi" w:cstheme="minorHAnsi"/>
          <w:b/>
          <w:u w:val="single"/>
        </w:rPr>
        <w:t>: Section 14, notes 5 and 6</w:t>
      </w:r>
    </w:p>
    <w:p w14:paraId="235E13D4" w14:textId="420EF8BD" w:rsidR="002F6B4C" w:rsidRPr="00C75F26" w:rsidRDefault="00370076" w:rsidP="00432EA1">
      <w:pPr>
        <w:pStyle w:val="ListParagraph"/>
        <w:numPr>
          <w:ilvl w:val="0"/>
          <w:numId w:val="7"/>
        </w:numPr>
        <w:spacing w:before="360" w:after="120"/>
        <w:rPr>
          <w:rFonts w:asciiTheme="minorHAnsi" w:hAnsiTheme="minorHAnsi" w:cstheme="minorHAnsi"/>
          <w:b/>
          <w:u w:val="single"/>
        </w:rPr>
      </w:pPr>
      <w:r w:rsidRPr="00C75F26">
        <w:rPr>
          <w:rFonts w:asciiTheme="minorHAnsi" w:hAnsiTheme="minorHAnsi" w:cstheme="minorHAnsi"/>
          <w:bCs/>
        </w:rPr>
        <w:t xml:space="preserve">Item </w:t>
      </w:r>
      <w:r w:rsidR="0026604B" w:rsidRPr="00C75F26">
        <w:rPr>
          <w:rFonts w:asciiTheme="minorHAnsi" w:hAnsiTheme="minorHAnsi" w:cstheme="minorHAnsi"/>
          <w:bCs/>
        </w:rPr>
        <w:t>3</w:t>
      </w:r>
      <w:r w:rsidRPr="00C75F26">
        <w:rPr>
          <w:rFonts w:asciiTheme="minorHAnsi" w:hAnsiTheme="minorHAnsi" w:cstheme="minorHAnsi"/>
          <w:bCs/>
        </w:rPr>
        <w:t xml:space="preserve"> repeals notes 5 and 6 at the end of the table at section 14 of the Guidelines and </w:t>
      </w:r>
      <w:r w:rsidR="001771B1" w:rsidRPr="00C75F26">
        <w:rPr>
          <w:rFonts w:asciiTheme="minorHAnsi" w:hAnsiTheme="minorHAnsi" w:cstheme="minorHAnsi"/>
          <w:bCs/>
        </w:rPr>
        <w:t xml:space="preserve">substitutes </w:t>
      </w:r>
      <w:r w:rsidRPr="00C75F26">
        <w:rPr>
          <w:rFonts w:asciiTheme="minorHAnsi" w:hAnsiTheme="minorHAnsi" w:cstheme="minorHAnsi"/>
          <w:bCs/>
        </w:rPr>
        <w:t xml:space="preserve">them with two new notes. </w:t>
      </w:r>
    </w:p>
    <w:p w14:paraId="1E76D785" w14:textId="77777777" w:rsidR="005D2A3E" w:rsidRPr="00C75F26" w:rsidRDefault="005D2A3E" w:rsidP="00432EA1">
      <w:pPr>
        <w:pStyle w:val="ListParagraph"/>
        <w:spacing w:before="360" w:after="120"/>
        <w:rPr>
          <w:rFonts w:asciiTheme="minorHAnsi" w:hAnsiTheme="minorHAnsi" w:cstheme="minorHAnsi"/>
          <w:b/>
          <w:u w:val="single"/>
        </w:rPr>
      </w:pPr>
    </w:p>
    <w:p w14:paraId="372E8A6B" w14:textId="479698FE" w:rsidR="005D2A3E" w:rsidRPr="00C75F26" w:rsidRDefault="00370076" w:rsidP="00432EA1">
      <w:pPr>
        <w:pStyle w:val="ListParagraph"/>
        <w:numPr>
          <w:ilvl w:val="0"/>
          <w:numId w:val="7"/>
        </w:numPr>
        <w:spacing w:before="360" w:after="120"/>
        <w:rPr>
          <w:rFonts w:asciiTheme="minorHAnsi" w:hAnsiTheme="minorHAnsi" w:cstheme="minorHAnsi"/>
          <w:b/>
          <w:u w:val="single"/>
        </w:rPr>
      </w:pPr>
      <w:r w:rsidRPr="00C75F26">
        <w:rPr>
          <w:rFonts w:asciiTheme="minorHAnsi" w:hAnsiTheme="minorHAnsi" w:cstheme="minorHAnsi"/>
          <w:bCs/>
        </w:rPr>
        <w:t>The only change to note 5 is to correct an error in the name of the Psychology Board of Australia</w:t>
      </w:r>
      <w:r w:rsidR="00C321FF" w:rsidRPr="00C75F26">
        <w:rPr>
          <w:rFonts w:asciiTheme="minorHAnsi" w:hAnsiTheme="minorHAnsi" w:cstheme="minorHAnsi"/>
          <w:bCs/>
        </w:rPr>
        <w:t xml:space="preserve"> (from</w:t>
      </w:r>
      <w:r w:rsidR="001771B1" w:rsidRPr="00C75F26">
        <w:rPr>
          <w:rFonts w:asciiTheme="minorHAnsi" w:hAnsiTheme="minorHAnsi" w:cstheme="minorHAnsi"/>
          <w:bCs/>
        </w:rPr>
        <w:t xml:space="preserve"> ‘Psychology Board or Australia’</w:t>
      </w:r>
      <w:r w:rsidR="00C321FF" w:rsidRPr="00C75F26">
        <w:rPr>
          <w:rFonts w:asciiTheme="minorHAnsi" w:hAnsiTheme="minorHAnsi" w:cstheme="minorHAnsi"/>
          <w:bCs/>
        </w:rPr>
        <w:t>)</w:t>
      </w:r>
      <w:r w:rsidRPr="00C75F26">
        <w:rPr>
          <w:rFonts w:asciiTheme="minorHAnsi" w:hAnsiTheme="minorHAnsi" w:cstheme="minorHAnsi"/>
          <w:bCs/>
        </w:rPr>
        <w:t xml:space="preserve">. The note is otherwise unchanged. </w:t>
      </w:r>
    </w:p>
    <w:p w14:paraId="671BDC8C" w14:textId="77777777" w:rsidR="005D2A3E" w:rsidRPr="00C75F26" w:rsidRDefault="005D2A3E" w:rsidP="00432EA1">
      <w:pPr>
        <w:pStyle w:val="ListParagraph"/>
        <w:spacing w:before="360" w:after="120"/>
        <w:rPr>
          <w:rFonts w:asciiTheme="minorHAnsi" w:hAnsiTheme="minorHAnsi" w:cstheme="minorHAnsi"/>
          <w:b/>
          <w:u w:val="single"/>
        </w:rPr>
      </w:pPr>
    </w:p>
    <w:p w14:paraId="43C9036A" w14:textId="1702F273" w:rsidR="008645D1" w:rsidRPr="00C75F26" w:rsidRDefault="00370076" w:rsidP="00432EA1">
      <w:pPr>
        <w:pStyle w:val="ListParagraph"/>
        <w:numPr>
          <w:ilvl w:val="0"/>
          <w:numId w:val="7"/>
        </w:numPr>
        <w:spacing w:before="360" w:after="120"/>
        <w:rPr>
          <w:rFonts w:asciiTheme="minorHAnsi" w:hAnsiTheme="minorHAnsi" w:cstheme="minorHAnsi"/>
          <w:b/>
          <w:u w:val="single"/>
        </w:rPr>
      </w:pPr>
      <w:r w:rsidRPr="00C75F26">
        <w:rPr>
          <w:rFonts w:asciiTheme="minorHAnsi" w:hAnsiTheme="minorHAnsi" w:cstheme="minorHAnsi"/>
          <w:bCs/>
        </w:rPr>
        <w:t xml:space="preserve">New note 6 expands the description of the Professional Pathway Social Work part of funding cluster two to include </w:t>
      </w:r>
      <w:r w:rsidR="00AD53D5" w:rsidRPr="00C75F26">
        <w:rPr>
          <w:rFonts w:asciiTheme="minorHAnsi" w:hAnsiTheme="minorHAnsi" w:cstheme="minorHAnsi"/>
          <w:bCs/>
          <w:iCs/>
        </w:rPr>
        <w:t>youth</w:t>
      </w:r>
      <w:r w:rsidRPr="00C75F26">
        <w:rPr>
          <w:rFonts w:asciiTheme="minorHAnsi" w:hAnsiTheme="minorHAnsi" w:cstheme="minorHAnsi"/>
          <w:bCs/>
          <w:iCs/>
        </w:rPr>
        <w:t xml:space="preserve"> work, counselling and community work units of study undertaken in courses leading to certain accredited qualifications</w:t>
      </w:r>
      <w:r w:rsidR="00A42C9C" w:rsidRPr="00C75F26">
        <w:rPr>
          <w:rFonts w:asciiTheme="minorHAnsi" w:hAnsiTheme="minorHAnsi" w:cstheme="minorHAnsi"/>
          <w:bCs/>
          <w:iCs/>
        </w:rPr>
        <w:t>. This amendment means that the lower maximum student contribution amount of $7,950 will apply to students undertaking these accredited courses. Without this amendment, the higher maximum student contribution amount of $14,500 would apply to students undertaking these accredited courses.</w:t>
      </w:r>
    </w:p>
    <w:p w14:paraId="61F1B47C" w14:textId="77777777" w:rsidR="005D2A3E" w:rsidRPr="00C75F26" w:rsidRDefault="005D2A3E" w:rsidP="00432EA1">
      <w:pPr>
        <w:pStyle w:val="ListParagraph"/>
        <w:spacing w:before="360" w:after="120"/>
        <w:rPr>
          <w:rFonts w:asciiTheme="minorHAnsi" w:hAnsiTheme="minorHAnsi" w:cstheme="minorHAnsi"/>
          <w:b/>
          <w:u w:val="single"/>
        </w:rPr>
      </w:pPr>
    </w:p>
    <w:p w14:paraId="77AD7BB8" w14:textId="536954D5" w:rsidR="00A42C9C" w:rsidRPr="00C75F26" w:rsidRDefault="00AD53D5" w:rsidP="005B22B4">
      <w:pPr>
        <w:pStyle w:val="ListParagraph"/>
        <w:numPr>
          <w:ilvl w:val="0"/>
          <w:numId w:val="7"/>
        </w:numPr>
        <w:spacing w:before="360" w:after="120"/>
        <w:rPr>
          <w:rFonts w:asciiTheme="minorHAnsi" w:hAnsiTheme="minorHAnsi" w:cstheme="minorHAnsi"/>
          <w:b/>
          <w:u w:val="single"/>
        </w:rPr>
      </w:pPr>
      <w:r w:rsidRPr="00C75F26">
        <w:rPr>
          <w:rFonts w:asciiTheme="minorHAnsi" w:hAnsiTheme="minorHAnsi" w:cstheme="minorHAnsi"/>
          <w:bCs/>
          <w:iCs/>
        </w:rPr>
        <w:t xml:space="preserve">Reducing the student contributions </w:t>
      </w:r>
      <w:r w:rsidR="00C94D15" w:rsidRPr="00C75F26">
        <w:rPr>
          <w:rFonts w:asciiTheme="minorHAnsi" w:hAnsiTheme="minorHAnsi" w:cstheme="minorHAnsi"/>
          <w:bCs/>
          <w:iCs/>
        </w:rPr>
        <w:t xml:space="preserve">for </w:t>
      </w:r>
      <w:r w:rsidRPr="00C75F26">
        <w:rPr>
          <w:rFonts w:asciiTheme="minorHAnsi" w:hAnsiTheme="minorHAnsi" w:cstheme="minorHAnsi"/>
          <w:bCs/>
          <w:iCs/>
        </w:rPr>
        <w:t>students undertaking approved youth work, counselling and community work courses will help ensure students obtain qualifications that make them job-ready to provide essential mental health support for their communities.</w:t>
      </w:r>
    </w:p>
    <w:p w14:paraId="320959D1" w14:textId="0AE857FB" w:rsidR="007C2010" w:rsidRPr="00C75F26" w:rsidRDefault="007C2010" w:rsidP="007C2010">
      <w:pPr>
        <w:keepNext/>
        <w:spacing w:before="360" w:after="120"/>
        <w:rPr>
          <w:rFonts w:asciiTheme="minorHAnsi" w:hAnsiTheme="minorHAnsi" w:cstheme="minorHAnsi"/>
          <w:b/>
          <w:u w:val="single"/>
        </w:rPr>
      </w:pPr>
      <w:r w:rsidRPr="00C75F26">
        <w:rPr>
          <w:rFonts w:asciiTheme="minorHAnsi" w:hAnsiTheme="minorHAnsi" w:cstheme="minorHAnsi"/>
          <w:b/>
          <w:u w:val="single"/>
        </w:rPr>
        <w:t>Schedule 1, Part 2 – Item 4: Paragraph 10(b)</w:t>
      </w:r>
    </w:p>
    <w:p w14:paraId="2BC77FB8" w14:textId="08CC21A4" w:rsidR="007C2010" w:rsidRPr="00C75F26" w:rsidRDefault="007C2010" w:rsidP="007C2010">
      <w:pPr>
        <w:pStyle w:val="ListParagraph"/>
        <w:numPr>
          <w:ilvl w:val="0"/>
          <w:numId w:val="7"/>
        </w:numPr>
        <w:spacing w:before="360" w:after="120"/>
        <w:rPr>
          <w:rFonts w:asciiTheme="minorHAnsi" w:hAnsiTheme="minorHAnsi" w:cstheme="minorHAnsi"/>
          <w:bCs/>
        </w:rPr>
      </w:pPr>
      <w:r w:rsidRPr="00C75F26">
        <w:rPr>
          <w:rFonts w:asciiTheme="minorHAnsi" w:hAnsiTheme="minorHAnsi" w:cstheme="minorHAnsi"/>
          <w:bCs/>
        </w:rPr>
        <w:t xml:space="preserve">Item 4 </w:t>
      </w:r>
      <w:r w:rsidR="009B5480" w:rsidRPr="00C75F26">
        <w:rPr>
          <w:rFonts w:asciiTheme="minorHAnsi" w:hAnsiTheme="minorHAnsi" w:cstheme="minorHAnsi"/>
          <w:bCs/>
        </w:rPr>
        <w:t>repeals and substitutes</w:t>
      </w:r>
      <w:r w:rsidRPr="00C75F26">
        <w:rPr>
          <w:rFonts w:asciiTheme="minorHAnsi" w:hAnsiTheme="minorHAnsi" w:cstheme="minorHAnsi"/>
          <w:bCs/>
        </w:rPr>
        <w:t xml:space="preserve"> paragraph 10(b) of the Guidelines to </w:t>
      </w:r>
      <w:r w:rsidRPr="00C75F26">
        <w:rPr>
          <w:rFonts w:asciiTheme="minorHAnsi" w:hAnsiTheme="minorHAnsi" w:cstheme="minorHAnsi"/>
          <w:iCs/>
          <w:szCs w:val="24"/>
        </w:rPr>
        <w:t xml:space="preserve">state that supporting a number of persons undertaking courses of study in any field of education at the University of Notre Dame Australia (UNDA) is a national priority for the purposes of paragraph 30-20(b) of the Act. </w:t>
      </w:r>
    </w:p>
    <w:p w14:paraId="1F7B72B0" w14:textId="77777777" w:rsidR="007C2010" w:rsidRPr="00C75F26" w:rsidRDefault="007C2010" w:rsidP="007C2010">
      <w:pPr>
        <w:pStyle w:val="ListParagraph"/>
        <w:spacing w:before="360" w:after="120"/>
        <w:rPr>
          <w:rFonts w:asciiTheme="minorHAnsi" w:hAnsiTheme="minorHAnsi" w:cstheme="minorHAnsi"/>
          <w:bCs/>
        </w:rPr>
      </w:pPr>
    </w:p>
    <w:p w14:paraId="5DEB904B" w14:textId="77777777" w:rsidR="007C2010" w:rsidRPr="00C75F26" w:rsidRDefault="007C2010" w:rsidP="007C2010">
      <w:pPr>
        <w:pStyle w:val="ListParagraph"/>
        <w:numPr>
          <w:ilvl w:val="0"/>
          <w:numId w:val="7"/>
        </w:numPr>
        <w:spacing w:before="360" w:after="120"/>
        <w:rPr>
          <w:rFonts w:asciiTheme="minorHAnsi" w:hAnsiTheme="minorHAnsi" w:cstheme="minorHAnsi"/>
          <w:bCs/>
        </w:rPr>
      </w:pPr>
      <w:r w:rsidRPr="00C75F26">
        <w:rPr>
          <w:rFonts w:asciiTheme="minorHAnsi" w:hAnsiTheme="minorHAnsi" w:cstheme="minorHAnsi"/>
          <w:bCs/>
          <w:iCs/>
        </w:rPr>
        <w:t xml:space="preserve">The amendment to paragraph 10(b) of the Guidelines is a transitional amendment that implements the Government’s 2020-21 MYEFO commitment to re-categorise UNDA as a Table A provider under the Act. UNDA is currently a Table B provider under the Act, and does not receive as much funding under Part 2-2 of the Act as it would if it were a Table A provider under the Act. </w:t>
      </w:r>
    </w:p>
    <w:p w14:paraId="310B7C97" w14:textId="77777777" w:rsidR="007C2010" w:rsidRPr="00C75F26" w:rsidRDefault="007C2010" w:rsidP="007C2010">
      <w:pPr>
        <w:pStyle w:val="ListParagraph"/>
        <w:rPr>
          <w:rFonts w:asciiTheme="minorHAnsi" w:hAnsiTheme="minorHAnsi" w:cstheme="minorHAnsi"/>
          <w:bCs/>
          <w:iCs/>
        </w:rPr>
      </w:pPr>
    </w:p>
    <w:p w14:paraId="20B7838D" w14:textId="3EF13A4A" w:rsidR="007C2010" w:rsidRPr="00C75F26" w:rsidRDefault="007C2010" w:rsidP="007C2010">
      <w:pPr>
        <w:pStyle w:val="ListParagraph"/>
        <w:numPr>
          <w:ilvl w:val="0"/>
          <w:numId w:val="7"/>
        </w:numPr>
        <w:spacing w:before="360" w:after="120"/>
        <w:rPr>
          <w:rFonts w:asciiTheme="minorHAnsi" w:hAnsiTheme="minorHAnsi" w:cstheme="minorHAnsi"/>
          <w:bCs/>
        </w:rPr>
      </w:pPr>
      <w:r w:rsidRPr="00C75F26">
        <w:rPr>
          <w:rFonts w:asciiTheme="minorHAnsi" w:hAnsiTheme="minorHAnsi" w:cstheme="minorHAnsi"/>
          <w:bCs/>
          <w:iCs/>
        </w:rPr>
        <w:t xml:space="preserve">The Government intends to amend the Act to change UNDA from a Table B provider to a Table A provider; however, this is not expected to occur until later in 2021. To ensure that this Government commitment is implemented as soon as possible, it is proposed that the Guidelines be amended now to ensure that UNDA can receive Part 2-2 funding in relation to all of its </w:t>
      </w:r>
      <w:r w:rsidR="001A1BB3" w:rsidRPr="00C75F26">
        <w:rPr>
          <w:rFonts w:asciiTheme="minorHAnsi" w:hAnsiTheme="minorHAnsi" w:cstheme="minorHAnsi"/>
          <w:bCs/>
          <w:iCs/>
        </w:rPr>
        <w:t xml:space="preserve">non-medical </w:t>
      </w:r>
      <w:r w:rsidRPr="00C75F26">
        <w:rPr>
          <w:rFonts w:asciiTheme="minorHAnsi" w:hAnsiTheme="minorHAnsi" w:cstheme="minorHAnsi"/>
          <w:bCs/>
          <w:iCs/>
        </w:rPr>
        <w:t xml:space="preserve">domestic undergraduate students, and that these students will be eligible to </w:t>
      </w:r>
      <w:r w:rsidR="00D44942" w:rsidRPr="00C75F26">
        <w:rPr>
          <w:rFonts w:asciiTheme="minorHAnsi" w:hAnsiTheme="minorHAnsi" w:cstheme="minorHAnsi"/>
          <w:bCs/>
          <w:iCs/>
        </w:rPr>
        <w:t>access</w:t>
      </w:r>
      <w:r w:rsidRPr="00C75F26">
        <w:rPr>
          <w:rFonts w:asciiTheme="minorHAnsi" w:hAnsiTheme="minorHAnsi" w:cstheme="minorHAnsi"/>
          <w:bCs/>
          <w:iCs/>
        </w:rPr>
        <w:t xml:space="preserve"> Commonwealth supported </w:t>
      </w:r>
      <w:r w:rsidR="00D44942" w:rsidRPr="00C75F26">
        <w:rPr>
          <w:rFonts w:asciiTheme="minorHAnsi" w:hAnsiTheme="minorHAnsi" w:cstheme="minorHAnsi"/>
          <w:bCs/>
          <w:iCs/>
        </w:rPr>
        <w:t>places</w:t>
      </w:r>
      <w:r w:rsidRPr="00C75F26">
        <w:rPr>
          <w:rFonts w:asciiTheme="minorHAnsi" w:hAnsiTheme="minorHAnsi" w:cstheme="minorHAnsi"/>
          <w:bCs/>
          <w:iCs/>
        </w:rPr>
        <w:t xml:space="preserve"> (provided they also meet the other eligibility criteria in the Act). This change will mean that UNDA is effectively treated like a Table A provider for the purposes of receiving funding for its domestic undergraduate students, and that all of these students </w:t>
      </w:r>
      <w:r w:rsidRPr="00C75F26">
        <w:rPr>
          <w:rFonts w:asciiTheme="minorHAnsi" w:hAnsiTheme="minorHAnsi" w:cstheme="minorHAnsi"/>
          <w:iCs/>
          <w:szCs w:val="24"/>
        </w:rPr>
        <w:t>will pay lower tuition fees based on the maximum student contribution amounts set out in the Act</w:t>
      </w:r>
      <w:r w:rsidRPr="00C75F26">
        <w:rPr>
          <w:rFonts w:asciiTheme="minorHAnsi" w:hAnsiTheme="minorHAnsi" w:cstheme="minorHAnsi"/>
          <w:bCs/>
          <w:iCs/>
        </w:rPr>
        <w:t xml:space="preserve">. </w:t>
      </w:r>
    </w:p>
    <w:p w14:paraId="56D8AB79" w14:textId="15F16A13" w:rsidR="007C2010" w:rsidRPr="00C75F26" w:rsidRDefault="009B5A29" w:rsidP="007C2010">
      <w:pPr>
        <w:spacing w:before="360" w:after="120"/>
        <w:rPr>
          <w:rFonts w:asciiTheme="minorHAnsi" w:hAnsiTheme="minorHAnsi" w:cstheme="minorHAnsi"/>
          <w:b/>
          <w:u w:val="single"/>
        </w:rPr>
      </w:pPr>
      <w:r w:rsidRPr="00C75F26">
        <w:rPr>
          <w:rFonts w:asciiTheme="minorHAnsi" w:hAnsiTheme="minorHAnsi" w:cstheme="minorHAnsi"/>
          <w:b/>
          <w:u w:val="single"/>
        </w:rPr>
        <w:t>Schedule 1, Part 2 – Item 5: Paragraph 10(c)</w:t>
      </w:r>
    </w:p>
    <w:p w14:paraId="57EC76F7" w14:textId="308A26B3" w:rsidR="009B5A29" w:rsidRPr="00C75F26" w:rsidRDefault="004B20B1">
      <w:pPr>
        <w:pStyle w:val="ListParagraph"/>
        <w:numPr>
          <w:ilvl w:val="0"/>
          <w:numId w:val="7"/>
        </w:numPr>
        <w:spacing w:before="360" w:after="120"/>
        <w:rPr>
          <w:rFonts w:asciiTheme="minorHAnsi" w:hAnsiTheme="minorHAnsi" w:cstheme="minorHAnsi"/>
          <w:bCs/>
          <w:iCs/>
        </w:rPr>
      </w:pPr>
      <w:r w:rsidRPr="00C75F26">
        <w:rPr>
          <w:rFonts w:asciiTheme="minorHAnsi" w:hAnsiTheme="minorHAnsi" w:cstheme="minorHAnsi"/>
          <w:bCs/>
          <w:iCs/>
        </w:rPr>
        <w:t xml:space="preserve">Item 5 repeals paragraph 10(c) of the Guidelines. Paragraph 10(c) previously enabled UNDA’s non-medical domestic undergraduate Indigenous students to access Commonwealth supported places. This paragraph is no longer required as the </w:t>
      </w:r>
      <w:r w:rsidR="00586329" w:rsidRPr="00C75F26">
        <w:rPr>
          <w:rFonts w:asciiTheme="minorHAnsi" w:hAnsiTheme="minorHAnsi" w:cstheme="minorHAnsi"/>
          <w:bCs/>
          <w:iCs/>
        </w:rPr>
        <w:t>amendment</w:t>
      </w:r>
      <w:r w:rsidRPr="00C75F26">
        <w:rPr>
          <w:rFonts w:asciiTheme="minorHAnsi" w:hAnsiTheme="minorHAnsi" w:cstheme="minorHAnsi"/>
          <w:bCs/>
          <w:iCs/>
        </w:rPr>
        <w:t xml:space="preserve"> to paragraph 10(b) mean</w:t>
      </w:r>
      <w:r w:rsidR="00586329" w:rsidRPr="00C75F26">
        <w:rPr>
          <w:rFonts w:asciiTheme="minorHAnsi" w:hAnsiTheme="minorHAnsi" w:cstheme="minorHAnsi"/>
          <w:bCs/>
          <w:iCs/>
        </w:rPr>
        <w:t>s</w:t>
      </w:r>
      <w:r w:rsidRPr="00C75F26">
        <w:rPr>
          <w:rFonts w:asciiTheme="minorHAnsi" w:hAnsiTheme="minorHAnsi" w:cstheme="minorHAnsi"/>
          <w:bCs/>
          <w:iCs/>
        </w:rPr>
        <w:t xml:space="preserve"> that all of UNDA’s non-medical domestic undergraduate students, including Indigenous students, will be able to access Commonwealth supported places (provided they also meet the other eligibility criteria in the Act).  </w:t>
      </w:r>
      <w:bookmarkStart w:id="8" w:name="_GoBack"/>
      <w:bookmarkEnd w:id="8"/>
    </w:p>
    <w:sectPr w:rsidR="009B5A29" w:rsidRPr="00C75F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6937" w14:textId="77777777" w:rsidR="008C4047" w:rsidRDefault="008C4047" w:rsidP="00783FAB">
      <w:pPr>
        <w:spacing w:after="0" w:line="240" w:lineRule="auto"/>
      </w:pPr>
      <w:r>
        <w:separator/>
      </w:r>
    </w:p>
  </w:endnote>
  <w:endnote w:type="continuationSeparator" w:id="0">
    <w:p w14:paraId="0998765A" w14:textId="77777777" w:rsidR="008C4047" w:rsidRDefault="008C4047" w:rsidP="00783FAB">
      <w:pPr>
        <w:spacing w:after="0" w:line="240" w:lineRule="auto"/>
      </w:pPr>
      <w:r>
        <w:continuationSeparator/>
      </w:r>
    </w:p>
  </w:endnote>
  <w:endnote w:type="continuationNotice" w:id="1">
    <w:p w14:paraId="7A528B17" w14:textId="77777777" w:rsidR="008C4047" w:rsidRDefault="008C4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61254"/>
      <w:docPartObj>
        <w:docPartGallery w:val="Page Numbers (Bottom of Page)"/>
        <w:docPartUnique/>
      </w:docPartObj>
    </w:sdtPr>
    <w:sdtEndPr>
      <w:rPr>
        <w:noProof/>
      </w:rPr>
    </w:sdtEndPr>
    <w:sdtContent>
      <w:p w14:paraId="0965F282" w14:textId="612F03C7" w:rsidR="008C4047" w:rsidRDefault="008C4047">
        <w:pPr>
          <w:pStyle w:val="Footer"/>
          <w:jc w:val="center"/>
        </w:pPr>
        <w:r>
          <w:fldChar w:fldCharType="begin"/>
        </w:r>
        <w:r>
          <w:instrText xml:space="preserve"> PAGE   \* MERGEFORMAT </w:instrText>
        </w:r>
        <w:r>
          <w:fldChar w:fldCharType="separate"/>
        </w:r>
        <w:r w:rsidR="000708D0">
          <w:rPr>
            <w:noProof/>
          </w:rPr>
          <w:t>10</w:t>
        </w:r>
        <w:r>
          <w:rPr>
            <w:noProof/>
          </w:rPr>
          <w:fldChar w:fldCharType="end"/>
        </w:r>
      </w:p>
    </w:sdtContent>
  </w:sdt>
  <w:p w14:paraId="27151DCD" w14:textId="77777777" w:rsidR="008C4047" w:rsidRDefault="008C4047"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8255" w14:textId="77777777" w:rsidR="008C4047" w:rsidRDefault="008C4047" w:rsidP="00783FAB">
      <w:pPr>
        <w:spacing w:after="0" w:line="240" w:lineRule="auto"/>
      </w:pPr>
      <w:r>
        <w:separator/>
      </w:r>
    </w:p>
  </w:footnote>
  <w:footnote w:type="continuationSeparator" w:id="0">
    <w:p w14:paraId="42570520" w14:textId="77777777" w:rsidR="008C4047" w:rsidRDefault="008C4047" w:rsidP="00783FAB">
      <w:pPr>
        <w:spacing w:after="0" w:line="240" w:lineRule="auto"/>
      </w:pPr>
      <w:r>
        <w:continuationSeparator/>
      </w:r>
    </w:p>
  </w:footnote>
  <w:footnote w:type="continuationNotice" w:id="1">
    <w:p w14:paraId="20375753" w14:textId="77777777" w:rsidR="008C4047" w:rsidRDefault="008C40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F1A034C"/>
    <w:multiLevelType w:val="hybridMultilevel"/>
    <w:tmpl w:val="A788A8B4"/>
    <w:lvl w:ilvl="0" w:tplc="67E674F8">
      <w:start w:val="6"/>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 w15:restartNumberingAfterBreak="0">
    <w:nsid w:val="1A670DC8"/>
    <w:multiLevelType w:val="hybridMultilevel"/>
    <w:tmpl w:val="87B0DA6E"/>
    <w:lvl w:ilvl="0" w:tplc="2E5CCAFE">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140595"/>
    <w:multiLevelType w:val="hybridMultilevel"/>
    <w:tmpl w:val="AF887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6B5C79"/>
    <w:multiLevelType w:val="hybridMultilevel"/>
    <w:tmpl w:val="BD9206A4"/>
    <w:lvl w:ilvl="0" w:tplc="0624F1E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E7C01"/>
    <w:multiLevelType w:val="hybridMultilevel"/>
    <w:tmpl w:val="6FFEC2A6"/>
    <w:lvl w:ilvl="0" w:tplc="FBBAA7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364C62"/>
    <w:multiLevelType w:val="hybridMultilevel"/>
    <w:tmpl w:val="27AE92FA"/>
    <w:lvl w:ilvl="0" w:tplc="FBBAA7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71A"/>
    <w:rsid w:val="000009D4"/>
    <w:rsid w:val="00000F56"/>
    <w:rsid w:val="00003184"/>
    <w:rsid w:val="000036EB"/>
    <w:rsid w:val="0000395C"/>
    <w:rsid w:val="00011E4D"/>
    <w:rsid w:val="000138CF"/>
    <w:rsid w:val="000140D5"/>
    <w:rsid w:val="000146FA"/>
    <w:rsid w:val="0001554B"/>
    <w:rsid w:val="00016AFF"/>
    <w:rsid w:val="00017F54"/>
    <w:rsid w:val="000277CA"/>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08D0"/>
    <w:rsid w:val="000744BA"/>
    <w:rsid w:val="00076E76"/>
    <w:rsid w:val="00083F41"/>
    <w:rsid w:val="000846B7"/>
    <w:rsid w:val="000A2A28"/>
    <w:rsid w:val="000A2D3A"/>
    <w:rsid w:val="000A3124"/>
    <w:rsid w:val="000A35D6"/>
    <w:rsid w:val="000B1BE1"/>
    <w:rsid w:val="000B3914"/>
    <w:rsid w:val="000B6430"/>
    <w:rsid w:val="000C0732"/>
    <w:rsid w:val="000C224C"/>
    <w:rsid w:val="000C34FD"/>
    <w:rsid w:val="000C4D6B"/>
    <w:rsid w:val="000D1472"/>
    <w:rsid w:val="000D16CD"/>
    <w:rsid w:val="000D5E6D"/>
    <w:rsid w:val="000E3516"/>
    <w:rsid w:val="000E57DB"/>
    <w:rsid w:val="000E6FD6"/>
    <w:rsid w:val="000F1811"/>
    <w:rsid w:val="000F7A8C"/>
    <w:rsid w:val="00103015"/>
    <w:rsid w:val="00103253"/>
    <w:rsid w:val="001042BA"/>
    <w:rsid w:val="00105CE1"/>
    <w:rsid w:val="00120A34"/>
    <w:rsid w:val="00124260"/>
    <w:rsid w:val="00125264"/>
    <w:rsid w:val="00125A8E"/>
    <w:rsid w:val="00127059"/>
    <w:rsid w:val="00127CD8"/>
    <w:rsid w:val="001301AD"/>
    <w:rsid w:val="001334D9"/>
    <w:rsid w:val="001377D9"/>
    <w:rsid w:val="00137ACD"/>
    <w:rsid w:val="00140DAD"/>
    <w:rsid w:val="00140E3D"/>
    <w:rsid w:val="001421FE"/>
    <w:rsid w:val="001437EA"/>
    <w:rsid w:val="00143BAC"/>
    <w:rsid w:val="00144483"/>
    <w:rsid w:val="00144950"/>
    <w:rsid w:val="00145746"/>
    <w:rsid w:val="00145BE1"/>
    <w:rsid w:val="0015276C"/>
    <w:rsid w:val="00152947"/>
    <w:rsid w:val="001533D5"/>
    <w:rsid w:val="0015508C"/>
    <w:rsid w:val="00160153"/>
    <w:rsid w:val="00161052"/>
    <w:rsid w:val="00161A1F"/>
    <w:rsid w:val="0017006A"/>
    <w:rsid w:val="00173A64"/>
    <w:rsid w:val="00173E0C"/>
    <w:rsid w:val="00173F88"/>
    <w:rsid w:val="001771B1"/>
    <w:rsid w:val="001808FF"/>
    <w:rsid w:val="00185491"/>
    <w:rsid w:val="00195030"/>
    <w:rsid w:val="00197C3F"/>
    <w:rsid w:val="001A0D59"/>
    <w:rsid w:val="001A1BB3"/>
    <w:rsid w:val="001A2FE9"/>
    <w:rsid w:val="001A4389"/>
    <w:rsid w:val="001A523B"/>
    <w:rsid w:val="001B3C7A"/>
    <w:rsid w:val="001B7B10"/>
    <w:rsid w:val="001C1422"/>
    <w:rsid w:val="001C28F9"/>
    <w:rsid w:val="001D00E3"/>
    <w:rsid w:val="001D0AF3"/>
    <w:rsid w:val="001D1D8A"/>
    <w:rsid w:val="001D36EE"/>
    <w:rsid w:val="001D7F20"/>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2DE6"/>
    <w:rsid w:val="00223F82"/>
    <w:rsid w:val="00224C52"/>
    <w:rsid w:val="002278E1"/>
    <w:rsid w:val="00227DA9"/>
    <w:rsid w:val="00230D1D"/>
    <w:rsid w:val="00232304"/>
    <w:rsid w:val="00233CEF"/>
    <w:rsid w:val="002378EE"/>
    <w:rsid w:val="002445E3"/>
    <w:rsid w:val="00247EBF"/>
    <w:rsid w:val="002559E5"/>
    <w:rsid w:val="00256DBE"/>
    <w:rsid w:val="00261499"/>
    <w:rsid w:val="0026604B"/>
    <w:rsid w:val="002672A4"/>
    <w:rsid w:val="002747E8"/>
    <w:rsid w:val="00274EEA"/>
    <w:rsid w:val="0027686D"/>
    <w:rsid w:val="0028083A"/>
    <w:rsid w:val="002808A9"/>
    <w:rsid w:val="00284C9D"/>
    <w:rsid w:val="00285B63"/>
    <w:rsid w:val="00292863"/>
    <w:rsid w:val="00294430"/>
    <w:rsid w:val="00296C12"/>
    <w:rsid w:val="00296CA7"/>
    <w:rsid w:val="00296FAF"/>
    <w:rsid w:val="00297EAB"/>
    <w:rsid w:val="002A15F1"/>
    <w:rsid w:val="002A4961"/>
    <w:rsid w:val="002B313C"/>
    <w:rsid w:val="002B5C28"/>
    <w:rsid w:val="002C1F84"/>
    <w:rsid w:val="002C7C03"/>
    <w:rsid w:val="002D1504"/>
    <w:rsid w:val="002D564A"/>
    <w:rsid w:val="002D7D55"/>
    <w:rsid w:val="002E12E6"/>
    <w:rsid w:val="002E1BA4"/>
    <w:rsid w:val="002E2850"/>
    <w:rsid w:val="002F0550"/>
    <w:rsid w:val="002F6B4C"/>
    <w:rsid w:val="002F76C6"/>
    <w:rsid w:val="0030322F"/>
    <w:rsid w:val="00304A88"/>
    <w:rsid w:val="00304E64"/>
    <w:rsid w:val="00306920"/>
    <w:rsid w:val="00307358"/>
    <w:rsid w:val="0031070C"/>
    <w:rsid w:val="003133D5"/>
    <w:rsid w:val="00313612"/>
    <w:rsid w:val="00316053"/>
    <w:rsid w:val="003170AC"/>
    <w:rsid w:val="003207F0"/>
    <w:rsid w:val="00326C24"/>
    <w:rsid w:val="0033070E"/>
    <w:rsid w:val="003323DD"/>
    <w:rsid w:val="003370D5"/>
    <w:rsid w:val="003440C7"/>
    <w:rsid w:val="00350779"/>
    <w:rsid w:val="00353D81"/>
    <w:rsid w:val="00354743"/>
    <w:rsid w:val="0036040B"/>
    <w:rsid w:val="003649C4"/>
    <w:rsid w:val="00365D02"/>
    <w:rsid w:val="00365D2C"/>
    <w:rsid w:val="00367C2D"/>
    <w:rsid w:val="00370076"/>
    <w:rsid w:val="0037028F"/>
    <w:rsid w:val="003712BB"/>
    <w:rsid w:val="003719BF"/>
    <w:rsid w:val="00372395"/>
    <w:rsid w:val="00375010"/>
    <w:rsid w:val="0037728A"/>
    <w:rsid w:val="00377427"/>
    <w:rsid w:val="00381720"/>
    <w:rsid w:val="00386B68"/>
    <w:rsid w:val="00386E17"/>
    <w:rsid w:val="0038758C"/>
    <w:rsid w:val="003913F1"/>
    <w:rsid w:val="00392D45"/>
    <w:rsid w:val="00393A61"/>
    <w:rsid w:val="00394454"/>
    <w:rsid w:val="00394D6F"/>
    <w:rsid w:val="00395655"/>
    <w:rsid w:val="003A0965"/>
    <w:rsid w:val="003A373E"/>
    <w:rsid w:val="003A3D0E"/>
    <w:rsid w:val="003A4424"/>
    <w:rsid w:val="003A530C"/>
    <w:rsid w:val="003A5841"/>
    <w:rsid w:val="003A7146"/>
    <w:rsid w:val="003A7B17"/>
    <w:rsid w:val="003B29B0"/>
    <w:rsid w:val="003B2DA8"/>
    <w:rsid w:val="003B3044"/>
    <w:rsid w:val="003B6A0E"/>
    <w:rsid w:val="003B6C2D"/>
    <w:rsid w:val="003C0D20"/>
    <w:rsid w:val="003C16A9"/>
    <w:rsid w:val="003C202D"/>
    <w:rsid w:val="003D47C4"/>
    <w:rsid w:val="003D5B2B"/>
    <w:rsid w:val="003D7CE2"/>
    <w:rsid w:val="003D7E7F"/>
    <w:rsid w:val="003E4413"/>
    <w:rsid w:val="003E5B26"/>
    <w:rsid w:val="003E68E5"/>
    <w:rsid w:val="003E7A95"/>
    <w:rsid w:val="003F09F7"/>
    <w:rsid w:val="003F1AA1"/>
    <w:rsid w:val="003F24BC"/>
    <w:rsid w:val="00402651"/>
    <w:rsid w:val="00402CC7"/>
    <w:rsid w:val="00402D70"/>
    <w:rsid w:val="00403CE4"/>
    <w:rsid w:val="004075A3"/>
    <w:rsid w:val="00407E3D"/>
    <w:rsid w:val="00410A3F"/>
    <w:rsid w:val="0041144F"/>
    <w:rsid w:val="00411B5D"/>
    <w:rsid w:val="004143B1"/>
    <w:rsid w:val="00415A55"/>
    <w:rsid w:val="00425269"/>
    <w:rsid w:val="00425A1E"/>
    <w:rsid w:val="00425FCB"/>
    <w:rsid w:val="00430F1B"/>
    <w:rsid w:val="004327E1"/>
    <w:rsid w:val="00432EA1"/>
    <w:rsid w:val="00434240"/>
    <w:rsid w:val="00434641"/>
    <w:rsid w:val="00434CDD"/>
    <w:rsid w:val="004355D0"/>
    <w:rsid w:val="004355E8"/>
    <w:rsid w:val="00436435"/>
    <w:rsid w:val="00440F0E"/>
    <w:rsid w:val="004428E3"/>
    <w:rsid w:val="004452CF"/>
    <w:rsid w:val="00445460"/>
    <w:rsid w:val="00446B03"/>
    <w:rsid w:val="0044797F"/>
    <w:rsid w:val="00455C2A"/>
    <w:rsid w:val="00463E17"/>
    <w:rsid w:val="00472F61"/>
    <w:rsid w:val="00475FBD"/>
    <w:rsid w:val="00481DE1"/>
    <w:rsid w:val="00484DBC"/>
    <w:rsid w:val="00487812"/>
    <w:rsid w:val="0049045C"/>
    <w:rsid w:val="00490BA0"/>
    <w:rsid w:val="00493FF3"/>
    <w:rsid w:val="00494834"/>
    <w:rsid w:val="0049486C"/>
    <w:rsid w:val="004A1AC6"/>
    <w:rsid w:val="004A2F70"/>
    <w:rsid w:val="004A409F"/>
    <w:rsid w:val="004A4447"/>
    <w:rsid w:val="004A48D9"/>
    <w:rsid w:val="004A6B2D"/>
    <w:rsid w:val="004B20B1"/>
    <w:rsid w:val="004B2C3F"/>
    <w:rsid w:val="004B30B7"/>
    <w:rsid w:val="004B5799"/>
    <w:rsid w:val="004D5695"/>
    <w:rsid w:val="004D665B"/>
    <w:rsid w:val="004D7B86"/>
    <w:rsid w:val="004F53E6"/>
    <w:rsid w:val="004F54FF"/>
    <w:rsid w:val="00503218"/>
    <w:rsid w:val="0050457F"/>
    <w:rsid w:val="00505873"/>
    <w:rsid w:val="00506F28"/>
    <w:rsid w:val="005146EC"/>
    <w:rsid w:val="00515608"/>
    <w:rsid w:val="00515BBE"/>
    <w:rsid w:val="005169CB"/>
    <w:rsid w:val="00517337"/>
    <w:rsid w:val="005173FC"/>
    <w:rsid w:val="00524226"/>
    <w:rsid w:val="00527330"/>
    <w:rsid w:val="00530F76"/>
    <w:rsid w:val="00536596"/>
    <w:rsid w:val="005366FF"/>
    <w:rsid w:val="0053679C"/>
    <w:rsid w:val="00537A32"/>
    <w:rsid w:val="0054537C"/>
    <w:rsid w:val="005459C4"/>
    <w:rsid w:val="0054602B"/>
    <w:rsid w:val="00546375"/>
    <w:rsid w:val="005535B7"/>
    <w:rsid w:val="0055533E"/>
    <w:rsid w:val="005620CA"/>
    <w:rsid w:val="00564EAF"/>
    <w:rsid w:val="00565D66"/>
    <w:rsid w:val="00567D26"/>
    <w:rsid w:val="00572401"/>
    <w:rsid w:val="005732E6"/>
    <w:rsid w:val="00575EE1"/>
    <w:rsid w:val="00577C30"/>
    <w:rsid w:val="005812FF"/>
    <w:rsid w:val="005819C8"/>
    <w:rsid w:val="0058422E"/>
    <w:rsid w:val="005847D8"/>
    <w:rsid w:val="00584B84"/>
    <w:rsid w:val="005861FB"/>
    <w:rsid w:val="00586329"/>
    <w:rsid w:val="005905A0"/>
    <w:rsid w:val="00591EC0"/>
    <w:rsid w:val="00592C30"/>
    <w:rsid w:val="00594EB7"/>
    <w:rsid w:val="00597535"/>
    <w:rsid w:val="005A4678"/>
    <w:rsid w:val="005A54B4"/>
    <w:rsid w:val="005A7050"/>
    <w:rsid w:val="005B010A"/>
    <w:rsid w:val="005B22B4"/>
    <w:rsid w:val="005B3CBC"/>
    <w:rsid w:val="005B510A"/>
    <w:rsid w:val="005B68AF"/>
    <w:rsid w:val="005B7B6E"/>
    <w:rsid w:val="005C0740"/>
    <w:rsid w:val="005C18D0"/>
    <w:rsid w:val="005C4A48"/>
    <w:rsid w:val="005D1B66"/>
    <w:rsid w:val="005D2A3E"/>
    <w:rsid w:val="005E2026"/>
    <w:rsid w:val="005E237E"/>
    <w:rsid w:val="005F32BD"/>
    <w:rsid w:val="005F4914"/>
    <w:rsid w:val="005F5DF6"/>
    <w:rsid w:val="005F5FA1"/>
    <w:rsid w:val="005F7D42"/>
    <w:rsid w:val="0060088C"/>
    <w:rsid w:val="006019B4"/>
    <w:rsid w:val="00601A38"/>
    <w:rsid w:val="00602184"/>
    <w:rsid w:val="00604F05"/>
    <w:rsid w:val="00611D31"/>
    <w:rsid w:val="00611E35"/>
    <w:rsid w:val="006202A1"/>
    <w:rsid w:val="0062319E"/>
    <w:rsid w:val="00625432"/>
    <w:rsid w:val="00626E42"/>
    <w:rsid w:val="00627EDA"/>
    <w:rsid w:val="00636200"/>
    <w:rsid w:val="00641F7A"/>
    <w:rsid w:val="00643B85"/>
    <w:rsid w:val="00645DC7"/>
    <w:rsid w:val="0064724F"/>
    <w:rsid w:val="006507CB"/>
    <w:rsid w:val="00651D68"/>
    <w:rsid w:val="00652D30"/>
    <w:rsid w:val="00656314"/>
    <w:rsid w:val="00657F1A"/>
    <w:rsid w:val="00661BE8"/>
    <w:rsid w:val="006652EA"/>
    <w:rsid w:val="00667B6F"/>
    <w:rsid w:val="00667F82"/>
    <w:rsid w:val="006700AA"/>
    <w:rsid w:val="00672C4C"/>
    <w:rsid w:val="006767A9"/>
    <w:rsid w:val="00677A0D"/>
    <w:rsid w:val="0068306C"/>
    <w:rsid w:val="00683087"/>
    <w:rsid w:val="0068420E"/>
    <w:rsid w:val="00685653"/>
    <w:rsid w:val="00691D0A"/>
    <w:rsid w:val="00692053"/>
    <w:rsid w:val="006930D1"/>
    <w:rsid w:val="006931AD"/>
    <w:rsid w:val="006940BB"/>
    <w:rsid w:val="00696CF0"/>
    <w:rsid w:val="00697001"/>
    <w:rsid w:val="00697005"/>
    <w:rsid w:val="006A1788"/>
    <w:rsid w:val="006A3C0C"/>
    <w:rsid w:val="006A666D"/>
    <w:rsid w:val="006B2D99"/>
    <w:rsid w:val="006B6E38"/>
    <w:rsid w:val="006D208E"/>
    <w:rsid w:val="006D58E2"/>
    <w:rsid w:val="006D7B6B"/>
    <w:rsid w:val="006E3838"/>
    <w:rsid w:val="006E3C40"/>
    <w:rsid w:val="006E7699"/>
    <w:rsid w:val="006E7CA1"/>
    <w:rsid w:val="006F27AC"/>
    <w:rsid w:val="006F3E5C"/>
    <w:rsid w:val="006F627D"/>
    <w:rsid w:val="0070043E"/>
    <w:rsid w:val="00701CB8"/>
    <w:rsid w:val="00701E47"/>
    <w:rsid w:val="00705F80"/>
    <w:rsid w:val="00707E57"/>
    <w:rsid w:val="00707F49"/>
    <w:rsid w:val="007103B5"/>
    <w:rsid w:val="007213BB"/>
    <w:rsid w:val="00724D25"/>
    <w:rsid w:val="0072758F"/>
    <w:rsid w:val="007314EF"/>
    <w:rsid w:val="0073497B"/>
    <w:rsid w:val="0073763E"/>
    <w:rsid w:val="007452A0"/>
    <w:rsid w:val="00745FCA"/>
    <w:rsid w:val="00747943"/>
    <w:rsid w:val="00752BD5"/>
    <w:rsid w:val="00753090"/>
    <w:rsid w:val="0075573F"/>
    <w:rsid w:val="00756861"/>
    <w:rsid w:val="00756D99"/>
    <w:rsid w:val="00756F20"/>
    <w:rsid w:val="00760772"/>
    <w:rsid w:val="00760DDE"/>
    <w:rsid w:val="007620AE"/>
    <w:rsid w:val="00763525"/>
    <w:rsid w:val="0076692C"/>
    <w:rsid w:val="00772715"/>
    <w:rsid w:val="00773E2E"/>
    <w:rsid w:val="0077536C"/>
    <w:rsid w:val="00781E8C"/>
    <w:rsid w:val="00782538"/>
    <w:rsid w:val="007828DD"/>
    <w:rsid w:val="00783FAB"/>
    <w:rsid w:val="00785B13"/>
    <w:rsid w:val="00791AAC"/>
    <w:rsid w:val="00793EF5"/>
    <w:rsid w:val="00795969"/>
    <w:rsid w:val="007A16B5"/>
    <w:rsid w:val="007A6AF0"/>
    <w:rsid w:val="007B44CD"/>
    <w:rsid w:val="007B4836"/>
    <w:rsid w:val="007C2010"/>
    <w:rsid w:val="007C2103"/>
    <w:rsid w:val="007C2C6C"/>
    <w:rsid w:val="007C5020"/>
    <w:rsid w:val="007C7F2A"/>
    <w:rsid w:val="007D12B2"/>
    <w:rsid w:val="007D1F16"/>
    <w:rsid w:val="007D4E08"/>
    <w:rsid w:val="007E00A8"/>
    <w:rsid w:val="007E0609"/>
    <w:rsid w:val="007E16D6"/>
    <w:rsid w:val="007E2197"/>
    <w:rsid w:val="007E3446"/>
    <w:rsid w:val="007E3447"/>
    <w:rsid w:val="007E34BC"/>
    <w:rsid w:val="007E36E5"/>
    <w:rsid w:val="007E6EC6"/>
    <w:rsid w:val="007F4757"/>
    <w:rsid w:val="007F563E"/>
    <w:rsid w:val="007F5CED"/>
    <w:rsid w:val="00803447"/>
    <w:rsid w:val="008035CF"/>
    <w:rsid w:val="0080584E"/>
    <w:rsid w:val="00805FEB"/>
    <w:rsid w:val="00811E34"/>
    <w:rsid w:val="00812C37"/>
    <w:rsid w:val="008134D5"/>
    <w:rsid w:val="00813A38"/>
    <w:rsid w:val="00823B66"/>
    <w:rsid w:val="00824A98"/>
    <w:rsid w:val="00827A64"/>
    <w:rsid w:val="008310AA"/>
    <w:rsid w:val="00834114"/>
    <w:rsid w:val="00844D23"/>
    <w:rsid w:val="0084651C"/>
    <w:rsid w:val="008517D8"/>
    <w:rsid w:val="00855239"/>
    <w:rsid w:val="00856BC4"/>
    <w:rsid w:val="00862D59"/>
    <w:rsid w:val="008645D1"/>
    <w:rsid w:val="00865A58"/>
    <w:rsid w:val="00866A78"/>
    <w:rsid w:val="00867101"/>
    <w:rsid w:val="008755D8"/>
    <w:rsid w:val="0088497A"/>
    <w:rsid w:val="00887CC6"/>
    <w:rsid w:val="00890031"/>
    <w:rsid w:val="00891051"/>
    <w:rsid w:val="008A1BC6"/>
    <w:rsid w:val="008A1F97"/>
    <w:rsid w:val="008A6224"/>
    <w:rsid w:val="008B478B"/>
    <w:rsid w:val="008B61B7"/>
    <w:rsid w:val="008C1284"/>
    <w:rsid w:val="008C4047"/>
    <w:rsid w:val="008C48EF"/>
    <w:rsid w:val="008C497B"/>
    <w:rsid w:val="008C76FD"/>
    <w:rsid w:val="008D3ADE"/>
    <w:rsid w:val="008D72EA"/>
    <w:rsid w:val="008D7625"/>
    <w:rsid w:val="008E30D6"/>
    <w:rsid w:val="008E30D9"/>
    <w:rsid w:val="008E5F27"/>
    <w:rsid w:val="008E68D3"/>
    <w:rsid w:val="008E79DF"/>
    <w:rsid w:val="008F002D"/>
    <w:rsid w:val="008F1942"/>
    <w:rsid w:val="008F327D"/>
    <w:rsid w:val="008F43E8"/>
    <w:rsid w:val="009020F3"/>
    <w:rsid w:val="00902A26"/>
    <w:rsid w:val="00903257"/>
    <w:rsid w:val="009048A2"/>
    <w:rsid w:val="00905C61"/>
    <w:rsid w:val="00907D61"/>
    <w:rsid w:val="00910064"/>
    <w:rsid w:val="009114DC"/>
    <w:rsid w:val="00911D92"/>
    <w:rsid w:val="009121D3"/>
    <w:rsid w:val="009176F5"/>
    <w:rsid w:val="009207DD"/>
    <w:rsid w:val="00933AD6"/>
    <w:rsid w:val="00937727"/>
    <w:rsid w:val="009421AA"/>
    <w:rsid w:val="0094476A"/>
    <w:rsid w:val="0094774B"/>
    <w:rsid w:val="00970AAB"/>
    <w:rsid w:val="00974504"/>
    <w:rsid w:val="00974603"/>
    <w:rsid w:val="00975A4A"/>
    <w:rsid w:val="00976413"/>
    <w:rsid w:val="009767B4"/>
    <w:rsid w:val="00977D37"/>
    <w:rsid w:val="009807AE"/>
    <w:rsid w:val="0098771A"/>
    <w:rsid w:val="00990334"/>
    <w:rsid w:val="00991158"/>
    <w:rsid w:val="0099199E"/>
    <w:rsid w:val="00995C44"/>
    <w:rsid w:val="009A04A5"/>
    <w:rsid w:val="009A35A0"/>
    <w:rsid w:val="009A5D85"/>
    <w:rsid w:val="009A7CFA"/>
    <w:rsid w:val="009B0C51"/>
    <w:rsid w:val="009B2183"/>
    <w:rsid w:val="009B29AC"/>
    <w:rsid w:val="009B4B7F"/>
    <w:rsid w:val="009B4D0C"/>
    <w:rsid w:val="009B5480"/>
    <w:rsid w:val="009B5A29"/>
    <w:rsid w:val="009C0F35"/>
    <w:rsid w:val="009C10C1"/>
    <w:rsid w:val="009C4F55"/>
    <w:rsid w:val="009C5E5D"/>
    <w:rsid w:val="009D23FB"/>
    <w:rsid w:val="009D685F"/>
    <w:rsid w:val="009D7562"/>
    <w:rsid w:val="009D7F9A"/>
    <w:rsid w:val="009E0803"/>
    <w:rsid w:val="009E7C1C"/>
    <w:rsid w:val="009F13BF"/>
    <w:rsid w:val="009F1D34"/>
    <w:rsid w:val="009F4C47"/>
    <w:rsid w:val="009F528F"/>
    <w:rsid w:val="009F6AC9"/>
    <w:rsid w:val="00A00DB3"/>
    <w:rsid w:val="00A01C01"/>
    <w:rsid w:val="00A105DA"/>
    <w:rsid w:val="00A13AB2"/>
    <w:rsid w:val="00A20031"/>
    <w:rsid w:val="00A202D5"/>
    <w:rsid w:val="00A23CDC"/>
    <w:rsid w:val="00A24596"/>
    <w:rsid w:val="00A24B24"/>
    <w:rsid w:val="00A25E6C"/>
    <w:rsid w:val="00A4015D"/>
    <w:rsid w:val="00A40E3D"/>
    <w:rsid w:val="00A40EA6"/>
    <w:rsid w:val="00A41EE9"/>
    <w:rsid w:val="00A42C9C"/>
    <w:rsid w:val="00A47C4E"/>
    <w:rsid w:val="00A52753"/>
    <w:rsid w:val="00A550E8"/>
    <w:rsid w:val="00A556D1"/>
    <w:rsid w:val="00A56E8B"/>
    <w:rsid w:val="00A62457"/>
    <w:rsid w:val="00A71133"/>
    <w:rsid w:val="00A7209C"/>
    <w:rsid w:val="00A72B63"/>
    <w:rsid w:val="00A73E26"/>
    <w:rsid w:val="00A761C7"/>
    <w:rsid w:val="00A77D42"/>
    <w:rsid w:val="00A814AA"/>
    <w:rsid w:val="00A82E17"/>
    <w:rsid w:val="00A85075"/>
    <w:rsid w:val="00A90245"/>
    <w:rsid w:val="00A93F1F"/>
    <w:rsid w:val="00AA12F7"/>
    <w:rsid w:val="00AA3173"/>
    <w:rsid w:val="00AA3A3E"/>
    <w:rsid w:val="00AA4C0D"/>
    <w:rsid w:val="00AB19B6"/>
    <w:rsid w:val="00AB6D31"/>
    <w:rsid w:val="00AC4EAF"/>
    <w:rsid w:val="00AC6ABA"/>
    <w:rsid w:val="00AD1C80"/>
    <w:rsid w:val="00AD2E24"/>
    <w:rsid w:val="00AD46E5"/>
    <w:rsid w:val="00AD53D5"/>
    <w:rsid w:val="00AD5627"/>
    <w:rsid w:val="00AD65C9"/>
    <w:rsid w:val="00AD6639"/>
    <w:rsid w:val="00AD6BC0"/>
    <w:rsid w:val="00AE3BD2"/>
    <w:rsid w:val="00AE4A25"/>
    <w:rsid w:val="00AE5CCB"/>
    <w:rsid w:val="00AE7179"/>
    <w:rsid w:val="00AF0E79"/>
    <w:rsid w:val="00AF58D0"/>
    <w:rsid w:val="00AF6215"/>
    <w:rsid w:val="00AF6F6E"/>
    <w:rsid w:val="00B00A18"/>
    <w:rsid w:val="00B0644A"/>
    <w:rsid w:val="00B106E6"/>
    <w:rsid w:val="00B11323"/>
    <w:rsid w:val="00B12789"/>
    <w:rsid w:val="00B13A2F"/>
    <w:rsid w:val="00B145D2"/>
    <w:rsid w:val="00B178D3"/>
    <w:rsid w:val="00B22F73"/>
    <w:rsid w:val="00B339F8"/>
    <w:rsid w:val="00B369D9"/>
    <w:rsid w:val="00B4065C"/>
    <w:rsid w:val="00B43512"/>
    <w:rsid w:val="00B52CD8"/>
    <w:rsid w:val="00B604EB"/>
    <w:rsid w:val="00B6108C"/>
    <w:rsid w:val="00B67F7B"/>
    <w:rsid w:val="00B70CC3"/>
    <w:rsid w:val="00B739E2"/>
    <w:rsid w:val="00B8151D"/>
    <w:rsid w:val="00B819AA"/>
    <w:rsid w:val="00B923A2"/>
    <w:rsid w:val="00B95667"/>
    <w:rsid w:val="00BA1446"/>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011A"/>
    <w:rsid w:val="00BF2A9B"/>
    <w:rsid w:val="00BF3DAE"/>
    <w:rsid w:val="00BF67C8"/>
    <w:rsid w:val="00C02595"/>
    <w:rsid w:val="00C034C3"/>
    <w:rsid w:val="00C04F87"/>
    <w:rsid w:val="00C101B1"/>
    <w:rsid w:val="00C12197"/>
    <w:rsid w:val="00C1330A"/>
    <w:rsid w:val="00C145EB"/>
    <w:rsid w:val="00C17D4D"/>
    <w:rsid w:val="00C2416A"/>
    <w:rsid w:val="00C30E45"/>
    <w:rsid w:val="00C321FF"/>
    <w:rsid w:val="00C325A5"/>
    <w:rsid w:val="00C36A15"/>
    <w:rsid w:val="00C3701B"/>
    <w:rsid w:val="00C37043"/>
    <w:rsid w:val="00C4300F"/>
    <w:rsid w:val="00C45661"/>
    <w:rsid w:val="00C45889"/>
    <w:rsid w:val="00C46B2B"/>
    <w:rsid w:val="00C4745B"/>
    <w:rsid w:val="00C5010C"/>
    <w:rsid w:val="00C62BC1"/>
    <w:rsid w:val="00C64798"/>
    <w:rsid w:val="00C64879"/>
    <w:rsid w:val="00C66953"/>
    <w:rsid w:val="00C73133"/>
    <w:rsid w:val="00C731FA"/>
    <w:rsid w:val="00C75F26"/>
    <w:rsid w:val="00C7617C"/>
    <w:rsid w:val="00C76C71"/>
    <w:rsid w:val="00C82C91"/>
    <w:rsid w:val="00C846A2"/>
    <w:rsid w:val="00C90EFC"/>
    <w:rsid w:val="00C90FC4"/>
    <w:rsid w:val="00C94D15"/>
    <w:rsid w:val="00C954B7"/>
    <w:rsid w:val="00C9591A"/>
    <w:rsid w:val="00CA46AC"/>
    <w:rsid w:val="00CA4F71"/>
    <w:rsid w:val="00CB337B"/>
    <w:rsid w:val="00CB45D5"/>
    <w:rsid w:val="00CB7A83"/>
    <w:rsid w:val="00CC3AE0"/>
    <w:rsid w:val="00CC3C0B"/>
    <w:rsid w:val="00CC3CD3"/>
    <w:rsid w:val="00CC4C6D"/>
    <w:rsid w:val="00CC5C99"/>
    <w:rsid w:val="00CD20F8"/>
    <w:rsid w:val="00CD3705"/>
    <w:rsid w:val="00CD6E72"/>
    <w:rsid w:val="00CE1D98"/>
    <w:rsid w:val="00CE3B88"/>
    <w:rsid w:val="00CE3EA5"/>
    <w:rsid w:val="00CF1C96"/>
    <w:rsid w:val="00CF5A8C"/>
    <w:rsid w:val="00CF7904"/>
    <w:rsid w:val="00D010D3"/>
    <w:rsid w:val="00D02448"/>
    <w:rsid w:val="00D05A8C"/>
    <w:rsid w:val="00D119DD"/>
    <w:rsid w:val="00D14A9D"/>
    <w:rsid w:val="00D17A67"/>
    <w:rsid w:val="00D17FC6"/>
    <w:rsid w:val="00D217D1"/>
    <w:rsid w:val="00D2517F"/>
    <w:rsid w:val="00D3758C"/>
    <w:rsid w:val="00D408E5"/>
    <w:rsid w:val="00D44942"/>
    <w:rsid w:val="00D46134"/>
    <w:rsid w:val="00D468A9"/>
    <w:rsid w:val="00D50946"/>
    <w:rsid w:val="00D5387E"/>
    <w:rsid w:val="00D56A3B"/>
    <w:rsid w:val="00D61A73"/>
    <w:rsid w:val="00D63270"/>
    <w:rsid w:val="00D63CDD"/>
    <w:rsid w:val="00D66B65"/>
    <w:rsid w:val="00D70EAE"/>
    <w:rsid w:val="00D73415"/>
    <w:rsid w:val="00D74B9B"/>
    <w:rsid w:val="00D76FF4"/>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C7757"/>
    <w:rsid w:val="00DD1234"/>
    <w:rsid w:val="00DD408F"/>
    <w:rsid w:val="00DD5F43"/>
    <w:rsid w:val="00DD651A"/>
    <w:rsid w:val="00DD7496"/>
    <w:rsid w:val="00DD7B03"/>
    <w:rsid w:val="00DE02BB"/>
    <w:rsid w:val="00DE5F92"/>
    <w:rsid w:val="00DE715E"/>
    <w:rsid w:val="00DE7C37"/>
    <w:rsid w:val="00DF0568"/>
    <w:rsid w:val="00DF13F3"/>
    <w:rsid w:val="00DF3683"/>
    <w:rsid w:val="00DF46B2"/>
    <w:rsid w:val="00DF61B7"/>
    <w:rsid w:val="00E00B50"/>
    <w:rsid w:val="00E01C32"/>
    <w:rsid w:val="00E01F85"/>
    <w:rsid w:val="00E02E51"/>
    <w:rsid w:val="00E03E3D"/>
    <w:rsid w:val="00E0694E"/>
    <w:rsid w:val="00E10FFE"/>
    <w:rsid w:val="00E1257E"/>
    <w:rsid w:val="00E24DA9"/>
    <w:rsid w:val="00E24E50"/>
    <w:rsid w:val="00E251EE"/>
    <w:rsid w:val="00E302D5"/>
    <w:rsid w:val="00E32A2B"/>
    <w:rsid w:val="00E33927"/>
    <w:rsid w:val="00E33FED"/>
    <w:rsid w:val="00E43542"/>
    <w:rsid w:val="00E5541C"/>
    <w:rsid w:val="00E55D04"/>
    <w:rsid w:val="00E60A2A"/>
    <w:rsid w:val="00E62C51"/>
    <w:rsid w:val="00E631F9"/>
    <w:rsid w:val="00E662FD"/>
    <w:rsid w:val="00E72FD0"/>
    <w:rsid w:val="00E757D0"/>
    <w:rsid w:val="00E767BE"/>
    <w:rsid w:val="00E83F5A"/>
    <w:rsid w:val="00E8671C"/>
    <w:rsid w:val="00E90298"/>
    <w:rsid w:val="00E916A2"/>
    <w:rsid w:val="00E91930"/>
    <w:rsid w:val="00EA6D4F"/>
    <w:rsid w:val="00EA716A"/>
    <w:rsid w:val="00EA7EA8"/>
    <w:rsid w:val="00EC0528"/>
    <w:rsid w:val="00EC0A15"/>
    <w:rsid w:val="00EE412B"/>
    <w:rsid w:val="00EF4ACB"/>
    <w:rsid w:val="00F00674"/>
    <w:rsid w:val="00F03635"/>
    <w:rsid w:val="00F0455E"/>
    <w:rsid w:val="00F0609A"/>
    <w:rsid w:val="00F070E1"/>
    <w:rsid w:val="00F1230D"/>
    <w:rsid w:val="00F13210"/>
    <w:rsid w:val="00F14BCE"/>
    <w:rsid w:val="00F209A2"/>
    <w:rsid w:val="00F21042"/>
    <w:rsid w:val="00F21F61"/>
    <w:rsid w:val="00F21FAC"/>
    <w:rsid w:val="00F3264E"/>
    <w:rsid w:val="00F347FC"/>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19AE"/>
    <w:rsid w:val="00F9205E"/>
    <w:rsid w:val="00F92FA5"/>
    <w:rsid w:val="00F935BD"/>
    <w:rsid w:val="00F95BB8"/>
    <w:rsid w:val="00F96889"/>
    <w:rsid w:val="00FA2A78"/>
    <w:rsid w:val="00FA3753"/>
    <w:rsid w:val="00FA6309"/>
    <w:rsid w:val="00FA6319"/>
    <w:rsid w:val="00FB14CA"/>
    <w:rsid w:val="00FB46DD"/>
    <w:rsid w:val="00FB53BC"/>
    <w:rsid w:val="00FB656A"/>
    <w:rsid w:val="00FB7019"/>
    <w:rsid w:val="00FC522B"/>
    <w:rsid w:val="00FD0A30"/>
    <w:rsid w:val="00FD1A80"/>
    <w:rsid w:val="00FD2E60"/>
    <w:rsid w:val="00FD4031"/>
    <w:rsid w:val="00FD5000"/>
    <w:rsid w:val="00FE2F0A"/>
    <w:rsid w:val="00FE312C"/>
    <w:rsid w:val="00FE38B7"/>
    <w:rsid w:val="00FF2A10"/>
    <w:rsid w:val="00FF4BE1"/>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8B9FA9E"/>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7F20"/>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479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2ccae5fa-19e2-410c-9927-e9b203bf454a"/>
    <ds:schemaRef ds:uri="http://www.w3.org/XML/1998/namespace"/>
    <ds:schemaRef ds:uri="http://purl.org/dc/terms/"/>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1BBDA5C6-D4A7-444B-9196-6E214EFAF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8B54F-2F13-4B67-B77C-DA95FD58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BAKER,Fiona</cp:lastModifiedBy>
  <cp:revision>3</cp:revision>
  <cp:lastPrinted>2021-01-07T04:15:00Z</cp:lastPrinted>
  <dcterms:created xsi:type="dcterms:W3CDTF">2021-02-11T04:10:00Z</dcterms:created>
  <dcterms:modified xsi:type="dcterms:W3CDTF">2021-02-11T04:10:00Z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