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9DCFF" w14:textId="77777777" w:rsidR="00715914" w:rsidRPr="005F1388" w:rsidRDefault="004A10FC" w:rsidP="00715914">
      <w:pPr>
        <w:rPr>
          <w:sz w:val="28"/>
        </w:rPr>
      </w:pPr>
      <w:r>
        <w:rPr>
          <w:noProof/>
          <w:sz w:val="28"/>
          <w:lang w:eastAsia="en-AU"/>
        </w:rPr>
        <w:drawing>
          <wp:inline distT="0" distB="0" distL="0" distR="0" wp14:anchorId="290F1B96" wp14:editId="43A2250E">
            <wp:extent cx="2468827" cy="152908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keovers_stacked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61" cy="153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1BCB" w14:textId="77777777" w:rsidR="00715914" w:rsidRPr="00E500D4" w:rsidRDefault="00715914" w:rsidP="00715914">
      <w:pPr>
        <w:rPr>
          <w:sz w:val="19"/>
        </w:rPr>
      </w:pPr>
    </w:p>
    <w:p w14:paraId="58072FEF" w14:textId="77777777" w:rsidR="00EE5D6C" w:rsidRPr="00E500D4" w:rsidRDefault="00EE5D6C" w:rsidP="00EE5D6C">
      <w:pPr>
        <w:pStyle w:val="ShortT"/>
      </w:pPr>
      <w:r w:rsidRPr="008A47E1">
        <w:t xml:space="preserve">Takeovers Panel Procedural Rules 2020 </w:t>
      </w:r>
    </w:p>
    <w:p w14:paraId="26C6C0F6" w14:textId="77777777" w:rsidR="00EE5D6C" w:rsidRDefault="00EE5D6C" w:rsidP="00EE5D6C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Takeovers Panel makes the following Rules.</w:t>
      </w:r>
    </w:p>
    <w:p w14:paraId="6FC73ED5" w14:textId="77777777" w:rsidR="009C2FDB" w:rsidRDefault="00EE5D6C" w:rsidP="00EE5D6C">
      <w:pPr>
        <w:keepNext/>
        <w:spacing w:before="300" w:line="240" w:lineRule="atLeast"/>
        <w:ind w:right="397"/>
        <w:jc w:val="both"/>
        <w:rPr>
          <w:szCs w:val="22"/>
        </w:rPr>
      </w:pPr>
      <w:r w:rsidRPr="00646742">
        <w:rPr>
          <w:szCs w:val="22"/>
        </w:rPr>
        <w:t xml:space="preserve">Dated </w:t>
      </w:r>
      <w:r w:rsidR="009C2FDB">
        <w:rPr>
          <w:szCs w:val="22"/>
        </w:rPr>
        <w:t xml:space="preserve">3 </w:t>
      </w:r>
      <w:r w:rsidR="00F63BAF">
        <w:rPr>
          <w:szCs w:val="22"/>
        </w:rPr>
        <w:t>December 2020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</w:p>
    <w:p w14:paraId="31E56EBE" w14:textId="5A3DBA2E" w:rsidR="00EE5D6C" w:rsidRPr="00001A63" w:rsidRDefault="004A5168" w:rsidP="009C2FDB">
      <w:pPr>
        <w:keepNext/>
        <w:spacing w:before="600" w:line="240" w:lineRule="atLeast"/>
        <w:ind w:right="397"/>
        <w:jc w:val="both"/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 w:rsidR="00EE5D6C">
        <w:rPr>
          <w:szCs w:val="22"/>
        </w:rPr>
        <w:tab/>
      </w:r>
      <w:r w:rsidR="00EE5D6C" w:rsidRPr="00001A63">
        <w:rPr>
          <w:szCs w:val="22"/>
        </w:rPr>
        <w:tab/>
      </w:r>
    </w:p>
    <w:p w14:paraId="49D62C8A" w14:textId="52C4DA68" w:rsidR="00EE5D6C" w:rsidRDefault="00EE5D6C" w:rsidP="009C2FDB">
      <w:pPr>
        <w:keepNext/>
        <w:tabs>
          <w:tab w:val="left" w:pos="3402"/>
        </w:tabs>
        <w:spacing w:before="360" w:line="300" w:lineRule="atLeast"/>
        <w:ind w:right="397"/>
        <w:rPr>
          <w:b/>
          <w:szCs w:val="22"/>
        </w:rPr>
      </w:pPr>
      <w:r w:rsidRPr="008A47E1">
        <w:rPr>
          <w:szCs w:val="22"/>
        </w:rPr>
        <w:t>Alex Cartel</w:t>
      </w:r>
      <w:r w:rsidRPr="00A75FE9">
        <w:rPr>
          <w:szCs w:val="22"/>
        </w:rPr>
        <w:t xml:space="preserve"> </w:t>
      </w:r>
    </w:p>
    <w:p w14:paraId="387788D8" w14:textId="77777777" w:rsidR="00EE5D6C" w:rsidRPr="008A47E1" w:rsidRDefault="00EE5D6C" w:rsidP="00EE5D6C">
      <w:pPr>
        <w:pStyle w:val="SignCoverPageEnd"/>
        <w:ind w:right="91"/>
        <w:rPr>
          <w:sz w:val="22"/>
        </w:rPr>
      </w:pPr>
      <w:r w:rsidRPr="008A47E1">
        <w:rPr>
          <w:sz w:val="22"/>
        </w:rPr>
        <w:t>President</w:t>
      </w:r>
    </w:p>
    <w:p w14:paraId="5CC990B9" w14:textId="77777777" w:rsidR="00EE5D6C" w:rsidRPr="008A47E1" w:rsidRDefault="00EE5D6C" w:rsidP="00EE5D6C">
      <w:pPr>
        <w:pStyle w:val="SignCoverPageEnd"/>
        <w:ind w:right="91"/>
        <w:rPr>
          <w:sz w:val="22"/>
        </w:rPr>
      </w:pPr>
      <w:r w:rsidRPr="008A47E1">
        <w:rPr>
          <w:sz w:val="22"/>
        </w:rPr>
        <w:t>Takeovers Panel</w:t>
      </w:r>
    </w:p>
    <w:p w14:paraId="3BC1E345" w14:textId="77777777" w:rsidR="00EE5D6C" w:rsidRPr="008A47E1" w:rsidRDefault="00EE5D6C" w:rsidP="00EE5D6C">
      <w:pPr>
        <w:rPr>
          <w:highlight w:val="yellow"/>
          <w:lang w:eastAsia="en-AU"/>
        </w:rPr>
      </w:pPr>
    </w:p>
    <w:p w14:paraId="1838B4A5" w14:textId="77777777" w:rsidR="00554826" w:rsidRPr="00ED79B6" w:rsidRDefault="00554826" w:rsidP="00554826"/>
    <w:p w14:paraId="5276EAF8" w14:textId="77777777" w:rsidR="00F6696E" w:rsidRDefault="00F6696E" w:rsidP="00F6696E"/>
    <w:p w14:paraId="3720FB72" w14:textId="62882072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075B059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589A6EF" w14:textId="7E4924C5" w:rsidR="009C2FDB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C2FDB">
        <w:rPr>
          <w:noProof/>
        </w:rPr>
        <w:t>Part 1 Preliminary</w:t>
      </w:r>
      <w:r w:rsidR="009C2FDB">
        <w:rPr>
          <w:noProof/>
        </w:rPr>
        <w:tab/>
      </w:r>
      <w:r w:rsidR="009C2FDB">
        <w:rPr>
          <w:noProof/>
        </w:rPr>
        <w:fldChar w:fldCharType="begin"/>
      </w:r>
      <w:r w:rsidR="009C2FDB">
        <w:rPr>
          <w:noProof/>
        </w:rPr>
        <w:instrText xml:space="preserve"> PAGEREF _Toc58416914 \h </w:instrText>
      </w:r>
      <w:r w:rsidR="009C2FDB">
        <w:rPr>
          <w:noProof/>
        </w:rPr>
      </w:r>
      <w:r w:rsidR="009C2FDB">
        <w:rPr>
          <w:noProof/>
        </w:rPr>
        <w:fldChar w:fldCharType="separate"/>
      </w:r>
      <w:r w:rsidR="009C2FDB">
        <w:rPr>
          <w:noProof/>
        </w:rPr>
        <w:t>1</w:t>
      </w:r>
      <w:r w:rsidR="009C2FDB">
        <w:rPr>
          <w:noProof/>
        </w:rPr>
        <w:fldChar w:fldCharType="end"/>
      </w:r>
    </w:p>
    <w:p w14:paraId="0CD5E51C" w14:textId="7B7CB860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C32530" w14:textId="58D9709D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7656E3" w14:textId="30ADE107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F021FF" w14:textId="077A3F1B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55242E" w14:textId="0FAC7B98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59CBCF" w14:textId="1B119D7F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EC8888" w14:textId="196A4969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73EBC6B" w14:textId="4E4AD0EE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Application of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CF4E2E" w14:textId="3CD9F24B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Guidelines to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F7178B" w14:textId="57C123F3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D4F31B8" w14:textId="7A00725D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33545C" w14:textId="3ADDC93C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Provision of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6381235" w14:textId="5E7974D5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Withholding information or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01F4B5A" w14:textId="0FF91DE1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4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B9A9C33" w14:textId="66E8B509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Application under section 657C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5674EEE" w14:textId="572E5BC0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Application for review of ASIC decision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74BEAC9" w14:textId="622F3BC5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Application for review of Panel decision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67AF144" w14:textId="7ED15423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Withdrawal of an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586AC26" w14:textId="5217470B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5 Parties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A86FD9A" w14:textId="59934844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  Seeking to become a party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7BBE7F2" w14:textId="308836DB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  Seeking legal representation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EBDF113" w14:textId="16A5068C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6 Confidentiality and Publicity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7D64EA6" w14:textId="3BFEA9C4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  Confidentiality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39433F6" w14:textId="7FB33240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  Publicity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79A2F4D" w14:textId="5CC3006C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7 Material before the Panel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11542A9" w14:textId="6B0348BA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  Preliminary submissions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7AB353E" w14:textId="320BA10D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  Submissions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E268249" w14:textId="303CF3EB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22  Evidence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661008A" w14:textId="5CD2FD91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23  Conferences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25E75B1" w14:textId="4833C9F6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8 Decision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CD5CCB0" w14:textId="0AFCF4A2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24  Date of decision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11A370E" w14:textId="7DAD497D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9 Court referrals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5BEF9FC" w14:textId="305C4F33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  Referral by Panel to Court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A8939F3" w14:textId="4C609FA6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26  Referral by Court to Takeovers Panel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D80ED6E" w14:textId="76CDB4CE" w:rsidR="009C2FDB" w:rsidRDefault="009C2F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10 Panel and Executive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62159BF" w14:textId="56482539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27  Conflict of interest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87CC47D" w14:textId="36553FFD" w:rsidR="009C2FDB" w:rsidRDefault="009C2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28  Role of Executive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_Toc58416951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68CDDF0" w14:textId="4FAEF213" w:rsidR="00F6696E" w:rsidRPr="00A802BC" w:rsidRDefault="00B418CB" w:rsidP="00F6696E">
      <w:pPr>
        <w:outlineLvl w:val="0"/>
        <w:rPr>
          <w:sz w:val="20"/>
        </w:rPr>
      </w:pPr>
      <w:r>
        <w:fldChar w:fldCharType="end"/>
      </w:r>
    </w:p>
    <w:p w14:paraId="552B1CCC" w14:textId="77777777" w:rsidR="00F6696E" w:rsidRDefault="00F6696E" w:rsidP="00F6696E">
      <w:pPr>
        <w:sectPr w:rsidR="00F6696E" w:rsidSect="00FC52F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FCAB6D" w14:textId="77777777" w:rsidR="00464DB2" w:rsidRPr="00464DB2" w:rsidRDefault="00464DB2" w:rsidP="00464DB2">
      <w:pPr>
        <w:pStyle w:val="ActHead2"/>
        <w:pageBreakBefore/>
      </w:pPr>
      <w:bookmarkStart w:id="1" w:name="_Toc35023526"/>
      <w:bookmarkStart w:id="2" w:name="_Toc58416914"/>
      <w:r w:rsidRPr="00464DB2">
        <w:lastRenderedPageBreak/>
        <w:t>Part 1 Preliminary</w:t>
      </w:r>
      <w:bookmarkEnd w:id="1"/>
      <w:bookmarkEnd w:id="2"/>
    </w:p>
    <w:p w14:paraId="05497554" w14:textId="77777777" w:rsidR="00EE5D6C" w:rsidRPr="00554826" w:rsidRDefault="00EE5D6C" w:rsidP="00EE5D6C">
      <w:pPr>
        <w:pStyle w:val="ActHead5"/>
      </w:pPr>
      <w:bookmarkStart w:id="3" w:name="_Toc35023527"/>
      <w:bookmarkStart w:id="4" w:name="_Toc58416915"/>
      <w:proofErr w:type="gramStart"/>
      <w:r w:rsidRPr="00554826">
        <w:t>1  Name</w:t>
      </w:r>
      <w:bookmarkEnd w:id="3"/>
      <w:bookmarkEnd w:id="4"/>
      <w:proofErr w:type="gramEnd"/>
    </w:p>
    <w:p w14:paraId="6E26CD63" w14:textId="77777777" w:rsidR="00EE5D6C" w:rsidRDefault="00EE5D6C" w:rsidP="00EE5D6C">
      <w:pPr>
        <w:pStyle w:val="subsection"/>
      </w:pPr>
      <w:r w:rsidRPr="009C2562">
        <w:tab/>
      </w:r>
      <w:r w:rsidRPr="009C2562">
        <w:tab/>
        <w:t>Th</w:t>
      </w:r>
      <w:r>
        <w:t xml:space="preserve">ese Rules are the </w:t>
      </w:r>
      <w:r w:rsidRPr="008A47E1">
        <w:rPr>
          <w:i/>
        </w:rPr>
        <w:t>Takeovers Panel Procedural Rules 2020</w:t>
      </w:r>
      <w:r>
        <w:t xml:space="preserve">. </w:t>
      </w:r>
      <w:bookmarkStart w:id="5" w:name="BKCheck15B_3"/>
      <w:bookmarkEnd w:id="5"/>
    </w:p>
    <w:p w14:paraId="61A23FCE" w14:textId="77777777" w:rsidR="00EE5D6C" w:rsidRPr="00554826" w:rsidRDefault="00EE5D6C" w:rsidP="00EE5D6C">
      <w:pPr>
        <w:pStyle w:val="ActHead5"/>
      </w:pPr>
      <w:bookmarkStart w:id="6" w:name="_Toc35023528"/>
      <w:bookmarkStart w:id="7" w:name="_Toc58416916"/>
      <w:proofErr w:type="gramStart"/>
      <w:r w:rsidRPr="00554826">
        <w:t>2  Commencement</w:t>
      </w:r>
      <w:bookmarkEnd w:id="6"/>
      <w:bookmarkEnd w:id="7"/>
      <w:proofErr w:type="gramEnd"/>
    </w:p>
    <w:p w14:paraId="2876B0F5" w14:textId="0A7F7F92" w:rsidR="00EE5D6C" w:rsidRPr="003422B4" w:rsidRDefault="00EE5D6C" w:rsidP="00EE5D6C">
      <w:pPr>
        <w:pStyle w:val="subsection"/>
      </w:pPr>
      <w:r>
        <w:tab/>
      </w:r>
      <w:r>
        <w:tab/>
        <w:t>These Rules com</w:t>
      </w:r>
      <w:r w:rsidRPr="00646742">
        <w:t xml:space="preserve">mence on </w:t>
      </w:r>
      <w:r w:rsidR="00186A0B" w:rsidRPr="00646742">
        <w:t>1 April 2021</w:t>
      </w:r>
      <w:r w:rsidRPr="00646742">
        <w:t>.</w:t>
      </w:r>
    </w:p>
    <w:p w14:paraId="6C6F68CA" w14:textId="77777777" w:rsidR="00EE5D6C" w:rsidRPr="00554826" w:rsidRDefault="00EE5D6C" w:rsidP="00EE5D6C">
      <w:pPr>
        <w:pStyle w:val="ActHead5"/>
      </w:pPr>
      <w:bookmarkStart w:id="8" w:name="_Toc35023529"/>
      <w:bookmarkStart w:id="9" w:name="_Toc58416917"/>
      <w:proofErr w:type="gramStart"/>
      <w:r w:rsidRPr="00554826">
        <w:t>3  Authority</w:t>
      </w:r>
      <w:bookmarkEnd w:id="8"/>
      <w:bookmarkEnd w:id="9"/>
      <w:proofErr w:type="gramEnd"/>
    </w:p>
    <w:p w14:paraId="0913F9A8" w14:textId="6A1AB538" w:rsidR="00EE5D6C" w:rsidRPr="002C24F0" w:rsidRDefault="00545427" w:rsidP="00EE5D6C">
      <w:pPr>
        <w:pStyle w:val="subsection"/>
        <w:rPr>
          <w:b/>
          <w:i/>
        </w:rPr>
      </w:pPr>
      <w:r>
        <w:tab/>
      </w:r>
      <w:r>
        <w:tab/>
      </w:r>
      <w:r w:rsidR="00EE5D6C" w:rsidRPr="009C2562">
        <w:t>Th</w:t>
      </w:r>
      <w:r w:rsidR="00EE5D6C">
        <w:t xml:space="preserve">ese Rules are made under section 195 of </w:t>
      </w:r>
      <w:r w:rsidR="00EE5D6C" w:rsidRPr="00E2182F">
        <w:t>the ASIC Act.</w:t>
      </w:r>
      <w:r w:rsidR="00D82F46">
        <w:t xml:space="preserve">  </w:t>
      </w:r>
    </w:p>
    <w:p w14:paraId="5E5D67A3" w14:textId="77777777" w:rsidR="00EE5D6C" w:rsidRDefault="00EE5D6C" w:rsidP="00EE5D6C">
      <w:pPr>
        <w:pStyle w:val="ActHead5"/>
      </w:pPr>
      <w:bookmarkStart w:id="10" w:name="_Toc35023530"/>
      <w:bookmarkStart w:id="11" w:name="_Toc58416918"/>
      <w:proofErr w:type="gramStart"/>
      <w:r w:rsidRPr="00554826">
        <w:t xml:space="preserve">4  </w:t>
      </w:r>
      <w:r>
        <w:t>Repeal</w:t>
      </w:r>
      <w:bookmarkEnd w:id="10"/>
      <w:bookmarkEnd w:id="11"/>
      <w:proofErr w:type="gramEnd"/>
    </w:p>
    <w:p w14:paraId="405DCE9A" w14:textId="77777777" w:rsidR="00EE5D6C" w:rsidRDefault="00EE5D6C" w:rsidP="00EE5D6C">
      <w:pPr>
        <w:pStyle w:val="Para1"/>
        <w:rPr>
          <w:szCs w:val="22"/>
        </w:rPr>
      </w:pPr>
      <w:r>
        <w:t xml:space="preserve">The </w:t>
      </w:r>
      <w:r w:rsidRPr="00EE5D6C">
        <w:rPr>
          <w:i/>
        </w:rPr>
        <w:t>Procedural Rules to be followed in Panel Proceedings (made on 12 April 2010) (</w:t>
      </w:r>
      <w:r w:rsidRPr="00EE5D6C">
        <w:rPr>
          <w:i/>
          <w:szCs w:val="22"/>
        </w:rPr>
        <w:t>F2010L00948)</w:t>
      </w:r>
      <w:r>
        <w:rPr>
          <w:szCs w:val="22"/>
        </w:rPr>
        <w:t xml:space="preserve"> </w:t>
      </w:r>
      <w:r w:rsidRPr="003F5471">
        <w:rPr>
          <w:szCs w:val="22"/>
        </w:rPr>
        <w:t>are repealed.</w:t>
      </w:r>
    </w:p>
    <w:p w14:paraId="69CBC37B" w14:textId="39AB476F" w:rsidR="00EE5D6C" w:rsidRDefault="00EE5D6C" w:rsidP="00EE5D6C">
      <w:pPr>
        <w:pStyle w:val="Para1"/>
      </w:pPr>
      <w:r>
        <w:t xml:space="preserve">The repeal of the </w:t>
      </w:r>
      <w:r w:rsidR="009F48F4" w:rsidRPr="00EE5D6C">
        <w:rPr>
          <w:i/>
        </w:rPr>
        <w:t>Procedural Rules to be followed in Panel Proceedings (made on 12 April 2010) (</w:t>
      </w:r>
      <w:r w:rsidR="009F48F4" w:rsidRPr="00EE5D6C">
        <w:rPr>
          <w:i/>
          <w:szCs w:val="22"/>
        </w:rPr>
        <w:t>F2010L00948)</w:t>
      </w:r>
      <w:r>
        <w:t xml:space="preserve"> by this section does not affect the continuing operation of th</w:t>
      </w:r>
      <w:r w:rsidR="009F48F4">
        <w:t>os</w:t>
      </w:r>
      <w:r>
        <w:t xml:space="preserve">e </w:t>
      </w:r>
      <w:r w:rsidR="009F48F4">
        <w:t>r</w:t>
      </w:r>
      <w:r>
        <w:t>ules to an application made to the</w:t>
      </w:r>
      <w:r w:rsidR="003B404F">
        <w:t xml:space="preserve"> Takeovers</w:t>
      </w:r>
      <w:r>
        <w:t xml:space="preserve"> Panel before these Rules take effect.</w:t>
      </w:r>
    </w:p>
    <w:p w14:paraId="49174835" w14:textId="77777777" w:rsidR="00EE5D6C" w:rsidRPr="00554826" w:rsidRDefault="00EE5D6C" w:rsidP="00EE5D6C">
      <w:pPr>
        <w:pStyle w:val="ActHead5"/>
      </w:pPr>
      <w:bookmarkStart w:id="12" w:name="_Toc35023531"/>
      <w:bookmarkStart w:id="13" w:name="_Toc58416919"/>
      <w:proofErr w:type="gramStart"/>
      <w:r>
        <w:t>5</w:t>
      </w:r>
      <w:r w:rsidRPr="00554826">
        <w:t xml:space="preserve">  Definitions</w:t>
      </w:r>
      <w:bookmarkEnd w:id="12"/>
      <w:bookmarkEnd w:id="13"/>
      <w:proofErr w:type="gramEnd"/>
    </w:p>
    <w:p w14:paraId="1D3A0321" w14:textId="612DC7AD" w:rsidR="00EE5D6C" w:rsidRDefault="00EE5D6C" w:rsidP="00AB283F">
      <w:pPr>
        <w:pStyle w:val="subsection"/>
        <w:spacing w:after="180"/>
        <w:rPr>
          <w:szCs w:val="22"/>
        </w:rPr>
      </w:pPr>
      <w:r w:rsidRPr="009C2562">
        <w:tab/>
      </w:r>
      <w:r w:rsidRPr="009C2562">
        <w:tab/>
      </w:r>
      <w:r w:rsidRPr="003D7996">
        <w:rPr>
          <w:szCs w:val="22"/>
        </w:rPr>
        <w:t>In th</w:t>
      </w:r>
      <w:r w:rsidR="003D7996">
        <w:rPr>
          <w:szCs w:val="22"/>
        </w:rPr>
        <w:t>ese Rules:</w:t>
      </w:r>
      <w:r w:rsidR="00E26EB9">
        <w:rPr>
          <w:szCs w:val="22"/>
        </w:rPr>
        <w:t xml:space="preserve"> </w:t>
      </w:r>
    </w:p>
    <w:p w14:paraId="55CE2FD2" w14:textId="2C27DE69" w:rsidR="00895E80" w:rsidRPr="00761BC3" w:rsidRDefault="00545427" w:rsidP="000A09FF">
      <w:pPr>
        <w:pStyle w:val="subsection"/>
        <w:rPr>
          <w:szCs w:val="22"/>
        </w:rPr>
      </w:pPr>
      <w:r>
        <w:rPr>
          <w:szCs w:val="22"/>
        </w:rPr>
        <w:tab/>
      </w:r>
      <w:r w:rsidR="00895E80">
        <w:rPr>
          <w:szCs w:val="22"/>
        </w:rPr>
        <w:tab/>
      </w:r>
      <w:proofErr w:type="gramStart"/>
      <w:r w:rsidR="00895E80" w:rsidRPr="00761BC3">
        <w:rPr>
          <w:b/>
          <w:i/>
          <w:szCs w:val="22"/>
        </w:rPr>
        <w:t>application</w:t>
      </w:r>
      <w:proofErr w:type="gramEnd"/>
      <w:r w:rsidR="00895E80" w:rsidRPr="00761BC3">
        <w:rPr>
          <w:szCs w:val="22"/>
        </w:rPr>
        <w:t xml:space="preserve"> means an application:</w:t>
      </w:r>
    </w:p>
    <w:p w14:paraId="620D73AA" w14:textId="77777777" w:rsidR="00895E80" w:rsidRPr="00761BC3" w:rsidRDefault="00895E80" w:rsidP="009D1630">
      <w:pPr>
        <w:pStyle w:val="Para2"/>
      </w:pPr>
      <w:bookmarkStart w:id="14" w:name="tempbookmark"/>
      <w:bookmarkEnd w:id="14"/>
      <w:r w:rsidRPr="00761BC3">
        <w:t>under section 657C of the Corporations Act</w:t>
      </w:r>
      <w:r>
        <w:t xml:space="preserve"> for a declaration of unacceptable circumstances or an order</w:t>
      </w:r>
    </w:p>
    <w:p w14:paraId="391B1B92" w14:textId="4A4DC779" w:rsidR="00895E80" w:rsidRDefault="00895E80" w:rsidP="009D1630">
      <w:pPr>
        <w:pStyle w:val="Para2"/>
      </w:pPr>
      <w:r w:rsidRPr="00761BC3">
        <w:t>under section 657EA of the Corporations Act for a review of a Panel decision or</w:t>
      </w:r>
    </w:p>
    <w:p w14:paraId="24EA527D" w14:textId="76FD6AD6" w:rsidR="00895E80" w:rsidRDefault="00895E80" w:rsidP="009D1630">
      <w:pPr>
        <w:pStyle w:val="Para2"/>
      </w:pPr>
      <w:proofErr w:type="gramStart"/>
      <w:r w:rsidRPr="00761BC3">
        <w:t>under</w:t>
      </w:r>
      <w:proofErr w:type="gramEnd"/>
      <w:r w:rsidRPr="00761BC3">
        <w:t xml:space="preserve"> section 656A of the Corporations Act for a review of an ASIC decision.</w:t>
      </w:r>
      <w:r>
        <w:t xml:space="preserve">  </w:t>
      </w:r>
    </w:p>
    <w:p w14:paraId="178AA3CF" w14:textId="130E1F0A" w:rsidR="00895E80" w:rsidRPr="00761BC3" w:rsidRDefault="00895E80" w:rsidP="00895E80">
      <w:pPr>
        <w:pStyle w:val="subsection"/>
        <w:spacing w:after="180"/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>ASIC</w:t>
      </w:r>
      <w:r w:rsidRPr="00761BC3">
        <w:rPr>
          <w:szCs w:val="22"/>
        </w:rPr>
        <w:t xml:space="preserve"> means the Australian Securities and Investments Commission.</w:t>
      </w:r>
    </w:p>
    <w:p w14:paraId="346C30A9" w14:textId="7AE15273" w:rsidR="00545427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>ASIC Act</w:t>
      </w:r>
      <w:r w:rsidRPr="00761BC3">
        <w:rPr>
          <w:szCs w:val="22"/>
        </w:rPr>
        <w:t xml:space="preserve"> means the </w:t>
      </w:r>
      <w:r w:rsidRPr="00761BC3">
        <w:rPr>
          <w:i/>
          <w:szCs w:val="22"/>
        </w:rPr>
        <w:t>Australian Securities and Investments Commission Act 2001</w:t>
      </w:r>
      <w:r w:rsidRPr="00761BC3">
        <w:rPr>
          <w:szCs w:val="22"/>
        </w:rPr>
        <w:t xml:space="preserve"> (</w:t>
      </w:r>
      <w:proofErr w:type="spellStart"/>
      <w:r w:rsidRPr="00761BC3">
        <w:rPr>
          <w:szCs w:val="22"/>
        </w:rPr>
        <w:t>Cth</w:t>
      </w:r>
      <w:proofErr w:type="spellEnd"/>
      <w:r w:rsidRPr="00761BC3">
        <w:rPr>
          <w:szCs w:val="22"/>
        </w:rPr>
        <w:t>).</w:t>
      </w:r>
    </w:p>
    <w:p w14:paraId="3124F92B" w14:textId="016EB35D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>ASIC Regulations</w:t>
      </w:r>
      <w:r w:rsidRPr="00761BC3">
        <w:rPr>
          <w:szCs w:val="22"/>
        </w:rPr>
        <w:t xml:space="preserve"> means the </w:t>
      </w:r>
      <w:r w:rsidRPr="00761BC3">
        <w:rPr>
          <w:i/>
          <w:szCs w:val="22"/>
        </w:rPr>
        <w:t>Australian Securities and Investments Commission Regulations 2001</w:t>
      </w:r>
      <w:r w:rsidRPr="00761BC3">
        <w:rPr>
          <w:szCs w:val="22"/>
        </w:rPr>
        <w:t xml:space="preserve"> (</w:t>
      </w:r>
      <w:proofErr w:type="spellStart"/>
      <w:r w:rsidRPr="00761BC3">
        <w:rPr>
          <w:szCs w:val="22"/>
        </w:rPr>
        <w:t>Cth</w:t>
      </w:r>
      <w:proofErr w:type="spellEnd"/>
      <w:r w:rsidRPr="00761BC3">
        <w:rPr>
          <w:szCs w:val="22"/>
        </w:rPr>
        <w:t>).</w:t>
      </w:r>
    </w:p>
    <w:p w14:paraId="0EE39A14" w14:textId="64CA05E7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>ASX</w:t>
      </w:r>
      <w:r w:rsidRPr="00761BC3">
        <w:rPr>
          <w:szCs w:val="22"/>
        </w:rPr>
        <w:t xml:space="preserve"> means </w:t>
      </w:r>
      <w:r w:rsidR="003125FC">
        <w:rPr>
          <w:szCs w:val="22"/>
        </w:rPr>
        <w:t xml:space="preserve">the </w:t>
      </w:r>
      <w:r w:rsidRPr="00761BC3">
        <w:rPr>
          <w:szCs w:val="22"/>
        </w:rPr>
        <w:t>Australian Securities Exchange.</w:t>
      </w:r>
    </w:p>
    <w:p w14:paraId="6C08326D" w14:textId="66E06D38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Pr="00761BC3">
        <w:rPr>
          <w:b/>
          <w:i/>
          <w:szCs w:val="22"/>
        </w:rPr>
        <w:t>case</w:t>
      </w:r>
      <w:proofErr w:type="gramEnd"/>
      <w:r w:rsidRPr="00761BC3">
        <w:rPr>
          <w:b/>
          <w:i/>
          <w:szCs w:val="22"/>
        </w:rPr>
        <w:t xml:space="preserve"> stated</w:t>
      </w:r>
      <w:r w:rsidRPr="00761BC3">
        <w:rPr>
          <w:szCs w:val="22"/>
        </w:rPr>
        <w:t xml:space="preserve"> means a statement of the question of law that the Court is asked to answer and any facts relevant to the Court’s consideration of that question.</w:t>
      </w:r>
    </w:p>
    <w:p w14:paraId="4ACAD96E" w14:textId="395AFFC6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 xml:space="preserve">Corporations Act </w:t>
      </w:r>
      <w:r w:rsidRPr="00761BC3">
        <w:rPr>
          <w:szCs w:val="22"/>
        </w:rPr>
        <w:t xml:space="preserve">means the </w:t>
      </w:r>
      <w:r w:rsidRPr="00761BC3">
        <w:rPr>
          <w:i/>
          <w:szCs w:val="22"/>
        </w:rPr>
        <w:t xml:space="preserve">Corporations Act 2001 </w:t>
      </w:r>
      <w:r w:rsidRPr="00761BC3">
        <w:rPr>
          <w:szCs w:val="22"/>
        </w:rPr>
        <w:t>(</w:t>
      </w:r>
      <w:proofErr w:type="spellStart"/>
      <w:r w:rsidRPr="00761BC3">
        <w:rPr>
          <w:szCs w:val="22"/>
        </w:rPr>
        <w:t>Cth</w:t>
      </w:r>
      <w:proofErr w:type="spellEnd"/>
      <w:r w:rsidRPr="00761BC3">
        <w:rPr>
          <w:szCs w:val="22"/>
        </w:rPr>
        <w:t>).</w:t>
      </w:r>
    </w:p>
    <w:p w14:paraId="731328FE" w14:textId="67E6219E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lastRenderedPageBreak/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 xml:space="preserve">Corporations Regulations </w:t>
      </w:r>
      <w:r w:rsidRPr="00761BC3">
        <w:rPr>
          <w:szCs w:val="22"/>
        </w:rPr>
        <w:t>means the</w:t>
      </w:r>
      <w:r w:rsidRPr="00761BC3">
        <w:rPr>
          <w:i/>
          <w:szCs w:val="22"/>
        </w:rPr>
        <w:t xml:space="preserve"> Corporations Regulations 2001 </w:t>
      </w:r>
      <w:r w:rsidRPr="00761BC3">
        <w:rPr>
          <w:szCs w:val="22"/>
        </w:rPr>
        <w:t>(</w:t>
      </w:r>
      <w:proofErr w:type="spellStart"/>
      <w:r w:rsidRPr="00761BC3">
        <w:rPr>
          <w:szCs w:val="22"/>
        </w:rPr>
        <w:t>Cth</w:t>
      </w:r>
      <w:proofErr w:type="spellEnd"/>
      <w:r w:rsidRPr="00761BC3">
        <w:rPr>
          <w:szCs w:val="22"/>
        </w:rPr>
        <w:t>).</w:t>
      </w:r>
    </w:p>
    <w:p w14:paraId="02A498B2" w14:textId="2204AB2C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Court </w:t>
      </w:r>
      <w:r>
        <w:rPr>
          <w:szCs w:val="22"/>
        </w:rPr>
        <w:t>has the meaning given in section 58AA of the Corporations Act.</w:t>
      </w:r>
    </w:p>
    <w:p w14:paraId="28277D7E" w14:textId="17D05181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Pr="00761BC3">
        <w:rPr>
          <w:b/>
          <w:i/>
          <w:szCs w:val="22"/>
        </w:rPr>
        <w:t>declaration</w:t>
      </w:r>
      <w:proofErr w:type="gramEnd"/>
      <w:r w:rsidRPr="00761BC3">
        <w:rPr>
          <w:szCs w:val="22"/>
        </w:rPr>
        <w:t xml:space="preserve"> means a declaration of unacceptable circumstances made under section 657A of the Corporations Act.</w:t>
      </w:r>
    </w:p>
    <w:p w14:paraId="2DD382FA" w14:textId="28FB730A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>E</w:t>
      </w:r>
      <w:r w:rsidRPr="00761BC3">
        <w:rPr>
          <w:b/>
          <w:i/>
          <w:szCs w:val="22"/>
        </w:rPr>
        <w:t>xecutive</w:t>
      </w:r>
      <w:r w:rsidRPr="00761BC3">
        <w:rPr>
          <w:szCs w:val="22"/>
        </w:rPr>
        <w:t xml:space="preserve"> means any or all of the staff of the Commonwealth Department of Treasury, and </w:t>
      </w:r>
      <w:proofErr w:type="spellStart"/>
      <w:r w:rsidRPr="00761BC3">
        <w:rPr>
          <w:szCs w:val="22"/>
        </w:rPr>
        <w:t>secondees</w:t>
      </w:r>
      <w:proofErr w:type="spellEnd"/>
      <w:r w:rsidRPr="00761BC3">
        <w:rPr>
          <w:szCs w:val="22"/>
        </w:rPr>
        <w:t xml:space="preserve">, working </w:t>
      </w:r>
      <w:r>
        <w:rPr>
          <w:szCs w:val="22"/>
        </w:rPr>
        <w:t xml:space="preserve">for </w:t>
      </w:r>
      <w:r w:rsidRPr="00761BC3">
        <w:rPr>
          <w:szCs w:val="22"/>
        </w:rPr>
        <w:t xml:space="preserve">the </w:t>
      </w:r>
      <w:r>
        <w:rPr>
          <w:szCs w:val="22"/>
        </w:rPr>
        <w:t xml:space="preserve">Takeovers </w:t>
      </w:r>
      <w:r w:rsidRPr="00761BC3">
        <w:rPr>
          <w:szCs w:val="22"/>
        </w:rPr>
        <w:t>Panel.</w:t>
      </w:r>
    </w:p>
    <w:p w14:paraId="51790ABE" w14:textId="4C15AE0B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Pr="00761BC3">
        <w:rPr>
          <w:b/>
          <w:i/>
          <w:szCs w:val="22"/>
        </w:rPr>
        <w:t>final</w:t>
      </w:r>
      <w:proofErr w:type="gramEnd"/>
      <w:r w:rsidRPr="00761BC3">
        <w:rPr>
          <w:b/>
          <w:i/>
          <w:szCs w:val="22"/>
        </w:rPr>
        <w:t xml:space="preserve"> orders</w:t>
      </w:r>
      <w:r w:rsidRPr="00761BC3">
        <w:rPr>
          <w:szCs w:val="22"/>
        </w:rPr>
        <w:t xml:space="preserve"> means orders made under section 657D of the Corporations Act</w:t>
      </w:r>
      <w:r>
        <w:rPr>
          <w:szCs w:val="22"/>
        </w:rPr>
        <w:t>.</w:t>
      </w:r>
    </w:p>
    <w:p w14:paraId="76C2B30F" w14:textId="336BC0BE" w:rsidR="00895E80" w:rsidRDefault="00895E80" w:rsidP="00895E8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Pr="00761BC3">
        <w:rPr>
          <w:b/>
          <w:i/>
          <w:szCs w:val="22"/>
        </w:rPr>
        <w:t>guidelines</w:t>
      </w:r>
      <w:proofErr w:type="gramEnd"/>
      <w:r w:rsidRPr="00761BC3">
        <w:rPr>
          <w:szCs w:val="22"/>
        </w:rPr>
        <w:t xml:space="preserve"> means the guidelines to these Rules as published by the</w:t>
      </w:r>
      <w:r>
        <w:rPr>
          <w:szCs w:val="22"/>
        </w:rPr>
        <w:t xml:space="preserve"> Takeovers</w:t>
      </w:r>
      <w:r w:rsidRPr="00761BC3">
        <w:rPr>
          <w:szCs w:val="22"/>
        </w:rPr>
        <w:t xml:space="preserve"> Panel from time to time.</w:t>
      </w:r>
    </w:p>
    <w:p w14:paraId="4C1AAB4B" w14:textId="05FCF110" w:rsidR="009D1630" w:rsidRPr="00761BC3" w:rsidRDefault="000A641E" w:rsidP="000A09FF">
      <w:pPr>
        <w:pStyle w:val="subsection"/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="00895E80" w:rsidRPr="00761BC3">
        <w:rPr>
          <w:b/>
          <w:i/>
          <w:szCs w:val="22"/>
        </w:rPr>
        <w:t>interested</w:t>
      </w:r>
      <w:proofErr w:type="gramEnd"/>
      <w:r w:rsidR="00895E80" w:rsidRPr="00761BC3">
        <w:rPr>
          <w:b/>
          <w:i/>
          <w:szCs w:val="22"/>
        </w:rPr>
        <w:t xml:space="preserve"> person</w:t>
      </w:r>
      <w:r w:rsidR="00895E80" w:rsidRPr="00761BC3">
        <w:rPr>
          <w:szCs w:val="22"/>
        </w:rPr>
        <w:t xml:space="preserve"> </w:t>
      </w:r>
      <w:r w:rsidR="00895E80">
        <w:rPr>
          <w:szCs w:val="22"/>
        </w:rPr>
        <w:t>includes</w:t>
      </w:r>
      <w:r w:rsidR="00895E80" w:rsidRPr="00761BC3">
        <w:rPr>
          <w:szCs w:val="22"/>
        </w:rPr>
        <w:t>:</w:t>
      </w:r>
    </w:p>
    <w:p w14:paraId="48825A48" w14:textId="026FB04D" w:rsidR="00A617F1" w:rsidRDefault="009D1630" w:rsidP="00E83CBC">
      <w:pPr>
        <w:pStyle w:val="Para2"/>
        <w:numPr>
          <w:ilvl w:val="1"/>
          <w:numId w:val="81"/>
        </w:numPr>
        <w:ind w:left="1758"/>
      </w:pPr>
      <w:r>
        <w:t>a person entitled to be heard by the Panel before it makes a decision sought by the application</w:t>
      </w:r>
    </w:p>
    <w:p w14:paraId="11CB39AA" w14:textId="045BD6C6" w:rsidR="009D1630" w:rsidRDefault="009D1630" w:rsidP="009D1630">
      <w:pPr>
        <w:pStyle w:val="Para2"/>
        <w:numPr>
          <w:ilvl w:val="1"/>
          <w:numId w:val="81"/>
        </w:numPr>
        <w:ind w:left="1758"/>
      </w:pPr>
      <w:r>
        <w:t xml:space="preserve">a person to whom a proposed declaration relates or </w:t>
      </w:r>
    </w:p>
    <w:p w14:paraId="524B18C2" w14:textId="6B8A2988" w:rsidR="009D1630" w:rsidRDefault="009D1630" w:rsidP="009D1630">
      <w:pPr>
        <w:pStyle w:val="Para2"/>
        <w:numPr>
          <w:ilvl w:val="1"/>
          <w:numId w:val="81"/>
        </w:numPr>
        <w:ind w:left="1758"/>
      </w:pPr>
      <w:proofErr w:type="gramStart"/>
      <w:r>
        <w:t>a</w:t>
      </w:r>
      <w:proofErr w:type="gramEnd"/>
      <w:r>
        <w:t xml:space="preserve"> person to whom a proposed order would be directed.</w:t>
      </w:r>
    </w:p>
    <w:p w14:paraId="7F790CE8" w14:textId="44B65F53" w:rsidR="000A641E" w:rsidRDefault="009D1630" w:rsidP="009D1630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="000A641E" w:rsidRPr="00761BC3">
        <w:rPr>
          <w:b/>
          <w:i/>
          <w:szCs w:val="22"/>
        </w:rPr>
        <w:t>interim</w:t>
      </w:r>
      <w:proofErr w:type="gramEnd"/>
      <w:r w:rsidR="000A641E" w:rsidRPr="00761BC3">
        <w:rPr>
          <w:b/>
          <w:i/>
          <w:szCs w:val="22"/>
        </w:rPr>
        <w:t xml:space="preserve"> orders </w:t>
      </w:r>
      <w:r w:rsidR="000A641E" w:rsidRPr="00761BC3">
        <w:rPr>
          <w:szCs w:val="22"/>
        </w:rPr>
        <w:t>means orders made under section 657E of the Corporations Act.</w:t>
      </w:r>
    </w:p>
    <w:p w14:paraId="4B334B43" w14:textId="6184E1FA" w:rsidR="000A641E" w:rsidRDefault="000A641E" w:rsidP="000A641E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Pr="00761BC3">
        <w:rPr>
          <w:b/>
          <w:i/>
          <w:szCs w:val="22"/>
        </w:rPr>
        <w:t>matter</w:t>
      </w:r>
      <w:proofErr w:type="gramEnd"/>
      <w:r w:rsidRPr="00761BC3">
        <w:rPr>
          <w:szCs w:val="22"/>
        </w:rPr>
        <w:t xml:space="preserve"> means a particular matter in which the Panel performs or exercises its functions or powers.</w:t>
      </w:r>
    </w:p>
    <w:p w14:paraId="1C6D9D85" w14:textId="397F2402" w:rsidR="000A641E" w:rsidRDefault="000A641E" w:rsidP="000A641E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 xml:space="preserve">Notice </w:t>
      </w:r>
      <w:r>
        <w:rPr>
          <w:b/>
          <w:i/>
          <w:szCs w:val="22"/>
        </w:rPr>
        <w:t>to Become a Party</w:t>
      </w:r>
      <w:r w:rsidRPr="00761BC3">
        <w:rPr>
          <w:szCs w:val="22"/>
        </w:rPr>
        <w:t xml:space="preserve"> means a notice in the form </w:t>
      </w:r>
      <w:r w:rsidR="00456BD9">
        <w:rPr>
          <w:szCs w:val="22"/>
        </w:rPr>
        <w:t xml:space="preserve">approved by the Panel </w:t>
      </w:r>
      <w:r>
        <w:rPr>
          <w:szCs w:val="22"/>
        </w:rPr>
        <w:t xml:space="preserve">by which a person seeks to become a party. </w:t>
      </w:r>
    </w:p>
    <w:p w14:paraId="0F6FC03A" w14:textId="207EF45F" w:rsidR="000A641E" w:rsidRDefault="000A641E" w:rsidP="00156F6C">
      <w:pPr>
        <w:pStyle w:val="notetext"/>
      </w:pPr>
      <w:r w:rsidRPr="001A4EAF">
        <w:t>Note:</w:t>
      </w:r>
      <w:r w:rsidRPr="001A4EAF">
        <w:tab/>
        <w:t>The form of Notice to Become a Party is available on the Takeovers Panel’s website (</w:t>
      </w:r>
      <w:hyperlink r:id="rId23" w:history="1">
        <w:r w:rsidRPr="001A4EAF">
          <w:t>https://www.takeovers.gov.au/</w:t>
        </w:r>
      </w:hyperlink>
      <w:r w:rsidRPr="001A4EAF">
        <w:t>).</w:t>
      </w:r>
    </w:p>
    <w:p w14:paraId="4548FBD1" w14:textId="2770C009" w:rsidR="000A641E" w:rsidRDefault="000A641E" w:rsidP="000A641E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Pr="00761BC3">
        <w:rPr>
          <w:b/>
          <w:i/>
          <w:szCs w:val="22"/>
        </w:rPr>
        <w:t>orders</w:t>
      </w:r>
      <w:proofErr w:type="gramEnd"/>
      <w:r w:rsidRPr="00761BC3">
        <w:rPr>
          <w:szCs w:val="22"/>
        </w:rPr>
        <w:t xml:space="preserve"> means final orders or interim orders</w:t>
      </w:r>
      <w:r>
        <w:rPr>
          <w:szCs w:val="22"/>
        </w:rPr>
        <w:t>.</w:t>
      </w:r>
    </w:p>
    <w:p w14:paraId="314C7779" w14:textId="6A5EAED8" w:rsidR="000A641E" w:rsidRDefault="000A641E" w:rsidP="000A641E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>Panel</w:t>
      </w:r>
      <w:r w:rsidRPr="00761BC3">
        <w:rPr>
          <w:szCs w:val="22"/>
        </w:rPr>
        <w:t xml:space="preserve"> means the sitting Panel constituted under section 184 of the ASIC Act in relation to a matter.</w:t>
      </w:r>
    </w:p>
    <w:p w14:paraId="25C0D5E8" w14:textId="42B63FB0" w:rsidR="000A641E" w:rsidRPr="00761BC3" w:rsidRDefault="000A641E" w:rsidP="000A09FF">
      <w:pPr>
        <w:pStyle w:val="subsection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Pr="00761BC3">
        <w:rPr>
          <w:b/>
          <w:i/>
          <w:szCs w:val="22"/>
        </w:rPr>
        <w:t>party</w:t>
      </w:r>
      <w:proofErr w:type="gramEnd"/>
      <w:r w:rsidRPr="00761BC3">
        <w:rPr>
          <w:szCs w:val="22"/>
        </w:rPr>
        <w:t xml:space="preserve"> means, in relation to proceedings:</w:t>
      </w:r>
    </w:p>
    <w:p w14:paraId="6C9AC2E5" w14:textId="54805482" w:rsidR="009D1630" w:rsidRPr="00E83CBC" w:rsidRDefault="00E83CBC" w:rsidP="00E83CBC">
      <w:pPr>
        <w:pStyle w:val="Para2"/>
        <w:numPr>
          <w:ilvl w:val="1"/>
          <w:numId w:val="83"/>
        </w:numPr>
        <w:ind w:left="1758"/>
      </w:pPr>
      <w:r w:rsidRPr="00E83CBC">
        <w:t>an applicant</w:t>
      </w:r>
    </w:p>
    <w:p w14:paraId="78FE7F7E" w14:textId="58F93CB5" w:rsidR="000A641E" w:rsidRPr="00D519C9" w:rsidRDefault="000A641E" w:rsidP="009D1630">
      <w:pPr>
        <w:pStyle w:val="Para2"/>
      </w:pPr>
      <w:r w:rsidRPr="00D519C9">
        <w:t xml:space="preserve">ASIC </w:t>
      </w:r>
    </w:p>
    <w:p w14:paraId="566DF5FD" w14:textId="77777777" w:rsidR="000A641E" w:rsidRPr="0002349D" w:rsidRDefault="000A641E" w:rsidP="009D1630">
      <w:pPr>
        <w:pStyle w:val="Para2"/>
      </w:pPr>
      <w:r w:rsidRPr="00D519C9">
        <w:t xml:space="preserve">any person who provides a Notice </w:t>
      </w:r>
      <w:r w:rsidRPr="00822F3E">
        <w:t xml:space="preserve">to Become a Party which is accepted by the Panel </w:t>
      </w:r>
    </w:p>
    <w:p w14:paraId="5382D66E" w14:textId="4511F945" w:rsidR="000A641E" w:rsidRDefault="000A641E" w:rsidP="009D1630">
      <w:pPr>
        <w:pStyle w:val="Para2"/>
      </w:pPr>
      <w:r w:rsidRPr="00822F3E">
        <w:t>any person deemed to be a party by the Panel under Rule 16(6) and</w:t>
      </w:r>
    </w:p>
    <w:p w14:paraId="5D94ACB9" w14:textId="4CE3C30C" w:rsidR="000A641E" w:rsidRPr="00822F3E" w:rsidRDefault="000A641E" w:rsidP="009D1630">
      <w:pPr>
        <w:pStyle w:val="Para2"/>
      </w:pPr>
      <w:proofErr w:type="gramStart"/>
      <w:r w:rsidRPr="00822F3E">
        <w:t>any</w:t>
      </w:r>
      <w:proofErr w:type="gramEnd"/>
      <w:r w:rsidRPr="00822F3E">
        <w:t xml:space="preserve"> person who is a party within the meaning of section 657EA(1)(a) of the Corporations Act</w:t>
      </w:r>
      <w:r>
        <w:t>.</w:t>
      </w:r>
    </w:p>
    <w:p w14:paraId="4D669079" w14:textId="4B6E648F" w:rsidR="000A641E" w:rsidRDefault="000A641E" w:rsidP="000A641E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61BC3">
        <w:rPr>
          <w:b/>
          <w:i/>
          <w:szCs w:val="22"/>
        </w:rPr>
        <w:t>President</w:t>
      </w:r>
      <w:r w:rsidRPr="00761BC3">
        <w:rPr>
          <w:szCs w:val="22"/>
        </w:rPr>
        <w:t xml:space="preserve"> means the substantive President of the</w:t>
      </w:r>
      <w:r>
        <w:rPr>
          <w:szCs w:val="22"/>
        </w:rPr>
        <w:t xml:space="preserve"> Takeovers</w:t>
      </w:r>
      <w:r w:rsidRPr="00761BC3">
        <w:rPr>
          <w:szCs w:val="22"/>
        </w:rPr>
        <w:t xml:space="preserve"> Panel appointed under section 173 of the ASIC Act </w:t>
      </w:r>
      <w:r>
        <w:rPr>
          <w:szCs w:val="22"/>
        </w:rPr>
        <w:t>and includes, where relevant,</w:t>
      </w:r>
      <w:r w:rsidRPr="00761BC3">
        <w:rPr>
          <w:szCs w:val="22"/>
        </w:rPr>
        <w:t xml:space="preserve"> an Acting President appointed under section 182 of the ASIC Act.</w:t>
      </w:r>
    </w:p>
    <w:p w14:paraId="65148F46" w14:textId="60D0DA7A" w:rsidR="000A641E" w:rsidRDefault="000A641E" w:rsidP="000A641E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proofErr w:type="gramStart"/>
      <w:r w:rsidRPr="00761BC3">
        <w:rPr>
          <w:b/>
          <w:i/>
          <w:szCs w:val="22"/>
        </w:rPr>
        <w:t>proceedings</w:t>
      </w:r>
      <w:proofErr w:type="gramEnd"/>
      <w:r w:rsidRPr="00761BC3">
        <w:rPr>
          <w:szCs w:val="22"/>
        </w:rPr>
        <w:t xml:space="preserve"> means the proceedings commenced upon receipt by the Executive of an application</w:t>
      </w:r>
      <w:r>
        <w:rPr>
          <w:szCs w:val="22"/>
        </w:rPr>
        <w:t xml:space="preserve"> in accordance with Rule 10(2)</w:t>
      </w:r>
      <w:r w:rsidRPr="00761BC3">
        <w:rPr>
          <w:szCs w:val="22"/>
        </w:rPr>
        <w:t>.</w:t>
      </w:r>
    </w:p>
    <w:p w14:paraId="459396A8" w14:textId="382B99BA" w:rsidR="00156F6C" w:rsidRDefault="00156F6C" w:rsidP="00156F6C">
      <w:pPr>
        <w:pStyle w:val="subsection"/>
        <w:spacing w:after="180"/>
        <w:rPr>
          <w:szCs w:val="22"/>
        </w:rPr>
      </w:pPr>
      <w:r>
        <w:rPr>
          <w:b/>
          <w:i/>
          <w:szCs w:val="22"/>
        </w:rPr>
        <w:lastRenderedPageBreak/>
        <w:tab/>
      </w:r>
      <w:r>
        <w:rPr>
          <w:b/>
          <w:i/>
          <w:szCs w:val="22"/>
        </w:rPr>
        <w:tab/>
        <w:t xml:space="preserve">Related Bodies Corporate </w:t>
      </w:r>
      <w:r>
        <w:rPr>
          <w:szCs w:val="22"/>
        </w:rPr>
        <w:t>has the meaning given in section 50 of the Corporations Act.</w:t>
      </w:r>
    </w:p>
    <w:p w14:paraId="7EB7FD6E" w14:textId="79BB6848" w:rsidR="00156F6C" w:rsidRPr="00ED3120" w:rsidRDefault="00156F6C" w:rsidP="00156F6C">
      <w:pPr>
        <w:pStyle w:val="subsection"/>
        <w:spacing w:after="180"/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>Representatives</w:t>
      </w:r>
      <w:r>
        <w:rPr>
          <w:szCs w:val="22"/>
        </w:rPr>
        <w:t xml:space="preserve"> means the</w:t>
      </w:r>
      <w:r w:rsidRPr="00A81486">
        <w:t xml:space="preserve"> </w:t>
      </w:r>
      <w:r>
        <w:t>d</w:t>
      </w:r>
      <w:r w:rsidRPr="00A81486">
        <w:t>irectors, officers, employees</w:t>
      </w:r>
      <w:r>
        <w:t>, agents, contractors, service providers</w:t>
      </w:r>
      <w:r w:rsidRPr="00A81486">
        <w:t xml:space="preserve"> and advisers</w:t>
      </w:r>
      <w:r>
        <w:rPr>
          <w:szCs w:val="22"/>
        </w:rPr>
        <w:t xml:space="preserve"> of a person or party (as the context requires) or its Related Bodies Corporate, and any other person acting on behalf of the person or party</w:t>
      </w:r>
      <w:r w:rsidRPr="00ED3120">
        <w:rPr>
          <w:szCs w:val="22"/>
        </w:rPr>
        <w:t xml:space="preserve">. </w:t>
      </w:r>
      <w:r w:rsidRPr="00ED3120">
        <w:t xml:space="preserve"> </w:t>
      </w:r>
    </w:p>
    <w:p w14:paraId="4FD6E1F6" w14:textId="3E22D41E" w:rsidR="00156F6C" w:rsidRDefault="00156F6C" w:rsidP="0058210E">
      <w:pPr>
        <w:pStyle w:val="subsection"/>
      </w:pPr>
      <w:r w:rsidRPr="00AE46D8"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156F6C">
        <w:rPr>
          <w:b/>
          <w:i/>
          <w:szCs w:val="22"/>
        </w:rPr>
        <w:t>Takeovers</w:t>
      </w:r>
      <w:r>
        <w:rPr>
          <w:b/>
          <w:i/>
        </w:rPr>
        <w:t xml:space="preserve"> Panel</w:t>
      </w:r>
      <w:r>
        <w:rPr>
          <w:i/>
        </w:rPr>
        <w:t xml:space="preserve"> </w:t>
      </w:r>
      <w:r>
        <w:t>means</w:t>
      </w:r>
      <w:r w:rsidRPr="00B26C5B">
        <w:t xml:space="preserve"> the Panel established under section 171 of the </w:t>
      </w:r>
      <w:r w:rsidR="00B26C5B" w:rsidRPr="00B26C5B">
        <w:rPr>
          <w:i/>
          <w:iCs/>
        </w:rPr>
        <w:t>Australian Securities and Investments Commission Act 1989</w:t>
      </w:r>
      <w:r w:rsidR="00B26C5B" w:rsidRPr="00B26C5B">
        <w:t xml:space="preserve"> (</w:t>
      </w:r>
      <w:proofErr w:type="spellStart"/>
      <w:r w:rsidR="00B26C5B" w:rsidRPr="00B26C5B">
        <w:t>Cth</w:t>
      </w:r>
      <w:proofErr w:type="spellEnd"/>
      <w:r w:rsidR="00B26C5B" w:rsidRPr="00B26C5B">
        <w:t xml:space="preserve">) and continued in existence by section 261 of the </w:t>
      </w:r>
      <w:r w:rsidRPr="00B26C5B">
        <w:t>ASIC Act.</w:t>
      </w:r>
    </w:p>
    <w:p w14:paraId="7101C9F6" w14:textId="77777777" w:rsidR="00AB283F" w:rsidRDefault="00AB283F">
      <w:pPr>
        <w:spacing w:line="240" w:lineRule="auto"/>
      </w:pPr>
      <w:r>
        <w:br w:type="page"/>
      </w:r>
    </w:p>
    <w:p w14:paraId="6CADE2B8" w14:textId="77777777" w:rsidR="00BF3CD2" w:rsidRDefault="00AB283F" w:rsidP="00AB283F">
      <w:pPr>
        <w:pStyle w:val="ActHead2"/>
        <w:pageBreakBefore/>
      </w:pPr>
      <w:bookmarkStart w:id="15" w:name="_Toc35023532"/>
      <w:bookmarkStart w:id="16" w:name="_Toc58416920"/>
      <w:r>
        <w:lastRenderedPageBreak/>
        <w:t>Part 2 Overview</w:t>
      </w:r>
      <w:bookmarkEnd w:id="15"/>
      <w:bookmarkEnd w:id="16"/>
    </w:p>
    <w:p w14:paraId="65DF8C86" w14:textId="77777777" w:rsidR="00AB283F" w:rsidRDefault="00AB283F" w:rsidP="00AB283F">
      <w:pPr>
        <w:pStyle w:val="ActHead5"/>
      </w:pPr>
      <w:bookmarkStart w:id="17" w:name="_Toc35023533"/>
      <w:bookmarkStart w:id="18" w:name="_Toc58416921"/>
      <w:proofErr w:type="gramStart"/>
      <w:r>
        <w:t>6</w:t>
      </w:r>
      <w:r w:rsidRPr="00554826">
        <w:t xml:space="preserve">  </w:t>
      </w:r>
      <w:r>
        <w:t>Objectives</w:t>
      </w:r>
      <w:bookmarkEnd w:id="17"/>
      <w:bookmarkEnd w:id="18"/>
      <w:proofErr w:type="gramEnd"/>
    </w:p>
    <w:p w14:paraId="4C1EEF3C" w14:textId="77777777" w:rsidR="00AB283F" w:rsidRDefault="00AB283F" w:rsidP="00A36B8B">
      <w:pPr>
        <w:pStyle w:val="Para1"/>
        <w:numPr>
          <w:ilvl w:val="0"/>
          <w:numId w:val="10"/>
        </w:numPr>
      </w:pPr>
      <w:r w:rsidRPr="000C44C1">
        <w:t>The objectives of the</w:t>
      </w:r>
      <w:r>
        <w:t>se</w:t>
      </w:r>
      <w:r w:rsidRPr="000C44C1">
        <w:t xml:space="preserve"> </w:t>
      </w:r>
      <w:r>
        <w:t>R</w:t>
      </w:r>
      <w:r w:rsidRPr="000C44C1">
        <w:t>ules are to promote:</w:t>
      </w:r>
    </w:p>
    <w:p w14:paraId="1A876EBA" w14:textId="77777777" w:rsidR="00AB283F" w:rsidRDefault="00AB283F" w:rsidP="009D1630">
      <w:pPr>
        <w:pStyle w:val="Para2"/>
      </w:pPr>
      <w:r w:rsidRPr="000C44C1">
        <w:t xml:space="preserve">timely and cost-effective completion of </w:t>
      </w:r>
      <w:r>
        <w:t>matters before the Panel</w:t>
      </w:r>
    </w:p>
    <w:p w14:paraId="58AF9B8D" w14:textId="77777777" w:rsidR="00FB34BB" w:rsidRDefault="00FB34BB" w:rsidP="009D1630">
      <w:pPr>
        <w:pStyle w:val="Para2"/>
      </w:pPr>
      <w:r w:rsidRPr="000C44C1">
        <w:t xml:space="preserve">not unnecessarily delaying commercial transactions </w:t>
      </w:r>
    </w:p>
    <w:p w14:paraId="63EF6316" w14:textId="77777777" w:rsidR="00FB34BB" w:rsidRDefault="00FB34BB" w:rsidP="009D1630">
      <w:pPr>
        <w:pStyle w:val="Para2"/>
      </w:pPr>
      <w:r w:rsidRPr="000C44C1">
        <w:t>procedural fairness</w:t>
      </w:r>
      <w:r>
        <w:t xml:space="preserve"> and</w:t>
      </w:r>
    </w:p>
    <w:p w14:paraId="6831AAEA" w14:textId="0DE28DC9" w:rsidR="00AB283F" w:rsidRPr="00AB283F" w:rsidRDefault="00AB283F" w:rsidP="009D1630">
      <w:pPr>
        <w:pStyle w:val="Para2"/>
      </w:pPr>
      <w:proofErr w:type="gramStart"/>
      <w:r w:rsidRPr="000C44C1">
        <w:t>obtaining</w:t>
      </w:r>
      <w:proofErr w:type="gramEnd"/>
      <w:r w:rsidRPr="000C44C1">
        <w:t xml:space="preserve"> the best available information</w:t>
      </w:r>
      <w:r w:rsidR="00FB34BB">
        <w:t>.</w:t>
      </w:r>
    </w:p>
    <w:p w14:paraId="5476D1B6" w14:textId="77777777" w:rsidR="00AB283F" w:rsidRDefault="003B31CF" w:rsidP="003B31CF">
      <w:pPr>
        <w:pStyle w:val="Para1"/>
      </w:pPr>
      <w:r w:rsidRPr="00C81F74">
        <w:t>Given the objectives of the</w:t>
      </w:r>
      <w:r w:rsidR="00F94F55">
        <w:t>se</w:t>
      </w:r>
      <w:r w:rsidRPr="00C81F74">
        <w:t xml:space="preserve"> Rules, the Panel:</w:t>
      </w:r>
    </w:p>
    <w:p w14:paraId="6D5812E0" w14:textId="77777777" w:rsidR="003B31CF" w:rsidRDefault="003B31CF" w:rsidP="009D1630">
      <w:pPr>
        <w:pStyle w:val="Para2"/>
      </w:pPr>
      <w:r w:rsidRPr="00C81F74">
        <w:t>generally makes decisions on written submissions and materials</w:t>
      </w:r>
    </w:p>
    <w:p w14:paraId="66D8FA75" w14:textId="3C40D3FC" w:rsidR="003B31CF" w:rsidRDefault="00431844" w:rsidP="009D1630">
      <w:pPr>
        <w:pStyle w:val="Para2"/>
      </w:pPr>
      <w:r>
        <w:t xml:space="preserve">prefers to </w:t>
      </w:r>
      <w:r w:rsidR="003B31CF" w:rsidRPr="00C81F74">
        <w:t>conduct proceedings in private</w:t>
      </w:r>
    </w:p>
    <w:p w14:paraId="2D0D47AD" w14:textId="1AE93811" w:rsidR="003B31CF" w:rsidRDefault="003B31CF" w:rsidP="009D1630">
      <w:pPr>
        <w:pStyle w:val="Para2"/>
      </w:pPr>
      <w:r w:rsidRPr="00C81F74">
        <w:t>prefers to give all parties access to all material before it in proceeding</w:t>
      </w:r>
      <w:r>
        <w:t>s</w:t>
      </w:r>
      <w:r w:rsidRPr="00C81F74">
        <w:t xml:space="preserve"> and</w:t>
      </w:r>
    </w:p>
    <w:p w14:paraId="71838446" w14:textId="696727C3" w:rsidR="003B31CF" w:rsidRDefault="003B31CF" w:rsidP="009D1630">
      <w:pPr>
        <w:pStyle w:val="Para2"/>
      </w:pPr>
      <w:proofErr w:type="gramStart"/>
      <w:r w:rsidRPr="00C81F74">
        <w:t>keeps</w:t>
      </w:r>
      <w:proofErr w:type="gramEnd"/>
      <w:r w:rsidRPr="00C81F74">
        <w:t xml:space="preserve"> time limits as short as is reasonable</w:t>
      </w:r>
      <w:r w:rsidR="00901FBA">
        <w:t xml:space="preserve"> and consistent with procedural fairn</w:t>
      </w:r>
      <w:r w:rsidR="002711AF">
        <w:t>ess</w:t>
      </w:r>
      <w:r w:rsidRPr="00C81F74">
        <w:t>.</w:t>
      </w:r>
    </w:p>
    <w:p w14:paraId="5D7655C2" w14:textId="77777777" w:rsidR="003B31CF" w:rsidRDefault="003B31CF" w:rsidP="003B31CF">
      <w:pPr>
        <w:pStyle w:val="Para1"/>
      </w:pPr>
      <w:r w:rsidRPr="000C44C1">
        <w:t>The</w:t>
      </w:r>
      <w:r>
        <w:t>se</w:t>
      </w:r>
      <w:r w:rsidRPr="000C44C1">
        <w:t xml:space="preserve"> </w:t>
      </w:r>
      <w:r>
        <w:t>R</w:t>
      </w:r>
      <w:r w:rsidRPr="000C44C1">
        <w:t>ules are to be interpreted:</w:t>
      </w:r>
    </w:p>
    <w:p w14:paraId="1FC4D5B6" w14:textId="77777777" w:rsidR="003B31CF" w:rsidRPr="003B31CF" w:rsidRDefault="003B31CF" w:rsidP="009D1630">
      <w:pPr>
        <w:pStyle w:val="Para2"/>
      </w:pPr>
      <w:r w:rsidRPr="003B31CF">
        <w:t>according to their spirit</w:t>
      </w:r>
    </w:p>
    <w:p w14:paraId="5D475F9D" w14:textId="77777777" w:rsidR="003B31CF" w:rsidRPr="003B31CF" w:rsidRDefault="003B31CF" w:rsidP="009D1630">
      <w:pPr>
        <w:pStyle w:val="Para2"/>
      </w:pPr>
      <w:r w:rsidRPr="003B31CF">
        <w:t>by looking beyond form to substance and</w:t>
      </w:r>
    </w:p>
    <w:p w14:paraId="162BE23B" w14:textId="77777777" w:rsidR="003B31CF" w:rsidRDefault="003B31CF" w:rsidP="009D1630">
      <w:pPr>
        <w:pStyle w:val="Para2"/>
      </w:pPr>
      <w:proofErr w:type="gramStart"/>
      <w:r w:rsidRPr="003B31CF">
        <w:t>in</w:t>
      </w:r>
      <w:proofErr w:type="gramEnd"/>
      <w:r w:rsidRPr="003B31CF">
        <w:t xml:space="preserve"> a way that best promotes the objectives in Rule 6(1).</w:t>
      </w:r>
    </w:p>
    <w:p w14:paraId="2C929CE5" w14:textId="77777777" w:rsidR="005E6C7D" w:rsidRDefault="005E6C7D" w:rsidP="005E6C7D">
      <w:pPr>
        <w:pStyle w:val="ActHead5"/>
      </w:pPr>
      <w:bookmarkStart w:id="19" w:name="_Toc35023534"/>
      <w:bookmarkStart w:id="20" w:name="_Toc58416922"/>
      <w:proofErr w:type="gramStart"/>
      <w:r>
        <w:t>7</w:t>
      </w:r>
      <w:r w:rsidRPr="00554826">
        <w:t xml:space="preserve">  </w:t>
      </w:r>
      <w:r>
        <w:t>Application</w:t>
      </w:r>
      <w:proofErr w:type="gramEnd"/>
      <w:r>
        <w:t xml:space="preserve"> of Rules</w:t>
      </w:r>
      <w:bookmarkEnd w:id="19"/>
      <w:bookmarkEnd w:id="20"/>
    </w:p>
    <w:p w14:paraId="7160F751" w14:textId="497F7646" w:rsidR="003B404F" w:rsidRDefault="003B404F" w:rsidP="00847F3F">
      <w:pPr>
        <w:pStyle w:val="Para1"/>
        <w:numPr>
          <w:ilvl w:val="0"/>
          <w:numId w:val="12"/>
        </w:numPr>
      </w:pPr>
      <w:r>
        <w:t>These Rules apply in proceedings of the Takeovers Panel unless the Panel as constituted in relation to a particular matter determines or directs otherwise.</w:t>
      </w:r>
      <w:r w:rsidR="00135092">
        <w:t xml:space="preserve"> </w:t>
      </w:r>
    </w:p>
    <w:p w14:paraId="0F99BE28" w14:textId="305CC0E6" w:rsidR="005E6C7D" w:rsidRDefault="005E6C7D" w:rsidP="002C24F0">
      <w:pPr>
        <w:pStyle w:val="Para1"/>
      </w:pPr>
      <w:r w:rsidRPr="000C44C1">
        <w:t>The Panel:</w:t>
      </w:r>
    </w:p>
    <w:p w14:paraId="1820CA84" w14:textId="77777777" w:rsidR="005E6C7D" w:rsidRPr="005E6C7D" w:rsidRDefault="005E6C7D" w:rsidP="009D1630">
      <w:pPr>
        <w:pStyle w:val="Para2"/>
      </w:pPr>
      <w:r w:rsidRPr="000C44C1">
        <w:t>has control over the entire</w:t>
      </w:r>
      <w:r>
        <w:t xml:space="preserve"> p</w:t>
      </w:r>
      <w:r w:rsidRPr="000C44C1">
        <w:t>roceeding</w:t>
      </w:r>
      <w:r>
        <w:t>s</w:t>
      </w:r>
      <w:r w:rsidRPr="000C44C1">
        <w:t xml:space="preserve"> and</w:t>
      </w:r>
    </w:p>
    <w:p w14:paraId="3D05F675" w14:textId="77777777" w:rsidR="005E6C7D" w:rsidRDefault="005E6C7D" w:rsidP="009D1630">
      <w:pPr>
        <w:pStyle w:val="Para2"/>
      </w:pPr>
      <w:proofErr w:type="gramStart"/>
      <w:r w:rsidRPr="000C44C1">
        <w:t>may</w:t>
      </w:r>
      <w:proofErr w:type="gramEnd"/>
      <w:r w:rsidRPr="000C44C1">
        <w:t xml:space="preserve"> give directions from time to time concerning the proceeding</w:t>
      </w:r>
      <w:r>
        <w:t>s</w:t>
      </w:r>
      <w:r w:rsidRPr="000C44C1">
        <w:t xml:space="preserve">, including </w:t>
      </w:r>
      <w:r>
        <w:t xml:space="preserve">the </w:t>
      </w:r>
      <w:r w:rsidRPr="000C44C1">
        <w:t xml:space="preserve">application of these </w:t>
      </w:r>
      <w:r>
        <w:t>R</w:t>
      </w:r>
      <w:r w:rsidRPr="000C44C1">
        <w:t>ules.</w:t>
      </w:r>
    </w:p>
    <w:p w14:paraId="28CCAB71" w14:textId="3DF1E4DB" w:rsidR="005E6C7D" w:rsidRPr="00545427" w:rsidRDefault="005E6C7D" w:rsidP="00156F6C">
      <w:pPr>
        <w:pStyle w:val="notetext"/>
      </w:pPr>
      <w:r w:rsidRPr="00545427">
        <w:t xml:space="preserve">Note: </w:t>
      </w:r>
      <w:r w:rsidR="00156F6C">
        <w:tab/>
      </w:r>
      <w:r w:rsidRPr="00545427">
        <w:t>The Panel has the power to make directions under regulation 16(1) of the ASIC Regulations.</w:t>
      </w:r>
    </w:p>
    <w:p w14:paraId="4ED9C5B9" w14:textId="3B042C4C" w:rsidR="005E6C7D" w:rsidRDefault="005E6C7D" w:rsidP="005E6C7D">
      <w:pPr>
        <w:pStyle w:val="Para1"/>
      </w:pPr>
      <w:r w:rsidRPr="000C44C1">
        <w:t xml:space="preserve">If a direction by the Panel is inconsistent with a </w:t>
      </w:r>
      <w:r>
        <w:t>R</w:t>
      </w:r>
      <w:r w:rsidRPr="000C44C1">
        <w:t xml:space="preserve">ule, the direction prevails to the extent of the inconsistency.  The Panel </w:t>
      </w:r>
      <w:r w:rsidR="002D1492">
        <w:t>(</w:t>
      </w:r>
      <w:r w:rsidR="00C04530">
        <w:t>or</w:t>
      </w:r>
      <w:r w:rsidR="00836648">
        <w:t xml:space="preserve"> </w:t>
      </w:r>
      <w:r w:rsidR="00E00631">
        <w:t xml:space="preserve">before the </w:t>
      </w:r>
      <w:r w:rsidR="00836648">
        <w:t>Panel has been appointed,</w:t>
      </w:r>
      <w:r w:rsidR="00C04530">
        <w:t xml:space="preserve"> the President</w:t>
      </w:r>
      <w:r w:rsidR="002D1492">
        <w:t>)</w:t>
      </w:r>
      <w:r w:rsidR="00C04530">
        <w:t xml:space="preserve"> </w:t>
      </w:r>
      <w:r w:rsidRPr="000C44C1">
        <w:t xml:space="preserve">may excuse any failure by a person to comply with a </w:t>
      </w:r>
      <w:r>
        <w:t>R</w:t>
      </w:r>
      <w:r w:rsidRPr="000C44C1">
        <w:t>ule.</w:t>
      </w:r>
      <w:r w:rsidR="00C06E8C">
        <w:t xml:space="preserve"> </w:t>
      </w:r>
    </w:p>
    <w:p w14:paraId="1383227A" w14:textId="1BD6C986" w:rsidR="005E6C7D" w:rsidRPr="005E6C7D" w:rsidRDefault="005E6C7D" w:rsidP="005E6C7D">
      <w:pPr>
        <w:pStyle w:val="Para1"/>
      </w:pPr>
      <w:r w:rsidRPr="005F3B2B">
        <w:rPr>
          <w:szCs w:val="22"/>
        </w:rPr>
        <w:t>A party must</w:t>
      </w:r>
      <w:r w:rsidRPr="000C44C1">
        <w:rPr>
          <w:szCs w:val="22"/>
        </w:rPr>
        <w:t xml:space="preserve"> comply with any direction of the Panel and</w:t>
      </w:r>
      <w:r w:rsidR="00A773BC">
        <w:rPr>
          <w:szCs w:val="22"/>
        </w:rPr>
        <w:t xml:space="preserve">, </w:t>
      </w:r>
      <w:r w:rsidR="00826480">
        <w:rPr>
          <w:szCs w:val="22"/>
        </w:rPr>
        <w:t>where</w:t>
      </w:r>
      <w:r w:rsidR="00A773BC">
        <w:rPr>
          <w:szCs w:val="22"/>
        </w:rPr>
        <w:t xml:space="preserve"> necessary,</w:t>
      </w:r>
      <w:r w:rsidRPr="000C44C1">
        <w:rPr>
          <w:szCs w:val="22"/>
        </w:rPr>
        <w:t xml:space="preserve"> cooperate with other part</w:t>
      </w:r>
      <w:r w:rsidR="00A773BC">
        <w:rPr>
          <w:szCs w:val="22"/>
        </w:rPr>
        <w:t>ies</w:t>
      </w:r>
      <w:r w:rsidRPr="000C44C1">
        <w:rPr>
          <w:szCs w:val="22"/>
        </w:rPr>
        <w:t xml:space="preserve"> in good faith for the purposes of complying with any direction.</w:t>
      </w:r>
    </w:p>
    <w:p w14:paraId="28CE54C0" w14:textId="77777777" w:rsidR="005E6C7D" w:rsidRPr="008E0D91" w:rsidRDefault="005E6C7D" w:rsidP="005E6C7D">
      <w:pPr>
        <w:pStyle w:val="Para1"/>
      </w:pPr>
      <w:r w:rsidRPr="005F3B2B">
        <w:rPr>
          <w:szCs w:val="22"/>
        </w:rPr>
        <w:t>A party may request in writing t</w:t>
      </w:r>
      <w:r>
        <w:rPr>
          <w:szCs w:val="22"/>
        </w:rPr>
        <w:t>hat the Panel give a direction.</w:t>
      </w:r>
    </w:p>
    <w:p w14:paraId="0E960698" w14:textId="77777777" w:rsidR="008E0D91" w:rsidRDefault="008E0D91" w:rsidP="00B26C5B">
      <w:pPr>
        <w:pStyle w:val="ActHead5"/>
      </w:pPr>
      <w:bookmarkStart w:id="21" w:name="_Toc35023535"/>
      <w:bookmarkStart w:id="22" w:name="_Toc58416923"/>
      <w:proofErr w:type="gramStart"/>
      <w:r>
        <w:lastRenderedPageBreak/>
        <w:t>8</w:t>
      </w:r>
      <w:r w:rsidRPr="00554826">
        <w:t xml:space="preserve">  </w:t>
      </w:r>
      <w:r>
        <w:t>Guidelines</w:t>
      </w:r>
      <w:proofErr w:type="gramEnd"/>
      <w:r>
        <w:t xml:space="preserve"> to Rules</w:t>
      </w:r>
      <w:bookmarkEnd w:id="21"/>
      <w:bookmarkEnd w:id="22"/>
    </w:p>
    <w:p w14:paraId="2C87BB94" w14:textId="1416C2E5" w:rsidR="008E0D91" w:rsidRPr="008E0D91" w:rsidRDefault="008E0D91" w:rsidP="00B26C5B">
      <w:pPr>
        <w:pStyle w:val="Para1"/>
        <w:keepNext/>
        <w:numPr>
          <w:ilvl w:val="0"/>
          <w:numId w:val="0"/>
        </w:numPr>
        <w:ind w:left="1134"/>
      </w:pPr>
      <w:r w:rsidRPr="008E0D91">
        <w:t xml:space="preserve">From time to time the </w:t>
      </w:r>
      <w:r w:rsidR="00181D3C">
        <w:t>Takeovers</w:t>
      </w:r>
      <w:r w:rsidR="00A10AE7">
        <w:t xml:space="preserve"> </w:t>
      </w:r>
      <w:r w:rsidRPr="008E0D91">
        <w:t>Panel may publish guidelines to assist parties and advisers to understand and apply these Rules.</w:t>
      </w:r>
    </w:p>
    <w:p w14:paraId="6E33E5BE" w14:textId="417194E3" w:rsidR="008E0D91" w:rsidRPr="00DD1020" w:rsidRDefault="00876149" w:rsidP="00156F6C">
      <w:pPr>
        <w:pStyle w:val="notetext"/>
      </w:pPr>
      <w:r w:rsidRPr="006922E2">
        <w:t>N</w:t>
      </w:r>
      <w:r w:rsidRPr="006922E2">
        <w:rPr>
          <w:szCs w:val="18"/>
        </w:rPr>
        <w:t xml:space="preserve">ote: </w:t>
      </w:r>
      <w:r w:rsidR="00156F6C">
        <w:rPr>
          <w:szCs w:val="18"/>
        </w:rPr>
        <w:tab/>
      </w:r>
      <w:r w:rsidR="008E0D91" w:rsidRPr="00DD1020">
        <w:t>Any guidelines are available on the</w:t>
      </w:r>
      <w:r w:rsidR="00A342EA">
        <w:t xml:space="preserve"> </w:t>
      </w:r>
      <w:r w:rsidR="00A342EA">
        <w:rPr>
          <w:szCs w:val="18"/>
        </w:rPr>
        <w:t>Takeovers</w:t>
      </w:r>
      <w:r w:rsidR="008E0D91" w:rsidRPr="00DD1020">
        <w:t xml:space="preserve"> Panel’s website </w:t>
      </w:r>
      <w:r w:rsidR="00D318D7" w:rsidRPr="00DD1020">
        <w:t>(</w:t>
      </w:r>
      <w:hyperlink r:id="rId24" w:history="1">
        <w:r w:rsidR="00082A55" w:rsidRPr="00DD1020">
          <w:t>https://www.takeovers.gov.au/</w:t>
        </w:r>
      </w:hyperlink>
      <w:r w:rsidR="008E0D91" w:rsidRPr="00DD1020">
        <w:t>).</w:t>
      </w:r>
    </w:p>
    <w:p w14:paraId="5801A714" w14:textId="77777777" w:rsidR="008E0D91" w:rsidRDefault="00E4342E" w:rsidP="00E4342E">
      <w:pPr>
        <w:pStyle w:val="ActHead2"/>
        <w:pageBreakBefore/>
      </w:pPr>
      <w:bookmarkStart w:id="23" w:name="_Toc35023536"/>
      <w:bookmarkStart w:id="24" w:name="_Toc58416924"/>
      <w:r w:rsidRPr="00E4342E">
        <w:lastRenderedPageBreak/>
        <w:t>Part 3 Documents</w:t>
      </w:r>
      <w:bookmarkEnd w:id="23"/>
      <w:bookmarkEnd w:id="24"/>
    </w:p>
    <w:p w14:paraId="52738A3F" w14:textId="77777777" w:rsidR="00E4342E" w:rsidRDefault="00E4342E" w:rsidP="00E4342E">
      <w:pPr>
        <w:pStyle w:val="ActHead5"/>
      </w:pPr>
      <w:bookmarkStart w:id="25" w:name="_Toc35023537"/>
      <w:bookmarkStart w:id="26" w:name="_Toc58416925"/>
      <w:proofErr w:type="gramStart"/>
      <w:r>
        <w:t>9</w:t>
      </w:r>
      <w:r w:rsidRPr="00554826">
        <w:t xml:space="preserve">  </w:t>
      </w:r>
      <w:r>
        <w:t>Form</w:t>
      </w:r>
      <w:bookmarkEnd w:id="25"/>
      <w:bookmarkEnd w:id="26"/>
      <w:proofErr w:type="gramEnd"/>
    </w:p>
    <w:p w14:paraId="358B86E0" w14:textId="77777777" w:rsidR="00E4342E" w:rsidRDefault="00E4342E" w:rsidP="00A36B8B">
      <w:pPr>
        <w:pStyle w:val="Para1"/>
        <w:numPr>
          <w:ilvl w:val="0"/>
          <w:numId w:val="13"/>
        </w:numPr>
      </w:pPr>
      <w:r w:rsidRPr="000C44C1">
        <w:t>Any document intended for the Panel must:</w:t>
      </w:r>
    </w:p>
    <w:p w14:paraId="44C2201C" w14:textId="77777777" w:rsidR="00E4342E" w:rsidRPr="000C44C1" w:rsidRDefault="00E4342E" w:rsidP="009D1630">
      <w:pPr>
        <w:pStyle w:val="Para2"/>
      </w:pPr>
      <w:r w:rsidRPr="000C44C1">
        <w:t xml:space="preserve">be in writing </w:t>
      </w:r>
    </w:p>
    <w:p w14:paraId="665698C1" w14:textId="77777777" w:rsidR="00E4342E" w:rsidRPr="000C44C1" w:rsidRDefault="00E4342E" w:rsidP="009D1630">
      <w:pPr>
        <w:pStyle w:val="Para2"/>
      </w:pPr>
      <w:r w:rsidRPr="000C44C1">
        <w:t>be in a form (if any) required by the Panel</w:t>
      </w:r>
    </w:p>
    <w:p w14:paraId="232F0200" w14:textId="77777777" w:rsidR="00E4342E" w:rsidRPr="000C44C1" w:rsidRDefault="00E4342E" w:rsidP="009D1630">
      <w:pPr>
        <w:pStyle w:val="Para2"/>
      </w:pPr>
      <w:r w:rsidRPr="000C44C1">
        <w:t>include any content required by the</w:t>
      </w:r>
      <w:r>
        <w:t>se</w:t>
      </w:r>
      <w:r w:rsidRPr="000C44C1">
        <w:t xml:space="preserve"> </w:t>
      </w:r>
      <w:r>
        <w:t>R</w:t>
      </w:r>
      <w:r w:rsidRPr="000C44C1">
        <w:t>ules</w:t>
      </w:r>
    </w:p>
    <w:p w14:paraId="5D6C8454" w14:textId="77777777" w:rsidR="00E4342E" w:rsidRPr="000C44C1" w:rsidRDefault="00E4342E" w:rsidP="009D1630">
      <w:pPr>
        <w:pStyle w:val="Para2"/>
      </w:pPr>
      <w:r w:rsidRPr="000C44C1">
        <w:t xml:space="preserve">be succinct, on point and avoid repetition (including of previously submitted material) </w:t>
      </w:r>
    </w:p>
    <w:p w14:paraId="271D6B8D" w14:textId="77777777" w:rsidR="00E4342E" w:rsidRPr="000C44C1" w:rsidRDefault="00E4342E" w:rsidP="009D1630">
      <w:pPr>
        <w:pStyle w:val="Para2"/>
      </w:pPr>
      <w:r w:rsidRPr="000C44C1">
        <w:t xml:space="preserve">be expressed simply and clearly </w:t>
      </w:r>
    </w:p>
    <w:p w14:paraId="2EB3BC51" w14:textId="77777777" w:rsidR="00E4342E" w:rsidRPr="007C4A69" w:rsidRDefault="00E4342E" w:rsidP="009D1630">
      <w:pPr>
        <w:pStyle w:val="Para2"/>
      </w:pPr>
      <w:r w:rsidRPr="007C4A69">
        <w:t xml:space="preserve">be accompanied by any relevant material </w:t>
      </w:r>
      <w:r w:rsidRPr="00EE7E48">
        <w:t>including any market announcements or documents lodged with ASIC that are referred to in the document</w:t>
      </w:r>
      <w:r w:rsidRPr="007C4A69">
        <w:t xml:space="preserve"> (unless already provided to the Panel) and</w:t>
      </w:r>
    </w:p>
    <w:p w14:paraId="404C3CD4" w14:textId="77777777" w:rsidR="00E4342E" w:rsidRPr="000C44C1" w:rsidRDefault="00E4342E" w:rsidP="009D1630">
      <w:pPr>
        <w:pStyle w:val="Para2"/>
      </w:pPr>
      <w:proofErr w:type="gramStart"/>
      <w:r w:rsidRPr="000C44C1">
        <w:t>identify</w:t>
      </w:r>
      <w:proofErr w:type="gramEnd"/>
      <w:r w:rsidRPr="000C44C1">
        <w:t xml:space="preserve"> the </w:t>
      </w:r>
      <w:r>
        <w:t>matter</w:t>
      </w:r>
      <w:r w:rsidRPr="000C44C1">
        <w:t>, the party</w:t>
      </w:r>
      <w:r>
        <w:t>,</w:t>
      </w:r>
      <w:r w:rsidRPr="000C44C1">
        <w:t xml:space="preserve"> the person providing the document</w:t>
      </w:r>
      <w:r>
        <w:t xml:space="preserve"> and the type of document (e.g., submissions on brief)</w:t>
      </w:r>
      <w:r w:rsidRPr="000C44C1">
        <w:t>.</w:t>
      </w:r>
    </w:p>
    <w:p w14:paraId="47C65CD8" w14:textId="6D2256CF" w:rsidR="00E4342E" w:rsidRPr="00E4342E" w:rsidRDefault="00E4342E" w:rsidP="00E4342E">
      <w:pPr>
        <w:pStyle w:val="Para1"/>
      </w:pPr>
      <w:r w:rsidRPr="00A318F4">
        <w:t>If a doc</w:t>
      </w:r>
      <w:r w:rsidRPr="00B26C5B">
        <w:t xml:space="preserve">ument does not comply with this Rule or is otherwise inaccessible, the Panel </w:t>
      </w:r>
      <w:r w:rsidR="00665F7B" w:rsidRPr="00B26C5B">
        <w:rPr>
          <w:szCs w:val="22"/>
        </w:rPr>
        <w:t xml:space="preserve">(or before the Panel is appointed, the President) </w:t>
      </w:r>
      <w:r w:rsidRPr="00B26C5B">
        <w:t>may direct that a further document be provided before being considered.</w:t>
      </w:r>
    </w:p>
    <w:p w14:paraId="1FE49D6B" w14:textId="77777777" w:rsidR="00E4342E" w:rsidRDefault="00E4342E" w:rsidP="00E4342E">
      <w:pPr>
        <w:pStyle w:val="ActHead5"/>
      </w:pPr>
      <w:bookmarkStart w:id="27" w:name="_Toc35023538"/>
      <w:bookmarkStart w:id="28" w:name="_Toc58416926"/>
      <w:proofErr w:type="gramStart"/>
      <w:r>
        <w:t>10</w:t>
      </w:r>
      <w:r w:rsidRPr="00554826">
        <w:t xml:space="preserve">  </w:t>
      </w:r>
      <w:r>
        <w:t>Provision</w:t>
      </w:r>
      <w:proofErr w:type="gramEnd"/>
      <w:r>
        <w:t xml:space="preserve"> of documents</w:t>
      </w:r>
      <w:bookmarkEnd w:id="27"/>
      <w:bookmarkEnd w:id="28"/>
    </w:p>
    <w:p w14:paraId="2077C845" w14:textId="3F215910" w:rsidR="00E4342E" w:rsidRPr="00822F3E" w:rsidRDefault="00E4342E" w:rsidP="00A36B8B">
      <w:pPr>
        <w:pStyle w:val="Para1"/>
        <w:numPr>
          <w:ilvl w:val="0"/>
          <w:numId w:val="14"/>
        </w:numPr>
      </w:pPr>
      <w:r>
        <w:t>All documents in proceedi</w:t>
      </w:r>
      <w:r w:rsidRPr="00822F3E">
        <w:t>ngs must be provided to</w:t>
      </w:r>
      <w:r w:rsidR="00AE46D8">
        <w:t xml:space="preserve"> the Executive. The Executive will provide documents to</w:t>
      </w:r>
      <w:r w:rsidRPr="00822F3E">
        <w:t xml:space="preserve"> the Panel</w:t>
      </w:r>
      <w:r w:rsidR="00AE46D8">
        <w:t xml:space="preserve"> or the President as applicable. </w:t>
      </w:r>
    </w:p>
    <w:p w14:paraId="2E4AD3F6" w14:textId="4924CCB3" w:rsidR="00E4342E" w:rsidRPr="00822F3E" w:rsidRDefault="00E4342E" w:rsidP="00A36B8B">
      <w:pPr>
        <w:pStyle w:val="Para1"/>
        <w:numPr>
          <w:ilvl w:val="0"/>
          <w:numId w:val="14"/>
        </w:numPr>
      </w:pPr>
      <w:r w:rsidRPr="00822F3E">
        <w:rPr>
          <w:szCs w:val="22"/>
        </w:rPr>
        <w:t>A document is provided to the Panel when it is received by the Executive.</w:t>
      </w:r>
    </w:p>
    <w:p w14:paraId="7B34C20A" w14:textId="09779499" w:rsidR="008048C3" w:rsidRPr="00822F3E" w:rsidRDefault="008048C3" w:rsidP="00156F6C">
      <w:pPr>
        <w:pStyle w:val="notetext"/>
      </w:pPr>
      <w:r w:rsidRPr="00822F3E">
        <w:t xml:space="preserve">Note: </w:t>
      </w:r>
      <w:r w:rsidR="00156F6C">
        <w:tab/>
      </w:r>
      <w:r w:rsidRPr="00822F3E">
        <w:t>Further detail regarding the provision of documents</w:t>
      </w:r>
      <w:r w:rsidR="008421D7" w:rsidRPr="00822F3E">
        <w:t xml:space="preserve"> (including the lodgement of applications)</w:t>
      </w:r>
      <w:r w:rsidRPr="00822F3E">
        <w:t xml:space="preserve"> is set out in the guidelines.</w:t>
      </w:r>
    </w:p>
    <w:p w14:paraId="04A40AC1" w14:textId="678AA4B8" w:rsidR="00E4342E" w:rsidRPr="00822F3E" w:rsidRDefault="009451AA" w:rsidP="00F76202">
      <w:pPr>
        <w:pStyle w:val="Para1"/>
        <w:numPr>
          <w:ilvl w:val="0"/>
          <w:numId w:val="14"/>
        </w:numPr>
      </w:pPr>
      <w:r w:rsidRPr="00822F3E">
        <w:t>A</w:t>
      </w:r>
      <w:r w:rsidR="00E4342E" w:rsidRPr="00822F3E">
        <w:t>n application under section 657C of the Corporations Act</w:t>
      </w:r>
      <w:r w:rsidR="003650F5" w:rsidRPr="00822F3E">
        <w:t xml:space="preserve"> for a declaration of unacceptable circumstances or an order</w:t>
      </w:r>
      <w:r w:rsidR="00E4342E" w:rsidRPr="00822F3E">
        <w:t xml:space="preserve"> must be provided</w:t>
      </w:r>
      <w:r w:rsidR="00416F93" w:rsidRPr="00822F3E">
        <w:t xml:space="preserve"> by the applicant</w:t>
      </w:r>
      <w:r w:rsidR="00E4342E" w:rsidRPr="00822F3E">
        <w:t xml:space="preserve"> to ASIC and</w:t>
      </w:r>
      <w:r w:rsidR="00406988" w:rsidRPr="00822F3E">
        <w:t>, using</w:t>
      </w:r>
      <w:r w:rsidR="00416F93" w:rsidRPr="002C24F0">
        <w:t xml:space="preserve"> the applicant’s</w:t>
      </w:r>
      <w:r w:rsidR="00406988" w:rsidRPr="00822F3E">
        <w:t xml:space="preserve"> reasonable endeavours</w:t>
      </w:r>
      <w:r w:rsidR="00406988" w:rsidRPr="0002349D">
        <w:t>,</w:t>
      </w:r>
      <w:r w:rsidR="00E4342E" w:rsidRPr="0002349D">
        <w:t xml:space="preserve"> any person identified in the application as a</w:t>
      </w:r>
      <w:r w:rsidR="00171A21" w:rsidRPr="00822F3E">
        <w:t xml:space="preserve">n interested </w:t>
      </w:r>
      <w:r w:rsidR="00E4342E" w:rsidRPr="00822F3E">
        <w:t>person</w:t>
      </w:r>
      <w:r w:rsidR="00B26C5B">
        <w:t>.</w:t>
      </w:r>
    </w:p>
    <w:p w14:paraId="243D35C1" w14:textId="57FDA522" w:rsidR="00FC254A" w:rsidRPr="001D5EC2" w:rsidRDefault="009451AA" w:rsidP="00DD1020">
      <w:pPr>
        <w:pStyle w:val="Para1"/>
        <w:numPr>
          <w:ilvl w:val="0"/>
          <w:numId w:val="14"/>
        </w:numPr>
      </w:pPr>
      <w:r w:rsidRPr="00822F3E">
        <w:t>A</w:t>
      </w:r>
      <w:r w:rsidR="00FC254A" w:rsidRPr="00822F3E">
        <w:t xml:space="preserve">n application </w:t>
      </w:r>
      <w:r w:rsidR="003650F5" w:rsidRPr="00822F3E">
        <w:t xml:space="preserve">under section 657EA of the Corporations Act </w:t>
      </w:r>
      <w:r w:rsidR="00FC254A" w:rsidRPr="00822F3E">
        <w:t xml:space="preserve">seeking review of a decision of the Panel must be provided </w:t>
      </w:r>
      <w:r w:rsidR="00416F93" w:rsidRPr="002C24F0">
        <w:t>by the applicant</w:t>
      </w:r>
      <w:r w:rsidR="00416F93" w:rsidRPr="00822F3E">
        <w:t xml:space="preserve"> </w:t>
      </w:r>
      <w:r w:rsidR="00FC254A" w:rsidRPr="0002349D">
        <w:t>to ASIC and each party to the proceedings in which the decision was made</w:t>
      </w:r>
      <w:r w:rsidRPr="0002349D">
        <w:t>.</w:t>
      </w:r>
    </w:p>
    <w:p w14:paraId="5B43E3F6" w14:textId="20772398" w:rsidR="00FC254A" w:rsidRPr="00FC254A" w:rsidRDefault="009451AA" w:rsidP="00DD1020">
      <w:pPr>
        <w:pStyle w:val="Para1"/>
        <w:numPr>
          <w:ilvl w:val="0"/>
          <w:numId w:val="14"/>
        </w:numPr>
      </w:pPr>
      <w:r w:rsidRPr="00822F3E">
        <w:t>A</w:t>
      </w:r>
      <w:r w:rsidR="00FC254A" w:rsidRPr="00822F3E">
        <w:t>n application</w:t>
      </w:r>
      <w:r w:rsidR="003650F5" w:rsidRPr="00822F3E">
        <w:t xml:space="preserve"> under section 656A of the Corporations Act</w:t>
      </w:r>
      <w:r w:rsidR="00FC254A" w:rsidRPr="00822F3E">
        <w:t xml:space="preserve"> seeking review of a decision of ASIC must be provided </w:t>
      </w:r>
      <w:r w:rsidR="00416F93" w:rsidRPr="002C24F0">
        <w:t>by the applicant</w:t>
      </w:r>
      <w:r w:rsidR="00416F93" w:rsidRPr="00822F3E">
        <w:t xml:space="preserve"> </w:t>
      </w:r>
      <w:r w:rsidR="00FC254A" w:rsidRPr="0002349D">
        <w:t>to ASIC, the entity to which the decision relates or would have related and each other part</w:t>
      </w:r>
      <w:r w:rsidR="00FC254A" w:rsidRPr="00FC254A">
        <w:t>y who, to the knowledge of the applicant, made submissions to ASIC in relation to that decision</w:t>
      </w:r>
      <w:r>
        <w:t>.</w:t>
      </w:r>
    </w:p>
    <w:p w14:paraId="568D2CB5" w14:textId="1256A621" w:rsidR="00FC254A" w:rsidRPr="00FC254A" w:rsidRDefault="009451AA" w:rsidP="00DD1020">
      <w:pPr>
        <w:pStyle w:val="Para1"/>
        <w:numPr>
          <w:ilvl w:val="0"/>
          <w:numId w:val="14"/>
        </w:numPr>
      </w:pPr>
      <w:r>
        <w:t>A</w:t>
      </w:r>
      <w:r w:rsidR="00FC254A" w:rsidRPr="00FC254A">
        <w:t xml:space="preserve">ny other </w:t>
      </w:r>
      <w:r w:rsidR="00FC254A" w:rsidRPr="00EA66F0">
        <w:rPr>
          <w:szCs w:val="22"/>
        </w:rPr>
        <w:t>document</w:t>
      </w:r>
      <w:r w:rsidR="00FC254A" w:rsidRPr="00FC254A">
        <w:t xml:space="preserve"> (including a Notice </w:t>
      </w:r>
      <w:r w:rsidR="000C096C">
        <w:t>to Become a Party</w:t>
      </w:r>
      <w:r w:rsidR="00FC254A" w:rsidRPr="00FC254A">
        <w:t>, any submission or request) in connection with</w:t>
      </w:r>
      <w:r w:rsidR="000C096C">
        <w:t xml:space="preserve"> </w:t>
      </w:r>
      <w:r w:rsidR="00FC254A" w:rsidRPr="00FC254A">
        <w:t>proceedings must be provided to ASIC and each other party to the proceedings, except as provided in Rule 11</w:t>
      </w:r>
      <w:r w:rsidR="006E63A8">
        <w:t xml:space="preserve"> and Rule 27</w:t>
      </w:r>
      <w:r w:rsidR="00AC5CFE">
        <w:t>(3)</w:t>
      </w:r>
      <w:r w:rsidR="00FC254A" w:rsidRPr="00FC254A">
        <w:t>.</w:t>
      </w:r>
    </w:p>
    <w:p w14:paraId="00F8FB84" w14:textId="77777777" w:rsidR="00FC254A" w:rsidRDefault="00FC254A" w:rsidP="00FC254A">
      <w:pPr>
        <w:pStyle w:val="Para1"/>
      </w:pPr>
      <w:r w:rsidRPr="000C44C1">
        <w:lastRenderedPageBreak/>
        <w:t xml:space="preserve">A party providing a document to another person should inform the </w:t>
      </w:r>
      <w:r>
        <w:t>E</w:t>
      </w:r>
      <w:r w:rsidRPr="000C44C1">
        <w:t>xecutive as soon as possible if it appears that the other person has not received the document.</w:t>
      </w:r>
    </w:p>
    <w:p w14:paraId="6AD5AFAC" w14:textId="2DA8B73A" w:rsidR="00FC254A" w:rsidRDefault="00FC254A" w:rsidP="00FC254A">
      <w:pPr>
        <w:pStyle w:val="Para1"/>
      </w:pPr>
      <w:r w:rsidRPr="00066A6E">
        <w:t xml:space="preserve">A person required to provide a document, or who has accepted an invitation to make a submission, must do so by the time specified by the Panel </w:t>
      </w:r>
      <w:r w:rsidR="00E00631">
        <w:t>(</w:t>
      </w:r>
      <w:r w:rsidRPr="003746ED">
        <w:t>or</w:t>
      </w:r>
      <w:r w:rsidR="00E00631">
        <w:t xml:space="preserve"> before the Panel is appointed,</w:t>
      </w:r>
      <w:r w:rsidRPr="003746ED">
        <w:t xml:space="preserve"> </w:t>
      </w:r>
      <w:r w:rsidRPr="00066A6E">
        <w:t>the President</w:t>
      </w:r>
      <w:r w:rsidR="00E00631">
        <w:t>)</w:t>
      </w:r>
      <w:r w:rsidRPr="003746ED">
        <w:t>.</w:t>
      </w:r>
    </w:p>
    <w:p w14:paraId="22C14695" w14:textId="3C89E923" w:rsidR="00FC254A" w:rsidRDefault="00FC254A" w:rsidP="00FC254A">
      <w:pPr>
        <w:pStyle w:val="Para1"/>
      </w:pPr>
      <w:r>
        <w:t xml:space="preserve">The Panel </w:t>
      </w:r>
      <w:r w:rsidR="00E00631">
        <w:t>(</w:t>
      </w:r>
      <w:r>
        <w:t>or</w:t>
      </w:r>
      <w:r w:rsidR="00E00631">
        <w:t xml:space="preserve"> before the Panel is appointed,</w:t>
      </w:r>
      <w:r>
        <w:t xml:space="preserve"> the President</w:t>
      </w:r>
      <w:r w:rsidR="00E00631">
        <w:t>)</w:t>
      </w:r>
      <w:r>
        <w:t xml:space="preserve"> may consider a request for an extension of time to </w:t>
      </w:r>
      <w:r w:rsidR="000C096C">
        <w:t xml:space="preserve">provide a document or </w:t>
      </w:r>
      <w:r>
        <w:t>make a submission</w:t>
      </w:r>
      <w:r w:rsidR="00661FF5">
        <w:t xml:space="preserve">. </w:t>
      </w:r>
      <w:r>
        <w:t xml:space="preserve"> </w:t>
      </w:r>
      <w:r w:rsidR="00661FF5">
        <w:t>T</w:t>
      </w:r>
      <w:r>
        <w:t>he person seeking the extension</w:t>
      </w:r>
      <w:r w:rsidR="00661FF5">
        <w:t xml:space="preserve"> should</w:t>
      </w:r>
      <w:r>
        <w:t>:</w:t>
      </w:r>
    </w:p>
    <w:p w14:paraId="6BBD9320" w14:textId="11C1BEFB" w:rsidR="00FC254A" w:rsidRDefault="00FC254A" w:rsidP="009D1630">
      <w:pPr>
        <w:pStyle w:val="Para2"/>
      </w:pPr>
      <w:r>
        <w:t xml:space="preserve">make the request as soon as possible after anticipating that </w:t>
      </w:r>
      <w:r w:rsidRPr="00B05E51">
        <w:t xml:space="preserve">the time specified by the Panel </w:t>
      </w:r>
      <w:r w:rsidR="00E00631">
        <w:t>(</w:t>
      </w:r>
      <w:r w:rsidRPr="00B05E51">
        <w:t xml:space="preserve">or </w:t>
      </w:r>
      <w:r w:rsidR="00E00631">
        <w:t xml:space="preserve">before the Panel is appointed, </w:t>
      </w:r>
      <w:r>
        <w:t xml:space="preserve">the </w:t>
      </w:r>
      <w:r w:rsidRPr="00B05E51">
        <w:t>President</w:t>
      </w:r>
      <w:r w:rsidR="00E00631">
        <w:t>)</w:t>
      </w:r>
      <w:r w:rsidRPr="00B05E51">
        <w:t xml:space="preserve"> does not give them sufficient time to respond</w:t>
      </w:r>
    </w:p>
    <w:p w14:paraId="62C21A06" w14:textId="3210134A" w:rsidR="00FC254A" w:rsidRDefault="00FC254A" w:rsidP="009D1630">
      <w:pPr>
        <w:pStyle w:val="Para2"/>
      </w:pPr>
      <w:r>
        <w:t>e</w:t>
      </w:r>
      <w:r w:rsidRPr="00B05E51">
        <w:t xml:space="preserve">xplain why additional time is required and </w:t>
      </w:r>
    </w:p>
    <w:p w14:paraId="4B6D4B7E" w14:textId="2DC0D33A" w:rsidR="00FC254A" w:rsidRDefault="00FC254A" w:rsidP="009D1630">
      <w:pPr>
        <w:pStyle w:val="Para2"/>
      </w:pPr>
      <w:proofErr w:type="gramStart"/>
      <w:r w:rsidRPr="00B05E51">
        <w:t>provide</w:t>
      </w:r>
      <w:proofErr w:type="gramEnd"/>
      <w:r w:rsidRPr="00B05E51">
        <w:t xml:space="preserve"> an estimate of the additional time required.</w:t>
      </w:r>
      <w:r w:rsidR="00F93871">
        <w:t xml:space="preserve"> </w:t>
      </w:r>
    </w:p>
    <w:p w14:paraId="3AF60F85" w14:textId="77777777" w:rsidR="00FC254A" w:rsidRDefault="00FC254A" w:rsidP="00FC254A">
      <w:pPr>
        <w:pStyle w:val="ActHead5"/>
      </w:pPr>
      <w:bookmarkStart w:id="29" w:name="_Toc35023539"/>
      <w:bookmarkStart w:id="30" w:name="_Toc58416927"/>
      <w:proofErr w:type="gramStart"/>
      <w:r>
        <w:t>11</w:t>
      </w:r>
      <w:r w:rsidRPr="00554826">
        <w:t xml:space="preserve">  </w:t>
      </w:r>
      <w:r>
        <w:t>Withholding</w:t>
      </w:r>
      <w:proofErr w:type="gramEnd"/>
      <w:r>
        <w:t xml:space="preserve"> information or documents</w:t>
      </w:r>
      <w:bookmarkEnd w:id="29"/>
      <w:bookmarkEnd w:id="30"/>
    </w:p>
    <w:p w14:paraId="0CBE26A1" w14:textId="2F7D6198" w:rsidR="00FC254A" w:rsidRPr="00822F3E" w:rsidRDefault="00FC254A" w:rsidP="00A36B8B">
      <w:pPr>
        <w:pStyle w:val="Para1"/>
        <w:numPr>
          <w:ilvl w:val="0"/>
          <w:numId w:val="15"/>
        </w:numPr>
      </w:pPr>
      <w:r w:rsidRPr="00822F3E">
        <w:t xml:space="preserve">A person may request </w:t>
      </w:r>
      <w:r w:rsidRPr="0002349D">
        <w:t>the Panel</w:t>
      </w:r>
      <w:r w:rsidR="00C36D5F" w:rsidRPr="0002349D">
        <w:t xml:space="preserve"> (or before the Panel is appointed, the President)</w:t>
      </w:r>
      <w:r w:rsidRPr="00822F3E">
        <w:t xml:space="preserve"> to withhold information from a party (for confidentiality or other reasons)</w:t>
      </w:r>
      <w:r w:rsidR="003B2B3E" w:rsidRPr="00822F3E">
        <w:t>.</w:t>
      </w:r>
      <w:r w:rsidR="00C36D5F" w:rsidRPr="00822F3E">
        <w:t xml:space="preserve"> </w:t>
      </w:r>
      <w:r w:rsidR="003178F0" w:rsidRPr="00822F3E">
        <w:rPr>
          <w:b/>
          <w:i/>
        </w:rPr>
        <w:t xml:space="preserve"> </w:t>
      </w:r>
      <w:r w:rsidR="0050518A" w:rsidRPr="00822F3E">
        <w:t>T</w:t>
      </w:r>
      <w:r w:rsidRPr="00822F3E">
        <w:t xml:space="preserve">he person </w:t>
      </w:r>
      <w:r w:rsidR="003F2D41" w:rsidRPr="00822F3E">
        <w:t xml:space="preserve">making the request </w:t>
      </w:r>
      <w:r w:rsidR="0050518A" w:rsidRPr="00822F3E">
        <w:t>should</w:t>
      </w:r>
      <w:r w:rsidRPr="00822F3E">
        <w:t>:</w:t>
      </w:r>
    </w:p>
    <w:p w14:paraId="75DCA2A3" w14:textId="7815D8E2" w:rsidR="00FC254A" w:rsidRPr="00822F3E" w:rsidRDefault="00FC254A" w:rsidP="009D1630">
      <w:pPr>
        <w:pStyle w:val="Para2"/>
      </w:pPr>
      <w:r w:rsidRPr="00822F3E">
        <w:t>make the request before the information is provided to the Panel</w:t>
      </w:r>
      <w:r w:rsidR="00FB7E3E" w:rsidRPr="00822F3E">
        <w:t xml:space="preserve"> or the President (as relevant)</w:t>
      </w:r>
    </w:p>
    <w:p w14:paraId="2C58313D" w14:textId="792E600B" w:rsidR="00FC254A" w:rsidRPr="00822F3E" w:rsidRDefault="00FC254A" w:rsidP="009D1630">
      <w:pPr>
        <w:pStyle w:val="Para2"/>
      </w:pPr>
      <w:r w:rsidRPr="00822F3E">
        <w:t>explain why the information needs to be withheld and</w:t>
      </w:r>
    </w:p>
    <w:p w14:paraId="4E65CBE6" w14:textId="03276F46" w:rsidR="00FC254A" w:rsidRPr="00822F3E" w:rsidRDefault="00FC254A" w:rsidP="009D1630">
      <w:pPr>
        <w:pStyle w:val="Para2"/>
      </w:pPr>
      <w:r w:rsidRPr="00822F3E">
        <w:t>include everything necessary for the Panel</w:t>
      </w:r>
      <w:r w:rsidR="00FB7E3E" w:rsidRPr="00822F3E">
        <w:t xml:space="preserve"> or the President (as relevant)</w:t>
      </w:r>
      <w:r w:rsidRPr="00822F3E">
        <w:t xml:space="preserve"> to consider:</w:t>
      </w:r>
    </w:p>
    <w:p w14:paraId="324C0F1F" w14:textId="77777777" w:rsidR="00FC254A" w:rsidRPr="00822F3E" w:rsidRDefault="00FC254A" w:rsidP="00A0525E">
      <w:pPr>
        <w:pStyle w:val="Para3"/>
      </w:pPr>
      <w:r w:rsidRPr="00822F3E">
        <w:t>any effect on</w:t>
      </w:r>
      <w:r w:rsidRPr="00822F3E" w:rsidDel="00C346F9">
        <w:t xml:space="preserve"> </w:t>
      </w:r>
      <w:r w:rsidRPr="00822F3E">
        <w:t>procedural fairness and</w:t>
      </w:r>
    </w:p>
    <w:p w14:paraId="2AECE690" w14:textId="77777777" w:rsidR="00FC254A" w:rsidRPr="00822F3E" w:rsidRDefault="00FC254A" w:rsidP="00A0525E">
      <w:pPr>
        <w:pStyle w:val="Para3"/>
      </w:pPr>
      <w:proofErr w:type="gramStart"/>
      <w:r w:rsidRPr="00822F3E">
        <w:t>any</w:t>
      </w:r>
      <w:proofErr w:type="gramEnd"/>
      <w:r w:rsidRPr="00822F3E">
        <w:t xml:space="preserve"> adverse effect to the person of providing the information.</w:t>
      </w:r>
    </w:p>
    <w:p w14:paraId="5D55F508" w14:textId="1AE48BDA" w:rsidR="00FC254A" w:rsidRPr="00822F3E" w:rsidRDefault="00A0525E" w:rsidP="00A0525E">
      <w:pPr>
        <w:pStyle w:val="Para1"/>
      </w:pPr>
      <w:r w:rsidRPr="00822F3E">
        <w:t xml:space="preserve">A party that wishes to claim client legal privilege over advice given in a document (and that wishes to withhold that document or part of it) </w:t>
      </w:r>
      <w:r w:rsidR="00EC6428" w:rsidRPr="00822F3E">
        <w:t xml:space="preserve">should </w:t>
      </w:r>
      <w:r w:rsidRPr="00822F3E">
        <w:t>identify:</w:t>
      </w:r>
      <w:r w:rsidR="00171A21" w:rsidRPr="00822F3E">
        <w:t xml:space="preserve"> </w:t>
      </w:r>
    </w:p>
    <w:p w14:paraId="45A62220" w14:textId="77777777" w:rsidR="00A0525E" w:rsidRPr="00A0525E" w:rsidRDefault="00A0525E" w:rsidP="009D1630">
      <w:pPr>
        <w:pStyle w:val="Para2"/>
      </w:pPr>
      <w:r>
        <w:t>the holder of the privilege</w:t>
      </w:r>
    </w:p>
    <w:p w14:paraId="117806E3" w14:textId="77777777" w:rsidR="00A0525E" w:rsidRPr="00A0525E" w:rsidRDefault="00A0525E" w:rsidP="009D1630">
      <w:pPr>
        <w:pStyle w:val="Para2"/>
      </w:pPr>
      <w:r w:rsidRPr="000C44C1">
        <w:t>the circumstances in which the advice was given and</w:t>
      </w:r>
    </w:p>
    <w:p w14:paraId="44ACDD19" w14:textId="55896AFB" w:rsidR="00A0525E" w:rsidRPr="00FC254A" w:rsidRDefault="00A0525E" w:rsidP="009D1630">
      <w:pPr>
        <w:pStyle w:val="Para2"/>
      </w:pPr>
      <w:proofErr w:type="gramStart"/>
      <w:r w:rsidRPr="000C44C1">
        <w:t>the</w:t>
      </w:r>
      <w:proofErr w:type="gramEnd"/>
      <w:r w:rsidRPr="000C44C1">
        <w:t xml:space="preserve"> subject matter or question(s) to which the advice was directed.</w:t>
      </w:r>
      <w:r w:rsidR="00794301">
        <w:t xml:space="preserve"> </w:t>
      </w:r>
    </w:p>
    <w:p w14:paraId="36AAEF7C" w14:textId="2E1A88B8" w:rsidR="00A0525E" w:rsidRDefault="00A0525E" w:rsidP="00FC52FF">
      <w:pPr>
        <w:pStyle w:val="Para1"/>
      </w:pPr>
      <w:r w:rsidRPr="00EE7E48">
        <w:t xml:space="preserve">A party </w:t>
      </w:r>
      <w:r>
        <w:t xml:space="preserve">that wishes </w:t>
      </w:r>
      <w:r w:rsidRPr="00EE7E48">
        <w:t>to inquire whether an undertaking</w:t>
      </w:r>
      <w:r>
        <w:t xml:space="preserve"> under section 201A of the ASIC Act</w:t>
      </w:r>
      <w:r w:rsidRPr="00EE7E48">
        <w:t xml:space="preserve"> might satisfy the Panel </w:t>
      </w:r>
      <w:r>
        <w:t>may</w:t>
      </w:r>
      <w:r w:rsidRPr="00EE7E48">
        <w:t xml:space="preserve"> contact the </w:t>
      </w:r>
      <w:r>
        <w:t>E</w:t>
      </w:r>
      <w:r w:rsidRPr="00EE7E48">
        <w:t>xecutive if it wishes to provide a draft undertaking confidentially before circulating the draft to all parties.</w:t>
      </w:r>
      <w:r>
        <w:br w:type="page"/>
      </w:r>
    </w:p>
    <w:p w14:paraId="56B234FF" w14:textId="77777777" w:rsidR="00A0525E" w:rsidRDefault="00A0525E" w:rsidP="003629B3">
      <w:pPr>
        <w:pStyle w:val="ActHead2"/>
        <w:pageBreakBefore/>
      </w:pPr>
      <w:bookmarkStart w:id="31" w:name="_Toc35023540"/>
      <w:bookmarkStart w:id="32" w:name="_Toc58416928"/>
      <w:r>
        <w:lastRenderedPageBreak/>
        <w:t xml:space="preserve">Part 4 </w:t>
      </w:r>
      <w:r w:rsidRPr="003629B3">
        <w:t>Applications</w:t>
      </w:r>
      <w:bookmarkEnd w:id="31"/>
      <w:bookmarkEnd w:id="32"/>
    </w:p>
    <w:p w14:paraId="0DA80962" w14:textId="77777777" w:rsidR="00A0525E" w:rsidRDefault="00A0525E" w:rsidP="00A0525E">
      <w:pPr>
        <w:pStyle w:val="ActHead5"/>
      </w:pPr>
      <w:bookmarkStart w:id="33" w:name="_Toc35023541"/>
      <w:bookmarkStart w:id="34" w:name="_Toc58416929"/>
      <w:proofErr w:type="gramStart"/>
      <w:r>
        <w:t>12</w:t>
      </w:r>
      <w:r w:rsidRPr="00554826">
        <w:t xml:space="preserve">  </w:t>
      </w:r>
      <w:r>
        <w:t>Application</w:t>
      </w:r>
      <w:proofErr w:type="gramEnd"/>
      <w:r>
        <w:t xml:space="preserve"> under section 657C</w:t>
      </w:r>
      <w:bookmarkEnd w:id="33"/>
      <w:bookmarkEnd w:id="34"/>
    </w:p>
    <w:p w14:paraId="027CB9EA" w14:textId="5CF4BCEC" w:rsidR="00A0525E" w:rsidRPr="00822F3E" w:rsidRDefault="00AD5905" w:rsidP="00A36B8B">
      <w:pPr>
        <w:pStyle w:val="Para1"/>
        <w:numPr>
          <w:ilvl w:val="0"/>
          <w:numId w:val="16"/>
        </w:numPr>
      </w:pPr>
      <w:r w:rsidRPr="000C44C1">
        <w:t xml:space="preserve">An application </w:t>
      </w:r>
      <w:r>
        <w:t xml:space="preserve">under section 657C of the Corporations Act </w:t>
      </w:r>
      <w:r w:rsidR="003650F5">
        <w:t>for a declaration of unacceptable circumstances or an order</w:t>
      </w:r>
      <w:r w:rsidR="003650F5" w:rsidRPr="000C44C1">
        <w:t xml:space="preserve"> </w:t>
      </w:r>
      <w:r w:rsidRPr="000C44C1">
        <w:t>does not need to be in a particular form but must</w:t>
      </w:r>
      <w:r>
        <w:t xml:space="preserve"> (except as p</w:t>
      </w:r>
      <w:r w:rsidRPr="00822F3E">
        <w:t>rovided in Rule 12(2)):</w:t>
      </w:r>
      <w:r w:rsidR="00AD1447" w:rsidRPr="00822F3E">
        <w:t xml:space="preserve"> </w:t>
      </w:r>
    </w:p>
    <w:p w14:paraId="31FD9B11" w14:textId="1FB84BA6" w:rsidR="00847F3F" w:rsidRPr="00822F3E" w:rsidRDefault="000F4C5E" w:rsidP="009D1630">
      <w:pPr>
        <w:pStyle w:val="Para2"/>
      </w:pPr>
      <w:r w:rsidRPr="001D5EC2">
        <w:t xml:space="preserve">identify </w:t>
      </w:r>
      <w:r w:rsidR="00847F3F" w:rsidRPr="001D5EC2">
        <w:t>the company</w:t>
      </w:r>
      <w:r w:rsidR="001C4EC7" w:rsidRPr="00DD06AE">
        <w:t xml:space="preserve"> whose affairs are affected by the circumstances</w:t>
      </w:r>
      <w:r w:rsidR="00847F3F" w:rsidRPr="00822F3E">
        <w:t xml:space="preserve"> </w:t>
      </w:r>
    </w:p>
    <w:p w14:paraId="60C37A95" w14:textId="2B5CD748" w:rsidR="00941BAB" w:rsidRPr="00822F3E" w:rsidRDefault="000F4C5E" w:rsidP="009D1630">
      <w:pPr>
        <w:pStyle w:val="Para2"/>
      </w:pPr>
      <w:r w:rsidRPr="00822F3E">
        <w:t xml:space="preserve">set out </w:t>
      </w:r>
      <w:r w:rsidR="00941BAB" w:rsidRPr="00822F3E">
        <w:t xml:space="preserve">the relevant circumstances and the key reasons as to </w:t>
      </w:r>
      <w:r w:rsidRPr="00822F3E">
        <w:t>why those circumstances</w:t>
      </w:r>
      <w:r w:rsidR="00941BAB" w:rsidRPr="00822F3E">
        <w:t xml:space="preserve"> are alleged to be unacceptable </w:t>
      </w:r>
    </w:p>
    <w:p w14:paraId="47D00CB8" w14:textId="18165616" w:rsidR="00941BAB" w:rsidRPr="00822F3E" w:rsidRDefault="00941BAB" w:rsidP="009D1630">
      <w:pPr>
        <w:pStyle w:val="Para2"/>
      </w:pPr>
      <w:r w:rsidRPr="00822F3E">
        <w:t>state when the circumstances first arose</w:t>
      </w:r>
      <w:r w:rsidR="000B2582" w:rsidRPr="00822F3E">
        <w:t xml:space="preserve"> </w:t>
      </w:r>
      <w:r w:rsidRPr="00822F3E">
        <w:t>(or where a precise date is unknown, a time period in which the circumstances first arose)</w:t>
      </w:r>
    </w:p>
    <w:p w14:paraId="0CD0E5B4" w14:textId="32ED4240" w:rsidR="00EF04C4" w:rsidRPr="00822F3E" w:rsidRDefault="00EF04C4" w:rsidP="00EF04C4">
      <w:pPr>
        <w:pStyle w:val="Para2"/>
      </w:pPr>
      <w:r>
        <w:t xml:space="preserve">provide details of any proceedings </w:t>
      </w:r>
      <w:r w:rsidR="00AE46D8">
        <w:t xml:space="preserve">threatened or commenced </w:t>
      </w:r>
      <w:r>
        <w:t>in another forum which are directly or indirectly related to the circumstances</w:t>
      </w:r>
    </w:p>
    <w:p w14:paraId="06859165" w14:textId="188B24A5" w:rsidR="00EF04C4" w:rsidRPr="00822F3E" w:rsidRDefault="000F4C5E" w:rsidP="009D1630">
      <w:pPr>
        <w:pStyle w:val="Para2"/>
      </w:pPr>
      <w:r w:rsidRPr="00822F3E">
        <w:t xml:space="preserve">state </w:t>
      </w:r>
      <w:r w:rsidR="00941BAB" w:rsidRPr="00822F3E">
        <w:t xml:space="preserve">the </w:t>
      </w:r>
      <w:r w:rsidR="00776335" w:rsidRPr="00822F3E">
        <w:t xml:space="preserve">interim orders or final </w:t>
      </w:r>
      <w:r w:rsidR="00941BAB" w:rsidRPr="00822F3E">
        <w:t xml:space="preserve">orders sought </w:t>
      </w:r>
    </w:p>
    <w:p w14:paraId="5F7EA928" w14:textId="7575A19A" w:rsidR="00456BD9" w:rsidRDefault="00135092" w:rsidP="009D1630">
      <w:pPr>
        <w:pStyle w:val="Para2"/>
      </w:pPr>
      <w:r w:rsidRPr="00822F3E">
        <w:t>identif</w:t>
      </w:r>
      <w:r w:rsidR="00941BAB" w:rsidRPr="00822F3E">
        <w:t>y i</w:t>
      </w:r>
      <w:r w:rsidR="000B2582" w:rsidRPr="00822F3E">
        <w:t>nterested persons</w:t>
      </w:r>
      <w:r w:rsidR="00F57F88" w:rsidRPr="00822F3E">
        <w:t xml:space="preserve"> </w:t>
      </w:r>
    </w:p>
    <w:p w14:paraId="222DBA8F" w14:textId="59936BC7" w:rsidR="00FC52FF" w:rsidRPr="0002349D" w:rsidRDefault="008C074A" w:rsidP="009D1630">
      <w:pPr>
        <w:pStyle w:val="Para2"/>
      </w:pPr>
      <w:r w:rsidRPr="00822F3E">
        <w:t>where submissions to support the application are included,</w:t>
      </w:r>
      <w:r w:rsidR="00822F3E" w:rsidRPr="002C24F0">
        <w:t xml:space="preserve"> the submissions should</w:t>
      </w:r>
      <w:r w:rsidRPr="00822F3E">
        <w:t xml:space="preserve"> not exceed 10 A4 pages in minimum 10 point font and </w:t>
      </w:r>
    </w:p>
    <w:p w14:paraId="01E20246" w14:textId="3148C13B" w:rsidR="00C906FD" w:rsidRPr="00822F3E" w:rsidRDefault="00FC52FF" w:rsidP="009D1630">
      <w:pPr>
        <w:pStyle w:val="Para2"/>
      </w:pPr>
      <w:proofErr w:type="gramStart"/>
      <w:r w:rsidRPr="00822F3E">
        <w:t>be</w:t>
      </w:r>
      <w:proofErr w:type="gramEnd"/>
      <w:r w:rsidRPr="00822F3E">
        <w:t xml:space="preserve"> accompanied by a Notice </w:t>
      </w:r>
      <w:r w:rsidR="000E7EC5" w:rsidRPr="00822F3E">
        <w:t>to Become a Party</w:t>
      </w:r>
      <w:r w:rsidR="00EF04C4">
        <w:t xml:space="preserve"> (except where the applicant is ASIC)</w:t>
      </w:r>
      <w:r w:rsidR="00406988" w:rsidRPr="00822F3E">
        <w:t>.</w:t>
      </w:r>
    </w:p>
    <w:p w14:paraId="6933E92B" w14:textId="28019B79" w:rsidR="00A0525E" w:rsidRDefault="00FC52FF" w:rsidP="00FC52FF">
      <w:pPr>
        <w:pStyle w:val="Para1"/>
      </w:pPr>
      <w:r>
        <w:t xml:space="preserve">A request </w:t>
      </w:r>
      <w:r w:rsidR="003650F5">
        <w:t xml:space="preserve">under section </w:t>
      </w:r>
      <w:proofErr w:type="gramStart"/>
      <w:r w:rsidR="003650F5">
        <w:t>657D(</w:t>
      </w:r>
      <w:proofErr w:type="gramEnd"/>
      <w:r w:rsidR="003650F5">
        <w:t xml:space="preserve">3) of the Corporations Act </w:t>
      </w:r>
      <w:r>
        <w:t>for a variation,</w:t>
      </w:r>
      <w:r w:rsidR="00B26C5B">
        <w:t xml:space="preserve"> revocation or suspension of a final </w:t>
      </w:r>
      <w:r>
        <w:t xml:space="preserve">order or an application </w:t>
      </w:r>
      <w:r w:rsidR="003650F5">
        <w:t xml:space="preserve">under section 657E(1)(b) of the Corporations Act </w:t>
      </w:r>
      <w:r>
        <w:t>for an interim order does not need to comply with Rule</w:t>
      </w:r>
      <w:r w:rsidR="003650F5">
        <w:t>s</w:t>
      </w:r>
      <w:r>
        <w:t xml:space="preserve"> 12(1)(a) </w:t>
      </w:r>
      <w:r w:rsidR="00822F3E">
        <w:t>through</w:t>
      </w:r>
      <w:r>
        <w:t xml:space="preserve"> (</w:t>
      </w:r>
      <w:r w:rsidR="00822F3E">
        <w:t>d</w:t>
      </w:r>
      <w:r>
        <w:t>) but must explain what is sought by the applicant and set out the submissions to support it.</w:t>
      </w:r>
      <w:r w:rsidR="004C501D">
        <w:t xml:space="preserve"> </w:t>
      </w:r>
    </w:p>
    <w:p w14:paraId="1E3581C5" w14:textId="392F5CEE" w:rsidR="008C09EE" w:rsidRDefault="008C09EE" w:rsidP="008C09EE">
      <w:pPr>
        <w:pStyle w:val="Para1"/>
      </w:pPr>
      <w:r w:rsidRPr="00A318F4">
        <w:t>If a</w:t>
      </w:r>
      <w:r>
        <w:t>n application</w:t>
      </w:r>
      <w:r w:rsidRPr="008C09EE">
        <w:t xml:space="preserve"> </w:t>
      </w:r>
      <w:r>
        <w:t>under section 657C of the Corporations Act does not comply with</w:t>
      </w:r>
      <w:r w:rsidRPr="00A318F4">
        <w:t xml:space="preserve"> Rule</w:t>
      </w:r>
      <w:r>
        <w:t xml:space="preserve"> 12(1),</w:t>
      </w:r>
      <w:r w:rsidRPr="00A318F4">
        <w:t xml:space="preserve"> t</w:t>
      </w:r>
      <w:r w:rsidR="008C2CD2">
        <w:rPr>
          <w:color w:val="000000"/>
        </w:rPr>
        <w:t xml:space="preserve">he </w:t>
      </w:r>
      <w:r w:rsidRPr="00A318F4">
        <w:t>Panel</w:t>
      </w:r>
      <w:r w:rsidR="0085475B">
        <w:t xml:space="preserve"> </w:t>
      </w:r>
      <w:r w:rsidR="0085475B" w:rsidRPr="0002349D">
        <w:t>(or before the Panel is appointed, the President)</w:t>
      </w:r>
      <w:r w:rsidRPr="00A318F4">
        <w:t xml:space="preserve"> may direct that </w:t>
      </w:r>
      <w:r>
        <w:t>an amended application be p</w:t>
      </w:r>
      <w:r w:rsidRPr="00A318F4">
        <w:t>rovided before being considered.</w:t>
      </w:r>
    </w:p>
    <w:p w14:paraId="0784FE7A" w14:textId="3B49F1EA" w:rsidR="00FC52FF" w:rsidRDefault="00FC52FF" w:rsidP="00FC52FF">
      <w:pPr>
        <w:pStyle w:val="ActHead5"/>
      </w:pPr>
      <w:bookmarkStart w:id="35" w:name="_Toc35023542"/>
      <w:bookmarkStart w:id="36" w:name="_Toc58416930"/>
      <w:proofErr w:type="gramStart"/>
      <w:r>
        <w:t>13</w:t>
      </w:r>
      <w:r w:rsidRPr="00554826">
        <w:t xml:space="preserve">  </w:t>
      </w:r>
      <w:r>
        <w:t>Application</w:t>
      </w:r>
      <w:proofErr w:type="gramEnd"/>
      <w:r>
        <w:t xml:space="preserve"> for review of ASIC decision</w:t>
      </w:r>
      <w:bookmarkEnd w:id="35"/>
      <w:bookmarkEnd w:id="36"/>
    </w:p>
    <w:p w14:paraId="28EAF9B7" w14:textId="23299DE1" w:rsidR="00EA03B8" w:rsidRPr="0002349D" w:rsidRDefault="00FC52FF" w:rsidP="00A36B8B">
      <w:pPr>
        <w:pStyle w:val="Para1"/>
        <w:numPr>
          <w:ilvl w:val="0"/>
          <w:numId w:val="17"/>
        </w:numPr>
      </w:pPr>
      <w:r w:rsidRPr="000C44C1">
        <w:rPr>
          <w:szCs w:val="22"/>
        </w:rPr>
        <w:t>An applicatio</w:t>
      </w:r>
      <w:r w:rsidRPr="00822F3E">
        <w:rPr>
          <w:szCs w:val="22"/>
        </w:rPr>
        <w:t>n</w:t>
      </w:r>
      <w:r w:rsidR="004D76C2" w:rsidRPr="00822F3E">
        <w:t xml:space="preserve"> under section 656A of the Corporations Act</w:t>
      </w:r>
      <w:r w:rsidRPr="00822F3E">
        <w:rPr>
          <w:szCs w:val="22"/>
        </w:rPr>
        <w:t xml:space="preserve"> for review of an ASIC decision must</w:t>
      </w:r>
      <w:r w:rsidR="00EA03B8" w:rsidRPr="0002349D">
        <w:rPr>
          <w:szCs w:val="22"/>
        </w:rPr>
        <w:t>:</w:t>
      </w:r>
      <w:r w:rsidRPr="0002349D">
        <w:rPr>
          <w:szCs w:val="22"/>
        </w:rPr>
        <w:t xml:space="preserve"> </w:t>
      </w:r>
    </w:p>
    <w:p w14:paraId="2635D114" w14:textId="2C6B3C09" w:rsidR="00FC52FF" w:rsidRPr="00822F3E" w:rsidRDefault="00FC52FF" w:rsidP="006F3A2D">
      <w:pPr>
        <w:pStyle w:val="Para2"/>
        <w:numPr>
          <w:ilvl w:val="1"/>
          <w:numId w:val="17"/>
        </w:numPr>
        <w:ind w:left="1758"/>
      </w:pPr>
      <w:r w:rsidRPr="0002349D">
        <w:t>explain how the applicant’s interests are affected by the decision and, to the extent available, include a copy of:</w:t>
      </w:r>
    </w:p>
    <w:p w14:paraId="79A2B3D2" w14:textId="77777777" w:rsidR="00FC52FF" w:rsidRPr="00822F3E" w:rsidRDefault="00FC52FF" w:rsidP="002C24F0">
      <w:pPr>
        <w:pStyle w:val="Para3"/>
      </w:pPr>
      <w:r w:rsidRPr="00822F3E">
        <w:t xml:space="preserve">the application to ASIC </w:t>
      </w:r>
    </w:p>
    <w:p w14:paraId="71D96B09" w14:textId="444E1ADB" w:rsidR="00FC52FF" w:rsidRPr="000C44C1" w:rsidRDefault="00FC52FF" w:rsidP="002C24F0">
      <w:pPr>
        <w:pStyle w:val="Para3"/>
      </w:pPr>
      <w:r w:rsidRPr="000C44C1">
        <w:t xml:space="preserve">any relevant submissions received by ASIC </w:t>
      </w:r>
    </w:p>
    <w:p w14:paraId="3CEC19E7" w14:textId="413A84A6" w:rsidR="00FC52FF" w:rsidRPr="000C44C1" w:rsidRDefault="00FC52FF" w:rsidP="002C24F0">
      <w:pPr>
        <w:pStyle w:val="Para3"/>
      </w:pPr>
      <w:r w:rsidRPr="000C44C1">
        <w:t>any instrument granted by ASIC</w:t>
      </w:r>
      <w:r w:rsidR="0092110C">
        <w:t xml:space="preserve"> and</w:t>
      </w:r>
    </w:p>
    <w:p w14:paraId="15A2BB3B" w14:textId="2E1764F3" w:rsidR="005923AE" w:rsidRPr="00822F3E" w:rsidRDefault="00FC52FF" w:rsidP="002C24F0">
      <w:pPr>
        <w:pStyle w:val="Para3"/>
      </w:pPr>
      <w:r w:rsidRPr="000C44C1">
        <w:t>any noti</w:t>
      </w:r>
      <w:r w:rsidRPr="00822F3E">
        <w:t>ce of the decision and any statement of grounds or reasons for the decision provided by ASIC</w:t>
      </w:r>
      <w:r w:rsidR="005923AE" w:rsidRPr="00822F3E">
        <w:t xml:space="preserve"> </w:t>
      </w:r>
    </w:p>
    <w:p w14:paraId="5230630E" w14:textId="77777777" w:rsidR="00822F3E" w:rsidRDefault="005923AE" w:rsidP="009D1630">
      <w:pPr>
        <w:pStyle w:val="Para2"/>
      </w:pPr>
      <w:r w:rsidRPr="002C24F0">
        <w:t xml:space="preserve">where submissions to support the application are included, </w:t>
      </w:r>
      <w:r w:rsidR="00822F3E" w:rsidRPr="002C24F0">
        <w:t xml:space="preserve">the submissions should </w:t>
      </w:r>
      <w:r w:rsidRPr="002C24F0">
        <w:t>not exceed 10 A4 pages in minimum 10 point font</w:t>
      </w:r>
      <w:r w:rsidR="00822F3E">
        <w:t xml:space="preserve"> and</w:t>
      </w:r>
    </w:p>
    <w:p w14:paraId="48AA8078" w14:textId="5803D60E" w:rsidR="00FC52FF" w:rsidRPr="000C44C1" w:rsidRDefault="00822F3E" w:rsidP="009D1630">
      <w:pPr>
        <w:pStyle w:val="Para2"/>
      </w:pPr>
      <w:proofErr w:type="gramStart"/>
      <w:r>
        <w:t>be</w:t>
      </w:r>
      <w:proofErr w:type="gramEnd"/>
      <w:r>
        <w:t xml:space="preserve"> accompanied by a Notice to Become a Party</w:t>
      </w:r>
      <w:r w:rsidR="00FC52FF" w:rsidRPr="00822F3E">
        <w:t>.</w:t>
      </w:r>
      <w:r w:rsidR="00FC52FF" w:rsidRPr="000C44C1">
        <w:t xml:space="preserve">  </w:t>
      </w:r>
    </w:p>
    <w:p w14:paraId="45C48DBF" w14:textId="77777777" w:rsidR="0002349D" w:rsidRDefault="0002349D" w:rsidP="0002349D">
      <w:pPr>
        <w:pStyle w:val="Para1"/>
      </w:pPr>
      <w:r w:rsidRPr="000C44C1">
        <w:lastRenderedPageBreak/>
        <w:t xml:space="preserve">A review of a decision of ASIC is a </w:t>
      </w:r>
      <w:r w:rsidRPr="00FC52FF">
        <w:rPr>
          <w:i/>
        </w:rPr>
        <w:t>de novo</w:t>
      </w:r>
      <w:r w:rsidRPr="000C44C1">
        <w:t xml:space="preserve"> consideration on the merits, having regard to the information available at the time of the review.</w:t>
      </w:r>
    </w:p>
    <w:p w14:paraId="500F555B" w14:textId="5B410D2B" w:rsidR="00FC52FF" w:rsidRDefault="00FC52FF" w:rsidP="00FC52FF">
      <w:pPr>
        <w:pStyle w:val="Para1"/>
      </w:pPr>
      <w:r w:rsidRPr="000C44C1">
        <w:t>As soon as practicable after receipt of an application for review of an ASIC decision, ASIC must give the Panel and each party a statement of its findings of fact and reasons for its decision.</w:t>
      </w:r>
    </w:p>
    <w:p w14:paraId="66D54EC4" w14:textId="3E47BBAF" w:rsidR="008C09EE" w:rsidRDefault="008C09EE" w:rsidP="008C09EE">
      <w:pPr>
        <w:pStyle w:val="Para1"/>
      </w:pPr>
      <w:r w:rsidRPr="00A318F4">
        <w:t>If a</w:t>
      </w:r>
      <w:r>
        <w:t>n application</w:t>
      </w:r>
      <w:r w:rsidRPr="008C09EE">
        <w:t xml:space="preserve"> </w:t>
      </w:r>
      <w:r>
        <w:t>under section 656A of the Corporations Act does not comply with</w:t>
      </w:r>
      <w:r w:rsidRPr="00A318F4">
        <w:t xml:space="preserve"> Rule</w:t>
      </w:r>
      <w:r>
        <w:t xml:space="preserve"> 13(1),</w:t>
      </w:r>
      <w:r w:rsidRPr="00A318F4">
        <w:t xml:space="preserve"> </w:t>
      </w:r>
      <w:r w:rsidR="008C2CD2">
        <w:rPr>
          <w:color w:val="000000"/>
        </w:rPr>
        <w:t xml:space="preserve">the </w:t>
      </w:r>
      <w:r w:rsidRPr="00A318F4">
        <w:t xml:space="preserve">Panel </w:t>
      </w:r>
      <w:r w:rsidR="0085475B" w:rsidRPr="0002349D">
        <w:t>(or before the Panel is appointed, the President)</w:t>
      </w:r>
      <w:r w:rsidR="0085475B">
        <w:t xml:space="preserve"> </w:t>
      </w:r>
      <w:r w:rsidRPr="00A318F4">
        <w:t xml:space="preserve">may direct that </w:t>
      </w:r>
      <w:r>
        <w:t>an amended application be p</w:t>
      </w:r>
      <w:r w:rsidRPr="00A318F4">
        <w:t>rovided before being considered.</w:t>
      </w:r>
    </w:p>
    <w:p w14:paraId="774A751F" w14:textId="77777777" w:rsidR="00FC52FF" w:rsidRDefault="00FC52FF" w:rsidP="00FC52FF">
      <w:pPr>
        <w:pStyle w:val="ActHead5"/>
      </w:pPr>
      <w:bookmarkStart w:id="37" w:name="_Toc35023543"/>
      <w:bookmarkStart w:id="38" w:name="_Toc58416931"/>
      <w:proofErr w:type="gramStart"/>
      <w:r>
        <w:t>14</w:t>
      </w:r>
      <w:r w:rsidRPr="00554826">
        <w:t xml:space="preserve">  </w:t>
      </w:r>
      <w:r>
        <w:t>Application</w:t>
      </w:r>
      <w:proofErr w:type="gramEnd"/>
      <w:r>
        <w:t xml:space="preserve"> for review of Panel decision</w:t>
      </w:r>
      <w:bookmarkEnd w:id="37"/>
      <w:bookmarkEnd w:id="38"/>
    </w:p>
    <w:p w14:paraId="7E7C2A22" w14:textId="10BCC422" w:rsidR="00462178" w:rsidRPr="00F76202" w:rsidRDefault="00462178">
      <w:pPr>
        <w:pStyle w:val="Para1"/>
        <w:numPr>
          <w:ilvl w:val="0"/>
          <w:numId w:val="18"/>
        </w:numPr>
      </w:pPr>
      <w:r w:rsidRPr="00F76202">
        <w:t>An application</w:t>
      </w:r>
      <w:r w:rsidR="003650F5" w:rsidRPr="00F76202">
        <w:t xml:space="preserve"> under section 657EA of the Corporations Act</w:t>
      </w:r>
      <w:r w:rsidRPr="00F76202">
        <w:t xml:space="preserve"> for a review of a Panel decision does not need to be in a particular form, but must:</w:t>
      </w:r>
      <w:r w:rsidR="00AD1447">
        <w:t xml:space="preserve"> </w:t>
      </w:r>
    </w:p>
    <w:p w14:paraId="7C694E90" w14:textId="105D87C9" w:rsidR="00462178" w:rsidRPr="00822F3E" w:rsidRDefault="000B2582" w:rsidP="009D1630">
      <w:pPr>
        <w:pStyle w:val="Para2"/>
      </w:pPr>
      <w:r w:rsidRPr="0002349D">
        <w:t xml:space="preserve">identify the </w:t>
      </w:r>
      <w:r w:rsidR="002778C5" w:rsidRPr="0002349D">
        <w:t>relevant decision of the Panel to which the review application relates</w:t>
      </w:r>
    </w:p>
    <w:p w14:paraId="6EF7E006" w14:textId="13137658" w:rsidR="00462178" w:rsidRPr="00822F3E" w:rsidRDefault="00D7401F" w:rsidP="009D1630">
      <w:pPr>
        <w:pStyle w:val="Para2"/>
      </w:pPr>
      <w:r w:rsidRPr="002C24F0">
        <w:t xml:space="preserve">where submissions to support the application are included, </w:t>
      </w:r>
      <w:r w:rsidR="00822F3E">
        <w:t xml:space="preserve">the submissions should </w:t>
      </w:r>
      <w:r w:rsidRPr="002C24F0">
        <w:t>not exceed 10 A4 pages in minimum 10 point font and</w:t>
      </w:r>
    </w:p>
    <w:p w14:paraId="365A2DCE" w14:textId="22D2850C" w:rsidR="00462178" w:rsidRPr="007A600D" w:rsidRDefault="00462178" w:rsidP="009D1630">
      <w:pPr>
        <w:pStyle w:val="Para2"/>
      </w:pPr>
      <w:proofErr w:type="gramStart"/>
      <w:r w:rsidRPr="00F76202">
        <w:t>be</w:t>
      </w:r>
      <w:proofErr w:type="gramEnd"/>
      <w:r w:rsidRPr="00F76202">
        <w:t xml:space="preserve"> accompanied by a Notice to Become a Party</w:t>
      </w:r>
      <w:r w:rsidR="00EF04C4">
        <w:t xml:space="preserve"> (except where the applicant is ASIC)</w:t>
      </w:r>
      <w:r w:rsidRPr="00F76202">
        <w:t>.</w:t>
      </w:r>
    </w:p>
    <w:p w14:paraId="3C9C19C5" w14:textId="77777777" w:rsidR="00FC52FF" w:rsidRDefault="00FC52FF" w:rsidP="00DD1020">
      <w:pPr>
        <w:pStyle w:val="Para1"/>
      </w:pPr>
      <w:r w:rsidRPr="000C44C1">
        <w:t xml:space="preserve">A review of a decision of the Panel is a </w:t>
      </w:r>
      <w:r w:rsidRPr="00FC52FF">
        <w:rPr>
          <w:i/>
        </w:rPr>
        <w:t>de novo</w:t>
      </w:r>
      <w:r w:rsidRPr="000C44C1">
        <w:t xml:space="preserve"> consideration on the merits, having regard to the information available at the time of the review.</w:t>
      </w:r>
    </w:p>
    <w:p w14:paraId="4B955D8D" w14:textId="77777777" w:rsidR="00FC52FF" w:rsidRPr="00FC52FF" w:rsidRDefault="00E2182F" w:rsidP="00DD1020">
      <w:pPr>
        <w:pStyle w:val="Para1"/>
      </w:pPr>
      <w:r w:rsidRPr="000C44C1">
        <w:rPr>
          <w:szCs w:val="22"/>
        </w:rPr>
        <w:t>If the consent of the President for a review of a Panel decision is required</w:t>
      </w:r>
      <w:r>
        <w:rPr>
          <w:szCs w:val="22"/>
        </w:rPr>
        <w:t xml:space="preserve"> under section 657EA(2) of the Corporations Act</w:t>
      </w:r>
      <w:r w:rsidRPr="000C44C1">
        <w:rPr>
          <w:szCs w:val="22"/>
        </w:rPr>
        <w:t>, the request must:</w:t>
      </w:r>
    </w:p>
    <w:p w14:paraId="3C32D2E6" w14:textId="77777777" w:rsidR="00FC52FF" w:rsidRDefault="00E2182F" w:rsidP="009D1630">
      <w:pPr>
        <w:pStyle w:val="Para2"/>
      </w:pPr>
      <w:r w:rsidRPr="000C44C1">
        <w:t>be addressed to the President</w:t>
      </w:r>
    </w:p>
    <w:p w14:paraId="04D191E2" w14:textId="77777777" w:rsidR="00E2182F" w:rsidRDefault="00E2182F" w:rsidP="009D1630">
      <w:pPr>
        <w:pStyle w:val="Para2"/>
      </w:pPr>
      <w:r w:rsidRPr="000C44C1">
        <w:t>identify the relevant decision and</w:t>
      </w:r>
    </w:p>
    <w:p w14:paraId="76D633C9" w14:textId="77777777" w:rsidR="00E2182F" w:rsidRDefault="00E2182F" w:rsidP="009D1630">
      <w:pPr>
        <w:pStyle w:val="Para2"/>
      </w:pPr>
      <w:proofErr w:type="gramStart"/>
      <w:r w:rsidRPr="000C44C1">
        <w:t>contain</w:t>
      </w:r>
      <w:proofErr w:type="gramEnd"/>
      <w:r w:rsidRPr="000C44C1">
        <w:t xml:space="preserve"> enough information to allow a proper consideration of the effects of the decision and the reasons for review.</w:t>
      </w:r>
    </w:p>
    <w:p w14:paraId="128D9810" w14:textId="6DEF66F7" w:rsidR="008B4D77" w:rsidRDefault="008B4D77" w:rsidP="00ED40AD">
      <w:pPr>
        <w:pStyle w:val="notetext"/>
      </w:pPr>
      <w:r>
        <w:t xml:space="preserve">Note:  </w:t>
      </w:r>
      <w:r w:rsidR="00E47B66">
        <w:tab/>
      </w:r>
      <w:r>
        <w:t xml:space="preserve">Regulation 6.10.01 of the Corporations Regulations </w:t>
      </w:r>
      <w:r w:rsidR="00176A0C">
        <w:t>provid</w:t>
      </w:r>
      <w:r w:rsidR="00176A0C" w:rsidRPr="004F004F">
        <w:t xml:space="preserve">es that </w:t>
      </w:r>
      <w:r w:rsidRPr="004F004F">
        <w:t xml:space="preserve">an application for review of a decision of the Panel must not be made later than 2 </w:t>
      </w:r>
      <w:r w:rsidR="00176A0C" w:rsidRPr="006922E2">
        <w:t>b</w:t>
      </w:r>
      <w:r w:rsidR="00176A0C" w:rsidRPr="004F004F">
        <w:t xml:space="preserve">usiness </w:t>
      </w:r>
      <w:r w:rsidR="00176A0C" w:rsidRPr="006922E2">
        <w:t>d</w:t>
      </w:r>
      <w:r w:rsidR="00176A0C" w:rsidRPr="004F004F">
        <w:t>ays</w:t>
      </w:r>
      <w:r w:rsidRPr="004F004F">
        <w:t xml:space="preserve"> after the day on which the decision was made.</w:t>
      </w:r>
      <w:r>
        <w:t xml:space="preserve"> </w:t>
      </w:r>
    </w:p>
    <w:p w14:paraId="144E037A" w14:textId="793E3B66" w:rsidR="006B039D" w:rsidRPr="00B9081E" w:rsidRDefault="006B039D" w:rsidP="00D77C04">
      <w:pPr>
        <w:pStyle w:val="Para1"/>
      </w:pPr>
      <w:r w:rsidRPr="00A318F4">
        <w:t>If a</w:t>
      </w:r>
      <w:r>
        <w:t>n application</w:t>
      </w:r>
      <w:r w:rsidRPr="008C09EE">
        <w:t xml:space="preserve"> </w:t>
      </w:r>
      <w:r>
        <w:t>under section 657EA of the Corporations Act does not comply with</w:t>
      </w:r>
      <w:r w:rsidRPr="00A318F4">
        <w:t xml:space="preserve"> Rule</w:t>
      </w:r>
      <w:r>
        <w:t xml:space="preserve"> 14(1),</w:t>
      </w:r>
      <w:r w:rsidR="0085475B">
        <w:t xml:space="preserve"> </w:t>
      </w:r>
      <w:r w:rsidR="008C2CD2">
        <w:rPr>
          <w:color w:val="000000"/>
        </w:rPr>
        <w:t>the</w:t>
      </w:r>
      <w:r w:rsidRPr="00A318F4">
        <w:t xml:space="preserve"> Panel </w:t>
      </w:r>
      <w:r w:rsidR="0085475B" w:rsidRPr="0002349D">
        <w:t>(or before the Panel is appointed, the President)</w:t>
      </w:r>
      <w:r w:rsidR="0085475B">
        <w:t xml:space="preserve"> </w:t>
      </w:r>
      <w:r w:rsidRPr="00A318F4">
        <w:t xml:space="preserve">may direct that </w:t>
      </w:r>
      <w:r>
        <w:t>an amended application be p</w:t>
      </w:r>
      <w:r w:rsidRPr="00A318F4">
        <w:t>rovided before being considered.</w:t>
      </w:r>
    </w:p>
    <w:p w14:paraId="5D0F62F8" w14:textId="77777777" w:rsidR="00E2182F" w:rsidRDefault="00E2182F" w:rsidP="00E2182F">
      <w:pPr>
        <w:pStyle w:val="ActHead5"/>
      </w:pPr>
      <w:bookmarkStart w:id="39" w:name="_Toc35023544"/>
      <w:bookmarkStart w:id="40" w:name="_Toc58416932"/>
      <w:proofErr w:type="gramStart"/>
      <w:r>
        <w:t>15</w:t>
      </w:r>
      <w:r w:rsidRPr="00554826">
        <w:t xml:space="preserve">  </w:t>
      </w:r>
      <w:r>
        <w:t>Withdrawal</w:t>
      </w:r>
      <w:proofErr w:type="gramEnd"/>
      <w:r>
        <w:t xml:space="preserve"> of an application</w:t>
      </w:r>
      <w:bookmarkEnd w:id="39"/>
      <w:bookmarkEnd w:id="40"/>
    </w:p>
    <w:p w14:paraId="3254B709" w14:textId="7F52684F" w:rsidR="00E2182F" w:rsidRDefault="00E2182F" w:rsidP="00E2182F">
      <w:pPr>
        <w:pStyle w:val="subsection"/>
      </w:pPr>
      <w:r>
        <w:tab/>
      </w:r>
      <w:r>
        <w:tab/>
      </w:r>
      <w:r w:rsidRPr="000C44C1">
        <w:t>An applicant may only withdraw its application with the consent of:</w:t>
      </w:r>
    </w:p>
    <w:p w14:paraId="76FEA02B" w14:textId="77777777" w:rsidR="00E2182F" w:rsidRDefault="00E2182F" w:rsidP="006F3A2D">
      <w:pPr>
        <w:pStyle w:val="Para2"/>
        <w:numPr>
          <w:ilvl w:val="1"/>
          <w:numId w:val="19"/>
        </w:numPr>
        <w:ind w:left="1758"/>
      </w:pPr>
      <w:r w:rsidRPr="000C44C1">
        <w:t>the Panel or</w:t>
      </w:r>
    </w:p>
    <w:p w14:paraId="215391E7" w14:textId="77777777" w:rsidR="003629B3" w:rsidRDefault="00E2182F" w:rsidP="009D1630">
      <w:pPr>
        <w:pStyle w:val="Para2"/>
      </w:pPr>
      <w:proofErr w:type="gramStart"/>
      <w:r w:rsidRPr="000C44C1">
        <w:t>if</w:t>
      </w:r>
      <w:proofErr w:type="gramEnd"/>
      <w:r w:rsidRPr="000C44C1">
        <w:t xml:space="preserve"> the request for consent to withdraw is made before the appointment of a Panel, the President.</w:t>
      </w:r>
      <w:r w:rsidR="003629B3">
        <w:br w:type="page"/>
      </w:r>
    </w:p>
    <w:p w14:paraId="1E10FD32" w14:textId="20C8A52D" w:rsidR="00ED2E01" w:rsidRDefault="00ED2E01" w:rsidP="003629B3">
      <w:pPr>
        <w:pStyle w:val="ActHead2"/>
        <w:pageBreakBefore/>
      </w:pPr>
      <w:bookmarkStart w:id="41" w:name="_Toc35023545"/>
      <w:bookmarkStart w:id="42" w:name="_Toc58416933"/>
      <w:r>
        <w:lastRenderedPageBreak/>
        <w:t>Part 5 Parties</w:t>
      </w:r>
      <w:bookmarkEnd w:id="41"/>
      <w:bookmarkEnd w:id="42"/>
    </w:p>
    <w:p w14:paraId="0CCE3C70" w14:textId="77777777" w:rsidR="00ED2E01" w:rsidRDefault="00ED2E01" w:rsidP="00ED2E01">
      <w:pPr>
        <w:pStyle w:val="ActHead5"/>
      </w:pPr>
      <w:bookmarkStart w:id="43" w:name="_Toc35023546"/>
      <w:bookmarkStart w:id="44" w:name="_Toc58416934"/>
      <w:proofErr w:type="gramStart"/>
      <w:r>
        <w:t>16</w:t>
      </w:r>
      <w:r w:rsidRPr="00554826">
        <w:t xml:space="preserve">  </w:t>
      </w:r>
      <w:r>
        <w:t>Seeking</w:t>
      </w:r>
      <w:proofErr w:type="gramEnd"/>
      <w:r>
        <w:t xml:space="preserve"> to become a party</w:t>
      </w:r>
      <w:bookmarkEnd w:id="43"/>
      <w:bookmarkEnd w:id="44"/>
    </w:p>
    <w:p w14:paraId="5EF13CEC" w14:textId="588CBF0D" w:rsidR="00ED2E01" w:rsidRDefault="00ED2E01" w:rsidP="00B95065">
      <w:pPr>
        <w:pStyle w:val="Para1"/>
        <w:numPr>
          <w:ilvl w:val="0"/>
          <w:numId w:val="20"/>
        </w:numPr>
      </w:pPr>
      <w:r>
        <w:t xml:space="preserve">A person who would like to become a party to proceedings must provide the Panel with a </w:t>
      </w:r>
      <w:bookmarkStart w:id="45" w:name="_stPageBreakInsert"/>
      <w:r w:rsidRPr="00B95065">
        <w:t xml:space="preserve">Notice </w:t>
      </w:r>
      <w:r w:rsidR="00B05D57" w:rsidRPr="00B95065">
        <w:t>to Become</w:t>
      </w:r>
      <w:bookmarkEnd w:id="45"/>
      <w:r w:rsidR="00B05D57">
        <w:t xml:space="preserve"> a Party</w:t>
      </w:r>
      <w:r w:rsidR="007A2FCD">
        <w:t xml:space="preserve"> </w:t>
      </w:r>
      <w:r w:rsidR="007A2FCD" w:rsidRPr="007A2FCD">
        <w:t>in which the person undertakes to comply with Rule 18 and Rule 19</w:t>
      </w:r>
      <w:r>
        <w:t>.</w:t>
      </w:r>
      <w:r w:rsidR="001E6A32">
        <w:t xml:space="preserve">  This Rule does not apply to ASIC.</w:t>
      </w:r>
    </w:p>
    <w:p w14:paraId="4125981B" w14:textId="2EF5F491" w:rsidR="00E615A9" w:rsidRPr="001D5EC2" w:rsidRDefault="00ED2E01" w:rsidP="00406988">
      <w:pPr>
        <w:pStyle w:val="Para1"/>
      </w:pPr>
      <w:r w:rsidRPr="001D5EC2">
        <w:t xml:space="preserve">A person not identified in an application as </w:t>
      </w:r>
      <w:r w:rsidR="00B05D57" w:rsidRPr="001D5EC2">
        <w:t>a</w:t>
      </w:r>
      <w:r w:rsidR="00171A21" w:rsidRPr="001D5EC2">
        <w:t>n interested</w:t>
      </w:r>
      <w:r w:rsidR="00B05D57" w:rsidRPr="001D5EC2">
        <w:t xml:space="preserve"> </w:t>
      </w:r>
      <w:r w:rsidR="00CF716A" w:rsidRPr="001D5EC2">
        <w:t xml:space="preserve">person </w:t>
      </w:r>
      <w:r w:rsidR="00C90C89" w:rsidRPr="001D5EC2">
        <w:t>who</w:t>
      </w:r>
      <w:r w:rsidRPr="001D5EC2">
        <w:t xml:space="preserve"> wishes to become a party to </w:t>
      </w:r>
      <w:r w:rsidR="002A1A87" w:rsidRPr="001D5EC2">
        <w:t>the</w:t>
      </w:r>
      <w:r w:rsidR="00B05D57" w:rsidRPr="001D5EC2">
        <w:t xml:space="preserve"> </w:t>
      </w:r>
      <w:r w:rsidRPr="001D5EC2">
        <w:t xml:space="preserve">proceedings should, when submitting a Notice </w:t>
      </w:r>
      <w:r w:rsidR="00B05D57" w:rsidRPr="001D5EC2">
        <w:t>to Become a Party</w:t>
      </w:r>
      <w:r w:rsidRPr="001D5EC2">
        <w:t>, explain why they may be</w:t>
      </w:r>
      <w:r w:rsidR="00781836" w:rsidRPr="001D5EC2">
        <w:t xml:space="preserve"> a</w:t>
      </w:r>
      <w:r w:rsidR="001018BD" w:rsidRPr="001D5EC2">
        <w:t xml:space="preserve"> potentially</w:t>
      </w:r>
      <w:r w:rsidR="00AB774A" w:rsidRPr="001D5EC2">
        <w:t xml:space="preserve"> interested person</w:t>
      </w:r>
      <w:r w:rsidR="00E615A9" w:rsidRPr="001D5EC2">
        <w:t xml:space="preserve"> </w:t>
      </w:r>
      <w:r w:rsidR="00E615A9" w:rsidRPr="002C24F0">
        <w:t>or why they may be able to assist</w:t>
      </w:r>
      <w:r w:rsidR="00E615A9" w:rsidRPr="001D5EC2">
        <w:t xml:space="preserve"> the Panel</w:t>
      </w:r>
      <w:r w:rsidRPr="001D5EC2">
        <w:t>.</w:t>
      </w:r>
      <w:r w:rsidR="00E615A9" w:rsidRPr="001D5EC2">
        <w:t xml:space="preserve">  </w:t>
      </w:r>
    </w:p>
    <w:p w14:paraId="0FA12C41" w14:textId="343ECA16" w:rsidR="00ED2E01" w:rsidRDefault="00ED2E01" w:rsidP="00883C54">
      <w:pPr>
        <w:pStyle w:val="Para1"/>
      </w:pPr>
      <w:r w:rsidRPr="001D5EC2">
        <w:t>Unless otherwise determined by the Panel, a person does not</w:t>
      </w:r>
      <w:r w:rsidRPr="00EE6A05">
        <w:t xml:space="preserve"> become a party to proceedings until </w:t>
      </w:r>
      <w:r w:rsidR="00B65AD2">
        <w:t>t</w:t>
      </w:r>
      <w:r w:rsidR="005158C8">
        <w:t xml:space="preserve">hat person’s </w:t>
      </w:r>
      <w:r w:rsidRPr="00EE6A05">
        <w:t xml:space="preserve">Notice </w:t>
      </w:r>
      <w:r w:rsidR="00B05D57">
        <w:t>to Become a Party</w:t>
      </w:r>
      <w:r w:rsidRPr="00EE6A05">
        <w:t xml:space="preserve"> is accepted by the Panel.</w:t>
      </w:r>
    </w:p>
    <w:p w14:paraId="352B7602" w14:textId="48DD1702" w:rsidR="00ED2E01" w:rsidRPr="005057D8" w:rsidRDefault="00ED2E01" w:rsidP="00ED2E01">
      <w:pPr>
        <w:pStyle w:val="Para1"/>
      </w:pPr>
      <w:r>
        <w:t>T</w:t>
      </w:r>
      <w:r w:rsidRPr="001C1060">
        <w:t xml:space="preserve">he Panel </w:t>
      </w:r>
      <w:r>
        <w:t>will</w:t>
      </w:r>
      <w:r w:rsidRPr="001C1060">
        <w:t xml:space="preserve"> notify a person if </w:t>
      </w:r>
      <w:r>
        <w:t>the person’s</w:t>
      </w:r>
      <w:r w:rsidRPr="001C1060">
        <w:t xml:space="preserve"> Notice </w:t>
      </w:r>
      <w:r w:rsidR="00B05D57">
        <w:t>to Become a Party</w:t>
      </w:r>
      <w:r w:rsidRPr="001C1060">
        <w:t xml:space="preserve"> is not accepted.</w:t>
      </w:r>
    </w:p>
    <w:p w14:paraId="3912BCB6" w14:textId="17373A47" w:rsidR="00864A3E" w:rsidRDefault="00864A3E" w:rsidP="00864A3E">
      <w:pPr>
        <w:pStyle w:val="Para1"/>
      </w:pPr>
      <w:r w:rsidRPr="000C44C1">
        <w:t xml:space="preserve">The Panel may withdraw its acceptance of a party’s Notice </w:t>
      </w:r>
      <w:r>
        <w:t>to Become a Party</w:t>
      </w:r>
      <w:r w:rsidRPr="000C44C1">
        <w:t xml:space="preserve"> if in the Panel’s opinion:</w:t>
      </w:r>
    </w:p>
    <w:p w14:paraId="1EDE5AF3" w14:textId="666FBE90" w:rsidR="00864A3E" w:rsidRDefault="00864A3E" w:rsidP="009D1630">
      <w:pPr>
        <w:pStyle w:val="Para2"/>
      </w:pPr>
      <w:r w:rsidRPr="000C44C1">
        <w:t xml:space="preserve">the person is </w:t>
      </w:r>
      <w:r w:rsidR="003004E8">
        <w:t xml:space="preserve">not or is </w:t>
      </w:r>
      <w:r w:rsidRPr="000C44C1">
        <w:t xml:space="preserve">no longer </w:t>
      </w:r>
      <w:r>
        <w:t>a</w:t>
      </w:r>
      <w:r w:rsidR="009B4B9D">
        <w:t>n</w:t>
      </w:r>
      <w:r>
        <w:t xml:space="preserve"> </w:t>
      </w:r>
      <w:r w:rsidRPr="00AB774A">
        <w:t>interested person in the</w:t>
      </w:r>
      <w:r w:rsidRPr="000C44C1">
        <w:t xml:space="preserve"> matter</w:t>
      </w:r>
    </w:p>
    <w:p w14:paraId="332672C3" w14:textId="208B0A9B" w:rsidR="009B4B9D" w:rsidRDefault="009B4B9D" w:rsidP="009D1630">
      <w:pPr>
        <w:pStyle w:val="Para2"/>
      </w:pPr>
      <w:r>
        <w:t xml:space="preserve">the person is </w:t>
      </w:r>
      <w:r w:rsidRPr="00366469">
        <w:t>not a proper or necessary party to the proceeding</w:t>
      </w:r>
      <w:r>
        <w:t>s or</w:t>
      </w:r>
      <w:r w:rsidR="00890AD1">
        <w:t xml:space="preserve">  </w:t>
      </w:r>
    </w:p>
    <w:p w14:paraId="5353E508" w14:textId="77777777" w:rsidR="00864A3E" w:rsidRPr="00ED2E01" w:rsidRDefault="00864A3E" w:rsidP="009D1630">
      <w:pPr>
        <w:pStyle w:val="Para2"/>
      </w:pPr>
      <w:proofErr w:type="gramStart"/>
      <w:r w:rsidRPr="000C44C1">
        <w:t>it</w:t>
      </w:r>
      <w:proofErr w:type="gramEnd"/>
      <w:r w:rsidRPr="000C44C1">
        <w:t xml:space="preserve"> is otherwise appropriate to do so.</w:t>
      </w:r>
    </w:p>
    <w:p w14:paraId="0DBCA3A8" w14:textId="2FD2B356" w:rsidR="005B7F74" w:rsidRDefault="00ED2E01" w:rsidP="005B7F74">
      <w:pPr>
        <w:pStyle w:val="Para1"/>
      </w:pPr>
      <w:r w:rsidRPr="00C50E95">
        <w:t xml:space="preserve">The Panel may </w:t>
      </w:r>
      <w:r w:rsidR="00C50E95">
        <w:t xml:space="preserve">inform a person that the person is a party </w:t>
      </w:r>
      <w:r w:rsidR="00D5074F">
        <w:t xml:space="preserve">to </w:t>
      </w:r>
      <w:r w:rsidR="00C50E95">
        <w:t xml:space="preserve">proceedings </w:t>
      </w:r>
      <w:r w:rsidRPr="00C50E95">
        <w:t xml:space="preserve">if the </w:t>
      </w:r>
      <w:r w:rsidR="00B66F8F">
        <w:t xml:space="preserve">Panel considers the </w:t>
      </w:r>
      <w:r w:rsidRPr="00C50E95">
        <w:t xml:space="preserve">person is an </w:t>
      </w:r>
      <w:r w:rsidRPr="00AB774A">
        <w:t>interested person an</w:t>
      </w:r>
      <w:r w:rsidRPr="00C50E95">
        <w:t>d</w:t>
      </w:r>
      <w:r w:rsidR="00B66F8F">
        <w:t xml:space="preserve"> the person</w:t>
      </w:r>
      <w:r w:rsidRPr="00C50E95">
        <w:t xml:space="preserve"> participates in the proceedings</w:t>
      </w:r>
      <w:r w:rsidR="00C50E95">
        <w:t>, notwithstanding that the</w:t>
      </w:r>
      <w:r w:rsidR="00C50E95" w:rsidRPr="0012591F">
        <w:t xml:space="preserve"> person </w:t>
      </w:r>
      <w:r w:rsidR="00C50E95">
        <w:t xml:space="preserve">has not provided </w:t>
      </w:r>
      <w:r w:rsidR="00D5074F">
        <w:t xml:space="preserve">the Panel with </w:t>
      </w:r>
      <w:r w:rsidR="00C50E95" w:rsidRPr="0012591F">
        <w:t>a Notice</w:t>
      </w:r>
      <w:r w:rsidR="00D5074F">
        <w:t xml:space="preserve"> to B</w:t>
      </w:r>
      <w:r w:rsidR="00D5074F" w:rsidRPr="00F76202">
        <w:t>ecome a Party</w:t>
      </w:r>
      <w:r w:rsidRPr="00F76202">
        <w:t>.</w:t>
      </w:r>
      <w:r w:rsidR="00C50E95" w:rsidRPr="00F76202">
        <w:t xml:space="preserve"> </w:t>
      </w:r>
      <w:r w:rsidR="0033154C" w:rsidRPr="00F76202">
        <w:t xml:space="preserve"> The Panel </w:t>
      </w:r>
      <w:r w:rsidR="005B7F74">
        <w:t>may</w:t>
      </w:r>
      <w:r w:rsidR="0033154C" w:rsidRPr="00F76202">
        <w:t xml:space="preserve"> </w:t>
      </w:r>
      <w:r w:rsidR="005B7F74">
        <w:t xml:space="preserve">subsequently </w:t>
      </w:r>
      <w:r w:rsidR="005B7F74" w:rsidRPr="00F76202">
        <w:t>inform the</w:t>
      </w:r>
      <w:r w:rsidR="0033154C" w:rsidRPr="00F76202">
        <w:t xml:space="preserve"> person </w:t>
      </w:r>
      <w:r w:rsidR="0033154C">
        <w:t xml:space="preserve">that </w:t>
      </w:r>
      <w:r w:rsidR="005B7F74">
        <w:t>they</w:t>
      </w:r>
      <w:r w:rsidR="0033154C">
        <w:t xml:space="preserve"> </w:t>
      </w:r>
      <w:r w:rsidR="005B7F74">
        <w:t>a</w:t>
      </w:r>
      <w:r w:rsidR="0033154C">
        <w:t xml:space="preserve">re </w:t>
      </w:r>
      <w:r w:rsidR="005B7F74" w:rsidRPr="00F76202">
        <w:t xml:space="preserve">no longer deemed to be a </w:t>
      </w:r>
      <w:r w:rsidR="0033154C" w:rsidRPr="00F76202">
        <w:t>party to proceedings</w:t>
      </w:r>
      <w:r w:rsidR="005B7F74" w:rsidRPr="005B7F74">
        <w:t xml:space="preserve"> </w:t>
      </w:r>
      <w:r w:rsidR="005B7F74" w:rsidRPr="000C44C1">
        <w:t>if in the Panel’s opinion:</w:t>
      </w:r>
    </w:p>
    <w:p w14:paraId="18DF1350" w14:textId="67EE85AF" w:rsidR="005B7F74" w:rsidRDefault="005B7F74" w:rsidP="009D1630">
      <w:pPr>
        <w:pStyle w:val="Para2"/>
      </w:pPr>
      <w:r w:rsidRPr="000C44C1">
        <w:t xml:space="preserve">the person is </w:t>
      </w:r>
      <w:r w:rsidR="0059555E">
        <w:t xml:space="preserve">not </w:t>
      </w:r>
      <w:r w:rsidR="00366469">
        <w:t xml:space="preserve">or is </w:t>
      </w:r>
      <w:r w:rsidRPr="000C44C1">
        <w:t xml:space="preserve">no longer </w:t>
      </w:r>
      <w:r>
        <w:t>a</w:t>
      </w:r>
      <w:r w:rsidR="00366469">
        <w:t>n</w:t>
      </w:r>
      <w:r w:rsidRPr="00AB774A">
        <w:t xml:space="preserve"> interested person in the</w:t>
      </w:r>
      <w:r w:rsidRPr="000C44C1">
        <w:t xml:space="preserve"> matter</w:t>
      </w:r>
    </w:p>
    <w:p w14:paraId="752225CA" w14:textId="40E4C654" w:rsidR="00366469" w:rsidRDefault="00366469" w:rsidP="009D1630">
      <w:pPr>
        <w:pStyle w:val="Para2"/>
      </w:pPr>
      <w:r>
        <w:t xml:space="preserve">the person is </w:t>
      </w:r>
      <w:r w:rsidRPr="00366469">
        <w:t>not a proper or necessary party to the proceeding</w:t>
      </w:r>
      <w:r>
        <w:t>s</w:t>
      </w:r>
      <w:r w:rsidR="003650BF">
        <w:t xml:space="preserve"> or</w:t>
      </w:r>
    </w:p>
    <w:p w14:paraId="5F5AEDA3" w14:textId="40F4AF24" w:rsidR="00ED2E01" w:rsidRPr="00BD2B7D" w:rsidRDefault="005B7F74" w:rsidP="009D1630">
      <w:pPr>
        <w:pStyle w:val="Para2"/>
        <w:rPr>
          <w:i/>
        </w:rPr>
      </w:pPr>
      <w:proofErr w:type="gramStart"/>
      <w:r w:rsidRPr="000C44C1">
        <w:t>it</w:t>
      </w:r>
      <w:proofErr w:type="gramEnd"/>
      <w:r w:rsidRPr="000C44C1">
        <w:t xml:space="preserve"> is otherwise appropriate to do so</w:t>
      </w:r>
      <w:r w:rsidR="0033154C" w:rsidRPr="00F76202">
        <w:t>.</w:t>
      </w:r>
    </w:p>
    <w:p w14:paraId="1ED7F12B" w14:textId="77777777" w:rsidR="003629B3" w:rsidRDefault="003629B3" w:rsidP="003629B3">
      <w:pPr>
        <w:pStyle w:val="ActHead5"/>
      </w:pPr>
      <w:bookmarkStart w:id="46" w:name="_Toc35023547"/>
      <w:bookmarkStart w:id="47" w:name="_Toc58416935"/>
      <w:proofErr w:type="gramStart"/>
      <w:r>
        <w:t>17</w:t>
      </w:r>
      <w:r w:rsidRPr="00554826">
        <w:t xml:space="preserve">  </w:t>
      </w:r>
      <w:r>
        <w:t>Seeking</w:t>
      </w:r>
      <w:proofErr w:type="gramEnd"/>
      <w:r>
        <w:t xml:space="preserve"> legal representation</w:t>
      </w:r>
      <w:bookmarkEnd w:id="46"/>
      <w:bookmarkEnd w:id="47"/>
    </w:p>
    <w:p w14:paraId="5D4BB1F2" w14:textId="3AB076E1" w:rsidR="003629B3" w:rsidRDefault="003629B3" w:rsidP="00A36B8B">
      <w:pPr>
        <w:pStyle w:val="Para1"/>
        <w:numPr>
          <w:ilvl w:val="0"/>
          <w:numId w:val="21"/>
        </w:numPr>
      </w:pPr>
      <w:r>
        <w:t xml:space="preserve">The form of request for the Panel’s consent under section 194 of the ASIC Act to be legally represented in proceedings is set out in the Notice </w:t>
      </w:r>
      <w:r w:rsidR="00DF66EC">
        <w:t>to Become a Party</w:t>
      </w:r>
      <w:r>
        <w:t>.</w:t>
      </w:r>
    </w:p>
    <w:p w14:paraId="3BF67B03" w14:textId="359F1621" w:rsidR="00ED2E01" w:rsidRPr="00ED2E01" w:rsidRDefault="003629B3" w:rsidP="00A36B8B">
      <w:pPr>
        <w:pStyle w:val="Para1"/>
        <w:numPr>
          <w:ilvl w:val="0"/>
          <w:numId w:val="21"/>
        </w:numPr>
      </w:pPr>
      <w:r w:rsidRPr="000C44C1">
        <w:rPr>
          <w:szCs w:val="22"/>
        </w:rPr>
        <w:t xml:space="preserve">A party that wishes to be legally represented other than by its commercial lawyers </w:t>
      </w:r>
      <w:r w:rsidR="004818F3">
        <w:rPr>
          <w:szCs w:val="22"/>
        </w:rPr>
        <w:t xml:space="preserve">should </w:t>
      </w:r>
      <w:r w:rsidR="00392DD7">
        <w:rPr>
          <w:szCs w:val="22"/>
        </w:rPr>
        <w:t>st</w:t>
      </w:r>
      <w:r w:rsidR="004818F3">
        <w:rPr>
          <w:szCs w:val="22"/>
        </w:rPr>
        <w:t>ate that and</w:t>
      </w:r>
      <w:r>
        <w:rPr>
          <w:szCs w:val="22"/>
        </w:rPr>
        <w:t xml:space="preserve"> </w:t>
      </w:r>
      <w:r w:rsidRPr="000C44C1">
        <w:rPr>
          <w:szCs w:val="22"/>
        </w:rPr>
        <w:t>explain why when requesting consent.</w:t>
      </w:r>
    </w:p>
    <w:p w14:paraId="79DA03B8" w14:textId="77777777" w:rsidR="00ED2E01" w:rsidRDefault="00ED2E01">
      <w:pPr>
        <w:spacing w:line="240" w:lineRule="auto"/>
      </w:pPr>
      <w:r>
        <w:br w:type="page"/>
      </w:r>
    </w:p>
    <w:p w14:paraId="3BCD9DAF" w14:textId="77777777" w:rsidR="003629B3" w:rsidRDefault="003629B3" w:rsidP="003629B3">
      <w:pPr>
        <w:pStyle w:val="ActHead2"/>
        <w:pageBreakBefore/>
      </w:pPr>
      <w:bookmarkStart w:id="48" w:name="_Toc35023548"/>
      <w:bookmarkStart w:id="49" w:name="_Toc58416936"/>
      <w:r>
        <w:lastRenderedPageBreak/>
        <w:t>Part 6 Confidentiality and Publicity</w:t>
      </w:r>
      <w:bookmarkEnd w:id="48"/>
      <w:bookmarkEnd w:id="49"/>
    </w:p>
    <w:p w14:paraId="5A271585" w14:textId="77777777" w:rsidR="003629B3" w:rsidRDefault="003629B3" w:rsidP="003629B3">
      <w:pPr>
        <w:pStyle w:val="ActHead5"/>
      </w:pPr>
      <w:bookmarkStart w:id="50" w:name="_Toc35023549"/>
      <w:bookmarkStart w:id="51" w:name="_Toc58416937"/>
      <w:proofErr w:type="gramStart"/>
      <w:r>
        <w:t>18</w:t>
      </w:r>
      <w:r w:rsidRPr="00554826">
        <w:t xml:space="preserve">  </w:t>
      </w:r>
      <w:r>
        <w:t>Confidentiality</w:t>
      </w:r>
      <w:bookmarkEnd w:id="50"/>
      <w:bookmarkEnd w:id="51"/>
      <w:proofErr w:type="gramEnd"/>
      <w:r w:rsidR="008805BA">
        <w:t xml:space="preserve"> </w:t>
      </w:r>
    </w:p>
    <w:p w14:paraId="28716C14" w14:textId="1C4374A5" w:rsidR="003629B3" w:rsidRPr="00E92C27" w:rsidRDefault="003629B3" w:rsidP="00A36B8B">
      <w:pPr>
        <w:pStyle w:val="Para1"/>
        <w:numPr>
          <w:ilvl w:val="0"/>
          <w:numId w:val="22"/>
        </w:numPr>
      </w:pPr>
      <w:r w:rsidRPr="00E92C27">
        <w:t>A person (whether or not a party) must not use or disclose any confidential information provided to it in</w:t>
      </w:r>
      <w:r>
        <w:t xml:space="preserve"> </w:t>
      </w:r>
      <w:r w:rsidRPr="00E92C27">
        <w:t>proceedi</w:t>
      </w:r>
      <w:r w:rsidRPr="00F76202">
        <w:t>ngs, exc</w:t>
      </w:r>
      <w:r w:rsidRPr="00E92C27">
        <w:t>ept</w:t>
      </w:r>
      <w:r w:rsidR="00A95061">
        <w:t>:</w:t>
      </w:r>
    </w:p>
    <w:p w14:paraId="224C1029" w14:textId="3C010A8F" w:rsidR="003629B3" w:rsidRPr="001D5EC2" w:rsidRDefault="003629B3" w:rsidP="009D1630">
      <w:pPr>
        <w:pStyle w:val="Para2"/>
      </w:pPr>
      <w:r>
        <w:t>i</w:t>
      </w:r>
      <w:r w:rsidRPr="00E92C27">
        <w:t>n the pro</w:t>
      </w:r>
      <w:r w:rsidRPr="001D5EC2">
        <w:t>ceedings itself as permitted under these Rules or</w:t>
      </w:r>
    </w:p>
    <w:p w14:paraId="4723C14A" w14:textId="1E9778F9" w:rsidR="003629B3" w:rsidRPr="001D5EC2" w:rsidRDefault="003629B3" w:rsidP="009D1630">
      <w:pPr>
        <w:pStyle w:val="Para2"/>
      </w:pPr>
      <w:proofErr w:type="gramStart"/>
      <w:r w:rsidRPr="001D5EC2">
        <w:t>as</w:t>
      </w:r>
      <w:proofErr w:type="gramEnd"/>
      <w:r w:rsidRPr="001D5EC2">
        <w:t xml:space="preserve"> required by law or the rules of a securities exchange. </w:t>
      </w:r>
    </w:p>
    <w:p w14:paraId="41BB0FBF" w14:textId="15996491" w:rsidR="003629B3" w:rsidRPr="001D5EC2" w:rsidRDefault="003629B3" w:rsidP="003629B3">
      <w:pPr>
        <w:pStyle w:val="Para1"/>
      </w:pPr>
      <w:r w:rsidRPr="001D5EC2">
        <w:t>Any communication from</w:t>
      </w:r>
      <w:r w:rsidR="0008548B" w:rsidRPr="001D5EC2">
        <w:t>,</w:t>
      </w:r>
      <w:r w:rsidRPr="001D5EC2">
        <w:t xml:space="preserve"> and any document provided by</w:t>
      </w:r>
      <w:r w:rsidR="0008548B" w:rsidRPr="001D5EC2">
        <w:t>,</w:t>
      </w:r>
      <w:r w:rsidRPr="001D5EC2">
        <w:t xml:space="preserve"> the Panel </w:t>
      </w:r>
      <w:r w:rsidR="00AE1AD2" w:rsidRPr="001D5EC2">
        <w:t xml:space="preserve">(or before the Panel is appointed, the President) </w:t>
      </w:r>
      <w:r w:rsidRPr="001D5EC2">
        <w:t>is confidential</w:t>
      </w:r>
      <w:r w:rsidR="00BD1FE8" w:rsidRPr="001D5EC2">
        <w:t xml:space="preserve"> information</w:t>
      </w:r>
      <w:r w:rsidR="00640171">
        <w:t xml:space="preserve"> </w:t>
      </w:r>
      <w:r w:rsidR="00F47E23">
        <w:t xml:space="preserve">(including a communication or document provided for comment or which is marked as a draft) </w:t>
      </w:r>
      <w:r w:rsidR="00640171">
        <w:t>unless or until the Panel</w:t>
      </w:r>
      <w:r w:rsidR="00345F10">
        <w:t xml:space="preserve"> publishes such information</w:t>
      </w:r>
      <w:r w:rsidRPr="001D5EC2">
        <w:t>.</w:t>
      </w:r>
      <w:r w:rsidR="00345F10">
        <w:t xml:space="preserve">  </w:t>
      </w:r>
    </w:p>
    <w:p w14:paraId="4057E063" w14:textId="079EAD39" w:rsidR="00C75213" w:rsidRPr="001D5EC2" w:rsidRDefault="00C75213" w:rsidP="00C75213">
      <w:pPr>
        <w:pStyle w:val="Para1"/>
      </w:pPr>
      <w:r w:rsidRPr="001D5EC2">
        <w:t xml:space="preserve">A person may disclose confidential information to its Representatives to the extent that the relevant </w:t>
      </w:r>
      <w:r w:rsidR="002716D5" w:rsidRPr="001D5EC2">
        <w:t>R</w:t>
      </w:r>
      <w:r w:rsidR="00B25896" w:rsidRPr="001D5EC2">
        <w:t>epresentative</w:t>
      </w:r>
      <w:r w:rsidRPr="001D5EC2">
        <w:t xml:space="preserve"> needs that information for </w:t>
      </w:r>
      <w:r w:rsidR="00B25896" w:rsidRPr="001D5EC2">
        <w:t>the purposes of the proceedings</w:t>
      </w:r>
      <w:r w:rsidR="00946B66" w:rsidRPr="001D5EC2">
        <w:t xml:space="preserve"> as permitted under these Rules</w:t>
      </w:r>
      <w:r w:rsidRPr="001D5EC2">
        <w:t>.</w:t>
      </w:r>
    </w:p>
    <w:p w14:paraId="0648132E" w14:textId="6A9AF6FD" w:rsidR="003629B3" w:rsidRDefault="003629B3" w:rsidP="003629B3">
      <w:pPr>
        <w:pStyle w:val="Para1"/>
      </w:pPr>
      <w:r>
        <w:t>A person provided with confidential information in proceedings must</w:t>
      </w:r>
      <w:r w:rsidR="00E21AC1">
        <w:t xml:space="preserve"> ensure </w:t>
      </w:r>
      <w:r w:rsidR="00095B40">
        <w:t xml:space="preserve">that </w:t>
      </w:r>
      <w:r>
        <w:t xml:space="preserve">each of </w:t>
      </w:r>
      <w:r w:rsidRPr="00A81486">
        <w:t xml:space="preserve">its </w:t>
      </w:r>
      <w:r w:rsidR="00606228">
        <w:t>Representatives</w:t>
      </w:r>
      <w:r w:rsidR="003224D9">
        <w:t xml:space="preserve"> </w:t>
      </w:r>
      <w:r>
        <w:t>who receive</w:t>
      </w:r>
      <w:r w:rsidR="00584B71">
        <w:t>s</w:t>
      </w:r>
      <w:r>
        <w:t xml:space="preserve"> such information </w:t>
      </w:r>
      <w:r w:rsidR="009460EC">
        <w:t>complies</w:t>
      </w:r>
      <w:r>
        <w:t xml:space="preserve"> with Rule 18(1).</w:t>
      </w:r>
      <w:r w:rsidR="00C75213">
        <w:t xml:space="preserve"> </w:t>
      </w:r>
    </w:p>
    <w:p w14:paraId="33897F85" w14:textId="28E52DF4" w:rsidR="008305A8" w:rsidRDefault="008305A8" w:rsidP="003629B3">
      <w:pPr>
        <w:pStyle w:val="Para1"/>
      </w:pPr>
      <w:r>
        <w:t>This Rule 18 does not apply to ASIC.</w:t>
      </w:r>
    </w:p>
    <w:p w14:paraId="2B26A8B3" w14:textId="77777777" w:rsidR="001F79B2" w:rsidRDefault="001F79B2" w:rsidP="001F79B2">
      <w:pPr>
        <w:pStyle w:val="ActHead5"/>
      </w:pPr>
      <w:bookmarkStart w:id="52" w:name="_Toc35023550"/>
      <w:bookmarkStart w:id="53" w:name="_Toc58416938"/>
      <w:proofErr w:type="gramStart"/>
      <w:r>
        <w:t>19</w:t>
      </w:r>
      <w:r w:rsidRPr="00554826">
        <w:t xml:space="preserve">  </w:t>
      </w:r>
      <w:r>
        <w:t>Publicity</w:t>
      </w:r>
      <w:bookmarkEnd w:id="52"/>
      <w:bookmarkEnd w:id="53"/>
      <w:proofErr w:type="gramEnd"/>
    </w:p>
    <w:p w14:paraId="052293C1" w14:textId="41F33304" w:rsidR="00D32F4A" w:rsidRPr="00E92C27" w:rsidRDefault="001F79B2" w:rsidP="00A36B8B">
      <w:pPr>
        <w:pStyle w:val="Para1"/>
        <w:numPr>
          <w:ilvl w:val="0"/>
          <w:numId w:val="23"/>
        </w:numPr>
      </w:pPr>
      <w:r w:rsidRPr="00E92C27">
        <w:t xml:space="preserve">A </w:t>
      </w:r>
      <w:r>
        <w:t>party</w:t>
      </w:r>
      <w:r w:rsidRPr="00E92C27">
        <w:t xml:space="preserve"> must not directly or indirectly cause, participate in or assist the canvassing in any media of any issue that is before (or likely to be before) the Panel in proceeding</w:t>
      </w:r>
      <w:r>
        <w:t>s</w:t>
      </w:r>
      <w:r w:rsidR="00A95061">
        <w:t>:</w:t>
      </w:r>
      <w:r w:rsidRPr="00E92C27">
        <w:t xml:space="preserve"> </w:t>
      </w:r>
    </w:p>
    <w:p w14:paraId="1A8AF37C" w14:textId="455A530B" w:rsidR="001F79B2" w:rsidRPr="00E92C27" w:rsidRDefault="0023128B" w:rsidP="009D1630">
      <w:pPr>
        <w:pStyle w:val="Para2"/>
      </w:pPr>
      <w:r>
        <w:t xml:space="preserve">until the </w:t>
      </w:r>
      <w:r w:rsidR="001E7312">
        <w:t xml:space="preserve">proceedings are determined or the </w:t>
      </w:r>
      <w:r>
        <w:t xml:space="preserve">time limit within which an application </w:t>
      </w:r>
      <w:r w:rsidR="0094022E">
        <w:t xml:space="preserve">under section 657EA of the Corporations Act </w:t>
      </w:r>
      <w:r w:rsidR="001E7312">
        <w:t>may be made for review of a Panel decision has</w:t>
      </w:r>
      <w:r>
        <w:t xml:space="preserve"> expired</w:t>
      </w:r>
      <w:r w:rsidR="001E7312">
        <w:t>, whichever is longer</w:t>
      </w:r>
      <w:r w:rsidR="001F79B2" w:rsidRPr="00E92C27">
        <w:t xml:space="preserve"> and</w:t>
      </w:r>
    </w:p>
    <w:p w14:paraId="5FABA181" w14:textId="6A0A4783" w:rsidR="001F79B2" w:rsidRPr="00E92C27" w:rsidRDefault="001F79B2" w:rsidP="009D1630">
      <w:pPr>
        <w:pStyle w:val="Para2"/>
      </w:pPr>
      <w:proofErr w:type="gramStart"/>
      <w:r w:rsidRPr="00EA66F0">
        <w:t>if</w:t>
      </w:r>
      <w:proofErr w:type="gramEnd"/>
      <w:r w:rsidRPr="00EA66F0">
        <w:t xml:space="preserve"> a</w:t>
      </w:r>
      <w:r w:rsidR="00D55A0E" w:rsidRPr="00EA66F0">
        <w:t xml:space="preserve"> request</w:t>
      </w:r>
      <w:r w:rsidRPr="00EA66F0">
        <w:t xml:space="preserve"> is made</w:t>
      </w:r>
      <w:r w:rsidR="00A81E6A">
        <w:t>, or proposed</w:t>
      </w:r>
      <w:r w:rsidR="009D2405">
        <w:t xml:space="preserve"> to be made,</w:t>
      </w:r>
      <w:r w:rsidRPr="00EA66F0">
        <w:t xml:space="preserve"> to vary</w:t>
      </w:r>
      <w:r w:rsidR="00DC542F" w:rsidRPr="00EA66F0">
        <w:t>, revoke or suspend</w:t>
      </w:r>
      <w:r w:rsidRPr="00EA66F0">
        <w:t xml:space="preserve"> any final orders, from the time the person becomes aware of the </w:t>
      </w:r>
      <w:r w:rsidR="00D55A0E" w:rsidRPr="00EA66F0">
        <w:t xml:space="preserve">request </w:t>
      </w:r>
      <w:r w:rsidR="0045622C">
        <w:t xml:space="preserve">or proposed request </w:t>
      </w:r>
      <w:r w:rsidRPr="00EA66F0">
        <w:t>until</w:t>
      </w:r>
      <w:r w:rsidRPr="00E92C27">
        <w:t xml:space="preserve"> it is determined by the Panel.</w:t>
      </w:r>
      <w:r w:rsidR="00C54896">
        <w:t xml:space="preserve"> </w:t>
      </w:r>
    </w:p>
    <w:p w14:paraId="565FBA50" w14:textId="344454E9" w:rsidR="00FC0CD5" w:rsidRDefault="00FC0CD5" w:rsidP="00DD1020">
      <w:pPr>
        <w:pStyle w:val="Para1"/>
        <w:numPr>
          <w:ilvl w:val="0"/>
          <w:numId w:val="0"/>
        </w:numPr>
        <w:ind w:left="1134"/>
      </w:pPr>
      <w:r>
        <w:t xml:space="preserve">For the purposes of Rule 19, </w:t>
      </w:r>
      <w:r>
        <w:rPr>
          <w:b/>
          <w:i/>
        </w:rPr>
        <w:t>media</w:t>
      </w:r>
      <w:r>
        <w:t xml:space="preserve"> </w:t>
      </w:r>
      <w:r w:rsidR="009546EF">
        <w:t xml:space="preserve">refers to a means of communication </w:t>
      </w:r>
      <w:r w:rsidR="00AF0F7D">
        <w:t>through which</w:t>
      </w:r>
      <w:r w:rsidR="00923483">
        <w:t xml:space="preserve"> the subject</w:t>
      </w:r>
      <w:r w:rsidR="00AF0F7D">
        <w:t xml:space="preserve"> information</w:t>
      </w:r>
      <w:r w:rsidR="009546EF">
        <w:t xml:space="preserve"> reach</w:t>
      </w:r>
      <w:r w:rsidR="00AF0F7D">
        <w:t xml:space="preserve">es or influences </w:t>
      </w:r>
      <w:r w:rsidR="009546EF">
        <w:t>people widely</w:t>
      </w:r>
      <w:r w:rsidR="00AF0F7D">
        <w:t>,</w:t>
      </w:r>
      <w:r w:rsidR="009546EF">
        <w:t xml:space="preserve"> including</w:t>
      </w:r>
      <w:r w:rsidR="00AF0F7D">
        <w:t xml:space="preserve"> (</w:t>
      </w:r>
      <w:r w:rsidR="009546EF">
        <w:t>but not limited to</w:t>
      </w:r>
      <w:r w:rsidR="00AF0F7D">
        <w:t>):</w:t>
      </w:r>
      <w:r w:rsidR="009546EF">
        <w:t xml:space="preserve"> radio, television, newspapers, magazines</w:t>
      </w:r>
      <w:r w:rsidR="00AF0F7D">
        <w:t xml:space="preserve">, letters, the internet, emails, social media and online platforms. </w:t>
      </w:r>
    </w:p>
    <w:p w14:paraId="6D2EA28E" w14:textId="7ABD8930" w:rsidR="007B71A6" w:rsidRDefault="001F79B2" w:rsidP="0023128B">
      <w:pPr>
        <w:pStyle w:val="Para1"/>
      </w:pPr>
      <w:r w:rsidRPr="00E92C27">
        <w:t xml:space="preserve">Rule </w:t>
      </w:r>
      <w:r>
        <w:t>19(1)</w:t>
      </w:r>
      <w:r w:rsidRPr="00E92C27">
        <w:t xml:space="preserve"> does not apply to statements that</w:t>
      </w:r>
      <w:r w:rsidR="00C54C13">
        <w:t>, without discussing merits</w:t>
      </w:r>
      <w:r w:rsidR="007B71A6">
        <w:t>:</w:t>
      </w:r>
      <w:r w:rsidRPr="00E92C27">
        <w:t xml:space="preserve"> </w:t>
      </w:r>
    </w:p>
    <w:p w14:paraId="2E99B6B4" w14:textId="14402EEA" w:rsidR="007B71A6" w:rsidRPr="00F76202" w:rsidRDefault="001F79B2" w:rsidP="009D1630">
      <w:pPr>
        <w:pStyle w:val="Para2"/>
      </w:pPr>
      <w:r w:rsidRPr="00F76202">
        <w:t>identify the parties or the subject matter of the application or the broad nature of the unacceptable circumstances alleged or the orders sought</w:t>
      </w:r>
      <w:r w:rsidR="007B71A6" w:rsidRPr="00F76202">
        <w:t xml:space="preserve"> or </w:t>
      </w:r>
    </w:p>
    <w:p w14:paraId="612876AC" w14:textId="17041F28" w:rsidR="007B71A6" w:rsidRPr="00F76202" w:rsidRDefault="00C54C13" w:rsidP="009D1630">
      <w:pPr>
        <w:pStyle w:val="Para2"/>
      </w:pPr>
      <w:r w:rsidRPr="00F76202">
        <w:t>describe</w:t>
      </w:r>
      <w:r w:rsidR="007B71A6" w:rsidRPr="00F76202">
        <w:t xml:space="preserve"> any decision of the proceedings</w:t>
      </w:r>
      <w:r w:rsidR="00251C12" w:rsidRPr="00F76202">
        <w:t>,</w:t>
      </w:r>
      <w:r w:rsidR="001F79B2" w:rsidRPr="00F76202">
        <w:t xml:space="preserve"> </w:t>
      </w:r>
    </w:p>
    <w:p w14:paraId="317B70D8" w14:textId="142BED4B" w:rsidR="001F79B2" w:rsidRPr="00F76202" w:rsidRDefault="001F79B2" w:rsidP="009D1630">
      <w:pPr>
        <w:pStyle w:val="Para2"/>
        <w:numPr>
          <w:ilvl w:val="0"/>
          <w:numId w:val="0"/>
        </w:numPr>
        <w:ind w:left="1134"/>
      </w:pPr>
      <w:proofErr w:type="gramStart"/>
      <w:r w:rsidRPr="00F76202">
        <w:t>to</w:t>
      </w:r>
      <w:proofErr w:type="gramEnd"/>
      <w:r w:rsidRPr="00F76202">
        <w:t xml:space="preserve"> the extent such matters have been disclosed publicly by the Panel.</w:t>
      </w:r>
    </w:p>
    <w:p w14:paraId="67A4E9E1" w14:textId="3CAB8C29" w:rsidR="001F79B2" w:rsidRDefault="001F79B2" w:rsidP="00A17A48">
      <w:pPr>
        <w:pStyle w:val="Para1"/>
        <w:numPr>
          <w:ilvl w:val="0"/>
          <w:numId w:val="0"/>
        </w:numPr>
        <w:ind w:left="737"/>
      </w:pPr>
    </w:p>
    <w:p w14:paraId="3CAD4DA8" w14:textId="6F4429A3" w:rsidR="008D365E" w:rsidRDefault="001E7312" w:rsidP="008D365E">
      <w:pPr>
        <w:pStyle w:val="Para1"/>
      </w:pPr>
      <w:r w:rsidRPr="001E7312">
        <w:lastRenderedPageBreak/>
        <w:t>From the relevant time period in Rule 19(1</w:t>
      </w:r>
      <w:proofErr w:type="gramStart"/>
      <w:r w:rsidRPr="001E7312">
        <w:t>)(</w:t>
      </w:r>
      <w:proofErr w:type="gramEnd"/>
      <w:r w:rsidRPr="001E7312">
        <w:t xml:space="preserve">a) or (b) </w:t>
      </w:r>
      <w:r w:rsidR="008D365E">
        <w:t>until the Panel publishes its reasons for decision, a</w:t>
      </w:r>
      <w:r w:rsidR="008D365E" w:rsidRPr="00E92C27">
        <w:t xml:space="preserve"> </w:t>
      </w:r>
      <w:r w:rsidR="008D365E">
        <w:t>party</w:t>
      </w:r>
      <w:r w:rsidR="008D365E" w:rsidRPr="00E92C27">
        <w:t xml:space="preserve"> must</w:t>
      </w:r>
      <w:r w:rsidR="008D365E">
        <w:t xml:space="preserve"> not</w:t>
      </w:r>
      <w:r w:rsidR="00584B71">
        <w:t xml:space="preserve"> directly or indirectly cause</w:t>
      </w:r>
      <w:r w:rsidR="008D365E">
        <w:t xml:space="preserve"> a decision of the Panel</w:t>
      </w:r>
      <w:r w:rsidR="00584B71">
        <w:t xml:space="preserve"> to be misrepresented</w:t>
      </w:r>
      <w:r w:rsidR="00946409">
        <w:t xml:space="preserve"> in any media</w:t>
      </w:r>
      <w:r w:rsidR="008D365E">
        <w:t xml:space="preserve">. </w:t>
      </w:r>
    </w:p>
    <w:p w14:paraId="5F88F59A" w14:textId="223467F5" w:rsidR="001F79B2" w:rsidRDefault="001F79B2" w:rsidP="001F79B2">
      <w:pPr>
        <w:pStyle w:val="Para1"/>
      </w:pPr>
      <w:r>
        <w:t xml:space="preserve">A party must </w:t>
      </w:r>
      <w:r w:rsidR="00E21AC1">
        <w:t xml:space="preserve">ensure that </w:t>
      </w:r>
      <w:r>
        <w:t xml:space="preserve">each of </w:t>
      </w:r>
      <w:r w:rsidRPr="00A81486">
        <w:t xml:space="preserve">its </w:t>
      </w:r>
      <w:r w:rsidR="00606228">
        <w:t>Representatives</w:t>
      </w:r>
      <w:r>
        <w:t xml:space="preserve"> compl</w:t>
      </w:r>
      <w:r w:rsidR="00095B40">
        <w:t>ies</w:t>
      </w:r>
      <w:r>
        <w:t xml:space="preserve"> with this Rule 19.</w:t>
      </w:r>
    </w:p>
    <w:p w14:paraId="4F84DCBF" w14:textId="186BA9D0" w:rsidR="008305A8" w:rsidRDefault="008305A8" w:rsidP="001F79B2">
      <w:pPr>
        <w:pStyle w:val="Para1"/>
      </w:pPr>
      <w:r>
        <w:t>This Rule 19 does not apply to ASIC.</w:t>
      </w:r>
    </w:p>
    <w:p w14:paraId="50B6872D" w14:textId="77777777" w:rsidR="008805BA" w:rsidRPr="00F714BE" w:rsidRDefault="008805BA" w:rsidP="00ED40AD">
      <w:pPr>
        <w:pStyle w:val="notetext"/>
      </w:pPr>
    </w:p>
    <w:p w14:paraId="056CAB35" w14:textId="77777777" w:rsidR="001F79B2" w:rsidRDefault="001F79B2" w:rsidP="002121C5">
      <w:pPr>
        <w:pStyle w:val="notetext"/>
      </w:pPr>
      <w:r>
        <w:br w:type="page"/>
      </w:r>
    </w:p>
    <w:p w14:paraId="34F0CC46" w14:textId="77777777" w:rsidR="001F79B2" w:rsidRDefault="001F79B2" w:rsidP="001F79B2">
      <w:pPr>
        <w:pStyle w:val="ActHead2"/>
        <w:pageBreakBefore/>
      </w:pPr>
      <w:bookmarkStart w:id="54" w:name="_Toc35023551"/>
      <w:bookmarkStart w:id="55" w:name="_Toc58416939"/>
      <w:r>
        <w:lastRenderedPageBreak/>
        <w:t>Part 7 Material before the Panel</w:t>
      </w:r>
      <w:bookmarkEnd w:id="54"/>
      <w:bookmarkEnd w:id="55"/>
    </w:p>
    <w:p w14:paraId="14D95FDE" w14:textId="77777777" w:rsidR="001F79B2" w:rsidRDefault="001F79B2" w:rsidP="001F79B2">
      <w:pPr>
        <w:pStyle w:val="ActHead5"/>
      </w:pPr>
      <w:bookmarkStart w:id="56" w:name="_Toc35023552"/>
      <w:bookmarkStart w:id="57" w:name="_Toc58416940"/>
      <w:proofErr w:type="gramStart"/>
      <w:r>
        <w:t>20</w:t>
      </w:r>
      <w:r w:rsidRPr="00554826">
        <w:t xml:space="preserve">  </w:t>
      </w:r>
      <w:r>
        <w:t>Preliminary</w:t>
      </w:r>
      <w:proofErr w:type="gramEnd"/>
      <w:r>
        <w:t xml:space="preserve"> submissions</w:t>
      </w:r>
      <w:bookmarkEnd w:id="56"/>
      <w:bookmarkEnd w:id="57"/>
    </w:p>
    <w:p w14:paraId="723F713B" w14:textId="292B2A87" w:rsidR="00CC000D" w:rsidRPr="001D5EC2" w:rsidRDefault="00CC000D" w:rsidP="00A36B8B">
      <w:pPr>
        <w:pStyle w:val="Para1"/>
        <w:numPr>
          <w:ilvl w:val="0"/>
          <w:numId w:val="24"/>
        </w:numPr>
      </w:pPr>
      <w:r w:rsidRPr="000C44C1">
        <w:t>A party may make preliminary submissions c</w:t>
      </w:r>
      <w:r w:rsidRPr="001D5EC2">
        <w:t xml:space="preserve">oncerning whether the Panel should conduct proceedings in relation to an application, but </w:t>
      </w:r>
      <w:r w:rsidR="002814CF" w:rsidRPr="001D5EC2">
        <w:t>is</w:t>
      </w:r>
      <w:r w:rsidR="00825DB1" w:rsidRPr="001D5EC2">
        <w:t xml:space="preserve"> not entitled to </w:t>
      </w:r>
      <w:r w:rsidRPr="001D5EC2">
        <w:t>make rebuttal submissions to a preliminary submission</w:t>
      </w:r>
      <w:r w:rsidR="00BF5E3C" w:rsidRPr="001D5EC2">
        <w:t xml:space="preserve"> unless the Panel</w:t>
      </w:r>
      <w:r w:rsidR="00FB171E" w:rsidRPr="001D5EC2">
        <w:t xml:space="preserve"> agrees to accept such submissions</w:t>
      </w:r>
      <w:r w:rsidRPr="001D5EC2">
        <w:t>.</w:t>
      </w:r>
    </w:p>
    <w:p w14:paraId="06E7DD5F" w14:textId="10683A7C" w:rsidR="001F79B2" w:rsidRPr="001D5EC2" w:rsidRDefault="00CC000D" w:rsidP="00CC000D">
      <w:pPr>
        <w:pStyle w:val="Para1"/>
      </w:pPr>
      <w:r w:rsidRPr="001D5EC2">
        <w:t>An applicant must not make preliminary submissions.</w:t>
      </w:r>
    </w:p>
    <w:p w14:paraId="08243F96" w14:textId="77777777" w:rsidR="00CC000D" w:rsidRPr="001F79B2" w:rsidRDefault="00CC000D" w:rsidP="00CC000D">
      <w:pPr>
        <w:pStyle w:val="Para1"/>
      </w:pPr>
      <w:r>
        <w:rPr>
          <w:szCs w:val="22"/>
        </w:rPr>
        <w:t xml:space="preserve">The Panel may accept preliminary </w:t>
      </w:r>
      <w:r w:rsidRPr="00EE7E48">
        <w:rPr>
          <w:szCs w:val="22"/>
        </w:rPr>
        <w:t>submission</w:t>
      </w:r>
      <w:r>
        <w:rPr>
          <w:szCs w:val="22"/>
        </w:rPr>
        <w:t>s</w:t>
      </w:r>
      <w:r w:rsidRPr="00EE7E48">
        <w:rPr>
          <w:szCs w:val="22"/>
        </w:rPr>
        <w:t xml:space="preserve"> from a person that is not a party.</w:t>
      </w:r>
    </w:p>
    <w:p w14:paraId="71A80833" w14:textId="77777777" w:rsidR="00CC000D" w:rsidRDefault="00CC000D" w:rsidP="00CC000D">
      <w:pPr>
        <w:pStyle w:val="ActHead5"/>
      </w:pPr>
      <w:bookmarkStart w:id="58" w:name="_Toc35023553"/>
      <w:bookmarkStart w:id="59" w:name="_Toc58416941"/>
      <w:proofErr w:type="gramStart"/>
      <w:r>
        <w:t>21</w:t>
      </w:r>
      <w:r w:rsidRPr="00554826">
        <w:t xml:space="preserve">  </w:t>
      </w:r>
      <w:r>
        <w:t>Submissions</w:t>
      </w:r>
      <w:bookmarkEnd w:id="58"/>
      <w:bookmarkEnd w:id="59"/>
      <w:proofErr w:type="gramEnd"/>
    </w:p>
    <w:p w14:paraId="564F7AE5" w14:textId="335BB6DE" w:rsidR="00CC000D" w:rsidRPr="00CC000D" w:rsidRDefault="00CC000D" w:rsidP="00A36B8B">
      <w:pPr>
        <w:pStyle w:val="Para1"/>
        <w:numPr>
          <w:ilvl w:val="0"/>
          <w:numId w:val="25"/>
        </w:numPr>
      </w:pPr>
      <w:r w:rsidRPr="000C44C1">
        <w:t>Submissions in response to a brief</w:t>
      </w:r>
      <w:r w:rsidR="00251C12">
        <w:t xml:space="preserve"> issued by the Panel</w:t>
      </w:r>
      <w:r w:rsidRPr="000C44C1">
        <w:t xml:space="preserve"> do not need to be in a particular form other than to comply with</w:t>
      </w:r>
      <w:r w:rsidR="00484BE3">
        <w:t xml:space="preserve"> Rule 9 and</w:t>
      </w:r>
      <w:r w:rsidRPr="000C44C1">
        <w:t xml:space="preserve"> any directions in the brief.</w:t>
      </w:r>
    </w:p>
    <w:p w14:paraId="422A9276" w14:textId="10A94BD2" w:rsidR="001F79B2" w:rsidRDefault="00CC000D" w:rsidP="00CC000D">
      <w:pPr>
        <w:pStyle w:val="Para1"/>
      </w:pPr>
      <w:r w:rsidRPr="000C44C1">
        <w:t xml:space="preserve">Submissions in response to </w:t>
      </w:r>
      <w:r>
        <w:t>any other requests by the Panel</w:t>
      </w:r>
      <w:r w:rsidRPr="000C44C1">
        <w:t xml:space="preserve"> do not need to be in a particular form other than to comply with</w:t>
      </w:r>
      <w:r w:rsidR="00EE3CBE">
        <w:t xml:space="preserve"> Rule 9 and</w:t>
      </w:r>
      <w:r w:rsidRPr="000C44C1">
        <w:t xml:space="preserve"> any directions </w:t>
      </w:r>
      <w:r>
        <w:t>given by the Panel</w:t>
      </w:r>
      <w:r w:rsidRPr="000C44C1">
        <w:t>.</w:t>
      </w:r>
    </w:p>
    <w:p w14:paraId="76418897" w14:textId="77777777" w:rsidR="00CC000D" w:rsidRDefault="00CC000D" w:rsidP="00CC000D">
      <w:pPr>
        <w:pStyle w:val="ActHead5"/>
      </w:pPr>
      <w:bookmarkStart w:id="60" w:name="_Toc35023554"/>
      <w:bookmarkStart w:id="61" w:name="_Toc58416942"/>
      <w:proofErr w:type="gramStart"/>
      <w:r>
        <w:t xml:space="preserve">22 </w:t>
      </w:r>
      <w:r w:rsidRPr="00554826">
        <w:t xml:space="preserve"> </w:t>
      </w:r>
      <w:r>
        <w:t>Evidence</w:t>
      </w:r>
      <w:bookmarkEnd w:id="60"/>
      <w:bookmarkEnd w:id="61"/>
      <w:proofErr w:type="gramEnd"/>
    </w:p>
    <w:p w14:paraId="4B21ECE2" w14:textId="780B44F9" w:rsidR="00CC000D" w:rsidRDefault="00CC000D" w:rsidP="00A36B8B">
      <w:pPr>
        <w:pStyle w:val="Para1"/>
        <w:numPr>
          <w:ilvl w:val="0"/>
          <w:numId w:val="26"/>
        </w:numPr>
      </w:pPr>
      <w:r w:rsidRPr="000C44C1">
        <w:t>The Pane</w:t>
      </w:r>
      <w:r w:rsidRPr="003F4EE6">
        <w:t>l is not bound by the rules of evidence and may act on any logically probative material.</w:t>
      </w:r>
    </w:p>
    <w:p w14:paraId="6F8986D2" w14:textId="77777777" w:rsidR="00CC000D" w:rsidRPr="00CC000D" w:rsidRDefault="00CC000D" w:rsidP="00CC000D">
      <w:pPr>
        <w:pStyle w:val="Para1"/>
      </w:pPr>
      <w:r>
        <w:t>A</w:t>
      </w:r>
      <w:r w:rsidRPr="009F36FE">
        <w:t xml:space="preserve"> person who does not have personal knowledge of a matter included in a submission </w:t>
      </w:r>
      <w:r>
        <w:t>must mak</w:t>
      </w:r>
      <w:r w:rsidRPr="009F36FE">
        <w:t>e appropriate inquiries that the matter is true and not misleading.</w:t>
      </w:r>
    </w:p>
    <w:p w14:paraId="0A0615A3" w14:textId="691C9377" w:rsidR="00CC000D" w:rsidRDefault="00CC000D" w:rsidP="00CC000D">
      <w:pPr>
        <w:pStyle w:val="Para1"/>
      </w:pPr>
      <w:r w:rsidRPr="00EE7E48">
        <w:t xml:space="preserve">A party may provide statements and documents to support any matter raised in an </w:t>
      </w:r>
      <w:r w:rsidRPr="008B4D51">
        <w:t>application or in submissions.</w:t>
      </w:r>
      <w:r w:rsidR="00141E74">
        <w:t xml:space="preserve"> </w:t>
      </w:r>
    </w:p>
    <w:p w14:paraId="2678BEB2" w14:textId="5EF7DFF0" w:rsidR="00CC000D" w:rsidRPr="00F34F16" w:rsidRDefault="00CC000D" w:rsidP="00CC000D">
      <w:pPr>
        <w:pStyle w:val="Para1"/>
      </w:pPr>
      <w:r w:rsidRPr="00EE7E48">
        <w:rPr>
          <w:szCs w:val="22"/>
        </w:rPr>
        <w:t>A party may request the Panel to issue a summons to a witness.  The request should set out the matters to be dealt with in the witness’</w:t>
      </w:r>
      <w:r w:rsidR="00CF039D">
        <w:rPr>
          <w:szCs w:val="22"/>
        </w:rPr>
        <w:t>s</w:t>
      </w:r>
      <w:r w:rsidRPr="00EE7E48">
        <w:rPr>
          <w:szCs w:val="22"/>
        </w:rPr>
        <w:t xml:space="preserve"> evidence. </w:t>
      </w:r>
      <w:r>
        <w:rPr>
          <w:szCs w:val="22"/>
        </w:rPr>
        <w:t xml:space="preserve"> </w:t>
      </w:r>
      <w:r w:rsidRPr="00EE7E48">
        <w:rPr>
          <w:szCs w:val="22"/>
        </w:rPr>
        <w:t>The Panel may direct the proposed witness to answer specific questions in writing before appearing before the Panel.</w:t>
      </w:r>
    </w:p>
    <w:p w14:paraId="01387A26" w14:textId="77777777" w:rsidR="00BB1792" w:rsidRPr="002121C5" w:rsidRDefault="00BB1792" w:rsidP="002121C5">
      <w:pPr>
        <w:pStyle w:val="notetext"/>
      </w:pPr>
      <w:r>
        <w:t>Note:</w:t>
      </w:r>
      <w:r>
        <w:tab/>
      </w:r>
      <w:r w:rsidRPr="002121C5">
        <w:t>The Panel may summons a person to give evidence or to produce specified documents</w:t>
      </w:r>
      <w:r w:rsidR="006658FE">
        <w:t xml:space="preserve"> under section 192 of the ASIC Act</w:t>
      </w:r>
      <w:r w:rsidRPr="002121C5">
        <w:t>.</w:t>
      </w:r>
    </w:p>
    <w:p w14:paraId="6EB2C238" w14:textId="77777777" w:rsidR="00CC000D" w:rsidRDefault="00CC000D" w:rsidP="00CC000D">
      <w:pPr>
        <w:pStyle w:val="ActHead5"/>
      </w:pPr>
      <w:bookmarkStart w:id="62" w:name="_Toc35023555"/>
      <w:bookmarkStart w:id="63" w:name="_Toc58416943"/>
      <w:proofErr w:type="gramStart"/>
      <w:r>
        <w:t xml:space="preserve">23 </w:t>
      </w:r>
      <w:r w:rsidRPr="00554826">
        <w:t xml:space="preserve"> </w:t>
      </w:r>
      <w:r>
        <w:t>Conferences</w:t>
      </w:r>
      <w:bookmarkEnd w:id="62"/>
      <w:bookmarkEnd w:id="63"/>
      <w:proofErr w:type="gramEnd"/>
    </w:p>
    <w:p w14:paraId="5AD1C3F2" w14:textId="38615E71" w:rsidR="00CC000D" w:rsidRPr="00CC000D" w:rsidRDefault="00CC000D" w:rsidP="00A36B8B">
      <w:pPr>
        <w:pStyle w:val="Para1"/>
        <w:numPr>
          <w:ilvl w:val="0"/>
          <w:numId w:val="27"/>
        </w:numPr>
      </w:pPr>
      <w:r w:rsidRPr="000C44C1">
        <w:t xml:space="preserve">The Panel may hold a conference (for all or part of </w:t>
      </w:r>
      <w:r w:rsidR="00864A3E">
        <w:t xml:space="preserve">the </w:t>
      </w:r>
      <w:r w:rsidRPr="000C44C1">
        <w:t>proceeding</w:t>
      </w:r>
      <w:r>
        <w:t>s</w:t>
      </w:r>
      <w:r w:rsidRPr="000C44C1">
        <w:t>):</w:t>
      </w:r>
    </w:p>
    <w:p w14:paraId="3C570BFB" w14:textId="77777777" w:rsidR="003629B3" w:rsidRPr="003629B3" w:rsidRDefault="00CC000D" w:rsidP="009D1630">
      <w:pPr>
        <w:pStyle w:val="Para2"/>
      </w:pPr>
      <w:r w:rsidRPr="000C44C1">
        <w:t>at the request of a party or</w:t>
      </w:r>
    </w:p>
    <w:p w14:paraId="727379B1" w14:textId="77777777" w:rsidR="003629B3" w:rsidRDefault="00CC000D" w:rsidP="009D1630">
      <w:pPr>
        <w:pStyle w:val="Para2"/>
      </w:pPr>
      <w:proofErr w:type="gramStart"/>
      <w:r w:rsidRPr="000C44C1">
        <w:t>of</w:t>
      </w:r>
      <w:proofErr w:type="gramEnd"/>
      <w:r w:rsidRPr="000C44C1">
        <w:t xml:space="preserve"> its own volition.</w:t>
      </w:r>
    </w:p>
    <w:p w14:paraId="53106F84" w14:textId="77777777" w:rsidR="00CC000D" w:rsidRDefault="00375239" w:rsidP="00375239">
      <w:pPr>
        <w:pStyle w:val="Para1"/>
      </w:pPr>
      <w:r w:rsidRPr="000C44C1">
        <w:t xml:space="preserve">A party requesting a conference should indicate the issues to be addressed, the persons to attend, </w:t>
      </w:r>
      <w:proofErr w:type="gramStart"/>
      <w:r w:rsidRPr="000C44C1">
        <w:t>the</w:t>
      </w:r>
      <w:proofErr w:type="gramEnd"/>
      <w:r w:rsidRPr="000C44C1">
        <w:t xml:space="preserve"> reasons why a conference is desirable and the estimated time it would take.</w:t>
      </w:r>
    </w:p>
    <w:p w14:paraId="3892EA4E" w14:textId="77777777" w:rsidR="00375239" w:rsidRDefault="00375239" w:rsidP="00375239">
      <w:pPr>
        <w:pStyle w:val="Para1"/>
      </w:pPr>
      <w:r w:rsidRPr="000C44C1">
        <w:rPr>
          <w:szCs w:val="22"/>
        </w:rPr>
        <w:lastRenderedPageBreak/>
        <w:t>A conference is held subject to any directions the Panel gives.</w:t>
      </w:r>
    </w:p>
    <w:p w14:paraId="0BE3B692" w14:textId="77777777" w:rsidR="00375239" w:rsidRPr="005D727D" w:rsidRDefault="00375239" w:rsidP="008C6DEC">
      <w:pPr>
        <w:pStyle w:val="ActHead2"/>
        <w:pageBreakBefore/>
      </w:pPr>
      <w:bookmarkStart w:id="64" w:name="_Toc35023556"/>
      <w:bookmarkStart w:id="65" w:name="_Toc58416944"/>
      <w:r w:rsidRPr="002C24F0">
        <w:lastRenderedPageBreak/>
        <w:t>Part 8 Decision</w:t>
      </w:r>
      <w:bookmarkEnd w:id="64"/>
      <w:bookmarkEnd w:id="65"/>
    </w:p>
    <w:p w14:paraId="39DFBF41" w14:textId="77777777" w:rsidR="00375239" w:rsidRDefault="00375239" w:rsidP="00375239">
      <w:pPr>
        <w:pStyle w:val="ActHead5"/>
      </w:pPr>
      <w:bookmarkStart w:id="66" w:name="_Toc35023557"/>
      <w:bookmarkStart w:id="67" w:name="_Toc58416945"/>
      <w:proofErr w:type="gramStart"/>
      <w:r>
        <w:t xml:space="preserve">24 </w:t>
      </w:r>
      <w:r w:rsidRPr="00554826">
        <w:t xml:space="preserve"> </w:t>
      </w:r>
      <w:r>
        <w:t>Date</w:t>
      </w:r>
      <w:proofErr w:type="gramEnd"/>
      <w:r>
        <w:t xml:space="preserve"> of decision</w:t>
      </w:r>
      <w:bookmarkEnd w:id="66"/>
      <w:bookmarkEnd w:id="67"/>
    </w:p>
    <w:p w14:paraId="57B8EDA3" w14:textId="77777777" w:rsidR="00375239" w:rsidRPr="00375239" w:rsidRDefault="00375239" w:rsidP="00375239">
      <w:pPr>
        <w:pStyle w:val="subsection"/>
      </w:pPr>
      <w:r>
        <w:rPr>
          <w:szCs w:val="22"/>
        </w:rPr>
        <w:tab/>
      </w:r>
      <w:r>
        <w:rPr>
          <w:szCs w:val="22"/>
        </w:rPr>
        <w:tab/>
      </w:r>
      <w:r w:rsidRPr="000C44C1">
        <w:rPr>
          <w:szCs w:val="22"/>
        </w:rPr>
        <w:t>A decision of the Panel is made on the date it is communicated to the parties in final form.</w:t>
      </w:r>
    </w:p>
    <w:p w14:paraId="6C817BED" w14:textId="77777777" w:rsidR="00375239" w:rsidRDefault="00375239" w:rsidP="00375239">
      <w:pPr>
        <w:pStyle w:val="ActHead2"/>
        <w:pageBreakBefore/>
      </w:pPr>
      <w:bookmarkStart w:id="68" w:name="_Toc35023558"/>
      <w:bookmarkStart w:id="69" w:name="_Toc58416946"/>
      <w:r>
        <w:lastRenderedPageBreak/>
        <w:t>Part 9 Court referrals</w:t>
      </w:r>
      <w:bookmarkEnd w:id="68"/>
      <w:bookmarkEnd w:id="69"/>
    </w:p>
    <w:p w14:paraId="3E7C1AA6" w14:textId="77777777" w:rsidR="00375239" w:rsidRDefault="00375239" w:rsidP="00375239">
      <w:pPr>
        <w:pStyle w:val="ActHead5"/>
      </w:pPr>
      <w:bookmarkStart w:id="70" w:name="_Toc35023559"/>
      <w:bookmarkStart w:id="71" w:name="_Toc58416947"/>
      <w:proofErr w:type="gramStart"/>
      <w:r>
        <w:t xml:space="preserve">25 </w:t>
      </w:r>
      <w:r w:rsidRPr="00554826">
        <w:t xml:space="preserve"> </w:t>
      </w:r>
      <w:r>
        <w:t>Referral</w:t>
      </w:r>
      <w:proofErr w:type="gramEnd"/>
      <w:r>
        <w:t xml:space="preserve"> by Panel to Court</w:t>
      </w:r>
      <w:bookmarkEnd w:id="70"/>
      <w:bookmarkEnd w:id="71"/>
    </w:p>
    <w:p w14:paraId="3A172D58" w14:textId="35B4DCFF" w:rsidR="00375239" w:rsidRPr="00375239" w:rsidRDefault="00375239" w:rsidP="00375239">
      <w:pPr>
        <w:pStyle w:val="subsection"/>
      </w:pPr>
      <w:r>
        <w:rPr>
          <w:szCs w:val="22"/>
        </w:rPr>
        <w:tab/>
      </w:r>
      <w:r>
        <w:rPr>
          <w:szCs w:val="22"/>
        </w:rPr>
        <w:tab/>
      </w:r>
      <w:r w:rsidRPr="000C44C1">
        <w:rPr>
          <w:szCs w:val="22"/>
        </w:rPr>
        <w:t xml:space="preserve">A </w:t>
      </w:r>
      <w:r>
        <w:rPr>
          <w:szCs w:val="22"/>
        </w:rPr>
        <w:t xml:space="preserve">party may </w:t>
      </w:r>
      <w:r w:rsidRPr="000C44C1">
        <w:rPr>
          <w:szCs w:val="22"/>
        </w:rPr>
        <w:t>request that the Panel refer</w:t>
      </w:r>
      <w:r w:rsidR="00AD6A73">
        <w:rPr>
          <w:szCs w:val="22"/>
        </w:rPr>
        <w:t>s</w:t>
      </w:r>
      <w:r w:rsidRPr="000C44C1">
        <w:rPr>
          <w:szCs w:val="22"/>
        </w:rPr>
        <w:t xml:space="preserve"> a question of law arising in proceeding</w:t>
      </w:r>
      <w:r>
        <w:rPr>
          <w:szCs w:val="22"/>
        </w:rPr>
        <w:t>s</w:t>
      </w:r>
      <w:r w:rsidRPr="000C44C1">
        <w:rPr>
          <w:szCs w:val="22"/>
        </w:rPr>
        <w:t xml:space="preserve"> to the Court</w:t>
      </w:r>
      <w:r>
        <w:rPr>
          <w:szCs w:val="22"/>
        </w:rPr>
        <w:t xml:space="preserve">.  A request </w:t>
      </w:r>
      <w:r w:rsidR="00AB3C62">
        <w:rPr>
          <w:szCs w:val="22"/>
        </w:rPr>
        <w:t>should</w:t>
      </w:r>
      <w:r w:rsidRPr="000C44C1">
        <w:rPr>
          <w:szCs w:val="22"/>
        </w:rPr>
        <w:t>:</w:t>
      </w:r>
    </w:p>
    <w:p w14:paraId="2633570C" w14:textId="77777777" w:rsidR="00375239" w:rsidRDefault="00375239" w:rsidP="009D1630">
      <w:pPr>
        <w:pStyle w:val="Para2"/>
      </w:pPr>
      <w:r w:rsidRPr="000C44C1">
        <w:t>be accompanied by a draft of a case stated</w:t>
      </w:r>
    </w:p>
    <w:p w14:paraId="1A9F252E" w14:textId="64705D66" w:rsidR="00375239" w:rsidRDefault="00375239" w:rsidP="009D1630">
      <w:pPr>
        <w:pStyle w:val="Para2"/>
      </w:pPr>
      <w:r w:rsidRPr="000C44C1">
        <w:t xml:space="preserve">explain how the </w:t>
      </w:r>
      <w:r w:rsidR="001F6956" w:rsidRPr="00016897">
        <w:t>question of law</w:t>
      </w:r>
      <w:r w:rsidRPr="004A5AD8">
        <w:t xml:space="preserve"> is</w:t>
      </w:r>
      <w:r w:rsidRPr="000C44C1">
        <w:t xml:space="preserve"> relevant to a decision of the Panel in the proceeding</w:t>
      </w:r>
      <w:r>
        <w:t>s</w:t>
      </w:r>
      <w:r w:rsidRPr="000C44C1">
        <w:t xml:space="preserve"> and</w:t>
      </w:r>
    </w:p>
    <w:p w14:paraId="66620391" w14:textId="45BBFC87" w:rsidR="00375239" w:rsidRDefault="00B42290" w:rsidP="009D1630">
      <w:pPr>
        <w:pStyle w:val="Para2"/>
      </w:pPr>
      <w:r>
        <w:t xml:space="preserve">indicate whether the requesting party </w:t>
      </w:r>
      <w:r w:rsidR="00D343BC">
        <w:t xml:space="preserve">is willing to give </w:t>
      </w:r>
      <w:r w:rsidR="00375239" w:rsidRPr="000C44C1">
        <w:t>an undertaking in favour of the Panel to pay or reimburse on demand all costs of the Panel in the matter on a solicitor and own client basis.</w:t>
      </w:r>
    </w:p>
    <w:p w14:paraId="592FB1CF" w14:textId="5464B18A" w:rsidR="000B6764" w:rsidRDefault="000B6764" w:rsidP="000B6764">
      <w:pPr>
        <w:pStyle w:val="ActHead5"/>
      </w:pPr>
      <w:bookmarkStart w:id="72" w:name="_Toc35023560"/>
      <w:bookmarkStart w:id="73" w:name="_Toc58416948"/>
      <w:proofErr w:type="gramStart"/>
      <w:r>
        <w:t xml:space="preserve">26 </w:t>
      </w:r>
      <w:r w:rsidRPr="00554826">
        <w:t xml:space="preserve"> </w:t>
      </w:r>
      <w:r>
        <w:t>Referral</w:t>
      </w:r>
      <w:proofErr w:type="gramEnd"/>
      <w:r>
        <w:t xml:space="preserve"> by Court to </w:t>
      </w:r>
      <w:r w:rsidR="00A342EA">
        <w:t xml:space="preserve">Takeovers </w:t>
      </w:r>
      <w:r>
        <w:t>Panel</w:t>
      </w:r>
      <w:bookmarkEnd w:id="72"/>
      <w:bookmarkEnd w:id="73"/>
    </w:p>
    <w:p w14:paraId="15C52DC4" w14:textId="4D5B97AE" w:rsidR="000B6764" w:rsidRPr="000B6764" w:rsidRDefault="000B6764" w:rsidP="000B6764">
      <w:pPr>
        <w:pStyle w:val="subsection"/>
      </w:pPr>
      <w:r>
        <w:rPr>
          <w:szCs w:val="22"/>
        </w:rPr>
        <w:tab/>
      </w:r>
      <w:r>
        <w:rPr>
          <w:szCs w:val="22"/>
        </w:rPr>
        <w:tab/>
        <w:t xml:space="preserve">A referral by a Court to the </w:t>
      </w:r>
      <w:r w:rsidR="00735528">
        <w:rPr>
          <w:szCs w:val="22"/>
        </w:rPr>
        <w:t>T</w:t>
      </w:r>
      <w:r w:rsidR="00735528" w:rsidRPr="001D5EC2">
        <w:rPr>
          <w:szCs w:val="22"/>
        </w:rPr>
        <w:t xml:space="preserve">akeovers </w:t>
      </w:r>
      <w:r w:rsidRPr="001D5EC2">
        <w:rPr>
          <w:szCs w:val="22"/>
        </w:rPr>
        <w:t>Panel</w:t>
      </w:r>
      <w:r w:rsidR="00BB6066" w:rsidRPr="002C24F0">
        <w:rPr>
          <w:b/>
          <w:i/>
        </w:rPr>
        <w:t xml:space="preserve"> </w:t>
      </w:r>
      <w:r w:rsidRPr="001D5EC2">
        <w:rPr>
          <w:szCs w:val="22"/>
        </w:rPr>
        <w:t xml:space="preserve">under section 657EB of the Corporations Act shall be </w:t>
      </w:r>
      <w:r w:rsidR="002814CF" w:rsidRPr="001D5EC2">
        <w:rPr>
          <w:szCs w:val="22"/>
        </w:rPr>
        <w:t xml:space="preserve">conducted </w:t>
      </w:r>
      <w:r w:rsidRPr="001D5EC2">
        <w:rPr>
          <w:szCs w:val="22"/>
        </w:rPr>
        <w:t>in the same manner as an application for review of a decision of the Panel</w:t>
      </w:r>
      <w:r w:rsidRPr="00F3545B">
        <w:rPr>
          <w:szCs w:val="22"/>
        </w:rPr>
        <w:t xml:space="preserve"> under section 657EA</w:t>
      </w:r>
      <w:r>
        <w:rPr>
          <w:szCs w:val="22"/>
        </w:rPr>
        <w:t xml:space="preserve"> of the Corporations Act</w:t>
      </w:r>
      <w:r w:rsidR="0052647E" w:rsidRPr="00F76202">
        <w:rPr>
          <w:szCs w:val="22"/>
        </w:rPr>
        <w:t>, unless the Court directs otherwise</w:t>
      </w:r>
      <w:r>
        <w:rPr>
          <w:szCs w:val="22"/>
        </w:rPr>
        <w:t>.</w:t>
      </w:r>
    </w:p>
    <w:p w14:paraId="48796A54" w14:textId="77777777" w:rsidR="000B6764" w:rsidRDefault="00375239">
      <w:pPr>
        <w:spacing w:line="240" w:lineRule="auto"/>
      </w:pPr>
      <w:r>
        <w:br w:type="page"/>
      </w:r>
    </w:p>
    <w:p w14:paraId="74F10635" w14:textId="77777777" w:rsidR="000B6764" w:rsidRDefault="000B6764" w:rsidP="000B6764">
      <w:pPr>
        <w:pStyle w:val="ActHead2"/>
        <w:pageBreakBefore/>
      </w:pPr>
      <w:bookmarkStart w:id="74" w:name="_Toc35023561"/>
      <w:bookmarkStart w:id="75" w:name="_Toc58416949"/>
      <w:r>
        <w:lastRenderedPageBreak/>
        <w:t>Part 10 Panel and Executive</w:t>
      </w:r>
      <w:bookmarkEnd w:id="74"/>
      <w:bookmarkEnd w:id="75"/>
    </w:p>
    <w:p w14:paraId="5D881C75" w14:textId="77777777" w:rsidR="000B6764" w:rsidRDefault="000B6764" w:rsidP="000B6764">
      <w:pPr>
        <w:pStyle w:val="ActHead5"/>
      </w:pPr>
      <w:bookmarkStart w:id="76" w:name="_Toc35023562"/>
      <w:bookmarkStart w:id="77" w:name="_Toc58416950"/>
      <w:proofErr w:type="gramStart"/>
      <w:r>
        <w:t xml:space="preserve">27 </w:t>
      </w:r>
      <w:r w:rsidRPr="00554826">
        <w:t xml:space="preserve"> </w:t>
      </w:r>
      <w:r>
        <w:t>Conflict</w:t>
      </w:r>
      <w:proofErr w:type="gramEnd"/>
      <w:r>
        <w:t xml:space="preserve"> of interest</w:t>
      </w:r>
      <w:bookmarkEnd w:id="76"/>
      <w:bookmarkEnd w:id="77"/>
    </w:p>
    <w:p w14:paraId="49B8A26C" w14:textId="77777777" w:rsidR="000B6764" w:rsidRDefault="000B6764" w:rsidP="00A36B8B">
      <w:pPr>
        <w:pStyle w:val="Para1"/>
        <w:numPr>
          <w:ilvl w:val="0"/>
          <w:numId w:val="28"/>
        </w:numPr>
      </w:pPr>
      <w:r w:rsidRPr="000C44C1">
        <w:t xml:space="preserve">A party must notify the </w:t>
      </w:r>
      <w:r>
        <w:t xml:space="preserve">Executive </w:t>
      </w:r>
      <w:r w:rsidRPr="000C44C1">
        <w:t xml:space="preserve">as soon as possible after it becomes aware of an interest of a member </w:t>
      </w:r>
      <w:r>
        <w:t xml:space="preserve">of the Panel </w:t>
      </w:r>
      <w:r w:rsidRPr="000C44C1">
        <w:t>that:</w:t>
      </w:r>
    </w:p>
    <w:p w14:paraId="4B3BF4FB" w14:textId="77777777" w:rsidR="000B6764" w:rsidRPr="000B6764" w:rsidRDefault="000B6764" w:rsidP="009D1630">
      <w:pPr>
        <w:pStyle w:val="Para2"/>
      </w:pPr>
      <w:r w:rsidRPr="000C44C1">
        <w:t xml:space="preserve">could conflict with the proper performance or exercise of that member’s functions or powers in </w:t>
      </w:r>
      <w:r>
        <w:t xml:space="preserve">relation to a matter </w:t>
      </w:r>
      <w:r w:rsidRPr="000C44C1">
        <w:t>and</w:t>
      </w:r>
    </w:p>
    <w:p w14:paraId="563222AA" w14:textId="77777777" w:rsidR="000B6764" w:rsidRDefault="000B6764" w:rsidP="009D1630">
      <w:pPr>
        <w:pStyle w:val="Para2"/>
      </w:pPr>
      <w:proofErr w:type="gramStart"/>
      <w:r w:rsidRPr="000C44C1">
        <w:t>it</w:t>
      </w:r>
      <w:proofErr w:type="gramEnd"/>
      <w:r w:rsidRPr="000C44C1">
        <w:t xml:space="preserve"> believes, on reasonable grounds, is not immaterial or indirect and will prevent the member from acting impartially </w:t>
      </w:r>
      <w:r w:rsidRPr="001D4C4C">
        <w:t>in relation to the matter</w:t>
      </w:r>
      <w:r w:rsidRPr="000C44C1">
        <w:t>.</w:t>
      </w:r>
    </w:p>
    <w:p w14:paraId="5C68B9A9" w14:textId="77777777" w:rsidR="000B6764" w:rsidRDefault="000B6764" w:rsidP="000B6764">
      <w:pPr>
        <w:pStyle w:val="Para1"/>
      </w:pPr>
      <w:r w:rsidRPr="000C44C1">
        <w:t xml:space="preserve">The notification must describe the interest and explain why both paragraphs (a) and (b) </w:t>
      </w:r>
      <w:r>
        <w:t xml:space="preserve">of Rule 27(1) </w:t>
      </w:r>
      <w:r w:rsidRPr="000C44C1">
        <w:t>are met.</w:t>
      </w:r>
    </w:p>
    <w:p w14:paraId="38A7636F" w14:textId="526982EC" w:rsidR="000B6764" w:rsidRPr="000B6764" w:rsidRDefault="0011445B" w:rsidP="000B6764">
      <w:pPr>
        <w:pStyle w:val="Para1"/>
      </w:pPr>
      <w:r w:rsidRPr="000C44C1">
        <w:rPr>
          <w:szCs w:val="22"/>
        </w:rPr>
        <w:t xml:space="preserve">Rule </w:t>
      </w:r>
      <w:r>
        <w:rPr>
          <w:szCs w:val="22"/>
        </w:rPr>
        <w:t>10(</w:t>
      </w:r>
      <w:r w:rsidR="00864A3E">
        <w:rPr>
          <w:szCs w:val="22"/>
        </w:rPr>
        <w:t>6</w:t>
      </w:r>
      <w:r>
        <w:rPr>
          <w:szCs w:val="22"/>
        </w:rPr>
        <w:t>)</w:t>
      </w:r>
      <w:r w:rsidRPr="000C44C1">
        <w:rPr>
          <w:szCs w:val="22"/>
        </w:rPr>
        <w:t xml:space="preserve"> does not apply to a party who gives notice of a conflict, unless the President directs otherwise.</w:t>
      </w:r>
    </w:p>
    <w:p w14:paraId="089E6767" w14:textId="77777777" w:rsidR="00C73089" w:rsidRDefault="00C73089" w:rsidP="00C73089">
      <w:pPr>
        <w:pStyle w:val="ActHead5"/>
      </w:pPr>
      <w:bookmarkStart w:id="78" w:name="_Toc35023563"/>
      <w:bookmarkStart w:id="79" w:name="_Toc58416951"/>
      <w:proofErr w:type="gramStart"/>
      <w:r>
        <w:t xml:space="preserve">28 </w:t>
      </w:r>
      <w:r w:rsidRPr="00554826">
        <w:t xml:space="preserve"> </w:t>
      </w:r>
      <w:r>
        <w:t>Role</w:t>
      </w:r>
      <w:proofErr w:type="gramEnd"/>
      <w:r>
        <w:t xml:space="preserve"> of Executive</w:t>
      </w:r>
      <w:bookmarkEnd w:id="78"/>
      <w:bookmarkEnd w:id="79"/>
    </w:p>
    <w:p w14:paraId="3FF1983C" w14:textId="77777777" w:rsidR="00C73089" w:rsidRDefault="00C73089" w:rsidP="00A36B8B">
      <w:pPr>
        <w:pStyle w:val="Para1"/>
        <w:numPr>
          <w:ilvl w:val="0"/>
          <w:numId w:val="29"/>
        </w:numPr>
      </w:pPr>
      <w:r w:rsidRPr="000C44C1">
        <w:t xml:space="preserve">The </w:t>
      </w:r>
      <w:r>
        <w:t>E</w:t>
      </w:r>
      <w:r w:rsidRPr="000C44C1">
        <w:t>xecutive does not bind the Panel unless the context indicates otherwise.</w:t>
      </w:r>
    </w:p>
    <w:p w14:paraId="326A0A04" w14:textId="71561512" w:rsidR="000B6764" w:rsidRDefault="00C73089" w:rsidP="009B30CB">
      <w:pPr>
        <w:pStyle w:val="Para1"/>
        <w:numPr>
          <w:ilvl w:val="0"/>
          <w:numId w:val="29"/>
        </w:numPr>
      </w:pPr>
      <w:r w:rsidRPr="00B17A30">
        <w:t xml:space="preserve">The Executive is the point of contact for parties and other </w:t>
      </w:r>
      <w:r w:rsidRPr="00AB774A">
        <w:t>interested persons wit</w:t>
      </w:r>
      <w:r w:rsidRPr="00B17A30">
        <w:t>h the President or the Panel and</w:t>
      </w:r>
      <w:r w:rsidR="000F761D">
        <w:t xml:space="preserve">, subject to </w:t>
      </w:r>
      <w:r w:rsidR="005B26CA">
        <w:t>Rule 28(1),</w:t>
      </w:r>
      <w:r w:rsidRPr="00B17A30">
        <w:t xml:space="preserve"> acts with the authority of the President or the Panel in the conduct of </w:t>
      </w:r>
      <w:r w:rsidR="002250EC">
        <w:t xml:space="preserve">the </w:t>
      </w:r>
      <w:r w:rsidRPr="00B17A30">
        <w:t>Panel</w:t>
      </w:r>
      <w:r w:rsidR="002250EC">
        <w:t>’s</w:t>
      </w:r>
      <w:r w:rsidRPr="00B17A30">
        <w:t xml:space="preserve"> business.</w:t>
      </w:r>
      <w:r w:rsidR="00B17A30" w:rsidRPr="00B17A30">
        <w:t xml:space="preserve"> </w:t>
      </w:r>
    </w:p>
    <w:sectPr w:rsidR="000B6764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7407" w14:textId="77777777" w:rsidR="00D727C0" w:rsidRDefault="00D727C0" w:rsidP="00715914">
      <w:pPr>
        <w:spacing w:line="240" w:lineRule="auto"/>
      </w:pPr>
      <w:r>
        <w:separator/>
      </w:r>
    </w:p>
    <w:p w14:paraId="395A29C7" w14:textId="77777777" w:rsidR="00D727C0" w:rsidRDefault="00D727C0"/>
  </w:endnote>
  <w:endnote w:type="continuationSeparator" w:id="0">
    <w:p w14:paraId="7D8E5E01" w14:textId="77777777" w:rsidR="00D727C0" w:rsidRDefault="00D727C0" w:rsidP="00715914">
      <w:pPr>
        <w:spacing w:line="240" w:lineRule="auto"/>
      </w:pPr>
      <w:r>
        <w:continuationSeparator/>
      </w:r>
    </w:p>
    <w:p w14:paraId="59B94479" w14:textId="77777777" w:rsidR="00D727C0" w:rsidRDefault="00D727C0"/>
  </w:endnote>
  <w:endnote w:type="continuationNotice" w:id="1">
    <w:p w14:paraId="0555EB68" w14:textId="77777777" w:rsidR="00D727C0" w:rsidRDefault="00D727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F3E8" w14:textId="77777777" w:rsidR="00D727C0" w:rsidRPr="00E33C1C" w:rsidRDefault="00D727C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27C0" w14:paraId="5278882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F300C5" w14:textId="37F8AB56" w:rsidR="00D727C0" w:rsidRDefault="00D727C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715836" w14:textId="083A066F" w:rsidR="00D727C0" w:rsidRPr="004E1307" w:rsidRDefault="00D727C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3DBC">
            <w:rPr>
              <w:i/>
              <w:noProof/>
              <w:sz w:val="18"/>
            </w:rPr>
            <w:t>Takeovers Panel Procedural Rules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51F6DE" w14:textId="77777777" w:rsidR="00D727C0" w:rsidRDefault="00D727C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727C0" w14:paraId="0F821A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0D04E7" w14:textId="77777777" w:rsidR="00D727C0" w:rsidRDefault="00D727C0" w:rsidP="00A369E3">
          <w:pPr>
            <w:jc w:val="right"/>
            <w:rPr>
              <w:sz w:val="18"/>
            </w:rPr>
          </w:pPr>
        </w:p>
      </w:tc>
    </w:tr>
  </w:tbl>
  <w:p w14:paraId="0D5131C0" w14:textId="77777777" w:rsidR="00D727C0" w:rsidRPr="00ED79B6" w:rsidRDefault="00D727C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3007" w14:textId="77777777" w:rsidR="00D727C0" w:rsidRPr="00E33C1C" w:rsidRDefault="00D727C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D727C0" w14:paraId="6153BFF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9F28D3" w14:textId="77777777" w:rsidR="00D727C0" w:rsidRDefault="00D727C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EE0DE7" w14:textId="17E0C4F4" w:rsidR="00D727C0" w:rsidRDefault="00D727C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3DBC">
            <w:rPr>
              <w:i/>
              <w:noProof/>
              <w:sz w:val="18"/>
            </w:rPr>
            <w:t>Takeovers Panel Procedural Rules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983C71" w14:textId="77777777" w:rsidR="00D727C0" w:rsidRDefault="00D727C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27C0" w14:paraId="2FAA5EC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F89649" w14:textId="77777777" w:rsidR="00D727C0" w:rsidRDefault="00D727C0" w:rsidP="00A369E3">
          <w:pPr>
            <w:rPr>
              <w:sz w:val="18"/>
            </w:rPr>
          </w:pPr>
        </w:p>
      </w:tc>
    </w:tr>
  </w:tbl>
  <w:p w14:paraId="36023C6D" w14:textId="77777777" w:rsidR="00D727C0" w:rsidRPr="00ED79B6" w:rsidRDefault="00D727C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78F5" w14:textId="77777777" w:rsidR="00D727C0" w:rsidRPr="00E33C1C" w:rsidRDefault="00D727C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727C0" w14:paraId="50B1168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AC4BD5" w14:textId="77777777" w:rsidR="00D727C0" w:rsidRDefault="00D727C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E61BBF" w14:textId="77777777" w:rsidR="00D727C0" w:rsidRDefault="00D727C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C34169" w14:textId="77777777" w:rsidR="00D727C0" w:rsidRDefault="00D727C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4B9705D" w14:textId="77777777" w:rsidR="00D727C0" w:rsidRPr="00ED79B6" w:rsidRDefault="00D727C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310B" w14:textId="77777777" w:rsidR="00D727C0" w:rsidRPr="002B0EA5" w:rsidRDefault="00D727C0" w:rsidP="00FC52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727C0" w14:paraId="4FD0F706" w14:textId="77777777" w:rsidTr="00FC52FF">
      <w:tc>
        <w:tcPr>
          <w:tcW w:w="365" w:type="pct"/>
        </w:tcPr>
        <w:p w14:paraId="20C42D84" w14:textId="370D7DC5" w:rsidR="00D727C0" w:rsidRDefault="00D727C0" w:rsidP="00FC52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12F579" w14:textId="3B8442CF" w:rsidR="00D727C0" w:rsidRDefault="00D727C0" w:rsidP="00FC52F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3DBC">
            <w:rPr>
              <w:i/>
              <w:noProof/>
              <w:sz w:val="18"/>
            </w:rPr>
            <w:t>Takeovers Panel Procedural Rules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F5FF899" w14:textId="77777777" w:rsidR="00D727C0" w:rsidRDefault="00D727C0" w:rsidP="00FC52FF">
          <w:pPr>
            <w:spacing w:line="0" w:lineRule="atLeast"/>
            <w:jc w:val="right"/>
            <w:rPr>
              <w:sz w:val="18"/>
            </w:rPr>
          </w:pPr>
        </w:p>
      </w:tc>
    </w:tr>
    <w:tr w:rsidR="00D727C0" w14:paraId="3404BFF9" w14:textId="77777777" w:rsidTr="00FC52FF">
      <w:tc>
        <w:tcPr>
          <w:tcW w:w="5000" w:type="pct"/>
          <w:gridSpan w:val="3"/>
        </w:tcPr>
        <w:p w14:paraId="1EA17B52" w14:textId="77777777" w:rsidR="00D727C0" w:rsidRDefault="00D727C0" w:rsidP="00FC52FF">
          <w:pPr>
            <w:jc w:val="right"/>
            <w:rPr>
              <w:sz w:val="18"/>
            </w:rPr>
          </w:pPr>
        </w:p>
      </w:tc>
    </w:tr>
  </w:tbl>
  <w:p w14:paraId="35457C5D" w14:textId="77777777" w:rsidR="00D727C0" w:rsidRPr="00ED79B6" w:rsidRDefault="00D727C0" w:rsidP="00FC52F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1E42" w14:textId="77777777" w:rsidR="00D727C0" w:rsidRPr="002B0EA5" w:rsidRDefault="00D727C0" w:rsidP="00CA38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727C0" w14:paraId="3295F1C3" w14:textId="77777777" w:rsidTr="00195FFA">
      <w:tc>
        <w:tcPr>
          <w:tcW w:w="947" w:type="pct"/>
        </w:tcPr>
        <w:p w14:paraId="53319042" w14:textId="77777777" w:rsidR="00D727C0" w:rsidRDefault="00D727C0" w:rsidP="00CA382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781C5A" w14:textId="4910391D" w:rsidR="00D727C0" w:rsidRDefault="00D727C0" w:rsidP="00CA382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A5168">
            <w:rPr>
              <w:i/>
              <w:noProof/>
              <w:sz w:val="18"/>
            </w:rPr>
            <w:t>Takeovers Panel Procedural Rules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DE48383" w14:textId="5CDA5393" w:rsidR="00D727C0" w:rsidRDefault="00D727C0" w:rsidP="00CA38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51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27C0" w14:paraId="6F69E2E9" w14:textId="77777777" w:rsidTr="00195FFA">
      <w:tc>
        <w:tcPr>
          <w:tcW w:w="5000" w:type="pct"/>
          <w:gridSpan w:val="3"/>
        </w:tcPr>
        <w:p w14:paraId="3D689005" w14:textId="77777777" w:rsidR="00D727C0" w:rsidRDefault="00D727C0" w:rsidP="00CA3824">
          <w:pPr>
            <w:rPr>
              <w:sz w:val="18"/>
            </w:rPr>
          </w:pPr>
        </w:p>
      </w:tc>
    </w:tr>
  </w:tbl>
  <w:p w14:paraId="4C32EF58" w14:textId="77777777" w:rsidR="00D727C0" w:rsidRPr="00ED79B6" w:rsidRDefault="00D727C0" w:rsidP="00CA3824">
    <w:pPr>
      <w:rPr>
        <w:i/>
        <w:sz w:val="18"/>
      </w:rPr>
    </w:pPr>
  </w:p>
  <w:p w14:paraId="5914CF9F" w14:textId="77777777" w:rsidR="00D727C0" w:rsidRPr="00CA3824" w:rsidRDefault="00D727C0" w:rsidP="00CA382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D600" w14:textId="77777777" w:rsidR="00D727C0" w:rsidRPr="002B0EA5" w:rsidRDefault="00D727C0" w:rsidP="00FC52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727C0" w14:paraId="6E5F14B7" w14:textId="77777777" w:rsidTr="00FC52FF">
      <w:tc>
        <w:tcPr>
          <w:tcW w:w="365" w:type="pct"/>
        </w:tcPr>
        <w:p w14:paraId="7377A76C" w14:textId="6C24370C" w:rsidR="00D727C0" w:rsidRDefault="00D727C0" w:rsidP="00FC52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516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05EC9E0" w14:textId="50224DA4" w:rsidR="00D727C0" w:rsidRDefault="00D727C0" w:rsidP="00FC52F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A5168">
            <w:rPr>
              <w:i/>
              <w:noProof/>
              <w:sz w:val="18"/>
            </w:rPr>
            <w:t>Takeovers Panel Procedural Rules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738917" w14:textId="77777777" w:rsidR="00D727C0" w:rsidRDefault="00D727C0" w:rsidP="00FC52FF">
          <w:pPr>
            <w:spacing w:line="0" w:lineRule="atLeast"/>
            <w:jc w:val="right"/>
            <w:rPr>
              <w:sz w:val="18"/>
            </w:rPr>
          </w:pPr>
        </w:p>
      </w:tc>
    </w:tr>
    <w:tr w:rsidR="00D727C0" w14:paraId="3B666811" w14:textId="77777777" w:rsidTr="00FC52FF">
      <w:tc>
        <w:tcPr>
          <w:tcW w:w="5000" w:type="pct"/>
          <w:gridSpan w:val="3"/>
        </w:tcPr>
        <w:p w14:paraId="50AA96C2" w14:textId="77777777" w:rsidR="00D727C0" w:rsidRDefault="00D727C0" w:rsidP="00FC52FF">
          <w:pPr>
            <w:jc w:val="right"/>
            <w:rPr>
              <w:sz w:val="18"/>
            </w:rPr>
          </w:pPr>
        </w:p>
      </w:tc>
    </w:tr>
  </w:tbl>
  <w:p w14:paraId="62B33AFA" w14:textId="77777777" w:rsidR="00D727C0" w:rsidRPr="00ED79B6" w:rsidRDefault="00D727C0" w:rsidP="00FC52F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311A" w14:textId="77777777" w:rsidR="00D727C0" w:rsidRPr="002B0EA5" w:rsidRDefault="00D727C0" w:rsidP="00FC52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727C0" w14:paraId="29CFA15C" w14:textId="77777777" w:rsidTr="00FC52FF">
      <w:tc>
        <w:tcPr>
          <w:tcW w:w="947" w:type="pct"/>
        </w:tcPr>
        <w:p w14:paraId="177E74C2" w14:textId="77777777" w:rsidR="00D727C0" w:rsidRDefault="00D727C0" w:rsidP="00FC52F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5206CC" w14:textId="3ADB31F6" w:rsidR="00D727C0" w:rsidRDefault="00D727C0" w:rsidP="00FC52F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A5168">
            <w:rPr>
              <w:i/>
              <w:noProof/>
              <w:sz w:val="18"/>
            </w:rPr>
            <w:t>Takeovers Panel Procedural Rules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DBB587" w14:textId="73B78C64" w:rsidR="00D727C0" w:rsidRDefault="00D727C0" w:rsidP="00FC52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51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27C0" w14:paraId="21B95FF7" w14:textId="77777777" w:rsidTr="00FC52FF">
      <w:tc>
        <w:tcPr>
          <w:tcW w:w="5000" w:type="pct"/>
          <w:gridSpan w:val="3"/>
        </w:tcPr>
        <w:p w14:paraId="1D6E0B6F" w14:textId="77777777" w:rsidR="00D727C0" w:rsidRDefault="00D727C0" w:rsidP="00FC52FF">
          <w:pPr>
            <w:rPr>
              <w:sz w:val="18"/>
            </w:rPr>
          </w:pPr>
        </w:p>
      </w:tc>
    </w:tr>
  </w:tbl>
  <w:p w14:paraId="5FA35AE0" w14:textId="77777777" w:rsidR="00D727C0" w:rsidRPr="00B17A30" w:rsidRDefault="00D727C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C28A" w14:textId="77777777" w:rsidR="00D727C0" w:rsidRDefault="00D727C0" w:rsidP="00715914">
      <w:pPr>
        <w:spacing w:line="240" w:lineRule="auto"/>
      </w:pPr>
      <w:r>
        <w:separator/>
      </w:r>
    </w:p>
    <w:p w14:paraId="7CEB039E" w14:textId="77777777" w:rsidR="00D727C0" w:rsidRDefault="00D727C0"/>
  </w:footnote>
  <w:footnote w:type="continuationSeparator" w:id="0">
    <w:p w14:paraId="3AA207F9" w14:textId="77777777" w:rsidR="00D727C0" w:rsidRDefault="00D727C0" w:rsidP="00715914">
      <w:pPr>
        <w:spacing w:line="240" w:lineRule="auto"/>
      </w:pPr>
      <w:r>
        <w:continuationSeparator/>
      </w:r>
    </w:p>
    <w:p w14:paraId="7518B1EC" w14:textId="77777777" w:rsidR="00D727C0" w:rsidRDefault="00D727C0"/>
  </w:footnote>
  <w:footnote w:type="continuationNotice" w:id="1">
    <w:p w14:paraId="6167648A" w14:textId="77777777" w:rsidR="00D727C0" w:rsidRDefault="00D727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5FAFF" w14:textId="52702373" w:rsidR="00D727C0" w:rsidRPr="005F1388" w:rsidRDefault="00D727C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A0CC" w14:textId="330CCF04" w:rsidR="00D727C0" w:rsidRPr="005F1388" w:rsidRDefault="00D727C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3207" w14:textId="5CC6D1EC" w:rsidR="00D727C0" w:rsidRPr="00C727AD" w:rsidRDefault="00D727C0" w:rsidP="00335AD7">
    <w:pPr>
      <w:pStyle w:val="Header"/>
      <w:jc w:val="center"/>
      <w:rPr>
        <w:b/>
        <w:color w:val="C00000"/>
        <w:sz w:val="20"/>
      </w:rPr>
    </w:pPr>
    <w:r w:rsidRPr="00C727AD">
      <w:rPr>
        <w:b/>
        <w:color w:val="C00000"/>
        <w:sz w:val="20"/>
      </w:rPr>
      <w:t xml:space="preserve"> </w:t>
    </w:r>
  </w:p>
  <w:p w14:paraId="251CA734" w14:textId="77777777" w:rsidR="00D727C0" w:rsidRDefault="00D727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0D78" w14:textId="66A1176D" w:rsidR="00D727C0" w:rsidRPr="00ED79B6" w:rsidRDefault="00D727C0" w:rsidP="00FC52F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E7DA" w14:textId="4D0CB12D" w:rsidR="00D727C0" w:rsidRPr="00ED79B6" w:rsidRDefault="00D727C0" w:rsidP="00CA3824">
    <w:pPr>
      <w:pBdr>
        <w:bottom w:val="single" w:sz="6" w:space="1" w:color="auto"/>
      </w:pBdr>
      <w:spacing w:before="108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2F1A5" w14:textId="0D6E96EF" w:rsidR="00D727C0" w:rsidRPr="00ED79B6" w:rsidRDefault="00D727C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FCBC1" w14:textId="44A5C849" w:rsidR="00D727C0" w:rsidRDefault="00D727C0" w:rsidP="00715914">
    <w:pPr>
      <w:rPr>
        <w:sz w:val="20"/>
      </w:rPr>
    </w:pPr>
  </w:p>
  <w:p w14:paraId="0538651D" w14:textId="77777777" w:rsidR="00D727C0" w:rsidRDefault="00D727C0" w:rsidP="00715914">
    <w:pPr>
      <w:rPr>
        <w:sz w:val="20"/>
      </w:rPr>
    </w:pPr>
  </w:p>
  <w:p w14:paraId="5F8BAD46" w14:textId="50E5B321" w:rsidR="00D727C0" w:rsidRPr="007A1328" w:rsidRDefault="00D727C0" w:rsidP="00715914">
    <w:pPr>
      <w:rPr>
        <w:sz w:val="20"/>
      </w:rPr>
    </w:pPr>
  </w:p>
  <w:p w14:paraId="0C8348EC" w14:textId="77777777" w:rsidR="00D727C0" w:rsidRPr="007A1328" w:rsidRDefault="00D727C0" w:rsidP="00715914">
    <w:pPr>
      <w:rPr>
        <w:b/>
        <w:sz w:val="24"/>
      </w:rPr>
    </w:pPr>
  </w:p>
  <w:p w14:paraId="23914E31" w14:textId="77777777" w:rsidR="00D727C0" w:rsidRPr="007A1328" w:rsidRDefault="00D727C0" w:rsidP="00D6537E">
    <w:pPr>
      <w:pBdr>
        <w:bottom w:val="single" w:sz="6" w:space="1" w:color="auto"/>
      </w:pBdr>
      <w:spacing w:after="120"/>
      <w:rPr>
        <w:sz w:val="24"/>
      </w:rPr>
    </w:pPr>
  </w:p>
  <w:p w14:paraId="18717A15" w14:textId="59FADF8C" w:rsidR="00D727C0" w:rsidRDefault="00D727C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F426E" w14:textId="270168C5" w:rsidR="00D727C0" w:rsidRPr="007A1328" w:rsidRDefault="00D727C0" w:rsidP="00715914">
    <w:pPr>
      <w:jc w:val="right"/>
      <w:rPr>
        <w:sz w:val="20"/>
      </w:rPr>
    </w:pPr>
  </w:p>
  <w:p w14:paraId="29944D1B" w14:textId="6B0B1FF6" w:rsidR="00D727C0" w:rsidRPr="007A1328" w:rsidRDefault="00D727C0" w:rsidP="00715914">
    <w:pPr>
      <w:jc w:val="right"/>
      <w:rPr>
        <w:sz w:val="20"/>
      </w:rPr>
    </w:pPr>
  </w:p>
  <w:p w14:paraId="395EC1CD" w14:textId="77777777" w:rsidR="00D727C0" w:rsidRPr="007A1328" w:rsidRDefault="00D727C0" w:rsidP="00715914">
    <w:pPr>
      <w:jc w:val="right"/>
      <w:rPr>
        <w:sz w:val="20"/>
      </w:rPr>
    </w:pPr>
  </w:p>
  <w:p w14:paraId="033DA9C5" w14:textId="77777777" w:rsidR="00D727C0" w:rsidRPr="007A1328" w:rsidRDefault="00D727C0" w:rsidP="00715914">
    <w:pPr>
      <w:jc w:val="right"/>
      <w:rPr>
        <w:b/>
        <w:sz w:val="24"/>
      </w:rPr>
    </w:pPr>
  </w:p>
  <w:p w14:paraId="6FA6AB4D" w14:textId="77777777" w:rsidR="00D727C0" w:rsidRPr="007A1328" w:rsidRDefault="00D727C0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6806A6C7" w14:textId="7B4C166C" w:rsidR="00D727C0" w:rsidRDefault="00D727C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E2341" w14:textId="7AF5D97F" w:rsidR="008C6DEC" w:rsidRDefault="008C6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9C0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784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49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402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D82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062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5855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E04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CC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B0D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B321F"/>
    <w:multiLevelType w:val="hybridMultilevel"/>
    <w:tmpl w:val="0EA2CE12"/>
    <w:lvl w:ilvl="0" w:tplc="F29008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75C32"/>
    <w:multiLevelType w:val="multilevel"/>
    <w:tmpl w:val="D9C624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E2A1DB2"/>
    <w:multiLevelType w:val="multilevel"/>
    <w:tmpl w:val="D9C624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A70A40"/>
    <w:multiLevelType w:val="multilevel"/>
    <w:tmpl w:val="59080C7E"/>
    <w:styleLink w:val="Style1"/>
    <w:lvl w:ilvl="0">
      <w:start w:val="1"/>
      <w:numFmt w:val="none"/>
      <w:lvlText w:val="%1(1)"/>
      <w:lvlJc w:val="left"/>
      <w:pPr>
        <w:tabs>
          <w:tab w:val="num" w:pos="851"/>
        </w:tabs>
        <w:ind w:left="520" w:firstLine="3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9B1A84"/>
    <w:multiLevelType w:val="multilevel"/>
    <w:tmpl w:val="D9C624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433238F"/>
    <w:multiLevelType w:val="multilevel"/>
    <w:tmpl w:val="3862565E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  <w:rPr>
        <w:rFonts w:hint="default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C668E9"/>
    <w:multiLevelType w:val="hybridMultilevel"/>
    <w:tmpl w:val="C212A452"/>
    <w:lvl w:ilvl="0" w:tplc="53461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F377D"/>
    <w:multiLevelType w:val="multilevel"/>
    <w:tmpl w:val="D97E4BEC"/>
    <w:lvl w:ilvl="0">
      <w:start w:val="1"/>
      <w:numFmt w:val="decimal"/>
      <w:pStyle w:val="Para1"/>
      <w:lvlText w:val="(%1)"/>
      <w:lvlJc w:val="left"/>
      <w:pPr>
        <w:tabs>
          <w:tab w:val="num" w:pos="1134"/>
        </w:tabs>
        <w:ind w:left="1134" w:hanging="39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Para2"/>
      <w:lvlText w:val="(%2)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Para3"/>
      <w:lvlText w:val="(%3)"/>
      <w:lvlJc w:val="left"/>
      <w:pPr>
        <w:tabs>
          <w:tab w:val="num" w:pos="2268"/>
        </w:tabs>
        <w:ind w:left="226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C2CC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DC5817"/>
    <w:multiLevelType w:val="multilevel"/>
    <w:tmpl w:val="D9C624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17D2577"/>
    <w:multiLevelType w:val="multilevel"/>
    <w:tmpl w:val="D9C624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92D0613"/>
    <w:multiLevelType w:val="multilevel"/>
    <w:tmpl w:val="CC2AF566"/>
    <w:lvl w:ilvl="0">
      <w:start w:val="1"/>
      <w:numFmt w:val="decimal"/>
      <w:pStyle w:val="RulesHeading1"/>
      <w:lvlText w:val="%1."/>
      <w:lvlJc w:val="left"/>
      <w:pPr>
        <w:ind w:left="737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lesHeading2"/>
      <w:lvlText w:val="%1.%2."/>
      <w:lvlJc w:val="left"/>
      <w:pPr>
        <w:ind w:left="737" w:hanging="737"/>
      </w:pPr>
      <w:rPr>
        <w:rFonts w:ascii="Book Antiqua" w:hAnsi="Book Antiqua" w:hint="default"/>
        <w:b/>
        <w:i w:val="0"/>
        <w:sz w:val="22"/>
        <w:szCs w:val="22"/>
      </w:rPr>
    </w:lvl>
    <w:lvl w:ilvl="2">
      <w:start w:val="1"/>
      <w:numFmt w:val="decimal"/>
      <w:pStyle w:val="RulesHeading3"/>
      <w:lvlText w:val="%1.%2.%3."/>
      <w:lvlJc w:val="left"/>
      <w:pPr>
        <w:ind w:left="1588" w:hanging="851"/>
      </w:pPr>
      <w:rPr>
        <w:rFonts w:ascii="Book Antiqua" w:hAnsi="Book Antiqua" w:hint="default"/>
        <w:sz w:val="22"/>
        <w:szCs w:val="22"/>
      </w:rPr>
    </w:lvl>
    <w:lvl w:ilvl="3">
      <w:start w:val="1"/>
      <w:numFmt w:val="lowerLetter"/>
      <w:pStyle w:val="RulesHeading4"/>
      <w:lvlText w:val="%4)"/>
      <w:lvlJc w:val="left"/>
      <w:pPr>
        <w:ind w:left="2155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4"/>
  </w:num>
  <w:num w:numId="5">
    <w:abstractNumId w:val="19"/>
  </w:num>
  <w:num w:numId="6">
    <w:abstractNumId w:val="20"/>
  </w:num>
  <w:num w:numId="7">
    <w:abstractNumId w:val="22"/>
  </w:num>
  <w:num w:numId="8">
    <w:abstractNumId w:val="16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1"/>
  </w:num>
  <w:num w:numId="32">
    <w:abstractNumId w:val="11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19"/>
  </w:num>
  <w:num w:numId="56">
    <w:abstractNumId w:val="19"/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</w:num>
  <w:num w:numId="61">
    <w:abstractNumId w:val="19"/>
  </w:num>
  <w:num w:numId="62">
    <w:abstractNumId w:val="19"/>
  </w:num>
  <w:num w:numId="63">
    <w:abstractNumId w:val="19"/>
  </w:num>
  <w:num w:numId="64">
    <w:abstractNumId w:val="19"/>
  </w:num>
  <w:num w:numId="65">
    <w:abstractNumId w:val="19"/>
  </w:num>
  <w:num w:numId="66">
    <w:abstractNumId w:val="19"/>
  </w:num>
  <w:num w:numId="67">
    <w:abstractNumId w:val="19"/>
  </w:num>
  <w:num w:numId="68">
    <w:abstractNumId w:val="19"/>
  </w:num>
  <w:num w:numId="69">
    <w:abstractNumId w:val="19"/>
  </w:num>
  <w:num w:numId="70">
    <w:abstractNumId w:val="19"/>
  </w:num>
  <w:num w:numId="71">
    <w:abstractNumId w:val="19"/>
  </w:num>
  <w:num w:numId="72">
    <w:abstractNumId w:val="19"/>
  </w:num>
  <w:num w:numId="73">
    <w:abstractNumId w:val="18"/>
  </w:num>
  <w:num w:numId="74">
    <w:abstractNumId w:val="19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9"/>
  </w:num>
  <w:num w:numId="85">
    <w:abstractNumId w:val="1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0A80"/>
    <w:rsid w:val="0000269D"/>
    <w:rsid w:val="00004174"/>
    <w:rsid w:val="00004470"/>
    <w:rsid w:val="00006949"/>
    <w:rsid w:val="000120D8"/>
    <w:rsid w:val="000136AF"/>
    <w:rsid w:val="00016897"/>
    <w:rsid w:val="0002349D"/>
    <w:rsid w:val="000258B1"/>
    <w:rsid w:val="00031699"/>
    <w:rsid w:val="00034F59"/>
    <w:rsid w:val="00040A89"/>
    <w:rsid w:val="000437C1"/>
    <w:rsid w:val="0004455A"/>
    <w:rsid w:val="000473DC"/>
    <w:rsid w:val="0005365D"/>
    <w:rsid w:val="00053A4D"/>
    <w:rsid w:val="00061180"/>
    <w:rsid w:val="000614BF"/>
    <w:rsid w:val="00065994"/>
    <w:rsid w:val="0006709C"/>
    <w:rsid w:val="000675CF"/>
    <w:rsid w:val="00074376"/>
    <w:rsid w:val="00081DA3"/>
    <w:rsid w:val="00082A55"/>
    <w:rsid w:val="0008548B"/>
    <w:rsid w:val="00085D32"/>
    <w:rsid w:val="00087425"/>
    <w:rsid w:val="000906EF"/>
    <w:rsid w:val="000908BC"/>
    <w:rsid w:val="00095B40"/>
    <w:rsid w:val="000978F5"/>
    <w:rsid w:val="000A09FF"/>
    <w:rsid w:val="000A266F"/>
    <w:rsid w:val="000A4F8D"/>
    <w:rsid w:val="000A641E"/>
    <w:rsid w:val="000B15CD"/>
    <w:rsid w:val="000B2582"/>
    <w:rsid w:val="000B2FCE"/>
    <w:rsid w:val="000B35EB"/>
    <w:rsid w:val="000B475C"/>
    <w:rsid w:val="000B48FB"/>
    <w:rsid w:val="000B663A"/>
    <w:rsid w:val="000B6764"/>
    <w:rsid w:val="000C096C"/>
    <w:rsid w:val="000C3537"/>
    <w:rsid w:val="000C5654"/>
    <w:rsid w:val="000D05EF"/>
    <w:rsid w:val="000D6AA2"/>
    <w:rsid w:val="000D7EFF"/>
    <w:rsid w:val="000E13A5"/>
    <w:rsid w:val="000E1896"/>
    <w:rsid w:val="000E2261"/>
    <w:rsid w:val="000E25D8"/>
    <w:rsid w:val="000E5DA5"/>
    <w:rsid w:val="000E63F9"/>
    <w:rsid w:val="000E78B7"/>
    <w:rsid w:val="000E7EC5"/>
    <w:rsid w:val="000F14AE"/>
    <w:rsid w:val="000F21C1"/>
    <w:rsid w:val="000F312D"/>
    <w:rsid w:val="000F4C5E"/>
    <w:rsid w:val="000F761D"/>
    <w:rsid w:val="000F7675"/>
    <w:rsid w:val="001018BD"/>
    <w:rsid w:val="00102AE8"/>
    <w:rsid w:val="00105384"/>
    <w:rsid w:val="00105D48"/>
    <w:rsid w:val="001068EA"/>
    <w:rsid w:val="0010745C"/>
    <w:rsid w:val="0011445B"/>
    <w:rsid w:val="001242F5"/>
    <w:rsid w:val="00132CEB"/>
    <w:rsid w:val="001339B0"/>
    <w:rsid w:val="00135092"/>
    <w:rsid w:val="00135AB2"/>
    <w:rsid w:val="00141E74"/>
    <w:rsid w:val="00142B62"/>
    <w:rsid w:val="00142DFC"/>
    <w:rsid w:val="001441B7"/>
    <w:rsid w:val="00145DB8"/>
    <w:rsid w:val="001505A6"/>
    <w:rsid w:val="001516CB"/>
    <w:rsid w:val="00152336"/>
    <w:rsid w:val="001537AC"/>
    <w:rsid w:val="001567DE"/>
    <w:rsid w:val="00156F6C"/>
    <w:rsid w:val="00157812"/>
    <w:rsid w:val="00157B8B"/>
    <w:rsid w:val="0016536E"/>
    <w:rsid w:val="00166C2F"/>
    <w:rsid w:val="00167AAD"/>
    <w:rsid w:val="00171A21"/>
    <w:rsid w:val="0017303A"/>
    <w:rsid w:val="0017408E"/>
    <w:rsid w:val="00174DC5"/>
    <w:rsid w:val="00175796"/>
    <w:rsid w:val="00176A0C"/>
    <w:rsid w:val="001809D7"/>
    <w:rsid w:val="00181D3C"/>
    <w:rsid w:val="00182389"/>
    <w:rsid w:val="0018566C"/>
    <w:rsid w:val="00186A0B"/>
    <w:rsid w:val="00191F32"/>
    <w:rsid w:val="00192257"/>
    <w:rsid w:val="001939E1"/>
    <w:rsid w:val="00194C3E"/>
    <w:rsid w:val="00195382"/>
    <w:rsid w:val="00195FFA"/>
    <w:rsid w:val="00197A84"/>
    <w:rsid w:val="001A21FD"/>
    <w:rsid w:val="001A2412"/>
    <w:rsid w:val="001A39AC"/>
    <w:rsid w:val="001A40F1"/>
    <w:rsid w:val="001A4EAF"/>
    <w:rsid w:val="001A70CE"/>
    <w:rsid w:val="001B0DC6"/>
    <w:rsid w:val="001B2CB6"/>
    <w:rsid w:val="001B440D"/>
    <w:rsid w:val="001C4EC7"/>
    <w:rsid w:val="001C61C5"/>
    <w:rsid w:val="001C69C4"/>
    <w:rsid w:val="001D2371"/>
    <w:rsid w:val="001D37EF"/>
    <w:rsid w:val="001D5EC2"/>
    <w:rsid w:val="001E3590"/>
    <w:rsid w:val="001E6A32"/>
    <w:rsid w:val="001E7312"/>
    <w:rsid w:val="001E7407"/>
    <w:rsid w:val="001F3D0F"/>
    <w:rsid w:val="001F5D5E"/>
    <w:rsid w:val="001F6219"/>
    <w:rsid w:val="001F6956"/>
    <w:rsid w:val="001F6CD4"/>
    <w:rsid w:val="001F79B2"/>
    <w:rsid w:val="00206C4D"/>
    <w:rsid w:val="002105CF"/>
    <w:rsid w:val="002121C5"/>
    <w:rsid w:val="00215AF1"/>
    <w:rsid w:val="00217FD4"/>
    <w:rsid w:val="00223469"/>
    <w:rsid w:val="002250EC"/>
    <w:rsid w:val="0023128B"/>
    <w:rsid w:val="00231D56"/>
    <w:rsid w:val="002321E8"/>
    <w:rsid w:val="00232984"/>
    <w:rsid w:val="002346EC"/>
    <w:rsid w:val="002379E9"/>
    <w:rsid w:val="0024010F"/>
    <w:rsid w:val="00240749"/>
    <w:rsid w:val="00243018"/>
    <w:rsid w:val="002455C1"/>
    <w:rsid w:val="00246066"/>
    <w:rsid w:val="00251684"/>
    <w:rsid w:val="00251C12"/>
    <w:rsid w:val="002564A4"/>
    <w:rsid w:val="00257C3E"/>
    <w:rsid w:val="00261BFE"/>
    <w:rsid w:val="00266CE6"/>
    <w:rsid w:val="0026736C"/>
    <w:rsid w:val="002673C0"/>
    <w:rsid w:val="002711AF"/>
    <w:rsid w:val="002716D5"/>
    <w:rsid w:val="0027705B"/>
    <w:rsid w:val="002778C5"/>
    <w:rsid w:val="00281308"/>
    <w:rsid w:val="002814CF"/>
    <w:rsid w:val="00284719"/>
    <w:rsid w:val="00297ECB"/>
    <w:rsid w:val="002A0726"/>
    <w:rsid w:val="002A074E"/>
    <w:rsid w:val="002A0D99"/>
    <w:rsid w:val="002A1A87"/>
    <w:rsid w:val="002A4509"/>
    <w:rsid w:val="002A7A6F"/>
    <w:rsid w:val="002A7BCF"/>
    <w:rsid w:val="002A7F98"/>
    <w:rsid w:val="002B25AA"/>
    <w:rsid w:val="002B31EA"/>
    <w:rsid w:val="002C24F0"/>
    <w:rsid w:val="002C2846"/>
    <w:rsid w:val="002C35D9"/>
    <w:rsid w:val="002C3FD1"/>
    <w:rsid w:val="002C7CD8"/>
    <w:rsid w:val="002D043A"/>
    <w:rsid w:val="002D1492"/>
    <w:rsid w:val="002D1E70"/>
    <w:rsid w:val="002D266B"/>
    <w:rsid w:val="002D3DAD"/>
    <w:rsid w:val="002D6224"/>
    <w:rsid w:val="002E16AE"/>
    <w:rsid w:val="002E783E"/>
    <w:rsid w:val="003004E8"/>
    <w:rsid w:val="00300BB3"/>
    <w:rsid w:val="00304F8B"/>
    <w:rsid w:val="0030658B"/>
    <w:rsid w:val="003066A5"/>
    <w:rsid w:val="003125FC"/>
    <w:rsid w:val="0031578F"/>
    <w:rsid w:val="003178F0"/>
    <w:rsid w:val="00321293"/>
    <w:rsid w:val="003224D9"/>
    <w:rsid w:val="0032529A"/>
    <w:rsid w:val="00327F31"/>
    <w:rsid w:val="0033154C"/>
    <w:rsid w:val="00332FEE"/>
    <w:rsid w:val="003341AD"/>
    <w:rsid w:val="003343BF"/>
    <w:rsid w:val="00335960"/>
    <w:rsid w:val="00335AD7"/>
    <w:rsid w:val="00335BC6"/>
    <w:rsid w:val="003415D3"/>
    <w:rsid w:val="00344338"/>
    <w:rsid w:val="00344701"/>
    <w:rsid w:val="00345F10"/>
    <w:rsid w:val="00352B0F"/>
    <w:rsid w:val="0035303E"/>
    <w:rsid w:val="0035651D"/>
    <w:rsid w:val="00360459"/>
    <w:rsid w:val="003629B3"/>
    <w:rsid w:val="003650BF"/>
    <w:rsid w:val="003650F5"/>
    <w:rsid w:val="00366469"/>
    <w:rsid w:val="00375239"/>
    <w:rsid w:val="003767E2"/>
    <w:rsid w:val="00376FFE"/>
    <w:rsid w:val="0038049F"/>
    <w:rsid w:val="003813AC"/>
    <w:rsid w:val="00391421"/>
    <w:rsid w:val="00392DD7"/>
    <w:rsid w:val="00394375"/>
    <w:rsid w:val="0039565E"/>
    <w:rsid w:val="00396BCA"/>
    <w:rsid w:val="0039728A"/>
    <w:rsid w:val="00397308"/>
    <w:rsid w:val="003B1447"/>
    <w:rsid w:val="003B2B3E"/>
    <w:rsid w:val="003B31CF"/>
    <w:rsid w:val="003B404F"/>
    <w:rsid w:val="003B42C9"/>
    <w:rsid w:val="003C35EB"/>
    <w:rsid w:val="003C3DBA"/>
    <w:rsid w:val="003C6231"/>
    <w:rsid w:val="003D06DE"/>
    <w:rsid w:val="003D0BFE"/>
    <w:rsid w:val="003D1269"/>
    <w:rsid w:val="003D2D7F"/>
    <w:rsid w:val="003D3E22"/>
    <w:rsid w:val="003D5700"/>
    <w:rsid w:val="003D7996"/>
    <w:rsid w:val="003E341B"/>
    <w:rsid w:val="003E39B9"/>
    <w:rsid w:val="003E4D00"/>
    <w:rsid w:val="003E68BB"/>
    <w:rsid w:val="003E77E5"/>
    <w:rsid w:val="003F1BAA"/>
    <w:rsid w:val="003F1BC4"/>
    <w:rsid w:val="003F2D41"/>
    <w:rsid w:val="003F351D"/>
    <w:rsid w:val="003F39DF"/>
    <w:rsid w:val="003F4EE6"/>
    <w:rsid w:val="00406794"/>
    <w:rsid w:val="00406988"/>
    <w:rsid w:val="004116CD"/>
    <w:rsid w:val="00413C81"/>
    <w:rsid w:val="004141D0"/>
    <w:rsid w:val="00416F93"/>
    <w:rsid w:val="00417EB9"/>
    <w:rsid w:val="00424573"/>
    <w:rsid w:val="004246A9"/>
    <w:rsid w:val="00424928"/>
    <w:rsid w:val="00424CA9"/>
    <w:rsid w:val="00427517"/>
    <w:rsid w:val="00427650"/>
    <w:rsid w:val="004276DF"/>
    <w:rsid w:val="00431844"/>
    <w:rsid w:val="00431E9B"/>
    <w:rsid w:val="00432DC8"/>
    <w:rsid w:val="004358A3"/>
    <w:rsid w:val="004379E3"/>
    <w:rsid w:val="0044015E"/>
    <w:rsid w:val="00441DD9"/>
    <w:rsid w:val="0044291A"/>
    <w:rsid w:val="00444721"/>
    <w:rsid w:val="00451028"/>
    <w:rsid w:val="00451248"/>
    <w:rsid w:val="00453DBC"/>
    <w:rsid w:val="0045549A"/>
    <w:rsid w:val="0045622C"/>
    <w:rsid w:val="004565B0"/>
    <w:rsid w:val="00456BD9"/>
    <w:rsid w:val="00460E89"/>
    <w:rsid w:val="00462178"/>
    <w:rsid w:val="00464DB2"/>
    <w:rsid w:val="00465F60"/>
    <w:rsid w:val="00467661"/>
    <w:rsid w:val="004708EB"/>
    <w:rsid w:val="00472DBE"/>
    <w:rsid w:val="00474A19"/>
    <w:rsid w:val="00475B85"/>
    <w:rsid w:val="00476DD5"/>
    <w:rsid w:val="00477830"/>
    <w:rsid w:val="004818F3"/>
    <w:rsid w:val="00484BE3"/>
    <w:rsid w:val="00487104"/>
    <w:rsid w:val="00487764"/>
    <w:rsid w:val="00495765"/>
    <w:rsid w:val="00496F97"/>
    <w:rsid w:val="0049736E"/>
    <w:rsid w:val="004A10FC"/>
    <w:rsid w:val="004A2392"/>
    <w:rsid w:val="004A499F"/>
    <w:rsid w:val="004A5168"/>
    <w:rsid w:val="004A5894"/>
    <w:rsid w:val="004A5AD8"/>
    <w:rsid w:val="004B0A83"/>
    <w:rsid w:val="004B6C48"/>
    <w:rsid w:val="004C4E59"/>
    <w:rsid w:val="004C501D"/>
    <w:rsid w:val="004C6809"/>
    <w:rsid w:val="004D0AD3"/>
    <w:rsid w:val="004D178E"/>
    <w:rsid w:val="004D1EB2"/>
    <w:rsid w:val="004D76C2"/>
    <w:rsid w:val="004E063A"/>
    <w:rsid w:val="004E1307"/>
    <w:rsid w:val="004E2AE0"/>
    <w:rsid w:val="004E423F"/>
    <w:rsid w:val="004E5ADA"/>
    <w:rsid w:val="004E7BEC"/>
    <w:rsid w:val="004F004F"/>
    <w:rsid w:val="004F1622"/>
    <w:rsid w:val="004F55D2"/>
    <w:rsid w:val="004F5CCC"/>
    <w:rsid w:val="00500CF2"/>
    <w:rsid w:val="00504334"/>
    <w:rsid w:val="0050518A"/>
    <w:rsid w:val="00505D3D"/>
    <w:rsid w:val="00506AF6"/>
    <w:rsid w:val="00510E08"/>
    <w:rsid w:val="0051572A"/>
    <w:rsid w:val="005158C8"/>
    <w:rsid w:val="00516B8D"/>
    <w:rsid w:val="005209AA"/>
    <w:rsid w:val="00525CC2"/>
    <w:rsid w:val="0052647E"/>
    <w:rsid w:val="005303C8"/>
    <w:rsid w:val="0053066C"/>
    <w:rsid w:val="005351AF"/>
    <w:rsid w:val="00536348"/>
    <w:rsid w:val="00536426"/>
    <w:rsid w:val="00537FBC"/>
    <w:rsid w:val="005417B7"/>
    <w:rsid w:val="00542CD1"/>
    <w:rsid w:val="00543FD2"/>
    <w:rsid w:val="00545427"/>
    <w:rsid w:val="005458CF"/>
    <w:rsid w:val="00545B72"/>
    <w:rsid w:val="00546462"/>
    <w:rsid w:val="005478FA"/>
    <w:rsid w:val="005505D6"/>
    <w:rsid w:val="0055068B"/>
    <w:rsid w:val="0055175C"/>
    <w:rsid w:val="00552133"/>
    <w:rsid w:val="0055214B"/>
    <w:rsid w:val="00554826"/>
    <w:rsid w:val="0055547B"/>
    <w:rsid w:val="00557302"/>
    <w:rsid w:val="00562877"/>
    <w:rsid w:val="00564301"/>
    <w:rsid w:val="00566C4D"/>
    <w:rsid w:val="005711ED"/>
    <w:rsid w:val="005725A8"/>
    <w:rsid w:val="00574BDF"/>
    <w:rsid w:val="0058210E"/>
    <w:rsid w:val="00583BA5"/>
    <w:rsid w:val="00584811"/>
    <w:rsid w:val="00584B71"/>
    <w:rsid w:val="00585784"/>
    <w:rsid w:val="00590F37"/>
    <w:rsid w:val="005923AE"/>
    <w:rsid w:val="005923E9"/>
    <w:rsid w:val="00592542"/>
    <w:rsid w:val="00593AA6"/>
    <w:rsid w:val="00593CEC"/>
    <w:rsid w:val="00594161"/>
    <w:rsid w:val="00594749"/>
    <w:rsid w:val="0059555E"/>
    <w:rsid w:val="005A1A1E"/>
    <w:rsid w:val="005A1D32"/>
    <w:rsid w:val="005A2E86"/>
    <w:rsid w:val="005A586A"/>
    <w:rsid w:val="005A6178"/>
    <w:rsid w:val="005A65D5"/>
    <w:rsid w:val="005B26CA"/>
    <w:rsid w:val="005B2C86"/>
    <w:rsid w:val="005B4067"/>
    <w:rsid w:val="005B7F74"/>
    <w:rsid w:val="005C01E8"/>
    <w:rsid w:val="005C14F8"/>
    <w:rsid w:val="005C1B0C"/>
    <w:rsid w:val="005C3F41"/>
    <w:rsid w:val="005C6838"/>
    <w:rsid w:val="005C6FE9"/>
    <w:rsid w:val="005C7AEE"/>
    <w:rsid w:val="005D0B31"/>
    <w:rsid w:val="005D1D92"/>
    <w:rsid w:val="005D29EF"/>
    <w:rsid w:val="005D2D09"/>
    <w:rsid w:val="005D727D"/>
    <w:rsid w:val="005E6C7D"/>
    <w:rsid w:val="005F4055"/>
    <w:rsid w:val="00600219"/>
    <w:rsid w:val="0060046C"/>
    <w:rsid w:val="0060046F"/>
    <w:rsid w:val="00604463"/>
    <w:rsid w:val="00604F2A"/>
    <w:rsid w:val="00606228"/>
    <w:rsid w:val="00612057"/>
    <w:rsid w:val="00613602"/>
    <w:rsid w:val="00615FC7"/>
    <w:rsid w:val="006169A0"/>
    <w:rsid w:val="00620076"/>
    <w:rsid w:val="006227E9"/>
    <w:rsid w:val="00624F26"/>
    <w:rsid w:val="0062633D"/>
    <w:rsid w:val="00627E0A"/>
    <w:rsid w:val="0063142D"/>
    <w:rsid w:val="00640171"/>
    <w:rsid w:val="0064053C"/>
    <w:rsid w:val="006418DE"/>
    <w:rsid w:val="00646742"/>
    <w:rsid w:val="00646FD5"/>
    <w:rsid w:val="00651F30"/>
    <w:rsid w:val="0065413F"/>
    <w:rsid w:val="0065488B"/>
    <w:rsid w:val="00655FB4"/>
    <w:rsid w:val="00661FF5"/>
    <w:rsid w:val="006658FE"/>
    <w:rsid w:val="00665F7B"/>
    <w:rsid w:val="006662C0"/>
    <w:rsid w:val="00670EA1"/>
    <w:rsid w:val="00677CC2"/>
    <w:rsid w:val="00682D0F"/>
    <w:rsid w:val="0068744B"/>
    <w:rsid w:val="006905DE"/>
    <w:rsid w:val="0069207B"/>
    <w:rsid w:val="006922E2"/>
    <w:rsid w:val="00692E53"/>
    <w:rsid w:val="006A0EE7"/>
    <w:rsid w:val="006A154F"/>
    <w:rsid w:val="006A1734"/>
    <w:rsid w:val="006A437B"/>
    <w:rsid w:val="006B039D"/>
    <w:rsid w:val="006B5789"/>
    <w:rsid w:val="006C30C5"/>
    <w:rsid w:val="006C5EEF"/>
    <w:rsid w:val="006C6040"/>
    <w:rsid w:val="006C66E8"/>
    <w:rsid w:val="006C6DD7"/>
    <w:rsid w:val="006C7598"/>
    <w:rsid w:val="006C7F8C"/>
    <w:rsid w:val="006D0A82"/>
    <w:rsid w:val="006D6990"/>
    <w:rsid w:val="006E1BB6"/>
    <w:rsid w:val="006E2E1C"/>
    <w:rsid w:val="006E416D"/>
    <w:rsid w:val="006E6246"/>
    <w:rsid w:val="006E63A8"/>
    <w:rsid w:val="006E69C2"/>
    <w:rsid w:val="006E6DCC"/>
    <w:rsid w:val="006E797E"/>
    <w:rsid w:val="006E7D63"/>
    <w:rsid w:val="006F318F"/>
    <w:rsid w:val="006F3A2D"/>
    <w:rsid w:val="006F3E29"/>
    <w:rsid w:val="0070017E"/>
    <w:rsid w:val="00700B2C"/>
    <w:rsid w:val="0070379F"/>
    <w:rsid w:val="007050A2"/>
    <w:rsid w:val="00706D88"/>
    <w:rsid w:val="00707B91"/>
    <w:rsid w:val="007100CE"/>
    <w:rsid w:val="0071263D"/>
    <w:rsid w:val="00713084"/>
    <w:rsid w:val="00714F20"/>
    <w:rsid w:val="0071590F"/>
    <w:rsid w:val="00715914"/>
    <w:rsid w:val="0071617D"/>
    <w:rsid w:val="007175E2"/>
    <w:rsid w:val="00717B0B"/>
    <w:rsid w:val="00720904"/>
    <w:rsid w:val="0072147A"/>
    <w:rsid w:val="00721D32"/>
    <w:rsid w:val="00723791"/>
    <w:rsid w:val="00723E11"/>
    <w:rsid w:val="00731E00"/>
    <w:rsid w:val="00734156"/>
    <w:rsid w:val="00735528"/>
    <w:rsid w:val="0073747A"/>
    <w:rsid w:val="007440B7"/>
    <w:rsid w:val="00744E7A"/>
    <w:rsid w:val="007455E3"/>
    <w:rsid w:val="00747351"/>
    <w:rsid w:val="007500C8"/>
    <w:rsid w:val="007549C3"/>
    <w:rsid w:val="00754D9A"/>
    <w:rsid w:val="00755701"/>
    <w:rsid w:val="00756272"/>
    <w:rsid w:val="00757BD2"/>
    <w:rsid w:val="007614A2"/>
    <w:rsid w:val="00761BC3"/>
    <w:rsid w:val="00762969"/>
    <w:rsid w:val="00762D38"/>
    <w:rsid w:val="00764C31"/>
    <w:rsid w:val="00766C92"/>
    <w:rsid w:val="007715C9"/>
    <w:rsid w:val="00771613"/>
    <w:rsid w:val="00774A43"/>
    <w:rsid w:val="00774EDD"/>
    <w:rsid w:val="007757EC"/>
    <w:rsid w:val="00776335"/>
    <w:rsid w:val="00781836"/>
    <w:rsid w:val="00781ED0"/>
    <w:rsid w:val="007837D9"/>
    <w:rsid w:val="00783E89"/>
    <w:rsid w:val="00785D7C"/>
    <w:rsid w:val="00786CF5"/>
    <w:rsid w:val="00792C26"/>
    <w:rsid w:val="00793915"/>
    <w:rsid w:val="00794301"/>
    <w:rsid w:val="00794DA2"/>
    <w:rsid w:val="00796192"/>
    <w:rsid w:val="007A2FCD"/>
    <w:rsid w:val="007A600D"/>
    <w:rsid w:val="007A7EC9"/>
    <w:rsid w:val="007B1196"/>
    <w:rsid w:val="007B40F0"/>
    <w:rsid w:val="007B71A6"/>
    <w:rsid w:val="007C2253"/>
    <w:rsid w:val="007C5380"/>
    <w:rsid w:val="007D357E"/>
    <w:rsid w:val="007D3C0C"/>
    <w:rsid w:val="007D6C6C"/>
    <w:rsid w:val="007D7911"/>
    <w:rsid w:val="007E163D"/>
    <w:rsid w:val="007E1E0E"/>
    <w:rsid w:val="007E2701"/>
    <w:rsid w:val="007E484A"/>
    <w:rsid w:val="007E667A"/>
    <w:rsid w:val="007E7E13"/>
    <w:rsid w:val="007F28C9"/>
    <w:rsid w:val="007F31F5"/>
    <w:rsid w:val="007F4ABD"/>
    <w:rsid w:val="007F4E03"/>
    <w:rsid w:val="007F51B2"/>
    <w:rsid w:val="008040DD"/>
    <w:rsid w:val="008048C3"/>
    <w:rsid w:val="00805ED1"/>
    <w:rsid w:val="0080655E"/>
    <w:rsid w:val="008100FC"/>
    <w:rsid w:val="008117E9"/>
    <w:rsid w:val="008119EF"/>
    <w:rsid w:val="00812450"/>
    <w:rsid w:val="00812CA7"/>
    <w:rsid w:val="00813A79"/>
    <w:rsid w:val="008145D4"/>
    <w:rsid w:val="0081769D"/>
    <w:rsid w:val="00817B8D"/>
    <w:rsid w:val="008220B6"/>
    <w:rsid w:val="00822994"/>
    <w:rsid w:val="00822F3E"/>
    <w:rsid w:val="00823309"/>
    <w:rsid w:val="00824498"/>
    <w:rsid w:val="00825DB1"/>
    <w:rsid w:val="00826480"/>
    <w:rsid w:val="00826BD1"/>
    <w:rsid w:val="008305A8"/>
    <w:rsid w:val="00836648"/>
    <w:rsid w:val="008420B1"/>
    <w:rsid w:val="008421D7"/>
    <w:rsid w:val="008440A7"/>
    <w:rsid w:val="0084429E"/>
    <w:rsid w:val="008461C3"/>
    <w:rsid w:val="00847F3F"/>
    <w:rsid w:val="00854399"/>
    <w:rsid w:val="0085475B"/>
    <w:rsid w:val="00854D0B"/>
    <w:rsid w:val="00856A31"/>
    <w:rsid w:val="00860B4E"/>
    <w:rsid w:val="0086150E"/>
    <w:rsid w:val="0086381F"/>
    <w:rsid w:val="00864A3E"/>
    <w:rsid w:val="00867B37"/>
    <w:rsid w:val="008754D0"/>
    <w:rsid w:val="00875D13"/>
    <w:rsid w:val="00876149"/>
    <w:rsid w:val="00877316"/>
    <w:rsid w:val="00880210"/>
    <w:rsid w:val="008805BA"/>
    <w:rsid w:val="008831C4"/>
    <w:rsid w:val="008837EB"/>
    <w:rsid w:val="00883C54"/>
    <w:rsid w:val="008855C9"/>
    <w:rsid w:val="00886456"/>
    <w:rsid w:val="00890AD1"/>
    <w:rsid w:val="00895364"/>
    <w:rsid w:val="00895E80"/>
    <w:rsid w:val="00896176"/>
    <w:rsid w:val="008A42A3"/>
    <w:rsid w:val="008A46E1"/>
    <w:rsid w:val="008A4F43"/>
    <w:rsid w:val="008B1EBE"/>
    <w:rsid w:val="008B2706"/>
    <w:rsid w:val="008B4D77"/>
    <w:rsid w:val="008B5137"/>
    <w:rsid w:val="008C074A"/>
    <w:rsid w:val="008C09EE"/>
    <w:rsid w:val="008C0ECD"/>
    <w:rsid w:val="008C2CD2"/>
    <w:rsid w:val="008C2EAC"/>
    <w:rsid w:val="008C4384"/>
    <w:rsid w:val="008C6DEC"/>
    <w:rsid w:val="008D0C19"/>
    <w:rsid w:val="008D0EE0"/>
    <w:rsid w:val="008D2F2A"/>
    <w:rsid w:val="008D300F"/>
    <w:rsid w:val="008D3160"/>
    <w:rsid w:val="008D365E"/>
    <w:rsid w:val="008D3DEE"/>
    <w:rsid w:val="008D505C"/>
    <w:rsid w:val="008E0027"/>
    <w:rsid w:val="008E0D91"/>
    <w:rsid w:val="008E17C6"/>
    <w:rsid w:val="008E1857"/>
    <w:rsid w:val="008E2CC0"/>
    <w:rsid w:val="008E4F1D"/>
    <w:rsid w:val="008E6067"/>
    <w:rsid w:val="008F1ABF"/>
    <w:rsid w:val="008F255A"/>
    <w:rsid w:val="008F54E7"/>
    <w:rsid w:val="009001F4"/>
    <w:rsid w:val="009012A5"/>
    <w:rsid w:val="00901FBA"/>
    <w:rsid w:val="0090321B"/>
    <w:rsid w:val="00903422"/>
    <w:rsid w:val="00905624"/>
    <w:rsid w:val="00911D04"/>
    <w:rsid w:val="009131B9"/>
    <w:rsid w:val="00914F3D"/>
    <w:rsid w:val="00916C8B"/>
    <w:rsid w:val="0092110C"/>
    <w:rsid w:val="00921F66"/>
    <w:rsid w:val="00923483"/>
    <w:rsid w:val="00923F9E"/>
    <w:rsid w:val="009254C3"/>
    <w:rsid w:val="00932377"/>
    <w:rsid w:val="00934718"/>
    <w:rsid w:val="0094022E"/>
    <w:rsid w:val="009402C0"/>
    <w:rsid w:val="00941236"/>
    <w:rsid w:val="00941BAB"/>
    <w:rsid w:val="00943FD5"/>
    <w:rsid w:val="009451AA"/>
    <w:rsid w:val="009455A6"/>
    <w:rsid w:val="009460EC"/>
    <w:rsid w:val="00946409"/>
    <w:rsid w:val="00946B66"/>
    <w:rsid w:val="00946D4F"/>
    <w:rsid w:val="00947D5A"/>
    <w:rsid w:val="009532A5"/>
    <w:rsid w:val="009545BD"/>
    <w:rsid w:val="009546EF"/>
    <w:rsid w:val="00960613"/>
    <w:rsid w:val="00961383"/>
    <w:rsid w:val="009649D0"/>
    <w:rsid w:val="00964CF0"/>
    <w:rsid w:val="00966B66"/>
    <w:rsid w:val="00974244"/>
    <w:rsid w:val="00977806"/>
    <w:rsid w:val="00982242"/>
    <w:rsid w:val="00984D7F"/>
    <w:rsid w:val="009868E9"/>
    <w:rsid w:val="009900A3"/>
    <w:rsid w:val="00990D97"/>
    <w:rsid w:val="00990FDD"/>
    <w:rsid w:val="00995B2D"/>
    <w:rsid w:val="00995CB3"/>
    <w:rsid w:val="0099646D"/>
    <w:rsid w:val="009A2138"/>
    <w:rsid w:val="009A29B0"/>
    <w:rsid w:val="009A390B"/>
    <w:rsid w:val="009A3E89"/>
    <w:rsid w:val="009B30CB"/>
    <w:rsid w:val="009B4B9D"/>
    <w:rsid w:val="009B530D"/>
    <w:rsid w:val="009C2FDB"/>
    <w:rsid w:val="009C3413"/>
    <w:rsid w:val="009C3B3A"/>
    <w:rsid w:val="009D0780"/>
    <w:rsid w:val="009D07D0"/>
    <w:rsid w:val="009D1630"/>
    <w:rsid w:val="009D2405"/>
    <w:rsid w:val="009D2B78"/>
    <w:rsid w:val="009F48F4"/>
    <w:rsid w:val="009F4D18"/>
    <w:rsid w:val="00A01029"/>
    <w:rsid w:val="00A01FFE"/>
    <w:rsid w:val="00A0441E"/>
    <w:rsid w:val="00A05079"/>
    <w:rsid w:val="00A0525E"/>
    <w:rsid w:val="00A10AE7"/>
    <w:rsid w:val="00A12128"/>
    <w:rsid w:val="00A17A48"/>
    <w:rsid w:val="00A223CE"/>
    <w:rsid w:val="00A22C98"/>
    <w:rsid w:val="00A231E2"/>
    <w:rsid w:val="00A23A68"/>
    <w:rsid w:val="00A26F6B"/>
    <w:rsid w:val="00A342EA"/>
    <w:rsid w:val="00A345BD"/>
    <w:rsid w:val="00A369E3"/>
    <w:rsid w:val="00A36A9C"/>
    <w:rsid w:val="00A36B8B"/>
    <w:rsid w:val="00A46BD9"/>
    <w:rsid w:val="00A4786C"/>
    <w:rsid w:val="00A5407C"/>
    <w:rsid w:val="00A5742C"/>
    <w:rsid w:val="00A57600"/>
    <w:rsid w:val="00A57CAF"/>
    <w:rsid w:val="00A60FBD"/>
    <w:rsid w:val="00A617F1"/>
    <w:rsid w:val="00A63D4A"/>
    <w:rsid w:val="00A64912"/>
    <w:rsid w:val="00A65446"/>
    <w:rsid w:val="00A67FA1"/>
    <w:rsid w:val="00A70A74"/>
    <w:rsid w:val="00A75C75"/>
    <w:rsid w:val="00A75FE9"/>
    <w:rsid w:val="00A773BC"/>
    <w:rsid w:val="00A77ED6"/>
    <w:rsid w:val="00A81E6A"/>
    <w:rsid w:val="00A91F39"/>
    <w:rsid w:val="00A95061"/>
    <w:rsid w:val="00A9574A"/>
    <w:rsid w:val="00A97B40"/>
    <w:rsid w:val="00AA17E4"/>
    <w:rsid w:val="00AA7B7B"/>
    <w:rsid w:val="00AB0161"/>
    <w:rsid w:val="00AB0A14"/>
    <w:rsid w:val="00AB283F"/>
    <w:rsid w:val="00AB2E98"/>
    <w:rsid w:val="00AB2EEB"/>
    <w:rsid w:val="00AB3C62"/>
    <w:rsid w:val="00AB3E04"/>
    <w:rsid w:val="00AB6418"/>
    <w:rsid w:val="00AB774A"/>
    <w:rsid w:val="00AC5CFE"/>
    <w:rsid w:val="00AC5F24"/>
    <w:rsid w:val="00AD1447"/>
    <w:rsid w:val="00AD1A51"/>
    <w:rsid w:val="00AD53CC"/>
    <w:rsid w:val="00AD5641"/>
    <w:rsid w:val="00AD5905"/>
    <w:rsid w:val="00AD606C"/>
    <w:rsid w:val="00AD6A73"/>
    <w:rsid w:val="00AE1AD2"/>
    <w:rsid w:val="00AE465C"/>
    <w:rsid w:val="00AE46D8"/>
    <w:rsid w:val="00AF06CF"/>
    <w:rsid w:val="00AF0F7D"/>
    <w:rsid w:val="00B0439C"/>
    <w:rsid w:val="00B05D57"/>
    <w:rsid w:val="00B0652B"/>
    <w:rsid w:val="00B07CDB"/>
    <w:rsid w:val="00B131F8"/>
    <w:rsid w:val="00B16A31"/>
    <w:rsid w:val="00B17537"/>
    <w:rsid w:val="00B17A30"/>
    <w:rsid w:val="00B17DFD"/>
    <w:rsid w:val="00B20D3A"/>
    <w:rsid w:val="00B2160B"/>
    <w:rsid w:val="00B24A4D"/>
    <w:rsid w:val="00B25306"/>
    <w:rsid w:val="00B25896"/>
    <w:rsid w:val="00B26C5B"/>
    <w:rsid w:val="00B27831"/>
    <w:rsid w:val="00B307C7"/>
    <w:rsid w:val="00B308FE"/>
    <w:rsid w:val="00B33709"/>
    <w:rsid w:val="00B33A28"/>
    <w:rsid w:val="00B33B3C"/>
    <w:rsid w:val="00B36392"/>
    <w:rsid w:val="00B407A8"/>
    <w:rsid w:val="00B40C60"/>
    <w:rsid w:val="00B418CB"/>
    <w:rsid w:val="00B42290"/>
    <w:rsid w:val="00B46E2B"/>
    <w:rsid w:val="00B47444"/>
    <w:rsid w:val="00B474A6"/>
    <w:rsid w:val="00B50ADC"/>
    <w:rsid w:val="00B52D90"/>
    <w:rsid w:val="00B5619A"/>
    <w:rsid w:val="00B566B1"/>
    <w:rsid w:val="00B6294A"/>
    <w:rsid w:val="00B63834"/>
    <w:rsid w:val="00B6545C"/>
    <w:rsid w:val="00B65AD2"/>
    <w:rsid w:val="00B66F8F"/>
    <w:rsid w:val="00B80199"/>
    <w:rsid w:val="00B8040D"/>
    <w:rsid w:val="00B83204"/>
    <w:rsid w:val="00B856E7"/>
    <w:rsid w:val="00B860D0"/>
    <w:rsid w:val="00B9081E"/>
    <w:rsid w:val="00B93E20"/>
    <w:rsid w:val="00B95065"/>
    <w:rsid w:val="00B96B5D"/>
    <w:rsid w:val="00B96DDD"/>
    <w:rsid w:val="00BA1998"/>
    <w:rsid w:val="00BA220B"/>
    <w:rsid w:val="00BA3630"/>
    <w:rsid w:val="00BA3A57"/>
    <w:rsid w:val="00BB1533"/>
    <w:rsid w:val="00BB1792"/>
    <w:rsid w:val="00BB2C8A"/>
    <w:rsid w:val="00BB483F"/>
    <w:rsid w:val="00BB4E1A"/>
    <w:rsid w:val="00BB6066"/>
    <w:rsid w:val="00BB6575"/>
    <w:rsid w:val="00BC015E"/>
    <w:rsid w:val="00BC76AC"/>
    <w:rsid w:val="00BC7F79"/>
    <w:rsid w:val="00BD047E"/>
    <w:rsid w:val="00BD0E34"/>
    <w:rsid w:val="00BD0ECB"/>
    <w:rsid w:val="00BD1DEC"/>
    <w:rsid w:val="00BD1FE8"/>
    <w:rsid w:val="00BD32FF"/>
    <w:rsid w:val="00BD62F5"/>
    <w:rsid w:val="00BE1D54"/>
    <w:rsid w:val="00BE2155"/>
    <w:rsid w:val="00BE719A"/>
    <w:rsid w:val="00BE720A"/>
    <w:rsid w:val="00BF0D73"/>
    <w:rsid w:val="00BF2465"/>
    <w:rsid w:val="00BF3CD2"/>
    <w:rsid w:val="00BF53CE"/>
    <w:rsid w:val="00BF5E3C"/>
    <w:rsid w:val="00C04530"/>
    <w:rsid w:val="00C062E8"/>
    <w:rsid w:val="00C06E8C"/>
    <w:rsid w:val="00C07E7A"/>
    <w:rsid w:val="00C1373E"/>
    <w:rsid w:val="00C150D0"/>
    <w:rsid w:val="00C15511"/>
    <w:rsid w:val="00C16619"/>
    <w:rsid w:val="00C170DF"/>
    <w:rsid w:val="00C17DFF"/>
    <w:rsid w:val="00C20CEC"/>
    <w:rsid w:val="00C25E7F"/>
    <w:rsid w:val="00C2746F"/>
    <w:rsid w:val="00C27E1D"/>
    <w:rsid w:val="00C31417"/>
    <w:rsid w:val="00C323D6"/>
    <w:rsid w:val="00C324A0"/>
    <w:rsid w:val="00C32E3B"/>
    <w:rsid w:val="00C333BC"/>
    <w:rsid w:val="00C3467B"/>
    <w:rsid w:val="00C36D5F"/>
    <w:rsid w:val="00C37005"/>
    <w:rsid w:val="00C4054A"/>
    <w:rsid w:val="00C42BF8"/>
    <w:rsid w:val="00C50043"/>
    <w:rsid w:val="00C50E95"/>
    <w:rsid w:val="00C54896"/>
    <w:rsid w:val="00C54C13"/>
    <w:rsid w:val="00C551D2"/>
    <w:rsid w:val="00C56CD1"/>
    <w:rsid w:val="00C57ACA"/>
    <w:rsid w:val="00C727AD"/>
    <w:rsid w:val="00C72F60"/>
    <w:rsid w:val="00C73089"/>
    <w:rsid w:val="00C75213"/>
    <w:rsid w:val="00C7564D"/>
    <w:rsid w:val="00C7573B"/>
    <w:rsid w:val="00C75E7A"/>
    <w:rsid w:val="00C761CD"/>
    <w:rsid w:val="00C906FD"/>
    <w:rsid w:val="00C90C89"/>
    <w:rsid w:val="00C9143E"/>
    <w:rsid w:val="00C9317B"/>
    <w:rsid w:val="00C93949"/>
    <w:rsid w:val="00C96C55"/>
    <w:rsid w:val="00C97A54"/>
    <w:rsid w:val="00CA3824"/>
    <w:rsid w:val="00CA5B23"/>
    <w:rsid w:val="00CB16E0"/>
    <w:rsid w:val="00CB26EE"/>
    <w:rsid w:val="00CB602E"/>
    <w:rsid w:val="00CB7E90"/>
    <w:rsid w:val="00CC000D"/>
    <w:rsid w:val="00CC541C"/>
    <w:rsid w:val="00CD1EC9"/>
    <w:rsid w:val="00CD2E62"/>
    <w:rsid w:val="00CE051D"/>
    <w:rsid w:val="00CE07BA"/>
    <w:rsid w:val="00CE1335"/>
    <w:rsid w:val="00CE167B"/>
    <w:rsid w:val="00CE493D"/>
    <w:rsid w:val="00CE54C2"/>
    <w:rsid w:val="00CE6687"/>
    <w:rsid w:val="00CE6984"/>
    <w:rsid w:val="00CE6B2B"/>
    <w:rsid w:val="00CF039D"/>
    <w:rsid w:val="00CF07FA"/>
    <w:rsid w:val="00CF0BB2"/>
    <w:rsid w:val="00CF2A2B"/>
    <w:rsid w:val="00CF3EE8"/>
    <w:rsid w:val="00CF4B81"/>
    <w:rsid w:val="00CF716A"/>
    <w:rsid w:val="00D0004F"/>
    <w:rsid w:val="00D067CC"/>
    <w:rsid w:val="00D12B84"/>
    <w:rsid w:val="00D13441"/>
    <w:rsid w:val="00D13D93"/>
    <w:rsid w:val="00D14C9D"/>
    <w:rsid w:val="00D150E7"/>
    <w:rsid w:val="00D1530C"/>
    <w:rsid w:val="00D16D30"/>
    <w:rsid w:val="00D22E1F"/>
    <w:rsid w:val="00D27225"/>
    <w:rsid w:val="00D309F1"/>
    <w:rsid w:val="00D318D7"/>
    <w:rsid w:val="00D32F4A"/>
    <w:rsid w:val="00D336A0"/>
    <w:rsid w:val="00D343BC"/>
    <w:rsid w:val="00D35DE4"/>
    <w:rsid w:val="00D50146"/>
    <w:rsid w:val="00D5074F"/>
    <w:rsid w:val="00D519C9"/>
    <w:rsid w:val="00D51B52"/>
    <w:rsid w:val="00D52DC2"/>
    <w:rsid w:val="00D53BCC"/>
    <w:rsid w:val="00D54BB4"/>
    <w:rsid w:val="00D54C9E"/>
    <w:rsid w:val="00D55A0E"/>
    <w:rsid w:val="00D64687"/>
    <w:rsid w:val="00D6537E"/>
    <w:rsid w:val="00D67772"/>
    <w:rsid w:val="00D70DFB"/>
    <w:rsid w:val="00D70F23"/>
    <w:rsid w:val="00D727C0"/>
    <w:rsid w:val="00D7401F"/>
    <w:rsid w:val="00D75A39"/>
    <w:rsid w:val="00D766DF"/>
    <w:rsid w:val="00D77C04"/>
    <w:rsid w:val="00D8206C"/>
    <w:rsid w:val="00D82F46"/>
    <w:rsid w:val="00D83504"/>
    <w:rsid w:val="00D83AD7"/>
    <w:rsid w:val="00D91F10"/>
    <w:rsid w:val="00DA0626"/>
    <w:rsid w:val="00DA1221"/>
    <w:rsid w:val="00DA186E"/>
    <w:rsid w:val="00DA4116"/>
    <w:rsid w:val="00DA5425"/>
    <w:rsid w:val="00DB251C"/>
    <w:rsid w:val="00DB2974"/>
    <w:rsid w:val="00DB4630"/>
    <w:rsid w:val="00DB51A4"/>
    <w:rsid w:val="00DB6144"/>
    <w:rsid w:val="00DB7CEF"/>
    <w:rsid w:val="00DC1408"/>
    <w:rsid w:val="00DC4F88"/>
    <w:rsid w:val="00DC542F"/>
    <w:rsid w:val="00DD06AE"/>
    <w:rsid w:val="00DD0AAD"/>
    <w:rsid w:val="00DD1020"/>
    <w:rsid w:val="00DD79A7"/>
    <w:rsid w:val="00DE107C"/>
    <w:rsid w:val="00DE12BD"/>
    <w:rsid w:val="00DF2388"/>
    <w:rsid w:val="00DF66EC"/>
    <w:rsid w:val="00E00631"/>
    <w:rsid w:val="00E02EAF"/>
    <w:rsid w:val="00E05704"/>
    <w:rsid w:val="00E067B3"/>
    <w:rsid w:val="00E07550"/>
    <w:rsid w:val="00E14CCA"/>
    <w:rsid w:val="00E15684"/>
    <w:rsid w:val="00E172BC"/>
    <w:rsid w:val="00E17DC5"/>
    <w:rsid w:val="00E213A4"/>
    <w:rsid w:val="00E2182F"/>
    <w:rsid w:val="00E21AC1"/>
    <w:rsid w:val="00E24005"/>
    <w:rsid w:val="00E26EB9"/>
    <w:rsid w:val="00E3024A"/>
    <w:rsid w:val="00E31A03"/>
    <w:rsid w:val="00E3211A"/>
    <w:rsid w:val="00E33700"/>
    <w:rsid w:val="00E338EF"/>
    <w:rsid w:val="00E4342E"/>
    <w:rsid w:val="00E448EA"/>
    <w:rsid w:val="00E45935"/>
    <w:rsid w:val="00E47B66"/>
    <w:rsid w:val="00E500DE"/>
    <w:rsid w:val="00E5077F"/>
    <w:rsid w:val="00E52D50"/>
    <w:rsid w:val="00E544BB"/>
    <w:rsid w:val="00E615A9"/>
    <w:rsid w:val="00E61FE4"/>
    <w:rsid w:val="00E66505"/>
    <w:rsid w:val="00E74DC7"/>
    <w:rsid w:val="00E75437"/>
    <w:rsid w:val="00E769FB"/>
    <w:rsid w:val="00E8075A"/>
    <w:rsid w:val="00E81DA7"/>
    <w:rsid w:val="00E83CBC"/>
    <w:rsid w:val="00E859B0"/>
    <w:rsid w:val="00E93CF1"/>
    <w:rsid w:val="00E940D8"/>
    <w:rsid w:val="00E94D5E"/>
    <w:rsid w:val="00EA03B8"/>
    <w:rsid w:val="00EA0A17"/>
    <w:rsid w:val="00EA34B1"/>
    <w:rsid w:val="00EA40A3"/>
    <w:rsid w:val="00EA4FE8"/>
    <w:rsid w:val="00EA5962"/>
    <w:rsid w:val="00EA66F0"/>
    <w:rsid w:val="00EA7100"/>
    <w:rsid w:val="00EA7F9F"/>
    <w:rsid w:val="00EB1274"/>
    <w:rsid w:val="00EB5E88"/>
    <w:rsid w:val="00EC3BFE"/>
    <w:rsid w:val="00EC6428"/>
    <w:rsid w:val="00ED2BB6"/>
    <w:rsid w:val="00ED2E01"/>
    <w:rsid w:val="00ED3120"/>
    <w:rsid w:val="00ED34E1"/>
    <w:rsid w:val="00ED3B8D"/>
    <w:rsid w:val="00ED40AD"/>
    <w:rsid w:val="00EE3CBE"/>
    <w:rsid w:val="00EE5730"/>
    <w:rsid w:val="00EE595D"/>
    <w:rsid w:val="00EE5D6C"/>
    <w:rsid w:val="00EE5E36"/>
    <w:rsid w:val="00EE652C"/>
    <w:rsid w:val="00EE7264"/>
    <w:rsid w:val="00EF04C4"/>
    <w:rsid w:val="00EF12A0"/>
    <w:rsid w:val="00EF2E3A"/>
    <w:rsid w:val="00F02C7C"/>
    <w:rsid w:val="00F02E7F"/>
    <w:rsid w:val="00F0565C"/>
    <w:rsid w:val="00F072A7"/>
    <w:rsid w:val="00F073F3"/>
    <w:rsid w:val="00F078DC"/>
    <w:rsid w:val="00F10465"/>
    <w:rsid w:val="00F10A94"/>
    <w:rsid w:val="00F15247"/>
    <w:rsid w:val="00F15B04"/>
    <w:rsid w:val="00F16DB2"/>
    <w:rsid w:val="00F17678"/>
    <w:rsid w:val="00F328C7"/>
    <w:rsid w:val="00F32BA8"/>
    <w:rsid w:val="00F32EE0"/>
    <w:rsid w:val="00F3392E"/>
    <w:rsid w:val="00F349F1"/>
    <w:rsid w:val="00F34F16"/>
    <w:rsid w:val="00F3534D"/>
    <w:rsid w:val="00F35483"/>
    <w:rsid w:val="00F37FCF"/>
    <w:rsid w:val="00F4350D"/>
    <w:rsid w:val="00F46851"/>
    <w:rsid w:val="00F469E3"/>
    <w:rsid w:val="00F479C4"/>
    <w:rsid w:val="00F47E23"/>
    <w:rsid w:val="00F521A8"/>
    <w:rsid w:val="00F567F7"/>
    <w:rsid w:val="00F57F88"/>
    <w:rsid w:val="00F63BAF"/>
    <w:rsid w:val="00F65206"/>
    <w:rsid w:val="00F657BF"/>
    <w:rsid w:val="00F6696E"/>
    <w:rsid w:val="00F714BE"/>
    <w:rsid w:val="00F725FA"/>
    <w:rsid w:val="00F73BD6"/>
    <w:rsid w:val="00F747FA"/>
    <w:rsid w:val="00F74D7E"/>
    <w:rsid w:val="00F76202"/>
    <w:rsid w:val="00F76294"/>
    <w:rsid w:val="00F768F3"/>
    <w:rsid w:val="00F80059"/>
    <w:rsid w:val="00F83989"/>
    <w:rsid w:val="00F85099"/>
    <w:rsid w:val="00F863B5"/>
    <w:rsid w:val="00F9379C"/>
    <w:rsid w:val="00F93871"/>
    <w:rsid w:val="00F94F55"/>
    <w:rsid w:val="00F9632C"/>
    <w:rsid w:val="00F97280"/>
    <w:rsid w:val="00F97D5F"/>
    <w:rsid w:val="00FA1E52"/>
    <w:rsid w:val="00FA2998"/>
    <w:rsid w:val="00FA3478"/>
    <w:rsid w:val="00FB171E"/>
    <w:rsid w:val="00FB17F6"/>
    <w:rsid w:val="00FB34BB"/>
    <w:rsid w:val="00FB5297"/>
    <w:rsid w:val="00FB5A08"/>
    <w:rsid w:val="00FB5C38"/>
    <w:rsid w:val="00FB7E3E"/>
    <w:rsid w:val="00FC01A5"/>
    <w:rsid w:val="00FC0CD5"/>
    <w:rsid w:val="00FC254A"/>
    <w:rsid w:val="00FC320F"/>
    <w:rsid w:val="00FC35EF"/>
    <w:rsid w:val="00FC52FF"/>
    <w:rsid w:val="00FC6A80"/>
    <w:rsid w:val="00FD2BA2"/>
    <w:rsid w:val="00FD7081"/>
    <w:rsid w:val="00FE1FB9"/>
    <w:rsid w:val="00FE4688"/>
    <w:rsid w:val="00FE5E5F"/>
    <w:rsid w:val="00FF2315"/>
    <w:rsid w:val="00FF4151"/>
    <w:rsid w:val="00FF5704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67B748"/>
  <w15:docId w15:val="{7B21CF0D-E332-406F-AAC1-1692A14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E5D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5D6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utlineNumbered1">
    <w:name w:val="Outline Numbered 1"/>
    <w:basedOn w:val="Normal"/>
    <w:link w:val="OutlineNumbered1Char"/>
    <w:rsid w:val="00BF3CD2"/>
    <w:pPr>
      <w:numPr>
        <w:numId w:val="3"/>
      </w:numPr>
      <w:spacing w:line="240" w:lineRule="auto"/>
    </w:pPr>
  </w:style>
  <w:style w:type="character" w:customStyle="1" w:styleId="OutlineNumbered1Char">
    <w:name w:val="Outline Numbered 1 Char"/>
    <w:basedOn w:val="DefaultParagraphFont"/>
    <w:link w:val="OutlineNumbered1"/>
    <w:rsid w:val="00BF3CD2"/>
    <w:rPr>
      <w:sz w:val="22"/>
    </w:rPr>
  </w:style>
  <w:style w:type="paragraph" w:customStyle="1" w:styleId="OutlineNumbered2">
    <w:name w:val="Outline Numbered 2"/>
    <w:basedOn w:val="Normal"/>
    <w:link w:val="OutlineNumbered2Char"/>
    <w:rsid w:val="00BF3CD2"/>
    <w:pPr>
      <w:numPr>
        <w:ilvl w:val="1"/>
        <w:numId w:val="3"/>
      </w:numPr>
      <w:spacing w:line="240" w:lineRule="auto"/>
    </w:pPr>
  </w:style>
  <w:style w:type="character" w:customStyle="1" w:styleId="OutlineNumbered2Char">
    <w:name w:val="Outline Numbered 2 Char"/>
    <w:basedOn w:val="DefaultParagraphFont"/>
    <w:link w:val="OutlineNumbered2"/>
    <w:rsid w:val="00BF3CD2"/>
    <w:rPr>
      <w:sz w:val="22"/>
    </w:rPr>
  </w:style>
  <w:style w:type="paragraph" w:customStyle="1" w:styleId="OutlineNumbered3">
    <w:name w:val="Outline Numbered 3"/>
    <w:basedOn w:val="Normal"/>
    <w:link w:val="OutlineNumbered3Char"/>
    <w:rsid w:val="00BF3CD2"/>
    <w:pPr>
      <w:numPr>
        <w:ilvl w:val="2"/>
        <w:numId w:val="3"/>
      </w:numPr>
      <w:spacing w:line="240" w:lineRule="auto"/>
    </w:pPr>
  </w:style>
  <w:style w:type="character" w:customStyle="1" w:styleId="OutlineNumbered3Char">
    <w:name w:val="Outline Numbered 3 Char"/>
    <w:basedOn w:val="DefaultParagraphFont"/>
    <w:link w:val="OutlineNumbered3"/>
    <w:rsid w:val="00BF3CD2"/>
    <w:rPr>
      <w:sz w:val="22"/>
    </w:rPr>
  </w:style>
  <w:style w:type="paragraph" w:customStyle="1" w:styleId="Para1">
    <w:name w:val="Para 1"/>
    <w:basedOn w:val="OutlineNumbered1"/>
    <w:link w:val="Para1Char"/>
    <w:qFormat/>
    <w:rsid w:val="00016897"/>
    <w:pPr>
      <w:numPr>
        <w:numId w:val="5"/>
      </w:numPr>
      <w:spacing w:before="180"/>
    </w:pPr>
  </w:style>
  <w:style w:type="paragraph" w:customStyle="1" w:styleId="Para2">
    <w:name w:val="Para 2"/>
    <w:basedOn w:val="OutlineNumbered2"/>
    <w:link w:val="Para2Char"/>
    <w:qFormat/>
    <w:rsid w:val="00E83CBC"/>
    <w:pPr>
      <w:numPr>
        <w:numId w:val="5"/>
      </w:numPr>
      <w:spacing w:before="40"/>
      <w:ind w:left="1758"/>
    </w:pPr>
  </w:style>
  <w:style w:type="character" w:customStyle="1" w:styleId="Para1Char">
    <w:name w:val="Para 1 Char"/>
    <w:basedOn w:val="OutlineNumbered1Char"/>
    <w:link w:val="Para1"/>
    <w:rsid w:val="00EE5D6C"/>
    <w:rPr>
      <w:sz w:val="22"/>
    </w:rPr>
  </w:style>
  <w:style w:type="paragraph" w:customStyle="1" w:styleId="Para3">
    <w:name w:val="Para 3"/>
    <w:basedOn w:val="OutlineNumbered3"/>
    <w:link w:val="Para3Char"/>
    <w:qFormat/>
    <w:rsid w:val="00AB2EEB"/>
    <w:pPr>
      <w:numPr>
        <w:numId w:val="5"/>
      </w:numPr>
      <w:spacing w:before="40"/>
    </w:pPr>
  </w:style>
  <w:style w:type="character" w:customStyle="1" w:styleId="Para2Char">
    <w:name w:val="Para 2 Char"/>
    <w:basedOn w:val="OutlineNumbered2Char"/>
    <w:link w:val="Para2"/>
    <w:rsid w:val="00E83CBC"/>
    <w:rPr>
      <w:sz w:val="22"/>
    </w:rPr>
  </w:style>
  <w:style w:type="numbering" w:customStyle="1" w:styleId="Style1">
    <w:name w:val="Style1"/>
    <w:uiPriority w:val="99"/>
    <w:rsid w:val="00D83504"/>
    <w:pPr>
      <w:numPr>
        <w:numId w:val="4"/>
      </w:numPr>
    </w:pPr>
  </w:style>
  <w:style w:type="character" w:customStyle="1" w:styleId="Para3Char">
    <w:name w:val="Para 3 Char"/>
    <w:basedOn w:val="OutlineNumbered3Char"/>
    <w:link w:val="Para3"/>
    <w:rsid w:val="00AB2EEB"/>
    <w:rPr>
      <w:sz w:val="22"/>
    </w:rPr>
  </w:style>
  <w:style w:type="paragraph" w:customStyle="1" w:styleId="Para">
    <w:name w:val="Para"/>
    <w:basedOn w:val="Normal"/>
    <w:link w:val="ParaChar"/>
    <w:qFormat/>
    <w:rsid w:val="00F469E3"/>
    <w:pPr>
      <w:spacing w:before="180" w:line="240" w:lineRule="auto"/>
      <w:ind w:left="1191"/>
    </w:pPr>
  </w:style>
  <w:style w:type="character" w:customStyle="1" w:styleId="ParaChar">
    <w:name w:val="Para Char"/>
    <w:basedOn w:val="DefaultParagraphFont"/>
    <w:link w:val="Para"/>
    <w:rsid w:val="00F469E3"/>
    <w:rPr>
      <w:sz w:val="22"/>
    </w:rPr>
  </w:style>
  <w:style w:type="numbering" w:styleId="1ai">
    <w:name w:val="Outline List 1"/>
    <w:basedOn w:val="NoList"/>
    <w:uiPriority w:val="99"/>
    <w:semiHidden/>
    <w:unhideWhenUsed/>
    <w:rsid w:val="00D64687"/>
    <w:pPr>
      <w:numPr>
        <w:numId w:val="6"/>
      </w:numPr>
    </w:pPr>
  </w:style>
  <w:style w:type="paragraph" w:customStyle="1" w:styleId="RulesHeading1">
    <w:name w:val="Rules Heading 1"/>
    <w:basedOn w:val="Heading1"/>
    <w:qFormat/>
    <w:rsid w:val="005E6C7D"/>
    <w:pPr>
      <w:keepLines w:val="0"/>
      <w:numPr>
        <w:numId w:val="11"/>
      </w:numPr>
      <w:spacing w:before="240" w:after="240" w:line="240" w:lineRule="auto"/>
    </w:pPr>
    <w:rPr>
      <w:rFonts w:ascii="Book Antiqua" w:eastAsia="Times New Roman" w:hAnsi="Book Antiqua" w:cs="Times New Roman"/>
      <w:bCs w:val="0"/>
      <w:color w:val="auto"/>
      <w:szCs w:val="20"/>
      <w:lang w:eastAsia="en-AU"/>
    </w:rPr>
  </w:style>
  <w:style w:type="paragraph" w:customStyle="1" w:styleId="RulesHeading2">
    <w:name w:val="Rules Heading 2"/>
    <w:basedOn w:val="ListParagraph"/>
    <w:qFormat/>
    <w:rsid w:val="005E6C7D"/>
    <w:pPr>
      <w:numPr>
        <w:ilvl w:val="1"/>
        <w:numId w:val="11"/>
      </w:numPr>
      <w:tabs>
        <w:tab w:val="num" w:pos="360"/>
      </w:tabs>
      <w:spacing w:before="240" w:after="120" w:line="240" w:lineRule="auto"/>
      <w:ind w:left="720" w:firstLine="0"/>
    </w:pPr>
    <w:rPr>
      <w:rFonts w:ascii="Book Antiqua" w:eastAsia="Times New Roman" w:hAnsi="Book Antiqua" w:cs="Times New Roman"/>
      <w:b/>
      <w:sz w:val="24"/>
      <w:lang w:eastAsia="en-AU"/>
    </w:rPr>
  </w:style>
  <w:style w:type="paragraph" w:customStyle="1" w:styleId="RulesHeading3">
    <w:name w:val="Rules Heading 3"/>
    <w:basedOn w:val="ListParagraph"/>
    <w:qFormat/>
    <w:rsid w:val="005E6C7D"/>
    <w:pPr>
      <w:numPr>
        <w:ilvl w:val="2"/>
        <w:numId w:val="11"/>
      </w:numPr>
      <w:tabs>
        <w:tab w:val="num" w:pos="360"/>
      </w:tabs>
      <w:spacing w:before="240" w:after="120" w:line="240" w:lineRule="auto"/>
      <w:ind w:left="720" w:firstLine="0"/>
    </w:pPr>
    <w:rPr>
      <w:rFonts w:ascii="Book Antiqua" w:eastAsia="Times New Roman" w:hAnsi="Book Antiqua" w:cs="Times New Roman"/>
      <w:sz w:val="24"/>
      <w:lang w:eastAsia="en-AU"/>
    </w:rPr>
  </w:style>
  <w:style w:type="paragraph" w:customStyle="1" w:styleId="RulesHeading4">
    <w:name w:val="Rules Heading 4"/>
    <w:basedOn w:val="ListParagraph"/>
    <w:link w:val="RulesHeading4Char"/>
    <w:qFormat/>
    <w:rsid w:val="005E6C7D"/>
    <w:pPr>
      <w:numPr>
        <w:ilvl w:val="3"/>
        <w:numId w:val="11"/>
      </w:numPr>
      <w:spacing w:after="120" w:line="240" w:lineRule="auto"/>
      <w:contextualSpacing w:val="0"/>
    </w:pPr>
    <w:rPr>
      <w:rFonts w:ascii="Book Antiqua" w:eastAsia="Times New Roman" w:hAnsi="Book Antiqua" w:cs="Times New Roman"/>
      <w:sz w:val="24"/>
      <w:lang w:eastAsia="en-AU"/>
    </w:rPr>
  </w:style>
  <w:style w:type="character" w:customStyle="1" w:styleId="RulesHeading4Char">
    <w:name w:val="Rules Heading 4 Char"/>
    <w:basedOn w:val="DefaultParagraphFont"/>
    <w:link w:val="RulesHeading4"/>
    <w:rsid w:val="005E6C7D"/>
    <w:rPr>
      <w:rFonts w:ascii="Book Antiqua" w:eastAsia="Times New Roman" w:hAnsi="Book Antiqua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E6C7D"/>
    <w:pPr>
      <w:ind w:left="720"/>
      <w:contextualSpacing/>
    </w:pPr>
  </w:style>
  <w:style w:type="paragraph" w:styleId="BodyText2">
    <w:name w:val="Body Text 2"/>
    <w:basedOn w:val="Normal"/>
    <w:link w:val="BodyText2Char"/>
    <w:rsid w:val="008E0D91"/>
    <w:pPr>
      <w:tabs>
        <w:tab w:val="left" w:pos="2268"/>
        <w:tab w:val="left" w:pos="3402"/>
      </w:tabs>
      <w:spacing w:line="240" w:lineRule="auto"/>
    </w:pPr>
    <w:rPr>
      <w:rFonts w:ascii="Book Antiqua" w:eastAsia="Times New Roman" w:hAnsi="Book Antiqua" w:cs="Times New Roman"/>
      <w:sz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8E0D91"/>
    <w:rPr>
      <w:rFonts w:ascii="Book Antiqua" w:eastAsia="Times New Roman" w:hAnsi="Book Antiqua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082A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8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851"/>
    <w:rPr>
      <w:b/>
      <w:bCs/>
    </w:rPr>
  </w:style>
  <w:style w:type="paragraph" w:styleId="Revision">
    <w:name w:val="Revision"/>
    <w:hidden/>
    <w:uiPriority w:val="99"/>
    <w:semiHidden/>
    <w:rsid w:val="00EA66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takeovers.gov.au/" TargetMode="External"/><Relationship Id="rId32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takeovers.gov.au/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2021RG-111-18129</_dlc_DocId>
    <_dlc_DocIdUrl xmlns="0f563589-9cf9-4143-b1eb-fb0534803d38">
      <Url>http://tweb/sites/rg/ldp/lmu/_layouts/15/DocIdRedir.aspx?ID=2021RG-111-18129</Url>
      <Description>2021RG-111-18129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5819" ma:contentTypeDescription=" " ma:contentTypeScope="" ma:versionID="f9817f3ff6a69ed0b096090ccf97a24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4A7CB04-3A9A-47C1-9B85-2B8AB695930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946b0a-7813-432d-bb5a-ce70e95647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D8D871-6A9C-4A6A-99E2-BE344D2EA274}"/>
</file>

<file path=customXml/itemProps3.xml><?xml version="1.0" encoding="utf-8"?>
<ds:datastoreItem xmlns:ds="http://schemas.openxmlformats.org/officeDocument/2006/customXml" ds:itemID="{8C6C3448-8FFB-4D3A-9D9E-81595606A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F3A76-3AA2-4FD3-98D1-83C90EA188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E62C92-842C-4408-A463-AE841FC31A26}"/>
</file>

<file path=customXml/itemProps6.xml><?xml version="1.0" encoding="utf-8"?>
<ds:datastoreItem xmlns:ds="http://schemas.openxmlformats.org/officeDocument/2006/customXml" ds:itemID="{E954C391-BCB8-417E-95FB-E187A51DE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Procedural Rules - Final</dc:title>
  <dc:creator>Ksiezak, Karolina</dc:creator>
  <cp:lastModifiedBy>Fong, Katrina</cp:lastModifiedBy>
  <cp:revision>3</cp:revision>
  <cp:lastPrinted>2020-11-13T08:23:00Z</cp:lastPrinted>
  <dcterms:created xsi:type="dcterms:W3CDTF">2020-12-09T03:36:00Z</dcterms:created>
  <dcterms:modified xsi:type="dcterms:W3CDTF">2020-12-09T04:45:00Z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23ce35be-0c21-4836-8a6c-5124e74c125e</vt:lpwstr>
  </property>
  <property fmtid="{D5CDD505-2E9C-101B-9397-08002B2CF9AE}" pid="4" name="TSYTopic">
    <vt:lpwstr/>
  </property>
  <property fmtid="{D5CDD505-2E9C-101B-9397-08002B2CF9AE}" pid="5" name="TSYRecordClass">
    <vt:lpwstr>11;#TSY RA-9237 - Destroy 5 years after action completed|9f1a030e-81bf-44c5-98eb-4d5d869a40d5</vt:lpwstr>
  </property>
  <property fmtid="{D5CDD505-2E9C-101B-9397-08002B2CF9AE}" pid="6" name="Order">
    <vt:r8>1812900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