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82E" w:rsidRPr="005D76EB" w:rsidRDefault="000A082E" w:rsidP="000A082E">
      <w:pPr>
        <w:shd w:val="clear" w:color="auto" w:fill="FFFFFF"/>
        <w:spacing w:after="120"/>
        <w:jc w:val="center"/>
        <w:rPr>
          <w:color w:val="000000"/>
        </w:rPr>
      </w:pPr>
      <w:r w:rsidRPr="005D76EB">
        <w:rPr>
          <w:b/>
          <w:bCs/>
          <w:color w:val="000000"/>
          <w:sz w:val="22"/>
          <w:szCs w:val="22"/>
        </w:rPr>
        <w:t>EXPLANATORY STATEMENT</w:t>
      </w:r>
    </w:p>
    <w:p w:rsidR="000A082E" w:rsidRPr="005D76EB" w:rsidRDefault="000A082E" w:rsidP="000A082E">
      <w:pPr>
        <w:shd w:val="clear" w:color="auto" w:fill="FFFFFF"/>
        <w:spacing w:before="240"/>
        <w:jc w:val="center"/>
        <w:rPr>
          <w:bCs/>
          <w:i/>
          <w:iCs/>
          <w:color w:val="000000"/>
          <w:sz w:val="22"/>
          <w:szCs w:val="22"/>
        </w:rPr>
      </w:pPr>
      <w:r w:rsidRPr="005D76EB">
        <w:rPr>
          <w:bCs/>
          <w:i/>
          <w:iCs/>
          <w:color w:val="000000"/>
          <w:sz w:val="22"/>
          <w:szCs w:val="22"/>
        </w:rPr>
        <w:t>National Health Act 1953</w:t>
      </w:r>
    </w:p>
    <w:p w:rsidR="00A12F08" w:rsidRPr="005D76EB" w:rsidRDefault="00A12F08" w:rsidP="001F63D4">
      <w:pPr>
        <w:spacing w:before="120" w:after="120"/>
        <w:jc w:val="center"/>
        <w:rPr>
          <w:b/>
          <w:sz w:val="22"/>
        </w:rPr>
      </w:pPr>
      <w:r w:rsidRPr="005D76EB">
        <w:rPr>
          <w:b/>
          <w:i/>
          <w:sz w:val="22"/>
        </w:rPr>
        <w:t xml:space="preserve">National Health (Take Home Naloxone Pilot) Special Arrangement </w:t>
      </w:r>
      <w:r w:rsidR="00726821" w:rsidRPr="005D76EB">
        <w:rPr>
          <w:b/>
          <w:i/>
          <w:sz w:val="22"/>
        </w:rPr>
        <w:t>Amendment (Program Extension) Instrument 2021</w:t>
      </w:r>
    </w:p>
    <w:p w:rsidR="000A082E" w:rsidRPr="005D76EB" w:rsidRDefault="000A082E" w:rsidP="000A082E">
      <w:pPr>
        <w:shd w:val="clear" w:color="auto" w:fill="FFFFFF"/>
        <w:spacing w:before="120" w:after="120"/>
        <w:jc w:val="center"/>
        <w:rPr>
          <w:color w:val="000000"/>
        </w:rPr>
      </w:pPr>
      <w:r w:rsidRPr="005D76EB">
        <w:rPr>
          <w:bCs/>
          <w:color w:val="000000"/>
          <w:sz w:val="22"/>
          <w:szCs w:val="22"/>
        </w:rPr>
        <w:t xml:space="preserve">PB </w:t>
      </w:r>
      <w:r w:rsidR="00A12F08" w:rsidRPr="005D76EB">
        <w:rPr>
          <w:bCs/>
          <w:color w:val="000000"/>
          <w:sz w:val="22"/>
          <w:szCs w:val="22"/>
        </w:rPr>
        <w:t>9</w:t>
      </w:r>
      <w:r w:rsidRPr="005D76EB">
        <w:rPr>
          <w:bCs/>
          <w:color w:val="000000"/>
          <w:sz w:val="22"/>
          <w:szCs w:val="22"/>
        </w:rPr>
        <w:t xml:space="preserve"> of 20</w:t>
      </w:r>
      <w:r w:rsidR="001032B5" w:rsidRPr="005D76EB">
        <w:rPr>
          <w:bCs/>
          <w:color w:val="000000"/>
          <w:sz w:val="22"/>
          <w:szCs w:val="22"/>
        </w:rPr>
        <w:t>21</w:t>
      </w:r>
    </w:p>
    <w:p w:rsidR="000A082E" w:rsidRPr="005D76EB" w:rsidRDefault="000A082E" w:rsidP="000A082E">
      <w:pPr>
        <w:spacing w:before="120"/>
        <w:rPr>
          <w:b/>
          <w:sz w:val="22"/>
          <w:szCs w:val="22"/>
        </w:rPr>
      </w:pPr>
      <w:r w:rsidRPr="005D76EB">
        <w:rPr>
          <w:b/>
          <w:sz w:val="22"/>
          <w:szCs w:val="22"/>
        </w:rPr>
        <w:t>Authority</w:t>
      </w:r>
    </w:p>
    <w:p w:rsidR="00D9077F" w:rsidRPr="005D76EB" w:rsidRDefault="000A082E" w:rsidP="00CC2122">
      <w:pPr>
        <w:spacing w:before="120"/>
        <w:jc w:val="both"/>
        <w:rPr>
          <w:sz w:val="22"/>
          <w:szCs w:val="22"/>
        </w:rPr>
      </w:pPr>
      <w:r w:rsidRPr="005D76EB">
        <w:rPr>
          <w:sz w:val="22"/>
          <w:szCs w:val="22"/>
        </w:rPr>
        <w:t xml:space="preserve">Subsection 100(1) of the </w:t>
      </w:r>
      <w:r w:rsidRPr="005D76EB">
        <w:rPr>
          <w:i/>
          <w:sz w:val="22"/>
          <w:szCs w:val="22"/>
        </w:rPr>
        <w:t>National Health Act 1953</w:t>
      </w:r>
      <w:r w:rsidRPr="005D76EB">
        <w:rPr>
          <w:sz w:val="22"/>
          <w:szCs w:val="22"/>
        </w:rPr>
        <w:t xml:space="preserve"> (the Act) enables the Minister to make special arrangements for, or in relation to, providing that an adequate supply of pharmaceutical benefits will be available to </w:t>
      </w:r>
      <w:r w:rsidR="00D9077F" w:rsidRPr="005D76EB">
        <w:rPr>
          <w:sz w:val="22"/>
          <w:szCs w:val="22"/>
        </w:rPr>
        <w:t xml:space="preserve">certain </w:t>
      </w:r>
      <w:r w:rsidRPr="005D76EB">
        <w:rPr>
          <w:sz w:val="22"/>
          <w:szCs w:val="22"/>
        </w:rPr>
        <w:t>persons</w:t>
      </w:r>
      <w:r w:rsidR="00D9077F" w:rsidRPr="005D76EB">
        <w:rPr>
          <w:sz w:val="22"/>
          <w:szCs w:val="22"/>
        </w:rPr>
        <w:t>. These are persons who:</w:t>
      </w:r>
      <w:r w:rsidRPr="005D76EB">
        <w:rPr>
          <w:sz w:val="22"/>
          <w:szCs w:val="22"/>
        </w:rPr>
        <w:t xml:space="preserve"> </w:t>
      </w:r>
      <w:r w:rsidR="00D9077F" w:rsidRPr="005D76EB">
        <w:rPr>
          <w:sz w:val="22"/>
          <w:szCs w:val="22"/>
        </w:rPr>
        <w:t>live</w:t>
      </w:r>
      <w:r w:rsidRPr="005D76EB">
        <w:rPr>
          <w:sz w:val="22"/>
          <w:szCs w:val="22"/>
        </w:rPr>
        <w:t xml:space="preserve"> in isolated areas; or </w:t>
      </w:r>
      <w:r w:rsidR="00D9077F" w:rsidRPr="005D76EB">
        <w:rPr>
          <w:sz w:val="22"/>
          <w:szCs w:val="22"/>
        </w:rPr>
        <w:t xml:space="preserve">are </w:t>
      </w:r>
      <w:r w:rsidRPr="005D76EB">
        <w:rPr>
          <w:sz w:val="22"/>
          <w:szCs w:val="22"/>
        </w:rPr>
        <w:t>receiving treatment in circumstances in which pharmaceutical benefits are inadequate</w:t>
      </w:r>
      <w:r w:rsidR="00D9077F" w:rsidRPr="005D76EB">
        <w:rPr>
          <w:sz w:val="22"/>
          <w:szCs w:val="22"/>
        </w:rPr>
        <w:t xml:space="preserve"> for that treatment</w:t>
      </w:r>
      <w:r w:rsidRPr="005D76EB">
        <w:rPr>
          <w:sz w:val="22"/>
          <w:szCs w:val="22"/>
        </w:rPr>
        <w:t xml:space="preserve">; or if the pharmaceutical benefits covered by the arrangements can be more conveniently or efficiently supplied under the arrangements. </w:t>
      </w:r>
    </w:p>
    <w:p w:rsidR="000A082E" w:rsidRPr="005D76EB" w:rsidRDefault="000A082E" w:rsidP="00CC2122">
      <w:pPr>
        <w:spacing w:before="120"/>
        <w:jc w:val="both"/>
        <w:rPr>
          <w:sz w:val="22"/>
          <w:szCs w:val="22"/>
        </w:rPr>
      </w:pPr>
      <w:r w:rsidRPr="005D76EB">
        <w:rPr>
          <w:sz w:val="22"/>
          <w:szCs w:val="22"/>
        </w:rPr>
        <w:t>Subsection 100(2) of the Act provides that the Minister may vary or revoke an arrangement made under subsection 100(1) of the Act. Subsection 100(3) of the Act provides that Part VII of the Act, and instruments made for the purposes of Part VII, have effect, subject to a special arrangement made under subsection 100(1).</w:t>
      </w:r>
    </w:p>
    <w:p w:rsidR="000A082E" w:rsidRPr="005D76EB" w:rsidRDefault="000A082E" w:rsidP="00CC2122">
      <w:pPr>
        <w:spacing w:before="120"/>
        <w:jc w:val="both"/>
        <w:rPr>
          <w:sz w:val="22"/>
          <w:szCs w:val="22"/>
        </w:rPr>
      </w:pPr>
      <w:r w:rsidRPr="005D76EB">
        <w:rPr>
          <w:sz w:val="22"/>
          <w:szCs w:val="22"/>
        </w:rPr>
        <w:t xml:space="preserve">Subsection 33(3) of the </w:t>
      </w:r>
      <w:r w:rsidRPr="005D76EB">
        <w:rPr>
          <w:i/>
          <w:sz w:val="22"/>
          <w:szCs w:val="22"/>
        </w:rPr>
        <w:t>Acts Interpretation Act 1901,</w:t>
      </w:r>
      <w:r w:rsidRPr="005D76EB">
        <w:rPr>
          <w:sz w:val="22"/>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0A082E" w:rsidRPr="005D76EB" w:rsidRDefault="000A082E" w:rsidP="000A082E">
      <w:pPr>
        <w:spacing w:before="120"/>
        <w:rPr>
          <w:sz w:val="22"/>
          <w:szCs w:val="22"/>
        </w:rPr>
      </w:pPr>
    </w:p>
    <w:p w:rsidR="000A082E" w:rsidRPr="005D76EB" w:rsidRDefault="000A082E" w:rsidP="000A082E">
      <w:pPr>
        <w:spacing w:before="120"/>
        <w:rPr>
          <w:b/>
          <w:sz w:val="22"/>
          <w:szCs w:val="22"/>
        </w:rPr>
      </w:pPr>
      <w:r w:rsidRPr="005D76EB">
        <w:rPr>
          <w:b/>
          <w:sz w:val="22"/>
          <w:szCs w:val="22"/>
        </w:rPr>
        <w:t>Purpose</w:t>
      </w:r>
    </w:p>
    <w:p w:rsidR="00AD2037" w:rsidRPr="005D76EB" w:rsidRDefault="000A082E" w:rsidP="00F85AEE">
      <w:pPr>
        <w:shd w:val="clear" w:color="auto" w:fill="FFFFFF"/>
        <w:spacing w:before="120" w:after="120"/>
        <w:rPr>
          <w:szCs w:val="22"/>
        </w:rPr>
      </w:pPr>
      <w:r w:rsidRPr="005D76EB">
        <w:rPr>
          <w:sz w:val="22"/>
          <w:szCs w:val="22"/>
        </w:rPr>
        <w:t xml:space="preserve">The </w:t>
      </w:r>
      <w:r w:rsidRPr="005D76EB">
        <w:rPr>
          <w:bCs/>
          <w:i/>
          <w:iCs/>
          <w:color w:val="000000"/>
          <w:sz w:val="22"/>
          <w:szCs w:val="22"/>
        </w:rPr>
        <w:t xml:space="preserve">National Health (Take Home Naloxone Pilot) Special Arrangement Amendment </w:t>
      </w:r>
      <w:r w:rsidR="00726821" w:rsidRPr="005D76EB">
        <w:rPr>
          <w:bCs/>
          <w:i/>
          <w:iCs/>
          <w:color w:val="000000"/>
          <w:sz w:val="22"/>
          <w:szCs w:val="22"/>
        </w:rPr>
        <w:t>Program Extension</w:t>
      </w:r>
      <w:r w:rsidRPr="005D76EB">
        <w:rPr>
          <w:bCs/>
          <w:i/>
          <w:iCs/>
          <w:color w:val="000000"/>
          <w:sz w:val="22"/>
          <w:szCs w:val="22"/>
        </w:rPr>
        <w:t xml:space="preserve">) Instrument </w:t>
      </w:r>
      <w:r w:rsidR="00726821" w:rsidRPr="005D76EB">
        <w:rPr>
          <w:bCs/>
          <w:i/>
          <w:iCs/>
          <w:color w:val="000000"/>
          <w:sz w:val="22"/>
          <w:szCs w:val="22"/>
        </w:rPr>
        <w:t xml:space="preserve">2021 </w:t>
      </w:r>
      <w:r w:rsidRPr="005D76EB">
        <w:rPr>
          <w:bCs/>
          <w:iCs/>
          <w:color w:val="000000"/>
          <w:sz w:val="22"/>
          <w:szCs w:val="22"/>
        </w:rPr>
        <w:t xml:space="preserve">(the Amendment Instrument) amends the </w:t>
      </w:r>
      <w:r w:rsidRPr="005D76EB">
        <w:rPr>
          <w:i/>
          <w:sz w:val="22"/>
          <w:szCs w:val="22"/>
        </w:rPr>
        <w:t>National Health (Take Home Naloxone Pilot) Special Arrangement 2019</w:t>
      </w:r>
      <w:r w:rsidRPr="005D76EB">
        <w:rPr>
          <w:sz w:val="22"/>
          <w:szCs w:val="22"/>
        </w:rPr>
        <w:t xml:space="preserve"> (PB 97 of 2019) (the Arrangement) </w:t>
      </w:r>
      <w:r w:rsidR="00FD63CE" w:rsidRPr="005D76EB">
        <w:rPr>
          <w:sz w:val="22"/>
          <w:szCs w:val="22"/>
        </w:rPr>
        <w:t xml:space="preserve">to extend the Take Home Naloxone Pilot </w:t>
      </w:r>
      <w:r w:rsidR="00A2389C" w:rsidRPr="005D76EB">
        <w:rPr>
          <w:sz w:val="22"/>
          <w:szCs w:val="22"/>
        </w:rPr>
        <w:t>Program (The Pilot)</w:t>
      </w:r>
      <w:r w:rsidR="001032B5" w:rsidRPr="005D76EB">
        <w:rPr>
          <w:sz w:val="22"/>
          <w:szCs w:val="22"/>
        </w:rPr>
        <w:t xml:space="preserve"> by 4 months</w:t>
      </w:r>
      <w:r w:rsidR="00A2389C" w:rsidRPr="005D76EB">
        <w:rPr>
          <w:sz w:val="22"/>
          <w:szCs w:val="22"/>
        </w:rPr>
        <w:t xml:space="preserve">. </w:t>
      </w:r>
      <w:r w:rsidR="00E61664" w:rsidRPr="005D76EB">
        <w:rPr>
          <w:sz w:val="22"/>
          <w:szCs w:val="22"/>
        </w:rPr>
        <w:t xml:space="preserve">The </w:t>
      </w:r>
      <w:r w:rsidR="00A2389C" w:rsidRPr="005D76EB">
        <w:rPr>
          <w:sz w:val="22"/>
          <w:szCs w:val="22"/>
        </w:rPr>
        <w:t xml:space="preserve">Pilot </w:t>
      </w:r>
      <w:r w:rsidR="00E61664" w:rsidRPr="005D76EB">
        <w:rPr>
          <w:sz w:val="22"/>
          <w:szCs w:val="22"/>
        </w:rPr>
        <w:t xml:space="preserve">enables the trial of the supply of </w:t>
      </w:r>
      <w:r w:rsidR="00A2389C" w:rsidRPr="005D76EB">
        <w:rPr>
          <w:sz w:val="22"/>
          <w:szCs w:val="22"/>
        </w:rPr>
        <w:t>Naloxone free of charge to persons who are at risk of an opio</w:t>
      </w:r>
      <w:r w:rsidR="00F85AEE" w:rsidRPr="005D76EB">
        <w:rPr>
          <w:sz w:val="22"/>
          <w:szCs w:val="22"/>
        </w:rPr>
        <w:t>i</w:t>
      </w:r>
      <w:r w:rsidR="00A2389C" w:rsidRPr="005D76EB">
        <w:rPr>
          <w:sz w:val="22"/>
          <w:szCs w:val="22"/>
        </w:rPr>
        <w:t>d overdose, and persons who are likely to be able to assist such persons</w:t>
      </w:r>
      <w:r w:rsidR="00E61664" w:rsidRPr="005D76EB">
        <w:rPr>
          <w:sz w:val="22"/>
          <w:szCs w:val="22"/>
        </w:rPr>
        <w:t>,</w:t>
      </w:r>
      <w:r w:rsidR="00A2389C" w:rsidRPr="005D76EB">
        <w:rPr>
          <w:sz w:val="22"/>
          <w:szCs w:val="22"/>
        </w:rPr>
        <w:t xml:space="preserve"> outside of the normal PBS supply regime.</w:t>
      </w:r>
    </w:p>
    <w:p w:rsidR="001F63D4" w:rsidRPr="005D76EB" w:rsidRDefault="00E61664" w:rsidP="00775EF2">
      <w:pPr>
        <w:spacing w:before="120"/>
        <w:jc w:val="both"/>
        <w:rPr>
          <w:szCs w:val="22"/>
        </w:rPr>
      </w:pPr>
      <w:r w:rsidRPr="005D76EB">
        <w:rPr>
          <w:sz w:val="22"/>
          <w:szCs w:val="22"/>
        </w:rPr>
        <w:t>Under the Pilot, Naloxone can be supplied by hospitals, pharmacists, certain medical practitioners, and other authorised persons and organisations, such as needle and syringe programs, alcohol drug treatment centres, or correctional release programs.</w:t>
      </w:r>
    </w:p>
    <w:p w:rsidR="00093A8F" w:rsidRPr="005D76EB" w:rsidRDefault="000A082E" w:rsidP="00266649">
      <w:pPr>
        <w:spacing w:before="120"/>
        <w:rPr>
          <w:b/>
          <w:sz w:val="22"/>
          <w:szCs w:val="22"/>
        </w:rPr>
      </w:pPr>
      <w:r w:rsidRPr="005D76EB">
        <w:rPr>
          <w:b/>
          <w:sz w:val="22"/>
          <w:szCs w:val="22"/>
        </w:rPr>
        <w:t>Consultation</w:t>
      </w:r>
    </w:p>
    <w:p w:rsidR="00266649" w:rsidRPr="005D76EB" w:rsidRDefault="00266649" w:rsidP="00775EF2">
      <w:pPr>
        <w:spacing w:before="120"/>
        <w:jc w:val="both"/>
        <w:rPr>
          <w:sz w:val="22"/>
          <w:szCs w:val="22"/>
        </w:rPr>
      </w:pPr>
      <w:r w:rsidRPr="005D76EB">
        <w:rPr>
          <w:sz w:val="22"/>
          <w:szCs w:val="22"/>
        </w:rPr>
        <w:t>The Pilot operates in NSW, WA and SA</w:t>
      </w:r>
      <w:r w:rsidR="00034D27" w:rsidRPr="005D76EB">
        <w:rPr>
          <w:sz w:val="22"/>
          <w:szCs w:val="22"/>
        </w:rPr>
        <w:t xml:space="preserve"> and therefore the Department consulted</w:t>
      </w:r>
      <w:r w:rsidRPr="005D76EB">
        <w:rPr>
          <w:sz w:val="22"/>
          <w:szCs w:val="22"/>
        </w:rPr>
        <w:t xml:space="preserve"> the </w:t>
      </w:r>
      <w:r w:rsidR="00034D27" w:rsidRPr="005D76EB">
        <w:rPr>
          <w:sz w:val="22"/>
          <w:szCs w:val="22"/>
        </w:rPr>
        <w:t xml:space="preserve">relevant </w:t>
      </w:r>
      <w:r w:rsidR="00642E82" w:rsidRPr="005D76EB">
        <w:rPr>
          <w:sz w:val="22"/>
          <w:szCs w:val="22"/>
        </w:rPr>
        <w:t>S</w:t>
      </w:r>
      <w:r w:rsidR="00034D27" w:rsidRPr="005D76EB">
        <w:rPr>
          <w:sz w:val="22"/>
          <w:szCs w:val="22"/>
        </w:rPr>
        <w:t>tate agencies</w:t>
      </w:r>
      <w:r w:rsidR="00DC47A6" w:rsidRPr="005D76EB">
        <w:rPr>
          <w:sz w:val="22"/>
          <w:szCs w:val="22"/>
        </w:rPr>
        <w:t>, namely</w:t>
      </w:r>
      <w:r w:rsidR="00034D27" w:rsidRPr="005D76EB">
        <w:rPr>
          <w:sz w:val="22"/>
          <w:szCs w:val="22"/>
        </w:rPr>
        <w:t xml:space="preserve"> </w:t>
      </w:r>
      <w:r w:rsidRPr="005D76EB">
        <w:rPr>
          <w:sz w:val="22"/>
          <w:szCs w:val="22"/>
        </w:rPr>
        <w:t>New South Wales Ministry of Health, the Western Australian Mental Health Commission and South Australia Health</w:t>
      </w:r>
      <w:r w:rsidR="00DC47A6" w:rsidRPr="005D76EB">
        <w:rPr>
          <w:sz w:val="22"/>
          <w:szCs w:val="22"/>
        </w:rPr>
        <w:t>,</w:t>
      </w:r>
      <w:r w:rsidRPr="005D76EB">
        <w:rPr>
          <w:sz w:val="22"/>
          <w:szCs w:val="22"/>
        </w:rPr>
        <w:t xml:space="preserve"> regarding the amendments to the Arrangement</w:t>
      </w:r>
      <w:r w:rsidR="00034D27" w:rsidRPr="005D76EB">
        <w:rPr>
          <w:sz w:val="22"/>
          <w:szCs w:val="22"/>
        </w:rPr>
        <w:t xml:space="preserve">. In particular, the Department advised the </w:t>
      </w:r>
      <w:r w:rsidR="00642E82" w:rsidRPr="005D76EB">
        <w:rPr>
          <w:sz w:val="22"/>
          <w:szCs w:val="22"/>
        </w:rPr>
        <w:t>S</w:t>
      </w:r>
      <w:r w:rsidR="00034D27" w:rsidRPr="005D76EB">
        <w:rPr>
          <w:sz w:val="22"/>
          <w:szCs w:val="22"/>
        </w:rPr>
        <w:t xml:space="preserve">tate agencies </w:t>
      </w:r>
      <w:r w:rsidRPr="005D76EB">
        <w:rPr>
          <w:sz w:val="22"/>
          <w:szCs w:val="22"/>
        </w:rPr>
        <w:t xml:space="preserve">of the </w:t>
      </w:r>
      <w:r w:rsidR="00034D27" w:rsidRPr="005D76EB">
        <w:rPr>
          <w:sz w:val="22"/>
          <w:szCs w:val="22"/>
        </w:rPr>
        <w:t>amendments</w:t>
      </w:r>
      <w:r w:rsidR="005C558E" w:rsidRPr="005D76EB">
        <w:rPr>
          <w:sz w:val="22"/>
          <w:szCs w:val="22"/>
        </w:rPr>
        <w:t xml:space="preserve"> to </w:t>
      </w:r>
      <w:r w:rsidR="00DC47A6" w:rsidRPr="005D76EB">
        <w:rPr>
          <w:sz w:val="22"/>
          <w:szCs w:val="22"/>
        </w:rPr>
        <w:t xml:space="preserve">extend </w:t>
      </w:r>
      <w:r w:rsidR="005C558E" w:rsidRPr="005D76EB">
        <w:rPr>
          <w:sz w:val="22"/>
          <w:szCs w:val="22"/>
        </w:rPr>
        <w:t xml:space="preserve">the </w:t>
      </w:r>
      <w:r w:rsidR="00DC47A6" w:rsidRPr="005D76EB">
        <w:rPr>
          <w:sz w:val="22"/>
          <w:szCs w:val="22"/>
        </w:rPr>
        <w:t xml:space="preserve">date of </w:t>
      </w:r>
      <w:r w:rsidR="005C558E" w:rsidRPr="005D76EB">
        <w:rPr>
          <w:sz w:val="22"/>
          <w:szCs w:val="22"/>
        </w:rPr>
        <w:t xml:space="preserve">cessation of the Pilot. </w:t>
      </w:r>
      <w:r w:rsidR="00034D27" w:rsidRPr="005D76EB">
        <w:rPr>
          <w:sz w:val="22"/>
          <w:szCs w:val="22"/>
        </w:rPr>
        <w:t xml:space="preserve"> The </w:t>
      </w:r>
      <w:r w:rsidR="00642E82" w:rsidRPr="005D76EB">
        <w:rPr>
          <w:sz w:val="22"/>
          <w:szCs w:val="22"/>
        </w:rPr>
        <w:t>S</w:t>
      </w:r>
      <w:r w:rsidR="003C111F" w:rsidRPr="005D76EB">
        <w:rPr>
          <w:sz w:val="22"/>
          <w:szCs w:val="22"/>
        </w:rPr>
        <w:t xml:space="preserve">tate agencies had no significant comment on the nature of the instrument.  </w:t>
      </w:r>
    </w:p>
    <w:p w:rsidR="000A082E" w:rsidRPr="005D76EB" w:rsidRDefault="008C0B4B" w:rsidP="00775EF2">
      <w:pPr>
        <w:spacing w:before="120"/>
        <w:jc w:val="both"/>
        <w:rPr>
          <w:sz w:val="22"/>
          <w:szCs w:val="22"/>
        </w:rPr>
      </w:pPr>
      <w:r w:rsidRPr="005D76EB">
        <w:rPr>
          <w:sz w:val="22"/>
          <w:szCs w:val="22"/>
        </w:rPr>
        <w:t>A</w:t>
      </w:r>
      <w:r w:rsidR="00F85AEE" w:rsidRPr="005D76EB">
        <w:rPr>
          <w:sz w:val="22"/>
          <w:szCs w:val="22"/>
        </w:rPr>
        <w:t xml:space="preserve">ustralian </w:t>
      </w:r>
      <w:r w:rsidRPr="005D76EB">
        <w:rPr>
          <w:sz w:val="22"/>
          <w:szCs w:val="22"/>
        </w:rPr>
        <w:t>H</w:t>
      </w:r>
      <w:r w:rsidR="00F85AEE" w:rsidRPr="005D76EB">
        <w:rPr>
          <w:sz w:val="22"/>
          <w:szCs w:val="22"/>
        </w:rPr>
        <w:t xml:space="preserve">ealthcare </w:t>
      </w:r>
      <w:r w:rsidRPr="005D76EB">
        <w:rPr>
          <w:sz w:val="22"/>
          <w:szCs w:val="22"/>
        </w:rPr>
        <w:t>A</w:t>
      </w:r>
      <w:r w:rsidR="00F85AEE" w:rsidRPr="005D76EB">
        <w:rPr>
          <w:sz w:val="22"/>
          <w:szCs w:val="22"/>
        </w:rPr>
        <w:t>ssociates, as the Pilot administrator,</w:t>
      </w:r>
      <w:r w:rsidR="000A082E" w:rsidRPr="005D76EB">
        <w:rPr>
          <w:sz w:val="22"/>
          <w:szCs w:val="22"/>
        </w:rPr>
        <w:t xml:space="preserve"> </w:t>
      </w:r>
      <w:r w:rsidR="000A3B8E" w:rsidRPr="005D76EB">
        <w:rPr>
          <w:sz w:val="22"/>
          <w:szCs w:val="22"/>
        </w:rPr>
        <w:t>were</w:t>
      </w:r>
      <w:r w:rsidR="000A082E" w:rsidRPr="005D76EB">
        <w:rPr>
          <w:sz w:val="22"/>
          <w:szCs w:val="22"/>
        </w:rPr>
        <w:t xml:space="preserve"> consulted to confirm </w:t>
      </w:r>
      <w:r w:rsidRPr="005D76EB">
        <w:rPr>
          <w:sz w:val="22"/>
          <w:szCs w:val="22"/>
        </w:rPr>
        <w:t xml:space="preserve">their </w:t>
      </w:r>
      <w:r w:rsidR="000A082E" w:rsidRPr="005D76EB">
        <w:rPr>
          <w:sz w:val="22"/>
          <w:szCs w:val="22"/>
        </w:rPr>
        <w:t xml:space="preserve">ability to implement the </w:t>
      </w:r>
      <w:r w:rsidRPr="005D76EB">
        <w:rPr>
          <w:sz w:val="22"/>
          <w:szCs w:val="22"/>
        </w:rPr>
        <w:t xml:space="preserve">relevant </w:t>
      </w:r>
      <w:r w:rsidR="000A082E" w:rsidRPr="005D76EB">
        <w:rPr>
          <w:sz w:val="22"/>
          <w:szCs w:val="22"/>
        </w:rPr>
        <w:t>administrative arrangements</w:t>
      </w:r>
      <w:r w:rsidR="00093A8F" w:rsidRPr="005D76EB">
        <w:rPr>
          <w:sz w:val="22"/>
          <w:szCs w:val="22"/>
        </w:rPr>
        <w:t>, including making update</w:t>
      </w:r>
      <w:r w:rsidR="00CC7652" w:rsidRPr="005D76EB">
        <w:rPr>
          <w:sz w:val="22"/>
          <w:szCs w:val="22"/>
        </w:rPr>
        <w:t>s</w:t>
      </w:r>
      <w:r w:rsidR="00093A8F" w:rsidRPr="005D76EB">
        <w:rPr>
          <w:sz w:val="22"/>
          <w:szCs w:val="22"/>
        </w:rPr>
        <w:t xml:space="preserve"> to software solutions</w:t>
      </w:r>
      <w:r w:rsidR="000A082E" w:rsidRPr="005D76EB">
        <w:rPr>
          <w:sz w:val="22"/>
          <w:szCs w:val="22"/>
        </w:rPr>
        <w:t xml:space="preserve"> to support the </w:t>
      </w:r>
      <w:r w:rsidRPr="005D76EB">
        <w:rPr>
          <w:sz w:val="22"/>
          <w:szCs w:val="22"/>
        </w:rPr>
        <w:t>ame</w:t>
      </w:r>
      <w:r w:rsidR="005C558E" w:rsidRPr="005D76EB">
        <w:rPr>
          <w:sz w:val="22"/>
          <w:szCs w:val="22"/>
        </w:rPr>
        <w:t>n</w:t>
      </w:r>
      <w:r w:rsidRPr="005D76EB">
        <w:rPr>
          <w:sz w:val="22"/>
          <w:szCs w:val="22"/>
        </w:rPr>
        <w:t>dments made by this instrument.</w:t>
      </w:r>
      <w:r w:rsidR="00093A8F" w:rsidRPr="005D76EB">
        <w:rPr>
          <w:sz w:val="22"/>
          <w:szCs w:val="22"/>
        </w:rPr>
        <w:t xml:space="preserve"> </w:t>
      </w:r>
      <w:r w:rsidR="00CC7652" w:rsidRPr="005D76EB">
        <w:rPr>
          <w:sz w:val="22"/>
          <w:szCs w:val="22"/>
        </w:rPr>
        <w:t xml:space="preserve">Specifically, </w:t>
      </w:r>
      <w:r w:rsidR="00493741" w:rsidRPr="005D76EB">
        <w:rPr>
          <w:sz w:val="22"/>
          <w:szCs w:val="22"/>
        </w:rPr>
        <w:t>guidelines and user guides to support the operati</w:t>
      </w:r>
      <w:r w:rsidR="005C558E" w:rsidRPr="005D76EB">
        <w:rPr>
          <w:sz w:val="22"/>
          <w:szCs w:val="22"/>
        </w:rPr>
        <w:t>on</w:t>
      </w:r>
      <w:r w:rsidR="00493741" w:rsidRPr="005D76EB">
        <w:rPr>
          <w:sz w:val="22"/>
          <w:szCs w:val="22"/>
        </w:rPr>
        <w:t xml:space="preserve"> of the Pilot at</w:t>
      </w:r>
      <w:r w:rsidR="00CC7652" w:rsidRPr="005D76EB">
        <w:rPr>
          <w:sz w:val="22"/>
          <w:szCs w:val="22"/>
        </w:rPr>
        <w:t xml:space="preserve"> </w:t>
      </w:r>
      <w:hyperlink r:id="rId6" w:history="1">
        <w:r w:rsidR="00CC7652" w:rsidRPr="005D76EB">
          <w:rPr>
            <w:sz w:val="22"/>
            <w:szCs w:val="22"/>
          </w:rPr>
          <w:t>www.ppaonline.com.au/programs/trial-programs</w:t>
        </w:r>
      </w:hyperlink>
      <w:r w:rsidR="000A082E" w:rsidRPr="005D76EB">
        <w:rPr>
          <w:sz w:val="22"/>
          <w:szCs w:val="22"/>
        </w:rPr>
        <w:t xml:space="preserve"> </w:t>
      </w:r>
      <w:r w:rsidR="000A3B8E" w:rsidRPr="005D76EB">
        <w:rPr>
          <w:sz w:val="22"/>
          <w:szCs w:val="22"/>
        </w:rPr>
        <w:t xml:space="preserve">are to </w:t>
      </w:r>
      <w:r w:rsidR="00493741" w:rsidRPr="005D76EB">
        <w:rPr>
          <w:sz w:val="22"/>
          <w:szCs w:val="22"/>
        </w:rPr>
        <w:t>be updated to include reference to the</w:t>
      </w:r>
      <w:r w:rsidR="00775EF2" w:rsidRPr="005D76EB">
        <w:rPr>
          <w:sz w:val="22"/>
          <w:szCs w:val="22"/>
        </w:rPr>
        <w:t xml:space="preserve"> revised </w:t>
      </w:r>
      <w:r w:rsidR="006E5E6E" w:rsidRPr="005D76EB">
        <w:rPr>
          <w:sz w:val="22"/>
          <w:szCs w:val="22"/>
        </w:rPr>
        <w:t>P</w:t>
      </w:r>
      <w:r w:rsidR="00775EF2" w:rsidRPr="005D76EB">
        <w:rPr>
          <w:sz w:val="22"/>
          <w:szCs w:val="22"/>
        </w:rPr>
        <w:t xml:space="preserve">ilot timeframe. </w:t>
      </w:r>
      <w:r w:rsidR="00493741" w:rsidRPr="005D76EB">
        <w:rPr>
          <w:sz w:val="22"/>
          <w:szCs w:val="22"/>
        </w:rPr>
        <w:t xml:space="preserve"> </w:t>
      </w:r>
    </w:p>
    <w:p w:rsidR="000A082E" w:rsidRPr="005D76EB" w:rsidRDefault="000A082E" w:rsidP="00775EF2">
      <w:pPr>
        <w:spacing w:before="120"/>
        <w:jc w:val="both"/>
        <w:rPr>
          <w:sz w:val="22"/>
          <w:szCs w:val="22"/>
        </w:rPr>
      </w:pPr>
      <w:r w:rsidRPr="005D76EB">
        <w:rPr>
          <w:sz w:val="22"/>
          <w:szCs w:val="22"/>
        </w:rPr>
        <w:t xml:space="preserve">This Amendment Instrument commences the day after it is registered on the Federal Register of Legislation. </w:t>
      </w:r>
    </w:p>
    <w:p w:rsidR="00A2389C" w:rsidRPr="005D76EB" w:rsidRDefault="000A082E" w:rsidP="00775EF2">
      <w:pPr>
        <w:spacing w:before="120"/>
        <w:jc w:val="both"/>
        <w:rPr>
          <w:sz w:val="22"/>
          <w:szCs w:val="22"/>
        </w:rPr>
      </w:pPr>
      <w:r w:rsidRPr="005D76EB">
        <w:rPr>
          <w:sz w:val="22"/>
          <w:szCs w:val="22"/>
        </w:rPr>
        <w:t xml:space="preserve">This Amendment Instrument is a legislative instrument for the purposes of the </w:t>
      </w:r>
      <w:r w:rsidRPr="005D76EB">
        <w:rPr>
          <w:i/>
          <w:sz w:val="22"/>
          <w:szCs w:val="22"/>
        </w:rPr>
        <w:t>Legislation Act 2003</w:t>
      </w:r>
      <w:r w:rsidRPr="005D76EB">
        <w:rPr>
          <w:sz w:val="22"/>
          <w:szCs w:val="22"/>
        </w:rPr>
        <w:t>.</w:t>
      </w:r>
    </w:p>
    <w:p w:rsidR="00A2389C" w:rsidRPr="005D76EB" w:rsidRDefault="00A2389C" w:rsidP="00A2389C">
      <w:pPr>
        <w:spacing w:before="120"/>
        <w:jc w:val="both"/>
        <w:rPr>
          <w:sz w:val="22"/>
          <w:szCs w:val="22"/>
        </w:rPr>
      </w:pPr>
      <w:r w:rsidRPr="005D76EB">
        <w:rPr>
          <w:sz w:val="22"/>
          <w:szCs w:val="22"/>
        </w:rPr>
        <w:t xml:space="preserve">Details of this instrument are set out in the </w:t>
      </w:r>
      <w:r w:rsidRPr="005D76EB">
        <w:rPr>
          <w:sz w:val="22"/>
          <w:szCs w:val="22"/>
          <w:u w:val="single"/>
        </w:rPr>
        <w:t>Attachment.</w:t>
      </w:r>
    </w:p>
    <w:p w:rsidR="000A082E" w:rsidRPr="005D76EB" w:rsidRDefault="000A082E" w:rsidP="00775EF2">
      <w:pPr>
        <w:spacing w:before="120"/>
        <w:jc w:val="both"/>
        <w:rPr>
          <w:b/>
          <w:sz w:val="22"/>
          <w:szCs w:val="22"/>
        </w:rPr>
      </w:pPr>
      <w:r w:rsidRPr="005D76EB">
        <w:rPr>
          <w:b/>
          <w:sz w:val="22"/>
          <w:szCs w:val="22"/>
        </w:rPr>
        <w:br w:type="page"/>
      </w:r>
    </w:p>
    <w:p w:rsidR="000A082E" w:rsidRPr="005D76EB" w:rsidRDefault="000A082E" w:rsidP="000A082E">
      <w:pPr>
        <w:spacing w:before="120"/>
        <w:jc w:val="right"/>
        <w:rPr>
          <w:b/>
          <w:sz w:val="22"/>
          <w:szCs w:val="22"/>
        </w:rPr>
      </w:pPr>
      <w:r w:rsidRPr="005D76EB">
        <w:rPr>
          <w:b/>
          <w:sz w:val="22"/>
          <w:szCs w:val="22"/>
        </w:rPr>
        <w:lastRenderedPageBreak/>
        <w:t>ATTACHMENT</w:t>
      </w:r>
    </w:p>
    <w:p w:rsidR="00A12F08" w:rsidRPr="005D76EB" w:rsidRDefault="000A082E" w:rsidP="00A12F08">
      <w:pPr>
        <w:spacing w:before="120" w:after="120"/>
        <w:jc w:val="both"/>
        <w:rPr>
          <w:b/>
          <w:sz w:val="22"/>
        </w:rPr>
      </w:pPr>
      <w:r w:rsidRPr="005D76EB">
        <w:rPr>
          <w:b/>
          <w:sz w:val="22"/>
          <w:szCs w:val="22"/>
        </w:rPr>
        <w:t xml:space="preserve">Details of the </w:t>
      </w:r>
      <w:r w:rsidR="00A12F08" w:rsidRPr="005D76EB">
        <w:rPr>
          <w:b/>
          <w:i/>
          <w:sz w:val="22"/>
        </w:rPr>
        <w:t>National Health (Take Home Naloxone Pilot) Special Arrangement</w:t>
      </w:r>
      <w:r w:rsidR="00F85AEE" w:rsidRPr="005D76EB">
        <w:rPr>
          <w:b/>
          <w:i/>
          <w:sz w:val="22"/>
        </w:rPr>
        <w:t xml:space="preserve"> </w:t>
      </w:r>
      <w:r w:rsidR="00A2389C" w:rsidRPr="005D76EB">
        <w:rPr>
          <w:b/>
          <w:i/>
          <w:sz w:val="22"/>
        </w:rPr>
        <w:t>Amendment</w:t>
      </w:r>
      <w:r w:rsidR="00A12F08" w:rsidRPr="005D76EB">
        <w:rPr>
          <w:b/>
          <w:i/>
          <w:sz w:val="22"/>
        </w:rPr>
        <w:t xml:space="preserve"> </w:t>
      </w:r>
      <w:r w:rsidR="00A2389C" w:rsidRPr="005D76EB">
        <w:rPr>
          <w:b/>
          <w:i/>
          <w:sz w:val="22"/>
        </w:rPr>
        <w:t xml:space="preserve"> (Program Extension) Instrument 2021</w:t>
      </w:r>
    </w:p>
    <w:p w:rsidR="000A082E" w:rsidRPr="005D76EB" w:rsidRDefault="000A082E">
      <w:pPr>
        <w:shd w:val="clear" w:color="auto" w:fill="FFFFFF"/>
        <w:spacing w:before="120" w:after="120"/>
        <w:rPr>
          <w:bCs/>
          <w:i/>
          <w:iCs/>
          <w:color w:val="000000"/>
          <w:sz w:val="22"/>
          <w:szCs w:val="22"/>
        </w:rPr>
      </w:pPr>
    </w:p>
    <w:p w:rsidR="000A082E" w:rsidRPr="005D76EB" w:rsidRDefault="000A082E">
      <w:pPr>
        <w:pStyle w:val="ActHead5"/>
      </w:pPr>
      <w:bookmarkStart w:id="0" w:name="_Toc47445314"/>
      <w:r w:rsidRPr="005D76EB">
        <w:rPr>
          <w:rStyle w:val="CharSectno"/>
        </w:rPr>
        <w:t>Section 1</w:t>
      </w:r>
      <w:r w:rsidRPr="005D76EB">
        <w:tab/>
      </w:r>
      <w:r w:rsidRPr="005D76EB">
        <w:tab/>
        <w:t>Name</w:t>
      </w:r>
      <w:bookmarkEnd w:id="0"/>
    </w:p>
    <w:p w:rsidR="000A082E" w:rsidRPr="005D76EB" w:rsidRDefault="000A082E">
      <w:pPr>
        <w:spacing w:before="120"/>
      </w:pPr>
      <w:r w:rsidRPr="005D76EB">
        <w:rPr>
          <w:sz w:val="22"/>
          <w:szCs w:val="22"/>
        </w:rPr>
        <w:t xml:space="preserve">This section provides that the name of the instrument is the </w:t>
      </w:r>
      <w:r w:rsidRPr="005D76EB">
        <w:rPr>
          <w:i/>
          <w:sz w:val="22"/>
          <w:szCs w:val="22"/>
        </w:rPr>
        <w:t>National Health (Take Home Naloxone Pilot) Special Arrangement</w:t>
      </w:r>
      <w:r w:rsidR="00A2389C" w:rsidRPr="005D76EB">
        <w:rPr>
          <w:i/>
          <w:sz w:val="22"/>
          <w:szCs w:val="22"/>
        </w:rPr>
        <w:t xml:space="preserve"> Amendment</w:t>
      </w:r>
      <w:r w:rsidRPr="005D76EB">
        <w:rPr>
          <w:i/>
          <w:sz w:val="22"/>
          <w:szCs w:val="22"/>
        </w:rPr>
        <w:t xml:space="preserve"> (</w:t>
      </w:r>
      <w:r w:rsidR="00A2389C" w:rsidRPr="005D76EB">
        <w:rPr>
          <w:i/>
          <w:sz w:val="22"/>
          <w:szCs w:val="22"/>
        </w:rPr>
        <w:t>Program Extension</w:t>
      </w:r>
      <w:r w:rsidRPr="005D76EB">
        <w:rPr>
          <w:i/>
          <w:sz w:val="22"/>
          <w:szCs w:val="22"/>
        </w:rPr>
        <w:t>) Instrument 202</w:t>
      </w:r>
      <w:r w:rsidR="00A2389C" w:rsidRPr="005D76EB">
        <w:rPr>
          <w:i/>
          <w:sz w:val="22"/>
          <w:szCs w:val="22"/>
        </w:rPr>
        <w:t>1</w:t>
      </w:r>
      <w:r w:rsidRPr="005D76EB">
        <w:rPr>
          <w:sz w:val="22"/>
          <w:szCs w:val="22"/>
        </w:rPr>
        <w:t xml:space="preserve"> and may also be cited as PB </w:t>
      </w:r>
      <w:r w:rsidR="001E3D3E" w:rsidRPr="005D76EB">
        <w:rPr>
          <w:sz w:val="22"/>
          <w:szCs w:val="22"/>
        </w:rPr>
        <w:t>9</w:t>
      </w:r>
      <w:r w:rsidRPr="005D76EB">
        <w:rPr>
          <w:sz w:val="22"/>
          <w:szCs w:val="22"/>
        </w:rPr>
        <w:t> of 202</w:t>
      </w:r>
      <w:r w:rsidR="001E3D3E" w:rsidRPr="005D76EB">
        <w:rPr>
          <w:sz w:val="22"/>
          <w:szCs w:val="22"/>
        </w:rPr>
        <w:t>1</w:t>
      </w:r>
      <w:r w:rsidRPr="005D76EB">
        <w:rPr>
          <w:sz w:val="22"/>
          <w:szCs w:val="22"/>
        </w:rPr>
        <w:t>.</w:t>
      </w:r>
    </w:p>
    <w:p w:rsidR="000A082E" w:rsidRPr="005D76EB" w:rsidRDefault="000A082E">
      <w:pPr>
        <w:pStyle w:val="ActHead5"/>
      </w:pPr>
      <w:bookmarkStart w:id="1" w:name="_Toc47445315"/>
      <w:r w:rsidRPr="005D76EB">
        <w:rPr>
          <w:rStyle w:val="CharSectno"/>
        </w:rPr>
        <w:t xml:space="preserve">Section </w:t>
      </w:r>
      <w:bookmarkEnd w:id="1"/>
      <w:r w:rsidRPr="005D76EB">
        <w:rPr>
          <w:rStyle w:val="CharSectno"/>
        </w:rPr>
        <w:t>2</w:t>
      </w:r>
      <w:r w:rsidRPr="005D76EB">
        <w:tab/>
      </w:r>
      <w:r w:rsidRPr="005D76EB">
        <w:tab/>
        <w:t>Commencement</w:t>
      </w:r>
    </w:p>
    <w:p w:rsidR="000A082E" w:rsidRPr="005D76EB" w:rsidRDefault="000A082E">
      <w:pPr>
        <w:spacing w:before="120"/>
        <w:rPr>
          <w:sz w:val="22"/>
          <w:szCs w:val="22"/>
        </w:rPr>
      </w:pPr>
      <w:r w:rsidRPr="005D76EB">
        <w:rPr>
          <w:sz w:val="22"/>
          <w:szCs w:val="22"/>
        </w:rPr>
        <w:t xml:space="preserve">This section provides that the Arrangement commences the day after the instrument is registered on the Federal Register of Legislation. </w:t>
      </w:r>
    </w:p>
    <w:p w:rsidR="000A082E" w:rsidRPr="005D76EB" w:rsidRDefault="000A082E">
      <w:pPr>
        <w:pStyle w:val="ActHead5"/>
      </w:pPr>
      <w:bookmarkStart w:id="2" w:name="_Toc47445316"/>
      <w:r w:rsidRPr="005D76EB">
        <w:rPr>
          <w:rStyle w:val="CharSectno"/>
        </w:rPr>
        <w:t>Section 3</w:t>
      </w:r>
      <w:r w:rsidRPr="005D76EB">
        <w:rPr>
          <w:rStyle w:val="CharSectno"/>
        </w:rPr>
        <w:tab/>
      </w:r>
      <w:r w:rsidRPr="005D76EB">
        <w:rPr>
          <w:rStyle w:val="CharSectno"/>
        </w:rPr>
        <w:tab/>
      </w:r>
      <w:r w:rsidRPr="005D76EB">
        <w:t>Authority</w:t>
      </w:r>
      <w:bookmarkEnd w:id="2"/>
    </w:p>
    <w:p w:rsidR="000A082E" w:rsidRPr="005D76EB" w:rsidRDefault="000A082E">
      <w:pPr>
        <w:spacing w:before="120"/>
        <w:rPr>
          <w:i/>
        </w:rPr>
      </w:pPr>
      <w:r w:rsidRPr="005D76EB">
        <w:rPr>
          <w:sz w:val="22"/>
          <w:szCs w:val="22"/>
        </w:rPr>
        <w:t xml:space="preserve">This section provides that the Arrangement is made under subsection 100(2) of the </w:t>
      </w:r>
      <w:r w:rsidRPr="005D76EB">
        <w:rPr>
          <w:i/>
          <w:sz w:val="22"/>
          <w:szCs w:val="22"/>
        </w:rPr>
        <w:t>National Health Act 1953.</w:t>
      </w:r>
    </w:p>
    <w:p w:rsidR="000A082E" w:rsidRPr="005D76EB" w:rsidRDefault="000A082E">
      <w:pPr>
        <w:pStyle w:val="ActHead5"/>
      </w:pPr>
      <w:bookmarkStart w:id="3" w:name="_Toc47445317"/>
      <w:r w:rsidRPr="005D76EB">
        <w:rPr>
          <w:rStyle w:val="CharSectno"/>
        </w:rPr>
        <w:t>Section 4</w:t>
      </w:r>
      <w:r w:rsidRPr="005D76EB">
        <w:tab/>
      </w:r>
      <w:r w:rsidRPr="005D76EB">
        <w:tab/>
        <w:t>Schedules</w:t>
      </w:r>
      <w:bookmarkEnd w:id="3"/>
    </w:p>
    <w:p w:rsidR="000A082E" w:rsidRPr="005D76EB" w:rsidRDefault="000A082E">
      <w:pPr>
        <w:spacing w:before="120"/>
      </w:pPr>
      <w:r w:rsidRPr="005D76EB">
        <w:rPr>
          <w:sz w:val="22"/>
          <w:szCs w:val="22"/>
        </w:rPr>
        <w:t>This section provides that changes are made to the Arrangement as specified in the Schedule contained in this instrument.</w:t>
      </w:r>
      <w:r w:rsidRPr="005D76EB">
        <w:t xml:space="preserve"> </w:t>
      </w:r>
    </w:p>
    <w:p w:rsidR="000A082E" w:rsidRPr="005D76EB" w:rsidRDefault="000A082E" w:rsidP="002576FD">
      <w:pPr>
        <w:spacing w:before="120"/>
        <w:jc w:val="both"/>
      </w:pPr>
    </w:p>
    <w:p w:rsidR="000A082E" w:rsidRPr="005D76EB" w:rsidRDefault="000A082E" w:rsidP="002576FD">
      <w:pPr>
        <w:spacing w:before="120"/>
        <w:jc w:val="both"/>
        <w:rPr>
          <w:sz w:val="22"/>
          <w:szCs w:val="22"/>
          <w:u w:val="single"/>
        </w:rPr>
      </w:pPr>
      <w:r w:rsidRPr="005D76EB">
        <w:rPr>
          <w:sz w:val="22"/>
          <w:szCs w:val="22"/>
          <w:u w:val="single"/>
        </w:rPr>
        <w:t>Schedule 1 - Amendments</w:t>
      </w:r>
    </w:p>
    <w:p w:rsidR="000A082E" w:rsidRPr="005D76EB" w:rsidRDefault="000A082E" w:rsidP="002576FD">
      <w:pPr>
        <w:pStyle w:val="Header"/>
        <w:jc w:val="both"/>
      </w:pPr>
      <w:r w:rsidRPr="005D76EB">
        <w:rPr>
          <w:rStyle w:val="CharAmPartNo"/>
        </w:rPr>
        <w:t xml:space="preserve"> </w:t>
      </w:r>
      <w:r w:rsidRPr="005D76EB">
        <w:rPr>
          <w:rStyle w:val="CharAmPartText"/>
        </w:rPr>
        <w:t xml:space="preserve"> </w:t>
      </w:r>
    </w:p>
    <w:p w:rsidR="000A082E" w:rsidRPr="005D76EB" w:rsidRDefault="00A2389C" w:rsidP="002576FD">
      <w:pPr>
        <w:pStyle w:val="ActHead5"/>
        <w:jc w:val="both"/>
        <w:rPr>
          <w:rStyle w:val="CharSectno"/>
          <w:b w:val="0"/>
          <w:kern w:val="0"/>
          <w:sz w:val="16"/>
        </w:rPr>
      </w:pPr>
      <w:bookmarkStart w:id="4" w:name="BK_S3P2L3C1"/>
      <w:bookmarkEnd w:id="4"/>
      <w:r w:rsidRPr="005D76EB">
        <w:rPr>
          <w:rStyle w:val="CharSectno"/>
        </w:rPr>
        <w:t>S</w:t>
      </w:r>
      <w:r w:rsidR="000A082E" w:rsidRPr="005D76EB">
        <w:rPr>
          <w:rStyle w:val="CharSectno"/>
        </w:rPr>
        <w:t xml:space="preserve">ection </w:t>
      </w:r>
      <w:r w:rsidR="005C558E" w:rsidRPr="005D76EB">
        <w:rPr>
          <w:rStyle w:val="CharSectno"/>
        </w:rPr>
        <w:t>4</w:t>
      </w:r>
      <w:r w:rsidR="000A082E" w:rsidRPr="005D76EB">
        <w:rPr>
          <w:rStyle w:val="CharSectno"/>
        </w:rPr>
        <w:t xml:space="preserve"> </w:t>
      </w:r>
    </w:p>
    <w:p w:rsidR="000A082E" w:rsidRPr="005D76EB" w:rsidRDefault="00A2389C" w:rsidP="00C32551">
      <w:pPr>
        <w:spacing w:before="120"/>
        <w:jc w:val="both"/>
        <w:rPr>
          <w:sz w:val="22"/>
          <w:szCs w:val="22"/>
        </w:rPr>
      </w:pPr>
      <w:r w:rsidRPr="005D76EB">
        <w:rPr>
          <w:sz w:val="22"/>
          <w:szCs w:val="22"/>
        </w:rPr>
        <w:t xml:space="preserve">Section </w:t>
      </w:r>
      <w:r w:rsidR="002576FD" w:rsidRPr="005D76EB">
        <w:rPr>
          <w:sz w:val="22"/>
          <w:szCs w:val="22"/>
        </w:rPr>
        <w:t>4</w:t>
      </w:r>
      <w:r w:rsidR="000A082E" w:rsidRPr="005D76EB">
        <w:rPr>
          <w:sz w:val="22"/>
          <w:szCs w:val="22"/>
        </w:rPr>
        <w:t xml:space="preserve"> is </w:t>
      </w:r>
      <w:r w:rsidR="005C558E" w:rsidRPr="005D76EB">
        <w:rPr>
          <w:sz w:val="22"/>
          <w:szCs w:val="22"/>
        </w:rPr>
        <w:t xml:space="preserve">amended </w:t>
      </w:r>
      <w:r w:rsidR="002576FD" w:rsidRPr="005D76EB">
        <w:rPr>
          <w:sz w:val="22"/>
          <w:szCs w:val="22"/>
        </w:rPr>
        <w:t xml:space="preserve">to update the repeal date </w:t>
      </w:r>
      <w:r w:rsidR="005C20B4" w:rsidRPr="005D76EB">
        <w:rPr>
          <w:sz w:val="22"/>
          <w:szCs w:val="22"/>
        </w:rPr>
        <w:t xml:space="preserve">of the Arrangement </w:t>
      </w:r>
      <w:r w:rsidR="002576FD" w:rsidRPr="005D76EB">
        <w:rPr>
          <w:sz w:val="22"/>
          <w:szCs w:val="22"/>
        </w:rPr>
        <w:t>to</w:t>
      </w:r>
      <w:r w:rsidR="00F4501A" w:rsidRPr="005D76EB">
        <w:rPr>
          <w:i/>
          <w:sz w:val="22"/>
          <w:szCs w:val="22"/>
        </w:rPr>
        <w:t xml:space="preserve"> </w:t>
      </w:r>
      <w:r w:rsidR="00F4501A" w:rsidRPr="005D76EB">
        <w:rPr>
          <w:sz w:val="22"/>
          <w:szCs w:val="22"/>
        </w:rPr>
        <w:t>1 September 2021</w:t>
      </w:r>
      <w:r w:rsidR="002576FD" w:rsidRPr="005D76EB">
        <w:rPr>
          <w:i/>
          <w:sz w:val="22"/>
          <w:szCs w:val="22"/>
        </w:rPr>
        <w:t xml:space="preserve">. </w:t>
      </w:r>
      <w:r w:rsidR="000A082E" w:rsidRPr="005D76EB">
        <w:rPr>
          <w:sz w:val="22"/>
          <w:szCs w:val="22"/>
        </w:rPr>
        <w:t xml:space="preserve"> </w:t>
      </w:r>
    </w:p>
    <w:p w:rsidR="002576FD" w:rsidRPr="005D76EB" w:rsidRDefault="002576FD" w:rsidP="00034757">
      <w:pPr>
        <w:pStyle w:val="ActHead5"/>
        <w:ind w:left="0"/>
        <w:jc w:val="both"/>
        <w:rPr>
          <w:rStyle w:val="CharSectno"/>
          <w:b w:val="0"/>
          <w:kern w:val="0"/>
          <w:sz w:val="16"/>
        </w:rPr>
      </w:pPr>
      <w:r w:rsidRPr="005D76EB">
        <w:rPr>
          <w:rStyle w:val="CharSectno"/>
        </w:rPr>
        <w:tab/>
      </w:r>
      <w:r w:rsidR="00A2389C" w:rsidRPr="005D76EB">
        <w:rPr>
          <w:rStyle w:val="CharSectno"/>
        </w:rPr>
        <w:t xml:space="preserve">Section </w:t>
      </w:r>
      <w:r w:rsidRPr="005D76EB">
        <w:rPr>
          <w:rStyle w:val="CharSectno"/>
        </w:rPr>
        <w:t xml:space="preserve">5 </w:t>
      </w:r>
    </w:p>
    <w:p w:rsidR="002576FD" w:rsidRPr="005D76EB" w:rsidRDefault="00A2389C" w:rsidP="002576FD">
      <w:pPr>
        <w:spacing w:before="120"/>
        <w:rPr>
          <w:sz w:val="22"/>
          <w:szCs w:val="22"/>
        </w:rPr>
      </w:pPr>
      <w:r w:rsidRPr="005D76EB">
        <w:rPr>
          <w:sz w:val="22"/>
          <w:szCs w:val="22"/>
        </w:rPr>
        <w:t>S</w:t>
      </w:r>
      <w:r w:rsidR="002576FD" w:rsidRPr="005D76EB">
        <w:rPr>
          <w:sz w:val="22"/>
          <w:szCs w:val="22"/>
        </w:rPr>
        <w:t>ection 5 is amended</w:t>
      </w:r>
      <w:r w:rsidR="00F4501A" w:rsidRPr="005D76EB">
        <w:rPr>
          <w:sz w:val="22"/>
          <w:szCs w:val="22"/>
        </w:rPr>
        <w:t xml:space="preserve"> by substituting the </w:t>
      </w:r>
      <w:r w:rsidR="005C20B4" w:rsidRPr="005D76EB">
        <w:rPr>
          <w:sz w:val="22"/>
          <w:szCs w:val="22"/>
        </w:rPr>
        <w:t xml:space="preserve">reference to 28 February 2021 with a reference to 30 June 2021, reflecting the extension to the period in which </w:t>
      </w:r>
      <w:r w:rsidR="002576FD" w:rsidRPr="005D76EB">
        <w:rPr>
          <w:sz w:val="22"/>
          <w:szCs w:val="22"/>
        </w:rPr>
        <w:t xml:space="preserve">Naloxone </w:t>
      </w:r>
      <w:r w:rsidR="005C20B4" w:rsidRPr="005D76EB">
        <w:rPr>
          <w:sz w:val="22"/>
          <w:szCs w:val="22"/>
        </w:rPr>
        <w:t xml:space="preserve">can be supplied </w:t>
      </w:r>
      <w:r w:rsidR="002576FD" w:rsidRPr="005D76EB">
        <w:rPr>
          <w:sz w:val="22"/>
          <w:szCs w:val="22"/>
        </w:rPr>
        <w:t>in New South Wales, Western Australia, and South Australia</w:t>
      </w:r>
      <w:r w:rsidR="005C20B4" w:rsidRPr="005D76EB">
        <w:rPr>
          <w:sz w:val="22"/>
          <w:szCs w:val="22"/>
        </w:rPr>
        <w:t xml:space="preserve"> under the Pilot</w:t>
      </w:r>
      <w:r w:rsidR="00F4501A" w:rsidRPr="005D76EB">
        <w:rPr>
          <w:sz w:val="22"/>
          <w:szCs w:val="22"/>
        </w:rPr>
        <w:t xml:space="preserve">. </w:t>
      </w:r>
    </w:p>
    <w:p w:rsidR="002576FD" w:rsidRPr="005D76EB" w:rsidRDefault="00A2389C" w:rsidP="00C32551">
      <w:pPr>
        <w:pStyle w:val="ActHead5"/>
        <w:jc w:val="both"/>
        <w:rPr>
          <w:rStyle w:val="CharSectno"/>
        </w:rPr>
      </w:pPr>
      <w:r w:rsidRPr="005D76EB">
        <w:rPr>
          <w:rStyle w:val="CharSectno"/>
        </w:rPr>
        <w:t>Paragraphs</w:t>
      </w:r>
      <w:r w:rsidR="00743E34" w:rsidRPr="005D76EB">
        <w:rPr>
          <w:rStyle w:val="CharSectno"/>
        </w:rPr>
        <w:t xml:space="preserve"> 7(1)(a), 7(3)(a) and 7(4)(a)</w:t>
      </w:r>
      <w:r w:rsidR="00C32551" w:rsidRPr="005D76EB">
        <w:rPr>
          <w:rStyle w:val="CharSectno"/>
        </w:rPr>
        <w:t xml:space="preserve"> </w:t>
      </w:r>
    </w:p>
    <w:p w:rsidR="005C20B4" w:rsidRPr="005D76EB" w:rsidRDefault="005C20B4" w:rsidP="00034757">
      <w:pPr>
        <w:pStyle w:val="subsection"/>
        <w:spacing w:before="40"/>
      </w:pPr>
      <w:r w:rsidRPr="005D76EB">
        <w:rPr>
          <w:b/>
        </w:rPr>
        <w:t>Subparagraph 7(2)(a)(i)</w:t>
      </w:r>
    </w:p>
    <w:p w:rsidR="00743E34" w:rsidRPr="005D76EB" w:rsidRDefault="005C20B4" w:rsidP="005C20B4">
      <w:pPr>
        <w:spacing w:before="120"/>
        <w:rPr>
          <w:i/>
          <w:szCs w:val="22"/>
        </w:rPr>
      </w:pPr>
      <w:r w:rsidRPr="005D76EB">
        <w:rPr>
          <w:sz w:val="22"/>
          <w:szCs w:val="22"/>
        </w:rPr>
        <w:t>These p</w:t>
      </w:r>
      <w:r w:rsidR="008F45C5" w:rsidRPr="005D76EB">
        <w:rPr>
          <w:sz w:val="22"/>
          <w:szCs w:val="22"/>
        </w:rPr>
        <w:t xml:space="preserve">rovisions </w:t>
      </w:r>
      <w:r w:rsidRPr="005D76EB">
        <w:rPr>
          <w:sz w:val="22"/>
          <w:szCs w:val="22"/>
        </w:rPr>
        <w:t>a</w:t>
      </w:r>
      <w:r w:rsidR="00743E34" w:rsidRPr="005D76EB">
        <w:rPr>
          <w:sz w:val="22"/>
          <w:szCs w:val="22"/>
        </w:rPr>
        <w:t xml:space="preserve">re </w:t>
      </w:r>
      <w:r w:rsidR="00C32551" w:rsidRPr="005D76EB">
        <w:rPr>
          <w:sz w:val="22"/>
          <w:szCs w:val="22"/>
        </w:rPr>
        <w:t xml:space="preserve">amended </w:t>
      </w:r>
      <w:r w:rsidRPr="005D76EB">
        <w:rPr>
          <w:sz w:val="22"/>
          <w:szCs w:val="22"/>
        </w:rPr>
        <w:t xml:space="preserve">by substituting references to 1 March 2021 </w:t>
      </w:r>
      <w:r w:rsidR="008F45C5" w:rsidRPr="005D76EB">
        <w:rPr>
          <w:sz w:val="22"/>
          <w:szCs w:val="22"/>
        </w:rPr>
        <w:t xml:space="preserve">with reference </w:t>
      </w:r>
      <w:r w:rsidRPr="005D76EB">
        <w:rPr>
          <w:sz w:val="22"/>
          <w:szCs w:val="22"/>
        </w:rPr>
        <w:t>to 1</w:t>
      </w:r>
      <w:r w:rsidR="00AB389B" w:rsidRPr="005D76EB">
        <w:rPr>
          <w:sz w:val="22"/>
          <w:szCs w:val="22"/>
        </w:rPr>
        <w:t> </w:t>
      </w:r>
      <w:r w:rsidRPr="005D76EB">
        <w:rPr>
          <w:sz w:val="22"/>
          <w:szCs w:val="22"/>
        </w:rPr>
        <w:t>July</w:t>
      </w:r>
      <w:r w:rsidR="00AB389B" w:rsidRPr="005D76EB">
        <w:rPr>
          <w:sz w:val="22"/>
          <w:szCs w:val="22"/>
        </w:rPr>
        <w:t> </w:t>
      </w:r>
      <w:r w:rsidRPr="005D76EB">
        <w:rPr>
          <w:sz w:val="22"/>
          <w:szCs w:val="22"/>
        </w:rPr>
        <w:t>2021</w:t>
      </w:r>
      <w:r w:rsidR="008F45C5" w:rsidRPr="005D76EB">
        <w:rPr>
          <w:sz w:val="22"/>
          <w:szCs w:val="22"/>
        </w:rPr>
        <w:t xml:space="preserve">. This </w:t>
      </w:r>
      <w:r w:rsidRPr="005D76EB">
        <w:rPr>
          <w:sz w:val="22"/>
          <w:szCs w:val="22"/>
        </w:rPr>
        <w:t>extend</w:t>
      </w:r>
      <w:r w:rsidR="008F45C5" w:rsidRPr="005D76EB">
        <w:rPr>
          <w:sz w:val="22"/>
          <w:szCs w:val="22"/>
        </w:rPr>
        <w:t>s</w:t>
      </w:r>
      <w:r w:rsidRPr="005D76EB">
        <w:rPr>
          <w:sz w:val="22"/>
          <w:szCs w:val="22"/>
        </w:rPr>
        <w:t xml:space="preserve"> the date before which supplies of Naloxone by approved hospital authorities, approved medical practitioners, approved pharmacists and authorised alternative suppliers will be ‘special arrangement supplies’ (provided all other requirements are met</w:t>
      </w:r>
      <w:r w:rsidR="000166A9" w:rsidRPr="005D76EB">
        <w:rPr>
          <w:sz w:val="22"/>
          <w:szCs w:val="22"/>
        </w:rPr>
        <w:t>)</w:t>
      </w:r>
      <w:r w:rsidRPr="005D76EB">
        <w:rPr>
          <w:sz w:val="22"/>
          <w:szCs w:val="22"/>
        </w:rPr>
        <w:t xml:space="preserve">. </w:t>
      </w:r>
    </w:p>
    <w:p w:rsidR="00743E34" w:rsidRPr="005D76EB" w:rsidRDefault="00743E34" w:rsidP="002576FD">
      <w:pPr>
        <w:spacing w:before="120"/>
        <w:rPr>
          <w:sz w:val="24"/>
          <w:szCs w:val="24"/>
        </w:rPr>
      </w:pPr>
    </w:p>
    <w:p w:rsidR="00743E34" w:rsidRPr="005D76EB" w:rsidRDefault="00743E34" w:rsidP="002576FD">
      <w:pPr>
        <w:spacing w:before="120"/>
        <w:rPr>
          <w:sz w:val="22"/>
          <w:szCs w:val="22"/>
        </w:rPr>
      </w:pPr>
    </w:p>
    <w:p w:rsidR="002576FD" w:rsidRPr="005D76EB" w:rsidRDefault="002576FD" w:rsidP="000E70A9">
      <w:pPr>
        <w:pStyle w:val="ActHead5"/>
        <w:spacing w:before="120"/>
        <w:jc w:val="both"/>
        <w:rPr>
          <w:rStyle w:val="CharSectno"/>
        </w:rPr>
      </w:pPr>
    </w:p>
    <w:p w:rsidR="000A082E" w:rsidRPr="005D76EB" w:rsidRDefault="000A082E" w:rsidP="000A082E"/>
    <w:p w:rsidR="000A082E" w:rsidRPr="005D76EB" w:rsidRDefault="000A082E" w:rsidP="000A082E"/>
    <w:p w:rsidR="000A082E" w:rsidRPr="005D76EB" w:rsidRDefault="000A082E" w:rsidP="000A082E"/>
    <w:p w:rsidR="000A082E" w:rsidRPr="005D76EB" w:rsidRDefault="000A082E" w:rsidP="000A082E"/>
    <w:p w:rsidR="000A082E" w:rsidRPr="005D76EB" w:rsidRDefault="000A082E" w:rsidP="000A082E">
      <w:pPr>
        <w:spacing w:after="160" w:line="259" w:lineRule="auto"/>
        <w:rPr>
          <w:rFonts w:eastAsiaTheme="minorHAnsi" w:cstheme="minorBidi"/>
          <w:b/>
          <w:sz w:val="28"/>
          <w:szCs w:val="28"/>
          <w:lang w:eastAsia="en-US"/>
        </w:rPr>
      </w:pPr>
      <w:r w:rsidRPr="005D76EB">
        <w:br w:type="page"/>
      </w:r>
    </w:p>
    <w:p w:rsidR="000A082E" w:rsidRPr="005D76EB" w:rsidRDefault="000A082E" w:rsidP="000A082E">
      <w:pPr>
        <w:pStyle w:val="Heading2"/>
      </w:pPr>
      <w:r w:rsidRPr="005D76EB">
        <w:lastRenderedPageBreak/>
        <w:t>Statement of Compatibility with Human Rights</w:t>
      </w:r>
    </w:p>
    <w:p w:rsidR="000A082E" w:rsidRPr="005D76EB" w:rsidRDefault="000A082E" w:rsidP="00C32551">
      <w:pPr>
        <w:spacing w:before="120" w:after="120"/>
        <w:jc w:val="center"/>
        <w:rPr>
          <w:i/>
          <w:sz w:val="22"/>
        </w:rPr>
      </w:pPr>
      <w:r w:rsidRPr="005D76EB">
        <w:rPr>
          <w:i/>
          <w:sz w:val="22"/>
        </w:rPr>
        <w:t>Prepared in accordance with Part 3 of the Human Rights (Parliamentary Scrutiny) Act 2011</w:t>
      </w:r>
    </w:p>
    <w:p w:rsidR="000A082E" w:rsidRPr="005D76EB" w:rsidRDefault="000A082E" w:rsidP="000A082E">
      <w:pPr>
        <w:spacing w:before="120" w:after="120"/>
        <w:jc w:val="center"/>
        <w:rPr>
          <w:sz w:val="24"/>
          <w:szCs w:val="24"/>
        </w:rPr>
      </w:pPr>
    </w:p>
    <w:p w:rsidR="00A12F08" w:rsidRPr="005D76EB" w:rsidRDefault="00A12F08" w:rsidP="00AB389B">
      <w:pPr>
        <w:spacing w:before="120" w:after="120"/>
        <w:jc w:val="center"/>
        <w:rPr>
          <w:b/>
          <w:sz w:val="22"/>
        </w:rPr>
      </w:pPr>
      <w:r w:rsidRPr="005D76EB">
        <w:rPr>
          <w:b/>
          <w:i/>
          <w:sz w:val="22"/>
        </w:rPr>
        <w:t>National Health (Take Home Naloxone Pilot) Special Arrangement</w:t>
      </w:r>
      <w:r w:rsidR="00743E34" w:rsidRPr="005D76EB">
        <w:rPr>
          <w:b/>
          <w:i/>
          <w:sz w:val="22"/>
        </w:rPr>
        <w:t xml:space="preserve"> Amendment (Program Extension) Instrument 2021</w:t>
      </w:r>
      <w:r w:rsidRPr="005D76EB">
        <w:rPr>
          <w:b/>
          <w:i/>
          <w:sz w:val="22"/>
        </w:rPr>
        <w:t xml:space="preserve"> </w:t>
      </w:r>
      <w:r w:rsidR="00034757" w:rsidRPr="005D76EB">
        <w:rPr>
          <w:b/>
          <w:i/>
          <w:sz w:val="22"/>
        </w:rPr>
        <w:t>(PB 9 of 2021)</w:t>
      </w:r>
    </w:p>
    <w:p w:rsidR="000A082E" w:rsidRPr="005D76EB" w:rsidRDefault="000A082E" w:rsidP="00AB389B">
      <w:pPr>
        <w:spacing w:before="120" w:after="120"/>
        <w:jc w:val="center"/>
        <w:rPr>
          <w:sz w:val="22"/>
        </w:rPr>
      </w:pPr>
      <w:r w:rsidRPr="005D76EB">
        <w:rPr>
          <w:sz w:val="22"/>
        </w:rPr>
        <w:t xml:space="preserve">This Legislative Instrument is compatible with the human rights and freedoms recognised or declared in the international instruments listed in section 3 of the </w:t>
      </w:r>
      <w:r w:rsidRPr="005D76EB">
        <w:rPr>
          <w:i/>
          <w:sz w:val="22"/>
        </w:rPr>
        <w:t>Human Rights (Parliamentary Scrutiny) Act 2011</w:t>
      </w:r>
      <w:r w:rsidRPr="005D76EB">
        <w:rPr>
          <w:sz w:val="22"/>
        </w:rPr>
        <w:t>.</w:t>
      </w:r>
    </w:p>
    <w:p w:rsidR="000A082E" w:rsidRPr="005D76EB" w:rsidRDefault="000A082E">
      <w:pPr>
        <w:pStyle w:val="Heading3"/>
      </w:pPr>
      <w:r w:rsidRPr="005D76EB">
        <w:t>Overview of the Legislative Instrument</w:t>
      </w:r>
    </w:p>
    <w:p w:rsidR="000A082E" w:rsidRPr="005D76EB" w:rsidRDefault="000A082E" w:rsidP="00C32551">
      <w:pPr>
        <w:spacing w:before="120" w:after="120"/>
        <w:jc w:val="both"/>
        <w:rPr>
          <w:szCs w:val="22"/>
        </w:rPr>
      </w:pPr>
      <w:r w:rsidRPr="005D76EB">
        <w:rPr>
          <w:sz w:val="22"/>
        </w:rPr>
        <w:t xml:space="preserve">Pursuant to subsection 100(2) of the </w:t>
      </w:r>
      <w:r w:rsidRPr="005D76EB">
        <w:rPr>
          <w:i/>
          <w:sz w:val="22"/>
        </w:rPr>
        <w:t>National Health Act 1952</w:t>
      </w:r>
      <w:r w:rsidRPr="005D76EB">
        <w:rPr>
          <w:sz w:val="22"/>
        </w:rPr>
        <w:t xml:space="preserve"> (the Act), this instrument amends the </w:t>
      </w:r>
      <w:r w:rsidRPr="005D76EB">
        <w:rPr>
          <w:i/>
          <w:sz w:val="22"/>
        </w:rPr>
        <w:t>National Health (Take Home Naloxone Pilot) Special Arrangement 2019</w:t>
      </w:r>
      <w:r w:rsidRPr="005D76EB">
        <w:rPr>
          <w:sz w:val="22"/>
        </w:rPr>
        <w:t xml:space="preserve"> (PB 97 of 2019) (the Arrangement). </w:t>
      </w:r>
    </w:p>
    <w:p w:rsidR="000A082E" w:rsidRPr="005D76EB" w:rsidRDefault="000A082E" w:rsidP="00C32551">
      <w:pPr>
        <w:spacing w:before="120"/>
        <w:jc w:val="both"/>
        <w:rPr>
          <w:sz w:val="22"/>
          <w:szCs w:val="22"/>
        </w:rPr>
      </w:pPr>
      <w:r w:rsidRPr="005D76EB">
        <w:rPr>
          <w:sz w:val="22"/>
          <w:szCs w:val="22"/>
        </w:rPr>
        <w:t>The Arrangement is established under section 100(1) of the Act to support the PBS subsidised Take Home Naloxone Pilot (the Pilot), which commenced</w:t>
      </w:r>
      <w:r w:rsidRPr="005D76EB" w:rsidDel="00C848F0">
        <w:rPr>
          <w:sz w:val="22"/>
          <w:szCs w:val="22"/>
        </w:rPr>
        <w:t xml:space="preserve"> 1 December 2019</w:t>
      </w:r>
      <w:r w:rsidRPr="005D76EB">
        <w:rPr>
          <w:sz w:val="22"/>
          <w:szCs w:val="22"/>
        </w:rPr>
        <w:t>,</w:t>
      </w:r>
      <w:r w:rsidRPr="005D76EB" w:rsidDel="00C848F0">
        <w:rPr>
          <w:sz w:val="22"/>
          <w:szCs w:val="22"/>
        </w:rPr>
        <w:t xml:space="preserve"> </w:t>
      </w:r>
      <w:r w:rsidRPr="005D76EB">
        <w:rPr>
          <w:sz w:val="22"/>
          <w:szCs w:val="22"/>
        </w:rPr>
        <w:t xml:space="preserve">and will operate </w:t>
      </w:r>
      <w:r w:rsidRPr="005D76EB" w:rsidDel="00C848F0">
        <w:rPr>
          <w:sz w:val="22"/>
          <w:szCs w:val="22"/>
        </w:rPr>
        <w:t xml:space="preserve">to </w:t>
      </w:r>
      <w:r w:rsidR="00B9551A" w:rsidRPr="005D76EB">
        <w:rPr>
          <w:sz w:val="22"/>
          <w:szCs w:val="22"/>
        </w:rPr>
        <w:t>30 June </w:t>
      </w:r>
      <w:r w:rsidRPr="005D76EB" w:rsidDel="00C848F0">
        <w:rPr>
          <w:sz w:val="22"/>
          <w:szCs w:val="22"/>
        </w:rPr>
        <w:t>2021 in New South Wales</w:t>
      </w:r>
      <w:r w:rsidRPr="005D76EB">
        <w:rPr>
          <w:sz w:val="22"/>
          <w:szCs w:val="22"/>
        </w:rPr>
        <w:t xml:space="preserve"> (NSW)</w:t>
      </w:r>
      <w:r w:rsidRPr="005D76EB" w:rsidDel="00C848F0">
        <w:rPr>
          <w:sz w:val="22"/>
          <w:szCs w:val="22"/>
        </w:rPr>
        <w:t>, Western Australia</w:t>
      </w:r>
      <w:r w:rsidRPr="005D76EB">
        <w:rPr>
          <w:sz w:val="22"/>
          <w:szCs w:val="22"/>
        </w:rPr>
        <w:t xml:space="preserve"> (WA),</w:t>
      </w:r>
      <w:r w:rsidRPr="005D76EB" w:rsidDel="00C848F0">
        <w:rPr>
          <w:sz w:val="22"/>
          <w:szCs w:val="22"/>
        </w:rPr>
        <w:t xml:space="preserve"> and South Australia</w:t>
      </w:r>
      <w:r w:rsidRPr="005D76EB">
        <w:rPr>
          <w:sz w:val="22"/>
          <w:szCs w:val="22"/>
        </w:rPr>
        <w:t xml:space="preserve"> (SA). The Pilot is part of the Government’s commitment to reducing adverse health, social and economic consequences of drug use through the National Drug Strategy.</w:t>
      </w:r>
    </w:p>
    <w:p w:rsidR="00F9268F" w:rsidRPr="005D76EB" w:rsidRDefault="000A082E" w:rsidP="00C32551">
      <w:pPr>
        <w:spacing w:before="120"/>
        <w:jc w:val="both"/>
        <w:rPr>
          <w:sz w:val="22"/>
          <w:szCs w:val="22"/>
        </w:rPr>
      </w:pPr>
      <w:r w:rsidRPr="005D76EB">
        <w:rPr>
          <w:sz w:val="22"/>
          <w:szCs w:val="22"/>
        </w:rPr>
        <w:t xml:space="preserve">The aim of the Pilot is to trial the supply of Naloxone (for opioid overdose reversal) to persons who are at risk of an opioid overdose, and persons who are likely to be able to assist such persons. </w:t>
      </w:r>
      <w:r w:rsidR="00C31E50" w:rsidRPr="005D76EB">
        <w:rPr>
          <w:sz w:val="22"/>
          <w:szCs w:val="22"/>
        </w:rPr>
        <w:t xml:space="preserve">The Pilot </w:t>
      </w:r>
      <w:r w:rsidRPr="005D76EB">
        <w:rPr>
          <w:sz w:val="22"/>
          <w:szCs w:val="22"/>
        </w:rPr>
        <w:t xml:space="preserve">allows for Naloxone to be supplied free of charge and without prescription by hospitals, pharmacists, certain medical practitioners, and other authorised persons and organisations, such as needle and syringe programs, alcohol drug treatment centres, or correctional release programs who have registered to participate. </w:t>
      </w:r>
    </w:p>
    <w:p w:rsidR="000A082E" w:rsidRPr="005D76EB" w:rsidRDefault="000A082E" w:rsidP="00C32551">
      <w:pPr>
        <w:spacing w:before="120"/>
        <w:jc w:val="both"/>
        <w:rPr>
          <w:sz w:val="22"/>
          <w:szCs w:val="22"/>
        </w:rPr>
      </w:pPr>
      <w:r w:rsidRPr="005D76EB">
        <w:rPr>
          <w:sz w:val="22"/>
          <w:szCs w:val="22"/>
        </w:rPr>
        <w:t xml:space="preserve">The Pilot, in conjunction with the various take home Naloxone programs currently operating in the </w:t>
      </w:r>
      <w:r w:rsidR="00077C8C" w:rsidRPr="005D76EB">
        <w:rPr>
          <w:sz w:val="22"/>
          <w:szCs w:val="22"/>
        </w:rPr>
        <w:t>S</w:t>
      </w:r>
      <w:r w:rsidRPr="005D76EB">
        <w:rPr>
          <w:sz w:val="22"/>
          <w:szCs w:val="22"/>
        </w:rPr>
        <w:t xml:space="preserve">tates, provides an opportunity to increase access to Naloxone to a wider population at risk of overdose. It will provide critical evidence and information necessary for the consideration of a national roll out. </w:t>
      </w:r>
    </w:p>
    <w:p w:rsidR="000A082E" w:rsidRPr="005D76EB" w:rsidRDefault="000A082E" w:rsidP="00C32551">
      <w:pPr>
        <w:spacing w:before="120"/>
        <w:jc w:val="both"/>
        <w:rPr>
          <w:sz w:val="22"/>
          <w:szCs w:val="22"/>
        </w:rPr>
      </w:pPr>
      <w:r w:rsidRPr="005D76EB">
        <w:rPr>
          <w:sz w:val="22"/>
          <w:szCs w:val="22"/>
        </w:rPr>
        <w:t xml:space="preserve">The </w:t>
      </w:r>
      <w:r w:rsidR="00935333" w:rsidRPr="005D76EB">
        <w:rPr>
          <w:sz w:val="22"/>
          <w:szCs w:val="22"/>
        </w:rPr>
        <w:t xml:space="preserve">amendments made by this instrument </w:t>
      </w:r>
      <w:r w:rsidR="00C32551" w:rsidRPr="005D76EB">
        <w:rPr>
          <w:sz w:val="22"/>
          <w:szCs w:val="22"/>
        </w:rPr>
        <w:t xml:space="preserve">amend and extend </w:t>
      </w:r>
      <w:r w:rsidR="00F9268F" w:rsidRPr="005D76EB">
        <w:rPr>
          <w:sz w:val="22"/>
          <w:szCs w:val="22"/>
        </w:rPr>
        <w:t xml:space="preserve">both </w:t>
      </w:r>
      <w:r w:rsidR="00C32551" w:rsidRPr="005D76EB">
        <w:rPr>
          <w:sz w:val="22"/>
          <w:szCs w:val="22"/>
        </w:rPr>
        <w:t xml:space="preserve">the repeal date </w:t>
      </w:r>
      <w:r w:rsidR="00034757" w:rsidRPr="005D76EB">
        <w:rPr>
          <w:sz w:val="22"/>
          <w:szCs w:val="22"/>
        </w:rPr>
        <w:t xml:space="preserve">of the Arrangement </w:t>
      </w:r>
      <w:r w:rsidR="00C32551" w:rsidRPr="005D76EB">
        <w:rPr>
          <w:sz w:val="22"/>
          <w:szCs w:val="22"/>
        </w:rPr>
        <w:t xml:space="preserve">and the end date </w:t>
      </w:r>
      <w:r w:rsidR="00034757" w:rsidRPr="005D76EB">
        <w:rPr>
          <w:sz w:val="22"/>
          <w:szCs w:val="22"/>
        </w:rPr>
        <w:t xml:space="preserve">for supplies to be made under </w:t>
      </w:r>
      <w:r w:rsidR="00C32551" w:rsidRPr="005D76EB">
        <w:rPr>
          <w:sz w:val="22"/>
          <w:szCs w:val="22"/>
        </w:rPr>
        <w:t>the Pilot.</w:t>
      </w:r>
      <w:r w:rsidR="00F9268F" w:rsidRPr="005D76EB">
        <w:rPr>
          <w:sz w:val="22"/>
          <w:szCs w:val="22"/>
        </w:rPr>
        <w:t xml:space="preserve"> The </w:t>
      </w:r>
      <w:r w:rsidR="00034757" w:rsidRPr="005D76EB">
        <w:rPr>
          <w:sz w:val="22"/>
          <w:szCs w:val="22"/>
        </w:rPr>
        <w:t xml:space="preserve">Arrangement will </w:t>
      </w:r>
      <w:r w:rsidR="00F9268F" w:rsidRPr="005D76EB">
        <w:rPr>
          <w:sz w:val="22"/>
          <w:szCs w:val="22"/>
        </w:rPr>
        <w:t xml:space="preserve">now </w:t>
      </w:r>
      <w:r w:rsidR="00034757" w:rsidRPr="005D76EB">
        <w:rPr>
          <w:sz w:val="22"/>
          <w:szCs w:val="22"/>
        </w:rPr>
        <w:t xml:space="preserve">be </w:t>
      </w:r>
      <w:r w:rsidR="00F9268F" w:rsidRPr="005D76EB">
        <w:rPr>
          <w:sz w:val="22"/>
          <w:szCs w:val="22"/>
        </w:rPr>
        <w:t xml:space="preserve">repealed at the start of </w:t>
      </w:r>
      <w:r w:rsidR="00034757" w:rsidRPr="005D76EB">
        <w:rPr>
          <w:sz w:val="22"/>
          <w:szCs w:val="22"/>
        </w:rPr>
        <w:t xml:space="preserve">1 September </w:t>
      </w:r>
      <w:r w:rsidR="00F9268F" w:rsidRPr="005D76EB">
        <w:rPr>
          <w:sz w:val="22"/>
          <w:szCs w:val="22"/>
        </w:rPr>
        <w:t xml:space="preserve">2021.  Under the Pilot a supply of a designated pharmaceutical benefit is </w:t>
      </w:r>
      <w:r w:rsidR="00AB389B" w:rsidRPr="005D76EB">
        <w:rPr>
          <w:sz w:val="22"/>
          <w:szCs w:val="22"/>
        </w:rPr>
        <w:t>a</w:t>
      </w:r>
      <w:r w:rsidR="00F9268F" w:rsidRPr="005D76EB">
        <w:rPr>
          <w:sz w:val="22"/>
          <w:szCs w:val="22"/>
        </w:rPr>
        <w:t xml:space="preserve"> special arrangement supply of the benefit if the benefit is supplied on or after 1 December 2019 and before 1</w:t>
      </w:r>
      <w:r w:rsidR="00AB389B" w:rsidRPr="005D76EB">
        <w:rPr>
          <w:sz w:val="22"/>
          <w:szCs w:val="22"/>
        </w:rPr>
        <w:t> </w:t>
      </w:r>
      <w:r w:rsidR="00F9268F" w:rsidRPr="005D76EB">
        <w:rPr>
          <w:sz w:val="22"/>
          <w:szCs w:val="22"/>
        </w:rPr>
        <w:t xml:space="preserve">July 2021. </w:t>
      </w:r>
      <w:r w:rsidR="00C32551" w:rsidRPr="005D76EB">
        <w:rPr>
          <w:sz w:val="22"/>
          <w:szCs w:val="22"/>
        </w:rPr>
        <w:t xml:space="preserve"> </w:t>
      </w:r>
      <w:r w:rsidRPr="005D76EB">
        <w:rPr>
          <w:sz w:val="22"/>
          <w:szCs w:val="22"/>
        </w:rPr>
        <w:t xml:space="preserve"> </w:t>
      </w:r>
    </w:p>
    <w:p w:rsidR="000A082E" w:rsidRPr="005D76EB" w:rsidRDefault="000A082E">
      <w:pPr>
        <w:pStyle w:val="Heading3"/>
        <w:rPr>
          <w:rFonts w:eastAsia="Times New Roman" w:cs="Times New Roman"/>
          <w:sz w:val="22"/>
          <w:szCs w:val="20"/>
          <w:lang w:eastAsia="en-AU"/>
        </w:rPr>
      </w:pPr>
      <w:r w:rsidRPr="005D76EB">
        <w:rPr>
          <w:rFonts w:eastAsia="Times New Roman" w:cs="Times New Roman"/>
          <w:sz w:val="22"/>
          <w:szCs w:val="20"/>
          <w:lang w:eastAsia="en-AU"/>
        </w:rPr>
        <w:t>Human rights implications</w:t>
      </w:r>
    </w:p>
    <w:p w:rsidR="000A082E" w:rsidRPr="005D76EB" w:rsidRDefault="000A082E" w:rsidP="00C32551">
      <w:pPr>
        <w:spacing w:before="120" w:after="120"/>
        <w:jc w:val="both"/>
        <w:rPr>
          <w:sz w:val="22"/>
        </w:rPr>
      </w:pPr>
      <w:r w:rsidRPr="005D76EB">
        <w:rPr>
          <w:sz w:val="22"/>
        </w:rPr>
        <w:t>This instrument engages Article 12 of the International Covenant on Economic, Social and Cultural Rights (ICESCR) by assisting with the progressive realisation by all appropriate means of the right of everyone to the enjoyment of the highest attainable standard of physical and mental health.</w:t>
      </w:r>
    </w:p>
    <w:p w:rsidR="003E4E22" w:rsidRPr="005D76EB" w:rsidRDefault="000A082E" w:rsidP="00C32551">
      <w:pPr>
        <w:spacing w:before="120" w:after="120"/>
        <w:jc w:val="both"/>
        <w:rPr>
          <w:sz w:val="22"/>
        </w:rPr>
      </w:pPr>
      <w:r w:rsidRPr="005D76EB">
        <w:rPr>
          <w:sz w:val="22"/>
        </w:rPr>
        <w:t xml:space="preserve">This instrument assists with the advancement of this right by ensuring access to </w:t>
      </w:r>
      <w:r w:rsidR="003E4E22" w:rsidRPr="005D76EB">
        <w:rPr>
          <w:sz w:val="22"/>
        </w:rPr>
        <w:t xml:space="preserve">PBS subsidised </w:t>
      </w:r>
      <w:r w:rsidRPr="005D76EB">
        <w:rPr>
          <w:sz w:val="22"/>
        </w:rPr>
        <w:t xml:space="preserve">Naloxone </w:t>
      </w:r>
      <w:r w:rsidR="009B0762" w:rsidRPr="005D76EB">
        <w:rPr>
          <w:sz w:val="22"/>
        </w:rPr>
        <w:t xml:space="preserve">through a variety of settings in participating states, free of charge, to persons at risk of or likely to witness an opioid overdose. </w:t>
      </w:r>
    </w:p>
    <w:p w:rsidR="000A082E" w:rsidRPr="005D76EB" w:rsidRDefault="000A082E">
      <w:pPr>
        <w:pStyle w:val="Heading3"/>
        <w:rPr>
          <w:rFonts w:eastAsia="Times New Roman" w:cs="Times New Roman"/>
          <w:sz w:val="22"/>
          <w:szCs w:val="20"/>
          <w:lang w:eastAsia="en-AU"/>
        </w:rPr>
      </w:pPr>
      <w:r w:rsidRPr="005D76EB">
        <w:rPr>
          <w:rFonts w:eastAsia="Times New Roman" w:cs="Times New Roman"/>
          <w:sz w:val="22"/>
          <w:szCs w:val="20"/>
          <w:lang w:eastAsia="en-AU"/>
        </w:rPr>
        <w:t>Conclusion</w:t>
      </w:r>
    </w:p>
    <w:p w:rsidR="00CE7F9A" w:rsidRPr="005D76EB" w:rsidRDefault="000A082E" w:rsidP="00C32551">
      <w:pPr>
        <w:spacing w:before="120" w:after="120"/>
        <w:jc w:val="both"/>
        <w:rPr>
          <w:sz w:val="22"/>
        </w:rPr>
      </w:pPr>
      <w:r w:rsidRPr="005D76EB">
        <w:rPr>
          <w:sz w:val="22"/>
        </w:rPr>
        <w:t>This Legislative Instrument is compatible with human rights as it does not raise any human rights issues.</w:t>
      </w:r>
    </w:p>
    <w:p w:rsidR="003D071F" w:rsidRPr="005D76EB" w:rsidRDefault="003D071F" w:rsidP="00AB389B">
      <w:pPr>
        <w:spacing w:before="120" w:after="120"/>
        <w:jc w:val="center"/>
        <w:rPr>
          <w:sz w:val="22"/>
        </w:rPr>
      </w:pPr>
    </w:p>
    <w:p w:rsidR="003D071F" w:rsidRPr="005D76EB" w:rsidRDefault="003D071F" w:rsidP="003D071F">
      <w:pPr>
        <w:spacing w:before="120" w:after="120"/>
        <w:jc w:val="center"/>
        <w:rPr>
          <w:sz w:val="22"/>
        </w:rPr>
      </w:pPr>
      <w:r w:rsidRPr="005D76EB">
        <w:rPr>
          <w:sz w:val="22"/>
        </w:rPr>
        <w:t>Ben Sladic</w:t>
      </w:r>
    </w:p>
    <w:p w:rsidR="003D071F" w:rsidRPr="005D76EB" w:rsidRDefault="003D071F" w:rsidP="003D071F">
      <w:pPr>
        <w:spacing w:before="120" w:after="120"/>
        <w:jc w:val="center"/>
        <w:rPr>
          <w:sz w:val="22"/>
        </w:rPr>
      </w:pPr>
      <w:r w:rsidRPr="005D76EB">
        <w:rPr>
          <w:sz w:val="22"/>
        </w:rPr>
        <w:t>Assistant Secretary, Pharmacy Branch</w:t>
      </w:r>
    </w:p>
    <w:p w:rsidR="003D071F" w:rsidRPr="005D76EB" w:rsidRDefault="003D071F" w:rsidP="00AB389B">
      <w:pPr>
        <w:spacing w:before="120" w:after="120"/>
        <w:jc w:val="center"/>
        <w:rPr>
          <w:sz w:val="22"/>
        </w:rPr>
      </w:pPr>
      <w:r w:rsidRPr="005D76EB">
        <w:rPr>
          <w:sz w:val="22"/>
        </w:rPr>
        <w:t>Health Resourcing Group</w:t>
      </w:r>
    </w:p>
    <w:p w:rsidR="003D071F" w:rsidRPr="00A129CF" w:rsidRDefault="003D071F" w:rsidP="00AB389B">
      <w:pPr>
        <w:spacing w:before="120" w:after="120"/>
        <w:jc w:val="center"/>
        <w:rPr>
          <w:sz w:val="22"/>
          <w:szCs w:val="22"/>
        </w:rPr>
      </w:pPr>
      <w:r w:rsidRPr="005D76EB">
        <w:rPr>
          <w:sz w:val="22"/>
        </w:rPr>
        <w:t>Department of Health</w:t>
      </w:r>
      <w:bookmarkStart w:id="5" w:name="_GoBack"/>
      <w:bookmarkEnd w:id="5"/>
    </w:p>
    <w:sectPr w:rsidR="003D071F" w:rsidRPr="00A129CF" w:rsidSect="005C558E">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F5D"/>
    <w:multiLevelType w:val="hybridMultilevel"/>
    <w:tmpl w:val="19008A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24117C3"/>
    <w:multiLevelType w:val="hybridMultilevel"/>
    <w:tmpl w:val="A9A25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A5085"/>
    <w:multiLevelType w:val="multilevel"/>
    <w:tmpl w:val="9A345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12BC5D7A"/>
    <w:multiLevelType w:val="hybridMultilevel"/>
    <w:tmpl w:val="C2DAD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B6A35"/>
    <w:multiLevelType w:val="hybridMultilevel"/>
    <w:tmpl w:val="7E06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C34B5"/>
    <w:multiLevelType w:val="hybridMultilevel"/>
    <w:tmpl w:val="A1CE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E439BE"/>
    <w:multiLevelType w:val="hybridMultilevel"/>
    <w:tmpl w:val="F17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772E1"/>
    <w:multiLevelType w:val="hybridMultilevel"/>
    <w:tmpl w:val="01A8F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864AED"/>
    <w:multiLevelType w:val="hybridMultilevel"/>
    <w:tmpl w:val="5C0C9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91CDF"/>
    <w:multiLevelType w:val="hybridMultilevel"/>
    <w:tmpl w:val="97041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77C77"/>
    <w:multiLevelType w:val="hybridMultilevel"/>
    <w:tmpl w:val="49F0E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5677E"/>
    <w:multiLevelType w:val="hybridMultilevel"/>
    <w:tmpl w:val="50E6D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D337E5"/>
    <w:multiLevelType w:val="hybridMultilevel"/>
    <w:tmpl w:val="BDEED1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A782856"/>
    <w:multiLevelType w:val="hybridMultilevel"/>
    <w:tmpl w:val="5762C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1F03717"/>
    <w:multiLevelType w:val="hybridMultilevel"/>
    <w:tmpl w:val="56601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E1DE5"/>
    <w:multiLevelType w:val="hybridMultilevel"/>
    <w:tmpl w:val="2AD24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1B66AD"/>
    <w:multiLevelType w:val="hybridMultilevel"/>
    <w:tmpl w:val="70609A0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8" w15:restartNumberingAfterBreak="0">
    <w:nsid w:val="5B646256"/>
    <w:multiLevelType w:val="hybridMultilevel"/>
    <w:tmpl w:val="9D660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5F1629"/>
    <w:multiLevelType w:val="hybridMultilevel"/>
    <w:tmpl w:val="B4082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633FA7"/>
    <w:multiLevelType w:val="hybridMultilevel"/>
    <w:tmpl w:val="BDD403D4"/>
    <w:lvl w:ilvl="0" w:tplc="90266958">
      <w:start w:val="1"/>
      <w:numFmt w:val="decimal"/>
      <w:lvlText w:val="(%1)"/>
      <w:lvlJc w:val="left"/>
      <w:pPr>
        <w:ind w:left="1440" w:hanging="6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78482F7F"/>
    <w:multiLevelType w:val="hybridMultilevel"/>
    <w:tmpl w:val="9A0421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84D033C"/>
    <w:multiLevelType w:val="multilevel"/>
    <w:tmpl w:val="90C20E6E"/>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BC3855"/>
    <w:multiLevelType w:val="hybridMultilevel"/>
    <w:tmpl w:val="8ED88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02613C"/>
    <w:multiLevelType w:val="hybridMultilevel"/>
    <w:tmpl w:val="0D246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9"/>
  </w:num>
  <w:num w:numId="4">
    <w:abstractNumId w:val="13"/>
  </w:num>
  <w:num w:numId="5">
    <w:abstractNumId w:val="3"/>
  </w:num>
  <w:num w:numId="6">
    <w:abstractNumId w:val="1"/>
  </w:num>
  <w:num w:numId="7">
    <w:abstractNumId w:val="22"/>
  </w:num>
  <w:num w:numId="8">
    <w:abstractNumId w:val="14"/>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16"/>
  </w:num>
  <w:num w:numId="14">
    <w:abstractNumId w:val="20"/>
  </w:num>
  <w:num w:numId="15">
    <w:abstractNumId w:val="2"/>
  </w:num>
  <w:num w:numId="16">
    <w:abstractNumId w:val="0"/>
  </w:num>
  <w:num w:numId="17">
    <w:abstractNumId w:val="6"/>
  </w:num>
  <w:num w:numId="18">
    <w:abstractNumId w:val="7"/>
  </w:num>
  <w:num w:numId="19">
    <w:abstractNumId w:val="22"/>
  </w:num>
  <w:num w:numId="20">
    <w:abstractNumId w:val="9"/>
  </w:num>
  <w:num w:numId="21">
    <w:abstractNumId w:val="8"/>
  </w:num>
  <w:num w:numId="22">
    <w:abstractNumId w:val="15"/>
  </w:num>
  <w:num w:numId="23">
    <w:abstractNumId w:val="12"/>
  </w:num>
  <w:num w:numId="24">
    <w:abstractNumId w:val="4"/>
  </w:num>
  <w:num w:numId="25">
    <w:abstractNumId w:val="10"/>
  </w:num>
  <w:num w:numId="26">
    <w:abstractNumId w:val="11"/>
  </w:num>
  <w:num w:numId="27">
    <w:abstractNumId w:val="24"/>
  </w:num>
  <w:num w:numId="28">
    <w:abstractNumId w:val="18"/>
  </w:num>
  <w:num w:numId="29">
    <w:abstractNumId w:val="21"/>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79"/>
    <w:rsid w:val="0000622D"/>
    <w:rsid w:val="000166A9"/>
    <w:rsid w:val="00024065"/>
    <w:rsid w:val="00034757"/>
    <w:rsid w:val="00034D27"/>
    <w:rsid w:val="0004209E"/>
    <w:rsid w:val="00047E2A"/>
    <w:rsid w:val="00056B48"/>
    <w:rsid w:val="00063FFC"/>
    <w:rsid w:val="00074620"/>
    <w:rsid w:val="00077C8C"/>
    <w:rsid w:val="00090183"/>
    <w:rsid w:val="00093A8F"/>
    <w:rsid w:val="000A082E"/>
    <w:rsid w:val="000A3B8E"/>
    <w:rsid w:val="000A4BDD"/>
    <w:rsid w:val="000A6BBA"/>
    <w:rsid w:val="000B3DE6"/>
    <w:rsid w:val="000B5547"/>
    <w:rsid w:val="000C4E56"/>
    <w:rsid w:val="000D0DC1"/>
    <w:rsid w:val="000E13A2"/>
    <w:rsid w:val="000E2135"/>
    <w:rsid w:val="000E52B1"/>
    <w:rsid w:val="000E595C"/>
    <w:rsid w:val="000E70A9"/>
    <w:rsid w:val="000F47B0"/>
    <w:rsid w:val="001003B8"/>
    <w:rsid w:val="00100D0A"/>
    <w:rsid w:val="001032B5"/>
    <w:rsid w:val="001130AB"/>
    <w:rsid w:val="00114563"/>
    <w:rsid w:val="00130706"/>
    <w:rsid w:val="00133B4C"/>
    <w:rsid w:val="0014485A"/>
    <w:rsid w:val="00162ECC"/>
    <w:rsid w:val="00166240"/>
    <w:rsid w:val="00171297"/>
    <w:rsid w:val="001755BB"/>
    <w:rsid w:val="00181DC7"/>
    <w:rsid w:val="001A71A8"/>
    <w:rsid w:val="001C2D11"/>
    <w:rsid w:val="001D4936"/>
    <w:rsid w:val="001E0E4F"/>
    <w:rsid w:val="001E3D3E"/>
    <w:rsid w:val="001E570E"/>
    <w:rsid w:val="001F63D4"/>
    <w:rsid w:val="002016C0"/>
    <w:rsid w:val="00204561"/>
    <w:rsid w:val="002076A3"/>
    <w:rsid w:val="002140E3"/>
    <w:rsid w:val="00216A49"/>
    <w:rsid w:val="002175FD"/>
    <w:rsid w:val="00254184"/>
    <w:rsid w:val="0025442C"/>
    <w:rsid w:val="002576FD"/>
    <w:rsid w:val="00266649"/>
    <w:rsid w:val="00273DD2"/>
    <w:rsid w:val="00276F8D"/>
    <w:rsid w:val="00280050"/>
    <w:rsid w:val="00284029"/>
    <w:rsid w:val="002A6403"/>
    <w:rsid w:val="002B0F06"/>
    <w:rsid w:val="002B2035"/>
    <w:rsid w:val="002D1383"/>
    <w:rsid w:val="002D6548"/>
    <w:rsid w:val="00301EB5"/>
    <w:rsid w:val="00304494"/>
    <w:rsid w:val="00322F14"/>
    <w:rsid w:val="00326BF8"/>
    <w:rsid w:val="00330305"/>
    <w:rsid w:val="00334D22"/>
    <w:rsid w:val="00364245"/>
    <w:rsid w:val="00367FE9"/>
    <w:rsid w:val="003727CA"/>
    <w:rsid w:val="0038301F"/>
    <w:rsid w:val="00392112"/>
    <w:rsid w:val="003B1B6B"/>
    <w:rsid w:val="003B57A7"/>
    <w:rsid w:val="003B6046"/>
    <w:rsid w:val="003B6E0B"/>
    <w:rsid w:val="003C111F"/>
    <w:rsid w:val="003D071F"/>
    <w:rsid w:val="003D2B72"/>
    <w:rsid w:val="003E2641"/>
    <w:rsid w:val="003E4A04"/>
    <w:rsid w:val="003E4E22"/>
    <w:rsid w:val="003E6430"/>
    <w:rsid w:val="003E6DBA"/>
    <w:rsid w:val="003F0FE6"/>
    <w:rsid w:val="004018D8"/>
    <w:rsid w:val="00413C0F"/>
    <w:rsid w:val="00413DFD"/>
    <w:rsid w:val="00421CAA"/>
    <w:rsid w:val="00425C93"/>
    <w:rsid w:val="004552C1"/>
    <w:rsid w:val="004642E9"/>
    <w:rsid w:val="0046645B"/>
    <w:rsid w:val="00480177"/>
    <w:rsid w:val="00493741"/>
    <w:rsid w:val="004A34BA"/>
    <w:rsid w:val="004A7505"/>
    <w:rsid w:val="004D67CB"/>
    <w:rsid w:val="00517CB3"/>
    <w:rsid w:val="00557AFC"/>
    <w:rsid w:val="00573DD4"/>
    <w:rsid w:val="005816BA"/>
    <w:rsid w:val="005932C6"/>
    <w:rsid w:val="005A501F"/>
    <w:rsid w:val="005B0111"/>
    <w:rsid w:val="005B2486"/>
    <w:rsid w:val="005C0DF7"/>
    <w:rsid w:val="005C20B4"/>
    <w:rsid w:val="005C3BE6"/>
    <w:rsid w:val="005C558E"/>
    <w:rsid w:val="005D17AB"/>
    <w:rsid w:val="005D4873"/>
    <w:rsid w:val="005D76EB"/>
    <w:rsid w:val="005D7BF3"/>
    <w:rsid w:val="005E0D01"/>
    <w:rsid w:val="005E184B"/>
    <w:rsid w:val="005E3B1F"/>
    <w:rsid w:val="005F3A35"/>
    <w:rsid w:val="00612879"/>
    <w:rsid w:val="00617D1C"/>
    <w:rsid w:val="006214B8"/>
    <w:rsid w:val="006241BC"/>
    <w:rsid w:val="006244EA"/>
    <w:rsid w:val="00633F20"/>
    <w:rsid w:val="00642E82"/>
    <w:rsid w:val="00646B50"/>
    <w:rsid w:val="00673155"/>
    <w:rsid w:val="006765AB"/>
    <w:rsid w:val="0068113E"/>
    <w:rsid w:val="006841C6"/>
    <w:rsid w:val="0069614A"/>
    <w:rsid w:val="006A11D5"/>
    <w:rsid w:val="006A4300"/>
    <w:rsid w:val="006C4DF3"/>
    <w:rsid w:val="006C63C1"/>
    <w:rsid w:val="006E5E6E"/>
    <w:rsid w:val="00711325"/>
    <w:rsid w:val="007137FA"/>
    <w:rsid w:val="0072264F"/>
    <w:rsid w:val="00726821"/>
    <w:rsid w:val="00740D94"/>
    <w:rsid w:val="0074110E"/>
    <w:rsid w:val="00743E34"/>
    <w:rsid w:val="00775EF2"/>
    <w:rsid w:val="00785734"/>
    <w:rsid w:val="007D6E63"/>
    <w:rsid w:val="007E418E"/>
    <w:rsid w:val="007F4D86"/>
    <w:rsid w:val="0080440C"/>
    <w:rsid w:val="0081592F"/>
    <w:rsid w:val="00823F65"/>
    <w:rsid w:val="00832BFA"/>
    <w:rsid w:val="00875589"/>
    <w:rsid w:val="00887821"/>
    <w:rsid w:val="008A3202"/>
    <w:rsid w:val="008A5899"/>
    <w:rsid w:val="008A7C42"/>
    <w:rsid w:val="008C0B4B"/>
    <w:rsid w:val="008C435A"/>
    <w:rsid w:val="008C48AE"/>
    <w:rsid w:val="008C7077"/>
    <w:rsid w:val="008F0029"/>
    <w:rsid w:val="008F45C5"/>
    <w:rsid w:val="008F5BF4"/>
    <w:rsid w:val="009024BE"/>
    <w:rsid w:val="00905D91"/>
    <w:rsid w:val="009125FF"/>
    <w:rsid w:val="00916BF1"/>
    <w:rsid w:val="00922E55"/>
    <w:rsid w:val="00933E42"/>
    <w:rsid w:val="00935333"/>
    <w:rsid w:val="0095064F"/>
    <w:rsid w:val="00962A18"/>
    <w:rsid w:val="00984BC3"/>
    <w:rsid w:val="00990EB8"/>
    <w:rsid w:val="009923ED"/>
    <w:rsid w:val="00996ED5"/>
    <w:rsid w:val="009A76BE"/>
    <w:rsid w:val="009B0762"/>
    <w:rsid w:val="009B11E1"/>
    <w:rsid w:val="009D177A"/>
    <w:rsid w:val="009D3F44"/>
    <w:rsid w:val="009E1996"/>
    <w:rsid w:val="009E3907"/>
    <w:rsid w:val="009F3D36"/>
    <w:rsid w:val="00A0074C"/>
    <w:rsid w:val="00A05A92"/>
    <w:rsid w:val="00A0637A"/>
    <w:rsid w:val="00A11CE4"/>
    <w:rsid w:val="00A129CF"/>
    <w:rsid w:val="00A12F08"/>
    <w:rsid w:val="00A14872"/>
    <w:rsid w:val="00A2389C"/>
    <w:rsid w:val="00A24F4B"/>
    <w:rsid w:val="00A32005"/>
    <w:rsid w:val="00A33810"/>
    <w:rsid w:val="00A356F6"/>
    <w:rsid w:val="00A4764A"/>
    <w:rsid w:val="00A61F90"/>
    <w:rsid w:val="00A638B8"/>
    <w:rsid w:val="00A76363"/>
    <w:rsid w:val="00A80A8B"/>
    <w:rsid w:val="00A869EA"/>
    <w:rsid w:val="00AB0B39"/>
    <w:rsid w:val="00AB389B"/>
    <w:rsid w:val="00AC590C"/>
    <w:rsid w:val="00AC7D3E"/>
    <w:rsid w:val="00AD2037"/>
    <w:rsid w:val="00AD782A"/>
    <w:rsid w:val="00AE2B1D"/>
    <w:rsid w:val="00B05158"/>
    <w:rsid w:val="00B16B0E"/>
    <w:rsid w:val="00B175E1"/>
    <w:rsid w:val="00B376C0"/>
    <w:rsid w:val="00B53BA9"/>
    <w:rsid w:val="00B57148"/>
    <w:rsid w:val="00B61FA5"/>
    <w:rsid w:val="00B71022"/>
    <w:rsid w:val="00B73BB1"/>
    <w:rsid w:val="00B941F7"/>
    <w:rsid w:val="00B9551A"/>
    <w:rsid w:val="00BB2A7E"/>
    <w:rsid w:val="00BC06A2"/>
    <w:rsid w:val="00BC2004"/>
    <w:rsid w:val="00BC215D"/>
    <w:rsid w:val="00BC4472"/>
    <w:rsid w:val="00BF3C9D"/>
    <w:rsid w:val="00C01DCB"/>
    <w:rsid w:val="00C05961"/>
    <w:rsid w:val="00C124C4"/>
    <w:rsid w:val="00C2022E"/>
    <w:rsid w:val="00C3153E"/>
    <w:rsid w:val="00C31E24"/>
    <w:rsid w:val="00C31E50"/>
    <w:rsid w:val="00C32551"/>
    <w:rsid w:val="00C441E0"/>
    <w:rsid w:val="00C461E8"/>
    <w:rsid w:val="00C64A9F"/>
    <w:rsid w:val="00C64C51"/>
    <w:rsid w:val="00C70786"/>
    <w:rsid w:val="00C72DE1"/>
    <w:rsid w:val="00C77139"/>
    <w:rsid w:val="00C85F35"/>
    <w:rsid w:val="00C90FD1"/>
    <w:rsid w:val="00C97E26"/>
    <w:rsid w:val="00CB576C"/>
    <w:rsid w:val="00CC2122"/>
    <w:rsid w:val="00CC24DB"/>
    <w:rsid w:val="00CC7652"/>
    <w:rsid w:val="00CD2E7D"/>
    <w:rsid w:val="00CD3EB4"/>
    <w:rsid w:val="00CD48F6"/>
    <w:rsid w:val="00CE7301"/>
    <w:rsid w:val="00CE7F9A"/>
    <w:rsid w:val="00CF343F"/>
    <w:rsid w:val="00CF7077"/>
    <w:rsid w:val="00CF7756"/>
    <w:rsid w:val="00D020AE"/>
    <w:rsid w:val="00D06FAD"/>
    <w:rsid w:val="00D14540"/>
    <w:rsid w:val="00D14D8F"/>
    <w:rsid w:val="00D16308"/>
    <w:rsid w:val="00D269A0"/>
    <w:rsid w:val="00D279CB"/>
    <w:rsid w:val="00D364F9"/>
    <w:rsid w:val="00D45D80"/>
    <w:rsid w:val="00D53124"/>
    <w:rsid w:val="00D60C3B"/>
    <w:rsid w:val="00D615ED"/>
    <w:rsid w:val="00D7004B"/>
    <w:rsid w:val="00D73825"/>
    <w:rsid w:val="00D8751A"/>
    <w:rsid w:val="00D9077F"/>
    <w:rsid w:val="00D916D5"/>
    <w:rsid w:val="00D97E6D"/>
    <w:rsid w:val="00D97F92"/>
    <w:rsid w:val="00DA0B42"/>
    <w:rsid w:val="00DA2A0B"/>
    <w:rsid w:val="00DA47DA"/>
    <w:rsid w:val="00DC47A6"/>
    <w:rsid w:val="00DD2301"/>
    <w:rsid w:val="00DE1DD1"/>
    <w:rsid w:val="00DE1F15"/>
    <w:rsid w:val="00DF7B96"/>
    <w:rsid w:val="00E02F4B"/>
    <w:rsid w:val="00E07171"/>
    <w:rsid w:val="00E23257"/>
    <w:rsid w:val="00E23A32"/>
    <w:rsid w:val="00E37183"/>
    <w:rsid w:val="00E56E03"/>
    <w:rsid w:val="00E61664"/>
    <w:rsid w:val="00E61A29"/>
    <w:rsid w:val="00E61E8D"/>
    <w:rsid w:val="00E73FC5"/>
    <w:rsid w:val="00E772E3"/>
    <w:rsid w:val="00E80368"/>
    <w:rsid w:val="00E8576E"/>
    <w:rsid w:val="00E92606"/>
    <w:rsid w:val="00EA1A25"/>
    <w:rsid w:val="00EA1AF9"/>
    <w:rsid w:val="00EA30DE"/>
    <w:rsid w:val="00EA4D7C"/>
    <w:rsid w:val="00EB0BDA"/>
    <w:rsid w:val="00EC1863"/>
    <w:rsid w:val="00EC2D12"/>
    <w:rsid w:val="00EC76E3"/>
    <w:rsid w:val="00ED64AE"/>
    <w:rsid w:val="00EE42D1"/>
    <w:rsid w:val="00EE789D"/>
    <w:rsid w:val="00EF1C80"/>
    <w:rsid w:val="00EF4E5F"/>
    <w:rsid w:val="00F13CA0"/>
    <w:rsid w:val="00F14D6C"/>
    <w:rsid w:val="00F4501A"/>
    <w:rsid w:val="00F479B2"/>
    <w:rsid w:val="00F537D4"/>
    <w:rsid w:val="00F54118"/>
    <w:rsid w:val="00F602F6"/>
    <w:rsid w:val="00F62E49"/>
    <w:rsid w:val="00F75713"/>
    <w:rsid w:val="00F76090"/>
    <w:rsid w:val="00F764E7"/>
    <w:rsid w:val="00F806F7"/>
    <w:rsid w:val="00F81B21"/>
    <w:rsid w:val="00F85AEE"/>
    <w:rsid w:val="00F863DD"/>
    <w:rsid w:val="00F9268F"/>
    <w:rsid w:val="00FA7785"/>
    <w:rsid w:val="00FB7D32"/>
    <w:rsid w:val="00FC139B"/>
    <w:rsid w:val="00FC678A"/>
    <w:rsid w:val="00FD63CE"/>
    <w:rsid w:val="00FE0DCD"/>
    <w:rsid w:val="00FE2B8F"/>
    <w:rsid w:val="00FE2BC6"/>
    <w:rsid w:val="00FE4740"/>
    <w:rsid w:val="00FE50CC"/>
    <w:rsid w:val="00FE5892"/>
    <w:rsid w:val="00FF0AD1"/>
    <w:rsid w:val="00FF4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9369A-5FD8-4F9B-931F-42339241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BA"/>
    <w:pPr>
      <w:spacing w:after="0" w:line="240" w:lineRule="auto"/>
    </w:pPr>
    <w:rPr>
      <w:rFonts w:eastAsia="Times New Roman"/>
      <w:sz w:val="20"/>
      <w:szCs w:val="20"/>
      <w:lang w:eastAsia="en-AU"/>
    </w:rPr>
  </w:style>
  <w:style w:type="paragraph" w:styleId="Heading2">
    <w:name w:val="heading 2"/>
    <w:basedOn w:val="Normal"/>
    <w:next w:val="Normal"/>
    <w:link w:val="Heading2Char"/>
    <w:uiPriority w:val="9"/>
    <w:unhideWhenUsed/>
    <w:qFormat/>
    <w:rsid w:val="00171297"/>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171297"/>
    <w:pPr>
      <w:spacing w:before="120" w:after="120"/>
      <w:jc w:val="both"/>
      <w:outlineLvl w:val="2"/>
    </w:pPr>
    <w:rPr>
      <w:rFonts w:eastAsiaTheme="minorHAnsi"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List Paragraph1,Recommendation,Paragraph,Bullet point,Bullets,CV text,Dot pt,F5 List Paragraph,FooterText,L,List Paragraph11,List Paragraph111,List Paragraph2,Medium Grid 1 - Accent 21,NAST Quote,NFP GP Bulleted List"/>
    <w:basedOn w:val="Normal"/>
    <w:link w:val="ListParagraphChar"/>
    <w:uiPriority w:val="34"/>
    <w:qFormat/>
    <w:rsid w:val="00612879"/>
    <w:pPr>
      <w:widowControl w:val="0"/>
      <w:numPr>
        <w:ilvl w:val="1"/>
        <w:numId w:val="1"/>
      </w:numPr>
      <w:contextualSpacing/>
      <w:jc w:val="both"/>
    </w:pPr>
    <w:rPr>
      <w:rFonts w:ascii="Arial" w:hAnsi="Arial" w:cs="Arial"/>
      <w:snapToGrid w:val="0"/>
      <w:sz w:val="22"/>
    </w:rPr>
  </w:style>
  <w:style w:type="character" w:customStyle="1" w:styleId="ListParagraphChar">
    <w:name w:val="List Paragraph Char"/>
    <w:aliases w:val="BulletPoints Char,Footnote Char,List Paragraph1 Char,Recommendation Char,Paragraph Char,Bullet point Char,Bullets Char,CV text Char,Dot pt Char,F5 List Paragraph Char,FooterText Char,L Char,List Paragraph11 Char,List Paragraph2 Char"/>
    <w:basedOn w:val="DefaultParagraphFont"/>
    <w:link w:val="ListParagraph"/>
    <w:uiPriority w:val="34"/>
    <w:qFormat/>
    <w:locked/>
    <w:rsid w:val="00612879"/>
    <w:rPr>
      <w:rFonts w:ascii="Arial" w:eastAsia="Times New Roman" w:hAnsi="Arial" w:cs="Arial"/>
      <w:snapToGrid w:val="0"/>
      <w:sz w:val="22"/>
      <w:szCs w:val="20"/>
    </w:rPr>
  </w:style>
  <w:style w:type="paragraph" w:customStyle="1" w:styleId="PBACheading1">
    <w:name w:val="PBAC heading 1"/>
    <w:qFormat/>
    <w:rsid w:val="00612879"/>
    <w:pPr>
      <w:numPr>
        <w:numId w:val="1"/>
      </w:numPr>
      <w:spacing w:after="0" w:line="240" w:lineRule="auto"/>
      <w:outlineLvl w:val="0"/>
    </w:pPr>
    <w:rPr>
      <w:rFonts w:ascii="Arial" w:eastAsia="Times New Roman" w:hAnsi="Arial" w:cs="Arial"/>
      <w:b/>
      <w:snapToGrid w:val="0"/>
      <w:sz w:val="22"/>
      <w:szCs w:val="22"/>
    </w:rPr>
  </w:style>
  <w:style w:type="table" w:styleId="TableGrid">
    <w:name w:val="Table Grid"/>
    <w:basedOn w:val="TableNormal"/>
    <w:uiPriority w:val="39"/>
    <w:rsid w:val="00E0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C93"/>
    <w:rPr>
      <w:sz w:val="16"/>
      <w:szCs w:val="16"/>
    </w:rPr>
  </w:style>
  <w:style w:type="paragraph" w:styleId="CommentText">
    <w:name w:val="annotation text"/>
    <w:basedOn w:val="Normal"/>
    <w:link w:val="CommentTextChar"/>
    <w:uiPriority w:val="99"/>
    <w:unhideWhenUsed/>
    <w:rsid w:val="00425C93"/>
  </w:style>
  <w:style w:type="character" w:customStyle="1" w:styleId="CommentTextChar">
    <w:name w:val="Comment Text Char"/>
    <w:basedOn w:val="DefaultParagraphFont"/>
    <w:link w:val="CommentText"/>
    <w:uiPriority w:val="99"/>
    <w:rsid w:val="00425C93"/>
    <w:rPr>
      <w:sz w:val="20"/>
      <w:szCs w:val="20"/>
    </w:rPr>
  </w:style>
  <w:style w:type="paragraph" w:styleId="CommentSubject">
    <w:name w:val="annotation subject"/>
    <w:basedOn w:val="CommentText"/>
    <w:next w:val="CommentText"/>
    <w:link w:val="CommentSubjectChar"/>
    <w:uiPriority w:val="99"/>
    <w:semiHidden/>
    <w:unhideWhenUsed/>
    <w:rsid w:val="00425C93"/>
    <w:rPr>
      <w:b/>
      <w:bCs/>
    </w:rPr>
  </w:style>
  <w:style w:type="character" w:customStyle="1" w:styleId="CommentSubjectChar">
    <w:name w:val="Comment Subject Char"/>
    <w:basedOn w:val="CommentTextChar"/>
    <w:link w:val="CommentSubject"/>
    <w:uiPriority w:val="99"/>
    <w:semiHidden/>
    <w:rsid w:val="00425C93"/>
    <w:rPr>
      <w:b/>
      <w:bCs/>
      <w:sz w:val="20"/>
      <w:szCs w:val="20"/>
    </w:rPr>
  </w:style>
  <w:style w:type="paragraph" w:styleId="BalloonText">
    <w:name w:val="Balloon Text"/>
    <w:basedOn w:val="Normal"/>
    <w:link w:val="BalloonTextChar"/>
    <w:uiPriority w:val="99"/>
    <w:semiHidden/>
    <w:unhideWhenUsed/>
    <w:rsid w:val="00425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3"/>
    <w:rPr>
      <w:rFonts w:ascii="Segoe UI" w:hAnsi="Segoe UI" w:cs="Segoe UI"/>
      <w:sz w:val="18"/>
      <w:szCs w:val="18"/>
    </w:rPr>
  </w:style>
  <w:style w:type="character" w:styleId="Hyperlink">
    <w:name w:val="Hyperlink"/>
    <w:basedOn w:val="DefaultParagraphFont"/>
    <w:uiPriority w:val="99"/>
    <w:unhideWhenUsed/>
    <w:rsid w:val="00D14540"/>
    <w:rPr>
      <w:color w:val="0563C1" w:themeColor="hyperlink"/>
      <w:u w:val="single"/>
    </w:rPr>
  </w:style>
  <w:style w:type="paragraph" w:styleId="Revision">
    <w:name w:val="Revision"/>
    <w:hidden/>
    <w:uiPriority w:val="99"/>
    <w:semiHidden/>
    <w:rsid w:val="00BC2004"/>
    <w:pPr>
      <w:spacing w:after="0" w:line="240" w:lineRule="auto"/>
    </w:pPr>
    <w:rPr>
      <w:rFonts w:eastAsia="Times New Roman"/>
      <w:sz w:val="20"/>
      <w:szCs w:val="20"/>
      <w:lang w:eastAsia="en-AU"/>
    </w:rPr>
  </w:style>
  <w:style w:type="paragraph" w:customStyle="1" w:styleId="MELegal1">
    <w:name w:val="ME Legal 1"/>
    <w:basedOn w:val="Normal"/>
    <w:rsid w:val="00BC2004"/>
    <w:pPr>
      <w:numPr>
        <w:numId w:val="5"/>
      </w:numPr>
      <w:spacing w:after="240"/>
      <w:outlineLvl w:val="0"/>
    </w:pPr>
    <w:rPr>
      <w:sz w:val="24"/>
      <w:szCs w:val="24"/>
    </w:rPr>
  </w:style>
  <w:style w:type="paragraph" w:customStyle="1" w:styleId="MELegal2">
    <w:name w:val="ME Legal 2"/>
    <w:basedOn w:val="Normal"/>
    <w:rsid w:val="00BC2004"/>
    <w:pPr>
      <w:numPr>
        <w:ilvl w:val="1"/>
        <w:numId w:val="5"/>
      </w:numPr>
      <w:spacing w:after="240"/>
      <w:outlineLvl w:val="1"/>
    </w:pPr>
    <w:rPr>
      <w:sz w:val="24"/>
      <w:szCs w:val="24"/>
    </w:rPr>
  </w:style>
  <w:style w:type="paragraph" w:customStyle="1" w:styleId="MELegal3">
    <w:name w:val="ME Legal 3"/>
    <w:basedOn w:val="Normal"/>
    <w:rsid w:val="00BC2004"/>
    <w:pPr>
      <w:numPr>
        <w:ilvl w:val="2"/>
        <w:numId w:val="5"/>
      </w:numPr>
      <w:spacing w:after="240"/>
      <w:outlineLvl w:val="2"/>
    </w:pPr>
    <w:rPr>
      <w:sz w:val="24"/>
      <w:szCs w:val="24"/>
    </w:rPr>
  </w:style>
  <w:style w:type="paragraph" w:customStyle="1" w:styleId="MELegal4">
    <w:name w:val="ME Legal 4"/>
    <w:basedOn w:val="Normal"/>
    <w:rsid w:val="00BC2004"/>
    <w:pPr>
      <w:numPr>
        <w:ilvl w:val="3"/>
        <w:numId w:val="5"/>
      </w:numPr>
      <w:spacing w:after="240"/>
      <w:outlineLvl w:val="3"/>
    </w:pPr>
    <w:rPr>
      <w:sz w:val="24"/>
      <w:szCs w:val="24"/>
    </w:rPr>
  </w:style>
  <w:style w:type="paragraph" w:customStyle="1" w:styleId="MELegal5">
    <w:name w:val="ME Legal 5"/>
    <w:basedOn w:val="Normal"/>
    <w:rsid w:val="00BC2004"/>
    <w:pPr>
      <w:numPr>
        <w:ilvl w:val="4"/>
        <w:numId w:val="5"/>
      </w:numPr>
      <w:spacing w:after="240"/>
      <w:outlineLvl w:val="4"/>
    </w:pPr>
    <w:rPr>
      <w:sz w:val="24"/>
      <w:szCs w:val="24"/>
    </w:rPr>
  </w:style>
  <w:style w:type="paragraph" w:customStyle="1" w:styleId="MELegal6">
    <w:name w:val="ME Legal 6"/>
    <w:basedOn w:val="Normal"/>
    <w:rsid w:val="00BC2004"/>
    <w:pPr>
      <w:numPr>
        <w:ilvl w:val="5"/>
        <w:numId w:val="5"/>
      </w:numPr>
      <w:spacing w:after="240"/>
      <w:outlineLvl w:val="5"/>
    </w:pPr>
    <w:rPr>
      <w:sz w:val="24"/>
      <w:szCs w:val="24"/>
    </w:rPr>
  </w:style>
  <w:style w:type="character" w:styleId="FollowedHyperlink">
    <w:name w:val="FollowedHyperlink"/>
    <w:basedOn w:val="DefaultParagraphFont"/>
    <w:uiPriority w:val="99"/>
    <w:semiHidden/>
    <w:unhideWhenUsed/>
    <w:rsid w:val="004D67CB"/>
    <w:rPr>
      <w:color w:val="954F72" w:themeColor="followedHyperlink"/>
      <w:u w:val="single"/>
    </w:rPr>
  </w:style>
  <w:style w:type="character" w:customStyle="1" w:styleId="Heading2Char">
    <w:name w:val="Heading 2 Char"/>
    <w:basedOn w:val="DefaultParagraphFont"/>
    <w:link w:val="Heading2"/>
    <w:uiPriority w:val="9"/>
    <w:rsid w:val="00171297"/>
    <w:rPr>
      <w:rFonts w:cstheme="minorBidi"/>
      <w:b/>
      <w:sz w:val="28"/>
      <w:szCs w:val="28"/>
    </w:rPr>
  </w:style>
  <w:style w:type="character" w:customStyle="1" w:styleId="Heading3Char">
    <w:name w:val="Heading 3 Char"/>
    <w:basedOn w:val="DefaultParagraphFont"/>
    <w:link w:val="Heading3"/>
    <w:uiPriority w:val="9"/>
    <w:rsid w:val="00171297"/>
    <w:rPr>
      <w:rFonts w:cstheme="minorBidi"/>
      <w:b/>
    </w:rPr>
  </w:style>
  <w:style w:type="paragraph" w:customStyle="1" w:styleId="TableTextform">
    <w:name w:val="TableText form"/>
    <w:basedOn w:val="Normal"/>
    <w:qFormat/>
    <w:rsid w:val="00171297"/>
    <w:pPr>
      <w:spacing w:before="40" w:after="240"/>
    </w:pPr>
    <w:rPr>
      <w:rFonts w:ascii="Arial" w:eastAsiaTheme="majorEastAsia" w:hAnsi="Arial" w:cs="Arial"/>
      <w:bCs/>
      <w:lang w:eastAsia="en-US"/>
    </w:rPr>
  </w:style>
  <w:style w:type="paragraph" w:styleId="Header">
    <w:name w:val="header"/>
    <w:basedOn w:val="Normal"/>
    <w:link w:val="HeaderChar"/>
    <w:semiHidden/>
    <w:unhideWhenUsed/>
    <w:rsid w:val="00BC06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semiHidden/>
    <w:rsid w:val="00BC06A2"/>
    <w:rPr>
      <w:rFonts w:eastAsia="Times New Roman"/>
      <w:sz w:val="16"/>
      <w:szCs w:val="20"/>
      <w:lang w:eastAsia="en-AU"/>
    </w:rPr>
  </w:style>
  <w:style w:type="character" w:customStyle="1" w:styleId="subsectionChar">
    <w:name w:val="subsection Char"/>
    <w:aliases w:val="ss Char"/>
    <w:basedOn w:val="DefaultParagraphFont"/>
    <w:link w:val="subsection"/>
    <w:locked/>
    <w:rsid w:val="00BC06A2"/>
    <w:rPr>
      <w:rFonts w:eastAsia="Times New Roman"/>
      <w:sz w:val="22"/>
      <w:szCs w:val="20"/>
      <w:lang w:eastAsia="en-AU"/>
    </w:rPr>
  </w:style>
  <w:style w:type="paragraph" w:customStyle="1" w:styleId="subsection">
    <w:name w:val="subsection"/>
    <w:aliases w:val="ss"/>
    <w:basedOn w:val="Normal"/>
    <w:link w:val="subsectionChar"/>
    <w:rsid w:val="00BC06A2"/>
    <w:pPr>
      <w:tabs>
        <w:tab w:val="right" w:pos="1021"/>
      </w:tabs>
      <w:spacing w:before="180"/>
      <w:ind w:left="1134" w:hanging="1134"/>
    </w:pPr>
    <w:rPr>
      <w:sz w:val="22"/>
    </w:rPr>
  </w:style>
  <w:style w:type="paragraph" w:customStyle="1" w:styleId="Item">
    <w:name w:val="Item"/>
    <w:aliases w:val="i"/>
    <w:basedOn w:val="Normal"/>
    <w:next w:val="Normal"/>
    <w:rsid w:val="00BC06A2"/>
    <w:pPr>
      <w:keepLines/>
      <w:spacing w:before="80"/>
      <w:ind w:left="709"/>
    </w:pPr>
    <w:rPr>
      <w:sz w:val="22"/>
    </w:rPr>
  </w:style>
  <w:style w:type="paragraph" w:customStyle="1" w:styleId="paragraph">
    <w:name w:val="paragraph"/>
    <w:aliases w:val="a"/>
    <w:basedOn w:val="Normal"/>
    <w:rsid w:val="00BC06A2"/>
    <w:pPr>
      <w:tabs>
        <w:tab w:val="right" w:pos="1531"/>
      </w:tabs>
      <w:spacing w:before="40"/>
      <w:ind w:left="1644" w:hanging="1644"/>
    </w:pPr>
    <w:rPr>
      <w:sz w:val="22"/>
    </w:rPr>
  </w:style>
  <w:style w:type="character" w:customStyle="1" w:styleId="ActHead5Char">
    <w:name w:val="ActHead 5 Char"/>
    <w:aliases w:val="s Char"/>
    <w:link w:val="ActHead5"/>
    <w:locked/>
    <w:rsid w:val="00BC06A2"/>
    <w:rPr>
      <w:rFonts w:eastAsia="Times New Roman"/>
      <w:b/>
      <w:kern w:val="28"/>
      <w:szCs w:val="20"/>
      <w:lang w:eastAsia="en-AU"/>
    </w:rPr>
  </w:style>
  <w:style w:type="paragraph" w:customStyle="1" w:styleId="ActHead5">
    <w:name w:val="ActHead 5"/>
    <w:aliases w:val="s"/>
    <w:basedOn w:val="Normal"/>
    <w:next w:val="subsection"/>
    <w:link w:val="ActHead5Char"/>
    <w:qFormat/>
    <w:rsid w:val="00BC06A2"/>
    <w:pPr>
      <w:keepNext/>
      <w:keepLines/>
      <w:spacing w:before="280"/>
      <w:ind w:left="1134" w:hanging="1134"/>
      <w:outlineLvl w:val="4"/>
    </w:pPr>
    <w:rPr>
      <w:b/>
      <w:kern w:val="28"/>
      <w:sz w:val="24"/>
    </w:rPr>
  </w:style>
  <w:style w:type="paragraph" w:customStyle="1" w:styleId="ItemHead">
    <w:name w:val="ItemHead"/>
    <w:aliases w:val="ih"/>
    <w:basedOn w:val="Normal"/>
    <w:next w:val="Item"/>
    <w:rsid w:val="00BC06A2"/>
    <w:pPr>
      <w:keepNext/>
      <w:keepLines/>
      <w:spacing w:before="220"/>
      <w:ind w:left="709" w:hanging="709"/>
    </w:pPr>
    <w:rPr>
      <w:rFonts w:ascii="Arial" w:hAnsi="Arial"/>
      <w:b/>
      <w:kern w:val="28"/>
      <w:sz w:val="24"/>
    </w:rPr>
  </w:style>
  <w:style w:type="paragraph" w:customStyle="1" w:styleId="paragraphsub">
    <w:name w:val="paragraph(sub)"/>
    <w:aliases w:val="aa"/>
    <w:basedOn w:val="Normal"/>
    <w:rsid w:val="00BC06A2"/>
    <w:pPr>
      <w:tabs>
        <w:tab w:val="right" w:pos="1985"/>
      </w:tabs>
      <w:spacing w:before="40"/>
      <w:ind w:left="2098" w:hanging="2098"/>
    </w:pPr>
    <w:rPr>
      <w:sz w:val="22"/>
    </w:rPr>
  </w:style>
  <w:style w:type="paragraph" w:customStyle="1" w:styleId="SubsectionHead">
    <w:name w:val="SubsectionHead"/>
    <w:aliases w:val="ssh"/>
    <w:basedOn w:val="Normal"/>
    <w:next w:val="subsection"/>
    <w:rsid w:val="00BC06A2"/>
    <w:pPr>
      <w:keepNext/>
      <w:keepLines/>
      <w:spacing w:before="240"/>
      <w:ind w:left="1134"/>
    </w:pPr>
    <w:rPr>
      <w:i/>
      <w:sz w:val="22"/>
    </w:rPr>
  </w:style>
  <w:style w:type="paragraph" w:customStyle="1" w:styleId="subsection2">
    <w:name w:val="subsection2"/>
    <w:aliases w:val="ss2"/>
    <w:basedOn w:val="Normal"/>
    <w:next w:val="subsection"/>
    <w:rsid w:val="00BC06A2"/>
    <w:pPr>
      <w:spacing w:before="40"/>
      <w:ind w:left="1134"/>
    </w:pPr>
    <w:rPr>
      <w:sz w:val="22"/>
    </w:rPr>
  </w:style>
  <w:style w:type="paragraph" w:customStyle="1" w:styleId="ActHead2">
    <w:name w:val="ActHead 2"/>
    <w:aliases w:val="p"/>
    <w:basedOn w:val="Normal"/>
    <w:next w:val="Normal"/>
    <w:qFormat/>
    <w:rsid w:val="00BC06A2"/>
    <w:pPr>
      <w:keepNext/>
      <w:keepLines/>
      <w:spacing w:before="280"/>
      <w:ind w:left="1134" w:hanging="1134"/>
      <w:outlineLvl w:val="1"/>
    </w:pPr>
    <w:rPr>
      <w:b/>
      <w:kern w:val="28"/>
      <w:sz w:val="32"/>
    </w:rPr>
  </w:style>
  <w:style w:type="paragraph" w:customStyle="1" w:styleId="ActHead6">
    <w:name w:val="ActHead 6"/>
    <w:aliases w:val="as"/>
    <w:basedOn w:val="Normal"/>
    <w:next w:val="Normal"/>
    <w:qFormat/>
    <w:rsid w:val="00BC06A2"/>
    <w:pPr>
      <w:keepNext/>
      <w:keepLines/>
      <w:ind w:left="1134" w:hanging="1134"/>
      <w:outlineLvl w:val="5"/>
    </w:pPr>
    <w:rPr>
      <w:rFonts w:ascii="Arial" w:hAnsi="Arial"/>
      <w:b/>
      <w:kern w:val="28"/>
      <w:sz w:val="32"/>
    </w:rPr>
  </w:style>
  <w:style w:type="paragraph" w:customStyle="1" w:styleId="ActHead9">
    <w:name w:val="ActHead 9"/>
    <w:aliases w:val="aat"/>
    <w:basedOn w:val="Normal"/>
    <w:next w:val="ItemHead"/>
    <w:qFormat/>
    <w:rsid w:val="00BC06A2"/>
    <w:pPr>
      <w:keepNext/>
      <w:keepLines/>
      <w:spacing w:before="280"/>
      <w:ind w:left="1134" w:hanging="1134"/>
      <w:outlineLvl w:val="8"/>
    </w:pPr>
    <w:rPr>
      <w:b/>
      <w:i/>
      <w:kern w:val="28"/>
      <w:sz w:val="28"/>
    </w:rPr>
  </w:style>
  <w:style w:type="paragraph" w:customStyle="1" w:styleId="Tabletext">
    <w:name w:val="Tabletext"/>
    <w:aliases w:val="tt"/>
    <w:basedOn w:val="Normal"/>
    <w:rsid w:val="00BC06A2"/>
    <w:pPr>
      <w:spacing w:before="60" w:line="240" w:lineRule="atLeast"/>
    </w:pPr>
  </w:style>
  <w:style w:type="character" w:customStyle="1" w:styleId="notetextChar">
    <w:name w:val="note(text) Char"/>
    <w:aliases w:val="n Char"/>
    <w:basedOn w:val="DefaultParagraphFont"/>
    <w:link w:val="notetext"/>
    <w:locked/>
    <w:rsid w:val="00BC06A2"/>
    <w:rPr>
      <w:rFonts w:eastAsia="Times New Roman"/>
      <w:sz w:val="18"/>
      <w:szCs w:val="20"/>
      <w:lang w:eastAsia="en-AU"/>
    </w:rPr>
  </w:style>
  <w:style w:type="paragraph" w:customStyle="1" w:styleId="notetext">
    <w:name w:val="note(text)"/>
    <w:aliases w:val="n"/>
    <w:basedOn w:val="Normal"/>
    <w:link w:val="notetextChar"/>
    <w:rsid w:val="00BC06A2"/>
    <w:pPr>
      <w:spacing w:before="122"/>
      <w:ind w:left="1985" w:hanging="851"/>
    </w:pPr>
    <w:rPr>
      <w:sz w:val="18"/>
    </w:rPr>
  </w:style>
  <w:style w:type="paragraph" w:customStyle="1" w:styleId="TableHeading">
    <w:name w:val="TableHeading"/>
    <w:aliases w:val="th"/>
    <w:basedOn w:val="Normal"/>
    <w:next w:val="Tabletext"/>
    <w:rsid w:val="00BC06A2"/>
    <w:pPr>
      <w:keepNext/>
      <w:spacing w:before="60" w:line="240" w:lineRule="atLeast"/>
    </w:pPr>
    <w:rPr>
      <w:b/>
    </w:rPr>
  </w:style>
  <w:style w:type="character" w:customStyle="1" w:styleId="CharSectno">
    <w:name w:val="CharSectno"/>
    <w:basedOn w:val="DefaultParagraphFont"/>
    <w:qFormat/>
    <w:rsid w:val="00BC06A2"/>
  </w:style>
  <w:style w:type="character" w:customStyle="1" w:styleId="CharDivNo">
    <w:name w:val="CharDivNo"/>
    <w:basedOn w:val="DefaultParagraphFont"/>
    <w:uiPriority w:val="1"/>
    <w:qFormat/>
    <w:rsid w:val="00BC06A2"/>
  </w:style>
  <w:style w:type="character" w:customStyle="1" w:styleId="CharDivText">
    <w:name w:val="CharDivText"/>
    <w:basedOn w:val="DefaultParagraphFont"/>
    <w:uiPriority w:val="1"/>
    <w:qFormat/>
    <w:rsid w:val="00BC06A2"/>
  </w:style>
  <w:style w:type="character" w:customStyle="1" w:styleId="CharPartNo">
    <w:name w:val="CharPartNo"/>
    <w:basedOn w:val="DefaultParagraphFont"/>
    <w:uiPriority w:val="1"/>
    <w:qFormat/>
    <w:rsid w:val="00BC06A2"/>
  </w:style>
  <w:style w:type="character" w:customStyle="1" w:styleId="CharPartText">
    <w:name w:val="CharPartText"/>
    <w:basedOn w:val="DefaultParagraphFont"/>
    <w:uiPriority w:val="1"/>
    <w:qFormat/>
    <w:rsid w:val="00BC06A2"/>
  </w:style>
  <w:style w:type="character" w:customStyle="1" w:styleId="CharAmPartNo">
    <w:name w:val="CharAmPartNo"/>
    <w:basedOn w:val="DefaultParagraphFont"/>
    <w:qFormat/>
    <w:rsid w:val="00BC06A2"/>
  </w:style>
  <w:style w:type="character" w:customStyle="1" w:styleId="CharAmPartText">
    <w:name w:val="CharAmPartText"/>
    <w:basedOn w:val="DefaultParagraphFont"/>
    <w:qFormat/>
    <w:rsid w:val="00BC06A2"/>
  </w:style>
  <w:style w:type="character" w:customStyle="1" w:styleId="CharAmSchNo">
    <w:name w:val="CharAmSchNo"/>
    <w:basedOn w:val="DefaultParagraphFont"/>
    <w:qFormat/>
    <w:rsid w:val="00BC06A2"/>
  </w:style>
  <w:style w:type="character" w:customStyle="1" w:styleId="CharAmSchText">
    <w:name w:val="CharAmSchText"/>
    <w:basedOn w:val="DefaultParagraphFont"/>
    <w:qFormat/>
    <w:rsid w:val="00BC06A2"/>
  </w:style>
  <w:style w:type="character" w:customStyle="1" w:styleId="hgkelc">
    <w:name w:val="hgkelc"/>
    <w:basedOn w:val="DefaultParagraphFont"/>
    <w:rsid w:val="00740D94"/>
  </w:style>
  <w:style w:type="paragraph" w:customStyle="1" w:styleId="Default">
    <w:name w:val="Default"/>
    <w:rsid w:val="003E4E22"/>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6459">
      <w:bodyDiv w:val="1"/>
      <w:marLeft w:val="0"/>
      <w:marRight w:val="0"/>
      <w:marTop w:val="0"/>
      <w:marBottom w:val="0"/>
      <w:divBdr>
        <w:top w:val="none" w:sz="0" w:space="0" w:color="auto"/>
        <w:left w:val="none" w:sz="0" w:space="0" w:color="auto"/>
        <w:bottom w:val="none" w:sz="0" w:space="0" w:color="auto"/>
        <w:right w:val="none" w:sz="0" w:space="0" w:color="auto"/>
      </w:divBdr>
    </w:div>
    <w:div w:id="439184784">
      <w:bodyDiv w:val="1"/>
      <w:marLeft w:val="0"/>
      <w:marRight w:val="0"/>
      <w:marTop w:val="0"/>
      <w:marBottom w:val="0"/>
      <w:divBdr>
        <w:top w:val="none" w:sz="0" w:space="0" w:color="auto"/>
        <w:left w:val="none" w:sz="0" w:space="0" w:color="auto"/>
        <w:bottom w:val="none" w:sz="0" w:space="0" w:color="auto"/>
        <w:right w:val="none" w:sz="0" w:space="0" w:color="auto"/>
      </w:divBdr>
    </w:div>
    <w:div w:id="556471518">
      <w:bodyDiv w:val="1"/>
      <w:marLeft w:val="0"/>
      <w:marRight w:val="0"/>
      <w:marTop w:val="0"/>
      <w:marBottom w:val="0"/>
      <w:divBdr>
        <w:top w:val="none" w:sz="0" w:space="0" w:color="auto"/>
        <w:left w:val="none" w:sz="0" w:space="0" w:color="auto"/>
        <w:bottom w:val="none" w:sz="0" w:space="0" w:color="auto"/>
        <w:right w:val="none" w:sz="0" w:space="0" w:color="auto"/>
      </w:divBdr>
    </w:div>
    <w:div w:id="557084785">
      <w:bodyDiv w:val="1"/>
      <w:marLeft w:val="0"/>
      <w:marRight w:val="0"/>
      <w:marTop w:val="0"/>
      <w:marBottom w:val="0"/>
      <w:divBdr>
        <w:top w:val="none" w:sz="0" w:space="0" w:color="auto"/>
        <w:left w:val="none" w:sz="0" w:space="0" w:color="auto"/>
        <w:bottom w:val="none" w:sz="0" w:space="0" w:color="auto"/>
        <w:right w:val="none" w:sz="0" w:space="0" w:color="auto"/>
      </w:divBdr>
    </w:div>
    <w:div w:id="634337431">
      <w:bodyDiv w:val="1"/>
      <w:marLeft w:val="0"/>
      <w:marRight w:val="0"/>
      <w:marTop w:val="0"/>
      <w:marBottom w:val="0"/>
      <w:divBdr>
        <w:top w:val="none" w:sz="0" w:space="0" w:color="auto"/>
        <w:left w:val="none" w:sz="0" w:space="0" w:color="auto"/>
        <w:bottom w:val="none" w:sz="0" w:space="0" w:color="auto"/>
        <w:right w:val="none" w:sz="0" w:space="0" w:color="auto"/>
      </w:divBdr>
      <w:divsChild>
        <w:div w:id="2129735377">
          <w:marLeft w:val="0"/>
          <w:marRight w:val="0"/>
          <w:marTop w:val="0"/>
          <w:marBottom w:val="0"/>
          <w:divBdr>
            <w:top w:val="none" w:sz="0" w:space="0" w:color="auto"/>
            <w:left w:val="none" w:sz="0" w:space="0" w:color="auto"/>
            <w:bottom w:val="none" w:sz="0" w:space="0" w:color="auto"/>
            <w:right w:val="none" w:sz="0" w:space="0" w:color="auto"/>
          </w:divBdr>
          <w:divsChild>
            <w:div w:id="479731150">
              <w:marLeft w:val="0"/>
              <w:marRight w:val="0"/>
              <w:marTop w:val="0"/>
              <w:marBottom w:val="0"/>
              <w:divBdr>
                <w:top w:val="none" w:sz="0" w:space="0" w:color="auto"/>
                <w:left w:val="none" w:sz="0" w:space="0" w:color="auto"/>
                <w:bottom w:val="none" w:sz="0" w:space="0" w:color="auto"/>
                <w:right w:val="none" w:sz="0" w:space="0" w:color="auto"/>
              </w:divBdr>
              <w:divsChild>
                <w:div w:id="1041051602">
                  <w:marLeft w:val="0"/>
                  <w:marRight w:val="0"/>
                  <w:marTop w:val="0"/>
                  <w:marBottom w:val="0"/>
                  <w:divBdr>
                    <w:top w:val="none" w:sz="0" w:space="0" w:color="auto"/>
                    <w:left w:val="none" w:sz="0" w:space="0" w:color="auto"/>
                    <w:bottom w:val="none" w:sz="0" w:space="0" w:color="auto"/>
                    <w:right w:val="none" w:sz="0" w:space="0" w:color="auto"/>
                  </w:divBdr>
                  <w:divsChild>
                    <w:div w:id="1035543566">
                      <w:marLeft w:val="0"/>
                      <w:marRight w:val="0"/>
                      <w:marTop w:val="0"/>
                      <w:marBottom w:val="0"/>
                      <w:divBdr>
                        <w:top w:val="none" w:sz="0" w:space="0" w:color="auto"/>
                        <w:left w:val="none" w:sz="0" w:space="0" w:color="auto"/>
                        <w:bottom w:val="none" w:sz="0" w:space="0" w:color="auto"/>
                        <w:right w:val="none" w:sz="0" w:space="0" w:color="auto"/>
                      </w:divBdr>
                      <w:divsChild>
                        <w:div w:id="114449966">
                          <w:marLeft w:val="0"/>
                          <w:marRight w:val="0"/>
                          <w:marTop w:val="0"/>
                          <w:marBottom w:val="0"/>
                          <w:divBdr>
                            <w:top w:val="none" w:sz="0" w:space="0" w:color="auto"/>
                            <w:left w:val="none" w:sz="0" w:space="0" w:color="auto"/>
                            <w:bottom w:val="none" w:sz="0" w:space="0" w:color="auto"/>
                            <w:right w:val="none" w:sz="0" w:space="0" w:color="auto"/>
                          </w:divBdr>
                          <w:divsChild>
                            <w:div w:id="1736078241">
                              <w:marLeft w:val="0"/>
                              <w:marRight w:val="0"/>
                              <w:marTop w:val="0"/>
                              <w:marBottom w:val="0"/>
                              <w:divBdr>
                                <w:top w:val="none" w:sz="0" w:space="0" w:color="auto"/>
                                <w:left w:val="none" w:sz="0" w:space="0" w:color="auto"/>
                                <w:bottom w:val="none" w:sz="0" w:space="0" w:color="auto"/>
                                <w:right w:val="none" w:sz="0" w:space="0" w:color="auto"/>
                              </w:divBdr>
                              <w:divsChild>
                                <w:div w:id="220597712">
                                  <w:marLeft w:val="0"/>
                                  <w:marRight w:val="0"/>
                                  <w:marTop w:val="0"/>
                                  <w:marBottom w:val="0"/>
                                  <w:divBdr>
                                    <w:top w:val="none" w:sz="0" w:space="0" w:color="auto"/>
                                    <w:left w:val="none" w:sz="0" w:space="0" w:color="auto"/>
                                    <w:bottom w:val="none" w:sz="0" w:space="0" w:color="auto"/>
                                    <w:right w:val="none" w:sz="0" w:space="0" w:color="auto"/>
                                  </w:divBdr>
                                  <w:divsChild>
                                    <w:div w:id="2034450960">
                                      <w:marLeft w:val="0"/>
                                      <w:marRight w:val="0"/>
                                      <w:marTop w:val="0"/>
                                      <w:marBottom w:val="0"/>
                                      <w:divBdr>
                                        <w:top w:val="none" w:sz="0" w:space="0" w:color="auto"/>
                                        <w:left w:val="none" w:sz="0" w:space="0" w:color="auto"/>
                                        <w:bottom w:val="none" w:sz="0" w:space="0" w:color="auto"/>
                                        <w:right w:val="none" w:sz="0" w:space="0" w:color="auto"/>
                                      </w:divBdr>
                                      <w:divsChild>
                                        <w:div w:id="1082601548">
                                          <w:marLeft w:val="0"/>
                                          <w:marRight w:val="0"/>
                                          <w:marTop w:val="0"/>
                                          <w:marBottom w:val="0"/>
                                          <w:divBdr>
                                            <w:top w:val="none" w:sz="0" w:space="0" w:color="auto"/>
                                            <w:left w:val="none" w:sz="0" w:space="0" w:color="auto"/>
                                            <w:bottom w:val="none" w:sz="0" w:space="0" w:color="auto"/>
                                            <w:right w:val="none" w:sz="0" w:space="0" w:color="auto"/>
                                          </w:divBdr>
                                          <w:divsChild>
                                            <w:div w:id="1290354300">
                                              <w:marLeft w:val="0"/>
                                              <w:marRight w:val="0"/>
                                              <w:marTop w:val="0"/>
                                              <w:marBottom w:val="0"/>
                                              <w:divBdr>
                                                <w:top w:val="none" w:sz="0" w:space="0" w:color="auto"/>
                                                <w:left w:val="none" w:sz="0" w:space="0" w:color="auto"/>
                                                <w:bottom w:val="none" w:sz="0" w:space="0" w:color="auto"/>
                                                <w:right w:val="none" w:sz="0" w:space="0" w:color="auto"/>
                                              </w:divBdr>
                                              <w:divsChild>
                                                <w:div w:id="264508569">
                                                  <w:marLeft w:val="0"/>
                                                  <w:marRight w:val="0"/>
                                                  <w:marTop w:val="0"/>
                                                  <w:marBottom w:val="0"/>
                                                  <w:divBdr>
                                                    <w:top w:val="none" w:sz="0" w:space="0" w:color="auto"/>
                                                    <w:left w:val="none" w:sz="0" w:space="0" w:color="auto"/>
                                                    <w:bottom w:val="none" w:sz="0" w:space="0" w:color="auto"/>
                                                    <w:right w:val="none" w:sz="0" w:space="0" w:color="auto"/>
                                                  </w:divBdr>
                                                  <w:divsChild>
                                                    <w:div w:id="1514808062">
                                                      <w:marLeft w:val="0"/>
                                                      <w:marRight w:val="0"/>
                                                      <w:marTop w:val="0"/>
                                                      <w:marBottom w:val="0"/>
                                                      <w:divBdr>
                                                        <w:top w:val="none" w:sz="0" w:space="0" w:color="auto"/>
                                                        <w:left w:val="none" w:sz="0" w:space="0" w:color="auto"/>
                                                        <w:bottom w:val="none" w:sz="0" w:space="0" w:color="auto"/>
                                                        <w:right w:val="none" w:sz="0" w:space="0" w:color="auto"/>
                                                      </w:divBdr>
                                                      <w:divsChild>
                                                        <w:div w:id="20183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426154">
      <w:bodyDiv w:val="1"/>
      <w:marLeft w:val="0"/>
      <w:marRight w:val="0"/>
      <w:marTop w:val="0"/>
      <w:marBottom w:val="0"/>
      <w:divBdr>
        <w:top w:val="none" w:sz="0" w:space="0" w:color="auto"/>
        <w:left w:val="none" w:sz="0" w:space="0" w:color="auto"/>
        <w:bottom w:val="none" w:sz="0" w:space="0" w:color="auto"/>
        <w:right w:val="none" w:sz="0" w:space="0" w:color="auto"/>
      </w:divBdr>
    </w:div>
    <w:div w:id="893782419">
      <w:bodyDiv w:val="1"/>
      <w:marLeft w:val="0"/>
      <w:marRight w:val="0"/>
      <w:marTop w:val="0"/>
      <w:marBottom w:val="0"/>
      <w:divBdr>
        <w:top w:val="none" w:sz="0" w:space="0" w:color="auto"/>
        <w:left w:val="none" w:sz="0" w:space="0" w:color="auto"/>
        <w:bottom w:val="none" w:sz="0" w:space="0" w:color="auto"/>
        <w:right w:val="none" w:sz="0" w:space="0" w:color="auto"/>
      </w:divBdr>
    </w:div>
    <w:div w:id="1067144961">
      <w:bodyDiv w:val="1"/>
      <w:marLeft w:val="0"/>
      <w:marRight w:val="0"/>
      <w:marTop w:val="0"/>
      <w:marBottom w:val="0"/>
      <w:divBdr>
        <w:top w:val="none" w:sz="0" w:space="0" w:color="auto"/>
        <w:left w:val="none" w:sz="0" w:space="0" w:color="auto"/>
        <w:bottom w:val="none" w:sz="0" w:space="0" w:color="auto"/>
        <w:right w:val="none" w:sz="0" w:space="0" w:color="auto"/>
      </w:divBdr>
    </w:div>
    <w:div w:id="1135871227">
      <w:bodyDiv w:val="1"/>
      <w:marLeft w:val="0"/>
      <w:marRight w:val="0"/>
      <w:marTop w:val="0"/>
      <w:marBottom w:val="0"/>
      <w:divBdr>
        <w:top w:val="none" w:sz="0" w:space="0" w:color="auto"/>
        <w:left w:val="none" w:sz="0" w:space="0" w:color="auto"/>
        <w:bottom w:val="none" w:sz="0" w:space="0" w:color="auto"/>
        <w:right w:val="none" w:sz="0" w:space="0" w:color="auto"/>
      </w:divBdr>
    </w:div>
    <w:div w:id="1158421585">
      <w:bodyDiv w:val="1"/>
      <w:marLeft w:val="0"/>
      <w:marRight w:val="0"/>
      <w:marTop w:val="0"/>
      <w:marBottom w:val="0"/>
      <w:divBdr>
        <w:top w:val="none" w:sz="0" w:space="0" w:color="auto"/>
        <w:left w:val="none" w:sz="0" w:space="0" w:color="auto"/>
        <w:bottom w:val="none" w:sz="0" w:space="0" w:color="auto"/>
        <w:right w:val="none" w:sz="0" w:space="0" w:color="auto"/>
      </w:divBdr>
    </w:div>
    <w:div w:id="1196500524">
      <w:bodyDiv w:val="1"/>
      <w:marLeft w:val="0"/>
      <w:marRight w:val="0"/>
      <w:marTop w:val="0"/>
      <w:marBottom w:val="0"/>
      <w:divBdr>
        <w:top w:val="none" w:sz="0" w:space="0" w:color="auto"/>
        <w:left w:val="none" w:sz="0" w:space="0" w:color="auto"/>
        <w:bottom w:val="none" w:sz="0" w:space="0" w:color="auto"/>
        <w:right w:val="none" w:sz="0" w:space="0" w:color="auto"/>
      </w:divBdr>
    </w:div>
    <w:div w:id="1369068827">
      <w:bodyDiv w:val="1"/>
      <w:marLeft w:val="0"/>
      <w:marRight w:val="0"/>
      <w:marTop w:val="0"/>
      <w:marBottom w:val="0"/>
      <w:divBdr>
        <w:top w:val="none" w:sz="0" w:space="0" w:color="auto"/>
        <w:left w:val="none" w:sz="0" w:space="0" w:color="auto"/>
        <w:bottom w:val="none" w:sz="0" w:space="0" w:color="auto"/>
        <w:right w:val="none" w:sz="0" w:space="0" w:color="auto"/>
      </w:divBdr>
    </w:div>
    <w:div w:id="1827670286">
      <w:bodyDiv w:val="1"/>
      <w:marLeft w:val="0"/>
      <w:marRight w:val="0"/>
      <w:marTop w:val="0"/>
      <w:marBottom w:val="0"/>
      <w:divBdr>
        <w:top w:val="none" w:sz="0" w:space="0" w:color="auto"/>
        <w:left w:val="none" w:sz="0" w:space="0" w:color="auto"/>
        <w:bottom w:val="none" w:sz="0" w:space="0" w:color="auto"/>
        <w:right w:val="none" w:sz="0" w:space="0" w:color="auto"/>
      </w:divBdr>
    </w:div>
    <w:div w:id="2079326484">
      <w:bodyDiv w:val="1"/>
      <w:marLeft w:val="0"/>
      <w:marRight w:val="0"/>
      <w:marTop w:val="0"/>
      <w:marBottom w:val="0"/>
      <w:divBdr>
        <w:top w:val="none" w:sz="0" w:space="0" w:color="auto"/>
        <w:left w:val="none" w:sz="0" w:space="0" w:color="auto"/>
        <w:bottom w:val="none" w:sz="0" w:space="0" w:color="auto"/>
        <w:right w:val="none" w:sz="0" w:space="0" w:color="auto"/>
      </w:divBdr>
    </w:div>
    <w:div w:id="21228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paonline.com.au/programs/trial-progra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A70F9-370C-4682-B90F-7BD4EFC5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Gianna</dc:creator>
  <cp:keywords/>
  <dc:description/>
  <cp:lastModifiedBy>NG, Jason</cp:lastModifiedBy>
  <cp:revision>19</cp:revision>
  <cp:lastPrinted>2020-03-19T04:14:00Z</cp:lastPrinted>
  <dcterms:created xsi:type="dcterms:W3CDTF">2021-02-01T22:16:00Z</dcterms:created>
  <dcterms:modified xsi:type="dcterms:W3CDTF">2021-02-22T05:26:00Z</dcterms:modified>
</cp:coreProperties>
</file>