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61CF" w14:textId="059FF4E6" w:rsidR="00A419EA" w:rsidRDefault="00ED081D" w:rsidP="001A7C14">
      <w:pPr>
        <w:autoSpaceDE w:val="0"/>
        <w:autoSpaceDN w:val="0"/>
        <w:adjustRightInd w:val="0"/>
        <w:spacing w:after="0"/>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Default="00AD562B" w:rsidP="001A7C14">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7A143476" w14:textId="228C7309" w:rsidR="00B60F0C" w:rsidRDefault="00B60F0C" w:rsidP="001A7C14">
      <w:pPr>
        <w:autoSpaceDE w:val="0"/>
        <w:autoSpaceDN w:val="0"/>
        <w:adjustRightInd w:val="0"/>
        <w:spacing w:after="0"/>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625284" w:rsidRDefault="00AD562B" w:rsidP="001A7C14">
      <w:pPr>
        <w:autoSpaceDE w:val="0"/>
        <w:autoSpaceDN w:val="0"/>
        <w:adjustRightInd w:val="0"/>
        <w:spacing w:after="0" w:line="240" w:lineRule="auto"/>
        <w:jc w:val="center"/>
        <w:rPr>
          <w:rFonts w:ascii="Times New Roman" w:hAnsi="Times New Roman"/>
          <w:bCs/>
          <w:i/>
          <w:iCs/>
          <w:szCs w:val="24"/>
        </w:rPr>
      </w:pPr>
    </w:p>
    <w:p w14:paraId="742D9337" w14:textId="40DC807F" w:rsidR="00EF1F18" w:rsidRDefault="00EF1F18"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F6166F">
        <w:rPr>
          <w:rFonts w:ascii="Times New Roman" w:eastAsia="Times New Roman" w:hAnsi="Times New Roman" w:cs="Times New Roman"/>
          <w:bCs/>
          <w:i/>
          <w:sz w:val="24"/>
          <w:szCs w:val="24"/>
          <w:lang w:eastAsia="en-AU"/>
        </w:rPr>
        <w:t>1</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F6166F">
        <w:rPr>
          <w:rFonts w:ascii="Times New Roman" w:eastAsia="Times New Roman" w:hAnsi="Times New Roman" w:cs="Times New Roman"/>
          <w:bCs/>
          <w:i/>
          <w:sz w:val="24"/>
          <w:szCs w:val="24"/>
          <w:lang w:eastAsia="en-AU"/>
        </w:rPr>
        <w:t>1</w:t>
      </w:r>
    </w:p>
    <w:p w14:paraId="2685996F" w14:textId="77777777" w:rsidR="00AD562B" w:rsidRPr="008727AB" w:rsidRDefault="00AD562B" w:rsidP="001A7C14">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1375AB08" w14:textId="35DCC3C6"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14:paraId="242F03BC" w14:textId="77777777"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14:paraId="3AAF151F" w14:textId="449F2B01"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 xml:space="preserve">specifying ingredients and, for some or all of those ingredients, requirements in relation to those ingredients being contained in a medicine.  Under subsections 26BB(2), (2A) and (3) of the Act, such requirements may relate to particular </w:t>
      </w:r>
      <w:r w:rsidR="004E05C9">
        <w:rPr>
          <w:rFonts w:ascii="Times New Roman" w:eastAsia="Times New Roman" w:hAnsi="Times New Roman" w:cs="Times New Roman"/>
          <w:sz w:val="24"/>
          <w:szCs w:val="24"/>
          <w:lang w:eastAsia="en-AU"/>
        </w:rPr>
        <w:lastRenderedPageBreak/>
        <w:t>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14:paraId="69CA0739"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0684020F" w14:textId="77777777"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14:paraId="441C0023" w14:textId="57F9466A"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F6166F">
        <w:rPr>
          <w:rFonts w:ascii="Times New Roman" w:eastAsia="Times New Roman" w:hAnsi="Times New Roman" w:cs="Times New Roman"/>
          <w:bCs/>
          <w:i/>
          <w:sz w:val="24"/>
          <w:szCs w:val="24"/>
          <w:lang w:eastAsia="en-AU"/>
        </w:rPr>
        <w:t>1</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 xml:space="preserve">21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F6166F">
        <w:rPr>
          <w:rFonts w:ascii="Times New Roman" w:eastAsia="Times New Roman" w:hAnsi="Times New Roman" w:cs="Times New Roman"/>
          <w:i/>
          <w:sz w:val="24"/>
          <w:szCs w:val="24"/>
          <w:lang w:eastAsia="en-AU"/>
        </w:rPr>
        <w:t>4</w:t>
      </w:r>
      <w:r w:rsidRPr="004E05C9">
        <w:rPr>
          <w:rFonts w:ascii="Times New Roman" w:eastAsia="Times New Roman" w:hAnsi="Times New Roman" w:cs="Times New Roman"/>
          <w:i/>
          <w:sz w:val="24"/>
          <w:szCs w:val="24"/>
          <w:lang w:eastAsia="en-AU"/>
        </w:rPr>
        <w:t>) 20</w:t>
      </w:r>
      <w:r w:rsidR="00E96741">
        <w:rPr>
          <w:rFonts w:ascii="Times New Roman" w:eastAsia="Times New Roman" w:hAnsi="Times New Roman" w:cs="Times New Roman"/>
          <w:i/>
          <w:sz w:val="24"/>
          <w:szCs w:val="24"/>
          <w:lang w:eastAsia="en-AU"/>
        </w:rPr>
        <w:t>20</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9A530B">
      <w:pPr>
        <w:autoSpaceDE w:val="0"/>
        <w:autoSpaceDN w:val="0"/>
        <w:adjustRightInd w:val="0"/>
        <w:spacing w:after="0"/>
        <w:rPr>
          <w:rFonts w:ascii="Times New Roman" w:eastAsia="Times New Roman" w:hAnsi="Times New Roman" w:cs="Times New Roman"/>
          <w:sz w:val="24"/>
          <w:szCs w:val="24"/>
          <w:lang w:eastAsia="en-AU"/>
        </w:rPr>
      </w:pPr>
    </w:p>
    <w:p w14:paraId="013E1782" w14:textId="761B1BF5" w:rsidR="00EF1F18" w:rsidRDefault="00EF1F18" w:rsidP="001A7C14">
      <w:pPr>
        <w:autoSpaceDE w:val="0"/>
        <w:autoSpaceDN w:val="0"/>
        <w:adjustRightInd w:val="0"/>
        <w:spacing w:after="0"/>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1A7C14">
      <w:pPr>
        <w:autoSpaceDE w:val="0"/>
        <w:autoSpaceDN w:val="0"/>
        <w:adjustRightInd w:val="0"/>
        <w:spacing w:after="0"/>
        <w:rPr>
          <w:rFonts w:ascii="Times New Roman" w:eastAsia="Times New Roman" w:hAnsi="Times New Roman" w:cs="Times New Roman"/>
          <w:sz w:val="24"/>
          <w:szCs w:val="24"/>
          <w:lang w:val="en-US" w:eastAsia="en-AU"/>
        </w:rPr>
      </w:pPr>
    </w:p>
    <w:p w14:paraId="46189311" w14:textId="7CDD84D4"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593DB8C4"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37CEDFE6" w14:textId="48FA808C"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In particular, medicines listed under section 26A and 26AE may only contain ingredients from an approved list of ingredients that have </w:t>
      </w:r>
      <w:r w:rsidRPr="00D4773E">
        <w:rPr>
          <w:rFonts w:ascii="Times New Roman" w:eastAsia="Times New Roman" w:hAnsi="Times New Roman" w:cs="Times New Roman"/>
          <w:sz w:val="24"/>
          <w:szCs w:val="24"/>
          <w:lang w:eastAsia="en-AU"/>
        </w:rPr>
        <w:lastRenderedPageBreak/>
        <w:t xml:space="preserve">been evaluated in relation to their quality and safety and suitability for use in such medicines.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14:paraId="4D224BDB" w14:textId="77777777" w:rsidR="005B70D2" w:rsidRPr="001A7C1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16704F00" w14:textId="502C1451"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Paragraphs 26AB(2)(d) and (e) contain equivalent certification requirements for applicants seeking marketing approval in relation to assessed listed medicines. </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6D9381AC" w14:textId="371F5E9E" w:rsidR="00D4773E" w:rsidRDefault="00D4773E" w:rsidP="001A7C14">
      <w:pPr>
        <w:autoSpaceDE w:val="0"/>
        <w:autoSpaceDN w:val="0"/>
        <w:adjustRightInd w:val="0"/>
        <w:spacing w:after="0"/>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lastRenderedPageBreak/>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497DAAC4" w14:textId="77777777" w:rsidR="005B70D2" w:rsidRPr="00712EA4"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4EE2990C" w14:textId="57E8D02B" w:rsidR="00D4773E" w:rsidRDefault="00226F3C"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14:paraId="1986DC36" w14:textId="77777777" w:rsidR="005B70D2" w:rsidRDefault="005B70D2" w:rsidP="001A7C14">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57CB284D" w:rsidR="00A4560C" w:rsidRPr="00A4560C" w:rsidRDefault="00A4560C" w:rsidP="001A7C14">
      <w:pPr>
        <w:spacing w:after="120"/>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w:t>
      </w:r>
      <w:r w:rsidRPr="00A4560C">
        <w:rPr>
          <w:rFonts w:ascii="Times New Roman" w:eastAsia="Times New Roman" w:hAnsi="Times New Roman" w:cs="Times New Roman"/>
          <w:sz w:val="24"/>
          <w:szCs w:val="24"/>
          <w:lang w:eastAsia="en-AU"/>
        </w:rPr>
        <w:lastRenderedPageBreak/>
        <w:t xml:space="preserve">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w:t>
      </w:r>
      <w:r w:rsidR="00E60C26">
        <w:rPr>
          <w:rFonts w:ascii="Times New Roman" w:eastAsia="Times New Roman" w:hAnsi="Times New Roman" w:cs="Times New Roman"/>
          <w:sz w:val="24"/>
          <w:szCs w:val="24"/>
          <w:lang w:eastAsia="en-AU"/>
        </w:rPr>
        <w:t xml:space="preserve"> </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w:t>
      </w:r>
      <w:r w:rsidR="007C503B">
        <w:rPr>
          <w:rFonts w:ascii="Times New Roman" w:eastAsia="Times New Roman" w:hAnsi="Times New Roman" w:cs="Times New Roman"/>
          <w:sz w:val="24"/>
          <w:szCs w:val="24"/>
          <w:lang w:eastAsia="en-AU"/>
        </w:rPr>
        <w:t xml:space="preserve"> to</w:t>
      </w:r>
      <w:r w:rsidRPr="00A4560C">
        <w:rPr>
          <w:rFonts w:ascii="Times New Roman" w:eastAsia="Times New Roman" w:hAnsi="Times New Roman" w:cs="Times New Roman"/>
          <w:sz w:val="24"/>
          <w:szCs w:val="24"/>
          <w:lang w:eastAsia="en-AU"/>
        </w:rPr>
        <w:t>, for example:</w:t>
      </w:r>
    </w:p>
    <w:p w14:paraId="1716BFC3" w14:textId="62D153A4" w:rsidR="00A4560C" w:rsidRPr="00AF44AF" w:rsidRDefault="00A4560C" w:rsidP="00B95A3B">
      <w:pPr>
        <w:pStyle w:val="ListParagraph"/>
        <w:numPr>
          <w:ilvl w:val="0"/>
          <w:numId w:val="11"/>
        </w:numPr>
        <w:spacing w:before="0" w:beforeAutospacing="0" w:after="120" w:afterAutospacing="0" w:line="276" w:lineRule="auto"/>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intended method of ingestion or application of the medicine, for example, oral or topical use;</w:t>
      </w:r>
    </w:p>
    <w:p w14:paraId="233FB9CD" w14:textId="2FEF7CF5"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the source of the ingredient, or procedures to be followed in its manufacture;</w:t>
      </w:r>
    </w:p>
    <w:p w14:paraId="5EC7B554" w14:textId="4DFA7DF1" w:rsidR="00A4560C" w:rsidRPr="00AF44AF" w:rsidRDefault="00A4560C" w:rsidP="00AF44AF">
      <w:pPr>
        <w:pStyle w:val="ListParagraph"/>
        <w:numPr>
          <w:ilvl w:val="0"/>
          <w:numId w:val="11"/>
        </w:numPr>
        <w:spacing w:before="120" w:beforeAutospacing="0" w:after="120" w:afterAutospacing="0" w:line="276" w:lineRule="auto"/>
        <w:ind w:left="714" w:hanging="357"/>
      </w:pPr>
      <w:r w:rsidRPr="00AF44AF">
        <w:t>appropriate limits on the volume or concentration of an ingredient; and</w:t>
      </w:r>
    </w:p>
    <w:p w14:paraId="2FA4BD86" w14:textId="746ABECD" w:rsidR="00A4560C" w:rsidRPr="00AF44AF" w:rsidRDefault="00A4560C" w:rsidP="001A7C14">
      <w:pPr>
        <w:pStyle w:val="ListParagraph"/>
        <w:numPr>
          <w:ilvl w:val="0"/>
          <w:numId w:val="11"/>
        </w:numPr>
        <w:spacing w:before="120" w:beforeAutospacing="0" w:after="0" w:afterAutospacing="0" w:line="276" w:lineRule="auto"/>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A7C14">
      <w:pPr>
        <w:keepNext/>
        <w:spacing w:after="0"/>
        <w:contextualSpacing/>
        <w:rPr>
          <w:rFonts w:ascii="Times New Roman" w:eastAsia="Times New Roman" w:hAnsi="Times New Roman" w:cs="Times New Roman"/>
          <w:sz w:val="24"/>
          <w:szCs w:val="24"/>
          <w:lang w:eastAsia="en-AU"/>
        </w:rPr>
      </w:pPr>
    </w:p>
    <w:p w14:paraId="1C9706BC" w14:textId="30EA3458" w:rsidR="006D4AB8" w:rsidRDefault="006D4AB8" w:rsidP="002000F0">
      <w:pPr>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0A0E6CD1" w14:textId="5FCF33C8" w:rsidR="005F3B1B" w:rsidRDefault="00BA7D51" w:rsidP="00BA7D51">
      <w:pPr>
        <w:pStyle w:val="ListParagraph"/>
        <w:numPr>
          <w:ilvl w:val="0"/>
          <w:numId w:val="11"/>
        </w:numPr>
        <w:autoSpaceDE w:val="0"/>
        <w:autoSpaceDN w:val="0"/>
        <w:adjustRightInd w:val="0"/>
        <w:spacing w:before="120" w:beforeAutospacing="0" w:after="120" w:afterAutospacing="0"/>
      </w:pPr>
      <w:r>
        <w:lastRenderedPageBreak/>
        <w:t>t</w:t>
      </w:r>
      <w:r w:rsidRPr="007B2709">
        <w:t xml:space="preserve">he addition of </w:t>
      </w:r>
      <w:r w:rsidR="0095646F">
        <w:t xml:space="preserve">the following </w:t>
      </w:r>
      <w:r w:rsidR="005F3B1B">
        <w:t>f</w:t>
      </w:r>
      <w:r w:rsidR="00B0343E">
        <w:t>our</w:t>
      </w:r>
      <w:r w:rsidR="00F6741C">
        <w:t xml:space="preserve"> new</w:t>
      </w:r>
      <w:r w:rsidRPr="007B2709">
        <w:t xml:space="preserve"> ingredient</w:t>
      </w:r>
      <w:r>
        <w:t>s</w:t>
      </w:r>
      <w:r w:rsidRPr="007B2709">
        <w:t xml:space="preserve"> </w:t>
      </w:r>
      <w:r w:rsidR="00F6741C">
        <w:t>for use in listed and assessed listed medicines</w:t>
      </w:r>
      <w:r w:rsidR="005F3B1B">
        <w:t>:</w:t>
      </w:r>
    </w:p>
    <w:p w14:paraId="5AEA3D09" w14:textId="168CEFAA" w:rsidR="005F3B1B" w:rsidRDefault="00BA7D51" w:rsidP="005F3B1B">
      <w:pPr>
        <w:pStyle w:val="ListParagraph"/>
        <w:numPr>
          <w:ilvl w:val="1"/>
          <w:numId w:val="11"/>
        </w:numPr>
        <w:autoSpaceDE w:val="0"/>
        <w:autoSpaceDN w:val="0"/>
        <w:adjustRightInd w:val="0"/>
        <w:spacing w:before="120" w:beforeAutospacing="0" w:after="120" w:afterAutospacing="0"/>
      </w:pPr>
      <w:r w:rsidRPr="007B2709">
        <w:t>2’-fucosyllactose</w:t>
      </w:r>
      <w:r w:rsidR="005F3B1B">
        <w:t>;</w:t>
      </w:r>
    </w:p>
    <w:p w14:paraId="49F30638" w14:textId="3093ECED" w:rsidR="00BA7D51" w:rsidRDefault="00BA7D51" w:rsidP="005F3B1B">
      <w:pPr>
        <w:pStyle w:val="ListParagraph"/>
        <w:numPr>
          <w:ilvl w:val="1"/>
          <w:numId w:val="11"/>
        </w:numPr>
        <w:autoSpaceDE w:val="0"/>
        <w:autoSpaceDN w:val="0"/>
        <w:adjustRightInd w:val="0"/>
        <w:spacing w:before="120" w:beforeAutospacing="0" w:after="120" w:afterAutospacing="0"/>
      </w:pPr>
      <w:r>
        <w:t>fully hydrogenated rapeseed oil</w:t>
      </w:r>
      <w:r w:rsidRPr="007B2709">
        <w:t>;</w:t>
      </w:r>
    </w:p>
    <w:p w14:paraId="7230815C" w14:textId="66ECB115" w:rsidR="005F3B1B" w:rsidRDefault="005F3B1B" w:rsidP="005F3B1B">
      <w:pPr>
        <w:pStyle w:val="ListParagraph"/>
        <w:numPr>
          <w:ilvl w:val="1"/>
          <w:numId w:val="11"/>
        </w:numPr>
        <w:autoSpaceDE w:val="0"/>
        <w:autoSpaceDN w:val="0"/>
        <w:adjustRightInd w:val="0"/>
        <w:spacing w:before="120" w:beforeAutospacing="0" w:after="120" w:afterAutospacing="0"/>
      </w:pPr>
      <w:r>
        <w:t>C15-16 isoparaffin;</w:t>
      </w:r>
      <w:r w:rsidR="00B0343E">
        <w:t xml:space="preserve"> and</w:t>
      </w:r>
    </w:p>
    <w:p w14:paraId="132C4231" w14:textId="296A67B1" w:rsidR="005F3B1B" w:rsidRDefault="005F3B1B" w:rsidP="005F3B1B">
      <w:pPr>
        <w:pStyle w:val="ListParagraph"/>
        <w:numPr>
          <w:ilvl w:val="1"/>
          <w:numId w:val="11"/>
        </w:numPr>
        <w:autoSpaceDE w:val="0"/>
        <w:autoSpaceDN w:val="0"/>
        <w:adjustRightInd w:val="0"/>
        <w:spacing w:before="120" w:beforeAutospacing="0" w:after="120" w:afterAutospacing="0"/>
      </w:pPr>
      <w:r>
        <w:t>C17-18 isoparaffin;</w:t>
      </w:r>
    </w:p>
    <w:p w14:paraId="091834FC" w14:textId="3C27A50E" w:rsidR="005F3B1B" w:rsidRDefault="00D91242" w:rsidP="0095646F">
      <w:pPr>
        <w:pStyle w:val="ListParagraph"/>
        <w:numPr>
          <w:ilvl w:val="0"/>
          <w:numId w:val="11"/>
        </w:numPr>
        <w:autoSpaceDE w:val="0"/>
        <w:autoSpaceDN w:val="0"/>
        <w:adjustRightInd w:val="0"/>
        <w:spacing w:before="120" w:beforeAutospacing="0" w:after="120" w:afterAutospacing="0"/>
      </w:pPr>
      <w:r>
        <w:t>t</w:t>
      </w:r>
      <w:r w:rsidR="00B0343E">
        <w:t xml:space="preserve">he addition of the ingredient </w:t>
      </w:r>
      <w:r w:rsidR="005F3B1B">
        <w:t>3-(methylthio) propionaldehyde</w:t>
      </w:r>
      <w:r w:rsidR="00EF5F76">
        <w:t xml:space="preserve"> for use in flavour proprietary </w:t>
      </w:r>
      <w:r w:rsidR="00B0343E">
        <w:t xml:space="preserve">excipient </w:t>
      </w:r>
      <w:r w:rsidR="00C56A85">
        <w:t>formulations</w:t>
      </w:r>
      <w:r w:rsidR="00B0343E">
        <w:t xml:space="preserve"> in listed and assessed listed medicines</w:t>
      </w:r>
      <w:r w:rsidR="005F3B1B">
        <w:t>;</w:t>
      </w:r>
    </w:p>
    <w:p w14:paraId="3A9D2A5E" w14:textId="78746CED" w:rsidR="00D91242" w:rsidRDefault="00D91242" w:rsidP="00BA7D51">
      <w:pPr>
        <w:pStyle w:val="ListParagraph"/>
        <w:numPr>
          <w:ilvl w:val="0"/>
          <w:numId w:val="11"/>
        </w:numPr>
        <w:autoSpaceDE w:val="0"/>
        <w:autoSpaceDN w:val="0"/>
        <w:adjustRightInd w:val="0"/>
        <w:spacing w:before="120" w:beforeAutospacing="0" w:after="120" w:afterAutospacing="0"/>
      </w:pPr>
      <w:r>
        <w:t xml:space="preserve">updating the ingredient name </w:t>
      </w:r>
      <w:r>
        <w:rPr>
          <w:i/>
        </w:rPr>
        <w:t>Ledum groenlandicum</w:t>
      </w:r>
      <w:r>
        <w:t xml:space="preserve"> to the currently taxonomically accepted name </w:t>
      </w:r>
      <w:r>
        <w:rPr>
          <w:i/>
        </w:rPr>
        <w:t>Rhododendron groenlandicum</w:t>
      </w:r>
      <w:r>
        <w:t xml:space="preserve">; </w:t>
      </w:r>
    </w:p>
    <w:p w14:paraId="0B427806" w14:textId="1195CB19" w:rsidR="00BA7D51" w:rsidRDefault="00BA7D51" w:rsidP="00BA7D51">
      <w:pPr>
        <w:pStyle w:val="ListParagraph"/>
        <w:numPr>
          <w:ilvl w:val="0"/>
          <w:numId w:val="11"/>
        </w:numPr>
        <w:autoSpaceDE w:val="0"/>
        <w:autoSpaceDN w:val="0"/>
        <w:adjustRightInd w:val="0"/>
        <w:spacing w:before="120" w:beforeAutospacing="0" w:after="120" w:afterAutospacing="0"/>
      </w:pPr>
      <w:r w:rsidRPr="00670213">
        <w:t>update</w:t>
      </w:r>
      <w:r w:rsidR="00F6741C">
        <w:t>s</w:t>
      </w:r>
      <w:r w:rsidRPr="00670213">
        <w:t xml:space="preserve"> </w:t>
      </w:r>
      <w:r w:rsidR="00F6741C">
        <w:t xml:space="preserve">to applicable </w:t>
      </w:r>
      <w:r w:rsidRPr="00670213">
        <w:t>requirements</w:t>
      </w:r>
      <w:r>
        <w:t xml:space="preserve"> for the following ingredients:</w:t>
      </w:r>
    </w:p>
    <w:p w14:paraId="10034451" w14:textId="1AB19728" w:rsidR="00BA7D51" w:rsidRDefault="00BA7D51" w:rsidP="00BA7D51">
      <w:pPr>
        <w:pStyle w:val="ListParagraph"/>
        <w:numPr>
          <w:ilvl w:val="1"/>
          <w:numId w:val="11"/>
        </w:numPr>
        <w:autoSpaceDE w:val="0"/>
        <w:autoSpaceDN w:val="0"/>
        <w:adjustRightInd w:val="0"/>
        <w:spacing w:before="120" w:beforeAutospacing="0" w:after="120" w:afterAutospacing="0"/>
      </w:pPr>
      <w:r>
        <w:t>1</w:t>
      </w:r>
      <w:r w:rsidRPr="007B2709">
        <w:t>9 inorganic magnesium salts</w:t>
      </w:r>
      <w:r>
        <w:t xml:space="preserve">, </w:t>
      </w:r>
      <w:r w:rsidR="00F6741C">
        <w:t>to reflect</w:t>
      </w:r>
      <w:r>
        <w:t xml:space="preserve"> an</w:t>
      </w:r>
      <w:r w:rsidRPr="007B2709">
        <w:t xml:space="preserve"> identified risk of </w:t>
      </w:r>
      <w:r>
        <w:t>laxative effects at high doses</w:t>
      </w:r>
      <w:r w:rsidR="00F6741C">
        <w:t xml:space="preserve"> associated with these ingredients</w:t>
      </w:r>
      <w:r>
        <w:t>;</w:t>
      </w:r>
    </w:p>
    <w:p w14:paraId="68608B80" w14:textId="71FB12B0" w:rsidR="00BA7D51" w:rsidRDefault="00BA7D51" w:rsidP="00BA7D51">
      <w:pPr>
        <w:pStyle w:val="ListParagraph"/>
        <w:numPr>
          <w:ilvl w:val="1"/>
          <w:numId w:val="11"/>
        </w:numPr>
        <w:autoSpaceDE w:val="0"/>
        <w:autoSpaceDN w:val="0"/>
        <w:adjustRightInd w:val="0"/>
        <w:spacing w:before="120" w:beforeAutospacing="0" w:after="120" w:afterAutospacing="0"/>
      </w:pPr>
      <w:r w:rsidRPr="007B2709">
        <w:rPr>
          <w:i/>
        </w:rPr>
        <w:t>Andrographis paniculata,</w:t>
      </w:r>
      <w:r w:rsidRPr="007D0041">
        <w:t xml:space="preserve"> </w:t>
      </w:r>
      <w:r w:rsidR="00F6741C">
        <w:t>to reflect</w:t>
      </w:r>
      <w:r>
        <w:t xml:space="preserve"> an identified</w:t>
      </w:r>
      <w:r w:rsidRPr="007D0041">
        <w:t xml:space="preserve"> risk of taste dis</w:t>
      </w:r>
      <w:r>
        <w:t>turbance</w:t>
      </w:r>
      <w:r w:rsidR="00F6741C">
        <w:t xml:space="preserve"> associated with this ingredient</w:t>
      </w:r>
      <w:r>
        <w:t>;</w:t>
      </w:r>
    </w:p>
    <w:p w14:paraId="5AD4908E" w14:textId="0B629E48" w:rsidR="00BA7D51" w:rsidRDefault="00BA7D51" w:rsidP="00BA7D51">
      <w:pPr>
        <w:pStyle w:val="ListParagraph"/>
        <w:numPr>
          <w:ilvl w:val="1"/>
          <w:numId w:val="11"/>
        </w:numPr>
        <w:autoSpaceDE w:val="0"/>
        <w:autoSpaceDN w:val="0"/>
        <w:adjustRightInd w:val="0"/>
        <w:spacing w:before="120" w:beforeAutospacing="0" w:after="120" w:afterAutospacing="0"/>
      </w:pPr>
      <w:r>
        <w:lastRenderedPageBreak/>
        <w:t xml:space="preserve">caffeine, </w:t>
      </w:r>
      <w:r w:rsidR="00F6741C">
        <w:t xml:space="preserve">to </w:t>
      </w:r>
      <w:r w:rsidR="00B74B1A">
        <w:t xml:space="preserve">allow for its use as an active ingredient for </w:t>
      </w:r>
      <w:r w:rsidR="00873010">
        <w:t xml:space="preserve">topical </w:t>
      </w:r>
      <w:r w:rsidR="00B74B1A">
        <w:t>administration</w:t>
      </w:r>
      <w:r w:rsidR="00F6741C">
        <w:t xml:space="preserve"> following </w:t>
      </w:r>
      <w:r>
        <w:t xml:space="preserve">an application </w:t>
      </w:r>
      <w:r w:rsidR="00F6741C">
        <w:t xml:space="preserve">that was made </w:t>
      </w:r>
      <w:r>
        <w:t>to the Secretary</w:t>
      </w:r>
      <w:r w:rsidR="00F6741C">
        <w:t xml:space="preserve"> for this variation</w:t>
      </w:r>
      <w:r>
        <w:t>;</w:t>
      </w:r>
      <w:r w:rsidR="00C56A85">
        <w:t xml:space="preserve"> and</w:t>
      </w:r>
    </w:p>
    <w:p w14:paraId="195E711F" w14:textId="2BC9002D" w:rsidR="005F3B1B" w:rsidRDefault="005F3B1B" w:rsidP="00BA7D51">
      <w:pPr>
        <w:pStyle w:val="ListParagraph"/>
        <w:numPr>
          <w:ilvl w:val="1"/>
          <w:numId w:val="11"/>
        </w:numPr>
        <w:autoSpaceDE w:val="0"/>
        <w:autoSpaceDN w:val="0"/>
        <w:adjustRightInd w:val="0"/>
        <w:spacing w:before="120" w:beforeAutospacing="0" w:after="120" w:afterAutospacing="0"/>
      </w:pPr>
      <w:r>
        <w:t>formic acid and para-propyl anisole, to reflect evaluation</w:t>
      </w:r>
      <w:r w:rsidR="00EF5F76">
        <w:t>s</w:t>
      </w:r>
      <w:r>
        <w:t xml:space="preserve"> for</w:t>
      </w:r>
      <w:r w:rsidR="00EF5F76">
        <w:t xml:space="preserve"> their</w:t>
      </w:r>
      <w:r>
        <w:t xml:space="preserve"> use in flavour proprietary </w:t>
      </w:r>
      <w:r w:rsidR="00B0343E">
        <w:t xml:space="preserve">excipient </w:t>
      </w:r>
      <w:r w:rsidR="00C56A85">
        <w:t>formulations</w:t>
      </w:r>
      <w:r>
        <w:t>;</w:t>
      </w:r>
    </w:p>
    <w:p w14:paraId="0086592B" w14:textId="275A48C3" w:rsidR="00244DF3" w:rsidRDefault="00244DF3" w:rsidP="00244DF3">
      <w:pPr>
        <w:pStyle w:val="ListParagraph"/>
        <w:numPr>
          <w:ilvl w:val="0"/>
          <w:numId w:val="11"/>
        </w:numPr>
        <w:autoSpaceDE w:val="0"/>
        <w:autoSpaceDN w:val="0"/>
        <w:adjustRightInd w:val="0"/>
        <w:spacing w:before="120" w:beforeAutospacing="0" w:after="120" w:afterAutospacing="0"/>
      </w:pPr>
      <w:r>
        <w:t>minor clarifications</w:t>
      </w:r>
      <w:r w:rsidR="00141384">
        <w:t>,</w:t>
      </w:r>
      <w:r>
        <w:t xml:space="preserve"> and correction of minor </w:t>
      </w:r>
      <w:r w:rsidRPr="00670213">
        <w:t xml:space="preserve">typographical </w:t>
      </w:r>
      <w:r>
        <w:t>errors for the purpose of improving the internal consistency of the Determination, including</w:t>
      </w:r>
      <w:r w:rsidR="0095646F" w:rsidRPr="0095646F">
        <w:t xml:space="preserve"> </w:t>
      </w:r>
      <w:r w:rsidR="0095646F">
        <w:t>the following changes</w:t>
      </w:r>
      <w:r>
        <w:t>:</w:t>
      </w:r>
    </w:p>
    <w:p w14:paraId="52F0EE30" w14:textId="6CA1C531" w:rsidR="00244DF3" w:rsidRDefault="00244DF3" w:rsidP="0095646F">
      <w:pPr>
        <w:pStyle w:val="ListParagraph"/>
        <w:numPr>
          <w:ilvl w:val="1"/>
          <w:numId w:val="11"/>
        </w:numPr>
        <w:autoSpaceDE w:val="0"/>
        <w:autoSpaceDN w:val="0"/>
        <w:adjustRightInd w:val="0"/>
        <w:spacing w:before="120" w:beforeAutospacing="0" w:after="120" w:afterAutospacing="0"/>
      </w:pPr>
      <w:r>
        <w:t xml:space="preserve">the </w:t>
      </w:r>
      <w:r w:rsidR="00B74B1A">
        <w:t>specification</w:t>
      </w:r>
      <w:r>
        <w:t xml:space="preserve"> of product warning codes for </w:t>
      </w:r>
      <w:r w:rsidR="00B74B1A">
        <w:t xml:space="preserve">existing warning statements required in </w:t>
      </w:r>
      <w:r>
        <w:t>4 ingredients</w:t>
      </w:r>
      <w:r w:rsidR="00B74B1A">
        <w:t>,</w:t>
      </w:r>
      <w:r>
        <w:t xml:space="preserve"> which were inadvertently omitted in previous determinations made under section 26BB of the Act;</w:t>
      </w:r>
      <w:r w:rsidRPr="00244DF3">
        <w:t xml:space="preserve"> </w:t>
      </w:r>
    </w:p>
    <w:p w14:paraId="5621A092" w14:textId="5EE551D3" w:rsidR="0095646F" w:rsidRDefault="0095646F" w:rsidP="0095646F">
      <w:pPr>
        <w:pStyle w:val="ListParagraph"/>
        <w:numPr>
          <w:ilvl w:val="1"/>
          <w:numId w:val="11"/>
        </w:numPr>
        <w:autoSpaceDE w:val="0"/>
        <w:autoSpaceDN w:val="0"/>
        <w:adjustRightInd w:val="0"/>
        <w:spacing w:before="120" w:beforeAutospacing="0" w:after="120" w:afterAutospacing="0"/>
      </w:pPr>
      <w:r w:rsidRPr="007B2709">
        <w:t xml:space="preserve">clarification of requirements for </w:t>
      </w:r>
      <w:r w:rsidRPr="0095646F">
        <w:rPr>
          <w:i/>
        </w:rPr>
        <w:t>Conium maculatum</w:t>
      </w:r>
      <w:r w:rsidRPr="007B2709">
        <w:t xml:space="preserve"> relat</w:t>
      </w:r>
      <w:r w:rsidR="00141384">
        <w:t>ing</w:t>
      </w:r>
      <w:r w:rsidRPr="007B2709">
        <w:t xml:space="preserve"> to homoeopathic</w:t>
      </w:r>
      <w:r>
        <w:t xml:space="preserve"> </w:t>
      </w:r>
      <w:r w:rsidRPr="007B2709">
        <w:t xml:space="preserve">potency;  </w:t>
      </w:r>
    </w:p>
    <w:p w14:paraId="629EA613" w14:textId="00FD91C3" w:rsidR="0095646F" w:rsidRDefault="0095646F" w:rsidP="0095646F">
      <w:pPr>
        <w:pStyle w:val="ListParagraph"/>
        <w:numPr>
          <w:ilvl w:val="1"/>
          <w:numId w:val="11"/>
        </w:numPr>
        <w:autoSpaceDE w:val="0"/>
        <w:autoSpaceDN w:val="0"/>
        <w:adjustRightInd w:val="0"/>
        <w:spacing w:before="120" w:beforeAutospacing="0" w:after="120" w:afterAutospacing="0"/>
      </w:pPr>
      <w:r>
        <w:t>clarification of requirements for cis-3-hexen-1-ol relat</w:t>
      </w:r>
      <w:r w:rsidR="00141384">
        <w:t>ing</w:t>
      </w:r>
      <w:r>
        <w:t xml:space="preserve"> to the concentration of flavour proprietary excipient ingredients; </w:t>
      </w:r>
    </w:p>
    <w:p w14:paraId="265B883D" w14:textId="2C8AB3EC" w:rsidR="00244DF3" w:rsidRDefault="00244DF3" w:rsidP="000B2796">
      <w:pPr>
        <w:pStyle w:val="ListParagraph"/>
        <w:numPr>
          <w:ilvl w:val="1"/>
          <w:numId w:val="11"/>
        </w:numPr>
        <w:autoSpaceDE w:val="0"/>
        <w:autoSpaceDN w:val="0"/>
        <w:adjustRightInd w:val="0"/>
        <w:spacing w:before="120" w:beforeAutospacing="0" w:after="120" w:afterAutospacing="0"/>
      </w:pPr>
      <w:r>
        <w:t xml:space="preserve">the removal of requirements </w:t>
      </w:r>
      <w:r w:rsidR="00527073">
        <w:t xml:space="preserve">relating </w:t>
      </w:r>
      <w:r>
        <w:t>to folic acid which</w:t>
      </w:r>
      <w:r w:rsidR="000B2796">
        <w:t xml:space="preserve"> </w:t>
      </w:r>
      <w:r w:rsidR="00652BA7">
        <w:t>are specified in</w:t>
      </w:r>
      <w:r w:rsidR="000B2796">
        <w:t xml:space="preserve"> </w:t>
      </w:r>
      <w:r w:rsidR="000B2796" w:rsidRPr="000B2796">
        <w:t xml:space="preserve">the Therapeutic Goods </w:t>
      </w:r>
      <w:r w:rsidR="000B2796" w:rsidRPr="000B2796">
        <w:lastRenderedPageBreak/>
        <w:t xml:space="preserve">(Permissible Indications) Determination (No. </w:t>
      </w:r>
      <w:r w:rsidR="000B2796">
        <w:t>1</w:t>
      </w:r>
      <w:r w:rsidR="000B2796" w:rsidRPr="000B2796">
        <w:t>) 20</w:t>
      </w:r>
      <w:r w:rsidR="000B2796">
        <w:t>2</w:t>
      </w:r>
      <w:r w:rsidR="004343F8">
        <w:t>1</w:t>
      </w:r>
      <w:r w:rsidR="000B2796">
        <w:t>, and</w:t>
      </w:r>
      <w:r>
        <w:t xml:space="preserve"> had been incorrectly included for </w:t>
      </w:r>
      <w:r w:rsidR="000B2796">
        <w:t xml:space="preserve">3 </w:t>
      </w:r>
      <w:r>
        <w:t xml:space="preserve">other ingredients; </w:t>
      </w:r>
      <w:r w:rsidR="00141384">
        <w:t>and</w:t>
      </w:r>
    </w:p>
    <w:p w14:paraId="11CE873D" w14:textId="7E7C99DB" w:rsidR="00B74B1A" w:rsidRPr="00670213" w:rsidRDefault="00B74B1A" w:rsidP="00B74B1A">
      <w:pPr>
        <w:pStyle w:val="ListParagraph"/>
        <w:numPr>
          <w:ilvl w:val="1"/>
          <w:numId w:val="11"/>
        </w:numPr>
        <w:autoSpaceDE w:val="0"/>
        <w:autoSpaceDN w:val="0"/>
        <w:adjustRightInd w:val="0"/>
        <w:spacing w:before="120" w:beforeAutospacing="0" w:after="120" w:afterAutospacing="0"/>
      </w:pPr>
      <w:r w:rsidRPr="00B74B1A">
        <w:t>a correction of an error in relation to a requirement for sodium propionate that had been incorrectly applied in the initial Determination.</w:t>
      </w:r>
    </w:p>
    <w:p w14:paraId="5C6F613D" w14:textId="3DD24B9E" w:rsidR="00BA7D51" w:rsidRDefault="00D91242" w:rsidP="00BA7D51">
      <w:pPr>
        <w:pStyle w:val="ListParagraph"/>
        <w:numPr>
          <w:ilvl w:val="0"/>
          <w:numId w:val="11"/>
        </w:numPr>
        <w:autoSpaceDE w:val="0"/>
        <w:autoSpaceDN w:val="0"/>
        <w:adjustRightInd w:val="0"/>
        <w:spacing w:before="120" w:beforeAutospacing="0" w:after="120" w:afterAutospacing="0"/>
      </w:pPr>
      <w:r>
        <w:t xml:space="preserve">the </w:t>
      </w:r>
      <w:r w:rsidR="00BA7D51">
        <w:t xml:space="preserve">removal of </w:t>
      </w:r>
      <w:r w:rsidR="00141384">
        <w:t>duplicative</w:t>
      </w:r>
      <w:r w:rsidR="00BA7D51">
        <w:t xml:space="preserve"> requirements for 125 ingredients, </w:t>
      </w:r>
      <w:r w:rsidR="00554CD2">
        <w:t xml:space="preserve">to reflect that the applicable </w:t>
      </w:r>
      <w:r w:rsidR="00BA7D51">
        <w:t xml:space="preserve">requirements </w:t>
      </w:r>
      <w:r w:rsidR="00554CD2">
        <w:t xml:space="preserve">separately apply to medicines that may contain the ingredients under </w:t>
      </w:r>
      <w:r w:rsidR="00BA7D51" w:rsidRPr="00554CD2">
        <w:rPr>
          <w:i/>
        </w:rPr>
        <w:t>Therapeutic Goods Order No. 92 - Standard for labels of non-prescription medicines</w:t>
      </w:r>
      <w:r w:rsidR="003B6684">
        <w:t xml:space="preserve"> (“TGO 92”)</w:t>
      </w:r>
      <w:r w:rsidR="00BA7D51">
        <w:t xml:space="preserve">; </w:t>
      </w:r>
      <w:r w:rsidR="0095646F">
        <w:t>and</w:t>
      </w:r>
    </w:p>
    <w:p w14:paraId="64C54A0A" w14:textId="6ED43A0E" w:rsidR="00BA7D51" w:rsidRDefault="00D91242" w:rsidP="00BA7D51">
      <w:pPr>
        <w:pStyle w:val="ListParagraph"/>
        <w:numPr>
          <w:ilvl w:val="0"/>
          <w:numId w:val="11"/>
        </w:numPr>
        <w:autoSpaceDE w:val="0"/>
        <w:autoSpaceDN w:val="0"/>
        <w:adjustRightInd w:val="0"/>
        <w:spacing w:before="120" w:beforeAutospacing="0" w:after="120" w:afterAutospacing="0"/>
      </w:pPr>
      <w:r>
        <w:t xml:space="preserve">the </w:t>
      </w:r>
      <w:r w:rsidR="00BA7D51" w:rsidRPr="007D0041">
        <w:t>removal of</w:t>
      </w:r>
      <w:r w:rsidR="00BA7D51">
        <w:t xml:space="preserve"> the following three ingredients</w:t>
      </w:r>
      <w:r w:rsidR="00873010">
        <w:t xml:space="preserve"> which are not appropriate for inclusion in listed or assessed listed medicines</w:t>
      </w:r>
      <w:r w:rsidR="00BA7D51">
        <w:t>:</w:t>
      </w:r>
    </w:p>
    <w:p w14:paraId="7FB642BC" w14:textId="789AE874" w:rsidR="00BA7D51" w:rsidRDefault="00BA7D51" w:rsidP="00BA7D51">
      <w:pPr>
        <w:pStyle w:val="ListParagraph"/>
        <w:numPr>
          <w:ilvl w:val="1"/>
          <w:numId w:val="11"/>
        </w:numPr>
        <w:autoSpaceDE w:val="0"/>
        <w:autoSpaceDN w:val="0"/>
        <w:adjustRightInd w:val="0"/>
        <w:spacing w:before="120" w:beforeAutospacing="0" w:after="120" w:afterAutospacing="0"/>
      </w:pPr>
      <w:r w:rsidRPr="007B2709">
        <w:rPr>
          <w:i/>
          <w:iCs/>
        </w:rPr>
        <w:t>Gynura japonica</w:t>
      </w:r>
      <w:r w:rsidR="00D5212F">
        <w:t xml:space="preserve">, </w:t>
      </w:r>
      <w:r w:rsidR="00EB32C8">
        <w:t>as</w:t>
      </w:r>
      <w:r w:rsidR="00D5212F">
        <w:t xml:space="preserve"> this ingredient </w:t>
      </w:r>
      <w:r>
        <w:t>contains</w:t>
      </w:r>
      <w:r w:rsidR="007457D2">
        <w:t xml:space="preserve"> </w:t>
      </w:r>
      <w:r>
        <w:t>hepatotoxic pyrrolizidine</w:t>
      </w:r>
      <w:r w:rsidR="00403C15">
        <w:t xml:space="preserve"> alkaloids</w:t>
      </w:r>
      <w:r>
        <w:t>;</w:t>
      </w:r>
    </w:p>
    <w:p w14:paraId="0E2B3616" w14:textId="29668BE9" w:rsidR="00BA7D51" w:rsidRDefault="00BA7D51" w:rsidP="00BA7D51">
      <w:pPr>
        <w:pStyle w:val="ListParagraph"/>
        <w:numPr>
          <w:ilvl w:val="1"/>
          <w:numId w:val="11"/>
        </w:numPr>
        <w:autoSpaceDE w:val="0"/>
        <w:autoSpaceDN w:val="0"/>
        <w:adjustRightInd w:val="0"/>
        <w:spacing w:before="120" w:beforeAutospacing="0" w:after="120" w:afterAutospacing="0"/>
      </w:pPr>
      <w:r>
        <w:t>p</w:t>
      </w:r>
      <w:r w:rsidRPr="00670213">
        <w:t xml:space="preserve">soralen (of </w:t>
      </w:r>
      <w:r w:rsidRPr="007B2709">
        <w:rPr>
          <w:i/>
        </w:rPr>
        <w:t>Cullen corylifolium</w:t>
      </w:r>
      <w:r w:rsidRPr="00670213">
        <w:t>)</w:t>
      </w:r>
      <w:r w:rsidR="00D5212F">
        <w:t xml:space="preserve">, </w:t>
      </w:r>
      <w:r w:rsidR="00EB32C8">
        <w:t xml:space="preserve">as this entry refers to </w:t>
      </w:r>
      <w:r w:rsidR="00873010">
        <w:t xml:space="preserve">a </w:t>
      </w:r>
      <w:r w:rsidR="00EB32C8">
        <w:t>c</w:t>
      </w:r>
      <w:r w:rsidR="00873010">
        <w:t xml:space="preserve">omponent </w:t>
      </w:r>
      <w:r w:rsidR="00EB32C8">
        <w:t>of the existing ingredient ‘</w:t>
      </w:r>
      <w:r w:rsidR="00EB32C8">
        <w:rPr>
          <w:i/>
        </w:rPr>
        <w:t>Cullen corylifolium</w:t>
      </w:r>
      <w:r w:rsidR="00EB32C8">
        <w:t>’</w:t>
      </w:r>
      <w:r w:rsidR="00EB32C8">
        <w:rPr>
          <w:i/>
        </w:rPr>
        <w:t xml:space="preserve"> </w:t>
      </w:r>
      <w:r w:rsidR="00EB32C8" w:rsidRPr="00EB32C8">
        <w:t>and</w:t>
      </w:r>
      <w:r w:rsidR="00EB32C8">
        <w:t xml:space="preserve"> </w:t>
      </w:r>
      <w:r w:rsidR="00873010">
        <w:t xml:space="preserve">was incorrectly included </w:t>
      </w:r>
      <w:r w:rsidR="0057657A">
        <w:t xml:space="preserve">as an ingredient </w:t>
      </w:r>
      <w:r w:rsidR="00873010">
        <w:t>in the</w:t>
      </w:r>
      <w:r w:rsidR="00586A79">
        <w:t xml:space="preserve"> </w:t>
      </w:r>
      <w:r w:rsidR="00EB32C8">
        <w:t xml:space="preserve">initial </w:t>
      </w:r>
      <w:r w:rsidR="00873010">
        <w:t>Determination</w:t>
      </w:r>
      <w:r w:rsidRPr="00670213">
        <w:t>;</w:t>
      </w:r>
      <w:r>
        <w:t xml:space="preserve"> and</w:t>
      </w:r>
    </w:p>
    <w:p w14:paraId="2AC6B359" w14:textId="5462F711" w:rsidR="00BA7D51" w:rsidRDefault="00BA7D51" w:rsidP="0095646F">
      <w:pPr>
        <w:pStyle w:val="ListParagraph"/>
        <w:numPr>
          <w:ilvl w:val="1"/>
          <w:numId w:val="11"/>
        </w:numPr>
        <w:autoSpaceDE w:val="0"/>
        <w:autoSpaceDN w:val="0"/>
        <w:adjustRightInd w:val="0"/>
        <w:spacing w:before="120" w:beforeAutospacing="0" w:after="120" w:afterAutospacing="0"/>
      </w:pPr>
      <w:r>
        <w:lastRenderedPageBreak/>
        <w:t>chloroacetamide</w:t>
      </w:r>
      <w:r w:rsidR="00D5212F">
        <w:t xml:space="preserve">, </w:t>
      </w:r>
      <w:r w:rsidR="00EB32C8">
        <w:t>as</w:t>
      </w:r>
      <w:r w:rsidR="00586A79">
        <w:t xml:space="preserve"> this ingredient</w:t>
      </w:r>
      <w:r w:rsidRPr="0091505A">
        <w:t xml:space="preserve"> is a contact allergen specified in a Schedule to the Poisons Standard</w:t>
      </w:r>
      <w:r w:rsidR="00244DF3">
        <w:t>.</w:t>
      </w:r>
    </w:p>
    <w:p w14:paraId="55ABF547" w14:textId="77777777" w:rsidR="00C531BD" w:rsidRDefault="00C531BD" w:rsidP="0026650C">
      <w:pPr>
        <w:autoSpaceDE w:val="0"/>
        <w:autoSpaceDN w:val="0"/>
        <w:adjustRightInd w:val="0"/>
        <w:spacing w:after="0"/>
        <w:rPr>
          <w:rFonts w:ascii="Times New Roman" w:eastAsia="Times New Roman" w:hAnsi="Times New Roman" w:cs="Times New Roman"/>
          <w:b/>
          <w:bCs/>
          <w:sz w:val="24"/>
          <w:szCs w:val="24"/>
          <w:lang w:eastAsia="en-AU"/>
        </w:rPr>
      </w:pPr>
    </w:p>
    <w:p w14:paraId="43BACDC7" w14:textId="689F3FF6" w:rsidR="00EF1F18" w:rsidRPr="00C531BD" w:rsidRDefault="00EF1F18" w:rsidP="000152DF">
      <w:pPr>
        <w:keepNext/>
        <w:autoSpaceDE w:val="0"/>
        <w:autoSpaceDN w:val="0"/>
        <w:adjustRightInd w:val="0"/>
        <w:spacing w:after="0"/>
        <w:rPr>
          <w:rFonts w:ascii="Times New Roman" w:eastAsia="Times New Roman" w:hAnsi="Times New Roman" w:cs="Times New Roman"/>
          <w:sz w:val="24"/>
          <w:szCs w:val="24"/>
          <w:lang w:eastAsia="en-AU"/>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051EAD9A" w14:textId="77777777" w:rsidR="005B70D2" w:rsidRPr="007A52D3" w:rsidRDefault="005B70D2" w:rsidP="000152DF">
      <w:pPr>
        <w:keepNext/>
        <w:autoSpaceDE w:val="0"/>
        <w:autoSpaceDN w:val="0"/>
        <w:adjustRightInd w:val="0"/>
        <w:spacing w:after="0"/>
        <w:rPr>
          <w:rFonts w:ascii="Times New Roman" w:eastAsia="Times New Roman" w:hAnsi="Times New Roman" w:cs="Times New Roman"/>
          <w:sz w:val="24"/>
          <w:szCs w:val="24"/>
          <w:lang w:eastAsia="en-AU"/>
        </w:rPr>
      </w:pPr>
    </w:p>
    <w:p w14:paraId="36364A47" w14:textId="48EF8EF1" w:rsidR="005E0079" w:rsidRDefault="005E0079" w:rsidP="005E0079">
      <w:pPr>
        <w:rPr>
          <w:rFonts w:ascii="Times New Roman" w:hAnsi="Times New Roman" w:cs="Times New Roman"/>
          <w:sz w:val="24"/>
          <w:szCs w:val="24"/>
        </w:rPr>
      </w:pPr>
      <w:r w:rsidRPr="00912C13">
        <w:rPr>
          <w:rFonts w:ascii="Times New Roman" w:hAnsi="Times New Roman" w:cs="Times New Roman"/>
          <w:sz w:val="24"/>
          <w:szCs w:val="24"/>
        </w:rPr>
        <w:t xml:space="preserve">The </w:t>
      </w:r>
      <w:r w:rsidR="003B6684">
        <w:rPr>
          <w:rFonts w:ascii="Times New Roman" w:hAnsi="Times New Roman" w:cs="Times New Roman"/>
          <w:sz w:val="24"/>
          <w:szCs w:val="24"/>
        </w:rPr>
        <w:t xml:space="preserve">TGA engaged directly with the applicants who applied for the approval of </w:t>
      </w:r>
      <w:r w:rsidR="0095646F">
        <w:rPr>
          <w:rFonts w:ascii="Times New Roman" w:hAnsi="Times New Roman" w:cs="Times New Roman"/>
          <w:sz w:val="24"/>
          <w:szCs w:val="24"/>
        </w:rPr>
        <w:t xml:space="preserve">four </w:t>
      </w:r>
      <w:r w:rsidR="003B6684">
        <w:rPr>
          <w:rFonts w:ascii="Times New Roman" w:hAnsi="Times New Roman" w:cs="Times New Roman"/>
          <w:sz w:val="24"/>
          <w:szCs w:val="24"/>
        </w:rPr>
        <w:t xml:space="preserve">new </w:t>
      </w:r>
      <w:r w:rsidRPr="00912C13">
        <w:rPr>
          <w:rFonts w:ascii="Times New Roman" w:hAnsi="Times New Roman" w:cs="Times New Roman"/>
          <w:sz w:val="24"/>
          <w:szCs w:val="24"/>
        </w:rPr>
        <w:t>ingredient</w:t>
      </w:r>
      <w:r>
        <w:rPr>
          <w:rFonts w:ascii="Times New Roman" w:hAnsi="Times New Roman" w:cs="Times New Roman"/>
          <w:sz w:val="24"/>
          <w:szCs w:val="24"/>
        </w:rPr>
        <w:t>s</w:t>
      </w:r>
      <w:r w:rsidRPr="00912C13">
        <w:rPr>
          <w:rFonts w:ascii="Times New Roman" w:hAnsi="Times New Roman" w:cs="Times New Roman"/>
          <w:sz w:val="24"/>
          <w:szCs w:val="24"/>
        </w:rPr>
        <w:t xml:space="preserve"> </w:t>
      </w:r>
      <w:r w:rsidR="003B6684">
        <w:rPr>
          <w:rFonts w:ascii="Times New Roman" w:hAnsi="Times New Roman" w:cs="Times New Roman"/>
          <w:sz w:val="24"/>
          <w:szCs w:val="24"/>
        </w:rPr>
        <w:t xml:space="preserve">introduced by the Determination </w:t>
      </w:r>
      <w:r w:rsidR="00586A79">
        <w:rPr>
          <w:rFonts w:ascii="Times New Roman" w:hAnsi="Times New Roman" w:cs="Times New Roman"/>
          <w:sz w:val="24"/>
          <w:szCs w:val="24"/>
        </w:rPr>
        <w:t>(</w:t>
      </w:r>
      <w:r w:rsidRPr="00912C13">
        <w:rPr>
          <w:rFonts w:ascii="Times New Roman" w:hAnsi="Times New Roman" w:cs="Times New Roman"/>
          <w:sz w:val="24"/>
          <w:szCs w:val="24"/>
        </w:rPr>
        <w:t>2’-fucosyllactose</w:t>
      </w:r>
      <w:r w:rsidR="00586A79">
        <w:rPr>
          <w:rFonts w:ascii="Times New Roman" w:hAnsi="Times New Roman" w:cs="Times New Roman"/>
          <w:sz w:val="24"/>
          <w:szCs w:val="24"/>
        </w:rPr>
        <w:t>,</w:t>
      </w:r>
      <w:r w:rsidRPr="000B55C8">
        <w:rPr>
          <w:rFonts w:ascii="Times New Roman" w:hAnsi="Times New Roman" w:cs="Times New Roman"/>
          <w:sz w:val="24"/>
          <w:szCs w:val="24"/>
        </w:rPr>
        <w:t xml:space="preserve"> fully hydrogenated rapeseed oil</w:t>
      </w:r>
      <w:r>
        <w:rPr>
          <w:rFonts w:ascii="Times New Roman" w:hAnsi="Times New Roman" w:cs="Times New Roman"/>
          <w:sz w:val="24"/>
          <w:szCs w:val="24"/>
        </w:rPr>
        <w:t>,</w:t>
      </w:r>
      <w:r w:rsidR="00586A79">
        <w:rPr>
          <w:rFonts w:ascii="Times New Roman" w:hAnsi="Times New Roman" w:cs="Times New Roman"/>
          <w:sz w:val="24"/>
          <w:szCs w:val="24"/>
        </w:rPr>
        <w:t xml:space="preserve"> C15-16 isoparaffin,</w:t>
      </w:r>
      <w:r w:rsidR="00EF5F76">
        <w:rPr>
          <w:rFonts w:ascii="Times New Roman" w:hAnsi="Times New Roman" w:cs="Times New Roman"/>
          <w:sz w:val="24"/>
          <w:szCs w:val="24"/>
        </w:rPr>
        <w:t xml:space="preserve"> and</w:t>
      </w:r>
      <w:r w:rsidR="00586A79">
        <w:rPr>
          <w:rFonts w:ascii="Times New Roman" w:hAnsi="Times New Roman" w:cs="Times New Roman"/>
          <w:sz w:val="24"/>
          <w:szCs w:val="24"/>
        </w:rPr>
        <w:t xml:space="preserve"> C17-18 isoparaffin)</w:t>
      </w:r>
      <w:r w:rsidR="00586A79" w:rsidRPr="00586A79">
        <w:rPr>
          <w:rFonts w:ascii="Times New Roman" w:hAnsi="Times New Roman" w:cs="Times New Roman"/>
          <w:sz w:val="24"/>
          <w:szCs w:val="24"/>
        </w:rPr>
        <w:t xml:space="preserve"> </w:t>
      </w:r>
      <w:r w:rsidR="00586A79" w:rsidRPr="00912C13">
        <w:rPr>
          <w:rFonts w:ascii="Times New Roman" w:hAnsi="Times New Roman" w:cs="Times New Roman"/>
          <w:sz w:val="24"/>
          <w:szCs w:val="24"/>
        </w:rPr>
        <w:t xml:space="preserve">in connection with </w:t>
      </w:r>
      <w:r w:rsidR="00586A79">
        <w:rPr>
          <w:rFonts w:ascii="Times New Roman" w:hAnsi="Times New Roman" w:cs="Times New Roman"/>
          <w:sz w:val="24"/>
          <w:szCs w:val="24"/>
        </w:rPr>
        <w:t>each</w:t>
      </w:r>
      <w:r w:rsidR="00586A79" w:rsidRPr="00912C13">
        <w:rPr>
          <w:rFonts w:ascii="Times New Roman" w:hAnsi="Times New Roman" w:cs="Times New Roman"/>
          <w:sz w:val="24"/>
          <w:szCs w:val="24"/>
        </w:rPr>
        <w:t xml:space="preserve"> </w:t>
      </w:r>
      <w:r w:rsidR="00586A79">
        <w:rPr>
          <w:rFonts w:ascii="Times New Roman" w:hAnsi="Times New Roman" w:cs="Times New Roman"/>
          <w:sz w:val="24"/>
          <w:szCs w:val="24"/>
        </w:rPr>
        <w:t xml:space="preserve">of those </w:t>
      </w:r>
      <w:r w:rsidR="00586A79" w:rsidRPr="00912C13">
        <w:rPr>
          <w:rFonts w:ascii="Times New Roman" w:hAnsi="Times New Roman" w:cs="Times New Roman"/>
          <w:sz w:val="24"/>
          <w:szCs w:val="24"/>
        </w:rPr>
        <w:t>application</w:t>
      </w:r>
      <w:r w:rsidR="00586A79">
        <w:rPr>
          <w:rFonts w:ascii="Times New Roman" w:hAnsi="Times New Roman" w:cs="Times New Roman"/>
          <w:sz w:val="24"/>
          <w:szCs w:val="24"/>
        </w:rPr>
        <w:t>s, between July 2019 and February 2021. The TGA also engaged directly</w:t>
      </w:r>
      <w:r w:rsidRPr="000B55C8">
        <w:rPr>
          <w:rFonts w:ascii="Times New Roman" w:hAnsi="Times New Roman" w:cs="Times New Roman"/>
          <w:sz w:val="24"/>
          <w:szCs w:val="24"/>
        </w:rPr>
        <w:t xml:space="preserve"> </w:t>
      </w:r>
      <w:r w:rsidR="003B6684">
        <w:rPr>
          <w:rFonts w:ascii="Times New Roman" w:hAnsi="Times New Roman" w:cs="Times New Roman"/>
          <w:sz w:val="24"/>
          <w:szCs w:val="24"/>
        </w:rPr>
        <w:t xml:space="preserve">with the applicant who applied for the variation in relation to the ingredient </w:t>
      </w:r>
      <w:r w:rsidRPr="000B55C8">
        <w:rPr>
          <w:rFonts w:ascii="Times New Roman" w:hAnsi="Times New Roman" w:cs="Times New Roman"/>
          <w:sz w:val="24"/>
          <w:szCs w:val="24"/>
        </w:rPr>
        <w:t>caffeine</w:t>
      </w:r>
      <w:r>
        <w:rPr>
          <w:rFonts w:ascii="Times New Roman" w:hAnsi="Times New Roman" w:cs="Times New Roman"/>
          <w:sz w:val="24"/>
          <w:szCs w:val="24"/>
        </w:rPr>
        <w:t>,</w:t>
      </w:r>
      <w:r w:rsidRPr="00912C13">
        <w:rPr>
          <w:rFonts w:ascii="Times New Roman" w:hAnsi="Times New Roman" w:cs="Times New Roman"/>
          <w:sz w:val="24"/>
          <w:szCs w:val="24"/>
        </w:rPr>
        <w:t xml:space="preserve"> in connection with </w:t>
      </w:r>
      <w:r w:rsidR="00586A79">
        <w:rPr>
          <w:rFonts w:ascii="Times New Roman" w:hAnsi="Times New Roman" w:cs="Times New Roman"/>
          <w:sz w:val="24"/>
          <w:szCs w:val="24"/>
        </w:rPr>
        <w:t>that</w:t>
      </w:r>
      <w:r w:rsidR="003B6684">
        <w:rPr>
          <w:rFonts w:ascii="Times New Roman" w:hAnsi="Times New Roman" w:cs="Times New Roman"/>
          <w:sz w:val="24"/>
          <w:szCs w:val="24"/>
        </w:rPr>
        <w:t xml:space="preserve"> </w:t>
      </w:r>
      <w:r w:rsidRPr="00912C13">
        <w:rPr>
          <w:rFonts w:ascii="Times New Roman" w:hAnsi="Times New Roman" w:cs="Times New Roman"/>
          <w:sz w:val="24"/>
          <w:szCs w:val="24"/>
        </w:rPr>
        <w:t>application</w:t>
      </w:r>
      <w:r w:rsidR="003B6684">
        <w:rPr>
          <w:rFonts w:ascii="Times New Roman" w:hAnsi="Times New Roman" w:cs="Times New Roman"/>
          <w:sz w:val="24"/>
          <w:szCs w:val="24"/>
        </w:rPr>
        <w:t xml:space="preserve">, between </w:t>
      </w:r>
      <w:r w:rsidR="00586A79">
        <w:rPr>
          <w:rFonts w:ascii="Times New Roman" w:hAnsi="Times New Roman" w:cs="Times New Roman"/>
          <w:sz w:val="24"/>
          <w:szCs w:val="24"/>
        </w:rPr>
        <w:t>February 2020</w:t>
      </w:r>
      <w:r w:rsidR="003B6684">
        <w:rPr>
          <w:rFonts w:ascii="Times New Roman" w:hAnsi="Times New Roman" w:cs="Times New Roman"/>
          <w:sz w:val="24"/>
          <w:szCs w:val="24"/>
        </w:rPr>
        <w:t xml:space="preserve"> and </w:t>
      </w:r>
      <w:r w:rsidR="00586A79">
        <w:rPr>
          <w:rFonts w:ascii="Times New Roman" w:hAnsi="Times New Roman" w:cs="Times New Roman"/>
          <w:sz w:val="24"/>
          <w:szCs w:val="24"/>
        </w:rPr>
        <w:t>February 2021</w:t>
      </w:r>
      <w:r w:rsidRPr="00912C13">
        <w:rPr>
          <w:rFonts w:ascii="Times New Roman" w:hAnsi="Times New Roman" w:cs="Times New Roman"/>
          <w:sz w:val="24"/>
          <w:szCs w:val="24"/>
        </w:rPr>
        <w:t>.</w:t>
      </w:r>
    </w:p>
    <w:p w14:paraId="48ABF079" w14:textId="7D36DCEB" w:rsidR="005E0079" w:rsidRPr="00EE5F22" w:rsidRDefault="005E0079" w:rsidP="005E0079">
      <w:pPr>
        <w:rPr>
          <w:rFonts w:ascii="Times New Roman" w:hAnsi="Times New Roman" w:cs="Times New Roman"/>
          <w:sz w:val="24"/>
          <w:szCs w:val="24"/>
        </w:rPr>
      </w:pPr>
      <w:r w:rsidRPr="00EE5F22">
        <w:rPr>
          <w:rFonts w:ascii="Times New Roman" w:hAnsi="Times New Roman" w:cs="Times New Roman"/>
          <w:sz w:val="24"/>
          <w:szCs w:val="24"/>
        </w:rPr>
        <w:t xml:space="preserve">The TGA conducted a </w:t>
      </w:r>
      <w:hyperlink r:id="rId8" w:history="1">
        <w:r w:rsidRPr="00EE5F22">
          <w:rPr>
            <w:rStyle w:val="Hyperlink"/>
            <w:rFonts w:ascii="Times New Roman" w:hAnsi="Times New Roman" w:cs="Times New Roman"/>
            <w:sz w:val="24"/>
            <w:szCs w:val="24"/>
          </w:rPr>
          <w:t>public consultation</w:t>
        </w:r>
      </w:hyperlink>
      <w:r w:rsidRPr="00EE5F22">
        <w:rPr>
          <w:rFonts w:ascii="Times New Roman" w:hAnsi="Times New Roman" w:cs="Times New Roman"/>
          <w:sz w:val="24"/>
          <w:szCs w:val="24"/>
        </w:rPr>
        <w:t xml:space="preserve"> regarding proposed changes to the Determination </w:t>
      </w:r>
      <w:r w:rsidR="003B6684">
        <w:rPr>
          <w:rFonts w:ascii="Times New Roman" w:hAnsi="Times New Roman" w:cs="Times New Roman"/>
          <w:sz w:val="24"/>
          <w:szCs w:val="24"/>
        </w:rPr>
        <w:t xml:space="preserve">relating to the ingredient magnesium and associated </w:t>
      </w:r>
      <w:r w:rsidRPr="00EE5F22">
        <w:rPr>
          <w:rFonts w:ascii="Times New Roman" w:hAnsi="Times New Roman" w:cs="Times New Roman"/>
          <w:sz w:val="24"/>
          <w:szCs w:val="24"/>
        </w:rPr>
        <w:t>laxative effects, as well as</w:t>
      </w:r>
      <w:r w:rsidR="003B6684">
        <w:rPr>
          <w:rFonts w:ascii="Times New Roman" w:hAnsi="Times New Roman" w:cs="Times New Roman"/>
          <w:sz w:val="24"/>
          <w:szCs w:val="24"/>
        </w:rPr>
        <w:t xml:space="preserve"> regarding the ingredient</w:t>
      </w:r>
      <w:r w:rsidRPr="00EE5F22">
        <w:rPr>
          <w:rFonts w:ascii="Times New Roman" w:hAnsi="Times New Roman" w:cs="Times New Roman"/>
          <w:sz w:val="24"/>
          <w:szCs w:val="24"/>
        </w:rPr>
        <w:t xml:space="preserve"> </w:t>
      </w:r>
      <w:r w:rsidRPr="00EE5F22">
        <w:rPr>
          <w:rFonts w:ascii="Times New Roman" w:hAnsi="Times New Roman" w:cs="Times New Roman"/>
          <w:i/>
          <w:sz w:val="24"/>
          <w:szCs w:val="24"/>
        </w:rPr>
        <w:t>Andrographis paniculata</w:t>
      </w:r>
      <w:r w:rsidRPr="00EE5F22">
        <w:rPr>
          <w:rFonts w:ascii="Times New Roman" w:hAnsi="Times New Roman" w:cs="Times New Roman"/>
          <w:sz w:val="24"/>
          <w:szCs w:val="24"/>
        </w:rPr>
        <w:t xml:space="preserve"> and </w:t>
      </w:r>
      <w:r w:rsidR="003B6684">
        <w:rPr>
          <w:rFonts w:ascii="Times New Roman" w:hAnsi="Times New Roman" w:cs="Times New Roman"/>
          <w:sz w:val="24"/>
          <w:szCs w:val="24"/>
        </w:rPr>
        <w:t xml:space="preserve">associated </w:t>
      </w:r>
      <w:r w:rsidRPr="00EE5F22">
        <w:rPr>
          <w:rFonts w:ascii="Times New Roman" w:hAnsi="Times New Roman" w:cs="Times New Roman"/>
          <w:sz w:val="24"/>
          <w:szCs w:val="24"/>
        </w:rPr>
        <w:t xml:space="preserve">taste disturbance, on 25 August 2020, with feedback requested by 6 October 2020. Five submissions were received. </w:t>
      </w:r>
      <w:r w:rsidRPr="00EE5F22">
        <w:rPr>
          <w:rFonts w:ascii="Times New Roman" w:hAnsi="Times New Roman" w:cs="Times New Roman"/>
          <w:sz w:val="24"/>
          <w:szCs w:val="24"/>
        </w:rPr>
        <w:lastRenderedPageBreak/>
        <w:t xml:space="preserve">Some respondents supported the changes while others provided further safety information and requested the reconsideration of specific proposals and clarifications. </w:t>
      </w:r>
      <w:r w:rsidR="003B6684">
        <w:rPr>
          <w:rFonts w:ascii="Times New Roman" w:hAnsi="Times New Roman" w:cs="Times New Roman"/>
          <w:sz w:val="24"/>
          <w:szCs w:val="24"/>
        </w:rPr>
        <w:t>This feedback was considered and incorporated in the</w:t>
      </w:r>
      <w:r w:rsidRPr="00EE5F22">
        <w:rPr>
          <w:rFonts w:ascii="Times New Roman" w:hAnsi="Times New Roman" w:cs="Times New Roman"/>
          <w:sz w:val="24"/>
          <w:szCs w:val="24"/>
        </w:rPr>
        <w:t xml:space="preserve"> notice outlining the </w:t>
      </w:r>
      <w:hyperlink r:id="rId9" w:history="1">
        <w:r w:rsidRPr="00EE5F22">
          <w:rPr>
            <w:rStyle w:val="Hyperlink"/>
            <w:rFonts w:ascii="Times New Roman" w:hAnsi="Times New Roman" w:cs="Times New Roman"/>
            <w:sz w:val="24"/>
            <w:szCs w:val="24"/>
          </w:rPr>
          <w:t xml:space="preserve">final </w:t>
        </w:r>
        <w:r w:rsidR="007457D2">
          <w:rPr>
            <w:rStyle w:val="Hyperlink"/>
            <w:rFonts w:ascii="Times New Roman" w:hAnsi="Times New Roman" w:cs="Times New Roman"/>
            <w:sz w:val="24"/>
            <w:szCs w:val="24"/>
          </w:rPr>
          <w:t>decisions</w:t>
        </w:r>
      </w:hyperlink>
      <w:r w:rsidRPr="00EE5F22">
        <w:rPr>
          <w:rFonts w:ascii="Times New Roman" w:hAnsi="Times New Roman" w:cs="Times New Roman"/>
          <w:sz w:val="24"/>
          <w:szCs w:val="24"/>
        </w:rPr>
        <w:t xml:space="preserve"> </w:t>
      </w:r>
      <w:r w:rsidR="003B6684">
        <w:rPr>
          <w:rFonts w:ascii="Times New Roman" w:hAnsi="Times New Roman" w:cs="Times New Roman"/>
          <w:sz w:val="24"/>
          <w:szCs w:val="24"/>
        </w:rPr>
        <w:t xml:space="preserve">for these ingredients that </w:t>
      </w:r>
      <w:r w:rsidRPr="00EE5F22">
        <w:rPr>
          <w:rFonts w:ascii="Times New Roman" w:hAnsi="Times New Roman" w:cs="Times New Roman"/>
          <w:sz w:val="24"/>
          <w:szCs w:val="24"/>
        </w:rPr>
        <w:t>w</w:t>
      </w:r>
      <w:r w:rsidR="007457D2">
        <w:rPr>
          <w:rFonts w:ascii="Times New Roman" w:hAnsi="Times New Roman" w:cs="Times New Roman"/>
          <w:sz w:val="24"/>
          <w:szCs w:val="24"/>
        </w:rPr>
        <w:t>ere</w:t>
      </w:r>
      <w:r w:rsidRPr="00EE5F22">
        <w:rPr>
          <w:rFonts w:ascii="Times New Roman" w:hAnsi="Times New Roman" w:cs="Times New Roman"/>
          <w:sz w:val="24"/>
          <w:szCs w:val="24"/>
        </w:rPr>
        <w:t xml:space="preserve"> published on </w:t>
      </w:r>
      <w:r w:rsidR="003B6684">
        <w:rPr>
          <w:rFonts w:ascii="Times New Roman" w:hAnsi="Times New Roman" w:cs="Times New Roman"/>
          <w:sz w:val="24"/>
          <w:szCs w:val="24"/>
        </w:rPr>
        <w:t xml:space="preserve">the TGA website on </w:t>
      </w:r>
      <w:r w:rsidRPr="00EE5F22">
        <w:rPr>
          <w:rFonts w:ascii="Times New Roman" w:hAnsi="Times New Roman" w:cs="Times New Roman"/>
          <w:sz w:val="24"/>
          <w:szCs w:val="24"/>
        </w:rPr>
        <w:t>1 December 2020. In this notice, the TGA committed to implementin</w:t>
      </w:r>
      <w:r>
        <w:rPr>
          <w:rFonts w:ascii="Times New Roman" w:hAnsi="Times New Roman" w:cs="Times New Roman"/>
          <w:sz w:val="24"/>
          <w:szCs w:val="24"/>
        </w:rPr>
        <w:t>g these changes by 1 March 2021.</w:t>
      </w:r>
    </w:p>
    <w:p w14:paraId="07353AC9" w14:textId="004A2C20" w:rsidR="005E0079" w:rsidRPr="00EE5F22" w:rsidRDefault="004343F8" w:rsidP="005E0079">
      <w:pPr>
        <w:rPr>
          <w:rFonts w:ascii="Times New Roman" w:hAnsi="Times New Roman" w:cs="Times New Roman"/>
          <w:sz w:val="24"/>
          <w:szCs w:val="24"/>
        </w:rPr>
      </w:pPr>
      <w:r>
        <w:rPr>
          <w:rFonts w:ascii="Times New Roman" w:hAnsi="Times New Roman" w:cs="Times New Roman"/>
          <w:sz w:val="24"/>
          <w:szCs w:val="24"/>
        </w:rPr>
        <w:t xml:space="preserve">The removal of duplicative </w:t>
      </w:r>
      <w:r w:rsidR="003B6684">
        <w:rPr>
          <w:rFonts w:ascii="Times New Roman" w:hAnsi="Times New Roman" w:cs="Times New Roman"/>
          <w:sz w:val="24"/>
          <w:szCs w:val="24"/>
        </w:rPr>
        <w:t>requirements from the Determination that are already reflected separately in TGO 92 was consulted on with the</w:t>
      </w:r>
      <w:r w:rsidR="005E0079" w:rsidRPr="00EE5F22">
        <w:rPr>
          <w:rFonts w:ascii="Times New Roman" w:hAnsi="Times New Roman" w:cs="Times New Roman"/>
          <w:sz w:val="24"/>
          <w:szCs w:val="24"/>
        </w:rPr>
        <w:t xml:space="preserve"> </w:t>
      </w:r>
      <w:r w:rsidR="005E0079" w:rsidRPr="003B6684">
        <w:rPr>
          <w:rFonts w:ascii="Times New Roman" w:hAnsi="Times New Roman" w:cs="Times New Roman"/>
          <w:sz w:val="24"/>
          <w:szCs w:val="24"/>
        </w:rPr>
        <w:t xml:space="preserve">Complementary </w:t>
      </w:r>
      <w:r w:rsidR="003B6684" w:rsidRPr="003B6684">
        <w:rPr>
          <w:rFonts w:ascii="Times New Roman" w:hAnsi="Times New Roman" w:cs="Times New Roman"/>
          <w:sz w:val="24"/>
          <w:szCs w:val="24"/>
        </w:rPr>
        <w:t xml:space="preserve">and Over the Counter </w:t>
      </w:r>
      <w:r w:rsidR="005E0079" w:rsidRPr="003B6684">
        <w:rPr>
          <w:rFonts w:ascii="Times New Roman" w:hAnsi="Times New Roman" w:cs="Times New Roman"/>
          <w:sz w:val="24"/>
          <w:szCs w:val="24"/>
        </w:rPr>
        <w:t xml:space="preserve">Medicines </w:t>
      </w:r>
      <w:r w:rsidR="003B6684" w:rsidRPr="003B6684">
        <w:rPr>
          <w:rFonts w:ascii="Times New Roman" w:hAnsi="Times New Roman" w:cs="Times New Roman"/>
          <w:sz w:val="24"/>
          <w:szCs w:val="24"/>
        </w:rPr>
        <w:t xml:space="preserve">Regulatory and </w:t>
      </w:r>
      <w:r w:rsidR="005E0079" w:rsidRPr="003B6684">
        <w:rPr>
          <w:rFonts w:ascii="Times New Roman" w:hAnsi="Times New Roman" w:cs="Times New Roman"/>
          <w:sz w:val="24"/>
          <w:szCs w:val="24"/>
        </w:rPr>
        <w:t xml:space="preserve">Technical </w:t>
      </w:r>
      <w:r w:rsidR="003B6684" w:rsidRPr="003B6684">
        <w:rPr>
          <w:rFonts w:ascii="Times New Roman" w:hAnsi="Times New Roman" w:cs="Times New Roman"/>
          <w:sz w:val="24"/>
          <w:szCs w:val="24"/>
        </w:rPr>
        <w:t xml:space="preserve">Consultative Forum </w:t>
      </w:r>
      <w:r w:rsidR="005E0079" w:rsidRPr="003B6684">
        <w:rPr>
          <w:rFonts w:ascii="Times New Roman" w:hAnsi="Times New Roman" w:cs="Times New Roman"/>
          <w:sz w:val="24"/>
          <w:szCs w:val="24"/>
        </w:rPr>
        <w:t xml:space="preserve">(“ComTech”) </w:t>
      </w:r>
      <w:r w:rsidR="003B6684">
        <w:rPr>
          <w:rFonts w:ascii="Times New Roman" w:hAnsi="Times New Roman" w:cs="Times New Roman"/>
          <w:sz w:val="24"/>
          <w:szCs w:val="24"/>
        </w:rPr>
        <w:t xml:space="preserve">in </w:t>
      </w:r>
      <w:r w:rsidR="00586A79">
        <w:rPr>
          <w:rFonts w:ascii="Times New Roman" w:hAnsi="Times New Roman" w:cs="Times New Roman"/>
          <w:sz w:val="24"/>
          <w:szCs w:val="24"/>
        </w:rPr>
        <w:t>November 2020</w:t>
      </w:r>
      <w:r w:rsidR="003B6684">
        <w:rPr>
          <w:rFonts w:ascii="Times New Roman" w:hAnsi="Times New Roman" w:cs="Times New Roman"/>
          <w:sz w:val="24"/>
          <w:szCs w:val="24"/>
        </w:rPr>
        <w:t>. ComTech is a forum that facilitates consultation between the TGA and representatives from the complementary and over the counter medicines industries including Accord Australasia, the Association of Therapeutic Goods Consultants, Complementary Medicines Australia, Consumer Health Products Australia and the Generic and Biosimilar Medicines Association.  ComTech</w:t>
      </w:r>
      <w:r w:rsidR="00DE1E4F">
        <w:rPr>
          <w:rFonts w:ascii="Times New Roman" w:hAnsi="Times New Roman" w:cs="Times New Roman"/>
          <w:sz w:val="24"/>
          <w:szCs w:val="24"/>
        </w:rPr>
        <w:t xml:space="preserve"> were generally supportive of the removal of legislative duplication</w:t>
      </w:r>
      <w:r w:rsidR="005E0079" w:rsidRPr="00EE5F22">
        <w:rPr>
          <w:rFonts w:ascii="Times New Roman" w:hAnsi="Times New Roman" w:cs="Times New Roman"/>
          <w:sz w:val="24"/>
          <w:szCs w:val="24"/>
        </w:rPr>
        <w:t>.</w:t>
      </w:r>
    </w:p>
    <w:p w14:paraId="201CE8EB" w14:textId="1B8F7B62" w:rsidR="005E0079" w:rsidRDefault="005E0079" w:rsidP="005E0079">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TGA </w:t>
      </w:r>
      <w:r w:rsidR="00443793">
        <w:rPr>
          <w:rFonts w:ascii="Times New Roman" w:eastAsia="Times New Roman" w:hAnsi="Times New Roman" w:cs="Times New Roman"/>
          <w:sz w:val="24"/>
          <w:szCs w:val="24"/>
          <w:lang w:eastAsia="en-AU"/>
        </w:rPr>
        <w:t xml:space="preserve">also consulted </w:t>
      </w:r>
      <w:r w:rsidR="00761A63">
        <w:rPr>
          <w:rFonts w:ascii="Times New Roman" w:eastAsia="Times New Roman" w:hAnsi="Times New Roman" w:cs="Times New Roman"/>
          <w:sz w:val="24"/>
          <w:szCs w:val="24"/>
          <w:lang w:eastAsia="en-AU"/>
        </w:rPr>
        <w:t>the Chinese Medicines Industry Council of Australia, Complementary Medicines Australia</w:t>
      </w:r>
      <w:r w:rsidR="005F3B1B">
        <w:rPr>
          <w:rFonts w:ascii="Times New Roman" w:eastAsia="Times New Roman" w:hAnsi="Times New Roman" w:cs="Times New Roman"/>
          <w:sz w:val="24"/>
          <w:szCs w:val="24"/>
          <w:lang w:eastAsia="en-AU"/>
        </w:rPr>
        <w:t>,</w:t>
      </w:r>
      <w:r w:rsidR="00761A63">
        <w:rPr>
          <w:rFonts w:ascii="Times New Roman" w:eastAsia="Times New Roman" w:hAnsi="Times New Roman" w:cs="Times New Roman"/>
          <w:sz w:val="24"/>
          <w:szCs w:val="24"/>
          <w:lang w:eastAsia="en-AU"/>
        </w:rPr>
        <w:t xml:space="preserve"> and Consumer Healthcare Products Australia</w:t>
      </w:r>
      <w:r>
        <w:rPr>
          <w:rFonts w:ascii="Times New Roman" w:eastAsia="Times New Roman" w:hAnsi="Times New Roman" w:cs="Times New Roman"/>
          <w:sz w:val="24"/>
          <w:szCs w:val="24"/>
          <w:lang w:eastAsia="en-AU"/>
        </w:rPr>
        <w:t xml:space="preserve"> </w:t>
      </w:r>
      <w:r w:rsidR="00443793">
        <w:rPr>
          <w:rFonts w:ascii="Times New Roman" w:eastAsia="Times New Roman" w:hAnsi="Times New Roman" w:cs="Times New Roman"/>
          <w:sz w:val="24"/>
          <w:szCs w:val="24"/>
          <w:lang w:eastAsia="en-AU"/>
        </w:rPr>
        <w:t>in relation to the proposed</w:t>
      </w:r>
      <w:r>
        <w:rPr>
          <w:rFonts w:ascii="Times New Roman" w:eastAsia="Times New Roman" w:hAnsi="Times New Roman" w:cs="Times New Roman"/>
          <w:sz w:val="24"/>
          <w:szCs w:val="24"/>
          <w:lang w:eastAsia="en-AU"/>
        </w:rPr>
        <w:t xml:space="preserve"> remov</w:t>
      </w:r>
      <w:r w:rsidR="00443793">
        <w:rPr>
          <w:rFonts w:ascii="Times New Roman" w:eastAsia="Times New Roman" w:hAnsi="Times New Roman" w:cs="Times New Roman"/>
          <w:sz w:val="24"/>
          <w:szCs w:val="24"/>
          <w:lang w:eastAsia="en-AU"/>
        </w:rPr>
        <w:t>al</w:t>
      </w:r>
      <w:r>
        <w:rPr>
          <w:rFonts w:ascii="Times New Roman" w:eastAsia="Times New Roman" w:hAnsi="Times New Roman" w:cs="Times New Roman"/>
          <w:sz w:val="24"/>
          <w:szCs w:val="24"/>
          <w:lang w:eastAsia="en-AU"/>
        </w:rPr>
        <w:t xml:space="preserve"> </w:t>
      </w:r>
      <w:r w:rsidR="00443793">
        <w:rPr>
          <w:rFonts w:ascii="Times New Roman" w:eastAsia="Times New Roman" w:hAnsi="Times New Roman" w:cs="Times New Roman"/>
          <w:sz w:val="24"/>
          <w:szCs w:val="24"/>
          <w:lang w:eastAsia="en-AU"/>
        </w:rPr>
        <w:t xml:space="preserve">of the ingredient </w:t>
      </w:r>
      <w:r>
        <w:rPr>
          <w:rFonts w:ascii="Times New Roman" w:eastAsia="Times New Roman" w:hAnsi="Times New Roman" w:cs="Times New Roman"/>
          <w:i/>
          <w:sz w:val="24"/>
          <w:szCs w:val="24"/>
          <w:lang w:eastAsia="en-AU"/>
        </w:rPr>
        <w:t xml:space="preserve">Gynura japonica </w:t>
      </w:r>
      <w:r>
        <w:rPr>
          <w:rFonts w:ascii="Times New Roman" w:eastAsia="Times New Roman" w:hAnsi="Times New Roman" w:cs="Times New Roman"/>
          <w:sz w:val="24"/>
          <w:szCs w:val="24"/>
          <w:lang w:eastAsia="en-AU"/>
        </w:rPr>
        <w:t>from the Determination</w:t>
      </w:r>
      <w:r w:rsidR="00761A6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761A63">
        <w:rPr>
          <w:rFonts w:ascii="Times New Roman" w:eastAsia="Times New Roman" w:hAnsi="Times New Roman" w:cs="Times New Roman"/>
          <w:sz w:val="24"/>
          <w:szCs w:val="24"/>
          <w:lang w:eastAsia="en-AU"/>
        </w:rPr>
        <w:t xml:space="preserve">Responses received recognised the hepatotoxic potential of </w:t>
      </w:r>
      <w:r w:rsidR="00761A63">
        <w:rPr>
          <w:rFonts w:ascii="Times New Roman" w:eastAsia="Times New Roman" w:hAnsi="Times New Roman" w:cs="Times New Roman"/>
          <w:i/>
          <w:sz w:val="24"/>
          <w:szCs w:val="24"/>
          <w:lang w:eastAsia="en-AU"/>
        </w:rPr>
        <w:t>Gynura japonica</w:t>
      </w:r>
      <w:r w:rsidR="00443793">
        <w:rPr>
          <w:rFonts w:ascii="Times New Roman" w:eastAsia="Times New Roman" w:hAnsi="Times New Roman" w:cs="Times New Roman"/>
          <w:sz w:val="24"/>
          <w:szCs w:val="24"/>
          <w:lang w:eastAsia="en-AU"/>
        </w:rPr>
        <w:t>,</w:t>
      </w:r>
      <w:r w:rsidR="00761A63">
        <w:rPr>
          <w:rFonts w:ascii="Times New Roman" w:eastAsia="Times New Roman" w:hAnsi="Times New Roman" w:cs="Times New Roman"/>
          <w:i/>
          <w:sz w:val="24"/>
          <w:szCs w:val="24"/>
          <w:lang w:eastAsia="en-AU"/>
        </w:rPr>
        <w:t xml:space="preserve"> </w:t>
      </w:r>
      <w:r w:rsidR="00761A63">
        <w:rPr>
          <w:rFonts w:ascii="Times New Roman" w:eastAsia="Times New Roman" w:hAnsi="Times New Roman" w:cs="Times New Roman"/>
          <w:sz w:val="24"/>
          <w:szCs w:val="24"/>
          <w:lang w:eastAsia="en-AU"/>
        </w:rPr>
        <w:t>and did not oppose the removal of the ingredient from the Determination</w:t>
      </w:r>
      <w:r>
        <w:rPr>
          <w:rFonts w:ascii="Times New Roman" w:eastAsia="Times New Roman" w:hAnsi="Times New Roman" w:cs="Times New Roman"/>
          <w:sz w:val="24"/>
          <w:szCs w:val="24"/>
          <w:lang w:eastAsia="en-AU"/>
        </w:rPr>
        <w:t>.</w:t>
      </w:r>
    </w:p>
    <w:p w14:paraId="5365952C" w14:textId="77777777" w:rsidR="000B55C8" w:rsidRPr="007A52D3" w:rsidRDefault="000B55C8" w:rsidP="000B55C8">
      <w:pPr>
        <w:autoSpaceDE w:val="0"/>
        <w:autoSpaceDN w:val="0"/>
        <w:adjustRightInd w:val="0"/>
        <w:spacing w:after="0"/>
        <w:rPr>
          <w:rFonts w:ascii="Times New Roman" w:eastAsia="Times New Roman" w:hAnsi="Times New Roman" w:cs="Times New Roman"/>
          <w:sz w:val="24"/>
          <w:szCs w:val="24"/>
          <w:lang w:eastAsia="en-AU"/>
        </w:rPr>
      </w:pPr>
    </w:p>
    <w:p w14:paraId="10FC5204" w14:textId="122E17E4" w:rsidR="00EE5F22" w:rsidRPr="002000F0" w:rsidRDefault="003E5AEA">
      <w:pPr>
        <w:autoSpaceDE w:val="0"/>
        <w:autoSpaceDN w:val="0"/>
        <w:adjustRightInd w:val="0"/>
        <w:spacing w:after="0"/>
        <w:rPr>
          <w:rFonts w:ascii="Times New Roman" w:eastAsia="Times New Roman" w:hAnsi="Times New Roman" w:cs="Times New Roman"/>
          <w:sz w:val="24"/>
          <w:szCs w:val="24"/>
          <w:lang w:eastAsia="en-AU"/>
        </w:rPr>
      </w:pPr>
      <w:r w:rsidRPr="00807896">
        <w:rPr>
          <w:rFonts w:ascii="Times New Roman" w:eastAsia="Times New Roman" w:hAnsi="Times New Roman" w:cs="Times New Roman"/>
          <w:sz w:val="24"/>
          <w:szCs w:val="24"/>
          <w:lang w:eastAsia="en-AU"/>
        </w:rPr>
        <w:t xml:space="preserve">The </w:t>
      </w:r>
      <w:r w:rsidR="005873CF" w:rsidRPr="005873CF">
        <w:rPr>
          <w:rFonts w:ascii="Times New Roman" w:eastAsia="Times New Roman" w:hAnsi="Times New Roman" w:cs="Times New Roman"/>
          <w:sz w:val="24"/>
          <w:szCs w:val="24"/>
          <w:lang w:eastAsia="en-AU"/>
        </w:rPr>
        <w:t>Office of Best Practice Regulation</w:t>
      </w:r>
      <w:r w:rsidR="005873C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OBPR</w:t>
      </w:r>
      <w:r w:rsidR="005873C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807896">
        <w:rPr>
          <w:rFonts w:ascii="Times New Roman" w:eastAsia="Times New Roman" w:hAnsi="Times New Roman" w:cs="Times New Roman"/>
          <w:sz w:val="24"/>
          <w:szCs w:val="24"/>
          <w:lang w:eastAsia="en-AU"/>
        </w:rPr>
        <w:t xml:space="preserve">has </w:t>
      </w:r>
      <w:r w:rsidR="00066CCA">
        <w:rPr>
          <w:rFonts w:ascii="Times New Roman" w:eastAsia="Times New Roman" w:hAnsi="Times New Roman" w:cs="Times New Roman"/>
          <w:sz w:val="24"/>
          <w:szCs w:val="24"/>
          <w:lang w:eastAsia="en-AU"/>
        </w:rPr>
        <w:t xml:space="preserve">also </w:t>
      </w:r>
      <w:r w:rsidRPr="00807896">
        <w:rPr>
          <w:rFonts w:ascii="Times New Roman" w:eastAsia="Times New Roman" w:hAnsi="Times New Roman" w:cs="Times New Roman"/>
          <w:sz w:val="24"/>
          <w:szCs w:val="24"/>
          <w:lang w:eastAsia="en-AU"/>
        </w:rPr>
        <w:t>previously advised that a regulatory impact statement is not required for updates to determinations made under section 26BB of the Act that are minor or machinery in nature</w:t>
      </w:r>
      <w:r>
        <w:rPr>
          <w:rFonts w:ascii="Times New Roman" w:eastAsia="Times New Roman" w:hAnsi="Times New Roman" w:cs="Times New Roman"/>
          <w:sz w:val="24"/>
          <w:szCs w:val="24"/>
          <w:lang w:eastAsia="en-AU"/>
        </w:rPr>
        <w:t>, including</w:t>
      </w:r>
      <w:r w:rsidRPr="00807896">
        <w:rPr>
          <w:rFonts w:ascii="Times New Roman" w:eastAsia="Times New Roman" w:hAnsi="Times New Roman" w:cs="Times New Roman"/>
          <w:sz w:val="24"/>
          <w:szCs w:val="24"/>
          <w:lang w:eastAsia="en-AU"/>
        </w:rPr>
        <w:t xml:space="preserve"> the introduction of new permitted ingredients, corrections of errors, clarifications of requirements and ingredient names, changes to reflect scheduling decisions in the Poisons Standard or the outcomes of TGA safety evaluations where the regulatory impacts are minor or machinery in nature (OBPR references 14416, 20999 and 21645</w:t>
      </w:r>
      <w:r>
        <w:rPr>
          <w:rFonts w:ascii="Times New Roman" w:eastAsia="Times New Roman" w:hAnsi="Times New Roman" w:cs="Times New Roman"/>
          <w:sz w:val="24"/>
          <w:szCs w:val="24"/>
          <w:lang w:eastAsia="en-AU"/>
        </w:rPr>
        <w:t>).</w:t>
      </w:r>
    </w:p>
    <w:p w14:paraId="28613D5A" w14:textId="77777777" w:rsidR="005B70D2" w:rsidRPr="007A52D3" w:rsidRDefault="005B70D2" w:rsidP="001A7C14">
      <w:pPr>
        <w:autoSpaceDE w:val="0"/>
        <w:autoSpaceDN w:val="0"/>
        <w:adjustRightInd w:val="0"/>
        <w:spacing w:after="0"/>
        <w:rPr>
          <w:rFonts w:ascii="Times New Roman" w:eastAsia="Times New Roman" w:hAnsi="Times New Roman" w:cs="Times New Roman"/>
          <w:sz w:val="24"/>
          <w:szCs w:val="24"/>
          <w:lang w:eastAsia="en-AU"/>
        </w:rPr>
      </w:pPr>
    </w:p>
    <w:p w14:paraId="7A00BF75" w14:textId="02ADDD4F" w:rsidR="0050197A" w:rsidRDefault="0050197A" w:rsidP="000152DF">
      <w:pPr>
        <w:keepNext/>
        <w:autoSpaceDE w:val="0"/>
        <w:autoSpaceDN w:val="0"/>
        <w:adjustRightInd w:val="0"/>
        <w:spacing w:after="0"/>
        <w:rPr>
          <w:rFonts w:ascii="Times New Roman" w:hAnsi="Times New Roman" w:cs="Times New Roman"/>
          <w:b/>
          <w:sz w:val="24"/>
          <w:szCs w:val="24"/>
          <w:lang w:eastAsia="en-AU"/>
        </w:rPr>
      </w:pPr>
      <w:r w:rsidRPr="00B94E86">
        <w:rPr>
          <w:rFonts w:ascii="Times New Roman" w:hAnsi="Times New Roman" w:cs="Times New Roman"/>
          <w:b/>
          <w:sz w:val="24"/>
          <w:szCs w:val="24"/>
          <w:lang w:eastAsia="en-AU"/>
        </w:rPr>
        <w:lastRenderedPageBreak/>
        <w:t>Incorporation</w:t>
      </w:r>
      <w:r>
        <w:rPr>
          <w:rFonts w:ascii="Times New Roman" w:hAnsi="Times New Roman" w:cs="Times New Roman"/>
          <w:b/>
          <w:sz w:val="24"/>
          <w:szCs w:val="24"/>
          <w:lang w:eastAsia="en-AU"/>
        </w:rPr>
        <w:t xml:space="preserve"> by reference</w:t>
      </w:r>
    </w:p>
    <w:p w14:paraId="630FC084" w14:textId="77777777" w:rsidR="005B70D2" w:rsidRPr="001A7C14" w:rsidRDefault="005B70D2" w:rsidP="000152DF">
      <w:pPr>
        <w:keepNext/>
        <w:autoSpaceDE w:val="0"/>
        <w:autoSpaceDN w:val="0"/>
        <w:adjustRightInd w:val="0"/>
        <w:spacing w:after="0"/>
        <w:rPr>
          <w:rFonts w:ascii="Times New Roman" w:eastAsia="Times New Roman" w:hAnsi="Times New Roman" w:cs="Times New Roman"/>
          <w:b/>
          <w:bCs/>
          <w:sz w:val="24"/>
          <w:szCs w:val="24"/>
          <w:lang w:eastAsia="en-AU"/>
        </w:rPr>
      </w:pPr>
    </w:p>
    <w:p w14:paraId="09BDDD8C" w14:textId="7F27DB71"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w:t>
      </w:r>
      <w:r w:rsidRPr="0034672A">
        <w:rPr>
          <w:rFonts w:ascii="Times New Roman" w:eastAsia="Times New Roman" w:hAnsi="Times New Roman" w:cs="Times New Roman"/>
          <w:sz w:val="24"/>
          <w:szCs w:val="24"/>
          <w:lang w:eastAsia="en-AU"/>
        </w:rPr>
        <w:t>Determination</w:t>
      </w:r>
      <w:r>
        <w:rPr>
          <w:rFonts w:ascii="Times New Roman" w:hAnsi="Times New Roman" w:cs="Times New Roman"/>
          <w:sz w:val="24"/>
          <w:szCs w:val="24"/>
        </w:rPr>
        <w:t xml:space="preserve"> references each of the British Pharmacopoeia, European Pharmacopoeia and United States Pharmacopeia-National Formulary, and the note in section 4 of the Determination makes it clear that each of these pharmacopoeia are those as defined in subsection 3(1) of the Act.</w:t>
      </w:r>
    </w:p>
    <w:p w14:paraId="371A8AD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3E90904" w14:textId="0926D797"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definitions of the pharmacopoeia in subsection 3(1) of the Act refer to the publications of each as in effect immediately before the commencement of the relevant definition in the Act, and to any subsequent amendments or editions.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Pr>
          <w:rFonts w:ascii="Times New Roman" w:hAnsi="Times New Roman" w:cs="Times New Roman"/>
          <w:sz w:val="24"/>
          <w:szCs w:val="24"/>
        </w:rPr>
        <w:t>26BB</w:t>
      </w:r>
      <w:r>
        <w:rPr>
          <w:rFonts w:ascii="Times New Roman" w:hAnsi="Times New Roman" w:cs="Times New Roman"/>
          <w:sz w:val="24"/>
          <w:szCs w:val="24"/>
        </w:rPr>
        <w:t>(</w:t>
      </w:r>
      <w:r w:rsidR="004E2CE6">
        <w:rPr>
          <w:rFonts w:ascii="Times New Roman" w:hAnsi="Times New Roman" w:cs="Times New Roman"/>
          <w:sz w:val="24"/>
          <w:szCs w:val="24"/>
        </w:rPr>
        <w:t>8</w:t>
      </w:r>
      <w:r>
        <w:rPr>
          <w:rFonts w:ascii="Times New Roman" w:hAnsi="Times New Roman" w:cs="Times New Roman"/>
          <w:sz w:val="24"/>
          <w:szCs w:val="24"/>
        </w:rPr>
        <w:t xml:space="preserve">) of the Act). </w:t>
      </w:r>
      <w:r w:rsidR="00E60C26">
        <w:rPr>
          <w:rFonts w:ascii="Times New Roman" w:hAnsi="Times New Roman" w:cs="Times New Roman"/>
          <w:sz w:val="24"/>
          <w:szCs w:val="24"/>
        </w:rPr>
        <w:t xml:space="preserve"> </w:t>
      </w:r>
      <w:r>
        <w:rPr>
          <w:rFonts w:ascii="Times New Roman" w:hAnsi="Times New Roman" w:cs="Times New Roman"/>
          <w:sz w:val="24"/>
          <w:szCs w:val="24"/>
        </w:rPr>
        <w:t xml:space="preserve">That pharmacopoeia may be accessed from </w:t>
      </w:r>
      <w:hyperlink r:id="rId10" w:history="1">
        <w:r w:rsidRPr="00BB66B5">
          <w:rPr>
            <w:rStyle w:val="Hyperlink"/>
            <w:rFonts w:ascii="Times New Roman" w:hAnsi="Times New Roman" w:cs="Times New Roman"/>
            <w:sz w:val="24"/>
            <w:szCs w:val="24"/>
          </w:rPr>
          <w:t>www.pharmacopoeia.com/</w:t>
        </w:r>
      </w:hyperlink>
      <w:r>
        <w:rPr>
          <w:rFonts w:ascii="Times New Roman" w:hAnsi="Times New Roman" w:cs="Times New Roman"/>
          <w:sz w:val="24"/>
          <w:szCs w:val="24"/>
        </w:rPr>
        <w:t xml:space="preserve">, </w:t>
      </w:r>
      <w:hyperlink r:id="rId11" w:history="1">
        <w:r w:rsidRPr="00BB66B5">
          <w:rPr>
            <w:rStyle w:val="Hyperlink"/>
            <w:rFonts w:ascii="Times New Roman" w:hAnsi="Times New Roman" w:cs="Times New Roman"/>
            <w:sz w:val="24"/>
            <w:szCs w:val="24"/>
          </w:rPr>
          <w:t>www.edqm.eu/en/european-pharmacopoeia-ph-eur-9th-edition</w:t>
        </w:r>
      </w:hyperlink>
      <w:r>
        <w:rPr>
          <w:rFonts w:ascii="Times New Roman" w:hAnsi="Times New Roman" w:cs="Times New Roman"/>
          <w:sz w:val="24"/>
          <w:szCs w:val="24"/>
        </w:rPr>
        <w:t xml:space="preserve"> and </w:t>
      </w:r>
      <w:hyperlink r:id="rId12" w:history="1">
        <w:r w:rsidRPr="00BB66B5">
          <w:rPr>
            <w:rStyle w:val="Hyperlink"/>
            <w:rFonts w:ascii="Times New Roman" w:hAnsi="Times New Roman" w:cs="Times New Roman"/>
            <w:sz w:val="24"/>
            <w:szCs w:val="24"/>
          </w:rPr>
          <w:t>www.uspnf.com/</w:t>
        </w:r>
      </w:hyperlink>
      <w:r>
        <w:rPr>
          <w:rFonts w:ascii="Times New Roman" w:hAnsi="Times New Roman" w:cs="Times New Roman"/>
          <w:sz w:val="24"/>
          <w:szCs w:val="24"/>
        </w:rPr>
        <w:t xml:space="preserve">. </w:t>
      </w:r>
    </w:p>
    <w:p w14:paraId="322983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E0BD165" w14:textId="1EAA0EDB" w:rsidR="0050197A" w:rsidRDefault="0050197A" w:rsidP="001A7C14">
      <w:pPr>
        <w:autoSpaceDE w:val="0"/>
        <w:autoSpaceDN w:val="0"/>
        <w:adjustRightInd w:val="0"/>
        <w:spacing w:after="0"/>
        <w:rPr>
          <w:rStyle w:val="Hyperlink"/>
        </w:rPr>
      </w:pPr>
      <w:r>
        <w:rPr>
          <w:rFonts w:ascii="Times New Roman" w:hAnsi="Times New Roman" w:cs="Times New Roman"/>
          <w:sz w:val="24"/>
          <w:szCs w:val="24"/>
        </w:rPr>
        <w:lastRenderedPageBreak/>
        <w:t xml:space="preserve">The Determination also adopts the </w:t>
      </w:r>
      <w:r w:rsidRPr="006B644D">
        <w:rPr>
          <w:rFonts w:ascii="Times New Roman" w:hAnsi="Times New Roman" w:cs="Times New Roman"/>
          <w:sz w:val="24"/>
          <w:szCs w:val="24"/>
        </w:rPr>
        <w:t>Food Chemicals Codex (</w:t>
      </w:r>
      <w:r>
        <w:rPr>
          <w:rFonts w:ascii="Times New Roman" w:hAnsi="Times New Roman" w:cs="Times New Roman"/>
          <w:sz w:val="24"/>
          <w:szCs w:val="24"/>
        </w:rPr>
        <w:t xml:space="preserve">“the </w:t>
      </w:r>
      <w:r w:rsidRPr="006B644D">
        <w:rPr>
          <w:rFonts w:ascii="Times New Roman" w:hAnsi="Times New Roman" w:cs="Times New Roman"/>
          <w:sz w:val="24"/>
          <w:szCs w:val="24"/>
        </w:rPr>
        <w:t>FCC</w:t>
      </w:r>
      <w:r>
        <w:rPr>
          <w:rFonts w:ascii="Times New Roman" w:hAnsi="Times New Roman" w:cs="Times New Roman"/>
          <w:sz w:val="24"/>
          <w:szCs w:val="24"/>
        </w:rPr>
        <w:t>”</w:t>
      </w:r>
      <w:r w:rsidRPr="006B644D">
        <w:rPr>
          <w:rFonts w:ascii="Times New Roman" w:hAnsi="Times New Roman" w:cs="Times New Roman"/>
          <w:sz w:val="24"/>
          <w:szCs w:val="24"/>
        </w:rPr>
        <w:t>) published by the United States Pharmacopeial Convention</w:t>
      </w:r>
      <w:r>
        <w:rPr>
          <w:rFonts w:ascii="Times New Roman" w:hAnsi="Times New Roman" w:cs="Times New Roman"/>
          <w:sz w:val="24"/>
          <w:szCs w:val="24"/>
        </w:rPr>
        <w:t xml:space="preserve"> (available at </w:t>
      </w:r>
      <w:hyperlink r:id="rId13" w:history="1">
        <w:r w:rsidRPr="00BB66B5">
          <w:rPr>
            <w:rStyle w:val="Hyperlink"/>
            <w:rFonts w:ascii="Times New Roman" w:hAnsi="Times New Roman" w:cs="Times New Roman"/>
            <w:sz w:val="24"/>
            <w:szCs w:val="24"/>
          </w:rPr>
          <w:t>www.online.foodchemicalscodex.org</w:t>
        </w:r>
      </w:hyperlink>
      <w:r>
        <w:rPr>
          <w:rFonts w:ascii="Times New Roman" w:hAnsi="Times New Roman" w:cs="Times New Roman"/>
          <w:sz w:val="24"/>
          <w:szCs w:val="24"/>
        </w:rPr>
        <w:t xml:space="preserve">). </w:t>
      </w:r>
      <w:r w:rsidR="004E2CE6">
        <w:rPr>
          <w:rFonts w:ascii="Times New Roman" w:hAnsi="Times New Roman" w:cs="Times New Roman"/>
          <w:sz w:val="24"/>
          <w:szCs w:val="24"/>
        </w:rPr>
        <w:t xml:space="preserve"> </w:t>
      </w:r>
      <w:r>
        <w:rPr>
          <w:rFonts w:ascii="Times New Roman" w:hAnsi="Times New Roman" w:cs="Times New Roman"/>
          <w:sz w:val="24"/>
          <w:szCs w:val="24"/>
        </w:rPr>
        <w:t>The intended manner of adoption of the FCC is also as it is in force or existing from time to time</w:t>
      </w:r>
      <w:r w:rsidR="004E2CE6">
        <w:rPr>
          <w:rFonts w:ascii="Times New Roman" w:hAnsi="Times New Roman" w:cs="Times New Roman"/>
          <w:sz w:val="24"/>
          <w:szCs w:val="24"/>
        </w:rPr>
        <w:t>, as permitted by subsection 26BB(8) of the Act</w:t>
      </w:r>
      <w:r>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A2081A">
        <w:rPr>
          <w:rFonts w:ascii="Times New Roman" w:hAnsi="Times New Roman" w:cs="Times New Roman"/>
          <w:sz w:val="24"/>
          <w:szCs w:val="24"/>
          <w:lang w:eastAsia="en-AU"/>
        </w:rPr>
        <w:t xml:space="preserve">The Determination </w:t>
      </w:r>
      <w:r>
        <w:rPr>
          <w:rFonts w:ascii="Times New Roman" w:hAnsi="Times New Roman" w:cs="Times New Roman"/>
          <w:sz w:val="24"/>
          <w:szCs w:val="24"/>
          <w:lang w:eastAsia="en-AU"/>
        </w:rPr>
        <w:t xml:space="preserve">adopts each of the </w:t>
      </w:r>
      <w:r w:rsidRPr="00CF10D9">
        <w:rPr>
          <w:rStyle w:val="Hyperlink"/>
          <w:rFonts w:ascii="Times New Roman" w:hAnsi="Times New Roman" w:cs="Times New Roman"/>
          <w:i/>
          <w:sz w:val="24"/>
          <w:szCs w:val="24"/>
        </w:rPr>
        <w:t>Animal Products Act 1999</w:t>
      </w:r>
      <w:r>
        <w:rPr>
          <w:rStyle w:val="Hyperlink"/>
        </w:rPr>
        <w:t xml:space="preserve"> </w:t>
      </w:r>
      <w:r w:rsidRPr="00CF10D9">
        <w:rPr>
          <w:rStyle w:val="Hyperlink"/>
          <w:rFonts w:ascii="Times New Roman" w:hAnsi="Times New Roman" w:cs="Times New Roman"/>
          <w:sz w:val="24"/>
          <w:szCs w:val="24"/>
        </w:rPr>
        <w:t xml:space="preserve">and the </w:t>
      </w:r>
      <w:r w:rsidRPr="00CF10D9">
        <w:rPr>
          <w:rStyle w:val="Hyperlink"/>
          <w:rFonts w:ascii="Times New Roman" w:hAnsi="Times New Roman" w:cs="Times New Roman"/>
          <w:i/>
          <w:sz w:val="24"/>
          <w:szCs w:val="24"/>
        </w:rPr>
        <w:t>Animal Welfare Act 1999</w:t>
      </w:r>
      <w:r>
        <w:rPr>
          <w:rStyle w:val="Hyperlink"/>
          <w:rFonts w:ascii="Times New Roman" w:hAnsi="Times New Roman" w:cs="Times New Roman"/>
          <w:sz w:val="24"/>
          <w:szCs w:val="24"/>
        </w:rPr>
        <w:t xml:space="preserve"> </w:t>
      </w:r>
      <w:r>
        <w:rPr>
          <w:rFonts w:ascii="Times New Roman" w:hAnsi="Times New Roman" w:cs="Times New Roman"/>
          <w:sz w:val="24"/>
          <w:szCs w:val="24"/>
          <w:lang w:eastAsia="en-AU"/>
        </w:rPr>
        <w:t xml:space="preserve">of New Zealand on the same basis. </w:t>
      </w:r>
      <w:r w:rsidR="004E2CE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These Acts are available for free from </w:t>
      </w:r>
      <w:hyperlink r:id="rId14" w:history="1">
        <w:r w:rsidRPr="00BB66B5">
          <w:rPr>
            <w:rStyle w:val="Hyperlink"/>
            <w:rFonts w:ascii="Times New Roman" w:hAnsi="Times New Roman" w:cs="Times New Roman"/>
            <w:sz w:val="24"/>
            <w:szCs w:val="24"/>
          </w:rPr>
          <w:t>www.legislation.govt.nz/</w:t>
        </w:r>
      </w:hyperlink>
      <w:r>
        <w:rPr>
          <w:rStyle w:val="Hyperlink"/>
        </w:rPr>
        <w:t>.</w:t>
      </w:r>
    </w:p>
    <w:p w14:paraId="7D08AC7D"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66CDB99" w14:textId="037AAE44"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The Determination also includes a reference to a World Health Organization publication ‘</w:t>
      </w:r>
      <w:r w:rsidRPr="00B94E86">
        <w:rPr>
          <w:rFonts w:ascii="Times New Roman" w:hAnsi="Times New Roman" w:cs="Times New Roman"/>
          <w:i/>
          <w:sz w:val="24"/>
          <w:szCs w:val="24"/>
          <w:lang w:eastAsia="en-AU"/>
        </w:rPr>
        <w:t>Expert consultation on oral rehydration salts formulation</w:t>
      </w:r>
      <w:r>
        <w:rPr>
          <w:rFonts w:ascii="Times New Roman" w:hAnsi="Times New Roman" w:cs="Times New Roman"/>
          <w:sz w:val="24"/>
          <w:szCs w:val="24"/>
          <w:lang w:eastAsia="en-AU"/>
        </w:rPr>
        <w:t>’, dated 18 July 2001.</w:t>
      </w:r>
      <w:r w:rsidR="00E60C26">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 This document is available for free from</w:t>
      </w:r>
      <w:r w:rsidRPr="00CC73D8">
        <w:rPr>
          <w:rFonts w:ascii="Times New Roman" w:hAnsi="Times New Roman" w:cs="Times New Roman"/>
          <w:sz w:val="24"/>
          <w:szCs w:val="24"/>
          <w:lang w:eastAsia="en-AU"/>
        </w:rPr>
        <w:t xml:space="preserve"> </w:t>
      </w:r>
      <w:hyperlink r:id="rId15" w:history="1">
        <w:r w:rsidRPr="00BB66B5">
          <w:rPr>
            <w:rStyle w:val="Hyperlink"/>
            <w:rFonts w:ascii="Times New Roman" w:hAnsi="Times New Roman" w:cs="Times New Roman"/>
            <w:sz w:val="24"/>
            <w:szCs w:val="24"/>
          </w:rPr>
          <w:t>www.rehydrate.org/ors/expert-consultation.html</w:t>
        </w:r>
      </w:hyperlink>
      <w:r w:rsidRPr="00CC73D8">
        <w:rPr>
          <w:rFonts w:ascii="Times New Roman" w:hAnsi="Times New Roman" w:cs="Times New Roman"/>
          <w:sz w:val="24"/>
          <w:szCs w:val="24"/>
        </w:rPr>
        <w:t>.</w:t>
      </w:r>
    </w:p>
    <w:p w14:paraId="147C2040" w14:textId="77777777" w:rsidR="005B70D2" w:rsidRPr="001A7C14"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69313021" w14:textId="62FB30B8"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lang w:eastAsia="en-AU"/>
        </w:rPr>
        <w:t>While unfortunately the pharmacopoeia and the FCC are not available for free,</w:t>
      </w:r>
      <w:r w:rsidRPr="00A2081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w:t>
      </w:r>
      <w:r w:rsidRPr="00A2081A">
        <w:rPr>
          <w:rFonts w:ascii="Times New Roman" w:hAnsi="Times New Roman" w:cs="Times New Roman"/>
          <w:sz w:val="24"/>
          <w:szCs w:val="24"/>
          <w:lang w:eastAsia="en-AU"/>
        </w:rPr>
        <w:t xml:space="preserve">t is anticipated that </w:t>
      </w:r>
      <w:r>
        <w:rPr>
          <w:rFonts w:ascii="Times New Roman" w:hAnsi="Times New Roman" w:cs="Times New Roman"/>
          <w:sz w:val="24"/>
          <w:szCs w:val="24"/>
          <w:lang w:eastAsia="en-AU"/>
        </w:rPr>
        <w:t>the persons most affected by their adoption in this Determination (</w:t>
      </w:r>
      <w:r w:rsidRPr="00A2081A">
        <w:rPr>
          <w:rFonts w:ascii="Times New Roman" w:hAnsi="Times New Roman" w:cs="Times New Roman"/>
          <w:sz w:val="24"/>
          <w:szCs w:val="24"/>
          <w:lang w:eastAsia="en-AU"/>
        </w:rPr>
        <w:t>sponsor</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of</w:t>
      </w:r>
      <w:r>
        <w:rPr>
          <w:rFonts w:ascii="Times New Roman" w:hAnsi="Times New Roman" w:cs="Times New Roman"/>
          <w:sz w:val="24"/>
          <w:szCs w:val="24"/>
          <w:lang w:eastAsia="en-AU"/>
        </w:rPr>
        <w:t> </w:t>
      </w:r>
      <w:r w:rsidRPr="00A2081A">
        <w:rPr>
          <w:rFonts w:ascii="Times New Roman" w:hAnsi="Times New Roman" w:cs="Times New Roman"/>
          <w:sz w:val="24"/>
          <w:szCs w:val="24"/>
          <w:lang w:eastAsia="en-AU"/>
        </w:rPr>
        <w:t>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included in the </w:t>
      </w:r>
      <w:r>
        <w:rPr>
          <w:rFonts w:ascii="Times New Roman" w:hAnsi="Times New Roman" w:cs="Times New Roman"/>
          <w:sz w:val="24"/>
          <w:szCs w:val="24"/>
          <w:lang w:eastAsia="en-AU"/>
        </w:rPr>
        <w:t>Register</w:t>
      </w:r>
      <w:r w:rsidRPr="00A2081A">
        <w:rPr>
          <w:rFonts w:ascii="Times New Roman" w:hAnsi="Times New Roman" w:cs="Times New Roman"/>
          <w:sz w:val="24"/>
          <w:szCs w:val="24"/>
          <w:lang w:eastAsia="en-AU"/>
        </w:rPr>
        <w:t xml:space="preserve"> and other interested persons in the medicine</w:t>
      </w:r>
      <w:r>
        <w:rPr>
          <w:rFonts w:ascii="Times New Roman" w:hAnsi="Times New Roman" w:cs="Times New Roman"/>
          <w:sz w:val="24"/>
          <w:szCs w:val="24"/>
          <w:lang w:eastAsia="en-AU"/>
        </w:rPr>
        <w:t xml:space="preserve">s industry using the Determination), </w:t>
      </w:r>
      <w:r w:rsidRPr="00A2081A">
        <w:rPr>
          <w:rFonts w:ascii="Times New Roman" w:hAnsi="Times New Roman" w:cs="Times New Roman"/>
          <w:sz w:val="24"/>
          <w:szCs w:val="24"/>
          <w:lang w:eastAsia="en-AU"/>
        </w:rPr>
        <w:lastRenderedPageBreak/>
        <w:t xml:space="preserve">would be in possession of these </w:t>
      </w:r>
      <w:r>
        <w:rPr>
          <w:rFonts w:ascii="Times New Roman" w:hAnsi="Times New Roman" w:cs="Times New Roman"/>
          <w:sz w:val="24"/>
          <w:szCs w:val="24"/>
          <w:lang w:eastAsia="en-AU"/>
        </w:rPr>
        <w:t>documents</w:t>
      </w:r>
      <w:r w:rsidRPr="00A2081A">
        <w:rPr>
          <w:rFonts w:ascii="Times New Roman" w:hAnsi="Times New Roman" w:cs="Times New Roman"/>
          <w:sz w:val="24"/>
          <w:szCs w:val="24"/>
          <w:lang w:eastAsia="en-AU"/>
        </w:rPr>
        <w:t xml:space="preserve"> in order to manufacture medicine</w:t>
      </w:r>
      <w:r>
        <w:rPr>
          <w:rFonts w:ascii="Times New Roman" w:hAnsi="Times New Roman" w:cs="Times New Roman"/>
          <w:sz w:val="24"/>
          <w:szCs w:val="24"/>
          <w:lang w:eastAsia="en-AU"/>
        </w:rPr>
        <w:t>s</w:t>
      </w:r>
      <w:r w:rsidRPr="00A2081A">
        <w:rPr>
          <w:rFonts w:ascii="Times New Roman" w:hAnsi="Times New Roman" w:cs="Times New Roman"/>
          <w:sz w:val="24"/>
          <w:szCs w:val="24"/>
          <w:lang w:eastAsia="en-AU"/>
        </w:rPr>
        <w:t xml:space="preserve"> or ingredients</w:t>
      </w:r>
      <w:r>
        <w:rPr>
          <w:rFonts w:ascii="Times New Roman" w:hAnsi="Times New Roman" w:cs="Times New Roman"/>
          <w:sz w:val="24"/>
          <w:szCs w:val="24"/>
          <w:lang w:eastAsia="en-AU"/>
        </w:rPr>
        <w:t>.</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As important international benchmarks for the safety and quality of therapeutic goods, it would be </w:t>
      </w:r>
      <w:r>
        <w:rPr>
          <w:rFonts w:ascii="Times New Roman" w:hAnsi="Times New Roman" w:cs="Times New Roman"/>
          <w:sz w:val="24"/>
          <w:szCs w:val="24"/>
        </w:rPr>
        <w:t>in</w:t>
      </w:r>
      <w:r w:rsidRPr="00B13B06">
        <w:rPr>
          <w:rFonts w:ascii="Times New Roman" w:hAnsi="Times New Roman" w:cs="Times New Roman"/>
          <w:sz w:val="24"/>
          <w:szCs w:val="24"/>
        </w:rPr>
        <w:t xml:space="preserve">feasible from a regulatory perspective </w:t>
      </w:r>
      <w:r>
        <w:rPr>
          <w:rFonts w:ascii="Times New Roman" w:hAnsi="Times New Roman" w:cs="Times New Roman"/>
          <w:sz w:val="24"/>
          <w:szCs w:val="24"/>
        </w:rPr>
        <w:t xml:space="preserve">(particularly in relation to the safety of listed medicines that are not, for the most part, evaluated before being given marketing approval) </w:t>
      </w:r>
      <w:r w:rsidRPr="00B13B06">
        <w:rPr>
          <w:rFonts w:ascii="Times New Roman" w:hAnsi="Times New Roman" w:cs="Times New Roman"/>
          <w:sz w:val="24"/>
          <w:szCs w:val="24"/>
        </w:rPr>
        <w:t xml:space="preserve">to not adopt such benchmarks </w:t>
      </w:r>
      <w:r>
        <w:rPr>
          <w:rFonts w:ascii="Times New Roman" w:hAnsi="Times New Roman" w:cs="Times New Roman"/>
          <w:sz w:val="24"/>
          <w:szCs w:val="24"/>
        </w:rPr>
        <w:t>on the basis that</w:t>
      </w:r>
      <w:r w:rsidRPr="00B13B06">
        <w:rPr>
          <w:rFonts w:ascii="Times New Roman" w:hAnsi="Times New Roman" w:cs="Times New Roman"/>
          <w:sz w:val="24"/>
          <w:szCs w:val="24"/>
        </w:rPr>
        <w:t xml:space="preserve"> the</w:t>
      </w:r>
      <w:r>
        <w:rPr>
          <w:rFonts w:ascii="Times New Roman" w:hAnsi="Times New Roman" w:cs="Times New Roman"/>
          <w:sz w:val="24"/>
          <w:szCs w:val="24"/>
        </w:rPr>
        <w:t xml:space="preserve"> publications</w:t>
      </w:r>
      <w:r w:rsidRPr="00B13B06">
        <w:rPr>
          <w:rFonts w:ascii="Times New Roman" w:hAnsi="Times New Roman" w:cs="Times New Roman"/>
          <w:sz w:val="24"/>
          <w:szCs w:val="24"/>
        </w:rPr>
        <w:t xml:space="preserve"> are not available for free.</w:t>
      </w:r>
    </w:p>
    <w:p w14:paraId="5988E2FA"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350BBCA7" w14:textId="73E9EAB5" w:rsidR="00E715AB" w:rsidRDefault="00E715AB" w:rsidP="001A7C14">
      <w:pPr>
        <w:autoSpaceDE w:val="0"/>
        <w:autoSpaceDN w:val="0"/>
        <w:adjustRightInd w:val="0"/>
        <w:spacing w:after="0"/>
        <w:rPr>
          <w:rFonts w:ascii="Times New Roman" w:hAnsi="Times New Roman" w:cs="Times New Roman"/>
          <w:sz w:val="24"/>
          <w:szCs w:val="24"/>
        </w:rPr>
      </w:pPr>
      <w:r w:rsidRPr="00CA165D">
        <w:rPr>
          <w:rFonts w:ascii="Times New Roman" w:hAnsi="Times New Roman" w:cs="Times New Roman"/>
          <w:sz w:val="24"/>
          <w:szCs w:val="24"/>
        </w:rPr>
        <w:t>However, by prior written arrangement</w:t>
      </w:r>
      <w:r>
        <w:rPr>
          <w:rFonts w:ascii="Times New Roman" w:hAnsi="Times New Roman" w:cs="Times New Roman"/>
          <w:sz w:val="24"/>
          <w:szCs w:val="24"/>
        </w:rPr>
        <w:t xml:space="preserve"> with the TGA</w:t>
      </w:r>
      <w:r w:rsidRPr="00CA165D">
        <w:rPr>
          <w:rFonts w:ascii="Times New Roman" w:hAnsi="Times New Roman" w:cs="Times New Roman"/>
          <w:sz w:val="24"/>
          <w:szCs w:val="24"/>
        </w:rPr>
        <w:t xml:space="preserve">, </w:t>
      </w:r>
      <w:r>
        <w:rPr>
          <w:rFonts w:ascii="Times New Roman" w:hAnsi="Times New Roman" w:cs="Times New Roman"/>
          <w:sz w:val="24"/>
          <w:szCs w:val="24"/>
        </w:rPr>
        <w:t>members of the public may request to view the</w:t>
      </w:r>
      <w:r w:rsidRPr="00CA165D">
        <w:rPr>
          <w:rFonts w:ascii="Times New Roman" w:hAnsi="Times New Roman" w:cs="Times New Roman"/>
          <w:sz w:val="24"/>
          <w:szCs w:val="24"/>
        </w:rPr>
        <w:t xml:space="preserve"> pharmacopoeia </w:t>
      </w:r>
      <w:r>
        <w:rPr>
          <w:rFonts w:ascii="Times New Roman" w:hAnsi="Times New Roman" w:cs="Times New Roman"/>
          <w:sz w:val="24"/>
          <w:szCs w:val="24"/>
        </w:rPr>
        <w:t xml:space="preserve">and the FCC without charge </w:t>
      </w:r>
      <w:r w:rsidRPr="00CA165D">
        <w:rPr>
          <w:rFonts w:ascii="Times New Roman" w:hAnsi="Times New Roman" w:cs="Times New Roman"/>
          <w:sz w:val="24"/>
          <w:szCs w:val="24"/>
        </w:rPr>
        <w:t>at the TGA office in Symonston, ACT.</w:t>
      </w:r>
    </w:p>
    <w:p w14:paraId="6FDE1CA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1F1060FE" w14:textId="025BA7AF" w:rsidR="0050197A" w:rsidRDefault="0050197A" w:rsidP="001A7C14">
      <w:pPr>
        <w:autoSpaceDE w:val="0"/>
        <w:autoSpaceDN w:val="0"/>
        <w:adjustRightInd w:val="0"/>
        <w:spacing w:after="0"/>
        <w:rPr>
          <w:rFonts w:ascii="Times New Roman" w:hAnsi="Times New Roman" w:cs="Times New Roman"/>
          <w:sz w:val="24"/>
          <w:szCs w:val="24"/>
        </w:rPr>
      </w:pPr>
      <w:r w:rsidRPr="00B13B06">
        <w:rPr>
          <w:rFonts w:ascii="Times New Roman" w:hAnsi="Times New Roman" w:cs="Times New Roman"/>
          <w:sz w:val="24"/>
          <w:szCs w:val="24"/>
        </w:rPr>
        <w:t xml:space="preserve">It should </w:t>
      </w:r>
      <w:r>
        <w:rPr>
          <w:rFonts w:ascii="Times New Roman" w:hAnsi="Times New Roman" w:cs="Times New Roman"/>
          <w:sz w:val="24"/>
          <w:szCs w:val="24"/>
        </w:rPr>
        <w:t xml:space="preserve">also </w:t>
      </w:r>
      <w:r w:rsidRPr="00B13B06">
        <w:rPr>
          <w:rFonts w:ascii="Times New Roman" w:hAnsi="Times New Roman" w:cs="Times New Roman"/>
          <w:sz w:val="24"/>
          <w:szCs w:val="24"/>
        </w:rPr>
        <w:t>be noted</w:t>
      </w:r>
      <w:r w:rsidR="00DC56A0">
        <w:rPr>
          <w:rFonts w:ascii="Times New Roman" w:hAnsi="Times New Roman" w:cs="Times New Roman"/>
          <w:sz w:val="24"/>
          <w:szCs w:val="24"/>
        </w:rPr>
        <w:t>, in relation to the pharmacopoeia,</w:t>
      </w:r>
      <w:r w:rsidRPr="00B13B06">
        <w:rPr>
          <w:rFonts w:ascii="Times New Roman" w:hAnsi="Times New Roman" w:cs="Times New Roman"/>
          <w:sz w:val="24"/>
          <w:szCs w:val="24"/>
        </w:rPr>
        <w:t xml:space="preserve"> that the National Library’s Trove online system (</w:t>
      </w:r>
      <w:hyperlink r:id="rId16" w:history="1">
        <w:r w:rsidRPr="00BB66B5">
          <w:rPr>
            <w:rStyle w:val="Hyperlink"/>
            <w:rFonts w:ascii="Times New Roman" w:hAnsi="Times New Roman" w:cs="Times New Roman"/>
            <w:sz w:val="24"/>
            <w:szCs w:val="24"/>
          </w:rPr>
          <w:t>www.trove.nla.gov.au/</w:t>
        </w:r>
      </w:hyperlink>
      <w:r w:rsidRPr="00B13B06">
        <w:rPr>
          <w:rFonts w:ascii="Times New Roman" w:hAnsi="Times New Roman" w:cs="Times New Roman"/>
          <w:sz w:val="24"/>
          <w:szCs w:val="24"/>
        </w:rPr>
        <w:t>) allows users to identify libraries in Australia that are open to the public where editions</w:t>
      </w:r>
      <w:r>
        <w:rPr>
          <w:rFonts w:ascii="Times New Roman" w:hAnsi="Times New Roman" w:cs="Times New Roman"/>
          <w:sz w:val="24"/>
          <w:szCs w:val="24"/>
        </w:rPr>
        <w:t xml:space="preserve"> </w:t>
      </w:r>
      <w:r w:rsidRPr="00B13B06">
        <w:rPr>
          <w:rFonts w:ascii="Times New Roman" w:hAnsi="Times New Roman" w:cs="Times New Roman"/>
          <w:sz w:val="24"/>
          <w:szCs w:val="24"/>
        </w:rPr>
        <w:t>(in most cases, earlier</w:t>
      </w:r>
      <w:r>
        <w:rPr>
          <w:rFonts w:ascii="Times New Roman" w:hAnsi="Times New Roman" w:cs="Times New Roman"/>
          <w:sz w:val="24"/>
          <w:szCs w:val="24"/>
        </w:rPr>
        <w:t xml:space="preserve"> editions</w:t>
      </w:r>
      <w:r w:rsidRPr="00B13B06">
        <w:rPr>
          <w:rFonts w:ascii="Times New Roman" w:hAnsi="Times New Roman" w:cs="Times New Roman"/>
          <w:sz w:val="24"/>
          <w:szCs w:val="24"/>
        </w:rPr>
        <w:t>)</w:t>
      </w:r>
      <w:r>
        <w:rPr>
          <w:rFonts w:ascii="Times New Roman" w:hAnsi="Times New Roman" w:cs="Times New Roman"/>
          <w:sz w:val="24"/>
          <w:szCs w:val="24"/>
        </w:rPr>
        <w:t xml:space="preserve"> </w:t>
      </w:r>
      <w:r w:rsidRPr="00B13B06">
        <w:rPr>
          <w:rFonts w:ascii="Times New Roman" w:hAnsi="Times New Roman" w:cs="Times New Roman"/>
          <w:sz w:val="24"/>
          <w:szCs w:val="24"/>
        </w:rPr>
        <w:t xml:space="preserve">of the pharmacopoeia may be viewed (for example, the University of Tasmania or the University </w:t>
      </w:r>
      <w:r w:rsidRPr="00B13B06">
        <w:rPr>
          <w:rFonts w:ascii="Times New Roman" w:hAnsi="Times New Roman" w:cs="Times New Roman"/>
          <w:sz w:val="24"/>
          <w:szCs w:val="24"/>
        </w:rPr>
        <w:lastRenderedPageBreak/>
        <w:t xml:space="preserve">of Western Australia in relation to the </w:t>
      </w:r>
      <w:r>
        <w:rPr>
          <w:rFonts w:ascii="Times New Roman" w:hAnsi="Times New Roman" w:cs="Times New Roman"/>
          <w:sz w:val="24"/>
          <w:szCs w:val="24"/>
        </w:rPr>
        <w:t>British Pharmacopoeia</w:t>
      </w:r>
      <w:r w:rsidRPr="00B13B06">
        <w:rPr>
          <w:rFonts w:ascii="Times New Roman" w:hAnsi="Times New Roman" w:cs="Times New Roman"/>
          <w:sz w:val="24"/>
          <w:szCs w:val="24"/>
        </w:rPr>
        <w:t xml:space="preserve">). </w:t>
      </w:r>
      <w:r w:rsidR="00E60C26">
        <w:rPr>
          <w:rFonts w:ascii="Times New Roman" w:hAnsi="Times New Roman" w:cs="Times New Roman"/>
          <w:sz w:val="24"/>
          <w:szCs w:val="24"/>
        </w:rPr>
        <w:t xml:space="preserve"> </w:t>
      </w:r>
      <w:r w:rsidRPr="00B13B06">
        <w:rPr>
          <w:rFonts w:ascii="Times New Roman" w:hAnsi="Times New Roman" w:cs="Times New Roman"/>
          <w:sz w:val="24"/>
          <w:szCs w:val="24"/>
        </w:rPr>
        <w:t xml:space="preserve">Members of the public may also approach any library that participates in inter-library loans </w:t>
      </w:r>
      <w:r>
        <w:rPr>
          <w:rFonts w:ascii="Times New Roman" w:hAnsi="Times New Roman" w:cs="Times New Roman"/>
          <w:sz w:val="24"/>
          <w:szCs w:val="24"/>
        </w:rPr>
        <w:t xml:space="preserve">with those university libraries </w:t>
      </w:r>
      <w:r w:rsidRPr="00B13B06">
        <w:rPr>
          <w:rFonts w:ascii="Times New Roman" w:hAnsi="Times New Roman" w:cs="Times New Roman"/>
          <w:sz w:val="24"/>
          <w:szCs w:val="24"/>
        </w:rPr>
        <w:t xml:space="preserve">to request an inter-library loan, </w:t>
      </w:r>
      <w:r>
        <w:rPr>
          <w:rFonts w:ascii="Times New Roman" w:hAnsi="Times New Roman" w:cs="Times New Roman"/>
          <w:sz w:val="24"/>
          <w:szCs w:val="24"/>
        </w:rPr>
        <w:t xml:space="preserve">or </w:t>
      </w:r>
      <w:r w:rsidRPr="00B13B06">
        <w:rPr>
          <w:rFonts w:ascii="Times New Roman" w:hAnsi="Times New Roman" w:cs="Times New Roman"/>
          <w:sz w:val="24"/>
          <w:szCs w:val="24"/>
        </w:rPr>
        <w:t>to obtain a photocopy of a particular part or monograph for personal study or research (but not for commercial purposes), at a usual cost of $16.50 per request (enquiries should be made with local libraries, State libraries and the National Library).</w:t>
      </w:r>
    </w:p>
    <w:p w14:paraId="113CA7A3"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5265C58B" w14:textId="56DB8B99" w:rsidR="0050197A" w:rsidRDefault="0050197A" w:rsidP="001A7C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17"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7C177C36"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25583419" w14:textId="0BB66386"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3D36B50" w14:textId="216C7BAB" w:rsidR="0050197A" w:rsidRDefault="0050197A" w:rsidP="001A7C14">
      <w:pPr>
        <w:autoSpaceDE w:val="0"/>
        <w:autoSpaceDN w:val="0"/>
        <w:adjustRightInd w:val="0"/>
        <w:spacing w:after="0"/>
        <w:rPr>
          <w:rFonts w:ascii="Times New Roman" w:hAnsi="Times New Roman" w:cs="Times New Roman"/>
          <w:sz w:val="24"/>
          <w:szCs w:val="24"/>
        </w:rPr>
      </w:pPr>
      <w:r w:rsidRPr="00953BDD">
        <w:rPr>
          <w:rFonts w:ascii="Times New Roman" w:hAnsi="Times New Roman" w:cs="Times New Roman"/>
          <w:sz w:val="24"/>
          <w:szCs w:val="24"/>
        </w:rPr>
        <w:lastRenderedPageBreak/>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 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1A7C14">
      <w:pPr>
        <w:autoSpaceDE w:val="0"/>
        <w:autoSpaceDN w:val="0"/>
        <w:adjustRightInd w:val="0"/>
        <w:spacing w:after="0"/>
        <w:rPr>
          <w:rFonts w:ascii="Times New Roman" w:hAnsi="Times New Roman" w:cs="Times New Roman"/>
          <w:sz w:val="24"/>
          <w:szCs w:val="24"/>
        </w:rPr>
      </w:pPr>
    </w:p>
    <w:p w14:paraId="42B80A9F" w14:textId="77777777" w:rsidR="005B70D2"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9F78E6" w:rsidRPr="00B16682">
        <w:rPr>
          <w:rFonts w:ascii="Times New Roman" w:hAnsi="Times New Roman" w:cs="Times New Roman"/>
          <w:sz w:val="24"/>
          <w:szCs w:val="24"/>
        </w:rPr>
        <w:t>the day after registration</w:t>
      </w:r>
      <w:r w:rsidRPr="00B16682">
        <w:rPr>
          <w:rFonts w:ascii="Times New Roman" w:eastAsia="Times New Roman" w:hAnsi="Times New Roman" w:cs="Times New Roman"/>
          <w:sz w:val="24"/>
          <w:szCs w:val="24"/>
          <w:lang w:eastAsia="en-AU"/>
        </w:rPr>
        <w:t>.</w:t>
      </w:r>
    </w:p>
    <w:p w14:paraId="4F8CA9DD" w14:textId="5306B0C3" w:rsidR="0029115B" w:rsidRDefault="0050197A" w:rsidP="00ED7851">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1161E145"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F6166F">
        <w:rPr>
          <w:rFonts w:ascii="Times New Roman" w:eastAsia="Times New Roman" w:hAnsi="Times New Roman" w:cs="Times New Roman"/>
          <w:b/>
          <w:i/>
          <w:sz w:val="24"/>
          <w:szCs w:val="24"/>
          <w:lang w:eastAsia="en-AU"/>
        </w:rPr>
        <w:t>1</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F6166F">
        <w:rPr>
          <w:rFonts w:ascii="Times New Roman" w:eastAsia="Times New Roman" w:hAnsi="Times New Roman" w:cs="Times New Roman"/>
          <w:b/>
          <w:i/>
          <w:sz w:val="24"/>
          <w:szCs w:val="24"/>
          <w:lang w:eastAsia="en-AU"/>
        </w:rPr>
        <w:t>1</w:t>
      </w:r>
    </w:p>
    <w:p w14:paraId="351A8BA8" w14:textId="5C42663F"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1A7C14">
      <w:pPr>
        <w:autoSpaceDE w:val="0"/>
        <w:autoSpaceDN w:val="0"/>
        <w:adjustRightInd w:val="0"/>
        <w:spacing w:after="0"/>
        <w:rPr>
          <w:rFonts w:ascii="Times New Roman" w:eastAsia="Times New Roman" w:hAnsi="Times New Roman" w:cs="Times New Roman"/>
          <w:b/>
          <w:bCs/>
          <w:sz w:val="24"/>
          <w:szCs w:val="24"/>
          <w:lang w:eastAsia="en-AU"/>
        </w:rPr>
      </w:pPr>
    </w:p>
    <w:p w14:paraId="566C8079" w14:textId="26D04736"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F6166F">
        <w:rPr>
          <w:rFonts w:ascii="Times New Roman" w:eastAsia="Times New Roman" w:hAnsi="Times New Roman" w:cs="Times New Roman"/>
          <w:i/>
          <w:sz w:val="24"/>
          <w:szCs w:val="24"/>
          <w:lang w:eastAsia="en-AU"/>
        </w:rPr>
        <w:t>1</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F6166F">
        <w:rPr>
          <w:rFonts w:ascii="Times New Roman" w:eastAsia="Times New Roman" w:hAnsi="Times New Roman" w:cs="Times New Roman"/>
          <w:i/>
          <w:sz w:val="24"/>
          <w:szCs w:val="24"/>
          <w:lang w:eastAsia="en-AU"/>
        </w:rPr>
        <w:t>1</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1B8996FF" w14:textId="470210B1"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1A7C14">
      <w:pPr>
        <w:autoSpaceDE w:val="0"/>
        <w:autoSpaceDN w:val="0"/>
        <w:adjustRightInd w:val="0"/>
        <w:spacing w:after="0"/>
        <w:rPr>
          <w:rFonts w:ascii="Times New Roman" w:eastAsia="Times New Roman" w:hAnsi="Times New Roman" w:cs="Times New Roman"/>
          <w:b/>
          <w:bCs/>
          <w:sz w:val="24"/>
          <w:szCs w:val="24"/>
          <w:lang w:eastAsia="en-AU"/>
        </w:rPr>
      </w:pPr>
    </w:p>
    <w:p w14:paraId="087283D7" w14:textId="726AD4C7" w:rsidR="0050197A" w:rsidRPr="007A52D3" w:rsidRDefault="0050197A" w:rsidP="001A7C14">
      <w:pPr>
        <w:autoSpaceDE w:val="0"/>
        <w:autoSpaceDN w:val="0"/>
        <w:adjustRightInd w:val="0"/>
        <w:spacing w:after="0"/>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9F78E6" w:rsidRPr="00607014">
        <w:rPr>
          <w:rFonts w:ascii="Times New Roman" w:eastAsia="Times New Roman" w:hAnsi="Times New Roman" w:cs="Times New Roman"/>
          <w:sz w:val="24"/>
          <w:szCs w:val="24"/>
          <w:lang w:eastAsia="en-AU"/>
        </w:rPr>
        <w:t>the day after registration</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EEDC031" w14:textId="3B94520C"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51F2D730" w14:textId="73ADCB18" w:rsidR="0040312B" w:rsidRDefault="0040312B"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6C363FE6" w14:textId="0C7158C5" w:rsidR="0040312B" w:rsidRDefault="0040312B"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lastRenderedPageBreak/>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D82FB5D" w14:textId="309C7F8A"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DCB529C" w14:textId="6879ABE9" w:rsidR="0091180B"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The note to this section also makes it clear that a number of expressions used in the Determination have the same meaning as in the Act, for example ‘British Pharmacopoeia’, ‘European Pharmacopoeia’ and ‘United States Pharmacopeia-National Formulary’.</w:t>
      </w:r>
    </w:p>
    <w:p w14:paraId="1EC4FFBC" w14:textId="77777777" w:rsidR="0036611B" w:rsidRPr="0091180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783E573B" w14:textId="618F20D8" w:rsidR="00AE2E87" w:rsidRDefault="0091180B" w:rsidP="001A7C14">
      <w:pPr>
        <w:autoSpaceDE w:val="0"/>
        <w:autoSpaceDN w:val="0"/>
        <w:adjustRightInd w:val="0"/>
        <w:spacing w:after="0"/>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AA57C3B" w14:textId="7B18BDB4"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 xml:space="preserve">Permissible ingredients </w:t>
      </w:r>
    </w:p>
    <w:p w14:paraId="7F32AE94"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99B9869" w14:textId="3750F3C7"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132B7BB" w14:textId="224EC9A9"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1BF54A2" w14:textId="17C1522B"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for an ingredient mentioned in column 2 of an item in the table in Schedule 1 to the Determination, the requirements in paragraphs 6(a) to (c) are specified for the purposes of paragraph 26BB(1)(b) of the Act. </w:t>
      </w:r>
      <w:r w:rsidR="00E60C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These include, for example, that the ingredient must only be used in a medicine for a purpose specified in relation to the ingredient in column 3 of that item.</w:t>
      </w:r>
    </w:p>
    <w:p w14:paraId="6E79FE28"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241E7A35" w14:textId="620957B2" w:rsidR="001B7ED3" w:rsidRDefault="001B7ED3" w:rsidP="001A7C14">
      <w:pPr>
        <w:autoSpaceDE w:val="0"/>
        <w:autoSpaceDN w:val="0"/>
        <w:adjustRightInd w:val="0"/>
        <w:spacing w:after="0"/>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4043154E" w14:textId="07E844EE" w:rsidR="001B7ED3" w:rsidRDefault="001B7ED3" w:rsidP="001A7C14">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Schedule 2 to the Determination is repealed as set out in the applicable items in that Schedule.</w:t>
      </w:r>
    </w:p>
    <w:p w14:paraId="74A903C6"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3AC09063" w14:textId="3016E9C9" w:rsidR="00AE2E87" w:rsidRDefault="00AE2E87" w:rsidP="001A7C14">
      <w:pPr>
        <w:autoSpaceDE w:val="0"/>
        <w:autoSpaceDN w:val="0"/>
        <w:adjustRightInd w:val="0"/>
        <w:spacing w:after="0"/>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p>
    <w:p w14:paraId="7A138953" w14:textId="77777777" w:rsidR="0036611B" w:rsidRDefault="0036611B" w:rsidP="001A7C14">
      <w:pPr>
        <w:autoSpaceDE w:val="0"/>
        <w:autoSpaceDN w:val="0"/>
        <w:adjustRightInd w:val="0"/>
        <w:spacing w:after="0"/>
        <w:rPr>
          <w:rFonts w:ascii="Times New Roman" w:eastAsia="Times New Roman" w:hAnsi="Times New Roman" w:cs="Times New Roman"/>
          <w:b/>
          <w:sz w:val="24"/>
          <w:szCs w:val="24"/>
          <w:lang w:eastAsia="en-AU"/>
        </w:rPr>
      </w:pPr>
    </w:p>
    <w:p w14:paraId="086FF46B" w14:textId="3ACC9A59" w:rsidR="00045C71" w:rsidRDefault="00CA2F70" w:rsidP="001A7C14">
      <w:pPr>
        <w:autoSpaceDE w:val="0"/>
        <w:autoSpaceDN w:val="0"/>
        <w:adjustRightInd w:val="0"/>
        <w:spacing w:after="0"/>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64A11C3" w14:textId="77777777" w:rsidR="0036611B"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023BE486" w14:textId="37716564" w:rsidR="00CA2F70" w:rsidRDefault="00CA2F70" w:rsidP="001A7C14">
      <w:pPr>
        <w:autoSpaceDE w:val="0"/>
        <w:autoSpaceDN w:val="0"/>
        <w:adjustRightInd w:val="0"/>
        <w:spacing w:after="0"/>
        <w:rPr>
          <w:rFonts w:ascii="Times New Roman" w:eastAsia="Times New Roman" w:hAnsi="Times New Roman" w:cs="Times New Roman"/>
          <w:b/>
          <w:bCs/>
          <w:sz w:val="24"/>
          <w:szCs w:val="24"/>
          <w:lang w:eastAsia="en-AU"/>
        </w:rPr>
      </w:pPr>
      <w:r w:rsidRPr="00CA2F70">
        <w:rPr>
          <w:rFonts w:ascii="Times New Roman" w:eastAsia="Times New Roman" w:hAnsi="Times New Roman" w:cs="Times New Roman"/>
          <w:b/>
          <w:bCs/>
          <w:sz w:val="24"/>
          <w:szCs w:val="24"/>
          <w:lang w:eastAsia="en-AU"/>
        </w:rPr>
        <w:t>Schedule 2 – Repeals</w:t>
      </w:r>
    </w:p>
    <w:p w14:paraId="144B8479" w14:textId="77777777" w:rsidR="0036611B" w:rsidRPr="00CA2F70" w:rsidRDefault="0036611B" w:rsidP="001A7C14">
      <w:pPr>
        <w:autoSpaceDE w:val="0"/>
        <w:autoSpaceDN w:val="0"/>
        <w:adjustRightInd w:val="0"/>
        <w:spacing w:after="0"/>
        <w:rPr>
          <w:rFonts w:ascii="Times New Roman" w:eastAsia="Times New Roman" w:hAnsi="Times New Roman" w:cs="Times New Roman"/>
          <w:sz w:val="24"/>
          <w:szCs w:val="24"/>
          <w:lang w:val="en-US" w:eastAsia="en-AU"/>
        </w:rPr>
      </w:pPr>
    </w:p>
    <w:p w14:paraId="09B08BCF" w14:textId="1F48B1AB" w:rsidR="00045C71" w:rsidRDefault="00CA2F70" w:rsidP="001A7C14">
      <w:pPr>
        <w:autoSpaceDE w:val="0"/>
        <w:autoSpaceDN w:val="0"/>
        <w:adjustRightInd w:val="0"/>
        <w:spacing w:after="0"/>
        <w:rPr>
          <w:rFonts w:ascii="Times New Roman" w:eastAsia="Times New Roman" w:hAnsi="Times New Roman" w:cs="Times New Roman"/>
          <w:i/>
          <w:iCs/>
          <w:sz w:val="24"/>
          <w:szCs w:val="24"/>
          <w:lang w:eastAsia="en-AU"/>
        </w:rPr>
      </w:pPr>
      <w:r w:rsidRPr="00CA2F70">
        <w:rPr>
          <w:rFonts w:ascii="Times New Roman" w:eastAsia="Times New Roman" w:hAnsi="Times New Roman" w:cs="Times New Roman"/>
          <w:sz w:val="24"/>
          <w:szCs w:val="24"/>
          <w:lang w:eastAsia="en-AU"/>
        </w:rPr>
        <w:t xml:space="preserve">This Schedule repeals the </w:t>
      </w:r>
      <w:r w:rsidRPr="00CA2F70">
        <w:rPr>
          <w:rFonts w:ascii="Times New Roman" w:eastAsia="Times New Roman" w:hAnsi="Times New Roman" w:cs="Times New Roman"/>
          <w:i/>
          <w:iCs/>
          <w:sz w:val="24"/>
          <w:szCs w:val="24"/>
          <w:lang w:eastAsia="en-AU"/>
        </w:rPr>
        <w:t>Therapeutic Goods (Permissible Ingredients) Determination (No. </w:t>
      </w:r>
      <w:r w:rsidR="00F6166F">
        <w:rPr>
          <w:rFonts w:ascii="Times New Roman" w:eastAsia="Times New Roman" w:hAnsi="Times New Roman" w:cs="Times New Roman"/>
          <w:i/>
          <w:iCs/>
          <w:sz w:val="24"/>
          <w:szCs w:val="24"/>
          <w:lang w:eastAsia="en-AU"/>
        </w:rPr>
        <w:t>4</w:t>
      </w:r>
      <w:r w:rsidRPr="00CA2F70">
        <w:rPr>
          <w:rFonts w:ascii="Times New Roman" w:eastAsia="Times New Roman" w:hAnsi="Times New Roman" w:cs="Times New Roman"/>
          <w:i/>
          <w:iCs/>
          <w:sz w:val="24"/>
          <w:szCs w:val="24"/>
          <w:lang w:eastAsia="en-AU"/>
        </w:rPr>
        <w:t>) 20</w:t>
      </w:r>
      <w:r w:rsidR="00FA7084">
        <w:rPr>
          <w:rFonts w:ascii="Times New Roman" w:eastAsia="Times New Roman" w:hAnsi="Times New Roman" w:cs="Times New Roman"/>
          <w:i/>
          <w:iCs/>
          <w:sz w:val="24"/>
          <w:szCs w:val="24"/>
          <w:lang w:eastAsia="en-AU"/>
        </w:rPr>
        <w:t>20</w:t>
      </w:r>
      <w:r w:rsidRPr="00CA2F70">
        <w:rPr>
          <w:rFonts w:ascii="Times New Roman" w:eastAsia="Times New Roman" w:hAnsi="Times New Roman" w:cs="Times New Roman"/>
          <w:i/>
          <w:iCs/>
          <w:sz w:val="24"/>
          <w:szCs w:val="24"/>
          <w:lang w:eastAsia="en-AU"/>
        </w:rPr>
        <w:t>.</w:t>
      </w:r>
    </w:p>
    <w:p w14:paraId="443DB472" w14:textId="77777777" w:rsidR="0036611B" w:rsidRPr="00607014" w:rsidRDefault="0036611B" w:rsidP="001A7C14">
      <w:pPr>
        <w:autoSpaceDE w:val="0"/>
        <w:autoSpaceDN w:val="0"/>
        <w:adjustRightInd w:val="0"/>
        <w:spacing w:after="0"/>
        <w:rPr>
          <w:rFonts w:ascii="Times New Roman" w:eastAsia="Times New Roman" w:hAnsi="Times New Roman" w:cs="Times New Roman"/>
          <w:sz w:val="24"/>
          <w:szCs w:val="24"/>
          <w:lang w:eastAsia="en-AU"/>
        </w:rPr>
      </w:pPr>
    </w:p>
    <w:p w14:paraId="54F027CA" w14:textId="77777777"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607014">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720518">
      <w:pPr>
        <w:spacing w:after="0"/>
        <w:jc w:val="center"/>
        <w:rPr>
          <w:rFonts w:ascii="Times New Roman" w:eastAsia="Times New Roman" w:hAnsi="Times New Roman" w:cs="Times New Roman"/>
          <w:sz w:val="24"/>
          <w:szCs w:val="24"/>
          <w:lang w:val="en-US" w:eastAsia="en-AU"/>
        </w:rPr>
      </w:pPr>
    </w:p>
    <w:p w14:paraId="25C603B6" w14:textId="77777777" w:rsidR="00510EB5" w:rsidRDefault="00EF1F18" w:rsidP="00510EB5">
      <w:pPr>
        <w:spacing w:after="0"/>
        <w:jc w:val="center"/>
        <w:rPr>
          <w:rFonts w:ascii="Times New Roman" w:eastAsia="Times New Roman" w:hAnsi="Times New Roman" w:cs="Times New Roman"/>
          <w:sz w:val="24"/>
          <w:szCs w:val="24"/>
          <w:lang w:eastAsia="en-AU"/>
        </w:rPr>
      </w:pPr>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14:paraId="38892413" w14:textId="77777777" w:rsidR="00510EB5" w:rsidRPr="00A419EA" w:rsidRDefault="00510EB5" w:rsidP="00720518">
      <w:pPr>
        <w:spacing w:after="0"/>
        <w:jc w:val="center"/>
        <w:rPr>
          <w:rFonts w:ascii="Times New Roman" w:eastAsia="Times New Roman" w:hAnsi="Times New Roman" w:cs="Times New Roman"/>
          <w:sz w:val="24"/>
          <w:szCs w:val="24"/>
          <w:lang w:val="en-US" w:eastAsia="en-AU"/>
        </w:rPr>
      </w:pPr>
    </w:p>
    <w:p w14:paraId="0039C745" w14:textId="75C2557B"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F6166F">
        <w:rPr>
          <w:rFonts w:ascii="Times New Roman" w:eastAsia="Times New Roman" w:hAnsi="Times New Roman" w:cs="Times New Roman"/>
          <w:b/>
          <w:i/>
          <w:sz w:val="24"/>
          <w:szCs w:val="24"/>
          <w:lang w:eastAsia="en-AU"/>
        </w:rPr>
        <w:t>1</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F6166F">
        <w:rPr>
          <w:rFonts w:ascii="Times New Roman" w:eastAsia="Times New Roman" w:hAnsi="Times New Roman" w:cs="Times New Roman"/>
          <w:b/>
          <w:i/>
          <w:sz w:val="24"/>
          <w:szCs w:val="24"/>
          <w:lang w:eastAsia="en-AU"/>
        </w:rPr>
        <w:t>1</w:t>
      </w:r>
    </w:p>
    <w:p w14:paraId="439E57CA" w14:textId="77777777" w:rsidR="004761AE" w:rsidRDefault="004761AE" w:rsidP="00720518">
      <w:pPr>
        <w:spacing w:after="0"/>
        <w:rPr>
          <w:rFonts w:ascii="Times New Roman" w:eastAsia="Times New Roman" w:hAnsi="Times New Roman" w:cs="Times New Roman"/>
          <w:sz w:val="24"/>
          <w:szCs w:val="24"/>
          <w:lang w:eastAsia="en-AU"/>
        </w:rPr>
      </w:pPr>
    </w:p>
    <w:p w14:paraId="2C9AC34B" w14:textId="18487A94"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720518">
      <w:pPr>
        <w:spacing w:after="0"/>
        <w:rPr>
          <w:rFonts w:ascii="Times New Roman" w:eastAsia="Times New Roman" w:hAnsi="Times New Roman" w:cs="Times New Roman"/>
          <w:sz w:val="24"/>
          <w:szCs w:val="24"/>
          <w:lang w:val="en-US" w:eastAsia="en-AU"/>
        </w:rPr>
      </w:pPr>
    </w:p>
    <w:p w14:paraId="45C3CC91" w14:textId="77777777"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720518">
      <w:pPr>
        <w:spacing w:after="0"/>
        <w:rPr>
          <w:rFonts w:ascii="Times New Roman" w:eastAsia="Times New Roman" w:hAnsi="Times New Roman" w:cs="Times New Roman"/>
          <w:sz w:val="24"/>
          <w:szCs w:val="24"/>
          <w:lang w:val="en-US" w:eastAsia="en-AU"/>
        </w:rPr>
      </w:pPr>
    </w:p>
    <w:p w14:paraId="227538D1" w14:textId="75301814"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F6166F">
        <w:rPr>
          <w:rFonts w:ascii="Times New Roman" w:eastAsia="Times New Roman" w:hAnsi="Times New Roman" w:cs="Times New Roman"/>
          <w:i/>
          <w:sz w:val="24"/>
          <w:szCs w:val="24"/>
          <w:lang w:eastAsia="en-AU"/>
        </w:rPr>
        <w:t>1</w:t>
      </w:r>
      <w:r w:rsidR="005F2423">
        <w:rPr>
          <w:rFonts w:ascii="Times New Roman" w:eastAsia="Times New Roman" w:hAnsi="Times New Roman" w:cs="Times New Roman"/>
          <w:i/>
          <w:sz w:val="24"/>
          <w:szCs w:val="24"/>
          <w:lang w:eastAsia="en-AU"/>
        </w:rPr>
        <w:t xml:space="preserve">) </w:t>
      </w:r>
      <w:r w:rsidR="005F2423"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F6166F">
        <w:rPr>
          <w:rFonts w:ascii="Times New Roman" w:eastAsia="Times New Roman" w:hAnsi="Times New Roman" w:cs="Times New Roman"/>
          <w:i/>
          <w:sz w:val="24"/>
          <w:szCs w:val="24"/>
          <w:lang w:eastAsia="en-AU"/>
        </w:rPr>
        <w:t>1</w:t>
      </w:r>
      <w:r w:rsidR="005F2423">
        <w:rPr>
          <w:rFonts w:ascii="Times New Roman" w:eastAsia="Times New Roman" w:hAnsi="Times New Roman" w:cs="Times New Roman"/>
          <w:sz w:val="24"/>
          <w:szCs w:val="24"/>
          <w:lang w:eastAsia="en-AU"/>
        </w:rPr>
        <w:t xml:space="preserve"> (“the instrument”)</w:t>
      </w:r>
      <w:r w:rsidRPr="00A419EA">
        <w:rPr>
          <w:rFonts w:ascii="Times New Roman" w:eastAsia="Times New Roman" w:hAnsi="Times New Roman" w:cs="Times New Roman"/>
          <w:sz w:val="24"/>
          <w:szCs w:val="24"/>
          <w:lang w:eastAsia="en-AU"/>
        </w:rPr>
        <w:t xml:space="preserve"> is made by </w:t>
      </w:r>
      <w:r w:rsidR="008E75B9">
        <w:rPr>
          <w:rFonts w:ascii="Times New Roman" w:eastAsia="Times New Roman" w:hAnsi="Times New Roman" w:cs="Times New Roman"/>
          <w:sz w:val="24"/>
          <w:szCs w:val="24"/>
          <w:lang w:eastAsia="en-AU"/>
        </w:rPr>
        <w:t xml:space="preserve">a delegate of </w:t>
      </w:r>
      <w:r w:rsidRPr="00A419EA">
        <w:rPr>
          <w:rFonts w:ascii="Times New Roman" w:eastAsia="Times New Roman" w:hAnsi="Times New Roman" w:cs="Times New Roman"/>
          <w:sz w:val="24"/>
          <w:szCs w:val="24"/>
          <w:lang w:eastAsia="en-AU"/>
        </w:rPr>
        <w:t xml:space="preserve">the Minister under </w:t>
      </w:r>
      <w:r w:rsidR="008E75B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w:t>
      </w:r>
      <w:r w:rsidR="008E75B9">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p>
    <w:p w14:paraId="7918988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99ABA85" w14:textId="543704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lastRenderedPageBreak/>
        <w:t xml:space="preserve">The purpose of the instrument is to specify those ingredients that may be contained in a medicine that is listed in the Australian Register of Therapeutic Goods (“the Register”) under section 26A or 26AE of the Act, and requirements in relation to the inclusion of those ingredients in such medicines.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The instrument repeals and replaces the existing </w:t>
      </w:r>
      <w:r w:rsidRPr="00D731D4">
        <w:rPr>
          <w:rFonts w:ascii="Times New Roman" w:eastAsia="Times New Roman" w:hAnsi="Times New Roman" w:cs="Times New Roman"/>
          <w:i/>
          <w:iCs/>
          <w:sz w:val="24"/>
          <w:szCs w:val="24"/>
          <w:lang w:eastAsia="en-AU"/>
        </w:rPr>
        <w:t>Therapeutic Goods (Permissible I</w:t>
      </w:r>
      <w:r>
        <w:rPr>
          <w:rFonts w:ascii="Times New Roman" w:eastAsia="Times New Roman" w:hAnsi="Times New Roman" w:cs="Times New Roman"/>
          <w:i/>
          <w:iCs/>
          <w:sz w:val="24"/>
          <w:szCs w:val="24"/>
          <w:lang w:eastAsia="en-AU"/>
        </w:rPr>
        <w:t xml:space="preserve">ngredients) Determination (No. </w:t>
      </w:r>
      <w:r w:rsidR="003364B2">
        <w:rPr>
          <w:rFonts w:ascii="Times New Roman" w:eastAsia="Times New Roman" w:hAnsi="Times New Roman" w:cs="Times New Roman"/>
          <w:i/>
          <w:iCs/>
          <w:sz w:val="24"/>
          <w:szCs w:val="24"/>
          <w:lang w:eastAsia="en-AU"/>
        </w:rPr>
        <w:t>3</w:t>
      </w:r>
      <w:r w:rsidRPr="00D731D4">
        <w:rPr>
          <w:rFonts w:ascii="Times New Roman" w:eastAsia="Times New Roman" w:hAnsi="Times New Roman" w:cs="Times New Roman"/>
          <w:i/>
          <w:iCs/>
          <w:sz w:val="24"/>
          <w:szCs w:val="24"/>
          <w:lang w:eastAsia="en-AU"/>
        </w:rPr>
        <w:t xml:space="preserve">) </w:t>
      </w:r>
      <w:r w:rsidR="00E96741" w:rsidRPr="00D731D4">
        <w:rPr>
          <w:rFonts w:ascii="Times New Roman" w:eastAsia="Times New Roman" w:hAnsi="Times New Roman" w:cs="Times New Roman"/>
          <w:sz w:val="24"/>
          <w:szCs w:val="24"/>
          <w:lang w:eastAsia="en-AU"/>
        </w:rPr>
        <w:t>20</w:t>
      </w:r>
      <w:r w:rsidR="00E96741">
        <w:rPr>
          <w:rFonts w:ascii="Times New Roman" w:eastAsia="Times New Roman" w:hAnsi="Times New Roman" w:cs="Times New Roman"/>
          <w:sz w:val="24"/>
          <w:szCs w:val="24"/>
          <w:lang w:eastAsia="en-AU"/>
        </w:rPr>
        <w:t>20</w:t>
      </w:r>
      <w:r w:rsidR="00E96741" w:rsidRPr="00D731D4">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(“the former instrument”).</w:t>
      </w:r>
    </w:p>
    <w:p w14:paraId="666DC18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3FF27308" w14:textId="1A338E7E"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they are listed.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When listed under section 26AE, these listed medicines are commonly referred to as ‘assessed listed medicines’.</w:t>
      </w:r>
    </w:p>
    <w:p w14:paraId="2B17E1A6"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5333D757" w14:textId="22BA20B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lastRenderedPageBreak/>
        <w:t xml:space="preserve">As the safety and quality of medicines listed under section 26A and 26AE are not evaluated by the Therapeutic Goods Administration (“the TGA”) before being given marketing approval, the Act contains mechanisms to help ensure that listed medicines are of appropriate quality and able to be used safely by consumers.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In particular, listed medicines may only contain ingredients from an approved list of ingredients that have been evaluated in relation to their quality and safety and suitability for use in such medicines.</w:t>
      </w:r>
    </w:p>
    <w:p w14:paraId="34F8E975"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6D911DB" w14:textId="12BA5272"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Under paragraphs 26A(2)(ca) and (cb) of the Act, persons applying to list a medicine in the Register under section 26A of the Act must certify that their medicine does not contain an ingredient that is not specified in a determination under paragraph 26BB(1)(a) of the Act, and does not contravene a requirement in relation to such an ingredient that is specified in such a determination.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Paragraphs 26AB(2)(d) and (e) set out equivalent certification requirements for applicants seeking marketing approval for an assessed listed medicine.</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 xml:space="preserve"> A listed (or assessed listed) medicine may be cancelled from </w:t>
      </w:r>
      <w:r w:rsidRPr="00D731D4">
        <w:rPr>
          <w:rFonts w:ascii="Times New Roman" w:eastAsia="Times New Roman" w:hAnsi="Times New Roman" w:cs="Times New Roman"/>
          <w:sz w:val="24"/>
          <w:szCs w:val="24"/>
          <w:lang w:eastAsia="en-AU"/>
        </w:rPr>
        <w:lastRenderedPageBreak/>
        <w:t>the Register if it appears to the Secretary that such a certification is incorrect.</w:t>
      </w:r>
    </w:p>
    <w:p w14:paraId="328560A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08BDDD60" w14:textId="73BE044B"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 xml:space="preserve">Compliance with the instrument is also an important part of the criteria for eligibility for listing of medicines in the Register set out in Schedule 4 to the </w:t>
      </w:r>
      <w:r w:rsidRPr="00D731D4">
        <w:rPr>
          <w:rFonts w:ascii="Times New Roman" w:eastAsia="Times New Roman" w:hAnsi="Times New Roman" w:cs="Times New Roman"/>
          <w:i/>
          <w:iCs/>
          <w:sz w:val="24"/>
          <w:szCs w:val="24"/>
          <w:lang w:eastAsia="en-AU"/>
        </w:rPr>
        <w:t>Therapeutic Goods Regulations 1990</w:t>
      </w:r>
      <w:r w:rsidRPr="00D731D4">
        <w:rPr>
          <w:rFonts w:ascii="Times New Roman" w:eastAsia="Times New Roman" w:hAnsi="Times New Roman" w:cs="Times New Roman"/>
          <w:sz w:val="24"/>
          <w:szCs w:val="24"/>
          <w:lang w:eastAsia="en-AU"/>
        </w:rPr>
        <w:t xml:space="preserve">. </w:t>
      </w:r>
      <w:r w:rsidR="00E60C26">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Medicines that are not eligible for listing because those medicines do not comply with these criteria (including compliance with the instrument) would be required to be registered, rather than listed, in the Register (a considerably more lengthy and costly exercise).</w:t>
      </w:r>
    </w:p>
    <w:p w14:paraId="09E316CB"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76E2595A" w14:textId="5D831C57"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t>The instrument is designed to provide a comprehensive list of ingredients which have been assessed or otherwise considered to be safe for use in listed (and assessed listed) medicines, and associated requirements to be followed when using particular ingredients in such products, to support the overall safety of these products for consumers.</w:t>
      </w:r>
    </w:p>
    <w:p w14:paraId="70D604CD" w14:textId="77777777"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648ADBB6" w14:textId="04A7890C" w:rsidR="00D731D4" w:rsidRPr="00D731D4" w:rsidRDefault="00D731D4" w:rsidP="00D731D4">
      <w:pPr>
        <w:autoSpaceDE w:val="0"/>
        <w:autoSpaceDN w:val="0"/>
        <w:adjustRightInd w:val="0"/>
        <w:spacing w:after="0"/>
        <w:rPr>
          <w:rFonts w:ascii="Times New Roman" w:eastAsia="Times New Roman" w:hAnsi="Times New Roman" w:cs="Times New Roman"/>
          <w:sz w:val="24"/>
          <w:szCs w:val="24"/>
          <w:lang w:val="en-US" w:eastAsia="en-AU"/>
        </w:rPr>
      </w:pPr>
      <w:r w:rsidRPr="00D731D4">
        <w:rPr>
          <w:rFonts w:ascii="Times New Roman" w:eastAsia="Times New Roman" w:hAnsi="Times New Roman" w:cs="Times New Roman"/>
          <w:sz w:val="24"/>
          <w:szCs w:val="24"/>
          <w:lang w:eastAsia="en-AU"/>
        </w:rPr>
        <w:lastRenderedPageBreak/>
        <w:t xml:space="preserve">The requirements imposed under the instrument principally relate to ensuring the quality and safety of the ingredient when used. </w:t>
      </w:r>
      <w:r w:rsidR="00B8782A">
        <w:rPr>
          <w:rFonts w:ascii="Times New Roman" w:eastAsia="Times New Roman" w:hAnsi="Times New Roman" w:cs="Times New Roman"/>
          <w:sz w:val="24"/>
          <w:szCs w:val="24"/>
          <w:lang w:eastAsia="en-AU"/>
        </w:rPr>
        <w:t xml:space="preserve"> </w:t>
      </w:r>
      <w:r w:rsidRPr="00D731D4">
        <w:rPr>
          <w:rFonts w:ascii="Times New Roman" w:eastAsia="Times New Roman" w:hAnsi="Times New Roman" w:cs="Times New Roman"/>
          <w:sz w:val="24"/>
          <w:szCs w:val="24"/>
          <w:lang w:eastAsia="en-AU"/>
        </w:rPr>
        <w:t>Requirements may relate, for example, to:</w:t>
      </w:r>
    </w:p>
    <w:p w14:paraId="3E1BC56F" w14:textId="6C8A965F"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how the ingredient is to be used in the medicine, that is, as an active, homoeopathic or excipient ingredient;</w:t>
      </w:r>
    </w:p>
    <w:p w14:paraId="4A7217E1" w14:textId="7254D24B"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intended method of ingestion or application of the medicine, for example, oral or topical use;</w:t>
      </w:r>
    </w:p>
    <w:p w14:paraId="160AE370" w14:textId="2FBDB112"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source of the ingredient, or procedures to be followed in its manufacture;</w:t>
      </w:r>
    </w:p>
    <w:p w14:paraId="3AC40B37" w14:textId="547C978A"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appropriate limits on the volume or concentration of an ingredient; and</w:t>
      </w:r>
    </w:p>
    <w:p w14:paraId="0DEF1A6B" w14:textId="6C97C687" w:rsidR="00D731D4" w:rsidRPr="00A521FE" w:rsidRDefault="00D731D4" w:rsidP="008E75B9">
      <w:pPr>
        <w:pStyle w:val="ListParagraph"/>
        <w:numPr>
          <w:ilvl w:val="0"/>
          <w:numId w:val="12"/>
        </w:numPr>
        <w:autoSpaceDE w:val="0"/>
        <w:autoSpaceDN w:val="0"/>
        <w:adjustRightInd w:val="0"/>
        <w:spacing w:before="120" w:beforeAutospacing="0" w:after="120" w:afterAutospacing="0"/>
        <w:ind w:left="714" w:hanging="357"/>
        <w:rPr>
          <w:lang w:val="en-US"/>
        </w:rPr>
      </w:pPr>
      <w:r w:rsidRPr="00A521FE">
        <w:t>the inclusion of relevant safety information on product labels, for example, allergen advice or advice about the use of medicine containing the ingredient for susceptible members of the population such as children and pregnant women.</w:t>
      </w:r>
    </w:p>
    <w:p w14:paraId="3589B9EF" w14:textId="4993939A" w:rsidR="00D731D4" w:rsidRDefault="00D731D4" w:rsidP="00D731D4">
      <w:pPr>
        <w:autoSpaceDE w:val="0"/>
        <w:autoSpaceDN w:val="0"/>
        <w:adjustRightInd w:val="0"/>
        <w:spacing w:after="0"/>
        <w:rPr>
          <w:rFonts w:ascii="Times New Roman" w:eastAsia="Times New Roman" w:hAnsi="Times New Roman" w:cs="Times New Roman"/>
          <w:sz w:val="24"/>
          <w:szCs w:val="24"/>
          <w:lang w:eastAsia="en-AU"/>
        </w:rPr>
      </w:pPr>
    </w:p>
    <w:p w14:paraId="12364193" w14:textId="493F6D93" w:rsidR="00FE5514" w:rsidRPr="00FE5514" w:rsidRDefault="00D731D4" w:rsidP="001A7C14">
      <w:pPr>
        <w:autoSpaceDE w:val="0"/>
        <w:autoSpaceDN w:val="0"/>
        <w:adjustRightInd w:val="0"/>
        <w:spacing w:after="120"/>
        <w:rPr>
          <w:rFonts w:ascii="Times New Roman" w:eastAsia="Times New Roman" w:hAnsi="Times New Roman" w:cs="Times New Roman"/>
          <w:sz w:val="24"/>
          <w:szCs w:val="24"/>
          <w:lang w:eastAsia="en-AU"/>
        </w:rPr>
      </w:pPr>
      <w:r w:rsidRPr="00D731D4">
        <w:rPr>
          <w:rFonts w:ascii="Times New Roman" w:eastAsia="Times New Roman" w:hAnsi="Times New Roman" w:cs="Times New Roman"/>
          <w:sz w:val="24"/>
          <w:szCs w:val="24"/>
          <w:lang w:eastAsia="en-AU"/>
        </w:rPr>
        <w:t>The instrument repeals and replaces the former instrument, and incorporates a number of changes in comparison to the former instrument, including in particular:</w:t>
      </w:r>
    </w:p>
    <w:p w14:paraId="68C66ED2"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lastRenderedPageBreak/>
        <w:t>t</w:t>
      </w:r>
      <w:r w:rsidRPr="007B2709">
        <w:t xml:space="preserve">he addition of </w:t>
      </w:r>
      <w:r>
        <w:t>the following four new</w:t>
      </w:r>
      <w:r w:rsidRPr="007B2709">
        <w:t xml:space="preserve"> ingredient</w:t>
      </w:r>
      <w:r>
        <w:t>s</w:t>
      </w:r>
      <w:r w:rsidRPr="007B2709">
        <w:t xml:space="preserve"> </w:t>
      </w:r>
      <w:r>
        <w:t>for use in listed and assessed listed medicines:</w:t>
      </w:r>
    </w:p>
    <w:p w14:paraId="1F964CB3"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rsidRPr="007B2709">
        <w:t>2’-fucosyllactose</w:t>
      </w:r>
      <w:r>
        <w:t>;</w:t>
      </w:r>
    </w:p>
    <w:p w14:paraId="640943C5"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fully hydrogenated rapeseed oil</w:t>
      </w:r>
      <w:r w:rsidRPr="007B2709">
        <w:t>;</w:t>
      </w:r>
    </w:p>
    <w:p w14:paraId="5279C71D"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C15-16 isoparaffin; and</w:t>
      </w:r>
    </w:p>
    <w:p w14:paraId="24D8889E"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C17-18 isoparaffin;</w:t>
      </w:r>
    </w:p>
    <w:p w14:paraId="21FDCA26"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t>the addition of the ingredient 3-(methylthio) propionaldehyde for use in flavour proprietary excipient formulations in listed and assessed listed medicines;</w:t>
      </w:r>
    </w:p>
    <w:p w14:paraId="2040E8DA"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t xml:space="preserve">updating the ingredient name </w:t>
      </w:r>
      <w:r>
        <w:rPr>
          <w:i/>
        </w:rPr>
        <w:t>Ledum groenlandicum</w:t>
      </w:r>
      <w:r>
        <w:t xml:space="preserve"> to the currently taxonomically accepted name </w:t>
      </w:r>
      <w:r>
        <w:rPr>
          <w:i/>
        </w:rPr>
        <w:t>Rhododendron groenlandicum</w:t>
      </w:r>
      <w:r>
        <w:t xml:space="preserve">; </w:t>
      </w:r>
    </w:p>
    <w:p w14:paraId="7531ACE3"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rsidRPr="00670213">
        <w:t>update</w:t>
      </w:r>
      <w:r>
        <w:t>s</w:t>
      </w:r>
      <w:r w:rsidRPr="00670213">
        <w:t xml:space="preserve"> </w:t>
      </w:r>
      <w:r>
        <w:t xml:space="preserve">to applicable </w:t>
      </w:r>
      <w:r w:rsidRPr="00670213">
        <w:t>requirements</w:t>
      </w:r>
      <w:r>
        <w:t xml:space="preserve"> for the following ingredients:</w:t>
      </w:r>
    </w:p>
    <w:p w14:paraId="0DC27B6D"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1</w:t>
      </w:r>
      <w:r w:rsidRPr="007B2709">
        <w:t>9 inorganic magnesium salts</w:t>
      </w:r>
      <w:r>
        <w:t>, to reflect an</w:t>
      </w:r>
      <w:r w:rsidRPr="007B2709">
        <w:t xml:space="preserve"> identified risk of </w:t>
      </w:r>
      <w:r>
        <w:t>laxative effects at high doses associated with these ingredients;</w:t>
      </w:r>
    </w:p>
    <w:p w14:paraId="7905BAEB"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rsidRPr="007B2709">
        <w:rPr>
          <w:i/>
        </w:rPr>
        <w:t>Andrographis paniculata,</w:t>
      </w:r>
      <w:r w:rsidRPr="007D0041">
        <w:t xml:space="preserve"> </w:t>
      </w:r>
      <w:r>
        <w:t>to reflect an identified</w:t>
      </w:r>
      <w:r w:rsidRPr="007D0041">
        <w:t xml:space="preserve"> risk of taste dis</w:t>
      </w:r>
      <w:r>
        <w:t>turbance associated with this ingredient;</w:t>
      </w:r>
    </w:p>
    <w:p w14:paraId="6BE0BDA8"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lastRenderedPageBreak/>
        <w:t>caffeine, to allow for its use as an active ingredient for topical administration following an application that was made to the Secretary for this variation; and</w:t>
      </w:r>
    </w:p>
    <w:p w14:paraId="27D8D2A4"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formic acid and para-propyl anisole, to reflect evaluations for their use in flavour proprietary excipient formulations;</w:t>
      </w:r>
    </w:p>
    <w:p w14:paraId="441593C0"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t xml:space="preserve">minor clarifications, and correction of minor </w:t>
      </w:r>
      <w:r w:rsidRPr="00670213">
        <w:t xml:space="preserve">typographical </w:t>
      </w:r>
      <w:r>
        <w:t>errors for the purpose of improving the internal consistency of the Determination, including</w:t>
      </w:r>
      <w:r w:rsidRPr="0095646F">
        <w:t xml:space="preserve"> </w:t>
      </w:r>
      <w:r>
        <w:t>the following changes:</w:t>
      </w:r>
    </w:p>
    <w:p w14:paraId="0AD2131B"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the specification of product warning codes for existing warning statements required in 4 ingredients, which were inadvertently omitted in previous determinations made under section 26BB of the Act;</w:t>
      </w:r>
      <w:r w:rsidRPr="00244DF3">
        <w:t xml:space="preserve"> </w:t>
      </w:r>
    </w:p>
    <w:p w14:paraId="3833AAEE"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rsidRPr="007B2709">
        <w:t xml:space="preserve">clarification of requirements for </w:t>
      </w:r>
      <w:r w:rsidRPr="0095646F">
        <w:rPr>
          <w:i/>
        </w:rPr>
        <w:t>Conium maculatum</w:t>
      </w:r>
      <w:r w:rsidRPr="007B2709">
        <w:t xml:space="preserve"> relat</w:t>
      </w:r>
      <w:r>
        <w:t>ing</w:t>
      </w:r>
      <w:r w:rsidRPr="007B2709">
        <w:t xml:space="preserve"> to homoeopathic</w:t>
      </w:r>
      <w:r>
        <w:t xml:space="preserve"> </w:t>
      </w:r>
      <w:r w:rsidRPr="007B2709">
        <w:t xml:space="preserve">potency;  </w:t>
      </w:r>
    </w:p>
    <w:p w14:paraId="3131482D"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 xml:space="preserve">clarification of requirements for cis-3-hexen-1-ol relating to the concentration of flavour proprietary excipient ingredients; </w:t>
      </w:r>
    </w:p>
    <w:p w14:paraId="4AAAA669"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 xml:space="preserve">the removal of requirements relating to folic acid which are specified in </w:t>
      </w:r>
      <w:r w:rsidRPr="000B2796">
        <w:t xml:space="preserve">the Therapeutic Goods </w:t>
      </w:r>
      <w:r w:rsidRPr="000B2796">
        <w:lastRenderedPageBreak/>
        <w:t xml:space="preserve">(Permissible Indications) Determination (No. </w:t>
      </w:r>
      <w:r>
        <w:t>1</w:t>
      </w:r>
      <w:r w:rsidRPr="000B2796">
        <w:t>) 20</w:t>
      </w:r>
      <w:r>
        <w:t>21, and had been incorrectly included for 3 other ingredients; and</w:t>
      </w:r>
    </w:p>
    <w:p w14:paraId="0FBEEF9A" w14:textId="77777777" w:rsidR="0057657A" w:rsidRPr="00670213" w:rsidRDefault="0057657A" w:rsidP="0057657A">
      <w:pPr>
        <w:pStyle w:val="ListParagraph"/>
        <w:numPr>
          <w:ilvl w:val="1"/>
          <w:numId w:val="11"/>
        </w:numPr>
        <w:autoSpaceDE w:val="0"/>
        <w:autoSpaceDN w:val="0"/>
        <w:adjustRightInd w:val="0"/>
        <w:spacing w:before="120" w:beforeAutospacing="0" w:after="120" w:afterAutospacing="0"/>
      </w:pPr>
      <w:r w:rsidRPr="00B74B1A">
        <w:t>a correction of an error in relation to a requirement for sodium propionate that had been incorrectly applied in the initial Determination.</w:t>
      </w:r>
    </w:p>
    <w:p w14:paraId="2AFA982D"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t xml:space="preserve">the removal of duplicative requirements for 125 ingredients, to reflect that the applicable requirements separately apply to medicines that may contain the ingredients under </w:t>
      </w:r>
      <w:r w:rsidRPr="00554CD2">
        <w:rPr>
          <w:i/>
        </w:rPr>
        <w:t>Therapeutic Goods Order No. 92 - Standard for labels of non-prescription medicines</w:t>
      </w:r>
      <w:r>
        <w:t xml:space="preserve"> (“TGO 92”); and</w:t>
      </w:r>
    </w:p>
    <w:p w14:paraId="6AACB6C9" w14:textId="77777777" w:rsidR="0057657A" w:rsidRDefault="0057657A" w:rsidP="0057657A">
      <w:pPr>
        <w:pStyle w:val="ListParagraph"/>
        <w:numPr>
          <w:ilvl w:val="0"/>
          <w:numId w:val="11"/>
        </w:numPr>
        <w:autoSpaceDE w:val="0"/>
        <w:autoSpaceDN w:val="0"/>
        <w:adjustRightInd w:val="0"/>
        <w:spacing w:before="120" w:beforeAutospacing="0" w:after="120" w:afterAutospacing="0"/>
      </w:pPr>
      <w:r>
        <w:t xml:space="preserve">the </w:t>
      </w:r>
      <w:r w:rsidRPr="007D0041">
        <w:t>removal of</w:t>
      </w:r>
      <w:r>
        <w:t xml:space="preserve"> the following three ingredients which are not appropriate for inclusion in listed or assessed listed medicines:</w:t>
      </w:r>
    </w:p>
    <w:p w14:paraId="7EED1EF3"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rsidRPr="007B2709">
        <w:rPr>
          <w:i/>
          <w:iCs/>
        </w:rPr>
        <w:t>Gynura japonica</w:t>
      </w:r>
      <w:r>
        <w:t>, as this ingredient contains hepatotoxic pyrrolizidine alkaloids;</w:t>
      </w:r>
    </w:p>
    <w:p w14:paraId="69C939A0"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t>p</w:t>
      </w:r>
      <w:r w:rsidRPr="00670213">
        <w:t xml:space="preserve">soralen (of </w:t>
      </w:r>
      <w:r w:rsidRPr="007B2709">
        <w:rPr>
          <w:i/>
        </w:rPr>
        <w:t>Cullen corylifolium</w:t>
      </w:r>
      <w:r w:rsidRPr="00670213">
        <w:t>)</w:t>
      </w:r>
      <w:r>
        <w:t>, as this entry refers to a component of the existing ingredient ‘</w:t>
      </w:r>
      <w:r>
        <w:rPr>
          <w:i/>
        </w:rPr>
        <w:t>Cullen corylifolium</w:t>
      </w:r>
      <w:r>
        <w:t>’</w:t>
      </w:r>
      <w:r>
        <w:rPr>
          <w:i/>
        </w:rPr>
        <w:t xml:space="preserve"> </w:t>
      </w:r>
      <w:r w:rsidRPr="00EB32C8">
        <w:t>and</w:t>
      </w:r>
      <w:r>
        <w:t xml:space="preserve"> was incorrectly included as an ingredient in the initial Determination</w:t>
      </w:r>
      <w:r w:rsidRPr="00670213">
        <w:t>;</w:t>
      </w:r>
      <w:r>
        <w:t xml:space="preserve"> and</w:t>
      </w:r>
    </w:p>
    <w:p w14:paraId="67B497F3" w14:textId="77777777" w:rsidR="0057657A" w:rsidRDefault="0057657A" w:rsidP="0057657A">
      <w:pPr>
        <w:pStyle w:val="ListParagraph"/>
        <w:numPr>
          <w:ilvl w:val="1"/>
          <w:numId w:val="11"/>
        </w:numPr>
        <w:autoSpaceDE w:val="0"/>
        <w:autoSpaceDN w:val="0"/>
        <w:adjustRightInd w:val="0"/>
        <w:spacing w:before="120" w:beforeAutospacing="0" w:after="120" w:afterAutospacing="0"/>
      </w:pPr>
      <w:r>
        <w:lastRenderedPageBreak/>
        <w:t>chloroacetamide, as this ingredient</w:t>
      </w:r>
      <w:r w:rsidRPr="0091505A">
        <w:t xml:space="preserve"> is a contact allergen specified in a Schedule to the Poisons Standard</w:t>
      </w:r>
      <w:r>
        <w:t>.</w:t>
      </w:r>
    </w:p>
    <w:p w14:paraId="2AEFECE3" w14:textId="77777777" w:rsidR="00A366AA" w:rsidRDefault="00A366AA" w:rsidP="00F111D7">
      <w:pPr>
        <w:keepNext/>
        <w:spacing w:after="0"/>
        <w:rPr>
          <w:rFonts w:ascii="Times New Roman" w:eastAsia="Times New Roman" w:hAnsi="Times New Roman" w:cs="Times New Roman"/>
          <w:b/>
          <w:bCs/>
          <w:sz w:val="24"/>
          <w:szCs w:val="24"/>
          <w:lang w:eastAsia="en-AU"/>
        </w:rPr>
      </w:pPr>
    </w:p>
    <w:p w14:paraId="5A09E88D" w14:textId="77777777" w:rsidR="00A366AA" w:rsidRDefault="00A366AA" w:rsidP="00F111D7">
      <w:pPr>
        <w:keepNext/>
        <w:spacing w:after="0"/>
        <w:rPr>
          <w:rFonts w:ascii="Times New Roman" w:eastAsia="Times New Roman" w:hAnsi="Times New Roman" w:cs="Times New Roman"/>
          <w:b/>
          <w:bCs/>
          <w:sz w:val="24"/>
          <w:szCs w:val="24"/>
          <w:lang w:eastAsia="en-AU"/>
        </w:rPr>
      </w:pPr>
    </w:p>
    <w:p w14:paraId="685A0A7D" w14:textId="5A7F2060" w:rsidR="00EF1F18" w:rsidRDefault="00EF1F18" w:rsidP="00F111D7">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F111D7">
      <w:pPr>
        <w:keepNext/>
        <w:spacing w:after="0"/>
        <w:rPr>
          <w:rFonts w:ascii="Times New Roman" w:eastAsia="Times New Roman" w:hAnsi="Times New Roman" w:cs="Times New Roman"/>
          <w:sz w:val="24"/>
          <w:szCs w:val="24"/>
          <w:lang w:val="en-US" w:eastAsia="en-AU"/>
        </w:rPr>
      </w:pPr>
    </w:p>
    <w:p w14:paraId="063407BC" w14:textId="03838DED"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sidR="00B8782A">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00E60C26">
        <w:rPr>
          <w:rFonts w:ascii="Times New Roman" w:hAnsi="Times New Roman" w:cs="Times New Roman"/>
          <w:bCs/>
          <w:sz w:val="24"/>
          <w:szCs w:val="24"/>
        </w:rPr>
        <w:t xml:space="preserve">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 xml:space="preserve">(2000), the United Nations Committee on Economic, Social and Cultural Rights states that health is a ‘fundamental human right indispensable for the exercise of other human rights’, and that the right to health is not to be understood as the right to be healthy, but </w:t>
      </w:r>
      <w:r w:rsidRPr="00B94E86">
        <w:rPr>
          <w:rFonts w:ascii="Times New Roman" w:hAnsi="Times New Roman" w:cs="Times New Roman"/>
          <w:sz w:val="24"/>
          <w:szCs w:val="24"/>
        </w:rPr>
        <w:lastRenderedPageBreak/>
        <w:t>includes the right to a system of health protection which provides equal opportunity for people to enjoy the highest attainable level of health.</w:t>
      </w:r>
    </w:p>
    <w:p w14:paraId="15195A4B" w14:textId="77777777" w:rsidR="00510EB5" w:rsidRDefault="00510EB5" w:rsidP="00510EB5">
      <w:pPr>
        <w:spacing w:after="0"/>
        <w:contextualSpacing/>
        <w:rPr>
          <w:rFonts w:ascii="Times New Roman" w:hAnsi="Times New Roman" w:cs="Times New Roman"/>
          <w:sz w:val="24"/>
          <w:szCs w:val="24"/>
        </w:rPr>
      </w:pPr>
    </w:p>
    <w:p w14:paraId="163E7727" w14:textId="0AC97341" w:rsidR="00DD5F7F" w:rsidRPr="00DD5F7F" w:rsidRDefault="00DD5F7F" w:rsidP="00DD5F7F">
      <w:pPr>
        <w:spacing w:after="0"/>
        <w:contextualSpacing/>
        <w:rPr>
          <w:rFonts w:ascii="Times New Roman" w:hAnsi="Times New Roman" w:cs="Times New Roman"/>
          <w:sz w:val="24"/>
          <w:szCs w:val="24"/>
        </w:rPr>
      </w:pPr>
      <w:r w:rsidRPr="00DD5F7F">
        <w:rPr>
          <w:rFonts w:ascii="Times New Roman" w:hAnsi="Times New Roman" w:cs="Times New Roman"/>
          <w:sz w:val="24"/>
          <w:szCs w:val="24"/>
        </w:rPr>
        <w:t xml:space="preserve">The instrument takes positive steps to promote the right to health by ensuring the safety and quality of therapeutic goods that are listed medicines. </w:t>
      </w:r>
      <w:r w:rsidR="00E60C26">
        <w:rPr>
          <w:rFonts w:ascii="Times New Roman" w:hAnsi="Times New Roman" w:cs="Times New Roman"/>
          <w:sz w:val="24"/>
          <w:szCs w:val="24"/>
        </w:rPr>
        <w:t xml:space="preserve"> </w:t>
      </w:r>
      <w:r w:rsidRPr="00DD5F7F">
        <w:rPr>
          <w:rFonts w:ascii="Times New Roman" w:hAnsi="Times New Roman" w:cs="Times New Roman"/>
          <w:sz w:val="24"/>
          <w:szCs w:val="24"/>
        </w:rPr>
        <w:t>By prescribing those ingredients that are considered to be safe for use in listed medicines, and by setting out important requirements relating to the use of those ingredients in such medicines (such requirements may relate, for example, to maximum concentrations of such ingredients in listed medicines, or to the inclusion of warning statements on medicine labels such as ‘Keep out of reach of children’ for relevant ingredients), the safety of Australian consumers will be better protected, and they will be better able to make informed decisions about such medicines.</w:t>
      </w:r>
    </w:p>
    <w:p w14:paraId="756DBF00" w14:textId="77777777" w:rsidR="00DD5F7F" w:rsidRPr="00DD5F7F" w:rsidRDefault="00DD5F7F" w:rsidP="00DD5F7F">
      <w:pPr>
        <w:spacing w:after="0"/>
        <w:contextualSpacing/>
        <w:rPr>
          <w:rFonts w:ascii="Times New Roman" w:hAnsi="Times New Roman" w:cs="Times New Roman"/>
          <w:sz w:val="24"/>
          <w:szCs w:val="24"/>
        </w:rPr>
      </w:pPr>
    </w:p>
    <w:p w14:paraId="30FFB6E5" w14:textId="3BFFAF81"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Pr>
          <w:rFonts w:ascii="Times New Roman" w:hAnsi="Times New Roman" w:cs="Times New Roman"/>
          <w:sz w:val="24"/>
          <w:szCs w:val="24"/>
        </w:rPr>
        <w:t>, and as they are usu</w:t>
      </w:r>
      <w:r>
        <w:rPr>
          <w:rFonts w:ascii="Times New Roman" w:hAnsi="Times New Roman" w:cs="Times New Roman"/>
          <w:sz w:val="24"/>
          <w:szCs w:val="24"/>
        </w:rPr>
        <w:lastRenderedPageBreak/>
        <w:t>ally available for self-selection by consumers without a requirement to first obtain the advice or prescription of a registered medical doctor, or the advice of a pharmacist.</w:t>
      </w:r>
    </w:p>
    <w:p w14:paraId="5D183399" w14:textId="77777777" w:rsidR="00510EB5" w:rsidRDefault="00510EB5" w:rsidP="00712EA4">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1A7C14">
      <w:pPr>
        <w:keepNext/>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1A7C14">
      <w:pPr>
        <w:keepNext/>
        <w:spacing w:after="0" w:line="240" w:lineRule="auto"/>
        <w:rPr>
          <w:rFonts w:ascii="Times New Roman" w:eastAsia="Times New Roman" w:hAnsi="Times New Roman" w:cs="Times New Roman"/>
          <w:sz w:val="24"/>
          <w:szCs w:val="24"/>
          <w:lang w:val="en-US" w:eastAsia="en-AU"/>
        </w:rPr>
      </w:pPr>
    </w:p>
    <w:p w14:paraId="4E1E7F6D" w14:textId="77777777" w:rsidR="00EF1F18" w:rsidRPr="0034672A" w:rsidRDefault="00EF1F18" w:rsidP="00712EA4">
      <w:pPr>
        <w:spacing w:after="0"/>
        <w:contextualSpacing/>
        <w:rPr>
          <w:rFonts w:ascii="Times New Roman" w:hAnsi="Times New Roman" w:cs="Times New Roman"/>
          <w:sz w:val="24"/>
          <w:szCs w:val="24"/>
        </w:rPr>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p w14:paraId="63D98AB2" w14:textId="5C417AA2" w:rsidR="008C0845" w:rsidRDefault="008C0845">
      <w:pPr>
        <w:spacing w:before="120" w:after="120"/>
      </w:pPr>
    </w:p>
    <w:sectPr w:rsidR="008C0845" w:rsidSect="00680B29">
      <w:footerReference w:type="default" r:id="rId1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D9FC" w14:textId="77777777" w:rsidR="00244DF3" w:rsidRDefault="00244DF3" w:rsidP="008939B1">
      <w:pPr>
        <w:spacing w:after="0" w:line="240" w:lineRule="auto"/>
      </w:pPr>
      <w:r>
        <w:separator/>
      </w:r>
    </w:p>
    <w:p w14:paraId="462A66A1" w14:textId="77777777" w:rsidR="00244DF3" w:rsidRDefault="00244DF3"/>
  </w:endnote>
  <w:endnote w:type="continuationSeparator" w:id="0">
    <w:p w14:paraId="5911F7C5" w14:textId="77777777" w:rsidR="00244DF3" w:rsidRDefault="00244DF3" w:rsidP="008939B1">
      <w:pPr>
        <w:spacing w:after="0" w:line="240" w:lineRule="auto"/>
      </w:pPr>
      <w:r>
        <w:continuationSeparator/>
      </w:r>
    </w:p>
    <w:p w14:paraId="7A76E874" w14:textId="77777777" w:rsidR="00244DF3" w:rsidRDefault="00244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2084" w14:textId="500FC4E2" w:rsidR="00244DF3" w:rsidRPr="00AC5813" w:rsidRDefault="00244DF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sidR="001A282C">
      <w:rPr>
        <w:rFonts w:ascii="Times New Roman" w:hAnsi="Times New Roman" w:cs="Times New Roman"/>
        <w:noProof/>
        <w:sz w:val="24"/>
        <w:szCs w:val="24"/>
      </w:rPr>
      <w:t>2</w:t>
    </w:r>
    <w:r w:rsidRPr="00AC5813">
      <w:rPr>
        <w:rFonts w:ascii="Times New Roman" w:hAnsi="Times New Roman" w:cs="Times New Roman"/>
        <w:noProof/>
        <w:sz w:val="24"/>
        <w:szCs w:val="24"/>
      </w:rPr>
      <w:fldChar w:fldCharType="end"/>
    </w:r>
  </w:p>
  <w:p w14:paraId="66F675D6" w14:textId="77777777" w:rsidR="00244DF3" w:rsidRDefault="00244D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EDE" w14:textId="77777777" w:rsidR="00244DF3" w:rsidRDefault="00244DF3" w:rsidP="008939B1">
      <w:pPr>
        <w:spacing w:after="0" w:line="240" w:lineRule="auto"/>
      </w:pPr>
      <w:r>
        <w:separator/>
      </w:r>
    </w:p>
    <w:p w14:paraId="22660A6B" w14:textId="77777777" w:rsidR="00244DF3" w:rsidRDefault="00244DF3"/>
  </w:footnote>
  <w:footnote w:type="continuationSeparator" w:id="0">
    <w:p w14:paraId="15FEDFBC" w14:textId="77777777" w:rsidR="00244DF3" w:rsidRDefault="00244DF3" w:rsidP="008939B1">
      <w:pPr>
        <w:spacing w:after="0" w:line="240" w:lineRule="auto"/>
      </w:pPr>
      <w:r>
        <w:continuationSeparator/>
      </w:r>
    </w:p>
    <w:p w14:paraId="42770834" w14:textId="77777777" w:rsidR="00244DF3" w:rsidRDefault="00244D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3762D3"/>
    <w:multiLevelType w:val="hybridMultilevel"/>
    <w:tmpl w:val="1AE8B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8"/>
  </w:num>
  <w:num w:numId="4">
    <w:abstractNumId w:val="0"/>
  </w:num>
  <w:num w:numId="5">
    <w:abstractNumId w:val="3"/>
  </w:num>
  <w:num w:numId="6">
    <w:abstractNumId w:val="7"/>
  </w:num>
  <w:num w:numId="7">
    <w:abstractNumId w:val="15"/>
  </w:num>
  <w:num w:numId="8">
    <w:abstractNumId w:val="12"/>
  </w:num>
  <w:num w:numId="9">
    <w:abstractNumId w:val="4"/>
  </w:num>
  <w:num w:numId="10">
    <w:abstractNumId w:val="8"/>
  </w:num>
  <w:num w:numId="11">
    <w:abstractNumId w:val="10"/>
  </w:num>
  <w:num w:numId="12">
    <w:abstractNumId w:val="19"/>
  </w:num>
  <w:num w:numId="13">
    <w:abstractNumId w:val="2"/>
  </w:num>
  <w:num w:numId="14">
    <w:abstractNumId w:val="1"/>
  </w:num>
  <w:num w:numId="15">
    <w:abstractNumId w:val="11"/>
  </w:num>
  <w:num w:numId="16">
    <w:abstractNumId w:val="5"/>
  </w:num>
  <w:num w:numId="17">
    <w:abstractNumId w:val="13"/>
  </w:num>
  <w:num w:numId="18">
    <w:abstractNumId w:val="17"/>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45"/>
    <w:rsid w:val="00000508"/>
    <w:rsid w:val="000011FE"/>
    <w:rsid w:val="00005653"/>
    <w:rsid w:val="00007539"/>
    <w:rsid w:val="00014A86"/>
    <w:rsid w:val="000152DF"/>
    <w:rsid w:val="00020744"/>
    <w:rsid w:val="000253EC"/>
    <w:rsid w:val="00027571"/>
    <w:rsid w:val="00032FAE"/>
    <w:rsid w:val="0003396A"/>
    <w:rsid w:val="00042274"/>
    <w:rsid w:val="00045C71"/>
    <w:rsid w:val="00050B0F"/>
    <w:rsid w:val="00055505"/>
    <w:rsid w:val="00055DF5"/>
    <w:rsid w:val="0006051F"/>
    <w:rsid w:val="000637B0"/>
    <w:rsid w:val="00063951"/>
    <w:rsid w:val="00064FDE"/>
    <w:rsid w:val="00066B2F"/>
    <w:rsid w:val="00066CCA"/>
    <w:rsid w:val="00072A36"/>
    <w:rsid w:val="00073166"/>
    <w:rsid w:val="00073AFE"/>
    <w:rsid w:val="000743AA"/>
    <w:rsid w:val="000805C8"/>
    <w:rsid w:val="00082CAB"/>
    <w:rsid w:val="00083EC1"/>
    <w:rsid w:val="00092EDD"/>
    <w:rsid w:val="0009412D"/>
    <w:rsid w:val="000A6A62"/>
    <w:rsid w:val="000A7327"/>
    <w:rsid w:val="000B2796"/>
    <w:rsid w:val="000B55C8"/>
    <w:rsid w:val="000C363D"/>
    <w:rsid w:val="000D25BE"/>
    <w:rsid w:val="000D3185"/>
    <w:rsid w:val="000D3F52"/>
    <w:rsid w:val="000D444D"/>
    <w:rsid w:val="000D45A0"/>
    <w:rsid w:val="000D56EB"/>
    <w:rsid w:val="000E1C1C"/>
    <w:rsid w:val="000E3020"/>
    <w:rsid w:val="000F4D51"/>
    <w:rsid w:val="000F7DDF"/>
    <w:rsid w:val="00102F88"/>
    <w:rsid w:val="00104D9E"/>
    <w:rsid w:val="00113AE2"/>
    <w:rsid w:val="00114578"/>
    <w:rsid w:val="001160DE"/>
    <w:rsid w:val="00123510"/>
    <w:rsid w:val="001260D9"/>
    <w:rsid w:val="00126D3F"/>
    <w:rsid w:val="0013266B"/>
    <w:rsid w:val="0013620C"/>
    <w:rsid w:val="00141384"/>
    <w:rsid w:val="00142FE8"/>
    <w:rsid w:val="00143BEC"/>
    <w:rsid w:val="00145ED6"/>
    <w:rsid w:val="001503DB"/>
    <w:rsid w:val="0015083D"/>
    <w:rsid w:val="00151C11"/>
    <w:rsid w:val="0015421F"/>
    <w:rsid w:val="001632C0"/>
    <w:rsid w:val="00166D53"/>
    <w:rsid w:val="00180117"/>
    <w:rsid w:val="00187288"/>
    <w:rsid w:val="00187B3D"/>
    <w:rsid w:val="00192658"/>
    <w:rsid w:val="0019281D"/>
    <w:rsid w:val="00197C3F"/>
    <w:rsid w:val="00197FE9"/>
    <w:rsid w:val="001A1891"/>
    <w:rsid w:val="001A282C"/>
    <w:rsid w:val="001A3695"/>
    <w:rsid w:val="001A727D"/>
    <w:rsid w:val="001A7C14"/>
    <w:rsid w:val="001B0FC8"/>
    <w:rsid w:val="001B2279"/>
    <w:rsid w:val="001B4017"/>
    <w:rsid w:val="001B7598"/>
    <w:rsid w:val="001B7ED3"/>
    <w:rsid w:val="001C1EC4"/>
    <w:rsid w:val="001C3292"/>
    <w:rsid w:val="001C38AF"/>
    <w:rsid w:val="001C5A13"/>
    <w:rsid w:val="001C5E65"/>
    <w:rsid w:val="001D15A8"/>
    <w:rsid w:val="001D3782"/>
    <w:rsid w:val="001D5FD1"/>
    <w:rsid w:val="001D6B26"/>
    <w:rsid w:val="001D75F6"/>
    <w:rsid w:val="001D7A4F"/>
    <w:rsid w:val="001E00EE"/>
    <w:rsid w:val="001E0B7A"/>
    <w:rsid w:val="001F063F"/>
    <w:rsid w:val="001F1830"/>
    <w:rsid w:val="001F626E"/>
    <w:rsid w:val="002000F0"/>
    <w:rsid w:val="0020180F"/>
    <w:rsid w:val="00201DC1"/>
    <w:rsid w:val="00202641"/>
    <w:rsid w:val="0020404A"/>
    <w:rsid w:val="00207B8A"/>
    <w:rsid w:val="00210E3C"/>
    <w:rsid w:val="00211A66"/>
    <w:rsid w:val="002156A0"/>
    <w:rsid w:val="00216B37"/>
    <w:rsid w:val="00226F3C"/>
    <w:rsid w:val="002323CF"/>
    <w:rsid w:val="00232972"/>
    <w:rsid w:val="00233242"/>
    <w:rsid w:val="00236ECD"/>
    <w:rsid w:val="0023720D"/>
    <w:rsid w:val="002374AC"/>
    <w:rsid w:val="002409CB"/>
    <w:rsid w:val="00240AAA"/>
    <w:rsid w:val="00244DF3"/>
    <w:rsid w:val="00247B5E"/>
    <w:rsid w:val="00254970"/>
    <w:rsid w:val="0025627C"/>
    <w:rsid w:val="0025799D"/>
    <w:rsid w:val="0026142F"/>
    <w:rsid w:val="00265FB2"/>
    <w:rsid w:val="0026650C"/>
    <w:rsid w:val="00272FA2"/>
    <w:rsid w:val="002751D3"/>
    <w:rsid w:val="00275D92"/>
    <w:rsid w:val="00284FF6"/>
    <w:rsid w:val="002855E1"/>
    <w:rsid w:val="00285CFE"/>
    <w:rsid w:val="00287D9F"/>
    <w:rsid w:val="0029115B"/>
    <w:rsid w:val="00293C0C"/>
    <w:rsid w:val="002968E0"/>
    <w:rsid w:val="0029743B"/>
    <w:rsid w:val="00297C07"/>
    <w:rsid w:val="002B4F6A"/>
    <w:rsid w:val="002B741E"/>
    <w:rsid w:val="002B7A34"/>
    <w:rsid w:val="002C1322"/>
    <w:rsid w:val="002C4652"/>
    <w:rsid w:val="002D1160"/>
    <w:rsid w:val="002D3CD4"/>
    <w:rsid w:val="002D3CE9"/>
    <w:rsid w:val="002D67DA"/>
    <w:rsid w:val="002E6160"/>
    <w:rsid w:val="002F5583"/>
    <w:rsid w:val="002F6548"/>
    <w:rsid w:val="00311A86"/>
    <w:rsid w:val="00312C88"/>
    <w:rsid w:val="00316B98"/>
    <w:rsid w:val="00322EC3"/>
    <w:rsid w:val="0032369E"/>
    <w:rsid w:val="003260F5"/>
    <w:rsid w:val="003307B8"/>
    <w:rsid w:val="003327D3"/>
    <w:rsid w:val="0033487C"/>
    <w:rsid w:val="003364B2"/>
    <w:rsid w:val="00337FDB"/>
    <w:rsid w:val="00340F3C"/>
    <w:rsid w:val="00345822"/>
    <w:rsid w:val="0034672A"/>
    <w:rsid w:val="00360394"/>
    <w:rsid w:val="003650CC"/>
    <w:rsid w:val="0036611B"/>
    <w:rsid w:val="003811C0"/>
    <w:rsid w:val="0038203D"/>
    <w:rsid w:val="00383396"/>
    <w:rsid w:val="003A0BFB"/>
    <w:rsid w:val="003A20C5"/>
    <w:rsid w:val="003A2811"/>
    <w:rsid w:val="003A3B5E"/>
    <w:rsid w:val="003A3E75"/>
    <w:rsid w:val="003A4D8C"/>
    <w:rsid w:val="003A533A"/>
    <w:rsid w:val="003A59EA"/>
    <w:rsid w:val="003A7110"/>
    <w:rsid w:val="003A73A0"/>
    <w:rsid w:val="003B4F23"/>
    <w:rsid w:val="003B6684"/>
    <w:rsid w:val="003B7DAB"/>
    <w:rsid w:val="003C0D62"/>
    <w:rsid w:val="003C6D6E"/>
    <w:rsid w:val="003C7446"/>
    <w:rsid w:val="003D610C"/>
    <w:rsid w:val="003E1A83"/>
    <w:rsid w:val="003E5AEA"/>
    <w:rsid w:val="003F01C5"/>
    <w:rsid w:val="004028BD"/>
    <w:rsid w:val="00402AD7"/>
    <w:rsid w:val="0040312B"/>
    <w:rsid w:val="004031E5"/>
    <w:rsid w:val="00403263"/>
    <w:rsid w:val="00403C15"/>
    <w:rsid w:val="00403F5E"/>
    <w:rsid w:val="004041EC"/>
    <w:rsid w:val="0040435E"/>
    <w:rsid w:val="0040482D"/>
    <w:rsid w:val="00406749"/>
    <w:rsid w:val="00410B09"/>
    <w:rsid w:val="00410EC3"/>
    <w:rsid w:val="00414CD9"/>
    <w:rsid w:val="00422C56"/>
    <w:rsid w:val="00424E87"/>
    <w:rsid w:val="0042665D"/>
    <w:rsid w:val="004325B5"/>
    <w:rsid w:val="00432CF7"/>
    <w:rsid w:val="004341E5"/>
    <w:rsid w:val="004343F8"/>
    <w:rsid w:val="004369BE"/>
    <w:rsid w:val="00437C00"/>
    <w:rsid w:val="00437C42"/>
    <w:rsid w:val="00443793"/>
    <w:rsid w:val="00444741"/>
    <w:rsid w:val="0044599A"/>
    <w:rsid w:val="00446EA8"/>
    <w:rsid w:val="00456FF8"/>
    <w:rsid w:val="00461ED8"/>
    <w:rsid w:val="00465227"/>
    <w:rsid w:val="0046549C"/>
    <w:rsid w:val="00473C48"/>
    <w:rsid w:val="004761AE"/>
    <w:rsid w:val="00477283"/>
    <w:rsid w:val="00482136"/>
    <w:rsid w:val="00490585"/>
    <w:rsid w:val="00495C5F"/>
    <w:rsid w:val="0049672B"/>
    <w:rsid w:val="004A092E"/>
    <w:rsid w:val="004A4AB5"/>
    <w:rsid w:val="004A68BB"/>
    <w:rsid w:val="004A7F16"/>
    <w:rsid w:val="004B4DF3"/>
    <w:rsid w:val="004C6EFE"/>
    <w:rsid w:val="004D7D5D"/>
    <w:rsid w:val="004E03D6"/>
    <w:rsid w:val="004E05C9"/>
    <w:rsid w:val="004E2CE6"/>
    <w:rsid w:val="004F11F8"/>
    <w:rsid w:val="004F2366"/>
    <w:rsid w:val="004F52D9"/>
    <w:rsid w:val="004F5517"/>
    <w:rsid w:val="004F5754"/>
    <w:rsid w:val="004F601B"/>
    <w:rsid w:val="0050197A"/>
    <w:rsid w:val="00503A36"/>
    <w:rsid w:val="00504F4D"/>
    <w:rsid w:val="005058A2"/>
    <w:rsid w:val="00510EB5"/>
    <w:rsid w:val="005110EF"/>
    <w:rsid w:val="00511E85"/>
    <w:rsid w:val="00516446"/>
    <w:rsid w:val="00522A66"/>
    <w:rsid w:val="00527073"/>
    <w:rsid w:val="005300AF"/>
    <w:rsid w:val="00530B7D"/>
    <w:rsid w:val="00530C81"/>
    <w:rsid w:val="0053757F"/>
    <w:rsid w:val="00537597"/>
    <w:rsid w:val="00543F77"/>
    <w:rsid w:val="00546044"/>
    <w:rsid w:val="00546C0E"/>
    <w:rsid w:val="0055006E"/>
    <w:rsid w:val="00553D8E"/>
    <w:rsid w:val="00554CD2"/>
    <w:rsid w:val="005647D9"/>
    <w:rsid w:val="00567C3B"/>
    <w:rsid w:val="00567F6F"/>
    <w:rsid w:val="00571AF3"/>
    <w:rsid w:val="005764DE"/>
    <w:rsid w:val="0057657A"/>
    <w:rsid w:val="00576EB4"/>
    <w:rsid w:val="0058050E"/>
    <w:rsid w:val="00586A79"/>
    <w:rsid w:val="00586D07"/>
    <w:rsid w:val="005873CF"/>
    <w:rsid w:val="00587C76"/>
    <w:rsid w:val="005950FC"/>
    <w:rsid w:val="005A5867"/>
    <w:rsid w:val="005A5B1A"/>
    <w:rsid w:val="005B70D2"/>
    <w:rsid w:val="005C1073"/>
    <w:rsid w:val="005C1E01"/>
    <w:rsid w:val="005C30DC"/>
    <w:rsid w:val="005C3927"/>
    <w:rsid w:val="005C475C"/>
    <w:rsid w:val="005D2839"/>
    <w:rsid w:val="005D7A92"/>
    <w:rsid w:val="005E0079"/>
    <w:rsid w:val="005E1A47"/>
    <w:rsid w:val="005E4E3D"/>
    <w:rsid w:val="005F1175"/>
    <w:rsid w:val="005F192D"/>
    <w:rsid w:val="005F2423"/>
    <w:rsid w:val="005F3B1B"/>
    <w:rsid w:val="005F516E"/>
    <w:rsid w:val="005F524B"/>
    <w:rsid w:val="006003F5"/>
    <w:rsid w:val="0060127F"/>
    <w:rsid w:val="00601754"/>
    <w:rsid w:val="00603428"/>
    <w:rsid w:val="006068A0"/>
    <w:rsid w:val="00607014"/>
    <w:rsid w:val="006161DC"/>
    <w:rsid w:val="0062190F"/>
    <w:rsid w:val="00622033"/>
    <w:rsid w:val="006320B2"/>
    <w:rsid w:val="00632471"/>
    <w:rsid w:val="00632A23"/>
    <w:rsid w:val="00633529"/>
    <w:rsid w:val="00634921"/>
    <w:rsid w:val="0063789C"/>
    <w:rsid w:val="00644F7C"/>
    <w:rsid w:val="006469D8"/>
    <w:rsid w:val="00652960"/>
    <w:rsid w:val="00652BA7"/>
    <w:rsid w:val="00653B08"/>
    <w:rsid w:val="00663231"/>
    <w:rsid w:val="00664338"/>
    <w:rsid w:val="00664CE0"/>
    <w:rsid w:val="00665E71"/>
    <w:rsid w:val="00670213"/>
    <w:rsid w:val="00673DE0"/>
    <w:rsid w:val="00680B29"/>
    <w:rsid w:val="006850DB"/>
    <w:rsid w:val="00685980"/>
    <w:rsid w:val="00686884"/>
    <w:rsid w:val="0069146E"/>
    <w:rsid w:val="00696602"/>
    <w:rsid w:val="006A3A8C"/>
    <w:rsid w:val="006A6288"/>
    <w:rsid w:val="006A63BE"/>
    <w:rsid w:val="006B6D92"/>
    <w:rsid w:val="006B6E14"/>
    <w:rsid w:val="006C1D61"/>
    <w:rsid w:val="006C6DF0"/>
    <w:rsid w:val="006C704D"/>
    <w:rsid w:val="006D48D4"/>
    <w:rsid w:val="006D4AB8"/>
    <w:rsid w:val="006D5E19"/>
    <w:rsid w:val="006D768D"/>
    <w:rsid w:val="006E0828"/>
    <w:rsid w:val="006E29EE"/>
    <w:rsid w:val="006E3745"/>
    <w:rsid w:val="006E6BF8"/>
    <w:rsid w:val="006E787D"/>
    <w:rsid w:val="006F0BA2"/>
    <w:rsid w:val="006F49F6"/>
    <w:rsid w:val="006F4A40"/>
    <w:rsid w:val="006F6F98"/>
    <w:rsid w:val="007011A9"/>
    <w:rsid w:val="0070320C"/>
    <w:rsid w:val="007040CD"/>
    <w:rsid w:val="0070680E"/>
    <w:rsid w:val="00706B96"/>
    <w:rsid w:val="007075E6"/>
    <w:rsid w:val="00712EA4"/>
    <w:rsid w:val="00716D98"/>
    <w:rsid w:val="00720518"/>
    <w:rsid w:val="007228A6"/>
    <w:rsid w:val="00726DAE"/>
    <w:rsid w:val="00727228"/>
    <w:rsid w:val="00730B3D"/>
    <w:rsid w:val="007310BB"/>
    <w:rsid w:val="007313BA"/>
    <w:rsid w:val="007323F5"/>
    <w:rsid w:val="0073245E"/>
    <w:rsid w:val="00737E1D"/>
    <w:rsid w:val="00740B2A"/>
    <w:rsid w:val="0074268C"/>
    <w:rsid w:val="007445FE"/>
    <w:rsid w:val="0074493B"/>
    <w:rsid w:val="007457D2"/>
    <w:rsid w:val="0075281F"/>
    <w:rsid w:val="007537FC"/>
    <w:rsid w:val="00753C5B"/>
    <w:rsid w:val="007541DC"/>
    <w:rsid w:val="00761A63"/>
    <w:rsid w:val="00763767"/>
    <w:rsid w:val="00764B50"/>
    <w:rsid w:val="00766F34"/>
    <w:rsid w:val="0077437F"/>
    <w:rsid w:val="0077454E"/>
    <w:rsid w:val="00774E0F"/>
    <w:rsid w:val="00781FEC"/>
    <w:rsid w:val="00784A51"/>
    <w:rsid w:val="00786056"/>
    <w:rsid w:val="007925F3"/>
    <w:rsid w:val="00794D3C"/>
    <w:rsid w:val="007A06F8"/>
    <w:rsid w:val="007A0C05"/>
    <w:rsid w:val="007A251F"/>
    <w:rsid w:val="007A52D3"/>
    <w:rsid w:val="007B019E"/>
    <w:rsid w:val="007B1478"/>
    <w:rsid w:val="007B2709"/>
    <w:rsid w:val="007B76BB"/>
    <w:rsid w:val="007C503B"/>
    <w:rsid w:val="007C5ACA"/>
    <w:rsid w:val="007C6937"/>
    <w:rsid w:val="007C7B0A"/>
    <w:rsid w:val="007D0041"/>
    <w:rsid w:val="007D161A"/>
    <w:rsid w:val="007E62AA"/>
    <w:rsid w:val="007E7331"/>
    <w:rsid w:val="007F2ED8"/>
    <w:rsid w:val="007F3304"/>
    <w:rsid w:val="007F6345"/>
    <w:rsid w:val="00804BAA"/>
    <w:rsid w:val="00807896"/>
    <w:rsid w:val="00810BFB"/>
    <w:rsid w:val="00814F7B"/>
    <w:rsid w:val="00815399"/>
    <w:rsid w:val="00822DF8"/>
    <w:rsid w:val="008238B7"/>
    <w:rsid w:val="008403C0"/>
    <w:rsid w:val="008416DD"/>
    <w:rsid w:val="008452B5"/>
    <w:rsid w:val="00845A4E"/>
    <w:rsid w:val="00845A80"/>
    <w:rsid w:val="00850146"/>
    <w:rsid w:val="008501F3"/>
    <w:rsid w:val="008515B1"/>
    <w:rsid w:val="00852814"/>
    <w:rsid w:val="00856471"/>
    <w:rsid w:val="008666FC"/>
    <w:rsid w:val="008727AB"/>
    <w:rsid w:val="00873010"/>
    <w:rsid w:val="00873780"/>
    <w:rsid w:val="00873CEF"/>
    <w:rsid w:val="00877FA7"/>
    <w:rsid w:val="008833F0"/>
    <w:rsid w:val="00887720"/>
    <w:rsid w:val="00890B01"/>
    <w:rsid w:val="008930BD"/>
    <w:rsid w:val="008939B1"/>
    <w:rsid w:val="00893D80"/>
    <w:rsid w:val="00894393"/>
    <w:rsid w:val="00895420"/>
    <w:rsid w:val="008957CE"/>
    <w:rsid w:val="008A5EAC"/>
    <w:rsid w:val="008B20FC"/>
    <w:rsid w:val="008B341F"/>
    <w:rsid w:val="008C0845"/>
    <w:rsid w:val="008C1892"/>
    <w:rsid w:val="008C64E0"/>
    <w:rsid w:val="008C7CA5"/>
    <w:rsid w:val="008D089E"/>
    <w:rsid w:val="008D09AA"/>
    <w:rsid w:val="008D19CC"/>
    <w:rsid w:val="008D2E76"/>
    <w:rsid w:val="008D3A14"/>
    <w:rsid w:val="008D4189"/>
    <w:rsid w:val="008E082F"/>
    <w:rsid w:val="008E298E"/>
    <w:rsid w:val="008E5682"/>
    <w:rsid w:val="008E6A84"/>
    <w:rsid w:val="008E75B9"/>
    <w:rsid w:val="008F25EE"/>
    <w:rsid w:val="008F4502"/>
    <w:rsid w:val="008F596A"/>
    <w:rsid w:val="008F5C4E"/>
    <w:rsid w:val="008F68DE"/>
    <w:rsid w:val="00903A99"/>
    <w:rsid w:val="0090458F"/>
    <w:rsid w:val="00905BC7"/>
    <w:rsid w:val="00907B73"/>
    <w:rsid w:val="00910190"/>
    <w:rsid w:val="0091180B"/>
    <w:rsid w:val="009127C8"/>
    <w:rsid w:val="00912C13"/>
    <w:rsid w:val="009139B4"/>
    <w:rsid w:val="00913CF7"/>
    <w:rsid w:val="0091505A"/>
    <w:rsid w:val="00916D96"/>
    <w:rsid w:val="00917AD5"/>
    <w:rsid w:val="009357A3"/>
    <w:rsid w:val="0094113C"/>
    <w:rsid w:val="0094479A"/>
    <w:rsid w:val="00945858"/>
    <w:rsid w:val="00955B2F"/>
    <w:rsid w:val="00955E93"/>
    <w:rsid w:val="0095646F"/>
    <w:rsid w:val="00960091"/>
    <w:rsid w:val="00960206"/>
    <w:rsid w:val="009629C3"/>
    <w:rsid w:val="00962BDC"/>
    <w:rsid w:val="00963DE6"/>
    <w:rsid w:val="00967425"/>
    <w:rsid w:val="00972F19"/>
    <w:rsid w:val="009766DD"/>
    <w:rsid w:val="00977431"/>
    <w:rsid w:val="00977EF7"/>
    <w:rsid w:val="00987467"/>
    <w:rsid w:val="00990D02"/>
    <w:rsid w:val="009959B1"/>
    <w:rsid w:val="00996D14"/>
    <w:rsid w:val="009A1C10"/>
    <w:rsid w:val="009A32B6"/>
    <w:rsid w:val="009A530B"/>
    <w:rsid w:val="009A537D"/>
    <w:rsid w:val="009A7678"/>
    <w:rsid w:val="009B0688"/>
    <w:rsid w:val="009B1DA1"/>
    <w:rsid w:val="009B31D6"/>
    <w:rsid w:val="009C086A"/>
    <w:rsid w:val="009D3627"/>
    <w:rsid w:val="009D51D2"/>
    <w:rsid w:val="009E5A87"/>
    <w:rsid w:val="009F1E49"/>
    <w:rsid w:val="009F2BD2"/>
    <w:rsid w:val="009F3149"/>
    <w:rsid w:val="009F3777"/>
    <w:rsid w:val="009F78E6"/>
    <w:rsid w:val="00A01E31"/>
    <w:rsid w:val="00A03B13"/>
    <w:rsid w:val="00A04B65"/>
    <w:rsid w:val="00A06715"/>
    <w:rsid w:val="00A0787D"/>
    <w:rsid w:val="00A10B2D"/>
    <w:rsid w:val="00A10F78"/>
    <w:rsid w:val="00A11A09"/>
    <w:rsid w:val="00A268EA"/>
    <w:rsid w:val="00A34A44"/>
    <w:rsid w:val="00A366AA"/>
    <w:rsid w:val="00A409E1"/>
    <w:rsid w:val="00A419EA"/>
    <w:rsid w:val="00A4560C"/>
    <w:rsid w:val="00A46E76"/>
    <w:rsid w:val="00A47C69"/>
    <w:rsid w:val="00A521FE"/>
    <w:rsid w:val="00A62B26"/>
    <w:rsid w:val="00A63D97"/>
    <w:rsid w:val="00A63F95"/>
    <w:rsid w:val="00A641CC"/>
    <w:rsid w:val="00A65FD1"/>
    <w:rsid w:val="00A679F3"/>
    <w:rsid w:val="00A70EDF"/>
    <w:rsid w:val="00A73FA2"/>
    <w:rsid w:val="00A84DEA"/>
    <w:rsid w:val="00A8608C"/>
    <w:rsid w:val="00A94F6E"/>
    <w:rsid w:val="00AA0ED7"/>
    <w:rsid w:val="00AB4D85"/>
    <w:rsid w:val="00AB7E03"/>
    <w:rsid w:val="00AC0E83"/>
    <w:rsid w:val="00AC3DBC"/>
    <w:rsid w:val="00AC41A5"/>
    <w:rsid w:val="00AC4380"/>
    <w:rsid w:val="00AC5813"/>
    <w:rsid w:val="00AC7BC0"/>
    <w:rsid w:val="00AD01A3"/>
    <w:rsid w:val="00AD13D6"/>
    <w:rsid w:val="00AD562B"/>
    <w:rsid w:val="00AE2955"/>
    <w:rsid w:val="00AE2E87"/>
    <w:rsid w:val="00AF2374"/>
    <w:rsid w:val="00AF3859"/>
    <w:rsid w:val="00AF44AF"/>
    <w:rsid w:val="00AF6578"/>
    <w:rsid w:val="00AF70C1"/>
    <w:rsid w:val="00B028DC"/>
    <w:rsid w:val="00B03322"/>
    <w:rsid w:val="00B0343E"/>
    <w:rsid w:val="00B043F6"/>
    <w:rsid w:val="00B06A14"/>
    <w:rsid w:val="00B136FA"/>
    <w:rsid w:val="00B141F3"/>
    <w:rsid w:val="00B16543"/>
    <w:rsid w:val="00B16682"/>
    <w:rsid w:val="00B17AB3"/>
    <w:rsid w:val="00B229D8"/>
    <w:rsid w:val="00B245F6"/>
    <w:rsid w:val="00B4014F"/>
    <w:rsid w:val="00B43CEF"/>
    <w:rsid w:val="00B4506D"/>
    <w:rsid w:val="00B46639"/>
    <w:rsid w:val="00B5769D"/>
    <w:rsid w:val="00B60F0C"/>
    <w:rsid w:val="00B66E04"/>
    <w:rsid w:val="00B72803"/>
    <w:rsid w:val="00B74B1A"/>
    <w:rsid w:val="00B74C77"/>
    <w:rsid w:val="00B7641E"/>
    <w:rsid w:val="00B80545"/>
    <w:rsid w:val="00B82A8D"/>
    <w:rsid w:val="00B830CE"/>
    <w:rsid w:val="00B877B0"/>
    <w:rsid w:val="00B8782A"/>
    <w:rsid w:val="00B95A3B"/>
    <w:rsid w:val="00BA016B"/>
    <w:rsid w:val="00BA150B"/>
    <w:rsid w:val="00BA3FDB"/>
    <w:rsid w:val="00BA7D51"/>
    <w:rsid w:val="00BB0C79"/>
    <w:rsid w:val="00BB3518"/>
    <w:rsid w:val="00BC1EFA"/>
    <w:rsid w:val="00BC40E4"/>
    <w:rsid w:val="00BD02A2"/>
    <w:rsid w:val="00BD2902"/>
    <w:rsid w:val="00BD2F63"/>
    <w:rsid w:val="00BE184C"/>
    <w:rsid w:val="00BE58EA"/>
    <w:rsid w:val="00BE7EA1"/>
    <w:rsid w:val="00BF0F92"/>
    <w:rsid w:val="00BF7DD9"/>
    <w:rsid w:val="00C1038C"/>
    <w:rsid w:val="00C10BAC"/>
    <w:rsid w:val="00C15104"/>
    <w:rsid w:val="00C15D1A"/>
    <w:rsid w:val="00C30116"/>
    <w:rsid w:val="00C37F4E"/>
    <w:rsid w:val="00C531BD"/>
    <w:rsid w:val="00C55EE9"/>
    <w:rsid w:val="00C56A85"/>
    <w:rsid w:val="00C56E2C"/>
    <w:rsid w:val="00C666E3"/>
    <w:rsid w:val="00C72397"/>
    <w:rsid w:val="00C72689"/>
    <w:rsid w:val="00C73115"/>
    <w:rsid w:val="00C74D38"/>
    <w:rsid w:val="00C75B7D"/>
    <w:rsid w:val="00C77F38"/>
    <w:rsid w:val="00C85FBC"/>
    <w:rsid w:val="00C86005"/>
    <w:rsid w:val="00C87CCD"/>
    <w:rsid w:val="00C92827"/>
    <w:rsid w:val="00C93C1A"/>
    <w:rsid w:val="00CA2F70"/>
    <w:rsid w:val="00CA566F"/>
    <w:rsid w:val="00CA768A"/>
    <w:rsid w:val="00CC09B3"/>
    <w:rsid w:val="00CC6EC4"/>
    <w:rsid w:val="00CC7D63"/>
    <w:rsid w:val="00CD268A"/>
    <w:rsid w:val="00CD3676"/>
    <w:rsid w:val="00CD6D87"/>
    <w:rsid w:val="00CE0B2D"/>
    <w:rsid w:val="00CE1E8C"/>
    <w:rsid w:val="00CE49AE"/>
    <w:rsid w:val="00CE5103"/>
    <w:rsid w:val="00D0076F"/>
    <w:rsid w:val="00D00D43"/>
    <w:rsid w:val="00D054A9"/>
    <w:rsid w:val="00D064A3"/>
    <w:rsid w:val="00D06C24"/>
    <w:rsid w:val="00D104BF"/>
    <w:rsid w:val="00D132B4"/>
    <w:rsid w:val="00D202AD"/>
    <w:rsid w:val="00D25169"/>
    <w:rsid w:val="00D25D18"/>
    <w:rsid w:val="00D2675E"/>
    <w:rsid w:val="00D31199"/>
    <w:rsid w:val="00D3180C"/>
    <w:rsid w:val="00D40842"/>
    <w:rsid w:val="00D434D2"/>
    <w:rsid w:val="00D43F14"/>
    <w:rsid w:val="00D450ED"/>
    <w:rsid w:val="00D460EB"/>
    <w:rsid w:val="00D4773E"/>
    <w:rsid w:val="00D506AB"/>
    <w:rsid w:val="00D5212F"/>
    <w:rsid w:val="00D7100E"/>
    <w:rsid w:val="00D71DFE"/>
    <w:rsid w:val="00D731D4"/>
    <w:rsid w:val="00D732D5"/>
    <w:rsid w:val="00D73363"/>
    <w:rsid w:val="00D73E6B"/>
    <w:rsid w:val="00D84DF2"/>
    <w:rsid w:val="00D8538B"/>
    <w:rsid w:val="00D91242"/>
    <w:rsid w:val="00D9710A"/>
    <w:rsid w:val="00DA0372"/>
    <w:rsid w:val="00DA2CCD"/>
    <w:rsid w:val="00DA4B10"/>
    <w:rsid w:val="00DA5DA3"/>
    <w:rsid w:val="00DB09C5"/>
    <w:rsid w:val="00DB1E17"/>
    <w:rsid w:val="00DB706A"/>
    <w:rsid w:val="00DB7FF6"/>
    <w:rsid w:val="00DC4741"/>
    <w:rsid w:val="00DC4C8C"/>
    <w:rsid w:val="00DC56A0"/>
    <w:rsid w:val="00DD12DA"/>
    <w:rsid w:val="00DD5989"/>
    <w:rsid w:val="00DD5F7F"/>
    <w:rsid w:val="00DD7962"/>
    <w:rsid w:val="00DE0E9F"/>
    <w:rsid w:val="00DE1E4F"/>
    <w:rsid w:val="00DE4154"/>
    <w:rsid w:val="00DE6363"/>
    <w:rsid w:val="00DE79DF"/>
    <w:rsid w:val="00DF0880"/>
    <w:rsid w:val="00DF112F"/>
    <w:rsid w:val="00DF5293"/>
    <w:rsid w:val="00DF6C2A"/>
    <w:rsid w:val="00E01934"/>
    <w:rsid w:val="00E0403C"/>
    <w:rsid w:val="00E040B3"/>
    <w:rsid w:val="00E0554F"/>
    <w:rsid w:val="00E05ACE"/>
    <w:rsid w:val="00E06731"/>
    <w:rsid w:val="00E1152E"/>
    <w:rsid w:val="00E1463E"/>
    <w:rsid w:val="00E16E69"/>
    <w:rsid w:val="00E2024D"/>
    <w:rsid w:val="00E20723"/>
    <w:rsid w:val="00E20AC6"/>
    <w:rsid w:val="00E21E29"/>
    <w:rsid w:val="00E32ED1"/>
    <w:rsid w:val="00E33DD5"/>
    <w:rsid w:val="00E35A16"/>
    <w:rsid w:val="00E36564"/>
    <w:rsid w:val="00E368A6"/>
    <w:rsid w:val="00E3727D"/>
    <w:rsid w:val="00E41C3E"/>
    <w:rsid w:val="00E436CF"/>
    <w:rsid w:val="00E46FD1"/>
    <w:rsid w:val="00E501C6"/>
    <w:rsid w:val="00E50E9C"/>
    <w:rsid w:val="00E516A3"/>
    <w:rsid w:val="00E5765F"/>
    <w:rsid w:val="00E60C26"/>
    <w:rsid w:val="00E6549D"/>
    <w:rsid w:val="00E663A0"/>
    <w:rsid w:val="00E67371"/>
    <w:rsid w:val="00E715AB"/>
    <w:rsid w:val="00E757B0"/>
    <w:rsid w:val="00E77437"/>
    <w:rsid w:val="00E82B82"/>
    <w:rsid w:val="00E83143"/>
    <w:rsid w:val="00E87D5E"/>
    <w:rsid w:val="00E93B09"/>
    <w:rsid w:val="00E9519B"/>
    <w:rsid w:val="00E96741"/>
    <w:rsid w:val="00E97E68"/>
    <w:rsid w:val="00EA670C"/>
    <w:rsid w:val="00EB1BE3"/>
    <w:rsid w:val="00EB25AF"/>
    <w:rsid w:val="00EB2B31"/>
    <w:rsid w:val="00EB32C8"/>
    <w:rsid w:val="00EB4211"/>
    <w:rsid w:val="00EB67BE"/>
    <w:rsid w:val="00EC37BF"/>
    <w:rsid w:val="00EC4FAB"/>
    <w:rsid w:val="00EC7788"/>
    <w:rsid w:val="00EC7FEA"/>
    <w:rsid w:val="00ED02ED"/>
    <w:rsid w:val="00ED081D"/>
    <w:rsid w:val="00ED0A40"/>
    <w:rsid w:val="00ED0E94"/>
    <w:rsid w:val="00ED137F"/>
    <w:rsid w:val="00ED2878"/>
    <w:rsid w:val="00ED7851"/>
    <w:rsid w:val="00EE4214"/>
    <w:rsid w:val="00EE5F22"/>
    <w:rsid w:val="00EF01F6"/>
    <w:rsid w:val="00EF1F18"/>
    <w:rsid w:val="00EF2A8C"/>
    <w:rsid w:val="00EF5F76"/>
    <w:rsid w:val="00EF617F"/>
    <w:rsid w:val="00EF6D39"/>
    <w:rsid w:val="00EF6E66"/>
    <w:rsid w:val="00F0557E"/>
    <w:rsid w:val="00F07674"/>
    <w:rsid w:val="00F111D7"/>
    <w:rsid w:val="00F125E1"/>
    <w:rsid w:val="00F12793"/>
    <w:rsid w:val="00F211CC"/>
    <w:rsid w:val="00F2418E"/>
    <w:rsid w:val="00F340FC"/>
    <w:rsid w:val="00F3590F"/>
    <w:rsid w:val="00F3676C"/>
    <w:rsid w:val="00F37123"/>
    <w:rsid w:val="00F40C0D"/>
    <w:rsid w:val="00F464DC"/>
    <w:rsid w:val="00F52A03"/>
    <w:rsid w:val="00F56EA0"/>
    <w:rsid w:val="00F610A7"/>
    <w:rsid w:val="00F6166F"/>
    <w:rsid w:val="00F6741C"/>
    <w:rsid w:val="00F67EF7"/>
    <w:rsid w:val="00F70C6F"/>
    <w:rsid w:val="00F74283"/>
    <w:rsid w:val="00F84B7B"/>
    <w:rsid w:val="00F86FEE"/>
    <w:rsid w:val="00F951C9"/>
    <w:rsid w:val="00F954D2"/>
    <w:rsid w:val="00F96347"/>
    <w:rsid w:val="00F96537"/>
    <w:rsid w:val="00F977F5"/>
    <w:rsid w:val="00FA19D6"/>
    <w:rsid w:val="00FA555C"/>
    <w:rsid w:val="00FA7084"/>
    <w:rsid w:val="00FB1FD6"/>
    <w:rsid w:val="00FB27F5"/>
    <w:rsid w:val="00FB4355"/>
    <w:rsid w:val="00FB538B"/>
    <w:rsid w:val="00FB59B2"/>
    <w:rsid w:val="00FC1764"/>
    <w:rsid w:val="00FC26CD"/>
    <w:rsid w:val="00FC38CE"/>
    <w:rsid w:val="00FC394E"/>
    <w:rsid w:val="00FC54A7"/>
    <w:rsid w:val="00FE5514"/>
    <w:rsid w:val="00FE687B"/>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2036D3F3"/>
  <w15:docId w15:val="{566A9380-3B28-4C45-9617-5CD506F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consultation-permissible-ingredients-annual-changes-2020-21" TargetMode="External"/><Relationship Id="rId13" Type="http://schemas.openxmlformats.org/officeDocument/2006/relationships/hyperlink" Target="http://www.online.foodchemicalscodex.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nf.com/" TargetMode="External"/><Relationship Id="rId17" Type="http://schemas.openxmlformats.org/officeDocument/2006/relationships/hyperlink" Target="http://www.openlibrary.org/books/OL22071008M/European_pharmacopoeia" TargetMode="External"/><Relationship Id="rId2" Type="http://schemas.openxmlformats.org/officeDocument/2006/relationships/numbering" Target="numbering.xml"/><Relationship Id="rId16" Type="http://schemas.openxmlformats.org/officeDocument/2006/relationships/hyperlink" Target="http://www.trove.nl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qm.eu/en/european-pharmacopoeia-ph-eur-9th-edition" TargetMode="External"/><Relationship Id="rId5" Type="http://schemas.openxmlformats.org/officeDocument/2006/relationships/webSettings" Target="webSettings.xml"/><Relationship Id="rId15" Type="http://schemas.openxmlformats.org/officeDocument/2006/relationships/hyperlink" Target="http://www.rehydrate.org/ors/expert-consultation.html" TargetMode="External"/><Relationship Id="rId10" Type="http://schemas.openxmlformats.org/officeDocument/2006/relationships/hyperlink" Target="http://www.pharmacopoe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outcomes-low-negligible-risk-changes-permissible-ingredients-2020-2021" TargetMode="External"/><Relationship Id="rId14"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C68E-715D-4F9E-9027-DC5CD496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4321</Words>
  <Characters>24636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2</cp:revision>
  <cp:lastPrinted>2021-02-24T04:28:00Z</cp:lastPrinted>
  <dcterms:created xsi:type="dcterms:W3CDTF">2021-02-24T04:29:00Z</dcterms:created>
  <dcterms:modified xsi:type="dcterms:W3CDTF">2021-02-24T04:29:00Z</dcterms:modified>
</cp:coreProperties>
</file>