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77777777" w:rsidR="00FA6784" w:rsidRPr="00F240F2" w:rsidRDefault="00FA6784" w:rsidP="00FA6784">
      <w:pPr>
        <w:pStyle w:val="H3"/>
        <w:jc w:val="center"/>
        <w:rPr>
          <w:sz w:val="24"/>
          <w:szCs w:val="24"/>
        </w:rPr>
      </w:pPr>
      <w:bookmarkStart w:id="0" w:name="_GoBack"/>
      <w:bookmarkEnd w:id="0"/>
      <w:r w:rsidRPr="00F240F2">
        <w:rPr>
          <w:sz w:val="24"/>
          <w:szCs w:val="24"/>
        </w:rPr>
        <w:t>EXPLANATORY STATEMENT</w:t>
      </w:r>
    </w:p>
    <w:p w14:paraId="2412D122" w14:textId="18553286" w:rsidR="00FA6784" w:rsidRPr="00F240F2" w:rsidRDefault="00FA6784" w:rsidP="00945D58">
      <w:pPr>
        <w:rPr>
          <w:i/>
          <w:iCs/>
          <w:sz w:val="20"/>
        </w:rPr>
      </w:pPr>
    </w:p>
    <w:p w14:paraId="2412D123" w14:textId="77777777" w:rsidR="00FA6784" w:rsidRPr="00F240F2" w:rsidRDefault="00FA6784" w:rsidP="00FA6784">
      <w:pPr>
        <w:jc w:val="center"/>
        <w:rPr>
          <w:i/>
          <w:iCs/>
        </w:rPr>
      </w:pPr>
      <w:r w:rsidRPr="00F240F2">
        <w:rPr>
          <w:i/>
          <w:iCs/>
        </w:rPr>
        <w:t>Health Insurance Act 1973</w:t>
      </w:r>
    </w:p>
    <w:p w14:paraId="2412D124" w14:textId="77777777" w:rsidR="00A1739A" w:rsidRPr="00F240F2" w:rsidRDefault="00A1739A" w:rsidP="00A1739A">
      <w:pPr>
        <w:rPr>
          <w:szCs w:val="24"/>
          <w:u w:val="single"/>
        </w:rPr>
      </w:pPr>
    </w:p>
    <w:p w14:paraId="1683493E" w14:textId="3B4A0C62" w:rsidR="00945D58" w:rsidRDefault="00EC490F" w:rsidP="00945D58">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i/>
          <w:iCs/>
          <w:color w:val="000000" w:themeColor="text1"/>
          <w:szCs w:val="24"/>
        </w:rPr>
      </w:pPr>
      <w:r w:rsidRPr="00EC490F">
        <w:rPr>
          <w:i/>
          <w:iCs/>
          <w:color w:val="000000" w:themeColor="text1"/>
          <w:szCs w:val="24"/>
        </w:rPr>
        <w:t>Health Insurance Legislation Amendment Determination 2021</w:t>
      </w:r>
    </w:p>
    <w:p w14:paraId="22C9E704" w14:textId="77777777" w:rsidR="00EC490F" w:rsidRPr="00F240F2" w:rsidRDefault="00EC490F" w:rsidP="00945D58">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color w:val="000000" w:themeColor="text1"/>
          <w:shd w:val="clear" w:color="auto" w:fill="FFFFFF"/>
        </w:rPr>
      </w:pPr>
    </w:p>
    <w:p w14:paraId="30CCE728" w14:textId="7DC49D33" w:rsidR="00164A69" w:rsidRPr="00F240F2"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shd w:val="clear" w:color="auto" w:fill="FFFFFF"/>
        </w:rPr>
      </w:pPr>
      <w:r w:rsidRPr="00F240F2">
        <w:rPr>
          <w:color w:val="000000"/>
          <w:shd w:val="clear" w:color="auto" w:fill="FFFFFF"/>
        </w:rPr>
        <w:t xml:space="preserve">Subsection 3C(1) of the </w:t>
      </w:r>
      <w:r w:rsidRPr="00F240F2">
        <w:rPr>
          <w:i/>
          <w:color w:val="000000"/>
          <w:shd w:val="clear" w:color="auto" w:fill="FFFFFF"/>
        </w:rPr>
        <w:t>Health Insurance Act 1973</w:t>
      </w:r>
      <w:r w:rsidRPr="00F240F2">
        <w:rPr>
          <w:color w:val="000000"/>
          <w:shd w:val="clear" w:color="auto" w:fill="FFFFFF"/>
        </w:rPr>
        <w:t xml:space="preserve"> (the Act) </w:t>
      </w:r>
      <w:r w:rsidR="00477C74" w:rsidRPr="00F240F2">
        <w:rPr>
          <w:color w:val="000000"/>
          <w:shd w:val="clear" w:color="auto" w:fill="FFFFFF"/>
        </w:rPr>
        <w:t>provide</w:t>
      </w:r>
      <w:r w:rsidR="002E5708" w:rsidRPr="00F240F2">
        <w:rPr>
          <w:color w:val="000000"/>
          <w:shd w:val="clear" w:color="auto" w:fill="FFFFFF"/>
        </w:rPr>
        <w:t>s</w:t>
      </w:r>
      <w:r w:rsidR="00477C74" w:rsidRPr="00F240F2">
        <w:rPr>
          <w:color w:val="000000"/>
          <w:shd w:val="clear" w:color="auto" w:fill="FFFFFF"/>
        </w:rPr>
        <w:t xml:space="preserve"> that</w:t>
      </w:r>
      <w:r w:rsidRPr="00F240F2">
        <w:rPr>
          <w:color w:val="000000"/>
          <w:shd w:val="clear" w:color="auto" w:fill="FFFFFF"/>
        </w:rPr>
        <w:t xml:space="preserve"> the Minister </w:t>
      </w:r>
      <w:r w:rsidR="00477C74" w:rsidRPr="00F240F2">
        <w:rPr>
          <w:color w:val="000000"/>
          <w:shd w:val="clear" w:color="auto" w:fill="FFFFFF"/>
        </w:rPr>
        <w:t>may</w:t>
      </w:r>
      <w:r w:rsidRPr="00F240F2">
        <w:rPr>
          <w:color w:val="000000"/>
          <w:shd w:val="clear" w:color="auto" w:fill="FFFFFF"/>
        </w:rPr>
        <w:t xml:space="preserve">, by legislative instrument, determine that a health service not specified in an item in the </w:t>
      </w:r>
      <w:r w:rsidR="0036040D">
        <w:rPr>
          <w:color w:val="000000"/>
          <w:shd w:val="clear" w:color="auto" w:fill="FFFFFF"/>
        </w:rPr>
        <w:t xml:space="preserve">general medical services table (GMST), the </w:t>
      </w:r>
      <w:r w:rsidR="00ED751C">
        <w:rPr>
          <w:color w:val="000000"/>
          <w:shd w:val="clear" w:color="auto" w:fill="FFFFFF"/>
        </w:rPr>
        <w:t>diagnostic imaging service</w:t>
      </w:r>
      <w:r w:rsidRPr="00F240F2">
        <w:rPr>
          <w:color w:val="000000"/>
          <w:shd w:val="clear" w:color="auto" w:fill="FFFFFF"/>
        </w:rPr>
        <w:t xml:space="preserve"> table </w:t>
      </w:r>
      <w:r w:rsidR="00D01D5A" w:rsidRPr="00F240F2">
        <w:rPr>
          <w:color w:val="000000"/>
          <w:shd w:val="clear" w:color="auto" w:fill="FFFFFF"/>
        </w:rPr>
        <w:t>(</w:t>
      </w:r>
      <w:r w:rsidR="0036040D">
        <w:rPr>
          <w:color w:val="000000"/>
          <w:shd w:val="clear" w:color="auto" w:fill="FFFFFF"/>
        </w:rPr>
        <w:t>DIST</w:t>
      </w:r>
      <w:r w:rsidR="00D01D5A" w:rsidRPr="00F240F2">
        <w:rPr>
          <w:color w:val="000000"/>
          <w:shd w:val="clear" w:color="auto" w:fill="FFFFFF"/>
        </w:rPr>
        <w:t xml:space="preserve">) </w:t>
      </w:r>
      <w:r w:rsidR="0036040D">
        <w:rPr>
          <w:color w:val="000000"/>
          <w:shd w:val="clear" w:color="auto" w:fill="FFFFFF"/>
        </w:rPr>
        <w:t xml:space="preserve">and the pathology services table (PST) </w:t>
      </w:r>
      <w:r w:rsidRPr="00F240F2">
        <w:rPr>
          <w:color w:val="000000"/>
          <w:shd w:val="clear" w:color="auto" w:fill="FFFFFF"/>
        </w:rPr>
        <w:t xml:space="preserve">shall, in specified circumstances and for specified statutory provisions, be treated as if it were specified in </w:t>
      </w:r>
      <w:r w:rsidR="0036040D">
        <w:rPr>
          <w:color w:val="000000"/>
          <w:shd w:val="clear" w:color="auto" w:fill="FFFFFF"/>
        </w:rPr>
        <w:t>these tables</w:t>
      </w:r>
      <w:r w:rsidR="00D01D5A" w:rsidRPr="00F240F2">
        <w:rPr>
          <w:color w:val="000000"/>
          <w:shd w:val="clear" w:color="auto" w:fill="FFFFFF"/>
        </w:rPr>
        <w:t xml:space="preserve">. </w:t>
      </w:r>
      <w:r w:rsidRPr="00F240F2">
        <w:rPr>
          <w:color w:val="FF0000"/>
          <w:shd w:val="clear" w:color="auto" w:fill="FFFFFF"/>
        </w:rPr>
        <w:t xml:space="preserve">  </w:t>
      </w:r>
    </w:p>
    <w:p w14:paraId="7DB18649" w14:textId="77777777" w:rsidR="00841EDA" w:rsidRPr="00F240F2"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4D83FB6F" w14:textId="6DAE291A" w:rsidR="0036040D" w:rsidRDefault="0036040D" w:rsidP="0036040D">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t xml:space="preserve">The GMST is set out in the regulations made under subsection 4(1) of the Act. The latest version of the GMST is the </w:t>
      </w:r>
      <w:r w:rsidRPr="0036040D">
        <w:rPr>
          <w:i/>
        </w:rPr>
        <w:t>Health Insurance (General Medical Services Table) Regulations (No. 2) 2020</w:t>
      </w:r>
      <w:r>
        <w:t xml:space="preserve">. </w:t>
      </w:r>
    </w:p>
    <w:p w14:paraId="5B51A385" w14:textId="77777777" w:rsidR="0036040D" w:rsidRDefault="0036040D" w:rsidP="0036040D">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t xml:space="preserve"> </w:t>
      </w:r>
    </w:p>
    <w:p w14:paraId="2E6FE463" w14:textId="74573DFB" w:rsidR="00050623" w:rsidRDefault="0036040D" w:rsidP="0036040D">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rPr>
      </w:pPr>
      <w:r>
        <w:t xml:space="preserve">The DIST is set out in the regulations made under subsection 4AA(1) of the Act. The latest version of the DIST is the </w:t>
      </w:r>
      <w:r w:rsidRPr="0036040D">
        <w:rPr>
          <w:i/>
        </w:rPr>
        <w:t>Health Insurance (Diagnostic Imaging Services Table) Regulations (No. 2) 2020.</w:t>
      </w:r>
    </w:p>
    <w:p w14:paraId="51F1C5DC" w14:textId="33367E75" w:rsidR="007032E0" w:rsidRDefault="007032E0" w:rsidP="0036040D">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rPr>
      </w:pPr>
    </w:p>
    <w:p w14:paraId="4C9E0DF8" w14:textId="6EF825E9" w:rsidR="007032E0" w:rsidRPr="007032E0" w:rsidRDefault="007032E0" w:rsidP="0036040D">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t xml:space="preserve">The PST is set out in the regulations made under subsection 4A of the Act. The latest version of the PST is the </w:t>
      </w:r>
      <w:r w:rsidRPr="007032E0">
        <w:rPr>
          <w:i/>
        </w:rPr>
        <w:t>Health Insurance (Pathology Services Table) Regulations 2020</w:t>
      </w:r>
      <w:r>
        <w:t>.</w:t>
      </w:r>
    </w:p>
    <w:p w14:paraId="086CC5F0" w14:textId="02C846AA" w:rsidR="0036040D" w:rsidRDefault="0036040D"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77777777" w:rsidR="00050623" w:rsidRPr="00F240F2"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F240F2">
        <w:t xml:space="preserve">This instrument relies on subsection 33(3) of the </w:t>
      </w:r>
      <w:r w:rsidRPr="00F240F2">
        <w:rPr>
          <w:i/>
        </w:rPr>
        <w:t>Acts Interpretation Act 1901</w:t>
      </w:r>
      <w:r w:rsidRPr="00F240F2">
        <w:t xml:space="preserve"> (AIA).  Subsection 33(3) of the AIA</w:t>
      </w:r>
      <w:r w:rsidRPr="00F240F2">
        <w:rPr>
          <w:i/>
        </w:rPr>
        <w:t xml:space="preserve"> </w:t>
      </w:r>
      <w:r w:rsidRPr="00F240F2">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412D129" w14:textId="2D4AC742" w:rsidR="008C5F1C" w:rsidRPr="00F240F2" w:rsidRDefault="008C5F1C" w:rsidP="00D33180">
      <w:pPr>
        <w:autoSpaceDE w:val="0"/>
        <w:autoSpaceDN w:val="0"/>
        <w:adjustRightInd w:val="0"/>
        <w:ind w:right="-483"/>
        <w:rPr>
          <w:szCs w:val="24"/>
        </w:rPr>
      </w:pPr>
    </w:p>
    <w:p w14:paraId="2412D12A" w14:textId="77777777" w:rsidR="00BB00BA" w:rsidRPr="00F240F2" w:rsidRDefault="00A1739A" w:rsidP="00BB00BA">
      <w:pPr>
        <w:rPr>
          <w:b/>
          <w:szCs w:val="24"/>
          <w:lang w:val="en-US" w:eastAsia="en-US"/>
        </w:rPr>
      </w:pPr>
      <w:r w:rsidRPr="00F240F2">
        <w:rPr>
          <w:b/>
          <w:szCs w:val="24"/>
          <w:lang w:val="en-US" w:eastAsia="en-US"/>
        </w:rPr>
        <w:t>Purpose</w:t>
      </w:r>
    </w:p>
    <w:p w14:paraId="5B9DA31B" w14:textId="40BE3F2C" w:rsidR="00EC490F" w:rsidRDefault="00EC490F" w:rsidP="00EC490F">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r w:rsidRPr="00EC490F">
        <w:rPr>
          <w:color w:val="000000" w:themeColor="text1"/>
          <w:szCs w:val="24"/>
        </w:rPr>
        <w:t xml:space="preserve">The purpose of the </w:t>
      </w:r>
      <w:r w:rsidRPr="00EC490F">
        <w:rPr>
          <w:i/>
          <w:iCs/>
          <w:color w:val="000000" w:themeColor="text1"/>
          <w:szCs w:val="24"/>
        </w:rPr>
        <w:t xml:space="preserve">Health Insurance Legislation Amendment Determination 2021 </w:t>
      </w:r>
      <w:r w:rsidRPr="00EC490F">
        <w:rPr>
          <w:iCs/>
          <w:color w:val="000000" w:themeColor="text1"/>
          <w:szCs w:val="24"/>
        </w:rPr>
        <w:t xml:space="preserve">(the Determination) is to revoke and amend instruments made under </w:t>
      </w:r>
      <w:r w:rsidR="00C46D92">
        <w:rPr>
          <w:iCs/>
          <w:color w:val="000000" w:themeColor="text1"/>
          <w:szCs w:val="24"/>
        </w:rPr>
        <w:t>sub</w:t>
      </w:r>
      <w:r w:rsidRPr="00EC490F">
        <w:rPr>
          <w:iCs/>
          <w:color w:val="000000" w:themeColor="text1"/>
          <w:szCs w:val="24"/>
        </w:rPr>
        <w:t>section 3C</w:t>
      </w:r>
      <w:r w:rsidR="00C46D92">
        <w:rPr>
          <w:iCs/>
          <w:color w:val="000000" w:themeColor="text1"/>
          <w:szCs w:val="24"/>
        </w:rPr>
        <w:t>(1)</w:t>
      </w:r>
      <w:r w:rsidRPr="00EC490F">
        <w:rPr>
          <w:iCs/>
          <w:color w:val="000000" w:themeColor="text1"/>
          <w:szCs w:val="24"/>
        </w:rPr>
        <w:t xml:space="preserve"> of the Act because items included in those instruments will be included in the GMST, DIST and PST from </w:t>
      </w:r>
      <w:r w:rsidRPr="00EC490F">
        <w:rPr>
          <w:iCs/>
          <w:color w:val="000000" w:themeColor="text1"/>
          <w:szCs w:val="24"/>
        </w:rPr>
        <w:lastRenderedPageBreak/>
        <w:t>1 March 2021</w:t>
      </w:r>
      <w:r>
        <w:rPr>
          <w:iCs/>
          <w:color w:val="000000" w:themeColor="text1"/>
          <w:szCs w:val="24"/>
        </w:rPr>
        <w:t xml:space="preserve">. </w:t>
      </w:r>
      <w:r w:rsidRPr="0048778D">
        <w:rPr>
          <w:iCs/>
          <w:color w:val="000000" w:themeColor="text1"/>
        </w:rPr>
        <w:t xml:space="preserve">This is an administrative </w:t>
      </w:r>
      <w:r>
        <w:rPr>
          <w:iCs/>
          <w:color w:val="000000" w:themeColor="text1"/>
        </w:rPr>
        <w:t xml:space="preserve">change </w:t>
      </w:r>
      <w:r w:rsidRPr="0048778D">
        <w:rPr>
          <w:iCs/>
          <w:color w:val="000000" w:themeColor="text1"/>
        </w:rPr>
        <w:t>and there is no change to the Medicare arrangements for patients or providers.</w:t>
      </w:r>
    </w:p>
    <w:p w14:paraId="17E893C3" w14:textId="77777777" w:rsidR="00EC490F" w:rsidRDefault="00EC490F" w:rsidP="00ED751C">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p>
    <w:p w14:paraId="1D7D2628" w14:textId="3C051175" w:rsidR="000C17A5" w:rsidRPr="000C17A5" w:rsidRDefault="000C17A5" w:rsidP="000C17A5">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r w:rsidRPr="000C17A5">
        <w:rPr>
          <w:iCs/>
          <w:color w:val="000000" w:themeColor="text1"/>
        </w:rPr>
        <w:t xml:space="preserve">From 1 March 2021, the </w:t>
      </w:r>
      <w:r w:rsidRPr="000C17A5">
        <w:rPr>
          <w:i/>
          <w:iCs/>
          <w:color w:val="000000" w:themeColor="text1"/>
        </w:rPr>
        <w:t xml:space="preserve">Health Insurance Legislation Amendment (2020 Measures No. 3) Regulations 2020 </w:t>
      </w:r>
      <w:r w:rsidRPr="000C17A5">
        <w:rPr>
          <w:iCs/>
          <w:color w:val="000000" w:themeColor="text1"/>
        </w:rPr>
        <w:t>(the Regulations)</w:t>
      </w:r>
      <w:r w:rsidRPr="000C17A5">
        <w:rPr>
          <w:i/>
          <w:iCs/>
          <w:color w:val="000000" w:themeColor="text1"/>
        </w:rPr>
        <w:t xml:space="preserve"> </w:t>
      </w:r>
      <w:r w:rsidRPr="000C17A5">
        <w:rPr>
          <w:iCs/>
          <w:color w:val="000000" w:themeColor="text1"/>
        </w:rPr>
        <w:t xml:space="preserve">will list items which are currently listed in instruments made under </w:t>
      </w:r>
      <w:r w:rsidR="00C46D92">
        <w:rPr>
          <w:iCs/>
          <w:color w:val="000000" w:themeColor="text1"/>
        </w:rPr>
        <w:t>sub</w:t>
      </w:r>
      <w:r w:rsidRPr="000C17A5">
        <w:rPr>
          <w:iCs/>
          <w:color w:val="000000" w:themeColor="text1"/>
        </w:rPr>
        <w:t>section 3C</w:t>
      </w:r>
      <w:r w:rsidR="00C46D92">
        <w:rPr>
          <w:iCs/>
          <w:color w:val="000000" w:themeColor="text1"/>
        </w:rPr>
        <w:t>(1)</w:t>
      </w:r>
      <w:r w:rsidRPr="000C17A5">
        <w:rPr>
          <w:iCs/>
          <w:color w:val="000000" w:themeColor="text1"/>
        </w:rPr>
        <w:t xml:space="preserve"> of the Act in the following tables:</w:t>
      </w:r>
    </w:p>
    <w:p w14:paraId="606DB312" w14:textId="195E1878" w:rsidR="0016000A" w:rsidRDefault="0016000A" w:rsidP="0016000A">
      <w:pPr>
        <w:pStyle w:val="ListParagraph"/>
        <w:numPr>
          <w:ilvl w:val="0"/>
          <w:numId w:val="35"/>
        </w:num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r>
        <w:rPr>
          <w:iCs/>
          <w:color w:val="000000" w:themeColor="text1"/>
        </w:rPr>
        <w:t>General Medical Services Table:</w:t>
      </w:r>
    </w:p>
    <w:p w14:paraId="49DD7A67" w14:textId="0C80CF87" w:rsidR="0016000A" w:rsidRDefault="0016000A" w:rsidP="0016000A">
      <w:pPr>
        <w:pStyle w:val="ListParagraph"/>
        <w:numPr>
          <w:ilvl w:val="0"/>
          <w:numId w:val="36"/>
        </w:numPr>
        <w:tabs>
          <w:tab w:val="left" w:pos="0"/>
          <w:tab w:val="left" w:pos="2160"/>
          <w:tab w:val="left" w:pos="3312"/>
          <w:tab w:val="left" w:pos="4464"/>
          <w:tab w:val="left" w:pos="5616"/>
          <w:tab w:val="left" w:pos="6768"/>
          <w:tab w:val="left" w:pos="7920"/>
          <w:tab w:val="left" w:pos="9072"/>
          <w:tab w:val="right" w:pos="9504"/>
        </w:tabs>
        <w:spacing w:line="279" w:lineRule="exact"/>
        <w:rPr>
          <w:i/>
          <w:iCs/>
          <w:color w:val="000000" w:themeColor="text1"/>
        </w:rPr>
      </w:pPr>
      <w:r w:rsidRPr="0016000A">
        <w:rPr>
          <w:i/>
          <w:iCs/>
          <w:color w:val="000000" w:themeColor="text1"/>
        </w:rPr>
        <w:t>Health Insurance (Section 3C General Medical Services – Cardiac Services) Determination 2020</w:t>
      </w:r>
    </w:p>
    <w:p w14:paraId="44A633A7" w14:textId="4A6143B3" w:rsidR="0016000A" w:rsidRDefault="0016000A" w:rsidP="0016000A">
      <w:pPr>
        <w:pStyle w:val="ListParagraph"/>
        <w:numPr>
          <w:ilvl w:val="0"/>
          <w:numId w:val="36"/>
        </w:numPr>
        <w:tabs>
          <w:tab w:val="left" w:pos="0"/>
          <w:tab w:val="left" w:pos="2160"/>
          <w:tab w:val="left" w:pos="3312"/>
          <w:tab w:val="left" w:pos="4464"/>
          <w:tab w:val="left" w:pos="5616"/>
          <w:tab w:val="left" w:pos="6768"/>
          <w:tab w:val="left" w:pos="7920"/>
          <w:tab w:val="left" w:pos="9072"/>
          <w:tab w:val="right" w:pos="9504"/>
        </w:tabs>
        <w:spacing w:line="279" w:lineRule="exact"/>
        <w:rPr>
          <w:i/>
          <w:iCs/>
          <w:color w:val="000000" w:themeColor="text1"/>
        </w:rPr>
      </w:pPr>
      <w:r w:rsidRPr="0016000A">
        <w:rPr>
          <w:i/>
          <w:iCs/>
          <w:color w:val="000000" w:themeColor="text1"/>
        </w:rPr>
        <w:t>Health Insurance (Section 3C General Medical Services – Eating Disorders Treatment Plan and Psychological Treatment Services) Determination 2019</w:t>
      </w:r>
    </w:p>
    <w:p w14:paraId="106F12C8" w14:textId="53446EAD" w:rsidR="0016000A" w:rsidRDefault="0016000A" w:rsidP="0016000A">
      <w:pPr>
        <w:pStyle w:val="ListParagraph"/>
        <w:numPr>
          <w:ilvl w:val="0"/>
          <w:numId w:val="36"/>
        </w:numPr>
        <w:tabs>
          <w:tab w:val="left" w:pos="0"/>
          <w:tab w:val="left" w:pos="2160"/>
          <w:tab w:val="left" w:pos="3312"/>
          <w:tab w:val="left" w:pos="4464"/>
          <w:tab w:val="left" w:pos="5616"/>
          <w:tab w:val="left" w:pos="6768"/>
          <w:tab w:val="left" w:pos="7920"/>
          <w:tab w:val="left" w:pos="9072"/>
          <w:tab w:val="right" w:pos="9504"/>
        </w:tabs>
        <w:spacing w:line="279" w:lineRule="exact"/>
        <w:rPr>
          <w:i/>
          <w:iCs/>
          <w:color w:val="000000" w:themeColor="text1"/>
        </w:rPr>
      </w:pPr>
      <w:r w:rsidRPr="0016000A">
        <w:rPr>
          <w:i/>
          <w:iCs/>
          <w:color w:val="000000" w:themeColor="text1"/>
        </w:rPr>
        <w:t>Health Insurance (Section 3C General Medical Services—Transvaginal repair of pelvic organ prolapse and procedures for the excision of graft material) Determination 2018</w:t>
      </w:r>
    </w:p>
    <w:p w14:paraId="0356C0E3" w14:textId="06E754CE" w:rsidR="0016000A" w:rsidRDefault="0016000A" w:rsidP="0016000A">
      <w:pPr>
        <w:pStyle w:val="ListParagraph"/>
        <w:numPr>
          <w:ilvl w:val="0"/>
          <w:numId w:val="36"/>
        </w:numPr>
        <w:tabs>
          <w:tab w:val="left" w:pos="0"/>
          <w:tab w:val="left" w:pos="2160"/>
          <w:tab w:val="left" w:pos="3312"/>
          <w:tab w:val="left" w:pos="4464"/>
          <w:tab w:val="left" w:pos="5616"/>
          <w:tab w:val="left" w:pos="6768"/>
          <w:tab w:val="left" w:pos="7920"/>
          <w:tab w:val="left" w:pos="9072"/>
          <w:tab w:val="right" w:pos="9504"/>
        </w:tabs>
        <w:spacing w:line="279" w:lineRule="exact"/>
        <w:rPr>
          <w:i/>
          <w:iCs/>
          <w:color w:val="000000" w:themeColor="text1"/>
        </w:rPr>
      </w:pPr>
      <w:r w:rsidRPr="0016000A">
        <w:rPr>
          <w:i/>
          <w:iCs/>
          <w:color w:val="000000" w:themeColor="text1"/>
        </w:rPr>
        <w:t>Health Insurance (Section 3C General Medical Services – Optical Coherence Tomography) Determination 2018</w:t>
      </w:r>
    </w:p>
    <w:p w14:paraId="6537F9DF" w14:textId="093F1252" w:rsidR="0016000A" w:rsidRDefault="0016000A" w:rsidP="0016000A">
      <w:pPr>
        <w:pStyle w:val="ListParagraph"/>
        <w:numPr>
          <w:ilvl w:val="0"/>
          <w:numId w:val="35"/>
        </w:num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r w:rsidRPr="0016000A">
        <w:rPr>
          <w:iCs/>
          <w:color w:val="000000" w:themeColor="text1"/>
        </w:rPr>
        <w:t>Diagnostic Imaging Services Table</w:t>
      </w:r>
      <w:r>
        <w:rPr>
          <w:iCs/>
          <w:color w:val="000000" w:themeColor="text1"/>
        </w:rPr>
        <w:t>:</w:t>
      </w:r>
    </w:p>
    <w:p w14:paraId="53AE950D" w14:textId="62DDE058" w:rsidR="0016000A" w:rsidRPr="0016000A" w:rsidRDefault="0016000A" w:rsidP="0016000A">
      <w:pPr>
        <w:pStyle w:val="ListParagraph"/>
        <w:numPr>
          <w:ilvl w:val="0"/>
          <w:numId w:val="36"/>
        </w:numPr>
        <w:tabs>
          <w:tab w:val="left" w:pos="0"/>
          <w:tab w:val="left" w:pos="2160"/>
          <w:tab w:val="left" w:pos="3312"/>
          <w:tab w:val="left" w:pos="4464"/>
          <w:tab w:val="left" w:pos="5616"/>
          <w:tab w:val="left" w:pos="6768"/>
          <w:tab w:val="left" w:pos="7920"/>
          <w:tab w:val="left" w:pos="9072"/>
          <w:tab w:val="right" w:pos="9504"/>
        </w:tabs>
        <w:spacing w:line="279" w:lineRule="exact"/>
        <w:rPr>
          <w:i/>
          <w:iCs/>
          <w:color w:val="000000" w:themeColor="text1"/>
        </w:rPr>
      </w:pPr>
      <w:r w:rsidRPr="0016000A">
        <w:rPr>
          <w:i/>
          <w:iCs/>
          <w:color w:val="000000" w:themeColor="text1"/>
        </w:rPr>
        <w:t>Health Insurance (Section 3C Diagnostic Imaging Services – Cardiac Services) Determination 2020</w:t>
      </w:r>
    </w:p>
    <w:p w14:paraId="74F47A5D" w14:textId="40C5156F" w:rsidR="0016000A" w:rsidRPr="0016000A" w:rsidRDefault="0016000A" w:rsidP="0016000A">
      <w:pPr>
        <w:pStyle w:val="ListParagraph"/>
        <w:numPr>
          <w:ilvl w:val="0"/>
          <w:numId w:val="36"/>
        </w:numPr>
        <w:tabs>
          <w:tab w:val="left" w:pos="0"/>
          <w:tab w:val="left" w:pos="2160"/>
          <w:tab w:val="left" w:pos="3312"/>
          <w:tab w:val="left" w:pos="4464"/>
          <w:tab w:val="left" w:pos="5616"/>
          <w:tab w:val="left" w:pos="6768"/>
          <w:tab w:val="left" w:pos="7920"/>
          <w:tab w:val="left" w:pos="9072"/>
          <w:tab w:val="right" w:pos="9504"/>
        </w:tabs>
        <w:spacing w:line="279" w:lineRule="exact"/>
        <w:rPr>
          <w:i/>
          <w:iCs/>
          <w:color w:val="000000" w:themeColor="text1"/>
        </w:rPr>
      </w:pPr>
      <w:r w:rsidRPr="0016000A">
        <w:rPr>
          <w:i/>
          <w:iCs/>
          <w:color w:val="000000" w:themeColor="text1"/>
        </w:rPr>
        <w:t>Health Insurance (Section 3C Diagnostic Imaging Services – Computed Tomography Angiography) Determination 2020</w:t>
      </w:r>
    </w:p>
    <w:p w14:paraId="63D409AE" w14:textId="7FCDBE06" w:rsidR="0016000A" w:rsidRDefault="0016000A" w:rsidP="0016000A">
      <w:pPr>
        <w:pStyle w:val="ListParagraph"/>
        <w:numPr>
          <w:ilvl w:val="0"/>
          <w:numId w:val="35"/>
        </w:num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r>
        <w:rPr>
          <w:iCs/>
          <w:color w:val="000000" w:themeColor="text1"/>
        </w:rPr>
        <w:t>Pathology Services Table:</w:t>
      </w:r>
    </w:p>
    <w:p w14:paraId="12FFF5D3" w14:textId="683C37B2" w:rsidR="0016000A" w:rsidRPr="0016000A" w:rsidRDefault="0016000A" w:rsidP="0016000A">
      <w:pPr>
        <w:pStyle w:val="ListParagraph"/>
        <w:numPr>
          <w:ilvl w:val="0"/>
          <w:numId w:val="36"/>
        </w:numPr>
        <w:tabs>
          <w:tab w:val="left" w:pos="0"/>
          <w:tab w:val="left" w:pos="2160"/>
          <w:tab w:val="left" w:pos="3312"/>
          <w:tab w:val="left" w:pos="4464"/>
          <w:tab w:val="left" w:pos="5616"/>
          <w:tab w:val="left" w:pos="6768"/>
          <w:tab w:val="left" w:pos="7920"/>
          <w:tab w:val="left" w:pos="9072"/>
          <w:tab w:val="right" w:pos="9504"/>
        </w:tabs>
        <w:spacing w:line="279" w:lineRule="exact"/>
        <w:rPr>
          <w:i/>
          <w:iCs/>
          <w:color w:val="000000" w:themeColor="text1"/>
        </w:rPr>
      </w:pPr>
      <w:r w:rsidRPr="0016000A">
        <w:rPr>
          <w:i/>
          <w:iCs/>
          <w:color w:val="000000" w:themeColor="text1"/>
        </w:rPr>
        <w:t>Health Insurance (Section 3C Pathology Services – Archival Tissue Retrieval) Determination 2019</w:t>
      </w:r>
    </w:p>
    <w:p w14:paraId="362FE9B9" w14:textId="18CAA4F7" w:rsidR="00D3259F" w:rsidRDefault="00D3259F" w:rsidP="00ED751C">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iCs/>
          <w:color w:val="000000" w:themeColor="text1"/>
        </w:rPr>
      </w:pPr>
    </w:p>
    <w:p w14:paraId="3B0FCB5A" w14:textId="77777777" w:rsidR="00EC490F" w:rsidRDefault="00EC490F" w:rsidP="00EC490F">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r>
        <w:rPr>
          <w:iCs/>
          <w:color w:val="000000" w:themeColor="text1"/>
        </w:rPr>
        <w:t>Schedule 1 of the Determination will repeal these instruments from 1 March 2021. This is an administrative change, as these items will be listed in the tables.</w:t>
      </w:r>
    </w:p>
    <w:p w14:paraId="67F91096" w14:textId="77777777" w:rsidR="00EC490F" w:rsidRDefault="00EC490F" w:rsidP="00EC490F">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p>
    <w:p w14:paraId="0E146DC2" w14:textId="77777777" w:rsidR="006D645C" w:rsidRPr="006D645C" w:rsidRDefault="006D645C" w:rsidP="006D645C">
      <w:pPr>
        <w:tabs>
          <w:tab w:val="left" w:pos="0"/>
          <w:tab w:val="left" w:pos="1008"/>
          <w:tab w:val="left" w:pos="2160"/>
          <w:tab w:val="left" w:pos="3312"/>
          <w:tab w:val="left" w:pos="4464"/>
          <w:tab w:val="left" w:pos="5616"/>
          <w:tab w:val="left" w:pos="6768"/>
          <w:tab w:val="left" w:pos="7920"/>
          <w:tab w:val="left" w:pos="9072"/>
          <w:tab w:val="right" w:pos="9504"/>
        </w:tabs>
        <w:rPr>
          <w:iCs/>
          <w:color w:val="000000" w:themeColor="text1"/>
          <w:szCs w:val="24"/>
        </w:rPr>
      </w:pPr>
      <w:r w:rsidRPr="006D645C">
        <w:rPr>
          <w:iCs/>
          <w:color w:val="000000" w:themeColor="text1"/>
          <w:szCs w:val="24"/>
        </w:rPr>
        <w:t xml:space="preserve">The Regulations will also list items 2729 and 2731, which are for focused psychological strategies by videoconference, in the GMST from 1 March 2021. </w:t>
      </w:r>
    </w:p>
    <w:p w14:paraId="40C37522" w14:textId="77777777" w:rsidR="006D645C" w:rsidRPr="006D645C" w:rsidRDefault="006D645C" w:rsidP="006D645C">
      <w:pPr>
        <w:tabs>
          <w:tab w:val="left" w:pos="0"/>
          <w:tab w:val="left" w:pos="1008"/>
          <w:tab w:val="left" w:pos="2160"/>
          <w:tab w:val="left" w:pos="3312"/>
          <w:tab w:val="left" w:pos="4464"/>
          <w:tab w:val="left" w:pos="5616"/>
          <w:tab w:val="left" w:pos="6768"/>
          <w:tab w:val="left" w:pos="7920"/>
          <w:tab w:val="left" w:pos="9072"/>
          <w:tab w:val="right" w:pos="9504"/>
        </w:tabs>
        <w:rPr>
          <w:iCs/>
          <w:color w:val="000000" w:themeColor="text1"/>
          <w:szCs w:val="24"/>
        </w:rPr>
      </w:pPr>
    </w:p>
    <w:p w14:paraId="25716209" w14:textId="77777777" w:rsidR="006D645C" w:rsidRPr="006D645C" w:rsidRDefault="006D645C" w:rsidP="006D645C">
      <w:pPr>
        <w:tabs>
          <w:tab w:val="left" w:pos="0"/>
          <w:tab w:val="left" w:pos="1008"/>
          <w:tab w:val="left" w:pos="2160"/>
          <w:tab w:val="left" w:pos="3312"/>
          <w:tab w:val="left" w:pos="4464"/>
          <w:tab w:val="left" w:pos="5616"/>
          <w:tab w:val="left" w:pos="6768"/>
          <w:tab w:val="left" w:pos="7920"/>
          <w:tab w:val="left" w:pos="9072"/>
          <w:tab w:val="right" w:pos="9504"/>
        </w:tabs>
        <w:rPr>
          <w:iCs/>
          <w:color w:val="000000" w:themeColor="text1"/>
          <w:szCs w:val="24"/>
        </w:rPr>
      </w:pPr>
      <w:r w:rsidRPr="006D645C">
        <w:rPr>
          <w:iCs/>
          <w:color w:val="000000" w:themeColor="text1"/>
          <w:szCs w:val="24"/>
        </w:rPr>
        <w:t xml:space="preserve">These items are currently listed in the </w:t>
      </w:r>
      <w:r w:rsidRPr="006D645C">
        <w:rPr>
          <w:i/>
          <w:iCs/>
          <w:color w:val="000000" w:themeColor="text1"/>
          <w:szCs w:val="24"/>
        </w:rPr>
        <w:t>Health Insurance (Section 3C General Medical Services - General Practitioner Telehealth Services) Determination 2018</w:t>
      </w:r>
      <w:r w:rsidRPr="006D645C">
        <w:rPr>
          <w:iCs/>
          <w:color w:val="000000" w:themeColor="text1"/>
          <w:szCs w:val="24"/>
        </w:rPr>
        <w:t xml:space="preserve"> (the Telehealth Services Determination). The Telehealth Services Determination also lists items 2121, 2150 and 2196, which are for mental health services for patients affected by bushfire.</w:t>
      </w:r>
    </w:p>
    <w:p w14:paraId="09CAAE18" w14:textId="77777777" w:rsidR="006D645C" w:rsidRPr="006D645C" w:rsidRDefault="006D645C" w:rsidP="006D645C">
      <w:pPr>
        <w:tabs>
          <w:tab w:val="left" w:pos="0"/>
          <w:tab w:val="left" w:pos="1008"/>
          <w:tab w:val="left" w:pos="2160"/>
          <w:tab w:val="left" w:pos="3312"/>
          <w:tab w:val="left" w:pos="4464"/>
          <w:tab w:val="left" w:pos="5616"/>
          <w:tab w:val="left" w:pos="6768"/>
          <w:tab w:val="left" w:pos="7920"/>
          <w:tab w:val="left" w:pos="9072"/>
          <w:tab w:val="right" w:pos="9504"/>
        </w:tabs>
        <w:rPr>
          <w:iCs/>
          <w:color w:val="000000" w:themeColor="text1"/>
          <w:szCs w:val="24"/>
        </w:rPr>
      </w:pPr>
    </w:p>
    <w:p w14:paraId="3F857263" w14:textId="77777777" w:rsidR="006D645C" w:rsidRPr="006D645C" w:rsidRDefault="006D645C" w:rsidP="006D645C">
      <w:pPr>
        <w:tabs>
          <w:tab w:val="left" w:pos="0"/>
          <w:tab w:val="left" w:pos="1008"/>
          <w:tab w:val="left" w:pos="2160"/>
          <w:tab w:val="left" w:pos="3312"/>
          <w:tab w:val="left" w:pos="4464"/>
          <w:tab w:val="left" w:pos="5616"/>
          <w:tab w:val="left" w:pos="6768"/>
          <w:tab w:val="left" w:pos="7920"/>
          <w:tab w:val="left" w:pos="9072"/>
          <w:tab w:val="right" w:pos="9504"/>
        </w:tabs>
        <w:rPr>
          <w:iCs/>
          <w:color w:val="000000" w:themeColor="text1"/>
          <w:szCs w:val="24"/>
        </w:rPr>
      </w:pPr>
      <w:r w:rsidRPr="006D645C">
        <w:rPr>
          <w:iCs/>
          <w:color w:val="000000" w:themeColor="text1"/>
          <w:szCs w:val="24"/>
        </w:rPr>
        <w:lastRenderedPageBreak/>
        <w:t>Schedule 2 of the Determination will amend the Telehealth Services Determination to remove items 2729 and 2731, including definitions and applications relevant to these services, as these items will be listed in the GMST. The bushfire items (2121, 2150 and 2196) will continue to be listed in the Telehealth Services Determination. This is an administrative change and there is no change to the Medicare arrangements for patients or providers.</w:t>
      </w:r>
    </w:p>
    <w:p w14:paraId="77E835B2" w14:textId="6E290BBF" w:rsidR="00693A3E" w:rsidRPr="00F240F2" w:rsidRDefault="0048778D" w:rsidP="00693A3E">
      <w:pPr>
        <w:shd w:val="clear" w:color="auto" w:fill="FFFFFF"/>
        <w:spacing w:before="100" w:beforeAutospacing="1"/>
        <w:rPr>
          <w:b/>
        </w:rPr>
      </w:pPr>
      <w:r>
        <w:rPr>
          <w:b/>
        </w:rPr>
        <w:t>C</w:t>
      </w:r>
      <w:r w:rsidR="00A1739A" w:rsidRPr="00F240F2">
        <w:rPr>
          <w:b/>
        </w:rPr>
        <w:t>onsultation</w:t>
      </w:r>
    </w:p>
    <w:p w14:paraId="36E517B5" w14:textId="6B905869" w:rsidR="0048778D" w:rsidRDefault="0048778D" w:rsidP="00693A3E">
      <w:pPr>
        <w:shd w:val="clear" w:color="auto" w:fill="FFFFFF"/>
      </w:pPr>
      <w:r w:rsidRPr="0048778D">
        <w:t xml:space="preserve">Consultation was not undertaken for this instrument as the revocation </w:t>
      </w:r>
      <w:r w:rsidR="00EC490F">
        <w:t xml:space="preserve">and amendment </w:t>
      </w:r>
      <w:r w:rsidRPr="0048778D">
        <w:t>of the</w:t>
      </w:r>
      <w:r w:rsidR="00EC490F">
        <w:t>se</w:t>
      </w:r>
      <w:r w:rsidRPr="0048778D">
        <w:t xml:space="preserve"> instruments is machinery in nature and does not alter existing arrangements. There is no change to the arrangements for patients and health professionals, and Medicare will continue to subsidise those services.</w:t>
      </w:r>
    </w:p>
    <w:p w14:paraId="613BD6AB" w14:textId="0E51E7F1" w:rsidR="0048778D" w:rsidRDefault="0048778D" w:rsidP="00693A3E">
      <w:pPr>
        <w:shd w:val="clear" w:color="auto" w:fill="FFFFFF"/>
      </w:pPr>
    </w:p>
    <w:p w14:paraId="2412D134" w14:textId="325FF5A8" w:rsidR="00967E51" w:rsidRPr="00F240F2" w:rsidRDefault="00A1739A" w:rsidP="000337CB">
      <w:pPr>
        <w:rPr>
          <w:szCs w:val="24"/>
        </w:rPr>
      </w:pPr>
      <w:r w:rsidRPr="00F240F2">
        <w:rPr>
          <w:szCs w:val="24"/>
        </w:rPr>
        <w:t xml:space="preserve">Details of the </w:t>
      </w:r>
      <w:r w:rsidR="00574E71" w:rsidRPr="00F240F2">
        <w:rPr>
          <w:szCs w:val="24"/>
        </w:rPr>
        <w:t>Determination</w:t>
      </w:r>
      <w:r w:rsidRPr="00F240F2">
        <w:rPr>
          <w:szCs w:val="24"/>
        </w:rPr>
        <w:t xml:space="preserve"> are set out in the </w:t>
      </w:r>
      <w:r w:rsidRPr="00F240F2">
        <w:rPr>
          <w:szCs w:val="24"/>
          <w:u w:val="single"/>
        </w:rPr>
        <w:t>Attachment</w:t>
      </w:r>
      <w:r w:rsidRPr="00F240F2">
        <w:rPr>
          <w:szCs w:val="24"/>
        </w:rPr>
        <w:t>.</w:t>
      </w:r>
    </w:p>
    <w:p w14:paraId="2412D135" w14:textId="5B652FB6" w:rsidR="006C138D" w:rsidRPr="00F240F2" w:rsidRDefault="0048778D" w:rsidP="006C138D">
      <w:pPr>
        <w:tabs>
          <w:tab w:val="left" w:pos="567"/>
        </w:tabs>
        <w:spacing w:before="240"/>
        <w:rPr>
          <w:szCs w:val="24"/>
        </w:rPr>
      </w:pPr>
      <w:r>
        <w:rPr>
          <w:szCs w:val="24"/>
        </w:rPr>
        <w:t>The Determination commences on 1 March 2021.</w:t>
      </w:r>
    </w:p>
    <w:p w14:paraId="2412D136" w14:textId="77777777" w:rsidR="00236DF2" w:rsidRPr="00F240F2" w:rsidRDefault="00236DF2" w:rsidP="00574E71">
      <w:pPr>
        <w:rPr>
          <w:szCs w:val="24"/>
        </w:rPr>
      </w:pPr>
    </w:p>
    <w:p w14:paraId="2412D138" w14:textId="260D126F" w:rsidR="00574E71" w:rsidRPr="00F240F2" w:rsidRDefault="0002728B" w:rsidP="00DE07E4">
      <w:pPr>
        <w:spacing w:after="200" w:line="276" w:lineRule="auto"/>
        <w:rPr>
          <w:szCs w:val="24"/>
        </w:rPr>
      </w:pPr>
      <w:r w:rsidRPr="00F240F2">
        <w:rPr>
          <w:szCs w:val="24"/>
        </w:rPr>
        <w:t>T</w:t>
      </w:r>
      <w:r w:rsidR="00574E71" w:rsidRPr="00F240F2">
        <w:rPr>
          <w:szCs w:val="24"/>
        </w:rPr>
        <w:t xml:space="preserve">he Determination is </w:t>
      </w:r>
      <w:r w:rsidR="004417A2" w:rsidRPr="00F240F2">
        <w:rPr>
          <w:szCs w:val="24"/>
        </w:rPr>
        <w:t xml:space="preserve">a </w:t>
      </w:r>
      <w:r w:rsidR="00574E71" w:rsidRPr="00F240F2">
        <w:rPr>
          <w:szCs w:val="24"/>
        </w:rPr>
        <w:t xml:space="preserve">legislative instrument for the purposes of the </w:t>
      </w:r>
      <w:r w:rsidR="00574E71" w:rsidRPr="00F240F2">
        <w:rPr>
          <w:i/>
        </w:rPr>
        <w:t>Legislation Act 2003</w:t>
      </w:r>
      <w:r w:rsidR="00574E71" w:rsidRPr="00F240F2">
        <w:rPr>
          <w:szCs w:val="24"/>
        </w:rPr>
        <w:t>.</w:t>
      </w:r>
    </w:p>
    <w:p w14:paraId="2412D139" w14:textId="77777777" w:rsidR="00A1739A" w:rsidRPr="00F240F2" w:rsidRDefault="00A1739A" w:rsidP="000337CB">
      <w:pPr>
        <w:ind w:left="6663" w:hanging="3119"/>
        <w:rPr>
          <w:szCs w:val="24"/>
        </w:rPr>
      </w:pPr>
      <w:r w:rsidRPr="00F240F2">
        <w:rPr>
          <w:szCs w:val="24"/>
        </w:rPr>
        <w:t xml:space="preserve">           </w:t>
      </w:r>
    </w:p>
    <w:p w14:paraId="2412D13A" w14:textId="77777777" w:rsidR="00A1739A" w:rsidRPr="00F240F2" w:rsidRDefault="00A1739A" w:rsidP="000337CB">
      <w:pPr>
        <w:ind w:left="6663" w:hanging="3119"/>
        <w:rPr>
          <w:szCs w:val="24"/>
        </w:rPr>
      </w:pPr>
      <w:r w:rsidRPr="00F240F2">
        <w:rPr>
          <w:szCs w:val="24"/>
          <w:u w:val="single"/>
        </w:rPr>
        <w:t>Authority</w:t>
      </w:r>
      <w:r w:rsidR="00967E51" w:rsidRPr="00F240F2">
        <w:rPr>
          <w:szCs w:val="24"/>
        </w:rPr>
        <w:t xml:space="preserve">:     Subsection </w:t>
      </w:r>
      <w:r w:rsidRPr="00F240F2">
        <w:rPr>
          <w:szCs w:val="24"/>
        </w:rPr>
        <w:t>3</w:t>
      </w:r>
      <w:r w:rsidR="00967E51" w:rsidRPr="00F240F2">
        <w:rPr>
          <w:szCs w:val="24"/>
        </w:rPr>
        <w:t>C</w:t>
      </w:r>
      <w:r w:rsidRPr="00F240F2">
        <w:rPr>
          <w:szCs w:val="24"/>
        </w:rPr>
        <w:t xml:space="preserve">(1) of the </w:t>
      </w:r>
    </w:p>
    <w:p w14:paraId="2412D13B" w14:textId="0596CD30" w:rsidR="00A1739A" w:rsidRPr="00F240F2" w:rsidRDefault="00A1739A" w:rsidP="000337CB">
      <w:pPr>
        <w:tabs>
          <w:tab w:val="left" w:pos="4820"/>
        </w:tabs>
        <w:rPr>
          <w:szCs w:val="24"/>
        </w:rPr>
        <w:sectPr w:rsidR="00A1739A" w:rsidRPr="00F240F2" w:rsidSect="00235B6C">
          <w:headerReference w:type="default" r:id="rId11"/>
          <w:pgSz w:w="11906" w:h="16838"/>
          <w:pgMar w:top="1440" w:right="1800" w:bottom="1135" w:left="1800" w:header="708" w:footer="708" w:gutter="0"/>
          <w:pgNumType w:start="1"/>
          <w:cols w:space="708"/>
          <w:docGrid w:linePitch="360"/>
        </w:sectPr>
      </w:pPr>
      <w:r w:rsidRPr="00F240F2">
        <w:rPr>
          <w:i/>
          <w:szCs w:val="24"/>
        </w:rPr>
        <w:tab/>
        <w:t>Health Insurance Act 1973</w:t>
      </w:r>
    </w:p>
    <w:p w14:paraId="2412D13D" w14:textId="77777777" w:rsidR="006D5816" w:rsidRPr="00F240F2" w:rsidRDefault="006D5816" w:rsidP="000337CB">
      <w:pPr>
        <w:pStyle w:val="BodyText"/>
        <w:jc w:val="right"/>
        <w:rPr>
          <w:szCs w:val="24"/>
        </w:rPr>
      </w:pPr>
      <w:r w:rsidRPr="00F240F2">
        <w:rPr>
          <w:szCs w:val="24"/>
        </w:rPr>
        <w:lastRenderedPageBreak/>
        <w:t>ATTACHMENT</w:t>
      </w:r>
    </w:p>
    <w:p w14:paraId="2412D13E" w14:textId="77777777" w:rsidR="006D5816" w:rsidRPr="00F240F2" w:rsidRDefault="006D5816" w:rsidP="000337CB">
      <w:pPr>
        <w:pStyle w:val="BodyText"/>
        <w:rPr>
          <w:szCs w:val="24"/>
          <w:u w:val="single"/>
        </w:rPr>
      </w:pPr>
    </w:p>
    <w:p w14:paraId="7BBEB147" w14:textId="517F3BA6" w:rsidR="00E70355" w:rsidRPr="00F240F2" w:rsidRDefault="00A41364" w:rsidP="000337CB">
      <w:pPr>
        <w:pStyle w:val="BodyText"/>
        <w:rPr>
          <w:i/>
          <w:iCs/>
          <w:color w:val="000000" w:themeColor="text1"/>
        </w:rPr>
      </w:pPr>
      <w:r w:rsidRPr="00F240F2">
        <w:rPr>
          <w:color w:val="000000" w:themeColor="text1"/>
          <w:szCs w:val="24"/>
        </w:rPr>
        <w:t xml:space="preserve">Details of the </w:t>
      </w:r>
      <w:r w:rsidR="00945D58" w:rsidRPr="00F240F2">
        <w:rPr>
          <w:i/>
          <w:iCs/>
          <w:color w:val="000000" w:themeColor="text1"/>
        </w:rPr>
        <w:t xml:space="preserve">Health Insurance </w:t>
      </w:r>
      <w:r w:rsidR="007A682A">
        <w:rPr>
          <w:i/>
          <w:iCs/>
          <w:color w:val="000000" w:themeColor="text1"/>
        </w:rPr>
        <w:t xml:space="preserve">Legislation </w:t>
      </w:r>
      <w:r w:rsidR="00945D58" w:rsidRPr="00F240F2">
        <w:rPr>
          <w:i/>
          <w:iCs/>
          <w:color w:val="000000" w:themeColor="text1"/>
        </w:rPr>
        <w:t>Amendment Determination 202</w:t>
      </w:r>
      <w:r w:rsidR="007A682A">
        <w:rPr>
          <w:i/>
          <w:iCs/>
          <w:color w:val="000000" w:themeColor="text1"/>
        </w:rPr>
        <w:t>1</w:t>
      </w:r>
    </w:p>
    <w:p w14:paraId="4D7C0240" w14:textId="77777777" w:rsidR="00945D58" w:rsidRPr="00F240F2" w:rsidRDefault="00945D58" w:rsidP="000337CB">
      <w:pPr>
        <w:pStyle w:val="BodyText"/>
        <w:rPr>
          <w:b w:val="0"/>
          <w:i/>
          <w:szCs w:val="24"/>
        </w:rPr>
      </w:pPr>
    </w:p>
    <w:p w14:paraId="2412D141" w14:textId="7C34D5F4" w:rsidR="00FE02C2" w:rsidRPr="00F240F2" w:rsidRDefault="001B0111" w:rsidP="000337CB">
      <w:pPr>
        <w:pStyle w:val="BodyText"/>
        <w:rPr>
          <w:b w:val="0"/>
          <w:szCs w:val="24"/>
          <w:u w:val="single"/>
        </w:rPr>
      </w:pPr>
      <w:r w:rsidRPr="00F240F2">
        <w:rPr>
          <w:b w:val="0"/>
          <w:szCs w:val="24"/>
          <w:u w:val="single"/>
        </w:rPr>
        <w:t>Section 1 – Name</w:t>
      </w:r>
    </w:p>
    <w:p w14:paraId="2412D142" w14:textId="77777777" w:rsidR="00FE02C2" w:rsidRPr="00F240F2" w:rsidRDefault="00FE02C2" w:rsidP="000337CB">
      <w:pPr>
        <w:pStyle w:val="BodyText"/>
        <w:rPr>
          <w:b w:val="0"/>
          <w:szCs w:val="24"/>
          <w:u w:val="single"/>
        </w:rPr>
      </w:pPr>
    </w:p>
    <w:p w14:paraId="68DAA207" w14:textId="24491A06" w:rsidR="00FD602D" w:rsidRPr="00F240F2" w:rsidRDefault="00BC7397" w:rsidP="00945D58">
      <w:pPr>
        <w:pStyle w:val="BodyText"/>
        <w:rPr>
          <w:b w:val="0"/>
          <w:color w:val="FF0000"/>
          <w:szCs w:val="24"/>
        </w:rPr>
      </w:pPr>
      <w:r w:rsidRPr="00F240F2">
        <w:rPr>
          <w:b w:val="0"/>
          <w:szCs w:val="24"/>
        </w:rPr>
        <w:t>S</w:t>
      </w:r>
      <w:r w:rsidR="00FE02C2" w:rsidRPr="00F240F2">
        <w:rPr>
          <w:b w:val="0"/>
          <w:szCs w:val="24"/>
        </w:rPr>
        <w:t xml:space="preserve">ection </w:t>
      </w:r>
      <w:r w:rsidRPr="00F240F2">
        <w:rPr>
          <w:b w:val="0"/>
          <w:szCs w:val="24"/>
        </w:rPr>
        <w:t xml:space="preserve">1 </w:t>
      </w:r>
      <w:r w:rsidR="00FE02C2" w:rsidRPr="00F240F2">
        <w:rPr>
          <w:b w:val="0"/>
          <w:szCs w:val="24"/>
        </w:rPr>
        <w:t>provides</w:t>
      </w:r>
      <w:r w:rsidR="008B683E" w:rsidRPr="00F240F2">
        <w:rPr>
          <w:b w:val="0"/>
          <w:szCs w:val="24"/>
        </w:rPr>
        <w:t xml:space="preserve"> for the </w:t>
      </w:r>
      <w:r w:rsidR="008B2094" w:rsidRPr="00F240F2">
        <w:rPr>
          <w:b w:val="0"/>
          <w:szCs w:val="24"/>
        </w:rPr>
        <w:t>Determination</w:t>
      </w:r>
      <w:r w:rsidR="00FE02C2" w:rsidRPr="00F240F2">
        <w:rPr>
          <w:b w:val="0"/>
          <w:szCs w:val="24"/>
        </w:rPr>
        <w:t xml:space="preserve"> to be referred to as the </w:t>
      </w:r>
      <w:r w:rsidR="002F7984" w:rsidRPr="002F7984">
        <w:rPr>
          <w:b w:val="0"/>
          <w:i/>
          <w:color w:val="000000" w:themeColor="text1"/>
          <w:szCs w:val="24"/>
        </w:rPr>
        <w:t>Health Insurance</w:t>
      </w:r>
      <w:r w:rsidR="007A682A">
        <w:rPr>
          <w:b w:val="0"/>
          <w:i/>
          <w:color w:val="000000" w:themeColor="text1"/>
          <w:szCs w:val="24"/>
        </w:rPr>
        <w:t xml:space="preserve"> Legislation Amendment Determination 2021.</w:t>
      </w:r>
    </w:p>
    <w:p w14:paraId="2F234107" w14:textId="77777777" w:rsidR="00945D58" w:rsidRPr="00F240F2" w:rsidRDefault="00945D58" w:rsidP="00945D58">
      <w:pPr>
        <w:pStyle w:val="BodyText"/>
      </w:pPr>
    </w:p>
    <w:p w14:paraId="49D1E050" w14:textId="77777777" w:rsidR="007A4089" w:rsidRPr="00F240F2" w:rsidRDefault="00FE02C2" w:rsidP="000337CB">
      <w:pPr>
        <w:pStyle w:val="BodyText"/>
        <w:rPr>
          <w:b w:val="0"/>
          <w:szCs w:val="24"/>
          <w:u w:val="single"/>
        </w:rPr>
      </w:pPr>
      <w:r w:rsidRPr="00F240F2">
        <w:rPr>
          <w:b w:val="0"/>
          <w:szCs w:val="24"/>
          <w:u w:val="single"/>
        </w:rPr>
        <w:t xml:space="preserve">Section 2 – Commencement </w:t>
      </w:r>
    </w:p>
    <w:p w14:paraId="2DCE2ED0" w14:textId="77777777" w:rsidR="007A4089" w:rsidRPr="00F240F2" w:rsidRDefault="007A4089" w:rsidP="000337CB">
      <w:pPr>
        <w:pStyle w:val="BodyText"/>
        <w:rPr>
          <w:b w:val="0"/>
          <w:szCs w:val="24"/>
          <w:u w:val="single"/>
        </w:rPr>
      </w:pPr>
    </w:p>
    <w:p w14:paraId="2412D148" w14:textId="74D589A1" w:rsidR="00510A4F" w:rsidRPr="00F240F2" w:rsidRDefault="00510A4F" w:rsidP="000337CB">
      <w:pPr>
        <w:pStyle w:val="BodyText"/>
        <w:rPr>
          <w:b w:val="0"/>
          <w:color w:val="FF0000"/>
          <w:szCs w:val="24"/>
        </w:rPr>
      </w:pPr>
      <w:r w:rsidRPr="00F240F2">
        <w:rPr>
          <w:b w:val="0"/>
          <w:szCs w:val="24"/>
        </w:rPr>
        <w:t xml:space="preserve">Section 2 </w:t>
      </w:r>
      <w:r w:rsidR="00404F11" w:rsidRPr="00F240F2">
        <w:rPr>
          <w:b w:val="0"/>
          <w:szCs w:val="24"/>
        </w:rPr>
        <w:t xml:space="preserve">provides that </w:t>
      </w:r>
      <w:r w:rsidR="007A682A" w:rsidRPr="007A682A">
        <w:rPr>
          <w:b w:val="0"/>
          <w:szCs w:val="24"/>
        </w:rPr>
        <w:t>the Determination commences on 1 March 2021</w:t>
      </w:r>
      <w:r w:rsidR="00EC490F">
        <w:rPr>
          <w:b w:val="0"/>
          <w:szCs w:val="24"/>
        </w:rPr>
        <w:t>.</w:t>
      </w:r>
      <w:r w:rsidR="00C63FDC" w:rsidRPr="00F240F2">
        <w:rPr>
          <w:b w:val="0"/>
          <w:color w:val="000000" w:themeColor="text1"/>
          <w:szCs w:val="24"/>
        </w:rPr>
        <w:t xml:space="preserve"> </w:t>
      </w:r>
    </w:p>
    <w:p w14:paraId="16C03200" w14:textId="77777777" w:rsidR="007E0017" w:rsidRPr="00F240F2" w:rsidRDefault="007E0017" w:rsidP="000337CB">
      <w:pPr>
        <w:pStyle w:val="BodyText"/>
        <w:rPr>
          <w:b w:val="0"/>
          <w:szCs w:val="24"/>
        </w:rPr>
      </w:pPr>
    </w:p>
    <w:p w14:paraId="005D5660" w14:textId="77777777" w:rsidR="007A4089" w:rsidRPr="00F240F2" w:rsidRDefault="00FE02C2" w:rsidP="000337CB">
      <w:pPr>
        <w:pStyle w:val="BodyText"/>
        <w:rPr>
          <w:b w:val="0"/>
          <w:szCs w:val="24"/>
          <w:u w:val="single"/>
        </w:rPr>
      </w:pPr>
      <w:r w:rsidRPr="00F240F2">
        <w:rPr>
          <w:b w:val="0"/>
          <w:szCs w:val="24"/>
          <w:u w:val="single"/>
        </w:rPr>
        <w:t xml:space="preserve">Section 3 – </w:t>
      </w:r>
      <w:r w:rsidR="00E5798A" w:rsidRPr="00F240F2">
        <w:rPr>
          <w:b w:val="0"/>
          <w:szCs w:val="24"/>
          <w:u w:val="single"/>
        </w:rPr>
        <w:t>Authority</w:t>
      </w:r>
    </w:p>
    <w:p w14:paraId="53BFA098" w14:textId="77777777" w:rsidR="007A4089" w:rsidRPr="00F240F2" w:rsidRDefault="007A4089" w:rsidP="000337CB">
      <w:pPr>
        <w:pStyle w:val="BodyText"/>
        <w:rPr>
          <w:b w:val="0"/>
          <w:szCs w:val="24"/>
          <w:u w:val="single"/>
        </w:rPr>
      </w:pPr>
    </w:p>
    <w:p w14:paraId="2412D14B" w14:textId="60EB4E9C" w:rsidR="00FE02C2" w:rsidRPr="00F240F2" w:rsidRDefault="00F83B6F" w:rsidP="000337CB">
      <w:pPr>
        <w:pStyle w:val="BodyText"/>
        <w:rPr>
          <w:b w:val="0"/>
        </w:rPr>
      </w:pPr>
      <w:r w:rsidRPr="00F240F2">
        <w:rPr>
          <w:b w:val="0"/>
        </w:rPr>
        <w:t xml:space="preserve">Section 3 provides that the </w:t>
      </w:r>
      <w:r w:rsidR="008B2094" w:rsidRPr="00F240F2">
        <w:rPr>
          <w:b w:val="0"/>
          <w:szCs w:val="24"/>
        </w:rPr>
        <w:t xml:space="preserve">Determination </w:t>
      </w:r>
      <w:r w:rsidR="00E5798A" w:rsidRPr="00F240F2">
        <w:rPr>
          <w:b w:val="0"/>
        </w:rPr>
        <w:t xml:space="preserve">is made under </w:t>
      </w:r>
      <w:r w:rsidR="00367440" w:rsidRPr="00F240F2">
        <w:rPr>
          <w:b w:val="0"/>
        </w:rPr>
        <w:t xml:space="preserve">subsection </w:t>
      </w:r>
      <w:r w:rsidR="00E5798A" w:rsidRPr="00F240F2">
        <w:rPr>
          <w:b w:val="0"/>
        </w:rPr>
        <w:t xml:space="preserve">3C(1) of the </w:t>
      </w:r>
      <w:r w:rsidR="00E5798A" w:rsidRPr="00F240F2">
        <w:rPr>
          <w:b w:val="0"/>
          <w:i/>
        </w:rPr>
        <w:t>Health Insurance Act 1973</w:t>
      </w:r>
      <w:r w:rsidR="00E5798A" w:rsidRPr="00F240F2">
        <w:rPr>
          <w:b w:val="0"/>
        </w:rPr>
        <w:t>.</w:t>
      </w:r>
    </w:p>
    <w:p w14:paraId="0DBF1241" w14:textId="77777777" w:rsidR="00E70355" w:rsidRPr="00F240F2" w:rsidRDefault="00E70355" w:rsidP="000337CB">
      <w:pPr>
        <w:pStyle w:val="BodyText"/>
        <w:rPr>
          <w:b w:val="0"/>
        </w:rPr>
      </w:pPr>
    </w:p>
    <w:p w14:paraId="20CBF84A" w14:textId="77777777" w:rsidR="00C63FDC" w:rsidRPr="00F240F2" w:rsidRDefault="00C63FDC" w:rsidP="00C63FDC">
      <w:pPr>
        <w:pStyle w:val="BodyText"/>
        <w:rPr>
          <w:b w:val="0"/>
          <w:szCs w:val="24"/>
          <w:u w:val="single"/>
        </w:rPr>
      </w:pPr>
      <w:r w:rsidRPr="00F240F2">
        <w:rPr>
          <w:b w:val="0"/>
          <w:szCs w:val="24"/>
          <w:u w:val="single"/>
        </w:rPr>
        <w:t>Section 4 – Schedules</w:t>
      </w:r>
    </w:p>
    <w:p w14:paraId="4C010161" w14:textId="77777777" w:rsidR="00C63FDC" w:rsidRPr="00F240F2" w:rsidRDefault="00C63FDC" w:rsidP="00C63FDC">
      <w:pPr>
        <w:pStyle w:val="BodyText"/>
        <w:rPr>
          <w:b w:val="0"/>
          <w:szCs w:val="24"/>
          <w:u w:val="single"/>
        </w:rPr>
      </w:pPr>
    </w:p>
    <w:p w14:paraId="5D9EBF8D" w14:textId="77777777" w:rsidR="00C63FDC" w:rsidRPr="00F240F2" w:rsidRDefault="00C63FDC" w:rsidP="00C63FDC">
      <w:pPr>
        <w:pStyle w:val="BodyText"/>
        <w:rPr>
          <w:b w:val="0"/>
          <w:szCs w:val="24"/>
        </w:rPr>
      </w:pPr>
      <w:r w:rsidRPr="00F240F2">
        <w:rPr>
          <w:b w:val="0"/>
          <w:szCs w:val="24"/>
        </w:rPr>
        <w:t>Section 4 provides that each instrument that is specified in a Schedule to this Determination is amended or repealed as set out in the applicable items in the Schedule concerned, and any other item in a Schedule to this Determination has effect according to its terms.</w:t>
      </w:r>
    </w:p>
    <w:p w14:paraId="17D2CF69" w14:textId="77777777" w:rsidR="007E0017" w:rsidRPr="00F240F2" w:rsidRDefault="007E0017" w:rsidP="00404F11">
      <w:pPr>
        <w:pStyle w:val="BodyText"/>
        <w:rPr>
          <w:b w:val="0"/>
          <w:szCs w:val="24"/>
        </w:rPr>
      </w:pPr>
    </w:p>
    <w:p w14:paraId="768D340E" w14:textId="15CC6BAF" w:rsidR="00C63FDC" w:rsidRPr="00FC64E2" w:rsidRDefault="00C63FDC" w:rsidP="00C63FDC">
      <w:pPr>
        <w:pStyle w:val="Header"/>
        <w:tabs>
          <w:tab w:val="num" w:pos="1080"/>
        </w:tabs>
        <w:rPr>
          <w:b/>
          <w:szCs w:val="24"/>
          <w:u w:val="single"/>
        </w:rPr>
      </w:pPr>
      <w:r w:rsidRPr="00FC64E2">
        <w:rPr>
          <w:b/>
          <w:szCs w:val="24"/>
          <w:u w:val="single"/>
        </w:rPr>
        <w:t xml:space="preserve">Schedule 1 – </w:t>
      </w:r>
      <w:r w:rsidR="007A682A" w:rsidRPr="00FC64E2">
        <w:rPr>
          <w:b/>
          <w:szCs w:val="24"/>
          <w:u w:val="single"/>
        </w:rPr>
        <w:t>Repeals of instruments</w:t>
      </w:r>
    </w:p>
    <w:p w14:paraId="2212E577" w14:textId="77777777" w:rsidR="00C63FDC" w:rsidRPr="00F240F2" w:rsidRDefault="00C63FDC" w:rsidP="00C63FDC">
      <w:pPr>
        <w:pStyle w:val="Header"/>
        <w:tabs>
          <w:tab w:val="num" w:pos="1080"/>
        </w:tabs>
        <w:rPr>
          <w:szCs w:val="24"/>
          <w:u w:val="single"/>
        </w:rPr>
      </w:pPr>
    </w:p>
    <w:p w14:paraId="69793511" w14:textId="0746568A" w:rsidR="007A682A" w:rsidRDefault="002F1003" w:rsidP="00C63FDC">
      <w:pPr>
        <w:pStyle w:val="Header"/>
        <w:tabs>
          <w:tab w:val="num" w:pos="1080"/>
        </w:tabs>
        <w:rPr>
          <w:szCs w:val="24"/>
        </w:rPr>
      </w:pPr>
      <w:r w:rsidRPr="002F1003">
        <w:rPr>
          <w:b/>
          <w:szCs w:val="24"/>
        </w:rPr>
        <w:t>Item 1</w:t>
      </w:r>
      <w:r>
        <w:rPr>
          <w:szCs w:val="24"/>
        </w:rPr>
        <w:t xml:space="preserve"> </w:t>
      </w:r>
      <w:r w:rsidR="007A682A">
        <w:rPr>
          <w:szCs w:val="24"/>
        </w:rPr>
        <w:t>repeals the following instruments:</w:t>
      </w:r>
    </w:p>
    <w:p w14:paraId="51F4A1D0" w14:textId="77777777" w:rsidR="007A682A" w:rsidRPr="007A682A" w:rsidRDefault="007A682A" w:rsidP="007A682A">
      <w:pPr>
        <w:pStyle w:val="Header"/>
        <w:numPr>
          <w:ilvl w:val="0"/>
          <w:numId w:val="37"/>
        </w:numPr>
        <w:rPr>
          <w:i/>
          <w:szCs w:val="24"/>
        </w:rPr>
      </w:pPr>
      <w:r w:rsidRPr="007A682A">
        <w:rPr>
          <w:i/>
          <w:szCs w:val="24"/>
        </w:rPr>
        <w:t>Health Insurance (Section 3C General Medical Services – Cardiac Services) Determination 2020</w:t>
      </w:r>
    </w:p>
    <w:p w14:paraId="30F08F5E" w14:textId="77777777" w:rsidR="007A682A" w:rsidRPr="007A682A" w:rsidRDefault="007A682A" w:rsidP="007A682A">
      <w:pPr>
        <w:pStyle w:val="Header"/>
        <w:numPr>
          <w:ilvl w:val="0"/>
          <w:numId w:val="37"/>
        </w:numPr>
        <w:rPr>
          <w:i/>
          <w:szCs w:val="24"/>
        </w:rPr>
      </w:pPr>
      <w:r w:rsidRPr="007A682A">
        <w:rPr>
          <w:i/>
          <w:szCs w:val="24"/>
        </w:rPr>
        <w:t>Health Insurance (Section 3C General Medical Services – Eating Disorders Treatment Plan and Psychological Treatment Services) Determination 2019</w:t>
      </w:r>
    </w:p>
    <w:p w14:paraId="17B8C4B8" w14:textId="77777777" w:rsidR="007A682A" w:rsidRPr="007A682A" w:rsidRDefault="007A682A" w:rsidP="007A682A">
      <w:pPr>
        <w:pStyle w:val="Header"/>
        <w:numPr>
          <w:ilvl w:val="0"/>
          <w:numId w:val="37"/>
        </w:numPr>
        <w:rPr>
          <w:i/>
          <w:szCs w:val="24"/>
        </w:rPr>
      </w:pPr>
      <w:r w:rsidRPr="007A682A">
        <w:rPr>
          <w:i/>
          <w:szCs w:val="24"/>
        </w:rPr>
        <w:t>Health Insurance (Section 3C General Medical Services—Transvaginal repair of pelvic organ prolapse and procedures for the excision of graft material) Determination 2018</w:t>
      </w:r>
    </w:p>
    <w:p w14:paraId="265F89D5" w14:textId="77777777" w:rsidR="007A682A" w:rsidRPr="007A682A" w:rsidRDefault="007A682A" w:rsidP="007A682A">
      <w:pPr>
        <w:pStyle w:val="Header"/>
        <w:numPr>
          <w:ilvl w:val="0"/>
          <w:numId w:val="37"/>
        </w:numPr>
        <w:rPr>
          <w:i/>
          <w:szCs w:val="24"/>
        </w:rPr>
      </w:pPr>
      <w:r w:rsidRPr="007A682A">
        <w:rPr>
          <w:i/>
          <w:szCs w:val="24"/>
        </w:rPr>
        <w:t>Health Insurance (Section 3C General Medical Services – Optical Coherence Tomography) Determination 2018</w:t>
      </w:r>
    </w:p>
    <w:p w14:paraId="3A3772B1" w14:textId="77777777" w:rsidR="007A682A" w:rsidRPr="007A682A" w:rsidRDefault="007A682A" w:rsidP="007A682A">
      <w:pPr>
        <w:pStyle w:val="Header"/>
        <w:numPr>
          <w:ilvl w:val="0"/>
          <w:numId w:val="37"/>
        </w:numPr>
        <w:rPr>
          <w:i/>
          <w:szCs w:val="24"/>
        </w:rPr>
      </w:pPr>
      <w:r w:rsidRPr="007A682A">
        <w:rPr>
          <w:i/>
          <w:szCs w:val="24"/>
        </w:rPr>
        <w:lastRenderedPageBreak/>
        <w:t>Health Insurance (Section 3C Diagnostic Imaging Services – Cardiac Services) Determination 2020</w:t>
      </w:r>
    </w:p>
    <w:p w14:paraId="7C37C09F" w14:textId="77777777" w:rsidR="007A682A" w:rsidRPr="007A682A" w:rsidRDefault="007A682A" w:rsidP="007A682A">
      <w:pPr>
        <w:pStyle w:val="Header"/>
        <w:numPr>
          <w:ilvl w:val="0"/>
          <w:numId w:val="37"/>
        </w:numPr>
        <w:rPr>
          <w:i/>
          <w:szCs w:val="24"/>
        </w:rPr>
      </w:pPr>
      <w:r w:rsidRPr="007A682A">
        <w:rPr>
          <w:i/>
          <w:szCs w:val="24"/>
        </w:rPr>
        <w:t>Health Insurance (Section 3C Diagnostic Imaging Services – Computed Tomography Angiography) Determination 2020</w:t>
      </w:r>
    </w:p>
    <w:p w14:paraId="3072ABF9" w14:textId="01E5892E" w:rsidR="007A682A" w:rsidRPr="007A682A" w:rsidRDefault="007A682A" w:rsidP="007A682A">
      <w:pPr>
        <w:pStyle w:val="Header"/>
        <w:numPr>
          <w:ilvl w:val="0"/>
          <w:numId w:val="37"/>
        </w:numPr>
        <w:rPr>
          <w:i/>
          <w:szCs w:val="24"/>
        </w:rPr>
      </w:pPr>
      <w:r w:rsidRPr="007A682A">
        <w:rPr>
          <w:i/>
          <w:szCs w:val="24"/>
        </w:rPr>
        <w:t>Health Insurance (Section 3C Pathology Services – Archival Tissue Retrieval) Determination 2019</w:t>
      </w:r>
    </w:p>
    <w:p w14:paraId="76AEEC1A" w14:textId="239F85AA" w:rsidR="007A682A" w:rsidRDefault="007A682A" w:rsidP="00C63FDC">
      <w:pPr>
        <w:pStyle w:val="Header"/>
        <w:tabs>
          <w:tab w:val="num" w:pos="1080"/>
        </w:tabs>
        <w:rPr>
          <w:szCs w:val="24"/>
        </w:rPr>
      </w:pPr>
    </w:p>
    <w:p w14:paraId="39D799E2" w14:textId="4A0A75D2" w:rsidR="000C17A5" w:rsidRDefault="000C17A5" w:rsidP="00C63FDC">
      <w:pPr>
        <w:pStyle w:val="Header"/>
        <w:tabs>
          <w:tab w:val="num" w:pos="1080"/>
        </w:tabs>
        <w:rPr>
          <w:szCs w:val="24"/>
        </w:rPr>
      </w:pPr>
      <w:r>
        <w:rPr>
          <w:szCs w:val="24"/>
        </w:rPr>
        <w:t>This is a consequential changes as the items listed in these instruments will be listed in the general medical services table, the diagnostic imaging services table or the pathology services table.</w:t>
      </w:r>
    </w:p>
    <w:p w14:paraId="7B7C50B5" w14:textId="77777777" w:rsidR="000C17A5" w:rsidRDefault="000C17A5" w:rsidP="00C63FDC">
      <w:pPr>
        <w:pStyle w:val="Header"/>
        <w:tabs>
          <w:tab w:val="num" w:pos="1080"/>
        </w:tabs>
        <w:rPr>
          <w:szCs w:val="24"/>
        </w:rPr>
      </w:pPr>
    </w:p>
    <w:p w14:paraId="07D6BCFD" w14:textId="77777777" w:rsidR="000C17A5" w:rsidRDefault="000C17A5">
      <w:pPr>
        <w:spacing w:after="200" w:line="276" w:lineRule="auto"/>
        <w:rPr>
          <w:b/>
          <w:szCs w:val="24"/>
          <w:u w:val="single"/>
        </w:rPr>
      </w:pPr>
      <w:r>
        <w:rPr>
          <w:b/>
          <w:szCs w:val="24"/>
          <w:u w:val="single"/>
        </w:rPr>
        <w:br w:type="page"/>
      </w:r>
    </w:p>
    <w:p w14:paraId="50002CCB" w14:textId="3320AE98" w:rsidR="007A682A" w:rsidRPr="00FC64E2" w:rsidRDefault="007A682A" w:rsidP="00C63FDC">
      <w:pPr>
        <w:pStyle w:val="Header"/>
        <w:tabs>
          <w:tab w:val="num" w:pos="1080"/>
        </w:tabs>
        <w:rPr>
          <w:b/>
          <w:szCs w:val="24"/>
          <w:u w:val="single"/>
        </w:rPr>
      </w:pPr>
      <w:r w:rsidRPr="00FC64E2">
        <w:rPr>
          <w:b/>
          <w:szCs w:val="24"/>
          <w:u w:val="single"/>
        </w:rPr>
        <w:lastRenderedPageBreak/>
        <w:t>Schedule 2 - Amendments</w:t>
      </w:r>
    </w:p>
    <w:p w14:paraId="095E8D6F" w14:textId="29893CA6" w:rsidR="007A682A" w:rsidRPr="00F95844" w:rsidRDefault="00F95844" w:rsidP="00C63FDC">
      <w:pPr>
        <w:pStyle w:val="Header"/>
        <w:tabs>
          <w:tab w:val="num" w:pos="1080"/>
        </w:tabs>
        <w:rPr>
          <w:szCs w:val="24"/>
        </w:rPr>
      </w:pPr>
      <w:r w:rsidRPr="00304858">
        <w:rPr>
          <w:i/>
          <w:iCs/>
          <w:color w:val="000000" w:themeColor="text1"/>
        </w:rPr>
        <w:t>Health Insurance (Section 3C General Medical Services</w:t>
      </w:r>
      <w:r w:rsidR="00A70065">
        <w:rPr>
          <w:i/>
          <w:iCs/>
          <w:color w:val="000000" w:themeColor="text1"/>
        </w:rPr>
        <w:t xml:space="preserve"> –</w:t>
      </w:r>
      <w:r w:rsidRPr="00304858">
        <w:rPr>
          <w:i/>
          <w:iCs/>
          <w:color w:val="000000" w:themeColor="text1"/>
        </w:rPr>
        <w:t xml:space="preserve"> General Practitioner Telehealth Services) Determination 2018</w:t>
      </w:r>
      <w:r>
        <w:rPr>
          <w:i/>
          <w:iCs/>
          <w:color w:val="000000" w:themeColor="text1"/>
        </w:rPr>
        <w:t xml:space="preserve"> </w:t>
      </w:r>
      <w:r>
        <w:rPr>
          <w:iCs/>
          <w:color w:val="000000" w:themeColor="text1"/>
        </w:rPr>
        <w:t>(the Principal Determination)</w:t>
      </w:r>
    </w:p>
    <w:p w14:paraId="1EC367E0" w14:textId="2FE9FC2E" w:rsidR="007A682A" w:rsidRDefault="007A682A" w:rsidP="00C63FDC">
      <w:pPr>
        <w:pStyle w:val="Header"/>
        <w:tabs>
          <w:tab w:val="num" w:pos="1080"/>
        </w:tabs>
        <w:rPr>
          <w:szCs w:val="24"/>
        </w:rPr>
      </w:pPr>
    </w:p>
    <w:p w14:paraId="7DEC92BF" w14:textId="732D7F1A" w:rsidR="00F95844" w:rsidRDefault="00F95844" w:rsidP="00C63FDC">
      <w:pPr>
        <w:pStyle w:val="Header"/>
        <w:tabs>
          <w:tab w:val="num" w:pos="1080"/>
        </w:tabs>
        <w:rPr>
          <w:szCs w:val="24"/>
        </w:rPr>
      </w:pPr>
      <w:r w:rsidRPr="00F95844">
        <w:rPr>
          <w:b/>
          <w:szCs w:val="24"/>
        </w:rPr>
        <w:t>Item 1</w:t>
      </w:r>
      <w:r>
        <w:rPr>
          <w:szCs w:val="24"/>
        </w:rPr>
        <w:t xml:space="preserve"> repeals the following definitions which are in relation to the focussed psychological strategy items 2729 and 273</w:t>
      </w:r>
      <w:r w:rsidR="00253EE9">
        <w:rPr>
          <w:szCs w:val="24"/>
        </w:rPr>
        <w:t>1</w:t>
      </w:r>
      <w:r>
        <w:rPr>
          <w:szCs w:val="24"/>
        </w:rPr>
        <w:t>:</w:t>
      </w:r>
    </w:p>
    <w:p w14:paraId="5AE311CC" w14:textId="7E351C6D" w:rsidR="00F95844" w:rsidRPr="00F95844" w:rsidRDefault="00F95844" w:rsidP="00F95844">
      <w:pPr>
        <w:pStyle w:val="ItemHead"/>
        <w:numPr>
          <w:ilvl w:val="0"/>
          <w:numId w:val="38"/>
        </w:numPr>
        <w:spacing w:before="0"/>
        <w:rPr>
          <w:rFonts w:ascii="Times New Roman" w:hAnsi="Times New Roman"/>
          <w:b w:val="0"/>
          <w:i/>
          <w:szCs w:val="24"/>
        </w:rPr>
      </w:pPr>
      <w:r w:rsidRPr="00F95844">
        <w:rPr>
          <w:rFonts w:ascii="Times New Roman" w:hAnsi="Times New Roman"/>
          <w:b w:val="0"/>
          <w:i/>
          <w:szCs w:val="24"/>
        </w:rPr>
        <w:t>ASGS</w:t>
      </w:r>
    </w:p>
    <w:p w14:paraId="542E95F3" w14:textId="77777777" w:rsidR="00F95844" w:rsidRPr="00F95844" w:rsidRDefault="00F95844" w:rsidP="00F95844">
      <w:pPr>
        <w:pStyle w:val="Item"/>
        <w:numPr>
          <w:ilvl w:val="0"/>
          <w:numId w:val="38"/>
        </w:numPr>
        <w:spacing w:before="0"/>
        <w:rPr>
          <w:i/>
          <w:sz w:val="24"/>
          <w:szCs w:val="24"/>
        </w:rPr>
      </w:pPr>
      <w:r w:rsidRPr="00F95844">
        <w:rPr>
          <w:i/>
          <w:sz w:val="24"/>
          <w:szCs w:val="24"/>
        </w:rPr>
        <w:t>focussed psychological strategies</w:t>
      </w:r>
    </w:p>
    <w:p w14:paraId="1A3B7920" w14:textId="56907A4E" w:rsidR="00F95844" w:rsidRPr="00F95844" w:rsidRDefault="00F95844" w:rsidP="00F95844">
      <w:pPr>
        <w:pStyle w:val="ItemHead"/>
        <w:numPr>
          <w:ilvl w:val="0"/>
          <w:numId w:val="38"/>
        </w:numPr>
        <w:spacing w:before="0"/>
        <w:rPr>
          <w:rFonts w:ascii="Times New Roman" w:hAnsi="Times New Roman"/>
          <w:b w:val="0"/>
          <w:i/>
          <w:szCs w:val="24"/>
        </w:rPr>
      </w:pPr>
      <w:r w:rsidRPr="00F95844">
        <w:rPr>
          <w:rFonts w:ascii="Times New Roman" w:hAnsi="Times New Roman"/>
          <w:b w:val="0"/>
          <w:i/>
          <w:szCs w:val="24"/>
        </w:rPr>
        <w:t>mental disorder</w:t>
      </w:r>
    </w:p>
    <w:p w14:paraId="76A27F0A" w14:textId="7FB0F426" w:rsidR="00F95844" w:rsidRPr="00F95844" w:rsidRDefault="00F95844" w:rsidP="00F95844">
      <w:pPr>
        <w:pStyle w:val="ItemHead"/>
        <w:numPr>
          <w:ilvl w:val="0"/>
          <w:numId w:val="38"/>
        </w:numPr>
        <w:spacing w:before="0"/>
        <w:rPr>
          <w:rFonts w:ascii="Times New Roman" w:hAnsi="Times New Roman"/>
          <w:b w:val="0"/>
          <w:i/>
          <w:szCs w:val="24"/>
        </w:rPr>
      </w:pPr>
      <w:r w:rsidRPr="00F95844">
        <w:rPr>
          <w:rFonts w:ascii="Times New Roman" w:hAnsi="Times New Roman"/>
          <w:b w:val="0"/>
          <w:i/>
          <w:szCs w:val="24"/>
        </w:rPr>
        <w:t>Modified Monash 3 area</w:t>
      </w:r>
    </w:p>
    <w:p w14:paraId="52F0883C" w14:textId="429352A3" w:rsidR="00F95844" w:rsidRPr="00F95844" w:rsidRDefault="00F95844" w:rsidP="00F95844">
      <w:pPr>
        <w:pStyle w:val="ItemHead"/>
        <w:numPr>
          <w:ilvl w:val="0"/>
          <w:numId w:val="38"/>
        </w:numPr>
        <w:spacing w:before="0"/>
        <w:rPr>
          <w:rFonts w:ascii="Times New Roman" w:hAnsi="Times New Roman"/>
          <w:b w:val="0"/>
          <w:i/>
          <w:szCs w:val="24"/>
        </w:rPr>
      </w:pPr>
      <w:r w:rsidRPr="00F95844">
        <w:rPr>
          <w:rFonts w:ascii="Times New Roman" w:hAnsi="Times New Roman"/>
          <w:b w:val="0"/>
          <w:i/>
          <w:szCs w:val="24"/>
        </w:rPr>
        <w:t>Modified Monash 4 area</w:t>
      </w:r>
    </w:p>
    <w:p w14:paraId="70A74B52" w14:textId="77777777" w:rsidR="00F95844" w:rsidRPr="00F95844" w:rsidRDefault="00F95844" w:rsidP="00F95844">
      <w:pPr>
        <w:pStyle w:val="Item"/>
        <w:numPr>
          <w:ilvl w:val="0"/>
          <w:numId w:val="38"/>
        </w:numPr>
        <w:spacing w:before="0"/>
        <w:rPr>
          <w:i/>
          <w:sz w:val="24"/>
          <w:szCs w:val="24"/>
        </w:rPr>
      </w:pPr>
      <w:r w:rsidRPr="00F95844">
        <w:rPr>
          <w:i/>
          <w:sz w:val="24"/>
          <w:szCs w:val="24"/>
        </w:rPr>
        <w:t>Modified Monash 5 area</w:t>
      </w:r>
    </w:p>
    <w:p w14:paraId="5D018DB6" w14:textId="77777777" w:rsidR="00F95844" w:rsidRPr="00F95844" w:rsidRDefault="00F95844" w:rsidP="00F95844">
      <w:pPr>
        <w:pStyle w:val="Item"/>
        <w:numPr>
          <w:ilvl w:val="0"/>
          <w:numId w:val="38"/>
        </w:numPr>
        <w:spacing w:before="0"/>
        <w:rPr>
          <w:i/>
          <w:sz w:val="24"/>
          <w:szCs w:val="24"/>
        </w:rPr>
      </w:pPr>
      <w:r w:rsidRPr="00F95844">
        <w:rPr>
          <w:i/>
          <w:sz w:val="24"/>
          <w:szCs w:val="24"/>
        </w:rPr>
        <w:t>Modified Monash 6 area</w:t>
      </w:r>
    </w:p>
    <w:p w14:paraId="1FA661F3" w14:textId="77777777" w:rsidR="00F95844" w:rsidRPr="00F95844" w:rsidRDefault="00F95844" w:rsidP="00F95844">
      <w:pPr>
        <w:pStyle w:val="Item"/>
        <w:numPr>
          <w:ilvl w:val="0"/>
          <w:numId w:val="38"/>
        </w:numPr>
        <w:spacing w:before="0"/>
        <w:rPr>
          <w:i/>
          <w:sz w:val="24"/>
          <w:szCs w:val="24"/>
        </w:rPr>
      </w:pPr>
      <w:r w:rsidRPr="00F95844">
        <w:rPr>
          <w:i/>
          <w:sz w:val="24"/>
          <w:szCs w:val="24"/>
        </w:rPr>
        <w:t>Modified Monash 7 area</w:t>
      </w:r>
    </w:p>
    <w:p w14:paraId="4D087128" w14:textId="14A20276" w:rsidR="00F95844" w:rsidRPr="00F95844" w:rsidRDefault="002F1FE4" w:rsidP="00F95844">
      <w:pPr>
        <w:pStyle w:val="Item"/>
        <w:numPr>
          <w:ilvl w:val="0"/>
          <w:numId w:val="38"/>
        </w:numPr>
        <w:spacing w:before="0"/>
        <w:rPr>
          <w:i/>
          <w:sz w:val="24"/>
          <w:szCs w:val="24"/>
        </w:rPr>
      </w:pPr>
      <w:r>
        <w:rPr>
          <w:i/>
          <w:sz w:val="24"/>
          <w:szCs w:val="24"/>
        </w:rPr>
        <w:t>t</w:t>
      </w:r>
      <w:r w:rsidR="00F95844" w:rsidRPr="00F95844">
        <w:rPr>
          <w:i/>
          <w:sz w:val="24"/>
          <w:szCs w:val="24"/>
        </w:rPr>
        <w:t>elehealth eligible area</w:t>
      </w:r>
    </w:p>
    <w:p w14:paraId="3E7C2F0D" w14:textId="2170C2C4" w:rsidR="007A682A" w:rsidRDefault="007A682A" w:rsidP="00F95844">
      <w:pPr>
        <w:pStyle w:val="Header"/>
        <w:tabs>
          <w:tab w:val="num" w:pos="1080"/>
        </w:tabs>
        <w:rPr>
          <w:szCs w:val="24"/>
        </w:rPr>
      </w:pPr>
    </w:p>
    <w:p w14:paraId="47C0E5DF" w14:textId="4A19EC22" w:rsidR="007A682A" w:rsidRDefault="00FC64E2" w:rsidP="00C63FDC">
      <w:pPr>
        <w:pStyle w:val="Header"/>
        <w:tabs>
          <w:tab w:val="num" w:pos="1080"/>
        </w:tabs>
        <w:rPr>
          <w:szCs w:val="24"/>
        </w:rPr>
      </w:pPr>
      <w:r>
        <w:rPr>
          <w:szCs w:val="24"/>
        </w:rPr>
        <w:t>This is a consequential change, a</w:t>
      </w:r>
      <w:r w:rsidR="004C2840">
        <w:rPr>
          <w:szCs w:val="24"/>
        </w:rPr>
        <w:t xml:space="preserve">s items 2729 and 2731 will be listed in the GMST from </w:t>
      </w:r>
      <w:r>
        <w:rPr>
          <w:szCs w:val="24"/>
        </w:rPr>
        <w:br/>
      </w:r>
      <w:r w:rsidR="004C2840">
        <w:rPr>
          <w:szCs w:val="24"/>
        </w:rPr>
        <w:t>1 March 2021</w:t>
      </w:r>
      <w:r>
        <w:rPr>
          <w:szCs w:val="24"/>
        </w:rPr>
        <w:t xml:space="preserve"> and</w:t>
      </w:r>
      <w:r w:rsidR="004C2840">
        <w:rPr>
          <w:szCs w:val="24"/>
        </w:rPr>
        <w:t xml:space="preserve"> these definitions in the </w:t>
      </w:r>
      <w:r w:rsidR="007D3835">
        <w:rPr>
          <w:szCs w:val="24"/>
        </w:rPr>
        <w:t>Principal Determination are no longer required.</w:t>
      </w:r>
    </w:p>
    <w:p w14:paraId="2AEF3F08" w14:textId="307F3E62" w:rsidR="004C2840" w:rsidRDefault="004C2840" w:rsidP="00C63FDC">
      <w:pPr>
        <w:pStyle w:val="Header"/>
        <w:tabs>
          <w:tab w:val="num" w:pos="1080"/>
        </w:tabs>
        <w:rPr>
          <w:szCs w:val="24"/>
        </w:rPr>
      </w:pPr>
    </w:p>
    <w:p w14:paraId="3F33D2AC" w14:textId="6DFC07D4" w:rsidR="007D3835" w:rsidRDefault="007D3835" w:rsidP="00C63FDC">
      <w:pPr>
        <w:pStyle w:val="Header"/>
        <w:tabs>
          <w:tab w:val="num" w:pos="1080"/>
        </w:tabs>
        <w:rPr>
          <w:szCs w:val="24"/>
        </w:rPr>
      </w:pPr>
      <w:r w:rsidRPr="007D3835">
        <w:rPr>
          <w:b/>
          <w:szCs w:val="24"/>
        </w:rPr>
        <w:t>Item 2</w:t>
      </w:r>
      <w:r>
        <w:rPr>
          <w:szCs w:val="24"/>
        </w:rPr>
        <w:t xml:space="preserve"> repeals and substitutes section 6 of the Principal Determination to provide that items 2121, 2150 and 2196 do not apply if the service is performed on an admitted patient of a hospital. This is a consequential change to ensure there is no change to the existing arrangements for the mental health video conferencing items (2121, 2150 and 2196) for patients affected by bushfire.</w:t>
      </w:r>
    </w:p>
    <w:p w14:paraId="769273BE" w14:textId="1AD09704" w:rsidR="007D3835" w:rsidRDefault="007D3835" w:rsidP="00C63FDC">
      <w:pPr>
        <w:pStyle w:val="Header"/>
        <w:tabs>
          <w:tab w:val="num" w:pos="1080"/>
        </w:tabs>
        <w:rPr>
          <w:szCs w:val="24"/>
        </w:rPr>
      </w:pPr>
    </w:p>
    <w:p w14:paraId="4F3E33D8" w14:textId="0249D87B" w:rsidR="007D3835" w:rsidRDefault="00163411" w:rsidP="00C63FDC">
      <w:pPr>
        <w:pStyle w:val="Header"/>
        <w:tabs>
          <w:tab w:val="num" w:pos="1080"/>
        </w:tabs>
        <w:rPr>
          <w:szCs w:val="24"/>
        </w:rPr>
      </w:pPr>
      <w:r w:rsidRPr="00163411">
        <w:rPr>
          <w:b/>
          <w:szCs w:val="24"/>
        </w:rPr>
        <w:t>Item 3</w:t>
      </w:r>
      <w:r>
        <w:rPr>
          <w:szCs w:val="24"/>
        </w:rPr>
        <w:t xml:space="preserve"> repeals section 7 of the Principal Determination, which provides that items 2729 and 2731 are to be treated as if they were specified in clause 2.20.7 of the general medical services table (GMST). This is a consequential change as items </w:t>
      </w:r>
      <w:r w:rsidR="00C2704D">
        <w:rPr>
          <w:szCs w:val="24"/>
        </w:rPr>
        <w:t xml:space="preserve">2729 and 2731 </w:t>
      </w:r>
      <w:r>
        <w:rPr>
          <w:szCs w:val="24"/>
        </w:rPr>
        <w:t xml:space="preserve">will be moved from the Principal Determination into the GMST and </w:t>
      </w:r>
      <w:r w:rsidR="003171F7" w:rsidRPr="003171F7">
        <w:rPr>
          <w:szCs w:val="24"/>
        </w:rPr>
        <w:t>clause 2.20.7</w:t>
      </w:r>
      <w:r w:rsidR="003171F7">
        <w:rPr>
          <w:szCs w:val="24"/>
        </w:rPr>
        <w:t xml:space="preserve"> </w:t>
      </w:r>
      <w:r>
        <w:rPr>
          <w:szCs w:val="24"/>
        </w:rPr>
        <w:t>will automatically apply.</w:t>
      </w:r>
    </w:p>
    <w:p w14:paraId="57827024" w14:textId="00EDB01F" w:rsidR="007D3835" w:rsidRDefault="007D3835" w:rsidP="00C63FDC">
      <w:pPr>
        <w:pStyle w:val="Header"/>
        <w:tabs>
          <w:tab w:val="num" w:pos="1080"/>
        </w:tabs>
        <w:rPr>
          <w:szCs w:val="24"/>
        </w:rPr>
      </w:pPr>
    </w:p>
    <w:p w14:paraId="398A5002" w14:textId="31FCCC49" w:rsidR="00163411" w:rsidRDefault="00163411" w:rsidP="00C63FDC">
      <w:pPr>
        <w:pStyle w:val="Header"/>
        <w:tabs>
          <w:tab w:val="num" w:pos="1080"/>
        </w:tabs>
        <w:rPr>
          <w:szCs w:val="24"/>
        </w:rPr>
      </w:pPr>
      <w:r w:rsidRPr="0006081F">
        <w:rPr>
          <w:b/>
          <w:szCs w:val="24"/>
        </w:rPr>
        <w:t>Item 4</w:t>
      </w:r>
      <w:r>
        <w:rPr>
          <w:szCs w:val="24"/>
        </w:rPr>
        <w:t xml:space="preserve"> repeals and substitutes the table in Schedule </w:t>
      </w:r>
      <w:r w:rsidR="002B640F">
        <w:rPr>
          <w:szCs w:val="24"/>
        </w:rPr>
        <w:t>1</w:t>
      </w:r>
      <w:r>
        <w:rPr>
          <w:szCs w:val="24"/>
        </w:rPr>
        <w:t xml:space="preserve"> of the Principal Determination to remove items 2729 and 2731. </w:t>
      </w:r>
      <w:r w:rsidR="00477A06">
        <w:rPr>
          <w:szCs w:val="24"/>
        </w:rPr>
        <w:t xml:space="preserve">This is a consequential change as these items will be moved from the Principal Determination into the GMST. </w:t>
      </w:r>
      <w:r>
        <w:rPr>
          <w:szCs w:val="24"/>
        </w:rPr>
        <w:t xml:space="preserve">The table will continue to list </w:t>
      </w:r>
      <w:r w:rsidR="0006081F">
        <w:rPr>
          <w:szCs w:val="24"/>
        </w:rPr>
        <w:t xml:space="preserve">items </w:t>
      </w:r>
      <w:r w:rsidR="0006081F" w:rsidRPr="0006081F">
        <w:rPr>
          <w:szCs w:val="24"/>
        </w:rPr>
        <w:t>2121, 2150 and 2196</w:t>
      </w:r>
      <w:r w:rsidR="0006081F">
        <w:rPr>
          <w:szCs w:val="24"/>
        </w:rPr>
        <w:t xml:space="preserve"> for </w:t>
      </w:r>
      <w:r w:rsidR="0006081F" w:rsidRPr="0006081F">
        <w:rPr>
          <w:szCs w:val="24"/>
        </w:rPr>
        <w:t>mental health video conferencing</w:t>
      </w:r>
      <w:r w:rsidR="0006081F">
        <w:rPr>
          <w:szCs w:val="24"/>
        </w:rPr>
        <w:t xml:space="preserve"> services</w:t>
      </w:r>
      <w:r w:rsidR="00CD1BA3">
        <w:rPr>
          <w:szCs w:val="24"/>
        </w:rPr>
        <w:t xml:space="preserve"> for patients affected by bushfire</w:t>
      </w:r>
      <w:r w:rsidR="0006081F">
        <w:rPr>
          <w:szCs w:val="24"/>
        </w:rPr>
        <w:t>.</w:t>
      </w:r>
    </w:p>
    <w:p w14:paraId="15E575C1" w14:textId="6AAEF25B" w:rsidR="00163411" w:rsidRDefault="00163411" w:rsidP="00C63FDC">
      <w:pPr>
        <w:pStyle w:val="Header"/>
        <w:tabs>
          <w:tab w:val="num" w:pos="1080"/>
        </w:tabs>
        <w:rPr>
          <w:szCs w:val="24"/>
        </w:rPr>
      </w:pPr>
    </w:p>
    <w:p w14:paraId="2F4E5C83" w14:textId="77777777" w:rsidR="005B1599" w:rsidRDefault="005B1599" w:rsidP="005B1599">
      <w:pPr>
        <w:rPr>
          <w:i/>
          <w:szCs w:val="24"/>
        </w:rPr>
      </w:pPr>
    </w:p>
    <w:p w14:paraId="47131D9D" w14:textId="77777777" w:rsidR="00EC0E99" w:rsidRPr="00EC0E99" w:rsidRDefault="00EC0E99" w:rsidP="00EC0E99">
      <w:pPr>
        <w:spacing w:after="200" w:line="276" w:lineRule="auto"/>
        <w:rPr>
          <w:szCs w:val="24"/>
        </w:rPr>
      </w:pPr>
    </w:p>
    <w:p w14:paraId="568BC76A" w14:textId="77777777" w:rsidR="00EC0E99" w:rsidRDefault="00EC0E99" w:rsidP="00F3501E">
      <w:pPr>
        <w:spacing w:after="200" w:line="276" w:lineRule="auto"/>
        <w:jc w:val="center"/>
        <w:rPr>
          <w:szCs w:val="24"/>
          <w:u w:val="single"/>
        </w:rPr>
      </w:pPr>
    </w:p>
    <w:p w14:paraId="2412D14E" w14:textId="00018D06" w:rsidR="00A17F2C" w:rsidRPr="00F240F2" w:rsidRDefault="00331752" w:rsidP="00F3501E">
      <w:pPr>
        <w:spacing w:after="200" w:line="276" w:lineRule="auto"/>
        <w:jc w:val="center"/>
        <w:rPr>
          <w:b/>
          <w:sz w:val="28"/>
          <w:szCs w:val="28"/>
        </w:rPr>
      </w:pPr>
      <w:r w:rsidRPr="00F240F2">
        <w:rPr>
          <w:szCs w:val="24"/>
          <w:u w:val="single"/>
        </w:rPr>
        <w:br w:type="page"/>
      </w:r>
      <w:r w:rsidR="00A17F2C" w:rsidRPr="00F240F2">
        <w:rPr>
          <w:b/>
          <w:sz w:val="28"/>
          <w:szCs w:val="28"/>
        </w:rPr>
        <w:lastRenderedPageBreak/>
        <w:t>Statement of Compatibility with Human Rights</w:t>
      </w:r>
    </w:p>
    <w:p w14:paraId="2412D14F" w14:textId="77777777" w:rsidR="00A17F2C" w:rsidRPr="00F240F2" w:rsidRDefault="00A17F2C" w:rsidP="000337CB">
      <w:pPr>
        <w:spacing w:before="120" w:after="120"/>
        <w:jc w:val="center"/>
        <w:rPr>
          <w:szCs w:val="24"/>
        </w:rPr>
      </w:pPr>
      <w:r w:rsidRPr="00F240F2">
        <w:rPr>
          <w:i/>
          <w:szCs w:val="24"/>
        </w:rPr>
        <w:t>Prepared in accordance with Part 3 of the Human Rights (Parliamentary Scrutiny) Act 2011</w:t>
      </w:r>
    </w:p>
    <w:p w14:paraId="3582B777" w14:textId="77777777" w:rsidR="002F7984" w:rsidRDefault="002F7984" w:rsidP="000337CB">
      <w:pPr>
        <w:tabs>
          <w:tab w:val="left" w:pos="1418"/>
        </w:tabs>
        <w:ind w:left="851"/>
        <w:jc w:val="center"/>
        <w:rPr>
          <w:i/>
          <w:iCs/>
        </w:rPr>
      </w:pPr>
    </w:p>
    <w:p w14:paraId="788F0FBF" w14:textId="2FAAC235" w:rsidR="0013004F" w:rsidRDefault="00FC64E2" w:rsidP="000337CB">
      <w:pPr>
        <w:tabs>
          <w:tab w:val="left" w:pos="1418"/>
        </w:tabs>
        <w:ind w:left="851"/>
        <w:jc w:val="center"/>
        <w:rPr>
          <w:i/>
          <w:iCs/>
        </w:rPr>
      </w:pPr>
      <w:r w:rsidRPr="00FC64E2">
        <w:rPr>
          <w:i/>
          <w:iCs/>
        </w:rPr>
        <w:t>Health Insurance Legislation Amendment Determination 2021</w:t>
      </w:r>
    </w:p>
    <w:p w14:paraId="44E94505" w14:textId="77777777" w:rsidR="00FC64E2" w:rsidRPr="00F240F2" w:rsidRDefault="00FC64E2" w:rsidP="000337CB">
      <w:pPr>
        <w:tabs>
          <w:tab w:val="left" w:pos="1418"/>
        </w:tabs>
        <w:ind w:left="851"/>
        <w:jc w:val="center"/>
        <w:rPr>
          <w:b/>
          <w:i/>
          <w:szCs w:val="24"/>
        </w:rPr>
      </w:pPr>
    </w:p>
    <w:p w14:paraId="2412D153" w14:textId="7AFD921D" w:rsidR="00A17F2C" w:rsidRPr="00F240F2" w:rsidRDefault="00A17F2C" w:rsidP="000337CB">
      <w:pPr>
        <w:jc w:val="center"/>
        <w:rPr>
          <w:szCs w:val="24"/>
        </w:rPr>
      </w:pPr>
      <w:r w:rsidRPr="00F240F2">
        <w:rPr>
          <w:szCs w:val="24"/>
        </w:rPr>
        <w:t xml:space="preserve">This </w:t>
      </w:r>
      <w:r w:rsidR="0046022A" w:rsidRPr="00F240F2">
        <w:rPr>
          <w:szCs w:val="24"/>
        </w:rPr>
        <w:t>instrument</w:t>
      </w:r>
      <w:r w:rsidRPr="00F240F2">
        <w:rPr>
          <w:szCs w:val="24"/>
        </w:rPr>
        <w:t xml:space="preserve"> is compatible with the human rights and freedoms recognised or declared in the international instruments listed in section 3 of the </w:t>
      </w:r>
      <w:r w:rsidRPr="00F240F2">
        <w:rPr>
          <w:i/>
          <w:szCs w:val="24"/>
        </w:rPr>
        <w:t>Human Rights (Parliamentary Scrutiny) Act 2011</w:t>
      </w:r>
      <w:r w:rsidRPr="00F240F2">
        <w:rPr>
          <w:szCs w:val="24"/>
        </w:rPr>
        <w:t>.</w:t>
      </w:r>
    </w:p>
    <w:p w14:paraId="7EDA9098" w14:textId="306A78E1" w:rsidR="006E6BBF" w:rsidRPr="00F240F2" w:rsidRDefault="006E6BBF" w:rsidP="008734F5">
      <w:pPr>
        <w:spacing w:before="120" w:after="120"/>
        <w:rPr>
          <w:b/>
          <w:szCs w:val="24"/>
        </w:rPr>
      </w:pPr>
      <w:r w:rsidRPr="00F240F2">
        <w:rPr>
          <w:b/>
          <w:szCs w:val="24"/>
        </w:rPr>
        <w:t xml:space="preserve">Overview of the </w:t>
      </w:r>
      <w:r w:rsidR="00B86A9F" w:rsidRPr="00F240F2">
        <w:rPr>
          <w:b/>
          <w:szCs w:val="24"/>
        </w:rPr>
        <w:t>Determination</w:t>
      </w:r>
    </w:p>
    <w:p w14:paraId="789C7241" w14:textId="308B8F2B" w:rsidR="00EC490F" w:rsidRDefault="00EC490F" w:rsidP="00EC490F">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r w:rsidRPr="00EC490F">
        <w:rPr>
          <w:color w:val="000000" w:themeColor="text1"/>
          <w:szCs w:val="24"/>
        </w:rPr>
        <w:t xml:space="preserve">The purpose of the </w:t>
      </w:r>
      <w:r w:rsidRPr="00EC490F">
        <w:rPr>
          <w:i/>
          <w:iCs/>
          <w:color w:val="000000" w:themeColor="text1"/>
          <w:szCs w:val="24"/>
        </w:rPr>
        <w:t xml:space="preserve">Health Insurance Legislation Amendment Determination 2021 </w:t>
      </w:r>
      <w:r w:rsidRPr="00EC490F">
        <w:rPr>
          <w:iCs/>
          <w:color w:val="000000" w:themeColor="text1"/>
          <w:szCs w:val="24"/>
        </w:rPr>
        <w:t xml:space="preserve">(the Determination) is to revoke and amend instruments made under </w:t>
      </w:r>
      <w:r w:rsidR="00253EE9">
        <w:rPr>
          <w:iCs/>
          <w:color w:val="000000" w:themeColor="text1"/>
          <w:szCs w:val="24"/>
        </w:rPr>
        <w:t>sub</w:t>
      </w:r>
      <w:r w:rsidRPr="00EC490F">
        <w:rPr>
          <w:iCs/>
          <w:color w:val="000000" w:themeColor="text1"/>
          <w:szCs w:val="24"/>
        </w:rPr>
        <w:t>section 3C</w:t>
      </w:r>
      <w:r w:rsidR="00253EE9">
        <w:rPr>
          <w:iCs/>
          <w:color w:val="000000" w:themeColor="text1"/>
          <w:szCs w:val="24"/>
        </w:rPr>
        <w:t>(1)</w:t>
      </w:r>
      <w:r w:rsidRPr="00EC490F">
        <w:rPr>
          <w:iCs/>
          <w:color w:val="000000" w:themeColor="text1"/>
          <w:szCs w:val="24"/>
        </w:rPr>
        <w:t xml:space="preserve"> of the Act because items included in those instruments will be included in the GMST, DIST and PST from </w:t>
      </w:r>
      <w:r w:rsidR="000C17A5">
        <w:rPr>
          <w:iCs/>
          <w:color w:val="000000" w:themeColor="text1"/>
          <w:szCs w:val="24"/>
        </w:rPr>
        <w:br/>
      </w:r>
      <w:r w:rsidRPr="00EC490F">
        <w:rPr>
          <w:iCs/>
          <w:color w:val="000000" w:themeColor="text1"/>
          <w:szCs w:val="24"/>
        </w:rPr>
        <w:t>1 March 2021</w:t>
      </w:r>
      <w:r>
        <w:rPr>
          <w:iCs/>
          <w:color w:val="000000" w:themeColor="text1"/>
          <w:szCs w:val="24"/>
        </w:rPr>
        <w:t xml:space="preserve">. </w:t>
      </w:r>
      <w:r w:rsidRPr="0048778D">
        <w:rPr>
          <w:iCs/>
          <w:color w:val="000000" w:themeColor="text1"/>
        </w:rPr>
        <w:t xml:space="preserve">This is an administrative </w:t>
      </w:r>
      <w:r>
        <w:rPr>
          <w:iCs/>
          <w:color w:val="000000" w:themeColor="text1"/>
        </w:rPr>
        <w:t xml:space="preserve">change </w:t>
      </w:r>
      <w:r w:rsidRPr="0048778D">
        <w:rPr>
          <w:iCs/>
          <w:color w:val="000000" w:themeColor="text1"/>
        </w:rPr>
        <w:t>and there is no change to the Medicare arrangements for patients or providers.</w:t>
      </w:r>
    </w:p>
    <w:p w14:paraId="24D80D4B" w14:textId="77777777" w:rsidR="00EC490F" w:rsidRDefault="00EC490F" w:rsidP="00EC490F">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p>
    <w:p w14:paraId="0F82C7FF" w14:textId="042E8048" w:rsidR="00EC490F" w:rsidRDefault="00EC490F" w:rsidP="00EC490F">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r>
        <w:rPr>
          <w:iCs/>
          <w:color w:val="000000" w:themeColor="text1"/>
        </w:rPr>
        <w:t xml:space="preserve">From 1 March 2021, the </w:t>
      </w:r>
      <w:r w:rsidRPr="0016000A">
        <w:rPr>
          <w:i/>
          <w:iCs/>
          <w:color w:val="000000" w:themeColor="text1"/>
        </w:rPr>
        <w:t>Health Insurance Legislation Amendment (2020 Measures No. 3) Regulations 2020</w:t>
      </w:r>
      <w:r>
        <w:rPr>
          <w:i/>
          <w:iCs/>
          <w:color w:val="000000" w:themeColor="text1"/>
        </w:rPr>
        <w:t xml:space="preserve"> </w:t>
      </w:r>
      <w:r>
        <w:rPr>
          <w:iCs/>
          <w:color w:val="000000" w:themeColor="text1"/>
        </w:rPr>
        <w:t>(the Regulations)</w:t>
      </w:r>
      <w:r>
        <w:rPr>
          <w:i/>
          <w:iCs/>
          <w:color w:val="000000" w:themeColor="text1"/>
        </w:rPr>
        <w:t xml:space="preserve"> </w:t>
      </w:r>
      <w:r>
        <w:rPr>
          <w:iCs/>
          <w:color w:val="000000" w:themeColor="text1"/>
        </w:rPr>
        <w:t xml:space="preserve">will list items which are currently </w:t>
      </w:r>
      <w:r w:rsidR="000C17A5">
        <w:rPr>
          <w:iCs/>
          <w:color w:val="000000" w:themeColor="text1"/>
        </w:rPr>
        <w:t xml:space="preserve">listed </w:t>
      </w:r>
      <w:r>
        <w:rPr>
          <w:iCs/>
          <w:color w:val="000000" w:themeColor="text1"/>
        </w:rPr>
        <w:t xml:space="preserve">in instruments made under </w:t>
      </w:r>
      <w:r w:rsidR="00F52EDB">
        <w:rPr>
          <w:iCs/>
          <w:color w:val="000000" w:themeColor="text1"/>
        </w:rPr>
        <w:t>sub</w:t>
      </w:r>
      <w:r>
        <w:rPr>
          <w:iCs/>
          <w:color w:val="000000" w:themeColor="text1"/>
        </w:rPr>
        <w:t>section 3C</w:t>
      </w:r>
      <w:r w:rsidR="00F52EDB">
        <w:rPr>
          <w:iCs/>
          <w:color w:val="000000" w:themeColor="text1"/>
        </w:rPr>
        <w:t>(1)</w:t>
      </w:r>
      <w:r>
        <w:rPr>
          <w:iCs/>
          <w:color w:val="000000" w:themeColor="text1"/>
        </w:rPr>
        <w:t xml:space="preserve"> of the Act in the following tables:</w:t>
      </w:r>
    </w:p>
    <w:p w14:paraId="273F3BA2" w14:textId="77777777" w:rsidR="00EC490F" w:rsidRDefault="00EC490F" w:rsidP="00EC490F">
      <w:pPr>
        <w:pStyle w:val="ListParagraph"/>
        <w:numPr>
          <w:ilvl w:val="0"/>
          <w:numId w:val="35"/>
        </w:num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r>
        <w:rPr>
          <w:iCs/>
          <w:color w:val="000000" w:themeColor="text1"/>
        </w:rPr>
        <w:t>General Medical Services Table:</w:t>
      </w:r>
    </w:p>
    <w:p w14:paraId="3FDF7FF5" w14:textId="77777777" w:rsidR="00EC490F" w:rsidRDefault="00EC490F" w:rsidP="00EC490F">
      <w:pPr>
        <w:pStyle w:val="ListParagraph"/>
        <w:numPr>
          <w:ilvl w:val="0"/>
          <w:numId w:val="36"/>
        </w:numPr>
        <w:tabs>
          <w:tab w:val="left" w:pos="0"/>
          <w:tab w:val="left" w:pos="2160"/>
          <w:tab w:val="left" w:pos="3312"/>
          <w:tab w:val="left" w:pos="4464"/>
          <w:tab w:val="left" w:pos="5616"/>
          <w:tab w:val="left" w:pos="6768"/>
          <w:tab w:val="left" w:pos="7920"/>
          <w:tab w:val="left" w:pos="9072"/>
          <w:tab w:val="right" w:pos="9504"/>
        </w:tabs>
        <w:spacing w:line="279" w:lineRule="exact"/>
        <w:rPr>
          <w:i/>
          <w:iCs/>
          <w:color w:val="000000" w:themeColor="text1"/>
        </w:rPr>
      </w:pPr>
      <w:r w:rsidRPr="0016000A">
        <w:rPr>
          <w:i/>
          <w:iCs/>
          <w:color w:val="000000" w:themeColor="text1"/>
        </w:rPr>
        <w:t>Health Insurance (Section 3C General Medical Services – Cardiac Services) Determination 2020</w:t>
      </w:r>
    </w:p>
    <w:p w14:paraId="7C3CA621" w14:textId="77777777" w:rsidR="00EC490F" w:rsidRDefault="00EC490F" w:rsidP="00EC490F">
      <w:pPr>
        <w:pStyle w:val="ListParagraph"/>
        <w:numPr>
          <w:ilvl w:val="0"/>
          <w:numId w:val="36"/>
        </w:numPr>
        <w:tabs>
          <w:tab w:val="left" w:pos="0"/>
          <w:tab w:val="left" w:pos="2160"/>
          <w:tab w:val="left" w:pos="3312"/>
          <w:tab w:val="left" w:pos="4464"/>
          <w:tab w:val="left" w:pos="5616"/>
          <w:tab w:val="left" w:pos="6768"/>
          <w:tab w:val="left" w:pos="7920"/>
          <w:tab w:val="left" w:pos="9072"/>
          <w:tab w:val="right" w:pos="9504"/>
        </w:tabs>
        <w:spacing w:line="279" w:lineRule="exact"/>
        <w:rPr>
          <w:i/>
          <w:iCs/>
          <w:color w:val="000000" w:themeColor="text1"/>
        </w:rPr>
      </w:pPr>
      <w:r w:rsidRPr="0016000A">
        <w:rPr>
          <w:i/>
          <w:iCs/>
          <w:color w:val="000000" w:themeColor="text1"/>
        </w:rPr>
        <w:t>Health Insurance (Section 3C General Medical Services – Eating Disorders Treatment Plan and Psychological Treatment Services) Determination 2019</w:t>
      </w:r>
    </w:p>
    <w:p w14:paraId="3DBE2ECF" w14:textId="77777777" w:rsidR="00EC490F" w:rsidRDefault="00EC490F" w:rsidP="00EC490F">
      <w:pPr>
        <w:pStyle w:val="ListParagraph"/>
        <w:numPr>
          <w:ilvl w:val="0"/>
          <w:numId w:val="36"/>
        </w:numPr>
        <w:tabs>
          <w:tab w:val="left" w:pos="0"/>
          <w:tab w:val="left" w:pos="2160"/>
          <w:tab w:val="left" w:pos="3312"/>
          <w:tab w:val="left" w:pos="4464"/>
          <w:tab w:val="left" w:pos="5616"/>
          <w:tab w:val="left" w:pos="6768"/>
          <w:tab w:val="left" w:pos="7920"/>
          <w:tab w:val="left" w:pos="9072"/>
          <w:tab w:val="right" w:pos="9504"/>
        </w:tabs>
        <w:spacing w:line="279" w:lineRule="exact"/>
        <w:rPr>
          <w:i/>
          <w:iCs/>
          <w:color w:val="000000" w:themeColor="text1"/>
        </w:rPr>
      </w:pPr>
      <w:r w:rsidRPr="0016000A">
        <w:rPr>
          <w:i/>
          <w:iCs/>
          <w:color w:val="000000" w:themeColor="text1"/>
        </w:rPr>
        <w:t>Health Insurance (Section 3C General Medical Services—Transvaginal repair of pelvic organ prolapse and procedures for the excision of graft material) Determination 2018</w:t>
      </w:r>
    </w:p>
    <w:p w14:paraId="4416878D" w14:textId="77777777" w:rsidR="00EC490F" w:rsidRDefault="00EC490F" w:rsidP="00EC490F">
      <w:pPr>
        <w:pStyle w:val="ListParagraph"/>
        <w:numPr>
          <w:ilvl w:val="0"/>
          <w:numId w:val="36"/>
        </w:numPr>
        <w:tabs>
          <w:tab w:val="left" w:pos="0"/>
          <w:tab w:val="left" w:pos="2160"/>
          <w:tab w:val="left" w:pos="3312"/>
          <w:tab w:val="left" w:pos="4464"/>
          <w:tab w:val="left" w:pos="5616"/>
          <w:tab w:val="left" w:pos="6768"/>
          <w:tab w:val="left" w:pos="7920"/>
          <w:tab w:val="left" w:pos="9072"/>
          <w:tab w:val="right" w:pos="9504"/>
        </w:tabs>
        <w:spacing w:line="279" w:lineRule="exact"/>
        <w:rPr>
          <w:i/>
          <w:iCs/>
          <w:color w:val="000000" w:themeColor="text1"/>
        </w:rPr>
      </w:pPr>
      <w:r w:rsidRPr="0016000A">
        <w:rPr>
          <w:i/>
          <w:iCs/>
          <w:color w:val="000000" w:themeColor="text1"/>
        </w:rPr>
        <w:t>Health Insurance (Section 3C General Medical Services – Optical Coherence Tomography) Determination 2018</w:t>
      </w:r>
    </w:p>
    <w:p w14:paraId="2F5B0996" w14:textId="77777777" w:rsidR="00EC490F" w:rsidRDefault="00EC490F" w:rsidP="00EC490F">
      <w:pPr>
        <w:pStyle w:val="ListParagraph"/>
        <w:numPr>
          <w:ilvl w:val="0"/>
          <w:numId w:val="35"/>
        </w:num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r w:rsidRPr="0016000A">
        <w:rPr>
          <w:iCs/>
          <w:color w:val="000000" w:themeColor="text1"/>
        </w:rPr>
        <w:t>Diagnostic Imaging Services Table</w:t>
      </w:r>
      <w:r>
        <w:rPr>
          <w:iCs/>
          <w:color w:val="000000" w:themeColor="text1"/>
        </w:rPr>
        <w:t>:</w:t>
      </w:r>
    </w:p>
    <w:p w14:paraId="528B7F68" w14:textId="77777777" w:rsidR="00EC490F" w:rsidRPr="0016000A" w:rsidRDefault="00EC490F" w:rsidP="00EC490F">
      <w:pPr>
        <w:pStyle w:val="ListParagraph"/>
        <w:numPr>
          <w:ilvl w:val="0"/>
          <w:numId w:val="36"/>
        </w:numPr>
        <w:tabs>
          <w:tab w:val="left" w:pos="0"/>
          <w:tab w:val="left" w:pos="2160"/>
          <w:tab w:val="left" w:pos="3312"/>
          <w:tab w:val="left" w:pos="4464"/>
          <w:tab w:val="left" w:pos="5616"/>
          <w:tab w:val="left" w:pos="6768"/>
          <w:tab w:val="left" w:pos="7920"/>
          <w:tab w:val="left" w:pos="9072"/>
          <w:tab w:val="right" w:pos="9504"/>
        </w:tabs>
        <w:spacing w:line="279" w:lineRule="exact"/>
        <w:rPr>
          <w:i/>
          <w:iCs/>
          <w:color w:val="000000" w:themeColor="text1"/>
        </w:rPr>
      </w:pPr>
      <w:r w:rsidRPr="0016000A">
        <w:rPr>
          <w:i/>
          <w:iCs/>
          <w:color w:val="000000" w:themeColor="text1"/>
        </w:rPr>
        <w:t>Health Insurance (Section 3C Diagnostic Imaging Services – Cardiac Services) Determination 2020</w:t>
      </w:r>
    </w:p>
    <w:p w14:paraId="4CA3904C" w14:textId="77777777" w:rsidR="00EC490F" w:rsidRPr="0016000A" w:rsidRDefault="00EC490F" w:rsidP="00EC490F">
      <w:pPr>
        <w:pStyle w:val="ListParagraph"/>
        <w:numPr>
          <w:ilvl w:val="0"/>
          <w:numId w:val="36"/>
        </w:numPr>
        <w:tabs>
          <w:tab w:val="left" w:pos="0"/>
          <w:tab w:val="left" w:pos="2160"/>
          <w:tab w:val="left" w:pos="3312"/>
          <w:tab w:val="left" w:pos="4464"/>
          <w:tab w:val="left" w:pos="5616"/>
          <w:tab w:val="left" w:pos="6768"/>
          <w:tab w:val="left" w:pos="7920"/>
          <w:tab w:val="left" w:pos="9072"/>
          <w:tab w:val="right" w:pos="9504"/>
        </w:tabs>
        <w:spacing w:line="279" w:lineRule="exact"/>
        <w:rPr>
          <w:i/>
          <w:iCs/>
          <w:color w:val="000000" w:themeColor="text1"/>
        </w:rPr>
      </w:pPr>
      <w:r w:rsidRPr="0016000A">
        <w:rPr>
          <w:i/>
          <w:iCs/>
          <w:color w:val="000000" w:themeColor="text1"/>
        </w:rPr>
        <w:t>Health Insurance (Section 3C Diagnostic Imaging Services – Computed Tomography Angiography) Determination 2020</w:t>
      </w:r>
    </w:p>
    <w:p w14:paraId="39E39371" w14:textId="77777777" w:rsidR="00EC490F" w:rsidRDefault="00EC490F" w:rsidP="00EC490F">
      <w:pPr>
        <w:pStyle w:val="ListParagraph"/>
        <w:numPr>
          <w:ilvl w:val="0"/>
          <w:numId w:val="35"/>
        </w:num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r>
        <w:rPr>
          <w:iCs/>
          <w:color w:val="000000" w:themeColor="text1"/>
        </w:rPr>
        <w:t>Pathology Services Table:</w:t>
      </w:r>
    </w:p>
    <w:p w14:paraId="6A9C3C1A" w14:textId="77777777" w:rsidR="00EC490F" w:rsidRPr="0016000A" w:rsidRDefault="00EC490F" w:rsidP="00EC490F">
      <w:pPr>
        <w:pStyle w:val="ListParagraph"/>
        <w:numPr>
          <w:ilvl w:val="0"/>
          <w:numId w:val="36"/>
        </w:numPr>
        <w:tabs>
          <w:tab w:val="left" w:pos="0"/>
          <w:tab w:val="left" w:pos="2160"/>
          <w:tab w:val="left" w:pos="3312"/>
          <w:tab w:val="left" w:pos="4464"/>
          <w:tab w:val="left" w:pos="5616"/>
          <w:tab w:val="left" w:pos="6768"/>
          <w:tab w:val="left" w:pos="7920"/>
          <w:tab w:val="left" w:pos="9072"/>
          <w:tab w:val="right" w:pos="9504"/>
        </w:tabs>
        <w:spacing w:line="279" w:lineRule="exact"/>
        <w:rPr>
          <w:i/>
          <w:iCs/>
          <w:color w:val="000000" w:themeColor="text1"/>
        </w:rPr>
      </w:pPr>
      <w:r w:rsidRPr="0016000A">
        <w:rPr>
          <w:i/>
          <w:iCs/>
          <w:color w:val="000000" w:themeColor="text1"/>
        </w:rPr>
        <w:lastRenderedPageBreak/>
        <w:t>Health Insurance (Section 3C Pathology Services – Archival Tissue Retrieval) Determination 2019</w:t>
      </w:r>
    </w:p>
    <w:p w14:paraId="06BA9A6C" w14:textId="77777777" w:rsidR="00EC490F" w:rsidRDefault="00EC490F" w:rsidP="00EC490F">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iCs/>
          <w:color w:val="000000" w:themeColor="text1"/>
        </w:rPr>
      </w:pPr>
    </w:p>
    <w:p w14:paraId="3FC2E711" w14:textId="77777777" w:rsidR="00EC490F" w:rsidRDefault="00EC490F" w:rsidP="00EC490F">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r>
        <w:rPr>
          <w:iCs/>
          <w:color w:val="000000" w:themeColor="text1"/>
        </w:rPr>
        <w:t>Schedule 1 of the Determination will repeal these instruments from 1 March 2021. This is an administrative change, as these items will be listed in the tables.</w:t>
      </w:r>
    </w:p>
    <w:p w14:paraId="33275C1B" w14:textId="77777777" w:rsidR="00EC490F" w:rsidRDefault="00EC490F" w:rsidP="00EC490F">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p>
    <w:p w14:paraId="14CAFA48" w14:textId="77777777" w:rsidR="006D645C" w:rsidRPr="006D645C" w:rsidRDefault="006D645C" w:rsidP="006D645C">
      <w:pPr>
        <w:tabs>
          <w:tab w:val="left" w:pos="0"/>
          <w:tab w:val="left" w:pos="1008"/>
          <w:tab w:val="left" w:pos="2160"/>
          <w:tab w:val="left" w:pos="3312"/>
          <w:tab w:val="left" w:pos="4464"/>
          <w:tab w:val="left" w:pos="5616"/>
          <w:tab w:val="left" w:pos="6768"/>
          <w:tab w:val="left" w:pos="7920"/>
          <w:tab w:val="left" w:pos="9072"/>
          <w:tab w:val="right" w:pos="9504"/>
        </w:tabs>
        <w:rPr>
          <w:iCs/>
          <w:color w:val="000000" w:themeColor="text1"/>
          <w:szCs w:val="24"/>
        </w:rPr>
      </w:pPr>
      <w:r w:rsidRPr="006D645C">
        <w:rPr>
          <w:iCs/>
          <w:color w:val="000000" w:themeColor="text1"/>
          <w:szCs w:val="24"/>
        </w:rPr>
        <w:t xml:space="preserve">The Regulations will also list items 2729 and 2731, which are for focused psychological strategies by videoconference, in the GMST from 1 March 2021. </w:t>
      </w:r>
    </w:p>
    <w:p w14:paraId="49F0473D" w14:textId="77777777" w:rsidR="006D645C" w:rsidRPr="006D645C" w:rsidRDefault="006D645C" w:rsidP="006D645C">
      <w:pPr>
        <w:tabs>
          <w:tab w:val="left" w:pos="0"/>
          <w:tab w:val="left" w:pos="1008"/>
          <w:tab w:val="left" w:pos="2160"/>
          <w:tab w:val="left" w:pos="3312"/>
          <w:tab w:val="left" w:pos="4464"/>
          <w:tab w:val="left" w:pos="5616"/>
          <w:tab w:val="left" w:pos="6768"/>
          <w:tab w:val="left" w:pos="7920"/>
          <w:tab w:val="left" w:pos="9072"/>
          <w:tab w:val="right" w:pos="9504"/>
        </w:tabs>
        <w:rPr>
          <w:iCs/>
          <w:color w:val="000000" w:themeColor="text1"/>
          <w:szCs w:val="24"/>
        </w:rPr>
      </w:pPr>
    </w:p>
    <w:p w14:paraId="21E9DA03" w14:textId="7197314F" w:rsidR="006D645C" w:rsidRPr="006D645C" w:rsidRDefault="006D645C" w:rsidP="006D645C">
      <w:pPr>
        <w:tabs>
          <w:tab w:val="left" w:pos="0"/>
          <w:tab w:val="left" w:pos="1008"/>
          <w:tab w:val="left" w:pos="2160"/>
          <w:tab w:val="left" w:pos="3312"/>
          <w:tab w:val="left" w:pos="4464"/>
          <w:tab w:val="left" w:pos="5616"/>
          <w:tab w:val="left" w:pos="6768"/>
          <w:tab w:val="left" w:pos="7920"/>
          <w:tab w:val="left" w:pos="9072"/>
          <w:tab w:val="right" w:pos="9504"/>
        </w:tabs>
        <w:rPr>
          <w:iCs/>
          <w:color w:val="000000" w:themeColor="text1"/>
          <w:szCs w:val="24"/>
        </w:rPr>
      </w:pPr>
      <w:r w:rsidRPr="006D645C">
        <w:rPr>
          <w:iCs/>
          <w:color w:val="000000" w:themeColor="text1"/>
          <w:szCs w:val="24"/>
        </w:rPr>
        <w:t xml:space="preserve">These items are currently listed in the </w:t>
      </w:r>
      <w:r w:rsidRPr="006D645C">
        <w:rPr>
          <w:i/>
          <w:iCs/>
          <w:color w:val="000000" w:themeColor="text1"/>
          <w:szCs w:val="24"/>
        </w:rPr>
        <w:t xml:space="preserve">Health Insurance (Section 3C General Medical Services </w:t>
      </w:r>
      <w:r w:rsidR="00C47C79">
        <w:rPr>
          <w:i/>
          <w:iCs/>
          <w:color w:val="000000" w:themeColor="text1"/>
          <w:szCs w:val="24"/>
        </w:rPr>
        <w:t>–</w:t>
      </w:r>
      <w:r w:rsidRPr="006D645C">
        <w:rPr>
          <w:i/>
          <w:iCs/>
          <w:color w:val="000000" w:themeColor="text1"/>
          <w:szCs w:val="24"/>
        </w:rPr>
        <w:t xml:space="preserve"> General Practitioner Telehealth Services) Determination 2018</w:t>
      </w:r>
      <w:r w:rsidRPr="006D645C">
        <w:rPr>
          <w:iCs/>
          <w:color w:val="000000" w:themeColor="text1"/>
          <w:szCs w:val="24"/>
        </w:rPr>
        <w:t xml:space="preserve"> (the Telehealth Services Determination). The Telehealth Services Determination also lists items 2121, 2150 and 2196, which are for mental health services for patients affected by bushfire.</w:t>
      </w:r>
    </w:p>
    <w:p w14:paraId="4F38430E" w14:textId="77777777" w:rsidR="006D645C" w:rsidRPr="006D645C" w:rsidRDefault="006D645C" w:rsidP="006D645C">
      <w:pPr>
        <w:tabs>
          <w:tab w:val="left" w:pos="0"/>
          <w:tab w:val="left" w:pos="1008"/>
          <w:tab w:val="left" w:pos="2160"/>
          <w:tab w:val="left" w:pos="3312"/>
          <w:tab w:val="left" w:pos="4464"/>
          <w:tab w:val="left" w:pos="5616"/>
          <w:tab w:val="left" w:pos="6768"/>
          <w:tab w:val="left" w:pos="7920"/>
          <w:tab w:val="left" w:pos="9072"/>
          <w:tab w:val="right" w:pos="9504"/>
        </w:tabs>
        <w:rPr>
          <w:iCs/>
          <w:color w:val="000000" w:themeColor="text1"/>
          <w:szCs w:val="24"/>
        </w:rPr>
      </w:pPr>
      <w:r w:rsidRPr="006D645C">
        <w:rPr>
          <w:iCs/>
          <w:color w:val="000000" w:themeColor="text1"/>
          <w:szCs w:val="24"/>
        </w:rPr>
        <w:t>Schedule 2 of the Determination will amend the Telehealth Services Determination to remove items 2729 and 2731, including definitions and applications relevant to these services, as these items will be listed in the GMST. The bushfire items (2121, 2150 and 2196) will continue to be listed in the Telehealth Services Determination. This is an administrative change and there is no change to the Medicare arrangements for patients or providers.</w:t>
      </w:r>
    </w:p>
    <w:p w14:paraId="2412D15C" w14:textId="367BED6D" w:rsidR="00A17F2C" w:rsidRPr="00F240F2" w:rsidRDefault="006E0CA8" w:rsidP="006E0CA8">
      <w:pPr>
        <w:spacing w:before="120" w:after="120"/>
        <w:rPr>
          <w:b/>
          <w:szCs w:val="24"/>
        </w:rPr>
      </w:pPr>
      <w:r>
        <w:rPr>
          <w:b/>
          <w:szCs w:val="24"/>
        </w:rPr>
        <w:t>H</w:t>
      </w:r>
      <w:r w:rsidR="00A17F2C" w:rsidRPr="00F240F2">
        <w:rPr>
          <w:b/>
          <w:szCs w:val="24"/>
        </w:rPr>
        <w:t>uman rights implications</w:t>
      </w:r>
    </w:p>
    <w:p w14:paraId="449665F0" w14:textId="2ED3F54B" w:rsidR="00806020" w:rsidRPr="00F240F2" w:rsidRDefault="00806020" w:rsidP="00806020">
      <w:pPr>
        <w:spacing w:before="120" w:after="120"/>
        <w:rPr>
          <w:szCs w:val="24"/>
        </w:rPr>
      </w:pPr>
      <w:r w:rsidRPr="00F240F2">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F240F2" w:rsidRDefault="00A17F2C" w:rsidP="00806020">
      <w:pPr>
        <w:spacing w:before="120" w:after="120"/>
        <w:rPr>
          <w:i/>
          <w:szCs w:val="24"/>
        </w:rPr>
      </w:pPr>
      <w:r w:rsidRPr="00F240F2">
        <w:rPr>
          <w:i/>
          <w:szCs w:val="24"/>
        </w:rPr>
        <w:t>The Right to Health</w:t>
      </w:r>
    </w:p>
    <w:p w14:paraId="2412D15F" w14:textId="77777777" w:rsidR="00A17F2C" w:rsidRPr="00F240F2" w:rsidRDefault="00A17F2C" w:rsidP="000337CB">
      <w:pPr>
        <w:spacing w:before="120" w:after="120"/>
        <w:rPr>
          <w:szCs w:val="24"/>
        </w:rPr>
      </w:pPr>
      <w:r w:rsidRPr="00F240F2">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F240F2" w:rsidRDefault="00A17F2C" w:rsidP="000337CB">
      <w:pPr>
        <w:spacing w:before="120" w:after="120"/>
        <w:rPr>
          <w:szCs w:val="24"/>
        </w:rPr>
      </w:pPr>
      <w:r w:rsidRPr="00F240F2">
        <w:rPr>
          <w:szCs w:val="24"/>
        </w:rPr>
        <w:t xml:space="preserve">The Committee reports that the </w:t>
      </w:r>
      <w:r w:rsidRPr="00F240F2">
        <w:rPr>
          <w:i/>
          <w:szCs w:val="24"/>
        </w:rPr>
        <w:t>‘highest attainable standard of health’</w:t>
      </w:r>
      <w:r w:rsidRPr="00F240F2">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4CAADEC8" w:rsidR="00A17F2C" w:rsidRPr="00F240F2" w:rsidRDefault="00A17F2C" w:rsidP="000337CB">
      <w:pPr>
        <w:spacing w:before="120" w:after="120"/>
        <w:rPr>
          <w:i/>
          <w:szCs w:val="24"/>
        </w:rPr>
      </w:pPr>
      <w:r w:rsidRPr="00F240F2">
        <w:rPr>
          <w:i/>
          <w:szCs w:val="24"/>
        </w:rPr>
        <w:t xml:space="preserve">The Right to Social Security </w:t>
      </w:r>
    </w:p>
    <w:p w14:paraId="2412D162" w14:textId="77777777" w:rsidR="00A17F2C" w:rsidRPr="00F240F2" w:rsidRDefault="00A17F2C" w:rsidP="000337CB">
      <w:pPr>
        <w:spacing w:before="120" w:after="120"/>
        <w:rPr>
          <w:szCs w:val="24"/>
        </w:rPr>
      </w:pPr>
      <w:r w:rsidRPr="00F240F2">
        <w:rPr>
          <w:szCs w:val="24"/>
        </w:rPr>
        <w:t>The right to social security is contained in Article 9 of the ICESCR. It requires that a country must, within its maximum available resources, ensure access to a social security scheme that</w:t>
      </w:r>
      <w:r w:rsidR="00BA69CB" w:rsidRPr="00F240F2">
        <w:rPr>
          <w:szCs w:val="24"/>
        </w:rPr>
        <w:t xml:space="preserve"> </w:t>
      </w:r>
      <w:r w:rsidRPr="00F240F2">
        <w:rPr>
          <w:szCs w:val="24"/>
        </w:rPr>
        <w:lastRenderedPageBreak/>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412D163" w14:textId="288E17B8" w:rsidR="00735CCC" w:rsidRPr="00F240F2" w:rsidRDefault="00A17F2C" w:rsidP="000337CB">
      <w:pPr>
        <w:spacing w:before="120" w:after="120"/>
        <w:rPr>
          <w:szCs w:val="24"/>
        </w:rPr>
      </w:pPr>
      <w:r w:rsidRPr="00F240F2">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412D164" w14:textId="28027AD5" w:rsidR="00A17F2C" w:rsidRPr="00F240F2" w:rsidRDefault="00A17F2C" w:rsidP="000337CB">
      <w:pPr>
        <w:spacing w:before="120" w:after="120"/>
        <w:rPr>
          <w:szCs w:val="24"/>
          <w:u w:val="single"/>
        </w:rPr>
      </w:pPr>
      <w:r w:rsidRPr="00F240F2">
        <w:rPr>
          <w:szCs w:val="24"/>
          <w:u w:val="single"/>
        </w:rPr>
        <w:t xml:space="preserve">Analysis </w:t>
      </w:r>
    </w:p>
    <w:p w14:paraId="6AF7A2FB" w14:textId="77777777" w:rsidR="00CD3FD7" w:rsidRPr="00CD3FD7" w:rsidRDefault="00CD3FD7" w:rsidP="00CD3FD7">
      <w:pPr>
        <w:shd w:val="clear" w:color="auto" w:fill="FFFFFF"/>
        <w:spacing w:before="120" w:after="120"/>
        <w:rPr>
          <w:rFonts w:ascii="Helvetica Neue" w:hAnsi="Helvetica Neue"/>
          <w:szCs w:val="24"/>
        </w:rPr>
      </w:pPr>
      <w:r w:rsidRPr="00CD3FD7">
        <w:rPr>
          <w:rFonts w:ascii="Helvetica Neue" w:hAnsi="Helvetica Neue"/>
          <w:szCs w:val="24"/>
        </w:rPr>
        <w:t xml:space="preserve">This instrument maintains rights to health and social security by ensuring access to publicly subsidised health services, which are clinically effective and cost-effective.  </w:t>
      </w:r>
    </w:p>
    <w:p w14:paraId="2412D166" w14:textId="1973400E" w:rsidR="00A17F2C" w:rsidRPr="00F240F2" w:rsidRDefault="00A17F2C" w:rsidP="004B7CB9">
      <w:pPr>
        <w:spacing w:before="120" w:after="120" w:line="276" w:lineRule="auto"/>
        <w:rPr>
          <w:rFonts w:eastAsia="Calibri"/>
          <w:b/>
          <w:szCs w:val="24"/>
          <w:lang w:eastAsia="en-US"/>
        </w:rPr>
      </w:pPr>
      <w:r w:rsidRPr="00F240F2">
        <w:rPr>
          <w:rFonts w:eastAsia="Calibri"/>
          <w:b/>
          <w:szCs w:val="24"/>
          <w:lang w:eastAsia="en-US"/>
        </w:rPr>
        <w:t xml:space="preserve">Conclusion </w:t>
      </w:r>
    </w:p>
    <w:p w14:paraId="2412D167" w14:textId="41CB9515" w:rsidR="00A17F2C" w:rsidRPr="00F240F2" w:rsidRDefault="006E6BBF" w:rsidP="000337CB">
      <w:pPr>
        <w:rPr>
          <w:color w:val="FF0000"/>
          <w:szCs w:val="24"/>
        </w:rPr>
      </w:pPr>
      <w:r w:rsidRPr="00F240F2">
        <w:rPr>
          <w:szCs w:val="24"/>
        </w:rPr>
        <w:t xml:space="preserve">This </w:t>
      </w:r>
      <w:r w:rsidR="0046022A" w:rsidRPr="00F240F2">
        <w:rPr>
          <w:szCs w:val="24"/>
        </w:rPr>
        <w:t>instrument</w:t>
      </w:r>
      <w:r w:rsidRPr="00F240F2">
        <w:rPr>
          <w:szCs w:val="24"/>
        </w:rPr>
        <w:t xml:space="preserve"> </w:t>
      </w:r>
      <w:r w:rsidR="00F15284" w:rsidRPr="00F240F2">
        <w:rPr>
          <w:szCs w:val="24"/>
        </w:rPr>
        <w:t xml:space="preserve">is compatible with human rights as it </w:t>
      </w:r>
      <w:r w:rsidR="00AD3DBA" w:rsidRPr="00F240F2">
        <w:rPr>
          <w:szCs w:val="24"/>
        </w:rPr>
        <w:t xml:space="preserve">advances </w:t>
      </w:r>
      <w:r w:rsidR="007C7403" w:rsidRPr="00F240F2">
        <w:rPr>
          <w:szCs w:val="24"/>
        </w:rPr>
        <w:t xml:space="preserve">the </w:t>
      </w:r>
      <w:r w:rsidR="00910EF6" w:rsidRPr="00F240F2">
        <w:rPr>
          <w:szCs w:val="24"/>
        </w:rPr>
        <w:t>right to health and the right to social security.</w:t>
      </w:r>
      <w:r w:rsidR="001B6095" w:rsidRPr="00F240F2">
        <w:rPr>
          <w:color w:val="FF0000"/>
          <w:szCs w:val="24"/>
        </w:rPr>
        <w:t xml:space="preserve"> </w:t>
      </w:r>
    </w:p>
    <w:p w14:paraId="2412D168" w14:textId="77777777" w:rsidR="00F15284" w:rsidRPr="00F240F2" w:rsidRDefault="00F15284" w:rsidP="000337CB">
      <w:pPr>
        <w:rPr>
          <w:rFonts w:eastAsia="Calibri"/>
          <w:szCs w:val="24"/>
          <w:lang w:eastAsia="en-US"/>
        </w:rPr>
      </w:pPr>
    </w:p>
    <w:p w14:paraId="75A46380" w14:textId="77777777" w:rsidR="00C67BC7" w:rsidRPr="00F240F2" w:rsidRDefault="00C67BC7" w:rsidP="000F2948">
      <w:pPr>
        <w:jc w:val="center"/>
        <w:rPr>
          <w:b/>
          <w:bCs/>
        </w:rPr>
      </w:pPr>
    </w:p>
    <w:p w14:paraId="60A0E5AF" w14:textId="48C27770" w:rsidR="00AC688A" w:rsidRPr="00F240F2" w:rsidRDefault="006E0CA8" w:rsidP="00AC688A">
      <w:pPr>
        <w:shd w:val="clear" w:color="auto" w:fill="FFFFFF"/>
        <w:spacing w:line="240" w:lineRule="atLeast"/>
        <w:ind w:right="-23"/>
        <w:jc w:val="center"/>
        <w:rPr>
          <w:b/>
          <w:bCs/>
        </w:rPr>
      </w:pPr>
      <w:r>
        <w:rPr>
          <w:b/>
          <w:bCs/>
        </w:rPr>
        <w:t>Paul McBride</w:t>
      </w:r>
    </w:p>
    <w:p w14:paraId="179865D6" w14:textId="39B8A36D" w:rsidR="00AC688A" w:rsidRPr="00F240F2" w:rsidRDefault="006E0CA8" w:rsidP="00AC688A">
      <w:pPr>
        <w:shd w:val="clear" w:color="auto" w:fill="FFFFFF"/>
        <w:spacing w:line="240" w:lineRule="atLeast"/>
        <w:ind w:right="-23"/>
        <w:jc w:val="center"/>
        <w:rPr>
          <w:b/>
          <w:bCs/>
        </w:rPr>
      </w:pPr>
      <w:r>
        <w:rPr>
          <w:b/>
          <w:bCs/>
        </w:rPr>
        <w:t>First</w:t>
      </w:r>
      <w:r w:rsidR="00AC688A" w:rsidRPr="00F240F2">
        <w:rPr>
          <w:b/>
          <w:bCs/>
        </w:rPr>
        <w:t xml:space="preserve"> Assistant Secretary </w:t>
      </w:r>
    </w:p>
    <w:p w14:paraId="02A70157" w14:textId="77777777" w:rsidR="00AC688A" w:rsidRPr="00F240F2" w:rsidRDefault="00AC688A" w:rsidP="00AC688A">
      <w:pPr>
        <w:shd w:val="clear" w:color="auto" w:fill="FFFFFF"/>
        <w:spacing w:line="240" w:lineRule="atLeast"/>
        <w:ind w:right="-23"/>
        <w:jc w:val="center"/>
        <w:rPr>
          <w:b/>
          <w:bCs/>
        </w:rPr>
      </w:pPr>
      <w:r w:rsidRPr="00F240F2">
        <w:rPr>
          <w:b/>
          <w:bCs/>
        </w:rPr>
        <w:t xml:space="preserve">Medical Benefits Division </w:t>
      </w:r>
    </w:p>
    <w:p w14:paraId="5BEB1C1A" w14:textId="6E140021" w:rsidR="00AC688A" w:rsidRPr="00F240F2" w:rsidRDefault="00AC688A" w:rsidP="00AC688A">
      <w:pPr>
        <w:shd w:val="clear" w:color="auto" w:fill="FFFFFF"/>
        <w:spacing w:line="240" w:lineRule="atLeast"/>
        <w:ind w:right="-23"/>
        <w:jc w:val="center"/>
        <w:rPr>
          <w:b/>
          <w:bCs/>
        </w:rPr>
      </w:pPr>
      <w:r w:rsidRPr="00F240F2">
        <w:rPr>
          <w:b/>
          <w:bCs/>
        </w:rPr>
        <w:t xml:space="preserve">Health </w:t>
      </w:r>
      <w:r w:rsidR="006E0CA8">
        <w:rPr>
          <w:b/>
          <w:bCs/>
        </w:rPr>
        <w:t>Resourcing</w:t>
      </w:r>
      <w:r w:rsidRPr="00F240F2">
        <w:rPr>
          <w:b/>
          <w:bCs/>
        </w:rPr>
        <w:t xml:space="preserve"> Group</w:t>
      </w:r>
    </w:p>
    <w:p w14:paraId="2412D16E" w14:textId="4102FE15" w:rsidR="00636C51" w:rsidRPr="0013004F" w:rsidRDefault="00AC688A" w:rsidP="001B6095">
      <w:pPr>
        <w:jc w:val="center"/>
        <w:rPr>
          <w:b/>
          <w:bCs/>
        </w:rPr>
      </w:pPr>
      <w:r w:rsidRPr="00F240F2">
        <w:rPr>
          <w:b/>
          <w:bCs/>
        </w:rPr>
        <w:t>Department of Health</w:t>
      </w:r>
    </w:p>
    <w:sectPr w:rsidR="00636C51" w:rsidRPr="0013004F"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6" w14:textId="72E50886" w:rsidR="00A1739A" w:rsidRDefault="00A1739A" w:rsidP="00BD6F5F">
    <w:pPr>
      <w:pStyle w:val="Header"/>
      <w:jc w:val="center"/>
    </w:pPr>
    <w:r>
      <w:fldChar w:fldCharType="begin"/>
    </w:r>
    <w:r>
      <w:instrText xml:space="preserve"> PAGE  \* Arabic  \* MERGEFORMAT </w:instrText>
    </w:r>
    <w:r>
      <w:fldChar w:fldCharType="separate"/>
    </w:r>
    <w:r w:rsidR="00EB4AA7">
      <w:rPr>
        <w:noProof/>
      </w:rPr>
      <w:t>2</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412D17A" w14:textId="2C1C6366" w:rsidR="00E23B6B" w:rsidRDefault="00E23B6B">
        <w:pPr>
          <w:pStyle w:val="Header"/>
          <w:jc w:val="center"/>
        </w:pPr>
        <w:r>
          <w:fldChar w:fldCharType="begin"/>
        </w:r>
        <w:r>
          <w:instrText xml:space="preserve"> PAGE   \* MERGEFORMAT </w:instrText>
        </w:r>
        <w:r>
          <w:fldChar w:fldCharType="separate"/>
        </w:r>
        <w:r w:rsidR="00EB4AA7">
          <w:rPr>
            <w:noProof/>
          </w:rPr>
          <w:t>5</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2412D17C" w14:textId="5352BBF6" w:rsidR="00E23B6B" w:rsidRDefault="00E23B6B">
        <w:pPr>
          <w:pStyle w:val="Header"/>
          <w:jc w:val="center"/>
        </w:pPr>
        <w:r>
          <w:fldChar w:fldCharType="begin"/>
        </w:r>
        <w:r>
          <w:instrText xml:space="preserve"> PAGE   \* MERGEFORMAT </w:instrText>
        </w:r>
        <w:r>
          <w:fldChar w:fldCharType="separate"/>
        </w:r>
        <w:r w:rsidR="00EB4AA7">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1816FF1"/>
    <w:multiLevelType w:val="hybridMultilevel"/>
    <w:tmpl w:val="86D2887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20F202E"/>
    <w:multiLevelType w:val="hybridMultilevel"/>
    <w:tmpl w:val="66DA3C2C"/>
    <w:lvl w:ilvl="0" w:tplc="D6D2D216">
      <w:start w:val="1"/>
      <w:numFmt w:val="lowerLetter"/>
      <w:lvlText w:val="(%1)"/>
      <w:lvlJc w:val="left"/>
      <w:pPr>
        <w:ind w:left="1429" w:hanging="360"/>
      </w:pPr>
      <w:rPr>
        <w:rFonts w:hint="default"/>
        <w:b w:val="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5EA015E"/>
    <w:multiLevelType w:val="hybridMultilevel"/>
    <w:tmpl w:val="3880D6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992256"/>
    <w:multiLevelType w:val="hybridMultilevel"/>
    <w:tmpl w:val="D3608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FB2620"/>
    <w:multiLevelType w:val="hybridMultilevel"/>
    <w:tmpl w:val="9B92BE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4"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EEB18BA"/>
    <w:multiLevelType w:val="hybridMultilevel"/>
    <w:tmpl w:val="84D42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32"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3"/>
  </w:num>
  <w:num w:numId="3">
    <w:abstractNumId w:val="4"/>
  </w:num>
  <w:num w:numId="4">
    <w:abstractNumId w:val="14"/>
  </w:num>
  <w:num w:numId="5">
    <w:abstractNumId w:val="22"/>
  </w:num>
  <w:num w:numId="6">
    <w:abstractNumId w:val="12"/>
  </w:num>
  <w:num w:numId="7">
    <w:abstractNumId w:val="34"/>
  </w:num>
  <w:num w:numId="8">
    <w:abstractNumId w:val="9"/>
  </w:num>
  <w:num w:numId="9">
    <w:abstractNumId w:val="8"/>
  </w:num>
  <w:num w:numId="10">
    <w:abstractNumId w:val="36"/>
  </w:num>
  <w:num w:numId="11">
    <w:abstractNumId w:val="33"/>
  </w:num>
  <w:num w:numId="12">
    <w:abstractNumId w:val="15"/>
  </w:num>
  <w:num w:numId="13">
    <w:abstractNumId w:val="18"/>
  </w:num>
  <w:num w:numId="14">
    <w:abstractNumId w:val="31"/>
  </w:num>
  <w:num w:numId="15">
    <w:abstractNumId w:val="10"/>
  </w:num>
  <w:num w:numId="16">
    <w:abstractNumId w:val="24"/>
  </w:num>
  <w:num w:numId="17">
    <w:abstractNumId w:val="27"/>
  </w:num>
  <w:num w:numId="18">
    <w:abstractNumId w:val="25"/>
  </w:num>
  <w:num w:numId="19">
    <w:abstractNumId w:val="6"/>
  </w:num>
  <w:num w:numId="20">
    <w:abstractNumId w:val="13"/>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6"/>
  </w:num>
  <w:num w:numId="25">
    <w:abstractNumId w:val="11"/>
  </w:num>
  <w:num w:numId="26">
    <w:abstractNumId w:val="7"/>
  </w:num>
  <w:num w:numId="27">
    <w:abstractNumId w:val="19"/>
  </w:num>
  <w:num w:numId="28">
    <w:abstractNumId w:val="35"/>
  </w:num>
  <w:num w:numId="29">
    <w:abstractNumId w:val="21"/>
  </w:num>
  <w:num w:numId="30">
    <w:abstractNumId w:val="32"/>
  </w:num>
  <w:num w:numId="31">
    <w:abstractNumId w:val="16"/>
  </w:num>
  <w:num w:numId="32">
    <w:abstractNumId w:val="30"/>
  </w:num>
  <w:num w:numId="33">
    <w:abstractNumId w:val="28"/>
  </w:num>
  <w:num w:numId="34">
    <w:abstractNumId w:val="2"/>
  </w:num>
  <w:num w:numId="35">
    <w:abstractNumId w:val="17"/>
  </w:num>
  <w:num w:numId="36">
    <w:abstractNumId w:val="1"/>
  </w:num>
  <w:num w:numId="37">
    <w:abstractNumId w:val="5"/>
  </w:num>
  <w:num w:numId="38">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9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39CF"/>
    <w:rsid w:val="00014639"/>
    <w:rsid w:val="00014B38"/>
    <w:rsid w:val="00014E40"/>
    <w:rsid w:val="00015748"/>
    <w:rsid w:val="00016774"/>
    <w:rsid w:val="000203B4"/>
    <w:rsid w:val="00021EFA"/>
    <w:rsid w:val="00024158"/>
    <w:rsid w:val="00024A1D"/>
    <w:rsid w:val="00025F64"/>
    <w:rsid w:val="0002704E"/>
    <w:rsid w:val="0002728B"/>
    <w:rsid w:val="0002752C"/>
    <w:rsid w:val="00027830"/>
    <w:rsid w:val="000319EF"/>
    <w:rsid w:val="00032CA4"/>
    <w:rsid w:val="00033034"/>
    <w:rsid w:val="000337CB"/>
    <w:rsid w:val="0003591F"/>
    <w:rsid w:val="000415ED"/>
    <w:rsid w:val="00041849"/>
    <w:rsid w:val="0004426E"/>
    <w:rsid w:val="00044A2A"/>
    <w:rsid w:val="00050623"/>
    <w:rsid w:val="000509BA"/>
    <w:rsid w:val="0005224B"/>
    <w:rsid w:val="00054F46"/>
    <w:rsid w:val="0005533C"/>
    <w:rsid w:val="0006081F"/>
    <w:rsid w:val="00063242"/>
    <w:rsid w:val="000640CF"/>
    <w:rsid w:val="00064BA4"/>
    <w:rsid w:val="000678F0"/>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38FC"/>
    <w:rsid w:val="000A45BE"/>
    <w:rsid w:val="000A467F"/>
    <w:rsid w:val="000A6FB3"/>
    <w:rsid w:val="000A7B9B"/>
    <w:rsid w:val="000B208E"/>
    <w:rsid w:val="000B3452"/>
    <w:rsid w:val="000C1226"/>
    <w:rsid w:val="000C12EE"/>
    <w:rsid w:val="000C17A5"/>
    <w:rsid w:val="000C3BA7"/>
    <w:rsid w:val="000C3D8A"/>
    <w:rsid w:val="000C46E6"/>
    <w:rsid w:val="000C4B3D"/>
    <w:rsid w:val="000C5BA2"/>
    <w:rsid w:val="000C6797"/>
    <w:rsid w:val="000C6FF8"/>
    <w:rsid w:val="000C7FE1"/>
    <w:rsid w:val="000D1325"/>
    <w:rsid w:val="000D1A87"/>
    <w:rsid w:val="000D2300"/>
    <w:rsid w:val="000D3B79"/>
    <w:rsid w:val="000D461B"/>
    <w:rsid w:val="000D4E58"/>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3E27"/>
    <w:rsid w:val="000F548E"/>
    <w:rsid w:val="000F5E76"/>
    <w:rsid w:val="000F6853"/>
    <w:rsid w:val="000F7E00"/>
    <w:rsid w:val="001000CE"/>
    <w:rsid w:val="00104751"/>
    <w:rsid w:val="00105F4C"/>
    <w:rsid w:val="0010617D"/>
    <w:rsid w:val="00106763"/>
    <w:rsid w:val="00107F36"/>
    <w:rsid w:val="00110204"/>
    <w:rsid w:val="0011066E"/>
    <w:rsid w:val="00110D12"/>
    <w:rsid w:val="00113B2E"/>
    <w:rsid w:val="0011618F"/>
    <w:rsid w:val="00120766"/>
    <w:rsid w:val="00121189"/>
    <w:rsid w:val="00121A66"/>
    <w:rsid w:val="00124959"/>
    <w:rsid w:val="0013004F"/>
    <w:rsid w:val="00132087"/>
    <w:rsid w:val="00134B27"/>
    <w:rsid w:val="00135D0D"/>
    <w:rsid w:val="001400C4"/>
    <w:rsid w:val="00141323"/>
    <w:rsid w:val="00141E8C"/>
    <w:rsid w:val="00143685"/>
    <w:rsid w:val="00143943"/>
    <w:rsid w:val="001448F2"/>
    <w:rsid w:val="00145918"/>
    <w:rsid w:val="00145D25"/>
    <w:rsid w:val="00145DED"/>
    <w:rsid w:val="00146AD2"/>
    <w:rsid w:val="001519E4"/>
    <w:rsid w:val="00154FC4"/>
    <w:rsid w:val="001551FE"/>
    <w:rsid w:val="0015521F"/>
    <w:rsid w:val="0016000A"/>
    <w:rsid w:val="001603DB"/>
    <w:rsid w:val="00163411"/>
    <w:rsid w:val="001641C0"/>
    <w:rsid w:val="00164A69"/>
    <w:rsid w:val="0016646C"/>
    <w:rsid w:val="00167DA1"/>
    <w:rsid w:val="0017187F"/>
    <w:rsid w:val="00174E96"/>
    <w:rsid w:val="001770D9"/>
    <w:rsid w:val="0017759F"/>
    <w:rsid w:val="0018012F"/>
    <w:rsid w:val="00180206"/>
    <w:rsid w:val="00180742"/>
    <w:rsid w:val="00181B3E"/>
    <w:rsid w:val="00181EBB"/>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BB0"/>
    <w:rsid w:val="001A7EF8"/>
    <w:rsid w:val="001B0111"/>
    <w:rsid w:val="001B3714"/>
    <w:rsid w:val="001B3BDF"/>
    <w:rsid w:val="001B5ED9"/>
    <w:rsid w:val="001B6095"/>
    <w:rsid w:val="001B66AF"/>
    <w:rsid w:val="001B7092"/>
    <w:rsid w:val="001C1B86"/>
    <w:rsid w:val="001C35BC"/>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6C5A"/>
    <w:rsid w:val="001E7C25"/>
    <w:rsid w:val="001F004A"/>
    <w:rsid w:val="001F0923"/>
    <w:rsid w:val="001F1F27"/>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3EE9"/>
    <w:rsid w:val="0025493F"/>
    <w:rsid w:val="00257459"/>
    <w:rsid w:val="00257E4D"/>
    <w:rsid w:val="00262865"/>
    <w:rsid w:val="00263279"/>
    <w:rsid w:val="00263F62"/>
    <w:rsid w:val="002643FC"/>
    <w:rsid w:val="00274073"/>
    <w:rsid w:val="0027545F"/>
    <w:rsid w:val="0027610D"/>
    <w:rsid w:val="002806A1"/>
    <w:rsid w:val="00281918"/>
    <w:rsid w:val="00284483"/>
    <w:rsid w:val="00284749"/>
    <w:rsid w:val="00285256"/>
    <w:rsid w:val="00287AEF"/>
    <w:rsid w:val="00287B08"/>
    <w:rsid w:val="00290B98"/>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640F"/>
    <w:rsid w:val="002B7177"/>
    <w:rsid w:val="002C1BFE"/>
    <w:rsid w:val="002C43E7"/>
    <w:rsid w:val="002C4F5B"/>
    <w:rsid w:val="002C54A1"/>
    <w:rsid w:val="002C5DCD"/>
    <w:rsid w:val="002D03AB"/>
    <w:rsid w:val="002D2A4E"/>
    <w:rsid w:val="002D2D6D"/>
    <w:rsid w:val="002D3D39"/>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003"/>
    <w:rsid w:val="002F1707"/>
    <w:rsid w:val="002F1FE4"/>
    <w:rsid w:val="002F2F33"/>
    <w:rsid w:val="002F3A26"/>
    <w:rsid w:val="002F449C"/>
    <w:rsid w:val="002F4CD2"/>
    <w:rsid w:val="002F6069"/>
    <w:rsid w:val="002F70B1"/>
    <w:rsid w:val="002F7549"/>
    <w:rsid w:val="002F7984"/>
    <w:rsid w:val="00301D49"/>
    <w:rsid w:val="003025C7"/>
    <w:rsid w:val="00302F5C"/>
    <w:rsid w:val="00304080"/>
    <w:rsid w:val="00304858"/>
    <w:rsid w:val="0031124D"/>
    <w:rsid w:val="00312ED1"/>
    <w:rsid w:val="00313554"/>
    <w:rsid w:val="003171F7"/>
    <w:rsid w:val="00317B55"/>
    <w:rsid w:val="0032155B"/>
    <w:rsid w:val="003239D0"/>
    <w:rsid w:val="00324908"/>
    <w:rsid w:val="003279A2"/>
    <w:rsid w:val="00331752"/>
    <w:rsid w:val="00332AF9"/>
    <w:rsid w:val="003332C9"/>
    <w:rsid w:val="003337A6"/>
    <w:rsid w:val="0033493D"/>
    <w:rsid w:val="00337DE1"/>
    <w:rsid w:val="00340BDB"/>
    <w:rsid w:val="00340E39"/>
    <w:rsid w:val="00341145"/>
    <w:rsid w:val="003412CB"/>
    <w:rsid w:val="0035214B"/>
    <w:rsid w:val="003527D6"/>
    <w:rsid w:val="00353351"/>
    <w:rsid w:val="00353622"/>
    <w:rsid w:val="0035389C"/>
    <w:rsid w:val="00357CD8"/>
    <w:rsid w:val="0036001E"/>
    <w:rsid w:val="0036040D"/>
    <w:rsid w:val="00360EAD"/>
    <w:rsid w:val="0036105C"/>
    <w:rsid w:val="00361ADE"/>
    <w:rsid w:val="00363306"/>
    <w:rsid w:val="0036495A"/>
    <w:rsid w:val="00366990"/>
    <w:rsid w:val="00366C2C"/>
    <w:rsid w:val="00367440"/>
    <w:rsid w:val="00370BE6"/>
    <w:rsid w:val="00371F67"/>
    <w:rsid w:val="00375E39"/>
    <w:rsid w:val="00376051"/>
    <w:rsid w:val="003760ED"/>
    <w:rsid w:val="003764AE"/>
    <w:rsid w:val="0037659B"/>
    <w:rsid w:val="003775D7"/>
    <w:rsid w:val="00380CBA"/>
    <w:rsid w:val="00381278"/>
    <w:rsid w:val="0038127E"/>
    <w:rsid w:val="00384080"/>
    <w:rsid w:val="003855DF"/>
    <w:rsid w:val="00386C22"/>
    <w:rsid w:val="0038731F"/>
    <w:rsid w:val="003876E6"/>
    <w:rsid w:val="0039170C"/>
    <w:rsid w:val="00391AFA"/>
    <w:rsid w:val="003937EF"/>
    <w:rsid w:val="00393E9B"/>
    <w:rsid w:val="00395072"/>
    <w:rsid w:val="00396F35"/>
    <w:rsid w:val="00397A97"/>
    <w:rsid w:val="003A280D"/>
    <w:rsid w:val="003A5A70"/>
    <w:rsid w:val="003A6230"/>
    <w:rsid w:val="003A6299"/>
    <w:rsid w:val="003B1976"/>
    <w:rsid w:val="003B1D46"/>
    <w:rsid w:val="003B27BA"/>
    <w:rsid w:val="003B3617"/>
    <w:rsid w:val="003B366C"/>
    <w:rsid w:val="003B38C1"/>
    <w:rsid w:val="003B59A9"/>
    <w:rsid w:val="003B6B63"/>
    <w:rsid w:val="003B7C31"/>
    <w:rsid w:val="003C02D4"/>
    <w:rsid w:val="003C37E3"/>
    <w:rsid w:val="003C4CBD"/>
    <w:rsid w:val="003C546B"/>
    <w:rsid w:val="003C7719"/>
    <w:rsid w:val="003D0FBD"/>
    <w:rsid w:val="003D1C43"/>
    <w:rsid w:val="003D2A6D"/>
    <w:rsid w:val="003E005B"/>
    <w:rsid w:val="003E04DA"/>
    <w:rsid w:val="003E1249"/>
    <w:rsid w:val="003E3544"/>
    <w:rsid w:val="003E35A8"/>
    <w:rsid w:val="003E4F2D"/>
    <w:rsid w:val="003E57BE"/>
    <w:rsid w:val="003E77CB"/>
    <w:rsid w:val="003F47FD"/>
    <w:rsid w:val="003F4B52"/>
    <w:rsid w:val="003F73BA"/>
    <w:rsid w:val="003F73F0"/>
    <w:rsid w:val="00401423"/>
    <w:rsid w:val="00403105"/>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57A8"/>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AC7"/>
    <w:rsid w:val="004669A4"/>
    <w:rsid w:val="00466A5B"/>
    <w:rsid w:val="0046799A"/>
    <w:rsid w:val="0047494B"/>
    <w:rsid w:val="00475A85"/>
    <w:rsid w:val="00476F13"/>
    <w:rsid w:val="00477A06"/>
    <w:rsid w:val="00477C74"/>
    <w:rsid w:val="00480561"/>
    <w:rsid w:val="004806B3"/>
    <w:rsid w:val="00481E5E"/>
    <w:rsid w:val="004828A9"/>
    <w:rsid w:val="004849DE"/>
    <w:rsid w:val="00484A65"/>
    <w:rsid w:val="00484E4F"/>
    <w:rsid w:val="004876DF"/>
    <w:rsid w:val="0048778D"/>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49B"/>
    <w:rsid w:val="004B7CB9"/>
    <w:rsid w:val="004C10BA"/>
    <w:rsid w:val="004C27EB"/>
    <w:rsid w:val="004C2840"/>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4BAD"/>
    <w:rsid w:val="004F7682"/>
    <w:rsid w:val="005012BC"/>
    <w:rsid w:val="00502156"/>
    <w:rsid w:val="00502277"/>
    <w:rsid w:val="00502758"/>
    <w:rsid w:val="005042B5"/>
    <w:rsid w:val="00505C67"/>
    <w:rsid w:val="00505F9A"/>
    <w:rsid w:val="00510A4F"/>
    <w:rsid w:val="005119E9"/>
    <w:rsid w:val="00512A65"/>
    <w:rsid w:val="005130BE"/>
    <w:rsid w:val="005140F2"/>
    <w:rsid w:val="0051709B"/>
    <w:rsid w:val="0052165A"/>
    <w:rsid w:val="00521802"/>
    <w:rsid w:val="0052430B"/>
    <w:rsid w:val="00525D51"/>
    <w:rsid w:val="00532CD3"/>
    <w:rsid w:val="005345A9"/>
    <w:rsid w:val="00534D8A"/>
    <w:rsid w:val="005378EB"/>
    <w:rsid w:val="0054004F"/>
    <w:rsid w:val="00540C67"/>
    <w:rsid w:val="00542913"/>
    <w:rsid w:val="005440E4"/>
    <w:rsid w:val="00545299"/>
    <w:rsid w:val="005452CD"/>
    <w:rsid w:val="0054588E"/>
    <w:rsid w:val="005468C0"/>
    <w:rsid w:val="00546DB4"/>
    <w:rsid w:val="005474A5"/>
    <w:rsid w:val="00547D82"/>
    <w:rsid w:val="005504B4"/>
    <w:rsid w:val="00550DAB"/>
    <w:rsid w:val="00551DD9"/>
    <w:rsid w:val="00552105"/>
    <w:rsid w:val="0055354D"/>
    <w:rsid w:val="00554543"/>
    <w:rsid w:val="005555B8"/>
    <w:rsid w:val="005567CF"/>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03CE"/>
    <w:rsid w:val="005A163F"/>
    <w:rsid w:val="005A39BB"/>
    <w:rsid w:val="005A3D73"/>
    <w:rsid w:val="005A3D8D"/>
    <w:rsid w:val="005A445D"/>
    <w:rsid w:val="005B0EA3"/>
    <w:rsid w:val="005B1599"/>
    <w:rsid w:val="005B1B0A"/>
    <w:rsid w:val="005B5062"/>
    <w:rsid w:val="005B6234"/>
    <w:rsid w:val="005B7596"/>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601165"/>
    <w:rsid w:val="00607971"/>
    <w:rsid w:val="00611A4E"/>
    <w:rsid w:val="006122C0"/>
    <w:rsid w:val="0061281D"/>
    <w:rsid w:val="00613C46"/>
    <w:rsid w:val="00614085"/>
    <w:rsid w:val="00616889"/>
    <w:rsid w:val="006176C6"/>
    <w:rsid w:val="00617BBF"/>
    <w:rsid w:val="00617F77"/>
    <w:rsid w:val="00620637"/>
    <w:rsid w:val="00622B75"/>
    <w:rsid w:val="00623004"/>
    <w:rsid w:val="006237CC"/>
    <w:rsid w:val="00627C91"/>
    <w:rsid w:val="00635031"/>
    <w:rsid w:val="006369D4"/>
    <w:rsid w:val="00636C51"/>
    <w:rsid w:val="006407FA"/>
    <w:rsid w:val="00641182"/>
    <w:rsid w:val="00642537"/>
    <w:rsid w:val="006427B2"/>
    <w:rsid w:val="00642BEB"/>
    <w:rsid w:val="00647426"/>
    <w:rsid w:val="00647590"/>
    <w:rsid w:val="006526F5"/>
    <w:rsid w:val="00653119"/>
    <w:rsid w:val="00656275"/>
    <w:rsid w:val="00657702"/>
    <w:rsid w:val="006619F5"/>
    <w:rsid w:val="006629F9"/>
    <w:rsid w:val="006639F0"/>
    <w:rsid w:val="0066562D"/>
    <w:rsid w:val="0066727B"/>
    <w:rsid w:val="00667D76"/>
    <w:rsid w:val="00670998"/>
    <w:rsid w:val="00672050"/>
    <w:rsid w:val="00673872"/>
    <w:rsid w:val="00674A34"/>
    <w:rsid w:val="00685515"/>
    <w:rsid w:val="0068642A"/>
    <w:rsid w:val="006906D2"/>
    <w:rsid w:val="00693A3E"/>
    <w:rsid w:val="00694C76"/>
    <w:rsid w:val="00694F4A"/>
    <w:rsid w:val="00697714"/>
    <w:rsid w:val="006A029B"/>
    <w:rsid w:val="006A17A1"/>
    <w:rsid w:val="006A61C5"/>
    <w:rsid w:val="006A6490"/>
    <w:rsid w:val="006B0F31"/>
    <w:rsid w:val="006B13BC"/>
    <w:rsid w:val="006B1DDD"/>
    <w:rsid w:val="006B32FE"/>
    <w:rsid w:val="006B3959"/>
    <w:rsid w:val="006B4B58"/>
    <w:rsid w:val="006B6925"/>
    <w:rsid w:val="006C026A"/>
    <w:rsid w:val="006C138D"/>
    <w:rsid w:val="006C3807"/>
    <w:rsid w:val="006C427E"/>
    <w:rsid w:val="006C6821"/>
    <w:rsid w:val="006C7491"/>
    <w:rsid w:val="006C761B"/>
    <w:rsid w:val="006C76B5"/>
    <w:rsid w:val="006D03ED"/>
    <w:rsid w:val="006D2B37"/>
    <w:rsid w:val="006D3D81"/>
    <w:rsid w:val="006D46A1"/>
    <w:rsid w:val="006D4AA4"/>
    <w:rsid w:val="006D54FB"/>
    <w:rsid w:val="006D5816"/>
    <w:rsid w:val="006D627E"/>
    <w:rsid w:val="006D62D4"/>
    <w:rsid w:val="006D645C"/>
    <w:rsid w:val="006E0CA8"/>
    <w:rsid w:val="006E1A62"/>
    <w:rsid w:val="006E320C"/>
    <w:rsid w:val="006E3D84"/>
    <w:rsid w:val="006E527B"/>
    <w:rsid w:val="006E5C6B"/>
    <w:rsid w:val="006E6377"/>
    <w:rsid w:val="006E6640"/>
    <w:rsid w:val="006E6BBF"/>
    <w:rsid w:val="006E7529"/>
    <w:rsid w:val="006F2E4F"/>
    <w:rsid w:val="006F5273"/>
    <w:rsid w:val="006F5CDC"/>
    <w:rsid w:val="006F6EC2"/>
    <w:rsid w:val="0070058D"/>
    <w:rsid w:val="00702854"/>
    <w:rsid w:val="007032E0"/>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0D56"/>
    <w:rsid w:val="00733599"/>
    <w:rsid w:val="00733F09"/>
    <w:rsid w:val="00735753"/>
    <w:rsid w:val="00735CCC"/>
    <w:rsid w:val="007368DC"/>
    <w:rsid w:val="00736AC9"/>
    <w:rsid w:val="007416A4"/>
    <w:rsid w:val="00741A4E"/>
    <w:rsid w:val="00742E97"/>
    <w:rsid w:val="007452E0"/>
    <w:rsid w:val="00745BD4"/>
    <w:rsid w:val="00750378"/>
    <w:rsid w:val="007505FB"/>
    <w:rsid w:val="007524B0"/>
    <w:rsid w:val="00752997"/>
    <w:rsid w:val="007533EC"/>
    <w:rsid w:val="00756FEA"/>
    <w:rsid w:val="00757618"/>
    <w:rsid w:val="007614DB"/>
    <w:rsid w:val="00762606"/>
    <w:rsid w:val="00762B45"/>
    <w:rsid w:val="0076544A"/>
    <w:rsid w:val="00767402"/>
    <w:rsid w:val="0077044D"/>
    <w:rsid w:val="007708B3"/>
    <w:rsid w:val="007710A8"/>
    <w:rsid w:val="007721B6"/>
    <w:rsid w:val="00774454"/>
    <w:rsid w:val="00774ABF"/>
    <w:rsid w:val="00776E17"/>
    <w:rsid w:val="00781E91"/>
    <w:rsid w:val="00782D07"/>
    <w:rsid w:val="007859F8"/>
    <w:rsid w:val="00791384"/>
    <w:rsid w:val="0079191B"/>
    <w:rsid w:val="00791C27"/>
    <w:rsid w:val="0079239C"/>
    <w:rsid w:val="007934F3"/>
    <w:rsid w:val="00795A80"/>
    <w:rsid w:val="00796464"/>
    <w:rsid w:val="00796F15"/>
    <w:rsid w:val="00797640"/>
    <w:rsid w:val="007A0403"/>
    <w:rsid w:val="007A12F5"/>
    <w:rsid w:val="007A3C42"/>
    <w:rsid w:val="007A4089"/>
    <w:rsid w:val="007A5936"/>
    <w:rsid w:val="007A5B55"/>
    <w:rsid w:val="007A5F41"/>
    <w:rsid w:val="007A5FEC"/>
    <w:rsid w:val="007A682A"/>
    <w:rsid w:val="007B08D1"/>
    <w:rsid w:val="007B161A"/>
    <w:rsid w:val="007B29C6"/>
    <w:rsid w:val="007B37E0"/>
    <w:rsid w:val="007B4EAA"/>
    <w:rsid w:val="007B790F"/>
    <w:rsid w:val="007C20FA"/>
    <w:rsid w:val="007C27D3"/>
    <w:rsid w:val="007C2C95"/>
    <w:rsid w:val="007C6927"/>
    <w:rsid w:val="007C7403"/>
    <w:rsid w:val="007C767F"/>
    <w:rsid w:val="007C79FB"/>
    <w:rsid w:val="007D3835"/>
    <w:rsid w:val="007D3891"/>
    <w:rsid w:val="007D4584"/>
    <w:rsid w:val="007D4A14"/>
    <w:rsid w:val="007D767C"/>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6A"/>
    <w:rsid w:val="008061B8"/>
    <w:rsid w:val="008100CF"/>
    <w:rsid w:val="00811B07"/>
    <w:rsid w:val="008129B1"/>
    <w:rsid w:val="00817A12"/>
    <w:rsid w:val="0082437E"/>
    <w:rsid w:val="008259FD"/>
    <w:rsid w:val="00825B2C"/>
    <w:rsid w:val="00825D67"/>
    <w:rsid w:val="00826C1C"/>
    <w:rsid w:val="00826C6D"/>
    <w:rsid w:val="008273DD"/>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1D19"/>
    <w:rsid w:val="008645C4"/>
    <w:rsid w:val="00867884"/>
    <w:rsid w:val="008734F5"/>
    <w:rsid w:val="00874DE6"/>
    <w:rsid w:val="00875104"/>
    <w:rsid w:val="00875283"/>
    <w:rsid w:val="008774D2"/>
    <w:rsid w:val="00880E40"/>
    <w:rsid w:val="00881B51"/>
    <w:rsid w:val="00883771"/>
    <w:rsid w:val="00883C9D"/>
    <w:rsid w:val="00883EFE"/>
    <w:rsid w:val="00885A1D"/>
    <w:rsid w:val="008869CA"/>
    <w:rsid w:val="008870CD"/>
    <w:rsid w:val="008905BA"/>
    <w:rsid w:val="0089375C"/>
    <w:rsid w:val="0089513F"/>
    <w:rsid w:val="00895699"/>
    <w:rsid w:val="008A153F"/>
    <w:rsid w:val="008A54A9"/>
    <w:rsid w:val="008A6188"/>
    <w:rsid w:val="008A79C6"/>
    <w:rsid w:val="008B1CE1"/>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E3E1A"/>
    <w:rsid w:val="008E4039"/>
    <w:rsid w:val="008F1AA9"/>
    <w:rsid w:val="008F7C5B"/>
    <w:rsid w:val="00901C4E"/>
    <w:rsid w:val="00904502"/>
    <w:rsid w:val="009049C0"/>
    <w:rsid w:val="00906257"/>
    <w:rsid w:val="009069D6"/>
    <w:rsid w:val="00910EF6"/>
    <w:rsid w:val="00912380"/>
    <w:rsid w:val="009124F6"/>
    <w:rsid w:val="00912BC1"/>
    <w:rsid w:val="00913B67"/>
    <w:rsid w:val="0091520D"/>
    <w:rsid w:val="00915B08"/>
    <w:rsid w:val="00921DD1"/>
    <w:rsid w:val="009225FE"/>
    <w:rsid w:val="00923D31"/>
    <w:rsid w:val="00923F94"/>
    <w:rsid w:val="00925D98"/>
    <w:rsid w:val="00926DD3"/>
    <w:rsid w:val="00935308"/>
    <w:rsid w:val="009361FD"/>
    <w:rsid w:val="009406D2"/>
    <w:rsid w:val="00940F17"/>
    <w:rsid w:val="009414C5"/>
    <w:rsid w:val="009427F2"/>
    <w:rsid w:val="00944F64"/>
    <w:rsid w:val="00945CE1"/>
    <w:rsid w:val="00945D58"/>
    <w:rsid w:val="009465EF"/>
    <w:rsid w:val="009467A8"/>
    <w:rsid w:val="00951A0B"/>
    <w:rsid w:val="00952F3F"/>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49A0"/>
    <w:rsid w:val="00995A06"/>
    <w:rsid w:val="00996BF2"/>
    <w:rsid w:val="009A222A"/>
    <w:rsid w:val="009A26CA"/>
    <w:rsid w:val="009A4BF7"/>
    <w:rsid w:val="009A6FE7"/>
    <w:rsid w:val="009B1BCA"/>
    <w:rsid w:val="009B1FD2"/>
    <w:rsid w:val="009B3AEB"/>
    <w:rsid w:val="009B7AE2"/>
    <w:rsid w:val="009C3EB5"/>
    <w:rsid w:val="009C42BD"/>
    <w:rsid w:val="009C444B"/>
    <w:rsid w:val="009D2B85"/>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FB4"/>
    <w:rsid w:val="00A14878"/>
    <w:rsid w:val="00A1707B"/>
    <w:rsid w:val="00A1739A"/>
    <w:rsid w:val="00A17694"/>
    <w:rsid w:val="00A17F2C"/>
    <w:rsid w:val="00A204B3"/>
    <w:rsid w:val="00A232B9"/>
    <w:rsid w:val="00A24F4B"/>
    <w:rsid w:val="00A3185E"/>
    <w:rsid w:val="00A33893"/>
    <w:rsid w:val="00A34C9A"/>
    <w:rsid w:val="00A34D89"/>
    <w:rsid w:val="00A3611E"/>
    <w:rsid w:val="00A40A3B"/>
    <w:rsid w:val="00A41364"/>
    <w:rsid w:val="00A41F72"/>
    <w:rsid w:val="00A4278E"/>
    <w:rsid w:val="00A4292D"/>
    <w:rsid w:val="00A44A25"/>
    <w:rsid w:val="00A5439D"/>
    <w:rsid w:val="00A54891"/>
    <w:rsid w:val="00A54CA1"/>
    <w:rsid w:val="00A56516"/>
    <w:rsid w:val="00A62031"/>
    <w:rsid w:val="00A65D80"/>
    <w:rsid w:val="00A66849"/>
    <w:rsid w:val="00A672A7"/>
    <w:rsid w:val="00A6730E"/>
    <w:rsid w:val="00A70065"/>
    <w:rsid w:val="00A714DD"/>
    <w:rsid w:val="00A73044"/>
    <w:rsid w:val="00A7379C"/>
    <w:rsid w:val="00A73CF1"/>
    <w:rsid w:val="00A75C9A"/>
    <w:rsid w:val="00A77B9A"/>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88A"/>
    <w:rsid w:val="00AC6FF1"/>
    <w:rsid w:val="00AD0F67"/>
    <w:rsid w:val="00AD1A30"/>
    <w:rsid w:val="00AD3DBA"/>
    <w:rsid w:val="00AD7E8E"/>
    <w:rsid w:val="00AE0487"/>
    <w:rsid w:val="00AE0F81"/>
    <w:rsid w:val="00AE330D"/>
    <w:rsid w:val="00AE7A51"/>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5712"/>
    <w:rsid w:val="00B2772E"/>
    <w:rsid w:val="00B27A5B"/>
    <w:rsid w:val="00B316E7"/>
    <w:rsid w:val="00B3398C"/>
    <w:rsid w:val="00B34BDE"/>
    <w:rsid w:val="00B34EF9"/>
    <w:rsid w:val="00B3578F"/>
    <w:rsid w:val="00B35DAD"/>
    <w:rsid w:val="00B365AB"/>
    <w:rsid w:val="00B36EB3"/>
    <w:rsid w:val="00B40E17"/>
    <w:rsid w:val="00B41AE8"/>
    <w:rsid w:val="00B445D0"/>
    <w:rsid w:val="00B45C4D"/>
    <w:rsid w:val="00B50E59"/>
    <w:rsid w:val="00B53FF2"/>
    <w:rsid w:val="00B54620"/>
    <w:rsid w:val="00B55CDD"/>
    <w:rsid w:val="00B56E4F"/>
    <w:rsid w:val="00B60F70"/>
    <w:rsid w:val="00B62796"/>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0EBE"/>
    <w:rsid w:val="00B910E8"/>
    <w:rsid w:val="00B93137"/>
    <w:rsid w:val="00B9328C"/>
    <w:rsid w:val="00B94CD8"/>
    <w:rsid w:val="00B96F16"/>
    <w:rsid w:val="00B97A54"/>
    <w:rsid w:val="00BA0974"/>
    <w:rsid w:val="00BA1526"/>
    <w:rsid w:val="00BA3D73"/>
    <w:rsid w:val="00BA5640"/>
    <w:rsid w:val="00BA58AC"/>
    <w:rsid w:val="00BA67DC"/>
    <w:rsid w:val="00BA69CB"/>
    <w:rsid w:val="00BA7884"/>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663C"/>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0D5"/>
    <w:rsid w:val="00C154E6"/>
    <w:rsid w:val="00C158B5"/>
    <w:rsid w:val="00C1626C"/>
    <w:rsid w:val="00C16694"/>
    <w:rsid w:val="00C16E23"/>
    <w:rsid w:val="00C17ED8"/>
    <w:rsid w:val="00C2082B"/>
    <w:rsid w:val="00C20DBA"/>
    <w:rsid w:val="00C23920"/>
    <w:rsid w:val="00C2704D"/>
    <w:rsid w:val="00C27256"/>
    <w:rsid w:val="00C33771"/>
    <w:rsid w:val="00C3411B"/>
    <w:rsid w:val="00C34230"/>
    <w:rsid w:val="00C3661B"/>
    <w:rsid w:val="00C42112"/>
    <w:rsid w:val="00C435EB"/>
    <w:rsid w:val="00C45768"/>
    <w:rsid w:val="00C4692B"/>
    <w:rsid w:val="00C46A0C"/>
    <w:rsid w:val="00C46D92"/>
    <w:rsid w:val="00C473F7"/>
    <w:rsid w:val="00C47C79"/>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5EEF"/>
    <w:rsid w:val="00C77A1F"/>
    <w:rsid w:val="00C80647"/>
    <w:rsid w:val="00C80836"/>
    <w:rsid w:val="00C81BD2"/>
    <w:rsid w:val="00C84DDE"/>
    <w:rsid w:val="00C85162"/>
    <w:rsid w:val="00C87864"/>
    <w:rsid w:val="00C90EAC"/>
    <w:rsid w:val="00C917FD"/>
    <w:rsid w:val="00C93D01"/>
    <w:rsid w:val="00C958FA"/>
    <w:rsid w:val="00C96958"/>
    <w:rsid w:val="00C96A6B"/>
    <w:rsid w:val="00CA2750"/>
    <w:rsid w:val="00CA62C0"/>
    <w:rsid w:val="00CA73CB"/>
    <w:rsid w:val="00CA79BB"/>
    <w:rsid w:val="00CB12CF"/>
    <w:rsid w:val="00CB4161"/>
    <w:rsid w:val="00CB43A2"/>
    <w:rsid w:val="00CB587B"/>
    <w:rsid w:val="00CB6DE1"/>
    <w:rsid w:val="00CB7730"/>
    <w:rsid w:val="00CC12A0"/>
    <w:rsid w:val="00CC26A8"/>
    <w:rsid w:val="00CC389E"/>
    <w:rsid w:val="00CC4CED"/>
    <w:rsid w:val="00CC6EBB"/>
    <w:rsid w:val="00CD1BA3"/>
    <w:rsid w:val="00CD3FD7"/>
    <w:rsid w:val="00CD4A21"/>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1EF8"/>
    <w:rsid w:val="00D15F17"/>
    <w:rsid w:val="00D161BE"/>
    <w:rsid w:val="00D162D9"/>
    <w:rsid w:val="00D17BDD"/>
    <w:rsid w:val="00D24F7B"/>
    <w:rsid w:val="00D30F03"/>
    <w:rsid w:val="00D3259F"/>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4FED"/>
    <w:rsid w:val="00D65500"/>
    <w:rsid w:val="00D65F8F"/>
    <w:rsid w:val="00D664A9"/>
    <w:rsid w:val="00D66520"/>
    <w:rsid w:val="00D66C5B"/>
    <w:rsid w:val="00D671E2"/>
    <w:rsid w:val="00D67E0A"/>
    <w:rsid w:val="00D712E9"/>
    <w:rsid w:val="00D72BE0"/>
    <w:rsid w:val="00D7566A"/>
    <w:rsid w:val="00D75BE2"/>
    <w:rsid w:val="00D85008"/>
    <w:rsid w:val="00D87426"/>
    <w:rsid w:val="00D8754D"/>
    <w:rsid w:val="00D92717"/>
    <w:rsid w:val="00D93E05"/>
    <w:rsid w:val="00D9515D"/>
    <w:rsid w:val="00DA3A08"/>
    <w:rsid w:val="00DA4715"/>
    <w:rsid w:val="00DA62DF"/>
    <w:rsid w:val="00DA7439"/>
    <w:rsid w:val="00DB0DA9"/>
    <w:rsid w:val="00DB108A"/>
    <w:rsid w:val="00DC1776"/>
    <w:rsid w:val="00DC33A5"/>
    <w:rsid w:val="00DC4340"/>
    <w:rsid w:val="00DC4609"/>
    <w:rsid w:val="00DC7898"/>
    <w:rsid w:val="00DD19F8"/>
    <w:rsid w:val="00DD1C70"/>
    <w:rsid w:val="00DD3239"/>
    <w:rsid w:val="00DE07E4"/>
    <w:rsid w:val="00DE0877"/>
    <w:rsid w:val="00DE0FF8"/>
    <w:rsid w:val="00DE3EBF"/>
    <w:rsid w:val="00DE6D39"/>
    <w:rsid w:val="00DE7345"/>
    <w:rsid w:val="00DE76EB"/>
    <w:rsid w:val="00DF51CA"/>
    <w:rsid w:val="00DF5581"/>
    <w:rsid w:val="00DF7501"/>
    <w:rsid w:val="00DF7936"/>
    <w:rsid w:val="00E004EF"/>
    <w:rsid w:val="00E04B6F"/>
    <w:rsid w:val="00E13833"/>
    <w:rsid w:val="00E17001"/>
    <w:rsid w:val="00E17406"/>
    <w:rsid w:val="00E20AE5"/>
    <w:rsid w:val="00E20F00"/>
    <w:rsid w:val="00E21297"/>
    <w:rsid w:val="00E23A38"/>
    <w:rsid w:val="00E23B6B"/>
    <w:rsid w:val="00E24721"/>
    <w:rsid w:val="00E25139"/>
    <w:rsid w:val="00E265A0"/>
    <w:rsid w:val="00E266DE"/>
    <w:rsid w:val="00E311F5"/>
    <w:rsid w:val="00E34BF8"/>
    <w:rsid w:val="00E34EAC"/>
    <w:rsid w:val="00E35B1E"/>
    <w:rsid w:val="00E41996"/>
    <w:rsid w:val="00E4250F"/>
    <w:rsid w:val="00E44A7E"/>
    <w:rsid w:val="00E46A7E"/>
    <w:rsid w:val="00E46CE8"/>
    <w:rsid w:val="00E51559"/>
    <w:rsid w:val="00E527ED"/>
    <w:rsid w:val="00E548DB"/>
    <w:rsid w:val="00E552BD"/>
    <w:rsid w:val="00E55649"/>
    <w:rsid w:val="00E56A50"/>
    <w:rsid w:val="00E5798A"/>
    <w:rsid w:val="00E57A3E"/>
    <w:rsid w:val="00E60F96"/>
    <w:rsid w:val="00E628D9"/>
    <w:rsid w:val="00E62C41"/>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0D3B"/>
    <w:rsid w:val="00E92248"/>
    <w:rsid w:val="00E92BD1"/>
    <w:rsid w:val="00E935A1"/>
    <w:rsid w:val="00E93FB6"/>
    <w:rsid w:val="00E94BB6"/>
    <w:rsid w:val="00E956C6"/>
    <w:rsid w:val="00E96FF5"/>
    <w:rsid w:val="00EA1715"/>
    <w:rsid w:val="00EA2EE8"/>
    <w:rsid w:val="00EA31FD"/>
    <w:rsid w:val="00EA4349"/>
    <w:rsid w:val="00EA4EE4"/>
    <w:rsid w:val="00EA5A32"/>
    <w:rsid w:val="00EB2F51"/>
    <w:rsid w:val="00EB3BF0"/>
    <w:rsid w:val="00EB4AA7"/>
    <w:rsid w:val="00EB4DA6"/>
    <w:rsid w:val="00EB601D"/>
    <w:rsid w:val="00EB6CCD"/>
    <w:rsid w:val="00EC0273"/>
    <w:rsid w:val="00EC0E99"/>
    <w:rsid w:val="00EC25BA"/>
    <w:rsid w:val="00EC490F"/>
    <w:rsid w:val="00ED0AD5"/>
    <w:rsid w:val="00ED1DE2"/>
    <w:rsid w:val="00ED1F31"/>
    <w:rsid w:val="00ED3630"/>
    <w:rsid w:val="00ED7140"/>
    <w:rsid w:val="00ED751C"/>
    <w:rsid w:val="00ED77E5"/>
    <w:rsid w:val="00EE026E"/>
    <w:rsid w:val="00EE3C59"/>
    <w:rsid w:val="00EE51B0"/>
    <w:rsid w:val="00EE5B70"/>
    <w:rsid w:val="00EE66B6"/>
    <w:rsid w:val="00EE7B48"/>
    <w:rsid w:val="00EF0AFA"/>
    <w:rsid w:val="00EF38E5"/>
    <w:rsid w:val="00EF5C33"/>
    <w:rsid w:val="00EF629C"/>
    <w:rsid w:val="00EF6508"/>
    <w:rsid w:val="00EF6AB8"/>
    <w:rsid w:val="00EF7C6E"/>
    <w:rsid w:val="00F0029C"/>
    <w:rsid w:val="00F012F4"/>
    <w:rsid w:val="00F01632"/>
    <w:rsid w:val="00F0546E"/>
    <w:rsid w:val="00F0625D"/>
    <w:rsid w:val="00F0672D"/>
    <w:rsid w:val="00F072E1"/>
    <w:rsid w:val="00F11185"/>
    <w:rsid w:val="00F1190E"/>
    <w:rsid w:val="00F11DDA"/>
    <w:rsid w:val="00F12E98"/>
    <w:rsid w:val="00F1446A"/>
    <w:rsid w:val="00F14DDA"/>
    <w:rsid w:val="00F15284"/>
    <w:rsid w:val="00F169CB"/>
    <w:rsid w:val="00F207AB"/>
    <w:rsid w:val="00F21405"/>
    <w:rsid w:val="00F2161A"/>
    <w:rsid w:val="00F21724"/>
    <w:rsid w:val="00F2198A"/>
    <w:rsid w:val="00F21A81"/>
    <w:rsid w:val="00F21CC1"/>
    <w:rsid w:val="00F2238C"/>
    <w:rsid w:val="00F22D61"/>
    <w:rsid w:val="00F2324D"/>
    <w:rsid w:val="00F240F2"/>
    <w:rsid w:val="00F2428F"/>
    <w:rsid w:val="00F25075"/>
    <w:rsid w:val="00F27444"/>
    <w:rsid w:val="00F317CA"/>
    <w:rsid w:val="00F319F3"/>
    <w:rsid w:val="00F31BFB"/>
    <w:rsid w:val="00F323E7"/>
    <w:rsid w:val="00F324D2"/>
    <w:rsid w:val="00F32A56"/>
    <w:rsid w:val="00F32BEB"/>
    <w:rsid w:val="00F335E4"/>
    <w:rsid w:val="00F3501E"/>
    <w:rsid w:val="00F35509"/>
    <w:rsid w:val="00F358C3"/>
    <w:rsid w:val="00F409B2"/>
    <w:rsid w:val="00F413D8"/>
    <w:rsid w:val="00F42100"/>
    <w:rsid w:val="00F42A9B"/>
    <w:rsid w:val="00F45470"/>
    <w:rsid w:val="00F464FE"/>
    <w:rsid w:val="00F465F9"/>
    <w:rsid w:val="00F47621"/>
    <w:rsid w:val="00F52EDB"/>
    <w:rsid w:val="00F570AB"/>
    <w:rsid w:val="00F571A5"/>
    <w:rsid w:val="00F57A71"/>
    <w:rsid w:val="00F61C28"/>
    <w:rsid w:val="00F61E69"/>
    <w:rsid w:val="00F633B7"/>
    <w:rsid w:val="00F64434"/>
    <w:rsid w:val="00F645F1"/>
    <w:rsid w:val="00F6591A"/>
    <w:rsid w:val="00F70D35"/>
    <w:rsid w:val="00F72885"/>
    <w:rsid w:val="00F74FCF"/>
    <w:rsid w:val="00F7546C"/>
    <w:rsid w:val="00F77B00"/>
    <w:rsid w:val="00F83B6F"/>
    <w:rsid w:val="00F84470"/>
    <w:rsid w:val="00F857BC"/>
    <w:rsid w:val="00F90273"/>
    <w:rsid w:val="00F90BD0"/>
    <w:rsid w:val="00F91A5F"/>
    <w:rsid w:val="00F93ACB"/>
    <w:rsid w:val="00F93C4F"/>
    <w:rsid w:val="00F954A2"/>
    <w:rsid w:val="00F95844"/>
    <w:rsid w:val="00F95994"/>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33A2"/>
    <w:rsid w:val="00FC64E2"/>
    <w:rsid w:val="00FC7C25"/>
    <w:rsid w:val="00FD1C2E"/>
    <w:rsid w:val="00FD3574"/>
    <w:rsid w:val="00FD602D"/>
    <w:rsid w:val="00FD60D2"/>
    <w:rsid w:val="00FD6A7D"/>
    <w:rsid w:val="00FD6FC9"/>
    <w:rsid w:val="00FE02C2"/>
    <w:rsid w:val="00FE2D34"/>
    <w:rsid w:val="00FE4809"/>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309249"/>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paragraph" w:customStyle="1" w:styleId="subsection">
    <w:name w:val="subsection"/>
    <w:aliases w:val="ss,Subsection"/>
    <w:basedOn w:val="Normal"/>
    <w:link w:val="subsectionChar"/>
    <w:rsid w:val="00F3501E"/>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F3501E"/>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7206">
      <w:bodyDiv w:val="1"/>
      <w:marLeft w:val="0"/>
      <w:marRight w:val="0"/>
      <w:marTop w:val="0"/>
      <w:marBottom w:val="0"/>
      <w:divBdr>
        <w:top w:val="none" w:sz="0" w:space="0" w:color="auto"/>
        <w:left w:val="none" w:sz="0" w:space="0" w:color="auto"/>
        <w:bottom w:val="none" w:sz="0" w:space="0" w:color="auto"/>
        <w:right w:val="none" w:sz="0" w:space="0" w:color="auto"/>
      </w:divBdr>
      <w:divsChild>
        <w:div w:id="1262031403">
          <w:marLeft w:val="0"/>
          <w:marRight w:val="0"/>
          <w:marTop w:val="0"/>
          <w:marBottom w:val="0"/>
          <w:divBdr>
            <w:top w:val="none" w:sz="0" w:space="0" w:color="auto"/>
            <w:left w:val="none" w:sz="0" w:space="0" w:color="auto"/>
            <w:bottom w:val="none" w:sz="0" w:space="0" w:color="auto"/>
            <w:right w:val="none" w:sz="0" w:space="0" w:color="auto"/>
          </w:divBdr>
          <w:divsChild>
            <w:div w:id="1949848343">
              <w:marLeft w:val="0"/>
              <w:marRight w:val="0"/>
              <w:marTop w:val="0"/>
              <w:marBottom w:val="0"/>
              <w:divBdr>
                <w:top w:val="none" w:sz="0" w:space="0" w:color="auto"/>
                <w:left w:val="none" w:sz="0" w:space="0" w:color="auto"/>
                <w:bottom w:val="none" w:sz="0" w:space="0" w:color="auto"/>
                <w:right w:val="none" w:sz="0" w:space="0" w:color="auto"/>
              </w:divBdr>
              <w:divsChild>
                <w:div w:id="1570732083">
                  <w:marLeft w:val="0"/>
                  <w:marRight w:val="0"/>
                  <w:marTop w:val="0"/>
                  <w:marBottom w:val="0"/>
                  <w:divBdr>
                    <w:top w:val="none" w:sz="0" w:space="0" w:color="auto"/>
                    <w:left w:val="none" w:sz="0" w:space="0" w:color="auto"/>
                    <w:bottom w:val="none" w:sz="0" w:space="0" w:color="auto"/>
                    <w:right w:val="none" w:sz="0" w:space="0" w:color="auto"/>
                  </w:divBdr>
                  <w:divsChild>
                    <w:div w:id="1428426779">
                      <w:marLeft w:val="0"/>
                      <w:marRight w:val="0"/>
                      <w:marTop w:val="0"/>
                      <w:marBottom w:val="0"/>
                      <w:divBdr>
                        <w:top w:val="none" w:sz="0" w:space="0" w:color="auto"/>
                        <w:left w:val="none" w:sz="0" w:space="0" w:color="auto"/>
                        <w:bottom w:val="none" w:sz="0" w:space="0" w:color="auto"/>
                        <w:right w:val="none" w:sz="0" w:space="0" w:color="auto"/>
                      </w:divBdr>
                      <w:divsChild>
                        <w:div w:id="1749695274">
                          <w:marLeft w:val="0"/>
                          <w:marRight w:val="0"/>
                          <w:marTop w:val="0"/>
                          <w:marBottom w:val="0"/>
                          <w:divBdr>
                            <w:top w:val="none" w:sz="0" w:space="0" w:color="auto"/>
                            <w:left w:val="none" w:sz="0" w:space="0" w:color="auto"/>
                            <w:bottom w:val="none" w:sz="0" w:space="0" w:color="auto"/>
                            <w:right w:val="none" w:sz="0" w:space="0" w:color="auto"/>
                          </w:divBdr>
                          <w:divsChild>
                            <w:div w:id="391346227">
                              <w:marLeft w:val="0"/>
                              <w:marRight w:val="0"/>
                              <w:marTop w:val="0"/>
                              <w:marBottom w:val="0"/>
                              <w:divBdr>
                                <w:top w:val="none" w:sz="0" w:space="0" w:color="auto"/>
                                <w:left w:val="none" w:sz="0" w:space="0" w:color="auto"/>
                                <w:bottom w:val="none" w:sz="0" w:space="0" w:color="auto"/>
                                <w:right w:val="none" w:sz="0" w:space="0" w:color="auto"/>
                              </w:divBdr>
                              <w:divsChild>
                                <w:div w:id="302002697">
                                  <w:marLeft w:val="0"/>
                                  <w:marRight w:val="0"/>
                                  <w:marTop w:val="0"/>
                                  <w:marBottom w:val="0"/>
                                  <w:divBdr>
                                    <w:top w:val="none" w:sz="0" w:space="0" w:color="auto"/>
                                    <w:left w:val="none" w:sz="0" w:space="0" w:color="auto"/>
                                    <w:bottom w:val="none" w:sz="0" w:space="0" w:color="auto"/>
                                    <w:right w:val="none" w:sz="0" w:space="0" w:color="auto"/>
                                  </w:divBdr>
                                  <w:divsChild>
                                    <w:div w:id="564603570">
                                      <w:marLeft w:val="0"/>
                                      <w:marRight w:val="0"/>
                                      <w:marTop w:val="0"/>
                                      <w:marBottom w:val="0"/>
                                      <w:divBdr>
                                        <w:top w:val="none" w:sz="0" w:space="0" w:color="auto"/>
                                        <w:left w:val="none" w:sz="0" w:space="0" w:color="auto"/>
                                        <w:bottom w:val="none" w:sz="0" w:space="0" w:color="auto"/>
                                        <w:right w:val="none" w:sz="0" w:space="0" w:color="auto"/>
                                      </w:divBdr>
                                      <w:divsChild>
                                        <w:div w:id="404840919">
                                          <w:marLeft w:val="0"/>
                                          <w:marRight w:val="0"/>
                                          <w:marTop w:val="0"/>
                                          <w:marBottom w:val="0"/>
                                          <w:divBdr>
                                            <w:top w:val="none" w:sz="0" w:space="0" w:color="auto"/>
                                            <w:left w:val="none" w:sz="0" w:space="0" w:color="auto"/>
                                            <w:bottom w:val="none" w:sz="0" w:space="0" w:color="auto"/>
                                            <w:right w:val="none" w:sz="0" w:space="0" w:color="auto"/>
                                          </w:divBdr>
                                          <w:divsChild>
                                            <w:div w:id="735394951">
                                              <w:marLeft w:val="0"/>
                                              <w:marRight w:val="0"/>
                                              <w:marTop w:val="0"/>
                                              <w:marBottom w:val="0"/>
                                              <w:divBdr>
                                                <w:top w:val="none" w:sz="0" w:space="0" w:color="auto"/>
                                                <w:left w:val="none" w:sz="0" w:space="0" w:color="auto"/>
                                                <w:bottom w:val="none" w:sz="0" w:space="0" w:color="auto"/>
                                                <w:right w:val="none" w:sz="0" w:space="0" w:color="auto"/>
                                              </w:divBdr>
                                              <w:divsChild>
                                                <w:div w:id="1627933022">
                                                  <w:marLeft w:val="0"/>
                                                  <w:marRight w:val="0"/>
                                                  <w:marTop w:val="0"/>
                                                  <w:marBottom w:val="0"/>
                                                  <w:divBdr>
                                                    <w:top w:val="none" w:sz="0" w:space="0" w:color="auto"/>
                                                    <w:left w:val="none" w:sz="0" w:space="0" w:color="auto"/>
                                                    <w:bottom w:val="none" w:sz="0" w:space="0" w:color="auto"/>
                                                    <w:right w:val="none" w:sz="0" w:space="0" w:color="auto"/>
                                                  </w:divBdr>
                                                  <w:divsChild>
                                                    <w:div w:id="599918498">
                                                      <w:marLeft w:val="0"/>
                                                      <w:marRight w:val="0"/>
                                                      <w:marTop w:val="0"/>
                                                      <w:marBottom w:val="0"/>
                                                      <w:divBdr>
                                                        <w:top w:val="none" w:sz="0" w:space="0" w:color="auto"/>
                                                        <w:left w:val="none" w:sz="0" w:space="0" w:color="auto"/>
                                                        <w:bottom w:val="none" w:sz="0" w:space="0" w:color="auto"/>
                                                        <w:right w:val="none" w:sz="0" w:space="0" w:color="auto"/>
                                                      </w:divBdr>
                                                      <w:divsChild>
                                                        <w:div w:id="15403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35103233">
      <w:bodyDiv w:val="1"/>
      <w:marLeft w:val="0"/>
      <w:marRight w:val="0"/>
      <w:marTop w:val="0"/>
      <w:marBottom w:val="0"/>
      <w:divBdr>
        <w:top w:val="none" w:sz="0" w:space="0" w:color="auto"/>
        <w:left w:val="none" w:sz="0" w:space="0" w:color="auto"/>
        <w:bottom w:val="none" w:sz="0" w:space="0" w:color="auto"/>
        <w:right w:val="none" w:sz="0" w:space="0" w:color="auto"/>
      </w:divBdr>
      <w:divsChild>
        <w:div w:id="186140514">
          <w:marLeft w:val="0"/>
          <w:marRight w:val="0"/>
          <w:marTop w:val="0"/>
          <w:marBottom w:val="0"/>
          <w:divBdr>
            <w:top w:val="none" w:sz="0" w:space="0" w:color="auto"/>
            <w:left w:val="none" w:sz="0" w:space="0" w:color="auto"/>
            <w:bottom w:val="none" w:sz="0" w:space="0" w:color="auto"/>
            <w:right w:val="none" w:sz="0" w:space="0" w:color="auto"/>
          </w:divBdr>
          <w:divsChild>
            <w:div w:id="1798135558">
              <w:marLeft w:val="0"/>
              <w:marRight w:val="0"/>
              <w:marTop w:val="0"/>
              <w:marBottom w:val="0"/>
              <w:divBdr>
                <w:top w:val="none" w:sz="0" w:space="0" w:color="auto"/>
                <w:left w:val="none" w:sz="0" w:space="0" w:color="auto"/>
                <w:bottom w:val="none" w:sz="0" w:space="0" w:color="auto"/>
                <w:right w:val="none" w:sz="0" w:space="0" w:color="auto"/>
              </w:divBdr>
              <w:divsChild>
                <w:div w:id="1770661239">
                  <w:marLeft w:val="0"/>
                  <w:marRight w:val="0"/>
                  <w:marTop w:val="0"/>
                  <w:marBottom w:val="0"/>
                  <w:divBdr>
                    <w:top w:val="none" w:sz="0" w:space="0" w:color="auto"/>
                    <w:left w:val="none" w:sz="0" w:space="0" w:color="auto"/>
                    <w:bottom w:val="none" w:sz="0" w:space="0" w:color="auto"/>
                    <w:right w:val="none" w:sz="0" w:space="0" w:color="auto"/>
                  </w:divBdr>
                  <w:divsChild>
                    <w:div w:id="1942948861">
                      <w:marLeft w:val="0"/>
                      <w:marRight w:val="0"/>
                      <w:marTop w:val="0"/>
                      <w:marBottom w:val="0"/>
                      <w:divBdr>
                        <w:top w:val="none" w:sz="0" w:space="0" w:color="auto"/>
                        <w:left w:val="none" w:sz="0" w:space="0" w:color="auto"/>
                        <w:bottom w:val="none" w:sz="0" w:space="0" w:color="auto"/>
                        <w:right w:val="none" w:sz="0" w:space="0" w:color="auto"/>
                      </w:divBdr>
                      <w:divsChild>
                        <w:div w:id="1093552997">
                          <w:marLeft w:val="0"/>
                          <w:marRight w:val="0"/>
                          <w:marTop w:val="0"/>
                          <w:marBottom w:val="0"/>
                          <w:divBdr>
                            <w:top w:val="none" w:sz="0" w:space="0" w:color="auto"/>
                            <w:left w:val="none" w:sz="0" w:space="0" w:color="auto"/>
                            <w:bottom w:val="none" w:sz="0" w:space="0" w:color="auto"/>
                            <w:right w:val="none" w:sz="0" w:space="0" w:color="auto"/>
                          </w:divBdr>
                          <w:divsChild>
                            <w:div w:id="1433357195">
                              <w:marLeft w:val="0"/>
                              <w:marRight w:val="0"/>
                              <w:marTop w:val="0"/>
                              <w:marBottom w:val="0"/>
                              <w:divBdr>
                                <w:top w:val="none" w:sz="0" w:space="0" w:color="auto"/>
                                <w:left w:val="none" w:sz="0" w:space="0" w:color="auto"/>
                                <w:bottom w:val="none" w:sz="0" w:space="0" w:color="auto"/>
                                <w:right w:val="none" w:sz="0" w:space="0" w:color="auto"/>
                              </w:divBdr>
                              <w:divsChild>
                                <w:div w:id="2018579593">
                                  <w:marLeft w:val="0"/>
                                  <w:marRight w:val="0"/>
                                  <w:marTop w:val="0"/>
                                  <w:marBottom w:val="0"/>
                                  <w:divBdr>
                                    <w:top w:val="none" w:sz="0" w:space="0" w:color="auto"/>
                                    <w:left w:val="none" w:sz="0" w:space="0" w:color="auto"/>
                                    <w:bottom w:val="none" w:sz="0" w:space="0" w:color="auto"/>
                                    <w:right w:val="none" w:sz="0" w:space="0" w:color="auto"/>
                                  </w:divBdr>
                                  <w:divsChild>
                                    <w:div w:id="1019740303">
                                      <w:marLeft w:val="0"/>
                                      <w:marRight w:val="0"/>
                                      <w:marTop w:val="0"/>
                                      <w:marBottom w:val="0"/>
                                      <w:divBdr>
                                        <w:top w:val="none" w:sz="0" w:space="0" w:color="auto"/>
                                        <w:left w:val="none" w:sz="0" w:space="0" w:color="auto"/>
                                        <w:bottom w:val="none" w:sz="0" w:space="0" w:color="auto"/>
                                        <w:right w:val="none" w:sz="0" w:space="0" w:color="auto"/>
                                      </w:divBdr>
                                      <w:divsChild>
                                        <w:div w:id="1817599748">
                                          <w:marLeft w:val="0"/>
                                          <w:marRight w:val="0"/>
                                          <w:marTop w:val="0"/>
                                          <w:marBottom w:val="0"/>
                                          <w:divBdr>
                                            <w:top w:val="none" w:sz="0" w:space="0" w:color="auto"/>
                                            <w:left w:val="none" w:sz="0" w:space="0" w:color="auto"/>
                                            <w:bottom w:val="none" w:sz="0" w:space="0" w:color="auto"/>
                                            <w:right w:val="none" w:sz="0" w:space="0" w:color="auto"/>
                                          </w:divBdr>
                                          <w:divsChild>
                                            <w:div w:id="8529645">
                                              <w:marLeft w:val="0"/>
                                              <w:marRight w:val="0"/>
                                              <w:marTop w:val="0"/>
                                              <w:marBottom w:val="0"/>
                                              <w:divBdr>
                                                <w:top w:val="none" w:sz="0" w:space="0" w:color="auto"/>
                                                <w:left w:val="none" w:sz="0" w:space="0" w:color="auto"/>
                                                <w:bottom w:val="none" w:sz="0" w:space="0" w:color="auto"/>
                                                <w:right w:val="none" w:sz="0" w:space="0" w:color="auto"/>
                                              </w:divBdr>
                                              <w:divsChild>
                                                <w:div w:id="839193948">
                                                  <w:marLeft w:val="0"/>
                                                  <w:marRight w:val="0"/>
                                                  <w:marTop w:val="0"/>
                                                  <w:marBottom w:val="0"/>
                                                  <w:divBdr>
                                                    <w:top w:val="none" w:sz="0" w:space="0" w:color="auto"/>
                                                    <w:left w:val="none" w:sz="0" w:space="0" w:color="auto"/>
                                                    <w:bottom w:val="none" w:sz="0" w:space="0" w:color="auto"/>
                                                    <w:right w:val="none" w:sz="0" w:space="0" w:color="auto"/>
                                                  </w:divBdr>
                                                  <w:divsChild>
                                                    <w:div w:id="1132871192">
                                                      <w:marLeft w:val="0"/>
                                                      <w:marRight w:val="0"/>
                                                      <w:marTop w:val="0"/>
                                                      <w:marBottom w:val="0"/>
                                                      <w:divBdr>
                                                        <w:top w:val="none" w:sz="0" w:space="0" w:color="auto"/>
                                                        <w:left w:val="none" w:sz="0" w:space="0" w:color="auto"/>
                                                        <w:bottom w:val="none" w:sz="0" w:space="0" w:color="auto"/>
                                                        <w:right w:val="none" w:sz="0" w:space="0" w:color="auto"/>
                                                      </w:divBdr>
                                                      <w:divsChild>
                                                        <w:div w:id="114905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9329844">
      <w:bodyDiv w:val="1"/>
      <w:marLeft w:val="0"/>
      <w:marRight w:val="0"/>
      <w:marTop w:val="0"/>
      <w:marBottom w:val="0"/>
      <w:divBdr>
        <w:top w:val="none" w:sz="0" w:space="0" w:color="auto"/>
        <w:left w:val="none" w:sz="0" w:space="0" w:color="auto"/>
        <w:bottom w:val="none" w:sz="0" w:space="0" w:color="auto"/>
        <w:right w:val="none" w:sz="0" w:space="0" w:color="auto"/>
      </w:divBdr>
      <w:divsChild>
        <w:div w:id="1203439277">
          <w:marLeft w:val="0"/>
          <w:marRight w:val="0"/>
          <w:marTop w:val="0"/>
          <w:marBottom w:val="0"/>
          <w:divBdr>
            <w:top w:val="none" w:sz="0" w:space="0" w:color="auto"/>
            <w:left w:val="none" w:sz="0" w:space="0" w:color="auto"/>
            <w:bottom w:val="none" w:sz="0" w:space="0" w:color="auto"/>
            <w:right w:val="none" w:sz="0" w:space="0" w:color="auto"/>
          </w:divBdr>
          <w:divsChild>
            <w:div w:id="2095590685">
              <w:marLeft w:val="0"/>
              <w:marRight w:val="0"/>
              <w:marTop w:val="0"/>
              <w:marBottom w:val="0"/>
              <w:divBdr>
                <w:top w:val="none" w:sz="0" w:space="0" w:color="auto"/>
                <w:left w:val="none" w:sz="0" w:space="0" w:color="auto"/>
                <w:bottom w:val="none" w:sz="0" w:space="0" w:color="auto"/>
                <w:right w:val="none" w:sz="0" w:space="0" w:color="auto"/>
              </w:divBdr>
              <w:divsChild>
                <w:div w:id="714037945">
                  <w:marLeft w:val="0"/>
                  <w:marRight w:val="0"/>
                  <w:marTop w:val="0"/>
                  <w:marBottom w:val="0"/>
                  <w:divBdr>
                    <w:top w:val="none" w:sz="0" w:space="0" w:color="auto"/>
                    <w:left w:val="none" w:sz="0" w:space="0" w:color="auto"/>
                    <w:bottom w:val="none" w:sz="0" w:space="0" w:color="auto"/>
                    <w:right w:val="none" w:sz="0" w:space="0" w:color="auto"/>
                  </w:divBdr>
                  <w:divsChild>
                    <w:div w:id="765267937">
                      <w:marLeft w:val="0"/>
                      <w:marRight w:val="0"/>
                      <w:marTop w:val="0"/>
                      <w:marBottom w:val="0"/>
                      <w:divBdr>
                        <w:top w:val="none" w:sz="0" w:space="0" w:color="auto"/>
                        <w:left w:val="none" w:sz="0" w:space="0" w:color="auto"/>
                        <w:bottom w:val="none" w:sz="0" w:space="0" w:color="auto"/>
                        <w:right w:val="none" w:sz="0" w:space="0" w:color="auto"/>
                      </w:divBdr>
                      <w:divsChild>
                        <w:div w:id="1240989957">
                          <w:marLeft w:val="0"/>
                          <w:marRight w:val="0"/>
                          <w:marTop w:val="0"/>
                          <w:marBottom w:val="0"/>
                          <w:divBdr>
                            <w:top w:val="none" w:sz="0" w:space="0" w:color="auto"/>
                            <w:left w:val="none" w:sz="0" w:space="0" w:color="auto"/>
                            <w:bottom w:val="none" w:sz="0" w:space="0" w:color="auto"/>
                            <w:right w:val="none" w:sz="0" w:space="0" w:color="auto"/>
                          </w:divBdr>
                          <w:divsChild>
                            <w:div w:id="159349000">
                              <w:marLeft w:val="0"/>
                              <w:marRight w:val="0"/>
                              <w:marTop w:val="0"/>
                              <w:marBottom w:val="0"/>
                              <w:divBdr>
                                <w:top w:val="none" w:sz="0" w:space="0" w:color="auto"/>
                                <w:left w:val="none" w:sz="0" w:space="0" w:color="auto"/>
                                <w:bottom w:val="none" w:sz="0" w:space="0" w:color="auto"/>
                                <w:right w:val="none" w:sz="0" w:space="0" w:color="auto"/>
                              </w:divBdr>
                              <w:divsChild>
                                <w:div w:id="1686983476">
                                  <w:marLeft w:val="0"/>
                                  <w:marRight w:val="0"/>
                                  <w:marTop w:val="0"/>
                                  <w:marBottom w:val="0"/>
                                  <w:divBdr>
                                    <w:top w:val="none" w:sz="0" w:space="0" w:color="auto"/>
                                    <w:left w:val="none" w:sz="0" w:space="0" w:color="auto"/>
                                    <w:bottom w:val="none" w:sz="0" w:space="0" w:color="auto"/>
                                    <w:right w:val="none" w:sz="0" w:space="0" w:color="auto"/>
                                  </w:divBdr>
                                  <w:divsChild>
                                    <w:div w:id="1406029892">
                                      <w:marLeft w:val="0"/>
                                      <w:marRight w:val="0"/>
                                      <w:marTop w:val="0"/>
                                      <w:marBottom w:val="0"/>
                                      <w:divBdr>
                                        <w:top w:val="none" w:sz="0" w:space="0" w:color="auto"/>
                                        <w:left w:val="none" w:sz="0" w:space="0" w:color="auto"/>
                                        <w:bottom w:val="none" w:sz="0" w:space="0" w:color="auto"/>
                                        <w:right w:val="none" w:sz="0" w:space="0" w:color="auto"/>
                                      </w:divBdr>
                                      <w:divsChild>
                                        <w:div w:id="384918063">
                                          <w:marLeft w:val="0"/>
                                          <w:marRight w:val="0"/>
                                          <w:marTop w:val="0"/>
                                          <w:marBottom w:val="0"/>
                                          <w:divBdr>
                                            <w:top w:val="none" w:sz="0" w:space="0" w:color="auto"/>
                                            <w:left w:val="none" w:sz="0" w:space="0" w:color="auto"/>
                                            <w:bottom w:val="none" w:sz="0" w:space="0" w:color="auto"/>
                                            <w:right w:val="none" w:sz="0" w:space="0" w:color="auto"/>
                                          </w:divBdr>
                                          <w:divsChild>
                                            <w:div w:id="320737538">
                                              <w:marLeft w:val="0"/>
                                              <w:marRight w:val="0"/>
                                              <w:marTop w:val="0"/>
                                              <w:marBottom w:val="0"/>
                                              <w:divBdr>
                                                <w:top w:val="none" w:sz="0" w:space="0" w:color="auto"/>
                                                <w:left w:val="none" w:sz="0" w:space="0" w:color="auto"/>
                                                <w:bottom w:val="none" w:sz="0" w:space="0" w:color="auto"/>
                                                <w:right w:val="none" w:sz="0" w:space="0" w:color="auto"/>
                                              </w:divBdr>
                                              <w:divsChild>
                                                <w:div w:id="13311902">
                                                  <w:marLeft w:val="0"/>
                                                  <w:marRight w:val="0"/>
                                                  <w:marTop w:val="0"/>
                                                  <w:marBottom w:val="0"/>
                                                  <w:divBdr>
                                                    <w:top w:val="none" w:sz="0" w:space="0" w:color="auto"/>
                                                    <w:left w:val="none" w:sz="0" w:space="0" w:color="auto"/>
                                                    <w:bottom w:val="none" w:sz="0" w:space="0" w:color="auto"/>
                                                    <w:right w:val="none" w:sz="0" w:space="0" w:color="auto"/>
                                                  </w:divBdr>
                                                  <w:divsChild>
                                                    <w:div w:id="1164665609">
                                                      <w:marLeft w:val="0"/>
                                                      <w:marRight w:val="0"/>
                                                      <w:marTop w:val="0"/>
                                                      <w:marBottom w:val="0"/>
                                                      <w:divBdr>
                                                        <w:top w:val="none" w:sz="0" w:space="0" w:color="auto"/>
                                                        <w:left w:val="none" w:sz="0" w:space="0" w:color="auto"/>
                                                        <w:bottom w:val="none" w:sz="0" w:space="0" w:color="auto"/>
                                                        <w:right w:val="none" w:sz="0" w:space="0" w:color="auto"/>
                                                      </w:divBdr>
                                                      <w:divsChild>
                                                        <w:div w:id="1744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3C29E-D991-4DB9-A13E-7C1AA632889D}">
  <ds:schemaRefs>
    <ds:schemaRef ds:uri="http://purl.org/dc/terms/"/>
    <ds:schemaRef ds:uri="http://schemas.openxmlformats.org/package/2006/metadata/core-properties"/>
    <ds:schemaRef ds:uri="8bd9498f-fa43-4ae2-8bb2-4c55a71680a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4.xml><?xml version="1.0" encoding="utf-8"?>
<ds:datastoreItem xmlns:ds="http://schemas.openxmlformats.org/officeDocument/2006/customXml" ds:itemID="{26988C02-711A-4EEB-9B6F-F510750B0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2117</Words>
  <Characters>12073</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MARTIN, Yvette</cp:lastModifiedBy>
  <cp:revision>2</cp:revision>
  <cp:lastPrinted>2021-02-17T02:38:00Z</cp:lastPrinted>
  <dcterms:created xsi:type="dcterms:W3CDTF">2021-03-01T03:08:00Z</dcterms:created>
  <dcterms:modified xsi:type="dcterms:W3CDTF">2021-03-01T03:08:00Z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