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44425" w14:textId="000B5B53" w:rsidR="007E69A3" w:rsidRDefault="007E69A3" w:rsidP="007E69A3">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7E69A3">
        <w:rPr>
          <w:rFonts w:ascii="Times New Roman" w:hAnsi="Times New Roman" w:cs="Times New Roman"/>
          <w:b/>
          <w:bCs/>
          <w:sz w:val="24"/>
          <w:szCs w:val="24"/>
        </w:rPr>
        <w:t>EXPLANATORY STATEMENT</w:t>
      </w:r>
    </w:p>
    <w:p w14:paraId="07E73E1D" w14:textId="77777777" w:rsidR="007E69A3" w:rsidRPr="007E69A3" w:rsidRDefault="007E69A3" w:rsidP="007E69A3">
      <w:pPr>
        <w:autoSpaceDE w:val="0"/>
        <w:autoSpaceDN w:val="0"/>
        <w:adjustRightInd w:val="0"/>
        <w:spacing w:after="0" w:line="240" w:lineRule="auto"/>
        <w:jc w:val="center"/>
        <w:rPr>
          <w:rFonts w:ascii="Times New Roman" w:hAnsi="Times New Roman" w:cs="Times New Roman"/>
          <w:b/>
          <w:bCs/>
          <w:sz w:val="24"/>
          <w:szCs w:val="24"/>
        </w:rPr>
      </w:pPr>
    </w:p>
    <w:p w14:paraId="4D468160" w14:textId="133A9EE3" w:rsidR="007E69A3" w:rsidRPr="007E69A3" w:rsidRDefault="007E69A3" w:rsidP="007E69A3">
      <w:pPr>
        <w:autoSpaceDE w:val="0"/>
        <w:autoSpaceDN w:val="0"/>
        <w:adjustRightInd w:val="0"/>
        <w:spacing w:after="0" w:line="240" w:lineRule="auto"/>
        <w:jc w:val="center"/>
        <w:rPr>
          <w:rFonts w:ascii="Times New Roman" w:hAnsi="Times New Roman" w:cs="Times New Roman"/>
          <w:b/>
          <w:bCs/>
          <w:sz w:val="24"/>
          <w:szCs w:val="24"/>
        </w:rPr>
      </w:pPr>
      <w:r w:rsidRPr="007E69A3">
        <w:rPr>
          <w:rFonts w:ascii="Times New Roman" w:hAnsi="Times New Roman" w:cs="Times New Roman"/>
          <w:b/>
          <w:bCs/>
          <w:sz w:val="24"/>
          <w:szCs w:val="24"/>
        </w:rPr>
        <w:t xml:space="preserve">Witness Protection (Complementary </w:t>
      </w:r>
      <w:r w:rsidR="00D218C2">
        <w:rPr>
          <w:rFonts w:ascii="Times New Roman" w:hAnsi="Times New Roman" w:cs="Times New Roman"/>
          <w:b/>
          <w:bCs/>
          <w:sz w:val="24"/>
          <w:szCs w:val="24"/>
        </w:rPr>
        <w:t>W</w:t>
      </w:r>
      <w:r w:rsidR="00D000FE">
        <w:rPr>
          <w:rFonts w:ascii="Times New Roman" w:hAnsi="Times New Roman" w:cs="Times New Roman"/>
          <w:b/>
          <w:bCs/>
          <w:sz w:val="24"/>
          <w:szCs w:val="24"/>
        </w:rPr>
        <w:t>i</w:t>
      </w:r>
      <w:r w:rsidRPr="007E69A3">
        <w:rPr>
          <w:rFonts w:ascii="Times New Roman" w:hAnsi="Times New Roman" w:cs="Times New Roman"/>
          <w:b/>
          <w:bCs/>
          <w:sz w:val="24"/>
          <w:szCs w:val="24"/>
        </w:rPr>
        <w:t>tness</w:t>
      </w:r>
      <w:r w:rsidR="00D218C2">
        <w:rPr>
          <w:rFonts w:ascii="Times New Roman" w:hAnsi="Times New Roman" w:cs="Times New Roman"/>
          <w:b/>
          <w:bCs/>
          <w:sz w:val="24"/>
          <w:szCs w:val="24"/>
        </w:rPr>
        <w:t xml:space="preserve"> P</w:t>
      </w:r>
      <w:r w:rsidRPr="007E69A3">
        <w:rPr>
          <w:rFonts w:ascii="Times New Roman" w:hAnsi="Times New Roman" w:cs="Times New Roman"/>
          <w:b/>
          <w:bCs/>
          <w:sz w:val="24"/>
          <w:szCs w:val="24"/>
        </w:rPr>
        <w:t>rotection</w:t>
      </w:r>
      <w:r w:rsidR="00D000FE">
        <w:rPr>
          <w:rFonts w:ascii="Times New Roman" w:hAnsi="Times New Roman" w:cs="Times New Roman"/>
          <w:b/>
          <w:bCs/>
          <w:sz w:val="24"/>
          <w:szCs w:val="24"/>
        </w:rPr>
        <w:t xml:space="preserve"> </w:t>
      </w:r>
      <w:r w:rsidR="00D218C2">
        <w:rPr>
          <w:rFonts w:ascii="Times New Roman" w:hAnsi="Times New Roman" w:cs="Times New Roman"/>
          <w:b/>
          <w:bCs/>
          <w:sz w:val="24"/>
          <w:szCs w:val="24"/>
        </w:rPr>
        <w:t>L</w:t>
      </w:r>
      <w:r w:rsidRPr="007E69A3">
        <w:rPr>
          <w:rFonts w:ascii="Times New Roman" w:hAnsi="Times New Roman" w:cs="Times New Roman"/>
          <w:b/>
          <w:bCs/>
          <w:sz w:val="24"/>
          <w:szCs w:val="24"/>
        </w:rPr>
        <w:t xml:space="preserve">aws) Declaration </w:t>
      </w:r>
      <w:r w:rsidR="00616748">
        <w:rPr>
          <w:rFonts w:ascii="Times New Roman" w:hAnsi="Times New Roman" w:cs="Times New Roman"/>
          <w:b/>
          <w:bCs/>
          <w:sz w:val="24"/>
          <w:szCs w:val="24"/>
        </w:rPr>
        <w:t>202</w:t>
      </w:r>
      <w:r w:rsidR="00935A8E">
        <w:rPr>
          <w:rFonts w:ascii="Times New Roman" w:hAnsi="Times New Roman" w:cs="Times New Roman"/>
          <w:b/>
          <w:bCs/>
          <w:sz w:val="24"/>
          <w:szCs w:val="24"/>
        </w:rPr>
        <w:t>1</w:t>
      </w:r>
    </w:p>
    <w:p w14:paraId="24DE2B79" w14:textId="77777777" w:rsidR="007E69A3" w:rsidRDefault="007E69A3" w:rsidP="007E69A3">
      <w:pPr>
        <w:autoSpaceDE w:val="0"/>
        <w:autoSpaceDN w:val="0"/>
        <w:adjustRightInd w:val="0"/>
        <w:spacing w:after="0" w:line="240" w:lineRule="auto"/>
        <w:jc w:val="center"/>
        <w:rPr>
          <w:rFonts w:ascii="Times New Roman" w:hAnsi="Times New Roman" w:cs="Times New Roman"/>
          <w:sz w:val="24"/>
          <w:szCs w:val="24"/>
        </w:rPr>
      </w:pPr>
    </w:p>
    <w:p w14:paraId="1AEBE0A6" w14:textId="77777777" w:rsidR="007E69A3" w:rsidRDefault="007E69A3" w:rsidP="007E69A3">
      <w:pPr>
        <w:autoSpaceDE w:val="0"/>
        <w:autoSpaceDN w:val="0"/>
        <w:adjustRightInd w:val="0"/>
        <w:spacing w:after="0" w:line="240" w:lineRule="auto"/>
        <w:jc w:val="center"/>
        <w:rPr>
          <w:rFonts w:ascii="Times New Roman" w:hAnsi="Times New Roman" w:cs="Times New Roman"/>
          <w:i/>
          <w:iCs/>
          <w:sz w:val="24"/>
          <w:szCs w:val="24"/>
        </w:rPr>
      </w:pPr>
    </w:p>
    <w:p w14:paraId="6615F461" w14:textId="77777777" w:rsidR="007E69A3" w:rsidRDefault="007E69A3" w:rsidP="007E69A3">
      <w:pPr>
        <w:autoSpaceDE w:val="0"/>
        <w:autoSpaceDN w:val="0"/>
        <w:adjustRightInd w:val="0"/>
        <w:spacing w:after="0" w:line="240" w:lineRule="auto"/>
        <w:jc w:val="center"/>
        <w:rPr>
          <w:rFonts w:ascii="Times New Roman" w:hAnsi="Times New Roman" w:cs="Times New Roman"/>
          <w:i/>
          <w:iCs/>
          <w:sz w:val="24"/>
          <w:szCs w:val="24"/>
        </w:rPr>
      </w:pPr>
      <w:r w:rsidRPr="007E69A3">
        <w:rPr>
          <w:rFonts w:ascii="Times New Roman" w:hAnsi="Times New Roman" w:cs="Times New Roman"/>
          <w:i/>
          <w:iCs/>
          <w:sz w:val="24"/>
          <w:szCs w:val="24"/>
        </w:rPr>
        <w:t>Witness Protection Act 1994</w:t>
      </w:r>
    </w:p>
    <w:p w14:paraId="734D104A" w14:textId="77777777" w:rsidR="007E69A3" w:rsidRPr="007E69A3" w:rsidRDefault="007E69A3" w:rsidP="007E69A3">
      <w:pPr>
        <w:autoSpaceDE w:val="0"/>
        <w:autoSpaceDN w:val="0"/>
        <w:adjustRightInd w:val="0"/>
        <w:spacing w:after="0" w:line="240" w:lineRule="auto"/>
        <w:jc w:val="center"/>
        <w:rPr>
          <w:rFonts w:ascii="Times New Roman" w:hAnsi="Times New Roman" w:cs="Times New Roman"/>
          <w:i/>
          <w:iCs/>
          <w:sz w:val="24"/>
          <w:szCs w:val="24"/>
        </w:rPr>
      </w:pPr>
    </w:p>
    <w:p w14:paraId="6E76EC07" w14:textId="77777777" w:rsidR="007E69A3" w:rsidRDefault="007E69A3" w:rsidP="007E69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Witness Protection Act 1994 </w:t>
      </w:r>
      <w:r>
        <w:rPr>
          <w:rFonts w:ascii="Times New Roman" w:hAnsi="Times New Roman" w:cs="Times New Roman"/>
          <w:sz w:val="24"/>
          <w:szCs w:val="24"/>
        </w:rPr>
        <w:t>(the Act) provides a statutory basis for the National Witness</w:t>
      </w:r>
    </w:p>
    <w:p w14:paraId="6349C034" w14:textId="77777777" w:rsidR="00E727A2" w:rsidRDefault="007E69A3" w:rsidP="007E69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Protection Program (NWPP) administered by the Australian Federal Police (AFP). </w:t>
      </w:r>
    </w:p>
    <w:p w14:paraId="1F5F67E1" w14:textId="77777777" w:rsidR="00E727A2" w:rsidRDefault="00E727A2" w:rsidP="007E69A3">
      <w:pPr>
        <w:autoSpaceDE w:val="0"/>
        <w:autoSpaceDN w:val="0"/>
        <w:adjustRightInd w:val="0"/>
        <w:spacing w:after="0" w:line="240" w:lineRule="auto"/>
        <w:rPr>
          <w:rFonts w:ascii="Times New Roman" w:hAnsi="Times New Roman" w:cs="Times New Roman"/>
          <w:sz w:val="24"/>
          <w:szCs w:val="24"/>
        </w:rPr>
      </w:pPr>
    </w:p>
    <w:p w14:paraId="2A20E62D" w14:textId="77777777" w:rsidR="007E69A3" w:rsidRDefault="007E69A3" w:rsidP="007E69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NWPP provides protection and assistance to people who are assessed as being in danger because they have given, or have agreed to give, evidence or a statement on behalf of the Crown in criminal or certain other proceedings, or because of their relationship to such persons. For example, if a person gives evidence in a serious or high profile criminal trial, that person’s security, and that of their family, may be at risk as a result.</w:t>
      </w:r>
    </w:p>
    <w:p w14:paraId="4B2B121B" w14:textId="77777777" w:rsidR="007E69A3" w:rsidRDefault="007E69A3" w:rsidP="007E69A3">
      <w:pPr>
        <w:autoSpaceDE w:val="0"/>
        <w:autoSpaceDN w:val="0"/>
        <w:adjustRightInd w:val="0"/>
        <w:spacing w:after="0" w:line="240" w:lineRule="auto"/>
        <w:rPr>
          <w:rFonts w:ascii="Times New Roman" w:hAnsi="Times New Roman" w:cs="Times New Roman"/>
          <w:sz w:val="24"/>
          <w:szCs w:val="24"/>
        </w:rPr>
      </w:pPr>
    </w:p>
    <w:p w14:paraId="4E6273C5" w14:textId="6D11CCC8" w:rsidR="007E69A3" w:rsidRDefault="007E69A3" w:rsidP="007E69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3AA of the Act provides that for the purposes of the Act the Minister may</w:t>
      </w:r>
      <w:r w:rsidR="00616748">
        <w:rPr>
          <w:rFonts w:ascii="Times New Roman" w:hAnsi="Times New Roman" w:cs="Times New Roman"/>
          <w:sz w:val="24"/>
          <w:szCs w:val="24"/>
        </w:rPr>
        <w:t xml:space="preserve">, </w:t>
      </w:r>
      <w:r w:rsidR="00DD5D8F">
        <w:rPr>
          <w:rFonts w:ascii="Times New Roman" w:hAnsi="Times New Roman" w:cs="Times New Roman"/>
          <w:sz w:val="24"/>
          <w:szCs w:val="24"/>
        </w:rPr>
        <w:t>by legislative</w:t>
      </w:r>
      <w:r w:rsidR="00616748">
        <w:rPr>
          <w:rFonts w:ascii="Times New Roman" w:hAnsi="Times New Roman" w:cs="Times New Roman"/>
          <w:sz w:val="24"/>
          <w:szCs w:val="24"/>
        </w:rPr>
        <w:t xml:space="preserve"> instrument,</w:t>
      </w:r>
      <w:r>
        <w:rPr>
          <w:rFonts w:ascii="Times New Roman" w:hAnsi="Times New Roman" w:cs="Times New Roman"/>
          <w:sz w:val="24"/>
          <w:szCs w:val="24"/>
        </w:rPr>
        <w:t xml:space="preserve"> declare a law of a State or Territory </w:t>
      </w:r>
      <w:r w:rsidR="00616748">
        <w:rPr>
          <w:rFonts w:ascii="Times New Roman" w:hAnsi="Times New Roman" w:cs="Times New Roman"/>
          <w:sz w:val="24"/>
          <w:szCs w:val="24"/>
        </w:rPr>
        <w:t>to be</w:t>
      </w:r>
      <w:r>
        <w:rPr>
          <w:rFonts w:ascii="Times New Roman" w:hAnsi="Times New Roman" w:cs="Times New Roman"/>
          <w:sz w:val="24"/>
          <w:szCs w:val="24"/>
        </w:rPr>
        <w:t xml:space="preserve"> a </w:t>
      </w:r>
      <w:r w:rsidRPr="00523B63">
        <w:rPr>
          <w:rFonts w:ascii="Times New Roman" w:hAnsi="Times New Roman" w:cs="Times New Roman"/>
          <w:b/>
          <w:i/>
          <w:sz w:val="24"/>
          <w:szCs w:val="24"/>
        </w:rPr>
        <w:t>complementary witness protection law</w:t>
      </w:r>
      <w:r>
        <w:rPr>
          <w:rFonts w:ascii="Times New Roman" w:hAnsi="Times New Roman" w:cs="Times New Roman"/>
          <w:sz w:val="24"/>
          <w:szCs w:val="24"/>
        </w:rPr>
        <w:t xml:space="preserve">. </w:t>
      </w:r>
      <w:r w:rsidR="00A32159">
        <w:rPr>
          <w:rFonts w:ascii="Times New Roman" w:hAnsi="Times New Roman" w:cs="Times New Roman"/>
          <w:sz w:val="24"/>
          <w:szCs w:val="24"/>
        </w:rPr>
        <w:t>Section 3 of the Act provides that, a</w:t>
      </w:r>
      <w:r w:rsidR="00616748">
        <w:rPr>
          <w:rFonts w:ascii="Times New Roman" w:hAnsi="Times New Roman" w:cs="Times New Roman"/>
          <w:sz w:val="24"/>
          <w:szCs w:val="24"/>
        </w:rPr>
        <w:t xml:space="preserve"> </w:t>
      </w:r>
      <w:r w:rsidR="00A370A1">
        <w:rPr>
          <w:rFonts w:ascii="Times New Roman" w:hAnsi="Times New Roman" w:cs="Times New Roman"/>
          <w:sz w:val="24"/>
          <w:szCs w:val="24"/>
        </w:rPr>
        <w:t>law of a State or</w:t>
      </w:r>
      <w:r w:rsidR="00616748">
        <w:rPr>
          <w:rFonts w:ascii="Times New Roman" w:hAnsi="Times New Roman" w:cs="Times New Roman"/>
          <w:sz w:val="24"/>
          <w:szCs w:val="24"/>
        </w:rPr>
        <w:t xml:space="preserve"> Territory</w:t>
      </w:r>
      <w:r w:rsidR="00A32159">
        <w:rPr>
          <w:rFonts w:ascii="Times New Roman" w:hAnsi="Times New Roman" w:cs="Times New Roman"/>
          <w:sz w:val="24"/>
          <w:szCs w:val="24"/>
        </w:rPr>
        <w:t xml:space="preserve"> which is so declared under section 3AA, and</w:t>
      </w:r>
      <w:r w:rsidR="00A370A1">
        <w:rPr>
          <w:rFonts w:ascii="Times New Roman" w:hAnsi="Times New Roman" w:cs="Times New Roman"/>
          <w:sz w:val="24"/>
          <w:szCs w:val="24"/>
        </w:rPr>
        <w:t xml:space="preserve"> which </w:t>
      </w:r>
      <w:r w:rsidR="00616748">
        <w:rPr>
          <w:rFonts w:ascii="Times New Roman" w:hAnsi="Times New Roman" w:cs="Times New Roman"/>
          <w:sz w:val="24"/>
          <w:szCs w:val="24"/>
        </w:rPr>
        <w:t xml:space="preserve">makes provision for the protection of witnesses, is a </w:t>
      </w:r>
      <w:r w:rsidR="00BA69D1" w:rsidRPr="00E555F7">
        <w:rPr>
          <w:rFonts w:ascii="Times New Roman" w:hAnsi="Times New Roman" w:cs="Times New Roman"/>
          <w:b/>
          <w:i/>
          <w:sz w:val="24"/>
          <w:szCs w:val="24"/>
        </w:rPr>
        <w:t>c</w:t>
      </w:r>
      <w:r w:rsidR="00616748" w:rsidRPr="00E555F7">
        <w:rPr>
          <w:rFonts w:ascii="Times New Roman" w:hAnsi="Times New Roman" w:cs="Times New Roman"/>
          <w:b/>
          <w:i/>
          <w:sz w:val="24"/>
          <w:szCs w:val="24"/>
        </w:rPr>
        <w:t>omplementary witness protection law</w:t>
      </w:r>
      <w:r w:rsidR="00616748">
        <w:rPr>
          <w:rFonts w:ascii="Times New Roman" w:hAnsi="Times New Roman" w:cs="Times New Roman"/>
          <w:sz w:val="24"/>
          <w:szCs w:val="24"/>
        </w:rPr>
        <w:t>.</w:t>
      </w:r>
    </w:p>
    <w:p w14:paraId="32001DDD" w14:textId="77777777" w:rsidR="007E69A3" w:rsidRDefault="007E69A3" w:rsidP="007E69A3">
      <w:pPr>
        <w:autoSpaceDE w:val="0"/>
        <w:autoSpaceDN w:val="0"/>
        <w:adjustRightInd w:val="0"/>
        <w:spacing w:after="0" w:line="240" w:lineRule="auto"/>
        <w:rPr>
          <w:rFonts w:ascii="Times New Roman" w:hAnsi="Times New Roman" w:cs="Times New Roman"/>
          <w:sz w:val="24"/>
          <w:szCs w:val="24"/>
        </w:rPr>
      </w:pPr>
    </w:p>
    <w:p w14:paraId="49868432" w14:textId="5B9E728E" w:rsidR="007E69A3" w:rsidRDefault="007E69A3" w:rsidP="007E69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Each State and Territory has its own witness protection legislation. Declaring a law of a State or</w:t>
      </w:r>
      <w:r w:rsidR="00BA69D1">
        <w:rPr>
          <w:rFonts w:ascii="Times New Roman" w:hAnsi="Times New Roman" w:cs="Times New Roman"/>
          <w:sz w:val="24"/>
          <w:szCs w:val="24"/>
        </w:rPr>
        <w:t xml:space="preserve"> </w:t>
      </w:r>
      <w:r>
        <w:rPr>
          <w:rFonts w:ascii="Times New Roman" w:hAnsi="Times New Roman" w:cs="Times New Roman"/>
          <w:sz w:val="24"/>
          <w:szCs w:val="24"/>
        </w:rPr>
        <w:t xml:space="preserve">Territory to be a </w:t>
      </w:r>
      <w:r w:rsidR="007F6FEA" w:rsidRPr="00B00CF1">
        <w:rPr>
          <w:rFonts w:ascii="Times New Roman" w:hAnsi="Times New Roman" w:cs="Times New Roman"/>
          <w:b/>
          <w:i/>
          <w:sz w:val="24"/>
          <w:szCs w:val="24"/>
        </w:rPr>
        <w:t>c</w:t>
      </w:r>
      <w:r w:rsidRPr="00B00CF1">
        <w:rPr>
          <w:rFonts w:ascii="Times New Roman" w:hAnsi="Times New Roman" w:cs="Times New Roman"/>
          <w:b/>
          <w:i/>
          <w:sz w:val="24"/>
          <w:szCs w:val="24"/>
        </w:rPr>
        <w:t>omplementary witness protection law</w:t>
      </w:r>
      <w:r>
        <w:rPr>
          <w:rFonts w:ascii="Times New Roman" w:hAnsi="Times New Roman" w:cs="Times New Roman"/>
          <w:sz w:val="24"/>
          <w:szCs w:val="24"/>
        </w:rPr>
        <w:t xml:space="preserve"> allows the AFP Commissioner to arrange or provide protection and other assistance </w:t>
      </w:r>
      <w:r w:rsidRPr="009650AD">
        <w:rPr>
          <w:rFonts w:ascii="Times New Roman" w:hAnsi="Times New Roman" w:cs="Times New Roman"/>
          <w:sz w:val="24"/>
          <w:szCs w:val="24"/>
        </w:rPr>
        <w:t xml:space="preserve">for </w:t>
      </w:r>
      <w:r w:rsidR="00AD2B8D" w:rsidRPr="009650AD">
        <w:rPr>
          <w:rFonts w:ascii="Times New Roman" w:hAnsi="Times New Roman" w:cs="Times New Roman"/>
          <w:sz w:val="24"/>
          <w:szCs w:val="24"/>
        </w:rPr>
        <w:t xml:space="preserve">witnesses </w:t>
      </w:r>
      <w:r w:rsidR="00F46AAA" w:rsidRPr="009650AD">
        <w:rPr>
          <w:rFonts w:ascii="Times New Roman" w:hAnsi="Times New Roman" w:cs="Times New Roman"/>
          <w:sz w:val="24"/>
          <w:szCs w:val="24"/>
        </w:rPr>
        <w:t>and other</w:t>
      </w:r>
      <w:r w:rsidR="00AD2B8D" w:rsidRPr="009650AD">
        <w:rPr>
          <w:rFonts w:ascii="Times New Roman" w:hAnsi="Times New Roman" w:cs="Times New Roman"/>
          <w:sz w:val="24"/>
          <w:szCs w:val="24"/>
        </w:rPr>
        <w:t xml:space="preserve"> participants</w:t>
      </w:r>
      <w:r w:rsidR="00F46AAA" w:rsidRPr="009650AD">
        <w:rPr>
          <w:rFonts w:ascii="Times New Roman" w:hAnsi="Times New Roman" w:cs="Times New Roman"/>
          <w:sz w:val="24"/>
          <w:szCs w:val="24"/>
        </w:rPr>
        <w:t xml:space="preserve"> under</w:t>
      </w:r>
      <w:r w:rsidR="00AD2B8D">
        <w:rPr>
          <w:rFonts w:ascii="Times New Roman" w:hAnsi="Times New Roman" w:cs="Times New Roman"/>
          <w:sz w:val="24"/>
          <w:szCs w:val="24"/>
        </w:rPr>
        <w:t xml:space="preserve"> the NWPP, consistent with the powers and functions conferred on the Commission</w:t>
      </w:r>
      <w:r w:rsidR="00B00CF1">
        <w:rPr>
          <w:rFonts w:ascii="Times New Roman" w:hAnsi="Times New Roman" w:cs="Times New Roman"/>
          <w:sz w:val="24"/>
          <w:szCs w:val="24"/>
        </w:rPr>
        <w:t>er</w:t>
      </w:r>
      <w:r w:rsidR="00AD2B8D">
        <w:rPr>
          <w:rFonts w:ascii="Times New Roman" w:hAnsi="Times New Roman" w:cs="Times New Roman"/>
          <w:sz w:val="24"/>
          <w:szCs w:val="24"/>
        </w:rPr>
        <w:t xml:space="preserve"> under</w:t>
      </w:r>
      <w:r>
        <w:rPr>
          <w:rFonts w:ascii="Times New Roman" w:hAnsi="Times New Roman" w:cs="Times New Roman"/>
          <w:sz w:val="24"/>
          <w:szCs w:val="24"/>
        </w:rPr>
        <w:t xml:space="preserve"> </w:t>
      </w:r>
      <w:r w:rsidR="00AD2B8D">
        <w:rPr>
          <w:rFonts w:ascii="Times New Roman" w:hAnsi="Times New Roman" w:cs="Times New Roman"/>
          <w:sz w:val="24"/>
          <w:szCs w:val="24"/>
        </w:rPr>
        <w:t xml:space="preserve">a </w:t>
      </w:r>
      <w:r w:rsidRPr="00B00CF1">
        <w:rPr>
          <w:rFonts w:ascii="Times New Roman" w:hAnsi="Times New Roman" w:cs="Times New Roman"/>
          <w:b/>
          <w:i/>
          <w:sz w:val="24"/>
          <w:szCs w:val="24"/>
        </w:rPr>
        <w:t xml:space="preserve">complementary </w:t>
      </w:r>
      <w:r w:rsidR="00AD2B8D" w:rsidRPr="00B00CF1">
        <w:rPr>
          <w:rFonts w:ascii="Times New Roman" w:hAnsi="Times New Roman" w:cs="Times New Roman"/>
          <w:b/>
          <w:i/>
          <w:sz w:val="24"/>
          <w:szCs w:val="24"/>
        </w:rPr>
        <w:t xml:space="preserve">witness protection </w:t>
      </w:r>
      <w:r w:rsidRPr="00B00CF1">
        <w:rPr>
          <w:rFonts w:ascii="Times New Roman" w:hAnsi="Times New Roman" w:cs="Times New Roman"/>
          <w:b/>
          <w:i/>
          <w:sz w:val="24"/>
          <w:szCs w:val="24"/>
        </w:rPr>
        <w:t>law</w:t>
      </w:r>
      <w:r w:rsidR="00AD2B8D">
        <w:rPr>
          <w:rFonts w:ascii="Times New Roman" w:hAnsi="Times New Roman" w:cs="Times New Roman"/>
          <w:sz w:val="24"/>
          <w:szCs w:val="24"/>
        </w:rPr>
        <w:t xml:space="preserve"> (section 4)</w:t>
      </w:r>
      <w:r>
        <w:rPr>
          <w:rFonts w:ascii="Times New Roman" w:hAnsi="Times New Roman" w:cs="Times New Roman"/>
          <w:sz w:val="24"/>
          <w:szCs w:val="24"/>
        </w:rPr>
        <w:t xml:space="preserve">. For example, it allows the AFP to apply to the court of a State </w:t>
      </w:r>
      <w:r w:rsidR="00016FF6">
        <w:rPr>
          <w:rFonts w:ascii="Times New Roman" w:hAnsi="Times New Roman" w:cs="Times New Roman"/>
          <w:sz w:val="24"/>
          <w:szCs w:val="24"/>
        </w:rPr>
        <w:t xml:space="preserve">or Territory </w:t>
      </w:r>
      <w:r>
        <w:rPr>
          <w:rFonts w:ascii="Times New Roman" w:hAnsi="Times New Roman" w:cs="Times New Roman"/>
          <w:sz w:val="24"/>
          <w:szCs w:val="24"/>
        </w:rPr>
        <w:t xml:space="preserve">with a declared complementary witness protection law </w:t>
      </w:r>
      <w:r w:rsidR="00233E1D">
        <w:rPr>
          <w:rFonts w:ascii="Times New Roman" w:hAnsi="Times New Roman" w:cs="Times New Roman"/>
          <w:sz w:val="24"/>
          <w:szCs w:val="24"/>
        </w:rPr>
        <w:t>to</w:t>
      </w:r>
      <w:r>
        <w:rPr>
          <w:rFonts w:ascii="Times New Roman" w:hAnsi="Times New Roman" w:cs="Times New Roman"/>
          <w:sz w:val="24"/>
          <w:szCs w:val="24"/>
        </w:rPr>
        <w:t xml:space="preserve"> issue State </w:t>
      </w:r>
      <w:r w:rsidR="00016FF6">
        <w:rPr>
          <w:rFonts w:ascii="Times New Roman" w:hAnsi="Times New Roman" w:cs="Times New Roman"/>
          <w:sz w:val="24"/>
          <w:szCs w:val="24"/>
        </w:rPr>
        <w:t xml:space="preserve">or Territory </w:t>
      </w:r>
      <w:r>
        <w:rPr>
          <w:rFonts w:ascii="Times New Roman" w:hAnsi="Times New Roman" w:cs="Times New Roman"/>
          <w:sz w:val="24"/>
          <w:szCs w:val="24"/>
        </w:rPr>
        <w:t xml:space="preserve">identity documents for a participant’s new identity. </w:t>
      </w:r>
    </w:p>
    <w:p w14:paraId="488A54FF" w14:textId="77777777" w:rsidR="007E69A3" w:rsidRDefault="007E69A3" w:rsidP="007E69A3">
      <w:pPr>
        <w:autoSpaceDE w:val="0"/>
        <w:autoSpaceDN w:val="0"/>
        <w:adjustRightInd w:val="0"/>
        <w:spacing w:after="0" w:line="240" w:lineRule="auto"/>
        <w:rPr>
          <w:rFonts w:ascii="Times New Roman" w:hAnsi="Times New Roman" w:cs="Times New Roman"/>
          <w:sz w:val="24"/>
          <w:szCs w:val="24"/>
        </w:rPr>
      </w:pPr>
    </w:p>
    <w:p w14:paraId="7DEB8483" w14:textId="2D2D4AA5" w:rsidR="007E69A3" w:rsidRDefault="007E69A3" w:rsidP="007E69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F27470">
        <w:rPr>
          <w:rFonts w:ascii="Times New Roman" w:hAnsi="Times New Roman" w:cs="Times New Roman"/>
          <w:i/>
          <w:sz w:val="24"/>
          <w:szCs w:val="24"/>
        </w:rPr>
        <w:t xml:space="preserve">Witness Protection (Complementary </w:t>
      </w:r>
      <w:r w:rsidR="00D000FE" w:rsidRPr="00F27470">
        <w:rPr>
          <w:rFonts w:ascii="Times New Roman" w:hAnsi="Times New Roman" w:cs="Times New Roman"/>
          <w:i/>
          <w:sz w:val="24"/>
          <w:szCs w:val="24"/>
        </w:rPr>
        <w:t>W</w:t>
      </w:r>
      <w:r w:rsidRPr="00F27470">
        <w:rPr>
          <w:rFonts w:ascii="Times New Roman" w:hAnsi="Times New Roman" w:cs="Times New Roman"/>
          <w:i/>
          <w:sz w:val="24"/>
          <w:szCs w:val="24"/>
        </w:rPr>
        <w:t xml:space="preserve">itness </w:t>
      </w:r>
      <w:r w:rsidR="00D000FE" w:rsidRPr="00F27470">
        <w:rPr>
          <w:rFonts w:ascii="Times New Roman" w:hAnsi="Times New Roman" w:cs="Times New Roman"/>
          <w:i/>
          <w:sz w:val="24"/>
          <w:szCs w:val="24"/>
        </w:rPr>
        <w:t>P</w:t>
      </w:r>
      <w:r w:rsidRPr="00F27470">
        <w:rPr>
          <w:rFonts w:ascii="Times New Roman" w:hAnsi="Times New Roman" w:cs="Times New Roman"/>
          <w:i/>
          <w:sz w:val="24"/>
          <w:szCs w:val="24"/>
        </w:rPr>
        <w:t>rotection</w:t>
      </w:r>
      <w:r w:rsidR="00066020">
        <w:rPr>
          <w:rFonts w:ascii="Times New Roman" w:hAnsi="Times New Roman" w:cs="Times New Roman"/>
          <w:i/>
          <w:sz w:val="24"/>
          <w:szCs w:val="24"/>
        </w:rPr>
        <w:t xml:space="preserve"> </w:t>
      </w:r>
      <w:r w:rsidR="00D000FE" w:rsidRPr="00F27470">
        <w:rPr>
          <w:rFonts w:ascii="Times New Roman" w:hAnsi="Times New Roman" w:cs="Times New Roman"/>
          <w:i/>
          <w:sz w:val="24"/>
          <w:szCs w:val="24"/>
        </w:rPr>
        <w:t>L</w:t>
      </w:r>
      <w:r w:rsidRPr="00F27470">
        <w:rPr>
          <w:rFonts w:ascii="Times New Roman" w:hAnsi="Times New Roman" w:cs="Times New Roman"/>
          <w:i/>
          <w:sz w:val="24"/>
          <w:szCs w:val="24"/>
        </w:rPr>
        <w:t>aws) Declaration 20</w:t>
      </w:r>
      <w:r w:rsidR="00E727A2" w:rsidRPr="00F27470">
        <w:rPr>
          <w:rFonts w:ascii="Times New Roman" w:hAnsi="Times New Roman" w:cs="Times New Roman"/>
          <w:i/>
          <w:sz w:val="24"/>
          <w:szCs w:val="24"/>
        </w:rPr>
        <w:t>2</w:t>
      </w:r>
      <w:r w:rsidR="00935A8E">
        <w:rPr>
          <w:rFonts w:ascii="Times New Roman" w:hAnsi="Times New Roman" w:cs="Times New Roman"/>
          <w:i/>
          <w:sz w:val="24"/>
          <w:szCs w:val="24"/>
        </w:rPr>
        <w:t>1</w:t>
      </w:r>
      <w:r>
        <w:rPr>
          <w:rFonts w:ascii="Times New Roman" w:hAnsi="Times New Roman" w:cs="Times New Roman"/>
          <w:sz w:val="24"/>
          <w:szCs w:val="24"/>
        </w:rPr>
        <w:t xml:space="preserve"> </w:t>
      </w:r>
      <w:r w:rsidR="00016FF6">
        <w:rPr>
          <w:rFonts w:ascii="Times New Roman" w:hAnsi="Times New Roman" w:cs="Times New Roman"/>
          <w:sz w:val="24"/>
          <w:szCs w:val="24"/>
        </w:rPr>
        <w:t xml:space="preserve">(the Declaration) </w:t>
      </w:r>
      <w:r>
        <w:rPr>
          <w:rFonts w:ascii="Times New Roman" w:hAnsi="Times New Roman" w:cs="Times New Roman"/>
          <w:sz w:val="24"/>
          <w:szCs w:val="24"/>
        </w:rPr>
        <w:t>re</w:t>
      </w:r>
      <w:r w:rsidR="00BA69D1">
        <w:rPr>
          <w:rFonts w:ascii="Times New Roman" w:hAnsi="Times New Roman" w:cs="Times New Roman"/>
          <w:sz w:val="24"/>
          <w:szCs w:val="24"/>
        </w:rPr>
        <w:t xml:space="preserve">peals </w:t>
      </w:r>
      <w:r w:rsidR="00E727A2">
        <w:rPr>
          <w:rFonts w:ascii="Times New Roman" w:hAnsi="Times New Roman" w:cs="Times New Roman"/>
          <w:sz w:val="24"/>
          <w:szCs w:val="24"/>
        </w:rPr>
        <w:t xml:space="preserve">the </w:t>
      </w:r>
      <w:r w:rsidR="00E727A2" w:rsidRPr="00DD5D8F">
        <w:rPr>
          <w:rFonts w:ascii="Times New Roman" w:hAnsi="Times New Roman" w:cs="Times New Roman"/>
          <w:i/>
          <w:sz w:val="24"/>
          <w:szCs w:val="24"/>
        </w:rPr>
        <w:t xml:space="preserve">Witness Protection (Complementary witness protection laws) </w:t>
      </w:r>
      <w:r w:rsidR="00D000FE" w:rsidRPr="00DD5D8F">
        <w:rPr>
          <w:rFonts w:ascii="Times New Roman" w:hAnsi="Times New Roman" w:cs="Times New Roman"/>
          <w:i/>
          <w:sz w:val="24"/>
          <w:szCs w:val="24"/>
        </w:rPr>
        <w:t xml:space="preserve">Declaration </w:t>
      </w:r>
      <w:r w:rsidR="00E727A2" w:rsidRPr="00DD5D8F">
        <w:rPr>
          <w:rFonts w:ascii="Times New Roman" w:hAnsi="Times New Roman" w:cs="Times New Roman"/>
          <w:i/>
          <w:sz w:val="24"/>
          <w:szCs w:val="24"/>
        </w:rPr>
        <w:t>2011</w:t>
      </w:r>
      <w:r w:rsidR="00E727A2">
        <w:rPr>
          <w:rFonts w:ascii="Times New Roman" w:hAnsi="Times New Roman" w:cs="Times New Roman"/>
          <w:sz w:val="24"/>
          <w:szCs w:val="24"/>
        </w:rPr>
        <w:t xml:space="preserve">, which was </w:t>
      </w:r>
      <w:r w:rsidR="00EF0329">
        <w:rPr>
          <w:rFonts w:ascii="Times New Roman" w:hAnsi="Times New Roman" w:cs="Times New Roman"/>
          <w:sz w:val="24"/>
          <w:szCs w:val="24"/>
        </w:rPr>
        <w:t xml:space="preserve">otherwise </w:t>
      </w:r>
      <w:r w:rsidR="00E727A2">
        <w:rPr>
          <w:rFonts w:ascii="Times New Roman" w:hAnsi="Times New Roman" w:cs="Times New Roman"/>
          <w:sz w:val="24"/>
          <w:szCs w:val="24"/>
        </w:rPr>
        <w:t>due to sunset on 1 April 2021.</w:t>
      </w:r>
    </w:p>
    <w:p w14:paraId="4F47998A" w14:textId="77777777" w:rsidR="007E69A3" w:rsidRDefault="007E69A3" w:rsidP="007E69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8DA1808" w14:textId="53C745D7" w:rsidR="007E69A3" w:rsidRDefault="007E69A3" w:rsidP="007E69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purpose of the Declaration is to ensure that the AFP Commissioner can continue to provide</w:t>
      </w:r>
      <w:r w:rsidR="00E727A2">
        <w:rPr>
          <w:rFonts w:ascii="Times New Roman" w:hAnsi="Times New Roman" w:cs="Times New Roman"/>
          <w:sz w:val="24"/>
          <w:szCs w:val="24"/>
        </w:rPr>
        <w:t xml:space="preserve"> </w:t>
      </w:r>
      <w:r>
        <w:rPr>
          <w:rFonts w:ascii="Times New Roman" w:hAnsi="Times New Roman" w:cs="Times New Roman"/>
          <w:sz w:val="24"/>
          <w:szCs w:val="24"/>
        </w:rPr>
        <w:t xml:space="preserve">protection and other assistance for </w:t>
      </w:r>
      <w:r w:rsidR="00EC18B7" w:rsidRPr="009650AD">
        <w:rPr>
          <w:rFonts w:ascii="Times New Roman" w:hAnsi="Times New Roman" w:cs="Times New Roman"/>
          <w:sz w:val="24"/>
          <w:szCs w:val="24"/>
        </w:rPr>
        <w:t xml:space="preserve">witnesses </w:t>
      </w:r>
      <w:r w:rsidR="00F46AAA" w:rsidRPr="009650AD">
        <w:rPr>
          <w:rFonts w:ascii="Times New Roman" w:hAnsi="Times New Roman" w:cs="Times New Roman"/>
          <w:sz w:val="24"/>
          <w:szCs w:val="24"/>
        </w:rPr>
        <w:t>and other</w:t>
      </w:r>
      <w:r w:rsidR="00EC18B7" w:rsidRPr="009650AD">
        <w:rPr>
          <w:rFonts w:ascii="Times New Roman" w:hAnsi="Times New Roman" w:cs="Times New Roman"/>
          <w:sz w:val="24"/>
          <w:szCs w:val="24"/>
        </w:rPr>
        <w:t xml:space="preserve"> </w:t>
      </w:r>
      <w:r w:rsidR="00F46AAA" w:rsidRPr="009650AD">
        <w:rPr>
          <w:rFonts w:ascii="Times New Roman" w:hAnsi="Times New Roman" w:cs="Times New Roman"/>
          <w:sz w:val="24"/>
          <w:szCs w:val="24"/>
        </w:rPr>
        <w:t>participants under</w:t>
      </w:r>
      <w:r>
        <w:rPr>
          <w:rFonts w:ascii="Times New Roman" w:hAnsi="Times New Roman" w:cs="Times New Roman"/>
          <w:sz w:val="24"/>
          <w:szCs w:val="24"/>
        </w:rPr>
        <w:t xml:space="preserve"> the NWPP under State and Territory witness protection laws as necessary and appropriate</w:t>
      </w:r>
      <w:r w:rsidR="00EC18B7">
        <w:rPr>
          <w:rFonts w:ascii="Times New Roman" w:hAnsi="Times New Roman" w:cs="Times New Roman"/>
          <w:sz w:val="24"/>
          <w:szCs w:val="24"/>
        </w:rPr>
        <w:t>. In addition, the Declaration</w:t>
      </w:r>
      <w:r>
        <w:rPr>
          <w:rFonts w:ascii="Times New Roman" w:hAnsi="Times New Roman" w:cs="Times New Roman"/>
          <w:sz w:val="24"/>
          <w:szCs w:val="24"/>
        </w:rPr>
        <w:t xml:space="preserve"> facilitat</w:t>
      </w:r>
      <w:r w:rsidR="00EC18B7">
        <w:rPr>
          <w:rFonts w:ascii="Times New Roman" w:hAnsi="Times New Roman" w:cs="Times New Roman"/>
          <w:sz w:val="24"/>
          <w:szCs w:val="24"/>
        </w:rPr>
        <w:t>es</w:t>
      </w:r>
      <w:r>
        <w:rPr>
          <w:rFonts w:ascii="Times New Roman" w:hAnsi="Times New Roman" w:cs="Times New Roman"/>
          <w:sz w:val="24"/>
          <w:szCs w:val="24"/>
        </w:rPr>
        <w:t xml:space="preserve"> public access to </w:t>
      </w:r>
      <w:r w:rsidR="00EC18B7">
        <w:rPr>
          <w:rFonts w:ascii="Times New Roman" w:hAnsi="Times New Roman" w:cs="Times New Roman"/>
          <w:sz w:val="24"/>
          <w:szCs w:val="24"/>
        </w:rPr>
        <w:t>laws that</w:t>
      </w:r>
      <w:r w:rsidR="00745F10">
        <w:rPr>
          <w:rFonts w:ascii="Times New Roman" w:hAnsi="Times New Roman" w:cs="Times New Roman"/>
          <w:sz w:val="24"/>
          <w:szCs w:val="24"/>
        </w:rPr>
        <w:t xml:space="preserve"> </w:t>
      </w:r>
      <w:r>
        <w:rPr>
          <w:rFonts w:ascii="Times New Roman" w:hAnsi="Times New Roman" w:cs="Times New Roman"/>
          <w:sz w:val="24"/>
          <w:szCs w:val="24"/>
        </w:rPr>
        <w:t>have been declared complementary witness protection laws.</w:t>
      </w:r>
    </w:p>
    <w:p w14:paraId="31D896AA" w14:textId="77777777" w:rsidR="007E69A3" w:rsidRDefault="007E69A3" w:rsidP="007E69A3">
      <w:pPr>
        <w:autoSpaceDE w:val="0"/>
        <w:autoSpaceDN w:val="0"/>
        <w:adjustRightInd w:val="0"/>
        <w:spacing w:after="0" w:line="240" w:lineRule="auto"/>
        <w:rPr>
          <w:rFonts w:ascii="Times New Roman" w:hAnsi="Times New Roman" w:cs="Times New Roman"/>
          <w:sz w:val="24"/>
          <w:szCs w:val="24"/>
        </w:rPr>
      </w:pPr>
    </w:p>
    <w:p w14:paraId="1CA0A715" w14:textId="46A139AF" w:rsidR="007E69A3" w:rsidRDefault="007E69A3" w:rsidP="00E727A2">
      <w:pPr>
        <w:autoSpaceDE w:val="0"/>
        <w:autoSpaceDN w:val="0"/>
        <w:adjustRightInd w:val="0"/>
        <w:spacing w:after="0" w:line="240" w:lineRule="auto"/>
        <w:rPr>
          <w:rFonts w:ascii="Times New Roman" w:hAnsi="Times New Roman" w:cs="Times New Roman"/>
          <w:sz w:val="24"/>
          <w:szCs w:val="24"/>
        </w:rPr>
      </w:pPr>
      <w:r w:rsidRPr="00DD5D8F">
        <w:rPr>
          <w:rFonts w:ascii="Times New Roman" w:hAnsi="Times New Roman" w:cs="Times New Roman"/>
          <w:sz w:val="24"/>
          <w:szCs w:val="24"/>
        </w:rPr>
        <w:t>The AFP was consulted on the Declaration</w:t>
      </w:r>
      <w:r w:rsidR="009127F7" w:rsidRPr="00DD5D8F">
        <w:rPr>
          <w:rFonts w:ascii="Times New Roman" w:hAnsi="Times New Roman" w:cs="Times New Roman"/>
          <w:sz w:val="24"/>
          <w:szCs w:val="24"/>
        </w:rPr>
        <w:t>.</w:t>
      </w:r>
      <w:r w:rsidR="009127F7">
        <w:rPr>
          <w:rFonts w:ascii="Times New Roman" w:hAnsi="Times New Roman" w:cs="Times New Roman"/>
          <w:sz w:val="24"/>
          <w:szCs w:val="24"/>
        </w:rPr>
        <w:t xml:space="preserve"> </w:t>
      </w:r>
      <w:r w:rsidR="009127F7" w:rsidRPr="009127F7">
        <w:t xml:space="preserve"> </w:t>
      </w:r>
      <w:r w:rsidR="009127F7" w:rsidRPr="009127F7">
        <w:rPr>
          <w:rFonts w:ascii="Times New Roman" w:hAnsi="Times New Roman" w:cs="Times New Roman"/>
          <w:sz w:val="24"/>
          <w:szCs w:val="24"/>
        </w:rPr>
        <w:t xml:space="preserve">No </w:t>
      </w:r>
      <w:r w:rsidR="009127F7">
        <w:rPr>
          <w:rFonts w:ascii="Times New Roman" w:hAnsi="Times New Roman" w:cs="Times New Roman"/>
          <w:sz w:val="24"/>
          <w:szCs w:val="24"/>
        </w:rPr>
        <w:t xml:space="preserve">further </w:t>
      </w:r>
      <w:r w:rsidR="009127F7" w:rsidRPr="009127F7">
        <w:rPr>
          <w:rFonts w:ascii="Times New Roman" w:hAnsi="Times New Roman" w:cs="Times New Roman"/>
          <w:sz w:val="24"/>
          <w:szCs w:val="24"/>
        </w:rPr>
        <w:t xml:space="preserve">consultation was undertaken as the </w:t>
      </w:r>
      <w:r w:rsidR="00EF0329">
        <w:rPr>
          <w:rFonts w:ascii="Times New Roman" w:hAnsi="Times New Roman" w:cs="Times New Roman"/>
          <w:sz w:val="24"/>
          <w:szCs w:val="24"/>
        </w:rPr>
        <w:t>D</w:t>
      </w:r>
      <w:r w:rsidR="009127F7" w:rsidRPr="009127F7">
        <w:rPr>
          <w:rFonts w:ascii="Times New Roman" w:hAnsi="Times New Roman" w:cs="Times New Roman"/>
          <w:sz w:val="24"/>
          <w:szCs w:val="24"/>
        </w:rPr>
        <w:t>eclaration is of a minor</w:t>
      </w:r>
      <w:r w:rsidR="009127F7">
        <w:rPr>
          <w:rFonts w:ascii="Times New Roman" w:hAnsi="Times New Roman" w:cs="Times New Roman"/>
          <w:sz w:val="24"/>
          <w:szCs w:val="24"/>
        </w:rPr>
        <w:t xml:space="preserve"> and</w:t>
      </w:r>
      <w:r w:rsidR="009127F7" w:rsidRPr="009127F7">
        <w:rPr>
          <w:rFonts w:ascii="Times New Roman" w:hAnsi="Times New Roman" w:cs="Times New Roman"/>
          <w:sz w:val="24"/>
          <w:szCs w:val="24"/>
        </w:rPr>
        <w:t xml:space="preserve"> machinery</w:t>
      </w:r>
      <w:r w:rsidR="009127F7">
        <w:rPr>
          <w:rFonts w:ascii="Times New Roman" w:hAnsi="Times New Roman" w:cs="Times New Roman"/>
          <w:sz w:val="24"/>
          <w:szCs w:val="24"/>
        </w:rPr>
        <w:t xml:space="preserve"> </w:t>
      </w:r>
      <w:r w:rsidR="009127F7" w:rsidRPr="009127F7">
        <w:rPr>
          <w:rFonts w:ascii="Times New Roman" w:hAnsi="Times New Roman" w:cs="Times New Roman"/>
          <w:sz w:val="24"/>
          <w:szCs w:val="24"/>
        </w:rPr>
        <w:t>nature</w:t>
      </w:r>
      <w:r w:rsidR="009127F7">
        <w:rPr>
          <w:rFonts w:ascii="Times New Roman" w:hAnsi="Times New Roman" w:cs="Times New Roman"/>
          <w:sz w:val="24"/>
          <w:szCs w:val="24"/>
        </w:rPr>
        <w:t xml:space="preserve"> and does not substantially alter </w:t>
      </w:r>
      <w:r w:rsidR="00187E45">
        <w:rPr>
          <w:rFonts w:ascii="Times New Roman" w:hAnsi="Times New Roman" w:cs="Times New Roman"/>
          <w:sz w:val="24"/>
          <w:szCs w:val="24"/>
        </w:rPr>
        <w:t>current arrangements.</w:t>
      </w:r>
    </w:p>
    <w:p w14:paraId="5A369EA1" w14:textId="77777777" w:rsidR="00A370A1" w:rsidRDefault="00A370A1" w:rsidP="007E69A3">
      <w:pPr>
        <w:autoSpaceDE w:val="0"/>
        <w:autoSpaceDN w:val="0"/>
        <w:adjustRightInd w:val="0"/>
        <w:spacing w:after="0" w:line="240" w:lineRule="auto"/>
        <w:rPr>
          <w:rFonts w:ascii="Times New Roman" w:hAnsi="Times New Roman" w:cs="Times New Roman"/>
          <w:sz w:val="24"/>
          <w:szCs w:val="24"/>
        </w:rPr>
      </w:pPr>
    </w:p>
    <w:p w14:paraId="7C7063B2" w14:textId="1EE5499A" w:rsidR="00A370A1" w:rsidRDefault="00A370A1" w:rsidP="00A370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A370A1">
        <w:rPr>
          <w:rFonts w:ascii="Times New Roman" w:hAnsi="Times New Roman" w:cs="Times New Roman"/>
          <w:sz w:val="24"/>
          <w:szCs w:val="24"/>
        </w:rPr>
        <w:t xml:space="preserve">Statement of Compatibility with Human Rights has been prepared in accordance with the </w:t>
      </w:r>
      <w:r w:rsidRPr="00A370A1">
        <w:rPr>
          <w:rFonts w:ascii="Times New Roman" w:hAnsi="Times New Roman" w:cs="Times New Roman"/>
          <w:i/>
          <w:iCs/>
          <w:sz w:val="24"/>
          <w:szCs w:val="24"/>
        </w:rPr>
        <w:t>Human Rights (Parliamentary Scrutiny) Act 2011</w:t>
      </w:r>
      <w:r w:rsidRPr="00A370A1">
        <w:rPr>
          <w:rFonts w:ascii="Times New Roman" w:hAnsi="Times New Roman" w:cs="Times New Roman"/>
          <w:sz w:val="24"/>
          <w:szCs w:val="24"/>
        </w:rPr>
        <w:t xml:space="preserve">, and is at Attachment </w:t>
      </w:r>
      <w:r w:rsidR="008F6A93" w:rsidRPr="00454270">
        <w:rPr>
          <w:rFonts w:ascii="Times New Roman" w:hAnsi="Times New Roman" w:cs="Times New Roman"/>
          <w:sz w:val="24"/>
          <w:szCs w:val="24"/>
        </w:rPr>
        <w:t>A</w:t>
      </w:r>
      <w:r w:rsidRPr="00454270">
        <w:rPr>
          <w:rFonts w:ascii="Times New Roman" w:hAnsi="Times New Roman" w:cs="Times New Roman"/>
          <w:sz w:val="24"/>
          <w:szCs w:val="24"/>
        </w:rPr>
        <w:t>.</w:t>
      </w:r>
    </w:p>
    <w:p w14:paraId="7EADA25D" w14:textId="77777777" w:rsidR="00A370A1" w:rsidRDefault="00A370A1" w:rsidP="00A370A1">
      <w:pPr>
        <w:autoSpaceDE w:val="0"/>
        <w:autoSpaceDN w:val="0"/>
        <w:adjustRightInd w:val="0"/>
        <w:spacing w:after="0" w:line="240" w:lineRule="auto"/>
        <w:rPr>
          <w:rFonts w:ascii="Times New Roman" w:hAnsi="Times New Roman" w:cs="Times New Roman"/>
          <w:sz w:val="24"/>
          <w:szCs w:val="24"/>
        </w:rPr>
      </w:pPr>
    </w:p>
    <w:p w14:paraId="663ACFFB" w14:textId="21945C29" w:rsidR="00A370A1" w:rsidRPr="00A370A1" w:rsidRDefault="00A370A1" w:rsidP="00A370A1">
      <w:pPr>
        <w:autoSpaceDE w:val="0"/>
        <w:autoSpaceDN w:val="0"/>
        <w:adjustRightInd w:val="0"/>
        <w:spacing w:after="0" w:line="240" w:lineRule="auto"/>
        <w:rPr>
          <w:rFonts w:ascii="Times New Roman" w:hAnsi="Times New Roman" w:cs="Times New Roman"/>
          <w:sz w:val="24"/>
          <w:szCs w:val="24"/>
        </w:rPr>
      </w:pPr>
      <w:r w:rsidRPr="00A370A1">
        <w:rPr>
          <w:rFonts w:ascii="Times New Roman" w:hAnsi="Times New Roman" w:cs="Times New Roman"/>
          <w:sz w:val="24"/>
          <w:szCs w:val="24"/>
        </w:rPr>
        <w:t xml:space="preserve">The </w:t>
      </w:r>
      <w:r>
        <w:rPr>
          <w:rFonts w:ascii="Times New Roman" w:hAnsi="Times New Roman" w:cs="Times New Roman"/>
          <w:sz w:val="24"/>
          <w:szCs w:val="24"/>
        </w:rPr>
        <w:t xml:space="preserve">Declaration </w:t>
      </w:r>
      <w:r w:rsidR="008F6A93">
        <w:rPr>
          <w:rFonts w:ascii="Times New Roman" w:hAnsi="Times New Roman" w:cs="Times New Roman"/>
          <w:sz w:val="24"/>
          <w:szCs w:val="24"/>
        </w:rPr>
        <w:t xml:space="preserve">commences on </w:t>
      </w:r>
      <w:r w:rsidRPr="00A370A1">
        <w:rPr>
          <w:rFonts w:ascii="Times New Roman" w:hAnsi="Times New Roman" w:cs="Times New Roman"/>
          <w:sz w:val="24"/>
          <w:szCs w:val="24"/>
        </w:rPr>
        <w:t xml:space="preserve">the day after it is registered on the Federal Register of Legislation. </w:t>
      </w:r>
    </w:p>
    <w:p w14:paraId="7949B64F" w14:textId="77777777" w:rsidR="00A370A1" w:rsidRDefault="00A370A1" w:rsidP="00A370A1">
      <w:pPr>
        <w:autoSpaceDE w:val="0"/>
        <w:autoSpaceDN w:val="0"/>
        <w:adjustRightInd w:val="0"/>
        <w:spacing w:after="0" w:line="240" w:lineRule="auto"/>
        <w:rPr>
          <w:rFonts w:ascii="Times New Roman" w:hAnsi="Times New Roman" w:cs="Times New Roman"/>
          <w:sz w:val="24"/>
          <w:szCs w:val="24"/>
        </w:rPr>
      </w:pPr>
    </w:p>
    <w:p w14:paraId="383753E5" w14:textId="142302C3" w:rsidR="00523B63" w:rsidRDefault="00523B63">
      <w:pPr>
        <w:rPr>
          <w:rFonts w:ascii="Times New Roman" w:hAnsi="Times New Roman" w:cs="Times New Roman"/>
          <w:b/>
          <w:sz w:val="24"/>
          <w:szCs w:val="24"/>
        </w:rPr>
      </w:pPr>
    </w:p>
    <w:p w14:paraId="49DFA79D" w14:textId="268602D0" w:rsidR="006921CB" w:rsidRPr="006921CB" w:rsidRDefault="00E727A2" w:rsidP="00523B63">
      <w:pPr>
        <w:jc w:val="right"/>
        <w:rPr>
          <w:rFonts w:ascii="Times New Roman" w:hAnsi="Times New Roman" w:cs="Times New Roman"/>
          <w:b/>
          <w:sz w:val="24"/>
          <w:szCs w:val="24"/>
        </w:rPr>
      </w:pPr>
      <w:r w:rsidRPr="006921CB">
        <w:rPr>
          <w:rFonts w:ascii="Times New Roman" w:hAnsi="Times New Roman" w:cs="Times New Roman"/>
          <w:b/>
          <w:sz w:val="24"/>
          <w:szCs w:val="24"/>
        </w:rPr>
        <w:t xml:space="preserve">Attachment </w:t>
      </w:r>
      <w:r w:rsidR="007F6FEA">
        <w:rPr>
          <w:rFonts w:ascii="Times New Roman" w:hAnsi="Times New Roman" w:cs="Times New Roman"/>
          <w:b/>
          <w:sz w:val="24"/>
          <w:szCs w:val="24"/>
        </w:rPr>
        <w:t>A</w:t>
      </w:r>
    </w:p>
    <w:p w14:paraId="242E0163" w14:textId="77777777" w:rsidR="006921CB" w:rsidRPr="00AA2E07" w:rsidRDefault="00E727A2" w:rsidP="00523B63">
      <w:pPr>
        <w:jc w:val="center"/>
        <w:rPr>
          <w:rFonts w:ascii="Times New Roman" w:hAnsi="Times New Roman" w:cs="Times New Roman"/>
          <w:b/>
          <w:bCs/>
          <w:sz w:val="24"/>
          <w:szCs w:val="24"/>
        </w:rPr>
      </w:pPr>
      <w:r w:rsidRPr="00AA2E07">
        <w:rPr>
          <w:rFonts w:ascii="Times New Roman" w:hAnsi="Times New Roman" w:cs="Times New Roman"/>
          <w:b/>
          <w:bCs/>
          <w:sz w:val="24"/>
          <w:szCs w:val="24"/>
        </w:rPr>
        <w:t>Statement of Compatibility with Human Rights</w:t>
      </w:r>
    </w:p>
    <w:p w14:paraId="13F7F428" w14:textId="77777777" w:rsidR="006921CB" w:rsidRPr="0030328C" w:rsidRDefault="00E727A2" w:rsidP="006921CB">
      <w:pPr>
        <w:jc w:val="center"/>
        <w:rPr>
          <w:rFonts w:ascii="Times New Roman" w:hAnsi="Times New Roman" w:cs="Times New Roman"/>
          <w:b/>
          <w:bCs/>
          <w:iCs/>
          <w:sz w:val="24"/>
          <w:szCs w:val="24"/>
        </w:rPr>
      </w:pPr>
      <w:r w:rsidRPr="0030328C">
        <w:rPr>
          <w:rFonts w:ascii="Times New Roman" w:hAnsi="Times New Roman" w:cs="Times New Roman"/>
          <w:i/>
          <w:iCs/>
          <w:sz w:val="24"/>
          <w:szCs w:val="24"/>
        </w:rPr>
        <w:t>Prepared in accordance with Part 3 of the Human Rights (Parliamentary Scrutiny) Act 2011</w:t>
      </w:r>
    </w:p>
    <w:p w14:paraId="2A5E570F" w14:textId="2827FE99" w:rsidR="006921CB" w:rsidRPr="006921CB" w:rsidRDefault="00E727A2" w:rsidP="006921CB">
      <w:pPr>
        <w:jc w:val="center"/>
        <w:rPr>
          <w:rFonts w:ascii="Times New Roman" w:hAnsi="Times New Roman" w:cs="Times New Roman"/>
          <w:b/>
          <w:bCs/>
          <w:iCs/>
          <w:sz w:val="24"/>
          <w:szCs w:val="24"/>
        </w:rPr>
      </w:pPr>
      <w:r w:rsidRPr="006921CB">
        <w:rPr>
          <w:rFonts w:ascii="Times New Roman" w:hAnsi="Times New Roman" w:cs="Times New Roman"/>
          <w:b/>
          <w:bCs/>
          <w:iCs/>
          <w:sz w:val="24"/>
          <w:szCs w:val="24"/>
        </w:rPr>
        <w:t xml:space="preserve">Witness Protection (Complementary </w:t>
      </w:r>
      <w:r w:rsidR="00C94ECF">
        <w:rPr>
          <w:rFonts w:ascii="Times New Roman" w:hAnsi="Times New Roman" w:cs="Times New Roman"/>
          <w:b/>
          <w:bCs/>
          <w:iCs/>
          <w:sz w:val="24"/>
          <w:szCs w:val="24"/>
        </w:rPr>
        <w:t>W</w:t>
      </w:r>
      <w:r w:rsidRPr="006921CB">
        <w:rPr>
          <w:rFonts w:ascii="Times New Roman" w:hAnsi="Times New Roman" w:cs="Times New Roman"/>
          <w:b/>
          <w:bCs/>
          <w:iCs/>
          <w:sz w:val="24"/>
          <w:szCs w:val="24"/>
        </w:rPr>
        <w:t>itnes</w:t>
      </w:r>
      <w:r w:rsidR="00066020">
        <w:rPr>
          <w:rFonts w:ascii="Times New Roman" w:hAnsi="Times New Roman" w:cs="Times New Roman"/>
          <w:b/>
          <w:bCs/>
          <w:iCs/>
          <w:sz w:val="24"/>
          <w:szCs w:val="24"/>
        </w:rPr>
        <w:t xml:space="preserve">s </w:t>
      </w:r>
      <w:r w:rsidR="00C94ECF">
        <w:rPr>
          <w:rFonts w:ascii="Times New Roman" w:hAnsi="Times New Roman" w:cs="Times New Roman"/>
          <w:b/>
          <w:bCs/>
          <w:iCs/>
          <w:sz w:val="24"/>
          <w:szCs w:val="24"/>
        </w:rPr>
        <w:t>P</w:t>
      </w:r>
      <w:r w:rsidRPr="006921CB">
        <w:rPr>
          <w:rFonts w:ascii="Times New Roman" w:hAnsi="Times New Roman" w:cs="Times New Roman"/>
          <w:b/>
          <w:bCs/>
          <w:iCs/>
          <w:sz w:val="24"/>
          <w:szCs w:val="24"/>
        </w:rPr>
        <w:t xml:space="preserve">rotection </w:t>
      </w:r>
      <w:r w:rsidR="00C94ECF">
        <w:rPr>
          <w:rFonts w:ascii="Times New Roman" w:hAnsi="Times New Roman" w:cs="Times New Roman"/>
          <w:b/>
          <w:bCs/>
          <w:iCs/>
          <w:sz w:val="24"/>
          <w:szCs w:val="24"/>
        </w:rPr>
        <w:t>L</w:t>
      </w:r>
      <w:r w:rsidRPr="006921CB">
        <w:rPr>
          <w:rFonts w:ascii="Times New Roman" w:hAnsi="Times New Roman" w:cs="Times New Roman"/>
          <w:b/>
          <w:bCs/>
          <w:iCs/>
          <w:sz w:val="24"/>
          <w:szCs w:val="24"/>
        </w:rPr>
        <w:t xml:space="preserve">aws) Declaration </w:t>
      </w:r>
      <w:r w:rsidRPr="00454270">
        <w:rPr>
          <w:rFonts w:ascii="Times New Roman" w:hAnsi="Times New Roman" w:cs="Times New Roman"/>
          <w:b/>
          <w:bCs/>
          <w:iCs/>
          <w:sz w:val="24"/>
          <w:szCs w:val="24"/>
        </w:rPr>
        <w:t>202</w:t>
      </w:r>
      <w:r w:rsidR="00935A8E">
        <w:rPr>
          <w:rFonts w:ascii="Times New Roman" w:hAnsi="Times New Roman" w:cs="Times New Roman"/>
          <w:b/>
          <w:bCs/>
          <w:iCs/>
          <w:sz w:val="24"/>
          <w:szCs w:val="24"/>
        </w:rPr>
        <w:t>1</w:t>
      </w:r>
    </w:p>
    <w:p w14:paraId="003E9A98" w14:textId="77777777" w:rsidR="00E727A2" w:rsidRPr="006921CB" w:rsidRDefault="006921CB" w:rsidP="006921CB">
      <w:pPr>
        <w:rPr>
          <w:rFonts w:ascii="Times New Roman" w:hAnsi="Times New Roman" w:cs="Times New Roman"/>
          <w:iCs/>
          <w:sz w:val="24"/>
          <w:szCs w:val="24"/>
        </w:rPr>
      </w:pPr>
      <w:r w:rsidRPr="006921CB">
        <w:rPr>
          <w:rFonts w:ascii="Times New Roman" w:hAnsi="Times New Roman" w:cs="Times New Roman"/>
          <w:sz w:val="24"/>
          <w:szCs w:val="24"/>
        </w:rPr>
        <w:t>T</w:t>
      </w:r>
      <w:r w:rsidR="00E727A2" w:rsidRPr="006921CB">
        <w:rPr>
          <w:rFonts w:ascii="Times New Roman" w:hAnsi="Times New Roman" w:cs="Times New Roman"/>
          <w:sz w:val="24"/>
          <w:szCs w:val="24"/>
        </w:rPr>
        <w:t xml:space="preserve">his legislative instrument is compatible with the human rights and freedoms recognised or declared in the international instruments listed in section 3 of </w:t>
      </w:r>
      <w:r w:rsidR="00E727A2" w:rsidRPr="006921CB">
        <w:rPr>
          <w:rFonts w:ascii="Times New Roman" w:hAnsi="Times New Roman" w:cs="Times New Roman"/>
          <w:i/>
          <w:sz w:val="24"/>
          <w:szCs w:val="24"/>
        </w:rPr>
        <w:t xml:space="preserve">the </w:t>
      </w:r>
      <w:r w:rsidR="00E727A2" w:rsidRPr="006921CB">
        <w:rPr>
          <w:rFonts w:ascii="Times New Roman" w:hAnsi="Times New Roman" w:cs="Times New Roman"/>
          <w:i/>
          <w:iCs/>
          <w:sz w:val="24"/>
          <w:szCs w:val="24"/>
        </w:rPr>
        <w:t>Human Rights (Parliamentary Scrutiny) Act 2011</w:t>
      </w:r>
      <w:r w:rsidR="00E727A2" w:rsidRPr="006921CB">
        <w:rPr>
          <w:rFonts w:ascii="Times New Roman" w:hAnsi="Times New Roman" w:cs="Times New Roman"/>
          <w:iCs/>
          <w:sz w:val="24"/>
          <w:szCs w:val="24"/>
        </w:rPr>
        <w:t>.</w:t>
      </w:r>
    </w:p>
    <w:p w14:paraId="7CBD58E9" w14:textId="1EF1EC95" w:rsidR="00E727A2" w:rsidRDefault="00E727A2" w:rsidP="00E727A2">
      <w:pPr>
        <w:rPr>
          <w:rFonts w:ascii="Times New Roman" w:hAnsi="Times New Roman" w:cs="Times New Roman"/>
          <w:b/>
          <w:iCs/>
          <w:sz w:val="24"/>
          <w:szCs w:val="24"/>
        </w:rPr>
      </w:pPr>
      <w:r w:rsidRPr="006921CB">
        <w:rPr>
          <w:rFonts w:ascii="Times New Roman" w:hAnsi="Times New Roman" w:cs="Times New Roman"/>
          <w:b/>
          <w:iCs/>
          <w:sz w:val="24"/>
          <w:szCs w:val="24"/>
        </w:rPr>
        <w:t>Overview of the</w:t>
      </w:r>
      <w:r w:rsidR="00250F8E">
        <w:rPr>
          <w:rFonts w:ascii="Times New Roman" w:hAnsi="Times New Roman" w:cs="Times New Roman"/>
          <w:b/>
          <w:iCs/>
          <w:sz w:val="24"/>
          <w:szCs w:val="24"/>
        </w:rPr>
        <w:t xml:space="preserve"> Disallowable Legislative Instrument</w:t>
      </w:r>
    </w:p>
    <w:p w14:paraId="3CA51312" w14:textId="568A1A4B" w:rsidR="00547974" w:rsidRDefault="00C856E2" w:rsidP="00E727A2">
      <w:pPr>
        <w:rPr>
          <w:rFonts w:ascii="Times New Roman" w:hAnsi="Times New Roman" w:cs="Times New Roman"/>
          <w:sz w:val="24"/>
          <w:szCs w:val="24"/>
        </w:rPr>
      </w:pPr>
      <w:r>
        <w:rPr>
          <w:rFonts w:ascii="Times New Roman" w:hAnsi="Times New Roman" w:cs="Times New Roman"/>
          <w:iCs/>
          <w:sz w:val="24"/>
          <w:szCs w:val="24"/>
        </w:rPr>
        <w:t xml:space="preserve">The </w:t>
      </w:r>
      <w:r w:rsidRPr="00DD5D8F">
        <w:rPr>
          <w:rFonts w:ascii="Times New Roman" w:hAnsi="Times New Roman" w:cs="Times New Roman"/>
          <w:i/>
          <w:iCs/>
          <w:sz w:val="24"/>
          <w:szCs w:val="24"/>
        </w:rPr>
        <w:t xml:space="preserve">Witness Protection (Complementary </w:t>
      </w:r>
      <w:r w:rsidR="00F27470" w:rsidRPr="00DD5D8F">
        <w:rPr>
          <w:rFonts w:ascii="Times New Roman" w:hAnsi="Times New Roman" w:cs="Times New Roman"/>
          <w:i/>
          <w:iCs/>
          <w:sz w:val="24"/>
          <w:szCs w:val="24"/>
        </w:rPr>
        <w:t>W</w:t>
      </w:r>
      <w:r w:rsidRPr="00DD5D8F">
        <w:rPr>
          <w:rFonts w:ascii="Times New Roman" w:hAnsi="Times New Roman" w:cs="Times New Roman"/>
          <w:i/>
          <w:iCs/>
          <w:sz w:val="24"/>
          <w:szCs w:val="24"/>
        </w:rPr>
        <w:t xml:space="preserve">itness </w:t>
      </w:r>
      <w:r w:rsidR="00F27470" w:rsidRPr="00DD5D8F">
        <w:rPr>
          <w:rFonts w:ascii="Times New Roman" w:hAnsi="Times New Roman" w:cs="Times New Roman"/>
          <w:i/>
          <w:iCs/>
          <w:sz w:val="24"/>
          <w:szCs w:val="24"/>
        </w:rPr>
        <w:t>P</w:t>
      </w:r>
      <w:r w:rsidRPr="00DD5D8F">
        <w:rPr>
          <w:rFonts w:ascii="Times New Roman" w:hAnsi="Times New Roman" w:cs="Times New Roman"/>
          <w:i/>
          <w:iCs/>
          <w:sz w:val="24"/>
          <w:szCs w:val="24"/>
        </w:rPr>
        <w:t xml:space="preserve">rotection </w:t>
      </w:r>
      <w:r w:rsidR="00F27470" w:rsidRPr="00DD5D8F">
        <w:rPr>
          <w:rFonts w:ascii="Times New Roman" w:hAnsi="Times New Roman" w:cs="Times New Roman"/>
          <w:i/>
          <w:iCs/>
          <w:sz w:val="24"/>
          <w:szCs w:val="24"/>
        </w:rPr>
        <w:t>L</w:t>
      </w:r>
      <w:r w:rsidRPr="00DD5D8F">
        <w:rPr>
          <w:rFonts w:ascii="Times New Roman" w:hAnsi="Times New Roman" w:cs="Times New Roman"/>
          <w:i/>
          <w:iCs/>
          <w:sz w:val="24"/>
          <w:szCs w:val="24"/>
        </w:rPr>
        <w:t>aws) Declaration 202</w:t>
      </w:r>
      <w:r w:rsidR="00935A8E">
        <w:rPr>
          <w:rFonts w:ascii="Times New Roman" w:hAnsi="Times New Roman" w:cs="Times New Roman"/>
          <w:i/>
          <w:iCs/>
          <w:sz w:val="24"/>
          <w:szCs w:val="24"/>
        </w:rPr>
        <w:t>1</w:t>
      </w:r>
      <w:r>
        <w:rPr>
          <w:rFonts w:ascii="Times New Roman" w:hAnsi="Times New Roman" w:cs="Times New Roman"/>
          <w:iCs/>
          <w:sz w:val="24"/>
          <w:szCs w:val="24"/>
        </w:rPr>
        <w:t xml:space="preserve"> (“the Declaration”) is made under section 3AA of the </w:t>
      </w:r>
      <w:r>
        <w:rPr>
          <w:rFonts w:ascii="Times New Roman" w:hAnsi="Times New Roman" w:cs="Times New Roman"/>
          <w:i/>
          <w:iCs/>
          <w:sz w:val="24"/>
          <w:szCs w:val="24"/>
        </w:rPr>
        <w:t>Witness Protection Act 1994</w:t>
      </w:r>
      <w:r>
        <w:rPr>
          <w:rFonts w:ascii="Times New Roman" w:hAnsi="Times New Roman" w:cs="Times New Roman"/>
          <w:iCs/>
          <w:sz w:val="24"/>
          <w:szCs w:val="24"/>
        </w:rPr>
        <w:t xml:space="preserve"> (“the Act”). Under section </w:t>
      </w:r>
      <w:r>
        <w:rPr>
          <w:rFonts w:ascii="Times New Roman" w:hAnsi="Times New Roman" w:cs="Times New Roman"/>
          <w:sz w:val="24"/>
          <w:szCs w:val="24"/>
        </w:rPr>
        <w:t xml:space="preserve">3AA of the Act the Minister may, by legislative instrument, declare a law of a State or Territory to be a </w:t>
      </w:r>
      <w:r w:rsidRPr="00F27470">
        <w:rPr>
          <w:rFonts w:ascii="Times New Roman" w:hAnsi="Times New Roman" w:cs="Times New Roman"/>
          <w:b/>
          <w:i/>
          <w:sz w:val="24"/>
          <w:szCs w:val="24"/>
        </w:rPr>
        <w:t>complementary witness protection law</w:t>
      </w:r>
      <w:r w:rsidR="00187E45">
        <w:rPr>
          <w:rFonts w:ascii="Times New Roman" w:hAnsi="Times New Roman" w:cs="Times New Roman"/>
          <w:sz w:val="24"/>
          <w:szCs w:val="24"/>
        </w:rPr>
        <w:t xml:space="preserve"> for the purposes of the Act.  Declaring a law of a State or Territory to be a complementary witness protection law allows the Australian Federal Police</w:t>
      </w:r>
      <w:r w:rsidR="0061075F">
        <w:rPr>
          <w:rFonts w:ascii="Times New Roman" w:hAnsi="Times New Roman" w:cs="Times New Roman"/>
          <w:sz w:val="24"/>
          <w:szCs w:val="24"/>
        </w:rPr>
        <w:t xml:space="preserve"> (AFP)</w:t>
      </w:r>
      <w:r w:rsidR="00187E45">
        <w:rPr>
          <w:rFonts w:ascii="Times New Roman" w:hAnsi="Times New Roman" w:cs="Times New Roman"/>
          <w:sz w:val="24"/>
          <w:szCs w:val="24"/>
        </w:rPr>
        <w:t xml:space="preserve"> Commissioner to arrange </w:t>
      </w:r>
      <w:r w:rsidR="00A84DE9">
        <w:rPr>
          <w:rFonts w:ascii="Times New Roman" w:hAnsi="Times New Roman" w:cs="Times New Roman"/>
          <w:sz w:val="24"/>
          <w:szCs w:val="24"/>
        </w:rPr>
        <w:t xml:space="preserve">for </w:t>
      </w:r>
      <w:r w:rsidR="00187E45">
        <w:rPr>
          <w:rFonts w:ascii="Times New Roman" w:hAnsi="Times New Roman" w:cs="Times New Roman"/>
          <w:sz w:val="24"/>
          <w:szCs w:val="24"/>
        </w:rPr>
        <w:t xml:space="preserve">or provide protection and other assistance </w:t>
      </w:r>
      <w:r w:rsidR="00A84DE9">
        <w:rPr>
          <w:rFonts w:ascii="Times New Roman" w:hAnsi="Times New Roman" w:cs="Times New Roman"/>
          <w:sz w:val="24"/>
          <w:szCs w:val="24"/>
        </w:rPr>
        <w:t xml:space="preserve">to </w:t>
      </w:r>
      <w:r w:rsidR="00A84DE9" w:rsidRPr="009650AD">
        <w:rPr>
          <w:rFonts w:ascii="Times New Roman" w:hAnsi="Times New Roman" w:cs="Times New Roman"/>
          <w:sz w:val="24"/>
          <w:szCs w:val="24"/>
        </w:rPr>
        <w:t xml:space="preserve">witnesses </w:t>
      </w:r>
      <w:r w:rsidR="00F46AAA" w:rsidRPr="009650AD">
        <w:rPr>
          <w:rFonts w:ascii="Times New Roman" w:hAnsi="Times New Roman" w:cs="Times New Roman"/>
          <w:sz w:val="24"/>
          <w:szCs w:val="24"/>
        </w:rPr>
        <w:t>and other</w:t>
      </w:r>
      <w:r w:rsidR="00A84DE9" w:rsidRPr="009650AD">
        <w:rPr>
          <w:rFonts w:ascii="Times New Roman" w:hAnsi="Times New Roman" w:cs="Times New Roman"/>
          <w:sz w:val="24"/>
          <w:szCs w:val="24"/>
        </w:rPr>
        <w:t xml:space="preserve"> </w:t>
      </w:r>
      <w:r w:rsidR="00187E45" w:rsidRPr="009650AD">
        <w:rPr>
          <w:rFonts w:ascii="Times New Roman" w:hAnsi="Times New Roman" w:cs="Times New Roman"/>
          <w:sz w:val="24"/>
          <w:szCs w:val="24"/>
        </w:rPr>
        <w:t>participants</w:t>
      </w:r>
      <w:r w:rsidR="00F46AAA" w:rsidRPr="009650AD">
        <w:rPr>
          <w:rFonts w:ascii="Times New Roman" w:hAnsi="Times New Roman" w:cs="Times New Roman"/>
          <w:sz w:val="24"/>
          <w:szCs w:val="24"/>
        </w:rPr>
        <w:t xml:space="preserve"> under</w:t>
      </w:r>
      <w:r w:rsidR="00187E45" w:rsidRPr="009650AD">
        <w:rPr>
          <w:rFonts w:ascii="Times New Roman" w:hAnsi="Times New Roman" w:cs="Times New Roman"/>
          <w:sz w:val="24"/>
          <w:szCs w:val="24"/>
        </w:rPr>
        <w:t xml:space="preserve"> the National</w:t>
      </w:r>
      <w:r w:rsidR="00187E45">
        <w:rPr>
          <w:rFonts w:ascii="Times New Roman" w:hAnsi="Times New Roman" w:cs="Times New Roman"/>
          <w:sz w:val="24"/>
          <w:szCs w:val="24"/>
        </w:rPr>
        <w:t xml:space="preserve"> Witness Protection </w:t>
      </w:r>
      <w:r w:rsidR="00187E45" w:rsidRPr="00851E44">
        <w:rPr>
          <w:rFonts w:ascii="Times New Roman" w:hAnsi="Times New Roman" w:cs="Times New Roman"/>
          <w:sz w:val="24"/>
          <w:szCs w:val="24"/>
        </w:rPr>
        <w:t>Program</w:t>
      </w:r>
      <w:r w:rsidR="00851E44" w:rsidRPr="00851E44">
        <w:rPr>
          <w:rFonts w:ascii="Times New Roman" w:hAnsi="Times New Roman" w:cs="Times New Roman"/>
          <w:sz w:val="24"/>
          <w:szCs w:val="24"/>
        </w:rPr>
        <w:t xml:space="preserve"> (NWPP)</w:t>
      </w:r>
      <w:r w:rsidR="00A84DE9" w:rsidRPr="00851E44">
        <w:rPr>
          <w:rFonts w:ascii="Times New Roman" w:hAnsi="Times New Roman" w:cs="Times New Roman"/>
          <w:sz w:val="24"/>
          <w:szCs w:val="24"/>
        </w:rPr>
        <w:t xml:space="preserve">, </w:t>
      </w:r>
      <w:r w:rsidR="00A84DE9">
        <w:rPr>
          <w:rFonts w:ascii="Times New Roman" w:hAnsi="Times New Roman" w:cs="Times New Roman"/>
          <w:sz w:val="24"/>
          <w:szCs w:val="24"/>
        </w:rPr>
        <w:t>consistent with powers and functions conferred on the</w:t>
      </w:r>
      <w:r w:rsidR="00016FF6">
        <w:rPr>
          <w:rFonts w:ascii="Times New Roman" w:hAnsi="Times New Roman" w:cs="Times New Roman"/>
          <w:sz w:val="24"/>
          <w:szCs w:val="24"/>
        </w:rPr>
        <w:t xml:space="preserve"> AFP</w:t>
      </w:r>
      <w:r w:rsidR="00A84DE9">
        <w:rPr>
          <w:rFonts w:ascii="Times New Roman" w:hAnsi="Times New Roman" w:cs="Times New Roman"/>
          <w:sz w:val="24"/>
          <w:szCs w:val="24"/>
        </w:rPr>
        <w:t xml:space="preserve"> Commissioner by</w:t>
      </w:r>
      <w:r w:rsidR="00187E45">
        <w:rPr>
          <w:rFonts w:ascii="Times New Roman" w:hAnsi="Times New Roman" w:cs="Times New Roman"/>
          <w:sz w:val="24"/>
          <w:szCs w:val="24"/>
        </w:rPr>
        <w:t xml:space="preserve"> complementary witness protection law</w:t>
      </w:r>
      <w:r w:rsidR="00A84DE9">
        <w:rPr>
          <w:rFonts w:ascii="Times New Roman" w:hAnsi="Times New Roman" w:cs="Times New Roman"/>
          <w:sz w:val="24"/>
          <w:szCs w:val="24"/>
        </w:rPr>
        <w:t>s</w:t>
      </w:r>
      <w:r w:rsidR="00547974">
        <w:rPr>
          <w:rFonts w:ascii="Times New Roman" w:hAnsi="Times New Roman" w:cs="Times New Roman"/>
          <w:sz w:val="24"/>
          <w:szCs w:val="24"/>
        </w:rPr>
        <w:t xml:space="preserve">. </w:t>
      </w:r>
    </w:p>
    <w:p w14:paraId="038A81EE" w14:textId="5E82C849" w:rsidR="00C856E2" w:rsidRDefault="00C856E2" w:rsidP="00E727A2">
      <w:pPr>
        <w:rPr>
          <w:rFonts w:ascii="Times New Roman" w:hAnsi="Times New Roman" w:cs="Times New Roman"/>
          <w:sz w:val="24"/>
          <w:szCs w:val="24"/>
        </w:rPr>
      </w:pPr>
      <w:r>
        <w:rPr>
          <w:rFonts w:ascii="Times New Roman" w:hAnsi="Times New Roman" w:cs="Times New Roman"/>
          <w:sz w:val="24"/>
          <w:szCs w:val="24"/>
        </w:rPr>
        <w:t>The Declaration declares that the following laws of the States and Territories are complementary witness protection laws for the purposes of the Act:</w:t>
      </w:r>
    </w:p>
    <w:tbl>
      <w:tblPr>
        <w:tblStyle w:val="TableGrid"/>
        <w:tblW w:w="0" w:type="auto"/>
        <w:tblInd w:w="1277" w:type="dxa"/>
        <w:tblLook w:val="04A0" w:firstRow="1" w:lastRow="0" w:firstColumn="1" w:lastColumn="0" w:noHBand="0" w:noVBand="1"/>
      </w:tblPr>
      <w:tblGrid>
        <w:gridCol w:w="816"/>
        <w:gridCol w:w="5562"/>
      </w:tblGrid>
      <w:tr w:rsidR="00C856E2" w14:paraId="4613EEDA" w14:textId="77777777" w:rsidTr="007B6A90">
        <w:tc>
          <w:tcPr>
            <w:tcW w:w="816" w:type="dxa"/>
            <w:tcBorders>
              <w:top w:val="nil"/>
              <w:left w:val="nil"/>
              <w:bottom w:val="single" w:sz="4" w:space="0" w:color="auto"/>
            </w:tcBorders>
          </w:tcPr>
          <w:p w14:paraId="4CE43EBF" w14:textId="1CF6C39F" w:rsidR="00C856E2" w:rsidRPr="007B6A90" w:rsidRDefault="00C856E2" w:rsidP="00BA2F4A">
            <w:pPr>
              <w:jc w:val="center"/>
              <w:rPr>
                <w:b/>
                <w:sz w:val="24"/>
                <w:szCs w:val="24"/>
              </w:rPr>
            </w:pPr>
            <w:r w:rsidRPr="007B6A90">
              <w:rPr>
                <w:b/>
                <w:sz w:val="24"/>
                <w:szCs w:val="24"/>
              </w:rPr>
              <w:t>Item</w:t>
            </w:r>
          </w:p>
        </w:tc>
        <w:tc>
          <w:tcPr>
            <w:tcW w:w="5562" w:type="dxa"/>
            <w:tcBorders>
              <w:top w:val="nil"/>
              <w:bottom w:val="single" w:sz="4" w:space="0" w:color="auto"/>
              <w:right w:val="nil"/>
            </w:tcBorders>
          </w:tcPr>
          <w:p w14:paraId="6B480C7C" w14:textId="18D16152" w:rsidR="00C856E2" w:rsidRPr="007B6A90" w:rsidRDefault="00C856E2" w:rsidP="00BA2F4A">
            <w:pPr>
              <w:rPr>
                <w:b/>
                <w:sz w:val="24"/>
                <w:szCs w:val="24"/>
              </w:rPr>
            </w:pPr>
            <w:r w:rsidRPr="007B6A90">
              <w:rPr>
                <w:b/>
                <w:sz w:val="24"/>
                <w:szCs w:val="24"/>
              </w:rPr>
              <w:t>Law</w:t>
            </w:r>
          </w:p>
        </w:tc>
      </w:tr>
      <w:tr w:rsidR="00C856E2" w14:paraId="25875541" w14:textId="77777777" w:rsidTr="007B6A90">
        <w:tc>
          <w:tcPr>
            <w:tcW w:w="816" w:type="dxa"/>
            <w:tcBorders>
              <w:left w:val="nil"/>
              <w:bottom w:val="nil"/>
            </w:tcBorders>
          </w:tcPr>
          <w:p w14:paraId="05BEFA24" w14:textId="77777777" w:rsidR="00C856E2" w:rsidRPr="007B6A90" w:rsidRDefault="00C856E2" w:rsidP="00BA2F4A">
            <w:pPr>
              <w:spacing w:line="276" w:lineRule="auto"/>
              <w:jc w:val="center"/>
              <w:rPr>
                <w:sz w:val="24"/>
                <w:szCs w:val="24"/>
              </w:rPr>
            </w:pPr>
            <w:r w:rsidRPr="007B6A90">
              <w:rPr>
                <w:sz w:val="24"/>
                <w:szCs w:val="24"/>
              </w:rPr>
              <w:t>1</w:t>
            </w:r>
          </w:p>
        </w:tc>
        <w:tc>
          <w:tcPr>
            <w:tcW w:w="5562" w:type="dxa"/>
            <w:tcBorders>
              <w:bottom w:val="nil"/>
              <w:right w:val="nil"/>
            </w:tcBorders>
          </w:tcPr>
          <w:p w14:paraId="0A8EDB7F" w14:textId="41BB710B" w:rsidR="00C856E2" w:rsidRPr="007B6A90" w:rsidRDefault="00C856E2" w:rsidP="00BA2F4A">
            <w:pPr>
              <w:spacing w:line="276" w:lineRule="auto"/>
              <w:rPr>
                <w:sz w:val="24"/>
                <w:szCs w:val="24"/>
              </w:rPr>
            </w:pPr>
            <w:r w:rsidRPr="007B6A90">
              <w:rPr>
                <w:i/>
                <w:sz w:val="24"/>
                <w:szCs w:val="24"/>
              </w:rPr>
              <w:t>Witness Protection Act 1995</w:t>
            </w:r>
            <w:r w:rsidRPr="007B6A90">
              <w:rPr>
                <w:sz w:val="24"/>
                <w:szCs w:val="24"/>
              </w:rPr>
              <w:t xml:space="preserve"> (NSW)</w:t>
            </w:r>
          </w:p>
        </w:tc>
      </w:tr>
      <w:tr w:rsidR="00C856E2" w14:paraId="73D7D575" w14:textId="77777777" w:rsidTr="007B6A90">
        <w:tc>
          <w:tcPr>
            <w:tcW w:w="816" w:type="dxa"/>
            <w:tcBorders>
              <w:top w:val="nil"/>
              <w:left w:val="nil"/>
              <w:bottom w:val="nil"/>
            </w:tcBorders>
          </w:tcPr>
          <w:p w14:paraId="53DE6858" w14:textId="77777777" w:rsidR="00C856E2" w:rsidRPr="007B6A90" w:rsidRDefault="00C856E2" w:rsidP="00BA2F4A">
            <w:pPr>
              <w:spacing w:line="276" w:lineRule="auto"/>
              <w:jc w:val="center"/>
              <w:rPr>
                <w:sz w:val="24"/>
                <w:szCs w:val="24"/>
              </w:rPr>
            </w:pPr>
            <w:r w:rsidRPr="007B6A90">
              <w:rPr>
                <w:sz w:val="24"/>
                <w:szCs w:val="24"/>
              </w:rPr>
              <w:t>2</w:t>
            </w:r>
          </w:p>
        </w:tc>
        <w:tc>
          <w:tcPr>
            <w:tcW w:w="5562" w:type="dxa"/>
            <w:tcBorders>
              <w:top w:val="nil"/>
              <w:bottom w:val="nil"/>
              <w:right w:val="nil"/>
            </w:tcBorders>
          </w:tcPr>
          <w:p w14:paraId="1655C79F" w14:textId="448F5DB0" w:rsidR="00C856E2" w:rsidRPr="007B6A90" w:rsidRDefault="00C856E2" w:rsidP="00BA2F4A">
            <w:pPr>
              <w:spacing w:line="276" w:lineRule="auto"/>
              <w:rPr>
                <w:sz w:val="24"/>
                <w:szCs w:val="24"/>
              </w:rPr>
            </w:pPr>
            <w:r w:rsidRPr="007B6A90">
              <w:rPr>
                <w:i/>
                <w:sz w:val="24"/>
                <w:szCs w:val="24"/>
              </w:rPr>
              <w:t>Witness Protection Act 1991</w:t>
            </w:r>
            <w:r w:rsidRPr="007B6A90">
              <w:rPr>
                <w:sz w:val="24"/>
                <w:szCs w:val="24"/>
              </w:rPr>
              <w:t xml:space="preserve"> (Vic)</w:t>
            </w:r>
          </w:p>
        </w:tc>
      </w:tr>
      <w:tr w:rsidR="00C856E2" w14:paraId="67BF5761" w14:textId="77777777" w:rsidTr="007B6A90">
        <w:tc>
          <w:tcPr>
            <w:tcW w:w="816" w:type="dxa"/>
            <w:tcBorders>
              <w:top w:val="nil"/>
              <w:left w:val="nil"/>
              <w:bottom w:val="nil"/>
            </w:tcBorders>
          </w:tcPr>
          <w:p w14:paraId="3A24DA46" w14:textId="77777777" w:rsidR="00C856E2" w:rsidRPr="007B6A90" w:rsidRDefault="00C856E2" w:rsidP="00BA2F4A">
            <w:pPr>
              <w:spacing w:line="276" w:lineRule="auto"/>
              <w:jc w:val="center"/>
              <w:rPr>
                <w:sz w:val="24"/>
                <w:szCs w:val="24"/>
              </w:rPr>
            </w:pPr>
            <w:r w:rsidRPr="007B6A90">
              <w:rPr>
                <w:sz w:val="24"/>
                <w:szCs w:val="24"/>
              </w:rPr>
              <w:t>3</w:t>
            </w:r>
          </w:p>
        </w:tc>
        <w:tc>
          <w:tcPr>
            <w:tcW w:w="5562" w:type="dxa"/>
            <w:tcBorders>
              <w:top w:val="nil"/>
              <w:bottom w:val="nil"/>
              <w:right w:val="nil"/>
            </w:tcBorders>
          </w:tcPr>
          <w:p w14:paraId="32D67125" w14:textId="12BA32F9" w:rsidR="00C856E2" w:rsidRPr="007B6A90" w:rsidRDefault="00C856E2" w:rsidP="00BA2F4A">
            <w:pPr>
              <w:spacing w:line="276" w:lineRule="auto"/>
              <w:rPr>
                <w:sz w:val="24"/>
                <w:szCs w:val="24"/>
              </w:rPr>
            </w:pPr>
            <w:r w:rsidRPr="007B6A90">
              <w:rPr>
                <w:i/>
                <w:sz w:val="24"/>
                <w:szCs w:val="24"/>
              </w:rPr>
              <w:t>Witness Protection Act 2000</w:t>
            </w:r>
            <w:r w:rsidRPr="007B6A90">
              <w:rPr>
                <w:sz w:val="24"/>
                <w:szCs w:val="24"/>
              </w:rPr>
              <w:t xml:space="preserve"> (Qld)</w:t>
            </w:r>
          </w:p>
        </w:tc>
      </w:tr>
      <w:tr w:rsidR="00C856E2" w14:paraId="5F863E36" w14:textId="77777777" w:rsidTr="007B6A90">
        <w:tc>
          <w:tcPr>
            <w:tcW w:w="816" w:type="dxa"/>
            <w:tcBorders>
              <w:top w:val="nil"/>
              <w:left w:val="nil"/>
              <w:bottom w:val="nil"/>
            </w:tcBorders>
          </w:tcPr>
          <w:p w14:paraId="32881442" w14:textId="77777777" w:rsidR="00C856E2" w:rsidRPr="007B6A90" w:rsidRDefault="00C856E2" w:rsidP="00BA2F4A">
            <w:pPr>
              <w:spacing w:line="276" w:lineRule="auto"/>
              <w:jc w:val="center"/>
              <w:rPr>
                <w:sz w:val="24"/>
                <w:szCs w:val="24"/>
              </w:rPr>
            </w:pPr>
            <w:r w:rsidRPr="007B6A90">
              <w:rPr>
                <w:sz w:val="24"/>
                <w:szCs w:val="24"/>
              </w:rPr>
              <w:t>4</w:t>
            </w:r>
          </w:p>
        </w:tc>
        <w:tc>
          <w:tcPr>
            <w:tcW w:w="5562" w:type="dxa"/>
            <w:tcBorders>
              <w:top w:val="nil"/>
              <w:bottom w:val="nil"/>
              <w:right w:val="nil"/>
            </w:tcBorders>
          </w:tcPr>
          <w:p w14:paraId="297DF0A9" w14:textId="7E700BC9" w:rsidR="00C856E2" w:rsidRPr="007B6A90" w:rsidRDefault="00C856E2" w:rsidP="00BA2F4A">
            <w:pPr>
              <w:spacing w:line="276" w:lineRule="auto"/>
              <w:rPr>
                <w:sz w:val="24"/>
                <w:szCs w:val="24"/>
              </w:rPr>
            </w:pPr>
            <w:r w:rsidRPr="007B6A90">
              <w:rPr>
                <w:i/>
                <w:sz w:val="24"/>
                <w:szCs w:val="24"/>
              </w:rPr>
              <w:t>Witness Protection (Western Australia) Act 1996</w:t>
            </w:r>
            <w:r w:rsidRPr="007B6A90">
              <w:rPr>
                <w:sz w:val="24"/>
                <w:szCs w:val="24"/>
              </w:rPr>
              <w:t xml:space="preserve"> (WA)</w:t>
            </w:r>
          </w:p>
        </w:tc>
      </w:tr>
      <w:tr w:rsidR="00C856E2" w14:paraId="7FAE39D3" w14:textId="77777777" w:rsidTr="007B6A90">
        <w:tc>
          <w:tcPr>
            <w:tcW w:w="816" w:type="dxa"/>
            <w:tcBorders>
              <w:top w:val="nil"/>
              <w:left w:val="nil"/>
              <w:bottom w:val="nil"/>
            </w:tcBorders>
          </w:tcPr>
          <w:p w14:paraId="3C0D8E03" w14:textId="77777777" w:rsidR="00C856E2" w:rsidRPr="007B6A90" w:rsidRDefault="00C856E2" w:rsidP="00BA2F4A">
            <w:pPr>
              <w:spacing w:line="276" w:lineRule="auto"/>
              <w:jc w:val="center"/>
              <w:rPr>
                <w:sz w:val="24"/>
                <w:szCs w:val="24"/>
              </w:rPr>
            </w:pPr>
            <w:r w:rsidRPr="007B6A90">
              <w:rPr>
                <w:sz w:val="24"/>
                <w:szCs w:val="24"/>
              </w:rPr>
              <w:t>5</w:t>
            </w:r>
          </w:p>
        </w:tc>
        <w:tc>
          <w:tcPr>
            <w:tcW w:w="5562" w:type="dxa"/>
            <w:tcBorders>
              <w:top w:val="nil"/>
              <w:bottom w:val="nil"/>
              <w:right w:val="nil"/>
            </w:tcBorders>
          </w:tcPr>
          <w:p w14:paraId="6F0DCE3F" w14:textId="3E05CFD5" w:rsidR="00C856E2" w:rsidRPr="007B6A90" w:rsidRDefault="00C856E2" w:rsidP="00BA2F4A">
            <w:pPr>
              <w:spacing w:line="276" w:lineRule="auto"/>
              <w:rPr>
                <w:sz w:val="24"/>
                <w:szCs w:val="24"/>
              </w:rPr>
            </w:pPr>
            <w:r w:rsidRPr="007B6A90">
              <w:rPr>
                <w:i/>
                <w:sz w:val="24"/>
                <w:szCs w:val="24"/>
              </w:rPr>
              <w:t>Witness Protection Act 1996</w:t>
            </w:r>
            <w:r w:rsidRPr="007B6A90">
              <w:rPr>
                <w:sz w:val="24"/>
                <w:szCs w:val="24"/>
              </w:rPr>
              <w:t xml:space="preserve"> (SA)</w:t>
            </w:r>
          </w:p>
        </w:tc>
      </w:tr>
      <w:tr w:rsidR="00C856E2" w14:paraId="3CDFD6D0" w14:textId="77777777" w:rsidTr="007B6A90">
        <w:tc>
          <w:tcPr>
            <w:tcW w:w="816" w:type="dxa"/>
            <w:tcBorders>
              <w:top w:val="nil"/>
              <w:left w:val="nil"/>
              <w:bottom w:val="nil"/>
            </w:tcBorders>
          </w:tcPr>
          <w:p w14:paraId="59ED4611" w14:textId="77777777" w:rsidR="00C856E2" w:rsidRPr="007B6A90" w:rsidRDefault="00C856E2" w:rsidP="00BA2F4A">
            <w:pPr>
              <w:spacing w:line="276" w:lineRule="auto"/>
              <w:jc w:val="center"/>
              <w:rPr>
                <w:sz w:val="24"/>
                <w:szCs w:val="24"/>
              </w:rPr>
            </w:pPr>
            <w:r w:rsidRPr="007B6A90">
              <w:rPr>
                <w:sz w:val="24"/>
                <w:szCs w:val="24"/>
              </w:rPr>
              <w:t>6</w:t>
            </w:r>
          </w:p>
        </w:tc>
        <w:tc>
          <w:tcPr>
            <w:tcW w:w="5562" w:type="dxa"/>
            <w:tcBorders>
              <w:top w:val="nil"/>
              <w:bottom w:val="nil"/>
              <w:right w:val="nil"/>
            </w:tcBorders>
          </w:tcPr>
          <w:p w14:paraId="7EA5E219" w14:textId="5D6FEBCE" w:rsidR="00C856E2" w:rsidRPr="007B6A90" w:rsidRDefault="00C856E2" w:rsidP="00BA2F4A">
            <w:pPr>
              <w:spacing w:line="276" w:lineRule="auto"/>
              <w:rPr>
                <w:sz w:val="24"/>
                <w:szCs w:val="24"/>
              </w:rPr>
            </w:pPr>
            <w:r w:rsidRPr="007B6A90">
              <w:rPr>
                <w:i/>
                <w:sz w:val="24"/>
                <w:szCs w:val="24"/>
              </w:rPr>
              <w:t>Witness Protection Act 2000</w:t>
            </w:r>
            <w:r w:rsidRPr="007B6A90">
              <w:rPr>
                <w:sz w:val="24"/>
                <w:szCs w:val="24"/>
              </w:rPr>
              <w:t xml:space="preserve"> (</w:t>
            </w:r>
            <w:proofErr w:type="spellStart"/>
            <w:r w:rsidRPr="007B6A90">
              <w:rPr>
                <w:sz w:val="24"/>
                <w:szCs w:val="24"/>
              </w:rPr>
              <w:t>Tas</w:t>
            </w:r>
            <w:proofErr w:type="spellEnd"/>
            <w:r w:rsidRPr="007B6A90">
              <w:rPr>
                <w:sz w:val="24"/>
                <w:szCs w:val="24"/>
              </w:rPr>
              <w:t>)</w:t>
            </w:r>
          </w:p>
        </w:tc>
      </w:tr>
      <w:tr w:rsidR="00C856E2" w14:paraId="5B2EFF44" w14:textId="77777777" w:rsidTr="007B6A90">
        <w:tc>
          <w:tcPr>
            <w:tcW w:w="816" w:type="dxa"/>
            <w:tcBorders>
              <w:top w:val="nil"/>
              <w:left w:val="nil"/>
              <w:bottom w:val="nil"/>
            </w:tcBorders>
          </w:tcPr>
          <w:p w14:paraId="7240BB9B" w14:textId="77777777" w:rsidR="00C856E2" w:rsidRPr="007B6A90" w:rsidRDefault="00C856E2" w:rsidP="00BA2F4A">
            <w:pPr>
              <w:spacing w:line="276" w:lineRule="auto"/>
              <w:jc w:val="center"/>
              <w:rPr>
                <w:sz w:val="24"/>
                <w:szCs w:val="24"/>
              </w:rPr>
            </w:pPr>
            <w:r w:rsidRPr="007B6A90">
              <w:rPr>
                <w:sz w:val="24"/>
                <w:szCs w:val="24"/>
              </w:rPr>
              <w:t>7</w:t>
            </w:r>
          </w:p>
        </w:tc>
        <w:tc>
          <w:tcPr>
            <w:tcW w:w="5562" w:type="dxa"/>
            <w:tcBorders>
              <w:top w:val="nil"/>
              <w:bottom w:val="nil"/>
              <w:right w:val="nil"/>
            </w:tcBorders>
          </w:tcPr>
          <w:p w14:paraId="386A258A" w14:textId="2019C094" w:rsidR="00C856E2" w:rsidRPr="007B6A90" w:rsidRDefault="00C856E2" w:rsidP="00BA2F4A">
            <w:pPr>
              <w:spacing w:line="276" w:lineRule="auto"/>
              <w:rPr>
                <w:sz w:val="24"/>
                <w:szCs w:val="24"/>
              </w:rPr>
            </w:pPr>
            <w:r w:rsidRPr="007B6A90">
              <w:rPr>
                <w:i/>
                <w:sz w:val="24"/>
                <w:szCs w:val="24"/>
              </w:rPr>
              <w:t>Witness Protection Act 1996</w:t>
            </w:r>
            <w:r w:rsidRPr="007B6A90">
              <w:rPr>
                <w:sz w:val="24"/>
                <w:szCs w:val="24"/>
              </w:rPr>
              <w:t xml:space="preserve"> (ACT)</w:t>
            </w:r>
          </w:p>
        </w:tc>
      </w:tr>
      <w:tr w:rsidR="00C856E2" w14:paraId="46DFF17F" w14:textId="77777777" w:rsidTr="007B6A90">
        <w:tc>
          <w:tcPr>
            <w:tcW w:w="816" w:type="dxa"/>
            <w:tcBorders>
              <w:top w:val="nil"/>
              <w:left w:val="nil"/>
              <w:bottom w:val="single" w:sz="4" w:space="0" w:color="auto"/>
            </w:tcBorders>
          </w:tcPr>
          <w:p w14:paraId="3503AF44" w14:textId="77777777" w:rsidR="00C856E2" w:rsidRPr="007B6A90" w:rsidRDefault="00C856E2" w:rsidP="00BA2F4A">
            <w:pPr>
              <w:spacing w:line="276" w:lineRule="auto"/>
              <w:jc w:val="center"/>
              <w:rPr>
                <w:sz w:val="24"/>
                <w:szCs w:val="24"/>
              </w:rPr>
            </w:pPr>
            <w:r w:rsidRPr="007B6A90">
              <w:rPr>
                <w:sz w:val="24"/>
                <w:szCs w:val="24"/>
              </w:rPr>
              <w:t>8</w:t>
            </w:r>
          </w:p>
        </w:tc>
        <w:tc>
          <w:tcPr>
            <w:tcW w:w="5562" w:type="dxa"/>
            <w:tcBorders>
              <w:top w:val="nil"/>
              <w:bottom w:val="single" w:sz="4" w:space="0" w:color="auto"/>
              <w:right w:val="nil"/>
            </w:tcBorders>
          </w:tcPr>
          <w:p w14:paraId="69679C31" w14:textId="7E8783C7" w:rsidR="00C856E2" w:rsidRPr="007B6A90" w:rsidRDefault="00C856E2" w:rsidP="00BA2F4A">
            <w:pPr>
              <w:spacing w:line="276" w:lineRule="auto"/>
              <w:rPr>
                <w:sz w:val="24"/>
                <w:szCs w:val="24"/>
              </w:rPr>
            </w:pPr>
            <w:r w:rsidRPr="007B6A90">
              <w:rPr>
                <w:i/>
                <w:sz w:val="24"/>
                <w:szCs w:val="24"/>
              </w:rPr>
              <w:t>Witness Protection (Northern Territory) Act 2002</w:t>
            </w:r>
            <w:r w:rsidRPr="007B6A90">
              <w:rPr>
                <w:sz w:val="24"/>
                <w:szCs w:val="24"/>
              </w:rPr>
              <w:t xml:space="preserve"> (NT)</w:t>
            </w:r>
          </w:p>
        </w:tc>
      </w:tr>
    </w:tbl>
    <w:p w14:paraId="5A4A853D" w14:textId="1DA9FC98" w:rsidR="00C856E2" w:rsidRDefault="00C856E2" w:rsidP="00E727A2">
      <w:pPr>
        <w:rPr>
          <w:rFonts w:ascii="Times New Roman" w:hAnsi="Times New Roman" w:cs="Times New Roman"/>
          <w:sz w:val="24"/>
          <w:szCs w:val="24"/>
        </w:rPr>
      </w:pPr>
    </w:p>
    <w:p w14:paraId="09C07FCC" w14:textId="6D286958" w:rsidR="00C856E2" w:rsidRDefault="00C856E2" w:rsidP="00C856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Declaration repeals </w:t>
      </w:r>
      <w:r w:rsidR="00547974">
        <w:rPr>
          <w:rFonts w:ascii="Times New Roman" w:hAnsi="Times New Roman" w:cs="Times New Roman"/>
          <w:sz w:val="24"/>
          <w:szCs w:val="24"/>
        </w:rPr>
        <w:t xml:space="preserve">and replaces </w:t>
      </w:r>
      <w:r>
        <w:rPr>
          <w:rFonts w:ascii="Times New Roman" w:hAnsi="Times New Roman" w:cs="Times New Roman"/>
          <w:sz w:val="24"/>
          <w:szCs w:val="24"/>
        </w:rPr>
        <w:t xml:space="preserve">the </w:t>
      </w:r>
      <w:r w:rsidRPr="00454270">
        <w:rPr>
          <w:rFonts w:ascii="Times New Roman" w:hAnsi="Times New Roman" w:cs="Times New Roman"/>
          <w:i/>
          <w:sz w:val="24"/>
          <w:szCs w:val="24"/>
        </w:rPr>
        <w:t>Witness Protection (Complementary witness protection laws) 2011</w:t>
      </w:r>
      <w:r>
        <w:rPr>
          <w:rFonts w:ascii="Times New Roman" w:hAnsi="Times New Roman" w:cs="Times New Roman"/>
          <w:sz w:val="24"/>
          <w:szCs w:val="24"/>
        </w:rPr>
        <w:t>, which was</w:t>
      </w:r>
      <w:r w:rsidR="00FD5403">
        <w:rPr>
          <w:rFonts w:ascii="Times New Roman" w:hAnsi="Times New Roman" w:cs="Times New Roman"/>
          <w:sz w:val="24"/>
          <w:szCs w:val="24"/>
        </w:rPr>
        <w:t xml:space="preserve"> otherwise</w:t>
      </w:r>
      <w:r>
        <w:rPr>
          <w:rFonts w:ascii="Times New Roman" w:hAnsi="Times New Roman" w:cs="Times New Roman"/>
          <w:sz w:val="24"/>
          <w:szCs w:val="24"/>
        </w:rPr>
        <w:t xml:space="preserve"> due to sunset on 1 April 2021.</w:t>
      </w:r>
    </w:p>
    <w:p w14:paraId="23EA70DA" w14:textId="73F817E2" w:rsidR="00C856E2" w:rsidRDefault="00C856E2" w:rsidP="00C856E2">
      <w:pPr>
        <w:autoSpaceDE w:val="0"/>
        <w:autoSpaceDN w:val="0"/>
        <w:adjustRightInd w:val="0"/>
        <w:spacing w:after="0" w:line="240" w:lineRule="auto"/>
        <w:rPr>
          <w:rFonts w:ascii="Times New Roman" w:hAnsi="Times New Roman" w:cs="Times New Roman"/>
          <w:sz w:val="24"/>
          <w:szCs w:val="24"/>
        </w:rPr>
      </w:pPr>
    </w:p>
    <w:p w14:paraId="0FB93E41" w14:textId="56041F62" w:rsidR="00C856E2" w:rsidRDefault="00C856E2" w:rsidP="000A32D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Human rights implications</w:t>
      </w:r>
    </w:p>
    <w:p w14:paraId="43308007" w14:textId="26034270" w:rsidR="00B86192" w:rsidRDefault="00A80A94" w:rsidP="00976E26">
      <w:pPr>
        <w:widowControl w:val="0"/>
        <w:shd w:val="clear" w:color="auto" w:fill="FFFFFF"/>
        <w:ind w:right="-46"/>
        <w:rPr>
          <w:rFonts w:ascii="Times New Roman" w:hAnsi="Times New Roman" w:cs="Times New Roman"/>
          <w:sz w:val="24"/>
          <w:szCs w:val="24"/>
        </w:rPr>
      </w:pPr>
      <w:r w:rsidRPr="007160B1">
        <w:rPr>
          <w:rFonts w:ascii="Times New Roman" w:hAnsi="Times New Roman" w:cs="Times New Roman"/>
          <w:sz w:val="24"/>
          <w:szCs w:val="24"/>
        </w:rPr>
        <w:t xml:space="preserve">To the extent that </w:t>
      </w:r>
      <w:r w:rsidR="00B86192" w:rsidRPr="007160B1">
        <w:rPr>
          <w:rFonts w:ascii="Times New Roman" w:hAnsi="Times New Roman" w:cs="Times New Roman"/>
          <w:sz w:val="24"/>
          <w:szCs w:val="24"/>
        </w:rPr>
        <w:t xml:space="preserve">the Declaration </w:t>
      </w:r>
      <w:r w:rsidR="00D625B1">
        <w:rPr>
          <w:rFonts w:ascii="Times New Roman" w:hAnsi="Times New Roman" w:cs="Times New Roman"/>
          <w:sz w:val="24"/>
          <w:szCs w:val="24"/>
        </w:rPr>
        <w:t>extends the protection currently afforded by</w:t>
      </w:r>
      <w:r w:rsidR="00B86192" w:rsidRPr="007160B1">
        <w:rPr>
          <w:rFonts w:ascii="Times New Roman" w:hAnsi="Times New Roman" w:cs="Times New Roman"/>
          <w:sz w:val="24"/>
          <w:szCs w:val="24"/>
        </w:rPr>
        <w:t xml:space="preserve"> witness protection arrangements under a complementary witness protection law</w:t>
      </w:r>
      <w:r w:rsidR="00D625B1">
        <w:rPr>
          <w:rFonts w:ascii="Times New Roman" w:hAnsi="Times New Roman" w:cs="Times New Roman"/>
          <w:sz w:val="24"/>
          <w:szCs w:val="24"/>
        </w:rPr>
        <w:t>,</w:t>
      </w:r>
      <w:r w:rsidR="00851E44">
        <w:rPr>
          <w:rFonts w:ascii="Times New Roman" w:hAnsi="Times New Roman" w:cs="Times New Roman"/>
          <w:sz w:val="24"/>
          <w:szCs w:val="24"/>
        </w:rPr>
        <w:t xml:space="preserve"> </w:t>
      </w:r>
      <w:r w:rsidR="00B86192" w:rsidRPr="007160B1">
        <w:rPr>
          <w:rFonts w:ascii="Times New Roman" w:hAnsi="Times New Roman" w:cs="Times New Roman"/>
          <w:sz w:val="24"/>
          <w:szCs w:val="24"/>
        </w:rPr>
        <w:t>to State and Territory witnesses</w:t>
      </w:r>
      <w:r w:rsidR="00D625B1">
        <w:rPr>
          <w:rFonts w:ascii="Times New Roman" w:hAnsi="Times New Roman" w:cs="Times New Roman"/>
          <w:sz w:val="24"/>
          <w:szCs w:val="24"/>
        </w:rPr>
        <w:t>,</w:t>
      </w:r>
      <w:r w:rsidR="002F6F84">
        <w:rPr>
          <w:rFonts w:ascii="Times New Roman" w:hAnsi="Times New Roman" w:cs="Times New Roman"/>
          <w:sz w:val="24"/>
          <w:szCs w:val="24"/>
        </w:rPr>
        <w:t xml:space="preserve"> </w:t>
      </w:r>
      <w:r w:rsidR="00851E44">
        <w:rPr>
          <w:rFonts w:ascii="Times New Roman" w:hAnsi="Times New Roman" w:cs="Times New Roman"/>
          <w:sz w:val="24"/>
          <w:szCs w:val="24"/>
        </w:rPr>
        <w:t>t</w:t>
      </w:r>
      <w:r w:rsidR="00B86192" w:rsidRPr="007160B1">
        <w:rPr>
          <w:rFonts w:ascii="Times New Roman" w:hAnsi="Times New Roman" w:cs="Times New Roman"/>
          <w:sz w:val="24"/>
          <w:szCs w:val="24"/>
        </w:rPr>
        <w:t>he Declaration positively engages Article</w:t>
      </w:r>
      <w:r w:rsidR="00D625B1">
        <w:rPr>
          <w:rFonts w:ascii="Times New Roman" w:hAnsi="Times New Roman" w:cs="Times New Roman"/>
          <w:sz w:val="24"/>
          <w:szCs w:val="24"/>
        </w:rPr>
        <w:t>s</w:t>
      </w:r>
      <w:r w:rsidR="00B86192" w:rsidRPr="007160B1">
        <w:rPr>
          <w:rFonts w:ascii="Times New Roman" w:hAnsi="Times New Roman" w:cs="Times New Roman"/>
          <w:sz w:val="24"/>
          <w:szCs w:val="24"/>
        </w:rPr>
        <w:t xml:space="preserve"> </w:t>
      </w:r>
      <w:r w:rsidR="00D625B1">
        <w:rPr>
          <w:rFonts w:ascii="Times New Roman" w:hAnsi="Times New Roman" w:cs="Times New Roman"/>
          <w:sz w:val="24"/>
          <w:szCs w:val="24"/>
        </w:rPr>
        <w:t xml:space="preserve">14 and </w:t>
      </w:r>
      <w:r w:rsidR="00B86192" w:rsidRPr="007160B1">
        <w:rPr>
          <w:rFonts w:ascii="Times New Roman" w:hAnsi="Times New Roman" w:cs="Times New Roman"/>
          <w:sz w:val="24"/>
          <w:szCs w:val="24"/>
        </w:rPr>
        <w:t xml:space="preserve">17 of the </w:t>
      </w:r>
      <w:r w:rsidR="00B86192" w:rsidRPr="007160B1">
        <w:rPr>
          <w:rFonts w:ascii="Times New Roman" w:hAnsi="Times New Roman" w:cs="Times New Roman"/>
          <w:i/>
          <w:sz w:val="24"/>
          <w:szCs w:val="24"/>
        </w:rPr>
        <w:t xml:space="preserve">International Covenant on Civil and Political Rights </w:t>
      </w:r>
      <w:r w:rsidR="00B86192" w:rsidRPr="007160B1">
        <w:rPr>
          <w:rFonts w:ascii="Times New Roman" w:hAnsi="Times New Roman" w:cs="Times New Roman"/>
          <w:sz w:val="24"/>
          <w:szCs w:val="24"/>
        </w:rPr>
        <w:t xml:space="preserve">(ICCPR). </w:t>
      </w:r>
    </w:p>
    <w:p w14:paraId="3C416273" w14:textId="77777777" w:rsidR="00271EED" w:rsidRPr="007160B1" w:rsidRDefault="00271EED" w:rsidP="00271EED">
      <w:pPr>
        <w:widowControl w:val="0"/>
        <w:shd w:val="clear" w:color="auto" w:fill="FFFFFF"/>
        <w:ind w:right="-46"/>
        <w:rPr>
          <w:rFonts w:ascii="Times New Roman" w:hAnsi="Times New Roman" w:cs="Times New Roman"/>
          <w:sz w:val="24"/>
          <w:szCs w:val="24"/>
        </w:rPr>
      </w:pPr>
      <w:r w:rsidRPr="007160B1">
        <w:rPr>
          <w:rFonts w:ascii="Times New Roman" w:hAnsi="Times New Roman" w:cs="Times New Roman"/>
          <w:sz w:val="24"/>
          <w:szCs w:val="24"/>
        </w:rPr>
        <w:t xml:space="preserve">Article 14 of the ICCPR provides </w:t>
      </w:r>
      <w:r>
        <w:rPr>
          <w:rFonts w:ascii="Times New Roman" w:hAnsi="Times New Roman" w:cs="Times New Roman"/>
          <w:sz w:val="24"/>
          <w:szCs w:val="24"/>
        </w:rPr>
        <w:t xml:space="preserve">amongst other things, </w:t>
      </w:r>
      <w:r w:rsidRPr="007160B1">
        <w:rPr>
          <w:rFonts w:ascii="Times New Roman" w:hAnsi="Times New Roman" w:cs="Times New Roman"/>
          <w:sz w:val="24"/>
          <w:szCs w:val="24"/>
        </w:rPr>
        <w:t>that a</w:t>
      </w:r>
      <w:r>
        <w:rPr>
          <w:rFonts w:ascii="Times New Roman" w:hAnsi="Times New Roman" w:cs="Times New Roman"/>
          <w:sz w:val="24"/>
          <w:szCs w:val="24"/>
        </w:rPr>
        <w:t>ll</w:t>
      </w:r>
      <w:r w:rsidRPr="007160B1">
        <w:rPr>
          <w:rFonts w:ascii="Times New Roman" w:hAnsi="Times New Roman" w:cs="Times New Roman"/>
          <w:color w:val="222222"/>
          <w:sz w:val="24"/>
          <w:szCs w:val="24"/>
          <w:lang w:val="en"/>
        </w:rPr>
        <w:t xml:space="preserve"> persons shall be equal before the courts and tribunals and that the press and the public may be excluded from all or part of a </w:t>
      </w:r>
      <w:r w:rsidRPr="007160B1">
        <w:rPr>
          <w:rFonts w:ascii="Times New Roman" w:hAnsi="Times New Roman" w:cs="Times New Roman"/>
          <w:color w:val="222222"/>
          <w:sz w:val="24"/>
          <w:szCs w:val="24"/>
          <w:lang w:val="en"/>
        </w:rPr>
        <w:lastRenderedPageBreak/>
        <w:t>trial when the interest of the private lives of the parties so requires.</w:t>
      </w:r>
    </w:p>
    <w:p w14:paraId="336A9970" w14:textId="77777777" w:rsidR="00271EED" w:rsidRPr="00D625B1" w:rsidRDefault="00271EED" w:rsidP="00271EED">
      <w:pPr>
        <w:widowControl w:val="0"/>
        <w:shd w:val="clear" w:color="auto" w:fill="FFFFFF"/>
        <w:ind w:right="-46"/>
        <w:rPr>
          <w:rFonts w:ascii="Times New Roman" w:eastAsia="Times New Roman" w:hAnsi="Times New Roman" w:cs="Times New Roman"/>
          <w:sz w:val="24"/>
          <w:szCs w:val="24"/>
          <w:lang w:eastAsia="en-AU"/>
        </w:rPr>
      </w:pPr>
      <w:r w:rsidRPr="007160B1">
        <w:rPr>
          <w:rFonts w:ascii="Times New Roman" w:hAnsi="Times New Roman" w:cs="Times New Roman"/>
          <w:sz w:val="24"/>
          <w:szCs w:val="24"/>
        </w:rPr>
        <w:t xml:space="preserve">Article 17 of the ICCPR </w:t>
      </w:r>
      <w:r w:rsidRPr="007160B1">
        <w:rPr>
          <w:rFonts w:ascii="Times New Roman" w:eastAsia="Times New Roman" w:hAnsi="Times New Roman" w:cs="Times New Roman"/>
          <w:sz w:val="24"/>
          <w:szCs w:val="24"/>
          <w:lang w:eastAsia="en-AU"/>
        </w:rPr>
        <w:t xml:space="preserve">provides that no one shall be subjected to arbitrary or unlawful interference with his or her privacy, family, home or correspondence, nor to unlawful attacks on his or her honour or reputation, and that everyone has the right to the protection of the law against such interference or attacks. </w:t>
      </w:r>
    </w:p>
    <w:p w14:paraId="27453901" w14:textId="4A1C755F" w:rsidR="00C856E2" w:rsidRDefault="002F6F84" w:rsidP="000A32D1">
      <w:pPr>
        <w:autoSpaceDE w:val="0"/>
        <w:autoSpaceDN w:val="0"/>
        <w:adjustRightInd w:val="0"/>
        <w:rPr>
          <w:rFonts w:ascii="Times New Roman" w:hAnsi="Times New Roman"/>
          <w:sz w:val="24"/>
          <w:szCs w:val="24"/>
        </w:rPr>
      </w:pPr>
      <w:r w:rsidRPr="003E00F1">
        <w:rPr>
          <w:rFonts w:ascii="Times New Roman" w:eastAsia="Times New Roman" w:hAnsi="Times New Roman" w:cs="Times New Roman"/>
          <w:sz w:val="24"/>
          <w:szCs w:val="24"/>
        </w:rPr>
        <w:t xml:space="preserve">This Disallowable Legislative Instrument positively engages </w:t>
      </w:r>
      <w:r>
        <w:rPr>
          <w:rFonts w:ascii="Times New Roman" w:eastAsia="Times New Roman" w:hAnsi="Times New Roman" w:cs="Times New Roman"/>
          <w:sz w:val="24"/>
          <w:szCs w:val="24"/>
        </w:rPr>
        <w:t xml:space="preserve">Articles 14 and 17 of the ICCPR by </w:t>
      </w:r>
      <w:r>
        <w:rPr>
          <w:rFonts w:ascii="Times New Roman" w:hAnsi="Times New Roman"/>
          <w:sz w:val="24"/>
          <w:szCs w:val="24"/>
        </w:rPr>
        <w:t xml:space="preserve">allowing States and Territories to continue to refer witnesses into the NWPP where required, </w:t>
      </w:r>
      <w:r>
        <w:rPr>
          <w:rFonts w:ascii="Times New Roman" w:eastAsia="Times New Roman" w:hAnsi="Times New Roman" w:cs="Times New Roman"/>
          <w:sz w:val="24"/>
          <w:szCs w:val="24"/>
        </w:rPr>
        <w:t>ensuring</w:t>
      </w:r>
      <w:r>
        <w:rPr>
          <w:rFonts w:ascii="Times New Roman" w:hAnsi="Times New Roman"/>
          <w:sz w:val="24"/>
          <w:szCs w:val="24"/>
        </w:rPr>
        <w:t xml:space="preserve"> </w:t>
      </w:r>
      <w:r w:rsidR="00976E26">
        <w:rPr>
          <w:rFonts w:ascii="Times New Roman" w:hAnsi="Times New Roman"/>
          <w:sz w:val="24"/>
          <w:szCs w:val="24"/>
        </w:rPr>
        <w:t>t</w:t>
      </w:r>
      <w:r w:rsidR="00976E26" w:rsidRPr="00555966">
        <w:rPr>
          <w:rFonts w:ascii="Times New Roman" w:hAnsi="Times New Roman"/>
          <w:sz w:val="24"/>
          <w:szCs w:val="24"/>
        </w:rPr>
        <w:t>he ability of witness</w:t>
      </w:r>
      <w:r w:rsidR="00976E26">
        <w:rPr>
          <w:rFonts w:ascii="Times New Roman" w:hAnsi="Times New Roman"/>
          <w:sz w:val="24"/>
          <w:szCs w:val="24"/>
        </w:rPr>
        <w:t>es</w:t>
      </w:r>
      <w:r w:rsidR="00976E26" w:rsidRPr="00555966">
        <w:rPr>
          <w:rFonts w:ascii="Times New Roman" w:hAnsi="Times New Roman"/>
          <w:sz w:val="24"/>
          <w:szCs w:val="24"/>
        </w:rPr>
        <w:t xml:space="preserve"> to </w:t>
      </w:r>
      <w:r w:rsidR="00976E26">
        <w:rPr>
          <w:rFonts w:ascii="Times New Roman" w:hAnsi="Times New Roman"/>
          <w:sz w:val="24"/>
          <w:szCs w:val="24"/>
        </w:rPr>
        <w:t xml:space="preserve">testify in court or cooperate with law </w:t>
      </w:r>
      <w:r w:rsidR="00976E26" w:rsidRPr="00555966">
        <w:rPr>
          <w:rFonts w:ascii="Times New Roman" w:hAnsi="Times New Roman"/>
          <w:sz w:val="24"/>
          <w:szCs w:val="24"/>
        </w:rPr>
        <w:t>enforcement investigations</w:t>
      </w:r>
      <w:r w:rsidR="00976E26" w:rsidRPr="00976E26">
        <w:rPr>
          <w:rFonts w:ascii="Times New Roman" w:hAnsi="Times New Roman"/>
          <w:sz w:val="24"/>
          <w:szCs w:val="24"/>
        </w:rPr>
        <w:t xml:space="preserve"> </w:t>
      </w:r>
      <w:r w:rsidR="00976E26">
        <w:rPr>
          <w:rFonts w:ascii="Times New Roman" w:hAnsi="Times New Roman"/>
          <w:sz w:val="24"/>
          <w:szCs w:val="24"/>
        </w:rPr>
        <w:t xml:space="preserve">through protection under the law, and </w:t>
      </w:r>
      <w:r w:rsidR="00976E26" w:rsidRPr="00555966">
        <w:rPr>
          <w:rFonts w:ascii="Times New Roman" w:hAnsi="Times New Roman"/>
          <w:sz w:val="24"/>
          <w:szCs w:val="24"/>
        </w:rPr>
        <w:t>witho</w:t>
      </w:r>
      <w:r w:rsidR="00976E26">
        <w:rPr>
          <w:rFonts w:ascii="Times New Roman" w:hAnsi="Times New Roman"/>
          <w:sz w:val="24"/>
          <w:szCs w:val="24"/>
        </w:rPr>
        <w:t>ut fear of intimidation or retaliation, which is a critical part of a successful criminal justice system</w:t>
      </w:r>
      <w:r w:rsidR="00976E26" w:rsidRPr="00555966">
        <w:rPr>
          <w:rFonts w:ascii="Times New Roman" w:hAnsi="Times New Roman"/>
          <w:sz w:val="24"/>
          <w:szCs w:val="24"/>
        </w:rPr>
        <w:t>.</w:t>
      </w:r>
    </w:p>
    <w:p w14:paraId="4011988C" w14:textId="183488B6" w:rsidR="00C856E2" w:rsidRDefault="00C856E2" w:rsidP="000A32D1">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Conclusion</w:t>
      </w:r>
    </w:p>
    <w:p w14:paraId="28DE0A65" w14:textId="3D5FD6DA" w:rsidR="00665337" w:rsidRPr="00B86192" w:rsidRDefault="00C856E2" w:rsidP="000A32D1">
      <w:pPr>
        <w:rPr>
          <w:rFonts w:ascii="Times New Roman" w:eastAsia="Times New Roman" w:hAnsi="Times New Roman" w:cs="Times New Roman"/>
          <w:sz w:val="24"/>
          <w:szCs w:val="24"/>
        </w:rPr>
      </w:pPr>
      <w:r w:rsidRPr="00B86192">
        <w:rPr>
          <w:rFonts w:ascii="Times New Roman" w:hAnsi="Times New Roman" w:cs="Times New Roman"/>
          <w:sz w:val="24"/>
          <w:szCs w:val="24"/>
        </w:rPr>
        <w:t>Th</w:t>
      </w:r>
      <w:r w:rsidR="00495364">
        <w:rPr>
          <w:rFonts w:ascii="Times New Roman" w:hAnsi="Times New Roman" w:cs="Times New Roman"/>
          <w:sz w:val="24"/>
          <w:szCs w:val="24"/>
        </w:rPr>
        <w:t>is</w:t>
      </w:r>
      <w:r w:rsidRPr="00B86192">
        <w:rPr>
          <w:rFonts w:ascii="Times New Roman" w:hAnsi="Times New Roman" w:cs="Times New Roman"/>
          <w:sz w:val="24"/>
          <w:szCs w:val="24"/>
        </w:rPr>
        <w:t xml:space="preserve"> </w:t>
      </w:r>
      <w:r w:rsidR="00495364">
        <w:rPr>
          <w:rFonts w:ascii="Times New Roman" w:hAnsi="Times New Roman" w:cs="Times New Roman"/>
          <w:sz w:val="24"/>
          <w:szCs w:val="24"/>
        </w:rPr>
        <w:t xml:space="preserve">Disallowable Legislative Instrument </w:t>
      </w:r>
      <w:r w:rsidRPr="00B86192">
        <w:rPr>
          <w:rFonts w:ascii="Times New Roman" w:hAnsi="Times New Roman" w:cs="Times New Roman"/>
          <w:sz w:val="24"/>
          <w:szCs w:val="24"/>
        </w:rPr>
        <w:t>is compatible with human rights</w:t>
      </w:r>
      <w:r w:rsidR="00495364">
        <w:rPr>
          <w:rFonts w:ascii="Times New Roman" w:hAnsi="Times New Roman" w:cs="Times New Roman"/>
          <w:sz w:val="24"/>
          <w:szCs w:val="24"/>
        </w:rPr>
        <w:t>, as it promotes</w:t>
      </w:r>
      <w:r w:rsidR="00424F98" w:rsidRPr="00B86192">
        <w:rPr>
          <w:rFonts w:ascii="Times New Roman" w:hAnsi="Times New Roman" w:cs="Times New Roman"/>
          <w:sz w:val="24"/>
          <w:szCs w:val="24"/>
        </w:rPr>
        <w:t xml:space="preserve"> the right to </w:t>
      </w:r>
      <w:r w:rsidR="000A32D1">
        <w:rPr>
          <w:rFonts w:ascii="Times New Roman" w:hAnsi="Times New Roman" w:cs="Times New Roman"/>
          <w:sz w:val="24"/>
          <w:szCs w:val="24"/>
        </w:rPr>
        <w:t xml:space="preserve">equality before the courts and protection against unlawful interference with </w:t>
      </w:r>
      <w:r w:rsidR="00424F98" w:rsidRPr="00B86192">
        <w:rPr>
          <w:rFonts w:ascii="Times New Roman" w:hAnsi="Times New Roman" w:cs="Times New Roman"/>
          <w:sz w:val="24"/>
          <w:szCs w:val="24"/>
        </w:rPr>
        <w:t>privacy under Article</w:t>
      </w:r>
      <w:r w:rsidR="000A32D1">
        <w:rPr>
          <w:rFonts w:ascii="Times New Roman" w:hAnsi="Times New Roman" w:cs="Times New Roman"/>
          <w:sz w:val="24"/>
          <w:szCs w:val="24"/>
        </w:rPr>
        <w:t>s 14 and</w:t>
      </w:r>
      <w:r w:rsidR="00424F98" w:rsidRPr="00B86192">
        <w:rPr>
          <w:rFonts w:ascii="Times New Roman" w:hAnsi="Times New Roman" w:cs="Times New Roman"/>
          <w:sz w:val="24"/>
          <w:szCs w:val="24"/>
        </w:rPr>
        <w:t xml:space="preserve"> 17 of the ICCPR</w:t>
      </w:r>
      <w:r w:rsidR="000A32D1">
        <w:rPr>
          <w:rFonts w:ascii="Times New Roman" w:hAnsi="Times New Roman" w:cs="Times New Roman"/>
          <w:sz w:val="24"/>
          <w:szCs w:val="24"/>
        </w:rPr>
        <w:t xml:space="preserve"> respectively</w:t>
      </w:r>
      <w:r w:rsidR="00495364">
        <w:rPr>
          <w:rFonts w:ascii="Times New Roman" w:hAnsi="Times New Roman" w:cs="Times New Roman"/>
          <w:sz w:val="24"/>
          <w:szCs w:val="24"/>
        </w:rPr>
        <w:t>.</w:t>
      </w:r>
    </w:p>
    <w:p w14:paraId="326D6BC9" w14:textId="2E6D0ED0" w:rsidR="00C856E2" w:rsidRPr="00C856E2" w:rsidRDefault="00C856E2" w:rsidP="000A32D1">
      <w:pPr>
        <w:autoSpaceDE w:val="0"/>
        <w:autoSpaceDN w:val="0"/>
        <w:adjustRightInd w:val="0"/>
        <w:rPr>
          <w:rFonts w:ascii="Times New Roman" w:hAnsi="Times New Roman" w:cs="Times New Roman"/>
          <w:sz w:val="24"/>
          <w:szCs w:val="24"/>
        </w:rPr>
      </w:pPr>
    </w:p>
    <w:p w14:paraId="1D4C0DF7" w14:textId="77777777" w:rsidR="00C856E2" w:rsidRPr="007B6A90" w:rsidRDefault="00C856E2" w:rsidP="00E727A2">
      <w:pPr>
        <w:rPr>
          <w:rFonts w:ascii="Times New Roman" w:hAnsi="Times New Roman" w:cs="Times New Roman"/>
          <w:sz w:val="24"/>
          <w:szCs w:val="24"/>
        </w:rPr>
      </w:pPr>
    </w:p>
    <w:sectPr w:rsidR="00C856E2" w:rsidRPr="007B6A9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AE2B4" w14:textId="77777777" w:rsidR="00555F18" w:rsidRDefault="00555F18" w:rsidP="007E69A3">
      <w:pPr>
        <w:spacing w:after="0" w:line="240" w:lineRule="auto"/>
      </w:pPr>
      <w:r>
        <w:separator/>
      </w:r>
    </w:p>
  </w:endnote>
  <w:endnote w:type="continuationSeparator" w:id="0">
    <w:p w14:paraId="50AEA0F1" w14:textId="77777777" w:rsidR="00555F18" w:rsidRDefault="00555F18" w:rsidP="007E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6E1C5" w14:textId="77777777" w:rsidR="00AD2623" w:rsidRDefault="00AD2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C154" w14:textId="77777777" w:rsidR="00AD2623" w:rsidRDefault="00AD2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6ED2" w14:textId="77777777" w:rsidR="00AD2623" w:rsidRDefault="00AD2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BE6F4" w14:textId="77777777" w:rsidR="00555F18" w:rsidRDefault="00555F18" w:rsidP="007E69A3">
      <w:pPr>
        <w:spacing w:after="0" w:line="240" w:lineRule="auto"/>
      </w:pPr>
      <w:r>
        <w:separator/>
      </w:r>
    </w:p>
  </w:footnote>
  <w:footnote w:type="continuationSeparator" w:id="0">
    <w:p w14:paraId="1C6CA0F3" w14:textId="77777777" w:rsidR="00555F18" w:rsidRDefault="00555F18" w:rsidP="007E6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0D3E" w14:textId="77777777" w:rsidR="00AD2623" w:rsidRDefault="00AD2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F9BB2" w14:textId="77777777" w:rsidR="00AD2623" w:rsidRDefault="00AD2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B4EF" w14:textId="77777777" w:rsidR="00AD2623" w:rsidRDefault="00AD2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FF"/>
    <w:rsid w:val="00011486"/>
    <w:rsid w:val="00016FF6"/>
    <w:rsid w:val="00066020"/>
    <w:rsid w:val="000812A9"/>
    <w:rsid w:val="000A0885"/>
    <w:rsid w:val="000A32D1"/>
    <w:rsid w:val="00102D58"/>
    <w:rsid w:val="001267CE"/>
    <w:rsid w:val="00164544"/>
    <w:rsid w:val="00187E45"/>
    <w:rsid w:val="00196839"/>
    <w:rsid w:val="001B56CA"/>
    <w:rsid w:val="001D4BF3"/>
    <w:rsid w:val="001E35F5"/>
    <w:rsid w:val="001F3A24"/>
    <w:rsid w:val="002064DF"/>
    <w:rsid w:val="00212919"/>
    <w:rsid w:val="00233E1D"/>
    <w:rsid w:val="00250F8E"/>
    <w:rsid w:val="00271EED"/>
    <w:rsid w:val="002F6F84"/>
    <w:rsid w:val="0030328C"/>
    <w:rsid w:val="003439FF"/>
    <w:rsid w:val="003644C9"/>
    <w:rsid w:val="00371CF8"/>
    <w:rsid w:val="00374519"/>
    <w:rsid w:val="003E00F1"/>
    <w:rsid w:val="00424F98"/>
    <w:rsid w:val="00454270"/>
    <w:rsid w:val="00495364"/>
    <w:rsid w:val="004C20A7"/>
    <w:rsid w:val="00523B63"/>
    <w:rsid w:val="00533FD6"/>
    <w:rsid w:val="00547974"/>
    <w:rsid w:val="00555966"/>
    <w:rsid w:val="00555F18"/>
    <w:rsid w:val="005D1646"/>
    <w:rsid w:val="005E40DB"/>
    <w:rsid w:val="0061075F"/>
    <w:rsid w:val="00616748"/>
    <w:rsid w:val="00665337"/>
    <w:rsid w:val="00692116"/>
    <w:rsid w:val="006921CB"/>
    <w:rsid w:val="006C3160"/>
    <w:rsid w:val="007160B1"/>
    <w:rsid w:val="00721E40"/>
    <w:rsid w:val="0072752B"/>
    <w:rsid w:val="00745F10"/>
    <w:rsid w:val="007706DB"/>
    <w:rsid w:val="00784592"/>
    <w:rsid w:val="007B6A90"/>
    <w:rsid w:val="007D2AD3"/>
    <w:rsid w:val="007D59B3"/>
    <w:rsid w:val="007E69A3"/>
    <w:rsid w:val="007F6FEA"/>
    <w:rsid w:val="00816BD1"/>
    <w:rsid w:val="008173F3"/>
    <w:rsid w:val="008276BE"/>
    <w:rsid w:val="00851E44"/>
    <w:rsid w:val="00856B86"/>
    <w:rsid w:val="008F6A93"/>
    <w:rsid w:val="009127F7"/>
    <w:rsid w:val="00935A8E"/>
    <w:rsid w:val="009650AD"/>
    <w:rsid w:val="00976E26"/>
    <w:rsid w:val="009D6690"/>
    <w:rsid w:val="00A06B98"/>
    <w:rsid w:val="00A32159"/>
    <w:rsid w:val="00A370A1"/>
    <w:rsid w:val="00A73AA4"/>
    <w:rsid w:val="00A80A94"/>
    <w:rsid w:val="00A8261D"/>
    <w:rsid w:val="00A84DE9"/>
    <w:rsid w:val="00AA2E07"/>
    <w:rsid w:val="00AC4782"/>
    <w:rsid w:val="00AD2623"/>
    <w:rsid w:val="00AD2B8D"/>
    <w:rsid w:val="00B00CF1"/>
    <w:rsid w:val="00B86192"/>
    <w:rsid w:val="00BA69D1"/>
    <w:rsid w:val="00BB7222"/>
    <w:rsid w:val="00C07FC3"/>
    <w:rsid w:val="00C856E2"/>
    <w:rsid w:val="00C9138F"/>
    <w:rsid w:val="00C94ECF"/>
    <w:rsid w:val="00CE36FF"/>
    <w:rsid w:val="00D000FE"/>
    <w:rsid w:val="00D218C2"/>
    <w:rsid w:val="00D37389"/>
    <w:rsid w:val="00D46213"/>
    <w:rsid w:val="00D625B1"/>
    <w:rsid w:val="00D94E21"/>
    <w:rsid w:val="00DB237D"/>
    <w:rsid w:val="00DC65E6"/>
    <w:rsid w:val="00DD5D8F"/>
    <w:rsid w:val="00E555F7"/>
    <w:rsid w:val="00E727A2"/>
    <w:rsid w:val="00EC0A4F"/>
    <w:rsid w:val="00EC18B7"/>
    <w:rsid w:val="00EF0329"/>
    <w:rsid w:val="00F27470"/>
    <w:rsid w:val="00F46AAA"/>
    <w:rsid w:val="00F84E23"/>
    <w:rsid w:val="00F861A2"/>
    <w:rsid w:val="00FD5403"/>
    <w:rsid w:val="00FF6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B7C036"/>
  <w15:chartTrackingRefBased/>
  <w15:docId w15:val="{95B40872-C72A-43EB-B8F1-77BD92E6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9A3"/>
  </w:style>
  <w:style w:type="paragraph" w:styleId="Footer">
    <w:name w:val="footer"/>
    <w:basedOn w:val="Normal"/>
    <w:link w:val="FooterChar"/>
    <w:uiPriority w:val="99"/>
    <w:unhideWhenUsed/>
    <w:rsid w:val="007E6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9A3"/>
  </w:style>
  <w:style w:type="paragraph" w:styleId="BalloonText">
    <w:name w:val="Balloon Text"/>
    <w:basedOn w:val="Normal"/>
    <w:link w:val="BalloonTextChar"/>
    <w:uiPriority w:val="99"/>
    <w:semiHidden/>
    <w:unhideWhenUsed/>
    <w:rsid w:val="00616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748"/>
    <w:rPr>
      <w:rFonts w:ascii="Segoe UI" w:hAnsi="Segoe UI" w:cs="Segoe UI"/>
      <w:sz w:val="18"/>
      <w:szCs w:val="18"/>
    </w:rPr>
  </w:style>
  <w:style w:type="character" w:styleId="CommentReference">
    <w:name w:val="annotation reference"/>
    <w:basedOn w:val="DefaultParagraphFont"/>
    <w:uiPriority w:val="99"/>
    <w:semiHidden/>
    <w:unhideWhenUsed/>
    <w:rsid w:val="00AA2E07"/>
    <w:rPr>
      <w:sz w:val="16"/>
      <w:szCs w:val="16"/>
    </w:rPr>
  </w:style>
  <w:style w:type="paragraph" w:styleId="CommentText">
    <w:name w:val="annotation text"/>
    <w:basedOn w:val="Normal"/>
    <w:link w:val="CommentTextChar"/>
    <w:uiPriority w:val="99"/>
    <w:unhideWhenUsed/>
    <w:rsid w:val="00AA2E07"/>
    <w:pPr>
      <w:spacing w:line="240" w:lineRule="auto"/>
    </w:pPr>
    <w:rPr>
      <w:sz w:val="20"/>
      <w:szCs w:val="20"/>
    </w:rPr>
  </w:style>
  <w:style w:type="character" w:customStyle="1" w:styleId="CommentTextChar">
    <w:name w:val="Comment Text Char"/>
    <w:basedOn w:val="DefaultParagraphFont"/>
    <w:link w:val="CommentText"/>
    <w:uiPriority w:val="99"/>
    <w:rsid w:val="00AA2E07"/>
    <w:rPr>
      <w:sz w:val="20"/>
      <w:szCs w:val="20"/>
    </w:rPr>
  </w:style>
  <w:style w:type="paragraph" w:styleId="CommentSubject">
    <w:name w:val="annotation subject"/>
    <w:basedOn w:val="CommentText"/>
    <w:next w:val="CommentText"/>
    <w:link w:val="CommentSubjectChar"/>
    <w:uiPriority w:val="99"/>
    <w:semiHidden/>
    <w:unhideWhenUsed/>
    <w:rsid w:val="00AA2E07"/>
    <w:rPr>
      <w:b/>
      <w:bCs/>
    </w:rPr>
  </w:style>
  <w:style w:type="character" w:customStyle="1" w:styleId="CommentSubjectChar">
    <w:name w:val="Comment Subject Char"/>
    <w:basedOn w:val="CommentTextChar"/>
    <w:link w:val="CommentSubject"/>
    <w:uiPriority w:val="99"/>
    <w:semiHidden/>
    <w:rsid w:val="00AA2E07"/>
    <w:rPr>
      <w:b/>
      <w:bCs/>
      <w:sz w:val="20"/>
      <w:szCs w:val="20"/>
    </w:rPr>
  </w:style>
  <w:style w:type="table" w:styleId="TableGrid">
    <w:name w:val="Table Grid"/>
    <w:basedOn w:val="TableNormal"/>
    <w:uiPriority w:val="59"/>
    <w:rsid w:val="00C856E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18B7"/>
    <w:pPr>
      <w:spacing w:after="0" w:line="240" w:lineRule="auto"/>
    </w:pPr>
  </w:style>
  <w:style w:type="character" w:styleId="Hyperlink">
    <w:name w:val="Hyperlink"/>
    <w:basedOn w:val="DefaultParagraphFont"/>
    <w:uiPriority w:val="99"/>
    <w:unhideWhenUsed/>
    <w:rsid w:val="007D2A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0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B78EA4FD8DC6E43B8FDF86E6544EAF7" ma:contentTypeVersion="" ma:contentTypeDescription="PDMS Document Site Content Type" ma:contentTypeScope="" ma:versionID="d45628fd2dd254d8526b5e5f13d122a8">
  <xsd:schema xmlns:xsd="http://www.w3.org/2001/XMLSchema" xmlns:xs="http://www.w3.org/2001/XMLSchema" xmlns:p="http://schemas.microsoft.com/office/2006/metadata/properties" xmlns:ns2="8431B26B-4820-42FB-BDC3-1D2501584EAF" targetNamespace="http://schemas.microsoft.com/office/2006/metadata/properties" ma:root="true" ma:fieldsID="7a46bb86299d9e0c4d4b5e4d325560b7" ns2:_="">
    <xsd:import namespace="8431B26B-4820-42FB-BDC3-1D2501584EA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1B26B-4820-42FB-BDC3-1D2501584EA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431B26B-4820-42FB-BDC3-1D2501584E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F6234-8DA4-40EC-A6B2-D829057C2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1B26B-4820-42FB-BDC3-1D2501584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CFEEF-54F2-4413-A8F1-72698A54A7D9}">
  <ds:schemaRefs>
    <ds:schemaRef ds:uri="http://schemas.microsoft.com/sharepoint/v3/contenttype/forms"/>
  </ds:schemaRefs>
</ds:datastoreItem>
</file>

<file path=customXml/itemProps3.xml><?xml version="1.0" encoding="utf-8"?>
<ds:datastoreItem xmlns:ds="http://schemas.openxmlformats.org/officeDocument/2006/customXml" ds:itemID="{F17495E2-4057-4329-8D45-4C655057E2A6}">
  <ds:schemaRefs>
    <ds:schemaRef ds:uri="http://purl.org/dc/terms/"/>
    <ds:schemaRef ds:uri="http://schemas.openxmlformats.org/package/2006/metadata/core-properties"/>
    <ds:schemaRef ds:uri="http://schemas.microsoft.com/office/2006/documentManagement/types"/>
    <ds:schemaRef ds:uri="8431B26B-4820-42FB-BDC3-1D2501584EA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91239FC-4DD6-470F-ADBD-D6380910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5427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Anderson</dc:creator>
  <cp:keywords/>
  <dc:description/>
  <cp:lastModifiedBy>Ngaire RALPH</cp:lastModifiedBy>
  <cp:revision>2</cp:revision>
  <dcterms:created xsi:type="dcterms:W3CDTF">2021-02-25T04:45:00Z</dcterms:created>
  <dcterms:modified xsi:type="dcterms:W3CDTF">2021-02-25T04:45:00Z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0x010100266966F133664895A6EE3632470D45F5002B78EA4FD8DC6E43B8FDF86E6544EAF7</vt:lpwstr>
  </property>
  <property fmtid="{D5CDD505-2E9C-101B-9397-08002B2CF9AE}" pid="3" name="Section document tags">
    <vt:lpwstr>232;#Law reform|a4756b28-5bb7-46c6-bd5f-bb3e23e5bc48</vt:lpwstr>
  </property>
  <property fmtid="{D5CDD505-2E9C-101B-9397-08002B2CF9AE}" pid="4" name="AFP Classification">
    <vt:lpwstr>3;#PROTECTED|2d2bb894-d97f-4cb7-802d-bf4df5b4a231</vt:lpwstr>
  </property>
  <property fmtid="{D5CDD505-2E9C-101B-9397-08002B2CF9AE}" pid="5" name="_dlc_DocIdItemGuid">
    <vt:lpwstr>dea0e7ee-2581-4e90-b6b8-172ef931fbaf</vt:lpwstr>
  </property>
</Properties>
</file>