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94E" w:rsidRPr="000C71A6" w:rsidRDefault="008C5D77" w:rsidP="000C71A6">
      <w:pPr>
        <w:pStyle w:val="Title"/>
      </w:pPr>
      <w:r w:rsidRPr="000C71A6">
        <w:t>THE AUSTRALIAN NATIONAL UNIVERSITy</w:t>
      </w:r>
    </w:p>
    <w:p w:rsidR="008C5D77" w:rsidRPr="00A9217C" w:rsidRDefault="0020133F" w:rsidP="00A9217C">
      <w:pPr>
        <w:pStyle w:val="ShortT"/>
      </w:pPr>
      <w:r>
        <w:t>National Centre for Indigenous Genomics Statute 2021</w:t>
      </w:r>
    </w:p>
    <w:p w:rsidR="0097275D" w:rsidRDefault="0097275D" w:rsidP="00A9217C">
      <w:pPr>
        <w:pStyle w:val="SignCoverPageLine"/>
      </w:pPr>
    </w:p>
    <w:p w:rsidR="0020133F" w:rsidRPr="001A05C7" w:rsidRDefault="0020133F" w:rsidP="0020133F">
      <w:pPr>
        <w:rPr>
          <w:b/>
          <w:sz w:val="24"/>
          <w:szCs w:val="24"/>
          <w:lang w:val="en-US" w:eastAsia="en-AU"/>
        </w:rPr>
      </w:pPr>
      <w:r w:rsidRPr="001A05C7">
        <w:rPr>
          <w:b/>
          <w:sz w:val="24"/>
          <w:szCs w:val="24"/>
          <w:lang w:val="en-US" w:eastAsia="en-AU"/>
        </w:rPr>
        <w:t>Background and purpose</w:t>
      </w:r>
    </w:p>
    <w:p w:rsidR="0020133F" w:rsidRDefault="0020133F" w:rsidP="0020133F">
      <w:pPr>
        <w:ind w:left="284" w:hanging="284"/>
        <w:rPr>
          <w:b/>
          <w:lang w:val="en-US" w:eastAsia="en-AU"/>
        </w:rPr>
      </w:pPr>
      <w:r>
        <w:rPr>
          <w:rFonts w:eastAsiaTheme="majorEastAsia"/>
          <w:bCs/>
          <w:iCs/>
          <w:lang w:val="en-US"/>
        </w:rPr>
        <w:t>1</w:t>
      </w:r>
      <w:r>
        <w:rPr>
          <w:rFonts w:eastAsiaTheme="majorEastAsia"/>
          <w:bCs/>
          <w:iCs/>
          <w:lang w:val="en-US"/>
        </w:rPr>
        <w:tab/>
      </w:r>
      <w:r w:rsidR="00194412">
        <w:rPr>
          <w:rFonts w:eastAsiaTheme="majorEastAsia"/>
          <w:bCs/>
          <w:iCs/>
          <w:lang w:val="en-US"/>
        </w:rPr>
        <w:t>The University held</w:t>
      </w:r>
      <w:r>
        <w:rPr>
          <w:rFonts w:eastAsiaTheme="majorEastAsia"/>
          <w:bCs/>
          <w:iCs/>
          <w:lang w:val="en-US"/>
        </w:rPr>
        <w:t xml:space="preserve">, in the John Curtin School of Medical Research, </w:t>
      </w:r>
      <w:r w:rsidR="00194412" w:rsidRPr="00194412">
        <w:rPr>
          <w:rFonts w:eastAsiaTheme="majorEastAsia"/>
          <w:bCs/>
          <w:iCs/>
        </w:rPr>
        <w:t>at the commencement of the earlier statute</w:t>
      </w:r>
      <w:r w:rsidR="00194412">
        <w:rPr>
          <w:rFonts w:eastAsiaTheme="majorEastAsia"/>
          <w:bCs/>
          <w:i/>
          <w:iCs/>
        </w:rPr>
        <w:t xml:space="preserve"> </w:t>
      </w:r>
      <w:r>
        <w:rPr>
          <w:rFonts w:eastAsiaTheme="majorEastAsia"/>
          <w:bCs/>
          <w:iCs/>
          <w:lang w:val="en-US"/>
        </w:rPr>
        <w:t xml:space="preserve">a collection of biological samples that were obtained from Indigenous people </w:t>
      </w:r>
      <w:r w:rsidR="00294010">
        <w:rPr>
          <w:rFonts w:eastAsiaTheme="majorEastAsia"/>
          <w:bCs/>
          <w:iCs/>
          <w:lang w:val="en-US"/>
        </w:rPr>
        <w:t>for scientific research from the</w:t>
      </w:r>
      <w:r>
        <w:rPr>
          <w:rFonts w:eastAsiaTheme="majorEastAsia"/>
          <w:bCs/>
          <w:iCs/>
          <w:lang w:val="en-US"/>
        </w:rPr>
        <w:t xml:space="preserve"> 1960s until the early 1990s. The collection includes doc</w:t>
      </w:r>
      <w:r w:rsidR="00294010">
        <w:rPr>
          <w:rFonts w:eastAsiaTheme="majorEastAsia"/>
          <w:bCs/>
          <w:iCs/>
          <w:lang w:val="en-US"/>
        </w:rPr>
        <w:t xml:space="preserve">uments and data relating to the </w:t>
      </w:r>
      <w:r>
        <w:rPr>
          <w:rFonts w:eastAsiaTheme="majorEastAsia"/>
          <w:bCs/>
          <w:iCs/>
          <w:lang w:val="en-US"/>
        </w:rPr>
        <w:t>samples.</w:t>
      </w:r>
    </w:p>
    <w:p w:rsidR="0020133F" w:rsidRDefault="0020133F" w:rsidP="0020133F">
      <w:pPr>
        <w:ind w:left="284" w:hanging="284"/>
        <w:rPr>
          <w:rFonts w:eastAsiaTheme="majorEastAsia"/>
          <w:bCs/>
          <w:iCs/>
          <w:lang w:val="en-US"/>
        </w:rPr>
      </w:pPr>
      <w:r>
        <w:rPr>
          <w:rFonts w:eastAsiaTheme="majorEastAsia"/>
          <w:bCs/>
          <w:iCs/>
          <w:lang w:val="en-US"/>
        </w:rPr>
        <w:t>2</w:t>
      </w:r>
      <w:r>
        <w:rPr>
          <w:rFonts w:eastAsiaTheme="majorEastAsia"/>
          <w:bCs/>
          <w:iCs/>
          <w:lang w:val="en-US"/>
        </w:rPr>
        <w:tab/>
        <w:t>In recognition of the collection’s immense cultural, historical and scientific importance, the University is committed to ensuring:</w:t>
      </w:r>
    </w:p>
    <w:p w:rsidR="0020133F" w:rsidRDefault="0020133F" w:rsidP="0020133F">
      <w:pPr>
        <w:tabs>
          <w:tab w:val="left" w:pos="709"/>
        </w:tabs>
        <w:ind w:left="709" w:hanging="425"/>
        <w:rPr>
          <w:rFonts w:eastAsiaTheme="majorEastAsia"/>
          <w:bCs/>
          <w:iCs/>
          <w:lang w:val="en-US"/>
        </w:rPr>
      </w:pPr>
      <w:r>
        <w:rPr>
          <w:rFonts w:eastAsiaTheme="majorEastAsia"/>
          <w:bCs/>
          <w:iCs/>
          <w:lang w:val="en-US"/>
        </w:rPr>
        <w:t>(a)</w:t>
      </w:r>
      <w:r>
        <w:rPr>
          <w:rFonts w:eastAsiaTheme="majorEastAsia"/>
          <w:bCs/>
          <w:iCs/>
          <w:lang w:val="en-US"/>
        </w:rPr>
        <w:tab/>
      </w:r>
      <w:r>
        <w:rPr>
          <w:rFonts w:eastAsiaTheme="majorEastAsia"/>
          <w:bCs/>
          <w:iCs/>
          <w:lang w:val="en-US"/>
        </w:rPr>
        <w:tab/>
      </w:r>
      <w:r w:rsidRPr="009267E7">
        <w:rPr>
          <w:rFonts w:eastAsiaTheme="majorEastAsia"/>
          <w:bCs/>
          <w:iCs/>
        </w:rPr>
        <w:t xml:space="preserve">that the </w:t>
      </w:r>
      <w:r>
        <w:rPr>
          <w:rFonts w:eastAsiaTheme="majorEastAsia"/>
          <w:bCs/>
          <w:iCs/>
        </w:rPr>
        <w:t>collection is held and added to</w:t>
      </w:r>
      <w:r w:rsidRPr="009267E7">
        <w:rPr>
          <w:rFonts w:eastAsiaTheme="majorEastAsia"/>
          <w:bCs/>
          <w:iCs/>
        </w:rPr>
        <w:t xml:space="preserve"> under appropriate </w:t>
      </w:r>
      <w:r>
        <w:rPr>
          <w:rFonts w:eastAsiaTheme="majorEastAsia"/>
          <w:bCs/>
          <w:iCs/>
        </w:rPr>
        <w:t>Indigenous custodianship</w:t>
      </w:r>
      <w:r w:rsidRPr="009267E7">
        <w:rPr>
          <w:rFonts w:eastAsiaTheme="majorEastAsia"/>
          <w:bCs/>
          <w:iCs/>
        </w:rPr>
        <w:t>; and</w:t>
      </w:r>
    </w:p>
    <w:p w:rsidR="0020133F" w:rsidRDefault="0020133F" w:rsidP="0020133F">
      <w:pPr>
        <w:tabs>
          <w:tab w:val="left" w:pos="709"/>
        </w:tabs>
        <w:ind w:left="709" w:hanging="425"/>
        <w:rPr>
          <w:rFonts w:eastAsiaTheme="majorEastAsia"/>
          <w:bCs/>
          <w:iCs/>
          <w:lang w:val="en-US"/>
        </w:rPr>
      </w:pPr>
      <w:r>
        <w:rPr>
          <w:rFonts w:eastAsiaTheme="majorEastAsia"/>
          <w:bCs/>
          <w:iCs/>
          <w:lang w:val="en-US"/>
        </w:rPr>
        <w:t>(b)</w:t>
      </w:r>
      <w:r>
        <w:rPr>
          <w:rFonts w:eastAsiaTheme="majorEastAsia"/>
          <w:bCs/>
          <w:iCs/>
          <w:lang w:val="en-US"/>
        </w:rPr>
        <w:tab/>
      </w:r>
      <w:r w:rsidRPr="009267E7">
        <w:rPr>
          <w:rFonts w:eastAsiaTheme="majorEastAsia"/>
          <w:bCs/>
          <w:iCs/>
          <w:lang w:val="en-US"/>
        </w:rPr>
        <w:t>that there is proper engagement with Indigenous people and communities from which the sam</w:t>
      </w:r>
      <w:r>
        <w:rPr>
          <w:rFonts w:eastAsiaTheme="majorEastAsia"/>
          <w:bCs/>
          <w:iCs/>
          <w:lang w:val="en-US"/>
        </w:rPr>
        <w:t>ples and records were collected about any use of the collection for research;</w:t>
      </w:r>
      <w:r w:rsidR="004936D5">
        <w:rPr>
          <w:rFonts w:eastAsiaTheme="majorEastAsia"/>
          <w:bCs/>
          <w:iCs/>
          <w:lang w:val="en-US"/>
        </w:rPr>
        <w:t xml:space="preserve"> and</w:t>
      </w:r>
    </w:p>
    <w:p w:rsidR="0020133F" w:rsidRDefault="0020133F" w:rsidP="0020133F">
      <w:pPr>
        <w:tabs>
          <w:tab w:val="left" w:pos="709"/>
        </w:tabs>
        <w:ind w:left="709" w:hanging="425"/>
        <w:rPr>
          <w:rFonts w:eastAsiaTheme="majorEastAsia"/>
          <w:bCs/>
          <w:iCs/>
          <w:lang w:val="en-US"/>
        </w:rPr>
      </w:pPr>
      <w:r>
        <w:rPr>
          <w:rFonts w:eastAsiaTheme="majorEastAsia"/>
          <w:bCs/>
          <w:iCs/>
          <w:lang w:val="en-US"/>
        </w:rPr>
        <w:t>(c)</w:t>
      </w:r>
      <w:r>
        <w:rPr>
          <w:rFonts w:eastAsiaTheme="majorEastAsia"/>
          <w:bCs/>
          <w:iCs/>
          <w:lang w:val="en-US"/>
        </w:rPr>
        <w:tab/>
        <w:t xml:space="preserve">that </w:t>
      </w:r>
      <w:r w:rsidRPr="009267E7">
        <w:rPr>
          <w:rFonts w:eastAsiaTheme="majorEastAsia"/>
          <w:bCs/>
          <w:iCs/>
          <w:lang w:val="en-US"/>
        </w:rPr>
        <w:t xml:space="preserve">appropriate consents </w:t>
      </w:r>
      <w:r>
        <w:rPr>
          <w:rFonts w:eastAsiaTheme="majorEastAsia"/>
          <w:bCs/>
          <w:iCs/>
          <w:lang w:val="en-US"/>
        </w:rPr>
        <w:t>are obtained</w:t>
      </w:r>
      <w:r w:rsidRPr="009267E7">
        <w:rPr>
          <w:rFonts w:eastAsiaTheme="majorEastAsia"/>
          <w:bCs/>
          <w:iCs/>
          <w:lang w:val="en-US"/>
        </w:rPr>
        <w:t xml:space="preserve"> f</w:t>
      </w:r>
      <w:r>
        <w:rPr>
          <w:rFonts w:eastAsiaTheme="majorEastAsia"/>
          <w:bCs/>
          <w:iCs/>
          <w:lang w:val="en-US"/>
        </w:rPr>
        <w:t>or any</w:t>
      </w:r>
      <w:r w:rsidRPr="009267E7">
        <w:rPr>
          <w:rFonts w:eastAsiaTheme="majorEastAsia"/>
          <w:bCs/>
          <w:iCs/>
          <w:lang w:val="en-US"/>
        </w:rPr>
        <w:t xml:space="preserve"> research</w:t>
      </w:r>
      <w:r>
        <w:rPr>
          <w:rFonts w:eastAsiaTheme="majorEastAsia"/>
          <w:bCs/>
          <w:iCs/>
          <w:lang w:val="en-US"/>
        </w:rPr>
        <w:t xml:space="preserve"> using material in the collection</w:t>
      </w:r>
      <w:r w:rsidR="00294010">
        <w:rPr>
          <w:rFonts w:eastAsiaTheme="majorEastAsia"/>
          <w:bCs/>
          <w:iCs/>
          <w:lang w:val="en-US"/>
        </w:rPr>
        <w:t>.</w:t>
      </w:r>
    </w:p>
    <w:p w:rsidR="0020133F" w:rsidRPr="00CB3D04" w:rsidRDefault="0020133F" w:rsidP="0020133F">
      <w:pPr>
        <w:ind w:left="284" w:hanging="284"/>
        <w:rPr>
          <w:bCs/>
          <w:iCs/>
          <w:lang w:val="en-US" w:eastAsia="en-AU"/>
        </w:rPr>
      </w:pPr>
      <w:r>
        <w:rPr>
          <w:bCs/>
          <w:iCs/>
          <w:lang w:val="en-US" w:eastAsia="en-AU"/>
        </w:rPr>
        <w:t>3</w:t>
      </w:r>
      <w:r>
        <w:rPr>
          <w:bCs/>
          <w:iCs/>
          <w:lang w:val="en-US" w:eastAsia="en-AU"/>
        </w:rPr>
        <w:tab/>
      </w:r>
      <w:r w:rsidRPr="00BE4B38">
        <w:rPr>
          <w:bCs/>
          <w:iCs/>
          <w:lang w:val="en-US" w:eastAsia="en-AU"/>
        </w:rPr>
        <w:t>The Council’s purpose in making this instrumen</w:t>
      </w:r>
      <w:r w:rsidR="0024652E">
        <w:rPr>
          <w:bCs/>
          <w:iCs/>
          <w:lang w:val="en-US" w:eastAsia="en-AU"/>
        </w:rPr>
        <w:t>t is to continue, with minor change, the</w:t>
      </w:r>
      <w:r w:rsidRPr="00BE4B38">
        <w:rPr>
          <w:bCs/>
          <w:iCs/>
          <w:lang w:val="en-US" w:eastAsia="en-AU"/>
        </w:rPr>
        <w:t xml:space="preserve"> framework</w:t>
      </w:r>
      <w:r w:rsidR="0024652E">
        <w:rPr>
          <w:bCs/>
          <w:iCs/>
          <w:lang w:val="en-US" w:eastAsia="en-AU"/>
        </w:rPr>
        <w:t xml:space="preserve"> previously established</w:t>
      </w:r>
      <w:r w:rsidRPr="00BE4B38">
        <w:rPr>
          <w:bCs/>
          <w:iCs/>
          <w:lang w:val="en-US" w:eastAsia="en-AU"/>
        </w:rPr>
        <w:t xml:space="preserve"> to ensure Indigenous governance of, and the application of be</w:t>
      </w:r>
      <w:r w:rsidR="004936D5">
        <w:rPr>
          <w:bCs/>
          <w:iCs/>
          <w:lang w:val="en-US" w:eastAsia="en-AU"/>
        </w:rPr>
        <w:t>st practice for, the conduct of</w:t>
      </w:r>
      <w:r w:rsidRPr="00BE4B38">
        <w:rPr>
          <w:bCs/>
          <w:iCs/>
          <w:lang w:val="en-US" w:eastAsia="en-AU"/>
        </w:rPr>
        <w:t xml:space="preserve"> </w:t>
      </w:r>
      <w:r w:rsidR="004936D5">
        <w:rPr>
          <w:bCs/>
          <w:iCs/>
          <w:lang w:val="en-US" w:eastAsia="en-AU"/>
        </w:rPr>
        <w:t xml:space="preserve">any </w:t>
      </w:r>
      <w:r w:rsidRPr="00BE4B38">
        <w:rPr>
          <w:bCs/>
          <w:iCs/>
          <w:lang w:val="en-US" w:eastAsia="en-AU"/>
        </w:rPr>
        <w:t>research using material in the collection.</w:t>
      </w:r>
    </w:p>
    <w:p w:rsidR="0020133F" w:rsidRPr="0020133F" w:rsidRDefault="0020133F" w:rsidP="0020133F">
      <w:pPr>
        <w:pStyle w:val="SignCoverPageLine"/>
      </w:pPr>
      <w:r w:rsidRPr="0020133F">
        <w:t>The Council of the University, therefore, makes the following statute.</w:t>
      </w:r>
    </w:p>
    <w:p w:rsidR="0020133F" w:rsidRPr="0020133F" w:rsidRDefault="0020133F" w:rsidP="0020133F">
      <w:pPr>
        <w:pStyle w:val="SignCoverPageLine"/>
      </w:pPr>
      <w:r w:rsidRPr="0020133F">
        <w:t xml:space="preserve">Dated </w:t>
      </w:r>
      <w:r w:rsidR="00B413C5">
        <w:t>11 February</w:t>
      </w:r>
      <w:r w:rsidRPr="0020133F">
        <w:t xml:space="preserve"> 2021</w:t>
      </w:r>
    </w:p>
    <w:p w:rsidR="0020133F" w:rsidRPr="0020133F" w:rsidRDefault="0020133F" w:rsidP="0020133F">
      <w:pPr>
        <w:pStyle w:val="SignCoverPageLine"/>
        <w:rPr>
          <w:lang w:val="en-AU"/>
        </w:rPr>
      </w:pPr>
      <w:r w:rsidRPr="0020133F">
        <w:rPr>
          <w:lang w:val="en-AU"/>
        </w:rPr>
        <w:t>The Hon Julie Bishop</w:t>
      </w:r>
    </w:p>
    <w:p w:rsidR="0020133F" w:rsidRPr="0020133F" w:rsidRDefault="00294010" w:rsidP="0020133F">
      <w:pPr>
        <w:pStyle w:val="SignCoverPageLine"/>
        <w:rPr>
          <w:lang w:val="en-AU"/>
        </w:rPr>
      </w:pPr>
      <w:r>
        <w:rPr>
          <w:lang w:val="en-AU"/>
        </w:rPr>
        <w:t>Chancellor</w:t>
      </w:r>
    </w:p>
    <w:p w:rsidR="00A9217C" w:rsidRPr="00A9217C" w:rsidRDefault="00A9217C" w:rsidP="00A9217C">
      <w:pPr>
        <w:sectPr w:rsidR="00A9217C" w:rsidRPr="00A9217C" w:rsidSect="007F48C5">
          <w:headerReference w:type="even" r:id="rId8"/>
          <w:footerReference w:type="even" r:id="rId9"/>
          <w:type w:val="continuous"/>
          <w:pgSz w:w="11907" w:h="16839"/>
          <w:pgMar w:top="2099" w:right="1797" w:bottom="1440" w:left="1797" w:header="720" w:footer="709" w:gutter="0"/>
          <w:pgNumType w:fmt="lowerRoman" w:start="1"/>
          <w:cols w:space="708"/>
          <w:docGrid w:linePitch="360"/>
        </w:sectPr>
      </w:pPr>
      <w:bookmarkStart w:id="0" w:name="_GoBack"/>
      <w:bookmarkEnd w:id="0"/>
    </w:p>
    <w:p w:rsidR="00406BFD" w:rsidRPr="00347891" w:rsidRDefault="00406BFD" w:rsidP="00A9217C">
      <w:pPr>
        <w:rPr>
          <w:sz w:val="36"/>
        </w:rPr>
      </w:pPr>
      <w:r w:rsidRPr="00347891">
        <w:rPr>
          <w:sz w:val="36"/>
        </w:rPr>
        <w:lastRenderedPageBreak/>
        <w:t>Contents</w:t>
      </w:r>
    </w:p>
    <w:bookmarkStart w:id="1" w:name="BKCheck15B_2"/>
    <w:bookmarkEnd w:id="1"/>
    <w:p w:rsidR="00FB6602" w:rsidRDefault="003B7626">
      <w:pPr>
        <w:pStyle w:val="TOC1"/>
        <w:rPr>
          <w:rFonts w:asciiTheme="minorHAnsi" w:eastAsiaTheme="minorEastAsia" w:hAnsiTheme="minorHAnsi" w:cstheme="minorBidi"/>
          <w:b w:val="0"/>
          <w:bCs w:val="0"/>
          <w:sz w:val="22"/>
          <w:szCs w:val="22"/>
          <w:lang w:val="en-AU" w:eastAsia="en-AU"/>
        </w:rPr>
      </w:pPr>
      <w:r>
        <w:rPr>
          <w:iCs/>
        </w:rPr>
        <w:fldChar w:fldCharType="begin"/>
      </w:r>
      <w:r>
        <w:instrText xml:space="preserve"> TOC \o "1-3" \h \z \u </w:instrText>
      </w:r>
      <w:r>
        <w:rPr>
          <w:iCs/>
        </w:rPr>
        <w:fldChar w:fldCharType="separate"/>
      </w:r>
      <w:hyperlink w:anchor="_Toc62480205" w:history="1">
        <w:r w:rsidR="00FB6602" w:rsidRPr="00515EF7">
          <w:rPr>
            <w:rStyle w:val="Hyperlink"/>
          </w:rPr>
          <w:t>Part 1— Preliminary</w:t>
        </w:r>
        <w:r w:rsidR="00FB6602">
          <w:rPr>
            <w:webHidden/>
          </w:rPr>
          <w:tab/>
        </w:r>
        <w:r w:rsidR="00FB6602">
          <w:rPr>
            <w:webHidden/>
          </w:rPr>
          <w:fldChar w:fldCharType="begin"/>
        </w:r>
        <w:r w:rsidR="00FB6602">
          <w:rPr>
            <w:webHidden/>
          </w:rPr>
          <w:instrText xml:space="preserve"> PAGEREF _Toc62480205 \h </w:instrText>
        </w:r>
        <w:r w:rsidR="00FB6602">
          <w:rPr>
            <w:webHidden/>
          </w:rPr>
        </w:r>
        <w:r w:rsidR="00FB6602">
          <w:rPr>
            <w:webHidden/>
          </w:rPr>
          <w:fldChar w:fldCharType="separate"/>
        </w:r>
        <w:r w:rsidR="00FB6602">
          <w:rPr>
            <w:webHidden/>
          </w:rPr>
          <w:t>1</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06" w:history="1">
        <w:r w:rsidR="00FB6602" w:rsidRPr="00515EF7">
          <w:rPr>
            <w:rStyle w:val="Hyperlink"/>
          </w:rPr>
          <w:t>1</w:t>
        </w:r>
        <w:r w:rsidR="00FB6602">
          <w:rPr>
            <w:rFonts w:asciiTheme="minorHAnsi" w:eastAsiaTheme="minorEastAsia" w:hAnsiTheme="minorHAnsi" w:cstheme="minorBidi"/>
            <w:iCs w:val="0"/>
            <w:sz w:val="22"/>
            <w:szCs w:val="22"/>
            <w:lang w:val="en-AU" w:eastAsia="en-AU"/>
          </w:rPr>
          <w:tab/>
        </w:r>
        <w:r w:rsidR="00FB6602" w:rsidRPr="00515EF7">
          <w:rPr>
            <w:rStyle w:val="Hyperlink"/>
          </w:rPr>
          <w:t>Name</w:t>
        </w:r>
        <w:r w:rsidR="00FB6602">
          <w:rPr>
            <w:webHidden/>
          </w:rPr>
          <w:tab/>
        </w:r>
        <w:r w:rsidR="00FB6602">
          <w:rPr>
            <w:webHidden/>
          </w:rPr>
          <w:fldChar w:fldCharType="begin"/>
        </w:r>
        <w:r w:rsidR="00FB6602">
          <w:rPr>
            <w:webHidden/>
          </w:rPr>
          <w:instrText xml:space="preserve"> PAGEREF _Toc62480206 \h </w:instrText>
        </w:r>
        <w:r w:rsidR="00FB6602">
          <w:rPr>
            <w:webHidden/>
          </w:rPr>
        </w:r>
        <w:r w:rsidR="00FB6602">
          <w:rPr>
            <w:webHidden/>
          </w:rPr>
          <w:fldChar w:fldCharType="separate"/>
        </w:r>
        <w:r w:rsidR="00FB6602">
          <w:rPr>
            <w:webHidden/>
          </w:rPr>
          <w:t>1</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07" w:history="1">
        <w:r w:rsidR="00FB6602" w:rsidRPr="00515EF7">
          <w:rPr>
            <w:rStyle w:val="Hyperlink"/>
          </w:rPr>
          <w:t>2</w:t>
        </w:r>
        <w:r w:rsidR="00FB6602">
          <w:rPr>
            <w:rFonts w:asciiTheme="minorHAnsi" w:eastAsiaTheme="minorEastAsia" w:hAnsiTheme="minorHAnsi" w:cstheme="minorBidi"/>
            <w:iCs w:val="0"/>
            <w:sz w:val="22"/>
            <w:szCs w:val="22"/>
            <w:lang w:val="en-AU" w:eastAsia="en-AU"/>
          </w:rPr>
          <w:tab/>
        </w:r>
        <w:r w:rsidR="00FB6602" w:rsidRPr="00515EF7">
          <w:rPr>
            <w:rStyle w:val="Hyperlink"/>
          </w:rPr>
          <w:t>Commencement</w:t>
        </w:r>
        <w:r w:rsidR="00FB6602">
          <w:rPr>
            <w:webHidden/>
          </w:rPr>
          <w:tab/>
        </w:r>
        <w:r w:rsidR="00FB6602">
          <w:rPr>
            <w:webHidden/>
          </w:rPr>
          <w:fldChar w:fldCharType="begin"/>
        </w:r>
        <w:r w:rsidR="00FB6602">
          <w:rPr>
            <w:webHidden/>
          </w:rPr>
          <w:instrText xml:space="preserve"> PAGEREF _Toc62480207 \h </w:instrText>
        </w:r>
        <w:r w:rsidR="00FB6602">
          <w:rPr>
            <w:webHidden/>
          </w:rPr>
        </w:r>
        <w:r w:rsidR="00FB6602">
          <w:rPr>
            <w:webHidden/>
          </w:rPr>
          <w:fldChar w:fldCharType="separate"/>
        </w:r>
        <w:r w:rsidR="00FB6602">
          <w:rPr>
            <w:webHidden/>
          </w:rPr>
          <w:t>1</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08" w:history="1">
        <w:r w:rsidR="00FB6602" w:rsidRPr="00515EF7">
          <w:rPr>
            <w:rStyle w:val="Hyperlink"/>
          </w:rPr>
          <w:t>3</w:t>
        </w:r>
        <w:r w:rsidR="00FB6602">
          <w:rPr>
            <w:rFonts w:asciiTheme="minorHAnsi" w:eastAsiaTheme="minorEastAsia" w:hAnsiTheme="minorHAnsi" w:cstheme="minorBidi"/>
            <w:iCs w:val="0"/>
            <w:sz w:val="22"/>
            <w:szCs w:val="22"/>
            <w:lang w:val="en-AU" w:eastAsia="en-AU"/>
          </w:rPr>
          <w:tab/>
        </w:r>
        <w:r w:rsidR="00FB6602" w:rsidRPr="00515EF7">
          <w:rPr>
            <w:rStyle w:val="Hyperlink"/>
          </w:rPr>
          <w:t>Authority</w:t>
        </w:r>
        <w:r w:rsidR="00FB6602">
          <w:rPr>
            <w:webHidden/>
          </w:rPr>
          <w:tab/>
        </w:r>
        <w:r w:rsidR="00FB6602">
          <w:rPr>
            <w:webHidden/>
          </w:rPr>
          <w:fldChar w:fldCharType="begin"/>
        </w:r>
        <w:r w:rsidR="00FB6602">
          <w:rPr>
            <w:webHidden/>
          </w:rPr>
          <w:instrText xml:space="preserve"> PAGEREF _Toc62480208 \h </w:instrText>
        </w:r>
        <w:r w:rsidR="00FB6602">
          <w:rPr>
            <w:webHidden/>
          </w:rPr>
        </w:r>
        <w:r w:rsidR="00FB6602">
          <w:rPr>
            <w:webHidden/>
          </w:rPr>
          <w:fldChar w:fldCharType="separate"/>
        </w:r>
        <w:r w:rsidR="00FB6602">
          <w:rPr>
            <w:webHidden/>
          </w:rPr>
          <w:t>1</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09" w:history="1">
        <w:r w:rsidR="00FB6602" w:rsidRPr="00515EF7">
          <w:rPr>
            <w:rStyle w:val="Hyperlink"/>
          </w:rPr>
          <w:t>4</w:t>
        </w:r>
        <w:r w:rsidR="00FB6602">
          <w:rPr>
            <w:rFonts w:asciiTheme="minorHAnsi" w:eastAsiaTheme="minorEastAsia" w:hAnsiTheme="minorHAnsi" w:cstheme="minorBidi"/>
            <w:iCs w:val="0"/>
            <w:sz w:val="22"/>
            <w:szCs w:val="22"/>
            <w:lang w:val="en-AU" w:eastAsia="en-AU"/>
          </w:rPr>
          <w:tab/>
        </w:r>
        <w:r w:rsidR="00FB6602" w:rsidRPr="00515EF7">
          <w:rPr>
            <w:rStyle w:val="Hyperlink"/>
          </w:rPr>
          <w:t>Definitions</w:t>
        </w:r>
        <w:r w:rsidR="00FB6602">
          <w:rPr>
            <w:webHidden/>
          </w:rPr>
          <w:tab/>
        </w:r>
        <w:r w:rsidR="00FB6602">
          <w:rPr>
            <w:webHidden/>
          </w:rPr>
          <w:fldChar w:fldCharType="begin"/>
        </w:r>
        <w:r w:rsidR="00FB6602">
          <w:rPr>
            <w:webHidden/>
          </w:rPr>
          <w:instrText xml:space="preserve"> PAGEREF _Toc62480209 \h </w:instrText>
        </w:r>
        <w:r w:rsidR="00FB6602">
          <w:rPr>
            <w:webHidden/>
          </w:rPr>
        </w:r>
        <w:r w:rsidR="00FB6602">
          <w:rPr>
            <w:webHidden/>
          </w:rPr>
          <w:fldChar w:fldCharType="separate"/>
        </w:r>
        <w:r w:rsidR="00FB6602">
          <w:rPr>
            <w:webHidden/>
          </w:rPr>
          <w:t>1</w:t>
        </w:r>
        <w:r w:rsidR="00FB6602">
          <w:rPr>
            <w:webHidden/>
          </w:rPr>
          <w:fldChar w:fldCharType="end"/>
        </w:r>
      </w:hyperlink>
    </w:p>
    <w:p w:rsidR="00FB6602" w:rsidRDefault="00B413C5">
      <w:pPr>
        <w:pStyle w:val="TOC1"/>
        <w:rPr>
          <w:rFonts w:asciiTheme="minorHAnsi" w:eastAsiaTheme="minorEastAsia" w:hAnsiTheme="minorHAnsi" w:cstheme="minorBidi"/>
          <w:b w:val="0"/>
          <w:bCs w:val="0"/>
          <w:sz w:val="22"/>
          <w:szCs w:val="22"/>
          <w:lang w:val="en-AU" w:eastAsia="en-AU"/>
        </w:rPr>
      </w:pPr>
      <w:hyperlink w:anchor="_Toc62480210" w:history="1">
        <w:r w:rsidR="00FB6602" w:rsidRPr="00515EF7">
          <w:rPr>
            <w:rStyle w:val="Hyperlink"/>
          </w:rPr>
          <w:t>Part 2— National Indigenous Genomics Collection</w:t>
        </w:r>
        <w:r w:rsidR="00FB6602">
          <w:rPr>
            <w:webHidden/>
          </w:rPr>
          <w:tab/>
        </w:r>
        <w:r w:rsidR="00FB6602">
          <w:rPr>
            <w:webHidden/>
          </w:rPr>
          <w:fldChar w:fldCharType="begin"/>
        </w:r>
        <w:r w:rsidR="00FB6602">
          <w:rPr>
            <w:webHidden/>
          </w:rPr>
          <w:instrText xml:space="preserve"> PAGEREF _Toc62480210 \h </w:instrText>
        </w:r>
        <w:r w:rsidR="00FB6602">
          <w:rPr>
            <w:webHidden/>
          </w:rPr>
        </w:r>
        <w:r w:rsidR="00FB6602">
          <w:rPr>
            <w:webHidden/>
          </w:rPr>
          <w:fldChar w:fldCharType="separate"/>
        </w:r>
        <w:r w:rsidR="00FB6602">
          <w:rPr>
            <w:webHidden/>
          </w:rPr>
          <w:t>2</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11" w:history="1">
        <w:r w:rsidR="00FB6602" w:rsidRPr="00515EF7">
          <w:rPr>
            <w:rStyle w:val="Hyperlink"/>
          </w:rPr>
          <w:t>5</w:t>
        </w:r>
        <w:r w:rsidR="00FB6602">
          <w:rPr>
            <w:rFonts w:asciiTheme="minorHAnsi" w:eastAsiaTheme="minorEastAsia" w:hAnsiTheme="minorHAnsi" w:cstheme="minorBidi"/>
            <w:iCs w:val="0"/>
            <w:sz w:val="22"/>
            <w:szCs w:val="22"/>
            <w:lang w:val="en-AU" w:eastAsia="en-AU"/>
          </w:rPr>
          <w:tab/>
        </w:r>
        <w:r w:rsidR="00FB6602" w:rsidRPr="00515EF7">
          <w:rPr>
            <w:rStyle w:val="Hyperlink"/>
          </w:rPr>
          <w:t>The Collection</w:t>
        </w:r>
        <w:r w:rsidR="00FB6602">
          <w:rPr>
            <w:webHidden/>
          </w:rPr>
          <w:tab/>
        </w:r>
        <w:r w:rsidR="00FB6602">
          <w:rPr>
            <w:webHidden/>
          </w:rPr>
          <w:fldChar w:fldCharType="begin"/>
        </w:r>
        <w:r w:rsidR="00FB6602">
          <w:rPr>
            <w:webHidden/>
          </w:rPr>
          <w:instrText xml:space="preserve"> PAGEREF _Toc62480211 \h </w:instrText>
        </w:r>
        <w:r w:rsidR="00FB6602">
          <w:rPr>
            <w:webHidden/>
          </w:rPr>
        </w:r>
        <w:r w:rsidR="00FB6602">
          <w:rPr>
            <w:webHidden/>
          </w:rPr>
          <w:fldChar w:fldCharType="separate"/>
        </w:r>
        <w:r w:rsidR="00FB6602">
          <w:rPr>
            <w:webHidden/>
          </w:rPr>
          <w:t>2</w:t>
        </w:r>
        <w:r w:rsidR="00FB6602">
          <w:rPr>
            <w:webHidden/>
          </w:rPr>
          <w:fldChar w:fldCharType="end"/>
        </w:r>
      </w:hyperlink>
    </w:p>
    <w:p w:rsidR="00FB6602" w:rsidRDefault="00B413C5">
      <w:pPr>
        <w:pStyle w:val="TOC1"/>
        <w:rPr>
          <w:rFonts w:asciiTheme="minorHAnsi" w:eastAsiaTheme="minorEastAsia" w:hAnsiTheme="minorHAnsi" w:cstheme="minorBidi"/>
          <w:b w:val="0"/>
          <w:bCs w:val="0"/>
          <w:sz w:val="22"/>
          <w:szCs w:val="22"/>
          <w:lang w:val="en-AU" w:eastAsia="en-AU"/>
        </w:rPr>
      </w:pPr>
      <w:hyperlink w:anchor="_Toc62480212" w:history="1">
        <w:r w:rsidR="00FB6602" w:rsidRPr="00515EF7">
          <w:rPr>
            <w:rStyle w:val="Hyperlink"/>
          </w:rPr>
          <w:t>Part 3— National Centre for Indigenous Genomics</w:t>
        </w:r>
        <w:r w:rsidR="00FB6602">
          <w:rPr>
            <w:webHidden/>
          </w:rPr>
          <w:tab/>
        </w:r>
        <w:r w:rsidR="00FB6602">
          <w:rPr>
            <w:webHidden/>
          </w:rPr>
          <w:fldChar w:fldCharType="begin"/>
        </w:r>
        <w:r w:rsidR="00FB6602">
          <w:rPr>
            <w:webHidden/>
          </w:rPr>
          <w:instrText xml:space="preserve"> PAGEREF _Toc62480212 \h </w:instrText>
        </w:r>
        <w:r w:rsidR="00FB6602">
          <w:rPr>
            <w:webHidden/>
          </w:rPr>
        </w:r>
        <w:r w:rsidR="00FB6602">
          <w:rPr>
            <w:webHidden/>
          </w:rPr>
          <w:fldChar w:fldCharType="separate"/>
        </w:r>
        <w:r w:rsidR="00FB6602">
          <w:rPr>
            <w:webHidden/>
          </w:rPr>
          <w:t>3</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13" w:history="1">
        <w:r w:rsidR="00FB6602" w:rsidRPr="00515EF7">
          <w:rPr>
            <w:rStyle w:val="Hyperlink"/>
          </w:rPr>
          <w:t>6</w:t>
        </w:r>
        <w:r w:rsidR="00FB6602">
          <w:rPr>
            <w:rFonts w:asciiTheme="minorHAnsi" w:eastAsiaTheme="minorEastAsia" w:hAnsiTheme="minorHAnsi" w:cstheme="minorBidi"/>
            <w:iCs w:val="0"/>
            <w:sz w:val="22"/>
            <w:szCs w:val="22"/>
            <w:lang w:val="en-AU" w:eastAsia="en-AU"/>
          </w:rPr>
          <w:tab/>
        </w:r>
        <w:r w:rsidR="00FB6602" w:rsidRPr="00515EF7">
          <w:rPr>
            <w:rStyle w:val="Hyperlink"/>
          </w:rPr>
          <w:t>Establishment of Centre</w:t>
        </w:r>
        <w:r w:rsidR="00FB6602">
          <w:rPr>
            <w:webHidden/>
          </w:rPr>
          <w:tab/>
        </w:r>
        <w:r w:rsidR="00FB6602">
          <w:rPr>
            <w:webHidden/>
          </w:rPr>
          <w:fldChar w:fldCharType="begin"/>
        </w:r>
        <w:r w:rsidR="00FB6602">
          <w:rPr>
            <w:webHidden/>
          </w:rPr>
          <w:instrText xml:space="preserve"> PAGEREF _Toc62480213 \h </w:instrText>
        </w:r>
        <w:r w:rsidR="00FB6602">
          <w:rPr>
            <w:webHidden/>
          </w:rPr>
        </w:r>
        <w:r w:rsidR="00FB6602">
          <w:rPr>
            <w:webHidden/>
          </w:rPr>
          <w:fldChar w:fldCharType="separate"/>
        </w:r>
        <w:r w:rsidR="00FB6602">
          <w:rPr>
            <w:webHidden/>
          </w:rPr>
          <w:t>3</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14" w:history="1">
        <w:r w:rsidR="00FB6602" w:rsidRPr="00515EF7">
          <w:rPr>
            <w:rStyle w:val="Hyperlink"/>
          </w:rPr>
          <w:t>7</w:t>
        </w:r>
        <w:r w:rsidR="00FB6602">
          <w:rPr>
            <w:rFonts w:asciiTheme="minorHAnsi" w:eastAsiaTheme="minorEastAsia" w:hAnsiTheme="minorHAnsi" w:cstheme="minorBidi"/>
            <w:iCs w:val="0"/>
            <w:sz w:val="22"/>
            <w:szCs w:val="22"/>
            <w:lang w:val="en-AU" w:eastAsia="en-AU"/>
          </w:rPr>
          <w:tab/>
        </w:r>
        <w:r w:rsidR="00FB6602" w:rsidRPr="00515EF7">
          <w:rPr>
            <w:rStyle w:val="Hyperlink"/>
          </w:rPr>
          <w:t>Functions of Centre</w:t>
        </w:r>
        <w:r w:rsidR="00FB6602">
          <w:rPr>
            <w:webHidden/>
          </w:rPr>
          <w:tab/>
        </w:r>
        <w:r w:rsidR="00FB6602">
          <w:rPr>
            <w:webHidden/>
          </w:rPr>
          <w:fldChar w:fldCharType="begin"/>
        </w:r>
        <w:r w:rsidR="00FB6602">
          <w:rPr>
            <w:webHidden/>
          </w:rPr>
          <w:instrText xml:space="preserve"> PAGEREF _Toc62480214 \h </w:instrText>
        </w:r>
        <w:r w:rsidR="00FB6602">
          <w:rPr>
            <w:webHidden/>
          </w:rPr>
        </w:r>
        <w:r w:rsidR="00FB6602">
          <w:rPr>
            <w:webHidden/>
          </w:rPr>
          <w:fldChar w:fldCharType="separate"/>
        </w:r>
        <w:r w:rsidR="00FB6602">
          <w:rPr>
            <w:webHidden/>
          </w:rPr>
          <w:t>3</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15" w:history="1">
        <w:r w:rsidR="00FB6602" w:rsidRPr="00515EF7">
          <w:rPr>
            <w:rStyle w:val="Hyperlink"/>
          </w:rPr>
          <w:t>8</w:t>
        </w:r>
        <w:r w:rsidR="00FB6602">
          <w:rPr>
            <w:rFonts w:asciiTheme="minorHAnsi" w:eastAsiaTheme="minorEastAsia" w:hAnsiTheme="minorHAnsi" w:cstheme="minorBidi"/>
            <w:iCs w:val="0"/>
            <w:sz w:val="22"/>
            <w:szCs w:val="22"/>
            <w:lang w:val="en-AU" w:eastAsia="en-AU"/>
          </w:rPr>
          <w:tab/>
        </w:r>
        <w:r w:rsidR="00FB6602" w:rsidRPr="00515EF7">
          <w:rPr>
            <w:rStyle w:val="Hyperlink"/>
          </w:rPr>
          <w:t>Centre to comply with Commonwealth laws, University legislation etc.</w:t>
        </w:r>
        <w:r w:rsidR="00FB6602">
          <w:rPr>
            <w:webHidden/>
          </w:rPr>
          <w:tab/>
        </w:r>
        <w:r w:rsidR="00FB6602">
          <w:rPr>
            <w:webHidden/>
          </w:rPr>
          <w:fldChar w:fldCharType="begin"/>
        </w:r>
        <w:r w:rsidR="00FB6602">
          <w:rPr>
            <w:webHidden/>
          </w:rPr>
          <w:instrText xml:space="preserve"> PAGEREF _Toc62480215 \h </w:instrText>
        </w:r>
        <w:r w:rsidR="00FB6602">
          <w:rPr>
            <w:webHidden/>
          </w:rPr>
        </w:r>
        <w:r w:rsidR="00FB6602">
          <w:rPr>
            <w:webHidden/>
          </w:rPr>
          <w:fldChar w:fldCharType="separate"/>
        </w:r>
        <w:r w:rsidR="00FB6602">
          <w:rPr>
            <w:webHidden/>
          </w:rPr>
          <w:t>3</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16" w:history="1">
        <w:r w:rsidR="00FB6602" w:rsidRPr="00515EF7">
          <w:rPr>
            <w:rStyle w:val="Hyperlink"/>
          </w:rPr>
          <w:t>9</w:t>
        </w:r>
        <w:r w:rsidR="00FB6602">
          <w:rPr>
            <w:rFonts w:asciiTheme="minorHAnsi" w:eastAsiaTheme="minorEastAsia" w:hAnsiTheme="minorHAnsi" w:cstheme="minorBidi"/>
            <w:iCs w:val="0"/>
            <w:sz w:val="22"/>
            <w:szCs w:val="22"/>
            <w:lang w:val="en-AU" w:eastAsia="en-AU"/>
          </w:rPr>
          <w:tab/>
        </w:r>
        <w:r w:rsidR="00FB6602" w:rsidRPr="00515EF7">
          <w:rPr>
            <w:rStyle w:val="Hyperlink"/>
          </w:rPr>
          <w:t>Director of Centre</w:t>
        </w:r>
        <w:r w:rsidR="00FB6602">
          <w:rPr>
            <w:webHidden/>
          </w:rPr>
          <w:tab/>
        </w:r>
        <w:r w:rsidR="00FB6602">
          <w:rPr>
            <w:webHidden/>
          </w:rPr>
          <w:fldChar w:fldCharType="begin"/>
        </w:r>
        <w:r w:rsidR="00FB6602">
          <w:rPr>
            <w:webHidden/>
          </w:rPr>
          <w:instrText xml:space="preserve"> PAGEREF _Toc62480216 \h </w:instrText>
        </w:r>
        <w:r w:rsidR="00FB6602">
          <w:rPr>
            <w:webHidden/>
          </w:rPr>
        </w:r>
        <w:r w:rsidR="00FB6602">
          <w:rPr>
            <w:webHidden/>
          </w:rPr>
          <w:fldChar w:fldCharType="separate"/>
        </w:r>
        <w:r w:rsidR="00FB6602">
          <w:rPr>
            <w:webHidden/>
          </w:rPr>
          <w:t>3</w:t>
        </w:r>
        <w:r w:rsidR="00FB6602">
          <w:rPr>
            <w:webHidden/>
          </w:rPr>
          <w:fldChar w:fldCharType="end"/>
        </w:r>
      </w:hyperlink>
    </w:p>
    <w:p w:rsidR="00FB6602" w:rsidRDefault="00B413C5">
      <w:pPr>
        <w:pStyle w:val="TOC1"/>
        <w:rPr>
          <w:rFonts w:asciiTheme="minorHAnsi" w:eastAsiaTheme="minorEastAsia" w:hAnsiTheme="minorHAnsi" w:cstheme="minorBidi"/>
          <w:b w:val="0"/>
          <w:bCs w:val="0"/>
          <w:sz w:val="22"/>
          <w:szCs w:val="22"/>
          <w:lang w:val="en-AU" w:eastAsia="en-AU"/>
        </w:rPr>
      </w:pPr>
      <w:hyperlink w:anchor="_Toc62480217" w:history="1">
        <w:r w:rsidR="00FB6602" w:rsidRPr="00515EF7">
          <w:rPr>
            <w:rStyle w:val="Hyperlink"/>
          </w:rPr>
          <w:t>Part 4— Board of Centre</w:t>
        </w:r>
        <w:r w:rsidR="00FB6602">
          <w:rPr>
            <w:webHidden/>
          </w:rPr>
          <w:tab/>
        </w:r>
        <w:r w:rsidR="00FB6602">
          <w:rPr>
            <w:webHidden/>
          </w:rPr>
          <w:fldChar w:fldCharType="begin"/>
        </w:r>
        <w:r w:rsidR="00FB6602">
          <w:rPr>
            <w:webHidden/>
          </w:rPr>
          <w:instrText xml:space="preserve"> PAGEREF _Toc62480217 \h </w:instrText>
        </w:r>
        <w:r w:rsidR="00FB6602">
          <w:rPr>
            <w:webHidden/>
          </w:rPr>
        </w:r>
        <w:r w:rsidR="00FB6602">
          <w:rPr>
            <w:webHidden/>
          </w:rPr>
          <w:fldChar w:fldCharType="separate"/>
        </w:r>
        <w:r w:rsidR="00FB6602">
          <w:rPr>
            <w:webHidden/>
          </w:rPr>
          <w:t>5</w:t>
        </w:r>
        <w:r w:rsidR="00FB6602">
          <w:rPr>
            <w:webHidden/>
          </w:rPr>
          <w:fldChar w:fldCharType="end"/>
        </w:r>
      </w:hyperlink>
    </w:p>
    <w:p w:rsidR="00FB6602" w:rsidRDefault="00B413C5">
      <w:pPr>
        <w:pStyle w:val="TOC2"/>
        <w:rPr>
          <w:rFonts w:asciiTheme="minorHAnsi" w:eastAsiaTheme="minorEastAsia" w:hAnsiTheme="minorHAnsi" w:cstheme="minorBidi"/>
          <w:b w:val="0"/>
          <w:lang w:val="en-AU" w:eastAsia="en-AU"/>
        </w:rPr>
      </w:pPr>
      <w:hyperlink w:anchor="_Toc62480218" w:history="1">
        <w:r w:rsidR="00FB6602" w:rsidRPr="00515EF7">
          <w:rPr>
            <w:rStyle w:val="Hyperlink"/>
          </w:rPr>
          <w:t>Division 4.1— Establishment, role and functions of Board</w:t>
        </w:r>
        <w:r w:rsidR="00FB6602">
          <w:rPr>
            <w:webHidden/>
          </w:rPr>
          <w:tab/>
        </w:r>
        <w:r w:rsidR="00FB6602">
          <w:rPr>
            <w:webHidden/>
          </w:rPr>
          <w:fldChar w:fldCharType="begin"/>
        </w:r>
        <w:r w:rsidR="00FB6602">
          <w:rPr>
            <w:webHidden/>
          </w:rPr>
          <w:instrText xml:space="preserve"> PAGEREF _Toc62480218 \h </w:instrText>
        </w:r>
        <w:r w:rsidR="00FB6602">
          <w:rPr>
            <w:webHidden/>
          </w:rPr>
        </w:r>
        <w:r w:rsidR="00FB6602">
          <w:rPr>
            <w:webHidden/>
          </w:rPr>
          <w:fldChar w:fldCharType="separate"/>
        </w:r>
        <w:r w:rsidR="00FB6602">
          <w:rPr>
            <w:webHidden/>
          </w:rPr>
          <w:t>5</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19" w:history="1">
        <w:r w:rsidR="00FB6602" w:rsidRPr="00515EF7">
          <w:rPr>
            <w:rStyle w:val="Hyperlink"/>
          </w:rPr>
          <w:t>10</w:t>
        </w:r>
        <w:r w:rsidR="00FB6602">
          <w:rPr>
            <w:rFonts w:asciiTheme="minorHAnsi" w:eastAsiaTheme="minorEastAsia" w:hAnsiTheme="minorHAnsi" w:cstheme="minorBidi"/>
            <w:iCs w:val="0"/>
            <w:sz w:val="22"/>
            <w:szCs w:val="22"/>
            <w:lang w:val="en-AU" w:eastAsia="en-AU"/>
          </w:rPr>
          <w:tab/>
        </w:r>
        <w:r w:rsidR="00FB6602" w:rsidRPr="00515EF7">
          <w:rPr>
            <w:rStyle w:val="Hyperlink"/>
          </w:rPr>
          <w:t>Establishment of Board</w:t>
        </w:r>
        <w:r w:rsidR="00FB6602">
          <w:rPr>
            <w:webHidden/>
          </w:rPr>
          <w:tab/>
        </w:r>
        <w:r w:rsidR="00FB6602">
          <w:rPr>
            <w:webHidden/>
          </w:rPr>
          <w:fldChar w:fldCharType="begin"/>
        </w:r>
        <w:r w:rsidR="00FB6602">
          <w:rPr>
            <w:webHidden/>
          </w:rPr>
          <w:instrText xml:space="preserve"> PAGEREF _Toc62480219 \h </w:instrText>
        </w:r>
        <w:r w:rsidR="00FB6602">
          <w:rPr>
            <w:webHidden/>
          </w:rPr>
        </w:r>
        <w:r w:rsidR="00FB6602">
          <w:rPr>
            <w:webHidden/>
          </w:rPr>
          <w:fldChar w:fldCharType="separate"/>
        </w:r>
        <w:r w:rsidR="00FB6602">
          <w:rPr>
            <w:webHidden/>
          </w:rPr>
          <w:t>5</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20" w:history="1">
        <w:r w:rsidR="00FB6602" w:rsidRPr="00515EF7">
          <w:rPr>
            <w:rStyle w:val="Hyperlink"/>
          </w:rPr>
          <w:t>11</w:t>
        </w:r>
        <w:r w:rsidR="00FB6602">
          <w:rPr>
            <w:rFonts w:asciiTheme="minorHAnsi" w:eastAsiaTheme="minorEastAsia" w:hAnsiTheme="minorHAnsi" w:cstheme="minorBidi"/>
            <w:iCs w:val="0"/>
            <w:sz w:val="22"/>
            <w:szCs w:val="22"/>
            <w:lang w:val="en-AU" w:eastAsia="en-AU"/>
          </w:rPr>
          <w:tab/>
        </w:r>
        <w:r w:rsidR="00FB6602" w:rsidRPr="00515EF7">
          <w:rPr>
            <w:rStyle w:val="Hyperlink"/>
          </w:rPr>
          <w:t>Delegation of custodianship of collection to Board</w:t>
        </w:r>
        <w:r w:rsidR="00FB6602">
          <w:rPr>
            <w:webHidden/>
          </w:rPr>
          <w:tab/>
        </w:r>
        <w:r w:rsidR="00FB6602">
          <w:rPr>
            <w:webHidden/>
          </w:rPr>
          <w:fldChar w:fldCharType="begin"/>
        </w:r>
        <w:r w:rsidR="00FB6602">
          <w:rPr>
            <w:webHidden/>
          </w:rPr>
          <w:instrText xml:space="preserve"> PAGEREF _Toc62480220 \h </w:instrText>
        </w:r>
        <w:r w:rsidR="00FB6602">
          <w:rPr>
            <w:webHidden/>
          </w:rPr>
        </w:r>
        <w:r w:rsidR="00FB6602">
          <w:rPr>
            <w:webHidden/>
          </w:rPr>
          <w:fldChar w:fldCharType="separate"/>
        </w:r>
        <w:r w:rsidR="00FB6602">
          <w:rPr>
            <w:webHidden/>
          </w:rPr>
          <w:t>5</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21" w:history="1">
        <w:r w:rsidR="00FB6602" w:rsidRPr="00515EF7">
          <w:rPr>
            <w:rStyle w:val="Hyperlink"/>
          </w:rPr>
          <w:t>12</w:t>
        </w:r>
        <w:r w:rsidR="00FB6602">
          <w:rPr>
            <w:rFonts w:asciiTheme="minorHAnsi" w:eastAsiaTheme="minorEastAsia" w:hAnsiTheme="minorHAnsi" w:cstheme="minorBidi"/>
            <w:iCs w:val="0"/>
            <w:sz w:val="22"/>
            <w:szCs w:val="22"/>
            <w:lang w:val="en-AU" w:eastAsia="en-AU"/>
          </w:rPr>
          <w:tab/>
        </w:r>
        <w:r w:rsidR="00FB6602" w:rsidRPr="00515EF7">
          <w:rPr>
            <w:rStyle w:val="Hyperlink"/>
          </w:rPr>
          <w:t>Functions of Board</w:t>
        </w:r>
        <w:r w:rsidR="00FB6602">
          <w:rPr>
            <w:webHidden/>
          </w:rPr>
          <w:tab/>
        </w:r>
        <w:r w:rsidR="00FB6602">
          <w:rPr>
            <w:webHidden/>
          </w:rPr>
          <w:fldChar w:fldCharType="begin"/>
        </w:r>
        <w:r w:rsidR="00FB6602">
          <w:rPr>
            <w:webHidden/>
          </w:rPr>
          <w:instrText xml:space="preserve"> PAGEREF _Toc62480221 \h </w:instrText>
        </w:r>
        <w:r w:rsidR="00FB6602">
          <w:rPr>
            <w:webHidden/>
          </w:rPr>
        </w:r>
        <w:r w:rsidR="00FB6602">
          <w:rPr>
            <w:webHidden/>
          </w:rPr>
          <w:fldChar w:fldCharType="separate"/>
        </w:r>
        <w:r w:rsidR="00FB6602">
          <w:rPr>
            <w:webHidden/>
          </w:rPr>
          <w:t>5</w:t>
        </w:r>
        <w:r w:rsidR="00FB6602">
          <w:rPr>
            <w:webHidden/>
          </w:rPr>
          <w:fldChar w:fldCharType="end"/>
        </w:r>
      </w:hyperlink>
    </w:p>
    <w:p w:rsidR="00FB6602" w:rsidRDefault="00B413C5">
      <w:pPr>
        <w:pStyle w:val="TOC2"/>
        <w:rPr>
          <w:rFonts w:asciiTheme="minorHAnsi" w:eastAsiaTheme="minorEastAsia" w:hAnsiTheme="minorHAnsi" w:cstheme="minorBidi"/>
          <w:b w:val="0"/>
          <w:lang w:val="en-AU" w:eastAsia="en-AU"/>
        </w:rPr>
      </w:pPr>
      <w:hyperlink w:anchor="_Toc62480222" w:history="1">
        <w:r w:rsidR="00FB6602" w:rsidRPr="00515EF7">
          <w:rPr>
            <w:rStyle w:val="Hyperlink"/>
          </w:rPr>
          <w:t>Division 4.2— Board members</w:t>
        </w:r>
        <w:r w:rsidR="00FB6602">
          <w:rPr>
            <w:webHidden/>
          </w:rPr>
          <w:tab/>
        </w:r>
        <w:r w:rsidR="00FB6602">
          <w:rPr>
            <w:webHidden/>
          </w:rPr>
          <w:fldChar w:fldCharType="begin"/>
        </w:r>
        <w:r w:rsidR="00FB6602">
          <w:rPr>
            <w:webHidden/>
          </w:rPr>
          <w:instrText xml:space="preserve"> PAGEREF _Toc62480222 \h </w:instrText>
        </w:r>
        <w:r w:rsidR="00FB6602">
          <w:rPr>
            <w:webHidden/>
          </w:rPr>
        </w:r>
        <w:r w:rsidR="00FB6602">
          <w:rPr>
            <w:webHidden/>
          </w:rPr>
          <w:fldChar w:fldCharType="separate"/>
        </w:r>
        <w:r w:rsidR="00FB6602">
          <w:rPr>
            <w:webHidden/>
          </w:rPr>
          <w:t>5</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23" w:history="1">
        <w:r w:rsidR="00FB6602" w:rsidRPr="00515EF7">
          <w:rPr>
            <w:rStyle w:val="Hyperlink"/>
          </w:rPr>
          <w:t>13</w:t>
        </w:r>
        <w:r w:rsidR="00FB6602">
          <w:rPr>
            <w:rFonts w:asciiTheme="minorHAnsi" w:eastAsiaTheme="minorEastAsia" w:hAnsiTheme="minorHAnsi" w:cstheme="minorBidi"/>
            <w:iCs w:val="0"/>
            <w:sz w:val="22"/>
            <w:szCs w:val="22"/>
            <w:lang w:val="en-AU" w:eastAsia="en-AU"/>
          </w:rPr>
          <w:tab/>
        </w:r>
        <w:r w:rsidR="00FB6602" w:rsidRPr="00515EF7">
          <w:rPr>
            <w:rStyle w:val="Hyperlink"/>
          </w:rPr>
          <w:t>Appointment of members</w:t>
        </w:r>
        <w:r w:rsidR="00FB6602">
          <w:rPr>
            <w:webHidden/>
          </w:rPr>
          <w:tab/>
        </w:r>
        <w:r w:rsidR="00FB6602">
          <w:rPr>
            <w:webHidden/>
          </w:rPr>
          <w:fldChar w:fldCharType="begin"/>
        </w:r>
        <w:r w:rsidR="00FB6602">
          <w:rPr>
            <w:webHidden/>
          </w:rPr>
          <w:instrText xml:space="preserve"> PAGEREF _Toc62480223 \h </w:instrText>
        </w:r>
        <w:r w:rsidR="00FB6602">
          <w:rPr>
            <w:webHidden/>
          </w:rPr>
        </w:r>
        <w:r w:rsidR="00FB6602">
          <w:rPr>
            <w:webHidden/>
          </w:rPr>
          <w:fldChar w:fldCharType="separate"/>
        </w:r>
        <w:r w:rsidR="00FB6602">
          <w:rPr>
            <w:webHidden/>
          </w:rPr>
          <w:t>5</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24" w:history="1">
        <w:r w:rsidR="00FB6602" w:rsidRPr="00515EF7">
          <w:rPr>
            <w:rStyle w:val="Hyperlink"/>
          </w:rPr>
          <w:t>14</w:t>
        </w:r>
        <w:r w:rsidR="00FB6602">
          <w:rPr>
            <w:rFonts w:asciiTheme="minorHAnsi" w:eastAsiaTheme="minorEastAsia" w:hAnsiTheme="minorHAnsi" w:cstheme="minorBidi"/>
            <w:iCs w:val="0"/>
            <w:sz w:val="22"/>
            <w:szCs w:val="22"/>
            <w:lang w:val="en-AU" w:eastAsia="en-AU"/>
          </w:rPr>
          <w:tab/>
        </w:r>
        <w:r w:rsidR="00FB6602" w:rsidRPr="00515EF7">
          <w:rPr>
            <w:rStyle w:val="Hyperlink"/>
          </w:rPr>
          <w:t>Chair and Deputy Chair of Board</w:t>
        </w:r>
        <w:r w:rsidR="00FB6602">
          <w:rPr>
            <w:webHidden/>
          </w:rPr>
          <w:tab/>
        </w:r>
        <w:r w:rsidR="00FB6602">
          <w:rPr>
            <w:webHidden/>
          </w:rPr>
          <w:fldChar w:fldCharType="begin"/>
        </w:r>
        <w:r w:rsidR="00FB6602">
          <w:rPr>
            <w:webHidden/>
          </w:rPr>
          <w:instrText xml:space="preserve"> PAGEREF _Toc62480224 \h </w:instrText>
        </w:r>
        <w:r w:rsidR="00FB6602">
          <w:rPr>
            <w:webHidden/>
          </w:rPr>
        </w:r>
        <w:r w:rsidR="00FB6602">
          <w:rPr>
            <w:webHidden/>
          </w:rPr>
          <w:fldChar w:fldCharType="separate"/>
        </w:r>
        <w:r w:rsidR="00FB6602">
          <w:rPr>
            <w:webHidden/>
          </w:rPr>
          <w:t>6</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25" w:history="1">
        <w:r w:rsidR="00FB6602" w:rsidRPr="00515EF7">
          <w:rPr>
            <w:rStyle w:val="Hyperlink"/>
          </w:rPr>
          <w:t>15</w:t>
        </w:r>
        <w:r w:rsidR="00FB6602">
          <w:rPr>
            <w:rFonts w:asciiTheme="minorHAnsi" w:eastAsiaTheme="minorEastAsia" w:hAnsiTheme="minorHAnsi" w:cstheme="minorBidi"/>
            <w:iCs w:val="0"/>
            <w:sz w:val="22"/>
            <w:szCs w:val="22"/>
            <w:lang w:val="en-AU" w:eastAsia="en-AU"/>
          </w:rPr>
          <w:tab/>
        </w:r>
        <w:r w:rsidR="00FB6602" w:rsidRPr="00515EF7">
          <w:rPr>
            <w:rStyle w:val="Hyperlink"/>
          </w:rPr>
          <w:t>Remuneration etc. of members</w:t>
        </w:r>
        <w:r w:rsidR="00FB6602">
          <w:rPr>
            <w:webHidden/>
          </w:rPr>
          <w:tab/>
        </w:r>
        <w:r w:rsidR="00FB6602">
          <w:rPr>
            <w:webHidden/>
          </w:rPr>
          <w:fldChar w:fldCharType="begin"/>
        </w:r>
        <w:r w:rsidR="00FB6602">
          <w:rPr>
            <w:webHidden/>
          </w:rPr>
          <w:instrText xml:space="preserve"> PAGEREF _Toc62480225 \h </w:instrText>
        </w:r>
        <w:r w:rsidR="00FB6602">
          <w:rPr>
            <w:webHidden/>
          </w:rPr>
        </w:r>
        <w:r w:rsidR="00FB6602">
          <w:rPr>
            <w:webHidden/>
          </w:rPr>
          <w:fldChar w:fldCharType="separate"/>
        </w:r>
        <w:r w:rsidR="00FB6602">
          <w:rPr>
            <w:webHidden/>
          </w:rPr>
          <w:t>6</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26" w:history="1">
        <w:r w:rsidR="00FB6602" w:rsidRPr="00515EF7">
          <w:rPr>
            <w:rStyle w:val="Hyperlink"/>
          </w:rPr>
          <w:t>16</w:t>
        </w:r>
        <w:r w:rsidR="00FB6602">
          <w:rPr>
            <w:rFonts w:asciiTheme="minorHAnsi" w:eastAsiaTheme="minorEastAsia" w:hAnsiTheme="minorHAnsi" w:cstheme="minorBidi"/>
            <w:iCs w:val="0"/>
            <w:sz w:val="22"/>
            <w:szCs w:val="22"/>
            <w:lang w:val="en-AU" w:eastAsia="en-AU"/>
          </w:rPr>
          <w:tab/>
        </w:r>
        <w:r w:rsidR="00FB6602" w:rsidRPr="00515EF7">
          <w:rPr>
            <w:rStyle w:val="Hyperlink"/>
          </w:rPr>
          <w:t>Resignation of members</w:t>
        </w:r>
        <w:r w:rsidR="00FB6602">
          <w:rPr>
            <w:webHidden/>
          </w:rPr>
          <w:tab/>
        </w:r>
        <w:r w:rsidR="00FB6602">
          <w:rPr>
            <w:webHidden/>
          </w:rPr>
          <w:fldChar w:fldCharType="begin"/>
        </w:r>
        <w:r w:rsidR="00FB6602">
          <w:rPr>
            <w:webHidden/>
          </w:rPr>
          <w:instrText xml:space="preserve"> PAGEREF _Toc62480226 \h </w:instrText>
        </w:r>
        <w:r w:rsidR="00FB6602">
          <w:rPr>
            <w:webHidden/>
          </w:rPr>
        </w:r>
        <w:r w:rsidR="00FB6602">
          <w:rPr>
            <w:webHidden/>
          </w:rPr>
          <w:fldChar w:fldCharType="separate"/>
        </w:r>
        <w:r w:rsidR="00FB6602">
          <w:rPr>
            <w:webHidden/>
          </w:rPr>
          <w:t>6</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27" w:history="1">
        <w:r w:rsidR="00FB6602" w:rsidRPr="00515EF7">
          <w:rPr>
            <w:rStyle w:val="Hyperlink"/>
          </w:rPr>
          <w:t>17</w:t>
        </w:r>
        <w:r w:rsidR="00FB6602">
          <w:rPr>
            <w:rFonts w:asciiTheme="minorHAnsi" w:eastAsiaTheme="minorEastAsia" w:hAnsiTheme="minorHAnsi" w:cstheme="minorBidi"/>
            <w:iCs w:val="0"/>
            <w:sz w:val="22"/>
            <w:szCs w:val="22"/>
            <w:lang w:val="en-AU" w:eastAsia="en-AU"/>
          </w:rPr>
          <w:tab/>
        </w:r>
        <w:r w:rsidR="00FB6602" w:rsidRPr="00515EF7">
          <w:rPr>
            <w:rStyle w:val="Hyperlink"/>
          </w:rPr>
          <w:t>Duty of members to disclose interests</w:t>
        </w:r>
        <w:r w:rsidR="00FB6602">
          <w:rPr>
            <w:webHidden/>
          </w:rPr>
          <w:tab/>
        </w:r>
        <w:r w:rsidR="00FB6602">
          <w:rPr>
            <w:webHidden/>
          </w:rPr>
          <w:fldChar w:fldCharType="begin"/>
        </w:r>
        <w:r w:rsidR="00FB6602">
          <w:rPr>
            <w:webHidden/>
          </w:rPr>
          <w:instrText xml:space="preserve"> PAGEREF _Toc62480227 \h </w:instrText>
        </w:r>
        <w:r w:rsidR="00FB6602">
          <w:rPr>
            <w:webHidden/>
          </w:rPr>
        </w:r>
        <w:r w:rsidR="00FB6602">
          <w:rPr>
            <w:webHidden/>
          </w:rPr>
          <w:fldChar w:fldCharType="separate"/>
        </w:r>
        <w:r w:rsidR="00FB6602">
          <w:rPr>
            <w:webHidden/>
          </w:rPr>
          <w:t>7</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28" w:history="1">
        <w:r w:rsidR="00FB6602" w:rsidRPr="00515EF7">
          <w:rPr>
            <w:rStyle w:val="Hyperlink"/>
          </w:rPr>
          <w:t>18</w:t>
        </w:r>
        <w:r w:rsidR="00FB6602">
          <w:rPr>
            <w:rFonts w:asciiTheme="minorHAnsi" w:eastAsiaTheme="minorEastAsia" w:hAnsiTheme="minorHAnsi" w:cstheme="minorBidi"/>
            <w:iCs w:val="0"/>
            <w:sz w:val="22"/>
            <w:szCs w:val="22"/>
            <w:lang w:val="en-AU" w:eastAsia="en-AU"/>
          </w:rPr>
          <w:tab/>
        </w:r>
        <w:r w:rsidR="00FB6602" w:rsidRPr="00515EF7">
          <w:rPr>
            <w:rStyle w:val="Hyperlink"/>
          </w:rPr>
          <w:t>Termination of appointment of members</w:t>
        </w:r>
        <w:r w:rsidR="00FB6602">
          <w:rPr>
            <w:webHidden/>
          </w:rPr>
          <w:tab/>
        </w:r>
        <w:r w:rsidR="00FB6602">
          <w:rPr>
            <w:webHidden/>
          </w:rPr>
          <w:fldChar w:fldCharType="begin"/>
        </w:r>
        <w:r w:rsidR="00FB6602">
          <w:rPr>
            <w:webHidden/>
          </w:rPr>
          <w:instrText xml:space="preserve"> PAGEREF _Toc62480228 \h </w:instrText>
        </w:r>
        <w:r w:rsidR="00FB6602">
          <w:rPr>
            <w:webHidden/>
          </w:rPr>
        </w:r>
        <w:r w:rsidR="00FB6602">
          <w:rPr>
            <w:webHidden/>
          </w:rPr>
          <w:fldChar w:fldCharType="separate"/>
        </w:r>
        <w:r w:rsidR="00FB6602">
          <w:rPr>
            <w:webHidden/>
          </w:rPr>
          <w:t>7</w:t>
        </w:r>
        <w:r w:rsidR="00FB6602">
          <w:rPr>
            <w:webHidden/>
          </w:rPr>
          <w:fldChar w:fldCharType="end"/>
        </w:r>
      </w:hyperlink>
    </w:p>
    <w:p w:rsidR="00FB6602" w:rsidRDefault="00B413C5">
      <w:pPr>
        <w:pStyle w:val="TOC2"/>
        <w:rPr>
          <w:rFonts w:asciiTheme="minorHAnsi" w:eastAsiaTheme="minorEastAsia" w:hAnsiTheme="minorHAnsi" w:cstheme="minorBidi"/>
          <w:b w:val="0"/>
          <w:lang w:val="en-AU" w:eastAsia="en-AU"/>
        </w:rPr>
      </w:pPr>
      <w:hyperlink w:anchor="_Toc62480229" w:history="1">
        <w:r w:rsidR="00FB6602" w:rsidRPr="00515EF7">
          <w:rPr>
            <w:rStyle w:val="Hyperlink"/>
          </w:rPr>
          <w:t>Division 4.3— Annual reports and operational plans</w:t>
        </w:r>
        <w:r w:rsidR="00FB6602">
          <w:rPr>
            <w:webHidden/>
          </w:rPr>
          <w:tab/>
        </w:r>
        <w:r w:rsidR="00FB6602">
          <w:rPr>
            <w:webHidden/>
          </w:rPr>
          <w:fldChar w:fldCharType="begin"/>
        </w:r>
        <w:r w:rsidR="00FB6602">
          <w:rPr>
            <w:webHidden/>
          </w:rPr>
          <w:instrText xml:space="preserve"> PAGEREF _Toc62480229 \h </w:instrText>
        </w:r>
        <w:r w:rsidR="00FB6602">
          <w:rPr>
            <w:webHidden/>
          </w:rPr>
        </w:r>
        <w:r w:rsidR="00FB6602">
          <w:rPr>
            <w:webHidden/>
          </w:rPr>
          <w:fldChar w:fldCharType="separate"/>
        </w:r>
        <w:r w:rsidR="00FB6602">
          <w:rPr>
            <w:webHidden/>
          </w:rPr>
          <w:t>8</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30" w:history="1">
        <w:r w:rsidR="00FB6602" w:rsidRPr="00515EF7">
          <w:rPr>
            <w:rStyle w:val="Hyperlink"/>
          </w:rPr>
          <w:t>19</w:t>
        </w:r>
        <w:r w:rsidR="00FB6602">
          <w:rPr>
            <w:rFonts w:asciiTheme="minorHAnsi" w:eastAsiaTheme="minorEastAsia" w:hAnsiTheme="minorHAnsi" w:cstheme="minorBidi"/>
            <w:iCs w:val="0"/>
            <w:sz w:val="22"/>
            <w:szCs w:val="22"/>
            <w:lang w:val="en-AU" w:eastAsia="en-AU"/>
          </w:rPr>
          <w:tab/>
        </w:r>
        <w:r w:rsidR="00FB6602" w:rsidRPr="00515EF7">
          <w:rPr>
            <w:rStyle w:val="Hyperlink"/>
          </w:rPr>
          <w:t>Annual reports</w:t>
        </w:r>
        <w:r w:rsidR="00FB6602">
          <w:rPr>
            <w:webHidden/>
          </w:rPr>
          <w:tab/>
        </w:r>
        <w:r w:rsidR="00FB6602">
          <w:rPr>
            <w:webHidden/>
          </w:rPr>
          <w:fldChar w:fldCharType="begin"/>
        </w:r>
        <w:r w:rsidR="00FB6602">
          <w:rPr>
            <w:webHidden/>
          </w:rPr>
          <w:instrText xml:space="preserve"> PAGEREF _Toc62480230 \h </w:instrText>
        </w:r>
        <w:r w:rsidR="00FB6602">
          <w:rPr>
            <w:webHidden/>
          </w:rPr>
        </w:r>
        <w:r w:rsidR="00FB6602">
          <w:rPr>
            <w:webHidden/>
          </w:rPr>
          <w:fldChar w:fldCharType="separate"/>
        </w:r>
        <w:r w:rsidR="00FB6602">
          <w:rPr>
            <w:webHidden/>
          </w:rPr>
          <w:t>8</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31" w:history="1">
        <w:r w:rsidR="00FB6602" w:rsidRPr="00515EF7">
          <w:rPr>
            <w:rStyle w:val="Hyperlink"/>
          </w:rPr>
          <w:t>20</w:t>
        </w:r>
        <w:r w:rsidR="00FB6602">
          <w:rPr>
            <w:rFonts w:asciiTheme="minorHAnsi" w:eastAsiaTheme="minorEastAsia" w:hAnsiTheme="minorHAnsi" w:cstheme="minorBidi"/>
            <w:iCs w:val="0"/>
            <w:sz w:val="22"/>
            <w:szCs w:val="22"/>
            <w:lang w:val="en-AU" w:eastAsia="en-AU"/>
          </w:rPr>
          <w:tab/>
        </w:r>
        <w:r w:rsidR="00FB6602" w:rsidRPr="00515EF7">
          <w:rPr>
            <w:rStyle w:val="Hyperlink"/>
          </w:rPr>
          <w:t>Operational plans</w:t>
        </w:r>
        <w:r w:rsidR="00FB6602">
          <w:rPr>
            <w:webHidden/>
          </w:rPr>
          <w:tab/>
        </w:r>
        <w:r w:rsidR="00FB6602">
          <w:rPr>
            <w:webHidden/>
          </w:rPr>
          <w:fldChar w:fldCharType="begin"/>
        </w:r>
        <w:r w:rsidR="00FB6602">
          <w:rPr>
            <w:webHidden/>
          </w:rPr>
          <w:instrText xml:space="preserve"> PAGEREF _Toc62480231 \h </w:instrText>
        </w:r>
        <w:r w:rsidR="00FB6602">
          <w:rPr>
            <w:webHidden/>
          </w:rPr>
        </w:r>
        <w:r w:rsidR="00FB6602">
          <w:rPr>
            <w:webHidden/>
          </w:rPr>
          <w:fldChar w:fldCharType="separate"/>
        </w:r>
        <w:r w:rsidR="00FB6602">
          <w:rPr>
            <w:webHidden/>
          </w:rPr>
          <w:t>8</w:t>
        </w:r>
        <w:r w:rsidR="00FB6602">
          <w:rPr>
            <w:webHidden/>
          </w:rPr>
          <w:fldChar w:fldCharType="end"/>
        </w:r>
      </w:hyperlink>
    </w:p>
    <w:p w:rsidR="00FB6602" w:rsidRDefault="00B413C5">
      <w:pPr>
        <w:pStyle w:val="TOC2"/>
        <w:rPr>
          <w:rFonts w:asciiTheme="minorHAnsi" w:eastAsiaTheme="minorEastAsia" w:hAnsiTheme="minorHAnsi" w:cstheme="minorBidi"/>
          <w:b w:val="0"/>
          <w:lang w:val="en-AU" w:eastAsia="en-AU"/>
        </w:rPr>
      </w:pPr>
      <w:hyperlink w:anchor="_Toc62480232" w:history="1">
        <w:r w:rsidR="00FB6602" w:rsidRPr="00515EF7">
          <w:rPr>
            <w:rStyle w:val="Hyperlink"/>
          </w:rPr>
          <w:t>Division 4.4— Board proceedings</w:t>
        </w:r>
        <w:r w:rsidR="00FB6602">
          <w:rPr>
            <w:webHidden/>
          </w:rPr>
          <w:tab/>
        </w:r>
        <w:r w:rsidR="00FB6602">
          <w:rPr>
            <w:webHidden/>
          </w:rPr>
          <w:fldChar w:fldCharType="begin"/>
        </w:r>
        <w:r w:rsidR="00FB6602">
          <w:rPr>
            <w:webHidden/>
          </w:rPr>
          <w:instrText xml:space="preserve"> PAGEREF _Toc62480232 \h </w:instrText>
        </w:r>
        <w:r w:rsidR="00FB6602">
          <w:rPr>
            <w:webHidden/>
          </w:rPr>
        </w:r>
        <w:r w:rsidR="00FB6602">
          <w:rPr>
            <w:webHidden/>
          </w:rPr>
          <w:fldChar w:fldCharType="separate"/>
        </w:r>
        <w:r w:rsidR="00FB6602">
          <w:rPr>
            <w:webHidden/>
          </w:rPr>
          <w:t>9</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33" w:history="1">
        <w:r w:rsidR="00FB6602" w:rsidRPr="00515EF7">
          <w:rPr>
            <w:rStyle w:val="Hyperlink"/>
          </w:rPr>
          <w:t>21</w:t>
        </w:r>
        <w:r w:rsidR="00FB6602">
          <w:rPr>
            <w:rFonts w:asciiTheme="minorHAnsi" w:eastAsiaTheme="minorEastAsia" w:hAnsiTheme="minorHAnsi" w:cstheme="minorBidi"/>
            <w:iCs w:val="0"/>
            <w:sz w:val="22"/>
            <w:szCs w:val="22"/>
            <w:lang w:val="en-AU" w:eastAsia="en-AU"/>
          </w:rPr>
          <w:tab/>
        </w:r>
        <w:r w:rsidR="00FB6602" w:rsidRPr="00515EF7">
          <w:rPr>
            <w:rStyle w:val="Hyperlink"/>
          </w:rPr>
          <w:t>Calling Board meetings</w:t>
        </w:r>
        <w:r w:rsidR="00FB6602">
          <w:rPr>
            <w:webHidden/>
          </w:rPr>
          <w:tab/>
        </w:r>
        <w:r w:rsidR="00FB6602">
          <w:rPr>
            <w:webHidden/>
          </w:rPr>
          <w:fldChar w:fldCharType="begin"/>
        </w:r>
        <w:r w:rsidR="00FB6602">
          <w:rPr>
            <w:webHidden/>
          </w:rPr>
          <w:instrText xml:space="preserve"> PAGEREF _Toc62480233 \h </w:instrText>
        </w:r>
        <w:r w:rsidR="00FB6602">
          <w:rPr>
            <w:webHidden/>
          </w:rPr>
        </w:r>
        <w:r w:rsidR="00FB6602">
          <w:rPr>
            <w:webHidden/>
          </w:rPr>
          <w:fldChar w:fldCharType="separate"/>
        </w:r>
        <w:r w:rsidR="00FB6602">
          <w:rPr>
            <w:webHidden/>
          </w:rPr>
          <w:t>9</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34" w:history="1">
        <w:r w:rsidR="00FB6602" w:rsidRPr="00515EF7">
          <w:rPr>
            <w:rStyle w:val="Hyperlink"/>
          </w:rPr>
          <w:t>22</w:t>
        </w:r>
        <w:r w:rsidR="00FB6602">
          <w:rPr>
            <w:rFonts w:asciiTheme="minorHAnsi" w:eastAsiaTheme="minorEastAsia" w:hAnsiTheme="minorHAnsi" w:cstheme="minorBidi"/>
            <w:iCs w:val="0"/>
            <w:sz w:val="22"/>
            <w:szCs w:val="22"/>
            <w:lang w:val="en-AU" w:eastAsia="en-AU"/>
          </w:rPr>
          <w:tab/>
        </w:r>
        <w:r w:rsidR="00FB6602" w:rsidRPr="00515EF7">
          <w:rPr>
            <w:rStyle w:val="Hyperlink"/>
          </w:rPr>
          <w:t>Presiding at Board meetings</w:t>
        </w:r>
        <w:r w:rsidR="00FB6602">
          <w:rPr>
            <w:webHidden/>
          </w:rPr>
          <w:tab/>
        </w:r>
        <w:r w:rsidR="00FB6602">
          <w:rPr>
            <w:webHidden/>
          </w:rPr>
          <w:fldChar w:fldCharType="begin"/>
        </w:r>
        <w:r w:rsidR="00FB6602">
          <w:rPr>
            <w:webHidden/>
          </w:rPr>
          <w:instrText xml:space="preserve"> PAGEREF _Toc62480234 \h </w:instrText>
        </w:r>
        <w:r w:rsidR="00FB6602">
          <w:rPr>
            <w:webHidden/>
          </w:rPr>
        </w:r>
        <w:r w:rsidR="00FB6602">
          <w:rPr>
            <w:webHidden/>
          </w:rPr>
          <w:fldChar w:fldCharType="separate"/>
        </w:r>
        <w:r w:rsidR="00FB6602">
          <w:rPr>
            <w:webHidden/>
          </w:rPr>
          <w:t>9</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35" w:history="1">
        <w:r w:rsidR="00FB6602" w:rsidRPr="00515EF7">
          <w:rPr>
            <w:rStyle w:val="Hyperlink"/>
          </w:rPr>
          <w:t>23</w:t>
        </w:r>
        <w:r w:rsidR="00FB6602">
          <w:rPr>
            <w:rFonts w:asciiTheme="minorHAnsi" w:eastAsiaTheme="minorEastAsia" w:hAnsiTheme="minorHAnsi" w:cstheme="minorBidi"/>
            <w:iCs w:val="0"/>
            <w:sz w:val="22"/>
            <w:szCs w:val="22"/>
            <w:lang w:val="en-AU" w:eastAsia="en-AU"/>
          </w:rPr>
          <w:tab/>
        </w:r>
        <w:r w:rsidR="00FB6602" w:rsidRPr="00515EF7">
          <w:rPr>
            <w:rStyle w:val="Hyperlink"/>
          </w:rPr>
          <w:t>Other provisions about Board proceedings</w:t>
        </w:r>
        <w:r w:rsidR="00FB6602">
          <w:rPr>
            <w:webHidden/>
          </w:rPr>
          <w:tab/>
        </w:r>
        <w:r w:rsidR="00FB6602">
          <w:rPr>
            <w:webHidden/>
          </w:rPr>
          <w:fldChar w:fldCharType="begin"/>
        </w:r>
        <w:r w:rsidR="00FB6602">
          <w:rPr>
            <w:webHidden/>
          </w:rPr>
          <w:instrText xml:space="preserve"> PAGEREF _Toc62480235 \h </w:instrText>
        </w:r>
        <w:r w:rsidR="00FB6602">
          <w:rPr>
            <w:webHidden/>
          </w:rPr>
        </w:r>
        <w:r w:rsidR="00FB6602">
          <w:rPr>
            <w:webHidden/>
          </w:rPr>
          <w:fldChar w:fldCharType="separate"/>
        </w:r>
        <w:r w:rsidR="00FB6602">
          <w:rPr>
            <w:webHidden/>
          </w:rPr>
          <w:t>9</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36" w:history="1">
        <w:r w:rsidR="00FB6602" w:rsidRPr="00515EF7">
          <w:rPr>
            <w:rStyle w:val="Hyperlink"/>
          </w:rPr>
          <w:t>24</w:t>
        </w:r>
        <w:r w:rsidR="00FB6602">
          <w:rPr>
            <w:rFonts w:asciiTheme="minorHAnsi" w:eastAsiaTheme="minorEastAsia" w:hAnsiTheme="minorHAnsi" w:cstheme="minorBidi"/>
            <w:iCs w:val="0"/>
            <w:sz w:val="22"/>
            <w:szCs w:val="22"/>
            <w:lang w:val="en-AU" w:eastAsia="en-AU"/>
          </w:rPr>
          <w:tab/>
        </w:r>
        <w:r w:rsidR="00FB6602" w:rsidRPr="00515EF7">
          <w:rPr>
            <w:rStyle w:val="Hyperlink"/>
          </w:rPr>
          <w:t>Delegation by Board</w:t>
        </w:r>
        <w:r w:rsidR="00FB6602">
          <w:rPr>
            <w:webHidden/>
          </w:rPr>
          <w:tab/>
        </w:r>
        <w:r w:rsidR="00FB6602">
          <w:rPr>
            <w:webHidden/>
          </w:rPr>
          <w:fldChar w:fldCharType="begin"/>
        </w:r>
        <w:r w:rsidR="00FB6602">
          <w:rPr>
            <w:webHidden/>
          </w:rPr>
          <w:instrText xml:space="preserve"> PAGEREF _Toc62480236 \h </w:instrText>
        </w:r>
        <w:r w:rsidR="00FB6602">
          <w:rPr>
            <w:webHidden/>
          </w:rPr>
        </w:r>
        <w:r w:rsidR="00FB6602">
          <w:rPr>
            <w:webHidden/>
          </w:rPr>
          <w:fldChar w:fldCharType="separate"/>
        </w:r>
        <w:r w:rsidR="00FB6602">
          <w:rPr>
            <w:webHidden/>
          </w:rPr>
          <w:t>10</w:t>
        </w:r>
        <w:r w:rsidR="00FB6602">
          <w:rPr>
            <w:webHidden/>
          </w:rPr>
          <w:fldChar w:fldCharType="end"/>
        </w:r>
      </w:hyperlink>
    </w:p>
    <w:p w:rsidR="00FB6602" w:rsidRDefault="00B413C5">
      <w:pPr>
        <w:pStyle w:val="TOC2"/>
        <w:rPr>
          <w:rFonts w:asciiTheme="minorHAnsi" w:eastAsiaTheme="minorEastAsia" w:hAnsiTheme="minorHAnsi" w:cstheme="minorBidi"/>
          <w:b w:val="0"/>
          <w:lang w:val="en-AU" w:eastAsia="en-AU"/>
        </w:rPr>
      </w:pPr>
      <w:hyperlink w:anchor="_Toc62480237" w:history="1">
        <w:r w:rsidR="00FB6602" w:rsidRPr="00515EF7">
          <w:rPr>
            <w:rStyle w:val="Hyperlink"/>
          </w:rPr>
          <w:t>Division 4.5— Secretary</w:t>
        </w:r>
        <w:r w:rsidR="00FB6602">
          <w:rPr>
            <w:webHidden/>
          </w:rPr>
          <w:tab/>
        </w:r>
        <w:r w:rsidR="00FB6602">
          <w:rPr>
            <w:webHidden/>
          </w:rPr>
          <w:fldChar w:fldCharType="begin"/>
        </w:r>
        <w:r w:rsidR="00FB6602">
          <w:rPr>
            <w:webHidden/>
          </w:rPr>
          <w:instrText xml:space="preserve"> PAGEREF _Toc62480237 \h </w:instrText>
        </w:r>
        <w:r w:rsidR="00FB6602">
          <w:rPr>
            <w:webHidden/>
          </w:rPr>
        </w:r>
        <w:r w:rsidR="00FB6602">
          <w:rPr>
            <w:webHidden/>
          </w:rPr>
          <w:fldChar w:fldCharType="separate"/>
        </w:r>
        <w:r w:rsidR="00FB6602">
          <w:rPr>
            <w:webHidden/>
          </w:rPr>
          <w:t>10</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38" w:history="1">
        <w:r w:rsidR="00FB6602" w:rsidRPr="00515EF7">
          <w:rPr>
            <w:rStyle w:val="Hyperlink"/>
          </w:rPr>
          <w:t>25</w:t>
        </w:r>
        <w:r w:rsidR="00FB6602">
          <w:rPr>
            <w:rFonts w:asciiTheme="minorHAnsi" w:eastAsiaTheme="minorEastAsia" w:hAnsiTheme="minorHAnsi" w:cstheme="minorBidi"/>
            <w:iCs w:val="0"/>
            <w:sz w:val="22"/>
            <w:szCs w:val="22"/>
            <w:lang w:val="en-AU" w:eastAsia="en-AU"/>
          </w:rPr>
          <w:tab/>
        </w:r>
        <w:r w:rsidR="00FB6602" w:rsidRPr="00515EF7">
          <w:rPr>
            <w:rStyle w:val="Hyperlink"/>
          </w:rPr>
          <w:t>Secretary to Board</w:t>
        </w:r>
        <w:r w:rsidR="00FB6602">
          <w:rPr>
            <w:webHidden/>
          </w:rPr>
          <w:tab/>
        </w:r>
        <w:r w:rsidR="00FB6602">
          <w:rPr>
            <w:webHidden/>
          </w:rPr>
          <w:fldChar w:fldCharType="begin"/>
        </w:r>
        <w:r w:rsidR="00FB6602">
          <w:rPr>
            <w:webHidden/>
          </w:rPr>
          <w:instrText xml:space="preserve"> PAGEREF _Toc62480238 \h </w:instrText>
        </w:r>
        <w:r w:rsidR="00FB6602">
          <w:rPr>
            <w:webHidden/>
          </w:rPr>
        </w:r>
        <w:r w:rsidR="00FB6602">
          <w:rPr>
            <w:webHidden/>
          </w:rPr>
          <w:fldChar w:fldCharType="separate"/>
        </w:r>
        <w:r w:rsidR="00FB6602">
          <w:rPr>
            <w:webHidden/>
          </w:rPr>
          <w:t>10</w:t>
        </w:r>
        <w:r w:rsidR="00FB6602">
          <w:rPr>
            <w:webHidden/>
          </w:rPr>
          <w:fldChar w:fldCharType="end"/>
        </w:r>
      </w:hyperlink>
    </w:p>
    <w:p w:rsidR="00FB6602" w:rsidRDefault="00B413C5">
      <w:pPr>
        <w:pStyle w:val="TOC1"/>
        <w:rPr>
          <w:rFonts w:asciiTheme="minorHAnsi" w:eastAsiaTheme="minorEastAsia" w:hAnsiTheme="minorHAnsi" w:cstheme="minorBidi"/>
          <w:b w:val="0"/>
          <w:bCs w:val="0"/>
          <w:sz w:val="22"/>
          <w:szCs w:val="22"/>
          <w:lang w:val="en-AU" w:eastAsia="en-AU"/>
        </w:rPr>
      </w:pPr>
      <w:hyperlink w:anchor="_Toc62480239" w:history="1">
        <w:r w:rsidR="00FB6602" w:rsidRPr="00515EF7">
          <w:rPr>
            <w:rStyle w:val="Hyperlink"/>
          </w:rPr>
          <w:t>Part 5— Repeal and transitional provisions</w:t>
        </w:r>
        <w:r w:rsidR="00FB6602">
          <w:rPr>
            <w:webHidden/>
          </w:rPr>
          <w:tab/>
        </w:r>
        <w:r w:rsidR="00FB6602">
          <w:rPr>
            <w:webHidden/>
          </w:rPr>
          <w:fldChar w:fldCharType="begin"/>
        </w:r>
        <w:r w:rsidR="00FB6602">
          <w:rPr>
            <w:webHidden/>
          </w:rPr>
          <w:instrText xml:space="preserve"> PAGEREF _Toc62480239 \h </w:instrText>
        </w:r>
        <w:r w:rsidR="00FB6602">
          <w:rPr>
            <w:webHidden/>
          </w:rPr>
        </w:r>
        <w:r w:rsidR="00FB6602">
          <w:rPr>
            <w:webHidden/>
          </w:rPr>
          <w:fldChar w:fldCharType="separate"/>
        </w:r>
        <w:r w:rsidR="00FB6602">
          <w:rPr>
            <w:webHidden/>
          </w:rPr>
          <w:t>11</w:t>
        </w:r>
        <w:r w:rsidR="00FB6602">
          <w:rPr>
            <w:webHidden/>
          </w:rPr>
          <w:fldChar w:fldCharType="end"/>
        </w:r>
      </w:hyperlink>
    </w:p>
    <w:p w:rsidR="00FB6602" w:rsidRDefault="00B413C5">
      <w:pPr>
        <w:pStyle w:val="TOC2"/>
        <w:rPr>
          <w:rFonts w:asciiTheme="minorHAnsi" w:eastAsiaTheme="minorEastAsia" w:hAnsiTheme="minorHAnsi" w:cstheme="minorBidi"/>
          <w:b w:val="0"/>
          <w:lang w:val="en-AU" w:eastAsia="en-AU"/>
        </w:rPr>
      </w:pPr>
      <w:hyperlink w:anchor="_Toc62480240" w:history="1">
        <w:r w:rsidR="00FB6602" w:rsidRPr="00515EF7">
          <w:rPr>
            <w:rStyle w:val="Hyperlink"/>
          </w:rPr>
          <w:t>Division 5.1— Repeal</w:t>
        </w:r>
        <w:r w:rsidR="00FB6602">
          <w:rPr>
            <w:webHidden/>
          </w:rPr>
          <w:tab/>
        </w:r>
        <w:r w:rsidR="00FB6602">
          <w:rPr>
            <w:webHidden/>
          </w:rPr>
          <w:fldChar w:fldCharType="begin"/>
        </w:r>
        <w:r w:rsidR="00FB6602">
          <w:rPr>
            <w:webHidden/>
          </w:rPr>
          <w:instrText xml:space="preserve"> PAGEREF _Toc62480240 \h </w:instrText>
        </w:r>
        <w:r w:rsidR="00FB6602">
          <w:rPr>
            <w:webHidden/>
          </w:rPr>
        </w:r>
        <w:r w:rsidR="00FB6602">
          <w:rPr>
            <w:webHidden/>
          </w:rPr>
          <w:fldChar w:fldCharType="separate"/>
        </w:r>
        <w:r w:rsidR="00FB6602">
          <w:rPr>
            <w:webHidden/>
          </w:rPr>
          <w:t>11</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41" w:history="1">
        <w:r w:rsidR="00FB6602" w:rsidRPr="00515EF7">
          <w:rPr>
            <w:rStyle w:val="Hyperlink"/>
          </w:rPr>
          <w:t>26</w:t>
        </w:r>
        <w:r w:rsidR="00FB6602">
          <w:rPr>
            <w:rFonts w:asciiTheme="minorHAnsi" w:eastAsiaTheme="minorEastAsia" w:hAnsiTheme="minorHAnsi" w:cstheme="minorBidi"/>
            <w:iCs w:val="0"/>
            <w:sz w:val="22"/>
            <w:szCs w:val="22"/>
            <w:lang w:val="en-AU" w:eastAsia="en-AU"/>
          </w:rPr>
          <w:tab/>
        </w:r>
        <w:r w:rsidR="00FB6602" w:rsidRPr="00515EF7">
          <w:rPr>
            <w:rStyle w:val="Hyperlink"/>
          </w:rPr>
          <w:t>Repeal</w:t>
        </w:r>
        <w:r w:rsidR="00FB6602">
          <w:rPr>
            <w:webHidden/>
          </w:rPr>
          <w:tab/>
        </w:r>
        <w:r w:rsidR="00FB6602">
          <w:rPr>
            <w:webHidden/>
          </w:rPr>
          <w:fldChar w:fldCharType="begin"/>
        </w:r>
        <w:r w:rsidR="00FB6602">
          <w:rPr>
            <w:webHidden/>
          </w:rPr>
          <w:instrText xml:space="preserve"> PAGEREF _Toc62480241 \h </w:instrText>
        </w:r>
        <w:r w:rsidR="00FB6602">
          <w:rPr>
            <w:webHidden/>
          </w:rPr>
        </w:r>
        <w:r w:rsidR="00FB6602">
          <w:rPr>
            <w:webHidden/>
          </w:rPr>
          <w:fldChar w:fldCharType="separate"/>
        </w:r>
        <w:r w:rsidR="00FB6602">
          <w:rPr>
            <w:webHidden/>
          </w:rPr>
          <w:t>11</w:t>
        </w:r>
        <w:r w:rsidR="00FB6602">
          <w:rPr>
            <w:webHidden/>
          </w:rPr>
          <w:fldChar w:fldCharType="end"/>
        </w:r>
      </w:hyperlink>
    </w:p>
    <w:p w:rsidR="00FB6602" w:rsidRDefault="00B413C5">
      <w:pPr>
        <w:pStyle w:val="TOC2"/>
        <w:rPr>
          <w:rFonts w:asciiTheme="minorHAnsi" w:eastAsiaTheme="minorEastAsia" w:hAnsiTheme="minorHAnsi" w:cstheme="minorBidi"/>
          <w:b w:val="0"/>
          <w:lang w:val="en-AU" w:eastAsia="en-AU"/>
        </w:rPr>
      </w:pPr>
      <w:hyperlink w:anchor="_Toc62480242" w:history="1">
        <w:r w:rsidR="00FB6602" w:rsidRPr="00515EF7">
          <w:rPr>
            <w:rStyle w:val="Hyperlink"/>
          </w:rPr>
          <w:t>Division 5.2— Transitional provisions</w:t>
        </w:r>
        <w:r w:rsidR="00FB6602">
          <w:rPr>
            <w:webHidden/>
          </w:rPr>
          <w:tab/>
        </w:r>
        <w:r w:rsidR="00FB6602">
          <w:rPr>
            <w:webHidden/>
          </w:rPr>
          <w:fldChar w:fldCharType="begin"/>
        </w:r>
        <w:r w:rsidR="00FB6602">
          <w:rPr>
            <w:webHidden/>
          </w:rPr>
          <w:instrText xml:space="preserve"> PAGEREF _Toc62480242 \h </w:instrText>
        </w:r>
        <w:r w:rsidR="00FB6602">
          <w:rPr>
            <w:webHidden/>
          </w:rPr>
        </w:r>
        <w:r w:rsidR="00FB6602">
          <w:rPr>
            <w:webHidden/>
          </w:rPr>
          <w:fldChar w:fldCharType="separate"/>
        </w:r>
        <w:r w:rsidR="00FB6602">
          <w:rPr>
            <w:webHidden/>
          </w:rPr>
          <w:t>11</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43" w:history="1">
        <w:r w:rsidR="00FB6602" w:rsidRPr="00515EF7">
          <w:rPr>
            <w:rStyle w:val="Hyperlink"/>
          </w:rPr>
          <w:t>27</w:t>
        </w:r>
        <w:r w:rsidR="00FB6602">
          <w:rPr>
            <w:rFonts w:asciiTheme="minorHAnsi" w:eastAsiaTheme="minorEastAsia" w:hAnsiTheme="minorHAnsi" w:cstheme="minorBidi"/>
            <w:iCs w:val="0"/>
            <w:sz w:val="22"/>
            <w:szCs w:val="22"/>
            <w:lang w:val="en-AU" w:eastAsia="en-AU"/>
          </w:rPr>
          <w:tab/>
        </w:r>
        <w:r w:rsidR="00FB6602" w:rsidRPr="00515EF7">
          <w:rPr>
            <w:rStyle w:val="Hyperlink"/>
          </w:rPr>
          <w:t>Transitional: existing delegations by Vice Chancellor</w:t>
        </w:r>
        <w:r w:rsidR="00FB6602">
          <w:rPr>
            <w:webHidden/>
          </w:rPr>
          <w:tab/>
        </w:r>
        <w:r w:rsidR="00FB6602">
          <w:rPr>
            <w:webHidden/>
          </w:rPr>
          <w:fldChar w:fldCharType="begin"/>
        </w:r>
        <w:r w:rsidR="00FB6602">
          <w:rPr>
            <w:webHidden/>
          </w:rPr>
          <w:instrText xml:space="preserve"> PAGEREF _Toc62480243 \h </w:instrText>
        </w:r>
        <w:r w:rsidR="00FB6602">
          <w:rPr>
            <w:webHidden/>
          </w:rPr>
        </w:r>
        <w:r w:rsidR="00FB6602">
          <w:rPr>
            <w:webHidden/>
          </w:rPr>
          <w:fldChar w:fldCharType="separate"/>
        </w:r>
        <w:r w:rsidR="00FB6602">
          <w:rPr>
            <w:webHidden/>
          </w:rPr>
          <w:t>11</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44" w:history="1">
        <w:r w:rsidR="00FB6602" w:rsidRPr="00515EF7">
          <w:rPr>
            <w:rStyle w:val="Hyperlink"/>
          </w:rPr>
          <w:t>28</w:t>
        </w:r>
        <w:r w:rsidR="00FB6602">
          <w:rPr>
            <w:rFonts w:asciiTheme="minorHAnsi" w:eastAsiaTheme="minorEastAsia" w:hAnsiTheme="minorHAnsi" w:cstheme="minorBidi"/>
            <w:iCs w:val="0"/>
            <w:sz w:val="22"/>
            <w:szCs w:val="22"/>
            <w:lang w:val="en-AU" w:eastAsia="en-AU"/>
          </w:rPr>
          <w:tab/>
        </w:r>
        <w:r w:rsidR="00FB6602" w:rsidRPr="00515EF7">
          <w:rPr>
            <w:rStyle w:val="Hyperlink"/>
          </w:rPr>
          <w:t>Application of Legislation Statute, section 26</w:t>
        </w:r>
        <w:r w:rsidR="00FB6602">
          <w:rPr>
            <w:webHidden/>
          </w:rPr>
          <w:tab/>
        </w:r>
        <w:r w:rsidR="00FB6602">
          <w:rPr>
            <w:webHidden/>
          </w:rPr>
          <w:fldChar w:fldCharType="begin"/>
        </w:r>
        <w:r w:rsidR="00FB6602">
          <w:rPr>
            <w:webHidden/>
          </w:rPr>
          <w:instrText xml:space="preserve"> PAGEREF _Toc62480244 \h </w:instrText>
        </w:r>
        <w:r w:rsidR="00FB6602">
          <w:rPr>
            <w:webHidden/>
          </w:rPr>
        </w:r>
        <w:r w:rsidR="00FB6602">
          <w:rPr>
            <w:webHidden/>
          </w:rPr>
          <w:fldChar w:fldCharType="separate"/>
        </w:r>
        <w:r w:rsidR="00FB6602">
          <w:rPr>
            <w:webHidden/>
          </w:rPr>
          <w:t>11</w:t>
        </w:r>
        <w:r w:rsidR="00FB6602">
          <w:rPr>
            <w:webHidden/>
          </w:rPr>
          <w:fldChar w:fldCharType="end"/>
        </w:r>
      </w:hyperlink>
    </w:p>
    <w:p w:rsidR="00FB6602" w:rsidRDefault="00B413C5">
      <w:pPr>
        <w:pStyle w:val="TOC3"/>
        <w:rPr>
          <w:rFonts w:asciiTheme="minorHAnsi" w:eastAsiaTheme="minorEastAsia" w:hAnsiTheme="minorHAnsi" w:cstheme="minorBidi"/>
          <w:iCs w:val="0"/>
          <w:sz w:val="22"/>
          <w:szCs w:val="22"/>
          <w:lang w:val="en-AU" w:eastAsia="en-AU"/>
        </w:rPr>
      </w:pPr>
      <w:hyperlink w:anchor="_Toc62480245" w:history="1">
        <w:r w:rsidR="00FB6602" w:rsidRPr="00515EF7">
          <w:rPr>
            <w:rStyle w:val="Hyperlink"/>
          </w:rPr>
          <w:t>29</w:t>
        </w:r>
        <w:r w:rsidR="00FB6602">
          <w:rPr>
            <w:rFonts w:asciiTheme="minorHAnsi" w:eastAsiaTheme="minorEastAsia" w:hAnsiTheme="minorHAnsi" w:cstheme="minorBidi"/>
            <w:iCs w:val="0"/>
            <w:sz w:val="22"/>
            <w:szCs w:val="22"/>
            <w:lang w:val="en-AU" w:eastAsia="en-AU"/>
          </w:rPr>
          <w:tab/>
        </w:r>
        <w:r w:rsidR="00FB6602" w:rsidRPr="00515EF7">
          <w:rPr>
            <w:rStyle w:val="Hyperlink"/>
          </w:rPr>
          <w:t>Transitional provisions additional</w:t>
        </w:r>
        <w:r w:rsidR="00FB6602">
          <w:rPr>
            <w:webHidden/>
          </w:rPr>
          <w:tab/>
        </w:r>
        <w:r w:rsidR="00FB6602">
          <w:rPr>
            <w:webHidden/>
          </w:rPr>
          <w:fldChar w:fldCharType="begin"/>
        </w:r>
        <w:r w:rsidR="00FB6602">
          <w:rPr>
            <w:webHidden/>
          </w:rPr>
          <w:instrText xml:space="preserve"> PAGEREF _Toc62480245 \h </w:instrText>
        </w:r>
        <w:r w:rsidR="00FB6602">
          <w:rPr>
            <w:webHidden/>
          </w:rPr>
        </w:r>
        <w:r w:rsidR="00FB6602">
          <w:rPr>
            <w:webHidden/>
          </w:rPr>
          <w:fldChar w:fldCharType="separate"/>
        </w:r>
        <w:r w:rsidR="00FB6602">
          <w:rPr>
            <w:webHidden/>
          </w:rPr>
          <w:t>11</w:t>
        </w:r>
        <w:r w:rsidR="00FB6602">
          <w:rPr>
            <w:webHidden/>
          </w:rPr>
          <w:fldChar w:fldCharType="end"/>
        </w:r>
      </w:hyperlink>
    </w:p>
    <w:p w:rsidR="005A4BFE" w:rsidRDefault="003B7626" w:rsidP="00A9217C">
      <w:pPr>
        <w:rPr>
          <w:noProof/>
        </w:rPr>
      </w:pPr>
      <w:r>
        <w:rPr>
          <w:noProof/>
        </w:rPr>
        <w:lastRenderedPageBreak/>
        <w:fldChar w:fldCharType="end"/>
      </w:r>
    </w:p>
    <w:p w:rsidR="00D725CB" w:rsidRPr="009D76EC" w:rsidRDefault="00D725CB" w:rsidP="00A9217C">
      <w:pPr>
        <w:rPr>
          <w:szCs w:val="20"/>
        </w:rPr>
        <w:sectPr w:rsidR="00D725CB" w:rsidRPr="009D76EC" w:rsidSect="007F48C5">
          <w:headerReference w:type="default" r:id="rId10"/>
          <w:footerReference w:type="even" r:id="rId11"/>
          <w:footerReference w:type="default" r:id="rId12"/>
          <w:pgSz w:w="11907" w:h="16839"/>
          <w:pgMar w:top="2099" w:right="1797" w:bottom="1440" w:left="1797" w:header="720" w:footer="709" w:gutter="0"/>
          <w:pgNumType w:fmt="lowerRoman" w:start="1"/>
          <w:cols w:space="708"/>
          <w:docGrid w:linePitch="360"/>
        </w:sectPr>
      </w:pPr>
    </w:p>
    <w:p w:rsidR="006F70A1" w:rsidRDefault="00F0672D" w:rsidP="006F70A1">
      <w:pPr>
        <w:pStyle w:val="Heading1"/>
      </w:pPr>
      <w:bookmarkStart w:id="2" w:name="_Toc62480205"/>
      <w:bookmarkStart w:id="3" w:name="_Toc390853245"/>
      <w:bookmarkStart w:id="4" w:name="_Toc390853244"/>
      <w:bookmarkStart w:id="5" w:name="_Toc409453407"/>
      <w:bookmarkStart w:id="6" w:name="_Toc426708436"/>
      <w:r>
        <w:t>Preliminary</w:t>
      </w:r>
      <w:bookmarkEnd w:id="2"/>
    </w:p>
    <w:p w:rsidR="005E08D4" w:rsidRPr="00F4357B" w:rsidRDefault="005E08D4" w:rsidP="00F73310">
      <w:pPr>
        <w:pStyle w:val="Heading3"/>
      </w:pPr>
      <w:bookmarkStart w:id="7" w:name="_Toc62480206"/>
      <w:r w:rsidRPr="00F4357B">
        <w:t>Name</w:t>
      </w:r>
      <w:bookmarkEnd w:id="3"/>
      <w:bookmarkEnd w:id="7"/>
    </w:p>
    <w:p w:rsidR="00F0672D" w:rsidRPr="00F0672D" w:rsidRDefault="00F0672D" w:rsidP="00F0672D">
      <w:pPr>
        <w:pStyle w:val="Heading4"/>
        <w:numPr>
          <w:ilvl w:val="0"/>
          <w:numId w:val="0"/>
        </w:numPr>
        <w:ind w:left="1134"/>
      </w:pPr>
      <w:r w:rsidRPr="00F0672D">
        <w:t xml:space="preserve">This is the </w:t>
      </w:r>
      <w:r w:rsidRPr="00F0672D">
        <w:rPr>
          <w:i/>
        </w:rPr>
        <w:t>National Centre for Indigenous Genomics Statute 2021</w:t>
      </w:r>
      <w:r w:rsidRPr="00F0672D">
        <w:t>.</w:t>
      </w:r>
    </w:p>
    <w:p w:rsidR="005E08D4" w:rsidRPr="00F4357B" w:rsidRDefault="005E08D4" w:rsidP="00A9217C">
      <w:pPr>
        <w:pStyle w:val="Heading3"/>
      </w:pPr>
      <w:bookmarkStart w:id="8" w:name="_Toc390853246"/>
      <w:bookmarkStart w:id="9" w:name="_Toc62480207"/>
      <w:r w:rsidRPr="00F4357B">
        <w:t>Commencement</w:t>
      </w:r>
      <w:bookmarkEnd w:id="8"/>
      <w:bookmarkEnd w:id="9"/>
    </w:p>
    <w:p w:rsidR="005E08D4" w:rsidRPr="00F4357B" w:rsidRDefault="00F0672D" w:rsidP="00621BE8">
      <w:pPr>
        <w:pStyle w:val="Heading4"/>
        <w:numPr>
          <w:ilvl w:val="0"/>
          <w:numId w:val="0"/>
        </w:numPr>
        <w:ind w:left="1134"/>
      </w:pPr>
      <w:r w:rsidRPr="00F0672D">
        <w:t>This instrument commences on the day after it is registered.</w:t>
      </w:r>
    </w:p>
    <w:p w:rsidR="005E08D4" w:rsidRPr="00F4357B" w:rsidRDefault="005E08D4" w:rsidP="00A9217C">
      <w:pPr>
        <w:pStyle w:val="Heading3"/>
      </w:pPr>
      <w:bookmarkStart w:id="10" w:name="_Toc390853247"/>
      <w:bookmarkStart w:id="11" w:name="_Toc62480208"/>
      <w:r w:rsidRPr="00F4357B">
        <w:t>Authority</w:t>
      </w:r>
      <w:bookmarkEnd w:id="10"/>
      <w:bookmarkEnd w:id="11"/>
    </w:p>
    <w:p w:rsidR="005E08D4" w:rsidRDefault="00F0672D" w:rsidP="00621BE8">
      <w:pPr>
        <w:pStyle w:val="Heading4"/>
        <w:numPr>
          <w:ilvl w:val="0"/>
          <w:numId w:val="0"/>
        </w:numPr>
        <w:ind w:left="1134"/>
      </w:pPr>
      <w:r w:rsidRPr="00F0672D">
        <w:t xml:space="preserve">This instrument is made under the </w:t>
      </w:r>
      <w:r w:rsidRPr="00F0672D">
        <w:rPr>
          <w:i/>
        </w:rPr>
        <w:t>Australian National University Act 1991</w:t>
      </w:r>
      <w:r w:rsidRPr="00F0672D">
        <w:t>, section 50 (Statutes).</w:t>
      </w:r>
    </w:p>
    <w:p w:rsidR="00F0672D" w:rsidRDefault="00F0672D" w:rsidP="00F0672D">
      <w:pPr>
        <w:pStyle w:val="Heading3"/>
      </w:pPr>
      <w:bookmarkStart w:id="12" w:name="_Toc62480209"/>
      <w:r>
        <w:t>Definitions</w:t>
      </w:r>
      <w:bookmarkEnd w:id="12"/>
    </w:p>
    <w:p w:rsidR="00F0672D" w:rsidRPr="00F0672D" w:rsidRDefault="00F0672D" w:rsidP="00F0672D">
      <w:pPr>
        <w:pStyle w:val="Heading4"/>
        <w:numPr>
          <w:ilvl w:val="0"/>
          <w:numId w:val="0"/>
        </w:numPr>
        <w:ind w:left="1134"/>
        <w:rPr>
          <w:lang w:eastAsia="en-AU"/>
        </w:rPr>
      </w:pPr>
      <w:r>
        <w:rPr>
          <w:lang w:eastAsia="en-AU"/>
        </w:rPr>
        <w:t>In this instrument:</w:t>
      </w:r>
    </w:p>
    <w:p w:rsidR="00F0672D" w:rsidRDefault="00F0672D" w:rsidP="00F0672D">
      <w:pPr>
        <w:pStyle w:val="subsection"/>
      </w:pPr>
      <w:r>
        <w:rPr>
          <w:rStyle w:val="charBoldItals"/>
        </w:rPr>
        <w:t xml:space="preserve">Board </w:t>
      </w:r>
      <w:r>
        <w:rPr>
          <w:rStyle w:val="charBoldItals"/>
          <w:b w:val="0"/>
          <w:i w:val="0"/>
        </w:rPr>
        <w:t>means the Board of the Centre.</w:t>
      </w:r>
    </w:p>
    <w:p w:rsidR="00F0672D" w:rsidRDefault="00F0672D" w:rsidP="00F0672D">
      <w:pPr>
        <w:pStyle w:val="subsection"/>
      </w:pPr>
      <w:r>
        <w:rPr>
          <w:rStyle w:val="charBoldItals"/>
        </w:rPr>
        <w:t xml:space="preserve">Centre </w:t>
      </w:r>
      <w:r>
        <w:rPr>
          <w:rStyle w:val="charBoldItals"/>
          <w:b w:val="0"/>
          <w:i w:val="0"/>
        </w:rPr>
        <w:t xml:space="preserve">means the National Centre for Indigenous Genomics established by </w:t>
      </w:r>
      <w:r>
        <w:t>this instrument.</w:t>
      </w:r>
    </w:p>
    <w:p w:rsidR="00F0672D" w:rsidRDefault="00F0672D" w:rsidP="00F0672D">
      <w:pPr>
        <w:pStyle w:val="subsection"/>
      </w:pPr>
      <w:r>
        <w:rPr>
          <w:rStyle w:val="charBoldItals"/>
        </w:rPr>
        <w:t xml:space="preserve">Collection </w:t>
      </w:r>
      <w:r>
        <w:rPr>
          <w:rStyle w:val="charBoldItals"/>
          <w:b w:val="0"/>
          <w:i w:val="0"/>
        </w:rPr>
        <w:t>means the National Indigenous Genomics Collection</w:t>
      </w:r>
      <w:r>
        <w:t>.</w:t>
      </w:r>
    </w:p>
    <w:p w:rsidR="00F0672D" w:rsidRDefault="00F0672D" w:rsidP="00F0672D">
      <w:pPr>
        <w:pStyle w:val="Definition"/>
        <w:rPr>
          <w:rStyle w:val="charBoldItals"/>
          <w:b w:val="0"/>
          <w:i w:val="0"/>
        </w:rPr>
      </w:pPr>
      <w:r>
        <w:rPr>
          <w:rStyle w:val="charBoldItals"/>
        </w:rPr>
        <w:t xml:space="preserve">Director </w:t>
      </w:r>
      <w:r>
        <w:rPr>
          <w:rStyle w:val="charBoldItals"/>
          <w:b w:val="0"/>
          <w:i w:val="0"/>
        </w:rPr>
        <w:t>means the Director of the Centre.</w:t>
      </w:r>
    </w:p>
    <w:p w:rsidR="00194412" w:rsidRPr="00194412" w:rsidRDefault="00194412" w:rsidP="00194412">
      <w:pPr>
        <w:pStyle w:val="Definition"/>
      </w:pPr>
      <w:r>
        <w:rPr>
          <w:b/>
          <w:i/>
        </w:rPr>
        <w:t>earlier statute</w:t>
      </w:r>
      <w:r w:rsidRPr="00194412">
        <w:rPr>
          <w:b/>
          <w:i/>
        </w:rPr>
        <w:t xml:space="preserve"> </w:t>
      </w:r>
      <w:r>
        <w:t>means the</w:t>
      </w:r>
      <w:r w:rsidRPr="00194412">
        <w:t xml:space="preserve"> </w:t>
      </w:r>
      <w:r w:rsidRPr="00194412">
        <w:rPr>
          <w:i/>
        </w:rPr>
        <w:t>National Centre for Indigenous Genomics Statute 2016</w:t>
      </w:r>
      <w:r w:rsidRPr="00194412">
        <w:t>.</w:t>
      </w:r>
    </w:p>
    <w:p w:rsidR="00F0672D" w:rsidRDefault="00F0672D" w:rsidP="00F0672D">
      <w:pPr>
        <w:pStyle w:val="Definition"/>
      </w:pPr>
      <w:r>
        <w:rPr>
          <w:rStyle w:val="charBoldItals"/>
        </w:rPr>
        <w:t>member</w:t>
      </w:r>
      <w:r>
        <w:t xml:space="preserve"> means a member of the Board, and includes the</w:t>
      </w:r>
      <w:r w:rsidR="004936D5">
        <w:t xml:space="preserve"> Chair and Deputy Chair of the B</w:t>
      </w:r>
      <w:r>
        <w:t>oard.</w:t>
      </w:r>
    </w:p>
    <w:p w:rsidR="00F46AE1" w:rsidRDefault="00F46AE1" w:rsidP="00F0672D">
      <w:pPr>
        <w:pStyle w:val="Definition"/>
      </w:pPr>
    </w:p>
    <w:p w:rsidR="00F0672D" w:rsidRPr="00B74ED6" w:rsidRDefault="00F0672D" w:rsidP="00F0672D">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t>For definitions applying to University legislation generally, see the dictionary in the Legislation</w:t>
      </w:r>
      <w:r w:rsidRPr="00525C02">
        <w:rPr>
          <w:rFonts w:eastAsia="Times New Roman"/>
          <w:sz w:val="18"/>
          <w:szCs w:val="18"/>
          <w:lang w:eastAsia="en-AU"/>
        </w:rPr>
        <w:t xml:space="preserve"> Statute</w:t>
      </w:r>
      <w:r>
        <w:rPr>
          <w:rFonts w:eastAsia="Times New Roman"/>
          <w:sz w:val="18"/>
          <w:szCs w:val="18"/>
          <w:lang w:eastAsia="en-AU"/>
        </w:rPr>
        <w:t>. That dictionary defines terms relevant to this instrument, including the following:</w:t>
      </w:r>
    </w:p>
    <w:p w:rsidR="00D725CB" w:rsidRDefault="00D725CB" w:rsidP="00F0672D">
      <w:pPr>
        <w:pStyle w:val="ListParagraph"/>
        <w:numPr>
          <w:ilvl w:val="0"/>
          <w:numId w:val="34"/>
        </w:numPr>
        <w:tabs>
          <w:tab w:val="left" w:pos="1985"/>
        </w:tabs>
        <w:spacing w:before="60" w:after="0" w:line="240" w:lineRule="auto"/>
        <w:rPr>
          <w:rFonts w:eastAsia="Times New Roman"/>
          <w:sz w:val="18"/>
          <w:szCs w:val="18"/>
          <w:lang w:eastAsia="en-AU"/>
        </w:rPr>
      </w:pPr>
      <w:r>
        <w:rPr>
          <w:rFonts w:eastAsia="Times New Roman"/>
          <w:sz w:val="18"/>
          <w:szCs w:val="18"/>
          <w:lang w:eastAsia="en-AU"/>
        </w:rPr>
        <w:t>establish</w:t>
      </w:r>
    </w:p>
    <w:p w:rsidR="00F0672D" w:rsidRPr="00874A14" w:rsidRDefault="00F0672D" w:rsidP="00F0672D">
      <w:pPr>
        <w:pStyle w:val="ListParagraph"/>
        <w:numPr>
          <w:ilvl w:val="0"/>
          <w:numId w:val="34"/>
        </w:numPr>
        <w:tabs>
          <w:tab w:val="left" w:pos="1985"/>
        </w:tabs>
        <w:spacing w:before="60" w:after="0" w:line="240" w:lineRule="auto"/>
        <w:rPr>
          <w:rFonts w:eastAsia="Times New Roman"/>
          <w:sz w:val="18"/>
          <w:szCs w:val="18"/>
          <w:lang w:eastAsia="en-AU"/>
        </w:rPr>
      </w:pPr>
      <w:r>
        <w:rPr>
          <w:rFonts w:eastAsia="Times New Roman"/>
          <w:sz w:val="18"/>
          <w:szCs w:val="18"/>
          <w:lang w:eastAsia="en-AU"/>
        </w:rPr>
        <w:t>exercise</w:t>
      </w:r>
    </w:p>
    <w:p w:rsidR="00005847" w:rsidRDefault="00F0672D" w:rsidP="00F0672D">
      <w:pPr>
        <w:pStyle w:val="ListParagraph"/>
        <w:numPr>
          <w:ilvl w:val="0"/>
          <w:numId w:val="34"/>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function</w:t>
      </w:r>
    </w:p>
    <w:p w:rsidR="00F0672D" w:rsidRPr="00874A14" w:rsidRDefault="00005847" w:rsidP="00F0672D">
      <w:pPr>
        <w:pStyle w:val="ListParagraph"/>
        <w:numPr>
          <w:ilvl w:val="0"/>
          <w:numId w:val="34"/>
        </w:numPr>
        <w:tabs>
          <w:tab w:val="left" w:pos="1985"/>
        </w:tabs>
        <w:spacing w:before="60" w:after="0" w:line="240" w:lineRule="auto"/>
        <w:rPr>
          <w:rFonts w:eastAsia="Times New Roman"/>
          <w:sz w:val="18"/>
          <w:szCs w:val="18"/>
          <w:lang w:eastAsia="en-AU"/>
        </w:rPr>
      </w:pPr>
      <w:r>
        <w:rPr>
          <w:rFonts w:eastAsia="Times New Roman"/>
          <w:sz w:val="18"/>
          <w:szCs w:val="18"/>
          <w:lang w:eastAsia="en-AU"/>
        </w:rPr>
        <w:t>University legislation (see section 6)</w:t>
      </w:r>
      <w:r w:rsidR="00F0672D">
        <w:rPr>
          <w:rFonts w:eastAsia="Times New Roman"/>
          <w:sz w:val="18"/>
          <w:szCs w:val="18"/>
          <w:lang w:eastAsia="en-AU"/>
        </w:rPr>
        <w:t>.]</w:t>
      </w:r>
    </w:p>
    <w:p w:rsidR="000A1979" w:rsidRDefault="00F0672D" w:rsidP="00F0672D">
      <w:pPr>
        <w:pStyle w:val="Heading1"/>
      </w:pPr>
      <w:bookmarkStart w:id="13" w:name="_Toc56003098"/>
      <w:bookmarkStart w:id="14" w:name="_Toc62480210"/>
      <w:r w:rsidRPr="00F0672D">
        <w:t>National Indigenous Genomics Collection</w:t>
      </w:r>
      <w:bookmarkEnd w:id="13"/>
      <w:bookmarkEnd w:id="14"/>
    </w:p>
    <w:p w:rsidR="00F0672D" w:rsidRDefault="00F0672D" w:rsidP="00F0672D">
      <w:pPr>
        <w:pStyle w:val="Heading3"/>
      </w:pPr>
      <w:bookmarkStart w:id="15" w:name="_Toc62480211"/>
      <w:r>
        <w:t>The Collection</w:t>
      </w:r>
      <w:bookmarkEnd w:id="15"/>
    </w:p>
    <w:p w:rsidR="00F0672D" w:rsidRDefault="00F0672D" w:rsidP="00F0672D">
      <w:pPr>
        <w:pStyle w:val="Heading4"/>
        <w:numPr>
          <w:ilvl w:val="0"/>
          <w:numId w:val="0"/>
        </w:numPr>
        <w:ind w:left="1134"/>
        <w:rPr>
          <w:lang w:eastAsia="en-AU"/>
        </w:rPr>
      </w:pPr>
      <w:r w:rsidRPr="00F0672D">
        <w:rPr>
          <w:lang w:eastAsia="en-AU"/>
        </w:rPr>
        <w:t>The National Indigenous Genomics Collection consists of:</w:t>
      </w:r>
    </w:p>
    <w:p w:rsidR="00F0672D" w:rsidRDefault="00F0672D" w:rsidP="00F0672D">
      <w:pPr>
        <w:pStyle w:val="Heading5"/>
        <w:rPr>
          <w:lang w:eastAsia="en-AU"/>
        </w:rPr>
      </w:pPr>
      <w:r w:rsidRPr="00F0672D">
        <w:rPr>
          <w:lang w:eastAsia="en-AU"/>
        </w:rPr>
        <w:t>the material known as the ‘In</w:t>
      </w:r>
      <w:r w:rsidR="004507DE">
        <w:rPr>
          <w:lang w:eastAsia="en-AU"/>
        </w:rPr>
        <w:t>digenous Collection’ that formed</w:t>
      </w:r>
      <w:r w:rsidRPr="00F0672D">
        <w:rPr>
          <w:lang w:eastAsia="en-AU"/>
        </w:rPr>
        <w:t xml:space="preserve"> part of the ‘ANU Geographical Human Sample Collection’ held in the John Curtin School of Medical Rese</w:t>
      </w:r>
      <w:r w:rsidR="004507DE">
        <w:rPr>
          <w:lang w:eastAsia="en-AU"/>
        </w:rPr>
        <w:t>arch at the commencement of the earlier statute</w:t>
      </w:r>
      <w:r w:rsidRPr="00F0672D">
        <w:rPr>
          <w:lang w:eastAsia="en-AU"/>
        </w:rPr>
        <w:t>, includi</w:t>
      </w:r>
      <w:r w:rsidR="00005847">
        <w:rPr>
          <w:lang w:eastAsia="en-AU"/>
        </w:rPr>
        <w:t>ng all biological samples,</w:t>
      </w:r>
      <w:r w:rsidRPr="00F0672D">
        <w:rPr>
          <w:lang w:eastAsia="en-AU"/>
        </w:rPr>
        <w:t xml:space="preserve"> associated documents and data that were part of the ‘Indigenous Collection’ at the commencement of that statute; and</w:t>
      </w:r>
    </w:p>
    <w:p w:rsidR="00F0672D" w:rsidRDefault="00F0672D" w:rsidP="00F0672D">
      <w:pPr>
        <w:pStyle w:val="Heading5"/>
        <w:rPr>
          <w:lang w:eastAsia="en-AU"/>
        </w:rPr>
      </w:pPr>
      <w:r w:rsidRPr="00F0672D">
        <w:rPr>
          <w:lang w:eastAsia="en-AU"/>
        </w:rPr>
        <w:t>any of the following additional material added to the Collection by the Centre after the commencement of that statute:</w:t>
      </w:r>
    </w:p>
    <w:p w:rsidR="00F0672D" w:rsidRDefault="00F0672D" w:rsidP="00F0672D">
      <w:pPr>
        <w:pStyle w:val="Heading6"/>
        <w:rPr>
          <w:lang w:eastAsia="en-AU"/>
        </w:rPr>
      </w:pPr>
      <w:r w:rsidRPr="00F0672D">
        <w:rPr>
          <w:lang w:eastAsia="en-AU"/>
        </w:rPr>
        <w:t>biological samples collected from Indigenous people;</w:t>
      </w:r>
    </w:p>
    <w:p w:rsidR="00F0672D" w:rsidRDefault="00F0672D" w:rsidP="00F0672D">
      <w:pPr>
        <w:pStyle w:val="Heading6"/>
        <w:rPr>
          <w:lang w:eastAsia="en-AU"/>
        </w:rPr>
      </w:pPr>
      <w:r w:rsidRPr="00F0672D">
        <w:rPr>
          <w:lang w:eastAsia="en-AU"/>
        </w:rPr>
        <w:t>associated documents, including donor and other records relating to the samples;</w:t>
      </w:r>
    </w:p>
    <w:p w:rsidR="001A4DD6" w:rsidRDefault="00F0672D" w:rsidP="001A4DD6">
      <w:pPr>
        <w:pStyle w:val="Heading6"/>
        <w:rPr>
          <w:lang w:eastAsia="en-AU"/>
        </w:rPr>
      </w:pPr>
      <w:r w:rsidRPr="00F0672D">
        <w:rPr>
          <w:lang w:eastAsia="en-AU"/>
        </w:rPr>
        <w:t>data derived from the samples and associated documents;</w:t>
      </w:r>
    </w:p>
    <w:p w:rsidR="00F0672D" w:rsidRDefault="001A4DD6" w:rsidP="001A4DD6">
      <w:pPr>
        <w:pStyle w:val="Heading6"/>
        <w:rPr>
          <w:lang w:eastAsia="en-AU"/>
        </w:rPr>
      </w:pPr>
      <w:r w:rsidRPr="001A4DD6">
        <w:rPr>
          <w:lang w:eastAsia="en-AU"/>
        </w:rPr>
        <w:t>other genomic data collected from Indigenous people.</w:t>
      </w:r>
    </w:p>
    <w:p w:rsidR="00F0672D" w:rsidRDefault="001A4DD6" w:rsidP="001A4DD6">
      <w:pPr>
        <w:pStyle w:val="Heading1"/>
      </w:pPr>
      <w:bookmarkStart w:id="16" w:name="_Toc62480212"/>
      <w:r w:rsidRPr="001A4DD6">
        <w:t>National Centre for Indigenous Genomics</w:t>
      </w:r>
      <w:bookmarkEnd w:id="16"/>
    </w:p>
    <w:p w:rsidR="001A4DD6" w:rsidRDefault="001A4DD6" w:rsidP="001A4DD6">
      <w:pPr>
        <w:pStyle w:val="Heading3"/>
      </w:pPr>
      <w:bookmarkStart w:id="17" w:name="_Toc62480213"/>
      <w:r>
        <w:t>Establishment of Centre</w:t>
      </w:r>
      <w:bookmarkEnd w:id="17"/>
    </w:p>
    <w:p w:rsidR="001A4DD6" w:rsidRDefault="001A4DD6" w:rsidP="001A4DD6">
      <w:pPr>
        <w:pStyle w:val="Heading4"/>
        <w:numPr>
          <w:ilvl w:val="0"/>
          <w:numId w:val="0"/>
        </w:numPr>
        <w:ind w:left="1134"/>
        <w:rPr>
          <w:lang w:eastAsia="en-AU"/>
        </w:rPr>
      </w:pPr>
      <w:r w:rsidRPr="001A4DD6">
        <w:rPr>
          <w:lang w:eastAsia="en-AU"/>
        </w:rPr>
        <w:t>The National Centre for Indigenous Genomics is established as a body within the University.</w:t>
      </w:r>
    </w:p>
    <w:p w:rsidR="001A4DD6" w:rsidRDefault="001A4DD6" w:rsidP="001A4DD6">
      <w:pPr>
        <w:pStyle w:val="Heading3"/>
      </w:pPr>
      <w:bookmarkStart w:id="18" w:name="_Toc62480214"/>
      <w:r>
        <w:t>Functions of Centre</w:t>
      </w:r>
      <w:bookmarkEnd w:id="18"/>
    </w:p>
    <w:p w:rsidR="001A4DD6" w:rsidRDefault="001A4DD6" w:rsidP="001A4DD6">
      <w:pPr>
        <w:pStyle w:val="Heading4"/>
        <w:numPr>
          <w:ilvl w:val="0"/>
          <w:numId w:val="0"/>
        </w:numPr>
        <w:ind w:left="1134"/>
        <w:rPr>
          <w:lang w:eastAsia="en-AU"/>
        </w:rPr>
      </w:pPr>
      <w:r w:rsidRPr="001A4DD6">
        <w:rPr>
          <w:lang w:eastAsia="en-AU"/>
        </w:rPr>
        <w:t>The Centre has the following functions:</w:t>
      </w:r>
    </w:p>
    <w:p w:rsidR="001A4DD6" w:rsidRDefault="001A4DD6" w:rsidP="001A4DD6">
      <w:pPr>
        <w:pStyle w:val="Heading5"/>
        <w:rPr>
          <w:lang w:eastAsia="en-AU"/>
        </w:rPr>
      </w:pPr>
      <w:r w:rsidRPr="001A4DD6">
        <w:rPr>
          <w:lang w:eastAsia="en-AU"/>
        </w:rPr>
        <w:t>to hold the Collection, and add to it, in accordance with international standards;</w:t>
      </w:r>
    </w:p>
    <w:p w:rsidR="001A4DD6" w:rsidRDefault="001A4DD6" w:rsidP="001A4DD6">
      <w:pPr>
        <w:pStyle w:val="Heading5"/>
        <w:rPr>
          <w:lang w:eastAsia="en-AU"/>
        </w:rPr>
      </w:pPr>
      <w:r w:rsidRPr="001A4DD6">
        <w:rPr>
          <w:lang w:eastAsia="en-AU"/>
        </w:rPr>
        <w:t>to engage with Indigenous communities, organisations and people in relation to the Collection, particularly those associated with material in the Collection;</w:t>
      </w:r>
    </w:p>
    <w:p w:rsidR="001A4DD6" w:rsidRDefault="001A4DD6" w:rsidP="001A4DD6">
      <w:pPr>
        <w:pStyle w:val="Heading5"/>
        <w:rPr>
          <w:lang w:eastAsia="en-AU"/>
        </w:rPr>
      </w:pPr>
      <w:r w:rsidRPr="001A4DD6">
        <w:rPr>
          <w:lang w:eastAsia="en-AU"/>
        </w:rPr>
        <w:t>to promote the use of the Collection, including by engaging with researchers and research institutions outside the University;</w:t>
      </w:r>
    </w:p>
    <w:p w:rsidR="001A4DD6" w:rsidRDefault="001A4DD6" w:rsidP="001A4DD6">
      <w:pPr>
        <w:pStyle w:val="Heading5"/>
        <w:rPr>
          <w:lang w:eastAsia="en-AU"/>
        </w:rPr>
      </w:pPr>
      <w:r w:rsidRPr="001A4DD6">
        <w:rPr>
          <w:lang w:eastAsia="en-AU"/>
        </w:rPr>
        <w:t>to support research using the Collection;</w:t>
      </w:r>
    </w:p>
    <w:p w:rsidR="001A4DD6" w:rsidRPr="001A4DD6" w:rsidRDefault="001A4DD6" w:rsidP="001A4DD6">
      <w:pPr>
        <w:pStyle w:val="Heading5"/>
        <w:rPr>
          <w:lang w:eastAsia="en-AU"/>
        </w:rPr>
      </w:pPr>
      <w:r w:rsidRPr="001A4DD6">
        <w:rPr>
          <w:lang w:eastAsia="en-AU"/>
        </w:rPr>
        <w:t>to do anything incidental or conducive to the exercise of any of its other functions.</w:t>
      </w:r>
    </w:p>
    <w:p w:rsidR="001A4DD6" w:rsidRPr="001A4DD6" w:rsidRDefault="001A4DD6" w:rsidP="001A4DD6">
      <w:pPr>
        <w:pStyle w:val="Heading3"/>
      </w:pPr>
      <w:bookmarkStart w:id="19" w:name="_Toc62480215"/>
      <w:r w:rsidRPr="001A4DD6">
        <w:t>Centre to comply with Comm</w:t>
      </w:r>
      <w:r w:rsidR="00005847">
        <w:t>onwealth laws, University legislation</w:t>
      </w:r>
      <w:r w:rsidRPr="001A4DD6">
        <w:t xml:space="preserve"> etc.</w:t>
      </w:r>
      <w:bookmarkEnd w:id="19"/>
    </w:p>
    <w:p w:rsidR="00005847" w:rsidRDefault="001A4DD6" w:rsidP="001A4DD6">
      <w:pPr>
        <w:pStyle w:val="Heading4"/>
        <w:numPr>
          <w:ilvl w:val="0"/>
          <w:numId w:val="0"/>
        </w:numPr>
        <w:ind w:left="1134"/>
      </w:pPr>
      <w:r w:rsidRPr="001A4DD6">
        <w:t>To remove any doubt, the Centre must comply with</w:t>
      </w:r>
      <w:r w:rsidR="00005847">
        <w:t>:</w:t>
      </w:r>
    </w:p>
    <w:p w:rsidR="00005847" w:rsidRDefault="001A4DD6" w:rsidP="00005847">
      <w:pPr>
        <w:pStyle w:val="Heading5"/>
      </w:pPr>
      <w:r w:rsidRPr="001A4DD6">
        <w:t>Commonwealth laws that apply to the University</w:t>
      </w:r>
      <w:r w:rsidR="00005847">
        <w:t>: and</w:t>
      </w:r>
    </w:p>
    <w:p w:rsidR="001A4DD6" w:rsidRDefault="00005847" w:rsidP="00005847">
      <w:pPr>
        <w:pStyle w:val="Heading5"/>
      </w:pPr>
      <w:r>
        <w:t>University legislation and policies</w:t>
      </w:r>
      <w:r w:rsidR="001A4DD6" w:rsidRPr="001A4DD6">
        <w:t>.</w:t>
      </w:r>
    </w:p>
    <w:p w:rsidR="001A4DD6" w:rsidRPr="009E3B8A" w:rsidRDefault="001A4DD6" w:rsidP="001A4DD6">
      <w:pPr>
        <w:pStyle w:val="Note"/>
      </w:pPr>
      <w:r>
        <w:t>[Note:</w:t>
      </w:r>
      <w:r>
        <w:tab/>
      </w:r>
      <w:r w:rsidRPr="001A6F8A">
        <w:t xml:space="preserve">The </w:t>
      </w:r>
      <w:r>
        <w:rPr>
          <w:i/>
        </w:rPr>
        <w:t>Public Governance, Performance and Accountability Act 2013</w:t>
      </w:r>
      <w:r w:rsidRPr="001A6F8A">
        <w:t xml:space="preserve"> has</w:t>
      </w:r>
      <w:r>
        <w:t>, for example, provisions about audit and bank accounts that apply to the University.</w:t>
      </w:r>
      <w:r w:rsidRPr="001A6F8A">
        <w:t>]</w:t>
      </w:r>
    </w:p>
    <w:p w:rsidR="001A4DD6" w:rsidRDefault="002D358E" w:rsidP="001A4DD6">
      <w:pPr>
        <w:pStyle w:val="Heading3"/>
      </w:pPr>
      <w:bookmarkStart w:id="20" w:name="_Toc62480216"/>
      <w:r>
        <w:t>Director of</w:t>
      </w:r>
      <w:r w:rsidR="001A4DD6">
        <w:t xml:space="preserve"> Centre</w:t>
      </w:r>
      <w:bookmarkEnd w:id="20"/>
    </w:p>
    <w:p w:rsidR="001A4DD6" w:rsidRPr="001A4DD6" w:rsidRDefault="001A4DD6" w:rsidP="001A4DD6">
      <w:pPr>
        <w:pStyle w:val="Heading4"/>
        <w:rPr>
          <w:lang w:eastAsia="en-AU"/>
        </w:rPr>
      </w:pPr>
      <w:r w:rsidRPr="001A4DD6">
        <w:rPr>
          <w:lang w:eastAsia="en-AU"/>
        </w:rPr>
        <w:t>The Centre is to have a Direct</w:t>
      </w:r>
      <w:r w:rsidR="009838DB">
        <w:rPr>
          <w:lang w:eastAsia="en-AU"/>
        </w:rPr>
        <w:t>or, who is to be a member of</w:t>
      </w:r>
      <w:r w:rsidRPr="001A4DD6">
        <w:rPr>
          <w:lang w:eastAsia="en-AU"/>
        </w:rPr>
        <w:t xml:space="preserve"> staff of the University.</w:t>
      </w:r>
    </w:p>
    <w:p w:rsidR="001A4DD6" w:rsidRDefault="001A4DD6" w:rsidP="001A4DD6">
      <w:pPr>
        <w:pStyle w:val="Heading4"/>
        <w:rPr>
          <w:lang w:eastAsia="en-AU"/>
        </w:rPr>
      </w:pPr>
      <w:r w:rsidRPr="001A4DD6">
        <w:rPr>
          <w:lang w:eastAsia="en-AU"/>
        </w:rPr>
        <w:t>The Vice-Chancellor must, by written instrument, appoint a person as the Director, after seeking the Board’s advice.</w:t>
      </w:r>
    </w:p>
    <w:p w:rsidR="001A4DD6" w:rsidRPr="001A4DD6" w:rsidRDefault="001A4DD6" w:rsidP="001A4DD6">
      <w:pPr>
        <w:pStyle w:val="Heading4"/>
        <w:rPr>
          <w:lang w:eastAsia="en-AU"/>
        </w:rPr>
      </w:pPr>
      <w:r w:rsidRPr="001A4DD6">
        <w:rPr>
          <w:lang w:eastAsia="en-AU"/>
        </w:rPr>
        <w:t>A member of the Board cannot be appointed as the Director.</w:t>
      </w:r>
    </w:p>
    <w:p w:rsidR="00775D99" w:rsidRPr="00775D99" w:rsidRDefault="00775D99" w:rsidP="00775D99">
      <w:pPr>
        <w:pStyle w:val="Heading4"/>
        <w:rPr>
          <w:lang w:eastAsia="en-AU"/>
        </w:rPr>
      </w:pPr>
      <w:r w:rsidRPr="00775D99">
        <w:rPr>
          <w:lang w:eastAsia="en-AU"/>
        </w:rPr>
        <w:t>The Director is responsible for:</w:t>
      </w:r>
    </w:p>
    <w:p w:rsidR="001A4DD6" w:rsidRDefault="00775D99" w:rsidP="00775D99">
      <w:pPr>
        <w:pStyle w:val="Heading5"/>
        <w:rPr>
          <w:lang w:eastAsia="en-AU"/>
        </w:rPr>
      </w:pPr>
      <w:r w:rsidRPr="00775D99">
        <w:rPr>
          <w:lang w:eastAsia="en-AU"/>
        </w:rPr>
        <w:t>supporting the Board as the custodian of the Collection and in the exercise of its other functions under this instrument; and</w:t>
      </w:r>
    </w:p>
    <w:p w:rsidR="00775D99" w:rsidRPr="00775D99" w:rsidRDefault="00775D99" w:rsidP="00775D99">
      <w:pPr>
        <w:pStyle w:val="Heading5"/>
        <w:rPr>
          <w:lang w:eastAsia="en-AU"/>
        </w:rPr>
      </w:pPr>
      <w:r w:rsidRPr="00775D99">
        <w:rPr>
          <w:lang w:eastAsia="en-AU"/>
        </w:rPr>
        <w:t>managing the operations of the Centre in accordance with:</w:t>
      </w:r>
    </w:p>
    <w:p w:rsidR="00775D99" w:rsidRPr="00775D99" w:rsidRDefault="00775D99" w:rsidP="00775D99">
      <w:pPr>
        <w:pStyle w:val="Heading6"/>
        <w:rPr>
          <w:lang w:eastAsia="en-AU"/>
        </w:rPr>
      </w:pPr>
      <w:r w:rsidRPr="00775D99">
        <w:rPr>
          <w:lang w:eastAsia="en-AU"/>
        </w:rPr>
        <w:t>Commonwealth laws that apply to the University; and</w:t>
      </w:r>
    </w:p>
    <w:p w:rsidR="00775D99" w:rsidRPr="00775D99" w:rsidRDefault="00775D99" w:rsidP="00775D99">
      <w:pPr>
        <w:pStyle w:val="Heading6"/>
        <w:rPr>
          <w:lang w:eastAsia="en-AU"/>
        </w:rPr>
      </w:pPr>
      <w:r w:rsidRPr="00775D99">
        <w:rPr>
          <w:lang w:eastAsia="en-AU"/>
        </w:rPr>
        <w:t>University</w:t>
      </w:r>
      <w:r w:rsidR="009838DB">
        <w:rPr>
          <w:lang w:eastAsia="en-AU"/>
        </w:rPr>
        <w:t xml:space="preserve"> legislation and policies</w:t>
      </w:r>
      <w:r w:rsidRPr="00775D99">
        <w:rPr>
          <w:lang w:eastAsia="en-AU"/>
        </w:rPr>
        <w:t>; and</w:t>
      </w:r>
    </w:p>
    <w:p w:rsidR="00775D99" w:rsidRPr="00775D99" w:rsidRDefault="00775D99" w:rsidP="00775D99">
      <w:pPr>
        <w:pStyle w:val="Heading6"/>
        <w:rPr>
          <w:lang w:eastAsia="en-AU"/>
        </w:rPr>
      </w:pPr>
      <w:r w:rsidRPr="00775D99">
        <w:rPr>
          <w:lang w:eastAsia="en-AU"/>
        </w:rPr>
        <w:t>the operational plan prepared and varied, from time to time, by the Board; and</w:t>
      </w:r>
    </w:p>
    <w:p w:rsidR="00775D99" w:rsidRPr="00775D99" w:rsidRDefault="00775D99" w:rsidP="00775D99">
      <w:pPr>
        <w:pStyle w:val="Heading6"/>
        <w:rPr>
          <w:lang w:eastAsia="en-AU"/>
        </w:rPr>
      </w:pPr>
      <w:r w:rsidRPr="00775D99">
        <w:rPr>
          <w:lang w:eastAsia="en-AU"/>
        </w:rPr>
        <w:t>policies approved by the Board in relation to the Collection.</w:t>
      </w:r>
    </w:p>
    <w:p w:rsidR="00775D99" w:rsidRPr="00775D99" w:rsidRDefault="00775D99" w:rsidP="00775D99">
      <w:pPr>
        <w:pStyle w:val="Heading4"/>
        <w:rPr>
          <w:lang w:eastAsia="en-AU"/>
        </w:rPr>
      </w:pPr>
      <w:r w:rsidRPr="00775D99">
        <w:rPr>
          <w:lang w:eastAsia="en-AU"/>
        </w:rPr>
        <w:t>Without limiting subsection (4)(a), the Director must:</w:t>
      </w:r>
    </w:p>
    <w:p w:rsidR="00775D99" w:rsidRPr="00775D99" w:rsidRDefault="00775D99" w:rsidP="00775D99">
      <w:pPr>
        <w:pStyle w:val="Heading5"/>
        <w:rPr>
          <w:lang w:eastAsia="en-AU"/>
        </w:rPr>
      </w:pPr>
      <w:r w:rsidRPr="00775D99">
        <w:rPr>
          <w:lang w:eastAsia="en-AU"/>
        </w:rPr>
        <w:t>provide the Board with the reports that it requires on the Centre’s operations; and</w:t>
      </w:r>
    </w:p>
    <w:p w:rsidR="009838DB" w:rsidRPr="009838DB" w:rsidRDefault="009838DB" w:rsidP="009838DB">
      <w:pPr>
        <w:pStyle w:val="Heading5"/>
        <w:rPr>
          <w:lang w:eastAsia="en-AU"/>
        </w:rPr>
      </w:pPr>
      <w:r w:rsidRPr="009838DB">
        <w:rPr>
          <w:lang w:eastAsia="en-AU"/>
        </w:rPr>
        <w:t>provide the Board with the assistance that it requires as the custodian of the Collection and for the exercise of its other functions under this instrument; and</w:t>
      </w:r>
    </w:p>
    <w:p w:rsidR="00775D99" w:rsidRPr="00775D99" w:rsidRDefault="00775D99" w:rsidP="00775D99">
      <w:pPr>
        <w:pStyle w:val="Heading5"/>
        <w:rPr>
          <w:lang w:eastAsia="en-AU"/>
        </w:rPr>
      </w:pPr>
      <w:r w:rsidRPr="00775D99">
        <w:rPr>
          <w:lang w:eastAsia="en-AU"/>
        </w:rPr>
        <w:t>ensure that the Board has sufficient timely information to enable it to prepare its annual reports and operational plans.</w:t>
      </w:r>
    </w:p>
    <w:p w:rsidR="00775D99" w:rsidRPr="00775D99" w:rsidRDefault="00775D99" w:rsidP="00775D99">
      <w:pPr>
        <w:pStyle w:val="Heading4"/>
        <w:rPr>
          <w:lang w:eastAsia="en-AU"/>
        </w:rPr>
      </w:pPr>
      <w:r w:rsidRPr="00775D99">
        <w:rPr>
          <w:lang w:eastAsia="en-AU"/>
        </w:rPr>
        <w:t>If the Director loses the confidence of the Board, the Board may ask the Vice-Chancellor to end the Director’s appointment.</w:t>
      </w:r>
    </w:p>
    <w:p w:rsidR="001A4DD6" w:rsidRDefault="0022576E" w:rsidP="0022576E">
      <w:pPr>
        <w:pStyle w:val="Heading1"/>
      </w:pPr>
      <w:bookmarkStart w:id="21" w:name="_Toc62480217"/>
      <w:r>
        <w:t>Board of Centre</w:t>
      </w:r>
      <w:bookmarkEnd w:id="21"/>
    </w:p>
    <w:p w:rsidR="0022576E" w:rsidRDefault="0022576E" w:rsidP="0022576E">
      <w:pPr>
        <w:pStyle w:val="Heading2"/>
      </w:pPr>
      <w:bookmarkStart w:id="22" w:name="_Toc62480218"/>
      <w:r w:rsidRPr="0022576E">
        <w:t>Establishment, role and functions of Board</w:t>
      </w:r>
      <w:bookmarkEnd w:id="22"/>
    </w:p>
    <w:p w:rsidR="0022576E" w:rsidRDefault="0022576E" w:rsidP="0022576E">
      <w:pPr>
        <w:pStyle w:val="Heading3"/>
      </w:pPr>
      <w:bookmarkStart w:id="23" w:name="_Toc62480219"/>
      <w:r w:rsidRPr="0022576E">
        <w:t>Establishment of Board</w:t>
      </w:r>
      <w:bookmarkEnd w:id="23"/>
    </w:p>
    <w:p w:rsidR="0022576E" w:rsidRPr="0022576E" w:rsidRDefault="0022576E" w:rsidP="0022576E">
      <w:pPr>
        <w:pStyle w:val="Heading4"/>
        <w:numPr>
          <w:ilvl w:val="0"/>
          <w:numId w:val="0"/>
        </w:numPr>
        <w:ind w:left="1134"/>
        <w:rPr>
          <w:lang w:eastAsia="en-AU"/>
        </w:rPr>
      </w:pPr>
      <w:r w:rsidRPr="0022576E">
        <w:rPr>
          <w:lang w:eastAsia="en-AU"/>
        </w:rPr>
        <w:t>The Board of the Centre is established.</w:t>
      </w:r>
    </w:p>
    <w:p w:rsidR="0022576E" w:rsidRDefault="0022576E" w:rsidP="0022576E">
      <w:pPr>
        <w:pStyle w:val="Heading3"/>
      </w:pPr>
      <w:bookmarkStart w:id="24" w:name="_Toc62480220"/>
      <w:r w:rsidRPr="0022576E">
        <w:t>Delegation of custodianship of collection to Board</w:t>
      </w:r>
      <w:bookmarkEnd w:id="24"/>
    </w:p>
    <w:p w:rsidR="0022576E" w:rsidRPr="0022576E" w:rsidRDefault="0022576E" w:rsidP="0022576E">
      <w:pPr>
        <w:pStyle w:val="Heading4"/>
        <w:rPr>
          <w:lang w:eastAsia="en-AU"/>
        </w:rPr>
      </w:pPr>
      <w:r w:rsidRPr="0022576E">
        <w:rPr>
          <w:lang w:eastAsia="en-AU"/>
        </w:rPr>
        <w:t>The Council delegates the custodianship of the Collection to the Board.</w:t>
      </w:r>
    </w:p>
    <w:p w:rsidR="0022576E" w:rsidRPr="0022576E" w:rsidRDefault="0022576E" w:rsidP="0022576E">
      <w:pPr>
        <w:pStyle w:val="Heading4"/>
        <w:rPr>
          <w:lang w:eastAsia="en-AU"/>
        </w:rPr>
      </w:pPr>
      <w:r w:rsidRPr="0022576E">
        <w:rPr>
          <w:lang w:eastAsia="en-AU"/>
        </w:rPr>
        <w:t>The Board must exercise its custodianship in accordance with this instrument.</w:t>
      </w:r>
    </w:p>
    <w:p w:rsidR="0022576E" w:rsidRDefault="0022576E" w:rsidP="0022576E">
      <w:pPr>
        <w:pStyle w:val="Heading3"/>
      </w:pPr>
      <w:bookmarkStart w:id="25" w:name="_Toc62480221"/>
      <w:r w:rsidRPr="0022576E">
        <w:t>Functions of Board</w:t>
      </w:r>
      <w:bookmarkEnd w:id="25"/>
    </w:p>
    <w:p w:rsidR="0022576E" w:rsidRPr="0022576E" w:rsidRDefault="0022576E" w:rsidP="0022576E">
      <w:pPr>
        <w:pStyle w:val="Heading4"/>
        <w:rPr>
          <w:lang w:eastAsia="en-AU"/>
        </w:rPr>
      </w:pPr>
      <w:r w:rsidRPr="0022576E">
        <w:rPr>
          <w:lang w:eastAsia="en-AU"/>
        </w:rPr>
        <w:t>The primary function of the Board is to be the custodian of the Collection.</w:t>
      </w:r>
    </w:p>
    <w:p w:rsidR="0022576E" w:rsidRPr="0022576E" w:rsidRDefault="0022576E" w:rsidP="0022576E">
      <w:pPr>
        <w:pStyle w:val="Heading4"/>
        <w:rPr>
          <w:lang w:eastAsia="en-AU"/>
        </w:rPr>
      </w:pPr>
      <w:r w:rsidRPr="0022576E">
        <w:rPr>
          <w:lang w:eastAsia="en-AU"/>
        </w:rPr>
        <w:t>As custodian of the Collection, the Board is responsible for the management and use of the Collection, and for the appropriate addition of material to the Collection, in accordance with international standards.</w:t>
      </w:r>
    </w:p>
    <w:p w:rsidR="0022576E" w:rsidRPr="0022576E" w:rsidRDefault="0022576E" w:rsidP="0022576E">
      <w:pPr>
        <w:pStyle w:val="Heading4"/>
        <w:rPr>
          <w:lang w:eastAsia="en-AU"/>
        </w:rPr>
      </w:pPr>
      <w:r w:rsidRPr="0022576E">
        <w:rPr>
          <w:lang w:eastAsia="en-AU"/>
        </w:rPr>
        <w:t>Without limiting subsection (1), the Board has the following functions:</w:t>
      </w:r>
    </w:p>
    <w:p w:rsidR="0022576E" w:rsidRPr="0022576E" w:rsidRDefault="0022576E" w:rsidP="0022576E">
      <w:pPr>
        <w:pStyle w:val="Heading5"/>
        <w:rPr>
          <w:lang w:eastAsia="en-AU"/>
        </w:rPr>
      </w:pPr>
      <w:r w:rsidRPr="0022576E">
        <w:rPr>
          <w:lang w:eastAsia="en-AU"/>
        </w:rPr>
        <w:t>to oversee the operations of the Centre;</w:t>
      </w:r>
    </w:p>
    <w:p w:rsidR="0022576E" w:rsidRPr="0022576E" w:rsidRDefault="0022576E" w:rsidP="0022576E">
      <w:pPr>
        <w:pStyle w:val="Heading5"/>
        <w:rPr>
          <w:lang w:eastAsia="en-AU"/>
        </w:rPr>
      </w:pPr>
      <w:r w:rsidRPr="0022576E">
        <w:rPr>
          <w:lang w:eastAsia="en-AU"/>
        </w:rPr>
        <w:t>to approve policies for the following:</w:t>
      </w:r>
    </w:p>
    <w:p w:rsidR="0022576E" w:rsidRPr="0022576E" w:rsidRDefault="0022576E" w:rsidP="0022576E">
      <w:pPr>
        <w:pStyle w:val="Heading6"/>
        <w:rPr>
          <w:lang w:eastAsia="en-AU"/>
        </w:rPr>
      </w:pPr>
      <w:r w:rsidRPr="0022576E">
        <w:rPr>
          <w:lang w:eastAsia="en-AU"/>
        </w:rPr>
        <w:t>the management and use of the Collection, including, for example, policies to ensure the ethical, transparent use of the Collection;</w:t>
      </w:r>
    </w:p>
    <w:p w:rsidR="0022576E" w:rsidRPr="0022576E" w:rsidRDefault="0022576E" w:rsidP="0022576E">
      <w:pPr>
        <w:pStyle w:val="Heading6"/>
        <w:rPr>
          <w:lang w:eastAsia="en-AU"/>
        </w:rPr>
      </w:pPr>
      <w:r w:rsidRPr="0022576E">
        <w:rPr>
          <w:lang w:eastAsia="en-AU"/>
        </w:rPr>
        <w:t>the addition of material to the Collection;</w:t>
      </w:r>
    </w:p>
    <w:p w:rsidR="0022576E" w:rsidRPr="0022576E" w:rsidRDefault="0022576E" w:rsidP="0022576E">
      <w:pPr>
        <w:pStyle w:val="Heading6"/>
        <w:rPr>
          <w:lang w:eastAsia="en-AU"/>
        </w:rPr>
      </w:pPr>
      <w:r w:rsidRPr="0022576E">
        <w:rPr>
          <w:lang w:eastAsia="en-AU"/>
        </w:rPr>
        <w:t>the engagement of the Centre with Indigenous communities, organisations and people in relation to the Collection;</w:t>
      </w:r>
    </w:p>
    <w:p w:rsidR="0022576E" w:rsidRPr="0022576E" w:rsidRDefault="0022576E" w:rsidP="0022576E">
      <w:pPr>
        <w:pStyle w:val="Heading5"/>
        <w:rPr>
          <w:lang w:eastAsia="en-AU"/>
        </w:rPr>
      </w:pPr>
      <w:r w:rsidRPr="0022576E">
        <w:rPr>
          <w:lang w:eastAsia="en-AU"/>
        </w:rPr>
        <w:t>to provi</w:t>
      </w:r>
      <w:r w:rsidR="00446A3B">
        <w:rPr>
          <w:lang w:eastAsia="en-AU"/>
        </w:rPr>
        <w:t>de advice to the Council and</w:t>
      </w:r>
      <w:r w:rsidRPr="0022576E">
        <w:rPr>
          <w:lang w:eastAsia="en-AU"/>
        </w:rPr>
        <w:t xml:space="preserve"> Vice-Chancellor about the Collection;</w:t>
      </w:r>
    </w:p>
    <w:p w:rsidR="0022576E" w:rsidRPr="0022576E" w:rsidRDefault="0022576E" w:rsidP="0022576E">
      <w:pPr>
        <w:pStyle w:val="Heading5"/>
        <w:rPr>
          <w:lang w:eastAsia="en-AU"/>
        </w:rPr>
      </w:pPr>
      <w:r w:rsidRPr="0022576E">
        <w:rPr>
          <w:lang w:eastAsia="en-AU"/>
        </w:rPr>
        <w:t>to promote the Collection as a national and international resource;</w:t>
      </w:r>
    </w:p>
    <w:p w:rsidR="0022576E" w:rsidRPr="0022576E" w:rsidRDefault="0022576E" w:rsidP="0022576E">
      <w:pPr>
        <w:pStyle w:val="Heading5"/>
        <w:rPr>
          <w:lang w:eastAsia="en-AU"/>
        </w:rPr>
      </w:pPr>
      <w:r w:rsidRPr="0022576E">
        <w:rPr>
          <w:lang w:eastAsia="en-AU"/>
        </w:rPr>
        <w:t>to seek funding for the purposes of the Centre, including for research and community engagement;</w:t>
      </w:r>
    </w:p>
    <w:p w:rsidR="0022576E" w:rsidRPr="0022576E" w:rsidRDefault="0022576E" w:rsidP="0022576E">
      <w:pPr>
        <w:pStyle w:val="Heading5"/>
        <w:rPr>
          <w:lang w:eastAsia="en-AU"/>
        </w:rPr>
      </w:pPr>
      <w:r w:rsidRPr="0022576E">
        <w:rPr>
          <w:lang w:eastAsia="en-AU"/>
        </w:rPr>
        <w:t>to encourage the Centre to promote the use of the Collection, including by engaging with researchers and research institutions outside the University;</w:t>
      </w:r>
    </w:p>
    <w:p w:rsidR="0022576E" w:rsidRPr="0022576E" w:rsidRDefault="0022576E" w:rsidP="0022576E">
      <w:pPr>
        <w:pStyle w:val="Heading5"/>
        <w:rPr>
          <w:lang w:eastAsia="en-AU"/>
        </w:rPr>
      </w:pPr>
      <w:r w:rsidRPr="0022576E">
        <w:rPr>
          <w:lang w:eastAsia="en-AU"/>
        </w:rPr>
        <w:t>to exercise any other function given to it under this instrument;</w:t>
      </w:r>
    </w:p>
    <w:p w:rsidR="0022576E" w:rsidRPr="0022576E" w:rsidRDefault="0022576E" w:rsidP="0022576E">
      <w:pPr>
        <w:pStyle w:val="Heading5"/>
        <w:rPr>
          <w:lang w:eastAsia="en-AU"/>
        </w:rPr>
      </w:pPr>
      <w:r w:rsidRPr="0022576E">
        <w:rPr>
          <w:lang w:eastAsia="en-AU"/>
        </w:rPr>
        <w:t>to do anything incidental or conducive to the exercise of any of its other functions.</w:t>
      </w:r>
    </w:p>
    <w:p w:rsidR="0022576E" w:rsidRDefault="0022576E" w:rsidP="0022576E">
      <w:pPr>
        <w:pStyle w:val="Heading2"/>
      </w:pPr>
      <w:bookmarkStart w:id="26" w:name="_Toc62480222"/>
      <w:r>
        <w:t>Board members</w:t>
      </w:r>
      <w:bookmarkEnd w:id="26"/>
    </w:p>
    <w:p w:rsidR="0022576E" w:rsidRDefault="0022576E" w:rsidP="0022576E">
      <w:pPr>
        <w:pStyle w:val="Heading3"/>
      </w:pPr>
      <w:bookmarkStart w:id="27" w:name="_Toc62480223"/>
      <w:r w:rsidRPr="0022576E">
        <w:t>Appointment of members</w:t>
      </w:r>
      <w:bookmarkEnd w:id="27"/>
    </w:p>
    <w:p w:rsidR="00B0068A" w:rsidRPr="00B0068A" w:rsidRDefault="00B0068A" w:rsidP="00B0068A">
      <w:pPr>
        <w:pStyle w:val="Heading4"/>
        <w:rPr>
          <w:lang w:eastAsia="en-AU"/>
        </w:rPr>
      </w:pPr>
      <w:r w:rsidRPr="00B0068A">
        <w:rPr>
          <w:lang w:eastAsia="en-AU"/>
        </w:rPr>
        <w:t>The Board is to consist of following members appointed, by written instrument, by the Vice-Chancellor:</w:t>
      </w:r>
    </w:p>
    <w:p w:rsidR="00B0068A" w:rsidRPr="00B0068A" w:rsidRDefault="00B0068A" w:rsidP="00B0068A">
      <w:pPr>
        <w:pStyle w:val="Heading5"/>
        <w:rPr>
          <w:lang w:eastAsia="en-AU"/>
        </w:rPr>
      </w:pPr>
      <w:r w:rsidRPr="00B0068A">
        <w:rPr>
          <w:lang w:eastAsia="en-AU"/>
        </w:rPr>
        <w:t>8 members appointed as recommended members;</w:t>
      </w:r>
    </w:p>
    <w:p w:rsidR="00B0068A" w:rsidRDefault="00B0068A" w:rsidP="00B0068A">
      <w:pPr>
        <w:pStyle w:val="Heading5"/>
        <w:rPr>
          <w:lang w:eastAsia="en-AU"/>
        </w:rPr>
      </w:pPr>
      <w:r w:rsidRPr="00B0068A">
        <w:rPr>
          <w:lang w:eastAsia="en-AU"/>
        </w:rPr>
        <w:t>2 other members.</w:t>
      </w:r>
    </w:p>
    <w:p w:rsidR="00B0068A" w:rsidRPr="00B0068A" w:rsidRDefault="00B0068A" w:rsidP="00B0068A">
      <w:pPr>
        <w:pStyle w:val="Heading4"/>
        <w:rPr>
          <w:lang w:eastAsia="en-AU"/>
        </w:rPr>
      </w:pPr>
      <w:r w:rsidRPr="00B0068A">
        <w:rPr>
          <w:lang w:eastAsia="en-AU"/>
        </w:rPr>
        <w:t>A member of the Board may be appointed for a term of no longer than 4 years.</w:t>
      </w:r>
    </w:p>
    <w:p w:rsidR="00B0068A" w:rsidRPr="00B0068A" w:rsidRDefault="00B0068A" w:rsidP="00B0068A">
      <w:pPr>
        <w:pStyle w:val="Heading4"/>
        <w:rPr>
          <w:lang w:eastAsia="en-AU"/>
        </w:rPr>
      </w:pPr>
      <w:r w:rsidRPr="00B0068A">
        <w:rPr>
          <w:lang w:eastAsia="en-AU"/>
        </w:rPr>
        <w:t>A member of the Board may be reappointed. However, a member may not hold office for longer than 8 consecutive years.</w:t>
      </w:r>
    </w:p>
    <w:p w:rsidR="00B0068A" w:rsidRPr="00B0068A" w:rsidRDefault="00B0068A" w:rsidP="00B0068A">
      <w:pPr>
        <w:pStyle w:val="Heading4"/>
        <w:rPr>
          <w:lang w:eastAsia="en-AU"/>
        </w:rPr>
      </w:pPr>
      <w:r w:rsidRPr="00B0068A">
        <w:rPr>
          <w:lang w:eastAsia="en-AU"/>
        </w:rPr>
        <w:t>A person must not be appointed as a member if the person is:</w:t>
      </w:r>
    </w:p>
    <w:p w:rsidR="00B0068A" w:rsidRPr="00B0068A" w:rsidRDefault="00B0068A" w:rsidP="00B0068A">
      <w:pPr>
        <w:pStyle w:val="Heading5"/>
        <w:rPr>
          <w:lang w:eastAsia="en-AU"/>
        </w:rPr>
      </w:pPr>
      <w:r w:rsidRPr="00B0068A">
        <w:rPr>
          <w:lang w:eastAsia="en-AU"/>
        </w:rPr>
        <w:t>a member of the Commonwealth Parliament, a State Parliament or the legislature of a Territory; or</w:t>
      </w:r>
    </w:p>
    <w:p w:rsidR="00B0068A" w:rsidRPr="00B0068A" w:rsidRDefault="00B0068A" w:rsidP="00B0068A">
      <w:pPr>
        <w:pStyle w:val="Heading5"/>
        <w:rPr>
          <w:lang w:eastAsia="en-AU"/>
        </w:rPr>
      </w:pPr>
      <w:r w:rsidRPr="00B0068A">
        <w:rPr>
          <w:lang w:eastAsia="en-AU"/>
        </w:rPr>
        <w:t xml:space="preserve">disqualified from managing corporations under the </w:t>
      </w:r>
      <w:r w:rsidRPr="00AE4824">
        <w:rPr>
          <w:i/>
          <w:lang w:eastAsia="en-AU"/>
        </w:rPr>
        <w:t>Corporations Act 2001</w:t>
      </w:r>
      <w:r w:rsidRPr="00B0068A">
        <w:rPr>
          <w:lang w:eastAsia="en-AU"/>
        </w:rPr>
        <w:t>, Part 2D.6.</w:t>
      </w:r>
    </w:p>
    <w:p w:rsidR="00B0068A" w:rsidRPr="00B84E6D" w:rsidRDefault="00B0068A" w:rsidP="00B0068A">
      <w:pPr>
        <w:pStyle w:val="Note"/>
      </w:pPr>
      <w:r>
        <w:t>[Note:</w:t>
      </w:r>
      <w:r>
        <w:tab/>
        <w:t>Part 2D.6 provides for automatic periods of disqualification on convicti</w:t>
      </w:r>
      <w:r w:rsidR="002D358E">
        <w:t>on for certain kinds of offences</w:t>
      </w:r>
      <w:r>
        <w:t>, bankruptcy and personal insolvency, and disqualif</w:t>
      </w:r>
      <w:r w:rsidR="002D358E">
        <w:t>ication under foreign law. The P</w:t>
      </w:r>
      <w:r>
        <w:t>art also provides for disqualification orders by courts and ASIC in certain circumstances (e.g. for contravention of certain penalty provisions).</w:t>
      </w:r>
      <w:r w:rsidRPr="001A6F8A">
        <w:t>]</w:t>
      </w:r>
    </w:p>
    <w:p w:rsidR="00B0068A" w:rsidRPr="00B0068A" w:rsidRDefault="00B0068A" w:rsidP="00B0068A">
      <w:pPr>
        <w:pStyle w:val="Heading4"/>
        <w:rPr>
          <w:lang w:eastAsia="en-AU"/>
        </w:rPr>
      </w:pPr>
      <w:r w:rsidRPr="00B0068A">
        <w:rPr>
          <w:lang w:eastAsia="en-AU"/>
        </w:rPr>
        <w:t>The Board must at all times have a majority of members who are recognised as Indigenous persons.</w:t>
      </w:r>
    </w:p>
    <w:p w:rsidR="00B0068A" w:rsidRPr="00B0068A" w:rsidRDefault="002D358E" w:rsidP="00B0068A">
      <w:pPr>
        <w:pStyle w:val="Heading4"/>
        <w:rPr>
          <w:lang w:eastAsia="en-AU"/>
        </w:rPr>
      </w:pPr>
      <w:r>
        <w:rPr>
          <w:lang w:eastAsia="en-AU"/>
        </w:rPr>
        <w:t>A person</w:t>
      </w:r>
      <w:r w:rsidR="00B0068A" w:rsidRPr="00B0068A">
        <w:rPr>
          <w:lang w:eastAsia="en-AU"/>
        </w:rPr>
        <w:t xml:space="preserve"> must be appointed as a recommended member on the recommendation of the Board.</w:t>
      </w:r>
    </w:p>
    <w:p w:rsidR="00B0068A" w:rsidRPr="00B0068A" w:rsidRDefault="00B0068A" w:rsidP="00B0068A">
      <w:pPr>
        <w:pStyle w:val="Heading4"/>
        <w:rPr>
          <w:lang w:eastAsia="en-AU"/>
        </w:rPr>
      </w:pPr>
      <w:r w:rsidRPr="00B0068A">
        <w:rPr>
          <w:lang w:eastAsia="en-AU"/>
        </w:rPr>
        <w:t>In recommending and making appointments to the Board, the Board and the Vice-Chancellor must have regard to the need for the members to have between them sufficient expertise and experience for the Board to properly exercise its functions, including expertise and experience in the following:</w:t>
      </w:r>
    </w:p>
    <w:p w:rsidR="00B0068A" w:rsidRPr="00B0068A" w:rsidRDefault="00B0068A" w:rsidP="00B0068A">
      <w:pPr>
        <w:pStyle w:val="Heading5"/>
        <w:rPr>
          <w:lang w:eastAsia="en-AU"/>
        </w:rPr>
      </w:pPr>
      <w:r w:rsidRPr="00B0068A">
        <w:rPr>
          <w:lang w:eastAsia="en-AU"/>
        </w:rPr>
        <w:t>the culture and values of Indigenous peoples;</w:t>
      </w:r>
    </w:p>
    <w:p w:rsidR="00B0068A" w:rsidRPr="00B0068A" w:rsidRDefault="00B0068A" w:rsidP="00B0068A">
      <w:pPr>
        <w:pStyle w:val="Heading5"/>
        <w:rPr>
          <w:lang w:eastAsia="en-AU"/>
        </w:rPr>
      </w:pPr>
      <w:r w:rsidRPr="00B0068A">
        <w:rPr>
          <w:lang w:eastAsia="en-AU"/>
        </w:rPr>
        <w:t>research into human biological material;</w:t>
      </w:r>
    </w:p>
    <w:p w:rsidR="00B0068A" w:rsidRPr="00B0068A" w:rsidRDefault="00B0068A" w:rsidP="00B0068A">
      <w:pPr>
        <w:pStyle w:val="Heading5"/>
        <w:rPr>
          <w:lang w:eastAsia="en-AU"/>
        </w:rPr>
      </w:pPr>
      <w:r w:rsidRPr="00B0068A">
        <w:rPr>
          <w:lang w:eastAsia="en-AU"/>
        </w:rPr>
        <w:t>community engagement, especially with Indigenous communities;</w:t>
      </w:r>
    </w:p>
    <w:p w:rsidR="00B0068A" w:rsidRPr="00B0068A" w:rsidRDefault="00B0068A" w:rsidP="00B0068A">
      <w:pPr>
        <w:pStyle w:val="Heading5"/>
        <w:rPr>
          <w:lang w:eastAsia="en-AU"/>
        </w:rPr>
      </w:pPr>
      <w:r w:rsidRPr="00B0068A">
        <w:rPr>
          <w:lang w:eastAsia="en-AU"/>
        </w:rPr>
        <w:t>corporate governance;</w:t>
      </w:r>
    </w:p>
    <w:p w:rsidR="00B0068A" w:rsidRPr="00B0068A" w:rsidRDefault="00B0068A" w:rsidP="00B0068A">
      <w:pPr>
        <w:pStyle w:val="Heading5"/>
        <w:rPr>
          <w:lang w:eastAsia="en-AU"/>
        </w:rPr>
      </w:pPr>
      <w:r w:rsidRPr="00B0068A">
        <w:rPr>
          <w:lang w:eastAsia="en-AU"/>
        </w:rPr>
        <w:t>accessing Commonwealth, State and Territory programs and funding sources;</w:t>
      </w:r>
    </w:p>
    <w:p w:rsidR="00B0068A" w:rsidRDefault="00B0068A" w:rsidP="00B0068A">
      <w:pPr>
        <w:pStyle w:val="Heading5"/>
        <w:rPr>
          <w:lang w:eastAsia="en-AU"/>
        </w:rPr>
      </w:pPr>
      <w:r w:rsidRPr="00B0068A">
        <w:rPr>
          <w:lang w:eastAsia="en-AU"/>
        </w:rPr>
        <w:t>the ethical conduct of research involving Indigenous people.</w:t>
      </w:r>
    </w:p>
    <w:p w:rsidR="00B0068A" w:rsidRDefault="00B0068A" w:rsidP="00B0068A">
      <w:pPr>
        <w:pStyle w:val="Heading3"/>
      </w:pPr>
      <w:bookmarkStart w:id="28" w:name="_Toc62480224"/>
      <w:r w:rsidRPr="00B0068A">
        <w:t>Chair and Deputy Chair of Board</w:t>
      </w:r>
      <w:bookmarkEnd w:id="28"/>
    </w:p>
    <w:p w:rsidR="00B0068A" w:rsidRPr="00B0068A" w:rsidRDefault="00B0068A" w:rsidP="00B0068A">
      <w:pPr>
        <w:pStyle w:val="Heading4"/>
        <w:rPr>
          <w:lang w:eastAsia="en-AU"/>
        </w:rPr>
      </w:pPr>
      <w:r w:rsidRPr="00B0068A">
        <w:rPr>
          <w:lang w:eastAsia="en-AU"/>
        </w:rPr>
        <w:t>The members of the Board must, from time to time, elect a member as the Chair of the Board and another member as the Deputy Chair of the Board.</w:t>
      </w:r>
    </w:p>
    <w:p w:rsidR="00B0068A" w:rsidRPr="00B0068A" w:rsidRDefault="00B0068A" w:rsidP="00B0068A">
      <w:pPr>
        <w:pStyle w:val="Heading4"/>
        <w:rPr>
          <w:lang w:eastAsia="en-AU"/>
        </w:rPr>
      </w:pPr>
      <w:r w:rsidRPr="00B0068A">
        <w:rPr>
          <w:lang w:eastAsia="en-AU"/>
        </w:rPr>
        <w:t>The Chair must be an Indigenous person.</w:t>
      </w:r>
    </w:p>
    <w:p w:rsidR="00B0068A" w:rsidRPr="00B0068A" w:rsidRDefault="00B0068A" w:rsidP="00B0068A">
      <w:pPr>
        <w:pStyle w:val="Heading4"/>
        <w:rPr>
          <w:lang w:eastAsia="en-AU"/>
        </w:rPr>
      </w:pPr>
      <w:r w:rsidRPr="00B0068A">
        <w:rPr>
          <w:lang w:eastAsia="en-AU"/>
        </w:rPr>
        <w:t>If the Chair is for any reason unable to call or preside at a meeting or otherwise perform the functions of the Chair, the Deputy Chair is to act as the Chair.</w:t>
      </w:r>
    </w:p>
    <w:p w:rsidR="00B0068A" w:rsidRPr="00972D2F" w:rsidRDefault="00B0068A" w:rsidP="00B0068A">
      <w:pPr>
        <w:pStyle w:val="Note"/>
      </w:pPr>
      <w:r>
        <w:t>[Note:</w:t>
      </w:r>
      <w:r>
        <w:tab/>
      </w:r>
      <w:r w:rsidRPr="001A6F8A">
        <w:t xml:space="preserve">The </w:t>
      </w:r>
      <w:r w:rsidRPr="00A42678">
        <w:t>Acts Interpretation Act</w:t>
      </w:r>
      <w:r w:rsidRPr="001A6F8A">
        <w:t xml:space="preserve"> has provisions applying to acting </w:t>
      </w:r>
      <w:r>
        <w:t xml:space="preserve">arrangements </w:t>
      </w:r>
      <w:r w:rsidRPr="001A6F8A">
        <w:t>(see s</w:t>
      </w:r>
      <w:r>
        <w:t>ection</w:t>
      </w:r>
      <w:r w:rsidRPr="001A6F8A">
        <w:t xml:space="preserve"> 33A(2) and (3)).]</w:t>
      </w:r>
    </w:p>
    <w:p w:rsidR="00B0068A" w:rsidRDefault="00B0068A" w:rsidP="00B0068A">
      <w:pPr>
        <w:pStyle w:val="Heading3"/>
      </w:pPr>
      <w:bookmarkStart w:id="29" w:name="_Toc62480225"/>
      <w:r w:rsidRPr="00B0068A">
        <w:t>Remuneration etc. of members</w:t>
      </w:r>
      <w:bookmarkEnd w:id="29"/>
    </w:p>
    <w:p w:rsidR="00B0068A" w:rsidRPr="00B0068A" w:rsidRDefault="00B0068A" w:rsidP="00B0068A">
      <w:pPr>
        <w:pStyle w:val="Heading4"/>
        <w:numPr>
          <w:ilvl w:val="0"/>
          <w:numId w:val="0"/>
        </w:numPr>
        <w:ind w:left="1134"/>
        <w:rPr>
          <w:lang w:eastAsia="en-AU"/>
        </w:rPr>
      </w:pPr>
      <w:r w:rsidRPr="00B0068A">
        <w:rPr>
          <w:lang w:eastAsia="en-AU"/>
        </w:rPr>
        <w:t>A member is not entitled to remuneration as a member, but may be reimbursed for any reasonable expenses incurred in carrying out the duties of a member.</w:t>
      </w:r>
    </w:p>
    <w:p w:rsidR="00B0068A" w:rsidRDefault="00B0068A" w:rsidP="00B0068A">
      <w:pPr>
        <w:pStyle w:val="Heading3"/>
      </w:pPr>
      <w:bookmarkStart w:id="30" w:name="_Toc62480226"/>
      <w:r w:rsidRPr="00B0068A">
        <w:t>Resignation of members</w:t>
      </w:r>
      <w:bookmarkEnd w:id="30"/>
    </w:p>
    <w:p w:rsidR="00B0068A" w:rsidRDefault="00446A3B" w:rsidP="00B0068A">
      <w:pPr>
        <w:pStyle w:val="Heading4"/>
        <w:numPr>
          <w:ilvl w:val="0"/>
          <w:numId w:val="0"/>
        </w:numPr>
        <w:ind w:left="1134"/>
        <w:rPr>
          <w:lang w:eastAsia="en-AU"/>
        </w:rPr>
      </w:pPr>
      <w:r w:rsidRPr="00446A3B">
        <w:rPr>
          <w:lang w:eastAsia="en-AU"/>
        </w:rPr>
        <w:t>A member may resign by written notice given to the Vice-Chancellor.</w:t>
      </w:r>
    </w:p>
    <w:p w:rsidR="00446A3B" w:rsidRDefault="00446A3B" w:rsidP="00446A3B">
      <w:pPr>
        <w:rPr>
          <w:lang w:eastAsia="en-AU"/>
        </w:rPr>
      </w:pPr>
    </w:p>
    <w:p w:rsidR="00446A3B" w:rsidRPr="00446A3B" w:rsidRDefault="00446A3B" w:rsidP="00446A3B">
      <w:pPr>
        <w:rPr>
          <w:lang w:eastAsia="en-AU"/>
        </w:rPr>
      </w:pPr>
    </w:p>
    <w:p w:rsidR="00065758" w:rsidRPr="00065758" w:rsidRDefault="00065758" w:rsidP="00065758">
      <w:pPr>
        <w:pStyle w:val="Heading3"/>
      </w:pPr>
      <w:bookmarkStart w:id="31" w:name="_Toc62480227"/>
      <w:r w:rsidRPr="00065758">
        <w:t>Duty of members to disclose interests</w:t>
      </w:r>
      <w:bookmarkEnd w:id="31"/>
    </w:p>
    <w:p w:rsidR="00065758" w:rsidRPr="00154FEB" w:rsidRDefault="00065758" w:rsidP="00065758">
      <w:pPr>
        <w:pStyle w:val="SubsectionHead"/>
      </w:pPr>
      <w:r>
        <w:t>Application of section</w:t>
      </w:r>
    </w:p>
    <w:p w:rsidR="00065758" w:rsidRDefault="00065758" w:rsidP="00065758">
      <w:pPr>
        <w:pStyle w:val="Heading4"/>
      </w:pPr>
      <w:r w:rsidRPr="00065758">
        <w:t>This section applies if a member has a material personal interest that relates to the affairs of the Centre.</w:t>
      </w:r>
    </w:p>
    <w:p w:rsidR="00065758" w:rsidRPr="008D6F35" w:rsidRDefault="00065758" w:rsidP="00065758">
      <w:pPr>
        <w:pStyle w:val="SubsectionHead"/>
      </w:pPr>
      <w:r>
        <w:t>Disclosure of interest</w:t>
      </w:r>
    </w:p>
    <w:p w:rsidR="00065758" w:rsidRPr="00065758" w:rsidRDefault="00065758" w:rsidP="00065758">
      <w:pPr>
        <w:pStyle w:val="Heading4"/>
      </w:pPr>
      <w:r w:rsidRPr="00065758">
        <w:t>The member must disclose details of the interest, orally or in writing, to each other member.</w:t>
      </w:r>
    </w:p>
    <w:p w:rsidR="00AE4824" w:rsidRPr="00AE4824" w:rsidRDefault="00AE4824" w:rsidP="00AE4824">
      <w:pPr>
        <w:pStyle w:val="Heading4"/>
      </w:pPr>
      <w:r w:rsidRPr="00AE4824">
        <w:t>The disclosure must include details of:</w:t>
      </w:r>
    </w:p>
    <w:p w:rsidR="00AE4824" w:rsidRPr="00AE4824" w:rsidRDefault="00AE4824" w:rsidP="00AE4824">
      <w:pPr>
        <w:pStyle w:val="Heading5"/>
      </w:pPr>
      <w:r w:rsidRPr="00AE4824">
        <w:t>the nature and extent of the interest; and</w:t>
      </w:r>
    </w:p>
    <w:p w:rsidR="00AE4824" w:rsidRPr="00AE4824" w:rsidRDefault="00AE4824" w:rsidP="00AE4824">
      <w:pPr>
        <w:pStyle w:val="Heading5"/>
      </w:pPr>
      <w:r w:rsidRPr="00AE4824">
        <w:t>how the interest relates to the affairs of the Centre.</w:t>
      </w:r>
    </w:p>
    <w:p w:rsidR="00AE4824" w:rsidRPr="00AE4824" w:rsidRDefault="00AE4824" w:rsidP="00AE4824">
      <w:pPr>
        <w:pStyle w:val="Heading4"/>
      </w:pPr>
      <w:r w:rsidRPr="00AE4824">
        <w:t>The member must make a disclosure at a meeting of the Board:</w:t>
      </w:r>
    </w:p>
    <w:p w:rsidR="00AE4824" w:rsidRPr="00AE4824" w:rsidRDefault="00AE4824" w:rsidP="00AE4824">
      <w:pPr>
        <w:pStyle w:val="Heading5"/>
      </w:pPr>
      <w:r w:rsidRPr="00AE4824">
        <w:t>as soon as practicable after the member becomes aware of the interest; and</w:t>
      </w:r>
    </w:p>
    <w:p w:rsidR="00AE4824" w:rsidRPr="00AE4824" w:rsidRDefault="00AE4824" w:rsidP="00B24CB2">
      <w:pPr>
        <w:pStyle w:val="Heading5"/>
      </w:pPr>
      <w:r w:rsidRPr="00AE4824">
        <w:t xml:space="preserve">if there is a change in the nature or extent of the interest after the member discloses </w:t>
      </w:r>
      <w:r w:rsidR="00B24CB2">
        <w:t>the interest under this section</w:t>
      </w:r>
      <w:r w:rsidR="00B24CB2" w:rsidRPr="00B24CB2">
        <w:t>—</w:t>
      </w:r>
      <w:r w:rsidRPr="00AE4824">
        <w:t>as soon as practicable after the member becomes aware of the change.</w:t>
      </w:r>
    </w:p>
    <w:p w:rsidR="00AE4824" w:rsidRDefault="00AE4824" w:rsidP="00AE4824">
      <w:pPr>
        <w:pStyle w:val="Heading4"/>
      </w:pPr>
      <w:r w:rsidRPr="00AE4824">
        <w:t>The member must ensure that a disclosure is recorded in the minutes of the meeting.</w:t>
      </w:r>
    </w:p>
    <w:p w:rsidR="00AE4824" w:rsidRPr="008D6F35" w:rsidRDefault="00AE4824" w:rsidP="00AE4824">
      <w:pPr>
        <w:pStyle w:val="SubsectionHead"/>
      </w:pPr>
      <w:r>
        <w:t>Consequences of having interest</w:t>
      </w:r>
    </w:p>
    <w:p w:rsidR="00AE4824" w:rsidRPr="00AE4824" w:rsidRDefault="00AE4824" w:rsidP="00AE4824">
      <w:pPr>
        <w:pStyle w:val="Heading4"/>
      </w:pPr>
      <w:r w:rsidRPr="00AE4824">
        <w:t>If a matter in which the member has an interest is being considered by the Board, the member must not:</w:t>
      </w:r>
    </w:p>
    <w:p w:rsidR="00AE4824" w:rsidRPr="00AE4824" w:rsidRDefault="00AE4824" w:rsidP="00AE4824">
      <w:pPr>
        <w:pStyle w:val="Heading5"/>
      </w:pPr>
      <w:r w:rsidRPr="00AE4824">
        <w:t>be present while the matter is being considered at a meeting; or</w:t>
      </w:r>
    </w:p>
    <w:p w:rsidR="00AE4824" w:rsidRPr="00AE4824" w:rsidRDefault="00AE4824" w:rsidP="00AE4824">
      <w:pPr>
        <w:pStyle w:val="Heading5"/>
      </w:pPr>
      <w:r w:rsidRPr="00AE4824">
        <w:t>vote on the matter.</w:t>
      </w:r>
    </w:p>
    <w:p w:rsidR="00AE4824" w:rsidRPr="00AE4824" w:rsidRDefault="00AE4824" w:rsidP="00AE4824">
      <w:pPr>
        <w:pStyle w:val="Heading4"/>
      </w:pPr>
      <w:r w:rsidRPr="00AE4824">
        <w:t>However, if the members of the Board who do not have a material personal interest in the matter have decided that the member is not disqualified from being present or voting (or both), and the decision is recorded in the minutes of a meeting of the Board, the member may be present or vote (or both) in accordance with the decision.</w:t>
      </w:r>
    </w:p>
    <w:p w:rsidR="00AE4824" w:rsidRDefault="00AE4824" w:rsidP="00AE4824">
      <w:pPr>
        <w:pStyle w:val="Heading3"/>
      </w:pPr>
      <w:bookmarkStart w:id="32" w:name="_Toc62480228"/>
      <w:r w:rsidRPr="00AE4824">
        <w:t>Termination of appointment of members</w:t>
      </w:r>
      <w:bookmarkEnd w:id="32"/>
    </w:p>
    <w:p w:rsidR="00AE4824" w:rsidRDefault="00AE4824" w:rsidP="00AE4824">
      <w:pPr>
        <w:pStyle w:val="Heading4"/>
        <w:numPr>
          <w:ilvl w:val="0"/>
          <w:numId w:val="0"/>
        </w:numPr>
        <w:ind w:left="1134"/>
        <w:rPr>
          <w:lang w:eastAsia="en-AU"/>
        </w:rPr>
      </w:pPr>
      <w:r w:rsidRPr="00AE4824">
        <w:rPr>
          <w:lang w:eastAsia="en-AU"/>
        </w:rPr>
        <w:t>The Vice-Chancellor must terminate the appointment of a member if:</w:t>
      </w:r>
    </w:p>
    <w:p w:rsidR="00AE4824" w:rsidRPr="00AE4824" w:rsidRDefault="00AE4824" w:rsidP="00AE4824">
      <w:pPr>
        <w:pStyle w:val="Heading5"/>
        <w:rPr>
          <w:lang w:eastAsia="en-AU"/>
        </w:rPr>
      </w:pPr>
      <w:r w:rsidRPr="00AE4824">
        <w:rPr>
          <w:lang w:eastAsia="en-AU"/>
        </w:rPr>
        <w:t>the member is absent, except on leave of absence given by the Board, from 3 consecutive meetings of the Board; or</w:t>
      </w:r>
    </w:p>
    <w:p w:rsidR="00AE4824" w:rsidRPr="00AE4824" w:rsidRDefault="00AE4824" w:rsidP="00AE4824">
      <w:pPr>
        <w:pStyle w:val="Heading5"/>
        <w:rPr>
          <w:lang w:eastAsia="en-AU"/>
        </w:rPr>
      </w:pPr>
      <w:r w:rsidRPr="00AE4824">
        <w:rPr>
          <w:lang w:eastAsia="en-AU"/>
        </w:rPr>
        <w:t>the member becomes a member of the Commonwealth Parliament, a State Parliament or the legislature of a Territory; or</w:t>
      </w:r>
    </w:p>
    <w:p w:rsidR="00AE4824" w:rsidRPr="00AE4824" w:rsidRDefault="00AE4824" w:rsidP="00AE4824">
      <w:pPr>
        <w:pStyle w:val="Heading5"/>
        <w:rPr>
          <w:lang w:eastAsia="en-AU"/>
        </w:rPr>
      </w:pPr>
      <w:r w:rsidRPr="00AE4824">
        <w:rPr>
          <w:lang w:eastAsia="en-AU"/>
        </w:rPr>
        <w:t xml:space="preserve">the member is or becomes disqualified from managing corporations under the </w:t>
      </w:r>
      <w:r w:rsidRPr="00AE4824">
        <w:rPr>
          <w:i/>
          <w:lang w:eastAsia="en-AU"/>
        </w:rPr>
        <w:t>Corporations Act 2001</w:t>
      </w:r>
      <w:r w:rsidRPr="00AE4824">
        <w:rPr>
          <w:lang w:eastAsia="en-AU"/>
        </w:rPr>
        <w:t>, Part 2D.6; or</w:t>
      </w:r>
    </w:p>
    <w:p w:rsidR="00AE4824" w:rsidRPr="00AE4824" w:rsidRDefault="00AE4824" w:rsidP="00AE4824">
      <w:pPr>
        <w:pStyle w:val="Heading5"/>
        <w:rPr>
          <w:lang w:eastAsia="en-AU"/>
        </w:rPr>
      </w:pPr>
      <w:r w:rsidRPr="00AE4824">
        <w:rPr>
          <w:lang w:eastAsia="en-AU"/>
        </w:rPr>
        <w:t>the member contravenes section 17 (Duty of members to disclose interests); or</w:t>
      </w:r>
    </w:p>
    <w:p w:rsidR="00AE4824" w:rsidRPr="00AE4824" w:rsidRDefault="00AE4824" w:rsidP="00AE4824">
      <w:pPr>
        <w:pStyle w:val="Heading5"/>
        <w:rPr>
          <w:lang w:eastAsia="en-AU"/>
        </w:rPr>
      </w:pPr>
      <w:r w:rsidRPr="00AE4824">
        <w:rPr>
          <w:lang w:eastAsia="en-AU"/>
        </w:rPr>
        <w:t>the member is or becomes incapable (other than on a temporary basis) of carrying out the member’s duties as a member; or</w:t>
      </w:r>
    </w:p>
    <w:p w:rsidR="00AE4824" w:rsidRDefault="00AE4824" w:rsidP="00AE4824">
      <w:pPr>
        <w:pStyle w:val="Heading5"/>
        <w:rPr>
          <w:lang w:eastAsia="en-AU"/>
        </w:rPr>
      </w:pPr>
      <w:r w:rsidRPr="00AE4824">
        <w:rPr>
          <w:lang w:eastAsia="en-AU"/>
        </w:rPr>
        <w:t>the member is appointed as the Director.</w:t>
      </w:r>
    </w:p>
    <w:p w:rsidR="00AE4824" w:rsidRDefault="00AE4824" w:rsidP="00AE4824">
      <w:pPr>
        <w:pStyle w:val="Heading2"/>
      </w:pPr>
      <w:bookmarkStart w:id="33" w:name="_Toc62480229"/>
      <w:r w:rsidRPr="00AE4824">
        <w:t>Annual reports and operational plans</w:t>
      </w:r>
      <w:bookmarkEnd w:id="33"/>
    </w:p>
    <w:p w:rsidR="00382D5C" w:rsidRDefault="00382D5C" w:rsidP="00382D5C">
      <w:pPr>
        <w:pStyle w:val="Heading3"/>
      </w:pPr>
      <w:bookmarkStart w:id="34" w:name="_Toc62480230"/>
      <w:r>
        <w:t>Annual reports</w:t>
      </w:r>
      <w:bookmarkEnd w:id="34"/>
    </w:p>
    <w:p w:rsidR="00382D5C" w:rsidRPr="00382D5C" w:rsidRDefault="00382D5C" w:rsidP="00382D5C">
      <w:pPr>
        <w:pStyle w:val="Heading4"/>
        <w:rPr>
          <w:lang w:eastAsia="en-AU"/>
        </w:rPr>
      </w:pPr>
      <w:r w:rsidRPr="00382D5C">
        <w:rPr>
          <w:lang w:eastAsia="en-AU"/>
        </w:rPr>
        <w:t xml:space="preserve">After the end of each calendar year, the Board must prepare and give an annual report to the Vice-Chancellor, for presentation to the Council, on the activities of the Centre and the Board during the year (the </w:t>
      </w:r>
      <w:r w:rsidRPr="00382D5C">
        <w:rPr>
          <w:b/>
          <w:i/>
          <w:lang w:eastAsia="en-AU"/>
        </w:rPr>
        <w:t>report year</w:t>
      </w:r>
      <w:r w:rsidRPr="00382D5C">
        <w:rPr>
          <w:lang w:eastAsia="en-AU"/>
        </w:rPr>
        <w:t>).</w:t>
      </w:r>
    </w:p>
    <w:p w:rsidR="00382D5C" w:rsidRPr="00382D5C" w:rsidRDefault="00382D5C" w:rsidP="00382D5C">
      <w:pPr>
        <w:pStyle w:val="Heading4"/>
        <w:rPr>
          <w:lang w:eastAsia="en-AU"/>
        </w:rPr>
      </w:pPr>
      <w:r w:rsidRPr="00382D5C">
        <w:rPr>
          <w:lang w:eastAsia="en-AU"/>
        </w:rPr>
        <w:t>The report must be given to the Vice-Chancellor by 1 March after the end of the report year or any further period that the Vice-Chancellor allows in writing.</w:t>
      </w:r>
    </w:p>
    <w:p w:rsidR="00382D5C" w:rsidRPr="00382D5C" w:rsidRDefault="00382D5C" w:rsidP="00382D5C">
      <w:pPr>
        <w:pStyle w:val="Heading4"/>
        <w:rPr>
          <w:lang w:eastAsia="en-AU"/>
        </w:rPr>
      </w:pPr>
      <w:r w:rsidRPr="00382D5C">
        <w:rPr>
          <w:lang w:eastAsia="en-AU"/>
        </w:rPr>
        <w:t>The annual report must comply with any requirements notified, in writing, by the Vice-Chancellor to the Board during the report year.</w:t>
      </w:r>
    </w:p>
    <w:p w:rsidR="00382D5C" w:rsidRPr="00382D5C" w:rsidRDefault="00382D5C" w:rsidP="00382D5C">
      <w:pPr>
        <w:pStyle w:val="Heading4"/>
        <w:rPr>
          <w:lang w:eastAsia="en-AU"/>
        </w:rPr>
      </w:pPr>
      <w:r w:rsidRPr="00382D5C">
        <w:rPr>
          <w:lang w:eastAsia="en-AU"/>
        </w:rPr>
        <w:t>Without limiting subsection (3), the annual report for the report year must include the following:</w:t>
      </w:r>
    </w:p>
    <w:p w:rsidR="00382D5C" w:rsidRPr="00382D5C" w:rsidRDefault="00382D5C" w:rsidP="00382D5C">
      <w:pPr>
        <w:pStyle w:val="Heading5"/>
        <w:rPr>
          <w:lang w:eastAsia="en-AU"/>
        </w:rPr>
      </w:pPr>
      <w:r w:rsidRPr="00382D5C">
        <w:rPr>
          <w:lang w:eastAsia="en-AU"/>
        </w:rPr>
        <w:t>a list of the present and immediately past members of the Board;</w:t>
      </w:r>
    </w:p>
    <w:p w:rsidR="00382D5C" w:rsidRPr="00382D5C" w:rsidRDefault="00382D5C" w:rsidP="00382D5C">
      <w:pPr>
        <w:pStyle w:val="Heading5"/>
        <w:rPr>
          <w:lang w:eastAsia="en-AU"/>
        </w:rPr>
      </w:pPr>
      <w:r w:rsidRPr="00382D5C">
        <w:rPr>
          <w:lang w:eastAsia="en-AU"/>
        </w:rPr>
        <w:t>the dates of the Board meetings held during the report year;</w:t>
      </w:r>
    </w:p>
    <w:p w:rsidR="00382D5C" w:rsidRPr="00382D5C" w:rsidRDefault="00382D5C" w:rsidP="00382D5C">
      <w:pPr>
        <w:pStyle w:val="Heading5"/>
        <w:rPr>
          <w:lang w:eastAsia="en-AU"/>
        </w:rPr>
      </w:pPr>
      <w:r w:rsidRPr="00382D5C">
        <w:rPr>
          <w:lang w:eastAsia="en-AU"/>
        </w:rPr>
        <w:t>information about the status of research projects undertaken, in whole or part, during the report year using material in the Collection;</w:t>
      </w:r>
    </w:p>
    <w:p w:rsidR="00382D5C" w:rsidRPr="00382D5C" w:rsidRDefault="00382D5C" w:rsidP="00382D5C">
      <w:pPr>
        <w:pStyle w:val="Heading5"/>
        <w:rPr>
          <w:lang w:eastAsia="en-AU"/>
        </w:rPr>
      </w:pPr>
      <w:r w:rsidRPr="00382D5C">
        <w:rPr>
          <w:lang w:eastAsia="en-AU"/>
        </w:rPr>
        <w:t>information about any collaborations or significant partnerships during the report year involving the Centre or the Board;</w:t>
      </w:r>
    </w:p>
    <w:p w:rsidR="00382D5C" w:rsidRPr="00382D5C" w:rsidRDefault="00382D5C" w:rsidP="00382D5C">
      <w:pPr>
        <w:pStyle w:val="Heading5"/>
        <w:rPr>
          <w:lang w:eastAsia="en-AU"/>
        </w:rPr>
      </w:pPr>
      <w:r w:rsidRPr="00382D5C">
        <w:rPr>
          <w:lang w:eastAsia="en-AU"/>
        </w:rPr>
        <w:t>an assessment of the current condition of the Collection;</w:t>
      </w:r>
    </w:p>
    <w:p w:rsidR="00382D5C" w:rsidRPr="00382D5C" w:rsidRDefault="00382D5C" w:rsidP="00382D5C">
      <w:pPr>
        <w:pStyle w:val="Heading5"/>
        <w:rPr>
          <w:lang w:eastAsia="en-AU"/>
        </w:rPr>
      </w:pPr>
      <w:r w:rsidRPr="00382D5C">
        <w:rPr>
          <w:lang w:eastAsia="en-AU"/>
        </w:rPr>
        <w:t>information about the engagement during the report year of the Centre and the Board with Indigenous sample donors and their descendants and communities;</w:t>
      </w:r>
    </w:p>
    <w:p w:rsidR="00382D5C" w:rsidRPr="00382D5C" w:rsidRDefault="00382D5C" w:rsidP="00382D5C">
      <w:pPr>
        <w:pStyle w:val="Heading5"/>
        <w:rPr>
          <w:lang w:eastAsia="en-AU"/>
        </w:rPr>
      </w:pPr>
      <w:r w:rsidRPr="00382D5C">
        <w:rPr>
          <w:lang w:eastAsia="en-AU"/>
        </w:rPr>
        <w:t>a projection of what is intended to be achieved by the Centre and the Board during the next year;</w:t>
      </w:r>
    </w:p>
    <w:p w:rsidR="00382D5C" w:rsidRPr="00382D5C" w:rsidRDefault="00382D5C" w:rsidP="00382D5C">
      <w:pPr>
        <w:pStyle w:val="Heading5"/>
        <w:rPr>
          <w:lang w:eastAsia="en-AU"/>
        </w:rPr>
      </w:pPr>
      <w:r w:rsidRPr="00382D5C">
        <w:rPr>
          <w:lang w:eastAsia="en-AU"/>
        </w:rPr>
        <w:t>the Board’s comments on any audit report during the report year relating to the Centre or the Board.</w:t>
      </w:r>
    </w:p>
    <w:p w:rsidR="00382D5C" w:rsidRPr="00382D5C" w:rsidRDefault="00382D5C" w:rsidP="00382D5C">
      <w:pPr>
        <w:pStyle w:val="Heading3"/>
      </w:pPr>
      <w:bookmarkStart w:id="35" w:name="_Toc62480231"/>
      <w:r w:rsidRPr="00382D5C">
        <w:t>Operational plans</w:t>
      </w:r>
      <w:bookmarkEnd w:id="35"/>
    </w:p>
    <w:p w:rsidR="00382D5C" w:rsidRPr="00382D5C" w:rsidRDefault="00382D5C" w:rsidP="00382D5C">
      <w:pPr>
        <w:pStyle w:val="Heading4"/>
      </w:pPr>
      <w:r w:rsidRPr="00382D5C">
        <w:t xml:space="preserve">Before the end of each calendar year, the Board must prepare and give an operational plan to the Vice-Chancellor on the proposed activities of the Centre and the Board during the next year (the </w:t>
      </w:r>
      <w:r w:rsidRPr="00382D5C">
        <w:rPr>
          <w:b/>
          <w:i/>
        </w:rPr>
        <w:t>plan year</w:t>
      </w:r>
      <w:r w:rsidRPr="00382D5C">
        <w:t>).</w:t>
      </w:r>
    </w:p>
    <w:p w:rsidR="00382D5C" w:rsidRPr="00382D5C" w:rsidRDefault="00382D5C" w:rsidP="00382D5C">
      <w:pPr>
        <w:pStyle w:val="Heading4"/>
      </w:pPr>
      <w:r w:rsidRPr="00382D5C">
        <w:t>The operational plan for the plan year must include the following:</w:t>
      </w:r>
    </w:p>
    <w:p w:rsidR="00382D5C" w:rsidRPr="00382D5C" w:rsidRDefault="00382D5C" w:rsidP="00382D5C">
      <w:pPr>
        <w:pStyle w:val="Heading5"/>
      </w:pPr>
      <w:r w:rsidRPr="00382D5C">
        <w:t>projected revenue and expenses for the Centre and the Board for at least the plan year;</w:t>
      </w:r>
    </w:p>
    <w:p w:rsidR="00382D5C" w:rsidRPr="00382D5C" w:rsidRDefault="00382D5C" w:rsidP="00382D5C">
      <w:pPr>
        <w:pStyle w:val="Heading5"/>
      </w:pPr>
      <w:r w:rsidRPr="00382D5C">
        <w:t>any anticipated changes to the staff of the Centre (including the Director) during the plan year;</w:t>
      </w:r>
    </w:p>
    <w:p w:rsidR="0003664A" w:rsidRPr="0003664A" w:rsidRDefault="0003664A" w:rsidP="0003664A">
      <w:pPr>
        <w:pStyle w:val="Heading5"/>
      </w:pPr>
      <w:r w:rsidRPr="0003664A">
        <w:t>research projects intended to be undertaken, in whole or part, during the plan year using material in the Collection;</w:t>
      </w:r>
    </w:p>
    <w:p w:rsidR="0003664A" w:rsidRPr="0003664A" w:rsidRDefault="0003664A" w:rsidP="0003664A">
      <w:pPr>
        <w:pStyle w:val="Heading5"/>
      </w:pPr>
      <w:r w:rsidRPr="0003664A">
        <w:t>information about the status of those projects;</w:t>
      </w:r>
    </w:p>
    <w:p w:rsidR="0003664A" w:rsidRPr="0003664A" w:rsidRDefault="0003664A" w:rsidP="0003664A">
      <w:pPr>
        <w:pStyle w:val="Heading5"/>
      </w:pPr>
      <w:r w:rsidRPr="0003664A">
        <w:t>community engagement activities intended to be undertaken by the Centre and the Board, in whole or part, during the plan year;</w:t>
      </w:r>
    </w:p>
    <w:p w:rsidR="0003664A" w:rsidRDefault="0003664A" w:rsidP="0003664A">
      <w:pPr>
        <w:pStyle w:val="Heading5"/>
      </w:pPr>
      <w:r w:rsidRPr="0003664A">
        <w:t xml:space="preserve">information about </w:t>
      </w:r>
      <w:r>
        <w:t>the status of those activities.</w:t>
      </w:r>
    </w:p>
    <w:p w:rsidR="0003664A" w:rsidRPr="0003664A" w:rsidRDefault="0003664A" w:rsidP="0003664A">
      <w:pPr>
        <w:pStyle w:val="Heading4"/>
      </w:pPr>
      <w:r w:rsidRPr="0003664A">
        <w:t>The Board may, at the Vice-Chancellor’s request or on its own initiative, vary the operational plan to reflect changes in the funding available for the activities of the Centre and the Board.</w:t>
      </w:r>
    </w:p>
    <w:p w:rsidR="0003664A" w:rsidRPr="0003664A" w:rsidRDefault="0003664A" w:rsidP="0003664A">
      <w:pPr>
        <w:pStyle w:val="Heading4"/>
      </w:pPr>
      <w:r w:rsidRPr="0003664A">
        <w:t>If the Board varies the operational plan, the Board must give a copy of the varied plan to the Vice-Chancellor.</w:t>
      </w:r>
    </w:p>
    <w:p w:rsidR="0003664A" w:rsidRPr="0003664A" w:rsidRDefault="0003664A" w:rsidP="0003664A">
      <w:pPr>
        <w:pStyle w:val="Heading2"/>
      </w:pPr>
      <w:bookmarkStart w:id="36" w:name="_Toc62480232"/>
      <w:r w:rsidRPr="0003664A">
        <w:t>Board</w:t>
      </w:r>
      <w:r w:rsidR="00A72372">
        <w:t xml:space="preserve"> proceedings</w:t>
      </w:r>
      <w:bookmarkEnd w:id="36"/>
    </w:p>
    <w:p w:rsidR="0003664A" w:rsidRPr="0003664A" w:rsidRDefault="0003664A" w:rsidP="0003664A">
      <w:pPr>
        <w:pStyle w:val="Heading3"/>
      </w:pPr>
      <w:bookmarkStart w:id="37" w:name="_Toc62480233"/>
      <w:r w:rsidRPr="0003664A">
        <w:t>Calling Board meetings</w:t>
      </w:r>
      <w:bookmarkEnd w:id="37"/>
    </w:p>
    <w:p w:rsidR="0003664A" w:rsidRPr="0003664A" w:rsidRDefault="0003664A" w:rsidP="0003664A">
      <w:pPr>
        <w:pStyle w:val="Heading4"/>
      </w:pPr>
      <w:r w:rsidRPr="0003664A">
        <w:t>The Board must meet at least 4 times a year.</w:t>
      </w:r>
    </w:p>
    <w:p w:rsidR="0003664A" w:rsidRPr="0003664A" w:rsidRDefault="0003664A" w:rsidP="0003664A">
      <w:pPr>
        <w:pStyle w:val="Heading4"/>
      </w:pPr>
      <w:r w:rsidRPr="0003664A">
        <w:t>The Chair is to call meetings of the Board.</w:t>
      </w:r>
    </w:p>
    <w:p w:rsidR="0003664A" w:rsidRPr="0003664A" w:rsidRDefault="0003664A" w:rsidP="0003664A">
      <w:pPr>
        <w:pStyle w:val="Heading4"/>
      </w:pPr>
      <w:r w:rsidRPr="0003664A">
        <w:t>The Chair must call a meeting if asked by at least 5 members.</w:t>
      </w:r>
    </w:p>
    <w:p w:rsidR="0003664A" w:rsidRPr="0003664A" w:rsidRDefault="0003664A" w:rsidP="0003664A">
      <w:pPr>
        <w:pStyle w:val="Heading3"/>
      </w:pPr>
      <w:bookmarkStart w:id="38" w:name="_Toc62480234"/>
      <w:r w:rsidRPr="0003664A">
        <w:t>Presiding at Board meetings</w:t>
      </w:r>
      <w:bookmarkEnd w:id="38"/>
    </w:p>
    <w:p w:rsidR="00417583" w:rsidRDefault="00417583" w:rsidP="00417583">
      <w:pPr>
        <w:pStyle w:val="Heading4"/>
      </w:pPr>
      <w:r w:rsidRPr="00417583">
        <w:t>The Chair of the Board presides at all meetings at which the Chair is present.</w:t>
      </w:r>
    </w:p>
    <w:p w:rsidR="00417583" w:rsidRPr="0066594B" w:rsidRDefault="00417583" w:rsidP="00417583">
      <w:pPr>
        <w:pStyle w:val="Note"/>
      </w:pPr>
      <w:r>
        <w:t>[Note:</w:t>
      </w:r>
      <w:r>
        <w:tab/>
        <w:t>If the Chair is absent from a meeting but the Deputy Chair is prese</w:t>
      </w:r>
      <w:r w:rsidR="005770EB">
        <w:t>nt, the Deputy Chair acts as the</w:t>
      </w:r>
      <w:r>
        <w:t xml:space="preserve"> Chair and presides at the meeting (see section 14(3) (Chair and Deputy Chair of Board)</w:t>
      </w:r>
      <w:r w:rsidR="00861AA5">
        <w:t>)</w:t>
      </w:r>
      <w:r>
        <w:t>.</w:t>
      </w:r>
      <w:r w:rsidRPr="001A6F8A">
        <w:t>]</w:t>
      </w:r>
    </w:p>
    <w:p w:rsidR="00417583" w:rsidRPr="00417583" w:rsidRDefault="00417583" w:rsidP="00417583">
      <w:pPr>
        <w:pStyle w:val="Heading4"/>
      </w:pPr>
      <w:r w:rsidRPr="00417583">
        <w:t>If the Chair and Deputy Chair are absent, the member chosen by the members present presides.</w:t>
      </w:r>
    </w:p>
    <w:p w:rsidR="00417583" w:rsidRPr="00417583" w:rsidRDefault="00417583" w:rsidP="00417583">
      <w:pPr>
        <w:pStyle w:val="Heading3"/>
      </w:pPr>
      <w:bookmarkStart w:id="39" w:name="_Toc62480235"/>
      <w:r w:rsidRPr="00417583">
        <w:t>Other provisions about Board proceedings</w:t>
      </w:r>
      <w:bookmarkEnd w:id="39"/>
    </w:p>
    <w:p w:rsidR="00417583" w:rsidRPr="00417583" w:rsidRDefault="00417583" w:rsidP="00417583">
      <w:pPr>
        <w:pStyle w:val="Heading4"/>
      </w:pPr>
      <w:r w:rsidRPr="00417583">
        <w:t>Business may be carried out at a meeting of the Board only if:</w:t>
      </w:r>
    </w:p>
    <w:p w:rsidR="00417583" w:rsidRPr="00417583" w:rsidRDefault="00417583" w:rsidP="00417583">
      <w:pPr>
        <w:pStyle w:val="Heading5"/>
      </w:pPr>
      <w:r w:rsidRPr="00417583">
        <w:t>a majority of the members appointed for the time being are present; and</w:t>
      </w:r>
    </w:p>
    <w:p w:rsidR="00417583" w:rsidRPr="00417583" w:rsidRDefault="00417583" w:rsidP="00417583">
      <w:pPr>
        <w:pStyle w:val="Heading5"/>
      </w:pPr>
      <w:r w:rsidRPr="00417583">
        <w:t>a majority of the members present are Indigenous persons.</w:t>
      </w:r>
    </w:p>
    <w:p w:rsidR="00417583" w:rsidRPr="00417583" w:rsidRDefault="00417583" w:rsidP="00417583">
      <w:pPr>
        <w:pStyle w:val="Heading4"/>
      </w:pPr>
      <w:r w:rsidRPr="00417583">
        <w:t>At a meeting, each member has a deliberative vote and the member presiding has a casting vote.</w:t>
      </w:r>
    </w:p>
    <w:p w:rsidR="00417583" w:rsidRPr="00417583" w:rsidRDefault="00417583" w:rsidP="00417583">
      <w:pPr>
        <w:pStyle w:val="Heading4"/>
      </w:pPr>
      <w:r w:rsidRPr="00417583">
        <w:t>A member may vote on a resolution at a meeting by email or in writing if notice of the resolution is given, and the member votes, under procedures decided by the Board.</w:t>
      </w:r>
    </w:p>
    <w:p w:rsidR="00417583" w:rsidRPr="00417583" w:rsidRDefault="00417583" w:rsidP="00417583">
      <w:pPr>
        <w:pStyle w:val="Heading4"/>
      </w:pPr>
      <w:r w:rsidRPr="00417583">
        <w:t>If a member votes under subsection (3) on a resolution at a meeting, the member is taken, for the purposes of the application of subsection (1) to the resolution, to have been present at the meeting.</w:t>
      </w:r>
    </w:p>
    <w:p w:rsidR="00417583" w:rsidRPr="00417583" w:rsidRDefault="00417583" w:rsidP="00417583">
      <w:pPr>
        <w:pStyle w:val="Heading4"/>
      </w:pPr>
      <w:r w:rsidRPr="00417583">
        <w:t>A resolution of the Board is a valid resolution, even though it was not passed at a meeting of the Board, if:</w:t>
      </w:r>
    </w:p>
    <w:p w:rsidR="00417583" w:rsidRPr="00417583" w:rsidRDefault="00417583" w:rsidP="00417583">
      <w:pPr>
        <w:pStyle w:val="Heading5"/>
      </w:pPr>
      <w:r w:rsidRPr="00417583">
        <w:t>a majority of the members appointed for the time being agree, in writing, to the proposed resolution; and</w:t>
      </w:r>
    </w:p>
    <w:p w:rsidR="00417583" w:rsidRPr="00417583" w:rsidRDefault="00417583" w:rsidP="00417583">
      <w:pPr>
        <w:pStyle w:val="Heading5"/>
      </w:pPr>
      <w:r w:rsidRPr="00417583">
        <w:t>a majority of the members who agree are Indigenous persons; and</w:t>
      </w:r>
    </w:p>
    <w:p w:rsidR="00417583" w:rsidRPr="00417583" w:rsidRDefault="00417583" w:rsidP="00417583">
      <w:pPr>
        <w:pStyle w:val="Heading5"/>
      </w:pPr>
      <w:r w:rsidRPr="00417583">
        <w:t>notice of the resolution is given under procedures decided by the Board.</w:t>
      </w:r>
    </w:p>
    <w:p w:rsidR="00417583" w:rsidRPr="00417583" w:rsidRDefault="00417583" w:rsidP="00417583">
      <w:pPr>
        <w:pStyle w:val="Heading4"/>
      </w:pPr>
      <w:r w:rsidRPr="00417583">
        <w:t>The Board must keep a record of its proceedings.</w:t>
      </w:r>
    </w:p>
    <w:p w:rsidR="00417583" w:rsidRDefault="00417583" w:rsidP="00417583">
      <w:pPr>
        <w:pStyle w:val="Heading4"/>
      </w:pPr>
      <w:r w:rsidRPr="00417583">
        <w:t>The Board may conduct its proceedings (including its meetings) as it otherwise considers appropriate.</w:t>
      </w:r>
    </w:p>
    <w:p w:rsidR="00417583" w:rsidRDefault="00417583" w:rsidP="00417583">
      <w:pPr>
        <w:pStyle w:val="Note"/>
        <w:rPr>
          <w:lang w:val="en-US"/>
        </w:rPr>
      </w:pPr>
      <w:r>
        <w:t>[Note:</w:t>
      </w:r>
      <w:r>
        <w:tab/>
      </w:r>
      <w:r w:rsidRPr="00C54669">
        <w:rPr>
          <w:lang w:val="en-US"/>
        </w:rPr>
        <w:t xml:space="preserve">Under the </w:t>
      </w:r>
      <w:r w:rsidR="00773A5E" w:rsidRPr="00773A5E">
        <w:rPr>
          <w:lang w:val="en-US"/>
        </w:rPr>
        <w:t>Acts Interpretation Act</w:t>
      </w:r>
      <w:r w:rsidRPr="00C54669">
        <w:rPr>
          <w:lang w:val="en-US"/>
        </w:rPr>
        <w:t>, s</w:t>
      </w:r>
      <w:r w:rsidR="00861AA5">
        <w:rPr>
          <w:lang w:val="en-US"/>
        </w:rPr>
        <w:t>ection</w:t>
      </w:r>
      <w:r w:rsidRPr="00C54669">
        <w:rPr>
          <w:lang w:val="en-US"/>
        </w:rPr>
        <w:t xml:space="preserve"> 33B the Board may p</w:t>
      </w:r>
      <w:r w:rsidR="005770EB">
        <w:rPr>
          <w:lang w:val="en-US"/>
        </w:rPr>
        <w:t>ermit members to participate in meetings</w:t>
      </w:r>
      <w:r w:rsidRPr="00C54669">
        <w:rPr>
          <w:lang w:val="en-US"/>
        </w:rPr>
        <w:t xml:space="preserve"> by telephone, close-circuit television or any other means of communication.]</w:t>
      </w:r>
    </w:p>
    <w:p w:rsidR="00BF4CD1" w:rsidRDefault="00BF4CD1" w:rsidP="00417583">
      <w:pPr>
        <w:pStyle w:val="Note"/>
        <w:rPr>
          <w:lang w:val="en-US"/>
        </w:rPr>
      </w:pPr>
    </w:p>
    <w:p w:rsidR="00417583" w:rsidRPr="00417583" w:rsidRDefault="00417583" w:rsidP="00417583">
      <w:pPr>
        <w:pStyle w:val="Heading3"/>
      </w:pPr>
      <w:bookmarkStart w:id="40" w:name="_Toc62480236"/>
      <w:r w:rsidRPr="00417583">
        <w:t>Delegation by Board</w:t>
      </w:r>
      <w:bookmarkEnd w:id="40"/>
    </w:p>
    <w:p w:rsidR="00417583" w:rsidRPr="00417583" w:rsidRDefault="00417583" w:rsidP="00417583">
      <w:pPr>
        <w:pStyle w:val="Heading4"/>
      </w:pPr>
      <w:r w:rsidRPr="00417583">
        <w:t>The Board may</w:t>
      </w:r>
      <w:r w:rsidR="00A72372">
        <w:t xml:space="preserve">, in writing, delegate </w:t>
      </w:r>
      <w:r w:rsidRPr="00417583">
        <w:t>any</w:t>
      </w:r>
      <w:r w:rsidR="00A72372">
        <w:t xml:space="preserve"> or all</w:t>
      </w:r>
      <w:r w:rsidRPr="00417583">
        <w:t xml:space="preserve"> of its functions under this instrument to a committee consisting of members or members and other persons.</w:t>
      </w:r>
    </w:p>
    <w:p w:rsidR="00AE4824" w:rsidRDefault="00417583" w:rsidP="00417583">
      <w:pPr>
        <w:pStyle w:val="Heading4"/>
      </w:pPr>
      <w:r w:rsidRPr="00417583">
        <w:t>However, the Board may not delegate any of its functions to the Director or to a committee of which the Director is a member.</w:t>
      </w:r>
    </w:p>
    <w:p w:rsidR="004936D5" w:rsidRPr="004936D5" w:rsidRDefault="004936D5" w:rsidP="004936D5">
      <w:pPr>
        <w:pStyle w:val="Heading2"/>
      </w:pPr>
      <w:bookmarkStart w:id="41" w:name="_Toc62480237"/>
      <w:r>
        <w:t>Secretary</w:t>
      </w:r>
      <w:bookmarkEnd w:id="41"/>
      <w:r>
        <w:t xml:space="preserve"> </w:t>
      </w:r>
    </w:p>
    <w:p w:rsidR="00417583" w:rsidRPr="00417583" w:rsidRDefault="00417583" w:rsidP="00417583">
      <w:pPr>
        <w:pStyle w:val="Heading3"/>
      </w:pPr>
      <w:bookmarkStart w:id="42" w:name="_Toc62480238"/>
      <w:r w:rsidRPr="00417583">
        <w:t>Secretary to Board</w:t>
      </w:r>
      <w:bookmarkEnd w:id="42"/>
    </w:p>
    <w:p w:rsidR="00417583" w:rsidRPr="00417583" w:rsidRDefault="00417583" w:rsidP="00417583">
      <w:pPr>
        <w:pStyle w:val="Heading4"/>
      </w:pPr>
      <w:r w:rsidRPr="00417583">
        <w:t>The Vice-Chancellor may, by written instrument, appoint a person</w:t>
      </w:r>
      <w:r>
        <w:t xml:space="preserve"> as the Secretary to the Board.</w:t>
      </w:r>
    </w:p>
    <w:p w:rsidR="00417583" w:rsidRPr="00417583" w:rsidRDefault="00417583" w:rsidP="00417583">
      <w:pPr>
        <w:pStyle w:val="Heading4"/>
      </w:pPr>
      <w:r w:rsidRPr="00417583">
        <w:t>The Secretary is to assist the Board to maintain a record of its proceedings.</w:t>
      </w:r>
    </w:p>
    <w:p w:rsidR="00417583" w:rsidRDefault="00417583" w:rsidP="00417583">
      <w:pPr>
        <w:pStyle w:val="Heading1"/>
      </w:pPr>
      <w:bookmarkStart w:id="43" w:name="_Toc62480239"/>
      <w:r>
        <w:t>Repeal and transitional provisions</w:t>
      </w:r>
      <w:bookmarkEnd w:id="43"/>
    </w:p>
    <w:p w:rsidR="00417583" w:rsidRDefault="00417583" w:rsidP="00417583">
      <w:pPr>
        <w:pStyle w:val="Heading2"/>
      </w:pPr>
      <w:bookmarkStart w:id="44" w:name="_Toc62480240"/>
      <w:r>
        <w:t>Repeal</w:t>
      </w:r>
      <w:bookmarkEnd w:id="44"/>
    </w:p>
    <w:p w:rsidR="00417583" w:rsidRDefault="00A42678" w:rsidP="00A42678">
      <w:pPr>
        <w:pStyle w:val="Heading3"/>
      </w:pPr>
      <w:bookmarkStart w:id="45" w:name="_Toc62480241"/>
      <w:r>
        <w:t>Repeal</w:t>
      </w:r>
      <w:bookmarkEnd w:id="45"/>
    </w:p>
    <w:p w:rsidR="00A42678" w:rsidRDefault="00A42678" w:rsidP="00A42678">
      <w:pPr>
        <w:pStyle w:val="Heading4"/>
        <w:numPr>
          <w:ilvl w:val="0"/>
          <w:numId w:val="0"/>
        </w:numPr>
        <w:ind w:left="1134"/>
        <w:rPr>
          <w:lang w:eastAsia="en-AU"/>
        </w:rPr>
      </w:pPr>
      <w:r>
        <w:rPr>
          <w:lang w:eastAsia="en-AU"/>
        </w:rPr>
        <w:t xml:space="preserve">The </w:t>
      </w:r>
      <w:r w:rsidRPr="00A42678">
        <w:rPr>
          <w:i/>
          <w:lang w:eastAsia="en-AU"/>
        </w:rPr>
        <w:t>National Centre for Indigenous Genomics Statute 2016</w:t>
      </w:r>
      <w:r>
        <w:rPr>
          <w:lang w:eastAsia="en-AU"/>
        </w:rPr>
        <w:t xml:space="preserve"> is repealed.</w:t>
      </w:r>
    </w:p>
    <w:p w:rsidR="00A42678" w:rsidRDefault="00A42678" w:rsidP="00A42678">
      <w:pPr>
        <w:pStyle w:val="Heading2"/>
      </w:pPr>
      <w:bookmarkStart w:id="46" w:name="_Toc62480242"/>
      <w:r>
        <w:t>Transitional provisions</w:t>
      </w:r>
      <w:bookmarkEnd w:id="46"/>
    </w:p>
    <w:p w:rsidR="00C2750F" w:rsidRDefault="00C2750F" w:rsidP="00C2750F">
      <w:pPr>
        <w:pStyle w:val="Heading3"/>
      </w:pPr>
      <w:bookmarkStart w:id="47" w:name="_Toc62480243"/>
      <w:r>
        <w:t>Transitional: existing delegations by Vice Chancellor</w:t>
      </w:r>
      <w:bookmarkEnd w:id="47"/>
    </w:p>
    <w:p w:rsidR="00C2750F" w:rsidRPr="00C2750F" w:rsidRDefault="00C2750F" w:rsidP="00C2750F">
      <w:pPr>
        <w:pStyle w:val="Heading4"/>
        <w:rPr>
          <w:lang w:eastAsia="en-AU"/>
        </w:rPr>
      </w:pPr>
      <w:r w:rsidRPr="00C2750F">
        <w:rPr>
          <w:lang w:eastAsia="en-AU"/>
        </w:rPr>
        <w:t xml:space="preserve">This section applies </w:t>
      </w:r>
      <w:r>
        <w:rPr>
          <w:lang w:eastAsia="en-AU"/>
        </w:rPr>
        <w:t>to a delegation by the Vice-Chancellor</w:t>
      </w:r>
      <w:r w:rsidRPr="00C2750F">
        <w:rPr>
          <w:lang w:eastAsia="en-AU"/>
        </w:rPr>
        <w:t xml:space="preserve"> that was in force, immedia</w:t>
      </w:r>
      <w:r>
        <w:rPr>
          <w:lang w:eastAsia="en-AU"/>
        </w:rPr>
        <w:t>tely before the commencement of this section</w:t>
      </w:r>
      <w:r w:rsidRPr="00C2750F">
        <w:rPr>
          <w:lang w:eastAsia="en-AU"/>
        </w:rPr>
        <w:t>, und</w:t>
      </w:r>
      <w:r>
        <w:rPr>
          <w:lang w:eastAsia="en-AU"/>
        </w:rPr>
        <w:t xml:space="preserve">er the </w:t>
      </w:r>
      <w:r w:rsidRPr="00C2750F">
        <w:rPr>
          <w:i/>
          <w:lang w:eastAsia="en-AU"/>
        </w:rPr>
        <w:t>National Centre for Indigenous Genomics Statute 2016</w:t>
      </w:r>
      <w:r>
        <w:rPr>
          <w:lang w:eastAsia="en-AU"/>
        </w:rPr>
        <w:t>, section 26 (Delegation by Vice-Chancellor)</w:t>
      </w:r>
      <w:r w:rsidRPr="00C2750F">
        <w:rPr>
          <w:lang w:eastAsia="en-AU"/>
        </w:rPr>
        <w:t>.</w:t>
      </w:r>
    </w:p>
    <w:p w:rsidR="00C2750F" w:rsidRPr="00C2750F" w:rsidRDefault="00C2750F" w:rsidP="00C2750F">
      <w:pPr>
        <w:pStyle w:val="Heading4"/>
        <w:rPr>
          <w:lang w:eastAsia="en-AU"/>
        </w:rPr>
      </w:pPr>
      <w:r>
        <w:rPr>
          <w:lang w:eastAsia="en-AU"/>
        </w:rPr>
        <w:t>The delegation</w:t>
      </w:r>
      <w:r w:rsidRPr="00C2750F">
        <w:rPr>
          <w:lang w:eastAsia="en-AU"/>
        </w:rPr>
        <w:t xml:space="preserve"> continues in force (and may be dealt with) a</w:t>
      </w:r>
      <w:r>
        <w:rPr>
          <w:lang w:eastAsia="en-AU"/>
        </w:rPr>
        <w:t>s if it were a delegation made under the Governance Statute, section 66 (Delegation and subdelegation of Vice-Chancellor’s functions)</w:t>
      </w:r>
      <w:r w:rsidRPr="00C2750F">
        <w:rPr>
          <w:lang w:eastAsia="en-AU"/>
        </w:rPr>
        <w:t>.</w:t>
      </w:r>
    </w:p>
    <w:p w:rsidR="00A42678" w:rsidRPr="00A42678" w:rsidRDefault="00A42678" w:rsidP="00A42678">
      <w:pPr>
        <w:pStyle w:val="Heading3"/>
      </w:pPr>
      <w:bookmarkStart w:id="48" w:name="_Toc62480244"/>
      <w:r w:rsidRPr="00A42678">
        <w:t>Application of Legislation Statute, section 26</w:t>
      </w:r>
      <w:bookmarkEnd w:id="48"/>
    </w:p>
    <w:p w:rsidR="00A42678" w:rsidRPr="00A42678" w:rsidRDefault="00A42678" w:rsidP="00A42678">
      <w:pPr>
        <w:pStyle w:val="Heading4"/>
      </w:pPr>
      <w:r w:rsidRPr="00A42678">
        <w:t>The Legislation Statute, section 26 (Repeal of University legislation) applies to the repeal of</w:t>
      </w:r>
      <w:r>
        <w:t xml:space="preserve"> the </w:t>
      </w:r>
      <w:r w:rsidRPr="00A42678">
        <w:rPr>
          <w:i/>
        </w:rPr>
        <w:t>National Centre for Indigenous Genomics Statute 2016</w:t>
      </w:r>
      <w:r w:rsidRPr="00A42678">
        <w:t>.</w:t>
      </w:r>
    </w:p>
    <w:p w:rsidR="00A42678" w:rsidRDefault="00A42678" w:rsidP="00A42678">
      <w:pPr>
        <w:pStyle w:val="Heading4"/>
      </w:pPr>
      <w:r w:rsidRPr="00A42678">
        <w:t>For the Legislation Statute, sectio</w:t>
      </w:r>
      <w:r>
        <w:t>n 26 the provisions of this Division</w:t>
      </w:r>
      <w:r w:rsidRPr="00A42678">
        <w:t xml:space="preserve"> are transitional provisions.</w:t>
      </w:r>
    </w:p>
    <w:p w:rsidR="00A42678" w:rsidRDefault="00A42678" w:rsidP="00A42678">
      <w:pPr>
        <w:pStyle w:val="Heading3"/>
      </w:pPr>
      <w:bookmarkStart w:id="49" w:name="_Toc62480245"/>
      <w:r w:rsidRPr="00A42678">
        <w:t>Transitional provisions additional</w:t>
      </w:r>
      <w:bookmarkEnd w:id="49"/>
    </w:p>
    <w:p w:rsidR="00C84341" w:rsidRDefault="00A42678" w:rsidP="00A42678">
      <w:pPr>
        <w:pStyle w:val="Heading4"/>
        <w:numPr>
          <w:ilvl w:val="0"/>
          <w:numId w:val="0"/>
        </w:numPr>
        <w:ind w:left="1134"/>
        <w:rPr>
          <w:lang w:eastAsia="en-AU"/>
        </w:rPr>
      </w:pPr>
      <w:r>
        <w:rPr>
          <w:lang w:eastAsia="en-AU"/>
        </w:rPr>
        <w:t>This Division</w:t>
      </w:r>
      <w:r w:rsidRPr="00A42678">
        <w:rPr>
          <w:lang w:eastAsia="en-AU"/>
        </w:rPr>
        <w:t xml:space="preserve"> is ad</w:t>
      </w:r>
      <w:r w:rsidR="00C84341">
        <w:rPr>
          <w:lang w:eastAsia="en-AU"/>
        </w:rPr>
        <w:t>ditional to, and does not limit:</w:t>
      </w:r>
    </w:p>
    <w:p w:rsidR="00C84341" w:rsidRDefault="00C84341" w:rsidP="00C84341">
      <w:pPr>
        <w:pStyle w:val="Heading5"/>
        <w:rPr>
          <w:lang w:eastAsia="en-AU"/>
        </w:rPr>
      </w:pPr>
      <w:r>
        <w:rPr>
          <w:lang w:eastAsia="en-AU"/>
        </w:rPr>
        <w:t>the Legislation Statute, section 26 (Repeal of University legislation); or</w:t>
      </w:r>
    </w:p>
    <w:p w:rsidR="00A42678" w:rsidRPr="00A42678" w:rsidRDefault="00A42678" w:rsidP="00C84341">
      <w:pPr>
        <w:pStyle w:val="Heading5"/>
        <w:rPr>
          <w:lang w:eastAsia="en-AU"/>
        </w:rPr>
      </w:pPr>
      <w:r w:rsidRPr="00A42678">
        <w:rPr>
          <w:lang w:eastAsia="en-AU"/>
        </w:rPr>
        <w:t>the Acts Interpretation Act, section 7 (Effect of repeal or amendment of Act), as applied by the Legislation Act, section 13(1)(a) (Construction of legislative instruments and notifiable instruments).</w:t>
      </w:r>
      <w:bookmarkEnd w:id="4"/>
      <w:bookmarkEnd w:id="5"/>
      <w:bookmarkEnd w:id="6"/>
    </w:p>
    <w:sectPr w:rsidR="00A42678" w:rsidRPr="00A42678"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5B0" w:rsidRDefault="00DF05B0" w:rsidP="00A9217C">
      <w:r>
        <w:separator/>
      </w:r>
    </w:p>
  </w:endnote>
  <w:endnote w:type="continuationSeparator" w:id="0">
    <w:p w:rsidR="00DF05B0" w:rsidRDefault="00DF05B0" w:rsidP="00A9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FA" w:rsidRPr="00D33A19" w:rsidRDefault="00B608FA" w:rsidP="00A9217C"/>
  <w:p w:rsidR="00B608FA" w:rsidRPr="00895FCD" w:rsidRDefault="00B608FA" w:rsidP="00A9217C">
    <w:pPr>
      <w:rPr>
        <w:i/>
        <w:noProof/>
      </w:rPr>
    </w:pPr>
    <w:r>
      <w:rPr>
        <w:noProof/>
      </w:rPr>
      <w:tab/>
    </w:r>
    <w:r w:rsidRPr="00895FCD">
      <w:rPr>
        <w:i/>
        <w:noProof/>
      </w:rPr>
      <w:t>National Centre for Indigeneous Genomics Statute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FA" w:rsidRPr="00D33A19" w:rsidRDefault="00B608FA" w:rsidP="00A9217C"/>
  <w:p w:rsidR="00B608FA" w:rsidRPr="00C74BCA" w:rsidRDefault="00B608FA" w:rsidP="00580A3C">
    <w:pPr>
      <w:rPr>
        <w:noProof/>
      </w:rPr>
    </w:pPr>
    <w:r w:rsidRPr="00580A3C">
      <w:rPr>
        <w:i/>
        <w:noProof/>
      </w:rPr>
      <w:fldChar w:fldCharType="begin"/>
    </w:r>
    <w:r w:rsidRPr="00580A3C">
      <w:rPr>
        <w:i/>
        <w:noProof/>
      </w:rPr>
      <w:instrText xml:space="preserve"> PAGE  \* roman  \* MERGEFORMAT </w:instrText>
    </w:r>
    <w:r w:rsidRPr="00580A3C">
      <w:rPr>
        <w:i/>
        <w:noProof/>
      </w:rPr>
      <w:fldChar w:fldCharType="separate"/>
    </w:r>
    <w:r w:rsidR="00B413C5">
      <w:rPr>
        <w:i/>
        <w:noProof/>
      </w:rPr>
      <w:t>ii</w:t>
    </w:r>
    <w:r w:rsidRPr="00580A3C">
      <w:rPr>
        <w:i/>
        <w:noProof/>
      </w:rPr>
      <w:fldChar w:fldCharType="end"/>
    </w:r>
    <w:r w:rsidR="00A66F49">
      <w:rPr>
        <w:i/>
        <w:sz w:val="18"/>
        <w:szCs w:val="18"/>
      </w:rPr>
      <w:tab/>
    </w:r>
    <w:r w:rsidR="00580A3C">
      <w:rPr>
        <w:i/>
        <w:sz w:val="18"/>
        <w:szCs w:val="18"/>
      </w:rPr>
      <w:tab/>
    </w:r>
    <w:r w:rsidR="00580A3C">
      <w:rPr>
        <w:i/>
        <w:sz w:val="18"/>
        <w:szCs w:val="18"/>
      </w:rPr>
      <w:tab/>
    </w:r>
    <w:r w:rsidR="00A66F49">
      <w:rPr>
        <w:i/>
        <w:sz w:val="18"/>
        <w:szCs w:val="18"/>
      </w:rPr>
      <w:t>National Centre for Indigenous Genomics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FA" w:rsidRPr="00D33A19" w:rsidRDefault="00B608FA" w:rsidP="00347891">
    <w:pPr>
      <w:pBdr>
        <w:top w:val="single" w:sz="4" w:space="1" w:color="auto"/>
      </w:pBdr>
    </w:pPr>
  </w:p>
  <w:p w:rsidR="00B608FA" w:rsidRPr="00A55E3F" w:rsidRDefault="00B608FA" w:rsidP="00347891">
    <w:pPr>
      <w:pStyle w:val="Footer"/>
      <w:tabs>
        <w:tab w:val="clear" w:pos="8306"/>
        <w:tab w:val="left" w:pos="3290"/>
        <w:tab w:val="center" w:pos="4513"/>
        <w:tab w:val="right" w:pos="8931"/>
      </w:tabs>
      <w:spacing w:before="120"/>
      <w:rPr>
        <w:rFonts w:eastAsia="Calibri"/>
        <w:i/>
        <w:noProof/>
        <w:sz w:val="18"/>
        <w:szCs w:val="18"/>
      </w:rPr>
    </w:pPr>
    <w:r>
      <w:rPr>
        <w:i/>
        <w:sz w:val="18"/>
        <w:szCs w:val="18"/>
      </w:rPr>
      <w:tab/>
      <w:t>National Centre for Indigenous Genomics 2021</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B413C5">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FA" w:rsidRPr="00A34CAC" w:rsidRDefault="00B608FA" w:rsidP="001B1D74">
    <w:pPr>
      <w:pBdr>
        <w:top w:val="single" w:sz="4" w:space="1" w:color="auto"/>
      </w:pBdr>
    </w:pPr>
  </w:p>
  <w:p w:rsidR="00B608FA" w:rsidRPr="00347891" w:rsidRDefault="00B608FA" w:rsidP="00347891">
    <w:pPr>
      <w:pStyle w:val="Footer"/>
      <w:tabs>
        <w:tab w:val="clear" w:pos="8306"/>
        <w:tab w:val="left" w:pos="3290"/>
        <w:tab w:val="center" w:pos="4513"/>
        <w:tab w:val="right" w:pos="8931"/>
      </w:tabs>
      <w:spacing w:before="120"/>
      <w:rPr>
        <w:rFonts w:eastAsia="Calibri"/>
        <w:i/>
        <w:noProof/>
        <w:sz w:val="18"/>
        <w:szCs w:val="18"/>
      </w:rPr>
    </w:pPr>
    <w:r w:rsidRPr="00347891">
      <w:rPr>
        <w:rFonts w:eastAsia="Calibri"/>
        <w:i/>
        <w:noProof/>
        <w:sz w:val="18"/>
        <w:szCs w:val="18"/>
      </w:rPr>
      <w:fldChar w:fldCharType="begin"/>
    </w:r>
    <w:r w:rsidRPr="00347891">
      <w:rPr>
        <w:rFonts w:eastAsia="Calibri"/>
        <w:i/>
        <w:noProof/>
        <w:sz w:val="18"/>
        <w:szCs w:val="18"/>
      </w:rPr>
      <w:instrText xml:space="preserve"> PAGE  \* Arabic  \* MERGEFORMAT </w:instrText>
    </w:r>
    <w:r w:rsidRPr="00347891">
      <w:rPr>
        <w:rFonts w:eastAsia="Calibri"/>
        <w:i/>
        <w:noProof/>
        <w:sz w:val="18"/>
        <w:szCs w:val="18"/>
      </w:rPr>
      <w:fldChar w:fldCharType="separate"/>
    </w:r>
    <w:r w:rsidR="00B413C5">
      <w:rPr>
        <w:rFonts w:eastAsia="Calibri"/>
        <w:i/>
        <w:noProof/>
        <w:sz w:val="18"/>
        <w:szCs w:val="18"/>
      </w:rPr>
      <w:t>6</w:t>
    </w:r>
    <w:r w:rsidRPr="00347891">
      <w:rPr>
        <w:rFonts w:eastAsia="Calibri"/>
        <w:i/>
        <w:noProof/>
        <w:sz w:val="18"/>
        <w:szCs w:val="18"/>
      </w:rPr>
      <w:fldChar w:fldCharType="end"/>
    </w:r>
    <w:r>
      <w:rPr>
        <w:rFonts w:eastAsia="Calibri"/>
        <w:i/>
        <w:noProof/>
        <w:sz w:val="18"/>
        <w:szCs w:val="18"/>
      </w:rPr>
      <w:tab/>
      <w:t>National Centre for Indigenous Genomics 2021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FA" w:rsidRPr="00DB2C26" w:rsidRDefault="00B608FA" w:rsidP="00DC1ABE">
    <w:pPr>
      <w:pBdr>
        <w:top w:val="single" w:sz="4" w:space="1" w:color="auto"/>
      </w:pBdr>
      <w:tabs>
        <w:tab w:val="left" w:pos="450"/>
      </w:tabs>
    </w:pPr>
  </w:p>
  <w:p w:rsidR="00B608FA" w:rsidRPr="00DB2C26" w:rsidRDefault="00B608FA" w:rsidP="00DC1ABE">
    <w:pPr>
      <w:pStyle w:val="Footer"/>
      <w:tabs>
        <w:tab w:val="clear" w:pos="8306"/>
        <w:tab w:val="left" w:pos="3290"/>
        <w:tab w:val="center" w:pos="4513"/>
        <w:tab w:val="right" w:pos="8931"/>
      </w:tabs>
      <w:spacing w:before="120"/>
      <w:jc w:val="both"/>
      <w:rPr>
        <w:i/>
        <w:sz w:val="18"/>
        <w:szCs w:val="18"/>
      </w:rPr>
    </w:pPr>
    <w:r>
      <w:rPr>
        <w:i/>
        <w:sz w:val="18"/>
        <w:szCs w:val="18"/>
      </w:rPr>
      <w:tab/>
      <w:t>National Centre for Indigenous Genomics Statute 2021</w:t>
    </w:r>
    <w:r>
      <w:rPr>
        <w:i/>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B413C5">
      <w:rPr>
        <w:rFonts w:eastAsia="Calibri"/>
        <w:i/>
        <w:noProof/>
        <w:sz w:val="18"/>
        <w:szCs w:val="18"/>
      </w:rPr>
      <w:t>5</w:t>
    </w:r>
    <w:r>
      <w:rPr>
        <w:rFonts w:eastAsia="Calibri"/>
        <w:i/>
        <w:noProof/>
        <w:sz w:val="18"/>
        <w:szCs w:val="18"/>
      </w:rPr>
      <w:fldChar w:fldCharType="end"/>
    </w:r>
  </w:p>
  <w:p w:rsidR="00B608FA" w:rsidRDefault="00B608F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FA" w:rsidRPr="00DB2C26" w:rsidRDefault="00B608FA" w:rsidP="00A9217C"/>
  <w:p w:rsidR="00B608FA" w:rsidRPr="00DB2C26" w:rsidRDefault="00B608FA" w:rsidP="00A9217C">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5B0" w:rsidRDefault="00DF05B0" w:rsidP="00A9217C">
      <w:r>
        <w:separator/>
      </w:r>
    </w:p>
  </w:footnote>
  <w:footnote w:type="continuationSeparator" w:id="0">
    <w:p w:rsidR="00DF05B0" w:rsidRDefault="00DF05B0" w:rsidP="00A9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FA" w:rsidRPr="00347891" w:rsidRDefault="00B608FA" w:rsidP="00347891">
    <w:pPr>
      <w:pBdr>
        <w:bottom w:val="single" w:sz="4" w:space="1" w:color="auto"/>
      </w:pBdr>
      <w:spacing w:before="100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FA" w:rsidRPr="00347891" w:rsidRDefault="00B608FA" w:rsidP="00347891">
    <w:pPr>
      <w:pBdr>
        <w:bottom w:val="single" w:sz="4" w:space="1" w:color="auto"/>
      </w:pBdr>
      <w:spacing w:before="1000" w:after="240"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5F3"/>
    <w:multiLevelType w:val="hybridMultilevel"/>
    <w:tmpl w:val="37B0BB62"/>
    <w:lvl w:ilvl="0" w:tplc="0C090001">
      <w:start w:val="1"/>
      <w:numFmt w:val="bullet"/>
      <w:lvlText w:val=""/>
      <w:lvlJc w:val="left"/>
      <w:pPr>
        <w:ind w:left="2708" w:hanging="360"/>
      </w:pPr>
      <w:rPr>
        <w:rFonts w:ascii="Symbol" w:hAnsi="Symbol" w:hint="default"/>
      </w:rPr>
    </w:lvl>
    <w:lvl w:ilvl="1" w:tplc="0C090003" w:tentative="1">
      <w:start w:val="1"/>
      <w:numFmt w:val="bullet"/>
      <w:lvlText w:val="o"/>
      <w:lvlJc w:val="left"/>
      <w:pPr>
        <w:ind w:left="3428" w:hanging="360"/>
      </w:pPr>
      <w:rPr>
        <w:rFonts w:ascii="Courier New" w:hAnsi="Courier New" w:cs="Courier New"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1" w15:restartNumberingAfterBreak="0">
    <w:nsid w:val="04C415FB"/>
    <w:multiLevelType w:val="hybridMultilevel"/>
    <w:tmpl w:val="8A7673BA"/>
    <w:lvl w:ilvl="0" w:tplc="5850470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 w15:restartNumberingAfterBreak="0">
    <w:nsid w:val="061222F6"/>
    <w:multiLevelType w:val="hybridMultilevel"/>
    <w:tmpl w:val="AE30D988"/>
    <w:lvl w:ilvl="0" w:tplc="52A02312">
      <w:start w:val="92"/>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 w15:restartNumberingAfterBreak="0">
    <w:nsid w:val="0B531CF7"/>
    <w:multiLevelType w:val="hybridMultilevel"/>
    <w:tmpl w:val="408A7C06"/>
    <w:lvl w:ilvl="0" w:tplc="7F2C22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0BA44715"/>
    <w:multiLevelType w:val="hybridMultilevel"/>
    <w:tmpl w:val="49E09A6A"/>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5" w15:restartNumberingAfterBreak="0">
    <w:nsid w:val="0CDF7A8E"/>
    <w:multiLevelType w:val="hybridMultilevel"/>
    <w:tmpl w:val="EAA2E24C"/>
    <w:lvl w:ilvl="0" w:tplc="5A4C6F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1A5723"/>
    <w:multiLevelType w:val="hybridMultilevel"/>
    <w:tmpl w:val="D4FECC8C"/>
    <w:lvl w:ilvl="0" w:tplc="A2DE9CF2">
      <w:start w:val="15"/>
      <w:numFmt w:val="decimal"/>
      <w:lvlText w:val="%1"/>
      <w:lvlJc w:val="left"/>
      <w:pPr>
        <w:ind w:left="1500" w:hanging="360"/>
      </w:pPr>
      <w:rPr>
        <w:rFonts w:eastAsiaTheme="majorEastAsia" w:hint="default"/>
        <w:b w:val="0"/>
        <w:sz w:val="24"/>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7" w15:restartNumberingAfterBreak="0">
    <w:nsid w:val="0D610053"/>
    <w:multiLevelType w:val="multilevel"/>
    <w:tmpl w:val="22940880"/>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1E75A61"/>
    <w:multiLevelType w:val="hybridMultilevel"/>
    <w:tmpl w:val="FF248B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23BB000D"/>
    <w:multiLevelType w:val="hybridMultilevel"/>
    <w:tmpl w:val="57C81FA4"/>
    <w:lvl w:ilvl="0" w:tplc="54349F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76001"/>
    <w:multiLevelType w:val="hybridMultilevel"/>
    <w:tmpl w:val="6F22FE3E"/>
    <w:lvl w:ilvl="0" w:tplc="923A5D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E807EC"/>
    <w:multiLevelType w:val="hybridMultilevel"/>
    <w:tmpl w:val="250E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C31C66"/>
    <w:multiLevelType w:val="hybridMultilevel"/>
    <w:tmpl w:val="09C8856E"/>
    <w:lvl w:ilvl="0" w:tplc="58529DBE">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E692680"/>
    <w:multiLevelType w:val="multilevel"/>
    <w:tmpl w:val="C4CEAA9C"/>
    <w:lvl w:ilvl="0">
      <w:start w:val="1"/>
      <w:numFmt w:val="decimal"/>
      <w:pStyle w:val="Heading1"/>
      <w:suff w:val="nothing"/>
      <w:lvlText w:val="Part %1—"/>
      <w:lvlJc w:val="left"/>
      <w:pPr>
        <w:ind w:left="0" w:firstLine="0"/>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1134"/>
        </w:tabs>
        <w:ind w:left="1134"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F8D76AD"/>
    <w:multiLevelType w:val="hybridMultilevel"/>
    <w:tmpl w:val="BB5089A8"/>
    <w:lvl w:ilvl="0" w:tplc="878478D6">
      <w:start w:val="1"/>
      <w:numFmt w:val="decimal"/>
      <w:lvlText w:val="(%1)"/>
      <w:lvlJc w:val="left"/>
      <w:pPr>
        <w:ind w:left="390" w:hanging="390"/>
      </w:pPr>
      <w:rPr>
        <w:rFonts w:ascii="Times New Roman" w:eastAsia="Times New Roman" w:hAnsi="Times New Roman" w:cs="Times New Roman"/>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6" w15:restartNumberingAfterBreak="0">
    <w:nsid w:val="39163E98"/>
    <w:multiLevelType w:val="hybridMultilevel"/>
    <w:tmpl w:val="31A056FC"/>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17" w15:restartNumberingAfterBreak="0">
    <w:nsid w:val="40D04050"/>
    <w:multiLevelType w:val="hybridMultilevel"/>
    <w:tmpl w:val="26D4E534"/>
    <w:lvl w:ilvl="0" w:tplc="94E21C0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8"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5162132"/>
    <w:multiLevelType w:val="hybridMultilevel"/>
    <w:tmpl w:val="AED84244"/>
    <w:lvl w:ilvl="0" w:tplc="290E4FB8">
      <w:start w:val="2"/>
      <w:numFmt w:val="decimal"/>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0" w15:restartNumberingAfterBreak="0">
    <w:nsid w:val="4556371E"/>
    <w:multiLevelType w:val="hybridMultilevel"/>
    <w:tmpl w:val="AF8631F4"/>
    <w:lvl w:ilvl="0" w:tplc="C32AAF26">
      <w:start w:val="14"/>
      <w:numFmt w:val="decimal"/>
      <w:lvlText w:val="%1"/>
      <w:lvlJc w:val="left"/>
      <w:pPr>
        <w:ind w:left="643"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EC36F6"/>
    <w:multiLevelType w:val="hybridMultilevel"/>
    <w:tmpl w:val="88D611EE"/>
    <w:lvl w:ilvl="0" w:tplc="C414D498">
      <w:start w:val="3"/>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15:restartNumberingAfterBreak="0">
    <w:nsid w:val="4BEA063F"/>
    <w:multiLevelType w:val="hybridMultilevel"/>
    <w:tmpl w:val="6DF23D3E"/>
    <w:lvl w:ilvl="0" w:tplc="351019CE">
      <w:start w:val="14"/>
      <w:numFmt w:val="decimal"/>
      <w:lvlText w:val="%1"/>
      <w:lvlJc w:val="left"/>
      <w:pPr>
        <w:ind w:left="720" w:hanging="360"/>
      </w:pPr>
      <w:rPr>
        <w:rFonts w:eastAsiaTheme="maj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316E9A"/>
    <w:multiLevelType w:val="hybridMultilevel"/>
    <w:tmpl w:val="98D47376"/>
    <w:lvl w:ilvl="0" w:tplc="F98C3B30">
      <w:start w:val="1"/>
      <w:numFmt w:val="decimal"/>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55FA30BA"/>
    <w:multiLevelType w:val="hybridMultilevel"/>
    <w:tmpl w:val="14402BB4"/>
    <w:lvl w:ilvl="0" w:tplc="42B6C548">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5" w15:restartNumberingAfterBreak="0">
    <w:nsid w:val="5BBB4F38"/>
    <w:multiLevelType w:val="hybridMultilevel"/>
    <w:tmpl w:val="70FE61F2"/>
    <w:lvl w:ilvl="0" w:tplc="B68CAB62">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5C821E0B"/>
    <w:multiLevelType w:val="hybridMultilevel"/>
    <w:tmpl w:val="302EC662"/>
    <w:lvl w:ilvl="0" w:tplc="4D4256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E26276"/>
    <w:multiLevelType w:val="hybridMultilevel"/>
    <w:tmpl w:val="98068698"/>
    <w:lvl w:ilvl="0" w:tplc="1C5C677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5EEB16F4"/>
    <w:multiLevelType w:val="multilevel"/>
    <w:tmpl w:val="FE2475EC"/>
    <w:lvl w:ilvl="0">
      <w:start w:val="1"/>
      <w:numFmt w:val="decimal"/>
      <w:lvlText w:val="Part %1"/>
      <w:lvlJc w:val="center"/>
      <w:pPr>
        <w:ind w:left="283" w:firstLine="0"/>
      </w:pPr>
      <w:rPr>
        <w:rFonts w:ascii="Tahoma" w:hAnsi="Tahoma" w:hint="default"/>
        <w:b/>
        <w:i w:val="0"/>
        <w:caps/>
        <w:sz w:val="20"/>
      </w:rPr>
    </w:lvl>
    <w:lvl w:ilvl="1">
      <w:start w:val="1"/>
      <w:numFmt w:val="decimal"/>
      <w:lvlRestart w:val="0"/>
      <w:lvlText w:val="%2"/>
      <w:lvlJc w:val="left"/>
      <w:pPr>
        <w:ind w:left="567" w:hanging="567"/>
      </w:pPr>
      <w:rPr>
        <w:rFonts w:hint="default"/>
      </w:rPr>
    </w:lvl>
    <w:lvl w:ilvl="2">
      <w:start w:val="1"/>
      <w:numFmt w:val="decimal"/>
      <w:lvlText w:val="%2.%3"/>
      <w:lvlJc w:val="left"/>
      <w:pPr>
        <w:ind w:left="1275" w:hanging="567"/>
      </w:pPr>
      <w:rPr>
        <w:rFonts w:hint="default"/>
      </w:rPr>
    </w:lvl>
    <w:lvl w:ilvl="3">
      <w:start w:val="1"/>
      <w:numFmt w:val="lowerLetter"/>
      <w:lvlText w:val="(%4)"/>
      <w:lvlJc w:val="left"/>
      <w:pPr>
        <w:ind w:left="992" w:hanging="425"/>
      </w:pPr>
      <w:rPr>
        <w:rFonts w:hint="default"/>
      </w:rPr>
    </w:lvl>
    <w:lvl w:ilvl="4">
      <w:start w:val="1"/>
      <w:numFmt w:val="lowerRoman"/>
      <w:lvlText w:val="(%5)"/>
      <w:lvlJc w:val="left"/>
      <w:pPr>
        <w:tabs>
          <w:tab w:val="num" w:pos="8505"/>
        </w:tabs>
        <w:ind w:left="1418" w:hanging="4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458433C"/>
    <w:multiLevelType w:val="hybridMultilevel"/>
    <w:tmpl w:val="1C46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04598E"/>
    <w:multiLevelType w:val="hybridMultilevel"/>
    <w:tmpl w:val="2E864D6C"/>
    <w:lvl w:ilvl="0" w:tplc="B8ECEA4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9B4CB1"/>
    <w:multiLevelType w:val="hybridMultilevel"/>
    <w:tmpl w:val="323EC6D0"/>
    <w:lvl w:ilvl="0" w:tplc="FC0E5A4A">
      <w:numFmt w:val="decimalZero"/>
      <w:lvlText w:val="%1"/>
      <w:lvlJc w:val="left"/>
      <w:pPr>
        <w:ind w:left="72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4"/>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4"/>
    <w:lvlOverride w:ilvl="0">
      <w:startOverride w:val="1"/>
      <w:lvl w:ilvl="0">
        <w:start w:val="1"/>
        <w:numFmt w:val="decimal"/>
        <w:lvlText w:val="Part %1"/>
        <w:lvlJc w:val="center"/>
        <w:pPr>
          <w:ind w:left="0" w:firstLine="0"/>
        </w:pPr>
        <w:rPr>
          <w:rFonts w:ascii="Tahoma" w:hAnsi="Tahoma" w:hint="default"/>
          <w:b/>
          <w:i w:val="0"/>
          <w:caps/>
          <w:sz w:val="20"/>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lowerLetter"/>
        <w:lvlText w:val="(%4)"/>
        <w:lvlJc w:val="left"/>
        <w:pPr>
          <w:tabs>
            <w:tab w:val="num" w:pos="7088"/>
          </w:tabs>
          <w:ind w:left="1276" w:hanging="425"/>
        </w:pPr>
        <w:rPr>
          <w:rFonts w:hint="default"/>
        </w:rPr>
      </w:lvl>
    </w:lvlOverride>
    <w:lvlOverride w:ilvl="4">
      <w:startOverride w:val="1"/>
      <w:lvl w:ilvl="4">
        <w:start w:val="1"/>
        <w:numFmt w:val="lowerRoman"/>
        <w:lvlText w:val="(%5)"/>
        <w:lvlJc w:val="left"/>
        <w:pPr>
          <w:ind w:left="1701" w:hanging="425"/>
        </w:pPr>
        <w:rPr>
          <w:rFonts w:ascii="Tahoma" w:hAnsi="Tahoma" w:hint="default"/>
          <w:sz w:val="20"/>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4">
    <w:abstractNumId w:val="5"/>
  </w:num>
  <w:num w:numId="5">
    <w:abstractNumId w:val="26"/>
  </w:num>
  <w:num w:numId="6">
    <w:abstractNumId w:val="9"/>
  </w:num>
  <w:num w:numId="7">
    <w:abstractNumId w:val="10"/>
  </w:num>
  <w:num w:numId="8">
    <w:abstractNumId w:val="3"/>
  </w:num>
  <w:num w:numId="9">
    <w:abstractNumId w:val="31"/>
  </w:num>
  <w:num w:numId="10">
    <w:abstractNumId w:val="8"/>
  </w:num>
  <w:num w:numId="11">
    <w:abstractNumId w:val="15"/>
  </w:num>
  <w:num w:numId="12">
    <w:abstractNumId w:val="20"/>
  </w:num>
  <w:num w:numId="13">
    <w:abstractNumId w:val="12"/>
  </w:num>
  <w:num w:numId="14">
    <w:abstractNumId w:val="22"/>
  </w:num>
  <w:num w:numId="15">
    <w:abstractNumId w:val="30"/>
  </w:num>
  <w:num w:numId="16">
    <w:abstractNumId w:val="1"/>
  </w:num>
  <w:num w:numId="17">
    <w:abstractNumId w:val="6"/>
  </w:num>
  <w:num w:numId="18">
    <w:abstractNumId w:val="17"/>
  </w:num>
  <w:num w:numId="19">
    <w:abstractNumId w:val="25"/>
  </w:num>
  <w:num w:numId="20">
    <w:abstractNumId w:val="19"/>
  </w:num>
  <w:num w:numId="21">
    <w:abstractNumId w:val="27"/>
  </w:num>
  <w:num w:numId="22">
    <w:abstractNumId w:val="2"/>
  </w:num>
  <w:num w:numId="23">
    <w:abstractNumId w:val="24"/>
  </w:num>
  <w:num w:numId="24">
    <w:abstractNumId w:val="21"/>
  </w:num>
  <w:num w:numId="25">
    <w:abstractNumId w:val="4"/>
  </w:num>
  <w:num w:numId="26">
    <w:abstractNumId w:val="11"/>
  </w:num>
  <w:num w:numId="27">
    <w:abstractNumId w:val="16"/>
  </w:num>
  <w:num w:numId="28">
    <w:abstractNumId w:val="28"/>
  </w:num>
  <w:num w:numId="29">
    <w:abstractNumId w:val="13"/>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CF"/>
    <w:rsid w:val="00001041"/>
    <w:rsid w:val="00005847"/>
    <w:rsid w:val="00006127"/>
    <w:rsid w:val="000067E4"/>
    <w:rsid w:val="00007847"/>
    <w:rsid w:val="00015663"/>
    <w:rsid w:val="00017BA1"/>
    <w:rsid w:val="00024EE0"/>
    <w:rsid w:val="00024EEE"/>
    <w:rsid w:val="00027841"/>
    <w:rsid w:val="000278DF"/>
    <w:rsid w:val="00033531"/>
    <w:rsid w:val="00035B4B"/>
    <w:rsid w:val="00035CCA"/>
    <w:rsid w:val="000361EA"/>
    <w:rsid w:val="0003664A"/>
    <w:rsid w:val="0003797E"/>
    <w:rsid w:val="000439F8"/>
    <w:rsid w:val="00044C1C"/>
    <w:rsid w:val="000458B7"/>
    <w:rsid w:val="00047961"/>
    <w:rsid w:val="00047E16"/>
    <w:rsid w:val="000504A6"/>
    <w:rsid w:val="000519F0"/>
    <w:rsid w:val="00052217"/>
    <w:rsid w:val="00053481"/>
    <w:rsid w:val="00054599"/>
    <w:rsid w:val="0005534A"/>
    <w:rsid w:val="00055461"/>
    <w:rsid w:val="00056CA8"/>
    <w:rsid w:val="00056F06"/>
    <w:rsid w:val="00056F09"/>
    <w:rsid w:val="00060116"/>
    <w:rsid w:val="00060C46"/>
    <w:rsid w:val="0006318B"/>
    <w:rsid w:val="000637CF"/>
    <w:rsid w:val="00064AB4"/>
    <w:rsid w:val="00065758"/>
    <w:rsid w:val="0006577D"/>
    <w:rsid w:val="00065A8E"/>
    <w:rsid w:val="00067FBB"/>
    <w:rsid w:val="000703C8"/>
    <w:rsid w:val="00071A35"/>
    <w:rsid w:val="0007208B"/>
    <w:rsid w:val="00074587"/>
    <w:rsid w:val="00074873"/>
    <w:rsid w:val="00075CD6"/>
    <w:rsid w:val="00076957"/>
    <w:rsid w:val="00076D35"/>
    <w:rsid w:val="00082377"/>
    <w:rsid w:val="00084790"/>
    <w:rsid w:val="00086DE0"/>
    <w:rsid w:val="000907B3"/>
    <w:rsid w:val="0009138F"/>
    <w:rsid w:val="00093FCA"/>
    <w:rsid w:val="00094276"/>
    <w:rsid w:val="00097C12"/>
    <w:rsid w:val="000A07AE"/>
    <w:rsid w:val="000A1979"/>
    <w:rsid w:val="000A20DC"/>
    <w:rsid w:val="000A34A5"/>
    <w:rsid w:val="000A4C5C"/>
    <w:rsid w:val="000A527F"/>
    <w:rsid w:val="000A5BF8"/>
    <w:rsid w:val="000A7EC9"/>
    <w:rsid w:val="000B0DC3"/>
    <w:rsid w:val="000B1B26"/>
    <w:rsid w:val="000B5634"/>
    <w:rsid w:val="000B7227"/>
    <w:rsid w:val="000C06E9"/>
    <w:rsid w:val="000C0B2A"/>
    <w:rsid w:val="000C18F5"/>
    <w:rsid w:val="000C1A52"/>
    <w:rsid w:val="000C381B"/>
    <w:rsid w:val="000C3DE7"/>
    <w:rsid w:val="000C55C3"/>
    <w:rsid w:val="000C6738"/>
    <w:rsid w:val="000C6A92"/>
    <w:rsid w:val="000C71A6"/>
    <w:rsid w:val="000D0BC1"/>
    <w:rsid w:val="000D1DE1"/>
    <w:rsid w:val="000D21D3"/>
    <w:rsid w:val="000D24F8"/>
    <w:rsid w:val="000D3597"/>
    <w:rsid w:val="000D61B9"/>
    <w:rsid w:val="000D6758"/>
    <w:rsid w:val="000D7FFA"/>
    <w:rsid w:val="000E0C45"/>
    <w:rsid w:val="000E140B"/>
    <w:rsid w:val="000E4FA8"/>
    <w:rsid w:val="000E5722"/>
    <w:rsid w:val="000E61E4"/>
    <w:rsid w:val="000E65A8"/>
    <w:rsid w:val="000E6796"/>
    <w:rsid w:val="000F2EC2"/>
    <w:rsid w:val="00100937"/>
    <w:rsid w:val="0010282C"/>
    <w:rsid w:val="001037F7"/>
    <w:rsid w:val="00103D8E"/>
    <w:rsid w:val="00104949"/>
    <w:rsid w:val="00105293"/>
    <w:rsid w:val="00106E63"/>
    <w:rsid w:val="00107E53"/>
    <w:rsid w:val="00110E9A"/>
    <w:rsid w:val="001124C8"/>
    <w:rsid w:val="001125DD"/>
    <w:rsid w:val="0011332B"/>
    <w:rsid w:val="00114268"/>
    <w:rsid w:val="00114385"/>
    <w:rsid w:val="00114E87"/>
    <w:rsid w:val="0011565E"/>
    <w:rsid w:val="00116260"/>
    <w:rsid w:val="00116518"/>
    <w:rsid w:val="00116640"/>
    <w:rsid w:val="001176D1"/>
    <w:rsid w:val="00120AB3"/>
    <w:rsid w:val="00120AB9"/>
    <w:rsid w:val="00121952"/>
    <w:rsid w:val="00121F43"/>
    <w:rsid w:val="001222D6"/>
    <w:rsid w:val="001238C5"/>
    <w:rsid w:val="0013068F"/>
    <w:rsid w:val="001314CF"/>
    <w:rsid w:val="0013160A"/>
    <w:rsid w:val="00134DBD"/>
    <w:rsid w:val="00135B86"/>
    <w:rsid w:val="00137DE4"/>
    <w:rsid w:val="001408CC"/>
    <w:rsid w:val="00140C59"/>
    <w:rsid w:val="00141785"/>
    <w:rsid w:val="00142341"/>
    <w:rsid w:val="00143025"/>
    <w:rsid w:val="00144917"/>
    <w:rsid w:val="00145A69"/>
    <w:rsid w:val="001511AF"/>
    <w:rsid w:val="0016009A"/>
    <w:rsid w:val="001678F7"/>
    <w:rsid w:val="0017193F"/>
    <w:rsid w:val="00174578"/>
    <w:rsid w:val="00175922"/>
    <w:rsid w:val="001807AB"/>
    <w:rsid w:val="00180BC6"/>
    <w:rsid w:val="001838EC"/>
    <w:rsid w:val="00184CB2"/>
    <w:rsid w:val="00191B88"/>
    <w:rsid w:val="0019253F"/>
    <w:rsid w:val="00192904"/>
    <w:rsid w:val="00193A57"/>
    <w:rsid w:val="00194412"/>
    <w:rsid w:val="00195294"/>
    <w:rsid w:val="00195C4F"/>
    <w:rsid w:val="00196D4B"/>
    <w:rsid w:val="0019708A"/>
    <w:rsid w:val="001A001E"/>
    <w:rsid w:val="001A0818"/>
    <w:rsid w:val="001A0DF2"/>
    <w:rsid w:val="001A0FAD"/>
    <w:rsid w:val="001A4DD6"/>
    <w:rsid w:val="001B057A"/>
    <w:rsid w:val="001B1B1C"/>
    <w:rsid w:val="001B1D74"/>
    <w:rsid w:val="001B2A19"/>
    <w:rsid w:val="001B3C42"/>
    <w:rsid w:val="001B4419"/>
    <w:rsid w:val="001B48AD"/>
    <w:rsid w:val="001B4FC4"/>
    <w:rsid w:val="001B6EE9"/>
    <w:rsid w:val="001B7742"/>
    <w:rsid w:val="001C0CD2"/>
    <w:rsid w:val="001C2BC9"/>
    <w:rsid w:val="001C3D7C"/>
    <w:rsid w:val="001C4243"/>
    <w:rsid w:val="001C6745"/>
    <w:rsid w:val="001C674F"/>
    <w:rsid w:val="001C73BB"/>
    <w:rsid w:val="001D0AFB"/>
    <w:rsid w:val="001D4CF9"/>
    <w:rsid w:val="001E1B66"/>
    <w:rsid w:val="001E1C0F"/>
    <w:rsid w:val="001E1F14"/>
    <w:rsid w:val="001E335A"/>
    <w:rsid w:val="001E3B08"/>
    <w:rsid w:val="001E6A80"/>
    <w:rsid w:val="001F08F6"/>
    <w:rsid w:val="001F0A69"/>
    <w:rsid w:val="001F2D12"/>
    <w:rsid w:val="001F4C6A"/>
    <w:rsid w:val="001F7AD6"/>
    <w:rsid w:val="00200230"/>
    <w:rsid w:val="0020133F"/>
    <w:rsid w:val="00202D47"/>
    <w:rsid w:val="00203FC9"/>
    <w:rsid w:val="00204BAB"/>
    <w:rsid w:val="00205D67"/>
    <w:rsid w:val="0020697E"/>
    <w:rsid w:val="00207DB2"/>
    <w:rsid w:val="00210B03"/>
    <w:rsid w:val="0021243F"/>
    <w:rsid w:val="00216489"/>
    <w:rsid w:val="00220104"/>
    <w:rsid w:val="00220B07"/>
    <w:rsid w:val="00222A9F"/>
    <w:rsid w:val="002243C3"/>
    <w:rsid w:val="0022576E"/>
    <w:rsid w:val="00225A40"/>
    <w:rsid w:val="002260CF"/>
    <w:rsid w:val="002261A9"/>
    <w:rsid w:val="00226F0C"/>
    <w:rsid w:val="00227595"/>
    <w:rsid w:val="00230564"/>
    <w:rsid w:val="00230A3F"/>
    <w:rsid w:val="002328BF"/>
    <w:rsid w:val="00233E2E"/>
    <w:rsid w:val="00234AD6"/>
    <w:rsid w:val="00235271"/>
    <w:rsid w:val="00236665"/>
    <w:rsid w:val="002368E5"/>
    <w:rsid w:val="002369EA"/>
    <w:rsid w:val="0023733D"/>
    <w:rsid w:val="0024005C"/>
    <w:rsid w:val="00240BD3"/>
    <w:rsid w:val="0024104D"/>
    <w:rsid w:val="00241C11"/>
    <w:rsid w:val="0024336E"/>
    <w:rsid w:val="0024582A"/>
    <w:rsid w:val="00246167"/>
    <w:rsid w:val="0024652E"/>
    <w:rsid w:val="0025114C"/>
    <w:rsid w:val="002550F7"/>
    <w:rsid w:val="0025537E"/>
    <w:rsid w:val="00255D05"/>
    <w:rsid w:val="002561CD"/>
    <w:rsid w:val="0025653D"/>
    <w:rsid w:val="00261483"/>
    <w:rsid w:val="00262B88"/>
    <w:rsid w:val="00262EFD"/>
    <w:rsid w:val="00264EAD"/>
    <w:rsid w:val="002660E6"/>
    <w:rsid w:val="0026748E"/>
    <w:rsid w:val="00267FBB"/>
    <w:rsid w:val="00271463"/>
    <w:rsid w:val="00271B32"/>
    <w:rsid w:val="0027408B"/>
    <w:rsid w:val="0027457B"/>
    <w:rsid w:val="00275821"/>
    <w:rsid w:val="0027655B"/>
    <w:rsid w:val="0027691D"/>
    <w:rsid w:val="002769DE"/>
    <w:rsid w:val="002773A3"/>
    <w:rsid w:val="00277CB2"/>
    <w:rsid w:val="00280E8C"/>
    <w:rsid w:val="00280FA9"/>
    <w:rsid w:val="002824DD"/>
    <w:rsid w:val="00283261"/>
    <w:rsid w:val="0029196B"/>
    <w:rsid w:val="00294010"/>
    <w:rsid w:val="002942FE"/>
    <w:rsid w:val="0029445F"/>
    <w:rsid w:val="002A3176"/>
    <w:rsid w:val="002A5B48"/>
    <w:rsid w:val="002B670F"/>
    <w:rsid w:val="002B67B8"/>
    <w:rsid w:val="002B6887"/>
    <w:rsid w:val="002C0972"/>
    <w:rsid w:val="002C0C6A"/>
    <w:rsid w:val="002C15B0"/>
    <w:rsid w:val="002C1B5D"/>
    <w:rsid w:val="002C45E0"/>
    <w:rsid w:val="002C5F41"/>
    <w:rsid w:val="002C62B7"/>
    <w:rsid w:val="002C73A2"/>
    <w:rsid w:val="002D0748"/>
    <w:rsid w:val="002D2834"/>
    <w:rsid w:val="002D30FE"/>
    <w:rsid w:val="002D358E"/>
    <w:rsid w:val="002D41C2"/>
    <w:rsid w:val="002D4B7D"/>
    <w:rsid w:val="002D4CC9"/>
    <w:rsid w:val="002D5768"/>
    <w:rsid w:val="002D5C62"/>
    <w:rsid w:val="002D6BC5"/>
    <w:rsid w:val="002D7139"/>
    <w:rsid w:val="002E0142"/>
    <w:rsid w:val="002E043A"/>
    <w:rsid w:val="002E0577"/>
    <w:rsid w:val="002E0791"/>
    <w:rsid w:val="002E23A1"/>
    <w:rsid w:val="002E425D"/>
    <w:rsid w:val="002E6A53"/>
    <w:rsid w:val="002F142D"/>
    <w:rsid w:val="002F4589"/>
    <w:rsid w:val="002F4825"/>
    <w:rsid w:val="002F4E07"/>
    <w:rsid w:val="002F728E"/>
    <w:rsid w:val="00300A56"/>
    <w:rsid w:val="00302744"/>
    <w:rsid w:val="00304968"/>
    <w:rsid w:val="00310FB5"/>
    <w:rsid w:val="00311DE3"/>
    <w:rsid w:val="00313799"/>
    <w:rsid w:val="0031470D"/>
    <w:rsid w:val="00317B88"/>
    <w:rsid w:val="00323342"/>
    <w:rsid w:val="00326C5B"/>
    <w:rsid w:val="00330A11"/>
    <w:rsid w:val="00331C68"/>
    <w:rsid w:val="00331D66"/>
    <w:rsid w:val="00332143"/>
    <w:rsid w:val="003355E0"/>
    <w:rsid w:val="00335721"/>
    <w:rsid w:val="00340096"/>
    <w:rsid w:val="003401B3"/>
    <w:rsid w:val="003404DC"/>
    <w:rsid w:val="003406EC"/>
    <w:rsid w:val="00341D32"/>
    <w:rsid w:val="00343F2D"/>
    <w:rsid w:val="00347891"/>
    <w:rsid w:val="0035108E"/>
    <w:rsid w:val="00355765"/>
    <w:rsid w:val="00355E78"/>
    <w:rsid w:val="00356452"/>
    <w:rsid w:val="0036063B"/>
    <w:rsid w:val="00361133"/>
    <w:rsid w:val="003646C0"/>
    <w:rsid w:val="003649A3"/>
    <w:rsid w:val="00366EC7"/>
    <w:rsid w:val="00371379"/>
    <w:rsid w:val="00374709"/>
    <w:rsid w:val="00374A8C"/>
    <w:rsid w:val="00374FC5"/>
    <w:rsid w:val="00377128"/>
    <w:rsid w:val="00377389"/>
    <w:rsid w:val="00380F3D"/>
    <w:rsid w:val="00381A1D"/>
    <w:rsid w:val="00382D5C"/>
    <w:rsid w:val="00384EB6"/>
    <w:rsid w:val="003865E6"/>
    <w:rsid w:val="0038667A"/>
    <w:rsid w:val="00391638"/>
    <w:rsid w:val="00393AA4"/>
    <w:rsid w:val="00397EC4"/>
    <w:rsid w:val="003A28CD"/>
    <w:rsid w:val="003A4E34"/>
    <w:rsid w:val="003A7EF7"/>
    <w:rsid w:val="003B0634"/>
    <w:rsid w:val="003B0854"/>
    <w:rsid w:val="003B31D5"/>
    <w:rsid w:val="003B3437"/>
    <w:rsid w:val="003B3848"/>
    <w:rsid w:val="003B4816"/>
    <w:rsid w:val="003B4956"/>
    <w:rsid w:val="003B7626"/>
    <w:rsid w:val="003C018D"/>
    <w:rsid w:val="003C0E91"/>
    <w:rsid w:val="003C192E"/>
    <w:rsid w:val="003C29DB"/>
    <w:rsid w:val="003C3290"/>
    <w:rsid w:val="003C4342"/>
    <w:rsid w:val="003C59B5"/>
    <w:rsid w:val="003D0BFF"/>
    <w:rsid w:val="003D2565"/>
    <w:rsid w:val="003D2641"/>
    <w:rsid w:val="003D30EE"/>
    <w:rsid w:val="003D40FB"/>
    <w:rsid w:val="003D4995"/>
    <w:rsid w:val="003E0BE9"/>
    <w:rsid w:val="003E2EF6"/>
    <w:rsid w:val="003E30CB"/>
    <w:rsid w:val="003E416B"/>
    <w:rsid w:val="003E511F"/>
    <w:rsid w:val="003E702D"/>
    <w:rsid w:val="003F2D54"/>
    <w:rsid w:val="003F2E17"/>
    <w:rsid w:val="003F3890"/>
    <w:rsid w:val="003F4662"/>
    <w:rsid w:val="003F5167"/>
    <w:rsid w:val="003F5BAF"/>
    <w:rsid w:val="003F6348"/>
    <w:rsid w:val="003F7353"/>
    <w:rsid w:val="003F7528"/>
    <w:rsid w:val="004002B8"/>
    <w:rsid w:val="0040593F"/>
    <w:rsid w:val="0040625C"/>
    <w:rsid w:val="00406BFD"/>
    <w:rsid w:val="0041009B"/>
    <w:rsid w:val="00412859"/>
    <w:rsid w:val="00412B8E"/>
    <w:rsid w:val="0041496A"/>
    <w:rsid w:val="004150D8"/>
    <w:rsid w:val="004166F8"/>
    <w:rsid w:val="00417583"/>
    <w:rsid w:val="0042239D"/>
    <w:rsid w:val="00422CFA"/>
    <w:rsid w:val="004236C2"/>
    <w:rsid w:val="00425EAB"/>
    <w:rsid w:val="00434935"/>
    <w:rsid w:val="0043577A"/>
    <w:rsid w:val="00436B9E"/>
    <w:rsid w:val="004401D1"/>
    <w:rsid w:val="00441E00"/>
    <w:rsid w:val="00441E52"/>
    <w:rsid w:val="00442AE6"/>
    <w:rsid w:val="00442F46"/>
    <w:rsid w:val="00443C39"/>
    <w:rsid w:val="00446A3B"/>
    <w:rsid w:val="004507DE"/>
    <w:rsid w:val="00450C15"/>
    <w:rsid w:val="0045164B"/>
    <w:rsid w:val="00453104"/>
    <w:rsid w:val="004539C9"/>
    <w:rsid w:val="00455E5D"/>
    <w:rsid w:val="0045685C"/>
    <w:rsid w:val="00460BE9"/>
    <w:rsid w:val="004616B8"/>
    <w:rsid w:val="00461A5D"/>
    <w:rsid w:val="00462E08"/>
    <w:rsid w:val="0046363E"/>
    <w:rsid w:val="00463751"/>
    <w:rsid w:val="004646A6"/>
    <w:rsid w:val="00466682"/>
    <w:rsid w:val="0047171D"/>
    <w:rsid w:val="00472C5D"/>
    <w:rsid w:val="00473231"/>
    <w:rsid w:val="00473EFE"/>
    <w:rsid w:val="004741D7"/>
    <w:rsid w:val="00475B6D"/>
    <w:rsid w:val="00476022"/>
    <w:rsid w:val="0047631C"/>
    <w:rsid w:val="0047653B"/>
    <w:rsid w:val="00477435"/>
    <w:rsid w:val="00477CDF"/>
    <w:rsid w:val="00477E95"/>
    <w:rsid w:val="0048062A"/>
    <w:rsid w:val="00482FC8"/>
    <w:rsid w:val="00484A0C"/>
    <w:rsid w:val="00485218"/>
    <w:rsid w:val="00490D01"/>
    <w:rsid w:val="00491002"/>
    <w:rsid w:val="004925E8"/>
    <w:rsid w:val="00492C1D"/>
    <w:rsid w:val="004936D5"/>
    <w:rsid w:val="004954CE"/>
    <w:rsid w:val="00496E27"/>
    <w:rsid w:val="004A0C91"/>
    <w:rsid w:val="004A5B64"/>
    <w:rsid w:val="004A7EFA"/>
    <w:rsid w:val="004B1BCA"/>
    <w:rsid w:val="004C1263"/>
    <w:rsid w:val="004C14A6"/>
    <w:rsid w:val="004C3481"/>
    <w:rsid w:val="004C47B0"/>
    <w:rsid w:val="004D1718"/>
    <w:rsid w:val="004D2380"/>
    <w:rsid w:val="004D27A3"/>
    <w:rsid w:val="004D32BF"/>
    <w:rsid w:val="004D6A24"/>
    <w:rsid w:val="004D7694"/>
    <w:rsid w:val="004D78A8"/>
    <w:rsid w:val="004E19FE"/>
    <w:rsid w:val="004E2F20"/>
    <w:rsid w:val="004E4EEE"/>
    <w:rsid w:val="004E5675"/>
    <w:rsid w:val="004E6A0B"/>
    <w:rsid w:val="004E72B0"/>
    <w:rsid w:val="004F0639"/>
    <w:rsid w:val="004F6306"/>
    <w:rsid w:val="00501284"/>
    <w:rsid w:val="00503ECB"/>
    <w:rsid w:val="00504225"/>
    <w:rsid w:val="00504610"/>
    <w:rsid w:val="00504E4A"/>
    <w:rsid w:val="00505052"/>
    <w:rsid w:val="00506B36"/>
    <w:rsid w:val="005075B1"/>
    <w:rsid w:val="00510137"/>
    <w:rsid w:val="00510424"/>
    <w:rsid w:val="00511C2B"/>
    <w:rsid w:val="00512023"/>
    <w:rsid w:val="005143EA"/>
    <w:rsid w:val="00514C71"/>
    <w:rsid w:val="005150F7"/>
    <w:rsid w:val="005156F0"/>
    <w:rsid w:val="005212A5"/>
    <w:rsid w:val="00522234"/>
    <w:rsid w:val="00524422"/>
    <w:rsid w:val="00525BE2"/>
    <w:rsid w:val="00530DDB"/>
    <w:rsid w:val="00532600"/>
    <w:rsid w:val="00532965"/>
    <w:rsid w:val="00532D2D"/>
    <w:rsid w:val="005342A9"/>
    <w:rsid w:val="00534D02"/>
    <w:rsid w:val="00536200"/>
    <w:rsid w:val="00536538"/>
    <w:rsid w:val="005375AE"/>
    <w:rsid w:val="005407E7"/>
    <w:rsid w:val="005413D7"/>
    <w:rsid w:val="00543D26"/>
    <w:rsid w:val="00545D08"/>
    <w:rsid w:val="005460AD"/>
    <w:rsid w:val="00547579"/>
    <w:rsid w:val="00550C62"/>
    <w:rsid w:val="0055276A"/>
    <w:rsid w:val="00552C54"/>
    <w:rsid w:val="0055400A"/>
    <w:rsid w:val="005545BD"/>
    <w:rsid w:val="005553ED"/>
    <w:rsid w:val="00555CC8"/>
    <w:rsid w:val="00557F01"/>
    <w:rsid w:val="00561C55"/>
    <w:rsid w:val="00562DAD"/>
    <w:rsid w:val="00567353"/>
    <w:rsid w:val="00567FC5"/>
    <w:rsid w:val="00570121"/>
    <w:rsid w:val="00570371"/>
    <w:rsid w:val="005713FA"/>
    <w:rsid w:val="00571973"/>
    <w:rsid w:val="00572BCA"/>
    <w:rsid w:val="00573622"/>
    <w:rsid w:val="005743C8"/>
    <w:rsid w:val="0057700E"/>
    <w:rsid w:val="005770EB"/>
    <w:rsid w:val="00577A08"/>
    <w:rsid w:val="00580A3C"/>
    <w:rsid w:val="00581C4F"/>
    <w:rsid w:val="0058531C"/>
    <w:rsid w:val="00585DC8"/>
    <w:rsid w:val="00594F8A"/>
    <w:rsid w:val="0059716A"/>
    <w:rsid w:val="005971BB"/>
    <w:rsid w:val="00597F61"/>
    <w:rsid w:val="00597FF2"/>
    <w:rsid w:val="005A2731"/>
    <w:rsid w:val="005A403C"/>
    <w:rsid w:val="005A4BFE"/>
    <w:rsid w:val="005A6FA5"/>
    <w:rsid w:val="005A71CE"/>
    <w:rsid w:val="005A730D"/>
    <w:rsid w:val="005B13BE"/>
    <w:rsid w:val="005B15D9"/>
    <w:rsid w:val="005B1D3A"/>
    <w:rsid w:val="005B29B9"/>
    <w:rsid w:val="005B323E"/>
    <w:rsid w:val="005B324B"/>
    <w:rsid w:val="005B41DB"/>
    <w:rsid w:val="005B4ADA"/>
    <w:rsid w:val="005B5FB1"/>
    <w:rsid w:val="005B6D96"/>
    <w:rsid w:val="005B6E07"/>
    <w:rsid w:val="005C0386"/>
    <w:rsid w:val="005C305F"/>
    <w:rsid w:val="005C4A5B"/>
    <w:rsid w:val="005C4E4F"/>
    <w:rsid w:val="005D0018"/>
    <w:rsid w:val="005D0C09"/>
    <w:rsid w:val="005D14B9"/>
    <w:rsid w:val="005D185F"/>
    <w:rsid w:val="005D3071"/>
    <w:rsid w:val="005D40E3"/>
    <w:rsid w:val="005D504C"/>
    <w:rsid w:val="005D5400"/>
    <w:rsid w:val="005D59A9"/>
    <w:rsid w:val="005D6145"/>
    <w:rsid w:val="005D7017"/>
    <w:rsid w:val="005E0300"/>
    <w:rsid w:val="005E031F"/>
    <w:rsid w:val="005E08D4"/>
    <w:rsid w:val="005E1527"/>
    <w:rsid w:val="005E22C5"/>
    <w:rsid w:val="005E34D1"/>
    <w:rsid w:val="005E38AE"/>
    <w:rsid w:val="005E5C05"/>
    <w:rsid w:val="005F1222"/>
    <w:rsid w:val="005F240E"/>
    <w:rsid w:val="005F3990"/>
    <w:rsid w:val="005F3DEA"/>
    <w:rsid w:val="005F5AE4"/>
    <w:rsid w:val="0060179F"/>
    <w:rsid w:val="00602040"/>
    <w:rsid w:val="00604A91"/>
    <w:rsid w:val="006070DE"/>
    <w:rsid w:val="006105BD"/>
    <w:rsid w:val="006133BD"/>
    <w:rsid w:val="00613CD5"/>
    <w:rsid w:val="006164DA"/>
    <w:rsid w:val="00617AD2"/>
    <w:rsid w:val="0062020A"/>
    <w:rsid w:val="00620C8E"/>
    <w:rsid w:val="0062148A"/>
    <w:rsid w:val="00621BE8"/>
    <w:rsid w:val="00622026"/>
    <w:rsid w:val="006264CB"/>
    <w:rsid w:val="00626ED8"/>
    <w:rsid w:val="00627D8D"/>
    <w:rsid w:val="0063122D"/>
    <w:rsid w:val="006324FC"/>
    <w:rsid w:val="0063334E"/>
    <w:rsid w:val="006342F9"/>
    <w:rsid w:val="0063581A"/>
    <w:rsid w:val="00636952"/>
    <w:rsid w:val="006376A1"/>
    <w:rsid w:val="00641625"/>
    <w:rsid w:val="00641752"/>
    <w:rsid w:val="006422A1"/>
    <w:rsid w:val="00645099"/>
    <w:rsid w:val="00645E92"/>
    <w:rsid w:val="00646046"/>
    <w:rsid w:val="00646EB2"/>
    <w:rsid w:val="0065066D"/>
    <w:rsid w:val="006515F6"/>
    <w:rsid w:val="00651638"/>
    <w:rsid w:val="00651DE9"/>
    <w:rsid w:val="0065416A"/>
    <w:rsid w:val="006546BD"/>
    <w:rsid w:val="00655F45"/>
    <w:rsid w:val="006571EE"/>
    <w:rsid w:val="00662A1A"/>
    <w:rsid w:val="006631EF"/>
    <w:rsid w:val="0066380B"/>
    <w:rsid w:val="00664148"/>
    <w:rsid w:val="00664EEE"/>
    <w:rsid w:val="00666CBA"/>
    <w:rsid w:val="0067109D"/>
    <w:rsid w:val="0067118B"/>
    <w:rsid w:val="00671CEB"/>
    <w:rsid w:val="00674588"/>
    <w:rsid w:val="00675AAF"/>
    <w:rsid w:val="0068129E"/>
    <w:rsid w:val="0068187F"/>
    <w:rsid w:val="006833F9"/>
    <w:rsid w:val="00684894"/>
    <w:rsid w:val="006878FC"/>
    <w:rsid w:val="00687A0C"/>
    <w:rsid w:val="006916E1"/>
    <w:rsid w:val="00694364"/>
    <w:rsid w:val="00695C2D"/>
    <w:rsid w:val="00697D5D"/>
    <w:rsid w:val="006A097A"/>
    <w:rsid w:val="006A1836"/>
    <w:rsid w:val="006A1BF0"/>
    <w:rsid w:val="006A4EC6"/>
    <w:rsid w:val="006A5B03"/>
    <w:rsid w:val="006A5D82"/>
    <w:rsid w:val="006A7654"/>
    <w:rsid w:val="006B03E4"/>
    <w:rsid w:val="006B05F8"/>
    <w:rsid w:val="006B0DAD"/>
    <w:rsid w:val="006B11EF"/>
    <w:rsid w:val="006B1A34"/>
    <w:rsid w:val="006B2A51"/>
    <w:rsid w:val="006B43A8"/>
    <w:rsid w:val="006B576E"/>
    <w:rsid w:val="006B7AB6"/>
    <w:rsid w:val="006C0FE5"/>
    <w:rsid w:val="006C108E"/>
    <w:rsid w:val="006C1291"/>
    <w:rsid w:val="006C21C5"/>
    <w:rsid w:val="006C298E"/>
    <w:rsid w:val="006C36E3"/>
    <w:rsid w:val="006C6492"/>
    <w:rsid w:val="006C6DD8"/>
    <w:rsid w:val="006C7235"/>
    <w:rsid w:val="006C7BB9"/>
    <w:rsid w:val="006D06F6"/>
    <w:rsid w:val="006D20B4"/>
    <w:rsid w:val="006D2B05"/>
    <w:rsid w:val="006D4DD7"/>
    <w:rsid w:val="006D4E6B"/>
    <w:rsid w:val="006D5262"/>
    <w:rsid w:val="006D6009"/>
    <w:rsid w:val="006D6B87"/>
    <w:rsid w:val="006E1AE6"/>
    <w:rsid w:val="006E29F2"/>
    <w:rsid w:val="006E3756"/>
    <w:rsid w:val="006E552A"/>
    <w:rsid w:val="006F203E"/>
    <w:rsid w:val="006F2BE3"/>
    <w:rsid w:val="006F3E79"/>
    <w:rsid w:val="006F60D6"/>
    <w:rsid w:val="006F70A1"/>
    <w:rsid w:val="00700397"/>
    <w:rsid w:val="007017E9"/>
    <w:rsid w:val="007025FB"/>
    <w:rsid w:val="00704322"/>
    <w:rsid w:val="00705DFA"/>
    <w:rsid w:val="00707F81"/>
    <w:rsid w:val="007106BE"/>
    <w:rsid w:val="007138FC"/>
    <w:rsid w:val="00714344"/>
    <w:rsid w:val="00715293"/>
    <w:rsid w:val="00716123"/>
    <w:rsid w:val="00717CF2"/>
    <w:rsid w:val="00720515"/>
    <w:rsid w:val="00722511"/>
    <w:rsid w:val="007232FF"/>
    <w:rsid w:val="007242F9"/>
    <w:rsid w:val="00724DBB"/>
    <w:rsid w:val="007250D8"/>
    <w:rsid w:val="007258B5"/>
    <w:rsid w:val="00727711"/>
    <w:rsid w:val="00730069"/>
    <w:rsid w:val="007315F8"/>
    <w:rsid w:val="00733030"/>
    <w:rsid w:val="0074016D"/>
    <w:rsid w:val="00742BAD"/>
    <w:rsid w:val="007433FA"/>
    <w:rsid w:val="00747E74"/>
    <w:rsid w:val="0075055E"/>
    <w:rsid w:val="007525C9"/>
    <w:rsid w:val="007531A0"/>
    <w:rsid w:val="00754218"/>
    <w:rsid w:val="00755411"/>
    <w:rsid w:val="007559BB"/>
    <w:rsid w:val="00757BCA"/>
    <w:rsid w:val="00760A6B"/>
    <w:rsid w:val="00770D73"/>
    <w:rsid w:val="007713E9"/>
    <w:rsid w:val="00773784"/>
    <w:rsid w:val="00773A5E"/>
    <w:rsid w:val="00773DC4"/>
    <w:rsid w:val="00774930"/>
    <w:rsid w:val="00774F52"/>
    <w:rsid w:val="007753B2"/>
    <w:rsid w:val="00775D99"/>
    <w:rsid w:val="0077654E"/>
    <w:rsid w:val="007802A3"/>
    <w:rsid w:val="0078060D"/>
    <w:rsid w:val="0078425F"/>
    <w:rsid w:val="007843D3"/>
    <w:rsid w:val="0078464C"/>
    <w:rsid w:val="00785175"/>
    <w:rsid w:val="00785FC1"/>
    <w:rsid w:val="00787DC1"/>
    <w:rsid w:val="00791A63"/>
    <w:rsid w:val="00792504"/>
    <w:rsid w:val="00793AE2"/>
    <w:rsid w:val="00796628"/>
    <w:rsid w:val="00796C45"/>
    <w:rsid w:val="00796D78"/>
    <w:rsid w:val="007A036C"/>
    <w:rsid w:val="007A0671"/>
    <w:rsid w:val="007A27B3"/>
    <w:rsid w:val="007A2ADC"/>
    <w:rsid w:val="007A3BE1"/>
    <w:rsid w:val="007A540B"/>
    <w:rsid w:val="007A596D"/>
    <w:rsid w:val="007A6BE7"/>
    <w:rsid w:val="007A70CA"/>
    <w:rsid w:val="007B296E"/>
    <w:rsid w:val="007B3A1B"/>
    <w:rsid w:val="007B3DB3"/>
    <w:rsid w:val="007B63D5"/>
    <w:rsid w:val="007C2E50"/>
    <w:rsid w:val="007C54DE"/>
    <w:rsid w:val="007C6357"/>
    <w:rsid w:val="007C65D3"/>
    <w:rsid w:val="007D1233"/>
    <w:rsid w:val="007D154E"/>
    <w:rsid w:val="007D231F"/>
    <w:rsid w:val="007D3424"/>
    <w:rsid w:val="007E0EE0"/>
    <w:rsid w:val="007E24A7"/>
    <w:rsid w:val="007E2911"/>
    <w:rsid w:val="007E2AFC"/>
    <w:rsid w:val="007E31B4"/>
    <w:rsid w:val="007E382F"/>
    <w:rsid w:val="007E6178"/>
    <w:rsid w:val="007E6327"/>
    <w:rsid w:val="007F154E"/>
    <w:rsid w:val="007F2084"/>
    <w:rsid w:val="007F2A12"/>
    <w:rsid w:val="007F48C5"/>
    <w:rsid w:val="007F6BC1"/>
    <w:rsid w:val="007F76FD"/>
    <w:rsid w:val="00800E8B"/>
    <w:rsid w:val="00803D01"/>
    <w:rsid w:val="00805A60"/>
    <w:rsid w:val="00805CC5"/>
    <w:rsid w:val="00807E27"/>
    <w:rsid w:val="008158C4"/>
    <w:rsid w:val="00816927"/>
    <w:rsid w:val="00820225"/>
    <w:rsid w:val="00820837"/>
    <w:rsid w:val="00820BF4"/>
    <w:rsid w:val="00820EED"/>
    <w:rsid w:val="0082161C"/>
    <w:rsid w:val="00821D14"/>
    <w:rsid w:val="008238FE"/>
    <w:rsid w:val="00826005"/>
    <w:rsid w:val="008265B7"/>
    <w:rsid w:val="008265DD"/>
    <w:rsid w:val="00832CAE"/>
    <w:rsid w:val="00834BD2"/>
    <w:rsid w:val="00836183"/>
    <w:rsid w:val="0084021F"/>
    <w:rsid w:val="008415FF"/>
    <w:rsid w:val="00841B1F"/>
    <w:rsid w:val="00841F78"/>
    <w:rsid w:val="00843DCC"/>
    <w:rsid w:val="00843E03"/>
    <w:rsid w:val="008440FC"/>
    <w:rsid w:val="0084411F"/>
    <w:rsid w:val="0084529F"/>
    <w:rsid w:val="00845316"/>
    <w:rsid w:val="008455B6"/>
    <w:rsid w:val="00846560"/>
    <w:rsid w:val="00846676"/>
    <w:rsid w:val="00846B4E"/>
    <w:rsid w:val="0085010B"/>
    <w:rsid w:val="00850152"/>
    <w:rsid w:val="00850FC8"/>
    <w:rsid w:val="008520A4"/>
    <w:rsid w:val="00852F0A"/>
    <w:rsid w:val="00857680"/>
    <w:rsid w:val="00860C9D"/>
    <w:rsid w:val="00861AA5"/>
    <w:rsid w:val="00861DE6"/>
    <w:rsid w:val="00861ECF"/>
    <w:rsid w:val="0086240E"/>
    <w:rsid w:val="00864F6B"/>
    <w:rsid w:val="008676F0"/>
    <w:rsid w:val="00867E16"/>
    <w:rsid w:val="0087322D"/>
    <w:rsid w:val="00873AA1"/>
    <w:rsid w:val="00874AAA"/>
    <w:rsid w:val="00877666"/>
    <w:rsid w:val="0088181F"/>
    <w:rsid w:val="00882609"/>
    <w:rsid w:val="00882733"/>
    <w:rsid w:val="00884CBD"/>
    <w:rsid w:val="00886E68"/>
    <w:rsid w:val="00891709"/>
    <w:rsid w:val="00891F63"/>
    <w:rsid w:val="00892D8F"/>
    <w:rsid w:val="00892D9B"/>
    <w:rsid w:val="00895FCD"/>
    <w:rsid w:val="00897CF3"/>
    <w:rsid w:val="008A0141"/>
    <w:rsid w:val="008A2670"/>
    <w:rsid w:val="008A3780"/>
    <w:rsid w:val="008A3C60"/>
    <w:rsid w:val="008A4771"/>
    <w:rsid w:val="008A49D9"/>
    <w:rsid w:val="008A50E5"/>
    <w:rsid w:val="008A53D7"/>
    <w:rsid w:val="008A6750"/>
    <w:rsid w:val="008A6C11"/>
    <w:rsid w:val="008B342B"/>
    <w:rsid w:val="008B4584"/>
    <w:rsid w:val="008B4A6D"/>
    <w:rsid w:val="008B4F2E"/>
    <w:rsid w:val="008B6A8C"/>
    <w:rsid w:val="008B7502"/>
    <w:rsid w:val="008C042E"/>
    <w:rsid w:val="008C1767"/>
    <w:rsid w:val="008C1B29"/>
    <w:rsid w:val="008C2021"/>
    <w:rsid w:val="008C212B"/>
    <w:rsid w:val="008C23D0"/>
    <w:rsid w:val="008C4AA5"/>
    <w:rsid w:val="008C4E77"/>
    <w:rsid w:val="008C57E3"/>
    <w:rsid w:val="008C5BC3"/>
    <w:rsid w:val="008C5D77"/>
    <w:rsid w:val="008C7A35"/>
    <w:rsid w:val="008D152B"/>
    <w:rsid w:val="008D1CD2"/>
    <w:rsid w:val="008D1F5D"/>
    <w:rsid w:val="008D34B9"/>
    <w:rsid w:val="008D3B9D"/>
    <w:rsid w:val="008D4320"/>
    <w:rsid w:val="008D4EBC"/>
    <w:rsid w:val="008D73C2"/>
    <w:rsid w:val="008D7A12"/>
    <w:rsid w:val="008E2A6B"/>
    <w:rsid w:val="008E3AAB"/>
    <w:rsid w:val="008E4A99"/>
    <w:rsid w:val="008E6C6E"/>
    <w:rsid w:val="008F006B"/>
    <w:rsid w:val="008F022B"/>
    <w:rsid w:val="008F1684"/>
    <w:rsid w:val="008F19A3"/>
    <w:rsid w:val="008F2245"/>
    <w:rsid w:val="008F2B23"/>
    <w:rsid w:val="008F4636"/>
    <w:rsid w:val="008F475F"/>
    <w:rsid w:val="00901B2A"/>
    <w:rsid w:val="009026DE"/>
    <w:rsid w:val="009046B1"/>
    <w:rsid w:val="00906991"/>
    <w:rsid w:val="00907509"/>
    <w:rsid w:val="00907C09"/>
    <w:rsid w:val="009132D0"/>
    <w:rsid w:val="0091354A"/>
    <w:rsid w:val="00917B3F"/>
    <w:rsid w:val="00920BF1"/>
    <w:rsid w:val="0092174E"/>
    <w:rsid w:val="00921938"/>
    <w:rsid w:val="009227D5"/>
    <w:rsid w:val="00922E29"/>
    <w:rsid w:val="009240F9"/>
    <w:rsid w:val="00924C54"/>
    <w:rsid w:val="00924CAA"/>
    <w:rsid w:val="0092515F"/>
    <w:rsid w:val="00925164"/>
    <w:rsid w:val="0092794D"/>
    <w:rsid w:val="009309D8"/>
    <w:rsid w:val="009337AF"/>
    <w:rsid w:val="00935E5A"/>
    <w:rsid w:val="00936CB8"/>
    <w:rsid w:val="0094183F"/>
    <w:rsid w:val="00943200"/>
    <w:rsid w:val="009454A6"/>
    <w:rsid w:val="00946102"/>
    <w:rsid w:val="009541AB"/>
    <w:rsid w:val="00954DBD"/>
    <w:rsid w:val="009565C8"/>
    <w:rsid w:val="00956B3A"/>
    <w:rsid w:val="00956D9E"/>
    <w:rsid w:val="0095746C"/>
    <w:rsid w:val="0095747A"/>
    <w:rsid w:val="009603D8"/>
    <w:rsid w:val="00960DE8"/>
    <w:rsid w:val="009622DF"/>
    <w:rsid w:val="00962C73"/>
    <w:rsid w:val="0096307D"/>
    <w:rsid w:val="009630DC"/>
    <w:rsid w:val="00963B38"/>
    <w:rsid w:val="00963D60"/>
    <w:rsid w:val="00963EAC"/>
    <w:rsid w:val="00966161"/>
    <w:rsid w:val="00966E14"/>
    <w:rsid w:val="00970CD9"/>
    <w:rsid w:val="00971667"/>
    <w:rsid w:val="0097183D"/>
    <w:rsid w:val="0097275D"/>
    <w:rsid w:val="00973361"/>
    <w:rsid w:val="0097397B"/>
    <w:rsid w:val="00974D5C"/>
    <w:rsid w:val="00974E5C"/>
    <w:rsid w:val="00975FFA"/>
    <w:rsid w:val="009764C9"/>
    <w:rsid w:val="009765E3"/>
    <w:rsid w:val="0097679D"/>
    <w:rsid w:val="009769B8"/>
    <w:rsid w:val="009809BA"/>
    <w:rsid w:val="00980CA9"/>
    <w:rsid w:val="00981023"/>
    <w:rsid w:val="0098295F"/>
    <w:rsid w:val="00982A8D"/>
    <w:rsid w:val="009838DB"/>
    <w:rsid w:val="00985B3D"/>
    <w:rsid w:val="00986000"/>
    <w:rsid w:val="0098723C"/>
    <w:rsid w:val="0098786B"/>
    <w:rsid w:val="00991630"/>
    <w:rsid w:val="009921FC"/>
    <w:rsid w:val="00992A2D"/>
    <w:rsid w:val="009935A4"/>
    <w:rsid w:val="0099441A"/>
    <w:rsid w:val="009955E2"/>
    <w:rsid w:val="00996CEE"/>
    <w:rsid w:val="009A19A8"/>
    <w:rsid w:val="009A2BE9"/>
    <w:rsid w:val="009A4589"/>
    <w:rsid w:val="009A6A73"/>
    <w:rsid w:val="009A79D7"/>
    <w:rsid w:val="009B0652"/>
    <w:rsid w:val="009B23D1"/>
    <w:rsid w:val="009B305B"/>
    <w:rsid w:val="009B7362"/>
    <w:rsid w:val="009C0D7D"/>
    <w:rsid w:val="009C0FFA"/>
    <w:rsid w:val="009C3958"/>
    <w:rsid w:val="009C3E55"/>
    <w:rsid w:val="009C62ED"/>
    <w:rsid w:val="009C6371"/>
    <w:rsid w:val="009C76AF"/>
    <w:rsid w:val="009C7B06"/>
    <w:rsid w:val="009D26BB"/>
    <w:rsid w:val="009D2A37"/>
    <w:rsid w:val="009D5FC4"/>
    <w:rsid w:val="009D600F"/>
    <w:rsid w:val="009D69D1"/>
    <w:rsid w:val="009D7318"/>
    <w:rsid w:val="009D7426"/>
    <w:rsid w:val="009D76EC"/>
    <w:rsid w:val="009E1139"/>
    <w:rsid w:val="009E1935"/>
    <w:rsid w:val="009E2CD8"/>
    <w:rsid w:val="009E3C70"/>
    <w:rsid w:val="009E4871"/>
    <w:rsid w:val="009E6DBD"/>
    <w:rsid w:val="009E7E00"/>
    <w:rsid w:val="009F26B3"/>
    <w:rsid w:val="009F2919"/>
    <w:rsid w:val="009F2929"/>
    <w:rsid w:val="009F39B1"/>
    <w:rsid w:val="009F3A0D"/>
    <w:rsid w:val="009F3A9D"/>
    <w:rsid w:val="009F3E71"/>
    <w:rsid w:val="009F51B4"/>
    <w:rsid w:val="009F6E76"/>
    <w:rsid w:val="009F6FF8"/>
    <w:rsid w:val="00A01E9D"/>
    <w:rsid w:val="00A021A5"/>
    <w:rsid w:val="00A02972"/>
    <w:rsid w:val="00A03ABE"/>
    <w:rsid w:val="00A04FB3"/>
    <w:rsid w:val="00A0609B"/>
    <w:rsid w:val="00A06C26"/>
    <w:rsid w:val="00A06FC6"/>
    <w:rsid w:val="00A0764E"/>
    <w:rsid w:val="00A1064F"/>
    <w:rsid w:val="00A1327D"/>
    <w:rsid w:val="00A134EB"/>
    <w:rsid w:val="00A1522C"/>
    <w:rsid w:val="00A15284"/>
    <w:rsid w:val="00A17933"/>
    <w:rsid w:val="00A2054E"/>
    <w:rsid w:val="00A31ABB"/>
    <w:rsid w:val="00A34CAC"/>
    <w:rsid w:val="00A357F6"/>
    <w:rsid w:val="00A36CC9"/>
    <w:rsid w:val="00A40FF3"/>
    <w:rsid w:val="00A41888"/>
    <w:rsid w:val="00A42678"/>
    <w:rsid w:val="00A45FBC"/>
    <w:rsid w:val="00A465EF"/>
    <w:rsid w:val="00A47A68"/>
    <w:rsid w:val="00A51E05"/>
    <w:rsid w:val="00A52976"/>
    <w:rsid w:val="00A54B9A"/>
    <w:rsid w:val="00A555DA"/>
    <w:rsid w:val="00A559BF"/>
    <w:rsid w:val="00A56E23"/>
    <w:rsid w:val="00A57A18"/>
    <w:rsid w:val="00A60CCC"/>
    <w:rsid w:val="00A62259"/>
    <w:rsid w:val="00A62310"/>
    <w:rsid w:val="00A625F7"/>
    <w:rsid w:val="00A6315E"/>
    <w:rsid w:val="00A63685"/>
    <w:rsid w:val="00A65901"/>
    <w:rsid w:val="00A66F49"/>
    <w:rsid w:val="00A671EA"/>
    <w:rsid w:val="00A6777E"/>
    <w:rsid w:val="00A67F96"/>
    <w:rsid w:val="00A71355"/>
    <w:rsid w:val="00A72372"/>
    <w:rsid w:val="00A728FA"/>
    <w:rsid w:val="00A73E19"/>
    <w:rsid w:val="00A7648C"/>
    <w:rsid w:val="00A81073"/>
    <w:rsid w:val="00A8493B"/>
    <w:rsid w:val="00A85AB6"/>
    <w:rsid w:val="00A85EE2"/>
    <w:rsid w:val="00A861FA"/>
    <w:rsid w:val="00A908E5"/>
    <w:rsid w:val="00A91301"/>
    <w:rsid w:val="00A91A0E"/>
    <w:rsid w:val="00A9217C"/>
    <w:rsid w:val="00A93F90"/>
    <w:rsid w:val="00A9653D"/>
    <w:rsid w:val="00AA1D73"/>
    <w:rsid w:val="00AA53EF"/>
    <w:rsid w:val="00AA55AA"/>
    <w:rsid w:val="00AA7917"/>
    <w:rsid w:val="00AB0C5A"/>
    <w:rsid w:val="00AB5867"/>
    <w:rsid w:val="00AB6A96"/>
    <w:rsid w:val="00AB7283"/>
    <w:rsid w:val="00AB78A3"/>
    <w:rsid w:val="00AC0D06"/>
    <w:rsid w:val="00AC328C"/>
    <w:rsid w:val="00AC34A1"/>
    <w:rsid w:val="00AC5B15"/>
    <w:rsid w:val="00AC6C1B"/>
    <w:rsid w:val="00AC6ED6"/>
    <w:rsid w:val="00AD0F78"/>
    <w:rsid w:val="00AD20DF"/>
    <w:rsid w:val="00AD2846"/>
    <w:rsid w:val="00AD3709"/>
    <w:rsid w:val="00AD4C95"/>
    <w:rsid w:val="00AD50B5"/>
    <w:rsid w:val="00AD597F"/>
    <w:rsid w:val="00AD7436"/>
    <w:rsid w:val="00AE1287"/>
    <w:rsid w:val="00AE21D2"/>
    <w:rsid w:val="00AE2C1D"/>
    <w:rsid w:val="00AE2F71"/>
    <w:rsid w:val="00AE4824"/>
    <w:rsid w:val="00AE4A2E"/>
    <w:rsid w:val="00AE545F"/>
    <w:rsid w:val="00AF0447"/>
    <w:rsid w:val="00AF2907"/>
    <w:rsid w:val="00AF6AF2"/>
    <w:rsid w:val="00B0068A"/>
    <w:rsid w:val="00B00758"/>
    <w:rsid w:val="00B009E8"/>
    <w:rsid w:val="00B00BE3"/>
    <w:rsid w:val="00B0122A"/>
    <w:rsid w:val="00B01425"/>
    <w:rsid w:val="00B01F13"/>
    <w:rsid w:val="00B01F70"/>
    <w:rsid w:val="00B0255A"/>
    <w:rsid w:val="00B03799"/>
    <w:rsid w:val="00B037E9"/>
    <w:rsid w:val="00B03CDC"/>
    <w:rsid w:val="00B06119"/>
    <w:rsid w:val="00B07087"/>
    <w:rsid w:val="00B0752F"/>
    <w:rsid w:val="00B10963"/>
    <w:rsid w:val="00B113F9"/>
    <w:rsid w:val="00B11693"/>
    <w:rsid w:val="00B116D8"/>
    <w:rsid w:val="00B132D7"/>
    <w:rsid w:val="00B144DF"/>
    <w:rsid w:val="00B14A32"/>
    <w:rsid w:val="00B14D4C"/>
    <w:rsid w:val="00B1722C"/>
    <w:rsid w:val="00B17841"/>
    <w:rsid w:val="00B1785F"/>
    <w:rsid w:val="00B2066E"/>
    <w:rsid w:val="00B211F3"/>
    <w:rsid w:val="00B23DE3"/>
    <w:rsid w:val="00B2404A"/>
    <w:rsid w:val="00B249A4"/>
    <w:rsid w:val="00B24CB2"/>
    <w:rsid w:val="00B25A8E"/>
    <w:rsid w:val="00B25B8D"/>
    <w:rsid w:val="00B25B9D"/>
    <w:rsid w:val="00B3094E"/>
    <w:rsid w:val="00B33B24"/>
    <w:rsid w:val="00B34CA2"/>
    <w:rsid w:val="00B354BE"/>
    <w:rsid w:val="00B35995"/>
    <w:rsid w:val="00B3662B"/>
    <w:rsid w:val="00B36910"/>
    <w:rsid w:val="00B36E40"/>
    <w:rsid w:val="00B37606"/>
    <w:rsid w:val="00B40AB4"/>
    <w:rsid w:val="00B413C5"/>
    <w:rsid w:val="00B419FF"/>
    <w:rsid w:val="00B42F47"/>
    <w:rsid w:val="00B4367A"/>
    <w:rsid w:val="00B449CE"/>
    <w:rsid w:val="00B44F5C"/>
    <w:rsid w:val="00B4553B"/>
    <w:rsid w:val="00B46B1E"/>
    <w:rsid w:val="00B546A2"/>
    <w:rsid w:val="00B55418"/>
    <w:rsid w:val="00B57878"/>
    <w:rsid w:val="00B608FA"/>
    <w:rsid w:val="00B60BF1"/>
    <w:rsid w:val="00B659A5"/>
    <w:rsid w:val="00B65AB3"/>
    <w:rsid w:val="00B65D47"/>
    <w:rsid w:val="00B673D4"/>
    <w:rsid w:val="00B67F71"/>
    <w:rsid w:val="00B67FE1"/>
    <w:rsid w:val="00B71284"/>
    <w:rsid w:val="00B71EF0"/>
    <w:rsid w:val="00B770A6"/>
    <w:rsid w:val="00B774FA"/>
    <w:rsid w:val="00B779B3"/>
    <w:rsid w:val="00B802F9"/>
    <w:rsid w:val="00B812CE"/>
    <w:rsid w:val="00B82D73"/>
    <w:rsid w:val="00B83308"/>
    <w:rsid w:val="00B86BCF"/>
    <w:rsid w:val="00B86D5E"/>
    <w:rsid w:val="00B87538"/>
    <w:rsid w:val="00B87626"/>
    <w:rsid w:val="00B92A0B"/>
    <w:rsid w:val="00B9357C"/>
    <w:rsid w:val="00B9747C"/>
    <w:rsid w:val="00BA01C4"/>
    <w:rsid w:val="00BA031A"/>
    <w:rsid w:val="00BA0375"/>
    <w:rsid w:val="00BA208B"/>
    <w:rsid w:val="00BA4A4E"/>
    <w:rsid w:val="00BA7665"/>
    <w:rsid w:val="00BB0CA1"/>
    <w:rsid w:val="00BB1740"/>
    <w:rsid w:val="00BB1884"/>
    <w:rsid w:val="00BB2178"/>
    <w:rsid w:val="00BB36D8"/>
    <w:rsid w:val="00BB59DB"/>
    <w:rsid w:val="00BB5C2D"/>
    <w:rsid w:val="00BB6F25"/>
    <w:rsid w:val="00BB702A"/>
    <w:rsid w:val="00BC0656"/>
    <w:rsid w:val="00BC1BAC"/>
    <w:rsid w:val="00BC1E22"/>
    <w:rsid w:val="00BC300C"/>
    <w:rsid w:val="00BC64BC"/>
    <w:rsid w:val="00BC79DC"/>
    <w:rsid w:val="00BD2EBA"/>
    <w:rsid w:val="00BD3B6D"/>
    <w:rsid w:val="00BD3BCE"/>
    <w:rsid w:val="00BD4782"/>
    <w:rsid w:val="00BD6BB8"/>
    <w:rsid w:val="00BD7947"/>
    <w:rsid w:val="00BE1BE9"/>
    <w:rsid w:val="00BE1D47"/>
    <w:rsid w:val="00BE370B"/>
    <w:rsid w:val="00BE5118"/>
    <w:rsid w:val="00BE748D"/>
    <w:rsid w:val="00BE762E"/>
    <w:rsid w:val="00BE7FE6"/>
    <w:rsid w:val="00BF4CD1"/>
    <w:rsid w:val="00BF5DF6"/>
    <w:rsid w:val="00BF6931"/>
    <w:rsid w:val="00BF6CBE"/>
    <w:rsid w:val="00C025BA"/>
    <w:rsid w:val="00C070AA"/>
    <w:rsid w:val="00C12DF5"/>
    <w:rsid w:val="00C146D9"/>
    <w:rsid w:val="00C1549B"/>
    <w:rsid w:val="00C159A8"/>
    <w:rsid w:val="00C15FD1"/>
    <w:rsid w:val="00C17960"/>
    <w:rsid w:val="00C22D79"/>
    <w:rsid w:val="00C22D98"/>
    <w:rsid w:val="00C23C4C"/>
    <w:rsid w:val="00C259AB"/>
    <w:rsid w:val="00C27359"/>
    <w:rsid w:val="00C2750F"/>
    <w:rsid w:val="00C346B4"/>
    <w:rsid w:val="00C37C0B"/>
    <w:rsid w:val="00C408AA"/>
    <w:rsid w:val="00C411F7"/>
    <w:rsid w:val="00C4343C"/>
    <w:rsid w:val="00C436B2"/>
    <w:rsid w:val="00C46EA5"/>
    <w:rsid w:val="00C476D8"/>
    <w:rsid w:val="00C5014D"/>
    <w:rsid w:val="00C506A3"/>
    <w:rsid w:val="00C50A65"/>
    <w:rsid w:val="00C50E27"/>
    <w:rsid w:val="00C522AC"/>
    <w:rsid w:val="00C53CC6"/>
    <w:rsid w:val="00C55C8A"/>
    <w:rsid w:val="00C614F6"/>
    <w:rsid w:val="00C61B55"/>
    <w:rsid w:val="00C61F12"/>
    <w:rsid w:val="00C63983"/>
    <w:rsid w:val="00C63A98"/>
    <w:rsid w:val="00C64F5A"/>
    <w:rsid w:val="00C65545"/>
    <w:rsid w:val="00C65658"/>
    <w:rsid w:val="00C66EE9"/>
    <w:rsid w:val="00C73FD7"/>
    <w:rsid w:val="00C74A26"/>
    <w:rsid w:val="00C74BCA"/>
    <w:rsid w:val="00C75D3B"/>
    <w:rsid w:val="00C76198"/>
    <w:rsid w:val="00C8005A"/>
    <w:rsid w:val="00C819E7"/>
    <w:rsid w:val="00C81B67"/>
    <w:rsid w:val="00C835EB"/>
    <w:rsid w:val="00C84341"/>
    <w:rsid w:val="00C84404"/>
    <w:rsid w:val="00C8588B"/>
    <w:rsid w:val="00C86D8C"/>
    <w:rsid w:val="00C8753C"/>
    <w:rsid w:val="00C87735"/>
    <w:rsid w:val="00C87E7D"/>
    <w:rsid w:val="00C901DE"/>
    <w:rsid w:val="00C9240A"/>
    <w:rsid w:val="00C95B89"/>
    <w:rsid w:val="00C95EE6"/>
    <w:rsid w:val="00C979FF"/>
    <w:rsid w:val="00C97EBF"/>
    <w:rsid w:val="00C97F8C"/>
    <w:rsid w:val="00CA3504"/>
    <w:rsid w:val="00CA7C5D"/>
    <w:rsid w:val="00CB0196"/>
    <w:rsid w:val="00CB04C1"/>
    <w:rsid w:val="00CB1440"/>
    <w:rsid w:val="00CB1759"/>
    <w:rsid w:val="00CB24FB"/>
    <w:rsid w:val="00CB2FCC"/>
    <w:rsid w:val="00CB5537"/>
    <w:rsid w:val="00CB6476"/>
    <w:rsid w:val="00CB72FF"/>
    <w:rsid w:val="00CC46CF"/>
    <w:rsid w:val="00CC5A57"/>
    <w:rsid w:val="00CD7661"/>
    <w:rsid w:val="00CE0C00"/>
    <w:rsid w:val="00CE1BAA"/>
    <w:rsid w:val="00CE38D7"/>
    <w:rsid w:val="00CE3F47"/>
    <w:rsid w:val="00CE70CB"/>
    <w:rsid w:val="00CE7815"/>
    <w:rsid w:val="00CF0B0C"/>
    <w:rsid w:val="00CF148C"/>
    <w:rsid w:val="00CF2489"/>
    <w:rsid w:val="00CF2B81"/>
    <w:rsid w:val="00CF4994"/>
    <w:rsid w:val="00CF4AD6"/>
    <w:rsid w:val="00CF5C1A"/>
    <w:rsid w:val="00D00195"/>
    <w:rsid w:val="00D00A55"/>
    <w:rsid w:val="00D05145"/>
    <w:rsid w:val="00D0678D"/>
    <w:rsid w:val="00D068C4"/>
    <w:rsid w:val="00D0706A"/>
    <w:rsid w:val="00D0779D"/>
    <w:rsid w:val="00D15577"/>
    <w:rsid w:val="00D156B5"/>
    <w:rsid w:val="00D15EE7"/>
    <w:rsid w:val="00D1600D"/>
    <w:rsid w:val="00D17A74"/>
    <w:rsid w:val="00D20002"/>
    <w:rsid w:val="00D212E2"/>
    <w:rsid w:val="00D213DA"/>
    <w:rsid w:val="00D23032"/>
    <w:rsid w:val="00D25D4E"/>
    <w:rsid w:val="00D3099E"/>
    <w:rsid w:val="00D31A53"/>
    <w:rsid w:val="00D33A19"/>
    <w:rsid w:val="00D341C2"/>
    <w:rsid w:val="00D3522F"/>
    <w:rsid w:val="00D358CE"/>
    <w:rsid w:val="00D35F37"/>
    <w:rsid w:val="00D369CB"/>
    <w:rsid w:val="00D42313"/>
    <w:rsid w:val="00D443C6"/>
    <w:rsid w:val="00D446E3"/>
    <w:rsid w:val="00D46EC1"/>
    <w:rsid w:val="00D51988"/>
    <w:rsid w:val="00D51F8B"/>
    <w:rsid w:val="00D5594A"/>
    <w:rsid w:val="00D57770"/>
    <w:rsid w:val="00D5796A"/>
    <w:rsid w:val="00D579FE"/>
    <w:rsid w:val="00D60A74"/>
    <w:rsid w:val="00D62467"/>
    <w:rsid w:val="00D625F2"/>
    <w:rsid w:val="00D62F10"/>
    <w:rsid w:val="00D67716"/>
    <w:rsid w:val="00D72395"/>
    <w:rsid w:val="00D725CB"/>
    <w:rsid w:val="00D7308A"/>
    <w:rsid w:val="00D73D96"/>
    <w:rsid w:val="00D80DCD"/>
    <w:rsid w:val="00D80E18"/>
    <w:rsid w:val="00D81AF8"/>
    <w:rsid w:val="00D8348C"/>
    <w:rsid w:val="00D850FE"/>
    <w:rsid w:val="00D85271"/>
    <w:rsid w:val="00D85389"/>
    <w:rsid w:val="00D90175"/>
    <w:rsid w:val="00D91ED7"/>
    <w:rsid w:val="00DA2E67"/>
    <w:rsid w:val="00DA4C48"/>
    <w:rsid w:val="00DA56F8"/>
    <w:rsid w:val="00DA640C"/>
    <w:rsid w:val="00DA64C5"/>
    <w:rsid w:val="00DA757E"/>
    <w:rsid w:val="00DB27C1"/>
    <w:rsid w:val="00DB2C26"/>
    <w:rsid w:val="00DB3115"/>
    <w:rsid w:val="00DB5822"/>
    <w:rsid w:val="00DB6168"/>
    <w:rsid w:val="00DB63BC"/>
    <w:rsid w:val="00DB6D39"/>
    <w:rsid w:val="00DB7E86"/>
    <w:rsid w:val="00DC0AF3"/>
    <w:rsid w:val="00DC1367"/>
    <w:rsid w:val="00DC1714"/>
    <w:rsid w:val="00DC1ABE"/>
    <w:rsid w:val="00DC2EA4"/>
    <w:rsid w:val="00DC4EFC"/>
    <w:rsid w:val="00DC614C"/>
    <w:rsid w:val="00DC66CF"/>
    <w:rsid w:val="00DD04EE"/>
    <w:rsid w:val="00DD1BEE"/>
    <w:rsid w:val="00DD2AFD"/>
    <w:rsid w:val="00DD303A"/>
    <w:rsid w:val="00DD3B08"/>
    <w:rsid w:val="00DD4BE5"/>
    <w:rsid w:val="00DE11D9"/>
    <w:rsid w:val="00DE146E"/>
    <w:rsid w:val="00DE30F2"/>
    <w:rsid w:val="00DE548A"/>
    <w:rsid w:val="00DE65AE"/>
    <w:rsid w:val="00DE6E4C"/>
    <w:rsid w:val="00DF05B0"/>
    <w:rsid w:val="00DF06A2"/>
    <w:rsid w:val="00DF1F6F"/>
    <w:rsid w:val="00DF2D24"/>
    <w:rsid w:val="00DF2F91"/>
    <w:rsid w:val="00DF3525"/>
    <w:rsid w:val="00DF3CF5"/>
    <w:rsid w:val="00DF5F62"/>
    <w:rsid w:val="00DF7062"/>
    <w:rsid w:val="00E00BDC"/>
    <w:rsid w:val="00E01DE1"/>
    <w:rsid w:val="00E0287A"/>
    <w:rsid w:val="00E04654"/>
    <w:rsid w:val="00E10A81"/>
    <w:rsid w:val="00E10C41"/>
    <w:rsid w:val="00E1101D"/>
    <w:rsid w:val="00E116B7"/>
    <w:rsid w:val="00E12E24"/>
    <w:rsid w:val="00E130A6"/>
    <w:rsid w:val="00E1628D"/>
    <w:rsid w:val="00E17454"/>
    <w:rsid w:val="00E174D8"/>
    <w:rsid w:val="00E17C00"/>
    <w:rsid w:val="00E2172F"/>
    <w:rsid w:val="00E21F7B"/>
    <w:rsid w:val="00E228DC"/>
    <w:rsid w:val="00E2557B"/>
    <w:rsid w:val="00E2747B"/>
    <w:rsid w:val="00E33DDE"/>
    <w:rsid w:val="00E33F60"/>
    <w:rsid w:val="00E341DA"/>
    <w:rsid w:val="00E35E52"/>
    <w:rsid w:val="00E364C6"/>
    <w:rsid w:val="00E3765C"/>
    <w:rsid w:val="00E378F3"/>
    <w:rsid w:val="00E42932"/>
    <w:rsid w:val="00E42A64"/>
    <w:rsid w:val="00E44A7F"/>
    <w:rsid w:val="00E4666F"/>
    <w:rsid w:val="00E524B4"/>
    <w:rsid w:val="00E53066"/>
    <w:rsid w:val="00E550F5"/>
    <w:rsid w:val="00E55E0E"/>
    <w:rsid w:val="00E565C8"/>
    <w:rsid w:val="00E6074A"/>
    <w:rsid w:val="00E61984"/>
    <w:rsid w:val="00E65CF2"/>
    <w:rsid w:val="00E661F6"/>
    <w:rsid w:val="00E67F19"/>
    <w:rsid w:val="00E70D24"/>
    <w:rsid w:val="00E725C9"/>
    <w:rsid w:val="00E72EC0"/>
    <w:rsid w:val="00E736B0"/>
    <w:rsid w:val="00E76D7A"/>
    <w:rsid w:val="00E77ABC"/>
    <w:rsid w:val="00E77FAE"/>
    <w:rsid w:val="00E812F2"/>
    <w:rsid w:val="00E819A1"/>
    <w:rsid w:val="00E8576F"/>
    <w:rsid w:val="00E902F0"/>
    <w:rsid w:val="00E904EB"/>
    <w:rsid w:val="00E94F2A"/>
    <w:rsid w:val="00EA1DB0"/>
    <w:rsid w:val="00EA3F88"/>
    <w:rsid w:val="00EA5CC3"/>
    <w:rsid w:val="00EA6B8B"/>
    <w:rsid w:val="00EA7551"/>
    <w:rsid w:val="00EB0196"/>
    <w:rsid w:val="00EB073C"/>
    <w:rsid w:val="00EB2A39"/>
    <w:rsid w:val="00EB3681"/>
    <w:rsid w:val="00EB5634"/>
    <w:rsid w:val="00EB6096"/>
    <w:rsid w:val="00EB6400"/>
    <w:rsid w:val="00EB6EC4"/>
    <w:rsid w:val="00EC1692"/>
    <w:rsid w:val="00EC1AF1"/>
    <w:rsid w:val="00EC4107"/>
    <w:rsid w:val="00EC489B"/>
    <w:rsid w:val="00EC578D"/>
    <w:rsid w:val="00ED0785"/>
    <w:rsid w:val="00ED6CA3"/>
    <w:rsid w:val="00ED6D1D"/>
    <w:rsid w:val="00ED7D72"/>
    <w:rsid w:val="00EE41F4"/>
    <w:rsid w:val="00EE4454"/>
    <w:rsid w:val="00EE4F3D"/>
    <w:rsid w:val="00EE5690"/>
    <w:rsid w:val="00EE5D55"/>
    <w:rsid w:val="00EF2532"/>
    <w:rsid w:val="00EF5BE5"/>
    <w:rsid w:val="00EF6179"/>
    <w:rsid w:val="00EF6920"/>
    <w:rsid w:val="00EF6AE7"/>
    <w:rsid w:val="00EF6D53"/>
    <w:rsid w:val="00F00188"/>
    <w:rsid w:val="00F032C2"/>
    <w:rsid w:val="00F040CB"/>
    <w:rsid w:val="00F05B70"/>
    <w:rsid w:val="00F0672D"/>
    <w:rsid w:val="00F06E4D"/>
    <w:rsid w:val="00F11767"/>
    <w:rsid w:val="00F12131"/>
    <w:rsid w:val="00F159BE"/>
    <w:rsid w:val="00F23AEE"/>
    <w:rsid w:val="00F27BFA"/>
    <w:rsid w:val="00F302F7"/>
    <w:rsid w:val="00F315CF"/>
    <w:rsid w:val="00F3562C"/>
    <w:rsid w:val="00F36B9F"/>
    <w:rsid w:val="00F3768C"/>
    <w:rsid w:val="00F40BC2"/>
    <w:rsid w:val="00F412D2"/>
    <w:rsid w:val="00F4180D"/>
    <w:rsid w:val="00F42997"/>
    <w:rsid w:val="00F45603"/>
    <w:rsid w:val="00F46AE1"/>
    <w:rsid w:val="00F478BF"/>
    <w:rsid w:val="00F521E2"/>
    <w:rsid w:val="00F52EA2"/>
    <w:rsid w:val="00F55872"/>
    <w:rsid w:val="00F56460"/>
    <w:rsid w:val="00F57041"/>
    <w:rsid w:val="00F57B63"/>
    <w:rsid w:val="00F6082F"/>
    <w:rsid w:val="00F62941"/>
    <w:rsid w:val="00F63752"/>
    <w:rsid w:val="00F64386"/>
    <w:rsid w:val="00F652FA"/>
    <w:rsid w:val="00F6602E"/>
    <w:rsid w:val="00F67D60"/>
    <w:rsid w:val="00F70C65"/>
    <w:rsid w:val="00F724EE"/>
    <w:rsid w:val="00F72A58"/>
    <w:rsid w:val="00F73310"/>
    <w:rsid w:val="00F74EBC"/>
    <w:rsid w:val="00F75096"/>
    <w:rsid w:val="00F75A8E"/>
    <w:rsid w:val="00F8036C"/>
    <w:rsid w:val="00F80CF4"/>
    <w:rsid w:val="00F80EF5"/>
    <w:rsid w:val="00F81ADA"/>
    <w:rsid w:val="00F825A9"/>
    <w:rsid w:val="00F8366E"/>
    <w:rsid w:val="00F847CC"/>
    <w:rsid w:val="00F85378"/>
    <w:rsid w:val="00F85536"/>
    <w:rsid w:val="00F85777"/>
    <w:rsid w:val="00F862D5"/>
    <w:rsid w:val="00F86476"/>
    <w:rsid w:val="00F8733F"/>
    <w:rsid w:val="00F947B3"/>
    <w:rsid w:val="00F9688D"/>
    <w:rsid w:val="00F96D2F"/>
    <w:rsid w:val="00F97BCA"/>
    <w:rsid w:val="00F97C66"/>
    <w:rsid w:val="00FA034E"/>
    <w:rsid w:val="00FA04A4"/>
    <w:rsid w:val="00FA3905"/>
    <w:rsid w:val="00FA3EB1"/>
    <w:rsid w:val="00FA5400"/>
    <w:rsid w:val="00FA5CB1"/>
    <w:rsid w:val="00FA6217"/>
    <w:rsid w:val="00FA6E1D"/>
    <w:rsid w:val="00FB16E5"/>
    <w:rsid w:val="00FB26C9"/>
    <w:rsid w:val="00FB5094"/>
    <w:rsid w:val="00FB5352"/>
    <w:rsid w:val="00FB5C08"/>
    <w:rsid w:val="00FB6602"/>
    <w:rsid w:val="00FC2004"/>
    <w:rsid w:val="00FC244C"/>
    <w:rsid w:val="00FC2F84"/>
    <w:rsid w:val="00FC3BC5"/>
    <w:rsid w:val="00FC527C"/>
    <w:rsid w:val="00FC5A97"/>
    <w:rsid w:val="00FC681B"/>
    <w:rsid w:val="00FC78EA"/>
    <w:rsid w:val="00FC7A37"/>
    <w:rsid w:val="00FD3D0C"/>
    <w:rsid w:val="00FD57E9"/>
    <w:rsid w:val="00FD795E"/>
    <w:rsid w:val="00FE01F1"/>
    <w:rsid w:val="00FE0841"/>
    <w:rsid w:val="00FE3FB1"/>
    <w:rsid w:val="00FE5CA0"/>
    <w:rsid w:val="00FE79C0"/>
    <w:rsid w:val="00FE79F5"/>
    <w:rsid w:val="00FF2633"/>
    <w:rsid w:val="00FF2702"/>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BB3C7E"/>
  <w15:docId w15:val="{ECF5E42A-DACE-47AE-B6EE-14CB9639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17C"/>
    <w:rPr>
      <w:rFonts w:ascii="Times New Roman" w:hAnsi="Times New Roman" w:cs="Times New Roman"/>
    </w:rPr>
  </w:style>
  <w:style w:type="paragraph" w:styleId="Heading1">
    <w:name w:val="heading 1"/>
    <w:basedOn w:val="Normal"/>
    <w:next w:val="Normal"/>
    <w:link w:val="Heading1Char"/>
    <w:uiPriority w:val="9"/>
    <w:qFormat/>
    <w:rsid w:val="0094183F"/>
    <w:pPr>
      <w:keepNext/>
      <w:keepLines/>
      <w:pageBreakBefore/>
      <w:numPr>
        <w:numId w:val="29"/>
      </w:numPr>
      <w:spacing w:before="28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29"/>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3C29DB"/>
    <w:pPr>
      <w:numPr>
        <w:ilvl w:val="2"/>
        <w:numId w:val="29"/>
      </w:numPr>
      <w:tabs>
        <w:tab w:val="left" w:pos="709"/>
      </w:tabs>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29"/>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29"/>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AD0F78"/>
    <w:pPr>
      <w:keepNext/>
      <w:keepLines/>
      <w:numPr>
        <w:ilvl w:val="5"/>
        <w:numId w:val="29"/>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C71A6"/>
    <w:pPr>
      <w:spacing w:before="2000" w:after="120" w:line="240" w:lineRule="auto"/>
    </w:pPr>
    <w:rPr>
      <w:rFonts w:eastAsia="Times New Roman"/>
      <w:b/>
      <w:caps/>
      <w:sz w:val="36"/>
      <w:szCs w:val="36"/>
      <w:lang w:val="en-US"/>
    </w:rPr>
  </w:style>
  <w:style w:type="character" w:customStyle="1" w:styleId="TitleChar">
    <w:name w:val="Title Char"/>
    <w:basedOn w:val="DefaultParagraphFont"/>
    <w:link w:val="Title"/>
    <w:rsid w:val="000C71A6"/>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lang w:val="en-US"/>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A9217C"/>
    <w:pPr>
      <w:spacing w:before="480" w:after="0" w:line="240" w:lineRule="auto"/>
    </w:pPr>
    <w:rPr>
      <w:rFonts w:eastAsia="Times New Roman"/>
      <w:b/>
      <w:sz w:val="40"/>
      <w:szCs w:val="20"/>
      <w:lang w:val="en-US" w:eastAsia="en-AU"/>
    </w:rPr>
  </w:style>
  <w:style w:type="paragraph" w:customStyle="1" w:styleId="Note">
    <w:name w:val="Note"/>
    <w:basedOn w:val="Definition"/>
    <w:link w:val="NoteChar"/>
    <w:qFormat/>
    <w:rsid w:val="003C29DB"/>
    <w:pPr>
      <w:tabs>
        <w:tab w:val="left" w:pos="2127"/>
      </w:tabs>
      <w:ind w:left="2127" w:hanging="993"/>
    </w:pPr>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8C5D77"/>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Start">
    <w:name w:val="SignCoverPageStart"/>
    <w:basedOn w:val="Normal"/>
    <w:next w:val="Normal"/>
    <w:rsid w:val="008C5D77"/>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525BE2"/>
    <w:pPr>
      <w:keepNext/>
      <w:tabs>
        <w:tab w:val="left" w:pos="880"/>
      </w:tabs>
      <w:ind w:left="0" w:firstLine="0"/>
    </w:pPr>
    <w:rPr>
      <w:bCs/>
      <w:sz w:val="24"/>
      <w:szCs w:val="24"/>
    </w:rPr>
  </w:style>
  <w:style w:type="paragraph" w:styleId="TOC2">
    <w:name w:val="toc 2"/>
    <w:basedOn w:val="TOC3"/>
    <w:next w:val="Normal"/>
    <w:uiPriority w:val="39"/>
    <w:unhideWhenUsed/>
    <w:rsid w:val="00525BE2"/>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94183F"/>
    <w:rPr>
      <w:rFonts w:ascii="Times New Roman" w:eastAsia="Times New Roman" w:hAnsi="Times New Roman" w:cs="Times New Roman"/>
      <w:b/>
      <w:kern w:val="28"/>
      <w:sz w:val="32"/>
      <w:szCs w:val="20"/>
      <w:lang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eastAsia="en-AU"/>
    </w:rPr>
  </w:style>
  <w:style w:type="character" w:customStyle="1" w:styleId="Heading3Char">
    <w:name w:val="Heading 3 Char"/>
    <w:basedOn w:val="DefaultParagraphFont"/>
    <w:link w:val="Heading3"/>
    <w:uiPriority w:val="9"/>
    <w:rsid w:val="003C29DB"/>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AD0F78"/>
    <w:rPr>
      <w:rFonts w:ascii="Times New Roman" w:eastAsiaTheme="majorEastAsia" w:hAnsi="Times New Roman" w:cs="Times New Roman"/>
      <w:iC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rPr>
  </w:style>
  <w:style w:type="paragraph" w:customStyle="1" w:styleId="Scheduletitle">
    <w:name w:val="Schedule title"/>
    <w:basedOn w:val="Normal"/>
    <w:next w:val="Normal"/>
    <w:rsid w:val="000637CF"/>
    <w:pPr>
      <w:pageBreakBefore/>
    </w:pPr>
    <w:rPr>
      <w:rFonts w:eastAsia="Calibri"/>
      <w:b/>
      <w:sz w:val="36"/>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846560"/>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lang w:val="en-US"/>
    </w:rPr>
  </w:style>
  <w:style w:type="paragraph" w:styleId="TOC3">
    <w:name w:val="toc 3"/>
    <w:basedOn w:val="TOC5"/>
    <w:next w:val="Normal"/>
    <w:autoRedefine/>
    <w:uiPriority w:val="39"/>
    <w:unhideWhenUsed/>
    <w:rsid w:val="00525BE2"/>
    <w:pPr>
      <w:tabs>
        <w:tab w:val="left" w:pos="2268"/>
        <w:tab w:val="right" w:leader="dot" w:pos="8303"/>
      </w:tabs>
      <w:ind w:left="2268" w:hanging="850"/>
    </w:pPr>
    <w:rPr>
      <w:iCs/>
      <w:noProof/>
      <w:lang w:val="en-US"/>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30"/>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C29DB"/>
    <w:rPr>
      <w:rFonts w:ascii="Times New Roman" w:eastAsia="Times New Roman" w:hAnsi="Times New Roman" w:cs="Times New Roman"/>
      <w:sz w:val="18"/>
      <w:szCs w:val="18"/>
      <w:lang w:eastAsia="en-AU"/>
    </w:rPr>
  </w:style>
  <w:style w:type="character" w:customStyle="1" w:styleId="CharPartNo">
    <w:name w:val="CharPartNo"/>
    <w:basedOn w:val="DefaultParagraphFont"/>
    <w:qFormat/>
    <w:rsid w:val="005E08D4"/>
  </w:style>
  <w:style w:type="character" w:customStyle="1" w:styleId="CharPartText">
    <w:name w:val="CharPartText"/>
    <w:basedOn w:val="DefaultParagraphFont"/>
    <w:qFormat/>
    <w:rsid w:val="005E08D4"/>
  </w:style>
  <w:style w:type="paragraph" w:customStyle="1" w:styleId="ActHead2">
    <w:name w:val="ActHead 2"/>
    <w:aliases w:val="p"/>
    <w:basedOn w:val="Normal"/>
    <w:next w:val="Normal"/>
    <w:qFormat/>
    <w:rsid w:val="005E08D4"/>
    <w:pPr>
      <w:keepNext/>
      <w:keepLines/>
      <w:spacing w:before="280" w:after="0" w:line="240" w:lineRule="auto"/>
      <w:ind w:left="1134" w:hanging="1134"/>
      <w:outlineLvl w:val="1"/>
    </w:pPr>
    <w:rPr>
      <w:rFonts w:eastAsia="Times New Roman"/>
      <w:b/>
      <w:kern w:val="28"/>
      <w:sz w:val="32"/>
      <w:szCs w:val="20"/>
      <w:lang w:eastAsia="en-AU"/>
    </w:rPr>
  </w:style>
  <w:style w:type="paragraph" w:customStyle="1" w:styleId="ActHead5">
    <w:name w:val="ActHead 5"/>
    <w:aliases w:val="s"/>
    <w:basedOn w:val="Normal"/>
    <w:next w:val="subsection"/>
    <w:qFormat/>
    <w:rsid w:val="005E08D4"/>
    <w:pPr>
      <w:keepNext/>
      <w:keepLines/>
      <w:spacing w:before="280" w:after="0" w:line="240" w:lineRule="auto"/>
      <w:ind w:left="1134" w:hanging="1134"/>
      <w:outlineLvl w:val="4"/>
    </w:pPr>
    <w:rPr>
      <w:rFonts w:eastAsia="Times New Roman"/>
      <w:b/>
      <w:kern w:val="28"/>
      <w:sz w:val="24"/>
      <w:szCs w:val="20"/>
      <w:lang w:eastAsia="en-AU"/>
    </w:rPr>
  </w:style>
  <w:style w:type="paragraph" w:customStyle="1" w:styleId="paragraph">
    <w:name w:val="paragraph"/>
    <w:aliases w:val="a"/>
    <w:basedOn w:val="Normal"/>
    <w:link w:val="paragraphChar"/>
    <w:rsid w:val="005E08D4"/>
    <w:pPr>
      <w:tabs>
        <w:tab w:val="right" w:pos="1531"/>
      </w:tabs>
      <w:spacing w:before="40" w:after="0" w:line="240" w:lineRule="auto"/>
      <w:ind w:left="1644" w:hanging="1644"/>
    </w:pPr>
    <w:rPr>
      <w:rFonts w:eastAsia="Times New Roman"/>
      <w:szCs w:val="20"/>
      <w:lang w:eastAsia="en-AU"/>
    </w:rPr>
  </w:style>
  <w:style w:type="paragraph" w:customStyle="1" w:styleId="paragraphsub">
    <w:name w:val="paragraph(sub)"/>
    <w:aliases w:val="aa"/>
    <w:basedOn w:val="Normal"/>
    <w:rsid w:val="005E08D4"/>
    <w:pPr>
      <w:tabs>
        <w:tab w:val="right" w:pos="1985"/>
      </w:tabs>
      <w:spacing w:before="40" w:after="0" w:line="240" w:lineRule="auto"/>
      <w:ind w:left="2098" w:hanging="2098"/>
    </w:pPr>
    <w:rPr>
      <w:rFonts w:eastAsia="Times New Roman"/>
      <w:szCs w:val="20"/>
      <w:lang w:eastAsia="en-AU"/>
    </w:rPr>
  </w:style>
  <w:style w:type="character" w:customStyle="1" w:styleId="paragraphChar">
    <w:name w:val="paragraph Char"/>
    <w:aliases w:val="a Char"/>
    <w:link w:val="paragraph"/>
    <w:rsid w:val="005E08D4"/>
    <w:rPr>
      <w:rFonts w:ascii="Times New Roman" w:eastAsia="Times New Roman" w:hAnsi="Times New Roman" w:cs="Times New Roman"/>
      <w:szCs w:val="20"/>
      <w:lang w:eastAsia="en-AU"/>
    </w:rPr>
  </w:style>
  <w:style w:type="paragraph" w:customStyle="1" w:styleId="SignCoverPageLine">
    <w:name w:val="SignCoverPageLine"/>
    <w:basedOn w:val="Normal"/>
    <w:next w:val="Normal"/>
    <w:rsid w:val="00A9217C"/>
    <w:pPr>
      <w:pBdr>
        <w:top w:val="single" w:sz="4" w:space="1" w:color="auto"/>
      </w:pBdr>
      <w:spacing w:before="360" w:after="0" w:line="260" w:lineRule="atLeast"/>
      <w:ind w:right="397"/>
      <w:jc w:val="both"/>
    </w:pPr>
    <w:rPr>
      <w:rFonts w:eastAsia="Times New Roman"/>
      <w:szCs w:val="20"/>
      <w:lang w:val="en-US" w:eastAsia="en-AU"/>
    </w:rPr>
  </w:style>
  <w:style w:type="paragraph" w:customStyle="1" w:styleId="SignCoverPageSign">
    <w:name w:val="SignCoverPageSign"/>
    <w:basedOn w:val="Body"/>
    <w:link w:val="SignCoverPageSignChar"/>
    <w:qFormat/>
    <w:rsid w:val="00A9217C"/>
    <w:pPr>
      <w:spacing w:before="1080"/>
      <w:contextualSpacing/>
    </w:pPr>
    <w:rPr>
      <w:rFonts w:ascii="Times New Roman" w:hAnsi="Times New Roman" w:cs="Times New Roman"/>
    </w:rPr>
  </w:style>
  <w:style w:type="character" w:customStyle="1" w:styleId="SignCoverPageSignChar">
    <w:name w:val="SignCoverPageSign Char"/>
    <w:basedOn w:val="BodyChar1"/>
    <w:link w:val="SignCoverPageSign"/>
    <w:rsid w:val="00A9217C"/>
    <w:rPr>
      <w:rFonts w:ascii="Times New Roman" w:eastAsia="Times New Roman" w:hAnsi="Times New Roman" w:cs="Times New Roman"/>
      <w:sz w:val="20"/>
      <w:szCs w:val="20"/>
    </w:rPr>
  </w:style>
  <w:style w:type="paragraph" w:customStyle="1" w:styleId="EndRule">
    <w:name w:val="EndRule"/>
    <w:basedOn w:val="Note"/>
    <w:link w:val="EndRuleChar"/>
    <w:qFormat/>
    <w:rsid w:val="00F73310"/>
    <w:pPr>
      <w:pBdr>
        <w:bottom w:val="double" w:sz="4" w:space="1" w:color="auto"/>
      </w:pBdr>
      <w:ind w:right="1371"/>
    </w:pPr>
    <w:rPr>
      <w:sz w:val="22"/>
    </w:rPr>
  </w:style>
  <w:style w:type="character" w:customStyle="1" w:styleId="EndRuleChar">
    <w:name w:val="EndRule Char"/>
    <w:basedOn w:val="NoteChar"/>
    <w:link w:val="EndRule"/>
    <w:rsid w:val="00F73310"/>
    <w:rPr>
      <w:rFonts w:ascii="Times New Roman" w:eastAsia="Times New Roman" w:hAnsi="Times New Roman" w:cs="Times New Roman"/>
      <w:sz w:val="18"/>
      <w:szCs w:val="18"/>
      <w:lang w:eastAsia="en-AU"/>
    </w:rPr>
  </w:style>
  <w:style w:type="paragraph" w:customStyle="1" w:styleId="ActHead1">
    <w:name w:val="ActHead 1"/>
    <w:aliases w:val="c"/>
    <w:basedOn w:val="Normal"/>
    <w:next w:val="Normal"/>
    <w:qFormat/>
    <w:rsid w:val="005B4ADA"/>
    <w:pPr>
      <w:keepNext/>
      <w:keepLines/>
      <w:spacing w:after="0" w:line="240" w:lineRule="auto"/>
      <w:ind w:left="1134" w:hanging="1134"/>
      <w:outlineLvl w:val="0"/>
    </w:pPr>
    <w:rPr>
      <w:rFonts w:eastAsia="Times New Roman"/>
      <w:b/>
      <w:kern w:val="28"/>
      <w:sz w:val="36"/>
      <w:szCs w:val="20"/>
      <w:lang w:eastAsia="en-AU"/>
    </w:rPr>
  </w:style>
  <w:style w:type="character" w:customStyle="1" w:styleId="CharChapNo">
    <w:name w:val="CharChapNo"/>
    <w:basedOn w:val="DefaultParagraphFont"/>
    <w:qFormat/>
    <w:rsid w:val="005B4ADA"/>
  </w:style>
  <w:style w:type="character" w:customStyle="1" w:styleId="CharChapText">
    <w:name w:val="CharChapText"/>
    <w:basedOn w:val="DefaultParagraphFont"/>
    <w:qFormat/>
    <w:rsid w:val="005B4ADA"/>
  </w:style>
  <w:style w:type="character" w:customStyle="1" w:styleId="CharDivNo">
    <w:name w:val="CharDivNo"/>
    <w:basedOn w:val="DefaultParagraphFont"/>
    <w:qFormat/>
    <w:rsid w:val="005B4ADA"/>
  </w:style>
  <w:style w:type="character" w:customStyle="1" w:styleId="CharDivText">
    <w:name w:val="CharDivText"/>
    <w:basedOn w:val="DefaultParagraphFont"/>
    <w:qFormat/>
    <w:rsid w:val="005B4ADA"/>
  </w:style>
  <w:style w:type="paragraph" w:customStyle="1" w:styleId="Tablea">
    <w:name w:val="Table(a)"/>
    <w:aliases w:val="ta"/>
    <w:basedOn w:val="Normal"/>
    <w:rsid w:val="005B4ADA"/>
    <w:pPr>
      <w:spacing w:before="60" w:after="0" w:line="240" w:lineRule="auto"/>
      <w:ind w:left="284" w:hanging="284"/>
    </w:pPr>
    <w:rPr>
      <w:rFonts w:eastAsia="Times New Roman"/>
      <w:sz w:val="20"/>
      <w:szCs w:val="20"/>
      <w:lang w:eastAsia="en-AU"/>
    </w:rPr>
  </w:style>
  <w:style w:type="paragraph" w:customStyle="1" w:styleId="Tabletext">
    <w:name w:val="Tabletext"/>
    <w:aliases w:val="tt"/>
    <w:basedOn w:val="Normal"/>
    <w:rsid w:val="005B4ADA"/>
    <w:pPr>
      <w:spacing w:before="60" w:after="0" w:line="240" w:lineRule="atLeast"/>
    </w:pPr>
    <w:rPr>
      <w:rFonts w:eastAsia="Times New Roman"/>
      <w:sz w:val="20"/>
      <w:szCs w:val="20"/>
      <w:lang w:eastAsia="en-AU"/>
    </w:rPr>
  </w:style>
  <w:style w:type="paragraph" w:customStyle="1" w:styleId="TableHeading">
    <w:name w:val="TableHeading"/>
    <w:aliases w:val="th"/>
    <w:basedOn w:val="Normal"/>
    <w:next w:val="Tabletext"/>
    <w:rsid w:val="005B4ADA"/>
    <w:pPr>
      <w:keepNext/>
      <w:spacing w:before="60" w:after="0" w:line="240" w:lineRule="atLeast"/>
    </w:pPr>
    <w:rPr>
      <w:rFonts w:eastAsia="Times New Roman"/>
      <w:b/>
      <w:sz w:val="20"/>
      <w:szCs w:val="20"/>
      <w:lang w:eastAsia="en-AU"/>
    </w:rPr>
  </w:style>
  <w:style w:type="paragraph" w:customStyle="1" w:styleId="SignCoverPageText">
    <w:name w:val="SignCoverPageText"/>
    <w:basedOn w:val="SignCoverPageLine"/>
    <w:link w:val="SignCoverPageTextChar"/>
    <w:qFormat/>
    <w:rsid w:val="0020133F"/>
    <w:pPr>
      <w:spacing w:before="0" w:after="360"/>
    </w:pPr>
  </w:style>
  <w:style w:type="character" w:customStyle="1" w:styleId="SignCoverPageTextChar">
    <w:name w:val="SignCoverPageText Char"/>
    <w:basedOn w:val="DefaultParagraphFont"/>
    <w:link w:val="SignCoverPageText"/>
    <w:rsid w:val="0020133F"/>
    <w:rPr>
      <w:rFonts w:ascii="Times New Roman" w:eastAsia="Times New Roman" w:hAnsi="Times New Roman" w:cs="Times New Roman"/>
      <w:szCs w:val="20"/>
      <w:lang w:val="en-US" w:eastAsia="en-AU"/>
    </w:rPr>
  </w:style>
  <w:style w:type="paragraph" w:styleId="ListParagraph">
    <w:name w:val="List Paragraph"/>
    <w:basedOn w:val="Normal"/>
    <w:uiPriority w:val="34"/>
    <w:qFormat/>
    <w:rsid w:val="00F0672D"/>
    <w:pPr>
      <w:ind w:left="720"/>
      <w:contextualSpacing/>
    </w:pPr>
  </w:style>
  <w:style w:type="paragraph" w:customStyle="1" w:styleId="SubsectionHead">
    <w:name w:val="SubsectionHead"/>
    <w:aliases w:val="ssh"/>
    <w:basedOn w:val="Normal"/>
    <w:next w:val="subsection"/>
    <w:rsid w:val="00065758"/>
    <w:pPr>
      <w:keepNext/>
      <w:keepLines/>
      <w:spacing w:before="240" w:after="0" w:line="240" w:lineRule="auto"/>
      <w:ind w:left="1134"/>
    </w:pPr>
    <w:rPr>
      <w:rFonts w:eastAsia="Times New Roman"/>
      <w:i/>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4679">
      <w:bodyDiv w:val="1"/>
      <w:marLeft w:val="0"/>
      <w:marRight w:val="0"/>
      <w:marTop w:val="0"/>
      <w:marBottom w:val="0"/>
      <w:divBdr>
        <w:top w:val="none" w:sz="0" w:space="0" w:color="auto"/>
        <w:left w:val="none" w:sz="0" w:space="0" w:color="auto"/>
        <w:bottom w:val="none" w:sz="0" w:space="0" w:color="auto"/>
        <w:right w:val="none" w:sz="0" w:space="0" w:color="auto"/>
      </w:divBdr>
    </w:div>
    <w:div w:id="9853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DCBA9-B71C-4700-8686-4CF07A44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Sloan</dc:creator>
  <cp:keywords/>
  <cp:lastModifiedBy>Megan Easton</cp:lastModifiedBy>
  <cp:revision>2</cp:revision>
  <cp:lastPrinted>2021-01-24T23:43:00Z</cp:lastPrinted>
  <dcterms:created xsi:type="dcterms:W3CDTF">2021-02-28T23:36:00Z</dcterms:created>
  <dcterms:modified xsi:type="dcterms:W3CDTF">2021-02-28T23:36:00Z</dcterms:modified>
</cp:coreProperties>
</file>