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B390F" w14:textId="77777777" w:rsidR="007C75E4" w:rsidRDefault="007C75E4">
      <w:pPr>
        <w:spacing w:after="160" w:line="259" w:lineRule="auto"/>
        <w:rPr>
          <w:b/>
          <w:caps/>
          <w:sz w:val="24"/>
          <w:szCs w:val="24"/>
          <w:u w:val="single"/>
          <w:lang w:val="en-AU"/>
        </w:rPr>
      </w:pPr>
    </w:p>
    <w:p w14:paraId="4C1CDA40" w14:textId="77777777" w:rsidR="007C75E4" w:rsidRDefault="007C75E4">
      <w:pPr>
        <w:spacing w:after="160" w:line="259" w:lineRule="auto"/>
        <w:rPr>
          <w:b/>
          <w:caps/>
          <w:sz w:val="24"/>
          <w:szCs w:val="24"/>
          <w:u w:val="single"/>
          <w:lang w:val="en-AU"/>
        </w:rPr>
      </w:pPr>
    </w:p>
    <w:p w14:paraId="10E7F8BD" w14:textId="77777777" w:rsidR="007C75E4" w:rsidRDefault="007C75E4">
      <w:pPr>
        <w:spacing w:after="160" w:line="259" w:lineRule="auto"/>
        <w:rPr>
          <w:b/>
          <w:caps/>
          <w:sz w:val="24"/>
          <w:szCs w:val="24"/>
          <w:u w:val="single"/>
          <w:lang w:val="en-AU"/>
        </w:rPr>
      </w:pPr>
    </w:p>
    <w:p w14:paraId="0775E260" w14:textId="77777777" w:rsidR="007C75E4" w:rsidRDefault="007C75E4">
      <w:pPr>
        <w:spacing w:after="160" w:line="259" w:lineRule="auto"/>
        <w:rPr>
          <w:b/>
          <w:caps/>
          <w:sz w:val="24"/>
          <w:szCs w:val="24"/>
          <w:u w:val="single"/>
          <w:lang w:val="en-AU"/>
        </w:rPr>
      </w:pPr>
    </w:p>
    <w:p w14:paraId="78795C89" w14:textId="77777777" w:rsidR="007C75E4" w:rsidRDefault="007C75E4">
      <w:pPr>
        <w:spacing w:after="160" w:line="259" w:lineRule="auto"/>
        <w:rPr>
          <w:b/>
          <w:caps/>
          <w:sz w:val="24"/>
          <w:szCs w:val="24"/>
          <w:u w:val="single"/>
          <w:lang w:val="en-AU"/>
        </w:rPr>
      </w:pPr>
    </w:p>
    <w:p w14:paraId="3B8F2B60" w14:textId="77777777" w:rsidR="007C75E4" w:rsidRDefault="007C75E4">
      <w:pPr>
        <w:spacing w:after="160" w:line="259" w:lineRule="auto"/>
        <w:rPr>
          <w:b/>
          <w:caps/>
          <w:sz w:val="24"/>
          <w:szCs w:val="24"/>
          <w:u w:val="single"/>
          <w:lang w:val="en-AU"/>
        </w:rPr>
      </w:pPr>
    </w:p>
    <w:p w14:paraId="069A6694" w14:textId="77777777" w:rsidR="007C75E4" w:rsidRDefault="007C75E4">
      <w:pPr>
        <w:spacing w:after="160" w:line="259" w:lineRule="auto"/>
        <w:rPr>
          <w:b/>
          <w:caps/>
          <w:sz w:val="24"/>
          <w:szCs w:val="24"/>
          <w:u w:val="single"/>
          <w:lang w:val="en-AU"/>
        </w:rPr>
      </w:pPr>
    </w:p>
    <w:p w14:paraId="7CE64DB9" w14:textId="77777777" w:rsidR="007C75E4" w:rsidRDefault="007C75E4" w:rsidP="007C75E4">
      <w:pPr>
        <w:spacing w:after="160" w:line="259" w:lineRule="auto"/>
        <w:jc w:val="center"/>
        <w:rPr>
          <w:b/>
          <w:i/>
          <w:caps/>
          <w:sz w:val="24"/>
          <w:szCs w:val="24"/>
          <w:lang w:val="en-AU"/>
        </w:rPr>
      </w:pPr>
    </w:p>
    <w:p w14:paraId="0F732ADC" w14:textId="77777777" w:rsidR="007C75E4" w:rsidRDefault="007C75E4" w:rsidP="007C75E4">
      <w:pPr>
        <w:spacing w:after="160" w:line="259" w:lineRule="auto"/>
        <w:jc w:val="center"/>
        <w:rPr>
          <w:b/>
          <w:i/>
          <w:caps/>
          <w:sz w:val="24"/>
          <w:szCs w:val="24"/>
          <w:lang w:val="en-AU"/>
        </w:rPr>
      </w:pPr>
    </w:p>
    <w:p w14:paraId="76A6D6C8" w14:textId="77777777" w:rsidR="007C75E4" w:rsidRDefault="007C75E4" w:rsidP="007C75E4">
      <w:pPr>
        <w:spacing w:after="160" w:line="259" w:lineRule="auto"/>
        <w:jc w:val="center"/>
        <w:rPr>
          <w:b/>
          <w:i/>
          <w:caps/>
          <w:sz w:val="24"/>
          <w:szCs w:val="24"/>
          <w:lang w:val="en-AU"/>
        </w:rPr>
      </w:pPr>
    </w:p>
    <w:p w14:paraId="58B7507F" w14:textId="77777777" w:rsidR="007C75E4" w:rsidRDefault="007C75E4" w:rsidP="007C75E4">
      <w:pPr>
        <w:spacing w:after="160" w:line="259" w:lineRule="auto"/>
        <w:jc w:val="center"/>
        <w:rPr>
          <w:b/>
          <w:i/>
          <w:caps/>
          <w:sz w:val="24"/>
          <w:szCs w:val="24"/>
          <w:lang w:val="en-AU"/>
        </w:rPr>
      </w:pPr>
    </w:p>
    <w:p w14:paraId="39E204A2" w14:textId="3D265364" w:rsidR="007C75E4" w:rsidRDefault="007C75E4" w:rsidP="007C75E4">
      <w:pPr>
        <w:spacing w:after="160" w:line="259" w:lineRule="auto"/>
        <w:jc w:val="center"/>
        <w:rPr>
          <w:b/>
          <w:i/>
          <w:caps/>
          <w:sz w:val="24"/>
          <w:szCs w:val="24"/>
          <w:lang w:val="en-AU"/>
        </w:rPr>
      </w:pPr>
      <w:r w:rsidRPr="007C75E4">
        <w:rPr>
          <w:b/>
          <w:i/>
          <w:caps/>
          <w:sz w:val="24"/>
          <w:szCs w:val="24"/>
          <w:lang w:val="en-AU"/>
        </w:rPr>
        <w:t>AUSTRALIA’S fOREIGN</w:t>
      </w:r>
      <w:r>
        <w:rPr>
          <w:b/>
          <w:i/>
          <w:caps/>
          <w:sz w:val="24"/>
          <w:szCs w:val="24"/>
          <w:lang w:val="en-AU"/>
        </w:rPr>
        <w:t xml:space="preserve"> RELATIONS (sTATE AND tERRITORY </w:t>
      </w:r>
      <w:r w:rsidRPr="007C75E4">
        <w:rPr>
          <w:b/>
          <w:i/>
          <w:caps/>
          <w:sz w:val="24"/>
          <w:szCs w:val="24"/>
          <w:lang w:val="en-AU"/>
        </w:rPr>
        <w:t>ARRANGEMENTS)</w:t>
      </w:r>
      <w:r w:rsidR="0061485A">
        <w:rPr>
          <w:b/>
          <w:i/>
          <w:caps/>
          <w:sz w:val="24"/>
          <w:szCs w:val="24"/>
          <w:lang w:val="en-AU"/>
        </w:rPr>
        <w:t xml:space="preserve"> AMENDMENT (</w:t>
      </w:r>
      <w:r w:rsidR="00686B08">
        <w:rPr>
          <w:b/>
          <w:i/>
          <w:caps/>
          <w:sz w:val="24"/>
          <w:szCs w:val="24"/>
          <w:lang w:val="en-AU"/>
        </w:rPr>
        <w:t>EDUCATION</w:t>
      </w:r>
      <w:r w:rsidR="0061485A">
        <w:rPr>
          <w:b/>
          <w:i/>
          <w:caps/>
          <w:sz w:val="24"/>
          <w:szCs w:val="24"/>
          <w:lang w:val="en-AU"/>
        </w:rPr>
        <w:t>)</w:t>
      </w:r>
      <w:r w:rsidRPr="007C75E4">
        <w:rPr>
          <w:b/>
          <w:i/>
          <w:caps/>
          <w:sz w:val="24"/>
          <w:szCs w:val="24"/>
          <w:lang w:val="en-AU"/>
        </w:rPr>
        <w:t xml:space="preserve"> RULES 202</w:t>
      </w:r>
      <w:r w:rsidR="00580285">
        <w:rPr>
          <w:b/>
          <w:i/>
          <w:caps/>
          <w:sz w:val="24"/>
          <w:szCs w:val="24"/>
          <w:lang w:val="en-AU"/>
        </w:rPr>
        <w:t>1</w:t>
      </w:r>
    </w:p>
    <w:p w14:paraId="0A1B4974" w14:textId="759198C7" w:rsidR="007C75E4" w:rsidRDefault="007C75E4" w:rsidP="007C75E4">
      <w:pPr>
        <w:spacing w:after="160" w:line="259" w:lineRule="auto"/>
        <w:jc w:val="center"/>
        <w:rPr>
          <w:b/>
          <w:i/>
          <w:caps/>
          <w:sz w:val="24"/>
          <w:szCs w:val="24"/>
          <w:lang w:val="en-AU"/>
        </w:rPr>
      </w:pPr>
    </w:p>
    <w:p w14:paraId="6D9F082C" w14:textId="77777777" w:rsidR="007C75E4" w:rsidRDefault="007C75E4" w:rsidP="007C75E4">
      <w:pPr>
        <w:spacing w:after="160" w:line="259" w:lineRule="auto"/>
        <w:jc w:val="center"/>
        <w:rPr>
          <w:b/>
          <w:i/>
          <w:caps/>
          <w:sz w:val="24"/>
          <w:szCs w:val="24"/>
          <w:lang w:val="en-AU"/>
        </w:rPr>
      </w:pPr>
    </w:p>
    <w:p w14:paraId="054E2FAC" w14:textId="77777777" w:rsidR="007C75E4" w:rsidRPr="007C75E4" w:rsidRDefault="007C75E4" w:rsidP="007C75E4">
      <w:pPr>
        <w:jc w:val="center"/>
        <w:rPr>
          <w:b/>
          <w:caps/>
          <w:sz w:val="24"/>
          <w:szCs w:val="24"/>
          <w:lang w:val="en-AU"/>
        </w:rPr>
      </w:pPr>
      <w:r w:rsidRPr="007C75E4">
        <w:rPr>
          <w:b/>
          <w:caps/>
          <w:sz w:val="24"/>
          <w:szCs w:val="24"/>
          <w:lang w:val="en-AU"/>
        </w:rPr>
        <w:t>Explanatory Statement</w:t>
      </w:r>
    </w:p>
    <w:p w14:paraId="6DC73288" w14:textId="77777777" w:rsidR="007C75E4" w:rsidRPr="007C75E4" w:rsidRDefault="007C75E4" w:rsidP="007C75E4">
      <w:pPr>
        <w:spacing w:after="160" w:line="259" w:lineRule="auto"/>
        <w:jc w:val="center"/>
        <w:rPr>
          <w:b/>
          <w:i/>
          <w:caps/>
          <w:sz w:val="24"/>
          <w:szCs w:val="24"/>
          <w:lang w:val="en-AU"/>
        </w:rPr>
      </w:pPr>
    </w:p>
    <w:p w14:paraId="75E90858" w14:textId="77777777" w:rsidR="007C75E4" w:rsidRDefault="007C75E4" w:rsidP="00EE5229">
      <w:pPr>
        <w:jc w:val="center"/>
        <w:rPr>
          <w:b/>
          <w:caps/>
          <w:sz w:val="24"/>
          <w:szCs w:val="24"/>
          <w:u w:val="single"/>
          <w:lang w:val="en-AU"/>
        </w:rPr>
      </w:pPr>
    </w:p>
    <w:p w14:paraId="4B00AB42" w14:textId="77777777" w:rsidR="007C75E4" w:rsidRDefault="007C75E4">
      <w:pPr>
        <w:spacing w:after="160" w:line="259" w:lineRule="auto"/>
        <w:rPr>
          <w:b/>
          <w:caps/>
          <w:sz w:val="24"/>
          <w:szCs w:val="24"/>
          <w:u w:val="single"/>
          <w:lang w:val="en-AU"/>
        </w:rPr>
      </w:pPr>
      <w:r>
        <w:rPr>
          <w:b/>
          <w:caps/>
          <w:sz w:val="24"/>
          <w:szCs w:val="24"/>
          <w:u w:val="single"/>
          <w:lang w:val="en-AU"/>
        </w:rPr>
        <w:br w:type="page"/>
      </w:r>
    </w:p>
    <w:p w14:paraId="2F757027" w14:textId="57BD5398" w:rsidR="0061485A" w:rsidRDefault="0061485A" w:rsidP="0061485A">
      <w:pPr>
        <w:spacing w:after="160" w:line="259" w:lineRule="auto"/>
        <w:jc w:val="center"/>
        <w:rPr>
          <w:b/>
          <w:i/>
          <w:caps/>
          <w:sz w:val="24"/>
          <w:szCs w:val="24"/>
          <w:lang w:val="en-AU"/>
        </w:rPr>
      </w:pPr>
      <w:r w:rsidRPr="007C75E4">
        <w:rPr>
          <w:b/>
          <w:i/>
          <w:caps/>
          <w:sz w:val="24"/>
          <w:szCs w:val="24"/>
          <w:lang w:val="en-AU"/>
        </w:rPr>
        <w:lastRenderedPageBreak/>
        <w:t>AUSTRALIA’S fOREIGN</w:t>
      </w:r>
      <w:r>
        <w:rPr>
          <w:b/>
          <w:i/>
          <w:caps/>
          <w:sz w:val="24"/>
          <w:szCs w:val="24"/>
          <w:lang w:val="en-AU"/>
        </w:rPr>
        <w:t xml:space="preserve"> RELATIONS (sTATE AND tERRITORY </w:t>
      </w:r>
      <w:r w:rsidRPr="007C75E4">
        <w:rPr>
          <w:b/>
          <w:i/>
          <w:caps/>
          <w:sz w:val="24"/>
          <w:szCs w:val="24"/>
          <w:lang w:val="en-AU"/>
        </w:rPr>
        <w:t>ARRANGEMENTS)</w:t>
      </w:r>
      <w:r>
        <w:rPr>
          <w:b/>
          <w:i/>
          <w:caps/>
          <w:sz w:val="24"/>
          <w:szCs w:val="24"/>
          <w:lang w:val="en-AU"/>
        </w:rPr>
        <w:t xml:space="preserve"> AMENDMENT (</w:t>
      </w:r>
      <w:r w:rsidR="00686B08">
        <w:rPr>
          <w:b/>
          <w:i/>
          <w:caps/>
          <w:sz w:val="24"/>
          <w:szCs w:val="24"/>
          <w:lang w:val="en-AU"/>
        </w:rPr>
        <w:t>EDUCATION</w:t>
      </w:r>
      <w:r>
        <w:rPr>
          <w:b/>
          <w:i/>
          <w:caps/>
          <w:sz w:val="24"/>
          <w:szCs w:val="24"/>
          <w:lang w:val="en-AU"/>
        </w:rPr>
        <w:t>)</w:t>
      </w:r>
      <w:r w:rsidRPr="007C75E4">
        <w:rPr>
          <w:b/>
          <w:i/>
          <w:caps/>
          <w:sz w:val="24"/>
          <w:szCs w:val="24"/>
          <w:lang w:val="en-AU"/>
        </w:rPr>
        <w:t xml:space="preserve"> RULES 202</w:t>
      </w:r>
      <w:r w:rsidR="00580285">
        <w:rPr>
          <w:b/>
          <w:i/>
          <w:caps/>
          <w:sz w:val="24"/>
          <w:szCs w:val="24"/>
          <w:lang w:val="en-AU"/>
        </w:rPr>
        <w:t>1</w:t>
      </w:r>
    </w:p>
    <w:p w14:paraId="03856CAB" w14:textId="77777777" w:rsidR="007C75E4" w:rsidRPr="0030620E" w:rsidRDefault="007C75E4" w:rsidP="0030620E">
      <w:pPr>
        <w:jc w:val="center"/>
        <w:rPr>
          <w:b/>
          <w:sz w:val="24"/>
          <w:szCs w:val="24"/>
          <w:lang w:val="en-AU"/>
        </w:rPr>
      </w:pPr>
    </w:p>
    <w:p w14:paraId="117A0933" w14:textId="77777777" w:rsidR="007C75E4" w:rsidRPr="0030620E" w:rsidRDefault="007C75E4" w:rsidP="0030620E">
      <w:pPr>
        <w:jc w:val="center"/>
        <w:rPr>
          <w:b/>
          <w:sz w:val="24"/>
          <w:szCs w:val="24"/>
          <w:lang w:val="en-AU"/>
        </w:rPr>
      </w:pPr>
    </w:p>
    <w:p w14:paraId="5FE7F491" w14:textId="3EE46EF1" w:rsidR="00EE5229" w:rsidRPr="0030620E" w:rsidRDefault="0030620E" w:rsidP="0030620E">
      <w:pPr>
        <w:jc w:val="center"/>
        <w:rPr>
          <w:b/>
          <w:sz w:val="24"/>
          <w:szCs w:val="24"/>
          <w:lang w:val="en-AU"/>
        </w:rPr>
      </w:pPr>
      <w:r w:rsidRPr="0030620E">
        <w:rPr>
          <w:b/>
          <w:sz w:val="24"/>
          <w:szCs w:val="24"/>
          <w:lang w:val="en-AU"/>
        </w:rPr>
        <w:t>EXPLANATORY STATEMENT</w:t>
      </w:r>
    </w:p>
    <w:p w14:paraId="04DFF67F" w14:textId="77777777" w:rsidR="007C75E4" w:rsidRPr="0030620E" w:rsidRDefault="007C75E4" w:rsidP="0030620E">
      <w:pPr>
        <w:jc w:val="center"/>
        <w:rPr>
          <w:b/>
          <w:sz w:val="24"/>
          <w:szCs w:val="24"/>
          <w:lang w:val="en-AU"/>
        </w:rPr>
      </w:pPr>
    </w:p>
    <w:p w14:paraId="54E334AC" w14:textId="77777777" w:rsidR="00637366" w:rsidRPr="0030620E" w:rsidRDefault="00637366" w:rsidP="0030620E">
      <w:pPr>
        <w:jc w:val="center"/>
        <w:rPr>
          <w:b/>
          <w:sz w:val="24"/>
          <w:szCs w:val="24"/>
          <w:lang w:val="en-AU"/>
        </w:rPr>
      </w:pPr>
    </w:p>
    <w:p w14:paraId="3F066BCA" w14:textId="73E78E93" w:rsidR="00637366" w:rsidRPr="007C75E4" w:rsidRDefault="00637366" w:rsidP="0030620E">
      <w:pPr>
        <w:jc w:val="center"/>
        <w:rPr>
          <w:b/>
          <w:sz w:val="24"/>
          <w:szCs w:val="24"/>
          <w:lang w:val="en-AU"/>
        </w:rPr>
      </w:pPr>
      <w:r w:rsidRPr="007C75E4">
        <w:rPr>
          <w:b/>
          <w:sz w:val="24"/>
          <w:szCs w:val="24"/>
          <w:lang w:val="en-AU"/>
        </w:rPr>
        <w:t>Issued by the authority of the Minister for Foreign Affairs</w:t>
      </w:r>
    </w:p>
    <w:p w14:paraId="155593DE" w14:textId="16D7BD43" w:rsidR="00637366" w:rsidRPr="006D5921" w:rsidRDefault="00637366" w:rsidP="00637366">
      <w:pPr>
        <w:rPr>
          <w:sz w:val="24"/>
          <w:szCs w:val="24"/>
          <w:u w:val="single"/>
          <w:lang w:val="en-AU"/>
        </w:rPr>
      </w:pPr>
    </w:p>
    <w:p w14:paraId="0EF08F59" w14:textId="44291AE3" w:rsidR="002A11BC" w:rsidRPr="006D5921" w:rsidRDefault="002A11BC" w:rsidP="007C75E4">
      <w:pPr>
        <w:rPr>
          <w:b/>
          <w:sz w:val="24"/>
          <w:szCs w:val="24"/>
          <w:u w:val="single"/>
          <w:lang w:val="en-AU"/>
        </w:rPr>
      </w:pPr>
    </w:p>
    <w:p w14:paraId="32BF7C8C" w14:textId="746CFD31" w:rsidR="00AF08D2" w:rsidRPr="006D5921" w:rsidRDefault="00AF08D2" w:rsidP="00637366">
      <w:pPr>
        <w:rPr>
          <w:sz w:val="24"/>
          <w:szCs w:val="24"/>
          <w:lang w:val="en-AU"/>
        </w:rPr>
      </w:pPr>
      <w:r w:rsidRPr="006D5921">
        <w:rPr>
          <w:sz w:val="24"/>
          <w:szCs w:val="24"/>
          <w:lang w:val="en-AU"/>
        </w:rPr>
        <w:t xml:space="preserve">The </w:t>
      </w:r>
      <w:r w:rsidRPr="006D5921">
        <w:rPr>
          <w:i/>
          <w:sz w:val="24"/>
          <w:szCs w:val="24"/>
          <w:lang w:val="en-AU"/>
        </w:rPr>
        <w:t xml:space="preserve">Australia’s Foreign Relations (State and Territory Arrangements) </w:t>
      </w:r>
      <w:r w:rsidR="00434404" w:rsidRPr="006D5921">
        <w:rPr>
          <w:i/>
          <w:sz w:val="24"/>
          <w:szCs w:val="24"/>
          <w:lang w:val="en-AU"/>
        </w:rPr>
        <w:t>Act</w:t>
      </w:r>
      <w:r w:rsidRPr="006D5921">
        <w:rPr>
          <w:i/>
          <w:sz w:val="24"/>
          <w:szCs w:val="24"/>
          <w:lang w:val="en-AU"/>
        </w:rPr>
        <w:t xml:space="preserve"> 2020</w:t>
      </w:r>
      <w:r w:rsidRPr="006D5921">
        <w:rPr>
          <w:sz w:val="24"/>
          <w:szCs w:val="24"/>
          <w:lang w:val="en-AU"/>
        </w:rPr>
        <w:t xml:space="preserve"> </w:t>
      </w:r>
      <w:r w:rsidR="00434404" w:rsidRPr="006D5921">
        <w:rPr>
          <w:sz w:val="24"/>
          <w:szCs w:val="24"/>
          <w:lang w:val="en-AU"/>
        </w:rPr>
        <w:t>(the Act) allows</w:t>
      </w:r>
      <w:r w:rsidRPr="006D5921">
        <w:rPr>
          <w:sz w:val="24"/>
          <w:szCs w:val="24"/>
          <w:lang w:val="en-AU"/>
        </w:rPr>
        <w:t xml:space="preserve"> the Minister to assess whe</w:t>
      </w:r>
      <w:r w:rsidR="00A71DEB">
        <w:rPr>
          <w:sz w:val="24"/>
          <w:szCs w:val="24"/>
          <w:lang w:val="en-AU"/>
        </w:rPr>
        <w:t>ther arrangements between State/</w:t>
      </w:r>
      <w:r w:rsidRPr="006D5921">
        <w:rPr>
          <w:sz w:val="24"/>
          <w:szCs w:val="24"/>
          <w:lang w:val="en-AU"/>
        </w:rPr>
        <w:t xml:space="preserve">Territory </w:t>
      </w:r>
      <w:r w:rsidR="00434404" w:rsidRPr="006D5921">
        <w:rPr>
          <w:sz w:val="24"/>
          <w:szCs w:val="24"/>
          <w:lang w:val="en-AU"/>
        </w:rPr>
        <w:t>entities</w:t>
      </w:r>
      <w:r w:rsidRPr="006D5921">
        <w:rPr>
          <w:sz w:val="24"/>
          <w:szCs w:val="24"/>
          <w:lang w:val="en-AU"/>
        </w:rPr>
        <w:t xml:space="preserve"> and foreign </w:t>
      </w:r>
      <w:r w:rsidR="00434404" w:rsidRPr="006D5921">
        <w:rPr>
          <w:sz w:val="24"/>
          <w:szCs w:val="24"/>
          <w:lang w:val="en-AU"/>
        </w:rPr>
        <w:t>entities</w:t>
      </w:r>
      <w:r w:rsidRPr="006D5921">
        <w:rPr>
          <w:sz w:val="24"/>
          <w:szCs w:val="24"/>
          <w:lang w:val="en-AU"/>
        </w:rPr>
        <w:t xml:space="preserve"> are consistent with Australia’s foreign policy and </w:t>
      </w:r>
      <w:r w:rsidR="00434404" w:rsidRPr="006D5921">
        <w:rPr>
          <w:sz w:val="24"/>
          <w:szCs w:val="24"/>
          <w:lang w:val="en-AU"/>
        </w:rPr>
        <w:t>do</w:t>
      </w:r>
      <w:r w:rsidRPr="006D5921">
        <w:rPr>
          <w:sz w:val="24"/>
          <w:szCs w:val="24"/>
          <w:lang w:val="en-AU"/>
        </w:rPr>
        <w:t xml:space="preserve"> not adversely affect Australia’s foreign relations. </w:t>
      </w:r>
    </w:p>
    <w:p w14:paraId="0C733D07" w14:textId="49D296CF" w:rsidR="00A0605B" w:rsidRPr="006D5921" w:rsidRDefault="00A0605B" w:rsidP="00637366">
      <w:pPr>
        <w:rPr>
          <w:sz w:val="24"/>
          <w:szCs w:val="24"/>
          <w:lang w:val="en-AU"/>
        </w:rPr>
      </w:pPr>
    </w:p>
    <w:p w14:paraId="6DD7F618" w14:textId="6C6B45B8" w:rsidR="00A0605B" w:rsidRPr="006D5921" w:rsidRDefault="00A0605B" w:rsidP="00637366">
      <w:pPr>
        <w:rPr>
          <w:sz w:val="24"/>
          <w:szCs w:val="24"/>
          <w:lang w:val="en-AU"/>
        </w:rPr>
      </w:pPr>
      <w:r w:rsidRPr="006D5921">
        <w:rPr>
          <w:sz w:val="24"/>
          <w:szCs w:val="24"/>
          <w:lang w:val="en-AU"/>
        </w:rPr>
        <w:t xml:space="preserve">Section 54 of the Act allows the Minister to make rules prescribing matters required or permitted by the Act to be prescribed by the rules, or necessary or convenient to be prescribed for carrying out or giving effect to the Act. </w:t>
      </w:r>
      <w:r w:rsidR="00FD25FB">
        <w:rPr>
          <w:sz w:val="24"/>
          <w:szCs w:val="24"/>
          <w:lang w:val="en-AU"/>
        </w:rPr>
        <w:t>Additionally</w:t>
      </w:r>
      <w:r w:rsidRPr="006D5921">
        <w:rPr>
          <w:sz w:val="24"/>
          <w:szCs w:val="24"/>
          <w:lang w:val="en-AU"/>
        </w:rPr>
        <w:t>, rules may be made pursuant to</w:t>
      </w:r>
      <w:r w:rsidR="00FD25FB">
        <w:rPr>
          <w:sz w:val="24"/>
          <w:szCs w:val="24"/>
          <w:lang w:val="en-AU"/>
        </w:rPr>
        <w:t xml:space="preserve"> paragraph 2(3)(d) </w:t>
      </w:r>
      <w:r w:rsidR="0054434A">
        <w:rPr>
          <w:sz w:val="24"/>
          <w:szCs w:val="24"/>
          <w:lang w:val="en-AU"/>
        </w:rPr>
        <w:t xml:space="preserve">of Schedule 1 </w:t>
      </w:r>
      <w:r w:rsidRPr="006D5921">
        <w:rPr>
          <w:sz w:val="24"/>
          <w:szCs w:val="24"/>
          <w:lang w:val="en-AU"/>
        </w:rPr>
        <w:t>of the Act</w:t>
      </w:r>
      <w:r w:rsidR="00FD25FB">
        <w:rPr>
          <w:sz w:val="24"/>
          <w:szCs w:val="24"/>
          <w:lang w:val="en-AU"/>
        </w:rPr>
        <w:t xml:space="preserve"> to prescribe a longer </w:t>
      </w:r>
      <w:proofErr w:type="gramStart"/>
      <w:r w:rsidR="00FD25FB">
        <w:rPr>
          <w:sz w:val="24"/>
          <w:szCs w:val="24"/>
          <w:lang w:val="en-AU"/>
        </w:rPr>
        <w:t>period of time</w:t>
      </w:r>
      <w:proofErr w:type="gramEnd"/>
      <w:r w:rsidR="00FD25FB">
        <w:rPr>
          <w:sz w:val="24"/>
          <w:szCs w:val="24"/>
          <w:lang w:val="en-AU"/>
        </w:rPr>
        <w:t xml:space="preserve"> for giving a notice to the Minister.</w:t>
      </w:r>
    </w:p>
    <w:p w14:paraId="55FAE130" w14:textId="2D51B48D" w:rsidR="00A0605B" w:rsidRPr="006D5921" w:rsidRDefault="00A0605B" w:rsidP="00637366">
      <w:pPr>
        <w:rPr>
          <w:sz w:val="24"/>
          <w:szCs w:val="24"/>
          <w:lang w:val="en-AU"/>
        </w:rPr>
      </w:pPr>
    </w:p>
    <w:p w14:paraId="3025C7BD" w14:textId="2C48DA61" w:rsidR="00A0605B" w:rsidRPr="006D5921" w:rsidRDefault="00A0605B" w:rsidP="00A0605B">
      <w:pPr>
        <w:rPr>
          <w:sz w:val="24"/>
          <w:szCs w:val="24"/>
          <w:lang w:val="en-AU"/>
        </w:rPr>
      </w:pPr>
      <w:r w:rsidRPr="006D5921">
        <w:rPr>
          <w:sz w:val="24"/>
          <w:szCs w:val="24"/>
          <w:lang w:val="en-AU"/>
        </w:rPr>
        <w:t xml:space="preserve">The </w:t>
      </w:r>
      <w:r w:rsidRPr="006D5921">
        <w:rPr>
          <w:i/>
          <w:sz w:val="24"/>
          <w:szCs w:val="24"/>
          <w:lang w:val="en-AU"/>
        </w:rPr>
        <w:t xml:space="preserve">Australia’s Foreign Relations (State and Territory Arrangements) </w:t>
      </w:r>
      <w:r w:rsidR="0061485A">
        <w:rPr>
          <w:i/>
          <w:sz w:val="24"/>
          <w:szCs w:val="24"/>
          <w:lang w:val="en-AU"/>
        </w:rPr>
        <w:t>Amendment (</w:t>
      </w:r>
      <w:r w:rsidR="00686B08">
        <w:rPr>
          <w:i/>
          <w:sz w:val="24"/>
          <w:szCs w:val="24"/>
          <w:lang w:val="en-AU"/>
        </w:rPr>
        <w:t>Education</w:t>
      </w:r>
      <w:r w:rsidR="0061485A">
        <w:rPr>
          <w:i/>
          <w:sz w:val="24"/>
          <w:szCs w:val="24"/>
          <w:lang w:val="en-AU"/>
        </w:rPr>
        <w:t xml:space="preserve">) </w:t>
      </w:r>
      <w:r w:rsidRPr="006D5921">
        <w:rPr>
          <w:i/>
          <w:sz w:val="24"/>
          <w:szCs w:val="24"/>
          <w:lang w:val="en-AU"/>
        </w:rPr>
        <w:t>Rules 202</w:t>
      </w:r>
      <w:r w:rsidR="00580285">
        <w:rPr>
          <w:i/>
          <w:sz w:val="24"/>
          <w:szCs w:val="24"/>
          <w:lang w:val="en-AU"/>
        </w:rPr>
        <w:t>1</w:t>
      </w:r>
      <w:r w:rsidRPr="006D5921">
        <w:rPr>
          <w:i/>
          <w:sz w:val="24"/>
          <w:szCs w:val="24"/>
          <w:lang w:val="en-AU"/>
        </w:rPr>
        <w:t xml:space="preserve"> </w:t>
      </w:r>
      <w:r w:rsidR="00ED1E04">
        <w:rPr>
          <w:sz w:val="24"/>
          <w:szCs w:val="24"/>
          <w:lang w:val="en-AU"/>
        </w:rPr>
        <w:t>(the </w:t>
      </w:r>
      <w:r w:rsidR="00100696">
        <w:rPr>
          <w:sz w:val="24"/>
          <w:szCs w:val="24"/>
          <w:lang w:val="en-AU"/>
        </w:rPr>
        <w:t xml:space="preserve">Amendment </w:t>
      </w:r>
      <w:r w:rsidRPr="006D5921">
        <w:rPr>
          <w:sz w:val="24"/>
          <w:szCs w:val="24"/>
          <w:lang w:val="en-AU"/>
        </w:rPr>
        <w:t xml:space="preserve">Rules) will </w:t>
      </w:r>
      <w:r w:rsidR="00C2604C">
        <w:rPr>
          <w:sz w:val="24"/>
          <w:szCs w:val="24"/>
          <w:lang w:val="en-AU"/>
        </w:rPr>
        <w:t xml:space="preserve">make amendments to the </w:t>
      </w:r>
      <w:r w:rsidR="00C2604C">
        <w:rPr>
          <w:i/>
          <w:iCs/>
          <w:sz w:val="24"/>
          <w:szCs w:val="24"/>
          <w:lang w:val="en-AU"/>
        </w:rPr>
        <w:t>Australia’s Foreign Relations (State and Territory Arrangements) Rules</w:t>
      </w:r>
      <w:r w:rsidR="00C2604C">
        <w:rPr>
          <w:sz w:val="24"/>
          <w:szCs w:val="24"/>
          <w:lang w:val="en-AU"/>
        </w:rPr>
        <w:t> </w:t>
      </w:r>
      <w:r w:rsidR="00C2604C" w:rsidRPr="00C2604C">
        <w:rPr>
          <w:i/>
          <w:iCs/>
          <w:sz w:val="24"/>
          <w:szCs w:val="24"/>
          <w:lang w:val="en-AU"/>
        </w:rPr>
        <w:t>2020</w:t>
      </w:r>
      <w:r w:rsidR="00C2604C">
        <w:rPr>
          <w:sz w:val="24"/>
          <w:szCs w:val="24"/>
          <w:lang w:val="en-AU"/>
        </w:rPr>
        <w:t xml:space="preserve"> to </w:t>
      </w:r>
      <w:r w:rsidRPr="006D5921">
        <w:rPr>
          <w:sz w:val="24"/>
          <w:szCs w:val="24"/>
          <w:lang w:val="en-AU"/>
        </w:rPr>
        <w:t>prescribe the following matters for the purposes of the Act:</w:t>
      </w:r>
    </w:p>
    <w:p w14:paraId="6734E40D" w14:textId="62014377" w:rsidR="00A0605B" w:rsidRPr="006D5921" w:rsidRDefault="00A0605B" w:rsidP="00A0605B">
      <w:pPr>
        <w:rPr>
          <w:sz w:val="24"/>
          <w:szCs w:val="24"/>
          <w:lang w:val="en-AU"/>
        </w:rPr>
      </w:pPr>
    </w:p>
    <w:p w14:paraId="65861B6C" w14:textId="2DE234E9" w:rsidR="00A0605B" w:rsidRDefault="00FD25FB" w:rsidP="00A0605B">
      <w:pPr>
        <w:pStyle w:val="ListParagraph"/>
        <w:numPr>
          <w:ilvl w:val="0"/>
          <w:numId w:val="5"/>
        </w:numPr>
        <w:rPr>
          <w:sz w:val="24"/>
          <w:szCs w:val="24"/>
          <w:lang w:val="en-AU"/>
        </w:rPr>
      </w:pPr>
      <w:r>
        <w:rPr>
          <w:sz w:val="24"/>
          <w:szCs w:val="24"/>
          <w:lang w:val="en-AU"/>
        </w:rPr>
        <w:t>a definition of school</w:t>
      </w:r>
      <w:r w:rsidR="00A0605B" w:rsidRPr="006D5921">
        <w:rPr>
          <w:sz w:val="24"/>
          <w:szCs w:val="24"/>
          <w:lang w:val="en-AU"/>
        </w:rPr>
        <w:t>;</w:t>
      </w:r>
      <w:r w:rsidR="00EB6469">
        <w:rPr>
          <w:sz w:val="24"/>
          <w:szCs w:val="24"/>
          <w:lang w:val="en-AU"/>
        </w:rPr>
        <w:t xml:space="preserve"> and</w:t>
      </w:r>
    </w:p>
    <w:p w14:paraId="583A9EC0" w14:textId="283A0263" w:rsidR="0061485A" w:rsidRDefault="00FD25FB" w:rsidP="00A0605B">
      <w:pPr>
        <w:pStyle w:val="ListParagraph"/>
        <w:numPr>
          <w:ilvl w:val="0"/>
          <w:numId w:val="5"/>
        </w:numPr>
        <w:rPr>
          <w:sz w:val="24"/>
          <w:szCs w:val="24"/>
          <w:lang w:val="en-AU"/>
        </w:rPr>
      </w:pPr>
      <w:r>
        <w:rPr>
          <w:sz w:val="24"/>
          <w:szCs w:val="24"/>
          <w:lang w:val="en-AU"/>
        </w:rPr>
        <w:t>time for giving notices to the Minister about pre-existing core foreign arrangements</w:t>
      </w:r>
      <w:r w:rsidR="00EB6469">
        <w:rPr>
          <w:sz w:val="24"/>
          <w:szCs w:val="24"/>
          <w:lang w:val="en-AU"/>
        </w:rPr>
        <w:t xml:space="preserve">. </w:t>
      </w:r>
    </w:p>
    <w:p w14:paraId="59128891" w14:textId="77777777" w:rsidR="0061485A" w:rsidRDefault="0061485A" w:rsidP="00637366">
      <w:pPr>
        <w:rPr>
          <w:sz w:val="24"/>
          <w:szCs w:val="24"/>
          <w:lang w:val="en-AU"/>
        </w:rPr>
      </w:pPr>
    </w:p>
    <w:p w14:paraId="7E2453C4" w14:textId="3F4EB87F" w:rsidR="00A0605B" w:rsidRPr="006D5921" w:rsidRDefault="00F15258" w:rsidP="00637366">
      <w:pPr>
        <w:rPr>
          <w:sz w:val="24"/>
          <w:szCs w:val="24"/>
          <w:lang w:val="en-AU"/>
        </w:rPr>
      </w:pPr>
      <w:r w:rsidRPr="006D5921">
        <w:rPr>
          <w:sz w:val="24"/>
          <w:szCs w:val="24"/>
          <w:lang w:val="en-AU"/>
        </w:rPr>
        <w:t xml:space="preserve">A Statement of Compatibility with Human Rights (the Statement) has been completed in accordance with the </w:t>
      </w:r>
      <w:r w:rsidRPr="006D5921">
        <w:rPr>
          <w:i/>
          <w:sz w:val="24"/>
          <w:szCs w:val="24"/>
          <w:lang w:val="en-AU"/>
        </w:rPr>
        <w:t>Human Rights (Parliamentary Scrutiny) Act 2011</w:t>
      </w:r>
      <w:r w:rsidRPr="006D5921">
        <w:rPr>
          <w:sz w:val="24"/>
          <w:szCs w:val="24"/>
          <w:lang w:val="en-AU"/>
        </w:rPr>
        <w:t xml:space="preserve">. The overall assessment is that the </w:t>
      </w:r>
      <w:r w:rsidR="0054434A">
        <w:rPr>
          <w:sz w:val="24"/>
          <w:szCs w:val="24"/>
          <w:lang w:val="en-AU"/>
        </w:rPr>
        <w:t xml:space="preserve">Amendment </w:t>
      </w:r>
      <w:r w:rsidRPr="006D5921">
        <w:rPr>
          <w:sz w:val="24"/>
          <w:szCs w:val="24"/>
          <w:lang w:val="en-AU"/>
        </w:rPr>
        <w:t>Rules are compatible with human rights.</w:t>
      </w:r>
      <w:r w:rsidR="0061485A">
        <w:rPr>
          <w:sz w:val="24"/>
          <w:szCs w:val="24"/>
          <w:lang w:val="en-AU"/>
        </w:rPr>
        <w:t xml:space="preserve"> </w:t>
      </w:r>
      <w:r w:rsidRPr="006D5921">
        <w:rPr>
          <w:sz w:val="24"/>
          <w:szCs w:val="24"/>
          <w:lang w:val="en-AU"/>
        </w:rPr>
        <w:t>A copy of the Statement is</w:t>
      </w:r>
      <w:r w:rsidR="00C2604C">
        <w:rPr>
          <w:sz w:val="24"/>
          <w:szCs w:val="24"/>
          <w:lang w:val="en-AU"/>
        </w:rPr>
        <w:t xml:space="preserve"> </w:t>
      </w:r>
      <w:r w:rsidRPr="006D5921">
        <w:rPr>
          <w:sz w:val="24"/>
          <w:szCs w:val="24"/>
          <w:lang w:val="en-AU"/>
        </w:rPr>
        <w:t xml:space="preserve">at </w:t>
      </w:r>
      <w:r w:rsidRPr="006D5921">
        <w:rPr>
          <w:sz w:val="24"/>
          <w:szCs w:val="24"/>
          <w:u w:val="single"/>
          <w:lang w:val="en-AU"/>
        </w:rPr>
        <w:t xml:space="preserve">Attachment </w:t>
      </w:r>
      <w:r w:rsidR="00FD25FB">
        <w:rPr>
          <w:sz w:val="24"/>
          <w:szCs w:val="24"/>
          <w:u w:val="single"/>
          <w:lang w:val="en-AU"/>
        </w:rPr>
        <w:t>A</w:t>
      </w:r>
      <w:r w:rsidRPr="006D5921">
        <w:rPr>
          <w:sz w:val="24"/>
          <w:szCs w:val="24"/>
          <w:lang w:val="en-AU"/>
        </w:rPr>
        <w:t>.</w:t>
      </w:r>
    </w:p>
    <w:p w14:paraId="79458204" w14:textId="2EC4DDBB" w:rsidR="00F15258" w:rsidRPr="006D5921" w:rsidRDefault="00F15258" w:rsidP="00637366">
      <w:pPr>
        <w:rPr>
          <w:sz w:val="24"/>
          <w:szCs w:val="24"/>
          <w:lang w:val="en-AU"/>
        </w:rPr>
      </w:pPr>
    </w:p>
    <w:p w14:paraId="517B1165" w14:textId="2B46DAC8" w:rsidR="00F15258" w:rsidRPr="006D5921" w:rsidRDefault="00F15258" w:rsidP="00637366">
      <w:pPr>
        <w:rPr>
          <w:sz w:val="24"/>
          <w:szCs w:val="24"/>
          <w:lang w:val="en-AU"/>
        </w:rPr>
      </w:pPr>
      <w:r w:rsidRPr="006D5921">
        <w:rPr>
          <w:sz w:val="24"/>
          <w:szCs w:val="24"/>
          <w:lang w:val="en-AU"/>
        </w:rPr>
        <w:t xml:space="preserve">Details of the </w:t>
      </w:r>
      <w:r w:rsidR="00100696">
        <w:rPr>
          <w:sz w:val="24"/>
          <w:szCs w:val="24"/>
          <w:lang w:val="en-AU"/>
        </w:rPr>
        <w:t xml:space="preserve">Amendment </w:t>
      </w:r>
      <w:r w:rsidRPr="006D5921">
        <w:rPr>
          <w:sz w:val="24"/>
          <w:szCs w:val="24"/>
          <w:lang w:val="en-AU"/>
        </w:rPr>
        <w:t xml:space="preserve">Rules are set out in </w:t>
      </w:r>
      <w:r w:rsidRPr="006D5921">
        <w:rPr>
          <w:sz w:val="24"/>
          <w:szCs w:val="24"/>
          <w:u w:val="single"/>
          <w:lang w:val="en-AU"/>
        </w:rPr>
        <w:t xml:space="preserve">Attachment </w:t>
      </w:r>
      <w:r w:rsidR="00C2604C">
        <w:rPr>
          <w:sz w:val="24"/>
          <w:szCs w:val="24"/>
          <w:u w:val="single"/>
          <w:lang w:val="en-AU"/>
        </w:rPr>
        <w:t>B</w:t>
      </w:r>
      <w:r w:rsidRPr="006D5921">
        <w:rPr>
          <w:sz w:val="24"/>
          <w:szCs w:val="24"/>
          <w:lang w:val="en-AU"/>
        </w:rPr>
        <w:t>.</w:t>
      </w:r>
    </w:p>
    <w:p w14:paraId="6E7494E7" w14:textId="1DAB248A" w:rsidR="00F15258" w:rsidRPr="006D5921" w:rsidRDefault="00F15258" w:rsidP="00637366">
      <w:pPr>
        <w:rPr>
          <w:sz w:val="24"/>
          <w:szCs w:val="24"/>
          <w:lang w:val="en-AU"/>
        </w:rPr>
      </w:pPr>
    </w:p>
    <w:p w14:paraId="36A5F23C" w14:textId="10C63F68" w:rsidR="00A0605B" w:rsidRPr="006D5921" w:rsidRDefault="00F15258" w:rsidP="00637366">
      <w:pPr>
        <w:rPr>
          <w:sz w:val="24"/>
          <w:szCs w:val="24"/>
          <w:lang w:val="en-AU"/>
        </w:rPr>
      </w:pPr>
      <w:r w:rsidRPr="00965841">
        <w:rPr>
          <w:sz w:val="24"/>
          <w:szCs w:val="24"/>
          <w:lang w:val="en-AU"/>
        </w:rPr>
        <w:t xml:space="preserve">The Office of Best Practice Regulation (OBPR) has been consulted in relation to the </w:t>
      </w:r>
      <w:r w:rsidR="00100696">
        <w:rPr>
          <w:sz w:val="24"/>
          <w:szCs w:val="24"/>
          <w:lang w:val="en-AU"/>
        </w:rPr>
        <w:t xml:space="preserve">Amendment </w:t>
      </w:r>
      <w:r w:rsidRPr="00965841">
        <w:rPr>
          <w:sz w:val="24"/>
          <w:szCs w:val="24"/>
          <w:lang w:val="en-AU"/>
        </w:rPr>
        <w:t>Rules. No Regulation Impact Statement is required.</w:t>
      </w:r>
      <w:r w:rsidRPr="006D5921">
        <w:rPr>
          <w:sz w:val="24"/>
          <w:szCs w:val="24"/>
          <w:lang w:val="en-AU"/>
        </w:rPr>
        <w:t xml:space="preserve">  </w:t>
      </w:r>
    </w:p>
    <w:p w14:paraId="342F97F6" w14:textId="77777777" w:rsidR="009F3F51" w:rsidRDefault="009F3F51" w:rsidP="00F15258">
      <w:pPr>
        <w:ind w:right="42"/>
        <w:jc w:val="both"/>
        <w:rPr>
          <w:color w:val="000000"/>
          <w:sz w:val="24"/>
          <w:szCs w:val="24"/>
          <w:lang w:val="en-AU" w:eastAsia="en-AU"/>
        </w:rPr>
      </w:pPr>
    </w:p>
    <w:p w14:paraId="2EC3AE7E" w14:textId="667964FC" w:rsidR="00F15258" w:rsidRPr="00F15258" w:rsidRDefault="00F15258" w:rsidP="00F15258">
      <w:pPr>
        <w:ind w:right="42"/>
        <w:jc w:val="both"/>
        <w:rPr>
          <w:color w:val="000000"/>
          <w:sz w:val="24"/>
          <w:szCs w:val="24"/>
          <w:lang w:val="en-AU" w:eastAsia="en-AU"/>
        </w:rPr>
      </w:pPr>
      <w:r w:rsidRPr="00F15258">
        <w:rPr>
          <w:color w:val="000000"/>
          <w:sz w:val="24"/>
          <w:szCs w:val="24"/>
          <w:lang w:val="en-AU" w:eastAsia="en-AU"/>
        </w:rPr>
        <w:t xml:space="preserve">The Act specifies no conditions that need to be satisfied before the power to make </w:t>
      </w:r>
      <w:r w:rsidR="00100696">
        <w:rPr>
          <w:color w:val="000000"/>
          <w:sz w:val="24"/>
          <w:szCs w:val="24"/>
          <w:lang w:val="en-AU" w:eastAsia="en-AU"/>
        </w:rPr>
        <w:t>r</w:t>
      </w:r>
      <w:r w:rsidRPr="006D5921">
        <w:rPr>
          <w:color w:val="000000"/>
          <w:sz w:val="24"/>
          <w:szCs w:val="24"/>
          <w:lang w:val="en-AU" w:eastAsia="en-AU"/>
        </w:rPr>
        <w:t xml:space="preserve">ules </w:t>
      </w:r>
      <w:r w:rsidRPr="00F15258">
        <w:rPr>
          <w:color w:val="000000"/>
          <w:sz w:val="24"/>
          <w:szCs w:val="24"/>
          <w:lang w:val="en-AU" w:eastAsia="en-AU"/>
        </w:rPr>
        <w:t xml:space="preserve">may be exercised.  </w:t>
      </w:r>
    </w:p>
    <w:p w14:paraId="2409EFE4" w14:textId="77777777" w:rsidR="00F15258" w:rsidRPr="00F15258" w:rsidRDefault="00F15258" w:rsidP="00F15258">
      <w:pPr>
        <w:ind w:right="-2"/>
        <w:jc w:val="both"/>
        <w:rPr>
          <w:color w:val="000000"/>
          <w:sz w:val="24"/>
          <w:szCs w:val="24"/>
          <w:lang w:val="en-AU" w:eastAsia="en-AU"/>
        </w:rPr>
      </w:pPr>
      <w:r w:rsidRPr="00F15258">
        <w:rPr>
          <w:color w:val="000000"/>
          <w:sz w:val="24"/>
          <w:szCs w:val="24"/>
          <w:lang w:val="en-AU" w:eastAsia="en-AU"/>
        </w:rPr>
        <w:t> </w:t>
      </w:r>
    </w:p>
    <w:p w14:paraId="2C44C8AF" w14:textId="4A3C6EDB" w:rsidR="00F15258" w:rsidRPr="00F15258" w:rsidRDefault="00F15258" w:rsidP="00F15258">
      <w:pPr>
        <w:ind w:right="-2"/>
        <w:jc w:val="both"/>
        <w:rPr>
          <w:color w:val="000000"/>
          <w:sz w:val="24"/>
          <w:szCs w:val="24"/>
          <w:lang w:val="en-AU" w:eastAsia="en-AU"/>
        </w:rPr>
      </w:pPr>
      <w:r w:rsidRPr="00F15258">
        <w:rPr>
          <w:color w:val="000000"/>
          <w:sz w:val="24"/>
          <w:szCs w:val="24"/>
          <w:lang w:val="en-AU" w:eastAsia="en-AU"/>
        </w:rPr>
        <w:t xml:space="preserve">The </w:t>
      </w:r>
      <w:r w:rsidR="00100696">
        <w:rPr>
          <w:color w:val="000000"/>
          <w:sz w:val="24"/>
          <w:szCs w:val="24"/>
          <w:lang w:val="en-AU" w:eastAsia="en-AU"/>
        </w:rPr>
        <w:t xml:space="preserve">Amendment </w:t>
      </w:r>
      <w:r w:rsidRPr="006D5921">
        <w:rPr>
          <w:color w:val="000000"/>
          <w:sz w:val="24"/>
          <w:szCs w:val="24"/>
          <w:lang w:val="en-AU" w:eastAsia="en-AU"/>
        </w:rPr>
        <w:t xml:space="preserve">Rules </w:t>
      </w:r>
      <w:r w:rsidRPr="00F15258">
        <w:rPr>
          <w:color w:val="000000"/>
          <w:sz w:val="24"/>
          <w:szCs w:val="24"/>
          <w:lang w:val="en-AU" w:eastAsia="en-AU"/>
        </w:rPr>
        <w:t xml:space="preserve">are a legislative instrument for the purposes of the </w:t>
      </w:r>
      <w:r w:rsidRPr="00F15258">
        <w:rPr>
          <w:i/>
          <w:iCs/>
          <w:color w:val="000000"/>
          <w:sz w:val="24"/>
          <w:szCs w:val="24"/>
          <w:lang w:val="en-AU" w:eastAsia="en-AU"/>
        </w:rPr>
        <w:t>Legislation Act 2003.</w:t>
      </w:r>
    </w:p>
    <w:p w14:paraId="65D3A6A8" w14:textId="77777777" w:rsidR="00F15258" w:rsidRPr="00F15258" w:rsidRDefault="00F15258" w:rsidP="00F15258">
      <w:pPr>
        <w:ind w:right="521"/>
        <w:jc w:val="both"/>
        <w:rPr>
          <w:color w:val="000000"/>
          <w:sz w:val="24"/>
          <w:szCs w:val="24"/>
          <w:lang w:val="en-AU" w:eastAsia="en-AU"/>
        </w:rPr>
      </w:pPr>
      <w:r w:rsidRPr="00F15258">
        <w:rPr>
          <w:color w:val="000000"/>
          <w:sz w:val="24"/>
          <w:szCs w:val="24"/>
          <w:lang w:val="en-AU" w:eastAsia="en-AU"/>
        </w:rPr>
        <w:t> </w:t>
      </w:r>
    </w:p>
    <w:p w14:paraId="03AD6702" w14:textId="37CB624E" w:rsidR="00F15258" w:rsidRDefault="00F15258" w:rsidP="00F15258">
      <w:pPr>
        <w:ind w:right="521"/>
        <w:jc w:val="both"/>
        <w:rPr>
          <w:color w:val="000000"/>
          <w:sz w:val="24"/>
          <w:szCs w:val="24"/>
          <w:lang w:val="en-AU" w:eastAsia="en-AU"/>
        </w:rPr>
      </w:pPr>
      <w:r w:rsidRPr="00F15258">
        <w:rPr>
          <w:color w:val="000000"/>
          <w:sz w:val="24"/>
          <w:szCs w:val="24"/>
          <w:lang w:val="en-AU" w:eastAsia="en-AU"/>
        </w:rPr>
        <w:t xml:space="preserve">The </w:t>
      </w:r>
      <w:r w:rsidR="00100696">
        <w:rPr>
          <w:color w:val="000000"/>
          <w:sz w:val="24"/>
          <w:szCs w:val="24"/>
          <w:lang w:val="en-AU" w:eastAsia="en-AU"/>
        </w:rPr>
        <w:t xml:space="preserve">Amendment </w:t>
      </w:r>
      <w:r w:rsidRPr="006D5921">
        <w:rPr>
          <w:color w:val="000000"/>
          <w:sz w:val="24"/>
          <w:szCs w:val="24"/>
          <w:lang w:val="en-AU" w:eastAsia="en-AU"/>
        </w:rPr>
        <w:t>Rules</w:t>
      </w:r>
      <w:r w:rsidRPr="00F15258">
        <w:rPr>
          <w:color w:val="000000"/>
          <w:sz w:val="24"/>
          <w:szCs w:val="24"/>
          <w:lang w:val="en-AU" w:eastAsia="en-AU"/>
        </w:rPr>
        <w:t xml:space="preserve"> commence </w:t>
      </w:r>
      <w:r w:rsidRPr="006D5921">
        <w:rPr>
          <w:color w:val="000000"/>
          <w:sz w:val="24"/>
          <w:szCs w:val="24"/>
          <w:lang w:val="en-AU" w:eastAsia="en-AU"/>
        </w:rPr>
        <w:t>immediately after they are registered.</w:t>
      </w:r>
    </w:p>
    <w:p w14:paraId="10871544" w14:textId="29479DC2" w:rsidR="000968EA" w:rsidRDefault="000968EA" w:rsidP="00F15258">
      <w:pPr>
        <w:ind w:right="521"/>
        <w:jc w:val="both"/>
        <w:rPr>
          <w:color w:val="000000"/>
          <w:sz w:val="24"/>
          <w:szCs w:val="24"/>
          <w:lang w:val="en-AU" w:eastAsia="en-AU"/>
        </w:rPr>
      </w:pPr>
    </w:p>
    <w:p w14:paraId="3B7BDCF7" w14:textId="6D3B0873" w:rsidR="000968EA" w:rsidRPr="006D5921" w:rsidRDefault="000968EA" w:rsidP="00F15258">
      <w:pPr>
        <w:ind w:right="521"/>
        <w:jc w:val="both"/>
        <w:rPr>
          <w:color w:val="000000"/>
          <w:sz w:val="24"/>
          <w:szCs w:val="24"/>
          <w:lang w:val="en-AU" w:eastAsia="en-AU"/>
        </w:rPr>
      </w:pPr>
      <w:r>
        <w:rPr>
          <w:color w:val="000000"/>
          <w:sz w:val="24"/>
          <w:szCs w:val="24"/>
          <w:lang w:val="en-AU" w:eastAsia="en-AU"/>
        </w:rPr>
        <w:t>Consultation was undertaken with affected stakeholders during the implementation of the Act.</w:t>
      </w:r>
    </w:p>
    <w:p w14:paraId="0A9DFD8F" w14:textId="5033285F" w:rsidR="00F15258" w:rsidRPr="006D5921" w:rsidRDefault="00F15258">
      <w:pPr>
        <w:spacing w:after="160" w:line="259" w:lineRule="auto"/>
        <w:rPr>
          <w:color w:val="000000"/>
          <w:sz w:val="24"/>
          <w:szCs w:val="24"/>
          <w:lang w:val="en-AU" w:eastAsia="en-AU"/>
        </w:rPr>
      </w:pPr>
      <w:r w:rsidRPr="006D5921">
        <w:rPr>
          <w:color w:val="000000"/>
          <w:sz w:val="24"/>
          <w:szCs w:val="24"/>
          <w:lang w:val="en-AU" w:eastAsia="en-AU"/>
        </w:rPr>
        <w:br w:type="page"/>
      </w:r>
    </w:p>
    <w:p w14:paraId="3D8FE6C7" w14:textId="1F43C88D" w:rsidR="00D8412F" w:rsidRPr="006D5921" w:rsidRDefault="00D8412F" w:rsidP="00D8412F">
      <w:pPr>
        <w:ind w:right="521"/>
        <w:jc w:val="both"/>
        <w:rPr>
          <w:b/>
          <w:color w:val="000000"/>
          <w:sz w:val="24"/>
          <w:szCs w:val="24"/>
          <w:u w:val="single"/>
          <w:lang w:val="en-AU" w:eastAsia="en-AU"/>
        </w:rPr>
      </w:pPr>
      <w:r w:rsidRPr="006D5921">
        <w:rPr>
          <w:b/>
          <w:color w:val="000000"/>
          <w:sz w:val="24"/>
          <w:szCs w:val="24"/>
          <w:u w:val="single"/>
          <w:lang w:val="en-AU" w:eastAsia="en-AU"/>
        </w:rPr>
        <w:lastRenderedPageBreak/>
        <w:t xml:space="preserve">ATTACHMENT </w:t>
      </w:r>
      <w:r w:rsidR="00F50EBA">
        <w:rPr>
          <w:b/>
          <w:color w:val="000000"/>
          <w:sz w:val="24"/>
          <w:szCs w:val="24"/>
          <w:u w:val="single"/>
          <w:lang w:val="en-AU" w:eastAsia="en-AU"/>
        </w:rPr>
        <w:t>A</w:t>
      </w:r>
    </w:p>
    <w:p w14:paraId="072E513D" w14:textId="006C8D1D" w:rsidR="00D8412F" w:rsidRPr="006D5921" w:rsidRDefault="00D8412F" w:rsidP="00D8412F">
      <w:pPr>
        <w:ind w:right="521"/>
        <w:jc w:val="both"/>
        <w:rPr>
          <w:b/>
          <w:color w:val="000000"/>
          <w:sz w:val="24"/>
          <w:szCs w:val="24"/>
          <w:u w:val="single"/>
          <w:lang w:val="en-AU" w:eastAsia="en-AU"/>
        </w:rPr>
      </w:pPr>
    </w:p>
    <w:p w14:paraId="5F6E332D" w14:textId="3DB5671F" w:rsidR="00D8412F" w:rsidRPr="006D5921" w:rsidRDefault="00D8412F" w:rsidP="00D8412F">
      <w:pPr>
        <w:ind w:right="521"/>
        <w:jc w:val="center"/>
        <w:rPr>
          <w:b/>
          <w:color w:val="000000"/>
          <w:sz w:val="24"/>
          <w:szCs w:val="24"/>
          <w:lang w:val="en-AU" w:eastAsia="en-AU"/>
        </w:rPr>
      </w:pPr>
      <w:r w:rsidRPr="006D5921">
        <w:rPr>
          <w:b/>
          <w:color w:val="000000"/>
          <w:sz w:val="24"/>
          <w:szCs w:val="24"/>
          <w:lang w:val="en-AU" w:eastAsia="en-AU"/>
        </w:rPr>
        <w:t>Statement of Compatibility with Human Rights</w:t>
      </w:r>
    </w:p>
    <w:p w14:paraId="7341D44B" w14:textId="053E93D9" w:rsidR="00D8412F" w:rsidRPr="006D5921" w:rsidRDefault="00D8412F" w:rsidP="00D8412F">
      <w:pPr>
        <w:ind w:right="521"/>
        <w:jc w:val="center"/>
        <w:rPr>
          <w:b/>
          <w:color w:val="000000"/>
          <w:sz w:val="24"/>
          <w:szCs w:val="24"/>
          <w:lang w:val="en-AU" w:eastAsia="en-AU"/>
        </w:rPr>
      </w:pPr>
    </w:p>
    <w:p w14:paraId="4CBA9AF6" w14:textId="3000583E" w:rsidR="00D8412F" w:rsidRPr="006D5921" w:rsidRDefault="00D8412F" w:rsidP="00D8412F">
      <w:pPr>
        <w:ind w:right="521"/>
        <w:jc w:val="center"/>
        <w:rPr>
          <w:i/>
          <w:color w:val="000000"/>
          <w:sz w:val="24"/>
          <w:szCs w:val="24"/>
          <w:lang w:val="en-AU" w:eastAsia="en-AU"/>
        </w:rPr>
      </w:pPr>
      <w:r w:rsidRPr="00F50EBA">
        <w:rPr>
          <w:iCs/>
          <w:color w:val="000000"/>
          <w:sz w:val="24"/>
          <w:szCs w:val="24"/>
          <w:lang w:val="en-AU" w:eastAsia="en-AU"/>
        </w:rPr>
        <w:t>Prepared in accordance with Part 3 of the</w:t>
      </w:r>
      <w:r w:rsidRPr="006D5921">
        <w:rPr>
          <w:i/>
          <w:color w:val="000000"/>
          <w:sz w:val="24"/>
          <w:szCs w:val="24"/>
          <w:lang w:val="en-AU" w:eastAsia="en-AU"/>
        </w:rPr>
        <w:t xml:space="preserve"> Human Rights (Parliamentary Scrutiny)</w:t>
      </w:r>
      <w:r w:rsidR="00F50EBA">
        <w:rPr>
          <w:i/>
          <w:color w:val="000000"/>
          <w:sz w:val="24"/>
          <w:szCs w:val="24"/>
          <w:lang w:val="en-AU" w:eastAsia="en-AU"/>
        </w:rPr>
        <w:t> </w:t>
      </w:r>
      <w:r w:rsidRPr="006D5921">
        <w:rPr>
          <w:i/>
          <w:color w:val="000000"/>
          <w:sz w:val="24"/>
          <w:szCs w:val="24"/>
          <w:lang w:val="en-AU" w:eastAsia="en-AU"/>
        </w:rPr>
        <w:t>Act</w:t>
      </w:r>
      <w:r w:rsidR="00F50EBA">
        <w:rPr>
          <w:i/>
          <w:color w:val="000000"/>
          <w:sz w:val="24"/>
          <w:szCs w:val="24"/>
          <w:lang w:val="en-AU" w:eastAsia="en-AU"/>
        </w:rPr>
        <w:t> </w:t>
      </w:r>
      <w:r w:rsidRPr="006D5921">
        <w:rPr>
          <w:i/>
          <w:color w:val="000000"/>
          <w:sz w:val="24"/>
          <w:szCs w:val="24"/>
          <w:lang w:val="en-AU" w:eastAsia="en-AU"/>
        </w:rPr>
        <w:t>2011</w:t>
      </w:r>
    </w:p>
    <w:p w14:paraId="0E68A3FB" w14:textId="7C24020D" w:rsidR="00D8412F" w:rsidRPr="006D5921" w:rsidRDefault="00D8412F" w:rsidP="00D8412F">
      <w:pPr>
        <w:ind w:right="521"/>
        <w:jc w:val="center"/>
        <w:rPr>
          <w:i/>
          <w:color w:val="000000"/>
          <w:sz w:val="24"/>
          <w:szCs w:val="24"/>
          <w:lang w:val="en-AU" w:eastAsia="en-AU"/>
        </w:rPr>
      </w:pPr>
    </w:p>
    <w:p w14:paraId="0C6FAB0E" w14:textId="5053780D" w:rsidR="00D8412F" w:rsidRPr="006D5921" w:rsidRDefault="00D8412F" w:rsidP="00D8412F">
      <w:pPr>
        <w:ind w:right="521"/>
        <w:jc w:val="center"/>
        <w:rPr>
          <w:b/>
          <w:color w:val="000000"/>
          <w:sz w:val="24"/>
          <w:szCs w:val="24"/>
          <w:lang w:val="en-AU" w:eastAsia="en-AU"/>
        </w:rPr>
      </w:pPr>
      <w:r w:rsidRPr="006D5921">
        <w:rPr>
          <w:b/>
          <w:color w:val="000000"/>
          <w:sz w:val="24"/>
          <w:szCs w:val="24"/>
          <w:lang w:val="en-AU" w:eastAsia="en-AU"/>
        </w:rPr>
        <w:t xml:space="preserve">Australia’s Foreign Relations (State and Territory Arrangements) </w:t>
      </w:r>
      <w:r w:rsidR="00EB20C6">
        <w:rPr>
          <w:b/>
          <w:color w:val="000000"/>
          <w:sz w:val="24"/>
          <w:szCs w:val="24"/>
          <w:lang w:val="en-AU" w:eastAsia="en-AU"/>
        </w:rPr>
        <w:t>Amendment (</w:t>
      </w:r>
      <w:r w:rsidR="00686B08">
        <w:rPr>
          <w:b/>
          <w:color w:val="000000"/>
          <w:sz w:val="24"/>
          <w:szCs w:val="24"/>
          <w:lang w:val="en-AU" w:eastAsia="en-AU"/>
        </w:rPr>
        <w:t>Education</w:t>
      </w:r>
      <w:r w:rsidR="00EB20C6">
        <w:rPr>
          <w:b/>
          <w:color w:val="000000"/>
          <w:sz w:val="24"/>
          <w:szCs w:val="24"/>
          <w:lang w:val="en-AU" w:eastAsia="en-AU"/>
        </w:rPr>
        <w:t>)</w:t>
      </w:r>
      <w:r w:rsidRPr="006D5921">
        <w:rPr>
          <w:b/>
          <w:color w:val="000000"/>
          <w:sz w:val="24"/>
          <w:szCs w:val="24"/>
          <w:lang w:val="en-AU" w:eastAsia="en-AU"/>
        </w:rPr>
        <w:t xml:space="preserve"> </w:t>
      </w:r>
      <w:r w:rsidR="00686B08">
        <w:rPr>
          <w:b/>
          <w:color w:val="000000"/>
          <w:sz w:val="24"/>
          <w:szCs w:val="24"/>
          <w:lang w:val="en-AU" w:eastAsia="en-AU"/>
        </w:rPr>
        <w:t xml:space="preserve">Rules </w:t>
      </w:r>
      <w:r w:rsidRPr="006D5921">
        <w:rPr>
          <w:b/>
          <w:color w:val="000000"/>
          <w:sz w:val="24"/>
          <w:szCs w:val="24"/>
          <w:lang w:val="en-AU" w:eastAsia="en-AU"/>
        </w:rPr>
        <w:t>202</w:t>
      </w:r>
      <w:r w:rsidR="00EB20C6">
        <w:rPr>
          <w:b/>
          <w:color w:val="000000"/>
          <w:sz w:val="24"/>
          <w:szCs w:val="24"/>
          <w:lang w:val="en-AU" w:eastAsia="en-AU"/>
        </w:rPr>
        <w:t>1</w:t>
      </w:r>
    </w:p>
    <w:p w14:paraId="76138064" w14:textId="425385A6" w:rsidR="00D8412F" w:rsidRPr="006D5921" w:rsidRDefault="00D8412F" w:rsidP="00D8412F">
      <w:pPr>
        <w:ind w:right="521"/>
        <w:jc w:val="center"/>
        <w:rPr>
          <w:b/>
          <w:i/>
          <w:color w:val="000000"/>
          <w:sz w:val="24"/>
          <w:szCs w:val="24"/>
          <w:lang w:val="en-AU" w:eastAsia="en-AU"/>
        </w:rPr>
      </w:pPr>
    </w:p>
    <w:p w14:paraId="193B1603" w14:textId="3F734783" w:rsidR="00D8412F" w:rsidRPr="006D5921" w:rsidRDefault="00D8412F" w:rsidP="00D8412F">
      <w:pPr>
        <w:rPr>
          <w:sz w:val="24"/>
          <w:szCs w:val="24"/>
          <w:lang w:val="en-AU"/>
        </w:rPr>
      </w:pPr>
      <w:r w:rsidRPr="006D5921">
        <w:rPr>
          <w:sz w:val="24"/>
          <w:szCs w:val="24"/>
          <w:lang w:val="en-AU"/>
        </w:rPr>
        <w:t xml:space="preserve">This disallowable </w:t>
      </w:r>
      <w:r w:rsidR="00ED1E04">
        <w:rPr>
          <w:sz w:val="24"/>
          <w:szCs w:val="24"/>
          <w:lang w:val="en-AU"/>
        </w:rPr>
        <w:t>legislative instrument,</w:t>
      </w:r>
      <w:r w:rsidRPr="006D5921">
        <w:rPr>
          <w:sz w:val="24"/>
          <w:szCs w:val="24"/>
          <w:lang w:val="en-AU"/>
        </w:rPr>
        <w:t xml:space="preserve"> the </w:t>
      </w:r>
      <w:r w:rsidRPr="006D5921">
        <w:rPr>
          <w:i/>
          <w:sz w:val="24"/>
          <w:szCs w:val="24"/>
          <w:lang w:val="en-AU"/>
        </w:rPr>
        <w:t>Australia’s Foreign Relations (State and Territory Arrangements)</w:t>
      </w:r>
      <w:r w:rsidR="00EB20C6">
        <w:rPr>
          <w:i/>
          <w:sz w:val="24"/>
          <w:szCs w:val="24"/>
          <w:lang w:val="en-AU"/>
        </w:rPr>
        <w:t xml:space="preserve"> Amendment (</w:t>
      </w:r>
      <w:r w:rsidR="00686B08">
        <w:rPr>
          <w:i/>
          <w:sz w:val="24"/>
          <w:szCs w:val="24"/>
          <w:lang w:val="en-AU"/>
        </w:rPr>
        <w:t>Education</w:t>
      </w:r>
      <w:r w:rsidR="00EB20C6">
        <w:rPr>
          <w:i/>
          <w:sz w:val="24"/>
          <w:szCs w:val="24"/>
          <w:lang w:val="en-AU"/>
        </w:rPr>
        <w:t>)</w:t>
      </w:r>
      <w:r w:rsidRPr="006D5921">
        <w:rPr>
          <w:i/>
          <w:sz w:val="24"/>
          <w:szCs w:val="24"/>
          <w:lang w:val="en-AU"/>
        </w:rPr>
        <w:t xml:space="preserve"> </w:t>
      </w:r>
      <w:r w:rsidR="00C2604C">
        <w:rPr>
          <w:i/>
          <w:sz w:val="24"/>
          <w:szCs w:val="24"/>
          <w:lang w:val="en-AU"/>
        </w:rPr>
        <w:t>Rules </w:t>
      </w:r>
      <w:r w:rsidRPr="006D5921">
        <w:rPr>
          <w:i/>
          <w:sz w:val="24"/>
          <w:szCs w:val="24"/>
          <w:lang w:val="en-AU"/>
        </w:rPr>
        <w:t>202</w:t>
      </w:r>
      <w:r w:rsidR="00EB20C6">
        <w:rPr>
          <w:i/>
          <w:sz w:val="24"/>
          <w:szCs w:val="24"/>
          <w:lang w:val="en-AU"/>
        </w:rPr>
        <w:t>1</w:t>
      </w:r>
      <w:r w:rsidRPr="006D5921">
        <w:rPr>
          <w:i/>
          <w:sz w:val="24"/>
          <w:szCs w:val="24"/>
          <w:lang w:val="en-AU"/>
        </w:rPr>
        <w:t xml:space="preserve"> </w:t>
      </w:r>
      <w:r w:rsidRPr="006D5921">
        <w:rPr>
          <w:sz w:val="24"/>
          <w:szCs w:val="24"/>
          <w:lang w:val="en-AU"/>
        </w:rPr>
        <w:t xml:space="preserve">(the Legislative Instrument), is compatible with the human rights and freedoms recognised or declared in the international instruments listed in section 3 of the </w:t>
      </w:r>
      <w:r w:rsidRPr="006D5921">
        <w:rPr>
          <w:i/>
          <w:sz w:val="24"/>
          <w:szCs w:val="24"/>
          <w:lang w:val="en-AU"/>
        </w:rPr>
        <w:t>Human Rights (Parliamentary Scrutiny) Act 2011</w:t>
      </w:r>
      <w:r w:rsidRPr="006D5921">
        <w:rPr>
          <w:sz w:val="24"/>
          <w:szCs w:val="24"/>
          <w:lang w:val="en-AU"/>
        </w:rPr>
        <w:t>.</w:t>
      </w:r>
    </w:p>
    <w:p w14:paraId="11B14E94" w14:textId="77777777" w:rsidR="00BA34E0" w:rsidRPr="006D5921" w:rsidRDefault="00BA34E0" w:rsidP="00BA34E0">
      <w:pPr>
        <w:pStyle w:val="ListParagraph"/>
        <w:ind w:right="521"/>
        <w:jc w:val="both"/>
        <w:rPr>
          <w:color w:val="000000"/>
          <w:sz w:val="24"/>
          <w:szCs w:val="24"/>
          <w:lang w:val="en-AU" w:eastAsia="en-AU"/>
        </w:rPr>
      </w:pPr>
    </w:p>
    <w:p w14:paraId="4BA8F64A" w14:textId="464A1097" w:rsidR="00D8412F" w:rsidRDefault="00D8412F" w:rsidP="00637366">
      <w:pPr>
        <w:rPr>
          <w:b/>
          <w:sz w:val="24"/>
          <w:szCs w:val="24"/>
          <w:lang w:val="en-AU"/>
        </w:rPr>
      </w:pPr>
      <w:r w:rsidRPr="006D5921">
        <w:rPr>
          <w:b/>
          <w:sz w:val="24"/>
          <w:szCs w:val="24"/>
          <w:lang w:val="en-AU"/>
        </w:rPr>
        <w:t>Overvi</w:t>
      </w:r>
      <w:r w:rsidR="00754026">
        <w:rPr>
          <w:b/>
          <w:sz w:val="24"/>
          <w:szCs w:val="24"/>
          <w:lang w:val="en-AU"/>
        </w:rPr>
        <w:t>ew of the Legislative Instrument</w:t>
      </w:r>
    </w:p>
    <w:p w14:paraId="226B520A" w14:textId="788F5253" w:rsidR="00754026" w:rsidRDefault="00754026" w:rsidP="00637366">
      <w:pPr>
        <w:rPr>
          <w:b/>
          <w:sz w:val="24"/>
          <w:szCs w:val="24"/>
          <w:lang w:val="en-AU"/>
        </w:rPr>
      </w:pPr>
    </w:p>
    <w:p w14:paraId="35A101DB" w14:textId="11856B47" w:rsidR="00EB20C6" w:rsidRDefault="00CC6986" w:rsidP="00637366">
      <w:pPr>
        <w:rPr>
          <w:sz w:val="24"/>
          <w:szCs w:val="24"/>
          <w:lang w:val="en-AU"/>
        </w:rPr>
      </w:pPr>
      <w:r>
        <w:rPr>
          <w:sz w:val="24"/>
          <w:szCs w:val="24"/>
          <w:lang w:val="en-AU"/>
        </w:rPr>
        <w:t xml:space="preserve">Part 1 of the </w:t>
      </w:r>
      <w:r w:rsidR="00ED1E04">
        <w:rPr>
          <w:sz w:val="24"/>
          <w:szCs w:val="24"/>
          <w:lang w:val="en-AU"/>
        </w:rPr>
        <w:t>Legislative Instrument</w:t>
      </w:r>
      <w:r>
        <w:rPr>
          <w:sz w:val="24"/>
          <w:szCs w:val="24"/>
          <w:lang w:val="en-AU"/>
        </w:rPr>
        <w:t xml:space="preserve"> deals with preliminary matters.</w:t>
      </w:r>
      <w:r w:rsidR="004C575B">
        <w:rPr>
          <w:sz w:val="24"/>
          <w:szCs w:val="24"/>
          <w:lang w:val="en-AU"/>
        </w:rPr>
        <w:t xml:space="preserve"> </w:t>
      </w:r>
      <w:r>
        <w:rPr>
          <w:sz w:val="24"/>
          <w:szCs w:val="24"/>
          <w:lang w:val="en-AU"/>
        </w:rPr>
        <w:t xml:space="preserve"> </w:t>
      </w:r>
      <w:r w:rsidR="002A57ED">
        <w:rPr>
          <w:sz w:val="24"/>
          <w:szCs w:val="24"/>
          <w:lang w:val="en-AU"/>
        </w:rPr>
        <w:t xml:space="preserve">Section 1 titles the Legislative Instrument the </w:t>
      </w:r>
      <w:r w:rsidR="002A57ED">
        <w:rPr>
          <w:i/>
          <w:sz w:val="24"/>
          <w:szCs w:val="24"/>
          <w:lang w:val="en-AU"/>
        </w:rPr>
        <w:t xml:space="preserve">Australia’s Foreign Relations (State and Territory Arrangements) </w:t>
      </w:r>
      <w:r w:rsidR="001203CA">
        <w:rPr>
          <w:i/>
          <w:sz w:val="24"/>
          <w:szCs w:val="24"/>
          <w:lang w:val="en-AU"/>
        </w:rPr>
        <w:t>Amendment (</w:t>
      </w:r>
      <w:r w:rsidR="00686B08">
        <w:rPr>
          <w:i/>
          <w:sz w:val="24"/>
          <w:szCs w:val="24"/>
          <w:lang w:val="en-AU"/>
        </w:rPr>
        <w:t>Education</w:t>
      </w:r>
      <w:r w:rsidR="001203CA">
        <w:rPr>
          <w:i/>
          <w:sz w:val="24"/>
          <w:szCs w:val="24"/>
          <w:lang w:val="en-AU"/>
        </w:rPr>
        <w:t xml:space="preserve">) </w:t>
      </w:r>
      <w:r w:rsidR="002A57ED">
        <w:rPr>
          <w:i/>
          <w:sz w:val="24"/>
          <w:szCs w:val="24"/>
          <w:lang w:val="en-AU"/>
        </w:rPr>
        <w:t>Rules 202</w:t>
      </w:r>
      <w:r w:rsidR="00580285">
        <w:rPr>
          <w:i/>
          <w:sz w:val="24"/>
          <w:szCs w:val="24"/>
          <w:lang w:val="en-AU"/>
        </w:rPr>
        <w:t>1</w:t>
      </w:r>
      <w:r w:rsidR="002A57ED">
        <w:rPr>
          <w:i/>
          <w:sz w:val="24"/>
          <w:szCs w:val="24"/>
          <w:lang w:val="en-AU"/>
        </w:rPr>
        <w:t xml:space="preserve">.  </w:t>
      </w:r>
      <w:r w:rsidR="004C575B">
        <w:rPr>
          <w:sz w:val="24"/>
          <w:szCs w:val="24"/>
          <w:lang w:val="en-AU"/>
        </w:rPr>
        <w:t>Section 2 provides that the</w:t>
      </w:r>
      <w:r>
        <w:rPr>
          <w:sz w:val="24"/>
          <w:szCs w:val="24"/>
          <w:lang w:val="en-AU"/>
        </w:rPr>
        <w:t xml:space="preserve"> </w:t>
      </w:r>
      <w:r w:rsidR="004C575B">
        <w:rPr>
          <w:sz w:val="24"/>
          <w:szCs w:val="24"/>
          <w:lang w:val="en-AU"/>
        </w:rPr>
        <w:t xml:space="preserve">Legislative Instrument </w:t>
      </w:r>
      <w:r>
        <w:rPr>
          <w:sz w:val="24"/>
          <w:szCs w:val="24"/>
          <w:lang w:val="en-AU"/>
        </w:rPr>
        <w:t>will commence immediately after it is registered.</w:t>
      </w:r>
      <w:r w:rsidR="004C575B">
        <w:rPr>
          <w:sz w:val="24"/>
          <w:szCs w:val="24"/>
          <w:lang w:val="en-AU"/>
        </w:rPr>
        <w:t xml:space="preserve">  Section 3 provides that the Legislative Instrument is made under the </w:t>
      </w:r>
      <w:r w:rsidR="004C575B" w:rsidRPr="00CC6986">
        <w:rPr>
          <w:i/>
          <w:sz w:val="24"/>
          <w:szCs w:val="24"/>
          <w:lang w:val="en-AU"/>
        </w:rPr>
        <w:t>Australia’s Foreign Relations (State and Territory A</w:t>
      </w:r>
      <w:r w:rsidR="004C575B">
        <w:rPr>
          <w:i/>
          <w:sz w:val="24"/>
          <w:szCs w:val="24"/>
          <w:lang w:val="en-AU"/>
        </w:rPr>
        <w:t xml:space="preserve">rrangements) Act 2020 </w:t>
      </w:r>
      <w:r w:rsidR="004C575B">
        <w:rPr>
          <w:sz w:val="24"/>
          <w:szCs w:val="24"/>
          <w:lang w:val="en-AU"/>
        </w:rPr>
        <w:t xml:space="preserve">(the Act).  </w:t>
      </w:r>
      <w:r w:rsidR="00EB20C6">
        <w:rPr>
          <w:sz w:val="24"/>
          <w:szCs w:val="24"/>
          <w:lang w:val="en-AU"/>
        </w:rPr>
        <w:t xml:space="preserve">Section 4 provides that each instrument in a Schedule to this instrument is amended or repealed as set out in the applicable items in the Schedule concerned. </w:t>
      </w:r>
    </w:p>
    <w:p w14:paraId="573536CA" w14:textId="6CC2F867" w:rsidR="00EB20C6" w:rsidRPr="00EB20C6" w:rsidRDefault="00EB20C6" w:rsidP="00EB20C6">
      <w:pPr>
        <w:spacing w:before="240"/>
        <w:rPr>
          <w:sz w:val="24"/>
          <w:szCs w:val="24"/>
          <w:lang w:val="en-AU"/>
        </w:rPr>
      </w:pPr>
      <w:r>
        <w:rPr>
          <w:sz w:val="24"/>
          <w:szCs w:val="24"/>
          <w:lang w:val="en-AU"/>
        </w:rPr>
        <w:t xml:space="preserve">Schedule 1 amends the </w:t>
      </w:r>
      <w:r>
        <w:rPr>
          <w:i/>
          <w:iCs/>
          <w:sz w:val="24"/>
          <w:szCs w:val="24"/>
          <w:lang w:val="en-AU"/>
        </w:rPr>
        <w:t>Australia’s Foreign Relations (State and Territory Arrangements)</w:t>
      </w:r>
      <w:r w:rsidR="00B738C4">
        <w:rPr>
          <w:i/>
          <w:iCs/>
          <w:sz w:val="24"/>
          <w:szCs w:val="24"/>
          <w:lang w:val="en-AU"/>
        </w:rPr>
        <w:t> </w:t>
      </w:r>
      <w:r>
        <w:rPr>
          <w:i/>
          <w:iCs/>
          <w:sz w:val="24"/>
          <w:szCs w:val="24"/>
          <w:lang w:val="en-AU"/>
        </w:rPr>
        <w:t>Rules</w:t>
      </w:r>
      <w:r w:rsidR="00B738C4">
        <w:rPr>
          <w:i/>
          <w:iCs/>
          <w:sz w:val="24"/>
          <w:szCs w:val="24"/>
          <w:lang w:val="en-AU"/>
        </w:rPr>
        <w:t> </w:t>
      </w:r>
      <w:r>
        <w:rPr>
          <w:i/>
          <w:iCs/>
          <w:sz w:val="24"/>
          <w:szCs w:val="24"/>
          <w:lang w:val="en-AU"/>
        </w:rPr>
        <w:t>2020</w:t>
      </w:r>
      <w:r>
        <w:rPr>
          <w:sz w:val="24"/>
          <w:szCs w:val="24"/>
          <w:lang w:val="en-AU"/>
        </w:rPr>
        <w:t xml:space="preserve">. </w:t>
      </w:r>
      <w:r w:rsidR="00B738C4">
        <w:rPr>
          <w:sz w:val="24"/>
          <w:szCs w:val="24"/>
          <w:lang w:val="en-AU"/>
        </w:rPr>
        <w:t>Clause </w:t>
      </w:r>
      <w:r>
        <w:rPr>
          <w:sz w:val="24"/>
          <w:szCs w:val="24"/>
          <w:lang w:val="en-AU"/>
        </w:rPr>
        <w:t xml:space="preserve">1 inserts a definition for school, meaning a </w:t>
      </w:r>
      <w:r w:rsidR="00EB6469">
        <w:rPr>
          <w:sz w:val="24"/>
          <w:szCs w:val="24"/>
          <w:lang w:val="en-AU"/>
        </w:rPr>
        <w:t>school that provides preschool, primary or secondary education</w:t>
      </w:r>
      <w:r>
        <w:rPr>
          <w:sz w:val="24"/>
          <w:szCs w:val="24"/>
          <w:lang w:val="en-AU"/>
        </w:rPr>
        <w:t xml:space="preserve">. </w:t>
      </w:r>
    </w:p>
    <w:p w14:paraId="44FEC467" w14:textId="77777777" w:rsidR="00821865" w:rsidRDefault="00821865" w:rsidP="00637366">
      <w:pPr>
        <w:rPr>
          <w:sz w:val="24"/>
          <w:szCs w:val="24"/>
          <w:lang w:val="en-AU"/>
        </w:rPr>
      </w:pPr>
    </w:p>
    <w:p w14:paraId="7102DB39" w14:textId="7C782333" w:rsidR="00D8412F" w:rsidRDefault="00B738C4" w:rsidP="00637366">
      <w:pPr>
        <w:rPr>
          <w:bCs/>
          <w:sz w:val="24"/>
          <w:szCs w:val="24"/>
          <w:lang w:val="en-AU"/>
        </w:rPr>
      </w:pPr>
      <w:r>
        <w:rPr>
          <w:bCs/>
          <w:sz w:val="24"/>
          <w:szCs w:val="24"/>
          <w:lang w:val="en-AU"/>
        </w:rPr>
        <w:t xml:space="preserve">Clause 2 adds a new section to the Rules to provide a longer </w:t>
      </w:r>
      <w:proofErr w:type="gramStart"/>
      <w:r>
        <w:rPr>
          <w:bCs/>
          <w:sz w:val="24"/>
          <w:szCs w:val="24"/>
          <w:lang w:val="en-AU"/>
        </w:rPr>
        <w:t>period of time</w:t>
      </w:r>
      <w:proofErr w:type="gramEnd"/>
      <w:r>
        <w:rPr>
          <w:bCs/>
          <w:sz w:val="24"/>
          <w:szCs w:val="24"/>
          <w:lang w:val="en-AU"/>
        </w:rPr>
        <w:t xml:space="preserve"> in which a State/Territory entity must give a notice about certain pre-existing core foreign arrangements.</w:t>
      </w:r>
    </w:p>
    <w:p w14:paraId="27EB5AAF" w14:textId="77777777" w:rsidR="00B738C4" w:rsidRPr="006D5921" w:rsidRDefault="00B738C4" w:rsidP="00637366">
      <w:pPr>
        <w:rPr>
          <w:sz w:val="24"/>
          <w:szCs w:val="24"/>
          <w:lang w:val="en-AU"/>
        </w:rPr>
      </w:pPr>
    </w:p>
    <w:p w14:paraId="35FA4823" w14:textId="3454D919" w:rsidR="00D8412F" w:rsidRPr="006D5921" w:rsidRDefault="00D8412F" w:rsidP="00637366">
      <w:pPr>
        <w:rPr>
          <w:b/>
          <w:sz w:val="24"/>
          <w:szCs w:val="24"/>
          <w:lang w:val="en-AU"/>
        </w:rPr>
      </w:pPr>
      <w:r w:rsidRPr="006D5921">
        <w:rPr>
          <w:b/>
          <w:sz w:val="24"/>
          <w:szCs w:val="24"/>
          <w:lang w:val="en-AU"/>
        </w:rPr>
        <w:t>Human rights implications</w:t>
      </w:r>
    </w:p>
    <w:p w14:paraId="671E1014" w14:textId="6F35E131" w:rsidR="00D8412F" w:rsidRDefault="00D8412F" w:rsidP="00637366">
      <w:pPr>
        <w:rPr>
          <w:sz w:val="24"/>
          <w:szCs w:val="24"/>
          <w:lang w:val="en-AU"/>
        </w:rPr>
      </w:pPr>
    </w:p>
    <w:p w14:paraId="7D214B4E" w14:textId="2976149C" w:rsidR="00FF3BA2" w:rsidRPr="006E6CCB" w:rsidRDefault="000C51AD" w:rsidP="00580285">
      <w:pPr>
        <w:rPr>
          <w:sz w:val="24"/>
          <w:szCs w:val="24"/>
          <w:lang w:val="en-AU"/>
        </w:rPr>
      </w:pPr>
      <w:r>
        <w:rPr>
          <w:sz w:val="24"/>
          <w:szCs w:val="24"/>
          <w:lang w:val="en-AU"/>
        </w:rPr>
        <w:t xml:space="preserve">The Legislative Instrument </w:t>
      </w:r>
      <w:r w:rsidR="00821865">
        <w:rPr>
          <w:sz w:val="24"/>
          <w:szCs w:val="24"/>
          <w:lang w:val="en-AU"/>
        </w:rPr>
        <w:t xml:space="preserve">does not engage any rights or freedoms. </w:t>
      </w:r>
    </w:p>
    <w:p w14:paraId="32306011" w14:textId="7A9B1D3F" w:rsidR="000C51AD" w:rsidRPr="006D5921" w:rsidRDefault="000C51AD" w:rsidP="00637366">
      <w:pPr>
        <w:rPr>
          <w:sz w:val="24"/>
          <w:szCs w:val="24"/>
          <w:lang w:val="en-AU"/>
        </w:rPr>
      </w:pPr>
    </w:p>
    <w:p w14:paraId="60584E72" w14:textId="4C1388FE" w:rsidR="00FF3BA2" w:rsidRDefault="00D8412F" w:rsidP="00637366">
      <w:pPr>
        <w:rPr>
          <w:b/>
          <w:sz w:val="24"/>
          <w:szCs w:val="24"/>
          <w:lang w:val="en-AU"/>
        </w:rPr>
      </w:pPr>
      <w:r w:rsidRPr="006D5921">
        <w:rPr>
          <w:b/>
          <w:sz w:val="24"/>
          <w:szCs w:val="24"/>
          <w:lang w:val="en-AU"/>
        </w:rPr>
        <w:t>Conclusion</w:t>
      </w:r>
    </w:p>
    <w:p w14:paraId="247B667F" w14:textId="44D0CD62" w:rsidR="00FF3BA2" w:rsidRDefault="00FF3BA2" w:rsidP="00637366">
      <w:pPr>
        <w:rPr>
          <w:b/>
          <w:sz w:val="24"/>
          <w:szCs w:val="24"/>
          <w:lang w:val="en-AU"/>
        </w:rPr>
      </w:pPr>
    </w:p>
    <w:p w14:paraId="1963F9FA" w14:textId="28BCFF7B" w:rsidR="00FF3BA2" w:rsidRPr="00FF3BA2" w:rsidRDefault="00FF3BA2" w:rsidP="00637366">
      <w:pPr>
        <w:rPr>
          <w:sz w:val="24"/>
          <w:szCs w:val="24"/>
          <w:lang w:val="en-AU"/>
        </w:rPr>
      </w:pPr>
      <w:r>
        <w:rPr>
          <w:sz w:val="24"/>
          <w:szCs w:val="24"/>
          <w:lang w:val="en-AU"/>
        </w:rPr>
        <w:t>The Legislative Instrument is compatible with human rights because</w:t>
      </w:r>
      <w:r w:rsidR="00821865">
        <w:rPr>
          <w:sz w:val="24"/>
          <w:szCs w:val="24"/>
          <w:lang w:val="en-AU"/>
        </w:rPr>
        <w:t xml:space="preserve"> it does not engage any rights or freedoms</w:t>
      </w:r>
      <w:r>
        <w:rPr>
          <w:sz w:val="24"/>
          <w:szCs w:val="24"/>
          <w:lang w:val="en-AU"/>
        </w:rPr>
        <w:t>.</w:t>
      </w:r>
    </w:p>
    <w:p w14:paraId="14FB24D4" w14:textId="210E0D4C" w:rsidR="00D8412F" w:rsidRPr="006D5921" w:rsidRDefault="00D8412F" w:rsidP="00637366">
      <w:pPr>
        <w:rPr>
          <w:sz w:val="24"/>
          <w:szCs w:val="24"/>
          <w:lang w:val="en-AU"/>
        </w:rPr>
      </w:pPr>
    </w:p>
    <w:p w14:paraId="37A4148A" w14:textId="7D8B9874" w:rsidR="00D8412F" w:rsidRPr="006D5921" w:rsidRDefault="00D8412F" w:rsidP="00D8412F">
      <w:pPr>
        <w:ind w:right="521"/>
        <w:jc w:val="center"/>
        <w:rPr>
          <w:b/>
          <w:color w:val="000000"/>
          <w:sz w:val="24"/>
          <w:szCs w:val="24"/>
          <w:lang w:val="en-AU" w:eastAsia="en-AU"/>
        </w:rPr>
      </w:pPr>
      <w:r w:rsidRPr="006D5921">
        <w:rPr>
          <w:b/>
          <w:color w:val="000000"/>
          <w:sz w:val="24"/>
          <w:szCs w:val="24"/>
          <w:lang w:val="en-AU" w:eastAsia="en-AU"/>
        </w:rPr>
        <w:t xml:space="preserve">Australia’s Foreign Relations (State and Territory Arrangements) Rules </w:t>
      </w:r>
      <w:r w:rsidR="00EB20C6">
        <w:rPr>
          <w:b/>
          <w:color w:val="000000"/>
          <w:sz w:val="24"/>
          <w:szCs w:val="24"/>
          <w:lang w:val="en-AU" w:eastAsia="en-AU"/>
        </w:rPr>
        <w:t>Amendment (</w:t>
      </w:r>
      <w:r w:rsidR="00686B08">
        <w:rPr>
          <w:b/>
          <w:color w:val="000000"/>
          <w:sz w:val="24"/>
          <w:szCs w:val="24"/>
          <w:lang w:val="en-AU" w:eastAsia="en-AU"/>
        </w:rPr>
        <w:t>Education</w:t>
      </w:r>
      <w:r w:rsidR="00EB20C6">
        <w:rPr>
          <w:b/>
          <w:color w:val="000000"/>
          <w:sz w:val="24"/>
          <w:szCs w:val="24"/>
          <w:lang w:val="en-AU" w:eastAsia="en-AU"/>
        </w:rPr>
        <w:t xml:space="preserve">) </w:t>
      </w:r>
      <w:r w:rsidRPr="006D5921">
        <w:rPr>
          <w:b/>
          <w:color w:val="000000"/>
          <w:sz w:val="24"/>
          <w:szCs w:val="24"/>
          <w:lang w:val="en-AU" w:eastAsia="en-AU"/>
        </w:rPr>
        <w:t>202</w:t>
      </w:r>
      <w:r w:rsidR="00EB20C6">
        <w:rPr>
          <w:b/>
          <w:color w:val="000000"/>
          <w:sz w:val="24"/>
          <w:szCs w:val="24"/>
          <w:lang w:val="en-AU" w:eastAsia="en-AU"/>
        </w:rPr>
        <w:t>1</w:t>
      </w:r>
    </w:p>
    <w:p w14:paraId="3320DFE5" w14:textId="64574CE3" w:rsidR="00D8412F" w:rsidRPr="006D5921" w:rsidRDefault="00D8412F" w:rsidP="00637366">
      <w:pPr>
        <w:rPr>
          <w:sz w:val="24"/>
          <w:szCs w:val="24"/>
          <w:lang w:val="en-AU"/>
        </w:rPr>
      </w:pPr>
    </w:p>
    <w:p w14:paraId="042D9F2C" w14:textId="3915D6C2" w:rsidR="00D8412F" w:rsidRPr="006D5921" w:rsidRDefault="00D8412F" w:rsidP="00D8412F">
      <w:pPr>
        <w:jc w:val="center"/>
        <w:rPr>
          <w:b/>
          <w:sz w:val="24"/>
          <w:szCs w:val="24"/>
          <w:lang w:val="en-AU"/>
        </w:rPr>
      </w:pPr>
      <w:r w:rsidRPr="006D5921">
        <w:rPr>
          <w:b/>
          <w:sz w:val="24"/>
          <w:szCs w:val="24"/>
          <w:lang w:val="en-AU"/>
        </w:rPr>
        <w:t xml:space="preserve">Senator the Hon. </w:t>
      </w:r>
      <w:proofErr w:type="spellStart"/>
      <w:r w:rsidRPr="006D5921">
        <w:rPr>
          <w:b/>
          <w:sz w:val="24"/>
          <w:szCs w:val="24"/>
          <w:lang w:val="en-AU"/>
        </w:rPr>
        <w:t>Marise</w:t>
      </w:r>
      <w:proofErr w:type="spellEnd"/>
      <w:r w:rsidRPr="006D5921">
        <w:rPr>
          <w:b/>
          <w:sz w:val="24"/>
          <w:szCs w:val="24"/>
          <w:lang w:val="en-AU"/>
        </w:rPr>
        <w:t xml:space="preserve"> Payne, Minister for Foreign Affairs</w:t>
      </w:r>
    </w:p>
    <w:p w14:paraId="3B0B25A8" w14:textId="25860E0E" w:rsidR="00D8412F" w:rsidRPr="006D5921" w:rsidRDefault="00D8412F">
      <w:pPr>
        <w:spacing w:after="160" w:line="259" w:lineRule="auto"/>
        <w:rPr>
          <w:sz w:val="24"/>
          <w:szCs w:val="24"/>
          <w:lang w:val="en-AU"/>
        </w:rPr>
      </w:pPr>
      <w:r w:rsidRPr="006D5921">
        <w:rPr>
          <w:sz w:val="24"/>
          <w:szCs w:val="24"/>
          <w:lang w:val="en-AU"/>
        </w:rPr>
        <w:br w:type="page"/>
      </w:r>
    </w:p>
    <w:p w14:paraId="75625D2F" w14:textId="75EBC058" w:rsidR="00BB12E6" w:rsidRPr="006D5921" w:rsidRDefault="00BB12E6" w:rsidP="00BB12E6">
      <w:pPr>
        <w:rPr>
          <w:b/>
          <w:sz w:val="24"/>
          <w:szCs w:val="24"/>
          <w:u w:val="single"/>
          <w:lang w:val="en-AU"/>
        </w:rPr>
      </w:pPr>
      <w:r w:rsidRPr="006D5921">
        <w:rPr>
          <w:b/>
          <w:sz w:val="24"/>
          <w:szCs w:val="24"/>
          <w:u w:val="single"/>
          <w:lang w:val="en-AU"/>
        </w:rPr>
        <w:lastRenderedPageBreak/>
        <w:t xml:space="preserve">ATTACHMENT </w:t>
      </w:r>
      <w:r w:rsidR="00F50EBA">
        <w:rPr>
          <w:b/>
          <w:sz w:val="24"/>
          <w:szCs w:val="24"/>
          <w:u w:val="single"/>
          <w:lang w:val="en-AU"/>
        </w:rPr>
        <w:t>B</w:t>
      </w:r>
    </w:p>
    <w:p w14:paraId="599DBA93" w14:textId="77777777" w:rsidR="00BB12E6" w:rsidRPr="006D5921" w:rsidRDefault="00BB12E6" w:rsidP="00BB12E6">
      <w:pPr>
        <w:rPr>
          <w:b/>
          <w:sz w:val="24"/>
          <w:szCs w:val="24"/>
          <w:u w:val="single"/>
          <w:lang w:val="en-AU"/>
        </w:rPr>
      </w:pPr>
    </w:p>
    <w:p w14:paraId="130B85D4" w14:textId="5774BEFD" w:rsidR="00BB12E6" w:rsidRPr="006D5921" w:rsidRDefault="00BB12E6" w:rsidP="00BB12E6">
      <w:pPr>
        <w:rPr>
          <w:b/>
          <w:i/>
          <w:sz w:val="24"/>
          <w:szCs w:val="24"/>
          <w:lang w:val="en-AU"/>
        </w:rPr>
      </w:pPr>
      <w:r w:rsidRPr="006D5921">
        <w:rPr>
          <w:b/>
          <w:sz w:val="24"/>
          <w:szCs w:val="24"/>
          <w:lang w:val="en-AU"/>
        </w:rPr>
        <w:t xml:space="preserve">DETAILS OF </w:t>
      </w:r>
      <w:r w:rsidRPr="006D5921">
        <w:rPr>
          <w:b/>
          <w:i/>
          <w:sz w:val="24"/>
          <w:szCs w:val="24"/>
          <w:lang w:val="en-AU"/>
        </w:rPr>
        <w:t>AUSTRALIA’S FOREIGN RELATIONS (STATE AND TERRITORY ARRANGEMENTS)</w:t>
      </w:r>
      <w:r w:rsidR="002A2524">
        <w:rPr>
          <w:b/>
          <w:i/>
          <w:sz w:val="24"/>
          <w:szCs w:val="24"/>
          <w:lang w:val="en-AU"/>
        </w:rPr>
        <w:t xml:space="preserve"> AMENDMENT (</w:t>
      </w:r>
      <w:r w:rsidR="00686B08">
        <w:rPr>
          <w:b/>
          <w:i/>
          <w:sz w:val="24"/>
          <w:szCs w:val="24"/>
          <w:lang w:val="en-AU"/>
        </w:rPr>
        <w:t>EDUCATION</w:t>
      </w:r>
      <w:r w:rsidR="002A2524">
        <w:rPr>
          <w:b/>
          <w:i/>
          <w:sz w:val="24"/>
          <w:szCs w:val="24"/>
          <w:lang w:val="en-AU"/>
        </w:rPr>
        <w:t>)</w:t>
      </w:r>
      <w:r w:rsidRPr="006D5921">
        <w:rPr>
          <w:b/>
          <w:i/>
          <w:sz w:val="24"/>
          <w:szCs w:val="24"/>
          <w:lang w:val="en-AU"/>
        </w:rPr>
        <w:t xml:space="preserve"> RULES 202</w:t>
      </w:r>
      <w:r w:rsidR="002A2524">
        <w:rPr>
          <w:b/>
          <w:i/>
          <w:sz w:val="24"/>
          <w:szCs w:val="24"/>
          <w:lang w:val="en-AU"/>
        </w:rPr>
        <w:t>1</w:t>
      </w:r>
    </w:p>
    <w:p w14:paraId="3C19C31F" w14:textId="703EEFDE" w:rsidR="00BB12E6" w:rsidRDefault="00BB12E6" w:rsidP="00BB12E6">
      <w:pPr>
        <w:rPr>
          <w:sz w:val="24"/>
          <w:szCs w:val="24"/>
          <w:lang w:val="en-AU"/>
        </w:rPr>
      </w:pPr>
    </w:p>
    <w:p w14:paraId="39851A40" w14:textId="20BCE5A1" w:rsidR="00F50EBA" w:rsidRPr="00F50EBA" w:rsidRDefault="00F50EBA" w:rsidP="00BB12E6">
      <w:pPr>
        <w:rPr>
          <w:b/>
          <w:bCs/>
          <w:sz w:val="24"/>
          <w:szCs w:val="24"/>
          <w:lang w:val="en-AU"/>
        </w:rPr>
      </w:pPr>
      <w:r w:rsidRPr="00F50EBA">
        <w:rPr>
          <w:b/>
          <w:bCs/>
          <w:sz w:val="24"/>
          <w:szCs w:val="24"/>
          <w:lang w:val="en-AU"/>
        </w:rPr>
        <w:t>Section 1</w:t>
      </w:r>
    </w:p>
    <w:p w14:paraId="1866556A" w14:textId="09C20DA9" w:rsidR="00F50EBA" w:rsidRDefault="00F50EBA" w:rsidP="00BB12E6">
      <w:pPr>
        <w:rPr>
          <w:sz w:val="24"/>
          <w:szCs w:val="24"/>
          <w:lang w:val="en-AU"/>
        </w:rPr>
      </w:pPr>
    </w:p>
    <w:p w14:paraId="7492BA66" w14:textId="1CFF286B" w:rsidR="00F50EBA" w:rsidRDefault="00F50EBA" w:rsidP="00BB12E6">
      <w:pPr>
        <w:rPr>
          <w:sz w:val="24"/>
          <w:szCs w:val="24"/>
          <w:lang w:val="en-AU"/>
        </w:rPr>
      </w:pPr>
      <w:r>
        <w:rPr>
          <w:sz w:val="24"/>
          <w:szCs w:val="24"/>
          <w:lang w:val="en-AU"/>
        </w:rPr>
        <w:t>Section 1 provides that the name of the Rule</w:t>
      </w:r>
      <w:r w:rsidR="00C2604C">
        <w:rPr>
          <w:sz w:val="24"/>
          <w:szCs w:val="24"/>
          <w:lang w:val="en-AU"/>
        </w:rPr>
        <w:t>s</w:t>
      </w:r>
      <w:r>
        <w:rPr>
          <w:sz w:val="24"/>
          <w:szCs w:val="24"/>
          <w:lang w:val="en-AU"/>
        </w:rPr>
        <w:t xml:space="preserve"> </w:t>
      </w:r>
      <w:r w:rsidR="00100696">
        <w:rPr>
          <w:sz w:val="24"/>
          <w:szCs w:val="24"/>
          <w:lang w:val="en-AU"/>
        </w:rPr>
        <w:t>is</w:t>
      </w:r>
      <w:r>
        <w:rPr>
          <w:sz w:val="24"/>
          <w:szCs w:val="24"/>
          <w:lang w:val="en-AU"/>
        </w:rPr>
        <w:t xml:space="preserve"> </w:t>
      </w:r>
      <w:r w:rsidRPr="00F50EBA">
        <w:rPr>
          <w:i/>
          <w:iCs/>
          <w:sz w:val="24"/>
          <w:szCs w:val="24"/>
          <w:lang w:val="en-AU"/>
        </w:rPr>
        <w:t xml:space="preserve">Australia’s Foreign Relations (State </w:t>
      </w:r>
      <w:r>
        <w:rPr>
          <w:i/>
          <w:iCs/>
          <w:sz w:val="24"/>
          <w:szCs w:val="24"/>
          <w:lang w:val="en-AU"/>
        </w:rPr>
        <w:t>a</w:t>
      </w:r>
      <w:r w:rsidRPr="00F50EBA">
        <w:rPr>
          <w:i/>
          <w:iCs/>
          <w:sz w:val="24"/>
          <w:szCs w:val="24"/>
          <w:lang w:val="en-AU"/>
        </w:rPr>
        <w:t>nd Territory Arrangements) Amendment (Education)</w:t>
      </w:r>
      <w:r>
        <w:rPr>
          <w:i/>
          <w:iCs/>
          <w:sz w:val="24"/>
          <w:szCs w:val="24"/>
          <w:lang w:val="en-AU"/>
        </w:rPr>
        <w:t> </w:t>
      </w:r>
      <w:r w:rsidRPr="00F50EBA">
        <w:rPr>
          <w:i/>
          <w:iCs/>
          <w:sz w:val="24"/>
          <w:szCs w:val="24"/>
          <w:lang w:val="en-AU"/>
        </w:rPr>
        <w:t>Rules</w:t>
      </w:r>
      <w:r>
        <w:rPr>
          <w:i/>
          <w:iCs/>
          <w:sz w:val="24"/>
          <w:szCs w:val="24"/>
          <w:lang w:val="en-AU"/>
        </w:rPr>
        <w:t> </w:t>
      </w:r>
      <w:r w:rsidRPr="00F50EBA">
        <w:rPr>
          <w:i/>
          <w:iCs/>
          <w:sz w:val="24"/>
          <w:szCs w:val="24"/>
          <w:lang w:val="en-AU"/>
        </w:rPr>
        <w:t>2021</w:t>
      </w:r>
      <w:r w:rsidR="00100696">
        <w:rPr>
          <w:sz w:val="24"/>
          <w:szCs w:val="24"/>
          <w:lang w:val="en-AU"/>
        </w:rPr>
        <w:t xml:space="preserve"> (the Amendment Rules)</w:t>
      </w:r>
      <w:r>
        <w:rPr>
          <w:sz w:val="24"/>
          <w:szCs w:val="24"/>
          <w:lang w:val="en-AU"/>
        </w:rPr>
        <w:t>.</w:t>
      </w:r>
    </w:p>
    <w:p w14:paraId="10C1F0C8" w14:textId="7B3EF24F" w:rsidR="00F50EBA" w:rsidRDefault="00F50EBA" w:rsidP="00BB12E6">
      <w:pPr>
        <w:rPr>
          <w:sz w:val="24"/>
          <w:szCs w:val="24"/>
          <w:lang w:val="en-AU"/>
        </w:rPr>
      </w:pPr>
    </w:p>
    <w:p w14:paraId="38E2AFBE" w14:textId="65D0030C" w:rsidR="00F50EBA" w:rsidRDefault="00F50EBA" w:rsidP="00BB12E6">
      <w:pPr>
        <w:rPr>
          <w:sz w:val="24"/>
          <w:szCs w:val="24"/>
          <w:lang w:val="en-AU"/>
        </w:rPr>
      </w:pPr>
      <w:r>
        <w:rPr>
          <w:b/>
          <w:bCs/>
          <w:sz w:val="24"/>
          <w:szCs w:val="24"/>
          <w:lang w:val="en-AU"/>
        </w:rPr>
        <w:t>Section 2</w:t>
      </w:r>
    </w:p>
    <w:p w14:paraId="7811C98F" w14:textId="5D6E69DC" w:rsidR="00F50EBA" w:rsidRDefault="00F50EBA" w:rsidP="00BB12E6">
      <w:pPr>
        <w:rPr>
          <w:sz w:val="24"/>
          <w:szCs w:val="24"/>
          <w:lang w:val="en-AU"/>
        </w:rPr>
      </w:pPr>
    </w:p>
    <w:p w14:paraId="6FE000F3" w14:textId="17123FDE" w:rsidR="00F50EBA" w:rsidRDefault="00F50EBA" w:rsidP="00BB12E6">
      <w:pPr>
        <w:rPr>
          <w:sz w:val="24"/>
          <w:szCs w:val="24"/>
          <w:lang w:val="en-AU"/>
        </w:rPr>
      </w:pPr>
      <w:r>
        <w:rPr>
          <w:sz w:val="24"/>
          <w:szCs w:val="24"/>
          <w:lang w:val="en-AU"/>
        </w:rPr>
        <w:t xml:space="preserve">Section 2 provides that the </w:t>
      </w:r>
      <w:r w:rsidR="00100696">
        <w:rPr>
          <w:sz w:val="24"/>
          <w:szCs w:val="24"/>
          <w:lang w:val="en-AU"/>
        </w:rPr>
        <w:t xml:space="preserve">Amendment </w:t>
      </w:r>
      <w:r>
        <w:rPr>
          <w:sz w:val="24"/>
          <w:szCs w:val="24"/>
          <w:lang w:val="en-AU"/>
        </w:rPr>
        <w:t>Rule</w:t>
      </w:r>
      <w:r w:rsidR="00C2604C">
        <w:rPr>
          <w:sz w:val="24"/>
          <w:szCs w:val="24"/>
          <w:lang w:val="en-AU"/>
        </w:rPr>
        <w:t>s</w:t>
      </w:r>
      <w:r>
        <w:rPr>
          <w:sz w:val="24"/>
          <w:szCs w:val="24"/>
          <w:lang w:val="en-AU"/>
        </w:rPr>
        <w:t xml:space="preserve"> commence immediately after it is registered. </w:t>
      </w:r>
    </w:p>
    <w:p w14:paraId="1ADE688C" w14:textId="615D853E" w:rsidR="00F50EBA" w:rsidRDefault="00F50EBA" w:rsidP="00BB12E6">
      <w:pPr>
        <w:rPr>
          <w:sz w:val="24"/>
          <w:szCs w:val="24"/>
          <w:lang w:val="en-AU"/>
        </w:rPr>
      </w:pPr>
    </w:p>
    <w:p w14:paraId="5BCD992D" w14:textId="345E465C" w:rsidR="00F50EBA" w:rsidRPr="00F50EBA" w:rsidRDefault="00F50EBA" w:rsidP="00BB12E6">
      <w:pPr>
        <w:rPr>
          <w:b/>
          <w:bCs/>
          <w:sz w:val="24"/>
          <w:szCs w:val="24"/>
          <w:lang w:val="en-AU"/>
        </w:rPr>
      </w:pPr>
      <w:r w:rsidRPr="00F50EBA">
        <w:rPr>
          <w:b/>
          <w:bCs/>
          <w:sz w:val="24"/>
          <w:szCs w:val="24"/>
          <w:lang w:val="en-AU"/>
        </w:rPr>
        <w:t>Section 3</w:t>
      </w:r>
    </w:p>
    <w:p w14:paraId="4501A405" w14:textId="1FBDFCBC" w:rsidR="00F50EBA" w:rsidRDefault="00F50EBA" w:rsidP="00BB12E6">
      <w:pPr>
        <w:rPr>
          <w:sz w:val="24"/>
          <w:szCs w:val="24"/>
          <w:lang w:val="en-AU"/>
        </w:rPr>
      </w:pPr>
    </w:p>
    <w:p w14:paraId="56956C72" w14:textId="25F4874A" w:rsidR="00F50EBA" w:rsidRPr="00C2604C" w:rsidRDefault="00F50EBA" w:rsidP="00BB12E6">
      <w:pPr>
        <w:rPr>
          <w:sz w:val="24"/>
          <w:szCs w:val="24"/>
          <w:lang w:val="en-AU"/>
        </w:rPr>
      </w:pPr>
      <w:r>
        <w:rPr>
          <w:sz w:val="24"/>
          <w:szCs w:val="24"/>
          <w:lang w:val="en-AU"/>
        </w:rPr>
        <w:t xml:space="preserve">Section 3 states that the authority for making the </w:t>
      </w:r>
      <w:r w:rsidR="00100696">
        <w:rPr>
          <w:sz w:val="24"/>
          <w:szCs w:val="24"/>
          <w:lang w:val="en-AU"/>
        </w:rPr>
        <w:t xml:space="preserve">Amendment </w:t>
      </w:r>
      <w:r>
        <w:rPr>
          <w:sz w:val="24"/>
          <w:szCs w:val="24"/>
          <w:lang w:val="en-AU"/>
        </w:rPr>
        <w:t>Rule</w:t>
      </w:r>
      <w:r w:rsidR="00C2604C">
        <w:rPr>
          <w:sz w:val="24"/>
          <w:szCs w:val="24"/>
          <w:lang w:val="en-AU"/>
        </w:rPr>
        <w:t>s</w:t>
      </w:r>
      <w:r>
        <w:rPr>
          <w:sz w:val="24"/>
          <w:szCs w:val="24"/>
          <w:lang w:val="en-AU"/>
        </w:rPr>
        <w:t xml:space="preserve"> is taken from </w:t>
      </w:r>
      <w:r w:rsidR="00C2604C">
        <w:rPr>
          <w:sz w:val="24"/>
          <w:szCs w:val="24"/>
          <w:lang w:val="en-AU"/>
        </w:rPr>
        <w:t xml:space="preserve">the </w:t>
      </w:r>
      <w:r w:rsidR="00C2604C">
        <w:rPr>
          <w:i/>
          <w:iCs/>
          <w:sz w:val="24"/>
          <w:szCs w:val="24"/>
          <w:lang w:val="en-AU"/>
        </w:rPr>
        <w:t>Australia’s Foreign Relations (State and Territory Arrangements) Act 2020</w:t>
      </w:r>
      <w:r w:rsidR="00C2604C">
        <w:rPr>
          <w:sz w:val="24"/>
          <w:szCs w:val="24"/>
          <w:lang w:val="en-AU"/>
        </w:rPr>
        <w:t>.</w:t>
      </w:r>
    </w:p>
    <w:p w14:paraId="48EB125A" w14:textId="77777777" w:rsidR="00F50EBA" w:rsidRPr="006D5921" w:rsidRDefault="00F50EBA" w:rsidP="00BB12E6">
      <w:pPr>
        <w:rPr>
          <w:sz w:val="24"/>
          <w:szCs w:val="24"/>
          <w:lang w:val="en-AU"/>
        </w:rPr>
      </w:pPr>
    </w:p>
    <w:p w14:paraId="73ECAA28" w14:textId="2F0D56FF" w:rsidR="00C2604C" w:rsidRPr="006D5921" w:rsidRDefault="00C2604C" w:rsidP="00C2604C">
      <w:pPr>
        <w:rPr>
          <w:b/>
          <w:sz w:val="24"/>
          <w:szCs w:val="24"/>
          <w:lang w:val="en-AU"/>
        </w:rPr>
      </w:pPr>
      <w:r w:rsidRPr="006D5921">
        <w:rPr>
          <w:b/>
          <w:sz w:val="24"/>
          <w:szCs w:val="24"/>
          <w:lang w:val="en-AU"/>
        </w:rPr>
        <w:t xml:space="preserve">Section </w:t>
      </w:r>
      <w:r>
        <w:rPr>
          <w:b/>
          <w:sz w:val="24"/>
          <w:szCs w:val="24"/>
          <w:lang w:val="en-AU"/>
        </w:rPr>
        <w:t>4</w:t>
      </w:r>
    </w:p>
    <w:p w14:paraId="56676602" w14:textId="2DCF4CFB" w:rsidR="00C2604C" w:rsidRDefault="00C2604C" w:rsidP="00BB12E6">
      <w:pPr>
        <w:rPr>
          <w:bCs/>
          <w:sz w:val="24"/>
          <w:szCs w:val="24"/>
          <w:lang w:val="en-AU"/>
        </w:rPr>
      </w:pPr>
    </w:p>
    <w:p w14:paraId="04C8F295" w14:textId="1C9E4697" w:rsidR="00C2604C" w:rsidRPr="00C2604C" w:rsidRDefault="00C2604C" w:rsidP="00BB12E6">
      <w:pPr>
        <w:rPr>
          <w:bCs/>
          <w:sz w:val="24"/>
          <w:szCs w:val="24"/>
          <w:lang w:val="en-AU"/>
        </w:rPr>
      </w:pPr>
      <w:r>
        <w:rPr>
          <w:bCs/>
          <w:sz w:val="24"/>
          <w:szCs w:val="24"/>
          <w:lang w:val="en-AU"/>
        </w:rPr>
        <w:t xml:space="preserve">Section 4 is a provision that gives effect to the amendments </w:t>
      </w:r>
      <w:r w:rsidR="00100696">
        <w:rPr>
          <w:bCs/>
          <w:sz w:val="24"/>
          <w:szCs w:val="24"/>
          <w:lang w:val="en-AU"/>
        </w:rPr>
        <w:t xml:space="preserve">to the </w:t>
      </w:r>
      <w:r w:rsidR="00100696">
        <w:rPr>
          <w:bCs/>
          <w:i/>
          <w:iCs/>
          <w:sz w:val="24"/>
          <w:szCs w:val="24"/>
          <w:lang w:val="en-AU"/>
        </w:rPr>
        <w:t>Australia’s Foreign Relations (State and Territory Arrangements) Rules 2020</w:t>
      </w:r>
      <w:r w:rsidR="00100696">
        <w:rPr>
          <w:bCs/>
          <w:sz w:val="24"/>
          <w:szCs w:val="24"/>
          <w:lang w:val="en-AU"/>
        </w:rPr>
        <w:t xml:space="preserve"> (the Rules) as </w:t>
      </w:r>
      <w:r>
        <w:rPr>
          <w:bCs/>
          <w:sz w:val="24"/>
          <w:szCs w:val="24"/>
          <w:lang w:val="en-AU"/>
        </w:rPr>
        <w:t>described in the Schedule.</w:t>
      </w:r>
    </w:p>
    <w:p w14:paraId="297D96B0" w14:textId="77777777" w:rsidR="00C2604C" w:rsidRPr="00C2604C" w:rsidRDefault="00C2604C" w:rsidP="00BB12E6">
      <w:pPr>
        <w:rPr>
          <w:bCs/>
          <w:sz w:val="24"/>
          <w:szCs w:val="24"/>
          <w:lang w:val="en-AU"/>
        </w:rPr>
      </w:pPr>
    </w:p>
    <w:p w14:paraId="435F6370" w14:textId="57C130E5" w:rsidR="00BB12E6" w:rsidRPr="006B60EB" w:rsidRDefault="00EB6469" w:rsidP="00BB12E6">
      <w:pPr>
        <w:rPr>
          <w:bCs/>
          <w:sz w:val="24"/>
          <w:szCs w:val="24"/>
          <w:u w:val="single"/>
          <w:lang w:val="en-AU"/>
        </w:rPr>
      </w:pPr>
      <w:r w:rsidRPr="006B60EB">
        <w:rPr>
          <w:bCs/>
          <w:sz w:val="24"/>
          <w:szCs w:val="24"/>
          <w:u w:val="single"/>
          <w:lang w:val="en-AU"/>
        </w:rPr>
        <w:t>Schedule 1</w:t>
      </w:r>
    </w:p>
    <w:p w14:paraId="0D837C7A" w14:textId="1AB2B0B7" w:rsidR="00EB6469" w:rsidRDefault="00EB6469" w:rsidP="00580285">
      <w:pPr>
        <w:rPr>
          <w:sz w:val="24"/>
          <w:szCs w:val="24"/>
          <w:lang w:val="en-AU"/>
        </w:rPr>
      </w:pPr>
    </w:p>
    <w:p w14:paraId="0AF74CA5" w14:textId="77777777" w:rsidR="00C2604C" w:rsidRPr="00C2604C" w:rsidRDefault="00C2604C" w:rsidP="00C2604C">
      <w:pPr>
        <w:rPr>
          <w:b/>
          <w:bCs/>
          <w:sz w:val="24"/>
          <w:szCs w:val="24"/>
          <w:lang w:val="en-AU"/>
        </w:rPr>
      </w:pPr>
      <w:r w:rsidRPr="00C2604C">
        <w:rPr>
          <w:b/>
          <w:bCs/>
          <w:sz w:val="24"/>
          <w:szCs w:val="24"/>
          <w:lang w:val="en-AU"/>
        </w:rPr>
        <w:t>Clause 1</w:t>
      </w:r>
    </w:p>
    <w:p w14:paraId="6A357383" w14:textId="77777777" w:rsidR="00C2604C" w:rsidRDefault="00C2604C" w:rsidP="00C2604C">
      <w:pPr>
        <w:rPr>
          <w:sz w:val="24"/>
          <w:szCs w:val="24"/>
          <w:lang w:val="en-AU"/>
        </w:rPr>
      </w:pPr>
    </w:p>
    <w:p w14:paraId="2360D039" w14:textId="138B3D41" w:rsidR="00EB6469" w:rsidRPr="00C2604C" w:rsidRDefault="00EB6469" w:rsidP="00C2604C">
      <w:pPr>
        <w:rPr>
          <w:sz w:val="24"/>
          <w:szCs w:val="24"/>
          <w:lang w:val="en-AU"/>
        </w:rPr>
      </w:pPr>
      <w:r w:rsidRPr="00C2604C">
        <w:rPr>
          <w:sz w:val="24"/>
          <w:szCs w:val="24"/>
          <w:lang w:val="en-AU"/>
        </w:rPr>
        <w:t xml:space="preserve">This </w:t>
      </w:r>
      <w:r w:rsidR="00100696">
        <w:rPr>
          <w:sz w:val="24"/>
          <w:szCs w:val="24"/>
          <w:lang w:val="en-AU"/>
        </w:rPr>
        <w:t xml:space="preserve">clause inserts a definition of school into section 4 of the Rules. It defines school as </w:t>
      </w:r>
      <w:r w:rsidRPr="00C2604C">
        <w:rPr>
          <w:sz w:val="24"/>
          <w:szCs w:val="24"/>
          <w:lang w:val="en-AU"/>
        </w:rPr>
        <w:t>a school that provides any of the following kinds of education:</w:t>
      </w:r>
    </w:p>
    <w:p w14:paraId="01F4BCA8" w14:textId="4407681A" w:rsidR="00EB6469" w:rsidRDefault="00EB6469" w:rsidP="00EB6469">
      <w:pPr>
        <w:pStyle w:val="ListParagraph"/>
        <w:numPr>
          <w:ilvl w:val="1"/>
          <w:numId w:val="7"/>
        </w:numPr>
        <w:rPr>
          <w:sz w:val="24"/>
          <w:szCs w:val="24"/>
          <w:lang w:val="en-AU"/>
        </w:rPr>
      </w:pPr>
      <w:r>
        <w:rPr>
          <w:sz w:val="24"/>
          <w:szCs w:val="24"/>
          <w:lang w:val="en-AU"/>
        </w:rPr>
        <w:t xml:space="preserve">preschool </w:t>
      </w:r>
      <w:proofErr w:type="gramStart"/>
      <w:r>
        <w:rPr>
          <w:sz w:val="24"/>
          <w:szCs w:val="24"/>
          <w:lang w:val="en-AU"/>
        </w:rPr>
        <w:t>education;</w:t>
      </w:r>
      <w:proofErr w:type="gramEnd"/>
    </w:p>
    <w:p w14:paraId="76D13CC2" w14:textId="0500A880" w:rsidR="00EB6469" w:rsidRDefault="00EB6469" w:rsidP="00EB6469">
      <w:pPr>
        <w:pStyle w:val="ListParagraph"/>
        <w:numPr>
          <w:ilvl w:val="1"/>
          <w:numId w:val="7"/>
        </w:numPr>
        <w:rPr>
          <w:sz w:val="24"/>
          <w:szCs w:val="24"/>
          <w:lang w:val="en-AU"/>
        </w:rPr>
      </w:pPr>
      <w:r>
        <w:rPr>
          <w:sz w:val="24"/>
          <w:szCs w:val="24"/>
          <w:lang w:val="en-AU"/>
        </w:rPr>
        <w:t xml:space="preserve">primary </w:t>
      </w:r>
      <w:proofErr w:type="gramStart"/>
      <w:r>
        <w:rPr>
          <w:sz w:val="24"/>
          <w:szCs w:val="24"/>
          <w:lang w:val="en-AU"/>
        </w:rPr>
        <w:t>education;</w:t>
      </w:r>
      <w:proofErr w:type="gramEnd"/>
    </w:p>
    <w:p w14:paraId="36973D84" w14:textId="734E66C4" w:rsidR="00EB6469" w:rsidRDefault="00EB6469" w:rsidP="00EB6469">
      <w:pPr>
        <w:pStyle w:val="ListParagraph"/>
        <w:numPr>
          <w:ilvl w:val="1"/>
          <w:numId w:val="7"/>
        </w:numPr>
        <w:rPr>
          <w:sz w:val="24"/>
          <w:szCs w:val="24"/>
          <w:lang w:val="en-AU"/>
        </w:rPr>
      </w:pPr>
      <w:r>
        <w:rPr>
          <w:sz w:val="24"/>
          <w:szCs w:val="24"/>
          <w:lang w:val="en-AU"/>
        </w:rPr>
        <w:t>secondary education</w:t>
      </w:r>
    </w:p>
    <w:p w14:paraId="1AD22582" w14:textId="53E01A23" w:rsidR="00EB6469" w:rsidRDefault="00EB6469" w:rsidP="002A2524">
      <w:pPr>
        <w:rPr>
          <w:b/>
          <w:sz w:val="24"/>
          <w:szCs w:val="24"/>
          <w:lang w:val="en-AU"/>
        </w:rPr>
      </w:pPr>
    </w:p>
    <w:p w14:paraId="57579352" w14:textId="7B75E2F6" w:rsidR="006B60EB" w:rsidRDefault="006B60EB" w:rsidP="002A2524">
      <w:pPr>
        <w:rPr>
          <w:bCs/>
          <w:sz w:val="24"/>
          <w:szCs w:val="24"/>
          <w:lang w:val="en-AU"/>
        </w:rPr>
      </w:pPr>
      <w:r>
        <w:rPr>
          <w:b/>
          <w:sz w:val="24"/>
          <w:szCs w:val="24"/>
          <w:lang w:val="en-AU"/>
        </w:rPr>
        <w:t>Clause 2</w:t>
      </w:r>
    </w:p>
    <w:p w14:paraId="7490F0F9" w14:textId="7779792A" w:rsidR="006B60EB" w:rsidRDefault="006B60EB" w:rsidP="002A2524">
      <w:pPr>
        <w:rPr>
          <w:bCs/>
          <w:sz w:val="24"/>
          <w:szCs w:val="24"/>
          <w:lang w:val="en-AU"/>
        </w:rPr>
      </w:pPr>
    </w:p>
    <w:p w14:paraId="0A2A3214" w14:textId="2CCCDE53" w:rsidR="006B60EB" w:rsidRDefault="006B60EB" w:rsidP="002A2524">
      <w:pPr>
        <w:rPr>
          <w:bCs/>
          <w:sz w:val="24"/>
          <w:szCs w:val="24"/>
          <w:lang w:val="en-AU"/>
        </w:rPr>
      </w:pPr>
      <w:r>
        <w:rPr>
          <w:bCs/>
          <w:sz w:val="24"/>
          <w:szCs w:val="24"/>
          <w:lang w:val="en-AU"/>
        </w:rPr>
        <w:t xml:space="preserve">Clause 2 adds a new section </w:t>
      </w:r>
      <w:r w:rsidR="00A32F79">
        <w:rPr>
          <w:bCs/>
          <w:sz w:val="24"/>
          <w:szCs w:val="24"/>
          <w:lang w:val="en-AU"/>
        </w:rPr>
        <w:t xml:space="preserve">(section 8) </w:t>
      </w:r>
      <w:r>
        <w:rPr>
          <w:bCs/>
          <w:sz w:val="24"/>
          <w:szCs w:val="24"/>
          <w:lang w:val="en-AU"/>
        </w:rPr>
        <w:t xml:space="preserve">at the end of the Rules to provide a longer period of time in which a State/Territory entity must give a notice about pre-existing core foreign arrangements where a core State/Territory entity is a school and is a party to the arrangement or where a core foreign entity that is a school located in a foreign country is a party to the arrangement. </w:t>
      </w:r>
    </w:p>
    <w:p w14:paraId="38BD646E" w14:textId="54C29DF6" w:rsidR="006B60EB" w:rsidRDefault="006B60EB" w:rsidP="002A2524">
      <w:pPr>
        <w:rPr>
          <w:bCs/>
          <w:sz w:val="24"/>
          <w:szCs w:val="24"/>
          <w:lang w:val="en-AU"/>
        </w:rPr>
      </w:pPr>
    </w:p>
    <w:p w14:paraId="4932C394" w14:textId="48764B3E" w:rsidR="006B60EB" w:rsidRPr="006B60EB" w:rsidRDefault="006B60EB" w:rsidP="002A2524">
      <w:pPr>
        <w:rPr>
          <w:bCs/>
          <w:sz w:val="24"/>
          <w:szCs w:val="24"/>
          <w:lang w:val="en-AU"/>
        </w:rPr>
      </w:pPr>
      <w:r>
        <w:rPr>
          <w:bCs/>
          <w:sz w:val="24"/>
          <w:szCs w:val="24"/>
          <w:lang w:val="en-AU"/>
        </w:rPr>
        <w:t xml:space="preserve">The </w:t>
      </w:r>
      <w:proofErr w:type="gramStart"/>
      <w:r>
        <w:rPr>
          <w:bCs/>
          <w:sz w:val="24"/>
          <w:szCs w:val="24"/>
          <w:lang w:val="en-AU"/>
        </w:rPr>
        <w:t>period of time</w:t>
      </w:r>
      <w:proofErr w:type="gramEnd"/>
      <w:r w:rsidR="000C54C4">
        <w:rPr>
          <w:bCs/>
          <w:sz w:val="24"/>
          <w:szCs w:val="24"/>
          <w:lang w:val="en-AU"/>
        </w:rPr>
        <w:t xml:space="preserve"> for a notice to be given</w:t>
      </w:r>
      <w:r>
        <w:rPr>
          <w:bCs/>
          <w:sz w:val="24"/>
          <w:szCs w:val="24"/>
          <w:lang w:val="en-AU"/>
        </w:rPr>
        <w:t xml:space="preserve"> for these arrangements will be 6 months from the commencement day of the Act.</w:t>
      </w:r>
    </w:p>
    <w:sectPr w:rsidR="006B60EB" w:rsidRPr="006B60EB" w:rsidSect="00EE5229">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B1307" w14:textId="77777777" w:rsidR="00455424" w:rsidRDefault="00455424" w:rsidP="00EE5229">
      <w:r>
        <w:separator/>
      </w:r>
    </w:p>
  </w:endnote>
  <w:endnote w:type="continuationSeparator" w:id="0">
    <w:p w14:paraId="15D209DA" w14:textId="77777777" w:rsidR="00455424" w:rsidRDefault="00455424" w:rsidP="00EE5229">
      <w:r>
        <w:continuationSeparator/>
      </w:r>
    </w:p>
  </w:endnote>
  <w:endnote w:type="continuationNotice" w:id="1">
    <w:p w14:paraId="22209845" w14:textId="77777777" w:rsidR="00455424" w:rsidRDefault="0045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9B2A" w14:textId="77777777" w:rsidR="004414D9" w:rsidRDefault="0044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93B73" w14:textId="7CA3AA37" w:rsidR="00BB33FD" w:rsidRDefault="00BB33FD">
    <w:pPr>
      <w:pStyle w:val="Footer"/>
      <w:jc w:val="center"/>
    </w:pPr>
  </w:p>
  <w:p w14:paraId="11FA6706" w14:textId="255442A8" w:rsidR="00BB33FD" w:rsidRDefault="00B92C22">
    <w:pPr>
      <w:pStyle w:val="Footer"/>
      <w:jc w:val="center"/>
    </w:pPr>
    <w:sdt>
      <w:sdtPr>
        <w:id w:val="668519651"/>
        <w:docPartObj>
          <w:docPartGallery w:val="Page Numbers (Bottom of Page)"/>
          <w:docPartUnique/>
        </w:docPartObj>
      </w:sdtPr>
      <w:sdtEndPr>
        <w:rPr>
          <w:noProof/>
        </w:rPr>
      </w:sdtEndPr>
      <w:sdtContent>
        <w:r w:rsidR="00BB33FD">
          <w:fldChar w:fldCharType="begin"/>
        </w:r>
        <w:r w:rsidR="00BB33FD">
          <w:instrText xml:space="preserve"> PAGE   \* MERGEFORMAT </w:instrText>
        </w:r>
        <w:r w:rsidR="00BB33FD">
          <w:fldChar w:fldCharType="separate"/>
        </w:r>
        <w:r w:rsidR="001D7F33">
          <w:rPr>
            <w:noProof/>
          </w:rPr>
          <w:t>5</w:t>
        </w:r>
        <w:r w:rsidR="00BB33FD">
          <w:rPr>
            <w:noProof/>
          </w:rPr>
          <w:fldChar w:fldCharType="end"/>
        </w:r>
      </w:sdtContent>
    </w:sdt>
  </w:p>
  <w:p w14:paraId="4E4F0627" w14:textId="77777777" w:rsidR="00EE5229" w:rsidRDefault="00EE5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629B" w14:textId="77777777" w:rsidR="004414D9" w:rsidRDefault="0044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4DB5A" w14:textId="77777777" w:rsidR="00455424" w:rsidRDefault="00455424" w:rsidP="00EE5229">
      <w:r>
        <w:separator/>
      </w:r>
    </w:p>
  </w:footnote>
  <w:footnote w:type="continuationSeparator" w:id="0">
    <w:p w14:paraId="71EA3C9E" w14:textId="77777777" w:rsidR="00455424" w:rsidRDefault="00455424" w:rsidP="00EE5229">
      <w:r>
        <w:continuationSeparator/>
      </w:r>
    </w:p>
  </w:footnote>
  <w:footnote w:type="continuationNotice" w:id="1">
    <w:p w14:paraId="0A7130AE" w14:textId="77777777" w:rsidR="00455424" w:rsidRDefault="00455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505DF" w14:textId="77777777" w:rsidR="004414D9" w:rsidRDefault="00441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F68A2" w14:textId="020C0033" w:rsidR="00EE5229" w:rsidRDefault="00EE5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C8FC0" w14:textId="77777777" w:rsidR="004414D9" w:rsidRDefault="00441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09D"/>
    <w:multiLevelType w:val="hybridMultilevel"/>
    <w:tmpl w:val="A45E57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3F25DC"/>
    <w:multiLevelType w:val="hybridMultilevel"/>
    <w:tmpl w:val="3EE67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E7A5D"/>
    <w:multiLevelType w:val="hybridMultilevel"/>
    <w:tmpl w:val="278A55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5468AB"/>
    <w:multiLevelType w:val="hybridMultilevel"/>
    <w:tmpl w:val="A45E57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634098"/>
    <w:multiLevelType w:val="hybridMultilevel"/>
    <w:tmpl w:val="9FFC08D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D3C35E8"/>
    <w:multiLevelType w:val="hybridMultilevel"/>
    <w:tmpl w:val="8902A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A52B63"/>
    <w:multiLevelType w:val="hybridMultilevel"/>
    <w:tmpl w:val="F6941EDA"/>
    <w:lvl w:ilvl="0" w:tplc="E524240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5E4E2C"/>
    <w:multiLevelType w:val="hybridMultilevel"/>
    <w:tmpl w:val="68A4B7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417196B"/>
    <w:multiLevelType w:val="hybridMultilevel"/>
    <w:tmpl w:val="7AD82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DC48B9"/>
    <w:multiLevelType w:val="hybridMultilevel"/>
    <w:tmpl w:val="37AE8D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8A471B"/>
    <w:multiLevelType w:val="hybridMultilevel"/>
    <w:tmpl w:val="DDEE7C50"/>
    <w:lvl w:ilvl="0" w:tplc="7A5451A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3"/>
  </w:num>
  <w:num w:numId="5">
    <w:abstractNumId w:val="5"/>
  </w:num>
  <w:num w:numId="6">
    <w:abstractNumId w:val="1"/>
  </w:num>
  <w:num w:numId="7">
    <w:abstractNumId w:val="10"/>
  </w:num>
  <w:num w:numId="8">
    <w:abstractNumId w:val="2"/>
  </w:num>
  <w:num w:numId="9">
    <w:abstractNumId w:val="8"/>
  </w:num>
  <w:num w:numId="10">
    <w:abstractNumId w:val="6"/>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D2"/>
    <w:rsid w:val="00001BEB"/>
    <w:rsid w:val="0001552E"/>
    <w:rsid w:val="000264C4"/>
    <w:rsid w:val="00032D2D"/>
    <w:rsid w:val="000342E0"/>
    <w:rsid w:val="00036ECA"/>
    <w:rsid w:val="0007066A"/>
    <w:rsid w:val="00084ADA"/>
    <w:rsid w:val="000902C1"/>
    <w:rsid w:val="00095C50"/>
    <w:rsid w:val="000968EA"/>
    <w:rsid w:val="000A4634"/>
    <w:rsid w:val="000B23ED"/>
    <w:rsid w:val="000C51AD"/>
    <w:rsid w:val="000C54C4"/>
    <w:rsid w:val="000C7F09"/>
    <w:rsid w:val="00100696"/>
    <w:rsid w:val="001203CA"/>
    <w:rsid w:val="001665F0"/>
    <w:rsid w:val="00167156"/>
    <w:rsid w:val="00180644"/>
    <w:rsid w:val="00186E60"/>
    <w:rsid w:val="001947A3"/>
    <w:rsid w:val="001D7F33"/>
    <w:rsid w:val="00200D8E"/>
    <w:rsid w:val="002146BD"/>
    <w:rsid w:val="002146BE"/>
    <w:rsid w:val="002360A4"/>
    <w:rsid w:val="00252DC8"/>
    <w:rsid w:val="00262533"/>
    <w:rsid w:val="00271977"/>
    <w:rsid w:val="00293C09"/>
    <w:rsid w:val="002A0288"/>
    <w:rsid w:val="002A11BC"/>
    <w:rsid w:val="002A2524"/>
    <w:rsid w:val="002A57ED"/>
    <w:rsid w:val="002B1098"/>
    <w:rsid w:val="002C0505"/>
    <w:rsid w:val="002C4C0D"/>
    <w:rsid w:val="002C4CFD"/>
    <w:rsid w:val="002F0A95"/>
    <w:rsid w:val="003048C4"/>
    <w:rsid w:val="0030620E"/>
    <w:rsid w:val="0034232B"/>
    <w:rsid w:val="00394214"/>
    <w:rsid w:val="003A2660"/>
    <w:rsid w:val="003A5083"/>
    <w:rsid w:val="003B03D4"/>
    <w:rsid w:val="00400536"/>
    <w:rsid w:val="00401BB1"/>
    <w:rsid w:val="00403B04"/>
    <w:rsid w:val="00434404"/>
    <w:rsid w:val="004414D9"/>
    <w:rsid w:val="00455424"/>
    <w:rsid w:val="00457599"/>
    <w:rsid w:val="004925FB"/>
    <w:rsid w:val="004A195F"/>
    <w:rsid w:val="004C575B"/>
    <w:rsid w:val="0050115B"/>
    <w:rsid w:val="005051E4"/>
    <w:rsid w:val="005147FA"/>
    <w:rsid w:val="0054434A"/>
    <w:rsid w:val="00546A04"/>
    <w:rsid w:val="00580285"/>
    <w:rsid w:val="005804EE"/>
    <w:rsid w:val="005923F4"/>
    <w:rsid w:val="005A6A2D"/>
    <w:rsid w:val="005D3278"/>
    <w:rsid w:val="005D7CFC"/>
    <w:rsid w:val="005E37C5"/>
    <w:rsid w:val="0061485A"/>
    <w:rsid w:val="0062706E"/>
    <w:rsid w:val="00637366"/>
    <w:rsid w:val="00646235"/>
    <w:rsid w:val="006858C1"/>
    <w:rsid w:val="00686B08"/>
    <w:rsid w:val="006A3A1B"/>
    <w:rsid w:val="006B0D91"/>
    <w:rsid w:val="006B60EB"/>
    <w:rsid w:val="006D0F41"/>
    <w:rsid w:val="006D5921"/>
    <w:rsid w:val="006D7C24"/>
    <w:rsid w:val="006E6CCB"/>
    <w:rsid w:val="00754026"/>
    <w:rsid w:val="00771884"/>
    <w:rsid w:val="007C7360"/>
    <w:rsid w:val="007C75E4"/>
    <w:rsid w:val="007D186F"/>
    <w:rsid w:val="007E0A6E"/>
    <w:rsid w:val="007F1900"/>
    <w:rsid w:val="00821865"/>
    <w:rsid w:val="00822970"/>
    <w:rsid w:val="00825FA9"/>
    <w:rsid w:val="0083076C"/>
    <w:rsid w:val="00841A53"/>
    <w:rsid w:val="00846465"/>
    <w:rsid w:val="008B0B49"/>
    <w:rsid w:val="008B43CF"/>
    <w:rsid w:val="008C657F"/>
    <w:rsid w:val="00936770"/>
    <w:rsid w:val="00947DCA"/>
    <w:rsid w:val="00965841"/>
    <w:rsid w:val="00967ADB"/>
    <w:rsid w:val="009E402C"/>
    <w:rsid w:val="009F0C0B"/>
    <w:rsid w:val="009F3F51"/>
    <w:rsid w:val="00A0605B"/>
    <w:rsid w:val="00A32F79"/>
    <w:rsid w:val="00A35A18"/>
    <w:rsid w:val="00A60173"/>
    <w:rsid w:val="00A60A9E"/>
    <w:rsid w:val="00A71DEB"/>
    <w:rsid w:val="00A767BB"/>
    <w:rsid w:val="00A83A74"/>
    <w:rsid w:val="00AB0654"/>
    <w:rsid w:val="00AB24CB"/>
    <w:rsid w:val="00AB713E"/>
    <w:rsid w:val="00AD7003"/>
    <w:rsid w:val="00AF0002"/>
    <w:rsid w:val="00AF08D2"/>
    <w:rsid w:val="00AF325E"/>
    <w:rsid w:val="00B20EA9"/>
    <w:rsid w:val="00B35603"/>
    <w:rsid w:val="00B70606"/>
    <w:rsid w:val="00B738C4"/>
    <w:rsid w:val="00B73CB5"/>
    <w:rsid w:val="00B92C22"/>
    <w:rsid w:val="00BA1A21"/>
    <w:rsid w:val="00BA34E0"/>
    <w:rsid w:val="00BB12E6"/>
    <w:rsid w:val="00BB33FD"/>
    <w:rsid w:val="00BC3ECB"/>
    <w:rsid w:val="00BD1AE2"/>
    <w:rsid w:val="00BD1D46"/>
    <w:rsid w:val="00C140CC"/>
    <w:rsid w:val="00C2604C"/>
    <w:rsid w:val="00C30C3D"/>
    <w:rsid w:val="00C47128"/>
    <w:rsid w:val="00C5265D"/>
    <w:rsid w:val="00CA66F9"/>
    <w:rsid w:val="00CC6986"/>
    <w:rsid w:val="00D0206D"/>
    <w:rsid w:val="00D21A6B"/>
    <w:rsid w:val="00D72CAF"/>
    <w:rsid w:val="00D8412F"/>
    <w:rsid w:val="00D9037E"/>
    <w:rsid w:val="00DF3C2E"/>
    <w:rsid w:val="00DF734B"/>
    <w:rsid w:val="00E00E0F"/>
    <w:rsid w:val="00E1170F"/>
    <w:rsid w:val="00E260E5"/>
    <w:rsid w:val="00E43AEB"/>
    <w:rsid w:val="00E608A6"/>
    <w:rsid w:val="00E65D00"/>
    <w:rsid w:val="00E848D3"/>
    <w:rsid w:val="00EB20C6"/>
    <w:rsid w:val="00EB6469"/>
    <w:rsid w:val="00ED1E04"/>
    <w:rsid w:val="00ED7FBD"/>
    <w:rsid w:val="00EE5229"/>
    <w:rsid w:val="00F021A2"/>
    <w:rsid w:val="00F15258"/>
    <w:rsid w:val="00F17741"/>
    <w:rsid w:val="00F50EBA"/>
    <w:rsid w:val="00F53E73"/>
    <w:rsid w:val="00F767F0"/>
    <w:rsid w:val="00F90AD3"/>
    <w:rsid w:val="00FC13E4"/>
    <w:rsid w:val="00FC321C"/>
    <w:rsid w:val="00FC790F"/>
    <w:rsid w:val="00FD242C"/>
    <w:rsid w:val="00FD25FB"/>
    <w:rsid w:val="00FE62D9"/>
    <w:rsid w:val="00FF3BA2"/>
    <w:rsid w:val="00FF55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D5383"/>
  <w15:chartTrackingRefBased/>
  <w15:docId w15:val="{DB965D21-C33C-4B9A-AE67-D30B04BF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8D2"/>
    <w:pPr>
      <w:spacing w:after="0" w:line="240" w:lineRule="auto"/>
    </w:pPr>
    <w:rPr>
      <w:rFonts w:ascii="Times New Roman" w:eastAsia="Times New Roman" w:hAnsi="Times New Roman" w:cs="Times New Roman"/>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8D2"/>
    <w:pPr>
      <w:ind w:left="720"/>
      <w:contextualSpacing/>
    </w:pPr>
  </w:style>
  <w:style w:type="paragraph" w:customStyle="1" w:styleId="paragraph">
    <w:name w:val="paragraph"/>
    <w:aliases w:val="a"/>
    <w:basedOn w:val="Normal"/>
    <w:link w:val="paragraphChar"/>
    <w:rsid w:val="00A60173"/>
    <w:pPr>
      <w:tabs>
        <w:tab w:val="right" w:pos="1531"/>
      </w:tabs>
      <w:spacing w:before="40"/>
      <w:ind w:left="1644" w:hanging="1644"/>
    </w:pPr>
    <w:rPr>
      <w:sz w:val="22"/>
      <w:lang w:val="en-AU" w:eastAsia="en-AU"/>
    </w:rPr>
  </w:style>
  <w:style w:type="character" w:customStyle="1" w:styleId="paragraphChar">
    <w:name w:val="paragraph Char"/>
    <w:aliases w:val="a Char"/>
    <w:link w:val="paragraph"/>
    <w:rsid w:val="00A60173"/>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5147FA"/>
    <w:pPr>
      <w:tabs>
        <w:tab w:val="right" w:pos="1021"/>
      </w:tabs>
      <w:spacing w:before="180"/>
      <w:ind w:left="1134" w:hanging="1134"/>
    </w:pPr>
    <w:rPr>
      <w:sz w:val="22"/>
      <w:lang w:val="en-AU" w:eastAsia="en-AU"/>
    </w:rPr>
  </w:style>
  <w:style w:type="character" w:customStyle="1" w:styleId="subsectionChar">
    <w:name w:val="subsection Char"/>
    <w:aliases w:val="ss Char"/>
    <w:basedOn w:val="DefaultParagraphFont"/>
    <w:link w:val="subsection"/>
    <w:locked/>
    <w:rsid w:val="005147FA"/>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EE5229"/>
    <w:pPr>
      <w:tabs>
        <w:tab w:val="center" w:pos="4513"/>
        <w:tab w:val="right" w:pos="9026"/>
      </w:tabs>
    </w:pPr>
  </w:style>
  <w:style w:type="character" w:customStyle="1" w:styleId="HeaderChar">
    <w:name w:val="Header Char"/>
    <w:basedOn w:val="DefaultParagraphFont"/>
    <w:link w:val="Header"/>
    <w:uiPriority w:val="99"/>
    <w:rsid w:val="00EE5229"/>
    <w:rPr>
      <w:rFonts w:ascii="Times New Roman" w:eastAsia="Times New Roman" w:hAnsi="Times New Roman" w:cs="Times New Roman"/>
      <w:sz w:val="20"/>
      <w:szCs w:val="20"/>
      <w:lang w:val="en-GB" w:eastAsia="zh-CN"/>
    </w:rPr>
  </w:style>
  <w:style w:type="paragraph" w:styleId="Footer">
    <w:name w:val="footer"/>
    <w:basedOn w:val="Normal"/>
    <w:link w:val="FooterChar"/>
    <w:uiPriority w:val="99"/>
    <w:unhideWhenUsed/>
    <w:rsid w:val="00EE5229"/>
    <w:pPr>
      <w:tabs>
        <w:tab w:val="center" w:pos="4513"/>
        <w:tab w:val="right" w:pos="9026"/>
      </w:tabs>
    </w:pPr>
  </w:style>
  <w:style w:type="character" w:customStyle="1" w:styleId="FooterChar">
    <w:name w:val="Footer Char"/>
    <w:basedOn w:val="DefaultParagraphFont"/>
    <w:link w:val="Footer"/>
    <w:uiPriority w:val="99"/>
    <w:rsid w:val="00EE5229"/>
    <w:rPr>
      <w:rFonts w:ascii="Times New Roman" w:eastAsia="Times New Roman" w:hAnsi="Times New Roman" w:cs="Times New Roman"/>
      <w:sz w:val="20"/>
      <w:szCs w:val="20"/>
      <w:lang w:val="en-GB" w:eastAsia="zh-CN"/>
    </w:rPr>
  </w:style>
  <w:style w:type="paragraph" w:styleId="BalloonText">
    <w:name w:val="Balloon Text"/>
    <w:basedOn w:val="Normal"/>
    <w:link w:val="BalloonTextChar"/>
    <w:uiPriority w:val="99"/>
    <w:semiHidden/>
    <w:unhideWhenUsed/>
    <w:rsid w:val="00D90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37E"/>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F15258"/>
    <w:rPr>
      <w:sz w:val="16"/>
      <w:szCs w:val="16"/>
    </w:rPr>
  </w:style>
  <w:style w:type="paragraph" w:styleId="CommentText">
    <w:name w:val="annotation text"/>
    <w:basedOn w:val="Normal"/>
    <w:link w:val="CommentTextChar"/>
    <w:uiPriority w:val="99"/>
    <w:unhideWhenUsed/>
    <w:rsid w:val="00F15258"/>
  </w:style>
  <w:style w:type="character" w:customStyle="1" w:styleId="CommentTextChar">
    <w:name w:val="Comment Text Char"/>
    <w:basedOn w:val="DefaultParagraphFont"/>
    <w:link w:val="CommentText"/>
    <w:uiPriority w:val="99"/>
    <w:rsid w:val="00F15258"/>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F15258"/>
    <w:rPr>
      <w:b/>
      <w:bCs/>
    </w:rPr>
  </w:style>
  <w:style w:type="character" w:customStyle="1" w:styleId="CommentSubjectChar">
    <w:name w:val="Comment Subject Char"/>
    <w:basedOn w:val="CommentTextChar"/>
    <w:link w:val="CommentSubject"/>
    <w:uiPriority w:val="99"/>
    <w:semiHidden/>
    <w:rsid w:val="00F15258"/>
    <w:rPr>
      <w:rFonts w:ascii="Times New Roman" w:eastAsia="Times New Roman" w:hAnsi="Times New Roman" w:cs="Times New Roman"/>
      <w:b/>
      <w:bCs/>
      <w:sz w:val="20"/>
      <w:szCs w:val="20"/>
      <w:lang w:val="en-GB" w:eastAsia="zh-CN"/>
    </w:rPr>
  </w:style>
  <w:style w:type="paragraph" w:customStyle="1" w:styleId="default">
    <w:name w:val="default"/>
    <w:basedOn w:val="Normal"/>
    <w:rsid w:val="00AB713E"/>
    <w:pPr>
      <w:spacing w:before="100" w:beforeAutospacing="1" w:after="100" w:afterAutospacing="1"/>
    </w:pPr>
    <w:rPr>
      <w:sz w:val="24"/>
      <w:szCs w:val="24"/>
      <w:lang w:val="en-AU" w:eastAsia="en-AU"/>
    </w:rPr>
  </w:style>
  <w:style w:type="character" w:styleId="Hyperlink">
    <w:name w:val="Hyperlink"/>
    <w:basedOn w:val="DefaultParagraphFont"/>
    <w:uiPriority w:val="99"/>
    <w:unhideWhenUsed/>
    <w:rsid w:val="001947A3"/>
    <w:rPr>
      <w:color w:val="0563C1" w:themeColor="hyperlink"/>
      <w:u w:val="single"/>
    </w:rPr>
  </w:style>
  <w:style w:type="paragraph" w:customStyle="1" w:styleId="Default0">
    <w:name w:val="Default"/>
    <w:rsid w:val="00947D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0460">
      <w:bodyDiv w:val="1"/>
      <w:marLeft w:val="0"/>
      <w:marRight w:val="0"/>
      <w:marTop w:val="0"/>
      <w:marBottom w:val="0"/>
      <w:divBdr>
        <w:top w:val="none" w:sz="0" w:space="0" w:color="auto"/>
        <w:left w:val="none" w:sz="0" w:space="0" w:color="auto"/>
        <w:bottom w:val="none" w:sz="0" w:space="0" w:color="auto"/>
        <w:right w:val="none" w:sz="0" w:space="0" w:color="auto"/>
      </w:divBdr>
    </w:div>
    <w:div w:id="480541529">
      <w:bodyDiv w:val="1"/>
      <w:marLeft w:val="0"/>
      <w:marRight w:val="0"/>
      <w:marTop w:val="0"/>
      <w:marBottom w:val="0"/>
      <w:divBdr>
        <w:top w:val="none" w:sz="0" w:space="0" w:color="auto"/>
        <w:left w:val="none" w:sz="0" w:space="0" w:color="auto"/>
        <w:bottom w:val="none" w:sz="0" w:space="0" w:color="auto"/>
        <w:right w:val="none" w:sz="0" w:space="0" w:color="auto"/>
      </w:divBdr>
    </w:div>
    <w:div w:id="1025519459">
      <w:bodyDiv w:val="1"/>
      <w:marLeft w:val="0"/>
      <w:marRight w:val="0"/>
      <w:marTop w:val="0"/>
      <w:marBottom w:val="0"/>
      <w:divBdr>
        <w:top w:val="none" w:sz="0" w:space="0" w:color="auto"/>
        <w:left w:val="none" w:sz="0" w:space="0" w:color="auto"/>
        <w:bottom w:val="none" w:sz="0" w:space="0" w:color="auto"/>
        <w:right w:val="none" w:sz="0" w:space="0" w:color="auto"/>
      </w:divBdr>
    </w:div>
    <w:div w:id="1052656116">
      <w:bodyDiv w:val="1"/>
      <w:marLeft w:val="0"/>
      <w:marRight w:val="0"/>
      <w:marTop w:val="0"/>
      <w:marBottom w:val="0"/>
      <w:divBdr>
        <w:top w:val="none" w:sz="0" w:space="0" w:color="auto"/>
        <w:left w:val="none" w:sz="0" w:space="0" w:color="auto"/>
        <w:bottom w:val="none" w:sz="0" w:space="0" w:color="auto"/>
        <w:right w:val="none" w:sz="0" w:space="0" w:color="auto"/>
      </w:divBdr>
    </w:div>
    <w:div w:id="1481271794">
      <w:bodyDiv w:val="1"/>
      <w:marLeft w:val="0"/>
      <w:marRight w:val="0"/>
      <w:marTop w:val="0"/>
      <w:marBottom w:val="0"/>
      <w:divBdr>
        <w:top w:val="none" w:sz="0" w:space="0" w:color="auto"/>
        <w:left w:val="none" w:sz="0" w:space="0" w:color="auto"/>
        <w:bottom w:val="none" w:sz="0" w:space="0" w:color="auto"/>
        <w:right w:val="none" w:sz="0" w:space="0" w:color="auto"/>
      </w:divBdr>
    </w:div>
    <w:div w:id="1765952016">
      <w:bodyDiv w:val="1"/>
      <w:marLeft w:val="0"/>
      <w:marRight w:val="0"/>
      <w:marTop w:val="0"/>
      <w:marBottom w:val="0"/>
      <w:divBdr>
        <w:top w:val="none" w:sz="0" w:space="0" w:color="auto"/>
        <w:left w:val="none" w:sz="0" w:space="0" w:color="auto"/>
        <w:bottom w:val="none" w:sz="0" w:space="0" w:color="auto"/>
        <w:right w:val="none" w:sz="0" w:space="0" w:color="auto"/>
      </w:divBdr>
    </w:div>
    <w:div w:id="1772781291">
      <w:bodyDiv w:val="1"/>
      <w:marLeft w:val="0"/>
      <w:marRight w:val="0"/>
      <w:marTop w:val="0"/>
      <w:marBottom w:val="0"/>
      <w:divBdr>
        <w:top w:val="none" w:sz="0" w:space="0" w:color="auto"/>
        <w:left w:val="none" w:sz="0" w:space="0" w:color="auto"/>
        <w:bottom w:val="none" w:sz="0" w:space="0" w:color="auto"/>
        <w:right w:val="none" w:sz="0" w:space="0" w:color="auto"/>
      </w:divBdr>
    </w:div>
    <w:div w:id="197979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C1F7EE2-7B4A-4880-B9D9-3ACF3B6BD6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DF08095187B949944566BEEE21EC44" ma:contentTypeVersion="" ma:contentTypeDescription="PDMS Document Site Content Type" ma:contentTypeScope="" ma:versionID="c9c6391d27547b625c267a7814fa2fef">
  <xsd:schema xmlns:xsd="http://www.w3.org/2001/XMLSchema" xmlns:xs="http://www.w3.org/2001/XMLSchema" xmlns:p="http://schemas.microsoft.com/office/2006/metadata/properties" xmlns:ns2="BC1F7EE2-7B4A-4880-B9D9-3ACF3B6BD635" targetNamespace="http://schemas.microsoft.com/office/2006/metadata/properties" ma:root="true" ma:fieldsID="ff73f850163db9cf30dd0ffa3f38cee2" ns2:_="">
    <xsd:import namespace="BC1F7EE2-7B4A-4880-B9D9-3ACF3B6BD6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F7EE2-7B4A-4880-B9D9-3ACF3B6BD6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A7E9E-C7E4-434E-B88D-FB01910A31D1}">
  <ds:schemaRefs>
    <ds:schemaRef ds:uri="http://schemas.openxmlformats.org/officeDocument/2006/bibliography"/>
  </ds:schemaRefs>
</ds:datastoreItem>
</file>

<file path=customXml/itemProps2.xml><?xml version="1.0" encoding="utf-8"?>
<ds:datastoreItem xmlns:ds="http://schemas.openxmlformats.org/officeDocument/2006/customXml" ds:itemID="{0C39AAF1-35F1-41FE-9A03-973826FC0D4C}">
  <ds:schemaRefs>
    <ds:schemaRef ds:uri="http://schemas.microsoft.com/sharepoint/v3/contenttype/forms"/>
  </ds:schemaRefs>
</ds:datastoreItem>
</file>

<file path=customXml/itemProps3.xml><?xml version="1.0" encoding="utf-8"?>
<ds:datastoreItem xmlns:ds="http://schemas.openxmlformats.org/officeDocument/2006/customXml" ds:itemID="{F9D1B544-3133-4AEA-8CE7-44A28AA716F2}">
  <ds:schemaRefs>
    <ds:schemaRef ds:uri="http://schemas.microsoft.com/office/2006/metadata/properties"/>
    <ds:schemaRef ds:uri="http://schemas.microsoft.com/office/infopath/2007/PartnerControls"/>
    <ds:schemaRef ds:uri="BC1F7EE2-7B4A-4880-B9D9-3ACF3B6BD635"/>
  </ds:schemaRefs>
</ds:datastoreItem>
</file>

<file path=customXml/itemProps4.xml><?xml version="1.0" encoding="utf-8"?>
<ds:datastoreItem xmlns:ds="http://schemas.openxmlformats.org/officeDocument/2006/customXml" ds:itemID="{862E0B9C-1051-4FD1-A2A0-56A6469FB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F7EE2-7B4A-4880-B9D9-3ACF3B6BD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5009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Dencio</dc:creator>
  <cp:keywords/>
  <dc:description/>
  <cp:lastModifiedBy>Kim Ralston</cp:lastModifiedBy>
  <cp:revision>2</cp:revision>
  <cp:lastPrinted>2021-03-05T06:05:00Z</cp:lastPrinted>
  <dcterms:created xsi:type="dcterms:W3CDTF">2021-03-08T07:55:00Z</dcterms:created>
  <dcterms:modified xsi:type="dcterms:W3CDTF">2021-03-08T07:55:00Z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13cfc75e-c072-4418-aaf1-cbba871e5468</vt:lpwstr>
  </property>
  <property fmtid="{D5CDD505-2E9C-101B-9397-08002B2CF9AE}" pid="3" name="SEC">
    <vt:lpwstr>OFFICIAL:Sensitive</vt:lpwstr>
  </property>
  <property fmtid="{D5CDD505-2E9C-101B-9397-08002B2CF9AE}" pid="4" name="ACCESS">
    <vt:lpwstr>Legal-Privilege</vt:lpwstr>
  </property>
  <property fmtid="{D5CDD505-2E9C-101B-9397-08002B2CF9AE}" pid="5" name="ContentTypeId">
    <vt:lpwstr>0x010100266966F133664895A6EE3632470D45F5008ADF08095187B949944566BEEE21EC44</vt:lpwstr>
  </property>
</Properties>
</file>