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D3" w:rsidRDefault="00B47C25">
      <w:pPr>
        <w:pStyle w:val="BodyText"/>
        <w:ind w:left="620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187450" cy="959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60" cy="9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7D3" w:rsidRDefault="004A77D3">
      <w:pPr>
        <w:pStyle w:val="BodyText"/>
        <w:spacing w:before="9"/>
        <w:rPr>
          <w:sz w:val="14"/>
        </w:rPr>
      </w:pPr>
    </w:p>
    <w:p w:rsidR="004A77D3" w:rsidRDefault="00B47C25">
      <w:pPr>
        <w:spacing w:before="88" w:line="247" w:lineRule="auto"/>
        <w:ind w:left="496" w:right="613" w:firstLine="3"/>
        <w:rPr>
          <w:rFonts w:ascii="Arial"/>
          <w:b/>
          <w:sz w:val="39"/>
        </w:rPr>
      </w:pPr>
      <w:r>
        <w:rPr>
          <w:rFonts w:ascii="Arial"/>
          <w:b/>
          <w:color w:val="343434"/>
          <w:sz w:val="39"/>
        </w:rPr>
        <w:t>Woomera Prohibited Area Rule 2014 Determination of Exclusion Periods for Amber Zone 1 and Ambe</w:t>
      </w:r>
      <w:r w:rsidR="008E06DA">
        <w:rPr>
          <w:rFonts w:ascii="Arial"/>
          <w:b/>
          <w:color w:val="343434"/>
          <w:sz w:val="39"/>
        </w:rPr>
        <w:t>r Zone 2 for Financial Year 2021 - 2022</w:t>
      </w:r>
    </w:p>
    <w:p w:rsidR="004A77D3" w:rsidRDefault="00BA4BD4">
      <w:pPr>
        <w:spacing w:before="259"/>
        <w:ind w:left="500"/>
        <w:rPr>
          <w:rFonts w:ascii="Arial"/>
          <w:b/>
          <w:i/>
          <w:sz w:val="2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386715</wp:posOffset>
                </wp:positionV>
                <wp:extent cx="5313045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045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8367"/>
                            <a:gd name="T2" fmla="+- 0 10193 1827"/>
                            <a:gd name="T3" fmla="*/ T2 w 8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7">
                              <a:moveTo>
                                <a:pt x="0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6E8B" id="Freeform 6" o:spid="_x0000_s1026" style="position:absolute;margin-left:91.35pt;margin-top:30.45pt;width:41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" path="m,l8366,e" filled="f" strokeweight=".25431mm">
                <v:path arrowok="t" o:connecttype="custom" o:connectlocs="0,0;5312410,0" o:connectangles="0,0"/>
                <w10:wrap type="topAndBottom" anchorx="page"/>
              </v:shape>
            </w:pict>
          </mc:Fallback>
        </mc:AlternateContent>
      </w:r>
      <w:r w:rsidR="00B47C25">
        <w:rPr>
          <w:rFonts w:ascii="Arial"/>
          <w:b/>
          <w:i/>
          <w:color w:val="343434"/>
          <w:w w:val="105"/>
          <w:sz w:val="25"/>
        </w:rPr>
        <w:t>Woomera Prohibited Area Rule 2014</w:t>
      </w:r>
    </w:p>
    <w:p w:rsidR="004A77D3" w:rsidRDefault="00B47C25" w:rsidP="009A4FA7">
      <w:pPr>
        <w:pStyle w:val="Heading1"/>
        <w:spacing w:before="210" w:line="244" w:lineRule="auto"/>
        <w:ind w:right="515" w:firstLine="1"/>
        <w:rPr>
          <w:i/>
          <w:sz w:val="23"/>
        </w:rPr>
      </w:pPr>
      <w:r>
        <w:rPr>
          <w:color w:val="343434"/>
        </w:rPr>
        <w:t xml:space="preserve">I, John Anderson, Director Woomera Prohibited Area Coordination Office, as a delegate of the Minister for Defence, determine the exclusion periods for the zones listed in the Schedule, for the purposes of subsection 8(1) of the </w:t>
      </w:r>
      <w:r>
        <w:rPr>
          <w:i/>
          <w:color w:val="343434"/>
          <w:sz w:val="23"/>
        </w:rPr>
        <w:t>Woomera Prohibited Area Rule 2014.</w:t>
      </w:r>
    </w:p>
    <w:p w:rsidR="004A77D3" w:rsidRDefault="00B47C25" w:rsidP="009A4FA7">
      <w:pPr>
        <w:spacing w:before="231"/>
        <w:ind w:left="497"/>
        <w:rPr>
          <w:sz w:val="24"/>
        </w:rPr>
      </w:pPr>
      <w:r>
        <w:rPr>
          <w:color w:val="343434"/>
          <w:sz w:val="24"/>
        </w:rPr>
        <w:t>Zones within the Woomera Prohibited Area are prescribed in section 6 of the</w:t>
      </w:r>
    </w:p>
    <w:p w:rsidR="004A77D3" w:rsidRDefault="00B47C25" w:rsidP="009A4FA7">
      <w:pPr>
        <w:spacing w:before="7"/>
        <w:ind w:left="501"/>
        <w:rPr>
          <w:i/>
          <w:sz w:val="23"/>
        </w:rPr>
      </w:pPr>
      <w:r>
        <w:rPr>
          <w:i/>
          <w:color w:val="343434"/>
          <w:w w:val="105"/>
          <w:sz w:val="23"/>
        </w:rPr>
        <w:t>Woomera Prohibited Area Rule 2014.</w:t>
      </w:r>
    </w:p>
    <w:p w:rsidR="004A77D3" w:rsidRDefault="004A77D3" w:rsidP="009A4FA7">
      <w:pPr>
        <w:pStyle w:val="BodyText"/>
        <w:rPr>
          <w:i/>
          <w:sz w:val="28"/>
        </w:rPr>
      </w:pPr>
    </w:p>
    <w:p w:rsidR="004A77D3" w:rsidRDefault="00B47C25" w:rsidP="009A4FA7">
      <w:pPr>
        <w:pStyle w:val="Heading1"/>
        <w:ind w:left="501"/>
      </w:pPr>
      <w:r>
        <w:rPr>
          <w:color w:val="343434"/>
        </w:rPr>
        <w:t xml:space="preserve">Dated </w:t>
      </w:r>
      <w:r w:rsidR="007A002C">
        <w:rPr>
          <w:color w:val="343434"/>
        </w:rPr>
        <w:t>4 March 2021</w:t>
      </w:r>
    </w:p>
    <w:p w:rsidR="004A77D3" w:rsidRDefault="004A77D3" w:rsidP="009A4FA7">
      <w:pPr>
        <w:pStyle w:val="BodyText"/>
        <w:rPr>
          <w:sz w:val="20"/>
        </w:rPr>
      </w:pPr>
    </w:p>
    <w:p w:rsidR="004A77D3" w:rsidRDefault="004A77D3" w:rsidP="009A4FA7">
      <w:pPr>
        <w:pStyle w:val="BodyText"/>
        <w:rPr>
          <w:sz w:val="20"/>
        </w:rPr>
      </w:pPr>
    </w:p>
    <w:p w:rsidR="004A77D3" w:rsidRDefault="004A77D3" w:rsidP="009A4FA7">
      <w:pPr>
        <w:pStyle w:val="BodyText"/>
        <w:spacing w:before="2"/>
        <w:rPr>
          <w:sz w:val="16"/>
        </w:rPr>
      </w:pPr>
    </w:p>
    <w:p w:rsidR="008E06DA" w:rsidRDefault="008E06DA" w:rsidP="009A4FA7">
      <w:pPr>
        <w:spacing w:before="22"/>
        <w:ind w:left="506"/>
        <w:rPr>
          <w:color w:val="343434"/>
          <w:sz w:val="24"/>
        </w:rPr>
      </w:pPr>
      <w:r>
        <w:rPr>
          <w:color w:val="343434"/>
          <w:sz w:val="24"/>
        </w:rPr>
        <w:t>John Anderson</w:t>
      </w:r>
    </w:p>
    <w:p w:rsidR="004A77D3" w:rsidRDefault="00B47C25" w:rsidP="009A4FA7">
      <w:pPr>
        <w:spacing w:before="22"/>
        <w:ind w:left="506"/>
        <w:rPr>
          <w:sz w:val="24"/>
        </w:rPr>
      </w:pPr>
      <w:r>
        <w:rPr>
          <w:color w:val="343434"/>
          <w:sz w:val="24"/>
        </w:rPr>
        <w:t>Director Woomera Prohibited Area Coordination Office</w:t>
      </w:r>
    </w:p>
    <w:p w:rsidR="004A77D3" w:rsidRDefault="00BA4BD4">
      <w:pPr>
        <w:pStyle w:val="BodyText"/>
        <w:spacing w:before="10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153035</wp:posOffset>
                </wp:positionV>
                <wp:extent cx="53251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8386"/>
                            <a:gd name="T2" fmla="+- 0 10212 1827"/>
                            <a:gd name="T3" fmla="*/ T2 w 8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6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3F2D" id="Freeform 2" o:spid="_x0000_s1026" style="position:absolute;margin-left:91.35pt;margin-top:12.05pt;width:419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ZH+AIAAIw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" path="m,l8385,e" filled="f" strokeweight=".25431mm">
                <v:path arrowok="t" o:connecttype="custom" o:connectlocs="0,0;5324475,0" o:connectangles="0,0"/>
                <w10:wrap type="topAndBottom" anchorx="page"/>
              </v:shape>
            </w:pict>
          </mc:Fallback>
        </mc:AlternateContent>
      </w:r>
    </w:p>
    <w:p w:rsidR="004A77D3" w:rsidRDefault="004A77D3">
      <w:pPr>
        <w:pStyle w:val="BodyText"/>
        <w:rPr>
          <w:sz w:val="26"/>
        </w:rPr>
      </w:pPr>
    </w:p>
    <w:p w:rsidR="004A77D3" w:rsidRDefault="00B47C25">
      <w:pPr>
        <w:pStyle w:val="Heading2"/>
        <w:spacing w:before="165"/>
        <w:ind w:right="175"/>
        <w:jc w:val="center"/>
      </w:pPr>
      <w:r>
        <w:rPr>
          <w:color w:val="343434"/>
        </w:rPr>
        <w:t>Schedule</w:t>
      </w:r>
    </w:p>
    <w:p w:rsidR="004A77D3" w:rsidRDefault="004A77D3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4154"/>
      </w:tblGrid>
      <w:tr w:rsidR="004A77D3">
        <w:trPr>
          <w:trHeight w:val="787"/>
        </w:trPr>
        <w:tc>
          <w:tcPr>
            <w:tcW w:w="4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ind w:left="158" w:right="132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Exclusion Period</w:t>
            </w:r>
          </w:p>
        </w:tc>
        <w:tc>
          <w:tcPr>
            <w:tcW w:w="4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line="252" w:lineRule="auto"/>
              <w:ind w:left="1720" w:right="0" w:hanging="1456"/>
              <w:jc w:val="left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Zone to which the Exclusion Period applies</w:t>
            </w:r>
          </w:p>
        </w:tc>
      </w:tr>
      <w:tr w:rsidR="004A77D3">
        <w:trPr>
          <w:trHeight w:val="518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36"/>
              <w:ind w:left="160" w:right="132"/>
              <w:rPr>
                <w:sz w:val="24"/>
              </w:rPr>
            </w:pPr>
            <w:r>
              <w:rPr>
                <w:color w:val="343434"/>
                <w:sz w:val="24"/>
              </w:rPr>
              <w:t>3 July to 9 July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31"/>
              <w:ind w:left="160" w:right="132"/>
              <w:rPr>
                <w:sz w:val="24"/>
              </w:rPr>
            </w:pPr>
            <w:r>
              <w:rPr>
                <w:sz w:val="24"/>
              </w:rPr>
              <w:t>10 July to 16 July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6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31"/>
              <w:ind w:left="160" w:right="131"/>
              <w:rPr>
                <w:sz w:val="24"/>
              </w:rPr>
            </w:pPr>
            <w:r>
              <w:rPr>
                <w:sz w:val="24"/>
              </w:rPr>
              <w:t>17 July to 23 July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6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26"/>
              <w:ind w:left="160" w:right="130"/>
              <w:rPr>
                <w:sz w:val="24"/>
              </w:rPr>
            </w:pPr>
            <w:r>
              <w:rPr>
                <w:sz w:val="24"/>
              </w:rPr>
              <w:t>24 July to 30 July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31"/>
              <w:ind w:left="160" w:right="130"/>
              <w:rPr>
                <w:sz w:val="24"/>
              </w:rPr>
            </w:pPr>
            <w:r>
              <w:rPr>
                <w:sz w:val="24"/>
              </w:rPr>
              <w:t>20 September to 26 September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26"/>
              <w:ind w:left="160" w:right="127"/>
              <w:rPr>
                <w:sz w:val="24"/>
              </w:rPr>
            </w:pPr>
            <w:r>
              <w:rPr>
                <w:sz w:val="24"/>
              </w:rPr>
              <w:t>27 September to 3 October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8E06DA">
            <w:pPr>
              <w:pStyle w:val="TableParagraph"/>
              <w:spacing w:before="126"/>
              <w:ind w:left="160" w:right="129"/>
              <w:rPr>
                <w:sz w:val="24"/>
              </w:rPr>
            </w:pPr>
            <w:r>
              <w:rPr>
                <w:sz w:val="24"/>
              </w:rPr>
              <w:t>4 October to 10 October 2021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7D3" w:rsidRDefault="00B47C25">
            <w:pPr>
              <w:pStyle w:val="TableParagraph"/>
              <w:spacing w:before="131"/>
              <w:ind w:right="1362"/>
              <w:jc w:val="right"/>
              <w:rPr>
                <w:sz w:val="24"/>
              </w:rPr>
            </w:pPr>
            <w:r>
              <w:rPr>
                <w:color w:val="343434"/>
                <w:sz w:val="24"/>
              </w:rPr>
              <w:t>Amber Zone 1</w:t>
            </w:r>
          </w:p>
        </w:tc>
      </w:tr>
    </w:tbl>
    <w:p w:rsidR="004A77D3" w:rsidRDefault="004A77D3">
      <w:pPr>
        <w:jc w:val="right"/>
        <w:rPr>
          <w:sz w:val="24"/>
        </w:rPr>
        <w:sectPr w:rsidR="004A77D3">
          <w:type w:val="continuous"/>
          <w:pgSz w:w="11900" w:h="16820"/>
          <w:pgMar w:top="920" w:right="1220" w:bottom="280" w:left="1360" w:header="720" w:footer="720" w:gutter="0"/>
          <w:cols w:space="720"/>
        </w:sectPr>
      </w:pPr>
    </w:p>
    <w:tbl>
      <w:tblPr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4163"/>
      </w:tblGrid>
      <w:tr w:rsidR="004A77D3">
        <w:trPr>
          <w:trHeight w:val="796"/>
        </w:trPr>
        <w:tc>
          <w:tcPr>
            <w:tcW w:w="4346" w:type="dxa"/>
            <w:tcBorders>
              <w:bottom w:val="single" w:sz="12" w:space="0" w:color="000000"/>
            </w:tcBorders>
          </w:tcPr>
          <w:p w:rsidR="004A77D3" w:rsidRDefault="00B47C25">
            <w:pPr>
              <w:pStyle w:val="TableParagraph"/>
              <w:ind w:left="160" w:right="129"/>
              <w:rPr>
                <w:b/>
                <w:sz w:val="23"/>
              </w:rPr>
            </w:pPr>
            <w:r>
              <w:rPr>
                <w:b/>
                <w:color w:val="3A3A3A"/>
                <w:w w:val="105"/>
                <w:sz w:val="23"/>
              </w:rPr>
              <w:lastRenderedPageBreak/>
              <w:t>Exclusion Period</w:t>
            </w:r>
          </w:p>
        </w:tc>
        <w:tc>
          <w:tcPr>
            <w:tcW w:w="4163" w:type="dxa"/>
            <w:tcBorders>
              <w:bottom w:val="single" w:sz="12" w:space="0" w:color="000000"/>
            </w:tcBorders>
          </w:tcPr>
          <w:p w:rsidR="004A77D3" w:rsidRDefault="00B47C25">
            <w:pPr>
              <w:pStyle w:val="TableParagraph"/>
              <w:spacing w:before="145" w:line="252" w:lineRule="auto"/>
              <w:ind w:left="1720" w:right="0" w:hanging="1446"/>
              <w:jc w:val="left"/>
              <w:rPr>
                <w:b/>
                <w:sz w:val="23"/>
              </w:rPr>
            </w:pPr>
            <w:r>
              <w:rPr>
                <w:b/>
                <w:color w:val="3A3A3A"/>
                <w:w w:val="105"/>
                <w:sz w:val="23"/>
              </w:rPr>
              <w:t>Zone to which the Exclusion Period applies</w:t>
            </w:r>
          </w:p>
        </w:tc>
      </w:tr>
      <w:tr w:rsidR="004A77D3">
        <w:trPr>
          <w:trHeight w:val="522"/>
        </w:trPr>
        <w:tc>
          <w:tcPr>
            <w:tcW w:w="4346" w:type="dxa"/>
            <w:tcBorders>
              <w:top w:val="single" w:sz="12" w:space="0" w:color="000000"/>
            </w:tcBorders>
          </w:tcPr>
          <w:p w:rsidR="004A77D3" w:rsidRDefault="008E06DA">
            <w:pPr>
              <w:pStyle w:val="TableParagraph"/>
              <w:ind w:left="160" w:right="130"/>
              <w:rPr>
                <w:sz w:val="23"/>
              </w:rPr>
            </w:pPr>
            <w:r>
              <w:rPr>
                <w:sz w:val="23"/>
              </w:rPr>
              <w:t>11 October to 17 October 2021</w:t>
            </w:r>
          </w:p>
        </w:tc>
        <w:tc>
          <w:tcPr>
            <w:tcW w:w="4163" w:type="dxa"/>
            <w:tcBorders>
              <w:top w:val="single" w:sz="12" w:space="0" w:color="000000"/>
            </w:tcBorders>
          </w:tcPr>
          <w:p w:rsidR="004A77D3" w:rsidRDefault="00B47C25">
            <w:pPr>
              <w:pStyle w:val="TableParagraph"/>
              <w:ind w:right="1353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57" w:right="132"/>
              <w:rPr>
                <w:sz w:val="23"/>
              </w:rPr>
            </w:pPr>
            <w:r>
              <w:rPr>
                <w:sz w:val="23"/>
              </w:rPr>
              <w:t>18 October to 24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59" w:right="132"/>
              <w:rPr>
                <w:sz w:val="23"/>
              </w:rPr>
            </w:pPr>
            <w:r>
              <w:rPr>
                <w:sz w:val="23"/>
              </w:rPr>
              <w:t>25 October to 31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1"/>
              <w:ind w:right="1358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32"/>
              <w:rPr>
                <w:sz w:val="23"/>
              </w:rPr>
            </w:pPr>
            <w:r>
              <w:rPr>
                <w:sz w:val="23"/>
              </w:rPr>
              <w:t>1 November to 7 November 2021</w:t>
            </w:r>
          </w:p>
        </w:tc>
        <w:tc>
          <w:tcPr>
            <w:tcW w:w="4163" w:type="dxa"/>
          </w:tcPr>
          <w:p w:rsidR="004A77D3" w:rsidRDefault="008E06DA">
            <w:pPr>
              <w:pStyle w:val="TableParagraph"/>
              <w:ind w:right="1370"/>
              <w:jc w:val="right"/>
              <w:rPr>
                <w:sz w:val="23"/>
              </w:rPr>
            </w:pPr>
            <w:r>
              <w:rPr>
                <w:color w:val="3A3A3A"/>
                <w:sz w:val="23"/>
              </w:rPr>
              <w:t>Amber Zon</w:t>
            </w:r>
            <w:r w:rsidR="00B47C25">
              <w:rPr>
                <w:color w:val="3A3A3A"/>
                <w:sz w:val="23"/>
              </w:rPr>
              <w:t>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60" w:right="127"/>
              <w:rPr>
                <w:sz w:val="23"/>
              </w:rPr>
            </w:pPr>
            <w:r>
              <w:rPr>
                <w:sz w:val="23"/>
              </w:rPr>
              <w:t>8 November to 14 November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ind w:right="1358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0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60" w:right="126"/>
              <w:rPr>
                <w:sz w:val="23"/>
              </w:rPr>
            </w:pPr>
            <w:r>
              <w:rPr>
                <w:sz w:val="23"/>
              </w:rPr>
              <w:t>15 November to 21 November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1"/>
              <w:ind w:right="1358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45"/>
              <w:ind w:left="160" w:right="128"/>
              <w:rPr>
                <w:sz w:val="23"/>
              </w:rPr>
            </w:pPr>
            <w:r>
              <w:rPr>
                <w:sz w:val="23"/>
              </w:rPr>
              <w:t>7 March to 13 March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45"/>
              <w:ind w:right="1358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28"/>
              <w:rPr>
                <w:sz w:val="23"/>
              </w:rPr>
            </w:pPr>
            <w:r>
              <w:rPr>
                <w:sz w:val="23"/>
              </w:rPr>
              <w:t>14 March to 20 March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67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15"/>
              <w:rPr>
                <w:sz w:val="23"/>
              </w:rPr>
            </w:pPr>
            <w:r>
              <w:rPr>
                <w:sz w:val="23"/>
              </w:rPr>
              <w:t>21 March to 27 March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58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21"/>
              <w:rPr>
                <w:sz w:val="23"/>
              </w:rPr>
            </w:pPr>
            <w:r>
              <w:rPr>
                <w:sz w:val="23"/>
              </w:rPr>
              <w:t>28 March to 3 April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ind w:right="1353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21"/>
              <w:rPr>
                <w:sz w:val="23"/>
              </w:rPr>
            </w:pPr>
            <w:r>
              <w:rPr>
                <w:sz w:val="23"/>
              </w:rPr>
              <w:t>4 April to 10 April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53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0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60" w:right="118"/>
              <w:rPr>
                <w:sz w:val="23"/>
              </w:rPr>
            </w:pPr>
            <w:r>
              <w:rPr>
                <w:sz w:val="23"/>
              </w:rPr>
              <w:t>23 May to 29 May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ind w:right="1362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23"/>
              <w:rPr>
                <w:sz w:val="23"/>
              </w:rPr>
            </w:pPr>
            <w:r>
              <w:rPr>
                <w:sz w:val="23"/>
              </w:rPr>
              <w:t>30 May to 5 June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45"/>
              <w:ind w:right="1362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1</w:t>
            </w:r>
          </w:p>
        </w:tc>
      </w:tr>
      <w:tr w:rsidR="004A77D3">
        <w:trPr>
          <w:trHeight w:val="513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14"/>
              <w:rPr>
                <w:sz w:val="23"/>
              </w:rPr>
            </w:pPr>
            <w:r>
              <w:rPr>
                <w:sz w:val="23"/>
              </w:rPr>
              <w:t>3 July to 9 July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23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13"/>
              <w:rPr>
                <w:sz w:val="23"/>
              </w:rPr>
            </w:pPr>
            <w:r>
              <w:rPr>
                <w:sz w:val="23"/>
              </w:rPr>
              <w:t>10 July to 16 July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69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0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1"/>
              <w:ind w:left="160" w:right="113"/>
              <w:rPr>
                <w:sz w:val="23"/>
              </w:rPr>
            </w:pPr>
            <w:r>
              <w:rPr>
                <w:sz w:val="23"/>
              </w:rPr>
              <w:t>4 October to 10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1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08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21"/>
              <w:rPr>
                <w:sz w:val="23"/>
              </w:rPr>
            </w:pPr>
            <w:r>
              <w:rPr>
                <w:sz w:val="23"/>
              </w:rPr>
              <w:t>11 October to 17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69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45"/>
              <w:ind w:left="160" w:right="116"/>
              <w:rPr>
                <w:sz w:val="23"/>
              </w:rPr>
            </w:pPr>
            <w:r>
              <w:rPr>
                <w:sz w:val="23"/>
              </w:rPr>
              <w:t>18 October to 24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77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09"/>
              <w:rPr>
                <w:sz w:val="23"/>
              </w:rPr>
            </w:pPr>
            <w:r>
              <w:rPr>
                <w:sz w:val="23"/>
              </w:rPr>
              <w:t>25 October to 31 October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1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08"/>
              <w:rPr>
                <w:sz w:val="23"/>
              </w:rPr>
            </w:pPr>
            <w:r>
              <w:rPr>
                <w:sz w:val="23"/>
              </w:rPr>
              <w:t>1 November to 7 November 2021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ind w:right="1364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03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35"/>
              <w:ind w:left="160" w:right="109"/>
              <w:rPr>
                <w:sz w:val="23"/>
              </w:rPr>
            </w:pPr>
            <w:r>
              <w:rPr>
                <w:sz w:val="23"/>
              </w:rPr>
              <w:t>21 March to 27 March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35"/>
              <w:ind w:right="1364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18"/>
        </w:trPr>
        <w:tc>
          <w:tcPr>
            <w:tcW w:w="4346" w:type="dxa"/>
          </w:tcPr>
          <w:p w:rsidR="004A77D3" w:rsidRDefault="008E06DA">
            <w:pPr>
              <w:pStyle w:val="TableParagraph"/>
              <w:spacing w:before="145"/>
              <w:ind w:left="160" w:right="99"/>
              <w:rPr>
                <w:sz w:val="23"/>
              </w:rPr>
            </w:pPr>
            <w:r>
              <w:rPr>
                <w:sz w:val="23"/>
              </w:rPr>
              <w:t>28 March to 3 April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spacing w:before="145"/>
              <w:jc w:val="right"/>
              <w:rPr>
                <w:sz w:val="23"/>
              </w:rPr>
            </w:pPr>
            <w:r>
              <w:rPr>
                <w:color w:val="3A3A3A"/>
                <w:w w:val="110"/>
                <w:sz w:val="23"/>
              </w:rPr>
              <w:t>Amber Zone</w:t>
            </w:r>
            <w:r w:rsidR="00353A1C">
              <w:rPr>
                <w:color w:val="3A3A3A"/>
                <w:w w:val="110"/>
                <w:sz w:val="23"/>
              </w:rPr>
              <w:t xml:space="preserve"> </w:t>
            </w:r>
            <w:r>
              <w:rPr>
                <w:color w:val="3A3A3A"/>
                <w:w w:val="110"/>
                <w:sz w:val="23"/>
              </w:rPr>
              <w:t>2</w:t>
            </w:r>
          </w:p>
        </w:tc>
      </w:tr>
      <w:tr w:rsidR="004A77D3">
        <w:trPr>
          <w:trHeight w:val="513"/>
        </w:trPr>
        <w:tc>
          <w:tcPr>
            <w:tcW w:w="4346" w:type="dxa"/>
          </w:tcPr>
          <w:p w:rsidR="004A77D3" w:rsidRDefault="008E06DA">
            <w:pPr>
              <w:pStyle w:val="TableParagraph"/>
              <w:ind w:left="160" w:right="101"/>
              <w:rPr>
                <w:sz w:val="23"/>
              </w:rPr>
            </w:pPr>
            <w:r>
              <w:rPr>
                <w:sz w:val="23"/>
              </w:rPr>
              <w:t>4 April to 10 April 2022</w:t>
            </w:r>
          </w:p>
        </w:tc>
        <w:tc>
          <w:tcPr>
            <w:tcW w:w="4163" w:type="dxa"/>
          </w:tcPr>
          <w:p w:rsidR="004A77D3" w:rsidRDefault="00B47C25">
            <w:pPr>
              <w:pStyle w:val="TableParagraph"/>
              <w:ind w:right="1353"/>
              <w:jc w:val="right"/>
              <w:rPr>
                <w:sz w:val="23"/>
              </w:rPr>
            </w:pPr>
            <w:r>
              <w:rPr>
                <w:color w:val="3A3A3A"/>
                <w:w w:val="105"/>
                <w:sz w:val="23"/>
              </w:rPr>
              <w:t>Amber Zone 2</w:t>
            </w:r>
          </w:p>
        </w:tc>
      </w:tr>
    </w:tbl>
    <w:p w:rsidR="004A77D3" w:rsidRPr="00B545BE" w:rsidRDefault="004A77D3" w:rsidP="007957CA">
      <w:pPr>
        <w:pStyle w:val="BodyText"/>
        <w:spacing w:line="249" w:lineRule="auto"/>
        <w:ind w:right="49"/>
        <w:rPr>
          <w:b/>
        </w:rPr>
      </w:pPr>
      <w:bookmarkStart w:id="0" w:name="_GoBack"/>
      <w:bookmarkEnd w:id="0"/>
    </w:p>
    <w:sectPr w:rsidR="004A77D3" w:rsidRPr="00B545BE">
      <w:pgSz w:w="11900" w:h="16820"/>
      <w:pgMar w:top="110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3"/>
    <w:rsid w:val="000671D2"/>
    <w:rsid w:val="000A6270"/>
    <w:rsid w:val="0011308C"/>
    <w:rsid w:val="00210599"/>
    <w:rsid w:val="00353A1C"/>
    <w:rsid w:val="003D028B"/>
    <w:rsid w:val="003E245F"/>
    <w:rsid w:val="0045500F"/>
    <w:rsid w:val="004A77D3"/>
    <w:rsid w:val="00500851"/>
    <w:rsid w:val="00532714"/>
    <w:rsid w:val="007957CA"/>
    <w:rsid w:val="007A002C"/>
    <w:rsid w:val="007B552B"/>
    <w:rsid w:val="007F3F88"/>
    <w:rsid w:val="008E06DA"/>
    <w:rsid w:val="00911F4A"/>
    <w:rsid w:val="009A4FA7"/>
    <w:rsid w:val="00A445CF"/>
    <w:rsid w:val="00B253A1"/>
    <w:rsid w:val="00B47C25"/>
    <w:rsid w:val="00B545BE"/>
    <w:rsid w:val="00BA091A"/>
    <w:rsid w:val="00BA4BD4"/>
    <w:rsid w:val="00BF36CE"/>
    <w:rsid w:val="00C74FA3"/>
    <w:rsid w:val="00DC65B6"/>
    <w:rsid w:val="00E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4834"/>
  <w15:docId w15:val="{4E368E70-71DD-4EFA-8DEA-5E3E59B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5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  <w:ind w:right="136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ACA14334.DPE.PROTECTED.MIL.AU-20200317134441</vt:lpstr>
    </vt:vector>
  </TitlesOfParts>
  <Company>Defence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ACA14334.DPE.PROTECTED.MIL.AU-20200317134441</dc:title>
  <dc:creator>Eldridge, Adam MR</dc:creator>
  <cp:lastModifiedBy>Yang, Katherine MS</cp:lastModifiedBy>
  <cp:revision>15</cp:revision>
  <cp:lastPrinted>2021-03-04T04:10:00Z</cp:lastPrinted>
  <dcterms:created xsi:type="dcterms:W3CDTF">2021-03-04T04:07:00Z</dcterms:created>
  <dcterms:modified xsi:type="dcterms:W3CDTF">2021-03-10T04:38:00Z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ACA14334.DPE.PROTECTED.MIL.AU</vt:lpwstr>
  </property>
  <property fmtid="{D5CDD505-2E9C-101B-9397-08002B2CF9AE}" pid="4" name="LastSaved">
    <vt:filetime>2021-02-26T00:00:00Z</vt:filetime>
  </property>
  <property fmtid="{D5CDD505-2E9C-101B-9397-08002B2CF9AE}" pid="5" name="Objective-Id">
    <vt:lpwstr>BN27469360</vt:lpwstr>
  </property>
  <property fmtid="{D5CDD505-2E9C-101B-9397-08002B2CF9AE}" pid="6" name="Objective-Title">
    <vt:lpwstr>20210304 - Legislative Instrument and Explanatory Statement - Amber Zones 1 and 2 FY21-22</vt:lpwstr>
  </property>
  <property fmtid="{D5CDD505-2E9C-101B-9397-08002B2CF9AE}" pid="7" name="Objective-Comment">
    <vt:lpwstr/>
  </property>
  <property fmtid="{D5CDD505-2E9C-101B-9397-08002B2CF9AE}" pid="8" name="Objective-CreationStamp">
    <vt:filetime>2021-02-26T05:46:04Z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2021-03-04T04:21:58Z</vt:filetime>
  </property>
  <property fmtid="{D5CDD505-2E9C-101B-9397-08002B2CF9AE}" pid="12" name="Objective-ModificationStamp">
    <vt:filetime>2021-03-04T05:06:26Z</vt:filetime>
  </property>
  <property fmtid="{D5CDD505-2E9C-101B-9397-08002B2CF9AE}" pid="13" name="Objective-Owner">
    <vt:lpwstr>Defence</vt:lpwstr>
  </property>
  <property fmtid="{D5CDD505-2E9C-101B-9397-08002B2CF9AE}" pid="14" name="Objective-Path">
    <vt:lpwstr>Objective Global Folder - PROD:Defence Business Units:Strategy, Policy, and Industry Group:SPD : Strategic Policy Division:02 - Core Business:SCIFI - Woomera Prohibited Area Coordination:06 - Access Management:Exclusion Periods:Exclusion Periods 2011-2021</vt:lpwstr>
  </property>
  <property fmtid="{D5CDD505-2E9C-101B-9397-08002B2CF9AE}" pid="15" name="Objective-Parent">
    <vt:lpwstr>Instrument</vt:lpwstr>
  </property>
  <property fmtid="{D5CDD505-2E9C-101B-9397-08002B2CF9AE}" pid="16" name="Objective-State">
    <vt:lpwstr>Published</vt:lpwstr>
  </property>
  <property fmtid="{D5CDD505-2E9C-101B-9397-08002B2CF9AE}" pid="17" name="Objective-Version">
    <vt:lpwstr>8.0</vt:lpwstr>
  </property>
  <property fmtid="{D5CDD505-2E9C-101B-9397-08002B2CF9AE}" pid="18" name="Objective-VersionNumber">
    <vt:i4>8</vt:i4>
  </property>
  <property fmtid="{D5CDD505-2E9C-101B-9397-08002B2CF9AE}" pid="19" name="Objective-VersionComment">
    <vt:lpwstr/>
  </property>
  <property fmtid="{D5CDD505-2E9C-101B-9397-08002B2CF9AE}" pid="20" name="Objective-FileNumber">
    <vt:lpwstr>2013/1188471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/>
  </property>
  <property fmtid="{D5CDD505-2E9C-101B-9397-08002B2CF9AE}" pid="23" name="Objective-Document Type [system]">
    <vt:lpwstr/>
  </property>
</Properties>
</file>