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A" w14:textId="4403777F" w:rsidR="00670C8D" w:rsidRPr="005660BD" w:rsidRDefault="00E0689A" w:rsidP="00E0689A">
      <w:pPr>
        <w:jc w:val="center"/>
        <w:rPr>
          <w:rFonts w:ascii="Times New Roman" w:hAnsi="Times New Roman"/>
          <w:sz w:val="24"/>
        </w:rPr>
      </w:pPr>
      <w:bookmarkStart w:id="0" w:name="_GoBack"/>
      <w:bookmarkEnd w:id="0"/>
      <w:r w:rsidRPr="005660BD">
        <w:rPr>
          <w:rFonts w:ascii="Times New Roman" w:eastAsia="Times New Roman" w:hAnsi="Times New Roman" w:cs="Times New Roman"/>
          <w:b/>
          <w:bCs/>
          <w:caps/>
          <w:kern w:val="32"/>
          <w:sz w:val="24"/>
          <w:u w:val="single"/>
        </w:rPr>
        <w:t>Bankruptcy (Fees and Remuneration) Amendment (Consequential Amendments) Determination 2021</w:t>
      </w:r>
    </w:p>
    <w:p w14:paraId="09BFDCCB" w14:textId="77777777" w:rsidR="00670C8D" w:rsidRPr="005660BD" w:rsidRDefault="00670C8D" w:rsidP="00670C8D">
      <w:pPr>
        <w:pStyle w:val="Heading1"/>
        <w:spacing w:before="0" w:after="0" w:line="240" w:lineRule="auto"/>
        <w:jc w:val="center"/>
        <w:rPr>
          <w:rFonts w:ascii="Times New Roman" w:hAnsi="Times New Roman"/>
          <w:b/>
          <w:sz w:val="22"/>
          <w:szCs w:val="22"/>
          <w:u w:val="single"/>
        </w:rPr>
      </w:pPr>
    </w:p>
    <w:p w14:paraId="09BFDCCE" w14:textId="540C0BD1" w:rsidR="002B361E" w:rsidRPr="005660BD" w:rsidRDefault="002B361E" w:rsidP="00E0689A">
      <w:pPr>
        <w:pStyle w:val="Heading1"/>
        <w:spacing w:before="0" w:after="0" w:line="240" w:lineRule="auto"/>
        <w:jc w:val="center"/>
        <w:rPr>
          <w:rFonts w:ascii="Times New Roman" w:hAnsi="Times New Roman"/>
          <w:caps w:val="0"/>
          <w:sz w:val="22"/>
          <w:szCs w:val="22"/>
        </w:rPr>
      </w:pPr>
      <w:r w:rsidRPr="005660BD">
        <w:rPr>
          <w:rFonts w:ascii="Times New Roman" w:hAnsi="Times New Roman"/>
          <w:b/>
          <w:sz w:val="22"/>
          <w:szCs w:val="22"/>
          <w:u w:val="single"/>
        </w:rPr>
        <w:t>EXPLANATORY STATEMENT</w:t>
      </w:r>
      <w:r w:rsidR="00670C8D" w:rsidRPr="005660BD">
        <w:rPr>
          <w:rFonts w:ascii="Times New Roman" w:hAnsi="Times New Roman"/>
          <w:b/>
          <w:sz w:val="22"/>
          <w:szCs w:val="22"/>
          <w:u w:val="single"/>
        </w:rPr>
        <w:t xml:space="preserve"> </w:t>
      </w:r>
      <w:r w:rsidR="00012AD6" w:rsidRPr="005660BD">
        <w:rPr>
          <w:rFonts w:ascii="Times New Roman" w:hAnsi="Times New Roman"/>
          <w:b/>
          <w:sz w:val="22"/>
          <w:szCs w:val="22"/>
          <w:u w:val="single"/>
        </w:rPr>
        <w:br/>
      </w:r>
    </w:p>
    <w:p w14:paraId="09BFDCCF" w14:textId="6D2E321B" w:rsidR="005D194A" w:rsidRPr="005660BD" w:rsidRDefault="00E23B2F" w:rsidP="00CF14E3">
      <w:pPr>
        <w:spacing w:line="360" w:lineRule="auto"/>
        <w:jc w:val="center"/>
        <w:rPr>
          <w:rFonts w:ascii="Times New Roman" w:hAnsi="Times New Roman" w:cs="Times New Roman"/>
        </w:rPr>
      </w:pPr>
      <w:r w:rsidRPr="005660BD">
        <w:rPr>
          <w:rFonts w:ascii="Times New Roman" w:hAnsi="Times New Roman" w:cs="Times New Roman"/>
        </w:rPr>
        <w:t xml:space="preserve">Issued by authority of </w:t>
      </w:r>
      <w:r w:rsidR="00E0689A" w:rsidRPr="005660BD">
        <w:rPr>
          <w:rFonts w:ascii="Times New Roman" w:hAnsi="Times New Roman" w:cs="Times New Roman"/>
        </w:rPr>
        <w:t xml:space="preserve">the Assistant Minister to </w:t>
      </w:r>
      <w:r w:rsidRPr="005660BD">
        <w:rPr>
          <w:rFonts w:ascii="Times New Roman" w:hAnsi="Times New Roman" w:cs="Times New Roman"/>
        </w:rPr>
        <w:t>the Attorney-General</w:t>
      </w:r>
      <w:r w:rsidR="005D194A" w:rsidRPr="005660BD">
        <w:rPr>
          <w:rFonts w:ascii="Times New Roman" w:hAnsi="Times New Roman" w:cs="Times New Roman"/>
        </w:rPr>
        <w:t xml:space="preserve"> </w:t>
      </w:r>
    </w:p>
    <w:p w14:paraId="09BFDCD4" w14:textId="40F008A3" w:rsidR="00AF0C63" w:rsidRPr="005660BD" w:rsidRDefault="00E0689A" w:rsidP="00CF14E3">
      <w:pPr>
        <w:spacing w:line="360" w:lineRule="auto"/>
        <w:jc w:val="center"/>
        <w:rPr>
          <w:rFonts w:ascii="Times New Roman" w:hAnsi="Times New Roman" w:cs="Times New Roman"/>
        </w:rPr>
      </w:pPr>
      <w:r w:rsidRPr="005660BD">
        <w:rPr>
          <w:rFonts w:ascii="Times New Roman" w:hAnsi="Times New Roman" w:cs="Times New Roman"/>
        </w:rPr>
        <w:t xml:space="preserve">under subsection 316(1) of the </w:t>
      </w:r>
      <w:r w:rsidRPr="005660BD">
        <w:rPr>
          <w:rFonts w:ascii="Times New Roman" w:hAnsi="Times New Roman" w:cs="Times New Roman"/>
          <w:i/>
        </w:rPr>
        <w:t>Bankruptcy Act 1966</w:t>
      </w:r>
      <w:r w:rsidRPr="005660BD">
        <w:rPr>
          <w:rFonts w:ascii="Times New Roman" w:hAnsi="Times New Roman" w:cs="Times New Roman"/>
        </w:rPr>
        <w:t>.</w:t>
      </w:r>
    </w:p>
    <w:p w14:paraId="09BFDCD5" w14:textId="77777777" w:rsidR="0026109C" w:rsidRPr="005660BD" w:rsidRDefault="0026109C" w:rsidP="005660BD">
      <w:pPr>
        <w:spacing w:line="360" w:lineRule="auto"/>
        <w:rPr>
          <w:rFonts w:ascii="Times New Roman" w:hAnsi="Times New Roman" w:cs="Times New Roman"/>
          <w:b/>
          <w:szCs w:val="24"/>
        </w:rPr>
      </w:pPr>
      <w:r w:rsidRPr="005660BD">
        <w:rPr>
          <w:rFonts w:ascii="Times New Roman" w:hAnsi="Times New Roman" w:cs="Times New Roman"/>
          <w:b/>
          <w:caps/>
          <w:szCs w:val="24"/>
        </w:rPr>
        <w:t>Purpose and operation of the Instrument</w:t>
      </w:r>
    </w:p>
    <w:p w14:paraId="2B1F9EBE" w14:textId="58F676A9" w:rsidR="00B0241C" w:rsidRDefault="00B0241C" w:rsidP="005660BD">
      <w:pPr>
        <w:spacing w:line="360" w:lineRule="auto"/>
        <w:ind w:right="91"/>
        <w:rPr>
          <w:rFonts w:ascii="Times New Roman" w:hAnsi="Times New Roman" w:cs="Times New Roman"/>
        </w:rPr>
      </w:pPr>
      <w:r w:rsidRPr="005660BD">
        <w:rPr>
          <w:rFonts w:ascii="Times New Roman" w:hAnsi="Times New Roman" w:cs="Times New Roman"/>
        </w:rPr>
        <w:t>The Determination amends the Bankruptcy (Fees and Remuneration) D</w:t>
      </w:r>
      <w:r>
        <w:rPr>
          <w:rFonts w:ascii="Times New Roman" w:hAnsi="Times New Roman" w:cs="Times New Roman"/>
        </w:rPr>
        <w:t>etermination </w:t>
      </w:r>
      <w:r w:rsidRPr="005660BD">
        <w:rPr>
          <w:rFonts w:ascii="Times New Roman" w:hAnsi="Times New Roman" w:cs="Times New Roman"/>
        </w:rPr>
        <w:t xml:space="preserve">2015, to reflect that the </w:t>
      </w:r>
      <w:r w:rsidRPr="005660BD">
        <w:rPr>
          <w:rFonts w:ascii="Times New Roman" w:hAnsi="Times New Roman" w:cs="Times New Roman"/>
          <w:i/>
        </w:rPr>
        <w:t>Bankruptcy Regulations 1996</w:t>
      </w:r>
      <w:r w:rsidRPr="005660BD">
        <w:rPr>
          <w:rFonts w:ascii="Times New Roman" w:hAnsi="Times New Roman" w:cs="Times New Roman"/>
        </w:rPr>
        <w:t xml:space="preserve"> sunset on the 1 April 2021 and were replaced by the </w:t>
      </w:r>
      <w:r w:rsidRPr="005660BD">
        <w:rPr>
          <w:rFonts w:ascii="Times New Roman" w:hAnsi="Times New Roman" w:cs="Times New Roman"/>
          <w:i/>
        </w:rPr>
        <w:t>Bankruptcy Regulations 2021</w:t>
      </w:r>
      <w:r w:rsidRPr="005660BD">
        <w:rPr>
          <w:rFonts w:ascii="Times New Roman" w:hAnsi="Times New Roman" w:cs="Times New Roman"/>
        </w:rPr>
        <w:t xml:space="preserve">. As such, the Determination makes minor amendments to the Bankruptcy (Fees and Remuneration) Determination 2015 to ensure that all references to the </w:t>
      </w:r>
      <w:r w:rsidRPr="005660BD">
        <w:rPr>
          <w:rFonts w:ascii="Times New Roman" w:hAnsi="Times New Roman" w:cs="Times New Roman"/>
          <w:i/>
        </w:rPr>
        <w:t>Bankruptcy Regulations 1996</w:t>
      </w:r>
      <w:r w:rsidRPr="005660BD">
        <w:rPr>
          <w:rFonts w:ascii="Times New Roman" w:hAnsi="Times New Roman" w:cs="Times New Roman"/>
        </w:rPr>
        <w:t xml:space="preserve"> are appropriately updated. </w:t>
      </w:r>
    </w:p>
    <w:p w14:paraId="2ACED1F4" w14:textId="66DB6AA8" w:rsidR="00E0689A" w:rsidRPr="005660BD" w:rsidRDefault="00E0689A" w:rsidP="005660BD">
      <w:pPr>
        <w:spacing w:line="360" w:lineRule="auto"/>
        <w:ind w:right="91"/>
        <w:rPr>
          <w:rFonts w:ascii="Times New Roman" w:hAnsi="Times New Roman" w:cs="Times New Roman"/>
        </w:rPr>
      </w:pPr>
      <w:r w:rsidRPr="005660BD">
        <w:rPr>
          <w:rFonts w:ascii="Times New Roman" w:hAnsi="Times New Roman" w:cs="Times New Roman"/>
        </w:rPr>
        <w:t xml:space="preserve">The </w:t>
      </w:r>
      <w:r w:rsidRPr="005660BD">
        <w:rPr>
          <w:rFonts w:ascii="Times New Roman" w:hAnsi="Times New Roman" w:cs="Times New Roman"/>
          <w:i/>
        </w:rPr>
        <w:t>Bankruptcy Act 1966</w:t>
      </w:r>
      <w:r w:rsidRPr="005660BD">
        <w:rPr>
          <w:rFonts w:ascii="Times New Roman" w:hAnsi="Times New Roman" w:cs="Times New Roman"/>
        </w:rPr>
        <w:t xml:space="preserve"> (the Act) regulates Australia's personal insolvency system and provides a framework to allow people in severe financial stress to discharge unmanageable debts while providing for the realisation of a debtor's available assets for distribution to affected creditors.</w:t>
      </w:r>
    </w:p>
    <w:p w14:paraId="449C8085" w14:textId="0A97995C" w:rsidR="00C46F6D" w:rsidRPr="005660BD" w:rsidRDefault="00C46F6D" w:rsidP="005660BD">
      <w:pPr>
        <w:spacing w:line="360" w:lineRule="auto"/>
        <w:ind w:right="91"/>
        <w:rPr>
          <w:rFonts w:ascii="Times New Roman" w:hAnsi="Times New Roman" w:cs="Times New Roman"/>
        </w:rPr>
      </w:pPr>
      <w:r w:rsidRPr="005660BD">
        <w:rPr>
          <w:rFonts w:ascii="Times New Roman" w:hAnsi="Times New Roman" w:cs="Times New Roman"/>
        </w:rPr>
        <w:t>As provided under subsection 316(1) of the Act, the Bankruptcy (Fees and Remuneration) Amendment (Consequential Amendments) Determination 2021 (the Determination) determines the fees and remuneration payable for the purposes of the Act. The Determination does not list those matters that do not incur a fee or services for which a levy is charged.</w:t>
      </w:r>
    </w:p>
    <w:p w14:paraId="1E05791F" w14:textId="01172691" w:rsidR="0006613F" w:rsidRPr="005660BD" w:rsidRDefault="0006613F" w:rsidP="005660BD">
      <w:pPr>
        <w:spacing w:line="360" w:lineRule="auto"/>
        <w:ind w:right="91"/>
        <w:rPr>
          <w:rFonts w:ascii="Times New Roman" w:hAnsi="Times New Roman" w:cs="Times New Roman"/>
        </w:rPr>
      </w:pPr>
      <w:r w:rsidRPr="005660BD">
        <w:rPr>
          <w:rFonts w:ascii="Times New Roman" w:hAnsi="Times New Roman" w:cs="Times New Roman"/>
        </w:rPr>
        <w:t xml:space="preserve">The Australian Financial Security Authority (AFSA) has responsibility for the administration and regulation of Australia’s personal insolvency system. As AFSA is funded completely through </w:t>
      </w:r>
      <w:r w:rsidR="00282B41" w:rsidRPr="005660BD">
        <w:rPr>
          <w:rFonts w:ascii="Times New Roman" w:hAnsi="Times New Roman" w:cs="Times New Roman"/>
        </w:rPr>
        <w:t xml:space="preserve">a </w:t>
      </w:r>
      <w:r w:rsidRPr="005660BD">
        <w:rPr>
          <w:rFonts w:ascii="Times New Roman" w:hAnsi="Times New Roman" w:cs="Times New Roman"/>
        </w:rPr>
        <w:t>cost recovery</w:t>
      </w:r>
      <w:r w:rsidR="00282B41" w:rsidRPr="005660BD">
        <w:rPr>
          <w:rFonts w:ascii="Times New Roman" w:hAnsi="Times New Roman" w:cs="Times New Roman"/>
        </w:rPr>
        <w:t xml:space="preserve"> model</w:t>
      </w:r>
      <w:r w:rsidRPr="005660BD">
        <w:rPr>
          <w:rFonts w:ascii="Times New Roman" w:hAnsi="Times New Roman" w:cs="Times New Roman"/>
        </w:rPr>
        <w:t xml:space="preserve">, it must </w:t>
      </w:r>
      <w:r w:rsidRPr="005660BD">
        <w:rPr>
          <w:rFonts w:ascii="Times New Roman" w:hAnsi="Times New Roman" w:cs="Times New Roman"/>
        </w:rPr>
        <w:lastRenderedPageBreak/>
        <w:t>ensure the pricing for its activities cover the efficient costs of performing them. The activities AFSA performs for which a fee or remuneration is payable under the Determination include:</w:t>
      </w:r>
    </w:p>
    <w:p w14:paraId="6ADBB2A7" w14:textId="3FEE7F50" w:rsidR="0006613F" w:rsidRPr="00B60AE7" w:rsidRDefault="0006613F" w:rsidP="00B60AE7">
      <w:pPr>
        <w:pStyle w:val="ListParagraph"/>
        <w:numPr>
          <w:ilvl w:val="0"/>
          <w:numId w:val="17"/>
        </w:numPr>
        <w:spacing w:line="360" w:lineRule="auto"/>
        <w:ind w:right="91"/>
        <w:rPr>
          <w:rFonts w:ascii="Times New Roman" w:hAnsi="Times New Roman" w:cs="Times New Roman"/>
        </w:rPr>
      </w:pPr>
      <w:r w:rsidRPr="00B60AE7">
        <w:rPr>
          <w:rFonts w:ascii="Times New Roman" w:hAnsi="Times New Roman" w:cs="Times New Roman"/>
        </w:rPr>
        <w:t>processing requests to the Official Trustee for cons</w:t>
      </w:r>
      <w:r w:rsidR="00282B41" w:rsidRPr="00B60AE7">
        <w:rPr>
          <w:rFonts w:ascii="Times New Roman" w:hAnsi="Times New Roman" w:cs="Times New Roman"/>
        </w:rPr>
        <w:t>ent to travel outside Australia</w:t>
      </w:r>
    </w:p>
    <w:p w14:paraId="0124CB49" w14:textId="1F21E095" w:rsidR="0006613F" w:rsidRPr="00B60AE7" w:rsidRDefault="0006613F" w:rsidP="00B60AE7">
      <w:pPr>
        <w:pStyle w:val="ListParagraph"/>
        <w:numPr>
          <w:ilvl w:val="0"/>
          <w:numId w:val="17"/>
        </w:numPr>
        <w:spacing w:line="360" w:lineRule="auto"/>
        <w:ind w:right="91"/>
        <w:rPr>
          <w:rFonts w:ascii="Times New Roman" w:hAnsi="Times New Roman" w:cs="Times New Roman"/>
        </w:rPr>
      </w:pPr>
      <w:r w:rsidRPr="00B60AE7">
        <w:rPr>
          <w:rFonts w:ascii="Times New Roman" w:hAnsi="Times New Roman" w:cs="Times New Roman"/>
        </w:rPr>
        <w:t>proc</w:t>
      </w:r>
      <w:r w:rsidR="00282B41" w:rsidRPr="00B60AE7">
        <w:rPr>
          <w:rFonts w:ascii="Times New Roman" w:hAnsi="Times New Roman" w:cs="Times New Roman"/>
        </w:rPr>
        <w:t>essing debt agreement proposals</w:t>
      </w:r>
    </w:p>
    <w:p w14:paraId="76FD61FE" w14:textId="2BE68E9B" w:rsidR="0006613F" w:rsidRPr="00B60AE7" w:rsidRDefault="0006613F" w:rsidP="00B60AE7">
      <w:pPr>
        <w:pStyle w:val="ListParagraph"/>
        <w:numPr>
          <w:ilvl w:val="0"/>
          <w:numId w:val="17"/>
        </w:numPr>
        <w:spacing w:line="360" w:lineRule="auto"/>
        <w:ind w:right="91"/>
        <w:rPr>
          <w:rFonts w:ascii="Times New Roman" w:hAnsi="Times New Roman" w:cs="Times New Roman"/>
        </w:rPr>
      </w:pPr>
      <w:r w:rsidRPr="00B60AE7">
        <w:rPr>
          <w:rFonts w:ascii="Times New Roman" w:hAnsi="Times New Roman" w:cs="Times New Roman"/>
        </w:rPr>
        <w:t>processing personal</w:t>
      </w:r>
      <w:r w:rsidR="00282B41" w:rsidRPr="00B60AE7">
        <w:rPr>
          <w:rFonts w:ascii="Times New Roman" w:hAnsi="Times New Roman" w:cs="Times New Roman"/>
        </w:rPr>
        <w:t xml:space="preserve"> insolvency agreement proposals</w:t>
      </w:r>
    </w:p>
    <w:p w14:paraId="6B5B2CEE" w14:textId="716ED794" w:rsidR="0006613F" w:rsidRPr="00B60AE7" w:rsidRDefault="00282B41" w:rsidP="00B60AE7">
      <w:pPr>
        <w:pStyle w:val="ListParagraph"/>
        <w:numPr>
          <w:ilvl w:val="0"/>
          <w:numId w:val="17"/>
        </w:numPr>
        <w:spacing w:line="360" w:lineRule="auto"/>
        <w:ind w:right="91"/>
        <w:rPr>
          <w:rFonts w:ascii="Times New Roman" w:hAnsi="Times New Roman" w:cs="Times New Roman"/>
        </w:rPr>
      </w:pPr>
      <w:r w:rsidRPr="00B60AE7">
        <w:rPr>
          <w:rFonts w:ascii="Times New Roman" w:hAnsi="Times New Roman" w:cs="Times New Roman"/>
        </w:rPr>
        <w:t>extension of bankruptcy notices</w:t>
      </w:r>
    </w:p>
    <w:p w14:paraId="2127B045" w14:textId="7D916207" w:rsidR="0006613F" w:rsidRPr="00B60AE7" w:rsidRDefault="0006613F" w:rsidP="00B60AE7">
      <w:pPr>
        <w:pStyle w:val="ListParagraph"/>
        <w:numPr>
          <w:ilvl w:val="0"/>
          <w:numId w:val="17"/>
        </w:numPr>
        <w:spacing w:line="360" w:lineRule="auto"/>
        <w:ind w:right="91"/>
        <w:rPr>
          <w:rFonts w:ascii="Times New Roman" w:hAnsi="Times New Roman" w:cs="Times New Roman"/>
        </w:rPr>
      </w:pPr>
      <w:r w:rsidRPr="00B60AE7">
        <w:rPr>
          <w:rFonts w:ascii="Times New Roman" w:hAnsi="Times New Roman" w:cs="Times New Roman"/>
        </w:rPr>
        <w:t>is</w:t>
      </w:r>
      <w:r w:rsidR="00282B41" w:rsidRPr="00B60AE7">
        <w:rPr>
          <w:rFonts w:ascii="Times New Roman" w:hAnsi="Times New Roman" w:cs="Times New Roman"/>
        </w:rPr>
        <w:t>suing Official Receiver notices</w:t>
      </w:r>
    </w:p>
    <w:p w14:paraId="03859321" w14:textId="0DA0352D" w:rsidR="0006613F" w:rsidRPr="00B60AE7" w:rsidRDefault="0006613F" w:rsidP="00B60AE7">
      <w:pPr>
        <w:pStyle w:val="ListParagraph"/>
        <w:numPr>
          <w:ilvl w:val="0"/>
          <w:numId w:val="17"/>
        </w:numPr>
        <w:spacing w:line="360" w:lineRule="auto"/>
        <w:ind w:right="91"/>
        <w:rPr>
          <w:rFonts w:ascii="Times New Roman" w:hAnsi="Times New Roman" w:cs="Times New Roman"/>
        </w:rPr>
      </w:pPr>
      <w:r w:rsidRPr="00B60AE7">
        <w:rPr>
          <w:rFonts w:ascii="Times New Roman" w:hAnsi="Times New Roman" w:cs="Times New Roman"/>
        </w:rPr>
        <w:t>regulation of trustees and debt agreement administrators, including interview</w:t>
      </w:r>
      <w:r w:rsidR="00282B41" w:rsidRPr="00B60AE7">
        <w:rPr>
          <w:rFonts w:ascii="Times New Roman" w:hAnsi="Times New Roman" w:cs="Times New Roman"/>
        </w:rPr>
        <w:t>ing applicants and registration</w:t>
      </w:r>
    </w:p>
    <w:p w14:paraId="1C44F03A" w14:textId="6F6D6D88" w:rsidR="0006613F" w:rsidRPr="00B60AE7" w:rsidRDefault="0006613F" w:rsidP="00B60AE7">
      <w:pPr>
        <w:pStyle w:val="ListParagraph"/>
        <w:numPr>
          <w:ilvl w:val="0"/>
          <w:numId w:val="17"/>
        </w:numPr>
        <w:spacing w:line="360" w:lineRule="auto"/>
        <w:ind w:right="91"/>
        <w:rPr>
          <w:rFonts w:ascii="Times New Roman" w:hAnsi="Times New Roman" w:cs="Times New Roman"/>
        </w:rPr>
      </w:pPr>
      <w:r w:rsidRPr="00B60AE7">
        <w:rPr>
          <w:rFonts w:ascii="Times New Roman" w:hAnsi="Times New Roman" w:cs="Times New Roman"/>
        </w:rPr>
        <w:t>advertising credito</w:t>
      </w:r>
      <w:r w:rsidR="00282B41" w:rsidRPr="00B60AE7">
        <w:rPr>
          <w:rFonts w:ascii="Times New Roman" w:hAnsi="Times New Roman" w:cs="Times New Roman"/>
        </w:rPr>
        <w:t xml:space="preserve">rs’ meetings on AFSA’s website, </w:t>
      </w:r>
      <w:r w:rsidRPr="00B60AE7">
        <w:rPr>
          <w:rFonts w:ascii="Times New Roman" w:hAnsi="Times New Roman" w:cs="Times New Roman"/>
        </w:rPr>
        <w:t>and</w:t>
      </w:r>
    </w:p>
    <w:p w14:paraId="0A421567" w14:textId="6CD10834" w:rsidR="0006613F" w:rsidRPr="00B60AE7" w:rsidRDefault="0006613F" w:rsidP="00B60AE7">
      <w:pPr>
        <w:pStyle w:val="ListParagraph"/>
        <w:numPr>
          <w:ilvl w:val="0"/>
          <w:numId w:val="17"/>
        </w:numPr>
        <w:spacing w:line="360" w:lineRule="auto"/>
        <w:ind w:right="91"/>
        <w:rPr>
          <w:rFonts w:ascii="Times New Roman" w:hAnsi="Times New Roman" w:cs="Times New Roman"/>
        </w:rPr>
      </w:pPr>
      <w:r w:rsidRPr="00B60AE7">
        <w:rPr>
          <w:rFonts w:ascii="Times New Roman" w:hAnsi="Times New Roman" w:cs="Times New Roman"/>
        </w:rPr>
        <w:t>estate administration by the Official Trustee.</w:t>
      </w:r>
    </w:p>
    <w:p w14:paraId="09BFDCE0" w14:textId="77777777" w:rsidR="0026109C" w:rsidRPr="005660BD" w:rsidRDefault="004F430F" w:rsidP="005660BD">
      <w:pPr>
        <w:spacing w:line="360" w:lineRule="auto"/>
        <w:rPr>
          <w:rFonts w:ascii="Times New Roman" w:hAnsi="Times New Roman" w:cs="Times New Roman"/>
          <w:b/>
          <w:caps/>
        </w:rPr>
      </w:pPr>
      <w:r w:rsidRPr="005660BD">
        <w:rPr>
          <w:rFonts w:ascii="Times New Roman" w:hAnsi="Times New Roman" w:cs="Times New Roman"/>
          <w:b/>
          <w:caps/>
        </w:rPr>
        <w:t>Consultation</w:t>
      </w:r>
    </w:p>
    <w:p w14:paraId="09BFDCE3" w14:textId="4F30EA2D" w:rsidR="00AF0C63" w:rsidRPr="005660BD" w:rsidRDefault="00303024" w:rsidP="005660BD">
      <w:pPr>
        <w:tabs>
          <w:tab w:val="left" w:pos="6521"/>
        </w:tabs>
        <w:spacing w:line="360" w:lineRule="auto"/>
        <w:ind w:right="91"/>
        <w:rPr>
          <w:rFonts w:ascii="Times New Roman" w:hAnsi="Times New Roman" w:cs="Times New Roman"/>
          <w:color w:val="FF0000"/>
        </w:rPr>
      </w:pPr>
      <w:r w:rsidRPr="005660BD">
        <w:rPr>
          <w:rFonts w:ascii="Times New Roman" w:eastAsia="Times New Roman" w:hAnsi="Times New Roman" w:cs="Times New Roman"/>
          <w:lang w:eastAsia="en-AU"/>
        </w:rPr>
        <w:t>The Determination has been informed by close collaboration with AFSA</w:t>
      </w:r>
      <w:r w:rsidR="005660BD">
        <w:rPr>
          <w:rFonts w:ascii="Times New Roman" w:eastAsia="Times New Roman" w:hAnsi="Times New Roman" w:cs="Times New Roman"/>
          <w:lang w:eastAsia="en-AU"/>
        </w:rPr>
        <w:t>.</w:t>
      </w:r>
    </w:p>
    <w:p w14:paraId="09BFDCE4" w14:textId="77777777" w:rsidR="00566C9B" w:rsidRPr="005660BD" w:rsidRDefault="004F430F" w:rsidP="005660BD">
      <w:pPr>
        <w:spacing w:line="360" w:lineRule="auto"/>
        <w:rPr>
          <w:rFonts w:ascii="Times New Roman" w:hAnsi="Times New Roman" w:cs="Times New Roman"/>
          <w:b/>
          <w:caps/>
        </w:rPr>
      </w:pPr>
      <w:r w:rsidRPr="005660BD">
        <w:rPr>
          <w:rFonts w:ascii="Times New Roman" w:hAnsi="Times New Roman" w:cs="Times New Roman"/>
          <w:b/>
          <w:caps/>
        </w:rPr>
        <w:t>Regulation Impact Statement</w:t>
      </w:r>
    </w:p>
    <w:p w14:paraId="1C89953E" w14:textId="333FC890" w:rsidR="005660BD" w:rsidRDefault="00282B41" w:rsidP="005660BD">
      <w:pPr>
        <w:spacing w:line="360" w:lineRule="auto"/>
        <w:rPr>
          <w:rFonts w:ascii="Times New Roman" w:hAnsi="Times New Roman" w:cs="Times New Roman"/>
          <w:b/>
          <w:caps/>
          <w:sz w:val="24"/>
          <w:szCs w:val="24"/>
        </w:rPr>
      </w:pPr>
      <w:r w:rsidRPr="005660BD">
        <w:rPr>
          <w:rFonts w:ascii="Times New Roman" w:hAnsi="Times New Roman" w:cs="Times New Roman"/>
        </w:rPr>
        <w:t xml:space="preserve">The </w:t>
      </w:r>
      <w:r w:rsidR="000D6EF3" w:rsidRPr="000D6EF3">
        <w:rPr>
          <w:rFonts w:ascii="Times New Roman" w:hAnsi="Times New Roman" w:cs="Times New Roman"/>
          <w:i/>
        </w:rPr>
        <w:t>Sunsetting legislative instruments guidance note</w:t>
      </w:r>
      <w:r w:rsidRPr="005660BD">
        <w:rPr>
          <w:rFonts w:ascii="Times New Roman" w:hAnsi="Times New Roman" w:cs="Times New Roman"/>
        </w:rPr>
        <w:t>, issued by the Office of Best Practice Regulation, stipulates that agencies can self-assess the performance of an instrument. The Attorney</w:t>
      </w:r>
      <w:r w:rsidRPr="005660BD">
        <w:rPr>
          <w:rFonts w:ascii="Times New Roman" w:hAnsi="Times New Roman" w:cs="Times New Roman"/>
        </w:rPr>
        <w:noBreakHyphen/>
        <w:t>General’s Department has assessed that the Determination is operating effectively and efficiently and that a Regulation Impact Statement is not required.</w:t>
      </w:r>
      <w:r w:rsidR="005660BD">
        <w:rPr>
          <w:rFonts w:ascii="Times New Roman" w:hAnsi="Times New Roman" w:cs="Times New Roman"/>
          <w:b/>
          <w:caps/>
          <w:sz w:val="24"/>
          <w:szCs w:val="24"/>
        </w:rPr>
        <w:br w:type="page"/>
      </w:r>
    </w:p>
    <w:p w14:paraId="09BFDCE7" w14:textId="3255B18F" w:rsidR="008B2955" w:rsidRPr="00521029" w:rsidRDefault="008B2955" w:rsidP="005660BD">
      <w:pPr>
        <w:spacing w:line="360" w:lineRule="auto"/>
        <w:jc w:val="center"/>
        <w:rPr>
          <w:rFonts w:ascii="Times New Roman" w:hAnsi="Times New Roman" w:cs="Times New Roman"/>
          <w:b/>
          <w:caps/>
          <w:sz w:val="24"/>
          <w:szCs w:val="24"/>
        </w:rPr>
      </w:pPr>
      <w:r w:rsidRPr="00521029">
        <w:rPr>
          <w:rFonts w:ascii="Times New Roman" w:hAnsi="Times New Roman" w:cs="Times New Roman"/>
          <w:b/>
          <w:caps/>
          <w:sz w:val="24"/>
          <w:szCs w:val="24"/>
        </w:rPr>
        <w:lastRenderedPageBreak/>
        <w:t>Statement of Compatibility with Human Rights</w:t>
      </w:r>
    </w:p>
    <w:p w14:paraId="542F9FA2" w14:textId="20E7479D" w:rsidR="004D2999" w:rsidRPr="004D2999" w:rsidRDefault="001D3031" w:rsidP="005660BD">
      <w:pPr>
        <w:spacing w:line="360" w:lineRule="auto"/>
        <w:jc w:val="center"/>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(Parliamentary Scrutiny) Act 2011</w:t>
      </w:r>
    </w:p>
    <w:p w14:paraId="5CB7D425" w14:textId="652F1A47" w:rsidR="004D2999" w:rsidRPr="004D2999" w:rsidRDefault="004D2999" w:rsidP="005660BD">
      <w:pPr>
        <w:spacing w:line="360" w:lineRule="auto"/>
        <w:jc w:val="center"/>
        <w:rPr>
          <w:rFonts w:ascii="Times New Roman" w:hAnsi="Times New Roman" w:cs="Times New Roman"/>
          <w:b/>
        </w:rPr>
      </w:pPr>
      <w:r w:rsidRPr="004D2999">
        <w:rPr>
          <w:rFonts w:ascii="Times New Roman" w:hAnsi="Times New Roman" w:cs="Times New Roman"/>
          <w:b/>
        </w:rPr>
        <w:t>Bankruptcy (Fees and Remuneration) Amendment (Consequential Amendments) Determination 2021</w:t>
      </w:r>
    </w:p>
    <w:p w14:paraId="3C10CDF7" w14:textId="7D7C3F65" w:rsidR="00187A90" w:rsidRPr="00187A90" w:rsidRDefault="00187A90" w:rsidP="00187A90">
      <w:pPr>
        <w:spacing w:line="360" w:lineRule="auto"/>
        <w:rPr>
          <w:rFonts w:ascii="Times New Roman" w:hAnsi="Times New Roman" w:cs="Times New Roman"/>
        </w:rPr>
      </w:pPr>
      <w:r w:rsidRPr="00187A90">
        <w:rPr>
          <w:rFonts w:ascii="Times New Roman" w:hAnsi="Times New Roman" w:cs="Times New Roman"/>
        </w:rPr>
        <w:t xml:space="preserve">This Legislative Instrument </w:t>
      </w:r>
      <w:r w:rsidR="005660BD">
        <w:rPr>
          <w:rFonts w:ascii="Times New Roman" w:hAnsi="Times New Roman" w:cs="Times New Roman"/>
        </w:rPr>
        <w:t xml:space="preserve">(the Determination) </w:t>
      </w:r>
      <w:r w:rsidRPr="00187A90">
        <w:rPr>
          <w:rFonts w:ascii="Times New Roman" w:hAnsi="Times New Roman" w:cs="Times New Roman"/>
        </w:rPr>
        <w:t xml:space="preserve">is compatible with the human rights and freedoms recognised or declared in the international instruments listed in section 3 of the </w:t>
      </w:r>
      <w:r w:rsidRPr="004D2999">
        <w:rPr>
          <w:rFonts w:ascii="Times New Roman" w:hAnsi="Times New Roman" w:cs="Times New Roman"/>
          <w:i/>
        </w:rPr>
        <w:t>Human Rights (Parliamentary Scrutiny) Act 2011</w:t>
      </w:r>
      <w:r w:rsidRPr="00187A90">
        <w:rPr>
          <w:rFonts w:ascii="Times New Roman" w:hAnsi="Times New Roman" w:cs="Times New Roman"/>
        </w:rPr>
        <w:t>.</w:t>
      </w:r>
    </w:p>
    <w:p w14:paraId="64D1C524" w14:textId="56390543" w:rsidR="00187A90" w:rsidRPr="004D2999" w:rsidRDefault="00187A90" w:rsidP="00187A90">
      <w:pPr>
        <w:spacing w:line="360" w:lineRule="auto"/>
        <w:rPr>
          <w:rFonts w:ascii="Times New Roman" w:hAnsi="Times New Roman" w:cs="Times New Roman"/>
          <w:b/>
        </w:rPr>
      </w:pPr>
      <w:r w:rsidRPr="004D2999">
        <w:rPr>
          <w:rFonts w:ascii="Times New Roman" w:hAnsi="Times New Roman" w:cs="Times New Roman"/>
          <w:b/>
        </w:rPr>
        <w:t>Overview of the Legislative Instrument</w:t>
      </w:r>
    </w:p>
    <w:p w14:paraId="5365A51E" w14:textId="77777777" w:rsidR="005660BD" w:rsidRPr="00187A90" w:rsidRDefault="005660BD" w:rsidP="005660BD">
      <w:pPr>
        <w:spacing w:line="360" w:lineRule="auto"/>
        <w:rPr>
          <w:rFonts w:ascii="Times New Roman" w:hAnsi="Times New Roman" w:cs="Times New Roman"/>
        </w:rPr>
      </w:pPr>
      <w:r w:rsidRPr="005660BD">
        <w:rPr>
          <w:rFonts w:ascii="Times New Roman" w:hAnsi="Times New Roman" w:cs="Times New Roman"/>
        </w:rPr>
        <w:t xml:space="preserve">The Determination </w:t>
      </w:r>
      <w:r>
        <w:rPr>
          <w:rFonts w:ascii="Times New Roman" w:hAnsi="Times New Roman" w:cs="Times New Roman"/>
        </w:rPr>
        <w:t>makes minor amendments to t</w:t>
      </w:r>
      <w:r w:rsidRPr="005660BD">
        <w:rPr>
          <w:rFonts w:ascii="Times New Roman" w:hAnsi="Times New Roman" w:cs="Times New Roman"/>
        </w:rPr>
        <w:t xml:space="preserve">he Bankruptcy (Fees and Remuneration) Determination 2015, to reflect that the </w:t>
      </w:r>
      <w:r w:rsidRPr="005660BD">
        <w:rPr>
          <w:rFonts w:ascii="Times New Roman" w:hAnsi="Times New Roman" w:cs="Times New Roman"/>
          <w:i/>
        </w:rPr>
        <w:t>Bankruptcy Regulations 1996</w:t>
      </w:r>
      <w:r w:rsidRPr="005660BD">
        <w:rPr>
          <w:rFonts w:ascii="Times New Roman" w:hAnsi="Times New Roman" w:cs="Times New Roman"/>
        </w:rPr>
        <w:t xml:space="preserve"> sunset on the 1 April 2021 and were replaced by the </w:t>
      </w:r>
      <w:r w:rsidRPr="005660BD">
        <w:rPr>
          <w:rFonts w:ascii="Times New Roman" w:hAnsi="Times New Roman" w:cs="Times New Roman"/>
          <w:i/>
        </w:rPr>
        <w:t>Bankruptcy Regulations 2021</w:t>
      </w:r>
      <w:r w:rsidRPr="005660BD">
        <w:rPr>
          <w:rFonts w:ascii="Times New Roman" w:hAnsi="Times New Roman" w:cs="Times New Roman"/>
        </w:rPr>
        <w:t xml:space="preserve">. </w:t>
      </w:r>
    </w:p>
    <w:p w14:paraId="2DAF7C6B" w14:textId="21E0FD5E" w:rsidR="00187A90" w:rsidRDefault="00187A90" w:rsidP="00187A90">
      <w:pPr>
        <w:spacing w:line="360" w:lineRule="auto"/>
        <w:rPr>
          <w:rFonts w:ascii="Times New Roman" w:hAnsi="Times New Roman" w:cs="Times New Roman"/>
        </w:rPr>
      </w:pPr>
      <w:r w:rsidRPr="00187A90">
        <w:rPr>
          <w:rFonts w:ascii="Times New Roman" w:hAnsi="Times New Roman" w:cs="Times New Roman"/>
        </w:rPr>
        <w:t xml:space="preserve">This </w:t>
      </w:r>
      <w:r w:rsidR="005660BD" w:rsidRPr="005660BD">
        <w:rPr>
          <w:rFonts w:ascii="Times New Roman" w:hAnsi="Times New Roman" w:cs="Times New Roman"/>
        </w:rPr>
        <w:t>Bankruptcy (Fees and Remuneration) Determination 2015</w:t>
      </w:r>
      <w:r w:rsidR="005660BD">
        <w:rPr>
          <w:rFonts w:ascii="Times New Roman" w:hAnsi="Times New Roman" w:cs="Times New Roman"/>
        </w:rPr>
        <w:t xml:space="preserve">, as amended by this Determination, </w:t>
      </w:r>
      <w:r w:rsidRPr="00187A90">
        <w:rPr>
          <w:rFonts w:ascii="Times New Roman" w:hAnsi="Times New Roman" w:cs="Times New Roman"/>
        </w:rPr>
        <w:t>determines t</w:t>
      </w:r>
      <w:r w:rsidR="005660BD">
        <w:rPr>
          <w:rFonts w:ascii="Times New Roman" w:hAnsi="Times New Roman" w:cs="Times New Roman"/>
        </w:rPr>
        <w:t>he fees and remuneration that are</w:t>
      </w:r>
      <w:r w:rsidRPr="00187A90">
        <w:rPr>
          <w:rFonts w:ascii="Times New Roman" w:hAnsi="Times New Roman" w:cs="Times New Roman"/>
        </w:rPr>
        <w:t xml:space="preserve"> payable for the purposes of the </w:t>
      </w:r>
      <w:r w:rsidRPr="005660BD">
        <w:rPr>
          <w:rFonts w:ascii="Times New Roman" w:hAnsi="Times New Roman" w:cs="Times New Roman"/>
          <w:i/>
        </w:rPr>
        <w:t>Bankruptcy Act 1966</w:t>
      </w:r>
      <w:r w:rsidR="005660BD">
        <w:rPr>
          <w:rFonts w:ascii="Times New Roman" w:hAnsi="Times New Roman" w:cs="Times New Roman"/>
          <w:i/>
        </w:rPr>
        <w:t xml:space="preserve"> </w:t>
      </w:r>
      <w:r w:rsidR="005660BD" w:rsidRPr="005660BD">
        <w:rPr>
          <w:rFonts w:ascii="Times New Roman" w:hAnsi="Times New Roman" w:cs="Times New Roman"/>
        </w:rPr>
        <w:t>(the Act).</w:t>
      </w:r>
      <w:r w:rsidR="005660BD">
        <w:rPr>
          <w:rFonts w:ascii="Times New Roman" w:hAnsi="Times New Roman" w:cs="Times New Roman"/>
        </w:rPr>
        <w:t xml:space="preserve"> </w:t>
      </w:r>
    </w:p>
    <w:p w14:paraId="6328DE45" w14:textId="7680AAA8" w:rsidR="005660BD" w:rsidRDefault="005660BD" w:rsidP="005660BD">
      <w:pPr>
        <w:spacing w:line="360" w:lineRule="auto"/>
        <w:rPr>
          <w:rFonts w:ascii="Times New Roman" w:hAnsi="Times New Roman" w:cs="Times New Roman"/>
        </w:rPr>
      </w:pPr>
      <w:r w:rsidRPr="005660BD">
        <w:rPr>
          <w:rFonts w:ascii="Times New Roman" w:hAnsi="Times New Roman" w:cs="Times New Roman"/>
        </w:rPr>
        <w:t xml:space="preserve">The Australian Financial Security Authority (AFSA) has responsibility for the administration and regulation of Australia’s personal insolvency system. As AFSA is funded completely through a cost recovery model, it must ensure the pricing for its activities cover the efficient costs of performing them. </w:t>
      </w:r>
      <w:r>
        <w:rPr>
          <w:rFonts w:ascii="Times New Roman" w:hAnsi="Times New Roman" w:cs="Times New Roman"/>
        </w:rPr>
        <w:t xml:space="preserve">The </w:t>
      </w:r>
      <w:r w:rsidRPr="005660BD">
        <w:rPr>
          <w:rFonts w:ascii="Times New Roman" w:hAnsi="Times New Roman" w:cs="Times New Roman"/>
        </w:rPr>
        <w:t>Bankruptcy (Fees and Remuneration) Determination 2015</w:t>
      </w:r>
      <w:r>
        <w:rPr>
          <w:rFonts w:ascii="Times New Roman" w:hAnsi="Times New Roman" w:cs="Times New Roman"/>
        </w:rPr>
        <w:t xml:space="preserve"> prescribes the fees and remuneration payable for certain of AFSA’s </w:t>
      </w:r>
      <w:r w:rsidRPr="005660BD">
        <w:rPr>
          <w:rFonts w:ascii="Times New Roman" w:hAnsi="Times New Roman" w:cs="Times New Roman"/>
        </w:rPr>
        <w:t xml:space="preserve">activities </w:t>
      </w:r>
      <w:r>
        <w:rPr>
          <w:rFonts w:ascii="Times New Roman" w:hAnsi="Times New Roman" w:cs="Times New Roman"/>
        </w:rPr>
        <w:t xml:space="preserve">under the Act, including but not limited to: </w:t>
      </w:r>
      <w:r w:rsidRPr="005660BD">
        <w:rPr>
          <w:rFonts w:ascii="Times New Roman" w:hAnsi="Times New Roman" w:cs="Times New Roman"/>
        </w:rPr>
        <w:t>processing requests to the Official Trustee for consent to travel outside Australia</w:t>
      </w:r>
      <w:r>
        <w:rPr>
          <w:rFonts w:ascii="Times New Roman" w:hAnsi="Times New Roman" w:cs="Times New Roman"/>
        </w:rPr>
        <w:t xml:space="preserve">; </w:t>
      </w:r>
      <w:r w:rsidRPr="005660BD">
        <w:rPr>
          <w:rFonts w:ascii="Times New Roman" w:hAnsi="Times New Roman" w:cs="Times New Roman"/>
        </w:rPr>
        <w:t>p</w:t>
      </w:r>
      <w:r>
        <w:rPr>
          <w:rFonts w:ascii="Times New Roman" w:hAnsi="Times New Roman" w:cs="Times New Roman"/>
        </w:rPr>
        <w:t>rocessing debt agreement proposa</w:t>
      </w:r>
      <w:r w:rsidRPr="005660BD">
        <w:rPr>
          <w:rFonts w:ascii="Times New Roman" w:hAnsi="Times New Roman" w:cs="Times New Roman"/>
        </w:rPr>
        <w:t>ls</w:t>
      </w:r>
      <w:r>
        <w:rPr>
          <w:rFonts w:ascii="Times New Roman" w:hAnsi="Times New Roman" w:cs="Times New Roman"/>
        </w:rPr>
        <w:t xml:space="preserve">; extending bankruptcy notices; regulating </w:t>
      </w:r>
      <w:r w:rsidRPr="005660BD">
        <w:rPr>
          <w:rFonts w:ascii="Times New Roman" w:hAnsi="Times New Roman" w:cs="Times New Roman"/>
        </w:rPr>
        <w:t>trustees and debt agreement administrators</w:t>
      </w:r>
      <w:r>
        <w:rPr>
          <w:rFonts w:ascii="Times New Roman" w:hAnsi="Times New Roman" w:cs="Times New Roman"/>
        </w:rPr>
        <w:t>; and a</w:t>
      </w:r>
      <w:r w:rsidRPr="005660BD">
        <w:rPr>
          <w:rFonts w:ascii="Times New Roman" w:hAnsi="Times New Roman" w:cs="Times New Roman"/>
        </w:rPr>
        <w:t>dvertising creditors’ meetings on AFSA’s website</w:t>
      </w:r>
      <w:r>
        <w:rPr>
          <w:rFonts w:ascii="Times New Roman" w:hAnsi="Times New Roman" w:cs="Times New Roman"/>
        </w:rPr>
        <w:t>.</w:t>
      </w:r>
    </w:p>
    <w:p w14:paraId="2A9006F4" w14:textId="485E1948" w:rsidR="00187A90" w:rsidRPr="005660BD" w:rsidRDefault="00187A90" w:rsidP="00187A90">
      <w:pPr>
        <w:spacing w:line="360" w:lineRule="auto"/>
        <w:rPr>
          <w:rFonts w:ascii="Times New Roman" w:hAnsi="Times New Roman" w:cs="Times New Roman"/>
          <w:b/>
        </w:rPr>
      </w:pPr>
      <w:r w:rsidRPr="005660BD">
        <w:rPr>
          <w:rFonts w:ascii="Times New Roman" w:hAnsi="Times New Roman" w:cs="Times New Roman"/>
          <w:b/>
        </w:rPr>
        <w:lastRenderedPageBreak/>
        <w:t>Human rights implications</w:t>
      </w:r>
    </w:p>
    <w:p w14:paraId="08439B89" w14:textId="159A5E5F" w:rsidR="00187A90" w:rsidRPr="00187A90" w:rsidRDefault="00B60AE7" w:rsidP="00187A90">
      <w:pPr>
        <w:spacing w:line="360" w:lineRule="auto"/>
        <w:rPr>
          <w:rFonts w:ascii="Times New Roman" w:hAnsi="Times New Roman" w:cs="Times New Roman"/>
        </w:rPr>
      </w:pPr>
      <w:r>
        <w:rPr>
          <w:rFonts w:ascii="Times New Roman" w:hAnsi="Times New Roman" w:cs="Times New Roman"/>
        </w:rPr>
        <w:t xml:space="preserve">As this </w:t>
      </w:r>
      <w:r w:rsidR="005660BD">
        <w:rPr>
          <w:rFonts w:ascii="Times New Roman" w:hAnsi="Times New Roman" w:cs="Times New Roman"/>
        </w:rPr>
        <w:t>Determination</w:t>
      </w:r>
      <w:r w:rsidR="00187A90" w:rsidRPr="00187A90">
        <w:rPr>
          <w:rFonts w:ascii="Times New Roman" w:hAnsi="Times New Roman" w:cs="Times New Roman"/>
        </w:rPr>
        <w:t xml:space="preserve"> </w:t>
      </w:r>
      <w:r>
        <w:rPr>
          <w:rFonts w:ascii="Times New Roman" w:hAnsi="Times New Roman" w:cs="Times New Roman"/>
        </w:rPr>
        <w:t xml:space="preserve">makes only minor, consequential amendments to the </w:t>
      </w:r>
      <w:r w:rsidRPr="00B60AE7">
        <w:rPr>
          <w:rFonts w:ascii="Times New Roman" w:hAnsi="Times New Roman" w:cs="Times New Roman"/>
        </w:rPr>
        <w:t>Bankruptcy (Fees and Remuneration) Determination 2015</w:t>
      </w:r>
      <w:r>
        <w:rPr>
          <w:rFonts w:ascii="Times New Roman" w:hAnsi="Times New Roman" w:cs="Times New Roman"/>
        </w:rPr>
        <w:t xml:space="preserve">, it </w:t>
      </w:r>
      <w:r w:rsidR="00187A90" w:rsidRPr="00187A90">
        <w:rPr>
          <w:rFonts w:ascii="Times New Roman" w:hAnsi="Times New Roman" w:cs="Times New Roman"/>
        </w:rPr>
        <w:t>does not engage</w:t>
      </w:r>
      <w:r>
        <w:rPr>
          <w:rFonts w:ascii="Times New Roman" w:hAnsi="Times New Roman" w:cs="Times New Roman"/>
        </w:rPr>
        <w:t xml:space="preserve"> or impact</w:t>
      </w:r>
      <w:r w:rsidR="00187A90" w:rsidRPr="00187A90">
        <w:rPr>
          <w:rFonts w:ascii="Times New Roman" w:hAnsi="Times New Roman" w:cs="Times New Roman"/>
        </w:rPr>
        <w:t xml:space="preserve"> any of the applicable rights or freedoms.</w:t>
      </w:r>
      <w:r w:rsidR="005660BD">
        <w:rPr>
          <w:rFonts w:ascii="Times New Roman" w:hAnsi="Times New Roman" w:cs="Times New Roman"/>
        </w:rPr>
        <w:t xml:space="preserve"> </w:t>
      </w:r>
    </w:p>
    <w:p w14:paraId="71A4D697" w14:textId="53C9FCCE" w:rsidR="00187A90" w:rsidRPr="005660BD" w:rsidRDefault="00187A90" w:rsidP="00187A90">
      <w:pPr>
        <w:spacing w:line="360" w:lineRule="auto"/>
        <w:rPr>
          <w:rFonts w:ascii="Times New Roman" w:hAnsi="Times New Roman" w:cs="Times New Roman"/>
          <w:b/>
        </w:rPr>
      </w:pPr>
      <w:r w:rsidRPr="005660BD">
        <w:rPr>
          <w:rFonts w:ascii="Times New Roman" w:hAnsi="Times New Roman" w:cs="Times New Roman"/>
          <w:b/>
        </w:rPr>
        <w:t>Conclusion</w:t>
      </w:r>
    </w:p>
    <w:p w14:paraId="09BFDCEB" w14:textId="377F8673" w:rsidR="009B6322" w:rsidRPr="005660BD" w:rsidRDefault="00187A90" w:rsidP="005660BD">
      <w:pPr>
        <w:spacing w:line="360" w:lineRule="auto"/>
        <w:rPr>
          <w:rFonts w:ascii="Times New Roman" w:hAnsi="Times New Roman" w:cs="Times New Roman"/>
        </w:rPr>
      </w:pPr>
      <w:r w:rsidRPr="00187A90">
        <w:rPr>
          <w:rFonts w:ascii="Times New Roman" w:hAnsi="Times New Roman" w:cs="Times New Roman"/>
        </w:rPr>
        <w:t xml:space="preserve">This </w:t>
      </w:r>
      <w:r w:rsidR="005660BD">
        <w:rPr>
          <w:rFonts w:ascii="Times New Roman" w:hAnsi="Times New Roman" w:cs="Times New Roman"/>
        </w:rPr>
        <w:t>Determination</w:t>
      </w:r>
      <w:r w:rsidRPr="00187A90">
        <w:rPr>
          <w:rFonts w:ascii="Times New Roman" w:hAnsi="Times New Roman" w:cs="Times New Roman"/>
        </w:rPr>
        <w:t xml:space="preserve"> is compatible with human rights as it does not raise any human rights issues.</w:t>
      </w:r>
      <w:r w:rsidR="009B6322">
        <w:rPr>
          <w:rFonts w:ascii="Times New Roman" w:hAnsi="Times New Roman" w:cs="Times New Roman"/>
          <w:color w:val="FF0000"/>
        </w:rPr>
        <w:br w:type="page"/>
      </w:r>
    </w:p>
    <w:p w14:paraId="121F2E18" w14:textId="77777777"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09BFDCED" w14:textId="77777777" w:rsidR="00186EFA" w:rsidRPr="00521029"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7E877529" w14:textId="7C6043F9" w:rsidR="00043840" w:rsidRPr="00AD1049" w:rsidRDefault="00C16B35" w:rsidP="00043840">
      <w:pPr>
        <w:spacing w:line="360" w:lineRule="auto"/>
        <w:rPr>
          <w:rFonts w:ascii="Times New Roman" w:hAnsi="Times New Roman" w:cs="Times New Roman"/>
          <w:b/>
          <w:u w:val="single"/>
        </w:rPr>
      </w:pPr>
      <w:r w:rsidRPr="00AD1049">
        <w:rPr>
          <w:rFonts w:ascii="Times New Roman" w:hAnsi="Times New Roman" w:cs="Times New Roman"/>
          <w:b/>
          <w:u w:val="single"/>
        </w:rPr>
        <w:t xml:space="preserve">PART 1 – Preliminary </w:t>
      </w:r>
    </w:p>
    <w:p w14:paraId="0032D546" w14:textId="77777777" w:rsidR="00043840" w:rsidRPr="00AD1049" w:rsidRDefault="00C16B35" w:rsidP="00043840">
      <w:pPr>
        <w:spacing w:line="360" w:lineRule="auto"/>
        <w:rPr>
          <w:rFonts w:ascii="Times New Roman" w:hAnsi="Times New Roman" w:cs="Times New Roman"/>
          <w:b/>
        </w:rPr>
      </w:pPr>
      <w:r w:rsidRPr="00AD1049">
        <w:rPr>
          <w:rFonts w:ascii="Times New Roman" w:hAnsi="Times New Roman" w:cs="Times New Roman"/>
          <w:b/>
        </w:rPr>
        <w:t>Section 1 – Name</w:t>
      </w:r>
    </w:p>
    <w:p w14:paraId="4AB22170" w14:textId="015B2D5A" w:rsidR="00043840" w:rsidRPr="00AD1049" w:rsidRDefault="00C16B35" w:rsidP="00043840">
      <w:pPr>
        <w:spacing w:line="360" w:lineRule="auto"/>
        <w:rPr>
          <w:rFonts w:ascii="Times New Roman" w:hAnsi="Times New Roman" w:cs="Times New Roman"/>
        </w:rPr>
      </w:pPr>
      <w:r w:rsidRPr="00AD1049">
        <w:rPr>
          <w:rFonts w:ascii="Times New Roman" w:hAnsi="Times New Roman" w:cs="Times New Roman"/>
        </w:rPr>
        <w:t xml:space="preserve">Section 1 provides that the title of the </w:t>
      </w:r>
      <w:r w:rsidR="00AD1049">
        <w:rPr>
          <w:rFonts w:ascii="Times New Roman" w:hAnsi="Times New Roman" w:cs="Times New Roman"/>
        </w:rPr>
        <w:t>Determination</w:t>
      </w:r>
      <w:r w:rsidRPr="00AD1049">
        <w:rPr>
          <w:rFonts w:ascii="Times New Roman" w:hAnsi="Times New Roman" w:cs="Times New Roman"/>
        </w:rPr>
        <w:t xml:space="preserve"> is the </w:t>
      </w:r>
      <w:r w:rsidR="00AD1049" w:rsidRPr="00AD1049">
        <w:rPr>
          <w:rFonts w:ascii="Times New Roman" w:hAnsi="Times New Roman" w:cs="Times New Roman"/>
        </w:rPr>
        <w:t>Bankruptcy (Fees and Remuneration) Amendment (Consequential Amendments) Determination 2021.</w:t>
      </w:r>
    </w:p>
    <w:p w14:paraId="0CF8DC30" w14:textId="77777777" w:rsidR="00043840" w:rsidRPr="00AD1049" w:rsidRDefault="00C16B35" w:rsidP="00043840">
      <w:pPr>
        <w:spacing w:line="360" w:lineRule="auto"/>
        <w:rPr>
          <w:rFonts w:ascii="Times New Roman" w:hAnsi="Times New Roman" w:cs="Times New Roman"/>
          <w:b/>
        </w:rPr>
      </w:pPr>
      <w:r w:rsidRPr="00AD1049">
        <w:rPr>
          <w:rFonts w:ascii="Times New Roman" w:hAnsi="Times New Roman" w:cs="Times New Roman"/>
          <w:b/>
        </w:rPr>
        <w:t>Section 2 – Commencement</w:t>
      </w:r>
    </w:p>
    <w:p w14:paraId="09BFDCFC" w14:textId="1548571E" w:rsidR="00C16B35" w:rsidRDefault="00AD1049" w:rsidP="00043840">
      <w:pPr>
        <w:spacing w:line="360" w:lineRule="auto"/>
        <w:rPr>
          <w:rFonts w:ascii="Times New Roman" w:hAnsi="Times New Roman" w:cs="Times New Roman"/>
          <w:color w:val="FF0000"/>
        </w:rPr>
      </w:pPr>
      <w:r w:rsidRPr="00AD1049">
        <w:rPr>
          <w:rFonts w:ascii="Times New Roman" w:hAnsi="Times New Roman" w:cs="Times New Roman"/>
        </w:rPr>
        <w:t xml:space="preserve">Section 2 provides for the commencement of provisions of the </w:t>
      </w:r>
      <w:r>
        <w:rPr>
          <w:rFonts w:ascii="Times New Roman" w:hAnsi="Times New Roman" w:cs="Times New Roman"/>
        </w:rPr>
        <w:t>Determination</w:t>
      </w:r>
      <w:r w:rsidRPr="00AD1049">
        <w:rPr>
          <w:rFonts w:ascii="Times New Roman" w:hAnsi="Times New Roman" w:cs="Times New Roman"/>
        </w:rPr>
        <w:t>, as set out in the table. Table item 1 provides that the whole of the instrument commences at the same time as the</w:t>
      </w:r>
      <w:r w:rsidRPr="00843579">
        <w:rPr>
          <w:rFonts w:ascii="Times New Roman" w:hAnsi="Times New Roman" w:cs="Times New Roman"/>
          <w:i/>
        </w:rPr>
        <w:t xml:space="preserve"> Bankruptcy Regulations 2021 </w:t>
      </w:r>
      <w:r w:rsidRPr="00187A90">
        <w:rPr>
          <w:rFonts w:ascii="Times New Roman" w:hAnsi="Times New Roman" w:cs="Times New Roman"/>
        </w:rPr>
        <w:t xml:space="preserve">commence. Those Regulations commenced on 1 April 2021. </w:t>
      </w:r>
    </w:p>
    <w:p w14:paraId="47E42F70" w14:textId="62530C99" w:rsidR="00AD1049" w:rsidRPr="00AD1049" w:rsidRDefault="00AD1049" w:rsidP="00AD1049">
      <w:pPr>
        <w:spacing w:line="360" w:lineRule="auto"/>
        <w:rPr>
          <w:rFonts w:ascii="Times New Roman" w:hAnsi="Times New Roman" w:cs="Times New Roman"/>
          <w:b/>
        </w:rPr>
      </w:pPr>
      <w:r w:rsidRPr="00AD1049">
        <w:rPr>
          <w:rFonts w:ascii="Times New Roman" w:hAnsi="Times New Roman" w:cs="Times New Roman"/>
          <w:b/>
        </w:rPr>
        <w:t>Section 3 – Authority</w:t>
      </w:r>
    </w:p>
    <w:p w14:paraId="73B0EBC8" w14:textId="31D15CE6" w:rsidR="00AD1049" w:rsidRPr="00187A90" w:rsidRDefault="00AD1049" w:rsidP="00AD1049">
      <w:pPr>
        <w:spacing w:line="360" w:lineRule="auto"/>
        <w:rPr>
          <w:rFonts w:ascii="Times New Roman" w:hAnsi="Times New Roman" w:cs="Times New Roman"/>
          <w:i/>
        </w:rPr>
      </w:pPr>
      <w:r w:rsidRPr="00AD1049">
        <w:rPr>
          <w:rFonts w:ascii="Times New Roman" w:hAnsi="Times New Roman" w:cs="Times New Roman"/>
        </w:rPr>
        <w:t xml:space="preserve">Section 3 provides that the Determination is made under subsection 316(1) of the </w:t>
      </w:r>
      <w:r w:rsidRPr="00AD1049">
        <w:rPr>
          <w:rFonts w:ascii="Times New Roman" w:hAnsi="Times New Roman" w:cs="Times New Roman"/>
          <w:i/>
        </w:rPr>
        <w:t xml:space="preserve">Bankruptcy Act </w:t>
      </w:r>
      <w:r w:rsidRPr="00187A90">
        <w:rPr>
          <w:rFonts w:ascii="Times New Roman" w:hAnsi="Times New Roman" w:cs="Times New Roman"/>
          <w:i/>
        </w:rPr>
        <w:t>1966.</w:t>
      </w:r>
    </w:p>
    <w:p w14:paraId="69CE59A9" w14:textId="608B9355" w:rsidR="00AD1049" w:rsidRPr="00187A90" w:rsidRDefault="00AD1049" w:rsidP="00AD1049">
      <w:pPr>
        <w:spacing w:line="360" w:lineRule="auto"/>
        <w:rPr>
          <w:rFonts w:ascii="Times New Roman" w:hAnsi="Times New Roman" w:cs="Times New Roman"/>
          <w:b/>
        </w:rPr>
      </w:pPr>
      <w:r w:rsidRPr="00187A90">
        <w:rPr>
          <w:rFonts w:ascii="Times New Roman" w:hAnsi="Times New Roman" w:cs="Times New Roman"/>
          <w:b/>
        </w:rPr>
        <w:t>Section 4 - Schedules</w:t>
      </w:r>
    </w:p>
    <w:p w14:paraId="78EA0E01" w14:textId="423BC173" w:rsidR="00AD1049" w:rsidRPr="00187A90" w:rsidRDefault="00AD1049" w:rsidP="00AD1049">
      <w:pPr>
        <w:spacing w:line="360" w:lineRule="auto"/>
        <w:rPr>
          <w:rFonts w:ascii="Times New Roman" w:hAnsi="Times New Roman" w:cs="Times New Roman"/>
          <w:b/>
        </w:rPr>
      </w:pPr>
      <w:r w:rsidRPr="00187A90">
        <w:rPr>
          <w:rFonts w:ascii="Times New Roman" w:hAnsi="Times New Roman" w:cs="Times New Roman"/>
        </w:rPr>
        <w:t>Section 4 provides that each instrument that is specified in a Schedule to the Determination is amended or repealed as set out in the applicable Schedule.</w:t>
      </w:r>
    </w:p>
    <w:p w14:paraId="09BFDCFD" w14:textId="77777777" w:rsidR="00C16B35" w:rsidRPr="00187A90" w:rsidRDefault="00C16B35" w:rsidP="00521029">
      <w:pPr>
        <w:keepNext/>
        <w:spacing w:line="360" w:lineRule="auto"/>
        <w:rPr>
          <w:rFonts w:ascii="Times New Roman" w:hAnsi="Times New Roman" w:cs="Times New Roman"/>
          <w:b/>
          <w:u w:val="single"/>
        </w:rPr>
      </w:pPr>
      <w:r w:rsidRPr="00187A90">
        <w:rPr>
          <w:rFonts w:ascii="Times New Roman" w:hAnsi="Times New Roman" w:cs="Times New Roman"/>
          <w:b/>
          <w:u w:val="single"/>
        </w:rPr>
        <w:lastRenderedPageBreak/>
        <w:t>SCHEDULE 1 – Amendments</w:t>
      </w:r>
    </w:p>
    <w:p w14:paraId="3FC0B1A5" w14:textId="6C674125" w:rsidR="00AD1049" w:rsidRPr="00187A90" w:rsidRDefault="00AD1049" w:rsidP="00521029">
      <w:pPr>
        <w:keepNext/>
        <w:spacing w:line="360" w:lineRule="auto"/>
        <w:rPr>
          <w:rFonts w:ascii="Times New Roman" w:hAnsi="Times New Roman" w:cs="Times New Roman"/>
          <w:b/>
          <w:i/>
        </w:rPr>
      </w:pPr>
      <w:r w:rsidRPr="00187A90">
        <w:rPr>
          <w:rFonts w:ascii="Times New Roman" w:hAnsi="Times New Roman" w:cs="Times New Roman"/>
          <w:b/>
          <w:i/>
        </w:rPr>
        <w:t>Bankruptcy (Fees and Remuneration) Determination 2015</w:t>
      </w:r>
    </w:p>
    <w:p w14:paraId="09BFDCFE" w14:textId="0ECF8C17" w:rsidR="00C16B35" w:rsidRPr="00187A90" w:rsidRDefault="00AD1049" w:rsidP="00521029">
      <w:pPr>
        <w:keepNext/>
        <w:spacing w:line="360" w:lineRule="auto"/>
        <w:rPr>
          <w:rFonts w:ascii="Times New Roman" w:hAnsi="Times New Roman" w:cs="Times New Roman"/>
          <w:b/>
        </w:rPr>
      </w:pPr>
      <w:r w:rsidRPr="00187A90">
        <w:rPr>
          <w:rFonts w:ascii="Times New Roman" w:hAnsi="Times New Roman" w:cs="Times New Roman"/>
          <w:b/>
        </w:rPr>
        <w:t>Section 1</w:t>
      </w:r>
      <w:r w:rsidR="00C16B35" w:rsidRPr="00187A90">
        <w:rPr>
          <w:rFonts w:ascii="Times New Roman" w:hAnsi="Times New Roman" w:cs="Times New Roman"/>
          <w:b/>
        </w:rPr>
        <w:t xml:space="preserve"> – </w:t>
      </w:r>
      <w:r w:rsidRPr="00187A90">
        <w:rPr>
          <w:rFonts w:ascii="Times New Roman" w:hAnsi="Times New Roman" w:cs="Times New Roman"/>
          <w:b/>
        </w:rPr>
        <w:t>Section 1.04 (paragraph (a) of the note)</w:t>
      </w:r>
    </w:p>
    <w:p w14:paraId="05B61142" w14:textId="09610753" w:rsidR="00154606" w:rsidRPr="00187A90" w:rsidRDefault="00AD1049" w:rsidP="00521029">
      <w:pPr>
        <w:spacing w:line="360" w:lineRule="auto"/>
        <w:rPr>
          <w:rFonts w:ascii="Times New Roman" w:hAnsi="Times New Roman" w:cs="Times New Roman"/>
        </w:rPr>
      </w:pPr>
      <w:r w:rsidRPr="00187A90">
        <w:rPr>
          <w:rFonts w:ascii="Times New Roman" w:hAnsi="Times New Roman" w:cs="Times New Roman"/>
        </w:rPr>
        <w:t>Section 1</w:t>
      </w:r>
      <w:r w:rsidR="00154606" w:rsidRPr="00187A90">
        <w:rPr>
          <w:rFonts w:ascii="Times New Roman" w:hAnsi="Times New Roman" w:cs="Times New Roman"/>
        </w:rPr>
        <w:t xml:space="preserve">.04 of the Bankruptcy (Fees and Remuneration) Determination 2015 provides transitional arrangements, to ensure that the correct provisions and fees apply in relation to historical bankruptcies with a date of bankruptcy before 1 December 2010. As such, section 1 of the Determination clarifies that the relevant provision applicable to those historical bankruptcies is regulation 8.09 of the </w:t>
      </w:r>
      <w:r w:rsidR="00154606" w:rsidRPr="00187A90">
        <w:rPr>
          <w:rFonts w:ascii="Times New Roman" w:hAnsi="Times New Roman" w:cs="Times New Roman"/>
          <w:i/>
        </w:rPr>
        <w:t>Bankruptcy Regulations 1996</w:t>
      </w:r>
      <w:r w:rsidR="00154606" w:rsidRPr="00187A90">
        <w:rPr>
          <w:rFonts w:ascii="Times New Roman" w:hAnsi="Times New Roman" w:cs="Times New Roman"/>
        </w:rPr>
        <w:t>.</w:t>
      </w:r>
    </w:p>
    <w:p w14:paraId="33B5EE9A" w14:textId="29FC7F81" w:rsidR="00AD1049" w:rsidRPr="00187A90" w:rsidRDefault="00154606" w:rsidP="00AD1049">
      <w:pPr>
        <w:keepNext/>
        <w:spacing w:line="360" w:lineRule="auto"/>
        <w:rPr>
          <w:rFonts w:ascii="Times New Roman" w:hAnsi="Times New Roman" w:cs="Times New Roman"/>
          <w:b/>
        </w:rPr>
      </w:pPr>
      <w:r w:rsidRPr="00187A90">
        <w:rPr>
          <w:rFonts w:ascii="Times New Roman" w:hAnsi="Times New Roman" w:cs="Times New Roman"/>
          <w:b/>
        </w:rPr>
        <w:t>Section 2</w:t>
      </w:r>
      <w:r w:rsidR="00AD1049" w:rsidRPr="00187A90">
        <w:rPr>
          <w:rFonts w:ascii="Times New Roman" w:hAnsi="Times New Roman" w:cs="Times New Roman"/>
          <w:b/>
        </w:rPr>
        <w:t xml:space="preserve"> – </w:t>
      </w:r>
      <w:r w:rsidRPr="00187A90">
        <w:rPr>
          <w:rFonts w:ascii="Times New Roman" w:hAnsi="Times New Roman" w:cs="Times New Roman"/>
          <w:b/>
        </w:rPr>
        <w:t xml:space="preserve">Subsection 1.05(1) (definition of </w:t>
      </w:r>
      <w:r w:rsidRPr="00187A90">
        <w:rPr>
          <w:rFonts w:ascii="Times New Roman" w:hAnsi="Times New Roman" w:cs="Times New Roman"/>
          <w:b/>
          <w:i/>
        </w:rPr>
        <w:t>Regulations</w:t>
      </w:r>
      <w:r w:rsidRPr="00187A90">
        <w:rPr>
          <w:rFonts w:ascii="Times New Roman" w:hAnsi="Times New Roman" w:cs="Times New Roman"/>
          <w:b/>
        </w:rPr>
        <w:t>)</w:t>
      </w:r>
    </w:p>
    <w:p w14:paraId="78501802" w14:textId="139D250C" w:rsidR="00AD1049" w:rsidRPr="00187A90" w:rsidRDefault="00154606" w:rsidP="00521029">
      <w:pPr>
        <w:spacing w:line="360" w:lineRule="auto"/>
        <w:rPr>
          <w:rFonts w:ascii="Times New Roman" w:hAnsi="Times New Roman" w:cs="Times New Roman"/>
          <w:b/>
          <w:i/>
        </w:rPr>
      </w:pPr>
      <w:r w:rsidRPr="00187A90">
        <w:rPr>
          <w:rFonts w:ascii="Times New Roman" w:hAnsi="Times New Roman" w:cs="Times New Roman"/>
        </w:rPr>
        <w:t xml:space="preserve">Section 2 provides that the definition of Regulations under the Determination is the </w:t>
      </w:r>
      <w:r w:rsidRPr="00187A90">
        <w:rPr>
          <w:rFonts w:ascii="Times New Roman" w:hAnsi="Times New Roman" w:cs="Times New Roman"/>
          <w:i/>
        </w:rPr>
        <w:t>Bankruptcy Regulations 2021</w:t>
      </w:r>
      <w:r w:rsidRPr="00187A90">
        <w:rPr>
          <w:rFonts w:ascii="Times New Roman" w:hAnsi="Times New Roman" w:cs="Times New Roman"/>
        </w:rPr>
        <w:t xml:space="preserve">. This ensures that any references made in the Determination to the Regulations </w:t>
      </w:r>
      <w:r w:rsidR="001C1C01" w:rsidRPr="00187A90">
        <w:rPr>
          <w:rFonts w:ascii="Times New Roman" w:hAnsi="Times New Roman" w:cs="Times New Roman"/>
        </w:rPr>
        <w:t xml:space="preserve">are taken to refer to </w:t>
      </w:r>
      <w:r w:rsidRPr="00187A90">
        <w:rPr>
          <w:rFonts w:ascii="Times New Roman" w:hAnsi="Times New Roman" w:cs="Times New Roman"/>
        </w:rPr>
        <w:t>the current and in-force Bankruptcy Regulations.</w:t>
      </w:r>
    </w:p>
    <w:p w14:paraId="5C3051B7" w14:textId="3C9285BB" w:rsidR="00AD1049" w:rsidRPr="00187A90" w:rsidRDefault="00AD1049" w:rsidP="00AD1049">
      <w:pPr>
        <w:keepNext/>
        <w:spacing w:line="360" w:lineRule="auto"/>
        <w:rPr>
          <w:rFonts w:ascii="Times New Roman" w:hAnsi="Times New Roman" w:cs="Times New Roman"/>
          <w:b/>
        </w:rPr>
      </w:pPr>
      <w:r w:rsidRPr="00187A90">
        <w:rPr>
          <w:rFonts w:ascii="Times New Roman" w:hAnsi="Times New Roman" w:cs="Times New Roman"/>
          <w:b/>
        </w:rPr>
        <w:t xml:space="preserve">Section </w:t>
      </w:r>
      <w:r w:rsidR="00154606" w:rsidRPr="00187A90">
        <w:rPr>
          <w:rFonts w:ascii="Times New Roman" w:hAnsi="Times New Roman" w:cs="Times New Roman"/>
          <w:b/>
        </w:rPr>
        <w:t>3</w:t>
      </w:r>
      <w:r w:rsidRPr="00187A90">
        <w:rPr>
          <w:rFonts w:ascii="Times New Roman" w:hAnsi="Times New Roman" w:cs="Times New Roman"/>
          <w:b/>
        </w:rPr>
        <w:t xml:space="preserve"> – </w:t>
      </w:r>
      <w:r w:rsidR="00154606" w:rsidRPr="00187A90">
        <w:rPr>
          <w:rFonts w:ascii="Times New Roman" w:hAnsi="Times New Roman" w:cs="Times New Roman"/>
          <w:b/>
        </w:rPr>
        <w:t>Subsection 1.05(2) (note 2)</w:t>
      </w:r>
    </w:p>
    <w:p w14:paraId="1F8B0A80" w14:textId="220830D4" w:rsidR="00154606" w:rsidRPr="00187A90" w:rsidRDefault="00154606" w:rsidP="006A0D58">
      <w:pPr>
        <w:spacing w:line="360" w:lineRule="auto"/>
        <w:rPr>
          <w:rFonts w:ascii="Times New Roman" w:hAnsi="Times New Roman" w:cs="Times New Roman"/>
        </w:rPr>
      </w:pPr>
      <w:r w:rsidRPr="00187A90">
        <w:rPr>
          <w:rFonts w:ascii="Times New Roman" w:hAnsi="Times New Roman" w:cs="Times New Roman"/>
        </w:rPr>
        <w:t xml:space="preserve">Section 3 stipulates </w:t>
      </w:r>
      <w:r w:rsidR="006A0D58" w:rsidRPr="00187A90">
        <w:rPr>
          <w:rFonts w:ascii="Times New Roman" w:hAnsi="Times New Roman" w:cs="Times New Roman"/>
        </w:rPr>
        <w:t>that in note 2 of subsection 1.05(2), a</w:t>
      </w:r>
      <w:r w:rsidRPr="00187A90">
        <w:rPr>
          <w:rFonts w:ascii="Times New Roman" w:hAnsi="Times New Roman" w:cs="Times New Roman"/>
        </w:rPr>
        <w:t xml:space="preserve"> reference to the </w:t>
      </w:r>
      <w:r w:rsidR="006A0D58" w:rsidRPr="00187A90">
        <w:rPr>
          <w:rFonts w:ascii="Times New Roman" w:hAnsi="Times New Roman" w:cs="Times New Roman"/>
        </w:rPr>
        <w:t xml:space="preserve">Index is taken to mean the National Personal Insolvency </w:t>
      </w:r>
      <w:r w:rsidRPr="00187A90">
        <w:rPr>
          <w:rFonts w:ascii="Times New Roman" w:hAnsi="Times New Roman" w:cs="Times New Roman"/>
        </w:rPr>
        <w:t>Index</w:t>
      </w:r>
      <w:r w:rsidR="006A0D58" w:rsidRPr="00187A90">
        <w:rPr>
          <w:rFonts w:ascii="Times New Roman" w:hAnsi="Times New Roman" w:cs="Times New Roman"/>
        </w:rPr>
        <w:t xml:space="preserve"> as established under section 73 of the Regulations. </w:t>
      </w:r>
      <w:r w:rsidRPr="00187A90">
        <w:rPr>
          <w:rFonts w:ascii="Times New Roman" w:hAnsi="Times New Roman" w:cs="Times New Roman"/>
        </w:rPr>
        <w:t>This consequential amendment simply update</w:t>
      </w:r>
      <w:r w:rsidR="006A0D58" w:rsidRPr="00187A90">
        <w:rPr>
          <w:rFonts w:ascii="Times New Roman" w:hAnsi="Times New Roman" w:cs="Times New Roman"/>
        </w:rPr>
        <w:t>s the</w:t>
      </w:r>
      <w:r w:rsidRPr="00187A90">
        <w:rPr>
          <w:rFonts w:ascii="Times New Roman" w:hAnsi="Times New Roman" w:cs="Times New Roman"/>
        </w:rPr>
        <w:t xml:space="preserve"> </w:t>
      </w:r>
      <w:r w:rsidR="006A0D58" w:rsidRPr="00187A90">
        <w:rPr>
          <w:rFonts w:ascii="Times New Roman" w:hAnsi="Times New Roman" w:cs="Times New Roman"/>
        </w:rPr>
        <w:t>Determination</w:t>
      </w:r>
      <w:r w:rsidRPr="00187A90">
        <w:rPr>
          <w:rFonts w:ascii="Times New Roman" w:hAnsi="Times New Roman" w:cs="Times New Roman"/>
        </w:rPr>
        <w:t xml:space="preserve"> to ensure that it references the correct and up-to-date provision in the </w:t>
      </w:r>
      <w:r w:rsidRPr="00187A90">
        <w:rPr>
          <w:rFonts w:ascii="Times New Roman" w:hAnsi="Times New Roman" w:cs="Times New Roman"/>
          <w:i/>
        </w:rPr>
        <w:t>Bankruptcy Regulations 2021</w:t>
      </w:r>
      <w:r w:rsidRPr="00187A90">
        <w:rPr>
          <w:rFonts w:ascii="Times New Roman" w:hAnsi="Times New Roman" w:cs="Times New Roman"/>
        </w:rPr>
        <w:t>.</w:t>
      </w:r>
    </w:p>
    <w:p w14:paraId="6FD84296" w14:textId="2128E58D" w:rsidR="00AD1049" w:rsidRPr="00187A90" w:rsidRDefault="00AD1049" w:rsidP="00AD1049">
      <w:pPr>
        <w:keepNext/>
        <w:spacing w:line="360" w:lineRule="auto"/>
        <w:rPr>
          <w:rFonts w:ascii="Times New Roman" w:hAnsi="Times New Roman" w:cs="Times New Roman"/>
          <w:b/>
        </w:rPr>
      </w:pPr>
      <w:r w:rsidRPr="00187A90">
        <w:rPr>
          <w:rFonts w:ascii="Times New Roman" w:hAnsi="Times New Roman" w:cs="Times New Roman"/>
          <w:b/>
        </w:rPr>
        <w:lastRenderedPageBreak/>
        <w:t>S</w:t>
      </w:r>
      <w:r w:rsidR="006A0D58" w:rsidRPr="00187A90">
        <w:rPr>
          <w:rFonts w:ascii="Times New Roman" w:hAnsi="Times New Roman" w:cs="Times New Roman"/>
          <w:b/>
        </w:rPr>
        <w:t>ection 4</w:t>
      </w:r>
      <w:r w:rsidRPr="00187A90">
        <w:rPr>
          <w:rFonts w:ascii="Times New Roman" w:hAnsi="Times New Roman" w:cs="Times New Roman"/>
          <w:b/>
        </w:rPr>
        <w:t xml:space="preserve"> – </w:t>
      </w:r>
      <w:r w:rsidR="006A0D58" w:rsidRPr="00187A90">
        <w:rPr>
          <w:rFonts w:ascii="Times New Roman" w:hAnsi="Times New Roman" w:cs="Times New Roman"/>
          <w:b/>
        </w:rPr>
        <w:t>Subsection 2.02(1)</w:t>
      </w:r>
    </w:p>
    <w:p w14:paraId="567F785D" w14:textId="1CE106FE" w:rsidR="00AD1049" w:rsidRPr="00187A90" w:rsidRDefault="00AD1049" w:rsidP="006A0D58">
      <w:pPr>
        <w:spacing w:line="360" w:lineRule="auto"/>
        <w:rPr>
          <w:rFonts w:ascii="Times New Roman" w:hAnsi="Times New Roman" w:cs="Times New Roman"/>
          <w:b/>
          <w:i/>
        </w:rPr>
      </w:pPr>
      <w:r w:rsidRPr="00187A90">
        <w:rPr>
          <w:rFonts w:ascii="Times New Roman" w:hAnsi="Times New Roman" w:cs="Times New Roman"/>
        </w:rPr>
        <w:t xml:space="preserve">Section </w:t>
      </w:r>
      <w:r w:rsidR="006A0D58" w:rsidRPr="00187A90">
        <w:rPr>
          <w:rFonts w:ascii="Times New Roman" w:hAnsi="Times New Roman" w:cs="Times New Roman"/>
        </w:rPr>
        <w:t xml:space="preserve">4 stipulates that the reference to subregulation 13.06(1) of the Regulations </w:t>
      </w:r>
      <w:r w:rsidR="001C1C01" w:rsidRPr="00187A90">
        <w:rPr>
          <w:rFonts w:ascii="Times New Roman" w:hAnsi="Times New Roman" w:cs="Times New Roman"/>
        </w:rPr>
        <w:t>is</w:t>
      </w:r>
      <w:r w:rsidR="006A0D58" w:rsidRPr="00187A90">
        <w:rPr>
          <w:rFonts w:ascii="Times New Roman" w:hAnsi="Times New Roman" w:cs="Times New Roman"/>
        </w:rPr>
        <w:t xml:space="preserve"> replaced with a reference to the equivalent provision in the </w:t>
      </w:r>
      <w:r w:rsidR="006A0D58" w:rsidRPr="00187A90">
        <w:rPr>
          <w:rFonts w:ascii="Times New Roman" w:hAnsi="Times New Roman" w:cs="Times New Roman"/>
          <w:i/>
        </w:rPr>
        <w:t>Bankruptcy Regulations 2021</w:t>
      </w:r>
      <w:r w:rsidR="006A0D58" w:rsidRPr="00187A90">
        <w:rPr>
          <w:rFonts w:ascii="Times New Roman" w:hAnsi="Times New Roman" w:cs="Times New Roman"/>
        </w:rPr>
        <w:t>, being subsection 84(2). This consequential amendment simply updates the Determination to ensure that it references the correct and up-to-date provision in the Regulations.</w:t>
      </w:r>
    </w:p>
    <w:p w14:paraId="73397BFF" w14:textId="41CDE1D6" w:rsidR="00AD1049" w:rsidRPr="00187A90" w:rsidRDefault="00AD1049" w:rsidP="00AD1049">
      <w:pPr>
        <w:keepNext/>
        <w:spacing w:line="360" w:lineRule="auto"/>
        <w:rPr>
          <w:rFonts w:ascii="Times New Roman" w:hAnsi="Times New Roman" w:cs="Times New Roman"/>
          <w:b/>
        </w:rPr>
      </w:pPr>
      <w:r w:rsidRPr="00187A90">
        <w:rPr>
          <w:rFonts w:ascii="Times New Roman" w:hAnsi="Times New Roman" w:cs="Times New Roman"/>
          <w:b/>
        </w:rPr>
        <w:t>S</w:t>
      </w:r>
      <w:r w:rsidR="006A0D58" w:rsidRPr="00187A90">
        <w:rPr>
          <w:rFonts w:ascii="Times New Roman" w:hAnsi="Times New Roman" w:cs="Times New Roman"/>
          <w:b/>
        </w:rPr>
        <w:t xml:space="preserve">ection 5 </w:t>
      </w:r>
      <w:r w:rsidRPr="00187A90">
        <w:rPr>
          <w:rFonts w:ascii="Times New Roman" w:hAnsi="Times New Roman" w:cs="Times New Roman"/>
          <w:b/>
        </w:rPr>
        <w:t xml:space="preserve">– </w:t>
      </w:r>
      <w:r w:rsidR="006A0D58" w:rsidRPr="00187A90">
        <w:rPr>
          <w:rFonts w:ascii="Times New Roman" w:hAnsi="Times New Roman" w:cs="Times New Roman"/>
          <w:b/>
        </w:rPr>
        <w:t>Subsection 2.02(2)</w:t>
      </w:r>
    </w:p>
    <w:p w14:paraId="7F56DB45" w14:textId="2CF6BC1F" w:rsidR="00AD1049" w:rsidRPr="00187A90" w:rsidRDefault="006A0D58" w:rsidP="00AD1049">
      <w:pPr>
        <w:spacing w:line="360" w:lineRule="auto"/>
        <w:rPr>
          <w:rFonts w:ascii="Times New Roman" w:hAnsi="Times New Roman" w:cs="Times New Roman"/>
          <w:b/>
          <w:i/>
        </w:rPr>
      </w:pPr>
      <w:r w:rsidRPr="00187A90">
        <w:rPr>
          <w:rFonts w:ascii="Times New Roman" w:hAnsi="Times New Roman" w:cs="Times New Roman"/>
        </w:rPr>
        <w:t xml:space="preserve">Section 5 stipulates that the reference to subregulation 13.06(3) of the Regulations </w:t>
      </w:r>
      <w:r w:rsidR="001C1C01" w:rsidRPr="00187A90">
        <w:rPr>
          <w:rFonts w:ascii="Times New Roman" w:hAnsi="Times New Roman" w:cs="Times New Roman"/>
        </w:rPr>
        <w:t>is</w:t>
      </w:r>
      <w:r w:rsidRPr="00187A90">
        <w:rPr>
          <w:rFonts w:ascii="Times New Roman" w:hAnsi="Times New Roman" w:cs="Times New Roman"/>
        </w:rPr>
        <w:t xml:space="preserve"> replaced with a reference to the equivalent provision in the </w:t>
      </w:r>
      <w:r w:rsidRPr="00187A90">
        <w:rPr>
          <w:rFonts w:ascii="Times New Roman" w:hAnsi="Times New Roman" w:cs="Times New Roman"/>
          <w:i/>
        </w:rPr>
        <w:t>Bankruptcy Regulations 2021</w:t>
      </w:r>
      <w:r w:rsidRPr="00187A90">
        <w:rPr>
          <w:rFonts w:ascii="Times New Roman" w:hAnsi="Times New Roman" w:cs="Times New Roman"/>
        </w:rPr>
        <w:t>, being subsection 84(3). This consequential amendment simply updates the Determination to ensure that it references the correct and up-to-date provision in the Regulations.</w:t>
      </w:r>
    </w:p>
    <w:p w14:paraId="4226ED2A" w14:textId="3441C203" w:rsidR="00AD1049" w:rsidRPr="00187A90" w:rsidRDefault="009B5AE1" w:rsidP="00AD1049">
      <w:pPr>
        <w:keepNext/>
        <w:spacing w:line="360" w:lineRule="auto"/>
        <w:rPr>
          <w:rFonts w:ascii="Times New Roman" w:hAnsi="Times New Roman" w:cs="Times New Roman"/>
          <w:b/>
        </w:rPr>
      </w:pPr>
      <w:r w:rsidRPr="00187A90">
        <w:rPr>
          <w:rFonts w:ascii="Times New Roman" w:hAnsi="Times New Roman" w:cs="Times New Roman"/>
          <w:b/>
        </w:rPr>
        <w:t>Section 6</w:t>
      </w:r>
      <w:r w:rsidR="00AD1049" w:rsidRPr="00187A90">
        <w:rPr>
          <w:rFonts w:ascii="Times New Roman" w:hAnsi="Times New Roman" w:cs="Times New Roman"/>
          <w:b/>
        </w:rPr>
        <w:t xml:space="preserve"> – </w:t>
      </w:r>
      <w:r w:rsidRPr="00187A90">
        <w:rPr>
          <w:rFonts w:ascii="Times New Roman" w:hAnsi="Times New Roman" w:cs="Times New Roman"/>
          <w:b/>
        </w:rPr>
        <w:t>Section 2.05</w:t>
      </w:r>
    </w:p>
    <w:p w14:paraId="3B1F9F03" w14:textId="3A90AE2D" w:rsidR="009B5AE1" w:rsidRPr="00187A90" w:rsidRDefault="009B5AE1" w:rsidP="009B5AE1">
      <w:pPr>
        <w:spacing w:line="360" w:lineRule="auto"/>
        <w:rPr>
          <w:rFonts w:ascii="Times New Roman" w:hAnsi="Times New Roman" w:cs="Times New Roman"/>
          <w:b/>
          <w:i/>
        </w:rPr>
      </w:pPr>
      <w:r w:rsidRPr="00187A90">
        <w:rPr>
          <w:rFonts w:ascii="Times New Roman" w:hAnsi="Times New Roman" w:cs="Times New Roman"/>
        </w:rPr>
        <w:t xml:space="preserve">Section 6 stipulates that the reference to paragraph 4.02A(b) of the Regulations </w:t>
      </w:r>
      <w:r w:rsidR="001C1C01" w:rsidRPr="00187A90">
        <w:rPr>
          <w:rFonts w:ascii="Times New Roman" w:hAnsi="Times New Roman" w:cs="Times New Roman"/>
        </w:rPr>
        <w:t>is</w:t>
      </w:r>
      <w:r w:rsidRPr="00187A90">
        <w:rPr>
          <w:rFonts w:ascii="Times New Roman" w:hAnsi="Times New Roman" w:cs="Times New Roman"/>
        </w:rPr>
        <w:t xml:space="preserve"> replaced with a reference to the equivalent provision in the </w:t>
      </w:r>
      <w:r w:rsidRPr="00187A90">
        <w:rPr>
          <w:rFonts w:ascii="Times New Roman" w:hAnsi="Times New Roman" w:cs="Times New Roman"/>
          <w:i/>
        </w:rPr>
        <w:t>Bankruptcy Regulations 2021</w:t>
      </w:r>
      <w:r w:rsidRPr="00187A90">
        <w:rPr>
          <w:rFonts w:ascii="Times New Roman" w:hAnsi="Times New Roman" w:cs="Times New Roman"/>
        </w:rPr>
        <w:t>, being paragraph 10(1)(b). This consequential amendment simply updates the Determination to ensure that it references the correct and up-to-date provision in the Regulations.</w:t>
      </w:r>
    </w:p>
    <w:p w14:paraId="462C37DC" w14:textId="23A082FA" w:rsidR="00AD1049" w:rsidRPr="00187A90" w:rsidRDefault="009B5AE1" w:rsidP="00AD1049">
      <w:pPr>
        <w:keepNext/>
        <w:spacing w:line="360" w:lineRule="auto"/>
        <w:rPr>
          <w:rFonts w:ascii="Times New Roman" w:hAnsi="Times New Roman" w:cs="Times New Roman"/>
          <w:b/>
        </w:rPr>
      </w:pPr>
      <w:r w:rsidRPr="00187A90">
        <w:rPr>
          <w:rFonts w:ascii="Times New Roman" w:hAnsi="Times New Roman" w:cs="Times New Roman"/>
          <w:b/>
        </w:rPr>
        <w:t>Section 7</w:t>
      </w:r>
      <w:r w:rsidR="00AD1049" w:rsidRPr="00187A90">
        <w:rPr>
          <w:rFonts w:ascii="Times New Roman" w:hAnsi="Times New Roman" w:cs="Times New Roman"/>
          <w:b/>
        </w:rPr>
        <w:t xml:space="preserve"> – </w:t>
      </w:r>
      <w:r w:rsidRPr="00187A90">
        <w:rPr>
          <w:rFonts w:ascii="Times New Roman" w:hAnsi="Times New Roman" w:cs="Times New Roman"/>
          <w:b/>
        </w:rPr>
        <w:t>Subsection 2.11(1)</w:t>
      </w:r>
    </w:p>
    <w:p w14:paraId="5199AF67" w14:textId="0B7CB7A1" w:rsidR="00187A90" w:rsidRDefault="00187A90" w:rsidP="009B5AE1">
      <w:pPr>
        <w:spacing w:line="360" w:lineRule="auto"/>
        <w:rPr>
          <w:rFonts w:ascii="Times New Roman" w:hAnsi="Times New Roman" w:cs="Times New Roman"/>
        </w:rPr>
      </w:pPr>
      <w:r>
        <w:rPr>
          <w:rFonts w:ascii="Times New Roman" w:hAnsi="Times New Roman" w:cs="Times New Roman"/>
        </w:rPr>
        <w:t xml:space="preserve">Section 110 of the </w:t>
      </w:r>
      <w:r w:rsidRPr="00187A90">
        <w:rPr>
          <w:rFonts w:ascii="Times New Roman" w:hAnsi="Times New Roman" w:cs="Times New Roman"/>
          <w:i/>
        </w:rPr>
        <w:t>Bankruptcy Regulations 2021</w:t>
      </w:r>
      <w:r>
        <w:rPr>
          <w:rFonts w:ascii="Times New Roman" w:hAnsi="Times New Roman" w:cs="Times New Roman"/>
        </w:rPr>
        <w:t xml:space="preserve"> provides that a fee is payable by a bankrupt to the Official Trustee, when making a request for consent to leave Australia. </w:t>
      </w:r>
    </w:p>
    <w:p w14:paraId="15E15397" w14:textId="0FEAE1A8" w:rsidR="00187A90" w:rsidRDefault="009B5AE1" w:rsidP="009B5AE1">
      <w:pPr>
        <w:spacing w:line="360" w:lineRule="auto"/>
        <w:rPr>
          <w:rFonts w:ascii="Times New Roman" w:hAnsi="Times New Roman" w:cs="Times New Roman"/>
        </w:rPr>
      </w:pPr>
      <w:r w:rsidRPr="00187A90">
        <w:rPr>
          <w:rFonts w:ascii="Times New Roman" w:hAnsi="Times New Roman" w:cs="Times New Roman"/>
        </w:rPr>
        <w:lastRenderedPageBreak/>
        <w:t xml:space="preserve">Section 7 stipulates that the reference </w:t>
      </w:r>
      <w:r w:rsidR="001C1C01" w:rsidRPr="00187A90">
        <w:rPr>
          <w:rFonts w:ascii="Times New Roman" w:hAnsi="Times New Roman" w:cs="Times New Roman"/>
        </w:rPr>
        <w:t xml:space="preserve">in subsection 2.11(1) </w:t>
      </w:r>
      <w:r w:rsidRPr="00187A90">
        <w:rPr>
          <w:rFonts w:ascii="Times New Roman" w:hAnsi="Times New Roman" w:cs="Times New Roman"/>
        </w:rPr>
        <w:t xml:space="preserve">to ‘the Official Trustee for consent to leave Australia under regulation 5.02 of the </w:t>
      </w:r>
      <w:r w:rsidRPr="00187A90">
        <w:rPr>
          <w:rFonts w:ascii="Times New Roman" w:hAnsi="Times New Roman" w:cs="Times New Roman"/>
          <w:i/>
        </w:rPr>
        <w:t>Bankruptcy Regulations 1996’</w:t>
      </w:r>
      <w:r w:rsidRPr="00187A90">
        <w:rPr>
          <w:rFonts w:ascii="Times New Roman" w:hAnsi="Times New Roman" w:cs="Times New Roman"/>
        </w:rPr>
        <w:t xml:space="preserve">, </w:t>
      </w:r>
      <w:r w:rsidR="00062ED0" w:rsidRPr="00187A90">
        <w:rPr>
          <w:rFonts w:ascii="Times New Roman" w:hAnsi="Times New Roman" w:cs="Times New Roman"/>
        </w:rPr>
        <w:t xml:space="preserve">is replaced with ‘of a kind mentioned in subsection 110(1) of the Regulations’. </w:t>
      </w:r>
    </w:p>
    <w:p w14:paraId="46FFBE32" w14:textId="4A9D4273" w:rsidR="00AD1049" w:rsidRPr="00187A90" w:rsidRDefault="00187A90" w:rsidP="00521029">
      <w:pPr>
        <w:spacing w:line="360" w:lineRule="auto"/>
        <w:rPr>
          <w:rFonts w:ascii="Times New Roman" w:hAnsi="Times New Roman" w:cs="Times New Roman"/>
          <w:b/>
          <w:i/>
        </w:rPr>
      </w:pPr>
      <w:r>
        <w:rPr>
          <w:rFonts w:ascii="Times New Roman" w:hAnsi="Times New Roman" w:cs="Times New Roman"/>
        </w:rPr>
        <w:t xml:space="preserve">This </w:t>
      </w:r>
      <w:r w:rsidRPr="00187A90">
        <w:rPr>
          <w:rFonts w:ascii="Times New Roman" w:hAnsi="Times New Roman" w:cs="Times New Roman"/>
        </w:rPr>
        <w:t>consequential amendment simply updates the Determination to ensure that it references the correct and up-to-da</w:t>
      </w:r>
      <w:r>
        <w:rPr>
          <w:rFonts w:ascii="Times New Roman" w:hAnsi="Times New Roman" w:cs="Times New Roman"/>
        </w:rPr>
        <w:t>te provision in the Regulations, and simplifies the language of the reference.</w:t>
      </w:r>
    </w:p>
    <w:sectPr w:rsidR="00AD1049" w:rsidRPr="00187A9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2C190" w14:textId="77777777" w:rsidR="00962290" w:rsidRDefault="00962290" w:rsidP="0002636A">
      <w:pPr>
        <w:spacing w:after="0" w:line="240" w:lineRule="auto"/>
      </w:pPr>
      <w:r>
        <w:separator/>
      </w:r>
    </w:p>
  </w:endnote>
  <w:endnote w:type="continuationSeparator" w:id="0">
    <w:p w14:paraId="277DEFC5" w14:textId="77777777" w:rsidR="00962290" w:rsidRDefault="00962290"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7C26B0">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828E8" w14:textId="77777777" w:rsidR="00962290" w:rsidRDefault="00962290" w:rsidP="0002636A">
      <w:pPr>
        <w:spacing w:after="0" w:line="240" w:lineRule="auto"/>
      </w:pPr>
      <w:r>
        <w:separator/>
      </w:r>
    </w:p>
  </w:footnote>
  <w:footnote w:type="continuationSeparator" w:id="0">
    <w:p w14:paraId="56D279C1" w14:textId="77777777" w:rsidR="00962290" w:rsidRDefault="00962290"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C261AE"/>
    <w:multiLevelType w:val="hybridMultilevel"/>
    <w:tmpl w:val="292E34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BBB7CCF"/>
    <w:multiLevelType w:val="hybridMultilevel"/>
    <w:tmpl w:val="49DCF656"/>
    <w:lvl w:ilvl="0" w:tplc="95B0FE6E">
      <w:numFmt w:val="bullet"/>
      <w:lvlText w:val="•"/>
      <w:lvlJc w:val="left"/>
      <w:pPr>
        <w:ind w:left="860" w:hanging="50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A82FFA"/>
    <w:multiLevelType w:val="hybridMultilevel"/>
    <w:tmpl w:val="AE604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AB7A8D"/>
    <w:multiLevelType w:val="hybridMultilevel"/>
    <w:tmpl w:val="96D85228"/>
    <w:lvl w:ilvl="0" w:tplc="95B0FE6E">
      <w:numFmt w:val="bullet"/>
      <w:lvlText w:val="•"/>
      <w:lvlJc w:val="left"/>
      <w:pPr>
        <w:ind w:left="860" w:hanging="50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15"/>
  </w:num>
  <w:num w:numId="5">
    <w:abstractNumId w:val="4"/>
  </w:num>
  <w:num w:numId="6">
    <w:abstractNumId w:val="16"/>
  </w:num>
  <w:num w:numId="7">
    <w:abstractNumId w:val="0"/>
  </w:num>
  <w:num w:numId="8">
    <w:abstractNumId w:val="10"/>
  </w:num>
  <w:num w:numId="9">
    <w:abstractNumId w:val="5"/>
  </w:num>
  <w:num w:numId="10">
    <w:abstractNumId w:val="14"/>
  </w:num>
  <w:num w:numId="11">
    <w:abstractNumId w:val="13"/>
  </w:num>
  <w:num w:numId="12">
    <w:abstractNumId w:val="12"/>
  </w:num>
  <w:num w:numId="13">
    <w:abstractNumId w:val="6"/>
  </w:num>
  <w:num w:numId="14">
    <w:abstractNumId w:val="7"/>
  </w:num>
  <w:num w:numId="15">
    <w:abstractNumId w:val="3"/>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AD6"/>
    <w:rsid w:val="0002636A"/>
    <w:rsid w:val="000415BA"/>
    <w:rsid w:val="00043840"/>
    <w:rsid w:val="00062ED0"/>
    <w:rsid w:val="0006613F"/>
    <w:rsid w:val="00092565"/>
    <w:rsid w:val="000A66BD"/>
    <w:rsid w:val="000D6EF3"/>
    <w:rsid w:val="000E1EA1"/>
    <w:rsid w:val="000E2C80"/>
    <w:rsid w:val="000F0FB1"/>
    <w:rsid w:val="0010364C"/>
    <w:rsid w:val="00106CBA"/>
    <w:rsid w:val="00132863"/>
    <w:rsid w:val="001469C7"/>
    <w:rsid w:val="00154606"/>
    <w:rsid w:val="0017632E"/>
    <w:rsid w:val="00186EFA"/>
    <w:rsid w:val="00187A90"/>
    <w:rsid w:val="00195A18"/>
    <w:rsid w:val="001C1C01"/>
    <w:rsid w:val="001C4696"/>
    <w:rsid w:val="001D3031"/>
    <w:rsid w:val="0026109C"/>
    <w:rsid w:val="00262B9E"/>
    <w:rsid w:val="00282B41"/>
    <w:rsid w:val="002B361E"/>
    <w:rsid w:val="002C5B76"/>
    <w:rsid w:val="002E2783"/>
    <w:rsid w:val="00303024"/>
    <w:rsid w:val="003516FD"/>
    <w:rsid w:val="00381AEC"/>
    <w:rsid w:val="003B6050"/>
    <w:rsid w:val="003C6789"/>
    <w:rsid w:val="004518A4"/>
    <w:rsid w:val="004709FE"/>
    <w:rsid w:val="0049094A"/>
    <w:rsid w:val="004A0438"/>
    <w:rsid w:val="004A4086"/>
    <w:rsid w:val="004B3C03"/>
    <w:rsid w:val="004D2999"/>
    <w:rsid w:val="004F430F"/>
    <w:rsid w:val="0050398F"/>
    <w:rsid w:val="00521029"/>
    <w:rsid w:val="005660BD"/>
    <w:rsid w:val="00566C9B"/>
    <w:rsid w:val="005D194A"/>
    <w:rsid w:val="0063239B"/>
    <w:rsid w:val="00634AE9"/>
    <w:rsid w:val="00635C6A"/>
    <w:rsid w:val="00670C8D"/>
    <w:rsid w:val="00674543"/>
    <w:rsid w:val="00690C52"/>
    <w:rsid w:val="006A0D58"/>
    <w:rsid w:val="007B7195"/>
    <w:rsid w:val="007C229F"/>
    <w:rsid w:val="007C26B0"/>
    <w:rsid w:val="007F1D53"/>
    <w:rsid w:val="00843579"/>
    <w:rsid w:val="00872B27"/>
    <w:rsid w:val="00894D9D"/>
    <w:rsid w:val="008B2955"/>
    <w:rsid w:val="00902F3D"/>
    <w:rsid w:val="00911332"/>
    <w:rsid w:val="009227B6"/>
    <w:rsid w:val="00957401"/>
    <w:rsid w:val="009601BB"/>
    <w:rsid w:val="00962290"/>
    <w:rsid w:val="009B1F88"/>
    <w:rsid w:val="009B5AE1"/>
    <w:rsid w:val="009B6322"/>
    <w:rsid w:val="009C0BE2"/>
    <w:rsid w:val="009D2B82"/>
    <w:rsid w:val="009E338F"/>
    <w:rsid w:val="00A50990"/>
    <w:rsid w:val="00AB3F89"/>
    <w:rsid w:val="00AC39E5"/>
    <w:rsid w:val="00AD1049"/>
    <w:rsid w:val="00AF0C63"/>
    <w:rsid w:val="00AF673F"/>
    <w:rsid w:val="00B0241C"/>
    <w:rsid w:val="00B273E1"/>
    <w:rsid w:val="00B427D5"/>
    <w:rsid w:val="00B57503"/>
    <w:rsid w:val="00B60AE7"/>
    <w:rsid w:val="00B828BC"/>
    <w:rsid w:val="00BA3F3C"/>
    <w:rsid w:val="00C16B35"/>
    <w:rsid w:val="00C46F6D"/>
    <w:rsid w:val="00C858F4"/>
    <w:rsid w:val="00CC4192"/>
    <w:rsid w:val="00CE6485"/>
    <w:rsid w:val="00CF14E3"/>
    <w:rsid w:val="00D51A2A"/>
    <w:rsid w:val="00DB2DA6"/>
    <w:rsid w:val="00DB54AF"/>
    <w:rsid w:val="00E0689A"/>
    <w:rsid w:val="00E23B2F"/>
    <w:rsid w:val="00E44073"/>
    <w:rsid w:val="00E81349"/>
    <w:rsid w:val="00ED357E"/>
    <w:rsid w:val="00F07B6A"/>
    <w:rsid w:val="00F10A91"/>
    <w:rsid w:val="00F11561"/>
    <w:rsid w:val="00F26896"/>
    <w:rsid w:val="00F33269"/>
    <w:rsid w:val="00F76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3030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30302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671394">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246647071">
      <w:bodyDiv w:val="1"/>
      <w:marLeft w:val="0"/>
      <w:marRight w:val="0"/>
      <w:marTop w:val="0"/>
      <w:marBottom w:val="0"/>
      <w:divBdr>
        <w:top w:val="none" w:sz="0" w:space="0" w:color="auto"/>
        <w:left w:val="none" w:sz="0" w:space="0" w:color="auto"/>
        <w:bottom w:val="none" w:sz="0" w:space="0" w:color="auto"/>
        <w:right w:val="none" w:sz="0" w:space="0" w:color="auto"/>
      </w:divBdr>
    </w:div>
    <w:div w:id="1585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040ABCD58D3F74A94AFA47384C288F1" ma:contentTypeVersion="" ma:contentTypeDescription="PDMS Document Site Content Type" ma:contentTypeScope="" ma:versionID="2c25b5ad7a40eb358ff4042542c72d08">
  <xsd:schema xmlns:xsd="http://www.w3.org/2001/XMLSchema" xmlns:xs="http://www.w3.org/2001/XMLSchema" xmlns:p="http://schemas.microsoft.com/office/2006/metadata/properties" xmlns:ns2="D78E21D0-E360-41EB-B674-AF33197FAD1E" targetNamespace="http://schemas.microsoft.com/office/2006/metadata/properties" ma:root="true" ma:fieldsID="cdb2bae87c52db51f76d3185cc82473c" ns2:_="">
    <xsd:import namespace="D78E21D0-E360-41EB-B674-AF33197FAD1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E21D0-E360-41EB-B674-AF33197FAD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78E21D0-E360-41EB-B674-AF33197FAD1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F1C7901C-650C-4CC1-AE3C-A5C94EF82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E21D0-E360-41EB-B674-AF33197FA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78E21D0-E360-41EB-B674-AF33197FAD1E"/>
    <ds:schemaRef ds:uri="http://www.w3.org/XML/1998/namespace"/>
    <ds:schemaRef ds:uri="http://purl.org/dc/dcmitype/"/>
  </ds:schemaRefs>
</ds:datastoreItem>
</file>

<file path=customXml/itemProps4.xml><?xml version="1.0" encoding="utf-8"?>
<ds:datastoreItem xmlns:ds="http://schemas.openxmlformats.org/officeDocument/2006/customXml" ds:itemID="{AA5A2089-29C5-4A23-A345-42C362CC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7236</Characters>
  <Application>Microsoft Office Word</Application>
  <DocSecurity>4</DocSecurity>
  <Lines>136</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Cody, Alistair</cp:lastModifiedBy>
  <cp:revision>2</cp:revision>
  <dcterms:created xsi:type="dcterms:W3CDTF">2021-03-16T05:01:00Z</dcterms:created>
  <dcterms:modified xsi:type="dcterms:W3CDTF">2021-03-16T05:01:00Z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0x010100266966F133664895A6EE3632470D45F500E040ABCD58D3F74A94AFA47384C288F1</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