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FDCCB" w14:textId="5A5A18C8" w:rsidR="00670C8D" w:rsidRPr="007305E2" w:rsidRDefault="00D86815" w:rsidP="00670C8D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sz w:val="24"/>
          <w:szCs w:val="22"/>
          <w:u w:val="single"/>
        </w:rPr>
      </w:pPr>
      <w:r w:rsidRPr="007305E2">
        <w:rPr>
          <w:rFonts w:ascii="Times New Roman" w:hAnsi="Times New Roman"/>
          <w:b/>
          <w:sz w:val="24"/>
          <w:szCs w:val="22"/>
          <w:u w:val="single"/>
        </w:rPr>
        <w:t>Insolvency Practice (Bankruptcy) Amendment (Consequential Amendments) Rules 2021</w:t>
      </w:r>
    </w:p>
    <w:p w14:paraId="4D759EBA" w14:textId="77777777" w:rsidR="00D86815" w:rsidRPr="007305E2" w:rsidRDefault="00D86815" w:rsidP="00D86815">
      <w:pPr>
        <w:rPr>
          <w:rFonts w:ascii="Times New Roman" w:hAnsi="Times New Roman" w:cs="Times New Roman"/>
          <w:sz w:val="24"/>
        </w:rPr>
      </w:pPr>
    </w:p>
    <w:p w14:paraId="09BFDCCE" w14:textId="540C0BD1" w:rsidR="002B361E" w:rsidRPr="007305E2" w:rsidRDefault="002B361E" w:rsidP="00E0689A">
      <w:pPr>
        <w:pStyle w:val="Heading1"/>
        <w:spacing w:before="0" w:after="0" w:line="240" w:lineRule="auto"/>
        <w:jc w:val="center"/>
        <w:rPr>
          <w:rFonts w:ascii="Times New Roman" w:hAnsi="Times New Roman"/>
          <w:caps w:val="0"/>
          <w:sz w:val="24"/>
          <w:szCs w:val="22"/>
        </w:rPr>
      </w:pPr>
      <w:r w:rsidRPr="007305E2">
        <w:rPr>
          <w:rFonts w:ascii="Times New Roman" w:hAnsi="Times New Roman"/>
          <w:b/>
          <w:sz w:val="24"/>
          <w:szCs w:val="22"/>
          <w:u w:val="single"/>
        </w:rPr>
        <w:t>EXPLANATORY STATEMENT</w:t>
      </w:r>
      <w:r w:rsidR="00670C8D" w:rsidRPr="007305E2">
        <w:rPr>
          <w:rFonts w:ascii="Times New Roman" w:hAnsi="Times New Roman"/>
          <w:b/>
          <w:sz w:val="24"/>
          <w:szCs w:val="22"/>
          <w:u w:val="single"/>
        </w:rPr>
        <w:t xml:space="preserve"> </w:t>
      </w:r>
      <w:r w:rsidR="00012AD6" w:rsidRPr="007305E2">
        <w:rPr>
          <w:rFonts w:ascii="Times New Roman" w:hAnsi="Times New Roman"/>
          <w:b/>
          <w:sz w:val="24"/>
          <w:szCs w:val="22"/>
          <w:u w:val="single"/>
        </w:rPr>
        <w:br/>
      </w:r>
    </w:p>
    <w:p w14:paraId="09BFDCCF" w14:textId="6D2E321B" w:rsidR="005D194A" w:rsidRPr="007305E2" w:rsidRDefault="00E23B2F" w:rsidP="00CF14E3">
      <w:pPr>
        <w:spacing w:line="360" w:lineRule="auto"/>
        <w:jc w:val="center"/>
        <w:rPr>
          <w:rFonts w:ascii="Times New Roman" w:hAnsi="Times New Roman" w:cs="Times New Roman"/>
        </w:rPr>
      </w:pPr>
      <w:r w:rsidRPr="007305E2">
        <w:rPr>
          <w:rFonts w:ascii="Times New Roman" w:hAnsi="Times New Roman" w:cs="Times New Roman"/>
        </w:rPr>
        <w:t xml:space="preserve">Issued by authority of </w:t>
      </w:r>
      <w:r w:rsidR="00E0689A" w:rsidRPr="007305E2">
        <w:rPr>
          <w:rFonts w:ascii="Times New Roman" w:hAnsi="Times New Roman" w:cs="Times New Roman"/>
        </w:rPr>
        <w:t xml:space="preserve">the Assistant Minister to </w:t>
      </w:r>
      <w:r w:rsidRPr="007305E2">
        <w:rPr>
          <w:rFonts w:ascii="Times New Roman" w:hAnsi="Times New Roman" w:cs="Times New Roman"/>
        </w:rPr>
        <w:t>the Attorney-General</w:t>
      </w:r>
      <w:r w:rsidR="005D194A" w:rsidRPr="007305E2">
        <w:rPr>
          <w:rFonts w:ascii="Times New Roman" w:hAnsi="Times New Roman" w:cs="Times New Roman"/>
        </w:rPr>
        <w:t xml:space="preserve"> </w:t>
      </w:r>
    </w:p>
    <w:p w14:paraId="09BFDCD4" w14:textId="178B31B8" w:rsidR="00AF0C63" w:rsidRPr="007305E2" w:rsidRDefault="00E0689A" w:rsidP="00CF14E3">
      <w:pPr>
        <w:spacing w:line="360" w:lineRule="auto"/>
        <w:jc w:val="center"/>
        <w:rPr>
          <w:rFonts w:ascii="Times New Roman" w:hAnsi="Times New Roman" w:cs="Times New Roman"/>
        </w:rPr>
      </w:pPr>
      <w:r w:rsidRPr="007305E2">
        <w:rPr>
          <w:rFonts w:ascii="Times New Roman" w:hAnsi="Times New Roman" w:cs="Times New Roman"/>
        </w:rPr>
        <w:t xml:space="preserve">under the </w:t>
      </w:r>
      <w:r w:rsidRPr="007305E2">
        <w:rPr>
          <w:rFonts w:ascii="Times New Roman" w:hAnsi="Times New Roman" w:cs="Times New Roman"/>
          <w:i/>
        </w:rPr>
        <w:t>Bankruptcy Act 1966</w:t>
      </w:r>
      <w:r w:rsidRPr="007305E2">
        <w:rPr>
          <w:rFonts w:ascii="Times New Roman" w:hAnsi="Times New Roman" w:cs="Times New Roman"/>
        </w:rPr>
        <w:t>.</w:t>
      </w:r>
    </w:p>
    <w:p w14:paraId="09BFDCD5" w14:textId="77777777" w:rsidR="0026109C" w:rsidRPr="007305E2" w:rsidRDefault="0026109C" w:rsidP="005660BD">
      <w:pPr>
        <w:spacing w:line="360" w:lineRule="auto"/>
        <w:rPr>
          <w:rFonts w:ascii="Times New Roman" w:hAnsi="Times New Roman" w:cs="Times New Roman"/>
          <w:b/>
        </w:rPr>
      </w:pPr>
      <w:r w:rsidRPr="007305E2">
        <w:rPr>
          <w:rFonts w:ascii="Times New Roman" w:hAnsi="Times New Roman" w:cs="Times New Roman"/>
          <w:b/>
          <w:caps/>
        </w:rPr>
        <w:t>Purpose and operation of the Instrument</w:t>
      </w:r>
    </w:p>
    <w:p w14:paraId="5AF1D4B2" w14:textId="6CD26609" w:rsidR="004053C1" w:rsidRDefault="004053C1" w:rsidP="005660BD">
      <w:pPr>
        <w:spacing w:line="360" w:lineRule="auto"/>
        <w:ind w:right="91"/>
        <w:rPr>
          <w:rFonts w:ascii="Times New Roman" w:hAnsi="Times New Roman" w:cs="Times New Roman"/>
        </w:rPr>
      </w:pPr>
      <w:bookmarkStart w:id="0" w:name="_GoBack"/>
      <w:r w:rsidRPr="007305E2">
        <w:rPr>
          <w:rFonts w:ascii="Times New Roman" w:hAnsi="Times New Roman" w:cs="Times New Roman"/>
        </w:rPr>
        <w:t>The Insolvency Practice (Bankruptcy) Amendment (Consequential Amendments) Rules 2021 (the Rules) make one minor, consequential amendment the Insolve</w:t>
      </w:r>
      <w:r>
        <w:rPr>
          <w:rFonts w:ascii="Times New Roman" w:hAnsi="Times New Roman" w:cs="Times New Roman"/>
        </w:rPr>
        <w:t>ncy Practice Rules (Bankruptcy) </w:t>
      </w:r>
      <w:r w:rsidRPr="007305E2">
        <w:rPr>
          <w:rFonts w:ascii="Times New Roman" w:hAnsi="Times New Roman" w:cs="Times New Roman"/>
        </w:rPr>
        <w:t xml:space="preserve">2016, to reflect that the </w:t>
      </w:r>
      <w:r w:rsidRPr="007305E2">
        <w:rPr>
          <w:rFonts w:ascii="Times New Roman" w:hAnsi="Times New Roman" w:cs="Times New Roman"/>
          <w:i/>
        </w:rPr>
        <w:t>Bankruptcy Regulations 1996</w:t>
      </w:r>
      <w:r w:rsidRPr="007305E2">
        <w:rPr>
          <w:rFonts w:ascii="Times New Roman" w:hAnsi="Times New Roman" w:cs="Times New Roman"/>
        </w:rPr>
        <w:t xml:space="preserve"> were replaced by the </w:t>
      </w:r>
      <w:r w:rsidRPr="007305E2">
        <w:rPr>
          <w:rFonts w:ascii="Times New Roman" w:hAnsi="Times New Roman" w:cs="Times New Roman"/>
          <w:i/>
        </w:rPr>
        <w:t xml:space="preserve">Bankruptcy Regulations 2021 </w:t>
      </w:r>
      <w:r>
        <w:rPr>
          <w:rFonts w:ascii="Times New Roman" w:hAnsi="Times New Roman" w:cs="Times New Roman"/>
        </w:rPr>
        <w:t>on 1 April </w:t>
      </w:r>
      <w:r w:rsidRPr="007305E2">
        <w:rPr>
          <w:rFonts w:ascii="Times New Roman" w:hAnsi="Times New Roman" w:cs="Times New Roman"/>
        </w:rPr>
        <w:t xml:space="preserve">2021. </w:t>
      </w:r>
    </w:p>
    <w:bookmarkEnd w:id="0"/>
    <w:p w14:paraId="2ACED1F4" w14:textId="66DB6AA8" w:rsidR="00E0689A" w:rsidRPr="007305E2" w:rsidRDefault="00E0689A" w:rsidP="005660BD">
      <w:pPr>
        <w:spacing w:line="360" w:lineRule="auto"/>
        <w:ind w:right="91"/>
        <w:rPr>
          <w:rFonts w:ascii="Times New Roman" w:hAnsi="Times New Roman" w:cs="Times New Roman"/>
        </w:rPr>
      </w:pPr>
      <w:r w:rsidRPr="007305E2">
        <w:rPr>
          <w:rFonts w:ascii="Times New Roman" w:hAnsi="Times New Roman" w:cs="Times New Roman"/>
        </w:rPr>
        <w:t xml:space="preserve">The </w:t>
      </w:r>
      <w:r w:rsidRPr="007305E2">
        <w:rPr>
          <w:rFonts w:ascii="Times New Roman" w:hAnsi="Times New Roman" w:cs="Times New Roman"/>
          <w:i/>
        </w:rPr>
        <w:t>Bankruptcy Act 1966</w:t>
      </w:r>
      <w:r w:rsidRPr="007305E2">
        <w:rPr>
          <w:rFonts w:ascii="Times New Roman" w:hAnsi="Times New Roman" w:cs="Times New Roman"/>
        </w:rPr>
        <w:t xml:space="preserve"> (the Act) regulates Australia's personal insolvency system and provides a framework to allow people in severe financial stress to discharge unmanageable debts while providing for the realisation of a debtor's available assets for distribution to affected creditors.</w:t>
      </w:r>
    </w:p>
    <w:p w14:paraId="1D3491F1" w14:textId="62EC4D75" w:rsidR="002D73A9" w:rsidRPr="002D73A9" w:rsidRDefault="00D86815" w:rsidP="002D73A9">
      <w:pPr>
        <w:spacing w:line="360" w:lineRule="auto"/>
        <w:ind w:right="91"/>
        <w:rPr>
          <w:rFonts w:ascii="Times New Roman" w:eastAsia="Times New Roman" w:hAnsi="Times New Roman" w:cs="Times New Roman"/>
          <w:color w:val="000000"/>
          <w:lang w:eastAsia="en-AU"/>
        </w:rPr>
      </w:pPr>
      <w:r w:rsidRPr="007305E2">
        <w:rPr>
          <w:rFonts w:ascii="Times New Roman" w:hAnsi="Times New Roman" w:cs="Times New Roman"/>
        </w:rPr>
        <w:t xml:space="preserve">The Insolvency Practice Rules (Bankruptcy) 2016 </w:t>
      </w:r>
      <w:r w:rsidR="00380586" w:rsidRPr="007305E2">
        <w:rPr>
          <w:rFonts w:ascii="Times New Roman" w:hAnsi="Times New Roman" w:cs="Times New Roman"/>
        </w:rPr>
        <w:t xml:space="preserve">are made under the Act, and </w:t>
      </w:r>
      <w:r w:rsidR="002D73A9" w:rsidRPr="007305E2">
        <w:rPr>
          <w:rFonts w:ascii="Times New Roman" w:hAnsi="Times New Roman" w:cs="Times New Roman"/>
        </w:rPr>
        <w:t xml:space="preserve">give effect to reforms implemented by the </w:t>
      </w:r>
      <w:r w:rsidR="002D73A9" w:rsidRPr="007305E2">
        <w:rPr>
          <w:rFonts w:ascii="Times New Roman" w:hAnsi="Times New Roman" w:cs="Times New Roman"/>
          <w:i/>
        </w:rPr>
        <w:t xml:space="preserve">Insolvency Law Reform Act 2016 </w:t>
      </w:r>
      <w:r w:rsidR="002D73A9" w:rsidRPr="007305E2">
        <w:rPr>
          <w:rFonts w:ascii="Times New Roman" w:hAnsi="Times New Roman" w:cs="Times New Roman"/>
        </w:rPr>
        <w:t xml:space="preserve">(the Reform Act). The Reform Act </w:t>
      </w:r>
      <w:r w:rsidR="002D73A9" w:rsidRPr="002D73A9">
        <w:rPr>
          <w:rFonts w:ascii="Times New Roman" w:eastAsia="Times New Roman" w:hAnsi="Times New Roman" w:cs="Times New Roman"/>
          <w:color w:val="000000"/>
          <w:lang w:eastAsia="en-AU"/>
        </w:rPr>
        <w:t>create</w:t>
      </w:r>
      <w:r w:rsidR="002D73A9" w:rsidRPr="007305E2">
        <w:rPr>
          <w:rFonts w:ascii="Times New Roman" w:eastAsia="Times New Roman" w:hAnsi="Times New Roman" w:cs="Times New Roman"/>
          <w:color w:val="000000"/>
          <w:lang w:eastAsia="en-AU"/>
        </w:rPr>
        <w:t>d</w:t>
      </w:r>
      <w:r w:rsidR="002D73A9" w:rsidRPr="002D73A9">
        <w:rPr>
          <w:rFonts w:ascii="Times New Roman" w:eastAsia="Times New Roman" w:hAnsi="Times New Roman" w:cs="Times New Roman"/>
          <w:color w:val="000000"/>
          <w:lang w:eastAsia="en-AU"/>
        </w:rPr>
        <w:t xml:space="preserve"> common rules for the regulation of corporate insolvency and personal bankruptcy</w:t>
      </w:r>
      <w:r w:rsidR="002D73A9" w:rsidRPr="007305E2">
        <w:rPr>
          <w:rFonts w:ascii="Times New Roman" w:eastAsia="Times New Roman" w:hAnsi="Times New Roman" w:cs="Times New Roman"/>
          <w:color w:val="000000"/>
          <w:lang w:eastAsia="en-AU"/>
        </w:rPr>
        <w:t>, including by removing</w:t>
      </w:r>
      <w:r w:rsidR="002D73A9" w:rsidRPr="002D73A9">
        <w:rPr>
          <w:rFonts w:ascii="Times New Roman" w:eastAsia="Times New Roman" w:hAnsi="Times New Roman" w:cs="Times New Roman"/>
          <w:color w:val="000000"/>
          <w:lang w:eastAsia="en-AU"/>
        </w:rPr>
        <w:t xml:space="preserve"> unnecessary costs and increas</w:t>
      </w:r>
      <w:r w:rsidR="002D73A9" w:rsidRPr="007305E2">
        <w:rPr>
          <w:rFonts w:ascii="Times New Roman" w:eastAsia="Times New Roman" w:hAnsi="Times New Roman" w:cs="Times New Roman"/>
          <w:color w:val="000000"/>
          <w:lang w:eastAsia="en-AU"/>
        </w:rPr>
        <w:t>ing</w:t>
      </w:r>
      <w:r w:rsidR="002D73A9" w:rsidRPr="002D73A9">
        <w:rPr>
          <w:rFonts w:ascii="Times New Roman" w:eastAsia="Times New Roman" w:hAnsi="Times New Roman" w:cs="Times New Roman"/>
          <w:color w:val="000000"/>
          <w:lang w:eastAsia="en-AU"/>
        </w:rPr>
        <w:t xml:space="preserve"> efficiency in insolvency administrations</w:t>
      </w:r>
      <w:r w:rsidR="002D73A9" w:rsidRPr="007305E2">
        <w:rPr>
          <w:rFonts w:ascii="Times New Roman" w:eastAsia="Times New Roman" w:hAnsi="Times New Roman" w:cs="Times New Roman"/>
          <w:color w:val="000000"/>
          <w:lang w:eastAsia="en-AU"/>
        </w:rPr>
        <w:t>; aligning</w:t>
      </w:r>
      <w:r w:rsidR="002D73A9" w:rsidRPr="002D73A9">
        <w:rPr>
          <w:rFonts w:ascii="Times New Roman" w:eastAsia="Times New Roman" w:hAnsi="Times New Roman" w:cs="Times New Roman"/>
          <w:color w:val="000000"/>
          <w:lang w:eastAsia="en-AU"/>
        </w:rPr>
        <w:t xml:space="preserve"> the registration and disciplinary frameworks that apply to registered liquidators and registered trustees</w:t>
      </w:r>
      <w:r w:rsidR="002D73A9" w:rsidRPr="007305E2">
        <w:rPr>
          <w:rFonts w:ascii="Times New Roman" w:eastAsia="Times New Roman" w:hAnsi="Times New Roman" w:cs="Times New Roman"/>
          <w:color w:val="000000"/>
          <w:lang w:eastAsia="en-AU"/>
        </w:rPr>
        <w:t>; and improving overall confidence in the professionalism and competence of insolvency practitioners.</w:t>
      </w:r>
    </w:p>
    <w:p w14:paraId="09BFDCE0" w14:textId="77777777" w:rsidR="0026109C" w:rsidRPr="007305E2" w:rsidRDefault="004F430F" w:rsidP="005660BD">
      <w:pPr>
        <w:spacing w:line="360" w:lineRule="auto"/>
        <w:rPr>
          <w:rFonts w:ascii="Times New Roman" w:hAnsi="Times New Roman" w:cs="Times New Roman"/>
          <w:b/>
          <w:caps/>
        </w:rPr>
      </w:pPr>
      <w:r w:rsidRPr="007305E2">
        <w:rPr>
          <w:rFonts w:ascii="Times New Roman" w:hAnsi="Times New Roman" w:cs="Times New Roman"/>
          <w:b/>
          <w:caps/>
        </w:rPr>
        <w:t>Consultation</w:t>
      </w:r>
    </w:p>
    <w:p w14:paraId="09BFDCE3" w14:textId="3D17B033" w:rsidR="00AF0C63" w:rsidRPr="007305E2" w:rsidRDefault="00303024" w:rsidP="005660BD">
      <w:pPr>
        <w:tabs>
          <w:tab w:val="left" w:pos="6521"/>
        </w:tabs>
        <w:spacing w:line="360" w:lineRule="auto"/>
        <w:ind w:right="91"/>
        <w:rPr>
          <w:rFonts w:ascii="Times New Roman" w:hAnsi="Times New Roman" w:cs="Times New Roman"/>
          <w:color w:val="FF0000"/>
        </w:rPr>
      </w:pPr>
      <w:r w:rsidRPr="007305E2">
        <w:rPr>
          <w:rFonts w:ascii="Times New Roman" w:eastAsia="Times New Roman" w:hAnsi="Times New Roman" w:cs="Times New Roman"/>
          <w:lang w:eastAsia="en-AU"/>
        </w:rPr>
        <w:lastRenderedPageBreak/>
        <w:t>The</w:t>
      </w:r>
      <w:r w:rsidR="00380586" w:rsidRPr="007305E2">
        <w:rPr>
          <w:rFonts w:ascii="Times New Roman" w:eastAsia="Times New Roman" w:hAnsi="Times New Roman" w:cs="Times New Roman"/>
          <w:lang w:eastAsia="en-AU"/>
        </w:rPr>
        <w:t xml:space="preserve"> Rules </w:t>
      </w:r>
      <w:r w:rsidR="00F1046F">
        <w:rPr>
          <w:rFonts w:ascii="Times New Roman" w:eastAsia="Times New Roman" w:hAnsi="Times New Roman" w:cs="Times New Roman"/>
          <w:lang w:eastAsia="en-AU"/>
        </w:rPr>
        <w:t>were</w:t>
      </w:r>
      <w:r w:rsidRPr="007305E2">
        <w:rPr>
          <w:rFonts w:ascii="Times New Roman" w:eastAsia="Times New Roman" w:hAnsi="Times New Roman" w:cs="Times New Roman"/>
          <w:lang w:eastAsia="en-AU"/>
        </w:rPr>
        <w:t xml:space="preserve"> informed by close collaboration with </w:t>
      </w:r>
      <w:r w:rsidR="002D73A9" w:rsidRPr="007305E2">
        <w:rPr>
          <w:rFonts w:ascii="Times New Roman" w:eastAsia="Times New Roman" w:hAnsi="Times New Roman" w:cs="Times New Roman"/>
          <w:lang w:eastAsia="en-AU"/>
        </w:rPr>
        <w:t xml:space="preserve">the </w:t>
      </w:r>
      <w:r w:rsidR="002D73A9" w:rsidRPr="007305E2">
        <w:rPr>
          <w:rFonts w:ascii="Times New Roman" w:hAnsi="Times New Roman" w:cs="Times New Roman"/>
        </w:rPr>
        <w:t>Australian Fin</w:t>
      </w:r>
      <w:r w:rsidR="00F1046F">
        <w:rPr>
          <w:rFonts w:ascii="Times New Roman" w:hAnsi="Times New Roman" w:cs="Times New Roman"/>
        </w:rPr>
        <w:t>ancial Security Authority</w:t>
      </w:r>
      <w:r w:rsidR="002D73A9" w:rsidRPr="007305E2">
        <w:rPr>
          <w:rFonts w:ascii="Times New Roman" w:hAnsi="Times New Roman" w:cs="Times New Roman"/>
        </w:rPr>
        <w:t>, which has responsibility for the administration and regulation of Australia’s personal insolvency system.</w:t>
      </w:r>
    </w:p>
    <w:p w14:paraId="09BFDCE4" w14:textId="77777777" w:rsidR="00566C9B" w:rsidRPr="007305E2" w:rsidRDefault="004F430F" w:rsidP="005660BD">
      <w:pPr>
        <w:spacing w:line="360" w:lineRule="auto"/>
        <w:rPr>
          <w:rFonts w:ascii="Times New Roman" w:hAnsi="Times New Roman" w:cs="Times New Roman"/>
          <w:b/>
          <w:caps/>
        </w:rPr>
      </w:pPr>
      <w:r w:rsidRPr="007305E2">
        <w:rPr>
          <w:rFonts w:ascii="Times New Roman" w:hAnsi="Times New Roman" w:cs="Times New Roman"/>
          <w:b/>
          <w:caps/>
        </w:rPr>
        <w:t>Regulation Impact Statement</w:t>
      </w:r>
    </w:p>
    <w:p w14:paraId="1C89953E" w14:textId="0DFB0E03" w:rsidR="005660BD" w:rsidRPr="007305E2" w:rsidRDefault="00282B41" w:rsidP="005660BD">
      <w:pPr>
        <w:spacing w:line="360" w:lineRule="auto"/>
        <w:rPr>
          <w:rFonts w:ascii="Times New Roman" w:hAnsi="Times New Roman" w:cs="Times New Roman"/>
          <w:b/>
          <w:caps/>
        </w:rPr>
      </w:pPr>
      <w:r w:rsidRPr="007305E2">
        <w:rPr>
          <w:rFonts w:ascii="Times New Roman" w:hAnsi="Times New Roman" w:cs="Times New Roman"/>
        </w:rPr>
        <w:t xml:space="preserve">The </w:t>
      </w:r>
      <w:r w:rsidR="00245CC2" w:rsidRPr="00245CC2">
        <w:rPr>
          <w:rFonts w:ascii="Times New Roman" w:hAnsi="Times New Roman" w:cs="Times New Roman"/>
          <w:i/>
        </w:rPr>
        <w:t>Sunsetting legislative instruments guidance note</w:t>
      </w:r>
      <w:r w:rsidRPr="007305E2">
        <w:rPr>
          <w:rFonts w:ascii="Times New Roman" w:hAnsi="Times New Roman" w:cs="Times New Roman"/>
        </w:rPr>
        <w:t>, issued by the Office of Best Practice Regulation, stipulates that agencies can self-assess the performance of an instrument. The A</w:t>
      </w:r>
      <w:r w:rsidR="00F1046F">
        <w:rPr>
          <w:rFonts w:ascii="Times New Roman" w:hAnsi="Times New Roman" w:cs="Times New Roman"/>
        </w:rPr>
        <w:t>ttorney</w:t>
      </w:r>
      <w:r w:rsidR="00F1046F">
        <w:rPr>
          <w:rFonts w:ascii="Times New Roman" w:hAnsi="Times New Roman" w:cs="Times New Roman"/>
        </w:rPr>
        <w:noBreakHyphen/>
        <w:t>General’s Department</w:t>
      </w:r>
      <w:r w:rsidRPr="007305E2">
        <w:rPr>
          <w:rFonts w:ascii="Times New Roman" w:hAnsi="Times New Roman" w:cs="Times New Roman"/>
        </w:rPr>
        <w:t xml:space="preserve"> assessed that the </w:t>
      </w:r>
      <w:r w:rsidR="00F1046F">
        <w:rPr>
          <w:rFonts w:ascii="Times New Roman" w:hAnsi="Times New Roman" w:cs="Times New Roman"/>
        </w:rPr>
        <w:t xml:space="preserve">Rules were </w:t>
      </w:r>
      <w:r w:rsidRPr="007305E2">
        <w:rPr>
          <w:rFonts w:ascii="Times New Roman" w:hAnsi="Times New Roman" w:cs="Times New Roman"/>
        </w:rPr>
        <w:t>operating effectively and efficiently and that</w:t>
      </w:r>
      <w:r w:rsidR="00F1046F">
        <w:rPr>
          <w:rFonts w:ascii="Times New Roman" w:hAnsi="Times New Roman" w:cs="Times New Roman"/>
        </w:rPr>
        <w:t xml:space="preserve"> a Regulation Impact Statement wa</w:t>
      </w:r>
      <w:r w:rsidRPr="007305E2">
        <w:rPr>
          <w:rFonts w:ascii="Times New Roman" w:hAnsi="Times New Roman" w:cs="Times New Roman"/>
        </w:rPr>
        <w:t>s not required.</w:t>
      </w:r>
      <w:r w:rsidR="005660BD" w:rsidRPr="007305E2">
        <w:rPr>
          <w:rFonts w:ascii="Times New Roman" w:hAnsi="Times New Roman" w:cs="Times New Roman"/>
          <w:b/>
          <w:caps/>
        </w:rPr>
        <w:br w:type="page"/>
      </w:r>
    </w:p>
    <w:p w14:paraId="09BFDCE7" w14:textId="3255B18F" w:rsidR="008B2955" w:rsidRPr="007305E2" w:rsidRDefault="008B2955" w:rsidP="005660BD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7305E2">
        <w:rPr>
          <w:rFonts w:ascii="Times New Roman" w:hAnsi="Times New Roman" w:cs="Times New Roman"/>
          <w:b/>
          <w:caps/>
        </w:rPr>
        <w:lastRenderedPageBreak/>
        <w:t>Statement of Compatibility with Human Rights</w:t>
      </w:r>
    </w:p>
    <w:p w14:paraId="542F9FA2" w14:textId="20E7479D" w:rsidR="004D2999" w:rsidRPr="007305E2" w:rsidRDefault="001D3031" w:rsidP="005660BD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 w:rsidRPr="007305E2">
        <w:rPr>
          <w:rFonts w:ascii="Times New Roman" w:hAnsi="Times New Roman" w:cs="Times New Roman"/>
          <w:i/>
          <w:iCs/>
          <w:color w:val="000000"/>
        </w:rPr>
        <w:t>Prepared in accordance with Part 3 of the Human Rights (Parliamentary Scrutiny) Act 2011</w:t>
      </w:r>
    </w:p>
    <w:p w14:paraId="352960DF" w14:textId="4B9CFA06" w:rsidR="00380586" w:rsidRPr="007305E2" w:rsidRDefault="00380586" w:rsidP="0038058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305E2">
        <w:rPr>
          <w:rFonts w:ascii="Times New Roman" w:hAnsi="Times New Roman" w:cs="Times New Roman"/>
          <w:b/>
        </w:rPr>
        <w:t>Insolvency Practice (Bankruptcy) Amendment (Consequential Amendments) Rules 2021</w:t>
      </w:r>
    </w:p>
    <w:p w14:paraId="3C10CDF7" w14:textId="0D5EFF21" w:rsidR="00187A90" w:rsidRPr="007305E2" w:rsidRDefault="00187A90" w:rsidP="00187A90">
      <w:pPr>
        <w:spacing w:line="360" w:lineRule="auto"/>
        <w:rPr>
          <w:rFonts w:ascii="Times New Roman" w:hAnsi="Times New Roman" w:cs="Times New Roman"/>
        </w:rPr>
      </w:pPr>
      <w:r w:rsidRPr="007305E2">
        <w:rPr>
          <w:rFonts w:ascii="Times New Roman" w:hAnsi="Times New Roman" w:cs="Times New Roman"/>
        </w:rPr>
        <w:t xml:space="preserve">This Legislative Instrument is compatible with the human rights and freedoms recognised or declared in the international instruments listed in section 3 of the </w:t>
      </w:r>
      <w:r w:rsidRPr="007305E2">
        <w:rPr>
          <w:rFonts w:ascii="Times New Roman" w:hAnsi="Times New Roman" w:cs="Times New Roman"/>
          <w:i/>
        </w:rPr>
        <w:t>Human Rights (Parliamentary Scrutiny) Act 2011</w:t>
      </w:r>
      <w:r w:rsidRPr="007305E2">
        <w:rPr>
          <w:rFonts w:ascii="Times New Roman" w:hAnsi="Times New Roman" w:cs="Times New Roman"/>
        </w:rPr>
        <w:t>.</w:t>
      </w:r>
    </w:p>
    <w:p w14:paraId="64D1C524" w14:textId="56390543" w:rsidR="00187A90" w:rsidRPr="007305E2" w:rsidRDefault="00187A90" w:rsidP="00187A90">
      <w:pPr>
        <w:spacing w:line="360" w:lineRule="auto"/>
        <w:rPr>
          <w:rFonts w:ascii="Times New Roman" w:hAnsi="Times New Roman" w:cs="Times New Roman"/>
          <w:b/>
        </w:rPr>
      </w:pPr>
      <w:r w:rsidRPr="007305E2">
        <w:rPr>
          <w:rFonts w:ascii="Times New Roman" w:hAnsi="Times New Roman" w:cs="Times New Roman"/>
          <w:b/>
        </w:rPr>
        <w:t>Overview of the Legislative Instrument</w:t>
      </w:r>
    </w:p>
    <w:p w14:paraId="7700E633" w14:textId="6D325686" w:rsidR="00482E81" w:rsidRPr="007305E2" w:rsidRDefault="00482E81" w:rsidP="00482E81">
      <w:pPr>
        <w:spacing w:line="360" w:lineRule="auto"/>
        <w:rPr>
          <w:rFonts w:ascii="Times New Roman" w:hAnsi="Times New Roman" w:cs="Times New Roman"/>
        </w:rPr>
      </w:pPr>
      <w:r w:rsidRPr="007305E2">
        <w:rPr>
          <w:rFonts w:ascii="Times New Roman" w:hAnsi="Times New Roman" w:cs="Times New Roman"/>
        </w:rPr>
        <w:t xml:space="preserve">The </w:t>
      </w:r>
      <w:r w:rsidR="00F1046F" w:rsidRPr="00F1046F">
        <w:rPr>
          <w:rFonts w:ascii="Times New Roman" w:hAnsi="Times New Roman" w:cs="Times New Roman"/>
        </w:rPr>
        <w:t>Insolvency Practice (Bankruptcy) Amendment (</w:t>
      </w:r>
      <w:r w:rsidR="00F1046F">
        <w:rPr>
          <w:rFonts w:ascii="Times New Roman" w:hAnsi="Times New Roman" w:cs="Times New Roman"/>
        </w:rPr>
        <w:t>Consequential Amendments) Rules </w:t>
      </w:r>
      <w:r w:rsidR="00F1046F" w:rsidRPr="00F1046F">
        <w:rPr>
          <w:rFonts w:ascii="Times New Roman" w:hAnsi="Times New Roman" w:cs="Times New Roman"/>
        </w:rPr>
        <w:t>2021</w:t>
      </w:r>
      <w:r w:rsidR="00F1046F">
        <w:rPr>
          <w:rFonts w:ascii="Times New Roman" w:hAnsi="Times New Roman" w:cs="Times New Roman"/>
        </w:rPr>
        <w:t xml:space="preserve"> (the Rules) </w:t>
      </w:r>
      <w:r w:rsidRPr="007305E2">
        <w:rPr>
          <w:rFonts w:ascii="Times New Roman" w:hAnsi="Times New Roman" w:cs="Times New Roman"/>
        </w:rPr>
        <w:t>make</w:t>
      </w:r>
      <w:r w:rsidR="007305E2" w:rsidRPr="007305E2">
        <w:rPr>
          <w:rFonts w:ascii="Times New Roman" w:hAnsi="Times New Roman" w:cs="Times New Roman"/>
        </w:rPr>
        <w:t xml:space="preserve"> one</w:t>
      </w:r>
      <w:r w:rsidRPr="007305E2">
        <w:rPr>
          <w:rFonts w:ascii="Times New Roman" w:hAnsi="Times New Roman" w:cs="Times New Roman"/>
        </w:rPr>
        <w:t xml:space="preserve"> minor consequential </w:t>
      </w:r>
      <w:r w:rsidR="007305E2" w:rsidRPr="007305E2">
        <w:rPr>
          <w:rFonts w:ascii="Times New Roman" w:hAnsi="Times New Roman" w:cs="Times New Roman"/>
        </w:rPr>
        <w:t>amendment</w:t>
      </w:r>
      <w:r w:rsidRPr="007305E2">
        <w:rPr>
          <w:rFonts w:ascii="Times New Roman" w:hAnsi="Times New Roman" w:cs="Times New Roman"/>
        </w:rPr>
        <w:t xml:space="preserve"> to the Insolvency Practice Rules (Bankruptcy) 2016, to reflect that the </w:t>
      </w:r>
      <w:r w:rsidRPr="007305E2">
        <w:rPr>
          <w:rFonts w:ascii="Times New Roman" w:hAnsi="Times New Roman" w:cs="Times New Roman"/>
          <w:i/>
        </w:rPr>
        <w:t>Bankruptcy Regulations 1996</w:t>
      </w:r>
      <w:r w:rsidRPr="007305E2">
        <w:rPr>
          <w:rFonts w:ascii="Times New Roman" w:hAnsi="Times New Roman" w:cs="Times New Roman"/>
        </w:rPr>
        <w:t xml:space="preserve"> sunset on the 1 April 2021 and were replaced by the </w:t>
      </w:r>
      <w:r w:rsidRPr="007305E2">
        <w:rPr>
          <w:rFonts w:ascii="Times New Roman" w:hAnsi="Times New Roman" w:cs="Times New Roman"/>
          <w:i/>
        </w:rPr>
        <w:t>Bankruptcy Regulations 2021</w:t>
      </w:r>
      <w:r w:rsidRPr="007305E2">
        <w:rPr>
          <w:rFonts w:ascii="Times New Roman" w:hAnsi="Times New Roman" w:cs="Times New Roman"/>
        </w:rPr>
        <w:t>.</w:t>
      </w:r>
    </w:p>
    <w:p w14:paraId="48A06E92" w14:textId="77777777" w:rsidR="00482E81" w:rsidRPr="007305E2" w:rsidRDefault="00482E81" w:rsidP="00187A90">
      <w:pPr>
        <w:spacing w:line="360" w:lineRule="auto"/>
        <w:rPr>
          <w:rFonts w:ascii="Times New Roman" w:hAnsi="Times New Roman" w:cs="Times New Roman"/>
        </w:rPr>
      </w:pPr>
      <w:r w:rsidRPr="007305E2">
        <w:rPr>
          <w:rFonts w:ascii="Times New Roman" w:hAnsi="Times New Roman" w:cs="Times New Roman"/>
        </w:rPr>
        <w:t>The Insolvency Practice Rules (Bankruptcy) 2016 ensure that the framework for insolvency practitioners promotes a high level of professionalism and competence by practitioners, promote market competition on price and quality, and encourage greater transparency and communication between stakeholders.</w:t>
      </w:r>
    </w:p>
    <w:p w14:paraId="2A9006F4" w14:textId="4DBEC15D" w:rsidR="00187A90" w:rsidRPr="007305E2" w:rsidRDefault="00187A90" w:rsidP="00187A90">
      <w:pPr>
        <w:spacing w:line="360" w:lineRule="auto"/>
        <w:rPr>
          <w:rFonts w:ascii="Times New Roman" w:hAnsi="Times New Roman" w:cs="Times New Roman"/>
        </w:rPr>
      </w:pPr>
      <w:r w:rsidRPr="007305E2">
        <w:rPr>
          <w:rFonts w:ascii="Times New Roman" w:hAnsi="Times New Roman" w:cs="Times New Roman"/>
          <w:b/>
        </w:rPr>
        <w:t>Human rights implications</w:t>
      </w:r>
    </w:p>
    <w:p w14:paraId="2A0CDCF6" w14:textId="14E061B4" w:rsidR="00482E81" w:rsidRPr="007305E2" w:rsidRDefault="00482E81" w:rsidP="00482E81">
      <w:pPr>
        <w:spacing w:line="360" w:lineRule="auto"/>
        <w:rPr>
          <w:rFonts w:ascii="Times New Roman" w:hAnsi="Times New Roman" w:cs="Times New Roman"/>
        </w:rPr>
      </w:pPr>
      <w:r w:rsidRPr="007305E2">
        <w:rPr>
          <w:rFonts w:ascii="Times New Roman" w:hAnsi="Times New Roman" w:cs="Times New Roman"/>
        </w:rPr>
        <w:t xml:space="preserve">The </w:t>
      </w:r>
      <w:r w:rsidR="00F1046F">
        <w:rPr>
          <w:rFonts w:ascii="Times New Roman" w:hAnsi="Times New Roman" w:cs="Times New Roman"/>
        </w:rPr>
        <w:t xml:space="preserve">single </w:t>
      </w:r>
      <w:r w:rsidRPr="007305E2">
        <w:rPr>
          <w:rFonts w:ascii="Times New Roman" w:hAnsi="Times New Roman" w:cs="Times New Roman"/>
        </w:rPr>
        <w:t xml:space="preserve">consequential </w:t>
      </w:r>
      <w:r w:rsidR="007305E2" w:rsidRPr="007305E2">
        <w:rPr>
          <w:rFonts w:ascii="Times New Roman" w:hAnsi="Times New Roman" w:cs="Times New Roman"/>
        </w:rPr>
        <w:t>amendment</w:t>
      </w:r>
      <w:r w:rsidRPr="007305E2">
        <w:rPr>
          <w:rFonts w:ascii="Times New Roman" w:hAnsi="Times New Roman" w:cs="Times New Roman"/>
        </w:rPr>
        <w:t xml:space="preserve"> made by these Rules to the Insolvency Practice Rules (Bankruptcy) 2016 </w:t>
      </w:r>
      <w:r w:rsidR="007305E2" w:rsidRPr="007305E2">
        <w:rPr>
          <w:rFonts w:ascii="Times New Roman" w:hAnsi="Times New Roman" w:cs="Times New Roman"/>
        </w:rPr>
        <w:t>is</w:t>
      </w:r>
      <w:r w:rsidRPr="007305E2">
        <w:rPr>
          <w:rFonts w:ascii="Times New Roman" w:hAnsi="Times New Roman" w:cs="Times New Roman"/>
        </w:rPr>
        <w:t xml:space="preserve"> minor and technical in nature. As such, the Rules do not engage or impact </w:t>
      </w:r>
      <w:r w:rsidR="003C2409" w:rsidRPr="007305E2">
        <w:rPr>
          <w:rFonts w:ascii="Times New Roman" w:hAnsi="Times New Roman" w:cs="Times New Roman"/>
        </w:rPr>
        <w:t xml:space="preserve">any of the applicable </w:t>
      </w:r>
      <w:r w:rsidRPr="007305E2">
        <w:rPr>
          <w:rFonts w:ascii="Times New Roman" w:hAnsi="Times New Roman" w:cs="Times New Roman"/>
        </w:rPr>
        <w:t>rights or freedoms.</w:t>
      </w:r>
    </w:p>
    <w:p w14:paraId="71A4D697" w14:textId="53C9FCCE" w:rsidR="00187A90" w:rsidRPr="007305E2" w:rsidRDefault="00187A90" w:rsidP="00187A90">
      <w:pPr>
        <w:spacing w:line="360" w:lineRule="auto"/>
        <w:rPr>
          <w:rFonts w:ascii="Times New Roman" w:hAnsi="Times New Roman" w:cs="Times New Roman"/>
          <w:b/>
        </w:rPr>
      </w:pPr>
      <w:r w:rsidRPr="007305E2">
        <w:rPr>
          <w:rFonts w:ascii="Times New Roman" w:hAnsi="Times New Roman" w:cs="Times New Roman"/>
          <w:b/>
        </w:rPr>
        <w:t>Conclusion</w:t>
      </w:r>
    </w:p>
    <w:p w14:paraId="09BFDCEB" w14:textId="5ABD64C2" w:rsidR="009B6322" w:rsidRPr="007305E2" w:rsidRDefault="00380586" w:rsidP="005660BD">
      <w:pPr>
        <w:spacing w:line="360" w:lineRule="auto"/>
        <w:rPr>
          <w:rFonts w:ascii="Times New Roman" w:hAnsi="Times New Roman" w:cs="Times New Roman"/>
        </w:rPr>
      </w:pPr>
      <w:r w:rsidRPr="007305E2">
        <w:rPr>
          <w:rFonts w:ascii="Times New Roman" w:hAnsi="Times New Roman" w:cs="Times New Roman"/>
        </w:rPr>
        <w:lastRenderedPageBreak/>
        <w:t>The Rules are</w:t>
      </w:r>
      <w:r w:rsidR="00187A90" w:rsidRPr="007305E2">
        <w:rPr>
          <w:rFonts w:ascii="Times New Roman" w:hAnsi="Times New Roman" w:cs="Times New Roman"/>
        </w:rPr>
        <w:t xml:space="preserve"> compatible with h</w:t>
      </w:r>
      <w:r w:rsidRPr="007305E2">
        <w:rPr>
          <w:rFonts w:ascii="Times New Roman" w:hAnsi="Times New Roman" w:cs="Times New Roman"/>
        </w:rPr>
        <w:t>uman rights as they do</w:t>
      </w:r>
      <w:r w:rsidR="00187A90" w:rsidRPr="007305E2">
        <w:rPr>
          <w:rFonts w:ascii="Times New Roman" w:hAnsi="Times New Roman" w:cs="Times New Roman"/>
        </w:rPr>
        <w:t xml:space="preserve"> not raise any human rights issues.</w:t>
      </w:r>
      <w:r w:rsidR="009B6322" w:rsidRPr="007305E2">
        <w:rPr>
          <w:rFonts w:ascii="Times New Roman" w:hAnsi="Times New Roman" w:cs="Times New Roman"/>
          <w:color w:val="FF0000"/>
        </w:rPr>
        <w:br w:type="page"/>
      </w:r>
    </w:p>
    <w:p w14:paraId="121F2E18" w14:textId="77777777" w:rsidR="009C0BE2" w:rsidRPr="007305E2" w:rsidRDefault="009C0BE2" w:rsidP="009C0BE2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7305E2">
        <w:rPr>
          <w:rFonts w:ascii="Times New Roman" w:hAnsi="Times New Roman" w:cs="Times New Roman"/>
          <w:b/>
        </w:rPr>
        <w:lastRenderedPageBreak/>
        <w:t>Attachment A</w:t>
      </w:r>
    </w:p>
    <w:p w14:paraId="09BFDCED" w14:textId="77777777" w:rsidR="00186EFA" w:rsidRPr="007305E2" w:rsidRDefault="001469C7" w:rsidP="00C16B35">
      <w:pPr>
        <w:spacing w:line="360" w:lineRule="auto"/>
        <w:rPr>
          <w:rFonts w:ascii="Times New Roman" w:hAnsi="Times New Roman" w:cs="Times New Roman"/>
          <w:b/>
        </w:rPr>
      </w:pPr>
      <w:r w:rsidRPr="007305E2">
        <w:rPr>
          <w:rFonts w:ascii="Times New Roman" w:hAnsi="Times New Roman" w:cs="Times New Roman"/>
          <w:b/>
        </w:rPr>
        <w:t>NOTES ON SECTIONS</w:t>
      </w:r>
    </w:p>
    <w:p w14:paraId="7E877529" w14:textId="7C6043F9" w:rsidR="00043840" w:rsidRPr="007305E2" w:rsidRDefault="00C16B35" w:rsidP="00043840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305E2">
        <w:rPr>
          <w:rFonts w:ascii="Times New Roman" w:hAnsi="Times New Roman" w:cs="Times New Roman"/>
          <w:b/>
          <w:u w:val="single"/>
        </w:rPr>
        <w:t xml:space="preserve">PART 1 – Preliminary </w:t>
      </w:r>
    </w:p>
    <w:p w14:paraId="0032D546" w14:textId="77777777" w:rsidR="00043840" w:rsidRPr="007305E2" w:rsidRDefault="00C16B35" w:rsidP="00043840">
      <w:pPr>
        <w:spacing w:line="360" w:lineRule="auto"/>
        <w:rPr>
          <w:rFonts w:ascii="Times New Roman" w:hAnsi="Times New Roman" w:cs="Times New Roman"/>
          <w:b/>
        </w:rPr>
      </w:pPr>
      <w:r w:rsidRPr="007305E2">
        <w:rPr>
          <w:rFonts w:ascii="Times New Roman" w:hAnsi="Times New Roman" w:cs="Times New Roman"/>
          <w:b/>
        </w:rPr>
        <w:t>Section 1 – Name</w:t>
      </w:r>
    </w:p>
    <w:p w14:paraId="4AB22170" w14:textId="5DAF14A8" w:rsidR="00043840" w:rsidRPr="007305E2" w:rsidRDefault="00C16B35" w:rsidP="00043840">
      <w:pPr>
        <w:spacing w:line="360" w:lineRule="auto"/>
        <w:rPr>
          <w:rFonts w:ascii="Times New Roman" w:hAnsi="Times New Roman" w:cs="Times New Roman"/>
        </w:rPr>
      </w:pPr>
      <w:r w:rsidRPr="007305E2">
        <w:rPr>
          <w:rFonts w:ascii="Times New Roman" w:hAnsi="Times New Roman" w:cs="Times New Roman"/>
        </w:rPr>
        <w:t xml:space="preserve">Section 1 provides that the title of the </w:t>
      </w:r>
      <w:r w:rsidR="007305E2" w:rsidRPr="007305E2">
        <w:rPr>
          <w:rFonts w:ascii="Times New Roman" w:hAnsi="Times New Roman" w:cs="Times New Roman"/>
        </w:rPr>
        <w:t xml:space="preserve">Rules </w:t>
      </w:r>
      <w:r w:rsidRPr="007305E2">
        <w:rPr>
          <w:rFonts w:ascii="Times New Roman" w:hAnsi="Times New Roman" w:cs="Times New Roman"/>
        </w:rPr>
        <w:t xml:space="preserve">is the </w:t>
      </w:r>
      <w:r w:rsidR="007305E2" w:rsidRPr="007305E2">
        <w:rPr>
          <w:rFonts w:ascii="Times New Roman" w:hAnsi="Times New Roman" w:cs="Times New Roman"/>
        </w:rPr>
        <w:t>Insolvency Practice (Bankruptcy) Amendment (Consequential Amendments) Rules 2021</w:t>
      </w:r>
      <w:r w:rsidR="00AD1049" w:rsidRPr="007305E2">
        <w:rPr>
          <w:rFonts w:ascii="Times New Roman" w:hAnsi="Times New Roman" w:cs="Times New Roman"/>
        </w:rPr>
        <w:t>.</w:t>
      </w:r>
    </w:p>
    <w:p w14:paraId="0CF8DC30" w14:textId="77777777" w:rsidR="00043840" w:rsidRPr="007305E2" w:rsidRDefault="00C16B35" w:rsidP="00043840">
      <w:pPr>
        <w:spacing w:line="360" w:lineRule="auto"/>
        <w:rPr>
          <w:rFonts w:ascii="Times New Roman" w:hAnsi="Times New Roman" w:cs="Times New Roman"/>
          <w:b/>
        </w:rPr>
      </w:pPr>
      <w:r w:rsidRPr="007305E2">
        <w:rPr>
          <w:rFonts w:ascii="Times New Roman" w:hAnsi="Times New Roman" w:cs="Times New Roman"/>
          <w:b/>
        </w:rPr>
        <w:t>Section 2 – Commencement</w:t>
      </w:r>
    </w:p>
    <w:p w14:paraId="09BFDCFC" w14:textId="3E5858DD" w:rsidR="00C16B35" w:rsidRPr="007305E2" w:rsidRDefault="00AD1049" w:rsidP="00043840">
      <w:pPr>
        <w:spacing w:line="360" w:lineRule="auto"/>
        <w:rPr>
          <w:rFonts w:ascii="Times New Roman" w:hAnsi="Times New Roman" w:cs="Times New Roman"/>
          <w:color w:val="FF0000"/>
        </w:rPr>
      </w:pPr>
      <w:r w:rsidRPr="007305E2">
        <w:rPr>
          <w:rFonts w:ascii="Times New Roman" w:hAnsi="Times New Roman" w:cs="Times New Roman"/>
        </w:rPr>
        <w:t xml:space="preserve">Section 2 provides for the commencement of provisions of the </w:t>
      </w:r>
      <w:r w:rsidR="007305E2" w:rsidRPr="007305E2">
        <w:rPr>
          <w:rFonts w:ascii="Times New Roman" w:hAnsi="Times New Roman" w:cs="Times New Roman"/>
        </w:rPr>
        <w:t>Rules</w:t>
      </w:r>
      <w:r w:rsidRPr="007305E2">
        <w:rPr>
          <w:rFonts w:ascii="Times New Roman" w:hAnsi="Times New Roman" w:cs="Times New Roman"/>
        </w:rPr>
        <w:t>, as set out in the table. Table item 1 provides that the whole of the instrument commences at the same time as the</w:t>
      </w:r>
      <w:r w:rsidRPr="007305E2">
        <w:rPr>
          <w:rFonts w:ascii="Times New Roman" w:hAnsi="Times New Roman" w:cs="Times New Roman"/>
          <w:i/>
        </w:rPr>
        <w:t xml:space="preserve"> Bankruptcy Regulations 2021 </w:t>
      </w:r>
      <w:r w:rsidRPr="007305E2">
        <w:rPr>
          <w:rFonts w:ascii="Times New Roman" w:hAnsi="Times New Roman" w:cs="Times New Roman"/>
        </w:rPr>
        <w:t>commence</w:t>
      </w:r>
      <w:r w:rsidR="00F1046F">
        <w:rPr>
          <w:rFonts w:ascii="Times New Roman" w:hAnsi="Times New Roman" w:cs="Times New Roman"/>
        </w:rPr>
        <w:t xml:space="preserve">: </w:t>
      </w:r>
      <w:r w:rsidRPr="007305E2">
        <w:rPr>
          <w:rFonts w:ascii="Times New Roman" w:hAnsi="Times New Roman" w:cs="Times New Roman"/>
        </w:rPr>
        <w:t xml:space="preserve">1 April 2021. </w:t>
      </w:r>
    </w:p>
    <w:p w14:paraId="47E42F70" w14:textId="62530C99" w:rsidR="00AD1049" w:rsidRPr="007305E2" w:rsidRDefault="00AD1049" w:rsidP="00AD1049">
      <w:pPr>
        <w:spacing w:line="360" w:lineRule="auto"/>
        <w:rPr>
          <w:rFonts w:ascii="Times New Roman" w:hAnsi="Times New Roman" w:cs="Times New Roman"/>
          <w:b/>
        </w:rPr>
      </w:pPr>
      <w:r w:rsidRPr="007305E2">
        <w:rPr>
          <w:rFonts w:ascii="Times New Roman" w:hAnsi="Times New Roman" w:cs="Times New Roman"/>
          <w:b/>
        </w:rPr>
        <w:t>Section 3 – Authority</w:t>
      </w:r>
    </w:p>
    <w:p w14:paraId="73B0EBC8" w14:textId="05D98438" w:rsidR="00AD1049" w:rsidRPr="007305E2" w:rsidRDefault="00AD1049" w:rsidP="00AD1049">
      <w:pPr>
        <w:spacing w:line="360" w:lineRule="auto"/>
        <w:rPr>
          <w:rFonts w:ascii="Times New Roman" w:hAnsi="Times New Roman" w:cs="Times New Roman"/>
          <w:i/>
        </w:rPr>
      </w:pPr>
      <w:r w:rsidRPr="007305E2">
        <w:rPr>
          <w:rFonts w:ascii="Times New Roman" w:hAnsi="Times New Roman" w:cs="Times New Roman"/>
        </w:rPr>
        <w:t xml:space="preserve">Section 3 provides that the </w:t>
      </w:r>
      <w:r w:rsidR="007305E2" w:rsidRPr="007305E2">
        <w:rPr>
          <w:rFonts w:ascii="Times New Roman" w:hAnsi="Times New Roman" w:cs="Times New Roman"/>
        </w:rPr>
        <w:t>Rules are</w:t>
      </w:r>
      <w:r w:rsidRPr="007305E2">
        <w:rPr>
          <w:rFonts w:ascii="Times New Roman" w:hAnsi="Times New Roman" w:cs="Times New Roman"/>
        </w:rPr>
        <w:t xml:space="preserve"> made under the </w:t>
      </w:r>
      <w:r w:rsidRPr="007305E2">
        <w:rPr>
          <w:rFonts w:ascii="Times New Roman" w:hAnsi="Times New Roman" w:cs="Times New Roman"/>
          <w:i/>
        </w:rPr>
        <w:t>Bankruptcy Act 1966.</w:t>
      </w:r>
    </w:p>
    <w:p w14:paraId="69CE59A9" w14:textId="608B9355" w:rsidR="00AD1049" w:rsidRPr="007305E2" w:rsidRDefault="00AD1049" w:rsidP="00AD1049">
      <w:pPr>
        <w:spacing w:line="360" w:lineRule="auto"/>
        <w:rPr>
          <w:rFonts w:ascii="Times New Roman" w:hAnsi="Times New Roman" w:cs="Times New Roman"/>
          <w:b/>
        </w:rPr>
      </w:pPr>
      <w:r w:rsidRPr="007305E2">
        <w:rPr>
          <w:rFonts w:ascii="Times New Roman" w:hAnsi="Times New Roman" w:cs="Times New Roman"/>
          <w:b/>
        </w:rPr>
        <w:t>Section 4 - Schedules</w:t>
      </w:r>
    </w:p>
    <w:p w14:paraId="78EA0E01" w14:textId="5A630ABD" w:rsidR="00AD1049" w:rsidRPr="007305E2" w:rsidRDefault="00AD1049" w:rsidP="00AD1049">
      <w:pPr>
        <w:spacing w:line="360" w:lineRule="auto"/>
        <w:rPr>
          <w:rFonts w:ascii="Times New Roman" w:hAnsi="Times New Roman" w:cs="Times New Roman"/>
          <w:b/>
        </w:rPr>
      </w:pPr>
      <w:r w:rsidRPr="007305E2">
        <w:rPr>
          <w:rFonts w:ascii="Times New Roman" w:hAnsi="Times New Roman" w:cs="Times New Roman"/>
        </w:rPr>
        <w:t>Section 4 provides that each instrument that is specified in a Schedule to the</w:t>
      </w:r>
      <w:r w:rsidR="007305E2" w:rsidRPr="007305E2">
        <w:rPr>
          <w:rFonts w:ascii="Times New Roman" w:hAnsi="Times New Roman" w:cs="Times New Roman"/>
        </w:rPr>
        <w:t xml:space="preserve"> Rules</w:t>
      </w:r>
      <w:r w:rsidRPr="007305E2">
        <w:rPr>
          <w:rFonts w:ascii="Times New Roman" w:hAnsi="Times New Roman" w:cs="Times New Roman"/>
        </w:rPr>
        <w:t xml:space="preserve"> is amended or repealed as set out in the applicable Schedule.</w:t>
      </w:r>
    </w:p>
    <w:p w14:paraId="09BFDCFD" w14:textId="77777777" w:rsidR="00C16B35" w:rsidRPr="007305E2" w:rsidRDefault="00C16B35" w:rsidP="00521029">
      <w:pPr>
        <w:keepNext/>
        <w:spacing w:line="360" w:lineRule="auto"/>
        <w:rPr>
          <w:rFonts w:ascii="Times New Roman" w:hAnsi="Times New Roman" w:cs="Times New Roman"/>
          <w:b/>
          <w:u w:val="single"/>
        </w:rPr>
      </w:pPr>
      <w:r w:rsidRPr="007305E2">
        <w:rPr>
          <w:rFonts w:ascii="Times New Roman" w:hAnsi="Times New Roman" w:cs="Times New Roman"/>
          <w:b/>
          <w:u w:val="single"/>
        </w:rPr>
        <w:lastRenderedPageBreak/>
        <w:t>SCHEDULE 1 – Amendments</w:t>
      </w:r>
    </w:p>
    <w:p w14:paraId="302B1F5A" w14:textId="77777777" w:rsidR="007305E2" w:rsidRPr="007305E2" w:rsidRDefault="007305E2" w:rsidP="00521029">
      <w:pPr>
        <w:keepNext/>
        <w:spacing w:line="360" w:lineRule="auto"/>
        <w:rPr>
          <w:rFonts w:ascii="Times New Roman" w:hAnsi="Times New Roman" w:cs="Times New Roman"/>
          <w:b/>
          <w:i/>
        </w:rPr>
      </w:pPr>
      <w:r w:rsidRPr="007305E2">
        <w:rPr>
          <w:rFonts w:ascii="Times New Roman" w:hAnsi="Times New Roman" w:cs="Times New Roman"/>
          <w:b/>
          <w:i/>
        </w:rPr>
        <w:t>Insolvency Practice Rules (Bankruptcy) 2016</w:t>
      </w:r>
    </w:p>
    <w:p w14:paraId="09BFDCFE" w14:textId="077F13A1" w:rsidR="00C16B35" w:rsidRPr="007305E2" w:rsidRDefault="00AD1049" w:rsidP="00521029">
      <w:pPr>
        <w:keepNext/>
        <w:spacing w:line="360" w:lineRule="auto"/>
        <w:rPr>
          <w:rFonts w:ascii="Times New Roman" w:hAnsi="Times New Roman" w:cs="Times New Roman"/>
          <w:b/>
        </w:rPr>
      </w:pPr>
      <w:r w:rsidRPr="007305E2">
        <w:rPr>
          <w:rFonts w:ascii="Times New Roman" w:hAnsi="Times New Roman" w:cs="Times New Roman"/>
          <w:b/>
        </w:rPr>
        <w:t>Section 1</w:t>
      </w:r>
      <w:r w:rsidR="00C16B35" w:rsidRPr="007305E2">
        <w:rPr>
          <w:rFonts w:ascii="Times New Roman" w:hAnsi="Times New Roman" w:cs="Times New Roman"/>
          <w:b/>
        </w:rPr>
        <w:t xml:space="preserve"> – </w:t>
      </w:r>
      <w:r w:rsidR="007305E2" w:rsidRPr="007305E2">
        <w:rPr>
          <w:rFonts w:ascii="Times New Roman" w:hAnsi="Times New Roman" w:cs="Times New Roman"/>
          <w:b/>
        </w:rPr>
        <w:t>Section 5</w:t>
      </w:r>
      <w:r w:rsidR="007305E2" w:rsidRPr="007305E2">
        <w:rPr>
          <w:rFonts w:ascii="Times New Roman" w:hAnsi="Times New Roman" w:cs="Times New Roman"/>
          <w:b/>
        </w:rPr>
        <w:noBreakHyphen/>
        <w:t xml:space="preserve">5 (definition of </w:t>
      </w:r>
      <w:r w:rsidR="007305E2" w:rsidRPr="007305E2">
        <w:rPr>
          <w:rFonts w:ascii="Times New Roman" w:hAnsi="Times New Roman" w:cs="Times New Roman"/>
          <w:b/>
          <w:i/>
        </w:rPr>
        <w:t>regulations</w:t>
      </w:r>
      <w:r w:rsidR="007305E2" w:rsidRPr="007305E2">
        <w:rPr>
          <w:rFonts w:ascii="Times New Roman" w:hAnsi="Times New Roman" w:cs="Times New Roman"/>
          <w:b/>
        </w:rPr>
        <w:t>)</w:t>
      </w:r>
    </w:p>
    <w:p w14:paraId="7196063B" w14:textId="2F141121" w:rsidR="007305E2" w:rsidRPr="007305E2" w:rsidRDefault="007305E2" w:rsidP="00521029">
      <w:pPr>
        <w:spacing w:line="360" w:lineRule="auto"/>
        <w:rPr>
          <w:rFonts w:ascii="Times New Roman" w:hAnsi="Times New Roman" w:cs="Times New Roman"/>
        </w:rPr>
      </w:pPr>
      <w:r w:rsidRPr="007305E2">
        <w:rPr>
          <w:rFonts w:ascii="Times New Roman" w:hAnsi="Times New Roman" w:cs="Times New Roman"/>
        </w:rPr>
        <w:t>Section 5</w:t>
      </w:r>
      <w:r w:rsidRPr="007305E2">
        <w:rPr>
          <w:rFonts w:ascii="Times New Roman" w:hAnsi="Times New Roman" w:cs="Times New Roman"/>
        </w:rPr>
        <w:noBreakHyphen/>
        <w:t xml:space="preserve">5 of the Insolvency Practice Rules (Bankruptcy) 2016 contained a minor drafting error: it incorrectly referred to the </w:t>
      </w:r>
      <w:r w:rsidRPr="007305E2">
        <w:rPr>
          <w:rFonts w:ascii="Times New Roman" w:hAnsi="Times New Roman" w:cs="Times New Roman"/>
          <w:i/>
        </w:rPr>
        <w:t xml:space="preserve">Bankruptcy Regulations </w:t>
      </w:r>
      <w:r w:rsidR="00C41A14" w:rsidRPr="00C41A14">
        <w:rPr>
          <w:rFonts w:ascii="Times New Roman" w:hAnsi="Times New Roman" w:cs="Times New Roman"/>
          <w:i/>
        </w:rPr>
        <w:t>‘</w:t>
      </w:r>
      <w:r w:rsidRPr="00C41A14">
        <w:rPr>
          <w:rFonts w:ascii="Times New Roman" w:hAnsi="Times New Roman" w:cs="Times New Roman"/>
          <w:i/>
        </w:rPr>
        <w:t>1966</w:t>
      </w:r>
      <w:r w:rsidR="00C41A14" w:rsidRPr="00C41A14">
        <w:rPr>
          <w:rFonts w:ascii="Times New Roman" w:hAnsi="Times New Roman" w:cs="Times New Roman"/>
          <w:i/>
        </w:rPr>
        <w:t>’</w:t>
      </w:r>
      <w:r w:rsidRPr="007305E2">
        <w:rPr>
          <w:rFonts w:ascii="Times New Roman" w:hAnsi="Times New Roman" w:cs="Times New Roman"/>
        </w:rPr>
        <w:t xml:space="preserve">, rather than the </w:t>
      </w:r>
      <w:r w:rsidRPr="007305E2">
        <w:rPr>
          <w:rFonts w:ascii="Times New Roman" w:hAnsi="Times New Roman" w:cs="Times New Roman"/>
          <w:i/>
        </w:rPr>
        <w:t xml:space="preserve">Bankruptcy Regulations </w:t>
      </w:r>
      <w:r w:rsidR="00C41A14" w:rsidRPr="00C41A14">
        <w:rPr>
          <w:rFonts w:ascii="Times New Roman" w:hAnsi="Times New Roman" w:cs="Times New Roman"/>
          <w:i/>
        </w:rPr>
        <w:t>‘</w:t>
      </w:r>
      <w:r w:rsidRPr="00C41A14">
        <w:rPr>
          <w:rFonts w:ascii="Times New Roman" w:hAnsi="Times New Roman" w:cs="Times New Roman"/>
          <w:i/>
        </w:rPr>
        <w:t>1996.</w:t>
      </w:r>
      <w:r w:rsidR="00C41A14" w:rsidRPr="00C41A14">
        <w:rPr>
          <w:rFonts w:ascii="Times New Roman" w:hAnsi="Times New Roman" w:cs="Times New Roman"/>
          <w:i/>
        </w:rPr>
        <w:t>’</w:t>
      </w:r>
      <w:r w:rsidRPr="007305E2">
        <w:rPr>
          <w:rFonts w:ascii="Times New Roman" w:hAnsi="Times New Roman" w:cs="Times New Roman"/>
        </w:rPr>
        <w:t xml:space="preserve"> </w:t>
      </w:r>
    </w:p>
    <w:p w14:paraId="7A865596" w14:textId="6FAC8546" w:rsidR="007305E2" w:rsidRPr="007305E2" w:rsidRDefault="00154606" w:rsidP="00521029">
      <w:pPr>
        <w:spacing w:line="360" w:lineRule="auto"/>
        <w:rPr>
          <w:rFonts w:ascii="Times New Roman" w:hAnsi="Times New Roman" w:cs="Times New Roman"/>
        </w:rPr>
      </w:pPr>
      <w:r w:rsidRPr="007305E2">
        <w:rPr>
          <w:rFonts w:ascii="Times New Roman" w:hAnsi="Times New Roman" w:cs="Times New Roman"/>
        </w:rPr>
        <w:t xml:space="preserve">Section </w:t>
      </w:r>
      <w:r w:rsidR="007305E2" w:rsidRPr="007305E2">
        <w:rPr>
          <w:rFonts w:ascii="Times New Roman" w:hAnsi="Times New Roman" w:cs="Times New Roman"/>
        </w:rPr>
        <w:t>1</w:t>
      </w:r>
      <w:r w:rsidRPr="007305E2">
        <w:rPr>
          <w:rFonts w:ascii="Times New Roman" w:hAnsi="Times New Roman" w:cs="Times New Roman"/>
        </w:rPr>
        <w:t xml:space="preserve"> </w:t>
      </w:r>
      <w:r w:rsidR="007305E2" w:rsidRPr="007305E2">
        <w:rPr>
          <w:rFonts w:ascii="Times New Roman" w:hAnsi="Times New Roman" w:cs="Times New Roman"/>
        </w:rPr>
        <w:t>of these Rules, by omitting ‘1966’ and replacing it with ‘2021’, both corrects that historical drafting error and updates section 5</w:t>
      </w:r>
      <w:r w:rsidR="007305E2" w:rsidRPr="007305E2">
        <w:rPr>
          <w:rFonts w:ascii="Times New Roman" w:hAnsi="Times New Roman" w:cs="Times New Roman"/>
        </w:rPr>
        <w:noBreakHyphen/>
        <w:t xml:space="preserve">5 to reflect that the </w:t>
      </w:r>
      <w:r w:rsidR="007305E2" w:rsidRPr="007305E2">
        <w:rPr>
          <w:rFonts w:ascii="Times New Roman" w:hAnsi="Times New Roman" w:cs="Times New Roman"/>
          <w:i/>
        </w:rPr>
        <w:t>Bankruptcy Regulations 1996</w:t>
      </w:r>
      <w:r w:rsidR="007305E2" w:rsidRPr="007305E2">
        <w:rPr>
          <w:rFonts w:ascii="Times New Roman" w:hAnsi="Times New Roman" w:cs="Times New Roman"/>
        </w:rPr>
        <w:t xml:space="preserve"> were replaced by the </w:t>
      </w:r>
      <w:r w:rsidR="007305E2" w:rsidRPr="007305E2">
        <w:rPr>
          <w:rFonts w:ascii="Times New Roman" w:hAnsi="Times New Roman" w:cs="Times New Roman"/>
          <w:i/>
        </w:rPr>
        <w:t>Bankruptcy Regulations 2021</w:t>
      </w:r>
      <w:r w:rsidR="007305E2" w:rsidRPr="007305E2">
        <w:rPr>
          <w:rFonts w:ascii="Times New Roman" w:hAnsi="Times New Roman" w:cs="Times New Roman"/>
        </w:rPr>
        <w:t xml:space="preserve"> on 1 April 2021. This amendment ensures that any references made in the Insolvency Practice Rules (Bankruptcy) 2016 to ‘the Regulations’ are taken to refer to the current and in-force </w:t>
      </w:r>
      <w:r w:rsidR="007305E2" w:rsidRPr="007305E2">
        <w:rPr>
          <w:rFonts w:ascii="Times New Roman" w:hAnsi="Times New Roman" w:cs="Times New Roman"/>
          <w:i/>
        </w:rPr>
        <w:t>Bankruptcy Regulations 2021</w:t>
      </w:r>
      <w:r w:rsidR="007305E2" w:rsidRPr="007305E2">
        <w:rPr>
          <w:rFonts w:ascii="Times New Roman" w:hAnsi="Times New Roman" w:cs="Times New Roman"/>
        </w:rPr>
        <w:t>.</w:t>
      </w:r>
    </w:p>
    <w:p w14:paraId="46FFBE32" w14:textId="157B1FFF" w:rsidR="00AD1049" w:rsidRPr="007305E2" w:rsidRDefault="00AD1049" w:rsidP="00521029">
      <w:pPr>
        <w:spacing w:line="360" w:lineRule="auto"/>
        <w:rPr>
          <w:rFonts w:ascii="Times New Roman" w:hAnsi="Times New Roman" w:cs="Times New Roman"/>
          <w:b/>
          <w:i/>
        </w:rPr>
      </w:pPr>
    </w:p>
    <w:sectPr w:rsidR="00AD1049" w:rsidRPr="007305E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DA386" w14:textId="77777777" w:rsidR="007E5CA6" w:rsidRDefault="007E5CA6" w:rsidP="0002636A">
      <w:pPr>
        <w:spacing w:after="0" w:line="240" w:lineRule="auto"/>
      </w:pPr>
      <w:r>
        <w:separator/>
      </w:r>
    </w:p>
  </w:endnote>
  <w:endnote w:type="continuationSeparator" w:id="0">
    <w:p w14:paraId="36924F0D" w14:textId="77777777" w:rsidR="007E5CA6" w:rsidRDefault="007E5CA6" w:rsidP="0002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3145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BFDD04" w14:textId="77777777" w:rsidR="0002636A" w:rsidRPr="007305E2" w:rsidRDefault="0002636A">
        <w:pPr>
          <w:pStyle w:val="Footer"/>
          <w:jc w:val="right"/>
          <w:rPr>
            <w:rFonts w:ascii="Times New Roman" w:hAnsi="Times New Roman" w:cs="Times New Roman"/>
          </w:rPr>
        </w:pPr>
        <w:r w:rsidRPr="007305E2">
          <w:rPr>
            <w:rFonts w:ascii="Times New Roman" w:hAnsi="Times New Roman" w:cs="Times New Roman"/>
          </w:rPr>
          <w:fldChar w:fldCharType="begin"/>
        </w:r>
        <w:r w:rsidRPr="007305E2">
          <w:rPr>
            <w:rFonts w:ascii="Times New Roman" w:hAnsi="Times New Roman" w:cs="Times New Roman"/>
          </w:rPr>
          <w:instrText xml:space="preserve"> PAGE   \* MERGEFORMAT </w:instrText>
        </w:r>
        <w:r w:rsidRPr="007305E2">
          <w:rPr>
            <w:rFonts w:ascii="Times New Roman" w:hAnsi="Times New Roman" w:cs="Times New Roman"/>
          </w:rPr>
          <w:fldChar w:fldCharType="separate"/>
        </w:r>
        <w:r w:rsidR="005E5CE4">
          <w:rPr>
            <w:rFonts w:ascii="Times New Roman" w:hAnsi="Times New Roman" w:cs="Times New Roman"/>
            <w:noProof/>
          </w:rPr>
          <w:t>1</w:t>
        </w:r>
        <w:r w:rsidRPr="007305E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BFDD05" w14:textId="77777777" w:rsidR="0002636A" w:rsidRDefault="00026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E4B1B" w14:textId="77777777" w:rsidR="007E5CA6" w:rsidRDefault="007E5CA6" w:rsidP="0002636A">
      <w:pPr>
        <w:spacing w:after="0" w:line="240" w:lineRule="auto"/>
      </w:pPr>
      <w:r>
        <w:separator/>
      </w:r>
    </w:p>
  </w:footnote>
  <w:footnote w:type="continuationSeparator" w:id="0">
    <w:p w14:paraId="6FC4ACF9" w14:textId="77777777" w:rsidR="007E5CA6" w:rsidRDefault="007E5CA6" w:rsidP="00026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18E6"/>
    <w:multiLevelType w:val="hybridMultilevel"/>
    <w:tmpl w:val="DA881898"/>
    <w:lvl w:ilvl="0" w:tplc="169A6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494D"/>
    <w:multiLevelType w:val="hybridMultilevel"/>
    <w:tmpl w:val="AA1ED3FE"/>
    <w:lvl w:ilvl="0" w:tplc="169A6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7CCF"/>
    <w:multiLevelType w:val="hybridMultilevel"/>
    <w:tmpl w:val="49DCF656"/>
    <w:lvl w:ilvl="0" w:tplc="95B0FE6E">
      <w:numFmt w:val="bullet"/>
      <w:lvlText w:val="•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01019"/>
    <w:multiLevelType w:val="hybridMultilevel"/>
    <w:tmpl w:val="746CD1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3DF9"/>
    <w:multiLevelType w:val="hybridMultilevel"/>
    <w:tmpl w:val="623C0C0C"/>
    <w:lvl w:ilvl="0" w:tplc="B098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011B4"/>
    <w:multiLevelType w:val="hybridMultilevel"/>
    <w:tmpl w:val="3C4A2FC8"/>
    <w:lvl w:ilvl="0" w:tplc="D55229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2FFA"/>
    <w:multiLevelType w:val="hybridMultilevel"/>
    <w:tmpl w:val="AE604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B7A8D"/>
    <w:multiLevelType w:val="hybridMultilevel"/>
    <w:tmpl w:val="96D85228"/>
    <w:lvl w:ilvl="0" w:tplc="95B0FE6E">
      <w:numFmt w:val="bullet"/>
      <w:lvlText w:val="•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C665A"/>
    <w:multiLevelType w:val="hybridMultilevel"/>
    <w:tmpl w:val="890E8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E484B"/>
    <w:multiLevelType w:val="hybridMultilevel"/>
    <w:tmpl w:val="BDC49336"/>
    <w:lvl w:ilvl="0" w:tplc="169A6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EE5CC7EA">
      <w:start w:val="1"/>
      <w:numFmt w:val="lowerLetter"/>
      <w:lvlText w:val="(%3)"/>
      <w:lvlJc w:val="left"/>
      <w:pPr>
        <w:ind w:left="1778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F172E"/>
    <w:multiLevelType w:val="hybridMultilevel"/>
    <w:tmpl w:val="0814488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250C5"/>
    <w:multiLevelType w:val="hybridMultilevel"/>
    <w:tmpl w:val="96DAD556"/>
    <w:lvl w:ilvl="0" w:tplc="B09831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0931BC"/>
    <w:multiLevelType w:val="hybridMultilevel"/>
    <w:tmpl w:val="4DDC4CD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62741"/>
    <w:multiLevelType w:val="hybridMultilevel"/>
    <w:tmpl w:val="569AEB26"/>
    <w:lvl w:ilvl="0" w:tplc="886652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335FE"/>
    <w:multiLevelType w:val="hybridMultilevel"/>
    <w:tmpl w:val="4574E45A"/>
    <w:lvl w:ilvl="0" w:tplc="7988EC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DD0D1A"/>
    <w:multiLevelType w:val="hybridMultilevel"/>
    <w:tmpl w:val="A5F63E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F0225"/>
    <w:multiLevelType w:val="hybridMultilevel"/>
    <w:tmpl w:val="C72ED0B6"/>
    <w:lvl w:ilvl="0" w:tplc="B098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5"/>
  </w:num>
  <w:num w:numId="5">
    <w:abstractNumId w:val="3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5"/>
  </w:num>
  <w:num w:numId="14">
    <w:abstractNumId w:val="6"/>
  </w:num>
  <w:num w:numId="15">
    <w:abstractNumId w:val="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69"/>
    <w:rsid w:val="00001A39"/>
    <w:rsid w:val="00012AD6"/>
    <w:rsid w:val="0002636A"/>
    <w:rsid w:val="000415BA"/>
    <w:rsid w:val="00043840"/>
    <w:rsid w:val="00062ED0"/>
    <w:rsid w:val="0006613F"/>
    <w:rsid w:val="00092565"/>
    <w:rsid w:val="000A66BD"/>
    <w:rsid w:val="000E1EA1"/>
    <w:rsid w:val="000E2C80"/>
    <w:rsid w:val="000F0FB1"/>
    <w:rsid w:val="0010364C"/>
    <w:rsid w:val="00106CBA"/>
    <w:rsid w:val="00132863"/>
    <w:rsid w:val="001469C7"/>
    <w:rsid w:val="00154606"/>
    <w:rsid w:val="0017632E"/>
    <w:rsid w:val="00186EFA"/>
    <w:rsid w:val="00187A90"/>
    <w:rsid w:val="00195A18"/>
    <w:rsid w:val="001C1C01"/>
    <w:rsid w:val="001C4696"/>
    <w:rsid w:val="001D3031"/>
    <w:rsid w:val="00245CC2"/>
    <w:rsid w:val="0026109C"/>
    <w:rsid w:val="00262B9E"/>
    <w:rsid w:val="00282B41"/>
    <w:rsid w:val="002B361E"/>
    <w:rsid w:val="002C5B76"/>
    <w:rsid w:val="002D73A9"/>
    <w:rsid w:val="002E2783"/>
    <w:rsid w:val="00303024"/>
    <w:rsid w:val="003516FD"/>
    <w:rsid w:val="00380586"/>
    <w:rsid w:val="00381AEC"/>
    <w:rsid w:val="003B6050"/>
    <w:rsid w:val="003C2409"/>
    <w:rsid w:val="003C6789"/>
    <w:rsid w:val="004053C1"/>
    <w:rsid w:val="00413FE5"/>
    <w:rsid w:val="004518A4"/>
    <w:rsid w:val="004709FE"/>
    <w:rsid w:val="00482E81"/>
    <w:rsid w:val="0049094A"/>
    <w:rsid w:val="004A0438"/>
    <w:rsid w:val="004A2907"/>
    <w:rsid w:val="004A4086"/>
    <w:rsid w:val="004B3C03"/>
    <w:rsid w:val="004D2999"/>
    <w:rsid w:val="004F430F"/>
    <w:rsid w:val="0050398F"/>
    <w:rsid w:val="00521029"/>
    <w:rsid w:val="005660BD"/>
    <w:rsid w:val="00566C9B"/>
    <w:rsid w:val="005D194A"/>
    <w:rsid w:val="005E5CE4"/>
    <w:rsid w:val="0063239B"/>
    <w:rsid w:val="00634AE9"/>
    <w:rsid w:val="00635C6A"/>
    <w:rsid w:val="00670C8D"/>
    <w:rsid w:val="00674543"/>
    <w:rsid w:val="00690C52"/>
    <w:rsid w:val="006A0D58"/>
    <w:rsid w:val="007305E2"/>
    <w:rsid w:val="007B7195"/>
    <w:rsid w:val="007E5CA6"/>
    <w:rsid w:val="007F1D53"/>
    <w:rsid w:val="00813BE1"/>
    <w:rsid w:val="00843579"/>
    <w:rsid w:val="00872B27"/>
    <w:rsid w:val="00884AFC"/>
    <w:rsid w:val="00894D9D"/>
    <w:rsid w:val="008B2955"/>
    <w:rsid w:val="00902F3D"/>
    <w:rsid w:val="00911332"/>
    <w:rsid w:val="009227B6"/>
    <w:rsid w:val="00957401"/>
    <w:rsid w:val="009601BB"/>
    <w:rsid w:val="009B1F88"/>
    <w:rsid w:val="009B5AE1"/>
    <w:rsid w:val="009B6322"/>
    <w:rsid w:val="009C0BE2"/>
    <w:rsid w:val="009D2B82"/>
    <w:rsid w:val="00AB3F89"/>
    <w:rsid w:val="00AC39E5"/>
    <w:rsid w:val="00AD1049"/>
    <w:rsid w:val="00AF0C63"/>
    <w:rsid w:val="00AF673F"/>
    <w:rsid w:val="00B273E1"/>
    <w:rsid w:val="00B427D5"/>
    <w:rsid w:val="00B572F1"/>
    <w:rsid w:val="00B57503"/>
    <w:rsid w:val="00B828BC"/>
    <w:rsid w:val="00BA3F3C"/>
    <w:rsid w:val="00C16B35"/>
    <w:rsid w:val="00C41A14"/>
    <w:rsid w:val="00C46F6D"/>
    <w:rsid w:val="00C858F4"/>
    <w:rsid w:val="00CC4192"/>
    <w:rsid w:val="00CE6485"/>
    <w:rsid w:val="00CF14E3"/>
    <w:rsid w:val="00D51A2A"/>
    <w:rsid w:val="00D86815"/>
    <w:rsid w:val="00DB2DA6"/>
    <w:rsid w:val="00DB54AF"/>
    <w:rsid w:val="00E0689A"/>
    <w:rsid w:val="00E23B2F"/>
    <w:rsid w:val="00E44073"/>
    <w:rsid w:val="00E81349"/>
    <w:rsid w:val="00ED357E"/>
    <w:rsid w:val="00F07B6A"/>
    <w:rsid w:val="00F1046F"/>
    <w:rsid w:val="00F10A91"/>
    <w:rsid w:val="00F11561"/>
    <w:rsid w:val="00F26896"/>
    <w:rsid w:val="00F33269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DCC5"/>
  <w15:docId w15:val="{47051BD3-41E7-476F-854F-A00E22A0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C8D"/>
    <w:pPr>
      <w:keepNext/>
      <w:spacing w:before="240" w:after="60"/>
      <w:outlineLvl w:val="0"/>
    </w:pPr>
    <w:rPr>
      <w:rFonts w:ascii="Cambria" w:eastAsia="Times New Roman" w:hAnsi="Cambria" w:cs="Times New Roman"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1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719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0C8D"/>
    <w:rPr>
      <w:rFonts w:ascii="Cambria" w:eastAsia="Times New Roman" w:hAnsi="Cambria" w:cs="Times New Roman"/>
      <w:bCs/>
      <w:caps/>
      <w:kern w:val="32"/>
      <w:sz w:val="32"/>
      <w:szCs w:val="32"/>
    </w:rPr>
  </w:style>
  <w:style w:type="paragraph" w:customStyle="1" w:styleId="Paragraph">
    <w:name w:val="Paragraph"/>
    <w:basedOn w:val="Normal"/>
    <w:link w:val="ParagraphChar"/>
    <w:uiPriority w:val="99"/>
    <w:rsid w:val="00C16B35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aragraphChar">
    <w:name w:val="Paragraph Char"/>
    <w:link w:val="Paragraph"/>
    <w:uiPriority w:val="99"/>
    <w:rsid w:val="00C16B3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1D3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36A"/>
  </w:style>
  <w:style w:type="paragraph" w:styleId="Footer">
    <w:name w:val="footer"/>
    <w:basedOn w:val="Normal"/>
    <w:link w:val="FooterChar"/>
    <w:uiPriority w:val="99"/>
    <w:unhideWhenUsed/>
    <w:rsid w:val="0002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6A"/>
  </w:style>
  <w:style w:type="character" w:customStyle="1" w:styleId="Heading2Char">
    <w:name w:val="Heading 2 Char"/>
    <w:basedOn w:val="DefaultParagraphFont"/>
    <w:link w:val="Heading2"/>
    <w:uiPriority w:val="9"/>
    <w:semiHidden/>
    <w:rsid w:val="003030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ullet">
    <w:name w:val="bullet"/>
    <w:basedOn w:val="Normal"/>
    <w:rsid w:val="002D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78E21D0-E360-41EB-B674-AF33197FAD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040ABCD58D3F74A94AFA47384C288F1" ma:contentTypeVersion="" ma:contentTypeDescription="PDMS Document Site Content Type" ma:contentTypeScope="" ma:versionID="2c25b5ad7a40eb358ff4042542c72d08">
  <xsd:schema xmlns:xsd="http://www.w3.org/2001/XMLSchema" xmlns:xs="http://www.w3.org/2001/XMLSchema" xmlns:p="http://schemas.microsoft.com/office/2006/metadata/properties" xmlns:ns2="D78E21D0-E360-41EB-B674-AF33197FAD1E" targetNamespace="http://schemas.microsoft.com/office/2006/metadata/properties" ma:root="true" ma:fieldsID="cdb2bae87c52db51f76d3185cc82473c" ns2:_="">
    <xsd:import namespace="D78E21D0-E360-41EB-B674-AF33197FAD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E21D0-E360-41EB-B674-AF33197FAD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7741-5064-4B22-9046-019017FF8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4A69D-22E8-43A8-BB0F-D8E8F3411D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8E21D0-E360-41EB-B674-AF33197FAD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8D4A9A-8DB4-4A31-9150-D85A6AEEC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E21D0-E360-41EB-B674-AF33197FA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C4048-6678-464B-8D66-4D265323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4190</Characters>
  <Application>Microsoft Office Word</Application>
  <DocSecurity>4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tayloh</dc:creator>
  <cp:lastModifiedBy>Cody, Alistair</cp:lastModifiedBy>
  <cp:revision>2</cp:revision>
  <dcterms:created xsi:type="dcterms:W3CDTF">2021-03-16T04:39:00Z</dcterms:created>
  <dcterms:modified xsi:type="dcterms:W3CDTF">2021-03-16T04:39:00Z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0x010100266966F133664895A6EE3632470D45F500E040ABCD58D3F74A94AFA47384C288F1</vt:lpwstr>
  </property>
  <property fmtid="{D5CDD505-2E9C-101B-9397-08002B2CF9AE}" pid="3" name="Order">
    <vt:r8>1900</vt:r8>
  </property>
  <property fmtid="{D5CDD505-2E9C-101B-9397-08002B2CF9AE}" pid="4" name="xd_ProgID">
    <vt:lpwstr/>
  </property>
  <property fmtid="{D5CDD505-2E9C-101B-9397-08002B2CF9AE}" pid="5" name="_CopySource">
    <vt:lpwstr>http://teams.agdnet.ag.gov.au/projects/LegislationToolbox/Templates/ExCo Legislative Instrument Explanatory Statement Template.DOCX</vt:lpwstr>
  </property>
  <property fmtid="{D5CDD505-2E9C-101B-9397-08002B2CF9AE}" pid="6" name="TemplateUrl">
    <vt:lpwstr/>
  </property>
</Properties>
</file>