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72441"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1568636"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8E35718BDEA548CC857309013F6655AE"/>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E474E4">
            <w:rPr>
              <w:sz w:val="24"/>
              <w:szCs w:val="24"/>
            </w:rPr>
            <w:t>Treasurer</w:t>
          </w:r>
        </w:sdtContent>
      </w:sdt>
    </w:p>
    <w:p w14:paraId="4F67B316" w14:textId="7E703852" w:rsidR="00F109D4" w:rsidRDefault="00E474E4" w:rsidP="003C7907">
      <w:pPr>
        <w:spacing w:before="240" w:after="240"/>
        <w:jc w:val="center"/>
        <w:rPr>
          <w:i/>
        </w:rPr>
      </w:pPr>
      <w:r>
        <w:rPr>
          <w:i/>
        </w:rPr>
        <w:t>National Consumer Credit Protection (</w:t>
      </w:r>
      <w:r w:rsidR="0061292F">
        <w:rPr>
          <w:i/>
        </w:rPr>
        <w:t>Transitional and Consequential Provisions) Act 2009</w:t>
      </w:r>
    </w:p>
    <w:p w14:paraId="584E3B4B" w14:textId="322DAE22" w:rsidR="00F109D4" w:rsidRPr="00503E44" w:rsidRDefault="0061292F" w:rsidP="00AA1689">
      <w:pPr>
        <w:tabs>
          <w:tab w:val="left" w:pos="1418"/>
        </w:tabs>
        <w:spacing w:before="0" w:after="240"/>
        <w:jc w:val="center"/>
        <w:rPr>
          <w:i/>
        </w:rPr>
      </w:pPr>
      <w:r>
        <w:rPr>
          <w:i/>
        </w:rPr>
        <w:t>National Consumer Credit Protection (Transitional and Consequential Provisions) Regulations 2021</w:t>
      </w:r>
    </w:p>
    <w:p w14:paraId="6266DA03" w14:textId="1D7E0A12" w:rsidR="000B2ECC" w:rsidRDefault="001022E0" w:rsidP="000B2ECC">
      <w:pPr>
        <w:spacing w:before="240"/>
      </w:pPr>
      <w:r>
        <w:t xml:space="preserve">Section 6 of the </w:t>
      </w:r>
      <w:r w:rsidR="00E474E4">
        <w:rPr>
          <w:i/>
        </w:rPr>
        <w:t>National Consumer Credit Protection (</w:t>
      </w:r>
      <w:r w:rsidR="0061292F">
        <w:rPr>
          <w:i/>
        </w:rPr>
        <w:t>Transitional and Consequential Provisions) Act 2009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r w:rsidR="000B2ECC" w:rsidRPr="000B2ECC">
        <w:t xml:space="preserve"> </w:t>
      </w:r>
    </w:p>
    <w:p w14:paraId="0F510A6B" w14:textId="426C0D83" w:rsidR="008714D5" w:rsidRDefault="00CF78E0" w:rsidP="007916BC">
      <w:pPr>
        <w:spacing w:before="240"/>
      </w:pPr>
      <w:r>
        <w:t xml:space="preserve">The purpose of the </w:t>
      </w:r>
      <w:r w:rsidR="003344E7" w:rsidRPr="0093438C">
        <w:rPr>
          <w:i/>
        </w:rPr>
        <w:t>National Consumer Credit Protection (Transitional and Consequential Provisions) Regulations 2021</w:t>
      </w:r>
      <w:r w:rsidR="004730CB">
        <w:t xml:space="preserve"> </w:t>
      </w:r>
      <w:r>
        <w:t xml:space="preserve">(the </w:t>
      </w:r>
      <w:r w:rsidRPr="0023654A">
        <w:t>Regulations</w:t>
      </w:r>
      <w:r w:rsidRPr="00657677">
        <w:t>)</w:t>
      </w:r>
      <w:r>
        <w:t xml:space="preserve"> </w:t>
      </w:r>
      <w:r w:rsidR="000855B0">
        <w:t>is to implement in full the Government’s response to recommendation 1.3 of the Royal Commission into Misconduct in the Banking, Superannuation and Financial Services Industry (Financial S</w:t>
      </w:r>
      <w:r w:rsidR="00DE5B1C">
        <w:t>ervices Royal Commission). The R</w:t>
      </w:r>
      <w:r w:rsidR="000855B0">
        <w:t xml:space="preserve">egulations apply </w:t>
      </w:r>
      <w:r w:rsidR="005A75A2">
        <w:t xml:space="preserve">the ban on conflicted remuneration for mortgage brokers and mortgage intermediaries to benefits given </w:t>
      </w:r>
      <w:r w:rsidR="005A75A2" w:rsidRPr="005A75A2">
        <w:t>under arrangements made prior to 1 July 2020</w:t>
      </w:r>
      <w:r w:rsidR="00FB2A04">
        <w:t>, regardless of when the</w:t>
      </w:r>
      <w:r w:rsidR="005D6DB9">
        <w:t xml:space="preserve"> arrangement under which the benefits are given was entered into</w:t>
      </w:r>
      <w:r w:rsidR="005A75A2">
        <w:t xml:space="preserve">. </w:t>
      </w:r>
    </w:p>
    <w:p w14:paraId="0549AA50" w14:textId="0DB939FD" w:rsidR="00DB4B50" w:rsidRDefault="00E117ED" w:rsidP="001B0743">
      <w:pPr>
        <w:spacing w:before="240"/>
      </w:pPr>
      <w:r>
        <w:t>The Final Report of the Financial Services Royal Commission considere</w:t>
      </w:r>
      <w:r w:rsidR="007252C8">
        <w:t>d mortgage broking in Australia</w:t>
      </w:r>
      <w:r>
        <w:t xml:space="preserve"> and made</w:t>
      </w:r>
      <w:r w:rsidR="00483F33">
        <w:t xml:space="preserve"> a</w:t>
      </w:r>
      <w:r>
        <w:t xml:space="preserve"> recommendation in relation</w:t>
      </w:r>
      <w:r w:rsidR="008421A4">
        <w:t xml:space="preserve"> to</w:t>
      </w:r>
      <w:bookmarkStart w:id="0" w:name="_GoBack"/>
      <w:bookmarkEnd w:id="0"/>
      <w:r>
        <w:t xml:space="preserve"> </w:t>
      </w:r>
      <w:r w:rsidR="00020213">
        <w:t>mortgage</w:t>
      </w:r>
      <w:r w:rsidR="00F11C05">
        <w:t xml:space="preserve"> broker remuneration</w:t>
      </w:r>
      <w:r w:rsidR="007252C8">
        <w:t>.</w:t>
      </w:r>
      <w:r>
        <w:t xml:space="preserve"> </w:t>
      </w:r>
      <w:r w:rsidR="00D6359D">
        <w:t>On 4 February 2019, the Government announced the reforms</w:t>
      </w:r>
      <w:r w:rsidR="00291B11">
        <w:t xml:space="preserve"> </w:t>
      </w:r>
      <w:r w:rsidR="00530B8B">
        <w:t>in</w:t>
      </w:r>
      <w:r w:rsidR="00DB4B50">
        <w:t xml:space="preserve"> response to the </w:t>
      </w:r>
      <w:r w:rsidR="00EB6F83">
        <w:t xml:space="preserve">Final report of the </w:t>
      </w:r>
      <w:r w:rsidR="00DB4B50">
        <w:t>Fina</w:t>
      </w:r>
      <w:r w:rsidR="00401217">
        <w:t>ncial Services Royal Commission. I</w:t>
      </w:r>
      <w:r w:rsidR="00DB4B50">
        <w:t xml:space="preserve">n the response, the Government </w:t>
      </w:r>
      <w:r w:rsidR="00874E97">
        <w:t>committed to addressing conflicted remuneration for mortgage brokers.</w:t>
      </w:r>
      <w:r w:rsidR="00AE3F98">
        <w:t xml:space="preserve"> In February 2020,</w:t>
      </w:r>
      <w:r w:rsidR="00874E97">
        <w:t xml:space="preserve"> </w:t>
      </w:r>
      <w:r w:rsidR="00E42589">
        <w:t xml:space="preserve">to give effect to </w:t>
      </w:r>
      <w:r w:rsidR="00F11C05">
        <w:t xml:space="preserve">the Government’s </w:t>
      </w:r>
      <w:r w:rsidR="00E42589">
        <w:t xml:space="preserve">response, </w:t>
      </w:r>
      <w:r w:rsidR="00AE3F98">
        <w:t xml:space="preserve">Schedule 3 </w:t>
      </w:r>
      <w:r w:rsidR="00AC1481">
        <w:t>to</w:t>
      </w:r>
      <w:r w:rsidR="00AE3F98">
        <w:t xml:space="preserve"> the</w:t>
      </w:r>
      <w:r w:rsidR="00AE3F98" w:rsidRPr="00CD723C">
        <w:t xml:space="preserve"> </w:t>
      </w:r>
      <w:r w:rsidR="00AE3F98">
        <w:rPr>
          <w:i/>
        </w:rPr>
        <w:t>Fi</w:t>
      </w:r>
      <w:r w:rsidR="00AE3F98" w:rsidRPr="00CD723C">
        <w:rPr>
          <w:i/>
        </w:rPr>
        <w:t>n</w:t>
      </w:r>
      <w:r w:rsidR="00AE3F98">
        <w:rPr>
          <w:i/>
        </w:rPr>
        <w:t>ancial Sector Reform (Hayne Royal Commission Response– Protecting Consumers (2019 Measures)) Act 2020</w:t>
      </w:r>
      <w:r w:rsidR="00AE3F98">
        <w:t xml:space="preserve"> introduced a ban on conflicted remuneration</w:t>
      </w:r>
      <w:r w:rsidR="00472D05">
        <w:t xml:space="preserve"> </w:t>
      </w:r>
      <w:r w:rsidR="006B0817">
        <w:t xml:space="preserve">by inserting </w:t>
      </w:r>
      <w:r w:rsidR="00C56982">
        <w:t>Division 4 of Part 3</w:t>
      </w:r>
      <w:r w:rsidR="00252568">
        <w:t>-</w:t>
      </w:r>
      <w:r w:rsidR="00C56982">
        <w:t xml:space="preserve">5A </w:t>
      </w:r>
      <w:r w:rsidR="00756293">
        <w:t>into</w:t>
      </w:r>
      <w:r w:rsidR="00C56982">
        <w:t xml:space="preserve"> the </w:t>
      </w:r>
      <w:r w:rsidR="00C56982">
        <w:rPr>
          <w:i/>
        </w:rPr>
        <w:t>National Consumer Credit Protection Act 2009</w:t>
      </w:r>
      <w:r w:rsidR="00225B7D">
        <w:t xml:space="preserve"> </w:t>
      </w:r>
      <w:r w:rsidR="006B0817">
        <w:t xml:space="preserve">and Schedule 10 </w:t>
      </w:r>
      <w:r w:rsidR="00756293">
        <w:t>in</w:t>
      </w:r>
      <w:r w:rsidR="006B0817">
        <w:t>to the Act</w:t>
      </w:r>
      <w:r w:rsidR="00225B7D">
        <w:t>.</w:t>
      </w:r>
    </w:p>
    <w:p w14:paraId="438AFC9B" w14:textId="108A64BB" w:rsidR="00233A9B" w:rsidRDefault="00AD4AAB" w:rsidP="00BD0A6A">
      <w:pPr>
        <w:spacing w:before="240"/>
      </w:pPr>
      <w:r w:rsidRPr="00CD723C">
        <w:t xml:space="preserve">The Regulations build on </w:t>
      </w:r>
      <w:r w:rsidR="00CD723C" w:rsidRPr="00CD723C">
        <w:t>the</w:t>
      </w:r>
      <w:r w:rsidR="00D7568C">
        <w:t xml:space="preserve"> amendments made by the</w:t>
      </w:r>
      <w:r w:rsidR="00CD723C" w:rsidRPr="00CD723C">
        <w:t xml:space="preserve"> </w:t>
      </w:r>
      <w:r w:rsidR="00CD723C">
        <w:rPr>
          <w:i/>
        </w:rPr>
        <w:t>Fi</w:t>
      </w:r>
      <w:r w:rsidR="00CD723C" w:rsidRPr="00CD723C">
        <w:rPr>
          <w:i/>
        </w:rPr>
        <w:t>n</w:t>
      </w:r>
      <w:r w:rsidR="00CD723C">
        <w:rPr>
          <w:i/>
        </w:rPr>
        <w:t>ancial Sector Reform (</w:t>
      </w:r>
      <w:r w:rsidR="00451D14">
        <w:rPr>
          <w:i/>
        </w:rPr>
        <w:t>Hayne Royal Commission Response</w:t>
      </w:r>
      <w:r w:rsidR="00CD723C">
        <w:rPr>
          <w:i/>
        </w:rPr>
        <w:t>– Protecting Cons</w:t>
      </w:r>
      <w:r w:rsidR="00CF702A">
        <w:rPr>
          <w:i/>
        </w:rPr>
        <w:t xml:space="preserve">umers (2019 Measures)) Act 2020. </w:t>
      </w:r>
      <w:r w:rsidR="00CF702A">
        <w:t xml:space="preserve">Those amendments </w:t>
      </w:r>
      <w:r w:rsidR="00CD723C">
        <w:t xml:space="preserve">established </w:t>
      </w:r>
      <w:r w:rsidR="00472D05">
        <w:t xml:space="preserve">a prohibition </w:t>
      </w:r>
      <w:r w:rsidR="00171676">
        <w:t>on giving or receiving conflicted remuneration for certain persons including mortgage brokers, mortgage intermediaries and credit representatives (</w:t>
      </w:r>
      <w:r w:rsidR="00756293">
        <w:t>who</w:t>
      </w:r>
      <w:r w:rsidR="00171676">
        <w:t xml:space="preserve"> are mortgage brokers or m</w:t>
      </w:r>
      <w:r w:rsidR="00F66C0B">
        <w:t>ortgage intermediaries)</w:t>
      </w:r>
      <w:r w:rsidR="00B07AE3">
        <w:t xml:space="preserve">. Additionally, that Act </w:t>
      </w:r>
      <w:r w:rsidR="00472D05" w:rsidRPr="00472D05">
        <w:t>provides that the ban on conflicted remuneration applies to benefits</w:t>
      </w:r>
      <w:r w:rsidR="00767CE5" w:rsidRPr="00472D05">
        <w:t xml:space="preserve"> given under arrangements entered into</w:t>
      </w:r>
      <w:r w:rsidR="00F66C0B" w:rsidRPr="00472D05">
        <w:t xml:space="preserve"> </w:t>
      </w:r>
      <w:r w:rsidR="00363D73" w:rsidRPr="00472D05">
        <w:t>on or after</w:t>
      </w:r>
      <w:r w:rsidR="00F66C0B" w:rsidRPr="00472D05">
        <w:t xml:space="preserve"> 1 J</w:t>
      </w:r>
      <w:r w:rsidR="00377D85" w:rsidRPr="00472D05">
        <w:t>uly 2</w:t>
      </w:r>
      <w:r w:rsidR="00401217" w:rsidRPr="00472D05">
        <w:t>020</w:t>
      </w:r>
      <w:r w:rsidR="00E67BE7">
        <w:t xml:space="preserve">. </w:t>
      </w:r>
    </w:p>
    <w:p w14:paraId="65EE93F8" w14:textId="79E78C4A" w:rsidR="0062484D" w:rsidRDefault="00BF7EDB" w:rsidP="00BD0A6A">
      <w:pPr>
        <w:spacing w:before="240"/>
      </w:pPr>
      <w:r>
        <w:t xml:space="preserve">The Regulations </w:t>
      </w:r>
      <w:r w:rsidR="000855B0">
        <w:t>prescribe</w:t>
      </w:r>
      <w:r w:rsidR="00472D05">
        <w:t xml:space="preserve"> circumstances </w:t>
      </w:r>
      <w:r w:rsidR="005D6DB9">
        <w:t xml:space="preserve">in which </w:t>
      </w:r>
      <w:r w:rsidR="00472D05">
        <w:t xml:space="preserve">the ban on conflicted remuneration </w:t>
      </w:r>
      <w:r w:rsidR="005D6DB9">
        <w:t>applies</w:t>
      </w:r>
      <w:r w:rsidR="00472D05">
        <w:t>.</w:t>
      </w:r>
      <w:r w:rsidR="0062484D">
        <w:t xml:space="preserve"> In particular, the Regulations prescribe that </w:t>
      </w:r>
      <w:r w:rsidR="00166036">
        <w:t xml:space="preserve">the ban applies to </w:t>
      </w:r>
      <w:r w:rsidR="0062484D">
        <w:t xml:space="preserve">any benefit </w:t>
      </w:r>
      <w:r w:rsidR="00404DE9">
        <w:t xml:space="preserve">given or </w:t>
      </w:r>
      <w:r w:rsidR="0062484D">
        <w:t>received after the Regulations commence</w:t>
      </w:r>
      <w:r w:rsidR="00404DE9">
        <w:t xml:space="preserve">, even if the benefits are given under </w:t>
      </w:r>
      <w:r w:rsidR="006F4C5A">
        <w:t xml:space="preserve">an </w:t>
      </w:r>
      <w:r w:rsidR="00404DE9">
        <w:t xml:space="preserve">arrangement made prior to 1 July 2020. </w:t>
      </w:r>
    </w:p>
    <w:p w14:paraId="213056DC" w14:textId="52CB47FB" w:rsidR="00C37E05" w:rsidRDefault="005E4B9D" w:rsidP="002C226C">
      <w:pPr>
        <w:spacing w:before="240"/>
      </w:pPr>
      <w:r>
        <w:lastRenderedPageBreak/>
        <w:t xml:space="preserve">The Act does not specify any conditions that need to be met before the power to make the Regulations is exercised. </w:t>
      </w:r>
    </w:p>
    <w:p w14:paraId="5680F409" w14:textId="15DD666C" w:rsidR="0088467C" w:rsidRDefault="00E474E4" w:rsidP="00647BB7">
      <w:pPr>
        <w:spacing w:before="240"/>
      </w:pPr>
      <w:r>
        <w:t>No public consultation was undertaken</w:t>
      </w:r>
      <w:r w:rsidR="000E543C">
        <w:t xml:space="preserve"> on the Regulations as they ensure the ban on conflicted remuneration provisions operate to provide the intended outcome</w:t>
      </w:r>
      <w:r w:rsidR="00732BF9">
        <w:t xml:space="preserve"> as announced by the Government</w:t>
      </w:r>
      <w:r w:rsidR="000E543C">
        <w:t>.</w:t>
      </w:r>
    </w:p>
    <w:p w14:paraId="51FEBA40" w14:textId="5556FFAD" w:rsidR="00A85900" w:rsidRDefault="005A6413" w:rsidP="002C226C">
      <w:pPr>
        <w:spacing w:before="240"/>
      </w:pPr>
      <w:r w:rsidRPr="005A6413">
        <w:t xml:space="preserve">The Legislative and Governance Forum for Corporations has </w:t>
      </w:r>
      <w:r w:rsidR="005A75A2">
        <w:t>been notified of</w:t>
      </w:r>
      <w:r w:rsidRPr="005A6413">
        <w:t xml:space="preserve"> the Regulations.</w:t>
      </w:r>
    </w:p>
    <w:p w14:paraId="2C1EED5D" w14:textId="77777777"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E474E4">
        <w:rPr>
          <w:u w:val="single"/>
        </w:rPr>
        <w:t>A</w:t>
      </w:r>
      <w:r w:rsidR="00E474E4">
        <w:t xml:space="preserve">. </w:t>
      </w:r>
    </w:p>
    <w:p w14:paraId="3984D86F" w14:textId="77777777"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386FF763" w14:textId="18701992" w:rsidR="009143A0" w:rsidRDefault="00252D4B" w:rsidP="00647BB7">
      <w:pPr>
        <w:spacing w:before="240"/>
      </w:pPr>
      <w:r>
        <w:t>The Regulations commence</w:t>
      </w:r>
      <w:r w:rsidR="00F109D4" w:rsidRPr="00503E44">
        <w:t xml:space="preserve"> on </w:t>
      </w:r>
      <w:r w:rsidR="007252C8">
        <w:t xml:space="preserve">the day after registration. </w:t>
      </w:r>
    </w:p>
    <w:p w14:paraId="1F91C1A5" w14:textId="662EECC5" w:rsidR="00B03215" w:rsidRPr="00647BB7" w:rsidRDefault="00B03215" w:rsidP="00647BB7">
      <w:pPr>
        <w:spacing w:before="240"/>
        <w:rPr>
          <w:i/>
        </w:rPr>
      </w:pPr>
      <w:r>
        <w:t>The Regulations have no impact on compliance costs.</w:t>
      </w:r>
    </w:p>
    <w:p w14:paraId="3A725B5F" w14:textId="4FB99DD4" w:rsidR="00EB2AEF" w:rsidRDefault="00EB2AEF" w:rsidP="00647BB7">
      <w:pPr>
        <w:spacing w:before="240"/>
      </w:pPr>
      <w:r>
        <w:t xml:space="preserve">A statement of Compatibility with Human Rights is at </w:t>
      </w:r>
      <w:r w:rsidRPr="000B39A1">
        <w:rPr>
          <w:u w:val="single"/>
        </w:rPr>
        <w:t xml:space="preserve">Attachment </w:t>
      </w:r>
      <w:r w:rsidR="008C4FD8">
        <w:rPr>
          <w:u w:val="single"/>
        </w:rPr>
        <w:t>B</w:t>
      </w:r>
      <w:r w:rsidR="000B39A1" w:rsidRPr="000B39A1">
        <w:t>.</w:t>
      </w:r>
    </w:p>
    <w:p w14:paraId="2B8D4924" w14:textId="37B45096" w:rsidR="00EA4DD8" w:rsidRDefault="00EA4DD8" w:rsidP="00EA4DD8">
      <w:pPr>
        <w:pageBreakBefore/>
        <w:spacing w:before="240"/>
        <w:jc w:val="right"/>
        <w:rPr>
          <w:b/>
          <w:u w:val="single"/>
        </w:rPr>
      </w:pPr>
      <w:r w:rsidRPr="007B335E">
        <w:rPr>
          <w:b/>
          <w:u w:val="single"/>
        </w:rPr>
        <w:lastRenderedPageBreak/>
        <w:t xml:space="preserve">ATTACHMENT </w:t>
      </w:r>
      <w:r w:rsidR="008C4FD8">
        <w:rPr>
          <w:b/>
          <w:u w:val="single"/>
        </w:rPr>
        <w:t>A</w:t>
      </w:r>
    </w:p>
    <w:p w14:paraId="4E47B4CC" w14:textId="059B736E" w:rsidR="00C334A7" w:rsidRPr="00C334A7" w:rsidRDefault="00EA4DD8" w:rsidP="00C334A7">
      <w:pPr>
        <w:spacing w:before="240"/>
        <w:ind w:right="91"/>
        <w:rPr>
          <w:b/>
          <w:i/>
          <w:u w:val="single"/>
        </w:rPr>
      </w:pPr>
      <w:r>
        <w:rPr>
          <w:b/>
          <w:bCs/>
          <w:u w:val="single"/>
        </w:rPr>
        <w:t xml:space="preserve">Details of the </w:t>
      </w:r>
      <w:r w:rsidR="00C334A7" w:rsidRPr="00952557">
        <w:rPr>
          <w:b/>
          <w:u w:val="single"/>
        </w:rPr>
        <w:t>National Consumer Credit Protection (Transitional and Consequential Provisions) Regulations 2021</w:t>
      </w:r>
    </w:p>
    <w:p w14:paraId="1C0914DE" w14:textId="77777777" w:rsidR="00EA4DD8" w:rsidRDefault="00EA4DD8" w:rsidP="00952557">
      <w:pPr>
        <w:spacing w:before="240"/>
        <w:ind w:right="91"/>
        <w:rPr>
          <w:rFonts w:ascii="Calibri" w:hAnsi="Calibri"/>
          <w:sz w:val="22"/>
          <w:szCs w:val="22"/>
          <w:u w:val="single"/>
          <w:lang w:eastAsia="en-US"/>
        </w:rPr>
      </w:pPr>
      <w:r>
        <w:rPr>
          <w:u w:val="single"/>
        </w:rPr>
        <w:t>Section 1 – Name of the Regulations</w:t>
      </w:r>
    </w:p>
    <w:p w14:paraId="237246FE" w14:textId="180803CF" w:rsidR="00EA4DD8" w:rsidRDefault="00EA4DD8" w:rsidP="00B7161A">
      <w:pPr>
        <w:spacing w:before="240"/>
      </w:pPr>
      <w:r>
        <w:t xml:space="preserve">This section provides that the name of the Regulations is the </w:t>
      </w:r>
      <w:r w:rsidR="00C334A7" w:rsidRPr="00C334A7">
        <w:rPr>
          <w:i/>
        </w:rPr>
        <w:t>National Consumer Credit Protection (Transitional and Consequential Provisions) Regulations 2021</w:t>
      </w:r>
      <w:r>
        <w:t>.</w:t>
      </w:r>
    </w:p>
    <w:p w14:paraId="721A368B" w14:textId="77777777" w:rsidR="00EA4DD8" w:rsidRDefault="00EA4DD8" w:rsidP="00EA4DD8">
      <w:pPr>
        <w:spacing w:before="240"/>
        <w:ind w:right="91"/>
        <w:rPr>
          <w:u w:val="single"/>
        </w:rPr>
      </w:pPr>
      <w:r>
        <w:rPr>
          <w:u w:val="single"/>
        </w:rPr>
        <w:t>Section 2 – Commencement</w:t>
      </w:r>
    </w:p>
    <w:p w14:paraId="72AB5C24" w14:textId="32B52ECA" w:rsidR="00EA4DD8" w:rsidRDefault="00EA4DD8" w:rsidP="00EA4DD8">
      <w:pPr>
        <w:spacing w:before="240"/>
        <w:ind w:right="91"/>
      </w:pPr>
      <w:r>
        <w:t>Schedule 1 to the Regulations commence on</w:t>
      </w:r>
      <w:r w:rsidR="009E010D">
        <w:t xml:space="preserve"> the day after the instrument is registered </w:t>
      </w:r>
      <w:r>
        <w:t>on the Federal Register of Legislation.</w:t>
      </w:r>
    </w:p>
    <w:p w14:paraId="32FAD5C7" w14:textId="77777777" w:rsidR="00EA4DD8" w:rsidRDefault="00EA4DD8" w:rsidP="00EA4DD8">
      <w:pPr>
        <w:spacing w:before="240"/>
        <w:ind w:right="91"/>
        <w:rPr>
          <w:u w:val="single"/>
        </w:rPr>
      </w:pPr>
      <w:r>
        <w:rPr>
          <w:u w:val="single"/>
        </w:rPr>
        <w:t>Section 3 – Authority</w:t>
      </w:r>
    </w:p>
    <w:p w14:paraId="5BE80124" w14:textId="03544DB4" w:rsidR="00EA4DD8" w:rsidRDefault="00EA4DD8" w:rsidP="00EA4DD8">
      <w:pPr>
        <w:spacing w:before="240"/>
        <w:ind w:right="91"/>
      </w:pPr>
      <w:r>
        <w:t xml:space="preserve">The Regulations are made under the </w:t>
      </w:r>
      <w:r w:rsidR="00C334A7" w:rsidRPr="00C334A7">
        <w:rPr>
          <w:i/>
        </w:rPr>
        <w:t>National Consumer Credit Protection (Transitional and Consequential Provisions) Act 2009</w:t>
      </w:r>
      <w:r>
        <w:t xml:space="preserve"> (the Act).</w:t>
      </w:r>
    </w:p>
    <w:p w14:paraId="2A49B4B1" w14:textId="7C9C743D" w:rsidR="005C52BB" w:rsidRPr="00952557" w:rsidRDefault="002B1ACC" w:rsidP="00EA4DD8">
      <w:pPr>
        <w:spacing w:before="240"/>
        <w:ind w:right="91"/>
        <w:rPr>
          <w:u w:val="single"/>
        </w:rPr>
      </w:pPr>
      <w:r>
        <w:rPr>
          <w:u w:val="single"/>
        </w:rPr>
        <w:t>Section</w:t>
      </w:r>
      <w:r w:rsidR="00F156B9">
        <w:rPr>
          <w:u w:val="single"/>
        </w:rPr>
        <w:t>s</w:t>
      </w:r>
      <w:r>
        <w:rPr>
          <w:u w:val="single"/>
        </w:rPr>
        <w:t xml:space="preserve"> 4 </w:t>
      </w:r>
      <w:r w:rsidR="00F156B9">
        <w:rPr>
          <w:u w:val="single"/>
        </w:rPr>
        <w:t>and 5</w:t>
      </w:r>
      <w:r w:rsidR="004730CB">
        <w:rPr>
          <w:u w:val="single"/>
        </w:rPr>
        <w:t xml:space="preserve">– Definitions </w:t>
      </w:r>
    </w:p>
    <w:p w14:paraId="165DBD07" w14:textId="51849A0C" w:rsidR="002B1ACC" w:rsidRDefault="0078786E" w:rsidP="00EA4DD8">
      <w:pPr>
        <w:spacing w:before="240"/>
        <w:ind w:right="91"/>
      </w:pPr>
      <w:r>
        <w:t>These</w:t>
      </w:r>
      <w:r w:rsidR="002B1ACC">
        <w:t xml:space="preserve"> section</w:t>
      </w:r>
      <w:r>
        <w:t>s provide</w:t>
      </w:r>
      <w:r w:rsidR="002B1ACC">
        <w:t xml:space="preserve"> definitions for terms used within the Regulations. </w:t>
      </w:r>
    </w:p>
    <w:p w14:paraId="07FDA1E8" w14:textId="42FDF987" w:rsidR="005C52BB" w:rsidRPr="00952557" w:rsidRDefault="005C52BB" w:rsidP="00952557">
      <w:pPr>
        <w:spacing w:before="240"/>
        <w:ind w:right="91"/>
        <w:jc w:val="both"/>
        <w:rPr>
          <w:u w:val="single"/>
        </w:rPr>
      </w:pPr>
      <w:r w:rsidRPr="00952557">
        <w:rPr>
          <w:u w:val="single"/>
        </w:rPr>
        <w:t xml:space="preserve">Section </w:t>
      </w:r>
      <w:r w:rsidR="00F156B9">
        <w:rPr>
          <w:u w:val="single"/>
        </w:rPr>
        <w:t>6</w:t>
      </w:r>
      <w:r w:rsidR="004730CB">
        <w:rPr>
          <w:u w:val="single"/>
        </w:rPr>
        <w:t xml:space="preserve"> - </w:t>
      </w:r>
      <w:r w:rsidR="004730CB" w:rsidRPr="004730CB">
        <w:rPr>
          <w:u w:val="single"/>
        </w:rPr>
        <w:t>Application of ban on conflicted remuneration</w:t>
      </w:r>
    </w:p>
    <w:p w14:paraId="5EEE8B6E" w14:textId="7FF43552" w:rsidR="004730CB" w:rsidRPr="004730CB" w:rsidRDefault="004730CB" w:rsidP="004730CB">
      <w:pPr>
        <w:spacing w:before="240"/>
        <w:ind w:right="91"/>
        <w:jc w:val="both"/>
      </w:pPr>
      <w:r>
        <w:t>This section prescribes circumstances in which</w:t>
      </w:r>
      <w:r w:rsidRPr="004730CB">
        <w:t xml:space="preserve"> the ban on conflicted remuneration</w:t>
      </w:r>
      <w:r>
        <w:t xml:space="preserve"> </w:t>
      </w:r>
      <w:r w:rsidR="00E30B60">
        <w:t>in Division 4 of Part 3</w:t>
      </w:r>
      <w:r w:rsidR="00E30B60">
        <w:noBreakHyphen/>
        <w:t xml:space="preserve">5A </w:t>
      </w:r>
      <w:r w:rsidR="00166036">
        <w:t>of</w:t>
      </w:r>
      <w:r w:rsidR="00E30B60">
        <w:t xml:space="preserve"> the </w:t>
      </w:r>
      <w:r w:rsidR="00E30B60">
        <w:rPr>
          <w:i/>
        </w:rPr>
        <w:t>National Consumer Credit Protection Act 2009</w:t>
      </w:r>
      <w:r w:rsidR="00E30B60">
        <w:t xml:space="preserve"> </w:t>
      </w:r>
      <w:r>
        <w:t>applies</w:t>
      </w:r>
      <w:r w:rsidRPr="004730CB">
        <w:t xml:space="preserve">. </w:t>
      </w:r>
    </w:p>
    <w:p w14:paraId="6867B4D7" w14:textId="446C4954" w:rsidR="00AE20FA" w:rsidRDefault="004730CB">
      <w:pPr>
        <w:spacing w:before="240"/>
        <w:ind w:right="91"/>
      </w:pPr>
      <w:r>
        <w:t>Subsection (2)</w:t>
      </w:r>
      <w:r w:rsidR="00E30B60">
        <w:t xml:space="preserve"> </w:t>
      </w:r>
      <w:r w:rsidR="0043075E">
        <w:t xml:space="preserve">sets out </w:t>
      </w:r>
      <w:r w:rsidR="005C52BB">
        <w:t>that the ban on</w:t>
      </w:r>
      <w:r w:rsidR="00AE20FA">
        <w:t xml:space="preserve"> conflicted remuneration applies to benefits given</w:t>
      </w:r>
      <w:r w:rsidR="009F3293">
        <w:t xml:space="preserve"> at or after commencement of the </w:t>
      </w:r>
      <w:r w:rsidR="00E30B60">
        <w:t>P</w:t>
      </w:r>
      <w:r w:rsidR="009F3293">
        <w:t xml:space="preserve">art (that is </w:t>
      </w:r>
      <w:r w:rsidR="009F1381">
        <w:t>the day after the Regulations are registered</w:t>
      </w:r>
      <w:r w:rsidR="009F3293">
        <w:t>), regardless of when the arrangement</w:t>
      </w:r>
      <w:r w:rsidR="0043075E">
        <w:t xml:space="preserve"> under which the benefits are </w:t>
      </w:r>
      <w:r w:rsidR="00353E8D">
        <w:t>given</w:t>
      </w:r>
      <w:r w:rsidR="009F3293">
        <w:t xml:space="preserve"> was entered into. </w:t>
      </w:r>
    </w:p>
    <w:p w14:paraId="176D7A9E" w14:textId="5B6376D5" w:rsidR="00EA1930" w:rsidRDefault="005C52BB" w:rsidP="00EA4DD8">
      <w:pPr>
        <w:spacing w:before="240"/>
        <w:ind w:right="91"/>
      </w:pPr>
      <w:r>
        <w:t xml:space="preserve">Subsection (3) of this section </w:t>
      </w:r>
      <w:r w:rsidR="00166036">
        <w:t>states that sub</w:t>
      </w:r>
      <w:r w:rsidR="00353E8D">
        <w:t>section (2) does not apply</w:t>
      </w:r>
      <w:r w:rsidR="00166036">
        <w:t xml:space="preserve"> to benefits in respect of which </w:t>
      </w:r>
      <w:r w:rsidR="00EA1930">
        <w:t xml:space="preserve">persons </w:t>
      </w:r>
      <w:r w:rsidR="00353E8D">
        <w:t>are</w:t>
      </w:r>
      <w:r w:rsidR="00EA1930">
        <w:t xml:space="preserve"> provided relief from </w:t>
      </w:r>
      <w:r w:rsidR="00EA1930" w:rsidRPr="00EA1930">
        <w:t>complying with the ban on conflicted remuneration</w:t>
      </w:r>
      <w:r w:rsidR="00353E8D">
        <w:t xml:space="preserve"> by the </w:t>
      </w:r>
      <w:r w:rsidR="00EA1930">
        <w:rPr>
          <w:i/>
        </w:rPr>
        <w:t>ASIC Credit (Deferral of Mortgage Broker Obligations) Instrument 2020/487</w:t>
      </w:r>
      <w:r w:rsidR="00EA1930" w:rsidRPr="00EA1930">
        <w:t xml:space="preserve">.  </w:t>
      </w:r>
    </w:p>
    <w:p w14:paraId="1EC2DE67" w14:textId="5C1AF6E4" w:rsidR="005A75A2" w:rsidRPr="005A75A2" w:rsidRDefault="005A75A2" w:rsidP="005A75A2">
      <w:pPr>
        <w:spacing w:before="0" w:after="0"/>
        <w:rPr>
          <w:b/>
          <w:u w:val="single"/>
        </w:rPr>
      </w:pPr>
      <w:r>
        <w:t>Due to the COVID-19 pandemic, the Australian Securities and Investment Commission created a relief instrument (</w:t>
      </w:r>
      <w:r w:rsidRPr="00523A57">
        <w:rPr>
          <w:i/>
        </w:rPr>
        <w:t>ASIC Credit (Deferral of Mortgage Brokers Obligations) Instrument 2020/487</w:t>
      </w:r>
      <w:r>
        <w:t xml:space="preserve">). This instrument relieved certain persons from complying with the ban on conflicted remuneration provisions in relation to credit services provided </w:t>
      </w:r>
      <w:r w:rsidR="00166036">
        <w:t>before</w:t>
      </w:r>
      <w:r>
        <w:t xml:space="preserve"> 1 January 2021.  </w:t>
      </w:r>
    </w:p>
    <w:p w14:paraId="3126280F" w14:textId="1E1B5D83" w:rsidR="00EA4DD8" w:rsidRPr="00765F9D" w:rsidRDefault="00EA4DD8" w:rsidP="00EA4DD8">
      <w:pPr>
        <w:spacing w:before="0" w:after="0"/>
        <w:rPr>
          <w:b/>
          <w:u w:val="single"/>
        </w:rPr>
      </w:pPr>
    </w:p>
    <w:p w14:paraId="1FDB82DF" w14:textId="6E62F972" w:rsidR="007A55A7" w:rsidRDefault="007A55A7" w:rsidP="00013390">
      <w:pPr>
        <w:pageBreakBefore/>
        <w:spacing w:before="240"/>
        <w:jc w:val="right"/>
        <w:rPr>
          <w:b/>
          <w:u w:val="single"/>
        </w:rPr>
      </w:pPr>
      <w:r w:rsidRPr="007B335E">
        <w:rPr>
          <w:b/>
          <w:u w:val="single"/>
        </w:rPr>
        <w:lastRenderedPageBreak/>
        <w:t xml:space="preserve">ATTACHMENT </w:t>
      </w:r>
      <w:r w:rsidR="008C4FD8">
        <w:rPr>
          <w:b/>
          <w:u w:val="single"/>
        </w:rPr>
        <w:t>B</w:t>
      </w:r>
    </w:p>
    <w:p w14:paraId="43385A10" w14:textId="77777777" w:rsidR="00E4438C" w:rsidRPr="00462095" w:rsidRDefault="00E4438C" w:rsidP="003E1CE3">
      <w:pPr>
        <w:pStyle w:val="Heading3"/>
      </w:pPr>
      <w:r w:rsidRPr="00462095">
        <w:t>Statement of Compatibility with Human Rights</w:t>
      </w:r>
    </w:p>
    <w:p w14:paraId="63E3E25D"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86FFFB9" w14:textId="120F278B" w:rsidR="00E4438C" w:rsidRPr="00647BB7" w:rsidRDefault="00643048" w:rsidP="003E1CE3">
      <w:pPr>
        <w:pStyle w:val="Heading3"/>
        <w:jc w:val="center"/>
      </w:pPr>
      <w:r>
        <w:t>National Consumer Credit Protection (Transitional and Consequential Provisions) Regulations 2021</w:t>
      </w:r>
    </w:p>
    <w:p w14:paraId="3BB2324D"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E40827F" w14:textId="77777777" w:rsidR="00E4438C" w:rsidRPr="00647BB7" w:rsidRDefault="00E4438C" w:rsidP="003E1CE3">
      <w:pPr>
        <w:pStyle w:val="Heading3"/>
      </w:pPr>
      <w:r w:rsidRPr="00647BB7">
        <w:t>Overview of the Legislative Instrument</w:t>
      </w:r>
    </w:p>
    <w:p w14:paraId="06CF5B68" w14:textId="609B7DCB" w:rsidR="00E426E4" w:rsidRDefault="00A85900" w:rsidP="00E426E4">
      <w:pPr>
        <w:spacing w:before="240"/>
      </w:pPr>
      <w:r>
        <w:t xml:space="preserve">The Regulations ensure </w:t>
      </w:r>
      <w:r w:rsidRPr="00A85900">
        <w:t xml:space="preserve">the Government’s response to recommendation 1.3 of the Royal Commission into Misconduct in the Banking, Superannuation and Financial Services Industry </w:t>
      </w:r>
      <w:r w:rsidR="00732BF9">
        <w:t>is implemented in full.</w:t>
      </w:r>
    </w:p>
    <w:p w14:paraId="0B303AD7" w14:textId="1E422AA5" w:rsidR="00E426E4" w:rsidRPr="00E426E4" w:rsidRDefault="00E426E4" w:rsidP="00E426E4">
      <w:pPr>
        <w:spacing w:before="240"/>
      </w:pPr>
      <w:r w:rsidRPr="00E426E4">
        <w:t xml:space="preserve">The Regulations prescribe circumstances </w:t>
      </w:r>
      <w:r w:rsidR="006F4C5A">
        <w:t>in which</w:t>
      </w:r>
      <w:r w:rsidR="006F4C5A" w:rsidRPr="00E426E4">
        <w:t xml:space="preserve"> </w:t>
      </w:r>
      <w:r w:rsidRPr="00E426E4">
        <w:t xml:space="preserve">the ban on conflicted remuneration </w:t>
      </w:r>
      <w:r w:rsidR="006F4C5A">
        <w:t>applies</w:t>
      </w:r>
      <w:r w:rsidRPr="00E426E4">
        <w:t xml:space="preserve">. </w:t>
      </w:r>
      <w:r w:rsidR="00566095">
        <w:t>T</w:t>
      </w:r>
      <w:r w:rsidRPr="00E426E4">
        <w:t xml:space="preserve">he Regulations prescribe that </w:t>
      </w:r>
      <w:r w:rsidR="00353E8D">
        <w:t xml:space="preserve">the conflicted remuneration provisions apply to </w:t>
      </w:r>
      <w:r w:rsidRPr="00E426E4">
        <w:t xml:space="preserve">any benefit given or received after the Regulations commence, even if the benefits are given under arrangements made prior to 1 July 2020. </w:t>
      </w:r>
    </w:p>
    <w:p w14:paraId="31DDFFB3" w14:textId="77777777" w:rsidR="00E4438C" w:rsidRPr="00647BB7" w:rsidRDefault="00E4438C" w:rsidP="003E1CE3">
      <w:pPr>
        <w:pStyle w:val="Heading3"/>
      </w:pPr>
      <w:r w:rsidRPr="00647BB7">
        <w:t>Human rights implications</w:t>
      </w:r>
    </w:p>
    <w:p w14:paraId="2CA7320C" w14:textId="6B6AAD04" w:rsidR="00E4438C" w:rsidRDefault="00BD6ACD" w:rsidP="00647BB7">
      <w:pPr>
        <w:spacing w:before="240"/>
      </w:pPr>
      <w:r>
        <w:t>The Regulations engage the following human rights:</w:t>
      </w:r>
    </w:p>
    <w:p w14:paraId="31638D5A" w14:textId="1DD8CC3F" w:rsidR="00BD6ACD" w:rsidRDefault="00BD6ACD" w:rsidP="0078786E">
      <w:pPr>
        <w:pStyle w:val="Bullet"/>
      </w:pPr>
      <w:r>
        <w:t>the right to freely choose and accept work, under</w:t>
      </w:r>
      <w:r w:rsidR="003E66ED">
        <w:t xml:space="preserve"> Article 6(1) of</w:t>
      </w:r>
      <w:r>
        <w:t xml:space="preserve"> the International Covenant on Economic, Social and Cultural Rights (ICESCR); and</w:t>
      </w:r>
    </w:p>
    <w:p w14:paraId="350BAD69" w14:textId="0B657277" w:rsidR="00F75E5A" w:rsidRDefault="00F75E5A" w:rsidP="0078786E">
      <w:pPr>
        <w:pStyle w:val="Bullet"/>
      </w:pPr>
      <w:r>
        <w:t>the right to enjoyment of just and favourable conditions of work under Article 7 of the ICESCR.</w:t>
      </w:r>
    </w:p>
    <w:p w14:paraId="4DE500A4" w14:textId="2FC820CA" w:rsidR="00F75E5A" w:rsidRPr="0078786E" w:rsidRDefault="00F75E5A" w:rsidP="0078786E">
      <w:pPr>
        <w:pStyle w:val="Bullet"/>
        <w:numPr>
          <w:ilvl w:val="0"/>
          <w:numId w:val="0"/>
        </w:numPr>
        <w:rPr>
          <w:u w:val="single"/>
        </w:rPr>
      </w:pPr>
      <w:r w:rsidRPr="0078786E">
        <w:rPr>
          <w:u w:val="single"/>
        </w:rPr>
        <w:t xml:space="preserve">Right to work </w:t>
      </w:r>
    </w:p>
    <w:p w14:paraId="6C9B5B05" w14:textId="59A81144" w:rsidR="000A73C9" w:rsidRDefault="003E66ED" w:rsidP="00CF7B76">
      <w:pPr>
        <w:pStyle w:val="Bullet"/>
        <w:numPr>
          <w:ilvl w:val="0"/>
          <w:numId w:val="0"/>
        </w:numPr>
      </w:pPr>
      <w:r w:rsidRPr="00353E8D">
        <w:rPr>
          <w:szCs w:val="20"/>
        </w:rPr>
        <w:t xml:space="preserve">The </w:t>
      </w:r>
      <w:r w:rsidR="00F75E5A" w:rsidRPr="00353E8D">
        <w:rPr>
          <w:szCs w:val="20"/>
        </w:rPr>
        <w:t xml:space="preserve">Regulations </w:t>
      </w:r>
      <w:r w:rsidR="00DA2B89">
        <w:rPr>
          <w:szCs w:val="20"/>
        </w:rPr>
        <w:t xml:space="preserve">may, or may not, </w:t>
      </w:r>
      <w:r w:rsidR="00F75E5A" w:rsidRPr="00353E8D">
        <w:rPr>
          <w:szCs w:val="20"/>
        </w:rPr>
        <w:t>engage the right to work, set out in Articles 6 and 7 of the ICESCR.</w:t>
      </w:r>
      <w:r w:rsidR="00EB762A" w:rsidRPr="00FB2A04">
        <w:rPr>
          <w:szCs w:val="20"/>
        </w:rPr>
        <w:t xml:space="preserve"> </w:t>
      </w:r>
    </w:p>
    <w:p w14:paraId="2B479D33" w14:textId="3B85C3B0" w:rsidR="00D14C30" w:rsidRDefault="00D14C30" w:rsidP="00CF7B76">
      <w:pPr>
        <w:pStyle w:val="Bullet"/>
        <w:numPr>
          <w:ilvl w:val="0"/>
          <w:numId w:val="0"/>
        </w:numPr>
      </w:pPr>
      <w:r>
        <w:rPr>
          <w:szCs w:val="20"/>
        </w:rPr>
        <w:t>T</w:t>
      </w:r>
      <w:r>
        <w:t xml:space="preserve">he right to work </w:t>
      </w:r>
      <w:r w:rsidR="00471FB7" w:rsidRPr="00471FB7">
        <w:t>assure</w:t>
      </w:r>
      <w:r w:rsidR="00FA490F">
        <w:t>s</w:t>
      </w:r>
      <w:r w:rsidR="00471FB7" w:rsidRPr="00471FB7">
        <w:t xml:space="preserve"> individuals their right to freely chosen or accepted work, including the right not to </w:t>
      </w:r>
      <w:r w:rsidRPr="00471FB7">
        <w:t xml:space="preserve">be </w:t>
      </w:r>
      <w:r w:rsidR="00471FB7" w:rsidRPr="00471FB7">
        <w:t>deprived of work unfairly.</w:t>
      </w:r>
      <w:r w:rsidR="00471FB7">
        <w:t xml:space="preserve"> </w:t>
      </w:r>
      <w:r w:rsidR="000A73C9">
        <w:t>It also recognises the right of just and favourable conditions of work</w:t>
      </w:r>
      <w:r w:rsidR="00BE1D00">
        <w:t>,</w:t>
      </w:r>
      <w:r w:rsidR="000A73C9">
        <w:t xml:space="preserve"> ensuring the right to remuneration for all workers.</w:t>
      </w:r>
      <w:r>
        <w:t xml:space="preserve"> </w:t>
      </w:r>
    </w:p>
    <w:p w14:paraId="69C4906B" w14:textId="4C258651" w:rsidR="00471FB7" w:rsidRDefault="00EB762A" w:rsidP="00CF7B76">
      <w:pPr>
        <w:pStyle w:val="Bullet"/>
        <w:numPr>
          <w:ilvl w:val="0"/>
          <w:numId w:val="0"/>
        </w:numPr>
      </w:pPr>
      <w:r w:rsidRPr="00FB2A04">
        <w:rPr>
          <w:szCs w:val="20"/>
        </w:rPr>
        <w:t>The Regulations restrict the circumstances in which</w:t>
      </w:r>
      <w:r>
        <w:rPr>
          <w:szCs w:val="20"/>
        </w:rPr>
        <w:t xml:space="preserve"> individuals working as</w:t>
      </w:r>
      <w:r w:rsidRPr="00353E8D">
        <w:rPr>
          <w:szCs w:val="20"/>
        </w:rPr>
        <w:t xml:space="preserve"> mortgage brokers </w:t>
      </w:r>
      <w:r w:rsidR="00993BA9">
        <w:rPr>
          <w:szCs w:val="20"/>
        </w:rPr>
        <w:t xml:space="preserve">or intermediaries </w:t>
      </w:r>
      <w:r>
        <w:rPr>
          <w:szCs w:val="20"/>
        </w:rPr>
        <w:t>can receive remuneration by pro</w:t>
      </w:r>
      <w:r w:rsidR="00FB2A04">
        <w:rPr>
          <w:szCs w:val="20"/>
        </w:rPr>
        <w:t xml:space="preserve">viding that the existing ban on </w:t>
      </w:r>
      <w:r w:rsidR="00993BA9">
        <w:rPr>
          <w:szCs w:val="20"/>
        </w:rPr>
        <w:t xml:space="preserve">conflicted remuneration </w:t>
      </w:r>
      <w:r w:rsidR="00FB2A04">
        <w:rPr>
          <w:szCs w:val="20"/>
        </w:rPr>
        <w:t xml:space="preserve">applies to benefits </w:t>
      </w:r>
      <w:r w:rsidR="00993BA9">
        <w:rPr>
          <w:szCs w:val="20"/>
        </w:rPr>
        <w:t xml:space="preserve">regardless of when the arrangement under which the benefit is given was entered into. </w:t>
      </w:r>
      <w:r w:rsidR="00D643E2">
        <w:rPr>
          <w:szCs w:val="20"/>
        </w:rPr>
        <w:t xml:space="preserve">This may engage the right to work </w:t>
      </w:r>
      <w:r w:rsidR="00BE1D00">
        <w:rPr>
          <w:szCs w:val="20"/>
        </w:rPr>
        <w:t>as</w:t>
      </w:r>
      <w:r w:rsidR="00D643E2">
        <w:rPr>
          <w:szCs w:val="20"/>
        </w:rPr>
        <w:t xml:space="preserve"> it prohibits mortgage brokers from obtaining </w:t>
      </w:r>
      <w:r w:rsidR="00CF7B76">
        <w:rPr>
          <w:szCs w:val="20"/>
        </w:rPr>
        <w:t>certain</w:t>
      </w:r>
      <w:r w:rsidR="00D643E2">
        <w:rPr>
          <w:szCs w:val="20"/>
        </w:rPr>
        <w:t xml:space="preserve"> financial advantage</w:t>
      </w:r>
      <w:r w:rsidR="00CF7B76">
        <w:rPr>
          <w:szCs w:val="20"/>
        </w:rPr>
        <w:t>s</w:t>
      </w:r>
      <w:r w:rsidR="00D643E2">
        <w:rPr>
          <w:szCs w:val="20"/>
        </w:rPr>
        <w:t xml:space="preserve"> from their advice to clients. </w:t>
      </w:r>
    </w:p>
    <w:p w14:paraId="2CACB0CB" w14:textId="6001F3E5" w:rsidR="00471FB7" w:rsidRPr="00353E8D" w:rsidRDefault="00471FB7" w:rsidP="00CF7B76">
      <w:pPr>
        <w:pStyle w:val="Bullet"/>
        <w:numPr>
          <w:ilvl w:val="0"/>
          <w:numId w:val="0"/>
        </w:numPr>
      </w:pPr>
      <w:r>
        <w:lastRenderedPageBreak/>
        <w:t xml:space="preserve">Article 4 of the ICESCR notes that rights under the ICESCR may be limited only so far as </w:t>
      </w:r>
      <w:r w:rsidR="000A73C9">
        <w:t>it</w:t>
      </w:r>
      <w:r w:rsidRPr="00471FB7">
        <w:t xml:space="preserve"> may be compatible with the nature of </w:t>
      </w:r>
      <w:r>
        <w:t>these rights,</w:t>
      </w:r>
      <w:r w:rsidRPr="00471FB7">
        <w:t xml:space="preserve"> and solely for the purpose of promoting the general welfare in a democratic society</w:t>
      </w:r>
      <w:r>
        <w:t xml:space="preserve">. </w:t>
      </w:r>
    </w:p>
    <w:p w14:paraId="6D09AC9C" w14:textId="6498E185" w:rsidR="00EB762A" w:rsidRDefault="00471FB7" w:rsidP="00CF7B76">
      <w:pPr>
        <w:pStyle w:val="Bullet"/>
        <w:numPr>
          <w:ilvl w:val="0"/>
          <w:numId w:val="0"/>
        </w:numPr>
      </w:pPr>
      <w:r>
        <w:t xml:space="preserve">Therefore, to the extent </w:t>
      </w:r>
      <w:r w:rsidR="00BE1D00">
        <w:t>t</w:t>
      </w:r>
      <w:r>
        <w:t xml:space="preserve">he Regulations limit </w:t>
      </w:r>
      <w:r w:rsidR="00AA29BE">
        <w:t>the</w:t>
      </w:r>
      <w:r>
        <w:t xml:space="preserve"> right to work, this</w:t>
      </w:r>
      <w:r w:rsidR="00EB762A">
        <w:t xml:space="preserve"> </w:t>
      </w:r>
      <w:r w:rsidR="00DA2B89">
        <w:t>limitation</w:t>
      </w:r>
      <w:r w:rsidR="00EB762A">
        <w:t xml:space="preserve"> is </w:t>
      </w:r>
      <w:r w:rsidR="00DA2B89">
        <w:t>necessary and proportionate to achieve the legitimate objective of</w:t>
      </w:r>
      <w:r w:rsidR="00EB762A">
        <w:t xml:space="preserve"> </w:t>
      </w:r>
      <w:r w:rsidR="00252568" w:rsidRPr="00252568">
        <w:t>strengthen</w:t>
      </w:r>
      <w:r w:rsidR="00DA2B89">
        <w:t>ing the</w:t>
      </w:r>
      <w:r w:rsidR="00252568" w:rsidRPr="00252568">
        <w:t xml:space="preserve"> existing protections for consumers who deal with mo</w:t>
      </w:r>
      <w:r w:rsidR="00252568">
        <w:t>rtgage brokers</w:t>
      </w:r>
      <w:r w:rsidR="00395CCF">
        <w:t>.</w:t>
      </w:r>
      <w:r w:rsidR="00AA29BE">
        <w:t xml:space="preserve"> The Regulations</w:t>
      </w:r>
      <w:r w:rsidR="00395CCF">
        <w:t xml:space="preserve"> promote the nature of these rights </w:t>
      </w:r>
      <w:r w:rsidR="00AA29BE">
        <w:t>by ensuring</w:t>
      </w:r>
      <w:r w:rsidR="00395CCF">
        <w:t xml:space="preserve"> that </w:t>
      </w:r>
      <w:r w:rsidR="00252568" w:rsidRPr="00252568">
        <w:t xml:space="preserve">the law </w:t>
      </w:r>
      <w:r w:rsidR="00395CCF">
        <w:t>aligns with</w:t>
      </w:r>
      <w:r w:rsidR="00252568" w:rsidRPr="00252568">
        <w:t xml:space="preserve"> </w:t>
      </w:r>
      <w:r w:rsidR="00AA29BE">
        <w:t xml:space="preserve">the expectations of consumers </w:t>
      </w:r>
      <w:r w:rsidR="00252568" w:rsidRPr="00252568">
        <w:t>– that any advice provided by a mortgage broker serves the consumer’s interests first and foremost.</w:t>
      </w:r>
      <w:r w:rsidR="00252568">
        <w:t xml:space="preserve"> This is consistent with the findings of </w:t>
      </w:r>
      <w:r w:rsidR="00993BA9">
        <w:t xml:space="preserve">the Final Report of the </w:t>
      </w:r>
      <w:r w:rsidR="00993BA9" w:rsidRPr="00993BA9">
        <w:t>Royal Commission into Misconduct in the Banking, Superannuation and Financial Services Industry</w:t>
      </w:r>
      <w:r w:rsidR="00252568">
        <w:t>.</w:t>
      </w:r>
    </w:p>
    <w:p w14:paraId="614325C0" w14:textId="786279B0" w:rsidR="00BD6ACD" w:rsidRPr="00353E8D" w:rsidRDefault="00DA2B89" w:rsidP="00353E8D">
      <w:pPr>
        <w:spacing w:before="240"/>
      </w:pPr>
      <w:r>
        <w:t xml:space="preserve">In addition to this, </w:t>
      </w:r>
      <w:r w:rsidR="00395CCF">
        <w:t>w</w:t>
      </w:r>
      <w:r w:rsidR="00BD6ACD" w:rsidRPr="00353E8D">
        <w:t>hile the Re</w:t>
      </w:r>
      <w:r w:rsidR="00BD6ACD" w:rsidRPr="00FB2A04">
        <w:t>gulatio</w:t>
      </w:r>
      <w:r w:rsidR="00FB2A04">
        <w:t xml:space="preserve">ns may impact </w:t>
      </w:r>
      <w:r w:rsidR="00BD6ACD" w:rsidRPr="00FB2A04">
        <w:t xml:space="preserve">arrangements already in place, no retrospective criminal offences are created. </w:t>
      </w:r>
    </w:p>
    <w:p w14:paraId="2537BCCB" w14:textId="77777777" w:rsidR="00E4438C" w:rsidRPr="00647BB7" w:rsidRDefault="00E4438C" w:rsidP="003E1CE3">
      <w:pPr>
        <w:pStyle w:val="Heading3"/>
      </w:pPr>
      <w:r w:rsidRPr="00647BB7">
        <w:t>Conclusion</w:t>
      </w:r>
    </w:p>
    <w:p w14:paraId="665287B1" w14:textId="3D81E5CD" w:rsidR="00482B81" w:rsidRDefault="00E4438C" w:rsidP="00647BB7">
      <w:pPr>
        <w:spacing w:before="240"/>
      </w:pPr>
      <w:r w:rsidRPr="00647BB7">
        <w:t xml:space="preserve">This </w:t>
      </w:r>
      <w:r w:rsidR="00471FB7">
        <w:t>Regulation</w:t>
      </w:r>
      <w:r w:rsidRPr="00647BB7">
        <w:t xml:space="preserve"> is compatible with human rights </w:t>
      </w:r>
      <w:r w:rsidR="00252568">
        <w:t xml:space="preserve">as the application of the ban on conflicted remuneration strengthens protections for consumers.  </w:t>
      </w:r>
    </w:p>
    <w:p w14:paraId="072C8A3D"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0AB42" w14:textId="77777777" w:rsidR="00C30908" w:rsidRDefault="00C30908" w:rsidP="00954679">
      <w:pPr>
        <w:spacing w:before="0" w:after="0"/>
      </w:pPr>
      <w:r>
        <w:separator/>
      </w:r>
    </w:p>
  </w:endnote>
  <w:endnote w:type="continuationSeparator" w:id="0">
    <w:p w14:paraId="056D6DFA" w14:textId="77777777" w:rsidR="00C30908" w:rsidRDefault="00C30908" w:rsidP="00954679">
      <w:pPr>
        <w:spacing w:before="0" w:after="0"/>
      </w:pPr>
      <w:r>
        <w:continuationSeparator/>
      </w:r>
    </w:p>
  </w:endnote>
  <w:endnote w:type="continuationNotice" w:id="1">
    <w:p w14:paraId="4E4D0824" w14:textId="77777777" w:rsidR="00C30908" w:rsidRDefault="00C309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1EBCE63" w14:textId="72F79EC7" w:rsidR="00C30908" w:rsidRDefault="00C30908"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8421A4">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8421A4">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4017" w14:textId="77777777" w:rsidR="00C30908" w:rsidRDefault="00C30908" w:rsidP="00954679">
      <w:pPr>
        <w:spacing w:before="0" w:after="0"/>
      </w:pPr>
      <w:r>
        <w:separator/>
      </w:r>
    </w:p>
  </w:footnote>
  <w:footnote w:type="continuationSeparator" w:id="0">
    <w:p w14:paraId="1F955870" w14:textId="77777777" w:rsidR="00C30908" w:rsidRDefault="00C30908" w:rsidP="00954679">
      <w:pPr>
        <w:spacing w:before="0" w:after="0"/>
      </w:pPr>
      <w:r>
        <w:continuationSeparator/>
      </w:r>
    </w:p>
  </w:footnote>
  <w:footnote w:type="continuationNotice" w:id="1">
    <w:p w14:paraId="107306FF" w14:textId="77777777" w:rsidR="00C30908" w:rsidRDefault="00C3090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772EA12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E4"/>
    <w:rsid w:val="00002E32"/>
    <w:rsid w:val="00013390"/>
    <w:rsid w:val="000169FB"/>
    <w:rsid w:val="00016EA2"/>
    <w:rsid w:val="00020213"/>
    <w:rsid w:val="00044810"/>
    <w:rsid w:val="000537A7"/>
    <w:rsid w:val="00076178"/>
    <w:rsid w:val="000855B0"/>
    <w:rsid w:val="00095211"/>
    <w:rsid w:val="000A04B5"/>
    <w:rsid w:val="000A0E96"/>
    <w:rsid w:val="000A73C9"/>
    <w:rsid w:val="000B2ECC"/>
    <w:rsid w:val="000B39A1"/>
    <w:rsid w:val="000C10DF"/>
    <w:rsid w:val="000C6935"/>
    <w:rsid w:val="000D08B0"/>
    <w:rsid w:val="000E543C"/>
    <w:rsid w:val="001022E0"/>
    <w:rsid w:val="00113B45"/>
    <w:rsid w:val="0012028E"/>
    <w:rsid w:val="00122B58"/>
    <w:rsid w:val="00131383"/>
    <w:rsid w:val="00161FF7"/>
    <w:rsid w:val="00166036"/>
    <w:rsid w:val="00171676"/>
    <w:rsid w:val="00175413"/>
    <w:rsid w:val="001B0743"/>
    <w:rsid w:val="001B7535"/>
    <w:rsid w:val="001E6A74"/>
    <w:rsid w:val="001F41D0"/>
    <w:rsid w:val="001F634C"/>
    <w:rsid w:val="00220F16"/>
    <w:rsid w:val="00225B7D"/>
    <w:rsid w:val="002272CB"/>
    <w:rsid w:val="00233A9B"/>
    <w:rsid w:val="0023654A"/>
    <w:rsid w:val="00252568"/>
    <w:rsid w:val="00252D4B"/>
    <w:rsid w:val="00254C5B"/>
    <w:rsid w:val="00283958"/>
    <w:rsid w:val="00291B11"/>
    <w:rsid w:val="002A7E1F"/>
    <w:rsid w:val="002B1ACC"/>
    <w:rsid w:val="002C1655"/>
    <w:rsid w:val="002C226C"/>
    <w:rsid w:val="002C38F4"/>
    <w:rsid w:val="002E5DCA"/>
    <w:rsid w:val="003041FA"/>
    <w:rsid w:val="00312518"/>
    <w:rsid w:val="0031339B"/>
    <w:rsid w:val="00323371"/>
    <w:rsid w:val="003262B9"/>
    <w:rsid w:val="0033238B"/>
    <w:rsid w:val="003342CD"/>
    <w:rsid w:val="003344E7"/>
    <w:rsid w:val="00335042"/>
    <w:rsid w:val="00353E8D"/>
    <w:rsid w:val="00362B70"/>
    <w:rsid w:val="00363D73"/>
    <w:rsid w:val="00377D85"/>
    <w:rsid w:val="00392BBA"/>
    <w:rsid w:val="003954FD"/>
    <w:rsid w:val="00395CCF"/>
    <w:rsid w:val="003974CA"/>
    <w:rsid w:val="003A2766"/>
    <w:rsid w:val="003C7907"/>
    <w:rsid w:val="003D60D7"/>
    <w:rsid w:val="003E1CE3"/>
    <w:rsid w:val="003E66ED"/>
    <w:rsid w:val="00401217"/>
    <w:rsid w:val="00404DE9"/>
    <w:rsid w:val="00405F6D"/>
    <w:rsid w:val="0041369F"/>
    <w:rsid w:val="00421ABD"/>
    <w:rsid w:val="0043075E"/>
    <w:rsid w:val="00432BC4"/>
    <w:rsid w:val="00436C6C"/>
    <w:rsid w:val="00451D14"/>
    <w:rsid w:val="004530A6"/>
    <w:rsid w:val="00460FEE"/>
    <w:rsid w:val="00462095"/>
    <w:rsid w:val="00471FB7"/>
    <w:rsid w:val="00472D05"/>
    <w:rsid w:val="004730CB"/>
    <w:rsid w:val="00482B81"/>
    <w:rsid w:val="00482D4C"/>
    <w:rsid w:val="00483F33"/>
    <w:rsid w:val="00494D14"/>
    <w:rsid w:val="00497E99"/>
    <w:rsid w:val="004B1432"/>
    <w:rsid w:val="004B3C0F"/>
    <w:rsid w:val="004C05E4"/>
    <w:rsid w:val="004C6FA2"/>
    <w:rsid w:val="004D0240"/>
    <w:rsid w:val="004D1E74"/>
    <w:rsid w:val="004D6A7D"/>
    <w:rsid w:val="004E39E1"/>
    <w:rsid w:val="004F56D0"/>
    <w:rsid w:val="00503E44"/>
    <w:rsid w:val="005141E7"/>
    <w:rsid w:val="00515283"/>
    <w:rsid w:val="005176BB"/>
    <w:rsid w:val="00523A57"/>
    <w:rsid w:val="00530B8B"/>
    <w:rsid w:val="00533926"/>
    <w:rsid w:val="0053660F"/>
    <w:rsid w:val="0055675D"/>
    <w:rsid w:val="00566095"/>
    <w:rsid w:val="00566E8F"/>
    <w:rsid w:val="0057422E"/>
    <w:rsid w:val="005833BE"/>
    <w:rsid w:val="00596620"/>
    <w:rsid w:val="005A6413"/>
    <w:rsid w:val="005A75A2"/>
    <w:rsid w:val="005C0D54"/>
    <w:rsid w:val="005C303E"/>
    <w:rsid w:val="005C52BB"/>
    <w:rsid w:val="005C5CA8"/>
    <w:rsid w:val="005C6E3E"/>
    <w:rsid w:val="005D0CF6"/>
    <w:rsid w:val="005D6DB9"/>
    <w:rsid w:val="005D7D5A"/>
    <w:rsid w:val="005E4B9D"/>
    <w:rsid w:val="005E4BAC"/>
    <w:rsid w:val="0060130D"/>
    <w:rsid w:val="006056A3"/>
    <w:rsid w:val="0061292F"/>
    <w:rsid w:val="0062484D"/>
    <w:rsid w:val="0064129F"/>
    <w:rsid w:val="00643048"/>
    <w:rsid w:val="00647BB7"/>
    <w:rsid w:val="00657677"/>
    <w:rsid w:val="00664949"/>
    <w:rsid w:val="00680297"/>
    <w:rsid w:val="006873CE"/>
    <w:rsid w:val="006A0786"/>
    <w:rsid w:val="006B0817"/>
    <w:rsid w:val="006C2E28"/>
    <w:rsid w:val="006D1208"/>
    <w:rsid w:val="006F1B05"/>
    <w:rsid w:val="006F4C5A"/>
    <w:rsid w:val="00710E94"/>
    <w:rsid w:val="007252C8"/>
    <w:rsid w:val="00726693"/>
    <w:rsid w:val="00727D8A"/>
    <w:rsid w:val="00731DD4"/>
    <w:rsid w:val="00731FEA"/>
    <w:rsid w:val="00732BF9"/>
    <w:rsid w:val="00734284"/>
    <w:rsid w:val="00736F61"/>
    <w:rsid w:val="0074042E"/>
    <w:rsid w:val="00742253"/>
    <w:rsid w:val="00751B51"/>
    <w:rsid w:val="00756293"/>
    <w:rsid w:val="00765F9D"/>
    <w:rsid w:val="007662C7"/>
    <w:rsid w:val="007679D3"/>
    <w:rsid w:val="00767CE5"/>
    <w:rsid w:val="00776306"/>
    <w:rsid w:val="007816FF"/>
    <w:rsid w:val="0078786E"/>
    <w:rsid w:val="007916BC"/>
    <w:rsid w:val="00791DF2"/>
    <w:rsid w:val="00792494"/>
    <w:rsid w:val="007A55A7"/>
    <w:rsid w:val="007B1F10"/>
    <w:rsid w:val="007B335E"/>
    <w:rsid w:val="007B3820"/>
    <w:rsid w:val="007D3B3A"/>
    <w:rsid w:val="007E018D"/>
    <w:rsid w:val="007E6B2D"/>
    <w:rsid w:val="007F1B71"/>
    <w:rsid w:val="00807E7D"/>
    <w:rsid w:val="00831675"/>
    <w:rsid w:val="008421A4"/>
    <w:rsid w:val="008473CA"/>
    <w:rsid w:val="0087089B"/>
    <w:rsid w:val="008714D5"/>
    <w:rsid w:val="00874E97"/>
    <w:rsid w:val="00880750"/>
    <w:rsid w:val="0088467C"/>
    <w:rsid w:val="00894579"/>
    <w:rsid w:val="008A5B67"/>
    <w:rsid w:val="008B3236"/>
    <w:rsid w:val="008C4FD8"/>
    <w:rsid w:val="008D16F7"/>
    <w:rsid w:val="008E1427"/>
    <w:rsid w:val="008E2DFA"/>
    <w:rsid w:val="008F369C"/>
    <w:rsid w:val="009143A0"/>
    <w:rsid w:val="00917CF4"/>
    <w:rsid w:val="00931301"/>
    <w:rsid w:val="0093438C"/>
    <w:rsid w:val="00936902"/>
    <w:rsid w:val="00952557"/>
    <w:rsid w:val="00954679"/>
    <w:rsid w:val="00981156"/>
    <w:rsid w:val="00981EAA"/>
    <w:rsid w:val="00984485"/>
    <w:rsid w:val="00993BA9"/>
    <w:rsid w:val="009C30F2"/>
    <w:rsid w:val="009C6A1E"/>
    <w:rsid w:val="009D2629"/>
    <w:rsid w:val="009E010D"/>
    <w:rsid w:val="009E2F86"/>
    <w:rsid w:val="009F1381"/>
    <w:rsid w:val="009F3293"/>
    <w:rsid w:val="00A12209"/>
    <w:rsid w:val="00A214B3"/>
    <w:rsid w:val="00A36DF3"/>
    <w:rsid w:val="00A532DD"/>
    <w:rsid w:val="00A7010E"/>
    <w:rsid w:val="00A80BCF"/>
    <w:rsid w:val="00A8369C"/>
    <w:rsid w:val="00A85900"/>
    <w:rsid w:val="00A94CF2"/>
    <w:rsid w:val="00AA1689"/>
    <w:rsid w:val="00AA29BE"/>
    <w:rsid w:val="00AA5770"/>
    <w:rsid w:val="00AC1481"/>
    <w:rsid w:val="00AC1D15"/>
    <w:rsid w:val="00AD4AAB"/>
    <w:rsid w:val="00AE20FA"/>
    <w:rsid w:val="00AE3F98"/>
    <w:rsid w:val="00B03215"/>
    <w:rsid w:val="00B07AE3"/>
    <w:rsid w:val="00B07B0C"/>
    <w:rsid w:val="00B168EF"/>
    <w:rsid w:val="00B21A7A"/>
    <w:rsid w:val="00B25563"/>
    <w:rsid w:val="00B26D48"/>
    <w:rsid w:val="00B26FBB"/>
    <w:rsid w:val="00B3431B"/>
    <w:rsid w:val="00B34DF6"/>
    <w:rsid w:val="00B42EE1"/>
    <w:rsid w:val="00B466A3"/>
    <w:rsid w:val="00B7161A"/>
    <w:rsid w:val="00B8293D"/>
    <w:rsid w:val="00B84201"/>
    <w:rsid w:val="00B92478"/>
    <w:rsid w:val="00BA6188"/>
    <w:rsid w:val="00BB10F2"/>
    <w:rsid w:val="00BB4C8D"/>
    <w:rsid w:val="00BD0A6A"/>
    <w:rsid w:val="00BD61A2"/>
    <w:rsid w:val="00BD6ACD"/>
    <w:rsid w:val="00BE1D00"/>
    <w:rsid w:val="00BE484D"/>
    <w:rsid w:val="00BF1BA1"/>
    <w:rsid w:val="00BF7EDB"/>
    <w:rsid w:val="00C07190"/>
    <w:rsid w:val="00C11479"/>
    <w:rsid w:val="00C30908"/>
    <w:rsid w:val="00C334A7"/>
    <w:rsid w:val="00C37E05"/>
    <w:rsid w:val="00C53180"/>
    <w:rsid w:val="00C55D29"/>
    <w:rsid w:val="00C56982"/>
    <w:rsid w:val="00C83D0B"/>
    <w:rsid w:val="00C862EE"/>
    <w:rsid w:val="00CA0BE9"/>
    <w:rsid w:val="00CA138D"/>
    <w:rsid w:val="00CC239D"/>
    <w:rsid w:val="00CC563A"/>
    <w:rsid w:val="00CC7641"/>
    <w:rsid w:val="00CD723C"/>
    <w:rsid w:val="00CF702A"/>
    <w:rsid w:val="00CF78E0"/>
    <w:rsid w:val="00CF7B76"/>
    <w:rsid w:val="00D0758D"/>
    <w:rsid w:val="00D13794"/>
    <w:rsid w:val="00D14C30"/>
    <w:rsid w:val="00D24052"/>
    <w:rsid w:val="00D24386"/>
    <w:rsid w:val="00D31575"/>
    <w:rsid w:val="00D34626"/>
    <w:rsid w:val="00D34FB4"/>
    <w:rsid w:val="00D4257A"/>
    <w:rsid w:val="00D507A0"/>
    <w:rsid w:val="00D62665"/>
    <w:rsid w:val="00D6359D"/>
    <w:rsid w:val="00D637B5"/>
    <w:rsid w:val="00D643E2"/>
    <w:rsid w:val="00D7568C"/>
    <w:rsid w:val="00D82E47"/>
    <w:rsid w:val="00D85FEB"/>
    <w:rsid w:val="00DA2B89"/>
    <w:rsid w:val="00DA5605"/>
    <w:rsid w:val="00DB0FB0"/>
    <w:rsid w:val="00DB4B50"/>
    <w:rsid w:val="00DC0CDE"/>
    <w:rsid w:val="00DC4D72"/>
    <w:rsid w:val="00DE5B1C"/>
    <w:rsid w:val="00DF00A4"/>
    <w:rsid w:val="00E0624D"/>
    <w:rsid w:val="00E071E0"/>
    <w:rsid w:val="00E117ED"/>
    <w:rsid w:val="00E30B60"/>
    <w:rsid w:val="00E32B5B"/>
    <w:rsid w:val="00E33CDA"/>
    <w:rsid w:val="00E42589"/>
    <w:rsid w:val="00E426E4"/>
    <w:rsid w:val="00E4438C"/>
    <w:rsid w:val="00E457F3"/>
    <w:rsid w:val="00E474E4"/>
    <w:rsid w:val="00E640AB"/>
    <w:rsid w:val="00E67BE7"/>
    <w:rsid w:val="00E77960"/>
    <w:rsid w:val="00E81E91"/>
    <w:rsid w:val="00E827AD"/>
    <w:rsid w:val="00E8794A"/>
    <w:rsid w:val="00EA1930"/>
    <w:rsid w:val="00EA4DD8"/>
    <w:rsid w:val="00EB2AEF"/>
    <w:rsid w:val="00EB6F83"/>
    <w:rsid w:val="00EB762A"/>
    <w:rsid w:val="00EB7E71"/>
    <w:rsid w:val="00ED5B29"/>
    <w:rsid w:val="00F109D4"/>
    <w:rsid w:val="00F119A6"/>
    <w:rsid w:val="00F11C05"/>
    <w:rsid w:val="00F156B9"/>
    <w:rsid w:val="00F15EE9"/>
    <w:rsid w:val="00F47585"/>
    <w:rsid w:val="00F6552E"/>
    <w:rsid w:val="00F66C0B"/>
    <w:rsid w:val="00F75E5A"/>
    <w:rsid w:val="00F832D7"/>
    <w:rsid w:val="00F85E6F"/>
    <w:rsid w:val="00FA490F"/>
    <w:rsid w:val="00FB2A04"/>
    <w:rsid w:val="00FC095E"/>
    <w:rsid w:val="00FC2BAE"/>
    <w:rsid w:val="00FE04E4"/>
    <w:rsid w:val="00FE4866"/>
    <w:rsid w:val="00FE73F9"/>
    <w:rsid w:val="00FF1057"/>
    <w:rsid w:val="00FF259A"/>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594DC"/>
  <w15:docId w15:val="{7975844F-6EFB-4D02-9D59-ADC4947B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CB"/>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1165">
      <w:bodyDiv w:val="1"/>
      <w:marLeft w:val="0"/>
      <w:marRight w:val="0"/>
      <w:marTop w:val="0"/>
      <w:marBottom w:val="0"/>
      <w:divBdr>
        <w:top w:val="none" w:sz="0" w:space="0" w:color="auto"/>
        <w:left w:val="none" w:sz="0" w:space="0" w:color="auto"/>
        <w:bottom w:val="none" w:sz="0" w:space="0" w:color="auto"/>
        <w:right w:val="none" w:sz="0" w:space="0" w:color="auto"/>
      </w:divBdr>
    </w:div>
    <w:div w:id="752094368">
      <w:bodyDiv w:val="1"/>
      <w:marLeft w:val="0"/>
      <w:marRight w:val="0"/>
      <w:marTop w:val="0"/>
      <w:marBottom w:val="0"/>
      <w:divBdr>
        <w:top w:val="none" w:sz="0" w:space="0" w:color="auto"/>
        <w:left w:val="none" w:sz="0" w:space="0" w:color="auto"/>
        <w:bottom w:val="none" w:sz="0" w:space="0" w:color="auto"/>
        <w:right w:val="none" w:sz="0" w:space="0" w:color="auto"/>
      </w:divBdr>
    </w:div>
    <w:div w:id="173580872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35718BDEA548CC857309013F6655AE"/>
        <w:category>
          <w:name w:val="General"/>
          <w:gallery w:val="placeholder"/>
        </w:category>
        <w:types>
          <w:type w:val="bbPlcHdr"/>
        </w:types>
        <w:behaviors>
          <w:behavior w:val="content"/>
        </w:behaviors>
        <w:guid w:val="{C301AFB7-2F86-4C99-9DDA-C161B5146683}"/>
      </w:docPartPr>
      <w:docPartBody>
        <w:p w:rsidR="00E478EA" w:rsidRDefault="00E478EA">
          <w:pPr>
            <w:pStyle w:val="8E35718BDEA548CC857309013F6655A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EA"/>
    <w:rsid w:val="00384E51"/>
    <w:rsid w:val="003B07D1"/>
    <w:rsid w:val="004C10BC"/>
    <w:rsid w:val="008E2B8E"/>
    <w:rsid w:val="00E47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35718BDEA548CC857309013F6655AE">
    <w:name w:val="8E35718BDEA548CC857309013F6655AE"/>
  </w:style>
  <w:style w:type="paragraph" w:customStyle="1" w:styleId="162B4A4A8DF14ED8A161C3D89B6B8B40">
    <w:name w:val="162B4A4A8DF14ED8A161C3D89B6B8B40"/>
  </w:style>
  <w:style w:type="paragraph" w:customStyle="1" w:styleId="7DA5DEE1A22D48D499630DB912792C02">
    <w:name w:val="7DA5DEE1A22D48D499630DB912792C02"/>
  </w:style>
  <w:style w:type="paragraph" w:customStyle="1" w:styleId="26AA52B9385E4D23A2649F274CC9F271">
    <w:name w:val="26AA52B9385E4D23A2649F274CC9F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6015" ma:contentTypeDescription=" " ma:contentTypeScope="" ma:versionID="b22d34c726601ef268248ed19831646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2021RG-111-18198</_dlc_DocId>
    <_dlc_DocIdUrl xmlns="0f563589-9cf9-4143-b1eb-fb0534803d38">
      <Url>http://tweb/sites/rg/ldp/lmu/_layouts/15/DocIdRedir.aspx?ID=2021RG-111-18198</Url>
      <Description>2021RG-111-18198</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FCC6-E513-4DD2-ABB5-CBD16662C2A6}"/>
</file>

<file path=customXml/itemProps2.xml><?xml version="1.0" encoding="utf-8"?>
<ds:datastoreItem xmlns:ds="http://schemas.openxmlformats.org/officeDocument/2006/customXml" ds:itemID="{99AF4DBD-8174-4BF3-B959-18777A08BCD2}"/>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9f7bc583-7cbe-45b9-a2bd-8bbb6543b37e"/>
    <ds:schemaRef ds:uri="507a8a59-704d-43cf-b103-02b0cd527a9d"/>
    <ds:schemaRef ds:uri="http://www.w3.org/XML/1998/namespace"/>
    <ds:schemaRef ds:uri="http://purl.org/dc/dcmitype/"/>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0F33961D-B21D-457E-935C-D07360FC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6343</TotalTime>
  <Pages>5</Pages>
  <Words>1124</Words>
  <Characters>7558</Characters>
  <Application>Microsoft Office Word</Application>
  <DocSecurity>0</DocSecurity>
  <Lines>1259</Lines>
  <Paragraphs>289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Li, Annie</dc:creator>
  <cp:lastModifiedBy>Brinkley, Shelby</cp:lastModifiedBy>
  <cp:revision>85</cp:revision>
  <cp:lastPrinted>2019-02-17T23:23:00Z</cp:lastPrinted>
  <dcterms:created xsi:type="dcterms:W3CDTF">2021-01-18T05:14:00Z</dcterms:created>
  <dcterms:modified xsi:type="dcterms:W3CDTF">2021-02-16T01:33:00Z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15a54ddd-ba0a-4a77-b283-c2cc1cc87ef8</vt:lpwstr>
  </property>
  <property fmtid="{D5CDD505-2E9C-101B-9397-08002B2CF9AE}" pid="12" name="TSYTopic">
    <vt:lpwstr/>
  </property>
</Properties>
</file>