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5019A" w14:textId="3D04D9FE" w:rsidR="00B70B1D" w:rsidRPr="00D57976" w:rsidRDefault="00B70B1D" w:rsidP="00B70B1D">
      <w:pPr>
        <w:pStyle w:val="Heading1"/>
        <w:spacing w:before="120" w:after="120" w:line="240" w:lineRule="auto"/>
        <w:rPr>
          <w:b w:val="0"/>
          <w:bCs/>
          <w:spacing w:val="-2"/>
          <w:szCs w:val="28"/>
          <w:lang w:eastAsia="en-AU"/>
        </w:rPr>
      </w:pPr>
      <w:bookmarkStart w:id="0" w:name="_Toc408568581"/>
      <w:r w:rsidRPr="00D57976">
        <w:rPr>
          <w:bCs/>
          <w:i/>
          <w:spacing w:val="-2"/>
          <w:szCs w:val="28"/>
          <w:lang w:eastAsia="en-AU"/>
        </w:rPr>
        <w:t>Legislation (</w:t>
      </w:r>
      <w:r w:rsidR="000630EC">
        <w:rPr>
          <w:bCs/>
          <w:i/>
          <w:spacing w:val="-2"/>
          <w:szCs w:val="28"/>
          <w:lang w:eastAsia="en-AU"/>
        </w:rPr>
        <w:t>Telecommunications C</w:t>
      </w:r>
      <w:r w:rsidR="00F040B7">
        <w:rPr>
          <w:bCs/>
          <w:i/>
          <w:spacing w:val="-2"/>
          <w:szCs w:val="28"/>
          <w:lang w:eastAsia="en-AU"/>
        </w:rPr>
        <w:t>ustomer Service Guarantee</w:t>
      </w:r>
      <w:r w:rsidRPr="00D57976">
        <w:rPr>
          <w:bCs/>
          <w:i/>
          <w:spacing w:val="-2"/>
          <w:szCs w:val="28"/>
          <w:lang w:eastAsia="en-AU"/>
        </w:rPr>
        <w:t xml:space="preserve"> Instruments) Sunset-altering</w:t>
      </w:r>
      <w:r w:rsidR="00F040B7">
        <w:rPr>
          <w:bCs/>
          <w:i/>
          <w:spacing w:val="-2"/>
          <w:szCs w:val="28"/>
          <w:lang w:eastAsia="en-AU"/>
        </w:rPr>
        <w:t xml:space="preserve"> </w:t>
      </w:r>
      <w:r w:rsidRPr="00D57976">
        <w:rPr>
          <w:bCs/>
          <w:i/>
          <w:spacing w:val="-2"/>
          <w:szCs w:val="28"/>
          <w:lang w:eastAsia="en-AU"/>
        </w:rPr>
        <w:t>Declaration 20</w:t>
      </w:r>
      <w:r w:rsidR="003214C8">
        <w:rPr>
          <w:bCs/>
          <w:i/>
          <w:spacing w:val="-2"/>
          <w:szCs w:val="28"/>
          <w:lang w:eastAsia="en-AU"/>
        </w:rPr>
        <w:t>21</w:t>
      </w:r>
    </w:p>
    <w:p w14:paraId="3A5B6862" w14:textId="77777777" w:rsidR="00B70B1D" w:rsidRPr="00AE3ED3" w:rsidRDefault="00B70B1D" w:rsidP="00B70B1D">
      <w:pPr>
        <w:pStyle w:val="Heading1"/>
        <w:spacing w:before="120" w:after="120" w:line="240" w:lineRule="auto"/>
      </w:pPr>
      <w:r w:rsidRPr="00AE3ED3">
        <w:t>EXPLANATORY STATEMENT</w:t>
      </w:r>
    </w:p>
    <w:p w14:paraId="3102E77D" w14:textId="305D4785" w:rsidR="002B52F1" w:rsidRPr="002B52F1" w:rsidRDefault="002B52F1" w:rsidP="002B52F1">
      <w:pPr>
        <w:pBdr>
          <w:bottom w:val="single" w:sz="12" w:space="1" w:color="auto"/>
        </w:pBdr>
        <w:spacing w:before="120" w:after="120"/>
        <w:jc w:val="center"/>
        <w:rPr>
          <w:i/>
          <w:lang w:val="en-AU"/>
        </w:rPr>
      </w:pPr>
      <w:r w:rsidRPr="002B52F1">
        <w:rPr>
          <w:lang w:val="en-AU"/>
        </w:rPr>
        <w:t xml:space="preserve">Issued by the </w:t>
      </w:r>
      <w:r w:rsidR="00E137F9" w:rsidRPr="002B52F1">
        <w:rPr>
          <w:lang w:val="en-AU"/>
        </w:rPr>
        <w:t xml:space="preserve">Assistant Minister to the </w:t>
      </w:r>
      <w:r w:rsidRPr="002B52F1">
        <w:rPr>
          <w:lang w:val="en-AU"/>
        </w:rPr>
        <w:t xml:space="preserve">Attorney General in compliance with </w:t>
      </w:r>
      <w:r w:rsidRPr="002B52F1">
        <w:rPr>
          <w:lang w:val="en-AU"/>
        </w:rPr>
        <w:br/>
        <w:t xml:space="preserve">section 15G of the </w:t>
      </w:r>
      <w:r w:rsidRPr="002B52F1">
        <w:rPr>
          <w:i/>
          <w:lang w:val="en-AU"/>
        </w:rPr>
        <w:t xml:space="preserve">Legislation Act 2003. </w:t>
      </w:r>
    </w:p>
    <w:p w14:paraId="6D550C80" w14:textId="77777777" w:rsidR="00B70B1D" w:rsidRPr="009B2615" w:rsidRDefault="00B70B1D" w:rsidP="00B70B1D">
      <w:pPr>
        <w:pBdr>
          <w:bottom w:val="single" w:sz="12" w:space="1" w:color="auto"/>
        </w:pBdr>
        <w:spacing w:before="120" w:after="120"/>
        <w:jc w:val="center"/>
        <w:rPr>
          <w:i/>
          <w:sz w:val="4"/>
          <w:lang w:val="en-AU"/>
        </w:rPr>
      </w:pPr>
    </w:p>
    <w:p w14:paraId="72CD799E" w14:textId="77777777" w:rsidR="00B70B1D" w:rsidRDefault="00B70B1D" w:rsidP="00B70B1D">
      <w:pPr>
        <w:pStyle w:val="Heading2"/>
        <w:spacing w:before="120" w:after="120"/>
      </w:pPr>
      <w:r w:rsidRPr="0062450E">
        <w:t>INTRODUCTION</w:t>
      </w:r>
      <w:r>
        <w:t xml:space="preserve"> </w:t>
      </w:r>
    </w:p>
    <w:p w14:paraId="4FBF8AA0" w14:textId="4B713962" w:rsidR="00B70B1D" w:rsidRDefault="00B70B1D" w:rsidP="00381A3E">
      <w:pPr>
        <w:pStyle w:val="Basetext"/>
        <w:spacing w:before="120" w:after="120"/>
      </w:pPr>
      <w:r w:rsidRPr="0062450E">
        <w:t xml:space="preserve">The </w:t>
      </w:r>
      <w:r w:rsidRPr="00A43549">
        <w:rPr>
          <w:bCs/>
          <w:i/>
          <w:lang w:val="en-US"/>
        </w:rPr>
        <w:t>Legislation (</w:t>
      </w:r>
      <w:r w:rsidR="00F040B7">
        <w:rPr>
          <w:bCs/>
          <w:i/>
          <w:lang w:val="en-US"/>
        </w:rPr>
        <w:t xml:space="preserve">Telecommunications Customer Service Guarantee </w:t>
      </w:r>
      <w:r w:rsidRPr="00A43549">
        <w:rPr>
          <w:bCs/>
          <w:i/>
          <w:lang w:val="en-US"/>
        </w:rPr>
        <w:t xml:space="preserve">Instruments) </w:t>
      </w:r>
      <w:r w:rsidR="003214C8">
        <w:rPr>
          <w:bCs/>
          <w:i/>
          <w:lang w:val="en-US"/>
        </w:rPr>
        <w:t>Sunset-altering Declaration 2021</w:t>
      </w:r>
      <w:r w:rsidRPr="0062450E">
        <w:rPr>
          <w:bCs/>
          <w:i/>
        </w:rPr>
        <w:t xml:space="preserve"> </w:t>
      </w:r>
      <w:r w:rsidRPr="0062450E">
        <w:t xml:space="preserve">(the Declaration) is made under subsection 51A(1) of the </w:t>
      </w:r>
      <w:r w:rsidRPr="0062450E">
        <w:rPr>
          <w:i/>
        </w:rPr>
        <w:t>Legislation Act</w:t>
      </w:r>
      <w:r>
        <w:rPr>
          <w:i/>
        </w:rPr>
        <w:t> </w:t>
      </w:r>
      <w:r w:rsidRPr="0062450E">
        <w:rPr>
          <w:i/>
        </w:rPr>
        <w:t>2003</w:t>
      </w:r>
      <w:r w:rsidR="00055052">
        <w:rPr>
          <w:i/>
        </w:rPr>
        <w:t xml:space="preserve"> </w:t>
      </w:r>
      <w:r w:rsidR="00055052">
        <w:rPr>
          <w:iCs/>
        </w:rPr>
        <w:t>(the Legislation Act)</w:t>
      </w:r>
      <w:r w:rsidRPr="0062450E">
        <w:t>.</w:t>
      </w:r>
      <w:r w:rsidRPr="0062450E">
        <w:rPr>
          <w:i/>
        </w:rPr>
        <w:t xml:space="preserve"> </w:t>
      </w:r>
      <w:r w:rsidRPr="0062450E">
        <w:t>It is a legislative instrument for the purposes of the Legislation Act and must be registered on the Federal Register of Legislation. The</w:t>
      </w:r>
      <w:r w:rsidR="003214C8">
        <w:t xml:space="preserve"> </w:t>
      </w:r>
      <w:r w:rsidRPr="0062450E">
        <w:t>Declaration is subject to the disallowance provisions of the Legislation Act.</w:t>
      </w:r>
    </w:p>
    <w:p w14:paraId="0235E915" w14:textId="77777777" w:rsidR="00B70B1D" w:rsidRDefault="00B70B1D" w:rsidP="00381A3E">
      <w:pPr>
        <w:pStyle w:val="Basetext"/>
        <w:spacing w:before="120" w:after="120"/>
        <w:rPr>
          <w:b/>
        </w:rPr>
      </w:pPr>
      <w:r w:rsidRPr="0062450E">
        <w:rPr>
          <w:b/>
        </w:rPr>
        <w:t>OUTLINE</w:t>
      </w:r>
    </w:p>
    <w:p w14:paraId="693B6CA5" w14:textId="77777777" w:rsidR="00B70B1D" w:rsidRDefault="00B70B1D" w:rsidP="00381A3E">
      <w:pPr>
        <w:pStyle w:val="Basetext"/>
        <w:spacing w:before="120" w:after="120"/>
      </w:pPr>
      <w:r w:rsidRPr="0062450E">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14:paraId="27C3E19E" w14:textId="633A004D" w:rsidR="00B70B1D" w:rsidRDefault="00B70B1D" w:rsidP="00381A3E">
      <w:pPr>
        <w:pStyle w:val="Basetext"/>
        <w:spacing w:before="120" w:after="120"/>
      </w:pPr>
      <w:r w:rsidRPr="0062450E">
        <w:t xml:space="preserve">Subsection 50(1) of the Legislation Act provides that a legislative instrument is automatically repealed on the 1 April or 1 October immediately on or following the tenth anniversary of its registration, unless it was registered on 1 January 2005. </w:t>
      </w:r>
    </w:p>
    <w:p w14:paraId="7B3E5DD0" w14:textId="19ACDE27" w:rsidR="007F466C" w:rsidRDefault="00B70B1D" w:rsidP="00E137F9">
      <w:pPr>
        <w:pStyle w:val="Basetext"/>
        <w:spacing w:before="60" w:after="60"/>
      </w:pPr>
      <w:r w:rsidRPr="0062450E">
        <w:t xml:space="preserve">Under subsection 51A(1) of the Legislation Act, the Attorney-General </w:t>
      </w:r>
      <w:r w:rsidR="00055052">
        <w:t>may</w:t>
      </w:r>
      <w:r w:rsidR="00055052" w:rsidRPr="0062450E">
        <w:t xml:space="preserve"> </w:t>
      </w:r>
      <w:r w:rsidRPr="0062450E">
        <w:t>issue a declaration aligning the sunsetting days of two or more instruments</w:t>
      </w:r>
      <w:r w:rsidR="00793996">
        <w:t>, if satisfied</w:t>
      </w:r>
      <w:r w:rsidR="007F466C">
        <w:t xml:space="preserve"> on application by the rule-maker of the relevant instruments that:</w:t>
      </w:r>
    </w:p>
    <w:p w14:paraId="38BB934D" w14:textId="77777777" w:rsidR="007F466C" w:rsidRDefault="007F466C" w:rsidP="00E137F9">
      <w:pPr>
        <w:pStyle w:val="Heading2"/>
        <w:keepNext w:val="0"/>
        <w:keepLines w:val="0"/>
        <w:widowControl/>
        <w:numPr>
          <w:ilvl w:val="1"/>
          <w:numId w:val="3"/>
        </w:numPr>
        <w:spacing w:before="60" w:after="60" w:line="276" w:lineRule="auto"/>
        <w:rPr>
          <w:b w:val="0"/>
        </w:rPr>
      </w:pPr>
      <w:r w:rsidRPr="0062450E">
        <w:rPr>
          <w:b w:val="0"/>
        </w:rPr>
        <w:t>all the instruments to be reviewed</w:t>
      </w:r>
      <w:r>
        <w:rPr>
          <w:b w:val="0"/>
        </w:rPr>
        <w:t>:</w:t>
      </w:r>
    </w:p>
    <w:p w14:paraId="0F0ECEB6" w14:textId="77777777" w:rsidR="007F466C" w:rsidRPr="0062450E" w:rsidRDefault="007F466C" w:rsidP="00E137F9">
      <w:pPr>
        <w:pStyle w:val="Heading2"/>
        <w:keepNext w:val="0"/>
        <w:keepLines w:val="0"/>
        <w:widowControl/>
        <w:numPr>
          <w:ilvl w:val="2"/>
          <w:numId w:val="3"/>
        </w:numPr>
        <w:spacing w:before="60" w:after="60" w:line="276" w:lineRule="auto"/>
        <w:rPr>
          <w:b w:val="0"/>
        </w:rPr>
      </w:pPr>
      <w:r w:rsidRPr="0062450E">
        <w:rPr>
          <w:b w:val="0"/>
        </w:rPr>
        <w:t>would (in the absence of a declaration made under section 51A of the Legislation Act) be repealed by section 50 or 51 of the Legislation Act</w:t>
      </w:r>
      <w:r>
        <w:rPr>
          <w:b w:val="0"/>
        </w:rPr>
        <w:t>;</w:t>
      </w:r>
      <w:r w:rsidRPr="0062450E">
        <w:rPr>
          <w:b w:val="0"/>
        </w:rPr>
        <w:t xml:space="preserve"> and  </w:t>
      </w:r>
    </w:p>
    <w:p w14:paraId="461CD882" w14:textId="77777777" w:rsidR="007F466C" w:rsidRPr="0062450E" w:rsidRDefault="007F466C" w:rsidP="00E137F9">
      <w:pPr>
        <w:pStyle w:val="Heading2"/>
        <w:keepNext w:val="0"/>
        <w:keepLines w:val="0"/>
        <w:widowControl/>
        <w:numPr>
          <w:ilvl w:val="2"/>
          <w:numId w:val="3"/>
        </w:numPr>
        <w:spacing w:before="60" w:after="60" w:line="276" w:lineRule="auto"/>
        <w:rPr>
          <w:b w:val="0"/>
        </w:rPr>
      </w:pPr>
      <w:r w:rsidRPr="0062450E">
        <w:rPr>
          <w:b w:val="0"/>
        </w:rPr>
        <w:t>are or will be the subject of a single review</w:t>
      </w:r>
      <w:r>
        <w:rPr>
          <w:b w:val="0"/>
        </w:rPr>
        <w:t>;</w:t>
      </w:r>
      <w:r w:rsidRPr="0062450E">
        <w:rPr>
          <w:b w:val="0"/>
        </w:rPr>
        <w:t xml:space="preserve"> and </w:t>
      </w:r>
    </w:p>
    <w:p w14:paraId="5BAADC80" w14:textId="77777777" w:rsidR="007F466C" w:rsidRPr="0062450E" w:rsidRDefault="007F466C" w:rsidP="00E137F9">
      <w:pPr>
        <w:pStyle w:val="Heading2"/>
        <w:keepNext w:val="0"/>
        <w:keepLines w:val="0"/>
        <w:widowControl/>
        <w:numPr>
          <w:ilvl w:val="1"/>
          <w:numId w:val="3"/>
        </w:numPr>
        <w:spacing w:before="60" w:after="60" w:line="276" w:lineRule="auto"/>
        <w:rPr>
          <w:b w:val="0"/>
        </w:rPr>
      </w:pPr>
      <w:r w:rsidRPr="0062450E">
        <w:rPr>
          <w:b w:val="0"/>
        </w:rPr>
        <w:t xml:space="preserve">the making of the declaration will facilitate the undertaking of the review or the implementation of its findings.  </w:t>
      </w:r>
    </w:p>
    <w:p w14:paraId="45945A48" w14:textId="093CA603" w:rsidR="002B52F1" w:rsidRDefault="002B52F1" w:rsidP="00381A3E">
      <w:pPr>
        <w:pStyle w:val="Basetext"/>
        <w:spacing w:before="120" w:after="120"/>
      </w:pPr>
      <w:r w:rsidRPr="002B52F1">
        <w:rPr>
          <w:lang w:val="en-US"/>
        </w:rPr>
        <w:t>In this instance, the Assistant Minister to the Attorney-General is performing the functions of the Attorney-General</w:t>
      </w:r>
      <w:r w:rsidR="009B2615">
        <w:rPr>
          <w:lang w:val="en-US"/>
        </w:rPr>
        <w:t xml:space="preserve"> under the Legislation Act</w:t>
      </w:r>
      <w:r w:rsidRPr="002B52F1">
        <w:rPr>
          <w:lang w:val="en-US"/>
        </w:rPr>
        <w:t>.</w:t>
      </w:r>
    </w:p>
    <w:p w14:paraId="20B3358E" w14:textId="452D0257" w:rsidR="00B70B1D" w:rsidRDefault="007F466C" w:rsidP="00381A3E">
      <w:pPr>
        <w:pStyle w:val="Basetext"/>
        <w:spacing w:before="120" w:after="120"/>
      </w:pPr>
      <w:r>
        <w:t>The day specified in the sunset-altering declaration must be</w:t>
      </w:r>
      <w:r w:rsidR="00B70B1D" w:rsidRPr="0062450E">
        <w:t xml:space="preserve"> 1 April or 1 October of a year that is up to five years later than the earliest sunsetting day</w:t>
      </w:r>
      <w:r>
        <w:t xml:space="preserve"> of the instruments</w:t>
      </w:r>
      <w:r w:rsidR="00B70B1D" w:rsidRPr="0062450E">
        <w:t>. The instruments will then be repealed on the day specified in the declaration instead of the previously scheduled sunsetting day of each instrument. This allows instruments to continue to be in force for a further but limited period of time when they would otherwise sunset, or to sunset earlier than the originally scheduled sunsetting day.</w:t>
      </w:r>
    </w:p>
    <w:p w14:paraId="161A432F" w14:textId="432A75DF" w:rsidR="00B70B1D" w:rsidRDefault="00B70B1D" w:rsidP="00381A3E">
      <w:pPr>
        <w:pStyle w:val="Basetext"/>
        <w:spacing w:before="120" w:after="120"/>
      </w:pPr>
      <w:r w:rsidRPr="0062450E">
        <w:t xml:space="preserve">The objective of issuing a sunset-altering declaration is to facilitate either: the undertaking of a single review </w:t>
      </w:r>
      <w:r w:rsidR="001C3527">
        <w:t>of</w:t>
      </w:r>
      <w:r w:rsidR="001C3527" w:rsidRPr="0062450E">
        <w:t xml:space="preserve"> </w:t>
      </w:r>
      <w:r w:rsidRPr="0062450E">
        <w:t xml:space="preserve">the fitness-for-purpose of two or more thematically related legislative instruments; or the implementation of such a review’s findings. This reduces administrative burden as well as the possibility of legislative inconsistencies arising from reviewing and replacing related legislation at different times. </w:t>
      </w:r>
    </w:p>
    <w:p w14:paraId="08901734" w14:textId="6ABF8CA9" w:rsidR="00B70B1D" w:rsidRPr="00F040B7" w:rsidRDefault="00B70B1D" w:rsidP="00381A3E">
      <w:pPr>
        <w:pStyle w:val="Basetext"/>
        <w:spacing w:before="120" w:after="120"/>
      </w:pPr>
      <w:r w:rsidRPr="0062450E">
        <w:lastRenderedPageBreak/>
        <w:t xml:space="preserve">The Declaration aligns the sunsetting dates of the following instruments (together, the </w:t>
      </w:r>
      <w:r w:rsidR="000630EC">
        <w:t>CSG</w:t>
      </w:r>
      <w:r>
        <w:t xml:space="preserve"> Instruments) to </w:t>
      </w:r>
      <w:r w:rsidR="000630EC" w:rsidRPr="00F040B7">
        <w:t>1 October 2023</w:t>
      </w:r>
      <w:r w:rsidRPr="00F040B7">
        <w:t xml:space="preserve">: </w:t>
      </w:r>
    </w:p>
    <w:p w14:paraId="0AEC225A" w14:textId="56F08ED5" w:rsidR="00F040B7" w:rsidRPr="00F040B7" w:rsidRDefault="00F040B7" w:rsidP="00381A3E">
      <w:pPr>
        <w:pStyle w:val="Celltext"/>
        <w:numPr>
          <w:ilvl w:val="0"/>
          <w:numId w:val="1"/>
        </w:numPr>
        <w:spacing w:after="120" w:line="276" w:lineRule="auto"/>
        <w:rPr>
          <w:i/>
          <w:sz w:val="22"/>
          <w:szCs w:val="22"/>
        </w:rPr>
      </w:pPr>
      <w:r w:rsidRPr="00F040B7">
        <w:rPr>
          <w:sz w:val="22"/>
          <w:szCs w:val="22"/>
        </w:rPr>
        <w:t xml:space="preserve">the </w:t>
      </w:r>
      <w:r w:rsidRPr="00F040B7">
        <w:rPr>
          <w:rFonts w:eastAsiaTheme="minorHAnsi" w:cs="Arial"/>
          <w:i/>
          <w:iCs/>
          <w:sz w:val="22"/>
          <w:szCs w:val="22"/>
        </w:rPr>
        <w:t>Telecommunications (Customer Service Guarantee – Retail Performance Benchmarks) Instrument (No. 1)</w:t>
      </w:r>
      <w:r w:rsidR="001D395C">
        <w:rPr>
          <w:rFonts w:eastAsiaTheme="minorHAnsi" w:cs="Arial"/>
          <w:i/>
          <w:iCs/>
          <w:sz w:val="22"/>
          <w:szCs w:val="22"/>
        </w:rPr>
        <w:t xml:space="preserve"> 2011</w:t>
      </w:r>
      <w:r w:rsidR="007F466C">
        <w:rPr>
          <w:rFonts w:eastAsiaTheme="minorHAnsi" w:cs="Arial"/>
          <w:iCs/>
          <w:sz w:val="22"/>
          <w:szCs w:val="22"/>
        </w:rPr>
        <w:t xml:space="preserve"> (the CSG Benchmarks Instrument)</w:t>
      </w:r>
      <w:r w:rsidR="00552691">
        <w:rPr>
          <w:sz w:val="22"/>
          <w:szCs w:val="22"/>
        </w:rPr>
        <w:t>;</w:t>
      </w:r>
    </w:p>
    <w:p w14:paraId="1E44668F" w14:textId="65A4778A" w:rsidR="00F040B7" w:rsidRPr="00F040B7" w:rsidRDefault="00F040B7" w:rsidP="00381A3E">
      <w:pPr>
        <w:pStyle w:val="Celltext"/>
        <w:numPr>
          <w:ilvl w:val="0"/>
          <w:numId w:val="1"/>
        </w:numPr>
        <w:spacing w:after="120" w:line="276" w:lineRule="auto"/>
        <w:rPr>
          <w:i/>
          <w:sz w:val="22"/>
          <w:szCs w:val="22"/>
        </w:rPr>
      </w:pPr>
      <w:r w:rsidRPr="00F040B7">
        <w:rPr>
          <w:sz w:val="22"/>
          <w:szCs w:val="22"/>
        </w:rPr>
        <w:t xml:space="preserve">the </w:t>
      </w:r>
      <w:r w:rsidRPr="00F040B7">
        <w:rPr>
          <w:rFonts w:eastAsiaTheme="minorHAnsi" w:cs="Arial"/>
          <w:i/>
          <w:iCs/>
          <w:sz w:val="22"/>
          <w:szCs w:val="22"/>
        </w:rPr>
        <w:t>Telecommunications (Customer Service Guarantee) Amendment Standard 2011 (No. 1)</w:t>
      </w:r>
      <w:r w:rsidR="007F466C">
        <w:rPr>
          <w:rFonts w:eastAsiaTheme="minorHAnsi" w:cs="Arial"/>
          <w:iCs/>
          <w:sz w:val="22"/>
          <w:szCs w:val="22"/>
        </w:rPr>
        <w:t xml:space="preserve"> (the CSG Amendment Standard)</w:t>
      </w:r>
      <w:r w:rsidRPr="00F040B7">
        <w:rPr>
          <w:sz w:val="22"/>
          <w:szCs w:val="22"/>
        </w:rPr>
        <w:t xml:space="preserve">; </w:t>
      </w:r>
    </w:p>
    <w:p w14:paraId="69142499" w14:textId="718AD421" w:rsidR="00F040B7" w:rsidRPr="00F040B7" w:rsidRDefault="00F040B7" w:rsidP="00381A3E">
      <w:pPr>
        <w:pStyle w:val="Celltext"/>
        <w:numPr>
          <w:ilvl w:val="0"/>
          <w:numId w:val="1"/>
        </w:numPr>
        <w:spacing w:after="120" w:line="276" w:lineRule="auto"/>
        <w:rPr>
          <w:i/>
          <w:sz w:val="22"/>
          <w:szCs w:val="22"/>
        </w:rPr>
      </w:pPr>
      <w:r w:rsidRPr="00F040B7">
        <w:rPr>
          <w:sz w:val="22"/>
          <w:szCs w:val="22"/>
        </w:rPr>
        <w:t xml:space="preserve">the </w:t>
      </w:r>
      <w:r w:rsidRPr="00F040B7">
        <w:rPr>
          <w:rFonts w:eastAsiaTheme="minorHAnsi" w:cs="Arial"/>
          <w:i/>
          <w:iCs/>
          <w:sz w:val="22"/>
          <w:szCs w:val="22"/>
        </w:rPr>
        <w:t>Telecommunications (Customer Service Guarantee) Record</w:t>
      </w:r>
      <w:r w:rsidR="001C3527">
        <w:rPr>
          <w:rFonts w:eastAsiaTheme="minorHAnsi" w:cs="Arial"/>
          <w:i/>
          <w:iCs/>
          <w:sz w:val="22"/>
          <w:szCs w:val="22"/>
        </w:rPr>
        <w:t>-</w:t>
      </w:r>
      <w:r w:rsidRPr="00F040B7">
        <w:rPr>
          <w:rFonts w:eastAsiaTheme="minorHAnsi" w:cs="Arial"/>
          <w:i/>
          <w:iCs/>
          <w:sz w:val="22"/>
          <w:szCs w:val="22"/>
        </w:rPr>
        <w:t>Keeping Rules 2011</w:t>
      </w:r>
      <w:r w:rsidR="007F466C">
        <w:rPr>
          <w:rFonts w:eastAsiaTheme="minorHAnsi" w:cs="Arial"/>
          <w:iCs/>
          <w:sz w:val="22"/>
          <w:szCs w:val="22"/>
        </w:rPr>
        <w:t xml:space="preserve"> (the CSG RKRs)</w:t>
      </w:r>
      <w:r w:rsidRPr="00F040B7">
        <w:rPr>
          <w:sz w:val="22"/>
          <w:szCs w:val="22"/>
        </w:rPr>
        <w:t>; and</w:t>
      </w:r>
    </w:p>
    <w:p w14:paraId="1AD6D10D" w14:textId="75F8DE83" w:rsidR="00B70B1D" w:rsidRPr="00F040B7" w:rsidRDefault="00B70B1D" w:rsidP="00381A3E">
      <w:pPr>
        <w:pStyle w:val="Celltext"/>
        <w:numPr>
          <w:ilvl w:val="0"/>
          <w:numId w:val="1"/>
        </w:numPr>
        <w:spacing w:after="120" w:line="276" w:lineRule="auto"/>
        <w:rPr>
          <w:i/>
          <w:sz w:val="22"/>
          <w:szCs w:val="22"/>
        </w:rPr>
      </w:pPr>
      <w:r w:rsidRPr="00F040B7">
        <w:rPr>
          <w:sz w:val="22"/>
          <w:szCs w:val="22"/>
        </w:rPr>
        <w:t xml:space="preserve">the </w:t>
      </w:r>
      <w:r w:rsidR="000630EC" w:rsidRPr="00F040B7">
        <w:rPr>
          <w:rFonts w:eastAsiaTheme="minorHAnsi" w:cs="Arial"/>
          <w:i/>
          <w:iCs/>
          <w:sz w:val="22"/>
          <w:szCs w:val="22"/>
        </w:rPr>
        <w:t>Telecommunications (Customer Service Guarantee) Standard 2011</w:t>
      </w:r>
      <w:r w:rsidR="007F466C">
        <w:rPr>
          <w:rFonts w:eastAsiaTheme="minorHAnsi" w:cs="Arial"/>
          <w:iCs/>
          <w:sz w:val="22"/>
          <w:szCs w:val="22"/>
        </w:rPr>
        <w:t xml:space="preserve"> (the CSG Standard)</w:t>
      </w:r>
      <w:r w:rsidR="00F040B7" w:rsidRPr="00F040B7">
        <w:rPr>
          <w:sz w:val="22"/>
          <w:szCs w:val="22"/>
        </w:rPr>
        <w:t>.</w:t>
      </w:r>
    </w:p>
    <w:p w14:paraId="321A5525" w14:textId="2F2FC5EC" w:rsidR="0040657C" w:rsidRDefault="00513626" w:rsidP="00381A3E">
      <w:pPr>
        <w:pStyle w:val="Basetext"/>
        <w:spacing w:before="120" w:after="120"/>
      </w:pPr>
      <w:r w:rsidRPr="00580CDD">
        <w:t xml:space="preserve">The </w:t>
      </w:r>
      <w:r w:rsidR="007F466C">
        <w:t>Customer Service Guarantee (</w:t>
      </w:r>
      <w:r w:rsidRPr="00580CDD">
        <w:t>CSG</w:t>
      </w:r>
      <w:r w:rsidR="007F466C">
        <w:t>)</w:t>
      </w:r>
      <w:r w:rsidRPr="00580CDD">
        <w:t xml:space="preserve"> is a safeguard </w:t>
      </w:r>
      <w:r>
        <w:t xml:space="preserve">for telephone users </w:t>
      </w:r>
      <w:r w:rsidR="00F800D1">
        <w:t>and has the greatest impact on</w:t>
      </w:r>
      <w:r>
        <w:t xml:space="preserve"> Telstra</w:t>
      </w:r>
      <w:r w:rsidR="00F800D1">
        <w:t xml:space="preserve"> as the Universal Service Provider. The CSG sets</w:t>
      </w:r>
      <w:r>
        <w:t xml:space="preserve"> out timeframes for connection, fault repair and appointment keeping and providing for payments where these timeframes are not met. </w:t>
      </w:r>
      <w:r w:rsidR="0040657C" w:rsidRPr="001A481B">
        <w:t xml:space="preserve">The CSG Instruments </w:t>
      </w:r>
      <w:r w:rsidR="0040657C">
        <w:t xml:space="preserve">also </w:t>
      </w:r>
      <w:r w:rsidR="0040657C" w:rsidRPr="001A481B">
        <w:t xml:space="preserve">provide the timeframes and performance benchmarks for connection and repair </w:t>
      </w:r>
      <w:r w:rsidR="0040657C">
        <w:t xml:space="preserve">under the </w:t>
      </w:r>
      <w:r w:rsidR="0040657C" w:rsidRPr="001A481B">
        <w:t>universal service obligation (USO) covering voice telephone services.</w:t>
      </w:r>
    </w:p>
    <w:p w14:paraId="32616B58" w14:textId="10EBD89C" w:rsidR="00513626" w:rsidRPr="00580CDD" w:rsidRDefault="00513626" w:rsidP="00381A3E">
      <w:pPr>
        <w:pStyle w:val="Basetext"/>
        <w:spacing w:before="120" w:after="120"/>
      </w:pPr>
      <w:r>
        <w:t xml:space="preserve">Deferring the sunsetting of the CSG </w:t>
      </w:r>
      <w:r w:rsidR="007F466C">
        <w:t>I</w:t>
      </w:r>
      <w:r>
        <w:t xml:space="preserve">nstruments will keep the CSG in operation pending a thematic review of the CSG </w:t>
      </w:r>
      <w:r w:rsidR="007F466C">
        <w:t xml:space="preserve">Instruments </w:t>
      </w:r>
      <w:r>
        <w:t xml:space="preserve">by the new sunsetting day. The thematic review will be able to have regard to wider changes taking place in the telecommunications industry. </w:t>
      </w:r>
      <w:r w:rsidR="00D8250B">
        <w:t xml:space="preserve">The ongoing operation of the CSG will further support </w:t>
      </w:r>
      <w:r w:rsidR="00D8250B" w:rsidRPr="00D8250B">
        <w:t xml:space="preserve">the Government’s ongoing commitment to the USO </w:t>
      </w:r>
      <w:r w:rsidR="00D8250B">
        <w:t xml:space="preserve">and the wider Universal Service Guarantee (USG), of which the USO is now part, </w:t>
      </w:r>
      <w:r w:rsidR="00D8250B" w:rsidRPr="00D8250B">
        <w:t xml:space="preserve">as indicated in the media release </w:t>
      </w:r>
      <w:r w:rsidR="00D8250B">
        <w:t xml:space="preserve">of the </w:t>
      </w:r>
      <w:r w:rsidR="00D8250B" w:rsidRPr="00D8250B">
        <w:t>then Minister for Communications and Arts on 5 December 2018</w:t>
      </w:r>
      <w:r w:rsidR="00D8250B">
        <w:t>.</w:t>
      </w:r>
    </w:p>
    <w:p w14:paraId="5AAF2605" w14:textId="77777777" w:rsidR="00B70B1D" w:rsidRDefault="00B70B1D" w:rsidP="00381A3E">
      <w:pPr>
        <w:pStyle w:val="Heading2"/>
        <w:spacing w:before="120" w:after="120" w:line="276" w:lineRule="auto"/>
      </w:pPr>
      <w:r w:rsidRPr="0062450E">
        <w:t xml:space="preserve">PROCESS BEFORE DECLARATION WAS MADE </w:t>
      </w:r>
    </w:p>
    <w:p w14:paraId="0C526F4D" w14:textId="77777777" w:rsidR="00B70B1D" w:rsidRDefault="00B70B1D" w:rsidP="00381A3E">
      <w:pPr>
        <w:pStyle w:val="Heading3"/>
        <w:spacing w:before="120" w:after="120" w:line="276" w:lineRule="auto"/>
      </w:pPr>
      <w:r w:rsidRPr="0062450E">
        <w:t>Regulatory impact analysis</w:t>
      </w:r>
    </w:p>
    <w:p w14:paraId="51849C83" w14:textId="77777777" w:rsidR="00B70B1D" w:rsidRDefault="00B70B1D" w:rsidP="00381A3E">
      <w:pPr>
        <w:spacing w:before="120" w:after="120" w:line="276" w:lineRule="auto"/>
        <w:rPr>
          <w:sz w:val="22"/>
          <w:szCs w:val="22"/>
        </w:rPr>
      </w:pPr>
      <w:r w:rsidRPr="0062450E">
        <w:rPr>
          <w:sz w:val="22"/>
          <w:szCs w:val="22"/>
        </w:rPr>
        <w:t xml:space="preserve">Sunset-altering declarations are machinery of government instruments, and are therefore not subject to the regulatory impact assessment requirements set out by the Office of Best Practice Regulation (OBPR). The OBPR reference for this standing exemption is ID 19486. </w:t>
      </w:r>
    </w:p>
    <w:p w14:paraId="677528A0" w14:textId="77777777" w:rsidR="00B70B1D" w:rsidRDefault="00B70B1D" w:rsidP="00381A3E">
      <w:pPr>
        <w:pStyle w:val="Heading3"/>
        <w:spacing w:before="120" w:after="120" w:line="276" w:lineRule="auto"/>
      </w:pPr>
      <w:r w:rsidRPr="0062450E">
        <w:t xml:space="preserve">Consultation before making </w:t>
      </w:r>
    </w:p>
    <w:p w14:paraId="14A47691" w14:textId="715023C4" w:rsidR="00B70B1D" w:rsidRDefault="00B70B1D" w:rsidP="00381A3E">
      <w:pPr>
        <w:pStyle w:val="Basetext"/>
        <w:spacing w:before="120" w:after="120"/>
      </w:pPr>
      <w:r>
        <w:t xml:space="preserve">Before the Declaration </w:t>
      </w:r>
      <w:r w:rsidRPr="0062450E">
        <w:t xml:space="preserve">was issued, the </w:t>
      </w:r>
      <w:r w:rsidR="0023355C">
        <w:t xml:space="preserve">Assistant Minister </w:t>
      </w:r>
      <w:r w:rsidR="0023355C">
        <w:t xml:space="preserve">to the </w:t>
      </w:r>
      <w:r w:rsidRPr="0062450E">
        <w:t>Attorney</w:t>
      </w:r>
      <w:r w:rsidRPr="0062450E">
        <w:noBreakHyphen/>
        <w:t xml:space="preserve">General considered the general obligation to consult imposed by section 17 of the Legislation Act. </w:t>
      </w:r>
    </w:p>
    <w:p w14:paraId="3EB3F3FE" w14:textId="462E0BBA" w:rsidR="00B70B1D" w:rsidRPr="00F040B7" w:rsidRDefault="00B70B1D" w:rsidP="009B2615">
      <w:pPr>
        <w:pStyle w:val="Basetext"/>
        <w:spacing w:before="120" w:after="120"/>
        <w:rPr>
          <w:i/>
        </w:rPr>
      </w:pPr>
      <w:r w:rsidRPr="00F040B7">
        <w:t xml:space="preserve">The Hon Paul Fletcher MP is the Minister for Communications, </w:t>
      </w:r>
      <w:r w:rsidR="00EE2D06">
        <w:t>Urban Infrastructure, Cities</w:t>
      </w:r>
      <w:r w:rsidRPr="00F040B7">
        <w:t xml:space="preserve"> and the Arts, and is the relevant rule</w:t>
      </w:r>
      <w:r w:rsidRPr="00F040B7">
        <w:noBreakHyphen/>
        <w:t xml:space="preserve">maker for the purposes of section 6 of the Legislation Act for </w:t>
      </w:r>
      <w:r w:rsidR="000D0AF2">
        <w:rPr>
          <w:rFonts w:eastAsiaTheme="minorHAnsi" w:cs="Arial"/>
          <w:iCs/>
        </w:rPr>
        <w:t>the CSG Benchmarks Instrument.</w:t>
      </w:r>
      <w:r w:rsidR="009B2615">
        <w:rPr>
          <w:rFonts w:eastAsiaTheme="minorHAnsi" w:cs="Arial"/>
          <w:iCs/>
        </w:rPr>
        <w:t xml:space="preserve"> </w:t>
      </w:r>
      <w:r w:rsidRPr="00F040B7">
        <w:t xml:space="preserve">The Australian Communications and Media Authority (ACMA) is </w:t>
      </w:r>
      <w:r w:rsidR="0080473A" w:rsidRPr="00F040B7">
        <w:t xml:space="preserve">the relevant rule maker for the </w:t>
      </w:r>
      <w:r w:rsidR="000D0AF2" w:rsidRPr="000D0AF2">
        <w:rPr>
          <w:rFonts w:eastAsiaTheme="minorHAnsi" w:cs="Arial"/>
          <w:iCs/>
        </w:rPr>
        <w:t>CSG</w:t>
      </w:r>
      <w:r w:rsidR="0080473A" w:rsidRPr="000D0AF2">
        <w:rPr>
          <w:rFonts w:eastAsiaTheme="minorHAnsi" w:cs="Arial"/>
          <w:iCs/>
        </w:rPr>
        <w:t xml:space="preserve"> Amendment Standard</w:t>
      </w:r>
      <w:r w:rsidR="00F040B7">
        <w:t>,</w:t>
      </w:r>
      <w:r w:rsidR="0080473A" w:rsidRPr="00F040B7">
        <w:t xml:space="preserve"> the </w:t>
      </w:r>
      <w:r w:rsidR="00356781">
        <w:t xml:space="preserve">CSG </w:t>
      </w:r>
      <w:r w:rsidR="000D0AF2">
        <w:t>RKRs</w:t>
      </w:r>
      <w:r w:rsidR="00F040B7" w:rsidRPr="00F040B7">
        <w:rPr>
          <w:rFonts w:eastAsiaTheme="minorHAnsi" w:cs="Arial"/>
          <w:iCs/>
        </w:rPr>
        <w:t xml:space="preserve">, and </w:t>
      </w:r>
      <w:r w:rsidR="00F040B7" w:rsidRPr="00F040B7">
        <w:t xml:space="preserve">the </w:t>
      </w:r>
      <w:r w:rsidR="000D0AF2">
        <w:t>CSG Standard.</w:t>
      </w:r>
    </w:p>
    <w:p w14:paraId="2EA996C4" w14:textId="194A4D0E" w:rsidR="00453DD4" w:rsidRDefault="00B70B1D" w:rsidP="00381A3E">
      <w:pPr>
        <w:pStyle w:val="Basetext"/>
        <w:spacing w:before="120" w:after="120"/>
      </w:pPr>
      <w:r w:rsidRPr="00F040B7">
        <w:t xml:space="preserve">The </w:t>
      </w:r>
      <w:r w:rsidR="00793996">
        <w:t xml:space="preserve">then Minister for Communications, Cyber Safety and the Arts (now the </w:t>
      </w:r>
      <w:r w:rsidRPr="00F040B7">
        <w:t xml:space="preserve">Minister for Communications, </w:t>
      </w:r>
      <w:r w:rsidR="003D6E05">
        <w:t>Urban Infrastructure, Cities</w:t>
      </w:r>
      <w:r w:rsidR="000A61AF" w:rsidRPr="00F040B7">
        <w:t xml:space="preserve"> and the Arts</w:t>
      </w:r>
      <w:r w:rsidR="00793996">
        <w:t>)</w:t>
      </w:r>
      <w:r w:rsidR="000A61AF" w:rsidRPr="00F040B7">
        <w:t xml:space="preserve"> and </w:t>
      </w:r>
      <w:r w:rsidR="00F040B7" w:rsidRPr="00F040B7">
        <w:t xml:space="preserve">the Chair of </w:t>
      </w:r>
      <w:r w:rsidR="000A61AF" w:rsidRPr="00F040B7">
        <w:t>A</w:t>
      </w:r>
      <w:r w:rsidRPr="00F040B7">
        <w:t>C</w:t>
      </w:r>
      <w:r w:rsidR="000A61AF" w:rsidRPr="00F040B7">
        <w:t>M</w:t>
      </w:r>
      <w:r w:rsidRPr="00F040B7">
        <w:t xml:space="preserve">A </w:t>
      </w:r>
      <w:r w:rsidR="00A75105">
        <w:t xml:space="preserve">jointly prepared and </w:t>
      </w:r>
      <w:r w:rsidR="009B2615">
        <w:t>approved the application to the</w:t>
      </w:r>
      <w:r w:rsidR="0023355C">
        <w:t xml:space="preserve"> </w:t>
      </w:r>
      <w:r w:rsidRPr="00F040B7">
        <w:t>Attorney</w:t>
      </w:r>
      <w:r w:rsidRPr="00F040B7">
        <w:noBreakHyphen/>
        <w:t xml:space="preserve">General setting out the reasons in support of issuing the </w:t>
      </w:r>
      <w:r w:rsidR="005F2F73">
        <w:t>Declaration</w:t>
      </w:r>
      <w:r w:rsidRPr="00F040B7">
        <w:t>.</w:t>
      </w:r>
      <w:r w:rsidR="00A75105">
        <w:t xml:space="preserve"> </w:t>
      </w:r>
      <w:r w:rsidR="009B2615">
        <w:t>In this instance, the application was considered by the Assistant Minister to the Attorney-General.</w:t>
      </w:r>
    </w:p>
    <w:p w14:paraId="0E125F60" w14:textId="0EC05BCF" w:rsidR="00453DD4" w:rsidRDefault="0040657C" w:rsidP="00381A3E">
      <w:pPr>
        <w:pStyle w:val="Basetext"/>
        <w:spacing w:before="120" w:after="120"/>
      </w:pPr>
      <w:r>
        <w:t>In preparing this application, the Minister and the Chair of ACMA had regard to relevant consultation undertaken over a number of years</w:t>
      </w:r>
      <w:r w:rsidR="00453DD4">
        <w:t xml:space="preserve">, including on the universal service obligation (USO) which the CSG supports, as well as the CSG itself. </w:t>
      </w:r>
      <w:r>
        <w:t xml:space="preserve">This </w:t>
      </w:r>
      <w:r w:rsidR="00453DD4">
        <w:t>has involved</w:t>
      </w:r>
      <w:r>
        <w:t xml:space="preserve"> frequent engagement with the Australian Communications Consumer Action Network (ACCAN) and other members of the Regional, Rural and Remote Consumer Coalition (RRRCC). It is clear from this engagement they continue to </w:t>
      </w:r>
      <w:r w:rsidR="00A40FAC">
        <w:t xml:space="preserve">support </w:t>
      </w:r>
      <w:r w:rsidR="00453DD4">
        <w:lastRenderedPageBreak/>
        <w:t xml:space="preserve">the current </w:t>
      </w:r>
      <w:r>
        <w:t>arrangements</w:t>
      </w:r>
      <w:r w:rsidR="00453DD4">
        <w:t xml:space="preserve"> pending further review</w:t>
      </w:r>
      <w:r>
        <w:t xml:space="preserve">. </w:t>
      </w:r>
      <w:r w:rsidR="00453DD4">
        <w:t xml:space="preserve">Conversely, industry has called for further review and potential reform of these arrangements, but has not generally focused on their operational details, to which the CSG Instruments concerned here relate. </w:t>
      </w:r>
    </w:p>
    <w:p w14:paraId="41584933" w14:textId="596DFDFA" w:rsidR="0040657C" w:rsidRDefault="0040657C" w:rsidP="00381A3E">
      <w:pPr>
        <w:pStyle w:val="Basetext"/>
        <w:spacing w:before="120" w:after="120"/>
      </w:pPr>
      <w:r>
        <w:t>Prior to the Minister an</w:t>
      </w:r>
      <w:r w:rsidR="009B2615">
        <w:t>d the ACMA Chair writing to the</w:t>
      </w:r>
      <w:r w:rsidR="0023355C">
        <w:t xml:space="preserve"> </w:t>
      </w:r>
      <w:r>
        <w:t>Attorney-General regarding the thematic review of the CSG Instruments, t</w:t>
      </w:r>
      <w:r w:rsidR="00A75105">
        <w:t xml:space="preserve">he Department </w:t>
      </w:r>
      <w:r w:rsidR="00BF09D7">
        <w:t xml:space="preserve">of Infrastructure, Transport, Regional Development and Communications </w:t>
      </w:r>
      <w:r>
        <w:t xml:space="preserve">also </w:t>
      </w:r>
      <w:r w:rsidR="00A75105">
        <w:t xml:space="preserve">canvassed </w:t>
      </w:r>
      <w:r>
        <w:t>a thematic review</w:t>
      </w:r>
      <w:r w:rsidR="00A75105">
        <w:t xml:space="preserve"> </w:t>
      </w:r>
      <w:r w:rsidR="00095F87">
        <w:t xml:space="preserve">of the CSG Instruments </w:t>
      </w:r>
      <w:r w:rsidR="00A75105">
        <w:t>with Telstra</w:t>
      </w:r>
      <w:r w:rsidR="00095F87">
        <w:t>, given the CSG has the greatest impact on Telstra</w:t>
      </w:r>
      <w:r w:rsidR="00A75105">
        <w:t xml:space="preserve"> as the </w:t>
      </w:r>
      <w:r w:rsidR="00095F87">
        <w:t>Universal Service Provider.</w:t>
      </w:r>
      <w:r w:rsidR="00A75105">
        <w:t xml:space="preserve"> </w:t>
      </w:r>
      <w:r>
        <w:t>Telstra did not raise any significant concerns.</w:t>
      </w:r>
      <w:r w:rsidR="00453DD4">
        <w:t xml:space="preserve"> Prior to the making of this </w:t>
      </w:r>
      <w:r w:rsidR="00095F87">
        <w:t>D</w:t>
      </w:r>
      <w:r w:rsidR="00120356">
        <w:t>eclaration</w:t>
      </w:r>
      <w:r w:rsidR="00453DD4">
        <w:t xml:space="preserve"> the Department also confirmed with ACCAN </w:t>
      </w:r>
      <w:r w:rsidR="00A40FAC">
        <w:t>its</w:t>
      </w:r>
      <w:r w:rsidR="00453DD4">
        <w:t xml:space="preserve"> support for continuation of the CSG Instrument pending further review.</w:t>
      </w:r>
    </w:p>
    <w:p w14:paraId="6EEE6C57" w14:textId="252BC5B7" w:rsidR="00B70B1D" w:rsidRDefault="00A75105" w:rsidP="00381A3E">
      <w:pPr>
        <w:pStyle w:val="Basetext"/>
        <w:spacing w:before="120" w:after="120"/>
      </w:pPr>
      <w:r>
        <w:t>Broader consultation with relevant or affected stakeholders will occur as part of the proposed thematic review</w:t>
      </w:r>
      <w:r w:rsidR="00924BD7">
        <w:t xml:space="preserve"> which will need to take place before the proposed new sunsetting date</w:t>
      </w:r>
      <w:r>
        <w:t>.</w:t>
      </w:r>
    </w:p>
    <w:p w14:paraId="24212EE1" w14:textId="042BBEA6" w:rsidR="00381A3E" w:rsidRDefault="00381A3E" w:rsidP="00381A3E">
      <w:pPr>
        <w:pStyle w:val="Basetext"/>
        <w:spacing w:before="120" w:after="120"/>
      </w:pPr>
      <w:r>
        <w:t xml:space="preserve">Accordingly, further consultation on the Declaration was considered unnecessary. Any replacement instruments would be subject to parliamentary oversight, including whether adequate consultation occurred with persons likely to be affected by the instruments. </w:t>
      </w:r>
    </w:p>
    <w:p w14:paraId="4BBF4475" w14:textId="6D8A7A06" w:rsidR="00B70B1D" w:rsidRDefault="00B70B1D" w:rsidP="00381A3E">
      <w:pPr>
        <w:pStyle w:val="Heading3"/>
        <w:spacing w:before="120" w:after="120" w:line="276" w:lineRule="auto"/>
      </w:pPr>
      <w:r w:rsidRPr="0062450E">
        <w:t xml:space="preserve">Statutory preconditions relevant to the </w:t>
      </w:r>
      <w:r w:rsidR="003B0610">
        <w:t>Declaration</w:t>
      </w:r>
    </w:p>
    <w:p w14:paraId="03B22A47" w14:textId="62008C12" w:rsidR="00B70B1D" w:rsidRPr="0062450E" w:rsidRDefault="00B70B1D" w:rsidP="00381A3E">
      <w:pPr>
        <w:pStyle w:val="Heading2"/>
        <w:spacing w:before="120" w:after="120" w:line="276" w:lineRule="auto"/>
        <w:ind w:left="11" w:hanging="11"/>
        <w:rPr>
          <w:b w:val="0"/>
        </w:rPr>
      </w:pPr>
      <w:r w:rsidRPr="0062450E">
        <w:rPr>
          <w:b w:val="0"/>
        </w:rPr>
        <w:t xml:space="preserve">In order to align the sunsetting day of two or more instruments, the Attorney-General must be satisfied on written application from the relevant rule-maker that the statutory conditions in paragraphs 51A(1)(a) and (b) of the Legislation Act are met. The statutory conditions are that: </w:t>
      </w:r>
    </w:p>
    <w:p w14:paraId="74E8D8BC" w14:textId="77777777" w:rsidR="001E1FDA" w:rsidRDefault="00B70B1D" w:rsidP="00381A3E">
      <w:pPr>
        <w:pStyle w:val="Heading2"/>
        <w:keepNext w:val="0"/>
        <w:keepLines w:val="0"/>
        <w:widowControl/>
        <w:numPr>
          <w:ilvl w:val="1"/>
          <w:numId w:val="15"/>
        </w:numPr>
        <w:spacing w:before="120" w:after="120" w:line="276" w:lineRule="auto"/>
        <w:rPr>
          <w:b w:val="0"/>
        </w:rPr>
      </w:pPr>
      <w:r w:rsidRPr="0062450E">
        <w:rPr>
          <w:b w:val="0"/>
        </w:rPr>
        <w:t>all the instruments to be reviewed</w:t>
      </w:r>
      <w:r w:rsidR="001E1FDA">
        <w:rPr>
          <w:b w:val="0"/>
        </w:rPr>
        <w:t>:</w:t>
      </w:r>
    </w:p>
    <w:p w14:paraId="650C9D3D" w14:textId="695E2AF7" w:rsidR="00B70B1D" w:rsidRPr="0062450E" w:rsidRDefault="00B70B1D" w:rsidP="00381A3E">
      <w:pPr>
        <w:pStyle w:val="Heading2"/>
        <w:keepNext w:val="0"/>
        <w:keepLines w:val="0"/>
        <w:widowControl/>
        <w:numPr>
          <w:ilvl w:val="2"/>
          <w:numId w:val="15"/>
        </w:numPr>
        <w:spacing w:before="120" w:after="120" w:line="276" w:lineRule="auto"/>
        <w:rPr>
          <w:b w:val="0"/>
        </w:rPr>
      </w:pPr>
      <w:r w:rsidRPr="0062450E">
        <w:rPr>
          <w:b w:val="0"/>
        </w:rPr>
        <w:t>would (in the absence of a declaration made under section 51A of the Legislation Act) be repealed by section 50 or 51 of the Legislation Act</w:t>
      </w:r>
      <w:r w:rsidR="001E1FDA">
        <w:rPr>
          <w:b w:val="0"/>
        </w:rPr>
        <w:t>;</w:t>
      </w:r>
      <w:r w:rsidRPr="0062450E">
        <w:rPr>
          <w:b w:val="0"/>
        </w:rPr>
        <w:t xml:space="preserve"> and  </w:t>
      </w:r>
    </w:p>
    <w:p w14:paraId="2FF916E3" w14:textId="7C744DE0" w:rsidR="00B70B1D" w:rsidRPr="0062450E" w:rsidRDefault="00B70B1D" w:rsidP="00381A3E">
      <w:pPr>
        <w:pStyle w:val="Heading2"/>
        <w:keepNext w:val="0"/>
        <w:keepLines w:val="0"/>
        <w:widowControl/>
        <w:numPr>
          <w:ilvl w:val="2"/>
          <w:numId w:val="15"/>
        </w:numPr>
        <w:spacing w:before="120" w:after="120" w:line="276" w:lineRule="auto"/>
        <w:rPr>
          <w:b w:val="0"/>
        </w:rPr>
      </w:pPr>
      <w:r w:rsidRPr="0062450E">
        <w:rPr>
          <w:b w:val="0"/>
        </w:rPr>
        <w:t>are or will be the subject of a single review</w:t>
      </w:r>
      <w:r w:rsidR="001E1FDA">
        <w:rPr>
          <w:b w:val="0"/>
        </w:rPr>
        <w:t>;</w:t>
      </w:r>
      <w:r w:rsidRPr="0062450E">
        <w:rPr>
          <w:b w:val="0"/>
        </w:rPr>
        <w:t xml:space="preserve"> and </w:t>
      </w:r>
    </w:p>
    <w:p w14:paraId="01EFC142" w14:textId="77777777" w:rsidR="00B70B1D" w:rsidRPr="0062450E" w:rsidRDefault="00B70B1D" w:rsidP="00381A3E">
      <w:pPr>
        <w:pStyle w:val="Heading2"/>
        <w:keepNext w:val="0"/>
        <w:keepLines w:val="0"/>
        <w:widowControl/>
        <w:numPr>
          <w:ilvl w:val="1"/>
          <w:numId w:val="15"/>
        </w:numPr>
        <w:spacing w:before="120" w:after="120" w:line="276" w:lineRule="auto"/>
        <w:rPr>
          <w:b w:val="0"/>
        </w:rPr>
      </w:pPr>
      <w:r w:rsidRPr="0062450E">
        <w:rPr>
          <w:b w:val="0"/>
        </w:rPr>
        <w:t xml:space="preserve">the making of the declaration will facilitate the undertaking of the review or the implementation of its findings.  </w:t>
      </w:r>
    </w:p>
    <w:p w14:paraId="65D5BCB1" w14:textId="77777777" w:rsidR="00B70B1D" w:rsidRPr="0062450E" w:rsidRDefault="00B70B1D" w:rsidP="00381A3E">
      <w:pPr>
        <w:pStyle w:val="Heading2"/>
        <w:spacing w:before="120" w:after="120" w:line="276" w:lineRule="auto"/>
        <w:ind w:left="11" w:hanging="11"/>
        <w:rPr>
          <w:b w:val="0"/>
        </w:rPr>
      </w:pPr>
      <w:r w:rsidRPr="0062450E">
        <w:rPr>
          <w:b w:val="0"/>
        </w:rPr>
        <w:t xml:space="preserve">In terms of process, the Legislation Act requires: </w:t>
      </w:r>
    </w:p>
    <w:p w14:paraId="53B4C997" w14:textId="77777777" w:rsidR="00B70B1D" w:rsidRDefault="00B70B1D" w:rsidP="00381A3E">
      <w:pPr>
        <w:pStyle w:val="Heading2"/>
        <w:keepNext w:val="0"/>
        <w:keepLines w:val="0"/>
        <w:widowControl/>
        <w:numPr>
          <w:ilvl w:val="4"/>
          <w:numId w:val="15"/>
        </w:numPr>
        <w:spacing w:before="120" w:after="120" w:line="276" w:lineRule="auto"/>
        <w:ind w:left="709"/>
        <w:rPr>
          <w:b w:val="0"/>
        </w:rPr>
      </w:pPr>
      <w:r w:rsidRPr="0062450E">
        <w:rPr>
          <w:b w:val="0"/>
        </w:rPr>
        <w:t>the responsible rule-maker to apply to the Attorney-General,</w:t>
      </w:r>
    </w:p>
    <w:p w14:paraId="59A676ED" w14:textId="77777777" w:rsidR="00B70B1D" w:rsidRDefault="00B70B1D" w:rsidP="00381A3E">
      <w:pPr>
        <w:pStyle w:val="Heading2"/>
        <w:keepNext w:val="0"/>
        <w:keepLines w:val="0"/>
        <w:widowControl/>
        <w:numPr>
          <w:ilvl w:val="4"/>
          <w:numId w:val="15"/>
        </w:numPr>
        <w:spacing w:before="120" w:after="120" w:line="276" w:lineRule="auto"/>
        <w:ind w:left="709"/>
        <w:rPr>
          <w:b w:val="0"/>
        </w:rPr>
      </w:pPr>
      <w:r w:rsidRPr="00806EA8">
        <w:rPr>
          <w:b w:val="0"/>
        </w:rPr>
        <w:t xml:space="preserve">the Attorney-General to be satisfied of the statutory conditions, and </w:t>
      </w:r>
    </w:p>
    <w:p w14:paraId="6758EA04" w14:textId="77777777" w:rsidR="009B2615" w:rsidRDefault="00B70B1D" w:rsidP="009B2615">
      <w:pPr>
        <w:pStyle w:val="Heading2"/>
        <w:keepNext w:val="0"/>
        <w:keepLines w:val="0"/>
        <w:widowControl/>
        <w:numPr>
          <w:ilvl w:val="4"/>
          <w:numId w:val="15"/>
        </w:numPr>
        <w:spacing w:before="120" w:after="120" w:line="276" w:lineRule="auto"/>
        <w:ind w:left="709"/>
        <w:rPr>
          <w:b w:val="0"/>
        </w:rPr>
      </w:pPr>
      <w:r w:rsidRPr="00806EA8">
        <w:rPr>
          <w:b w:val="0"/>
        </w:rPr>
        <w:t xml:space="preserve">the Attorney-General to make a declaration, which is a legislative instrument and subject to disallowance. </w:t>
      </w:r>
    </w:p>
    <w:p w14:paraId="489C7EEE" w14:textId="591679C9" w:rsidR="009B2615" w:rsidRPr="009B2615" w:rsidRDefault="009B2615" w:rsidP="009B2615">
      <w:pPr>
        <w:pStyle w:val="Heading2"/>
        <w:keepNext w:val="0"/>
        <w:keepLines w:val="0"/>
        <w:widowControl/>
        <w:spacing w:before="120" w:after="120" w:line="276" w:lineRule="auto"/>
        <w:ind w:left="349"/>
        <w:rPr>
          <w:b w:val="0"/>
        </w:rPr>
      </w:pPr>
      <w:r w:rsidRPr="009B2615">
        <w:rPr>
          <w:b w:val="0"/>
          <w:lang w:val="en-US"/>
        </w:rPr>
        <w:t>In this instance, the Assistant Minister to the Attorney-General is performing the functions of the Attorney-General under the Legislation Act.</w:t>
      </w:r>
    </w:p>
    <w:p w14:paraId="713FC2C8" w14:textId="77777777" w:rsidR="009B2615" w:rsidRPr="009B2615" w:rsidRDefault="009B2615" w:rsidP="009B2615">
      <w:pPr>
        <w:rPr>
          <w:lang w:val="en-AU"/>
        </w:rPr>
      </w:pPr>
    </w:p>
    <w:p w14:paraId="7F74D46C" w14:textId="13635CE4" w:rsidR="00B70B1D" w:rsidRPr="009A2BC8" w:rsidRDefault="00B70B1D" w:rsidP="00381A3E">
      <w:pPr>
        <w:pStyle w:val="Heading2"/>
        <w:spacing w:before="120" w:after="120" w:line="276" w:lineRule="auto"/>
        <w:ind w:left="11" w:hanging="11"/>
      </w:pPr>
      <w:r w:rsidRPr="009A2BC8">
        <w:rPr>
          <w:b w:val="0"/>
        </w:rPr>
        <w:lastRenderedPageBreak/>
        <w:t xml:space="preserve">The Declaration aligns the sunsetting dates </w:t>
      </w:r>
      <w:r>
        <w:rPr>
          <w:b w:val="0"/>
        </w:rPr>
        <w:t xml:space="preserve">for </w:t>
      </w:r>
      <w:r w:rsidRPr="00F040B7">
        <w:rPr>
          <w:b w:val="0"/>
        </w:rPr>
        <w:t xml:space="preserve">the </w:t>
      </w:r>
      <w:r w:rsidR="00222033" w:rsidRPr="00F040B7">
        <w:rPr>
          <w:b w:val="0"/>
        </w:rPr>
        <w:t>CSG</w:t>
      </w:r>
      <w:r w:rsidR="00222033" w:rsidRPr="009A2BC8">
        <w:rPr>
          <w:b w:val="0"/>
        </w:rPr>
        <w:t xml:space="preserve"> </w:t>
      </w:r>
      <w:r w:rsidRPr="009A2BC8">
        <w:rPr>
          <w:b w:val="0"/>
        </w:rPr>
        <w:t xml:space="preserve">Instruments to enable </w:t>
      </w:r>
      <w:r w:rsidR="00222033" w:rsidRPr="00F040B7">
        <w:rPr>
          <w:b w:val="0"/>
        </w:rPr>
        <w:t xml:space="preserve">ACMA and </w:t>
      </w:r>
      <w:r w:rsidRPr="00F040B7">
        <w:rPr>
          <w:b w:val="0"/>
        </w:rPr>
        <w:t xml:space="preserve">the Department of </w:t>
      </w:r>
      <w:r w:rsidR="00CA0236" w:rsidRPr="00F040B7">
        <w:rPr>
          <w:b w:val="0"/>
        </w:rPr>
        <w:t xml:space="preserve">Infrastructure, Transport, Regional Development and </w:t>
      </w:r>
      <w:r w:rsidRPr="00F040B7">
        <w:rPr>
          <w:b w:val="0"/>
        </w:rPr>
        <w:t>Communications to complete</w:t>
      </w:r>
      <w:r w:rsidRPr="009A2BC8">
        <w:rPr>
          <w:b w:val="0"/>
        </w:rPr>
        <w:t xml:space="preserve"> a thematic review</w:t>
      </w:r>
      <w:r w:rsidRPr="00222033">
        <w:rPr>
          <w:b w:val="0"/>
        </w:rPr>
        <w:t>.</w:t>
      </w:r>
      <w:r w:rsidRPr="009A2BC8">
        <w:rPr>
          <w:b w:val="0"/>
        </w:rPr>
        <w:t xml:space="preserve"> </w:t>
      </w:r>
    </w:p>
    <w:p w14:paraId="4006225A" w14:textId="66551C54" w:rsidR="00B70B1D" w:rsidRDefault="00B70B1D" w:rsidP="00381A3E">
      <w:pPr>
        <w:pStyle w:val="Heading2"/>
        <w:spacing w:before="120" w:after="120" w:line="276" w:lineRule="auto"/>
        <w:ind w:left="11" w:hanging="11"/>
        <w:rPr>
          <w:b w:val="0"/>
        </w:rPr>
      </w:pPr>
      <w:r w:rsidRPr="009A2BC8">
        <w:rPr>
          <w:b w:val="0"/>
        </w:rPr>
        <w:t xml:space="preserve">As noted above, the relevant rule-makers for the </w:t>
      </w:r>
      <w:r w:rsidR="00222033" w:rsidRPr="00F040B7">
        <w:rPr>
          <w:b w:val="0"/>
        </w:rPr>
        <w:t>CSG</w:t>
      </w:r>
      <w:r w:rsidRPr="00222033">
        <w:rPr>
          <w:b w:val="0"/>
        </w:rPr>
        <w:t xml:space="preserve"> </w:t>
      </w:r>
      <w:r w:rsidRPr="009A2BC8">
        <w:rPr>
          <w:b w:val="0"/>
        </w:rPr>
        <w:t xml:space="preserve">Instruments </w:t>
      </w:r>
      <w:r w:rsidR="00A75105">
        <w:rPr>
          <w:b w:val="0"/>
        </w:rPr>
        <w:t xml:space="preserve">jointly prepared and </w:t>
      </w:r>
      <w:r w:rsidRPr="009A2BC8">
        <w:rPr>
          <w:b w:val="0"/>
        </w:rPr>
        <w:t>approved an application to the Attorney</w:t>
      </w:r>
      <w:r w:rsidRPr="009A2BC8">
        <w:rPr>
          <w:b w:val="0"/>
        </w:rPr>
        <w:noBreakHyphen/>
        <w:t xml:space="preserve">General seeking an alignment of the relevant sunsetting days. </w:t>
      </w:r>
      <w:r w:rsidR="009B2615" w:rsidRPr="009B2615">
        <w:rPr>
          <w:b w:val="0"/>
        </w:rPr>
        <w:t>In this instance, the application was considered by the Assistant Minister to the Attorney-General.</w:t>
      </w:r>
    </w:p>
    <w:p w14:paraId="4660BEEC" w14:textId="09B47F60" w:rsidR="00B70B1D" w:rsidRDefault="00B70B1D" w:rsidP="00381A3E">
      <w:pPr>
        <w:pStyle w:val="Heading2"/>
        <w:spacing w:before="120" w:after="120" w:line="276" w:lineRule="auto"/>
        <w:ind w:left="11" w:hanging="11"/>
        <w:rPr>
          <w:b w:val="0"/>
        </w:rPr>
      </w:pPr>
      <w:r w:rsidRPr="0062450E">
        <w:rPr>
          <w:b w:val="0"/>
        </w:rPr>
        <w:t xml:space="preserve">On consideration of this application, the </w:t>
      </w:r>
      <w:r w:rsidR="0023355C">
        <w:rPr>
          <w:b w:val="0"/>
        </w:rPr>
        <w:t>Assistant Minister</w:t>
      </w:r>
      <w:r w:rsidR="0023355C" w:rsidRPr="0062450E">
        <w:rPr>
          <w:b w:val="0"/>
        </w:rPr>
        <w:t xml:space="preserve"> </w:t>
      </w:r>
      <w:r w:rsidR="0023355C">
        <w:rPr>
          <w:b w:val="0"/>
        </w:rPr>
        <w:t xml:space="preserve">to the </w:t>
      </w:r>
      <w:r w:rsidRPr="0062450E">
        <w:rPr>
          <w:b w:val="0"/>
        </w:rPr>
        <w:t>Attorney</w:t>
      </w:r>
      <w:r w:rsidRPr="0062450E">
        <w:rPr>
          <w:b w:val="0"/>
        </w:rPr>
        <w:noBreakHyphen/>
        <w:t>General was satisfied that the criteria in paragraphs 51A(1)(a) and (b) of the Legislation Act were met.</w:t>
      </w:r>
    </w:p>
    <w:p w14:paraId="0889309D" w14:textId="65EF4F66" w:rsidR="00B70B1D" w:rsidRDefault="00B70B1D" w:rsidP="00381A3E">
      <w:pPr>
        <w:pStyle w:val="Heading3"/>
        <w:tabs>
          <w:tab w:val="left" w:pos="7335"/>
        </w:tabs>
        <w:spacing w:before="120" w:after="120" w:line="276" w:lineRule="auto"/>
      </w:pPr>
      <w:r w:rsidRPr="0062450E">
        <w:t xml:space="preserve">Statement of Reasons for issuing of the </w:t>
      </w:r>
      <w:r w:rsidR="003B0610">
        <w:t>Declaration</w:t>
      </w:r>
      <w:r w:rsidR="003B0610" w:rsidRPr="0062450E">
        <w:t xml:space="preserve"> </w:t>
      </w:r>
    </w:p>
    <w:p w14:paraId="121AB873" w14:textId="28C5DB37" w:rsidR="00B70B1D" w:rsidRDefault="00B70B1D" w:rsidP="00381A3E">
      <w:pPr>
        <w:pStyle w:val="Heading2"/>
        <w:spacing w:before="120" w:after="120" w:line="276" w:lineRule="auto"/>
        <w:ind w:left="11" w:hanging="11"/>
        <w:rPr>
          <w:b w:val="0"/>
        </w:rPr>
      </w:pPr>
      <w:r w:rsidRPr="009A2BC8">
        <w:rPr>
          <w:b w:val="0"/>
        </w:rPr>
        <w:t xml:space="preserve">For the purposes of subsection 51A(4) of the Legislation Act, this section sets out the statement of reasons for the issue of the </w:t>
      </w:r>
      <w:r w:rsidR="003B0610">
        <w:rPr>
          <w:b w:val="0"/>
        </w:rPr>
        <w:t>Declaration</w:t>
      </w:r>
      <w:r w:rsidRPr="009A2BC8">
        <w:rPr>
          <w:b w:val="0"/>
        </w:rPr>
        <w:t xml:space="preserve">. </w:t>
      </w:r>
    </w:p>
    <w:p w14:paraId="75E09D2F" w14:textId="14DC86D5" w:rsidR="001E1FDA" w:rsidRPr="00793996" w:rsidRDefault="001E1FDA" w:rsidP="00381A3E">
      <w:pPr>
        <w:pStyle w:val="Heading2"/>
        <w:spacing w:before="120" w:after="120" w:line="276" w:lineRule="auto"/>
        <w:ind w:left="11" w:hanging="11"/>
        <w:rPr>
          <w:b w:val="0"/>
        </w:rPr>
      </w:pPr>
      <w:r w:rsidRPr="009A2BC8">
        <w:rPr>
          <w:b w:val="0"/>
        </w:rPr>
        <w:t xml:space="preserve">As outlined above, the Declaration aligns the sunsetting dates for the </w:t>
      </w:r>
      <w:r w:rsidRPr="00F040B7">
        <w:rPr>
          <w:b w:val="0"/>
        </w:rPr>
        <w:t>CSG</w:t>
      </w:r>
      <w:r w:rsidRPr="009A2BC8">
        <w:rPr>
          <w:b w:val="0"/>
        </w:rPr>
        <w:t xml:space="preserve"> Instruments to enable</w:t>
      </w:r>
      <w:r>
        <w:rPr>
          <w:b w:val="0"/>
        </w:rPr>
        <w:t xml:space="preserve"> ACMA and</w:t>
      </w:r>
      <w:r w:rsidRPr="009A2BC8">
        <w:rPr>
          <w:b w:val="0"/>
        </w:rPr>
        <w:t xml:space="preserve"> </w:t>
      </w:r>
      <w:r w:rsidRPr="00F040B7">
        <w:rPr>
          <w:b w:val="0"/>
        </w:rPr>
        <w:t>the Department of Infrastructure, Transport, Regional Development and Communications to complete a thematic review</w:t>
      </w:r>
      <w:r w:rsidR="00793996">
        <w:rPr>
          <w:b w:val="0"/>
        </w:rPr>
        <w:t xml:space="preserve"> </w:t>
      </w:r>
      <w:r>
        <w:rPr>
          <w:b w:val="0"/>
        </w:rPr>
        <w:t>of the instruments</w:t>
      </w:r>
      <w:r w:rsidRPr="00793996">
        <w:rPr>
          <w:b w:val="0"/>
        </w:rPr>
        <w:t>. In their application, the relevant rule-makers for the CSG Instruments propose that the CSG Instruments be the subject of a thematic review because the instruments work as a coordinated package as follows:</w:t>
      </w:r>
    </w:p>
    <w:p w14:paraId="288780CC" w14:textId="7C1A503D" w:rsidR="001E1FDA" w:rsidRPr="00793996" w:rsidRDefault="001E1FDA" w:rsidP="00381A3E">
      <w:pPr>
        <w:pStyle w:val="ListParagraph"/>
        <w:numPr>
          <w:ilvl w:val="0"/>
          <w:numId w:val="13"/>
        </w:numPr>
        <w:spacing w:after="120" w:line="276" w:lineRule="auto"/>
        <w:ind w:left="714" w:hanging="357"/>
        <w:contextualSpacing w:val="0"/>
        <w:rPr>
          <w:sz w:val="22"/>
          <w:lang w:val="en-AU"/>
        </w:rPr>
      </w:pPr>
      <w:r w:rsidRPr="00793996">
        <w:rPr>
          <w:sz w:val="22"/>
          <w:lang w:val="en-AU"/>
        </w:rPr>
        <w:t xml:space="preserve">the CSG </w:t>
      </w:r>
      <w:r w:rsidR="002D404E">
        <w:rPr>
          <w:sz w:val="22"/>
          <w:lang w:val="en-AU"/>
        </w:rPr>
        <w:t>S</w:t>
      </w:r>
      <w:r w:rsidRPr="00793996">
        <w:rPr>
          <w:sz w:val="22"/>
          <w:lang w:val="en-AU"/>
        </w:rPr>
        <w:t xml:space="preserve">tandard (and CSG </w:t>
      </w:r>
      <w:r w:rsidR="002D404E">
        <w:rPr>
          <w:sz w:val="22"/>
          <w:lang w:val="en-AU"/>
        </w:rPr>
        <w:t>A</w:t>
      </w:r>
      <w:r w:rsidRPr="00793996">
        <w:rPr>
          <w:sz w:val="22"/>
          <w:lang w:val="en-AU"/>
        </w:rPr>
        <w:t>mendment Standard) determines the key timeframes and damages regime (</w:t>
      </w:r>
      <w:r w:rsidR="002D404E">
        <w:rPr>
          <w:sz w:val="22"/>
          <w:lang w:val="en-AU"/>
        </w:rPr>
        <w:t>d</w:t>
      </w:r>
      <w:r w:rsidRPr="00793996">
        <w:rPr>
          <w:sz w:val="22"/>
          <w:lang w:val="en-AU"/>
        </w:rPr>
        <w:t>amages payable for contravention of performance standards) applying to carriage service providers (CSP) in the provision of voice phone services, and</w:t>
      </w:r>
    </w:p>
    <w:p w14:paraId="18CF5004" w14:textId="4A8CB637" w:rsidR="001E1FDA" w:rsidRPr="00793996" w:rsidRDefault="001E1FDA" w:rsidP="00381A3E">
      <w:pPr>
        <w:pStyle w:val="ListParagraph"/>
        <w:numPr>
          <w:ilvl w:val="0"/>
          <w:numId w:val="13"/>
        </w:numPr>
        <w:spacing w:after="120" w:line="276" w:lineRule="auto"/>
        <w:ind w:left="714" w:hanging="357"/>
        <w:contextualSpacing w:val="0"/>
        <w:rPr>
          <w:sz w:val="22"/>
          <w:lang w:val="en-AU"/>
        </w:rPr>
      </w:pPr>
      <w:r w:rsidRPr="00793996">
        <w:rPr>
          <w:sz w:val="22"/>
          <w:lang w:val="en-AU"/>
        </w:rPr>
        <w:t xml:space="preserve">the CSG </w:t>
      </w:r>
      <w:r w:rsidR="002D404E">
        <w:rPr>
          <w:sz w:val="22"/>
          <w:lang w:val="en-AU"/>
        </w:rPr>
        <w:t>B</w:t>
      </w:r>
      <w:r w:rsidRPr="00793996">
        <w:rPr>
          <w:sz w:val="22"/>
          <w:lang w:val="en-AU"/>
        </w:rPr>
        <w:t>enchmarks</w:t>
      </w:r>
      <w:r w:rsidR="002D404E">
        <w:rPr>
          <w:sz w:val="22"/>
          <w:lang w:val="en-AU"/>
        </w:rPr>
        <w:t xml:space="preserve"> Instrument</w:t>
      </w:r>
      <w:r w:rsidRPr="00793996">
        <w:rPr>
          <w:sz w:val="22"/>
          <w:lang w:val="en-AU"/>
        </w:rPr>
        <w:t xml:space="preserve"> and CSG RKRs support performance levels and monitoring and reporting on the overall performance of larger CSPs against the CSG </w:t>
      </w:r>
      <w:r w:rsidR="002D404E">
        <w:rPr>
          <w:sz w:val="22"/>
          <w:lang w:val="en-AU"/>
        </w:rPr>
        <w:t>S</w:t>
      </w:r>
      <w:r w:rsidRPr="00793996">
        <w:rPr>
          <w:sz w:val="22"/>
          <w:lang w:val="en-AU"/>
        </w:rPr>
        <w:t>tandard.</w:t>
      </w:r>
    </w:p>
    <w:p w14:paraId="228D1465" w14:textId="335C333E" w:rsidR="00B70B1D" w:rsidRPr="009A2BC8" w:rsidRDefault="00B70B1D" w:rsidP="00381A3E">
      <w:pPr>
        <w:pStyle w:val="Heading2"/>
        <w:spacing w:before="120" w:after="120" w:line="276" w:lineRule="auto"/>
        <w:ind w:left="11" w:hanging="11"/>
      </w:pPr>
      <w:r w:rsidRPr="009A2BC8">
        <w:rPr>
          <w:b w:val="0"/>
        </w:rPr>
        <w:t xml:space="preserve">Aligning the sunsetting dates of the </w:t>
      </w:r>
      <w:r w:rsidR="00222033" w:rsidRPr="00F040B7">
        <w:rPr>
          <w:b w:val="0"/>
        </w:rPr>
        <w:t>CSG</w:t>
      </w:r>
      <w:r w:rsidRPr="009A2BC8">
        <w:rPr>
          <w:b w:val="0"/>
        </w:rPr>
        <w:t xml:space="preserve"> Instruments </w:t>
      </w:r>
      <w:r w:rsidR="003B0610">
        <w:rPr>
          <w:b w:val="0"/>
        </w:rPr>
        <w:t>will</w:t>
      </w:r>
      <w:r w:rsidR="003B0610" w:rsidRPr="009A2BC8">
        <w:rPr>
          <w:b w:val="0"/>
        </w:rPr>
        <w:t xml:space="preserve"> </w:t>
      </w:r>
      <w:r w:rsidRPr="009A2BC8">
        <w:rPr>
          <w:b w:val="0"/>
        </w:rPr>
        <w:t xml:space="preserve">allow sufficient time for the review to be undertaken and for any resulting legislative package to be developed to implement the outcomes of the review. </w:t>
      </w:r>
      <w:r w:rsidR="001E1FDA">
        <w:rPr>
          <w:b w:val="0"/>
        </w:rPr>
        <w:t>The review will consider if the CSG Instruments are to be repealed, allowed to sunset, or to be remade or amended.</w:t>
      </w:r>
    </w:p>
    <w:p w14:paraId="19542DE0" w14:textId="77777777" w:rsidR="00B70B1D" w:rsidRDefault="00B70B1D" w:rsidP="00381A3E">
      <w:pPr>
        <w:pStyle w:val="Basetext"/>
        <w:spacing w:before="120" w:after="120"/>
      </w:pPr>
      <w:r w:rsidRPr="0062450E">
        <w:t>As such, the sunset-altering instrument is consistent with the policy intent of the sunsetting regime that legislative instruments should be kept up to date and only remain in force so long as they are needed.</w:t>
      </w:r>
    </w:p>
    <w:p w14:paraId="4D70B348" w14:textId="77777777" w:rsidR="00B70B1D" w:rsidRPr="005E5FB2" w:rsidRDefault="00B70B1D" w:rsidP="00381A3E">
      <w:pPr>
        <w:pStyle w:val="Heading3"/>
        <w:keepNext w:val="0"/>
        <w:keepLines w:val="0"/>
        <w:spacing w:before="120" w:after="120" w:line="276" w:lineRule="auto"/>
      </w:pPr>
      <w:r w:rsidRPr="0062450E">
        <w:t xml:space="preserve">More information </w:t>
      </w:r>
    </w:p>
    <w:p w14:paraId="779AA0E0" w14:textId="13374BA0" w:rsidR="00B70B1D" w:rsidRPr="00DE3267" w:rsidRDefault="00B70B1D" w:rsidP="00381A3E">
      <w:pPr>
        <w:pStyle w:val="Heading2"/>
        <w:keepNext w:val="0"/>
        <w:keepLines w:val="0"/>
        <w:spacing w:before="120" w:after="120" w:line="276" w:lineRule="auto"/>
        <w:ind w:left="11" w:hanging="11"/>
      </w:pPr>
      <w:r w:rsidRPr="009A2BC8">
        <w:rPr>
          <w:b w:val="0"/>
        </w:rPr>
        <w:t xml:space="preserve">Further details on the provisions of the </w:t>
      </w:r>
      <w:r w:rsidR="00AC6CE3">
        <w:rPr>
          <w:b w:val="0"/>
        </w:rPr>
        <w:t>D</w:t>
      </w:r>
      <w:r w:rsidRPr="009A2BC8">
        <w:rPr>
          <w:b w:val="0"/>
        </w:rPr>
        <w:t xml:space="preserve">eclaration are provided in </w:t>
      </w:r>
      <w:r w:rsidRPr="003B0610">
        <w:rPr>
          <w:b w:val="0"/>
          <w:u w:val="single"/>
        </w:rPr>
        <w:t>Attachment A</w:t>
      </w:r>
      <w:r w:rsidRPr="009A2BC8">
        <w:rPr>
          <w:b w:val="0"/>
        </w:rPr>
        <w:t>.</w:t>
      </w:r>
    </w:p>
    <w:p w14:paraId="021ABBC6" w14:textId="54FEB0E7" w:rsidR="00B70B1D" w:rsidRPr="00DE3267" w:rsidRDefault="00B70B1D" w:rsidP="00381A3E">
      <w:pPr>
        <w:pStyle w:val="Heading2"/>
        <w:keepNext w:val="0"/>
        <w:keepLines w:val="0"/>
        <w:spacing w:before="120" w:after="120" w:line="276" w:lineRule="auto"/>
        <w:ind w:left="11" w:hanging="11"/>
      </w:pPr>
      <w:r w:rsidRPr="009A2BC8">
        <w:rPr>
          <w:b w:val="0"/>
        </w:rPr>
        <w:t xml:space="preserve">The </w:t>
      </w:r>
      <w:r w:rsidR="00222033" w:rsidRPr="00F040B7">
        <w:rPr>
          <w:b w:val="0"/>
        </w:rPr>
        <w:t>CSG</w:t>
      </w:r>
      <w:r w:rsidRPr="009A2BC8">
        <w:rPr>
          <w:b w:val="0"/>
        </w:rPr>
        <w:t xml:space="preserve"> Instruments which are the subject of the </w:t>
      </w:r>
      <w:r w:rsidR="008E0327">
        <w:rPr>
          <w:b w:val="0"/>
        </w:rPr>
        <w:t>D</w:t>
      </w:r>
      <w:r w:rsidRPr="009A2BC8">
        <w:rPr>
          <w:b w:val="0"/>
        </w:rPr>
        <w:t xml:space="preserve">eclaration, </w:t>
      </w:r>
      <w:r w:rsidR="00793996">
        <w:rPr>
          <w:b w:val="0"/>
        </w:rPr>
        <w:t xml:space="preserve">and </w:t>
      </w:r>
      <w:r w:rsidRPr="009A2BC8">
        <w:rPr>
          <w:b w:val="0"/>
        </w:rPr>
        <w:t xml:space="preserve">which will now all sunset on </w:t>
      </w:r>
      <w:r w:rsidRPr="00F040B7">
        <w:rPr>
          <w:b w:val="0"/>
        </w:rPr>
        <w:t>1</w:t>
      </w:r>
      <w:r w:rsidR="00F040B7">
        <w:rPr>
          <w:b w:val="0"/>
        </w:rPr>
        <w:t> </w:t>
      </w:r>
      <w:r w:rsidR="00222033">
        <w:rPr>
          <w:b w:val="0"/>
        </w:rPr>
        <w:t>October</w:t>
      </w:r>
      <w:r w:rsidR="00F040B7">
        <w:rPr>
          <w:b w:val="0"/>
        </w:rPr>
        <w:t> </w:t>
      </w:r>
      <w:r w:rsidR="00222033">
        <w:rPr>
          <w:b w:val="0"/>
        </w:rPr>
        <w:t>2023</w:t>
      </w:r>
      <w:r w:rsidRPr="009A2BC8">
        <w:rPr>
          <w:b w:val="0"/>
        </w:rPr>
        <w:t>, are available on the Federal Register of Legislation</w:t>
      </w:r>
      <w:r w:rsidRPr="009A2BC8">
        <w:rPr>
          <w:b w:val="0"/>
        </w:rPr>
        <w:fldChar w:fldCharType="begin"/>
      </w:r>
      <w:r w:rsidRPr="009A2BC8">
        <w:rPr>
          <w:b w:val="0"/>
        </w:rPr>
        <w:instrText>http://www.comlaw.gov.au/</w:instrText>
      </w:r>
      <w:r w:rsidRPr="009A2BC8">
        <w:rPr>
          <w:b w:val="0"/>
        </w:rPr>
        <w:fldChar w:fldCharType="separate"/>
      </w:r>
      <w:r w:rsidRPr="009A2BC8">
        <w:t>http://www.comlaw.gov.au</w:t>
      </w:r>
      <w:r w:rsidRPr="009A2BC8">
        <w:fldChar w:fldCharType="end"/>
      </w:r>
      <w:r w:rsidRPr="009A2BC8">
        <w:rPr>
          <w:b w:val="0"/>
        </w:rPr>
        <w:t>.</w:t>
      </w:r>
    </w:p>
    <w:bookmarkEnd w:id="0"/>
    <w:p w14:paraId="56A23AEC" w14:textId="4B5D0554" w:rsidR="00B70B1D" w:rsidRPr="00DE3267" w:rsidRDefault="00B70B1D" w:rsidP="00381A3E">
      <w:pPr>
        <w:pStyle w:val="Heading2"/>
        <w:keepNext w:val="0"/>
        <w:keepLines w:val="0"/>
        <w:spacing w:before="120" w:after="120" w:line="276" w:lineRule="auto"/>
        <w:ind w:left="11" w:hanging="11"/>
      </w:pPr>
      <w:r w:rsidRPr="009A2BC8">
        <w:rPr>
          <w:b w:val="0"/>
        </w:rPr>
        <w:t>Further information may be requested from the Attorney-General’s Department about the operation of th</w:t>
      </w:r>
      <w:r w:rsidR="008E0327">
        <w:rPr>
          <w:b w:val="0"/>
        </w:rPr>
        <w:t>e D</w:t>
      </w:r>
      <w:r w:rsidRPr="009A2BC8">
        <w:rPr>
          <w:b w:val="0"/>
        </w:rPr>
        <w:t xml:space="preserve">eclaration, and from </w:t>
      </w:r>
      <w:r w:rsidR="00222033">
        <w:rPr>
          <w:b w:val="0"/>
        </w:rPr>
        <w:t xml:space="preserve">ACMA and </w:t>
      </w:r>
      <w:r w:rsidRPr="009A2BC8">
        <w:rPr>
          <w:b w:val="0"/>
        </w:rPr>
        <w:t xml:space="preserve">the </w:t>
      </w:r>
      <w:r w:rsidR="00CA0236" w:rsidRPr="00F040B7">
        <w:rPr>
          <w:b w:val="0"/>
        </w:rPr>
        <w:t xml:space="preserve">Department of Infrastructure, Transport, Regional Development and Communications </w:t>
      </w:r>
      <w:r w:rsidRPr="00F040B7">
        <w:rPr>
          <w:b w:val="0"/>
        </w:rPr>
        <w:t xml:space="preserve">about the </w:t>
      </w:r>
      <w:r w:rsidR="00222033" w:rsidRPr="00F040B7">
        <w:rPr>
          <w:b w:val="0"/>
        </w:rPr>
        <w:t>CSG</w:t>
      </w:r>
      <w:r w:rsidRPr="00F040B7">
        <w:rPr>
          <w:b w:val="0"/>
        </w:rPr>
        <w:t xml:space="preserve"> Instruments</w:t>
      </w:r>
      <w:r w:rsidRPr="009A2BC8">
        <w:rPr>
          <w:b w:val="0"/>
        </w:rPr>
        <w:t xml:space="preserve"> to which the </w:t>
      </w:r>
      <w:r w:rsidR="00AC6CE3">
        <w:rPr>
          <w:b w:val="0"/>
        </w:rPr>
        <w:t>D</w:t>
      </w:r>
      <w:r w:rsidRPr="009A2BC8">
        <w:rPr>
          <w:b w:val="0"/>
        </w:rPr>
        <w:t>eclaration applies.</w:t>
      </w:r>
    </w:p>
    <w:p w14:paraId="28BB5F15" w14:textId="77777777" w:rsidR="00B70B1D" w:rsidRDefault="00B70B1D" w:rsidP="00381A3E">
      <w:pPr>
        <w:spacing w:after="160" w:line="276" w:lineRule="auto"/>
        <w:rPr>
          <w:rStyle w:val="Heading1Char"/>
          <w:rFonts w:eastAsiaTheme="majorEastAsia"/>
          <w:b w:val="0"/>
          <w:color w:val="000000" w:themeColor="text1"/>
          <w:sz w:val="22"/>
          <w:szCs w:val="22"/>
        </w:rPr>
      </w:pPr>
      <w:r>
        <w:rPr>
          <w:rStyle w:val="Heading1Char"/>
          <w:rFonts w:eastAsiaTheme="majorEastAsia"/>
          <w:b w:val="0"/>
          <w:color w:val="000000" w:themeColor="text1"/>
          <w:sz w:val="22"/>
          <w:szCs w:val="22"/>
        </w:rPr>
        <w:br w:type="page"/>
      </w:r>
    </w:p>
    <w:p w14:paraId="6E612A71" w14:textId="77777777" w:rsidR="00381A3E" w:rsidRPr="0062450E" w:rsidRDefault="00381A3E" w:rsidP="00381A3E">
      <w:pPr>
        <w:pStyle w:val="Basetext"/>
        <w:spacing w:before="120" w:after="120"/>
        <w:rPr>
          <w:b/>
        </w:rPr>
      </w:pPr>
      <w:r w:rsidRPr="0062450E">
        <w:rPr>
          <w:b/>
        </w:rPr>
        <w:lastRenderedPageBreak/>
        <w:t>STATEMENT OF COMPATIBILITY WITH HUMAN RIGHTS</w:t>
      </w:r>
    </w:p>
    <w:p w14:paraId="20A6184E" w14:textId="77777777" w:rsidR="00381A3E" w:rsidRDefault="00381A3E" w:rsidP="00381A3E">
      <w:pPr>
        <w:spacing w:before="120" w:after="120" w:line="276" w:lineRule="auto"/>
        <w:rPr>
          <w:sz w:val="22"/>
          <w:szCs w:val="22"/>
        </w:rPr>
      </w:pPr>
      <w:r w:rsidRPr="00F040B7">
        <w:rPr>
          <w:sz w:val="22"/>
          <w:szCs w:val="22"/>
        </w:rPr>
        <w:t xml:space="preserve">The </w:t>
      </w:r>
      <w:r w:rsidRPr="00F040B7">
        <w:rPr>
          <w:bCs/>
          <w:i/>
          <w:sz w:val="22"/>
          <w:szCs w:val="22"/>
        </w:rPr>
        <w:t xml:space="preserve">Legislation (Telecommunications Customer Service Guarantee Instruments) Sunset-altering Declaration 2021 </w:t>
      </w:r>
      <w:r w:rsidRPr="00F040B7">
        <w:rPr>
          <w:sz w:val="22"/>
          <w:szCs w:val="22"/>
        </w:rPr>
        <w:t>(the Declaration) is compatible</w:t>
      </w:r>
      <w:r w:rsidRPr="0062450E">
        <w:rPr>
          <w:sz w:val="22"/>
          <w:szCs w:val="22"/>
        </w:rPr>
        <w:t xml:space="preserve"> with human rights and freedoms recognised or declared in the international instruments listed in section 3 of the </w:t>
      </w:r>
      <w:r w:rsidRPr="0062450E">
        <w:rPr>
          <w:i/>
          <w:sz w:val="22"/>
          <w:szCs w:val="22"/>
        </w:rPr>
        <w:t>Human Rights (Parliamentary Scrutiny) Act 2011</w:t>
      </w:r>
      <w:r w:rsidRPr="0062450E">
        <w:rPr>
          <w:sz w:val="22"/>
          <w:szCs w:val="22"/>
        </w:rPr>
        <w:t xml:space="preserve"> (the Human Rights Act).</w:t>
      </w:r>
    </w:p>
    <w:p w14:paraId="1EFF2781" w14:textId="77777777" w:rsidR="00381A3E" w:rsidRPr="0062450E" w:rsidRDefault="00381A3E" w:rsidP="00381A3E">
      <w:pPr>
        <w:spacing w:before="120" w:after="120" w:line="276" w:lineRule="auto"/>
        <w:rPr>
          <w:i/>
          <w:sz w:val="22"/>
          <w:szCs w:val="22"/>
        </w:rPr>
      </w:pPr>
      <w:r w:rsidRPr="0062450E">
        <w:rPr>
          <w:i/>
          <w:sz w:val="22"/>
          <w:szCs w:val="22"/>
        </w:rPr>
        <w:t xml:space="preserve">Overview of the Declaration </w:t>
      </w:r>
    </w:p>
    <w:p w14:paraId="3D9B380F" w14:textId="71BB9BB1" w:rsidR="00381A3E" w:rsidRDefault="00381A3E" w:rsidP="00E137F9">
      <w:pPr>
        <w:spacing w:before="60" w:after="60" w:line="276" w:lineRule="auto"/>
        <w:rPr>
          <w:sz w:val="22"/>
          <w:szCs w:val="22"/>
        </w:rPr>
      </w:pPr>
      <w:r w:rsidRPr="0062450E">
        <w:rPr>
          <w:sz w:val="22"/>
          <w:szCs w:val="22"/>
        </w:rPr>
        <w:t xml:space="preserve">The </w:t>
      </w:r>
      <w:r>
        <w:rPr>
          <w:sz w:val="22"/>
          <w:szCs w:val="22"/>
        </w:rPr>
        <w:t>Declaration</w:t>
      </w:r>
      <w:r w:rsidRPr="0062450E">
        <w:rPr>
          <w:sz w:val="22"/>
          <w:szCs w:val="22"/>
        </w:rPr>
        <w:t xml:space="preserve"> is made under subsection 51A(1) of the </w:t>
      </w:r>
      <w:r w:rsidRPr="009B2615">
        <w:rPr>
          <w:i/>
          <w:sz w:val="22"/>
          <w:szCs w:val="22"/>
        </w:rPr>
        <w:t>Legislation Act</w:t>
      </w:r>
      <w:r w:rsidR="009B2615" w:rsidRPr="009B2615">
        <w:rPr>
          <w:i/>
          <w:sz w:val="22"/>
          <w:szCs w:val="22"/>
        </w:rPr>
        <w:t xml:space="preserve"> 2003</w:t>
      </w:r>
      <w:r w:rsidR="009B2615">
        <w:rPr>
          <w:sz w:val="22"/>
          <w:szCs w:val="22"/>
        </w:rPr>
        <w:t xml:space="preserve"> (the Legislation Act)</w:t>
      </w:r>
      <w:r w:rsidRPr="0062450E">
        <w:rPr>
          <w:sz w:val="22"/>
          <w:szCs w:val="22"/>
        </w:rPr>
        <w:t xml:space="preserve">. Under that subsection, the Attorney-General can align the sunsetting days of two or more legislative instruments </w:t>
      </w:r>
      <w:r>
        <w:rPr>
          <w:sz w:val="22"/>
          <w:szCs w:val="22"/>
        </w:rPr>
        <w:t>if satisfied that:</w:t>
      </w:r>
    </w:p>
    <w:p w14:paraId="06C27A22" w14:textId="77777777" w:rsidR="00381A3E" w:rsidRDefault="00381A3E" w:rsidP="00E137F9">
      <w:pPr>
        <w:pStyle w:val="Heading2"/>
        <w:keepNext w:val="0"/>
        <w:keepLines w:val="0"/>
        <w:widowControl/>
        <w:numPr>
          <w:ilvl w:val="1"/>
          <w:numId w:val="14"/>
        </w:numPr>
        <w:spacing w:before="60" w:after="60" w:line="276" w:lineRule="auto"/>
        <w:rPr>
          <w:b w:val="0"/>
        </w:rPr>
      </w:pPr>
      <w:r w:rsidRPr="0062450E">
        <w:rPr>
          <w:b w:val="0"/>
        </w:rPr>
        <w:t>all the instruments to be reviewed</w:t>
      </w:r>
      <w:r>
        <w:rPr>
          <w:b w:val="0"/>
        </w:rPr>
        <w:t>:</w:t>
      </w:r>
    </w:p>
    <w:p w14:paraId="6DD4264B" w14:textId="77777777" w:rsidR="00381A3E" w:rsidRPr="0062450E" w:rsidRDefault="00381A3E" w:rsidP="00E137F9">
      <w:pPr>
        <w:pStyle w:val="Heading2"/>
        <w:keepNext w:val="0"/>
        <w:keepLines w:val="0"/>
        <w:widowControl/>
        <w:numPr>
          <w:ilvl w:val="2"/>
          <w:numId w:val="14"/>
        </w:numPr>
        <w:spacing w:before="60" w:after="60" w:line="276" w:lineRule="auto"/>
        <w:rPr>
          <w:b w:val="0"/>
        </w:rPr>
      </w:pPr>
      <w:r w:rsidRPr="0062450E">
        <w:rPr>
          <w:b w:val="0"/>
        </w:rPr>
        <w:t>would (in the absence of a declaration made under section 51A of the Legislation Act) be repealed by section 50 or 51 of the Legislation Act</w:t>
      </w:r>
      <w:r>
        <w:rPr>
          <w:b w:val="0"/>
        </w:rPr>
        <w:t>;</w:t>
      </w:r>
      <w:r w:rsidRPr="0062450E">
        <w:rPr>
          <w:b w:val="0"/>
        </w:rPr>
        <w:t xml:space="preserve"> and  </w:t>
      </w:r>
    </w:p>
    <w:p w14:paraId="7ECDF112" w14:textId="77777777" w:rsidR="00381A3E" w:rsidRPr="0062450E" w:rsidRDefault="00381A3E" w:rsidP="00E137F9">
      <w:pPr>
        <w:pStyle w:val="Heading2"/>
        <w:keepNext w:val="0"/>
        <w:keepLines w:val="0"/>
        <w:widowControl/>
        <w:numPr>
          <w:ilvl w:val="2"/>
          <w:numId w:val="14"/>
        </w:numPr>
        <w:spacing w:before="60" w:after="60" w:line="276" w:lineRule="auto"/>
        <w:rPr>
          <w:b w:val="0"/>
        </w:rPr>
      </w:pPr>
      <w:r w:rsidRPr="0062450E">
        <w:rPr>
          <w:b w:val="0"/>
        </w:rPr>
        <w:t>are or will be the subject of a single review</w:t>
      </w:r>
      <w:r>
        <w:rPr>
          <w:b w:val="0"/>
        </w:rPr>
        <w:t>;</w:t>
      </w:r>
      <w:r w:rsidRPr="0062450E">
        <w:rPr>
          <w:b w:val="0"/>
        </w:rPr>
        <w:t xml:space="preserve"> and </w:t>
      </w:r>
    </w:p>
    <w:p w14:paraId="3DA63A0C" w14:textId="77777777" w:rsidR="00381A3E" w:rsidRDefault="00381A3E" w:rsidP="00E137F9">
      <w:pPr>
        <w:pStyle w:val="Heading2"/>
        <w:keepNext w:val="0"/>
        <w:keepLines w:val="0"/>
        <w:widowControl/>
        <w:numPr>
          <w:ilvl w:val="1"/>
          <w:numId w:val="14"/>
        </w:numPr>
        <w:spacing w:before="60" w:after="60" w:line="276" w:lineRule="auto"/>
        <w:rPr>
          <w:b w:val="0"/>
        </w:rPr>
      </w:pPr>
      <w:r w:rsidRPr="0062450E">
        <w:rPr>
          <w:b w:val="0"/>
        </w:rPr>
        <w:t xml:space="preserve">the making of the declaration will facilitate the undertaking of the review or the implementation of its findings.  </w:t>
      </w:r>
    </w:p>
    <w:p w14:paraId="38FB91E2" w14:textId="4550DC8C" w:rsidR="00E137F9" w:rsidRPr="00E137F9" w:rsidRDefault="00E137F9" w:rsidP="00E137F9">
      <w:pPr>
        <w:pStyle w:val="Basetext"/>
        <w:spacing w:before="120" w:after="120"/>
      </w:pPr>
      <w:r w:rsidRPr="002B52F1">
        <w:rPr>
          <w:lang w:val="en-US"/>
        </w:rPr>
        <w:t>In this instance, the Assistant Minister to the Attorney-General is performing the functions of the Attorney-General</w:t>
      </w:r>
      <w:r w:rsidR="009B2615">
        <w:rPr>
          <w:lang w:val="en-US"/>
        </w:rPr>
        <w:t xml:space="preserve"> under the Legislation Act</w:t>
      </w:r>
      <w:r w:rsidRPr="002B52F1">
        <w:rPr>
          <w:lang w:val="en-US"/>
        </w:rPr>
        <w:t>.</w:t>
      </w:r>
    </w:p>
    <w:p w14:paraId="2D0DB79A" w14:textId="77777777" w:rsidR="00381A3E" w:rsidRPr="00A75105" w:rsidRDefault="00381A3E" w:rsidP="00E137F9">
      <w:pPr>
        <w:spacing w:before="120" w:after="60" w:line="276" w:lineRule="auto"/>
        <w:rPr>
          <w:sz w:val="22"/>
          <w:szCs w:val="22"/>
        </w:rPr>
      </w:pPr>
      <w:r w:rsidRPr="00A75105">
        <w:rPr>
          <w:sz w:val="22"/>
          <w:szCs w:val="22"/>
        </w:rPr>
        <w:t>The day specified in the sunset-altering declaration must be 1 April or 1 October of a year that is up to five years later than the earliest sunsetting day of the instruments. The instruments specified in the declaration will then be repealed on the day specified in the declaration instead of the previously scheduled sunsetting day. The instruments specified in the Declaration are:</w:t>
      </w:r>
    </w:p>
    <w:p w14:paraId="02494F3D" w14:textId="77777777" w:rsidR="00381A3E" w:rsidRPr="00F040B7" w:rsidRDefault="00381A3E" w:rsidP="00E137F9">
      <w:pPr>
        <w:pStyle w:val="Celltext"/>
        <w:numPr>
          <w:ilvl w:val="0"/>
          <w:numId w:val="11"/>
        </w:numPr>
        <w:spacing w:before="60" w:after="60" w:line="276" w:lineRule="auto"/>
        <w:ind w:left="714" w:hanging="357"/>
        <w:rPr>
          <w:i/>
          <w:sz w:val="22"/>
          <w:szCs w:val="22"/>
        </w:rPr>
      </w:pPr>
      <w:r w:rsidRPr="00F040B7">
        <w:rPr>
          <w:sz w:val="22"/>
          <w:szCs w:val="22"/>
        </w:rPr>
        <w:t xml:space="preserve">the </w:t>
      </w:r>
      <w:r w:rsidRPr="00F040B7">
        <w:rPr>
          <w:rFonts w:eastAsiaTheme="minorHAnsi" w:cs="Arial"/>
          <w:i/>
          <w:iCs/>
          <w:sz w:val="22"/>
          <w:szCs w:val="22"/>
        </w:rPr>
        <w:t>Telecommunications (Customer Service Guarantee – Retail Performance Benchmarks) Instrument (No. 1)</w:t>
      </w:r>
      <w:r>
        <w:rPr>
          <w:rFonts w:eastAsiaTheme="minorHAnsi" w:cs="Arial"/>
          <w:i/>
          <w:iCs/>
          <w:sz w:val="22"/>
          <w:szCs w:val="22"/>
        </w:rPr>
        <w:t xml:space="preserve"> 2011</w:t>
      </w:r>
      <w:r>
        <w:rPr>
          <w:sz w:val="22"/>
          <w:szCs w:val="22"/>
        </w:rPr>
        <w:t>;</w:t>
      </w:r>
    </w:p>
    <w:p w14:paraId="517184CA" w14:textId="77777777" w:rsidR="00381A3E" w:rsidRPr="00F040B7" w:rsidRDefault="00381A3E" w:rsidP="00E137F9">
      <w:pPr>
        <w:pStyle w:val="Celltext"/>
        <w:numPr>
          <w:ilvl w:val="0"/>
          <w:numId w:val="11"/>
        </w:numPr>
        <w:spacing w:before="60" w:after="60" w:line="276" w:lineRule="auto"/>
        <w:ind w:left="714" w:hanging="357"/>
        <w:rPr>
          <w:i/>
          <w:sz w:val="22"/>
          <w:szCs w:val="22"/>
        </w:rPr>
      </w:pPr>
      <w:r w:rsidRPr="00F040B7">
        <w:rPr>
          <w:sz w:val="22"/>
          <w:szCs w:val="22"/>
        </w:rPr>
        <w:t xml:space="preserve">the </w:t>
      </w:r>
      <w:r w:rsidRPr="00F040B7">
        <w:rPr>
          <w:rFonts w:eastAsiaTheme="minorHAnsi" w:cs="Arial"/>
          <w:i/>
          <w:iCs/>
          <w:sz w:val="22"/>
          <w:szCs w:val="22"/>
        </w:rPr>
        <w:t>Telecommunications (Customer Service Guarantee) Amendment Standard 2011 (No. 1)</w:t>
      </w:r>
      <w:r w:rsidRPr="00F040B7">
        <w:rPr>
          <w:sz w:val="22"/>
          <w:szCs w:val="22"/>
        </w:rPr>
        <w:t xml:space="preserve">; </w:t>
      </w:r>
    </w:p>
    <w:p w14:paraId="0B002AFB" w14:textId="77777777" w:rsidR="00381A3E" w:rsidRPr="00F040B7" w:rsidRDefault="00381A3E" w:rsidP="00E137F9">
      <w:pPr>
        <w:pStyle w:val="Celltext"/>
        <w:numPr>
          <w:ilvl w:val="0"/>
          <w:numId w:val="11"/>
        </w:numPr>
        <w:spacing w:before="60" w:after="60" w:line="276" w:lineRule="auto"/>
        <w:ind w:left="714" w:hanging="357"/>
        <w:rPr>
          <w:i/>
          <w:sz w:val="22"/>
          <w:szCs w:val="22"/>
        </w:rPr>
      </w:pPr>
      <w:r w:rsidRPr="00F040B7">
        <w:rPr>
          <w:sz w:val="22"/>
          <w:szCs w:val="22"/>
        </w:rPr>
        <w:t xml:space="preserve">the </w:t>
      </w:r>
      <w:r w:rsidRPr="00F040B7">
        <w:rPr>
          <w:rFonts w:eastAsiaTheme="minorHAnsi" w:cs="Arial"/>
          <w:i/>
          <w:iCs/>
          <w:sz w:val="22"/>
          <w:szCs w:val="22"/>
        </w:rPr>
        <w:t>Telecommunications (Customer Service Guarantee) Record</w:t>
      </w:r>
      <w:r>
        <w:rPr>
          <w:rFonts w:eastAsiaTheme="minorHAnsi" w:cs="Arial"/>
          <w:i/>
          <w:iCs/>
          <w:sz w:val="22"/>
          <w:szCs w:val="22"/>
        </w:rPr>
        <w:t>-</w:t>
      </w:r>
      <w:r w:rsidRPr="00F040B7">
        <w:rPr>
          <w:rFonts w:eastAsiaTheme="minorHAnsi" w:cs="Arial"/>
          <w:i/>
          <w:iCs/>
          <w:sz w:val="22"/>
          <w:szCs w:val="22"/>
        </w:rPr>
        <w:t>Keeping Rules 2011</w:t>
      </w:r>
      <w:r w:rsidRPr="00F040B7">
        <w:rPr>
          <w:sz w:val="22"/>
          <w:szCs w:val="22"/>
        </w:rPr>
        <w:t>; and</w:t>
      </w:r>
    </w:p>
    <w:p w14:paraId="207D9163" w14:textId="77777777" w:rsidR="00381A3E" w:rsidRPr="00F040B7" w:rsidRDefault="00381A3E" w:rsidP="00E137F9">
      <w:pPr>
        <w:pStyle w:val="Celltext"/>
        <w:numPr>
          <w:ilvl w:val="0"/>
          <w:numId w:val="11"/>
        </w:numPr>
        <w:spacing w:before="60" w:after="60" w:line="276" w:lineRule="auto"/>
        <w:ind w:left="714" w:hanging="357"/>
        <w:rPr>
          <w:i/>
          <w:sz w:val="22"/>
          <w:szCs w:val="22"/>
        </w:rPr>
      </w:pPr>
      <w:r w:rsidRPr="00F040B7">
        <w:rPr>
          <w:sz w:val="22"/>
          <w:szCs w:val="22"/>
        </w:rPr>
        <w:t xml:space="preserve">the </w:t>
      </w:r>
      <w:r w:rsidRPr="00F040B7">
        <w:rPr>
          <w:rFonts w:eastAsiaTheme="minorHAnsi" w:cs="Arial"/>
          <w:i/>
          <w:iCs/>
          <w:sz w:val="22"/>
          <w:szCs w:val="22"/>
        </w:rPr>
        <w:t>Telecommunications (Customer Service Guarantee) Standard 2011</w:t>
      </w:r>
      <w:r w:rsidRPr="00F040B7">
        <w:rPr>
          <w:sz w:val="22"/>
          <w:szCs w:val="22"/>
        </w:rPr>
        <w:t>.</w:t>
      </w:r>
    </w:p>
    <w:p w14:paraId="0C3F5145" w14:textId="77777777" w:rsidR="00381A3E" w:rsidRDefault="00381A3E" w:rsidP="00381A3E">
      <w:pPr>
        <w:pStyle w:val="Celltext"/>
        <w:spacing w:after="120" w:line="276" w:lineRule="auto"/>
        <w:rPr>
          <w:sz w:val="22"/>
          <w:szCs w:val="22"/>
        </w:rPr>
      </w:pPr>
      <w:r w:rsidRPr="0062450E">
        <w:rPr>
          <w:sz w:val="22"/>
          <w:szCs w:val="22"/>
        </w:rPr>
        <w:t>The</w:t>
      </w:r>
      <w:r>
        <w:rPr>
          <w:sz w:val="22"/>
          <w:szCs w:val="22"/>
        </w:rPr>
        <w:t xml:space="preserve"> Declaration</w:t>
      </w:r>
      <w:r w:rsidRPr="0062450E">
        <w:rPr>
          <w:sz w:val="22"/>
          <w:szCs w:val="22"/>
        </w:rPr>
        <w:t xml:space="preserve"> aligns the sunsetting dates of the</w:t>
      </w:r>
      <w:r>
        <w:rPr>
          <w:sz w:val="22"/>
          <w:szCs w:val="22"/>
        </w:rPr>
        <w:t xml:space="preserve"> above</w:t>
      </w:r>
      <w:r w:rsidRPr="0062450E">
        <w:rPr>
          <w:sz w:val="22"/>
          <w:szCs w:val="22"/>
        </w:rPr>
        <w:t xml:space="preserve"> instruments </w:t>
      </w:r>
      <w:r>
        <w:rPr>
          <w:sz w:val="22"/>
          <w:szCs w:val="22"/>
        </w:rPr>
        <w:t xml:space="preserve">(the </w:t>
      </w:r>
      <w:r w:rsidRPr="00F040B7">
        <w:rPr>
          <w:sz w:val="22"/>
          <w:szCs w:val="22"/>
        </w:rPr>
        <w:t>CSG Instruments</w:t>
      </w:r>
      <w:r>
        <w:rPr>
          <w:sz w:val="22"/>
          <w:szCs w:val="22"/>
        </w:rPr>
        <w:t xml:space="preserve">) </w:t>
      </w:r>
      <w:r w:rsidRPr="00F040B7">
        <w:rPr>
          <w:sz w:val="22"/>
          <w:szCs w:val="22"/>
        </w:rPr>
        <w:t>to 1</w:t>
      </w:r>
      <w:r>
        <w:rPr>
          <w:sz w:val="22"/>
          <w:szCs w:val="22"/>
        </w:rPr>
        <w:t> </w:t>
      </w:r>
      <w:r w:rsidRPr="00F040B7">
        <w:rPr>
          <w:sz w:val="22"/>
          <w:szCs w:val="22"/>
        </w:rPr>
        <w:t>October 2023.</w:t>
      </w:r>
      <w:r w:rsidRPr="0062450E">
        <w:rPr>
          <w:sz w:val="22"/>
          <w:szCs w:val="22"/>
        </w:rPr>
        <w:t xml:space="preserve"> The objective of issuing the </w:t>
      </w:r>
      <w:r>
        <w:rPr>
          <w:sz w:val="22"/>
          <w:szCs w:val="22"/>
        </w:rPr>
        <w:t>D</w:t>
      </w:r>
      <w:r w:rsidRPr="0062450E">
        <w:rPr>
          <w:sz w:val="22"/>
          <w:szCs w:val="22"/>
        </w:rPr>
        <w:t xml:space="preserve">eclaration is to facilitate the undertaking of a single thematic review into the fitness-for-purpose of </w:t>
      </w:r>
      <w:r w:rsidRPr="00F040B7">
        <w:rPr>
          <w:sz w:val="22"/>
          <w:szCs w:val="22"/>
        </w:rPr>
        <w:t>the CSG Instruments</w:t>
      </w:r>
      <w:r w:rsidRPr="0062450E">
        <w:rPr>
          <w:sz w:val="22"/>
          <w:szCs w:val="22"/>
        </w:rPr>
        <w:t>. This will reduce administrative burden as well as the possibility of legislative inconsistencies arising from reviewing and replacing the related legislation at different times.</w:t>
      </w:r>
    </w:p>
    <w:p w14:paraId="741D706C" w14:textId="77777777" w:rsidR="00381A3E" w:rsidRPr="0062450E" w:rsidRDefault="00381A3E" w:rsidP="00381A3E">
      <w:pPr>
        <w:spacing w:before="120" w:after="120" w:line="276" w:lineRule="auto"/>
        <w:rPr>
          <w:i/>
          <w:sz w:val="22"/>
          <w:szCs w:val="22"/>
        </w:rPr>
      </w:pPr>
      <w:r w:rsidRPr="0062450E">
        <w:rPr>
          <w:i/>
          <w:sz w:val="22"/>
          <w:szCs w:val="22"/>
        </w:rPr>
        <w:t xml:space="preserve">Human Rights Implications </w:t>
      </w:r>
      <w:bookmarkStart w:id="1" w:name="_GoBack"/>
      <w:bookmarkEnd w:id="1"/>
    </w:p>
    <w:p w14:paraId="286ECD75" w14:textId="77777777" w:rsidR="00381A3E" w:rsidRDefault="00381A3E" w:rsidP="00381A3E">
      <w:pPr>
        <w:pStyle w:val="Celltext"/>
        <w:spacing w:after="120" w:line="276" w:lineRule="auto"/>
        <w:rPr>
          <w:sz w:val="22"/>
          <w:szCs w:val="22"/>
        </w:rPr>
      </w:pPr>
      <w:r w:rsidRPr="0062450E">
        <w:rPr>
          <w:sz w:val="22"/>
          <w:szCs w:val="22"/>
        </w:rPr>
        <w:t>The Statement of Compatibility with Human Rights for a sunset</w:t>
      </w:r>
      <w:r w:rsidRPr="0062450E">
        <w:rPr>
          <w:sz w:val="22"/>
          <w:szCs w:val="22"/>
        </w:rPr>
        <w:noBreakHyphen/>
        <w:t>altering declaration focuses on the effect of the aligning instrument, rather than the</w:t>
      </w:r>
      <w:r>
        <w:rPr>
          <w:sz w:val="22"/>
          <w:szCs w:val="22"/>
        </w:rPr>
        <w:t xml:space="preserve"> continuing</w:t>
      </w:r>
      <w:r w:rsidRPr="0062450E">
        <w:rPr>
          <w:sz w:val="22"/>
          <w:szCs w:val="22"/>
        </w:rPr>
        <w:t xml:space="preserve"> </w:t>
      </w:r>
      <w:r>
        <w:rPr>
          <w:sz w:val="22"/>
          <w:szCs w:val="22"/>
        </w:rPr>
        <w:t>operation of</w:t>
      </w:r>
      <w:r w:rsidRPr="0062450E">
        <w:rPr>
          <w:sz w:val="22"/>
          <w:szCs w:val="22"/>
        </w:rPr>
        <w:t xml:space="preserve"> the instruments that have been aligned.</w:t>
      </w:r>
      <w:r>
        <w:rPr>
          <w:sz w:val="22"/>
          <w:szCs w:val="22"/>
        </w:rPr>
        <w:t xml:space="preserve"> The Declaration itself is machinery in nature. It does not alter the arrangements in place under the CSG Instruments, but extends the operation of the CSG Instruments to 1 October 2023.</w:t>
      </w:r>
    </w:p>
    <w:p w14:paraId="3DCCBC79" w14:textId="4CD369D9" w:rsidR="00381A3E" w:rsidRDefault="00381A3E" w:rsidP="009E5E84">
      <w:pPr>
        <w:spacing w:before="120" w:after="120" w:line="276" w:lineRule="auto"/>
        <w:rPr>
          <w:sz w:val="22"/>
          <w:szCs w:val="22"/>
        </w:rPr>
      </w:pPr>
      <w:r w:rsidRPr="0062450E">
        <w:rPr>
          <w:sz w:val="22"/>
          <w:szCs w:val="22"/>
        </w:rPr>
        <w:t xml:space="preserve">Before issuing the </w:t>
      </w:r>
      <w:r>
        <w:rPr>
          <w:sz w:val="22"/>
          <w:szCs w:val="22"/>
        </w:rPr>
        <w:t>Declaration</w:t>
      </w:r>
      <w:r w:rsidRPr="0062450E">
        <w:rPr>
          <w:sz w:val="22"/>
          <w:szCs w:val="22"/>
        </w:rPr>
        <w:t xml:space="preserve">, the </w:t>
      </w:r>
      <w:r w:rsidR="00E137F9">
        <w:rPr>
          <w:sz w:val="22"/>
          <w:szCs w:val="22"/>
        </w:rPr>
        <w:t>Assistant Minister</w:t>
      </w:r>
      <w:r w:rsidR="00E137F9" w:rsidRPr="0062450E">
        <w:rPr>
          <w:sz w:val="22"/>
          <w:szCs w:val="22"/>
        </w:rPr>
        <w:t xml:space="preserve"> </w:t>
      </w:r>
      <w:r w:rsidR="00E137F9">
        <w:rPr>
          <w:sz w:val="22"/>
          <w:szCs w:val="22"/>
        </w:rPr>
        <w:t xml:space="preserve">to the </w:t>
      </w:r>
      <w:r w:rsidRPr="0062450E">
        <w:rPr>
          <w:sz w:val="22"/>
          <w:szCs w:val="22"/>
        </w:rPr>
        <w:t xml:space="preserve">Attorney-General was satisfied that all instruments specified in the </w:t>
      </w:r>
      <w:r>
        <w:rPr>
          <w:sz w:val="22"/>
          <w:szCs w:val="22"/>
        </w:rPr>
        <w:t>D</w:t>
      </w:r>
      <w:r w:rsidRPr="0062450E">
        <w:rPr>
          <w:sz w:val="22"/>
          <w:szCs w:val="22"/>
        </w:rPr>
        <w:t xml:space="preserve">eclaration would be subject to a single thematic review. A thematic review is an effective mechanism for determining whether the instruments are fit for purpose, identifying opportunities to update, streamline and clarify the operation of the instruments and, where appropriate, reducing unnecessary regulation. </w:t>
      </w:r>
      <w:r>
        <w:rPr>
          <w:sz w:val="22"/>
          <w:szCs w:val="22"/>
        </w:rPr>
        <w:t>The human rights impact of the CSG Instruments will be considered during the proposed review, and addressed in the Statement of Compatibility of each replacement instrument.</w:t>
      </w:r>
    </w:p>
    <w:p w14:paraId="726745EC" w14:textId="77777777" w:rsidR="00381A3E" w:rsidRPr="0062450E" w:rsidRDefault="00381A3E" w:rsidP="009E5E84">
      <w:pPr>
        <w:keepNext/>
        <w:spacing w:before="120" w:after="120" w:line="276" w:lineRule="auto"/>
        <w:rPr>
          <w:i/>
          <w:sz w:val="22"/>
          <w:szCs w:val="22"/>
        </w:rPr>
      </w:pPr>
      <w:r w:rsidRPr="0062450E">
        <w:rPr>
          <w:i/>
          <w:sz w:val="22"/>
          <w:szCs w:val="22"/>
        </w:rPr>
        <w:lastRenderedPageBreak/>
        <w:t>Conclusion</w:t>
      </w:r>
    </w:p>
    <w:p w14:paraId="7EF25203" w14:textId="77777777" w:rsidR="00381A3E" w:rsidRDefault="00381A3E" w:rsidP="009E5E84">
      <w:pPr>
        <w:keepNext/>
        <w:spacing w:before="120" w:after="120" w:line="276" w:lineRule="auto"/>
        <w:rPr>
          <w:sz w:val="22"/>
          <w:szCs w:val="22"/>
        </w:rPr>
      </w:pPr>
      <w:r w:rsidRPr="0062450E">
        <w:rPr>
          <w:sz w:val="22"/>
          <w:szCs w:val="22"/>
        </w:rPr>
        <w:t>The</w:t>
      </w:r>
      <w:r w:rsidRPr="00F040B7">
        <w:rPr>
          <w:sz w:val="22"/>
          <w:szCs w:val="22"/>
        </w:rPr>
        <w:t xml:space="preserve"> </w:t>
      </w:r>
      <w:r>
        <w:rPr>
          <w:sz w:val="22"/>
          <w:szCs w:val="22"/>
        </w:rPr>
        <w:t>Declaration</w:t>
      </w:r>
      <w:r w:rsidRPr="0062450E">
        <w:rPr>
          <w:sz w:val="22"/>
          <w:szCs w:val="22"/>
        </w:rPr>
        <w:t xml:space="preserve"> is compatible with the human rights and freedoms recognised or declared in the international instruments listed in section 3 of the Human Rights Act, as it does not raise any human rights issues.</w:t>
      </w:r>
    </w:p>
    <w:p w14:paraId="314130DB" w14:textId="77777777" w:rsidR="00381A3E" w:rsidRDefault="00381A3E" w:rsidP="009E5E84">
      <w:pPr>
        <w:spacing w:after="160" w:line="276" w:lineRule="auto"/>
        <w:rPr>
          <w:rFonts w:eastAsiaTheme="majorEastAsia"/>
          <w:b/>
          <w:bCs/>
          <w:sz w:val="22"/>
          <w:szCs w:val="22"/>
          <w:lang w:val="en-AU"/>
        </w:rPr>
      </w:pPr>
      <w:r>
        <w:br w:type="page"/>
      </w:r>
    </w:p>
    <w:p w14:paraId="373B6FF6" w14:textId="77777777" w:rsidR="00B70B1D" w:rsidRDefault="00B70B1D" w:rsidP="00381A3E">
      <w:pPr>
        <w:pStyle w:val="Heading2"/>
        <w:spacing w:before="120" w:after="120" w:line="276" w:lineRule="auto"/>
        <w:jc w:val="right"/>
        <w:rPr>
          <w:rStyle w:val="Heading1Char"/>
          <w:rFonts w:eastAsiaTheme="majorEastAsia"/>
          <w:b/>
          <w:color w:val="000000" w:themeColor="text1"/>
          <w:sz w:val="22"/>
          <w:szCs w:val="22"/>
        </w:rPr>
      </w:pPr>
      <w:r w:rsidRPr="0062450E">
        <w:rPr>
          <w:rStyle w:val="Heading1Char"/>
          <w:rFonts w:eastAsiaTheme="majorEastAsia"/>
          <w:b/>
          <w:color w:val="000000" w:themeColor="text1"/>
          <w:sz w:val="22"/>
          <w:szCs w:val="22"/>
        </w:rPr>
        <w:lastRenderedPageBreak/>
        <w:t>ATTACHMENT A</w:t>
      </w:r>
    </w:p>
    <w:p w14:paraId="7E430735" w14:textId="77777777" w:rsidR="00B70B1D" w:rsidRPr="0062450E" w:rsidRDefault="00B70B1D" w:rsidP="00381A3E">
      <w:pPr>
        <w:pStyle w:val="Heading2"/>
        <w:spacing w:before="120" w:after="120" w:line="276" w:lineRule="auto"/>
      </w:pPr>
      <w:r w:rsidRPr="0062450E">
        <w:t>NOTES ON THE DECLARATION</w:t>
      </w:r>
      <w:r w:rsidRPr="0062450E">
        <w:tab/>
      </w:r>
      <w:r w:rsidRPr="0062450E">
        <w:tab/>
      </w:r>
      <w:r w:rsidRPr="0062450E">
        <w:tab/>
        <w:t xml:space="preserve">       </w:t>
      </w:r>
    </w:p>
    <w:p w14:paraId="6C786A19" w14:textId="77777777" w:rsidR="00B70B1D" w:rsidRDefault="00B70B1D" w:rsidP="00381A3E">
      <w:pPr>
        <w:pStyle w:val="Heading3"/>
        <w:spacing w:before="120" w:after="120" w:line="276" w:lineRule="auto"/>
      </w:pPr>
      <w:r w:rsidRPr="0062450E">
        <w:t>Section 1</w:t>
      </w:r>
      <w:r w:rsidRPr="0062450E">
        <w:tab/>
        <w:t>Name</w:t>
      </w:r>
    </w:p>
    <w:p w14:paraId="628B2602" w14:textId="4AA236F0" w:rsidR="00B70B1D" w:rsidRDefault="00B70B1D" w:rsidP="00381A3E">
      <w:pPr>
        <w:spacing w:before="120" w:after="120" w:line="276" w:lineRule="auto"/>
        <w:rPr>
          <w:sz w:val="22"/>
          <w:szCs w:val="22"/>
        </w:rPr>
      </w:pPr>
      <w:r w:rsidRPr="0062450E">
        <w:rPr>
          <w:sz w:val="22"/>
          <w:szCs w:val="22"/>
        </w:rPr>
        <w:t xml:space="preserve">This section provides for the </w:t>
      </w:r>
      <w:r w:rsidR="001D395C">
        <w:rPr>
          <w:sz w:val="22"/>
          <w:szCs w:val="22"/>
        </w:rPr>
        <w:t>D</w:t>
      </w:r>
      <w:r w:rsidRPr="0062450E">
        <w:rPr>
          <w:sz w:val="22"/>
          <w:szCs w:val="22"/>
        </w:rPr>
        <w:t xml:space="preserve">eclaration to be </w:t>
      </w:r>
      <w:r w:rsidRPr="00F040B7">
        <w:rPr>
          <w:sz w:val="22"/>
          <w:szCs w:val="22"/>
        </w:rPr>
        <w:t xml:space="preserve">named the </w:t>
      </w:r>
      <w:r w:rsidRPr="00F040B7">
        <w:rPr>
          <w:i/>
          <w:iCs/>
          <w:sz w:val="22"/>
          <w:szCs w:val="22"/>
        </w:rPr>
        <w:t>Legislation (</w:t>
      </w:r>
      <w:r w:rsidR="00F040B7" w:rsidRPr="00F040B7">
        <w:rPr>
          <w:bCs/>
          <w:i/>
          <w:sz w:val="22"/>
          <w:szCs w:val="22"/>
        </w:rPr>
        <w:t xml:space="preserve">Telecommunications Customer Service Guarantee </w:t>
      </w:r>
      <w:r w:rsidRPr="00F040B7">
        <w:rPr>
          <w:i/>
          <w:iCs/>
          <w:sz w:val="22"/>
          <w:szCs w:val="22"/>
        </w:rPr>
        <w:t xml:space="preserve">Instruments) </w:t>
      </w:r>
      <w:r w:rsidR="003214C8" w:rsidRPr="00F040B7">
        <w:rPr>
          <w:i/>
          <w:iCs/>
          <w:sz w:val="22"/>
          <w:szCs w:val="22"/>
        </w:rPr>
        <w:t>Sunset</w:t>
      </w:r>
      <w:r w:rsidR="003214C8">
        <w:rPr>
          <w:i/>
          <w:iCs/>
          <w:sz w:val="22"/>
          <w:szCs w:val="22"/>
        </w:rPr>
        <w:t>-altering Declaration 2021</w:t>
      </w:r>
      <w:r>
        <w:rPr>
          <w:sz w:val="22"/>
          <w:szCs w:val="22"/>
        </w:rPr>
        <w:t xml:space="preserve">. </w:t>
      </w:r>
      <w:r w:rsidRPr="0062450E">
        <w:rPr>
          <w:sz w:val="22"/>
          <w:szCs w:val="22"/>
        </w:rPr>
        <w:t xml:space="preserve">The </w:t>
      </w:r>
      <w:r w:rsidR="00321D22">
        <w:rPr>
          <w:sz w:val="22"/>
          <w:szCs w:val="22"/>
        </w:rPr>
        <w:t>D</w:t>
      </w:r>
      <w:r w:rsidRPr="0062450E">
        <w:rPr>
          <w:sz w:val="22"/>
          <w:szCs w:val="22"/>
        </w:rPr>
        <w:t xml:space="preserve">eclaration may be cited by that name. </w:t>
      </w:r>
    </w:p>
    <w:p w14:paraId="0F3E0E58" w14:textId="77777777" w:rsidR="00B70B1D" w:rsidRDefault="00B70B1D" w:rsidP="00381A3E">
      <w:pPr>
        <w:pStyle w:val="Heading3"/>
        <w:spacing w:before="120" w:after="120" w:line="276" w:lineRule="auto"/>
      </w:pPr>
      <w:r w:rsidRPr="0062450E">
        <w:t xml:space="preserve">Section 2 </w:t>
      </w:r>
      <w:r w:rsidRPr="0062450E">
        <w:tab/>
        <w:t>Commencement</w:t>
      </w:r>
    </w:p>
    <w:p w14:paraId="5AB903DC" w14:textId="29D4134B" w:rsidR="00B70B1D" w:rsidRDefault="00B70B1D" w:rsidP="00381A3E">
      <w:pPr>
        <w:spacing w:before="120" w:after="120" w:line="276" w:lineRule="auto"/>
        <w:rPr>
          <w:color w:val="000000" w:themeColor="text1"/>
          <w:sz w:val="22"/>
          <w:szCs w:val="22"/>
          <w:lang w:val="en-AU"/>
        </w:rPr>
      </w:pPr>
      <w:r w:rsidRPr="0062450E">
        <w:rPr>
          <w:color w:val="000000" w:themeColor="text1"/>
          <w:sz w:val="22"/>
          <w:szCs w:val="22"/>
          <w:lang w:val="en-AU"/>
        </w:rPr>
        <w:t xml:space="preserve">This section provides for the </w:t>
      </w:r>
      <w:r w:rsidR="001D395C">
        <w:rPr>
          <w:color w:val="000000" w:themeColor="text1"/>
          <w:sz w:val="22"/>
          <w:szCs w:val="22"/>
          <w:lang w:val="en-AU"/>
        </w:rPr>
        <w:t>D</w:t>
      </w:r>
      <w:r w:rsidRPr="0062450E">
        <w:rPr>
          <w:color w:val="000000" w:themeColor="text1"/>
          <w:sz w:val="22"/>
          <w:szCs w:val="22"/>
          <w:lang w:val="en-AU"/>
        </w:rPr>
        <w:t xml:space="preserve">eclaration to commence on the day after it is registered. </w:t>
      </w:r>
    </w:p>
    <w:p w14:paraId="06D5EA1D" w14:textId="77777777" w:rsidR="00B70B1D" w:rsidRDefault="00B70B1D" w:rsidP="00381A3E">
      <w:pPr>
        <w:pStyle w:val="Heading3"/>
        <w:spacing w:before="120" w:after="120" w:line="276" w:lineRule="auto"/>
      </w:pPr>
      <w:r w:rsidRPr="0062450E">
        <w:t>Section 3</w:t>
      </w:r>
      <w:r w:rsidRPr="0062450E">
        <w:tab/>
        <w:t>Authority</w:t>
      </w:r>
    </w:p>
    <w:p w14:paraId="5783102F" w14:textId="47F4EE33" w:rsidR="00B70B1D" w:rsidRDefault="00B70B1D" w:rsidP="00381A3E">
      <w:pPr>
        <w:spacing w:before="120" w:after="120" w:line="276" w:lineRule="auto"/>
        <w:rPr>
          <w:color w:val="000000" w:themeColor="text1"/>
          <w:sz w:val="22"/>
          <w:szCs w:val="22"/>
          <w:lang w:val="en-AU"/>
        </w:rPr>
      </w:pPr>
      <w:r w:rsidRPr="0062450E">
        <w:rPr>
          <w:color w:val="000000" w:themeColor="text1"/>
          <w:sz w:val="22"/>
          <w:szCs w:val="22"/>
          <w:lang w:val="en-AU"/>
        </w:rPr>
        <w:t xml:space="preserve">This section provides that the </w:t>
      </w:r>
      <w:r w:rsidR="001D395C">
        <w:rPr>
          <w:color w:val="000000" w:themeColor="text1"/>
          <w:sz w:val="22"/>
          <w:szCs w:val="22"/>
          <w:lang w:val="en-AU"/>
        </w:rPr>
        <w:t>D</w:t>
      </w:r>
      <w:r w:rsidRPr="0062450E">
        <w:rPr>
          <w:color w:val="000000" w:themeColor="text1"/>
          <w:sz w:val="22"/>
          <w:szCs w:val="22"/>
          <w:lang w:val="en-AU"/>
        </w:rPr>
        <w:t xml:space="preserve">eclaration is made under subsection 51A(1) of the </w:t>
      </w:r>
      <w:r w:rsidRPr="0062450E">
        <w:rPr>
          <w:i/>
          <w:color w:val="000000" w:themeColor="text1"/>
          <w:sz w:val="22"/>
          <w:szCs w:val="22"/>
          <w:lang w:val="en-AU"/>
        </w:rPr>
        <w:t>Legislation Act 2003</w:t>
      </w:r>
      <w:r w:rsidRPr="0062450E">
        <w:rPr>
          <w:color w:val="000000" w:themeColor="text1"/>
          <w:sz w:val="22"/>
          <w:szCs w:val="22"/>
          <w:lang w:val="en-AU"/>
        </w:rPr>
        <w:t>.</w:t>
      </w:r>
    </w:p>
    <w:p w14:paraId="5A10B703" w14:textId="77777777" w:rsidR="00B70B1D" w:rsidRDefault="00B70B1D" w:rsidP="00381A3E">
      <w:pPr>
        <w:pStyle w:val="Heading3"/>
        <w:spacing w:before="120" w:after="120" w:line="276" w:lineRule="auto"/>
      </w:pPr>
      <w:r w:rsidRPr="0062450E">
        <w:t>Section 4</w:t>
      </w:r>
      <w:r w:rsidRPr="0062450E">
        <w:tab/>
        <w:t>Repeal of instruments to facilitate review etc.</w:t>
      </w:r>
    </w:p>
    <w:p w14:paraId="4E49C30F" w14:textId="168C7F8D" w:rsidR="00B70B1D" w:rsidRDefault="00B70B1D" w:rsidP="00381A3E">
      <w:pPr>
        <w:pStyle w:val="Default"/>
        <w:spacing w:before="120" w:after="120" w:line="276" w:lineRule="auto"/>
        <w:rPr>
          <w:sz w:val="22"/>
          <w:szCs w:val="22"/>
        </w:rPr>
      </w:pPr>
      <w:r w:rsidRPr="0062450E">
        <w:rPr>
          <w:sz w:val="22"/>
          <w:szCs w:val="22"/>
        </w:rPr>
        <w:t xml:space="preserve">This section provides </w:t>
      </w:r>
      <w:r>
        <w:rPr>
          <w:sz w:val="22"/>
          <w:szCs w:val="22"/>
        </w:rPr>
        <w:t xml:space="preserve">that the following instruments are repealed by section 51A of the </w:t>
      </w:r>
      <w:r>
        <w:rPr>
          <w:i/>
          <w:iCs/>
          <w:sz w:val="22"/>
          <w:szCs w:val="22"/>
        </w:rPr>
        <w:t xml:space="preserve">Legislation Act 2003 </w:t>
      </w:r>
      <w:r w:rsidRPr="00F040B7">
        <w:rPr>
          <w:sz w:val="22"/>
          <w:szCs w:val="22"/>
        </w:rPr>
        <w:t xml:space="preserve">on </w:t>
      </w:r>
      <w:r w:rsidR="00222033" w:rsidRPr="00F040B7">
        <w:rPr>
          <w:sz w:val="22"/>
          <w:szCs w:val="22"/>
        </w:rPr>
        <w:t>1 October 2023</w:t>
      </w:r>
      <w:r w:rsidRPr="00F040B7">
        <w:rPr>
          <w:sz w:val="22"/>
          <w:szCs w:val="22"/>
        </w:rPr>
        <w:t>:</w:t>
      </w:r>
      <w:r>
        <w:rPr>
          <w:sz w:val="22"/>
          <w:szCs w:val="22"/>
        </w:rPr>
        <w:t xml:space="preserve"> </w:t>
      </w:r>
    </w:p>
    <w:p w14:paraId="408DA9B8" w14:textId="62E09953" w:rsidR="00F040B7" w:rsidRPr="00F040B7" w:rsidRDefault="00F040B7" w:rsidP="00381A3E">
      <w:pPr>
        <w:pStyle w:val="Celltext"/>
        <w:numPr>
          <w:ilvl w:val="0"/>
          <w:numId w:val="12"/>
        </w:numPr>
        <w:spacing w:after="120" w:line="276" w:lineRule="auto"/>
        <w:rPr>
          <w:i/>
          <w:sz w:val="22"/>
          <w:szCs w:val="22"/>
        </w:rPr>
      </w:pPr>
      <w:r w:rsidRPr="00F040B7">
        <w:rPr>
          <w:sz w:val="22"/>
          <w:szCs w:val="22"/>
        </w:rPr>
        <w:t xml:space="preserve">the </w:t>
      </w:r>
      <w:r w:rsidRPr="00F040B7">
        <w:rPr>
          <w:rFonts w:eastAsiaTheme="minorHAnsi" w:cs="Arial"/>
          <w:i/>
          <w:iCs/>
          <w:sz w:val="22"/>
          <w:szCs w:val="22"/>
        </w:rPr>
        <w:t>Telecommunications (Customer Service Guarantee – Retail Performance Benchmarks) Instrument (No. 1)</w:t>
      </w:r>
      <w:r w:rsidR="00A42077">
        <w:rPr>
          <w:rFonts w:eastAsiaTheme="minorHAnsi" w:cs="Arial"/>
          <w:i/>
          <w:iCs/>
          <w:sz w:val="22"/>
          <w:szCs w:val="22"/>
        </w:rPr>
        <w:t xml:space="preserve"> 2011</w:t>
      </w:r>
      <w:r w:rsidR="00552691">
        <w:rPr>
          <w:sz w:val="22"/>
          <w:szCs w:val="22"/>
        </w:rPr>
        <w:t>;</w:t>
      </w:r>
    </w:p>
    <w:p w14:paraId="15B4D907" w14:textId="77777777" w:rsidR="00F040B7" w:rsidRPr="00F040B7" w:rsidRDefault="00F040B7" w:rsidP="00381A3E">
      <w:pPr>
        <w:pStyle w:val="Celltext"/>
        <w:numPr>
          <w:ilvl w:val="0"/>
          <w:numId w:val="12"/>
        </w:numPr>
        <w:spacing w:after="120" w:line="276" w:lineRule="auto"/>
        <w:rPr>
          <w:i/>
          <w:sz w:val="22"/>
          <w:szCs w:val="22"/>
        </w:rPr>
      </w:pPr>
      <w:r w:rsidRPr="00F040B7">
        <w:rPr>
          <w:sz w:val="22"/>
          <w:szCs w:val="22"/>
        </w:rPr>
        <w:t xml:space="preserve">the </w:t>
      </w:r>
      <w:r w:rsidRPr="00F040B7">
        <w:rPr>
          <w:rFonts w:eastAsiaTheme="minorHAnsi" w:cs="Arial"/>
          <w:i/>
          <w:iCs/>
          <w:sz w:val="22"/>
          <w:szCs w:val="22"/>
        </w:rPr>
        <w:t>Telecommunications (Customer Service Guarantee) Amendment Standard 2011 (No. 1)</w:t>
      </w:r>
      <w:r w:rsidRPr="00F040B7">
        <w:rPr>
          <w:sz w:val="22"/>
          <w:szCs w:val="22"/>
        </w:rPr>
        <w:t xml:space="preserve">; </w:t>
      </w:r>
    </w:p>
    <w:p w14:paraId="55F6AB92" w14:textId="5D66F70B" w:rsidR="00F040B7" w:rsidRPr="00F040B7" w:rsidRDefault="00F040B7" w:rsidP="00381A3E">
      <w:pPr>
        <w:pStyle w:val="Celltext"/>
        <w:numPr>
          <w:ilvl w:val="0"/>
          <w:numId w:val="12"/>
        </w:numPr>
        <w:spacing w:after="120" w:line="276" w:lineRule="auto"/>
        <w:rPr>
          <w:i/>
          <w:sz w:val="22"/>
          <w:szCs w:val="22"/>
        </w:rPr>
      </w:pPr>
      <w:r w:rsidRPr="00F040B7">
        <w:rPr>
          <w:sz w:val="22"/>
          <w:szCs w:val="22"/>
        </w:rPr>
        <w:t xml:space="preserve">the </w:t>
      </w:r>
      <w:r w:rsidRPr="00F040B7">
        <w:rPr>
          <w:rFonts w:eastAsiaTheme="minorHAnsi" w:cs="Arial"/>
          <w:i/>
          <w:iCs/>
          <w:sz w:val="22"/>
          <w:szCs w:val="22"/>
        </w:rPr>
        <w:t>Telecommunications (Customer Service Guarantee) Record</w:t>
      </w:r>
      <w:r w:rsidR="00FF5E2F">
        <w:rPr>
          <w:rFonts w:eastAsiaTheme="minorHAnsi" w:cs="Arial"/>
          <w:i/>
          <w:iCs/>
          <w:sz w:val="22"/>
          <w:szCs w:val="22"/>
        </w:rPr>
        <w:t>-</w:t>
      </w:r>
      <w:r w:rsidRPr="00F040B7">
        <w:rPr>
          <w:rFonts w:eastAsiaTheme="minorHAnsi" w:cs="Arial"/>
          <w:i/>
          <w:iCs/>
          <w:sz w:val="22"/>
          <w:szCs w:val="22"/>
        </w:rPr>
        <w:t>Keeping Rules 2011</w:t>
      </w:r>
      <w:r w:rsidRPr="00F040B7">
        <w:rPr>
          <w:sz w:val="22"/>
          <w:szCs w:val="22"/>
        </w:rPr>
        <w:t>; and</w:t>
      </w:r>
    </w:p>
    <w:p w14:paraId="7320EB8F" w14:textId="77777777" w:rsidR="00F040B7" w:rsidRPr="00F040B7" w:rsidRDefault="00F040B7" w:rsidP="00381A3E">
      <w:pPr>
        <w:pStyle w:val="Celltext"/>
        <w:numPr>
          <w:ilvl w:val="0"/>
          <w:numId w:val="12"/>
        </w:numPr>
        <w:spacing w:after="120" w:line="276" w:lineRule="auto"/>
        <w:rPr>
          <w:i/>
          <w:sz w:val="22"/>
          <w:szCs w:val="22"/>
        </w:rPr>
      </w:pPr>
      <w:r w:rsidRPr="00F040B7">
        <w:rPr>
          <w:sz w:val="22"/>
          <w:szCs w:val="22"/>
        </w:rPr>
        <w:t xml:space="preserve">the </w:t>
      </w:r>
      <w:r w:rsidRPr="00F040B7">
        <w:rPr>
          <w:rFonts w:eastAsiaTheme="minorHAnsi" w:cs="Arial"/>
          <w:i/>
          <w:iCs/>
          <w:sz w:val="22"/>
          <w:szCs w:val="22"/>
        </w:rPr>
        <w:t>Telecommunications (Customer Service Guarantee) Standard 2011</w:t>
      </w:r>
      <w:r w:rsidRPr="00F040B7">
        <w:rPr>
          <w:sz w:val="22"/>
          <w:szCs w:val="22"/>
        </w:rPr>
        <w:t>.</w:t>
      </w:r>
    </w:p>
    <w:p w14:paraId="09DA2474" w14:textId="6671C5E7" w:rsidR="00B70B1D" w:rsidRPr="00F040B7" w:rsidRDefault="00C90BA4" w:rsidP="00381A3E">
      <w:pPr>
        <w:spacing w:before="120" w:after="120" w:line="276" w:lineRule="auto"/>
        <w:rPr>
          <w:sz w:val="22"/>
          <w:szCs w:val="22"/>
        </w:rPr>
      </w:pPr>
      <w:r w:rsidRPr="00F040B7">
        <w:rPr>
          <w:sz w:val="22"/>
          <w:szCs w:val="22"/>
        </w:rPr>
        <w:t>1 October 2023</w:t>
      </w:r>
      <w:r w:rsidR="00B70B1D" w:rsidRPr="00F040B7">
        <w:rPr>
          <w:sz w:val="22"/>
          <w:szCs w:val="22"/>
        </w:rPr>
        <w:t xml:space="preserve"> is the aligned sunsetting day for those instruments, which would otherwis</w:t>
      </w:r>
      <w:r w:rsidRPr="00F040B7">
        <w:rPr>
          <w:sz w:val="22"/>
          <w:szCs w:val="22"/>
        </w:rPr>
        <w:t xml:space="preserve">e have sunset on </w:t>
      </w:r>
      <w:r w:rsidR="00B70B1D" w:rsidRPr="00F040B7">
        <w:rPr>
          <w:sz w:val="22"/>
          <w:szCs w:val="22"/>
        </w:rPr>
        <w:t>1 April 202</w:t>
      </w:r>
      <w:r w:rsidRPr="00F040B7">
        <w:rPr>
          <w:sz w:val="22"/>
          <w:szCs w:val="22"/>
        </w:rPr>
        <w:t>1 and 1 October 2021</w:t>
      </w:r>
      <w:r w:rsidR="00B70B1D" w:rsidRPr="00F040B7">
        <w:rPr>
          <w:sz w:val="22"/>
          <w:szCs w:val="22"/>
        </w:rPr>
        <w:t xml:space="preserve">, variously. </w:t>
      </w:r>
    </w:p>
    <w:p w14:paraId="10B51DEE" w14:textId="77777777" w:rsidR="00B70B1D" w:rsidRPr="00F040B7" w:rsidRDefault="00B70B1D" w:rsidP="00381A3E">
      <w:pPr>
        <w:pStyle w:val="Heading3"/>
        <w:spacing w:before="120" w:after="120" w:line="276" w:lineRule="auto"/>
      </w:pPr>
      <w:r w:rsidRPr="00F040B7">
        <w:t>Section 5</w:t>
      </w:r>
      <w:r w:rsidRPr="00F040B7">
        <w:tab/>
        <w:t>Repeal of this instrument</w:t>
      </w:r>
    </w:p>
    <w:p w14:paraId="0F49F840" w14:textId="52203E6E" w:rsidR="00B70B1D" w:rsidRPr="0062450E" w:rsidRDefault="00B70B1D" w:rsidP="00381A3E">
      <w:pPr>
        <w:pStyle w:val="subsection"/>
        <w:spacing w:before="120" w:after="120" w:line="276" w:lineRule="auto"/>
        <w:ind w:left="0" w:firstLine="0"/>
        <w:jc w:val="both"/>
        <w:rPr>
          <w:sz w:val="22"/>
          <w:szCs w:val="22"/>
          <w:lang w:val="en-AU"/>
        </w:rPr>
      </w:pPr>
      <w:r w:rsidRPr="00F040B7">
        <w:rPr>
          <w:snapToGrid/>
          <w:color w:val="000000" w:themeColor="text1"/>
          <w:sz w:val="22"/>
          <w:szCs w:val="22"/>
          <w:lang w:val="en-AU" w:eastAsia="en-US"/>
        </w:rPr>
        <w:t xml:space="preserve">This section provides that the </w:t>
      </w:r>
      <w:r w:rsidR="005F2F73">
        <w:rPr>
          <w:snapToGrid/>
          <w:color w:val="000000" w:themeColor="text1"/>
          <w:sz w:val="22"/>
          <w:szCs w:val="22"/>
          <w:lang w:val="en-AU" w:eastAsia="en-US"/>
        </w:rPr>
        <w:t>Declaration</w:t>
      </w:r>
      <w:r w:rsidR="005F2F73" w:rsidRPr="00F040B7">
        <w:rPr>
          <w:snapToGrid/>
          <w:color w:val="000000" w:themeColor="text1"/>
          <w:sz w:val="22"/>
          <w:szCs w:val="22"/>
          <w:lang w:val="en-AU" w:eastAsia="en-US"/>
        </w:rPr>
        <w:t xml:space="preserve"> </w:t>
      </w:r>
      <w:r w:rsidRPr="00F040B7">
        <w:rPr>
          <w:snapToGrid/>
          <w:color w:val="000000" w:themeColor="text1"/>
          <w:sz w:val="22"/>
          <w:szCs w:val="22"/>
          <w:lang w:val="en-AU" w:eastAsia="en-US"/>
        </w:rPr>
        <w:t xml:space="preserve">is repealed at the </w:t>
      </w:r>
      <w:r w:rsidRPr="00F040B7">
        <w:rPr>
          <w:snapToGrid/>
          <w:sz w:val="22"/>
          <w:szCs w:val="22"/>
          <w:lang w:val="en-AU" w:eastAsia="en-US"/>
        </w:rPr>
        <w:t>start of 2</w:t>
      </w:r>
      <w:r w:rsidRPr="00F040B7">
        <w:rPr>
          <w:sz w:val="22"/>
          <w:szCs w:val="22"/>
        </w:rPr>
        <w:t> </w:t>
      </w:r>
      <w:r w:rsidR="00C90BA4" w:rsidRPr="00F040B7">
        <w:rPr>
          <w:sz w:val="22"/>
          <w:szCs w:val="22"/>
        </w:rPr>
        <w:t>October 2023</w:t>
      </w:r>
      <w:r w:rsidRPr="00F040B7">
        <w:rPr>
          <w:sz w:val="22"/>
          <w:szCs w:val="22"/>
        </w:rPr>
        <w:t>.</w:t>
      </w:r>
    </w:p>
    <w:p w14:paraId="23C558FD" w14:textId="77777777" w:rsidR="00B70B1D" w:rsidRDefault="00B70B1D" w:rsidP="00381A3E">
      <w:pPr>
        <w:spacing w:before="120" w:after="120" w:line="276" w:lineRule="auto"/>
      </w:pPr>
    </w:p>
    <w:p w14:paraId="1EA6DEA0" w14:textId="77777777" w:rsidR="00EB449D" w:rsidRPr="00B70B1D" w:rsidRDefault="00AB7EF5" w:rsidP="00381A3E">
      <w:pPr>
        <w:spacing w:line="276" w:lineRule="auto"/>
      </w:pPr>
    </w:p>
    <w:sectPr w:rsidR="00EB449D" w:rsidRPr="00B70B1D" w:rsidSect="00AB7EF5">
      <w:footerReference w:type="default" r:id="rId11"/>
      <w:pgSz w:w="11906" w:h="16838"/>
      <w:pgMar w:top="1276"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1261E" w16cex:dateUtc="2021-01-18T22:34:00Z"/>
  <w16cex:commentExtensible w16cex:durableId="23B12677" w16cex:dateUtc="2021-01-18T2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DE8B31" w16cid:durableId="23B1261E"/>
  <w16cid:commentId w16cid:paraId="4B8A2058" w16cid:durableId="23B126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8403F" w14:textId="77777777" w:rsidR="00C636D0" w:rsidRDefault="00C636D0">
      <w:r>
        <w:separator/>
      </w:r>
    </w:p>
  </w:endnote>
  <w:endnote w:type="continuationSeparator" w:id="0">
    <w:p w14:paraId="2E5AE4C6" w14:textId="77777777" w:rsidR="00C636D0" w:rsidRDefault="00C63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1841804"/>
      <w:docPartObj>
        <w:docPartGallery w:val="Page Numbers (Bottom of Page)"/>
        <w:docPartUnique/>
      </w:docPartObj>
    </w:sdtPr>
    <w:sdtEndPr>
      <w:rPr>
        <w:noProof/>
      </w:rPr>
    </w:sdtEndPr>
    <w:sdtContent>
      <w:p w14:paraId="2CED5D78" w14:textId="57792DD0" w:rsidR="00021171" w:rsidRDefault="001504C1" w:rsidP="00D2023C">
        <w:pPr>
          <w:pStyle w:val="Footer"/>
          <w:jc w:val="right"/>
        </w:pPr>
        <w:r w:rsidRPr="00611F23">
          <w:fldChar w:fldCharType="begin"/>
        </w:r>
        <w:r w:rsidRPr="00611F23">
          <w:instrText xml:space="preserve"> PAGE   \* MERGEFORMAT </w:instrText>
        </w:r>
        <w:r w:rsidRPr="00611F23">
          <w:fldChar w:fldCharType="separate"/>
        </w:r>
        <w:r w:rsidR="00AB7EF5">
          <w:rPr>
            <w:noProof/>
          </w:rPr>
          <w:t>5</w:t>
        </w:r>
        <w:r w:rsidRPr="00611F23">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44E76" w14:textId="77777777" w:rsidR="00C636D0" w:rsidRDefault="00C636D0">
      <w:r>
        <w:separator/>
      </w:r>
    </w:p>
  </w:footnote>
  <w:footnote w:type="continuationSeparator" w:id="0">
    <w:p w14:paraId="68775E98" w14:textId="77777777" w:rsidR="00C636D0" w:rsidRDefault="00C636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58E3"/>
    <w:multiLevelType w:val="hybridMultilevel"/>
    <w:tmpl w:val="A38CAA5C"/>
    <w:lvl w:ilvl="0" w:tplc="7A544BBA">
      <w:start w:val="1"/>
      <w:numFmt w:val="lowerLetter"/>
      <w:lvlText w:val="(%1)"/>
      <w:lvlJc w:val="left"/>
      <w:pPr>
        <w:ind w:left="720" w:hanging="360"/>
      </w:pPr>
      <w:rPr>
        <w:rFonts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454275"/>
    <w:multiLevelType w:val="hybridMultilevel"/>
    <w:tmpl w:val="82BE1B1C"/>
    <w:lvl w:ilvl="0" w:tplc="7A544BBA">
      <w:start w:val="1"/>
      <w:numFmt w:val="lowerLetter"/>
      <w:lvlText w:val="(%1)"/>
      <w:lvlJc w:val="left"/>
      <w:pPr>
        <w:ind w:left="720" w:hanging="360"/>
      </w:pPr>
      <w:rPr>
        <w:rFonts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AF3FB5"/>
    <w:multiLevelType w:val="hybridMultilevel"/>
    <w:tmpl w:val="3B14EB64"/>
    <w:lvl w:ilvl="0" w:tplc="B9129EDC">
      <w:start w:val="1"/>
      <w:numFmt w:val="bullet"/>
      <w:pStyle w:val="RPABullet1"/>
      <w:lvlText w:val=""/>
      <w:lvlJc w:val="left"/>
      <w:pPr>
        <w:ind w:left="720" w:hanging="360"/>
      </w:pPr>
      <w:rPr>
        <w:rFonts w:ascii="Symbol" w:hAnsi="Symbol" w:hint="default"/>
      </w:rPr>
    </w:lvl>
    <w:lvl w:ilvl="1" w:tplc="79D2EC28">
      <w:start w:val="1"/>
      <w:numFmt w:val="bullet"/>
      <w:pStyle w:val="RPABullet2"/>
      <w:lvlText w:val=""/>
      <w:lvlJc w:val="left"/>
      <w:pPr>
        <w:ind w:left="1440" w:hanging="360"/>
      </w:pPr>
      <w:rPr>
        <w:rFonts w:ascii="Symbol" w:hAnsi="Symbol" w:hint="default"/>
        <w:color w:val="5B9BD5" w:themeColor="accent1"/>
      </w:rPr>
    </w:lvl>
    <w:lvl w:ilvl="2" w:tplc="B7305618">
      <w:start w:val="1"/>
      <w:numFmt w:val="bullet"/>
      <w:pStyle w:val="RPABullet3"/>
      <w:lvlText w:val="o"/>
      <w:lvlJc w:val="left"/>
      <w:pPr>
        <w:ind w:left="2160" w:hanging="360"/>
      </w:pPr>
      <w:rPr>
        <w:rFonts w:ascii="Courier New" w:hAnsi="Courier New" w:cs="Courier New" w:hint="default"/>
      </w:rPr>
    </w:lvl>
    <w:lvl w:ilvl="3" w:tplc="E3D0377E">
      <w:start w:val="1"/>
      <w:numFmt w:val="bullet"/>
      <w:pStyle w:val="RPABullet4"/>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2E3B7A"/>
    <w:multiLevelType w:val="hybridMultilevel"/>
    <w:tmpl w:val="4B5C6546"/>
    <w:lvl w:ilvl="0" w:tplc="7A544BBA">
      <w:start w:val="1"/>
      <w:numFmt w:val="lowerLetter"/>
      <w:lvlText w:val="(%1)"/>
      <w:lvlJc w:val="left"/>
      <w:pPr>
        <w:ind w:left="720" w:hanging="360"/>
      </w:pPr>
      <w:rPr>
        <w:rFonts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EB5C90"/>
    <w:multiLevelType w:val="multilevel"/>
    <w:tmpl w:val="C786FCD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B07454"/>
    <w:multiLevelType w:val="hybridMultilevel"/>
    <w:tmpl w:val="51382302"/>
    <w:lvl w:ilvl="0" w:tplc="3B3A7D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FB651EB"/>
    <w:multiLevelType w:val="hybridMultilevel"/>
    <w:tmpl w:val="DE667A0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B0108D4"/>
    <w:multiLevelType w:val="hybridMultilevel"/>
    <w:tmpl w:val="4B5C6546"/>
    <w:lvl w:ilvl="0" w:tplc="7A544BBA">
      <w:start w:val="1"/>
      <w:numFmt w:val="lowerLetter"/>
      <w:lvlText w:val="(%1)"/>
      <w:lvlJc w:val="left"/>
      <w:pPr>
        <w:ind w:left="720" w:hanging="360"/>
      </w:pPr>
      <w:rPr>
        <w:rFonts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EA340C"/>
    <w:multiLevelType w:val="hybridMultilevel"/>
    <w:tmpl w:val="C2DE3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73742E"/>
    <w:multiLevelType w:val="multilevel"/>
    <w:tmpl w:val="C786FCD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0F91843"/>
    <w:multiLevelType w:val="hybridMultilevel"/>
    <w:tmpl w:val="4B5C6546"/>
    <w:lvl w:ilvl="0" w:tplc="7A544BBA">
      <w:start w:val="1"/>
      <w:numFmt w:val="lowerLetter"/>
      <w:lvlText w:val="(%1)"/>
      <w:lvlJc w:val="left"/>
      <w:pPr>
        <w:ind w:left="720" w:hanging="360"/>
      </w:pPr>
      <w:rPr>
        <w:rFonts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FE14A1"/>
    <w:multiLevelType w:val="hybridMultilevel"/>
    <w:tmpl w:val="4B5C6546"/>
    <w:lvl w:ilvl="0" w:tplc="7A544BBA">
      <w:start w:val="1"/>
      <w:numFmt w:val="lowerLetter"/>
      <w:lvlText w:val="(%1)"/>
      <w:lvlJc w:val="left"/>
      <w:pPr>
        <w:ind w:left="720" w:hanging="360"/>
      </w:pPr>
      <w:rPr>
        <w:rFonts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726F67"/>
    <w:multiLevelType w:val="hybridMultilevel"/>
    <w:tmpl w:val="4B5C6546"/>
    <w:lvl w:ilvl="0" w:tplc="7A544BBA">
      <w:start w:val="1"/>
      <w:numFmt w:val="lowerLetter"/>
      <w:lvlText w:val="(%1)"/>
      <w:lvlJc w:val="left"/>
      <w:pPr>
        <w:ind w:left="720" w:hanging="360"/>
      </w:pPr>
      <w:rPr>
        <w:rFonts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523A8B"/>
    <w:multiLevelType w:val="hybridMultilevel"/>
    <w:tmpl w:val="4B5C6546"/>
    <w:lvl w:ilvl="0" w:tplc="7A544BBA">
      <w:start w:val="1"/>
      <w:numFmt w:val="lowerLetter"/>
      <w:lvlText w:val="(%1)"/>
      <w:lvlJc w:val="left"/>
      <w:pPr>
        <w:ind w:left="720" w:hanging="360"/>
      </w:pPr>
      <w:rPr>
        <w:rFonts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C522859"/>
    <w:multiLevelType w:val="multilevel"/>
    <w:tmpl w:val="C786FCD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DC307C0"/>
    <w:multiLevelType w:val="hybridMultilevel"/>
    <w:tmpl w:val="4B5C6546"/>
    <w:lvl w:ilvl="0" w:tplc="7A544BBA">
      <w:start w:val="1"/>
      <w:numFmt w:val="lowerLetter"/>
      <w:lvlText w:val="(%1)"/>
      <w:lvlJc w:val="left"/>
      <w:pPr>
        <w:ind w:left="720" w:hanging="360"/>
      </w:pPr>
      <w:rPr>
        <w:rFonts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9"/>
  </w:num>
  <w:num w:numId="4">
    <w:abstractNumId w:val="1"/>
  </w:num>
  <w:num w:numId="5">
    <w:abstractNumId w:val="6"/>
  </w:num>
  <w:num w:numId="6">
    <w:abstractNumId w:val="5"/>
  </w:num>
  <w:num w:numId="7">
    <w:abstractNumId w:val="7"/>
  </w:num>
  <w:num w:numId="8">
    <w:abstractNumId w:val="13"/>
  </w:num>
  <w:num w:numId="9">
    <w:abstractNumId w:val="12"/>
  </w:num>
  <w:num w:numId="10">
    <w:abstractNumId w:val="15"/>
  </w:num>
  <w:num w:numId="11">
    <w:abstractNumId w:val="3"/>
  </w:num>
  <w:num w:numId="12">
    <w:abstractNumId w:val="10"/>
  </w:num>
  <w:num w:numId="13">
    <w:abstractNumId w:val="8"/>
  </w:num>
  <w:num w:numId="14">
    <w:abstractNumId w:val="14"/>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4C1"/>
    <w:rsid w:val="00000A19"/>
    <w:rsid w:val="00025D72"/>
    <w:rsid w:val="00032AD7"/>
    <w:rsid w:val="000349D0"/>
    <w:rsid w:val="000454E9"/>
    <w:rsid w:val="00055052"/>
    <w:rsid w:val="000630EC"/>
    <w:rsid w:val="0006561E"/>
    <w:rsid w:val="00070DD8"/>
    <w:rsid w:val="00095F87"/>
    <w:rsid w:val="000A61AF"/>
    <w:rsid w:val="000D0AF2"/>
    <w:rsid w:val="000E23E3"/>
    <w:rsid w:val="00120356"/>
    <w:rsid w:val="001440B3"/>
    <w:rsid w:val="001504C1"/>
    <w:rsid w:val="00157F13"/>
    <w:rsid w:val="00194723"/>
    <w:rsid w:val="001C0367"/>
    <w:rsid w:val="001C3527"/>
    <w:rsid w:val="001D395C"/>
    <w:rsid w:val="001D72CC"/>
    <w:rsid w:val="001E1FDA"/>
    <w:rsid w:val="00200D20"/>
    <w:rsid w:val="00222033"/>
    <w:rsid w:val="0023355C"/>
    <w:rsid w:val="002705F2"/>
    <w:rsid w:val="00273538"/>
    <w:rsid w:val="00284ED8"/>
    <w:rsid w:val="002B52F1"/>
    <w:rsid w:val="002D404E"/>
    <w:rsid w:val="002F141E"/>
    <w:rsid w:val="003021BE"/>
    <w:rsid w:val="003059D0"/>
    <w:rsid w:val="003214C8"/>
    <w:rsid w:val="00321D22"/>
    <w:rsid w:val="00327B7B"/>
    <w:rsid w:val="00356781"/>
    <w:rsid w:val="00381A3E"/>
    <w:rsid w:val="003B0610"/>
    <w:rsid w:val="003D6E05"/>
    <w:rsid w:val="00403464"/>
    <w:rsid w:val="0040657C"/>
    <w:rsid w:val="004066DE"/>
    <w:rsid w:val="0042397F"/>
    <w:rsid w:val="00444611"/>
    <w:rsid w:val="00453DD4"/>
    <w:rsid w:val="004545BD"/>
    <w:rsid w:val="004968B8"/>
    <w:rsid w:val="00505CE8"/>
    <w:rsid w:val="00513626"/>
    <w:rsid w:val="00522D91"/>
    <w:rsid w:val="00523892"/>
    <w:rsid w:val="00552691"/>
    <w:rsid w:val="00564FB0"/>
    <w:rsid w:val="00580CDD"/>
    <w:rsid w:val="005F2F73"/>
    <w:rsid w:val="00607ADB"/>
    <w:rsid w:val="0065716E"/>
    <w:rsid w:val="006603F4"/>
    <w:rsid w:val="006B3461"/>
    <w:rsid w:val="006D7BAF"/>
    <w:rsid w:val="007631A0"/>
    <w:rsid w:val="007634CA"/>
    <w:rsid w:val="0076777E"/>
    <w:rsid w:val="00793996"/>
    <w:rsid w:val="007D7770"/>
    <w:rsid w:val="007F262D"/>
    <w:rsid w:val="007F466C"/>
    <w:rsid w:val="0080473A"/>
    <w:rsid w:val="008065B3"/>
    <w:rsid w:val="00863552"/>
    <w:rsid w:val="00866926"/>
    <w:rsid w:val="0089282D"/>
    <w:rsid w:val="008B4C52"/>
    <w:rsid w:val="008D63D7"/>
    <w:rsid w:val="008E0327"/>
    <w:rsid w:val="00924BD7"/>
    <w:rsid w:val="009A34F3"/>
    <w:rsid w:val="009B2615"/>
    <w:rsid w:val="009D2392"/>
    <w:rsid w:val="009E2D12"/>
    <w:rsid w:val="009E5E84"/>
    <w:rsid w:val="00A12C73"/>
    <w:rsid w:val="00A40FAC"/>
    <w:rsid w:val="00A42077"/>
    <w:rsid w:val="00A43549"/>
    <w:rsid w:val="00A75105"/>
    <w:rsid w:val="00A824ED"/>
    <w:rsid w:val="00A8637A"/>
    <w:rsid w:val="00AB7300"/>
    <w:rsid w:val="00AB7EF5"/>
    <w:rsid w:val="00AC6CE3"/>
    <w:rsid w:val="00B70B1D"/>
    <w:rsid w:val="00BF09D7"/>
    <w:rsid w:val="00C636D0"/>
    <w:rsid w:val="00C64BE3"/>
    <w:rsid w:val="00C90BA4"/>
    <w:rsid w:val="00CA0236"/>
    <w:rsid w:val="00CF0A7B"/>
    <w:rsid w:val="00D57976"/>
    <w:rsid w:val="00D70CF8"/>
    <w:rsid w:val="00D8250B"/>
    <w:rsid w:val="00D85A3B"/>
    <w:rsid w:val="00DA7EDC"/>
    <w:rsid w:val="00DC2F9E"/>
    <w:rsid w:val="00DE61B2"/>
    <w:rsid w:val="00E137F9"/>
    <w:rsid w:val="00E16E8F"/>
    <w:rsid w:val="00E46EC7"/>
    <w:rsid w:val="00E97DA1"/>
    <w:rsid w:val="00EE2D06"/>
    <w:rsid w:val="00EF7583"/>
    <w:rsid w:val="00F040B7"/>
    <w:rsid w:val="00F23A95"/>
    <w:rsid w:val="00F25556"/>
    <w:rsid w:val="00F800D1"/>
    <w:rsid w:val="00F845F8"/>
    <w:rsid w:val="00FC2A67"/>
    <w:rsid w:val="00FD502E"/>
    <w:rsid w:val="00FE7047"/>
    <w:rsid w:val="00FF45D4"/>
    <w:rsid w:val="00FF5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18A26"/>
  <w15:chartTrackingRefBased/>
  <w15:docId w15:val="{94D22772-F9B5-4985-9142-95163A8FB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4C1"/>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Heading2"/>
    <w:next w:val="Normal"/>
    <w:link w:val="Heading1Char"/>
    <w:qFormat/>
    <w:rsid w:val="001504C1"/>
    <w:pPr>
      <w:keepNext w:val="0"/>
      <w:keepLines w:val="0"/>
      <w:spacing w:before="360" w:line="260" w:lineRule="atLeast"/>
      <w:jc w:val="center"/>
      <w:outlineLvl w:val="0"/>
    </w:pPr>
    <w:rPr>
      <w:rFonts w:eastAsia="Times New Roman"/>
      <w:bCs w:val="0"/>
      <w:sz w:val="28"/>
      <w:szCs w:val="24"/>
    </w:rPr>
  </w:style>
  <w:style w:type="paragraph" w:styleId="Heading2">
    <w:name w:val="heading 2"/>
    <w:basedOn w:val="Normal"/>
    <w:next w:val="Normal"/>
    <w:link w:val="Heading2Char"/>
    <w:uiPriority w:val="9"/>
    <w:unhideWhenUsed/>
    <w:qFormat/>
    <w:rsid w:val="001504C1"/>
    <w:pPr>
      <w:keepNext/>
      <w:keepLines/>
      <w:spacing w:before="200"/>
      <w:outlineLvl w:val="1"/>
    </w:pPr>
    <w:rPr>
      <w:rFonts w:eastAsiaTheme="majorEastAsia"/>
      <w:b/>
      <w:bCs/>
      <w:sz w:val="22"/>
      <w:szCs w:val="22"/>
      <w:lang w:val="en-AU"/>
    </w:rPr>
  </w:style>
  <w:style w:type="paragraph" w:styleId="Heading3">
    <w:name w:val="heading 3"/>
    <w:basedOn w:val="Normal"/>
    <w:next w:val="Normal"/>
    <w:link w:val="Heading3Char"/>
    <w:uiPriority w:val="9"/>
    <w:unhideWhenUsed/>
    <w:qFormat/>
    <w:rsid w:val="001504C1"/>
    <w:pPr>
      <w:keepNext/>
      <w:keepLines/>
      <w:spacing w:before="180" w:after="200"/>
      <w:outlineLvl w:val="2"/>
    </w:pPr>
    <w:rPr>
      <w:rFonts w:eastAsiaTheme="majorEastAsia"/>
      <w:b/>
      <w:bCs/>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04C1"/>
    <w:rPr>
      <w:rFonts w:ascii="Times New Roman" w:eastAsia="Times New Roman" w:hAnsi="Times New Roman" w:cs="Times New Roman"/>
      <w:b/>
      <w:snapToGrid w:val="0"/>
      <w:sz w:val="28"/>
      <w:szCs w:val="24"/>
      <w:lang w:val="en-AU"/>
    </w:rPr>
  </w:style>
  <w:style w:type="character" w:customStyle="1" w:styleId="Heading2Char">
    <w:name w:val="Heading 2 Char"/>
    <w:basedOn w:val="DefaultParagraphFont"/>
    <w:link w:val="Heading2"/>
    <w:uiPriority w:val="9"/>
    <w:rsid w:val="001504C1"/>
    <w:rPr>
      <w:rFonts w:ascii="Times New Roman" w:eastAsiaTheme="majorEastAsia" w:hAnsi="Times New Roman" w:cs="Times New Roman"/>
      <w:b/>
      <w:bCs/>
      <w:snapToGrid w:val="0"/>
      <w:lang w:val="en-AU"/>
    </w:rPr>
  </w:style>
  <w:style w:type="character" w:customStyle="1" w:styleId="Heading3Char">
    <w:name w:val="Heading 3 Char"/>
    <w:basedOn w:val="DefaultParagraphFont"/>
    <w:link w:val="Heading3"/>
    <w:uiPriority w:val="9"/>
    <w:rsid w:val="001504C1"/>
    <w:rPr>
      <w:rFonts w:ascii="Times New Roman" w:eastAsiaTheme="majorEastAsia" w:hAnsi="Times New Roman" w:cs="Times New Roman"/>
      <w:b/>
      <w:bCs/>
      <w:snapToGrid w:val="0"/>
      <w:lang w:val="en-AU"/>
    </w:rPr>
  </w:style>
  <w:style w:type="paragraph" w:customStyle="1" w:styleId="subsection">
    <w:name w:val="subsection"/>
    <w:aliases w:val="ss"/>
    <w:basedOn w:val="Normal"/>
    <w:link w:val="subsectionChar"/>
    <w:rsid w:val="001504C1"/>
    <w:pPr>
      <w:tabs>
        <w:tab w:val="right" w:pos="1021"/>
      </w:tabs>
      <w:spacing w:before="180"/>
      <w:ind w:left="1134" w:hanging="1134"/>
    </w:pPr>
    <w:rPr>
      <w:lang w:eastAsia="en-AU"/>
    </w:rPr>
  </w:style>
  <w:style w:type="character" w:customStyle="1" w:styleId="subsectionChar">
    <w:name w:val="subsection Char"/>
    <w:aliases w:val="ss Char"/>
    <w:link w:val="subsection"/>
    <w:locked/>
    <w:rsid w:val="001504C1"/>
    <w:rPr>
      <w:rFonts w:ascii="Times New Roman" w:eastAsia="Times New Roman" w:hAnsi="Times New Roman" w:cs="Times New Roman"/>
      <w:snapToGrid w:val="0"/>
      <w:sz w:val="24"/>
      <w:szCs w:val="20"/>
      <w:lang w:val="en-US" w:eastAsia="en-AU"/>
    </w:rPr>
  </w:style>
  <w:style w:type="paragraph" w:customStyle="1" w:styleId="ShortT">
    <w:name w:val="ShortT"/>
    <w:basedOn w:val="Normal"/>
    <w:next w:val="Normal"/>
    <w:qFormat/>
    <w:rsid w:val="001504C1"/>
    <w:rPr>
      <w:b/>
      <w:sz w:val="40"/>
      <w:lang w:eastAsia="en-AU"/>
    </w:rPr>
  </w:style>
  <w:style w:type="character" w:styleId="Hyperlink">
    <w:name w:val="Hyperlink"/>
    <w:uiPriority w:val="99"/>
    <w:rsid w:val="001504C1"/>
    <w:rPr>
      <w:color w:val="0000FF"/>
      <w:u w:val="single"/>
    </w:rPr>
  </w:style>
  <w:style w:type="paragraph" w:styleId="Footer">
    <w:name w:val="footer"/>
    <w:basedOn w:val="Normal"/>
    <w:link w:val="FooterChar"/>
    <w:uiPriority w:val="99"/>
    <w:unhideWhenUsed/>
    <w:rsid w:val="001504C1"/>
    <w:pPr>
      <w:tabs>
        <w:tab w:val="center" w:pos="4513"/>
        <w:tab w:val="right" w:pos="9026"/>
      </w:tabs>
    </w:pPr>
  </w:style>
  <w:style w:type="character" w:customStyle="1" w:styleId="FooterChar">
    <w:name w:val="Footer Char"/>
    <w:basedOn w:val="DefaultParagraphFont"/>
    <w:link w:val="Footer"/>
    <w:uiPriority w:val="99"/>
    <w:rsid w:val="001504C1"/>
    <w:rPr>
      <w:rFonts w:ascii="Times New Roman" w:eastAsia="Times New Roman" w:hAnsi="Times New Roman" w:cs="Times New Roman"/>
      <w:snapToGrid w:val="0"/>
      <w:sz w:val="24"/>
      <w:szCs w:val="20"/>
      <w:lang w:val="en-US"/>
    </w:rPr>
  </w:style>
  <w:style w:type="paragraph" w:customStyle="1" w:styleId="Celltext">
    <w:name w:val="Cell text"/>
    <w:basedOn w:val="Normal"/>
    <w:rsid w:val="001504C1"/>
    <w:pPr>
      <w:widowControl/>
      <w:spacing w:before="120"/>
    </w:pPr>
    <w:rPr>
      <w:snapToGrid/>
      <w:lang w:val="en-AU" w:eastAsia="en-AU"/>
    </w:rPr>
  </w:style>
  <w:style w:type="paragraph" w:customStyle="1" w:styleId="Basetext">
    <w:name w:val="Base text"/>
    <w:basedOn w:val="Normal"/>
    <w:link w:val="BasetextChar"/>
    <w:qFormat/>
    <w:rsid w:val="001504C1"/>
    <w:pPr>
      <w:spacing w:before="180" w:line="276" w:lineRule="auto"/>
    </w:pPr>
    <w:rPr>
      <w:sz w:val="22"/>
      <w:szCs w:val="22"/>
      <w:lang w:val="en-AU"/>
    </w:rPr>
  </w:style>
  <w:style w:type="character" w:customStyle="1" w:styleId="BasetextChar">
    <w:name w:val="Base text Char"/>
    <w:basedOn w:val="DefaultParagraphFont"/>
    <w:link w:val="Basetext"/>
    <w:rsid w:val="001504C1"/>
    <w:rPr>
      <w:rFonts w:ascii="Times New Roman" w:eastAsia="Times New Roman" w:hAnsi="Times New Roman" w:cs="Times New Roman"/>
      <w:snapToGrid w:val="0"/>
      <w:lang w:val="en-AU"/>
    </w:rPr>
  </w:style>
  <w:style w:type="paragraph" w:customStyle="1" w:styleId="Default">
    <w:name w:val="Default"/>
    <w:rsid w:val="00E97DA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B3461"/>
    <w:pPr>
      <w:ind w:left="720"/>
      <w:contextualSpacing/>
    </w:pPr>
  </w:style>
  <w:style w:type="character" w:styleId="CommentReference">
    <w:name w:val="annotation reference"/>
    <w:basedOn w:val="DefaultParagraphFont"/>
    <w:uiPriority w:val="99"/>
    <w:semiHidden/>
    <w:unhideWhenUsed/>
    <w:rsid w:val="00A12C73"/>
    <w:rPr>
      <w:sz w:val="16"/>
      <w:szCs w:val="16"/>
    </w:rPr>
  </w:style>
  <w:style w:type="paragraph" w:styleId="CommentText">
    <w:name w:val="annotation text"/>
    <w:basedOn w:val="Normal"/>
    <w:link w:val="CommentTextChar"/>
    <w:uiPriority w:val="99"/>
    <w:semiHidden/>
    <w:unhideWhenUsed/>
    <w:rsid w:val="00A12C73"/>
    <w:rPr>
      <w:sz w:val="20"/>
    </w:rPr>
  </w:style>
  <w:style w:type="character" w:customStyle="1" w:styleId="CommentTextChar">
    <w:name w:val="Comment Text Char"/>
    <w:basedOn w:val="DefaultParagraphFont"/>
    <w:link w:val="CommentText"/>
    <w:uiPriority w:val="99"/>
    <w:semiHidden/>
    <w:rsid w:val="00A12C73"/>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A12C73"/>
    <w:rPr>
      <w:b/>
      <w:bCs/>
    </w:rPr>
  </w:style>
  <w:style w:type="character" w:customStyle="1" w:styleId="CommentSubjectChar">
    <w:name w:val="Comment Subject Char"/>
    <w:basedOn w:val="CommentTextChar"/>
    <w:link w:val="CommentSubject"/>
    <w:uiPriority w:val="99"/>
    <w:semiHidden/>
    <w:rsid w:val="00A12C73"/>
    <w:rPr>
      <w:rFonts w:ascii="Times New Roman" w:eastAsia="Times New Roman" w:hAnsi="Times New Roman" w:cs="Times New Roman"/>
      <w:b/>
      <w:bCs/>
      <w:snapToGrid w:val="0"/>
      <w:sz w:val="20"/>
      <w:szCs w:val="20"/>
      <w:lang w:val="en-US"/>
    </w:rPr>
  </w:style>
  <w:style w:type="paragraph" w:styleId="BalloonText">
    <w:name w:val="Balloon Text"/>
    <w:basedOn w:val="Normal"/>
    <w:link w:val="BalloonTextChar"/>
    <w:uiPriority w:val="99"/>
    <w:semiHidden/>
    <w:unhideWhenUsed/>
    <w:rsid w:val="00A12C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C73"/>
    <w:rPr>
      <w:rFonts w:ascii="Segoe UI" w:eastAsia="Times New Roman" w:hAnsi="Segoe UI" w:cs="Segoe UI"/>
      <w:snapToGrid w:val="0"/>
      <w:sz w:val="18"/>
      <w:szCs w:val="18"/>
      <w:lang w:val="en-US"/>
    </w:rPr>
  </w:style>
  <w:style w:type="paragraph" w:customStyle="1" w:styleId="RPABullet1">
    <w:name w:val="RPA Bullet 1"/>
    <w:basedOn w:val="ListParagraph"/>
    <w:rsid w:val="0040657C"/>
    <w:pPr>
      <w:widowControl/>
      <w:numPr>
        <w:numId w:val="16"/>
      </w:numPr>
      <w:tabs>
        <w:tab w:val="num" w:pos="360"/>
      </w:tabs>
      <w:spacing w:before="120" w:line="276" w:lineRule="auto"/>
      <w:ind w:left="714" w:hanging="357"/>
    </w:pPr>
    <w:rPr>
      <w:rFonts w:ascii="Arial" w:eastAsiaTheme="minorHAnsi" w:hAnsi="Arial" w:cs="Arial"/>
      <w:snapToGrid/>
      <w:sz w:val="22"/>
      <w:szCs w:val="22"/>
      <w:lang w:val="en-AU"/>
    </w:rPr>
  </w:style>
  <w:style w:type="paragraph" w:customStyle="1" w:styleId="RPABullet2">
    <w:name w:val="RPA Bullet 2"/>
    <w:basedOn w:val="ListParagraph"/>
    <w:rsid w:val="0040657C"/>
    <w:pPr>
      <w:widowControl/>
      <w:numPr>
        <w:ilvl w:val="1"/>
        <w:numId w:val="16"/>
      </w:numPr>
      <w:tabs>
        <w:tab w:val="num" w:pos="360"/>
      </w:tabs>
      <w:spacing w:before="120" w:line="276" w:lineRule="auto"/>
      <w:ind w:left="720" w:firstLine="0"/>
    </w:pPr>
    <w:rPr>
      <w:rFonts w:ascii="Arial" w:eastAsiaTheme="minorHAnsi" w:hAnsi="Arial" w:cs="Arial"/>
      <w:snapToGrid/>
      <w:sz w:val="22"/>
      <w:szCs w:val="22"/>
      <w:lang w:val="en-AU"/>
    </w:rPr>
  </w:style>
  <w:style w:type="paragraph" w:customStyle="1" w:styleId="RPABullet3">
    <w:name w:val="RPA Bullet 3"/>
    <w:basedOn w:val="ListParagraph"/>
    <w:rsid w:val="0040657C"/>
    <w:pPr>
      <w:widowControl/>
      <w:numPr>
        <w:ilvl w:val="2"/>
        <w:numId w:val="16"/>
      </w:numPr>
      <w:tabs>
        <w:tab w:val="num" w:pos="360"/>
      </w:tabs>
      <w:spacing w:before="120" w:line="276" w:lineRule="auto"/>
      <w:ind w:left="720" w:firstLine="0"/>
    </w:pPr>
    <w:rPr>
      <w:rFonts w:ascii="Arial" w:eastAsiaTheme="minorHAnsi" w:hAnsi="Arial" w:cs="Arial"/>
      <w:snapToGrid/>
      <w:sz w:val="22"/>
      <w:szCs w:val="22"/>
      <w:lang w:val="en-AU"/>
    </w:rPr>
  </w:style>
  <w:style w:type="paragraph" w:customStyle="1" w:styleId="RPABullet4">
    <w:name w:val="RPA Bullet 4"/>
    <w:basedOn w:val="ListParagraph"/>
    <w:rsid w:val="0040657C"/>
    <w:pPr>
      <w:widowControl/>
      <w:numPr>
        <w:ilvl w:val="3"/>
        <w:numId w:val="16"/>
      </w:numPr>
      <w:tabs>
        <w:tab w:val="num" w:pos="360"/>
      </w:tabs>
      <w:spacing w:before="120" w:line="276" w:lineRule="auto"/>
      <w:ind w:left="720" w:firstLine="0"/>
    </w:pPr>
    <w:rPr>
      <w:rFonts w:ascii="Arial" w:eastAsiaTheme="minorHAnsi" w:hAnsi="Arial" w:cs="Arial"/>
      <w:snapToGrid/>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474594">
      <w:bodyDiv w:val="1"/>
      <w:marLeft w:val="0"/>
      <w:marRight w:val="0"/>
      <w:marTop w:val="0"/>
      <w:marBottom w:val="0"/>
      <w:divBdr>
        <w:top w:val="none" w:sz="0" w:space="0" w:color="auto"/>
        <w:left w:val="none" w:sz="0" w:space="0" w:color="auto"/>
        <w:bottom w:val="none" w:sz="0" w:space="0" w:color="auto"/>
        <w:right w:val="none" w:sz="0" w:space="0" w:color="auto"/>
      </w:divBdr>
    </w:div>
    <w:div w:id="200154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8AF395E76F38F44BB0AAE6592BE9F93" ma:contentTypeVersion="" ma:contentTypeDescription="PDMS Document Site Content Type" ma:contentTypeScope="" ma:versionID="855a546fab5ac8945c0b8b51d9abe90a">
  <xsd:schema xmlns:xsd="http://www.w3.org/2001/XMLSchema" xmlns:xs="http://www.w3.org/2001/XMLSchema" xmlns:p="http://schemas.microsoft.com/office/2006/metadata/properties" xmlns:ns2="C7654375-FB6A-4ABC-83A9-CB668837AE1F" targetNamespace="http://schemas.microsoft.com/office/2006/metadata/properties" ma:root="true" ma:fieldsID="c8943bbf97a0e85d456e9088b2ce2cbb" ns2:_="">
    <xsd:import namespace="C7654375-FB6A-4ABC-83A9-CB668837AE1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54375-FB6A-4ABC-83A9-CB668837AE1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7654375-FB6A-4ABC-83A9-CB668837AE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B7B0E-F7D5-487B-BDCF-ECA343521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54375-FB6A-4ABC-83A9-CB668837A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1DB851-EF4C-42FA-8FE5-EB1CE13539A3}">
  <ds:schemaRefs>
    <ds:schemaRef ds:uri="C7654375-FB6A-4ABC-83A9-CB668837AE1F"/>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499F436-E24E-4A24-99CB-3DC314196C94}">
  <ds:schemaRefs>
    <ds:schemaRef ds:uri="http://schemas.microsoft.com/sharepoint/v3/contenttype/forms"/>
  </ds:schemaRefs>
</ds:datastoreItem>
</file>

<file path=customXml/itemProps4.xml><?xml version="1.0" encoding="utf-8"?>
<ds:datastoreItem xmlns:ds="http://schemas.openxmlformats.org/officeDocument/2006/customXml" ds:itemID="{8386082F-F892-4CB7-95AC-2FD862EC5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Pages>
  <Words>2462</Words>
  <Characters>14038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Mary Wignall</dc:creator>
  <cp:keywords/>
  <dc:description/>
  <cp:lastModifiedBy>Cassimatis, Jessica</cp:lastModifiedBy>
  <cp:revision>15</cp:revision>
  <dcterms:created xsi:type="dcterms:W3CDTF">2021-02-04T22:30:00Z</dcterms:created>
  <dcterms:modified xsi:type="dcterms:W3CDTF">2021-03-12T05:27:00Z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0x010100266966F133664895A6EE3632470D45F500E8AF395E76F38F44BB0AAE6592BE9F93</vt:lpwstr>
  </property>
  <property fmtid="{D5CDD505-2E9C-101B-9397-08002B2CF9AE}" pid="3" name="TrimRevisionNumber">
    <vt:i4>5</vt:i4>
  </property>
</Properties>
</file>