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48899" w14:textId="3EC1678B" w:rsidR="007C3DBA" w:rsidRDefault="004D120E" w:rsidP="00116173">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D55C8D" w:rsidRPr="00261CDF">
        <w:rPr>
          <w:rFonts w:ascii="Times New Roman" w:hAnsi="Times New Roman" w:cs="Times New Roman"/>
          <w:b/>
          <w:sz w:val="24"/>
          <w:szCs w:val="24"/>
        </w:rPr>
        <w:t>EXPLAN</w:t>
      </w:r>
      <w:r w:rsidR="00A9744D" w:rsidRPr="00261CDF">
        <w:rPr>
          <w:rFonts w:ascii="Times New Roman" w:hAnsi="Times New Roman" w:cs="Times New Roman"/>
          <w:b/>
          <w:sz w:val="24"/>
          <w:szCs w:val="24"/>
        </w:rPr>
        <w:t>A</w:t>
      </w:r>
      <w:r w:rsidR="00D55C8D" w:rsidRPr="00261CDF">
        <w:rPr>
          <w:rFonts w:ascii="Times New Roman" w:hAnsi="Times New Roman" w:cs="Times New Roman"/>
          <w:b/>
          <w:sz w:val="24"/>
          <w:szCs w:val="24"/>
        </w:rPr>
        <w:t xml:space="preserve">TORY STATEMENT </w:t>
      </w:r>
    </w:p>
    <w:p w14:paraId="07A10CE4" w14:textId="77777777" w:rsidR="00F13C30" w:rsidRPr="00BC2668" w:rsidRDefault="00F13C30" w:rsidP="00F13C30">
      <w:pPr>
        <w:shd w:val="clear" w:color="auto" w:fill="FFFFFF"/>
        <w:spacing w:after="0" w:line="240" w:lineRule="auto"/>
        <w:jc w:val="center"/>
        <w:rPr>
          <w:rFonts w:ascii="Times New Roman" w:eastAsia="Times New Roman" w:hAnsi="Times New Roman" w:cs="Times New Roman"/>
          <w:sz w:val="24"/>
          <w:szCs w:val="24"/>
          <w:lang w:eastAsia="en-AU"/>
        </w:rPr>
      </w:pPr>
    </w:p>
    <w:p w14:paraId="4878397B" w14:textId="77777777" w:rsidR="00F13C30" w:rsidRPr="00BC2668" w:rsidRDefault="00F13C30" w:rsidP="00F13C30">
      <w:pPr>
        <w:jc w:val="center"/>
        <w:rPr>
          <w:rFonts w:ascii="Times New Roman" w:hAnsi="Times New Roman" w:cs="Times New Roman"/>
          <w:sz w:val="24"/>
          <w:szCs w:val="24"/>
        </w:rPr>
      </w:pPr>
      <w:r w:rsidRPr="00BC2668">
        <w:rPr>
          <w:rFonts w:ascii="Times New Roman" w:eastAsia="Times New Roman" w:hAnsi="Times New Roman" w:cs="Times New Roman"/>
          <w:sz w:val="24"/>
          <w:szCs w:val="24"/>
          <w:lang w:eastAsia="en-AU"/>
        </w:rPr>
        <w:t xml:space="preserve">Issued by the authority of the Minister for </w:t>
      </w:r>
      <w:r w:rsidRPr="00BC2668">
        <w:rPr>
          <w:rFonts w:ascii="Times New Roman" w:hAnsi="Times New Roman" w:cs="Times New Roman"/>
          <w:sz w:val="24"/>
          <w:szCs w:val="24"/>
        </w:rPr>
        <w:t>Communications, Urban Infr</w:t>
      </w:r>
      <w:r>
        <w:rPr>
          <w:rFonts w:ascii="Times New Roman" w:hAnsi="Times New Roman" w:cs="Times New Roman"/>
          <w:sz w:val="24"/>
          <w:szCs w:val="24"/>
        </w:rPr>
        <w:t>astructure, Cities and the Arts</w:t>
      </w:r>
    </w:p>
    <w:p w14:paraId="4794889A" w14:textId="325B42A1" w:rsidR="00D55C8D" w:rsidRPr="00A41B82" w:rsidRDefault="00F647B9" w:rsidP="00116173">
      <w:pPr>
        <w:jc w:val="center"/>
        <w:rPr>
          <w:rFonts w:ascii="Times New Roman" w:hAnsi="Times New Roman"/>
          <w:i/>
          <w:sz w:val="24"/>
        </w:rPr>
      </w:pPr>
      <w:r w:rsidRPr="00A41B82">
        <w:rPr>
          <w:rFonts w:ascii="Times New Roman" w:hAnsi="Times New Roman"/>
          <w:i/>
          <w:sz w:val="24"/>
        </w:rPr>
        <w:t>Telecommunications Act 1997</w:t>
      </w:r>
    </w:p>
    <w:p w14:paraId="2248999B" w14:textId="1141ADE7" w:rsidR="005C1843" w:rsidRDefault="00F647B9" w:rsidP="00116173">
      <w:pPr>
        <w:jc w:val="center"/>
        <w:rPr>
          <w:rFonts w:ascii="Times New Roman" w:hAnsi="Times New Roman" w:cs="Times New Roman"/>
          <w:i/>
          <w:sz w:val="24"/>
          <w:szCs w:val="24"/>
        </w:rPr>
      </w:pPr>
      <w:r w:rsidRPr="00261CDF">
        <w:rPr>
          <w:rFonts w:ascii="Times New Roman" w:hAnsi="Times New Roman" w:cs="Times New Roman"/>
          <w:i/>
          <w:sz w:val="24"/>
          <w:szCs w:val="24"/>
        </w:rPr>
        <w:t>Telecommunications Regulations 2021</w:t>
      </w:r>
    </w:p>
    <w:p w14:paraId="1FB940CD" w14:textId="77777777" w:rsidR="00A96F61" w:rsidRPr="00261CDF" w:rsidRDefault="00A96F61" w:rsidP="00116173">
      <w:pPr>
        <w:jc w:val="center"/>
        <w:rPr>
          <w:rFonts w:ascii="Times New Roman" w:hAnsi="Times New Roman" w:cs="Times New Roman"/>
          <w:i/>
          <w:sz w:val="24"/>
          <w:szCs w:val="24"/>
        </w:rPr>
      </w:pPr>
    </w:p>
    <w:p w14:paraId="0BCF5F8D" w14:textId="1CBAB9BA" w:rsidR="00F13C30" w:rsidRPr="007D3D73" w:rsidRDefault="007D3D73" w:rsidP="00F13C30">
      <w:pPr>
        <w:rPr>
          <w:rFonts w:ascii="Times New Roman" w:hAnsi="Times New Roman" w:cs="Times New Roman"/>
          <w:b/>
          <w:sz w:val="24"/>
          <w:szCs w:val="24"/>
        </w:rPr>
      </w:pPr>
      <w:r>
        <w:rPr>
          <w:rFonts w:ascii="Times New Roman" w:hAnsi="Times New Roman" w:cs="Times New Roman"/>
          <w:b/>
          <w:sz w:val="24"/>
          <w:szCs w:val="24"/>
        </w:rPr>
        <w:t>Purpose and o</w:t>
      </w:r>
      <w:r w:rsidR="00F13C30" w:rsidRPr="007D3D73">
        <w:rPr>
          <w:rFonts w:ascii="Times New Roman" w:hAnsi="Times New Roman" w:cs="Times New Roman"/>
          <w:b/>
          <w:sz w:val="24"/>
          <w:szCs w:val="24"/>
        </w:rPr>
        <w:t>peration</w:t>
      </w:r>
      <w:r>
        <w:rPr>
          <w:rFonts w:ascii="Times New Roman" w:hAnsi="Times New Roman" w:cs="Times New Roman"/>
          <w:b/>
          <w:sz w:val="24"/>
          <w:szCs w:val="24"/>
        </w:rPr>
        <w:t xml:space="preserve"> of the Instrument</w:t>
      </w:r>
    </w:p>
    <w:p w14:paraId="4AAC306C" w14:textId="58E00872" w:rsidR="004320AE" w:rsidRPr="00C45C69" w:rsidRDefault="00A96F61" w:rsidP="004320AE">
      <w:pPr>
        <w:rPr>
          <w:rFonts w:ascii="Times New Roman" w:hAnsi="Times New Roman" w:cs="Times New Roman"/>
          <w:sz w:val="24"/>
          <w:szCs w:val="24"/>
        </w:rPr>
      </w:pPr>
      <w:r w:rsidRPr="00A96F61">
        <w:rPr>
          <w:rFonts w:ascii="Times New Roman" w:hAnsi="Times New Roman" w:cs="Times New Roman"/>
          <w:sz w:val="24"/>
          <w:szCs w:val="24"/>
        </w:rPr>
        <w:t>The</w:t>
      </w:r>
      <w:r>
        <w:rPr>
          <w:rFonts w:ascii="Times New Roman" w:hAnsi="Times New Roman" w:cs="Times New Roman"/>
          <w:i/>
          <w:sz w:val="24"/>
          <w:szCs w:val="24"/>
        </w:rPr>
        <w:t xml:space="preserve"> </w:t>
      </w:r>
      <w:r w:rsidRPr="00261CDF">
        <w:rPr>
          <w:rFonts w:ascii="Times New Roman" w:hAnsi="Times New Roman" w:cs="Times New Roman"/>
          <w:i/>
          <w:sz w:val="24"/>
          <w:szCs w:val="24"/>
        </w:rPr>
        <w:t>Telecommunications Regulations 2021</w:t>
      </w:r>
      <w:r>
        <w:rPr>
          <w:rFonts w:ascii="Times New Roman" w:hAnsi="Times New Roman" w:cs="Times New Roman"/>
          <w:i/>
          <w:sz w:val="24"/>
          <w:szCs w:val="24"/>
        </w:rPr>
        <w:t xml:space="preserve"> </w:t>
      </w:r>
      <w:r w:rsidRPr="00261CDF">
        <w:rPr>
          <w:rFonts w:ascii="Times New Roman" w:hAnsi="Times New Roman" w:cs="Times New Roman"/>
          <w:sz w:val="24"/>
          <w:szCs w:val="24"/>
        </w:rPr>
        <w:t xml:space="preserve">(the </w:t>
      </w:r>
      <w:r w:rsidRPr="00B71B41">
        <w:rPr>
          <w:rFonts w:ascii="Times New Roman" w:hAnsi="Times New Roman" w:cs="Times New Roman"/>
          <w:sz w:val="24"/>
          <w:szCs w:val="24"/>
        </w:rPr>
        <w:t>R</w:t>
      </w:r>
      <w:r w:rsidRPr="00AD0430">
        <w:rPr>
          <w:rFonts w:ascii="Times New Roman" w:hAnsi="Times New Roman" w:cs="Times New Roman"/>
          <w:sz w:val="24"/>
          <w:szCs w:val="24"/>
        </w:rPr>
        <w:t>egulations)</w:t>
      </w:r>
      <w:r>
        <w:rPr>
          <w:rFonts w:ascii="Times New Roman" w:hAnsi="Times New Roman" w:cs="Times New Roman"/>
          <w:sz w:val="24"/>
          <w:szCs w:val="24"/>
        </w:rPr>
        <w:t xml:space="preserve"> are made by the</w:t>
      </w:r>
      <w:r w:rsidR="005C1843" w:rsidRPr="00261CDF">
        <w:rPr>
          <w:rFonts w:ascii="Times New Roman" w:hAnsi="Times New Roman" w:cs="Times New Roman"/>
          <w:sz w:val="24"/>
          <w:szCs w:val="24"/>
        </w:rPr>
        <w:t xml:space="preserve"> Governor-General </w:t>
      </w:r>
      <w:r w:rsidR="005C1843" w:rsidRPr="00AD0430">
        <w:rPr>
          <w:rFonts w:ascii="Times New Roman" w:hAnsi="Times New Roman" w:cs="Times New Roman"/>
          <w:sz w:val="24"/>
          <w:szCs w:val="24"/>
        </w:rPr>
        <w:t>under section 594 of the</w:t>
      </w:r>
      <w:r w:rsidR="005C1843" w:rsidRPr="00AD0430">
        <w:rPr>
          <w:rFonts w:ascii="Times New Roman" w:hAnsi="Times New Roman" w:cs="Times New Roman"/>
          <w:i/>
          <w:sz w:val="24"/>
          <w:szCs w:val="24"/>
        </w:rPr>
        <w:t xml:space="preserve"> Telecommunications Act 1997 </w:t>
      </w:r>
      <w:r w:rsidR="005C1843" w:rsidRPr="00AD0430">
        <w:rPr>
          <w:rFonts w:ascii="Times New Roman" w:hAnsi="Times New Roman" w:cs="Times New Roman"/>
          <w:sz w:val="24"/>
          <w:szCs w:val="24"/>
        </w:rPr>
        <w:t>(the Act)</w:t>
      </w:r>
      <w:r w:rsidR="005C1843" w:rsidRPr="001A0286">
        <w:rPr>
          <w:rFonts w:ascii="Times New Roman" w:hAnsi="Times New Roman" w:cs="Times New Roman"/>
          <w:i/>
          <w:sz w:val="24"/>
          <w:szCs w:val="24"/>
        </w:rPr>
        <w:t xml:space="preserve">. </w:t>
      </w:r>
    </w:p>
    <w:p w14:paraId="33712E44" w14:textId="50674FF7" w:rsidR="005C1843" w:rsidRPr="00373A1C" w:rsidRDefault="005C1843" w:rsidP="00116173">
      <w:pPr>
        <w:rPr>
          <w:rFonts w:ascii="Times New Roman" w:hAnsi="Times New Roman" w:cs="Times New Roman"/>
          <w:sz w:val="24"/>
          <w:szCs w:val="24"/>
        </w:rPr>
      </w:pPr>
      <w:r w:rsidRPr="00AF2FBA">
        <w:rPr>
          <w:rFonts w:ascii="Times New Roman" w:hAnsi="Times New Roman" w:cs="Times New Roman"/>
          <w:sz w:val="24"/>
          <w:szCs w:val="24"/>
        </w:rPr>
        <w:t>Secti</w:t>
      </w:r>
      <w:r w:rsidRPr="00373A1C">
        <w:rPr>
          <w:rFonts w:ascii="Times New Roman" w:hAnsi="Times New Roman" w:cs="Times New Roman"/>
          <w:sz w:val="24"/>
          <w:szCs w:val="24"/>
        </w:rPr>
        <w:t xml:space="preserve">on 594 provides that the Governor-General may make Regulations prescribing matters required or permitted to be prescribed by the relevant Acts, or necessary or convenient to be prescribed for carrying out or giving effect to the Act. </w:t>
      </w:r>
    </w:p>
    <w:p w14:paraId="4C557A61" w14:textId="775A1E15" w:rsidR="004320AE" w:rsidRDefault="005C1843" w:rsidP="00116173">
      <w:pPr>
        <w:rPr>
          <w:rFonts w:ascii="Times New Roman" w:hAnsi="Times New Roman" w:cs="Times New Roman"/>
          <w:sz w:val="24"/>
          <w:szCs w:val="24"/>
        </w:rPr>
      </w:pPr>
      <w:r w:rsidRPr="00504FAA">
        <w:rPr>
          <w:rFonts w:ascii="Times New Roman" w:hAnsi="Times New Roman" w:cs="Times New Roman"/>
          <w:sz w:val="24"/>
          <w:szCs w:val="24"/>
        </w:rPr>
        <w:lastRenderedPageBreak/>
        <w:t xml:space="preserve">Subsection 33(3) of the </w:t>
      </w:r>
      <w:r w:rsidRPr="00504FAA">
        <w:rPr>
          <w:rFonts w:ascii="Times New Roman" w:hAnsi="Times New Roman" w:cs="Times New Roman"/>
          <w:i/>
          <w:sz w:val="24"/>
          <w:szCs w:val="24"/>
        </w:rPr>
        <w:t xml:space="preserve">Acts Interpretation Act 1901 </w:t>
      </w:r>
      <w:r w:rsidRPr="0051512B">
        <w:rPr>
          <w:rFonts w:ascii="Times New Roman" w:hAnsi="Times New Roman" w:cs="Times New Roman"/>
          <w:sz w:val="24"/>
          <w:szCs w:val="24"/>
        </w:rPr>
        <w:t>relevantly provides that where an Act confers a power to make an instrument of a legislative character (including regulations) the power shall be construed as including a power exercisable in the like manner and subject to t</w:t>
      </w:r>
      <w:r w:rsidRPr="009677A7">
        <w:rPr>
          <w:rFonts w:ascii="Times New Roman" w:hAnsi="Times New Roman" w:cs="Times New Roman"/>
          <w:sz w:val="24"/>
          <w:szCs w:val="24"/>
        </w:rPr>
        <w:t>he like conditions to repeal, rescind, revoke, amend, or vary any such instrument.</w:t>
      </w:r>
    </w:p>
    <w:p w14:paraId="5740F880" w14:textId="57305411" w:rsidR="004320AE" w:rsidRDefault="004320AE" w:rsidP="00116173">
      <w:pPr>
        <w:rPr>
          <w:rFonts w:ascii="Times New Roman" w:hAnsi="Times New Roman" w:cs="Times New Roman"/>
          <w:sz w:val="24"/>
          <w:szCs w:val="24"/>
        </w:rPr>
      </w:pPr>
      <w:r w:rsidRPr="00AD0430">
        <w:rPr>
          <w:rFonts w:ascii="Times New Roman" w:hAnsi="Times New Roman" w:cs="Times New Roman"/>
          <w:iCs/>
          <w:sz w:val="24"/>
          <w:szCs w:val="24"/>
        </w:rPr>
        <w:t xml:space="preserve">The Regulations are a legislative instrument for the purposes of section 8 of the </w:t>
      </w:r>
      <w:r w:rsidRPr="00AF2FBA">
        <w:rPr>
          <w:rFonts w:ascii="Times New Roman" w:hAnsi="Times New Roman" w:cs="Times New Roman"/>
          <w:i/>
          <w:iCs/>
          <w:sz w:val="24"/>
          <w:szCs w:val="24"/>
        </w:rPr>
        <w:t>Legislation Act 2003.</w:t>
      </w:r>
    </w:p>
    <w:p w14:paraId="14445224" w14:textId="3AFAF56E" w:rsidR="005C1843" w:rsidRDefault="00273641">
      <w:pPr>
        <w:spacing w:after="120" w:line="276" w:lineRule="auto"/>
        <w:rPr>
          <w:rFonts w:ascii="Times New Roman" w:hAnsi="Times New Roman" w:cs="Times New Roman"/>
          <w:iCs/>
          <w:sz w:val="24"/>
          <w:szCs w:val="24"/>
        </w:rPr>
      </w:pPr>
      <w:r w:rsidRPr="00C45C69">
        <w:rPr>
          <w:rFonts w:ascii="Times New Roman" w:hAnsi="Times New Roman" w:cs="Times New Roman"/>
          <w:iCs/>
          <w:sz w:val="24"/>
          <w:szCs w:val="24"/>
        </w:rPr>
        <w:t xml:space="preserve">The </w:t>
      </w:r>
      <w:r w:rsidR="00F13C30">
        <w:rPr>
          <w:rFonts w:ascii="Times New Roman" w:hAnsi="Times New Roman" w:cs="Times New Roman"/>
          <w:iCs/>
          <w:sz w:val="24"/>
          <w:szCs w:val="24"/>
        </w:rPr>
        <w:t xml:space="preserve">purpose of the </w:t>
      </w:r>
      <w:r w:rsidRPr="00621B91">
        <w:rPr>
          <w:rFonts w:ascii="Times New Roman" w:hAnsi="Times New Roman"/>
          <w:sz w:val="24"/>
        </w:rPr>
        <w:t xml:space="preserve">Regulations </w:t>
      </w:r>
      <w:r w:rsidR="00F13C30">
        <w:rPr>
          <w:rFonts w:ascii="Times New Roman" w:hAnsi="Times New Roman" w:cs="Times New Roman"/>
          <w:iCs/>
          <w:sz w:val="24"/>
          <w:szCs w:val="24"/>
        </w:rPr>
        <w:t xml:space="preserve">is to repeal and </w:t>
      </w:r>
      <w:r w:rsidRPr="00C45C69">
        <w:rPr>
          <w:rFonts w:ascii="Times New Roman" w:hAnsi="Times New Roman" w:cs="Times New Roman"/>
          <w:iCs/>
          <w:sz w:val="24"/>
          <w:szCs w:val="24"/>
        </w:rPr>
        <w:t xml:space="preserve">remake the </w:t>
      </w:r>
      <w:r w:rsidR="00F13C30" w:rsidRPr="00A41B82">
        <w:rPr>
          <w:rFonts w:ascii="Times New Roman" w:hAnsi="Times New Roman" w:cs="Times New Roman"/>
          <w:i/>
          <w:iCs/>
          <w:sz w:val="24"/>
          <w:szCs w:val="24"/>
        </w:rPr>
        <w:t>Telecommunications Regulations 200</w:t>
      </w:r>
      <w:r w:rsidR="00F13C30">
        <w:rPr>
          <w:rFonts w:ascii="Times New Roman" w:hAnsi="Times New Roman" w:cs="Times New Roman"/>
          <w:i/>
          <w:iCs/>
          <w:sz w:val="24"/>
          <w:szCs w:val="24"/>
        </w:rPr>
        <w:t>1</w:t>
      </w:r>
      <w:r w:rsidR="00A96F61" w:rsidRPr="003A2967">
        <w:rPr>
          <w:rFonts w:ascii="Times New Roman" w:hAnsi="Times New Roman" w:cs="Times New Roman"/>
          <w:iCs/>
          <w:sz w:val="24"/>
          <w:szCs w:val="24"/>
        </w:rPr>
        <w:t xml:space="preserve"> </w:t>
      </w:r>
      <w:r w:rsidR="003A2967" w:rsidRPr="003A2967">
        <w:rPr>
          <w:rFonts w:ascii="Times New Roman" w:hAnsi="Times New Roman" w:cs="Times New Roman"/>
          <w:iCs/>
          <w:sz w:val="24"/>
          <w:szCs w:val="24"/>
        </w:rPr>
        <w:t>(the old regulations)</w:t>
      </w:r>
      <w:r w:rsidR="003A2967">
        <w:rPr>
          <w:rFonts w:ascii="Times New Roman" w:hAnsi="Times New Roman" w:cs="Times New Roman"/>
          <w:i/>
          <w:iCs/>
          <w:sz w:val="24"/>
          <w:szCs w:val="24"/>
        </w:rPr>
        <w:t xml:space="preserve"> </w:t>
      </w:r>
      <w:r w:rsidR="00A96F61" w:rsidRPr="00A96F61">
        <w:rPr>
          <w:rFonts w:ascii="Times New Roman" w:hAnsi="Times New Roman" w:cs="Times New Roman"/>
          <w:iCs/>
          <w:sz w:val="24"/>
          <w:szCs w:val="24"/>
        </w:rPr>
        <w:t>in substance</w:t>
      </w:r>
      <w:r w:rsidR="00F13C30">
        <w:rPr>
          <w:rFonts w:ascii="Times New Roman" w:hAnsi="Times New Roman" w:cs="Times New Roman"/>
          <w:iCs/>
          <w:sz w:val="24"/>
          <w:szCs w:val="24"/>
        </w:rPr>
        <w:t>,</w:t>
      </w:r>
      <w:r w:rsidR="00A96F61">
        <w:rPr>
          <w:rFonts w:ascii="Times New Roman" w:hAnsi="Times New Roman" w:cs="Times New Roman"/>
          <w:iCs/>
          <w:sz w:val="24"/>
          <w:szCs w:val="24"/>
        </w:rPr>
        <w:t xml:space="preserve"> </w:t>
      </w:r>
      <w:r w:rsidR="00F13C30">
        <w:rPr>
          <w:rFonts w:ascii="Times New Roman" w:hAnsi="Times New Roman"/>
          <w:sz w:val="24"/>
        </w:rPr>
        <w:t xml:space="preserve">noting that minor changes and additions have been made to reflect current drafting practice </w:t>
      </w:r>
      <w:r w:rsidR="003A2967">
        <w:rPr>
          <w:rFonts w:ascii="Times New Roman" w:hAnsi="Times New Roman"/>
          <w:sz w:val="24"/>
        </w:rPr>
        <w:t xml:space="preserve">and </w:t>
      </w:r>
      <w:r w:rsidR="00C45C69" w:rsidRPr="00C45C69">
        <w:rPr>
          <w:rFonts w:ascii="Times New Roman" w:hAnsi="Times New Roman" w:cs="Times New Roman"/>
          <w:iCs/>
          <w:sz w:val="24"/>
          <w:szCs w:val="24"/>
        </w:rPr>
        <w:t xml:space="preserve">to </w:t>
      </w:r>
      <w:r w:rsidR="00F13C30">
        <w:rPr>
          <w:rFonts w:ascii="Times New Roman" w:hAnsi="Times New Roman" w:cs="Times New Roman"/>
          <w:iCs/>
          <w:sz w:val="24"/>
          <w:szCs w:val="24"/>
        </w:rPr>
        <w:t xml:space="preserve">update a </w:t>
      </w:r>
      <w:r w:rsidR="00C45C69">
        <w:rPr>
          <w:rFonts w:ascii="Times New Roman" w:hAnsi="Times New Roman" w:cs="Times New Roman"/>
          <w:iCs/>
          <w:sz w:val="24"/>
          <w:szCs w:val="24"/>
        </w:rPr>
        <w:t>limited number of</w:t>
      </w:r>
      <w:r w:rsidR="00F13C30">
        <w:rPr>
          <w:rFonts w:ascii="Times New Roman" w:hAnsi="Times New Roman" w:cs="Times New Roman"/>
          <w:iCs/>
          <w:sz w:val="24"/>
          <w:szCs w:val="24"/>
        </w:rPr>
        <w:t xml:space="preserve"> existing definitions.</w:t>
      </w:r>
      <w:r w:rsidR="00A96F61">
        <w:rPr>
          <w:rFonts w:ascii="Times New Roman" w:hAnsi="Times New Roman" w:cs="Times New Roman"/>
          <w:iCs/>
          <w:sz w:val="24"/>
          <w:szCs w:val="24"/>
        </w:rPr>
        <w:t xml:space="preserve"> The old regulations are due to </w:t>
      </w:r>
      <w:r w:rsidR="00A96F61" w:rsidRPr="00C45C69">
        <w:rPr>
          <w:rFonts w:ascii="Times New Roman" w:hAnsi="Times New Roman" w:cs="Times New Roman"/>
          <w:iCs/>
          <w:sz w:val="24"/>
          <w:szCs w:val="24"/>
        </w:rPr>
        <w:t>sunset on 1 April 2021</w:t>
      </w:r>
      <w:r w:rsidR="003A2967">
        <w:rPr>
          <w:rFonts w:ascii="Times New Roman" w:hAnsi="Times New Roman" w:cs="Times New Roman"/>
          <w:iCs/>
          <w:sz w:val="24"/>
          <w:szCs w:val="24"/>
        </w:rPr>
        <w:t>.</w:t>
      </w:r>
    </w:p>
    <w:p w14:paraId="4F761D6B" w14:textId="51C8B1CC" w:rsidR="00B66D5D" w:rsidRDefault="001A3E0C" w:rsidP="00116173">
      <w:pPr>
        <w:spacing w:after="120" w:line="276" w:lineRule="auto"/>
        <w:rPr>
          <w:rFonts w:ascii="Times New Roman" w:hAnsi="Times New Roman" w:cs="Times New Roman"/>
          <w:iCs/>
          <w:sz w:val="24"/>
          <w:szCs w:val="24"/>
        </w:rPr>
      </w:pPr>
      <w:r>
        <w:rPr>
          <w:rFonts w:ascii="Times New Roman" w:hAnsi="Times New Roman" w:cs="Times New Roman"/>
          <w:iCs/>
          <w:sz w:val="24"/>
          <w:szCs w:val="24"/>
        </w:rPr>
        <w:t xml:space="preserve">Consistent with the object of the </w:t>
      </w:r>
      <w:r w:rsidR="00F13C30" w:rsidRPr="00A41B82">
        <w:rPr>
          <w:rFonts w:ascii="Times New Roman" w:hAnsi="Times New Roman" w:cs="Times New Roman"/>
          <w:iCs/>
          <w:sz w:val="24"/>
          <w:szCs w:val="24"/>
        </w:rPr>
        <w:t>Act</w:t>
      </w:r>
      <w:r>
        <w:rPr>
          <w:rFonts w:ascii="Times New Roman" w:hAnsi="Times New Roman" w:cs="Times New Roman"/>
          <w:iCs/>
          <w:sz w:val="24"/>
          <w:szCs w:val="24"/>
        </w:rPr>
        <w:t>, the intention of the Regulations is to be part</w:t>
      </w:r>
      <w:r w:rsidR="003A2967">
        <w:rPr>
          <w:rFonts w:ascii="Times New Roman" w:hAnsi="Times New Roman" w:cs="Times New Roman"/>
          <w:iCs/>
          <w:sz w:val="24"/>
          <w:szCs w:val="24"/>
        </w:rPr>
        <w:br/>
        <w:t>of</w:t>
      </w:r>
      <w:r w:rsidR="008058BF">
        <w:rPr>
          <w:rFonts w:ascii="Times New Roman" w:hAnsi="Times New Roman" w:cs="Times New Roman"/>
          <w:iCs/>
          <w:sz w:val="24"/>
          <w:szCs w:val="24"/>
        </w:rPr>
        <w:t xml:space="preserve"> </w:t>
      </w:r>
      <w:r w:rsidR="003A2967">
        <w:rPr>
          <w:rFonts w:ascii="Times New Roman" w:hAnsi="Times New Roman" w:cs="Times New Roman"/>
          <w:iCs/>
          <w:sz w:val="24"/>
          <w:szCs w:val="24"/>
        </w:rPr>
        <w:t xml:space="preserve">the Australian </w:t>
      </w:r>
      <w:r w:rsidR="008058BF">
        <w:rPr>
          <w:rFonts w:ascii="Times New Roman" w:hAnsi="Times New Roman" w:cs="Times New Roman"/>
          <w:iCs/>
          <w:sz w:val="24"/>
          <w:szCs w:val="24"/>
        </w:rPr>
        <w:t xml:space="preserve">telecommunications </w:t>
      </w:r>
      <w:r>
        <w:rPr>
          <w:rFonts w:ascii="Times New Roman" w:hAnsi="Times New Roman" w:cs="Times New Roman"/>
          <w:iCs/>
          <w:sz w:val="24"/>
          <w:szCs w:val="24"/>
        </w:rPr>
        <w:t>regulatory framework promot</w:t>
      </w:r>
      <w:r w:rsidR="003A2967">
        <w:rPr>
          <w:rFonts w:ascii="Times New Roman" w:hAnsi="Times New Roman" w:cs="Times New Roman"/>
          <w:iCs/>
          <w:sz w:val="24"/>
          <w:szCs w:val="24"/>
        </w:rPr>
        <w:t>ing</w:t>
      </w:r>
      <w:r>
        <w:rPr>
          <w:rFonts w:ascii="Times New Roman" w:hAnsi="Times New Roman" w:cs="Times New Roman"/>
          <w:iCs/>
          <w:sz w:val="24"/>
          <w:szCs w:val="24"/>
        </w:rPr>
        <w:t xml:space="preserve">: </w:t>
      </w:r>
    </w:p>
    <w:p w14:paraId="1299E760" w14:textId="77777777" w:rsidR="001A3E0C" w:rsidRPr="001A3E0C" w:rsidRDefault="001A3E0C" w:rsidP="00A41B82">
      <w:pPr>
        <w:spacing w:after="120" w:line="276" w:lineRule="auto"/>
        <w:ind w:left="720"/>
        <w:rPr>
          <w:rFonts w:ascii="Times New Roman" w:hAnsi="Times New Roman" w:cs="Times New Roman"/>
          <w:iCs/>
          <w:sz w:val="24"/>
          <w:szCs w:val="24"/>
        </w:rPr>
      </w:pPr>
      <w:r w:rsidRPr="001A3E0C">
        <w:rPr>
          <w:rFonts w:ascii="Times New Roman" w:hAnsi="Times New Roman" w:cs="Times New Roman"/>
          <w:iCs/>
          <w:sz w:val="24"/>
          <w:szCs w:val="24"/>
        </w:rPr>
        <w:t>(a)  the long</w:t>
      </w:r>
      <w:r w:rsidRPr="001A3E0C">
        <w:rPr>
          <w:rFonts w:ascii="Times New Roman" w:hAnsi="Times New Roman" w:cs="Times New Roman"/>
          <w:iCs/>
          <w:sz w:val="24"/>
          <w:szCs w:val="24"/>
        </w:rPr>
        <w:noBreakHyphen/>
        <w:t>term interests of end</w:t>
      </w:r>
      <w:r w:rsidRPr="001A3E0C">
        <w:rPr>
          <w:rFonts w:ascii="Times New Roman" w:hAnsi="Times New Roman" w:cs="Times New Roman"/>
          <w:iCs/>
          <w:sz w:val="24"/>
          <w:szCs w:val="24"/>
        </w:rPr>
        <w:noBreakHyphen/>
        <w:t>users of carriage services or of services provided by means of carriage services; and</w:t>
      </w:r>
    </w:p>
    <w:p w14:paraId="354E1C1A" w14:textId="6C495D3B" w:rsidR="001A3E0C" w:rsidRPr="001A3E0C" w:rsidRDefault="001A3E0C" w:rsidP="00A41B82">
      <w:pPr>
        <w:spacing w:after="120" w:line="276" w:lineRule="auto"/>
        <w:ind w:left="720"/>
        <w:rPr>
          <w:rFonts w:ascii="Times New Roman" w:hAnsi="Times New Roman" w:cs="Times New Roman"/>
          <w:iCs/>
          <w:sz w:val="24"/>
          <w:szCs w:val="24"/>
        </w:rPr>
      </w:pPr>
      <w:r w:rsidRPr="001A3E0C">
        <w:rPr>
          <w:rFonts w:ascii="Times New Roman" w:hAnsi="Times New Roman" w:cs="Times New Roman"/>
          <w:iCs/>
          <w:sz w:val="24"/>
          <w:szCs w:val="24"/>
        </w:rPr>
        <w:t>(b)  the efficiency and international competitiveness of the Australian telecommunications industry; and</w:t>
      </w:r>
    </w:p>
    <w:p w14:paraId="1098DD33" w14:textId="34BD8CF9" w:rsidR="001A3E0C" w:rsidRDefault="001A3E0C" w:rsidP="00A41B82">
      <w:pPr>
        <w:spacing w:after="120" w:line="276" w:lineRule="auto"/>
        <w:ind w:left="720"/>
        <w:rPr>
          <w:rFonts w:ascii="Times New Roman" w:hAnsi="Times New Roman" w:cs="Times New Roman"/>
          <w:iCs/>
          <w:sz w:val="24"/>
          <w:szCs w:val="24"/>
        </w:rPr>
      </w:pPr>
      <w:r w:rsidRPr="001A3E0C">
        <w:rPr>
          <w:rFonts w:ascii="Times New Roman" w:hAnsi="Times New Roman" w:cs="Times New Roman"/>
          <w:iCs/>
          <w:sz w:val="24"/>
          <w:szCs w:val="24"/>
        </w:rPr>
        <w:lastRenderedPageBreak/>
        <w:t>(c)  the availability of accessible and affordable carriage services that enhance the welfare of Australians.</w:t>
      </w:r>
    </w:p>
    <w:p w14:paraId="7C54CA1A" w14:textId="28761F77" w:rsidR="001A3E0C" w:rsidRPr="00AD0430" w:rsidRDefault="001A3E0C" w:rsidP="00116173">
      <w:pPr>
        <w:spacing w:after="120" w:line="276" w:lineRule="auto"/>
        <w:rPr>
          <w:rFonts w:ascii="Times New Roman" w:hAnsi="Times New Roman" w:cs="Times New Roman"/>
          <w:iCs/>
          <w:sz w:val="24"/>
          <w:szCs w:val="24"/>
        </w:rPr>
      </w:pPr>
      <w:r>
        <w:rPr>
          <w:rFonts w:ascii="Times New Roman" w:hAnsi="Times New Roman" w:cs="Times New Roman"/>
          <w:iCs/>
          <w:sz w:val="24"/>
          <w:szCs w:val="24"/>
        </w:rPr>
        <w:t xml:space="preserve">These amended Regulations </w:t>
      </w:r>
      <w:r w:rsidR="0087505D">
        <w:rPr>
          <w:rFonts w:ascii="Times New Roman" w:hAnsi="Times New Roman" w:cs="Times New Roman"/>
          <w:iCs/>
          <w:sz w:val="24"/>
          <w:szCs w:val="24"/>
        </w:rPr>
        <w:t>will maintain</w:t>
      </w:r>
      <w:r>
        <w:rPr>
          <w:rFonts w:ascii="Times New Roman" w:hAnsi="Times New Roman" w:cs="Times New Roman"/>
          <w:iCs/>
          <w:sz w:val="24"/>
          <w:szCs w:val="24"/>
        </w:rPr>
        <w:t>, where</w:t>
      </w:r>
      <w:r w:rsidR="004320AE">
        <w:rPr>
          <w:rFonts w:ascii="Times New Roman" w:hAnsi="Times New Roman" w:cs="Times New Roman"/>
          <w:iCs/>
          <w:sz w:val="24"/>
          <w:szCs w:val="24"/>
        </w:rPr>
        <w:t>ver</w:t>
      </w:r>
      <w:r>
        <w:rPr>
          <w:rFonts w:ascii="Times New Roman" w:hAnsi="Times New Roman" w:cs="Times New Roman"/>
          <w:iCs/>
          <w:sz w:val="24"/>
          <w:szCs w:val="24"/>
        </w:rPr>
        <w:t xml:space="preserve"> possible, the greatest practicable u</w:t>
      </w:r>
      <w:r w:rsidR="0087505D">
        <w:rPr>
          <w:rFonts w:ascii="Times New Roman" w:hAnsi="Times New Roman" w:cs="Times New Roman"/>
          <w:iCs/>
          <w:sz w:val="24"/>
          <w:szCs w:val="24"/>
        </w:rPr>
        <w:t xml:space="preserve">se of industry self-regulation, </w:t>
      </w:r>
      <w:r w:rsidR="00F26E41">
        <w:rPr>
          <w:rFonts w:ascii="Times New Roman" w:hAnsi="Times New Roman" w:cs="Times New Roman"/>
          <w:iCs/>
          <w:sz w:val="24"/>
          <w:szCs w:val="24"/>
        </w:rPr>
        <w:t>without the imposition of undue financial and administrative burden on participants in the Australian telecommunications industry.</w:t>
      </w:r>
    </w:p>
    <w:p w14:paraId="18D3D015" w14:textId="7BBF2A6F" w:rsidR="006E014D" w:rsidRDefault="006E014D" w:rsidP="006E014D">
      <w:pPr>
        <w:rPr>
          <w:rFonts w:ascii="Times New Roman" w:hAnsi="Times New Roman" w:cs="Times New Roman"/>
          <w:iCs/>
          <w:sz w:val="24"/>
          <w:szCs w:val="24"/>
        </w:rPr>
      </w:pPr>
      <w:r>
        <w:rPr>
          <w:rFonts w:ascii="Times New Roman" w:hAnsi="Times New Roman" w:cs="Times New Roman"/>
          <w:iCs/>
          <w:sz w:val="24"/>
          <w:szCs w:val="24"/>
        </w:rPr>
        <w:t xml:space="preserve">Part 1 of the Regulations set out preliminary matters, such as the title of the Instrument, </w:t>
      </w:r>
      <w:r w:rsidR="004320AE">
        <w:rPr>
          <w:rFonts w:ascii="Times New Roman" w:hAnsi="Times New Roman" w:cs="Times New Roman"/>
          <w:iCs/>
          <w:sz w:val="24"/>
          <w:szCs w:val="24"/>
        </w:rPr>
        <w:t xml:space="preserve">and </w:t>
      </w:r>
      <w:r>
        <w:rPr>
          <w:rFonts w:ascii="Times New Roman" w:hAnsi="Times New Roman" w:cs="Times New Roman"/>
          <w:iCs/>
          <w:sz w:val="24"/>
          <w:szCs w:val="24"/>
        </w:rPr>
        <w:t>the a</w:t>
      </w:r>
      <w:r w:rsidR="004320AE">
        <w:rPr>
          <w:rFonts w:ascii="Times New Roman" w:hAnsi="Times New Roman" w:cs="Times New Roman"/>
          <w:iCs/>
          <w:sz w:val="24"/>
          <w:szCs w:val="24"/>
        </w:rPr>
        <w:t>uthority under which it is made</w:t>
      </w:r>
      <w:r>
        <w:rPr>
          <w:rFonts w:ascii="Times New Roman" w:hAnsi="Times New Roman" w:cs="Times New Roman"/>
          <w:iCs/>
          <w:sz w:val="24"/>
          <w:szCs w:val="24"/>
        </w:rPr>
        <w:t xml:space="preserve">. The Part also </w:t>
      </w:r>
      <w:r w:rsidRPr="00E05F9A">
        <w:rPr>
          <w:rFonts w:ascii="Times New Roman" w:hAnsi="Times New Roman" w:cs="Times New Roman"/>
          <w:iCs/>
          <w:sz w:val="24"/>
          <w:szCs w:val="24"/>
        </w:rPr>
        <w:t>defines key terms used throughout the Regulations</w:t>
      </w:r>
      <w:r>
        <w:rPr>
          <w:rFonts w:ascii="Times New Roman" w:hAnsi="Times New Roman" w:cs="Times New Roman"/>
          <w:iCs/>
          <w:sz w:val="24"/>
          <w:szCs w:val="24"/>
        </w:rPr>
        <w:t xml:space="preserve">, inserting new definitions of </w:t>
      </w:r>
      <w:r w:rsidR="00F13C30" w:rsidRPr="00A41B82">
        <w:rPr>
          <w:rFonts w:ascii="Times New Roman" w:hAnsi="Times New Roman" w:cs="Times New Roman"/>
          <w:i/>
          <w:sz w:val="24"/>
          <w:szCs w:val="24"/>
          <w:lang w:eastAsia="en-AU"/>
        </w:rPr>
        <w:t>mobile carriage service</w:t>
      </w:r>
      <w:r w:rsidR="00F13C30" w:rsidRPr="00094076">
        <w:rPr>
          <w:rFonts w:ascii="Times New Roman" w:hAnsi="Times New Roman" w:cs="Times New Roman"/>
          <w:sz w:val="24"/>
          <w:szCs w:val="24"/>
          <w:lang w:eastAsia="en-AU"/>
        </w:rPr>
        <w:t xml:space="preserve"> </w:t>
      </w:r>
      <w:r w:rsidR="00F13C30" w:rsidRPr="00A41B82">
        <w:rPr>
          <w:rFonts w:ascii="Times New Roman" w:hAnsi="Times New Roman" w:cs="Times New Roman"/>
          <w:i/>
          <w:sz w:val="24"/>
          <w:szCs w:val="24"/>
          <w:lang w:eastAsia="en-AU"/>
        </w:rPr>
        <w:t>provider</w:t>
      </w:r>
      <w:r w:rsidR="00F13C30" w:rsidRPr="00094076">
        <w:rPr>
          <w:rFonts w:ascii="Times New Roman" w:hAnsi="Times New Roman" w:cs="Times New Roman"/>
          <w:sz w:val="24"/>
          <w:szCs w:val="24"/>
          <w:lang w:eastAsia="en-AU"/>
        </w:rPr>
        <w:t xml:space="preserve">, </w:t>
      </w:r>
      <w:r w:rsidR="00F13C30" w:rsidRPr="00A41B82">
        <w:rPr>
          <w:rFonts w:ascii="Times New Roman" w:hAnsi="Times New Roman" w:cs="Times New Roman"/>
          <w:i/>
          <w:sz w:val="24"/>
          <w:szCs w:val="24"/>
          <w:lang w:eastAsia="en-AU"/>
        </w:rPr>
        <w:t>premium content servic</w:t>
      </w:r>
      <w:r w:rsidR="00F13C30" w:rsidRPr="00094076">
        <w:rPr>
          <w:rFonts w:ascii="Times New Roman" w:hAnsi="Times New Roman" w:cs="Times New Roman"/>
          <w:sz w:val="24"/>
          <w:szCs w:val="24"/>
          <w:lang w:eastAsia="en-AU"/>
        </w:rPr>
        <w:t xml:space="preserve">e, </w:t>
      </w:r>
      <w:r w:rsidR="00F13C30" w:rsidRPr="00244BB4">
        <w:rPr>
          <w:rFonts w:ascii="Times New Roman" w:hAnsi="Times New Roman" w:cs="Times New Roman"/>
          <w:sz w:val="24"/>
          <w:szCs w:val="24"/>
          <w:lang w:eastAsia="en-AU"/>
        </w:rPr>
        <w:t>and</w:t>
      </w:r>
      <w:r w:rsidR="00F13C30" w:rsidRPr="00094076">
        <w:rPr>
          <w:rFonts w:ascii="Times New Roman" w:hAnsi="Times New Roman" w:cs="Times New Roman"/>
          <w:sz w:val="24"/>
          <w:szCs w:val="24"/>
          <w:lang w:eastAsia="en-AU"/>
        </w:rPr>
        <w:t xml:space="preserve"> </w:t>
      </w:r>
      <w:r w:rsidR="00F13C30" w:rsidRPr="00A41B82">
        <w:rPr>
          <w:rFonts w:ascii="Times New Roman" w:hAnsi="Times New Roman" w:cs="Times New Roman"/>
          <w:i/>
          <w:sz w:val="24"/>
          <w:szCs w:val="24"/>
          <w:lang w:eastAsia="en-AU"/>
        </w:rPr>
        <w:t>proprietary network</w:t>
      </w:r>
      <w:r w:rsidR="00F13C30" w:rsidRPr="00094076">
        <w:rPr>
          <w:rFonts w:ascii="Times New Roman" w:hAnsi="Times New Roman" w:cs="Times New Roman"/>
          <w:sz w:val="24"/>
          <w:szCs w:val="24"/>
          <w:lang w:eastAsia="en-AU"/>
        </w:rPr>
        <w:t xml:space="preserve">. </w:t>
      </w:r>
      <w:r>
        <w:rPr>
          <w:rFonts w:ascii="Times New Roman" w:hAnsi="Times New Roman" w:cs="Times New Roman"/>
          <w:iCs/>
          <w:sz w:val="24"/>
          <w:szCs w:val="24"/>
        </w:rPr>
        <w:t xml:space="preserve"> </w:t>
      </w:r>
    </w:p>
    <w:p w14:paraId="10E28069" w14:textId="027A6892" w:rsidR="006E014D" w:rsidRPr="004D1BE9" w:rsidRDefault="006E014D" w:rsidP="006E014D">
      <w:pPr>
        <w:rPr>
          <w:rFonts w:ascii="Times New Roman" w:hAnsi="Times New Roman"/>
          <w:iCs/>
          <w:sz w:val="24"/>
          <w:szCs w:val="24"/>
        </w:rPr>
      </w:pPr>
      <w:r>
        <w:rPr>
          <w:rFonts w:ascii="Times New Roman" w:hAnsi="Times New Roman"/>
          <w:iCs/>
          <w:sz w:val="24"/>
          <w:szCs w:val="24"/>
        </w:rPr>
        <w:t xml:space="preserve">Part 2 </w:t>
      </w:r>
      <w:r w:rsidRPr="004D1BE9">
        <w:rPr>
          <w:rFonts w:ascii="Times New Roman" w:hAnsi="Times New Roman"/>
          <w:iCs/>
          <w:sz w:val="24"/>
          <w:szCs w:val="24"/>
        </w:rPr>
        <w:t>specif</w:t>
      </w:r>
      <w:r>
        <w:rPr>
          <w:rFonts w:ascii="Times New Roman" w:hAnsi="Times New Roman"/>
          <w:iCs/>
          <w:sz w:val="24"/>
          <w:szCs w:val="24"/>
        </w:rPr>
        <w:t xml:space="preserve">ies </w:t>
      </w:r>
      <w:r w:rsidRPr="004D1BE9">
        <w:rPr>
          <w:rFonts w:ascii="Times New Roman" w:hAnsi="Times New Roman"/>
          <w:iCs/>
          <w:sz w:val="24"/>
          <w:szCs w:val="24"/>
        </w:rPr>
        <w:t>a range of matters in relation to which the A</w:t>
      </w:r>
      <w:r w:rsidR="00236160">
        <w:rPr>
          <w:rFonts w:ascii="Times New Roman" w:hAnsi="Times New Roman"/>
          <w:iCs/>
          <w:sz w:val="24"/>
          <w:szCs w:val="24"/>
        </w:rPr>
        <w:t xml:space="preserve">ustralian </w:t>
      </w:r>
      <w:r w:rsidRPr="004D1BE9">
        <w:rPr>
          <w:rFonts w:ascii="Times New Roman" w:hAnsi="Times New Roman"/>
          <w:iCs/>
          <w:sz w:val="24"/>
          <w:szCs w:val="24"/>
        </w:rPr>
        <w:t>C</w:t>
      </w:r>
      <w:r w:rsidR="00236160">
        <w:rPr>
          <w:rFonts w:ascii="Times New Roman" w:hAnsi="Times New Roman"/>
          <w:iCs/>
          <w:sz w:val="24"/>
          <w:szCs w:val="24"/>
        </w:rPr>
        <w:t xml:space="preserve">ommunications and </w:t>
      </w:r>
      <w:r w:rsidRPr="004D1BE9">
        <w:rPr>
          <w:rFonts w:ascii="Times New Roman" w:hAnsi="Times New Roman"/>
          <w:iCs/>
          <w:sz w:val="24"/>
          <w:szCs w:val="24"/>
        </w:rPr>
        <w:t>M</w:t>
      </w:r>
      <w:r w:rsidR="00236160">
        <w:rPr>
          <w:rFonts w:ascii="Times New Roman" w:hAnsi="Times New Roman"/>
          <w:iCs/>
          <w:sz w:val="24"/>
          <w:szCs w:val="24"/>
        </w:rPr>
        <w:t xml:space="preserve">edia </w:t>
      </w:r>
      <w:r w:rsidRPr="004D1BE9">
        <w:rPr>
          <w:rFonts w:ascii="Times New Roman" w:hAnsi="Times New Roman"/>
          <w:iCs/>
          <w:sz w:val="24"/>
          <w:szCs w:val="24"/>
        </w:rPr>
        <w:t>A</w:t>
      </w:r>
      <w:r w:rsidR="00236160">
        <w:rPr>
          <w:rFonts w:ascii="Times New Roman" w:hAnsi="Times New Roman"/>
          <w:iCs/>
          <w:sz w:val="24"/>
          <w:szCs w:val="24"/>
        </w:rPr>
        <w:t xml:space="preserve">uthority (ACMA) </w:t>
      </w:r>
      <w:r w:rsidRPr="004D1BE9">
        <w:rPr>
          <w:rFonts w:ascii="Times New Roman" w:hAnsi="Times New Roman"/>
          <w:iCs/>
          <w:sz w:val="24"/>
          <w:szCs w:val="24"/>
        </w:rPr>
        <w:t xml:space="preserve">may make a service provider determination, and these </w:t>
      </w:r>
      <w:r>
        <w:rPr>
          <w:rFonts w:ascii="Times New Roman" w:hAnsi="Times New Roman"/>
          <w:iCs/>
          <w:sz w:val="24"/>
          <w:szCs w:val="24"/>
        </w:rPr>
        <w:t xml:space="preserve">cover </w:t>
      </w:r>
      <w:r w:rsidRPr="004D1BE9">
        <w:rPr>
          <w:rFonts w:ascii="Times New Roman" w:hAnsi="Times New Roman"/>
          <w:iCs/>
          <w:sz w:val="24"/>
          <w:szCs w:val="24"/>
        </w:rPr>
        <w:t>prepaid mobile carriage services; premium services; fixed or mobile voice or data carriage services; and information relating to the telecommunications industry.</w:t>
      </w:r>
    </w:p>
    <w:p w14:paraId="5C64FA42" w14:textId="3BFFFE3F" w:rsidR="006E014D" w:rsidRDefault="006E014D" w:rsidP="006E014D">
      <w:pPr>
        <w:rPr>
          <w:rFonts w:ascii="Times New Roman" w:hAnsi="Times New Roman"/>
          <w:iCs/>
          <w:sz w:val="24"/>
          <w:szCs w:val="24"/>
        </w:rPr>
      </w:pPr>
      <w:r>
        <w:rPr>
          <w:rFonts w:ascii="Times New Roman" w:hAnsi="Times New Roman"/>
          <w:iCs/>
          <w:sz w:val="24"/>
          <w:szCs w:val="24"/>
        </w:rPr>
        <w:t xml:space="preserve">Part 3 </w:t>
      </w:r>
      <w:r w:rsidRPr="004D1BE9">
        <w:rPr>
          <w:rFonts w:ascii="Times New Roman" w:hAnsi="Times New Roman"/>
          <w:iCs/>
          <w:sz w:val="24"/>
          <w:szCs w:val="24"/>
        </w:rPr>
        <w:t>provide</w:t>
      </w:r>
      <w:r>
        <w:rPr>
          <w:rFonts w:ascii="Times New Roman" w:hAnsi="Times New Roman"/>
          <w:iCs/>
          <w:sz w:val="24"/>
          <w:szCs w:val="24"/>
        </w:rPr>
        <w:t>s</w:t>
      </w:r>
      <w:r w:rsidRPr="004D1BE9">
        <w:rPr>
          <w:rFonts w:ascii="Times New Roman" w:hAnsi="Times New Roman"/>
          <w:iCs/>
          <w:sz w:val="24"/>
          <w:szCs w:val="24"/>
        </w:rPr>
        <w:t xml:space="preserve"> for several exceptions to the rule under </w:t>
      </w:r>
      <w:r>
        <w:rPr>
          <w:rFonts w:ascii="Times New Roman" w:hAnsi="Times New Roman"/>
          <w:iCs/>
          <w:sz w:val="24"/>
          <w:szCs w:val="24"/>
        </w:rPr>
        <w:t xml:space="preserve">section 115 of </w:t>
      </w:r>
      <w:r w:rsidRPr="004D1BE9">
        <w:rPr>
          <w:rFonts w:ascii="Times New Roman" w:hAnsi="Times New Roman"/>
          <w:iCs/>
          <w:sz w:val="24"/>
          <w:szCs w:val="24"/>
        </w:rPr>
        <w:t xml:space="preserve">the Act </w:t>
      </w:r>
      <w:r>
        <w:rPr>
          <w:rFonts w:ascii="Times New Roman" w:hAnsi="Times New Roman"/>
          <w:iCs/>
          <w:sz w:val="24"/>
          <w:szCs w:val="24"/>
        </w:rPr>
        <w:t xml:space="preserve">which </w:t>
      </w:r>
      <w:r w:rsidRPr="004D1BE9">
        <w:rPr>
          <w:rFonts w:ascii="Times New Roman" w:hAnsi="Times New Roman"/>
          <w:iCs/>
          <w:sz w:val="24"/>
          <w:szCs w:val="24"/>
        </w:rPr>
        <w:t>precludes industry codes and industry standards from deal</w:t>
      </w:r>
      <w:r>
        <w:rPr>
          <w:rFonts w:ascii="Times New Roman" w:hAnsi="Times New Roman"/>
          <w:iCs/>
          <w:sz w:val="24"/>
          <w:szCs w:val="24"/>
        </w:rPr>
        <w:t xml:space="preserve">ing </w:t>
      </w:r>
      <w:r w:rsidRPr="004D1BE9">
        <w:rPr>
          <w:rFonts w:ascii="Times New Roman" w:hAnsi="Times New Roman"/>
          <w:iCs/>
          <w:sz w:val="24"/>
          <w:szCs w:val="24"/>
        </w:rPr>
        <w:t>with certain design features and performance requirements relating to the un</w:t>
      </w:r>
      <w:r w:rsidR="0087505D">
        <w:rPr>
          <w:rFonts w:ascii="Times New Roman" w:hAnsi="Times New Roman"/>
          <w:iCs/>
          <w:sz w:val="24"/>
          <w:szCs w:val="24"/>
        </w:rPr>
        <w:t xml:space="preserve">conditioned local loop service </w:t>
      </w:r>
      <w:r w:rsidRPr="004D1BE9">
        <w:rPr>
          <w:rFonts w:ascii="Times New Roman" w:hAnsi="Times New Roman"/>
          <w:iCs/>
          <w:sz w:val="24"/>
          <w:szCs w:val="24"/>
        </w:rPr>
        <w:t>and the management of next-generation broadband networks</w:t>
      </w:r>
      <w:r>
        <w:rPr>
          <w:rFonts w:ascii="Times New Roman" w:hAnsi="Times New Roman"/>
          <w:iCs/>
          <w:sz w:val="24"/>
          <w:szCs w:val="24"/>
        </w:rPr>
        <w:t>.</w:t>
      </w:r>
    </w:p>
    <w:p w14:paraId="28E1A612" w14:textId="77777777" w:rsidR="006E014D" w:rsidRDefault="006E014D" w:rsidP="006E014D">
      <w:pPr>
        <w:rPr>
          <w:rFonts w:ascii="Times New Roman" w:hAnsi="Times New Roman"/>
          <w:iCs/>
          <w:sz w:val="24"/>
          <w:szCs w:val="24"/>
        </w:rPr>
      </w:pPr>
      <w:r w:rsidRPr="00F13C30">
        <w:rPr>
          <w:rFonts w:ascii="Times New Roman" w:hAnsi="Times New Roman"/>
          <w:iCs/>
          <w:sz w:val="24"/>
          <w:szCs w:val="24"/>
        </w:rPr>
        <w:lastRenderedPageBreak/>
        <w:t>Part 4 sets out three specific exceptions to the use and disclosure offences in Part 13</w:t>
      </w:r>
      <w:r w:rsidRPr="004D1BE9">
        <w:rPr>
          <w:rFonts w:ascii="Times New Roman" w:hAnsi="Times New Roman"/>
          <w:iCs/>
          <w:sz w:val="24"/>
          <w:szCs w:val="24"/>
        </w:rPr>
        <w:t xml:space="preserve"> of the Act</w:t>
      </w:r>
      <w:r>
        <w:rPr>
          <w:rFonts w:ascii="Times New Roman" w:hAnsi="Times New Roman"/>
          <w:iCs/>
          <w:sz w:val="24"/>
          <w:szCs w:val="24"/>
        </w:rPr>
        <w:t>. These exceptions relate to:</w:t>
      </w:r>
    </w:p>
    <w:p w14:paraId="73ACD02F" w14:textId="40A9A9DE" w:rsidR="006E014D" w:rsidRPr="00A41B82" w:rsidRDefault="006E014D" w:rsidP="00997B5F">
      <w:pPr>
        <w:pStyle w:val="ListParagraph"/>
        <w:numPr>
          <w:ilvl w:val="0"/>
          <w:numId w:val="18"/>
        </w:numPr>
        <w:rPr>
          <w:rFonts w:ascii="Times New Roman" w:hAnsi="Times New Roman"/>
          <w:iCs/>
          <w:sz w:val="24"/>
          <w:szCs w:val="24"/>
        </w:rPr>
      </w:pPr>
      <w:r w:rsidRPr="00A41B82">
        <w:rPr>
          <w:rFonts w:ascii="Times New Roman" w:hAnsi="Times New Roman"/>
          <w:iCs/>
          <w:sz w:val="24"/>
          <w:szCs w:val="24"/>
        </w:rPr>
        <w:t xml:space="preserve">disclosure of protected information where the disclosure is to a provider </w:t>
      </w:r>
      <w:r w:rsidR="004320AE">
        <w:rPr>
          <w:rFonts w:ascii="Times New Roman" w:hAnsi="Times New Roman"/>
          <w:iCs/>
          <w:sz w:val="24"/>
          <w:szCs w:val="24"/>
        </w:rPr>
        <w:br/>
      </w:r>
      <w:r w:rsidRPr="00A41B82">
        <w:rPr>
          <w:rFonts w:ascii="Times New Roman" w:hAnsi="Times New Roman"/>
          <w:iCs/>
          <w:sz w:val="24"/>
          <w:szCs w:val="24"/>
        </w:rPr>
        <w:t xml:space="preserve">of </w:t>
      </w:r>
      <w:r w:rsidR="004320AE">
        <w:rPr>
          <w:rFonts w:ascii="Times New Roman" w:hAnsi="Times New Roman"/>
          <w:iCs/>
          <w:sz w:val="24"/>
          <w:szCs w:val="24"/>
        </w:rPr>
        <w:t xml:space="preserve">the </w:t>
      </w:r>
      <w:r w:rsidRPr="00A41B82">
        <w:rPr>
          <w:rFonts w:ascii="Times New Roman" w:hAnsi="Times New Roman"/>
          <w:iCs/>
          <w:sz w:val="24"/>
          <w:szCs w:val="24"/>
        </w:rPr>
        <w:t>National Relay Service</w:t>
      </w:r>
      <w:r w:rsidR="004320AE">
        <w:rPr>
          <w:rFonts w:ascii="Times New Roman" w:hAnsi="Times New Roman"/>
          <w:iCs/>
          <w:sz w:val="24"/>
          <w:szCs w:val="24"/>
        </w:rPr>
        <w:t xml:space="preserve"> (NRS)</w:t>
      </w:r>
      <w:r w:rsidRPr="00A41B82">
        <w:rPr>
          <w:rFonts w:ascii="Times New Roman" w:hAnsi="Times New Roman"/>
          <w:iCs/>
          <w:sz w:val="24"/>
          <w:szCs w:val="24"/>
        </w:rPr>
        <w:t xml:space="preserve">; </w:t>
      </w:r>
    </w:p>
    <w:p w14:paraId="47BB9E80" w14:textId="3E81440E" w:rsidR="006E014D" w:rsidRPr="00A41B82" w:rsidRDefault="006E014D" w:rsidP="00997B5F">
      <w:pPr>
        <w:pStyle w:val="ListParagraph"/>
        <w:numPr>
          <w:ilvl w:val="0"/>
          <w:numId w:val="18"/>
        </w:numPr>
        <w:rPr>
          <w:rFonts w:ascii="Times New Roman" w:hAnsi="Times New Roman"/>
          <w:iCs/>
          <w:sz w:val="24"/>
          <w:szCs w:val="24"/>
        </w:rPr>
      </w:pPr>
      <w:r w:rsidRPr="00A41B82">
        <w:rPr>
          <w:rFonts w:ascii="Times New Roman" w:hAnsi="Times New Roman"/>
          <w:iCs/>
          <w:sz w:val="24"/>
          <w:szCs w:val="24"/>
        </w:rPr>
        <w:t xml:space="preserve">the disclosure </w:t>
      </w:r>
      <w:r w:rsidR="00573255" w:rsidRPr="00A41B82">
        <w:rPr>
          <w:rFonts w:ascii="Times New Roman" w:hAnsi="Times New Roman"/>
          <w:iCs/>
          <w:sz w:val="24"/>
          <w:szCs w:val="24"/>
        </w:rPr>
        <w:t xml:space="preserve">by the IPND Manager </w:t>
      </w:r>
      <w:r w:rsidRPr="00A41B82">
        <w:rPr>
          <w:rFonts w:ascii="Times New Roman" w:hAnsi="Times New Roman"/>
          <w:iCs/>
          <w:sz w:val="24"/>
          <w:szCs w:val="24"/>
        </w:rPr>
        <w:t xml:space="preserve">of </w:t>
      </w:r>
      <w:r w:rsidR="004320AE">
        <w:rPr>
          <w:rFonts w:ascii="Times New Roman" w:hAnsi="Times New Roman"/>
          <w:iCs/>
          <w:sz w:val="24"/>
          <w:szCs w:val="24"/>
        </w:rPr>
        <w:t xml:space="preserve">an </w:t>
      </w:r>
      <w:r w:rsidRPr="00A41B82">
        <w:rPr>
          <w:rFonts w:ascii="Times New Roman" w:hAnsi="Times New Roman"/>
          <w:iCs/>
          <w:sz w:val="24"/>
          <w:szCs w:val="24"/>
        </w:rPr>
        <w:t xml:space="preserve">unlisted mobile number </w:t>
      </w:r>
      <w:r w:rsidR="00573255" w:rsidRPr="00A41B82">
        <w:rPr>
          <w:rFonts w:ascii="Times New Roman" w:hAnsi="Times New Roman"/>
          <w:iCs/>
          <w:sz w:val="24"/>
          <w:szCs w:val="24"/>
        </w:rPr>
        <w:t xml:space="preserve">(a form of protected information) </w:t>
      </w:r>
      <w:r w:rsidRPr="00A41B82">
        <w:rPr>
          <w:rFonts w:ascii="Times New Roman" w:hAnsi="Times New Roman"/>
          <w:iCs/>
          <w:sz w:val="24"/>
          <w:szCs w:val="24"/>
        </w:rPr>
        <w:t xml:space="preserve">to </w:t>
      </w:r>
      <w:r w:rsidR="00573255" w:rsidRPr="00A41B82">
        <w:rPr>
          <w:rFonts w:ascii="Times New Roman" w:hAnsi="Times New Roman"/>
          <w:iCs/>
          <w:sz w:val="24"/>
          <w:szCs w:val="24"/>
        </w:rPr>
        <w:t xml:space="preserve">an </w:t>
      </w:r>
      <w:r w:rsidRPr="00A41B82">
        <w:rPr>
          <w:rFonts w:ascii="Times New Roman" w:hAnsi="Times New Roman"/>
          <w:iCs/>
          <w:sz w:val="24"/>
          <w:szCs w:val="24"/>
        </w:rPr>
        <w:t xml:space="preserve">authorised research entity (including the rules for the issuance of research authorisations etc); and </w:t>
      </w:r>
    </w:p>
    <w:p w14:paraId="03BC5F0F" w14:textId="04243110" w:rsidR="006E014D" w:rsidRPr="00A41B82" w:rsidRDefault="006E014D" w:rsidP="00997B5F">
      <w:pPr>
        <w:pStyle w:val="ListParagraph"/>
        <w:numPr>
          <w:ilvl w:val="0"/>
          <w:numId w:val="18"/>
        </w:numPr>
        <w:rPr>
          <w:rFonts w:ascii="Times New Roman" w:hAnsi="Times New Roman"/>
          <w:iCs/>
          <w:sz w:val="24"/>
          <w:szCs w:val="24"/>
        </w:rPr>
      </w:pPr>
      <w:r w:rsidRPr="00A41B82">
        <w:rPr>
          <w:rFonts w:ascii="Times New Roman" w:hAnsi="Times New Roman"/>
          <w:iCs/>
          <w:sz w:val="24"/>
          <w:szCs w:val="24"/>
        </w:rPr>
        <w:t xml:space="preserve">the disclosure </w:t>
      </w:r>
      <w:r w:rsidR="00573255" w:rsidRPr="00A41B82">
        <w:rPr>
          <w:rFonts w:ascii="Times New Roman" w:hAnsi="Times New Roman"/>
          <w:iCs/>
          <w:sz w:val="24"/>
          <w:szCs w:val="24"/>
        </w:rPr>
        <w:t xml:space="preserve">of protected information </w:t>
      </w:r>
      <w:r w:rsidRPr="00A41B82">
        <w:rPr>
          <w:rFonts w:ascii="Times New Roman" w:hAnsi="Times New Roman"/>
          <w:iCs/>
          <w:sz w:val="24"/>
          <w:szCs w:val="24"/>
        </w:rPr>
        <w:t>by emergency call persons—research about emergency service numbers.</w:t>
      </w:r>
    </w:p>
    <w:p w14:paraId="6C976BA8" w14:textId="69EFEB06" w:rsidR="006E014D" w:rsidRDefault="006E014D" w:rsidP="006E014D">
      <w:pPr>
        <w:rPr>
          <w:rFonts w:ascii="Times New Roman" w:hAnsi="Times New Roman"/>
          <w:iCs/>
          <w:sz w:val="24"/>
          <w:szCs w:val="24"/>
        </w:rPr>
      </w:pPr>
      <w:r>
        <w:rPr>
          <w:rFonts w:ascii="Times New Roman" w:hAnsi="Times New Roman"/>
          <w:iCs/>
          <w:sz w:val="24"/>
          <w:szCs w:val="24"/>
        </w:rPr>
        <w:t xml:space="preserve">Part 5 </w:t>
      </w:r>
      <w:r w:rsidRPr="006E014D">
        <w:rPr>
          <w:rFonts w:ascii="Times New Roman" w:hAnsi="Times New Roman"/>
          <w:iCs/>
          <w:sz w:val="24"/>
          <w:szCs w:val="24"/>
        </w:rPr>
        <w:t>specifies additional kinds of carriage services, ancillary goods and ancillary services for which standard agreements are required</w:t>
      </w:r>
      <w:r w:rsidR="00573255">
        <w:rPr>
          <w:rFonts w:ascii="Times New Roman" w:hAnsi="Times New Roman"/>
          <w:iCs/>
          <w:sz w:val="24"/>
          <w:szCs w:val="24"/>
        </w:rPr>
        <w:t>.</w:t>
      </w:r>
      <w:r>
        <w:rPr>
          <w:rFonts w:ascii="Times New Roman" w:hAnsi="Times New Roman"/>
          <w:iCs/>
          <w:sz w:val="24"/>
          <w:szCs w:val="24"/>
        </w:rPr>
        <w:t xml:space="preserve"> </w:t>
      </w:r>
    </w:p>
    <w:p w14:paraId="080A087E" w14:textId="1E1E8BFF" w:rsidR="006E014D" w:rsidRDefault="006E014D" w:rsidP="006E014D">
      <w:pPr>
        <w:rPr>
          <w:rFonts w:ascii="Times New Roman" w:hAnsi="Times New Roman"/>
          <w:iCs/>
          <w:sz w:val="24"/>
          <w:szCs w:val="24"/>
        </w:rPr>
      </w:pPr>
      <w:r>
        <w:rPr>
          <w:rFonts w:ascii="Times New Roman" w:hAnsi="Times New Roman"/>
          <w:iCs/>
          <w:sz w:val="24"/>
          <w:szCs w:val="24"/>
        </w:rPr>
        <w:t xml:space="preserve">Part </w:t>
      </w:r>
      <w:r w:rsidR="00865ECB">
        <w:rPr>
          <w:rFonts w:ascii="Times New Roman" w:hAnsi="Times New Roman"/>
          <w:iCs/>
          <w:sz w:val="24"/>
          <w:szCs w:val="24"/>
        </w:rPr>
        <w:t>6</w:t>
      </w:r>
      <w:r>
        <w:rPr>
          <w:rFonts w:ascii="Times New Roman" w:hAnsi="Times New Roman"/>
          <w:iCs/>
          <w:sz w:val="24"/>
          <w:szCs w:val="24"/>
        </w:rPr>
        <w:t xml:space="preserve"> deals with several matters related to the carrier powers and immunities regime under Schedule 3 to the Act. Namely, listing the international agreements for purposes of the definition of ‘listed international agreeme</w:t>
      </w:r>
      <w:r w:rsidR="00573255">
        <w:rPr>
          <w:rFonts w:ascii="Times New Roman" w:hAnsi="Times New Roman"/>
          <w:iCs/>
          <w:sz w:val="24"/>
          <w:szCs w:val="24"/>
        </w:rPr>
        <w:t>nt’ under Schedule 3 to the Act and specifying the</w:t>
      </w:r>
      <w:r>
        <w:rPr>
          <w:rFonts w:ascii="Times New Roman" w:hAnsi="Times New Roman"/>
          <w:iCs/>
          <w:sz w:val="24"/>
          <w:szCs w:val="24"/>
        </w:rPr>
        <w:t xml:space="preserve"> maximum distance for designated overhead lines.</w:t>
      </w:r>
    </w:p>
    <w:p w14:paraId="03F47204" w14:textId="14ED6C0A" w:rsidR="006E014D" w:rsidRPr="006E014D" w:rsidRDefault="006E014D" w:rsidP="006E014D">
      <w:pPr>
        <w:rPr>
          <w:rFonts w:ascii="Times New Roman" w:hAnsi="Times New Roman"/>
          <w:iCs/>
          <w:sz w:val="24"/>
          <w:szCs w:val="24"/>
        </w:rPr>
      </w:pPr>
      <w:r>
        <w:rPr>
          <w:rFonts w:ascii="Times New Roman" w:hAnsi="Times New Roman"/>
          <w:iCs/>
          <w:sz w:val="24"/>
          <w:szCs w:val="24"/>
        </w:rPr>
        <w:t xml:space="preserve">Part </w:t>
      </w:r>
      <w:r w:rsidR="00865ECB">
        <w:rPr>
          <w:rFonts w:ascii="Times New Roman" w:hAnsi="Times New Roman"/>
          <w:iCs/>
          <w:sz w:val="24"/>
          <w:szCs w:val="24"/>
        </w:rPr>
        <w:t>7</w:t>
      </w:r>
      <w:r>
        <w:rPr>
          <w:rFonts w:ascii="Times New Roman" w:hAnsi="Times New Roman"/>
          <w:iCs/>
          <w:sz w:val="24"/>
          <w:szCs w:val="24"/>
        </w:rPr>
        <w:t xml:space="preserve"> contains </w:t>
      </w:r>
      <w:r w:rsidRPr="006E014D">
        <w:rPr>
          <w:rFonts w:ascii="Times New Roman" w:hAnsi="Times New Roman"/>
          <w:iCs/>
          <w:sz w:val="24"/>
          <w:szCs w:val="24"/>
        </w:rPr>
        <w:t xml:space="preserve">several application, saving and transitional provisions that a necessary as a consequence of the repeal of the sunsetting regulations, </w:t>
      </w:r>
    </w:p>
    <w:p w14:paraId="53C6A552" w14:textId="77777777" w:rsidR="006E014D" w:rsidRPr="00261CDF" w:rsidRDefault="006E014D" w:rsidP="006E014D">
      <w:pPr>
        <w:shd w:val="clear" w:color="auto" w:fill="FFFFFF"/>
        <w:spacing w:line="240" w:lineRule="auto"/>
        <w:rPr>
          <w:rFonts w:ascii="Times New Roman" w:eastAsia="Times New Roman" w:hAnsi="Times New Roman" w:cs="Times New Roman"/>
          <w:color w:val="000000"/>
          <w:sz w:val="24"/>
          <w:szCs w:val="24"/>
          <w:lang w:val="en-US" w:eastAsia="en-AU"/>
        </w:rPr>
      </w:pPr>
      <w:r>
        <w:rPr>
          <w:rFonts w:ascii="Times New Roman" w:eastAsia="Times New Roman" w:hAnsi="Times New Roman" w:cs="Times New Roman"/>
          <w:color w:val="000000"/>
          <w:sz w:val="24"/>
          <w:szCs w:val="24"/>
          <w:lang w:val="en-US" w:eastAsia="en-AU"/>
        </w:rPr>
        <w:lastRenderedPageBreak/>
        <w:t xml:space="preserve">The Schedule to the Regulations repeal the sunsetting regulations. </w:t>
      </w:r>
    </w:p>
    <w:p w14:paraId="1210C9EB" w14:textId="196CB074" w:rsidR="007716C7" w:rsidRPr="003D0E8E" w:rsidRDefault="007716C7" w:rsidP="00116173">
      <w:pPr>
        <w:spacing w:line="276" w:lineRule="auto"/>
        <w:rPr>
          <w:rFonts w:ascii="Times New Roman" w:hAnsi="Times New Roman"/>
          <w:iCs/>
          <w:sz w:val="24"/>
          <w:szCs w:val="24"/>
        </w:rPr>
      </w:pPr>
      <w:r w:rsidRPr="003D0E8E">
        <w:rPr>
          <w:rFonts w:ascii="Times New Roman" w:hAnsi="Times New Roman"/>
          <w:iCs/>
          <w:sz w:val="24"/>
          <w:szCs w:val="24"/>
        </w:rPr>
        <w:t xml:space="preserve">Under Division 13 of the Act, the sunsetting regulations contained an infringement notice scheme under Part 6. Infringement notices will now fall under the </w:t>
      </w:r>
      <w:r w:rsidR="0043685D" w:rsidRPr="003D0E8E">
        <w:rPr>
          <w:rFonts w:ascii="Times New Roman" w:hAnsi="Times New Roman"/>
          <w:iCs/>
          <w:sz w:val="24"/>
          <w:szCs w:val="24"/>
        </w:rPr>
        <w:t>primary legislation</w:t>
      </w:r>
      <w:r w:rsidR="003D0E8E">
        <w:rPr>
          <w:rFonts w:ascii="Times New Roman" w:hAnsi="Times New Roman"/>
          <w:iCs/>
          <w:sz w:val="24"/>
          <w:szCs w:val="24"/>
        </w:rPr>
        <w:t>.</w:t>
      </w:r>
    </w:p>
    <w:p w14:paraId="1C0FF19E" w14:textId="468B0616" w:rsidR="005C1843" w:rsidRPr="00AF2FBA" w:rsidRDefault="007716C7" w:rsidP="00116173">
      <w:pPr>
        <w:spacing w:line="276" w:lineRule="auto"/>
        <w:rPr>
          <w:rFonts w:ascii="Times New Roman" w:hAnsi="Times New Roman" w:cs="Times New Roman"/>
          <w:i/>
          <w:iCs/>
          <w:sz w:val="24"/>
          <w:szCs w:val="24"/>
        </w:rPr>
      </w:pPr>
      <w:r w:rsidRPr="003D0E8E">
        <w:rPr>
          <w:rFonts w:ascii="Times New Roman" w:hAnsi="Times New Roman"/>
          <w:iCs/>
          <w:sz w:val="24"/>
          <w:szCs w:val="24"/>
        </w:rPr>
        <w:t>The relevant provisions of Part 21 of the Act are all offences. This means, in the absence of infringement notices, the ACMA is limited in its enforcement action. However, historically the ACMA has made limited use of the infringement notice scheme.</w:t>
      </w:r>
      <w:r w:rsidR="004320AE">
        <w:rPr>
          <w:rFonts w:ascii="Times New Roman" w:hAnsi="Times New Roman" w:cs="Times New Roman"/>
          <w:i/>
          <w:iCs/>
          <w:sz w:val="24"/>
          <w:szCs w:val="24"/>
        </w:rPr>
        <w:t xml:space="preserve"> </w:t>
      </w:r>
    </w:p>
    <w:p w14:paraId="2AB4F944" w14:textId="6A1E9D38" w:rsidR="005C1843" w:rsidRPr="000501F2" w:rsidRDefault="005C1843" w:rsidP="00116173">
      <w:pPr>
        <w:rPr>
          <w:rFonts w:ascii="Times New Roman" w:hAnsi="Times New Roman" w:cs="Times New Roman"/>
          <w:iCs/>
          <w:sz w:val="24"/>
          <w:szCs w:val="24"/>
        </w:rPr>
      </w:pPr>
      <w:r w:rsidRPr="00373A1C">
        <w:rPr>
          <w:rFonts w:ascii="Times New Roman" w:hAnsi="Times New Roman" w:cs="Times New Roman"/>
          <w:iCs/>
          <w:sz w:val="24"/>
          <w:szCs w:val="24"/>
        </w:rPr>
        <w:t>The notes on the provisions of the new Regula</w:t>
      </w:r>
      <w:r w:rsidRPr="000501F2">
        <w:rPr>
          <w:rFonts w:ascii="Times New Roman" w:hAnsi="Times New Roman" w:cs="Times New Roman"/>
          <w:iCs/>
          <w:sz w:val="24"/>
          <w:szCs w:val="24"/>
        </w:rPr>
        <w:t xml:space="preserve">tions are set </w:t>
      </w:r>
      <w:r w:rsidR="00ED71F5">
        <w:rPr>
          <w:rFonts w:ascii="Times New Roman" w:hAnsi="Times New Roman" w:cs="Times New Roman"/>
          <w:iCs/>
          <w:sz w:val="24"/>
          <w:szCs w:val="24"/>
        </w:rPr>
        <w:t xml:space="preserve">out </w:t>
      </w:r>
      <w:r w:rsidRPr="000501F2">
        <w:rPr>
          <w:rFonts w:ascii="Times New Roman" w:hAnsi="Times New Roman" w:cs="Times New Roman"/>
          <w:iCs/>
          <w:sz w:val="24"/>
          <w:szCs w:val="24"/>
        </w:rPr>
        <w:t xml:space="preserve">in </w:t>
      </w:r>
      <w:r w:rsidRPr="007D3D73">
        <w:rPr>
          <w:rFonts w:ascii="Times New Roman" w:hAnsi="Times New Roman" w:cs="Times New Roman"/>
          <w:b/>
          <w:i/>
          <w:iCs/>
          <w:sz w:val="24"/>
          <w:szCs w:val="24"/>
        </w:rPr>
        <w:t>Attachment A</w:t>
      </w:r>
      <w:r w:rsidRPr="000501F2">
        <w:rPr>
          <w:rFonts w:ascii="Times New Roman" w:hAnsi="Times New Roman" w:cs="Times New Roman"/>
          <w:iCs/>
          <w:sz w:val="24"/>
          <w:szCs w:val="24"/>
          <w:u w:val="single"/>
        </w:rPr>
        <w:t>.</w:t>
      </w:r>
      <w:r w:rsidRPr="000501F2">
        <w:rPr>
          <w:rFonts w:ascii="Times New Roman" w:hAnsi="Times New Roman" w:cs="Times New Roman"/>
          <w:iCs/>
          <w:sz w:val="24"/>
          <w:szCs w:val="24"/>
        </w:rPr>
        <w:t xml:space="preserve"> </w:t>
      </w:r>
    </w:p>
    <w:p w14:paraId="7BCB6863" w14:textId="77777777" w:rsidR="005C1843" w:rsidRPr="007D3D73" w:rsidRDefault="005C1843" w:rsidP="00116173">
      <w:pPr>
        <w:rPr>
          <w:rFonts w:ascii="Times New Roman" w:hAnsi="Times New Roman" w:cs="Times New Roman"/>
          <w:b/>
          <w:sz w:val="24"/>
          <w:szCs w:val="24"/>
        </w:rPr>
      </w:pPr>
      <w:r w:rsidRPr="007D3D73">
        <w:rPr>
          <w:rFonts w:ascii="Times New Roman" w:hAnsi="Times New Roman" w:cs="Times New Roman"/>
          <w:b/>
          <w:sz w:val="24"/>
          <w:szCs w:val="24"/>
        </w:rPr>
        <w:t xml:space="preserve">Consultation </w:t>
      </w:r>
    </w:p>
    <w:p w14:paraId="5B43CE9A" w14:textId="4619988D" w:rsidR="00F13C30" w:rsidRDefault="00F13C30" w:rsidP="00116173">
      <w:pPr>
        <w:rPr>
          <w:rFonts w:ascii="Times New Roman" w:hAnsi="Times New Roman" w:cs="Times New Roman"/>
          <w:sz w:val="24"/>
          <w:szCs w:val="24"/>
          <w:lang w:eastAsia="en-AU"/>
        </w:rPr>
      </w:pPr>
      <w:r w:rsidRPr="00BC2668">
        <w:rPr>
          <w:rFonts w:ascii="Times New Roman" w:hAnsi="Times New Roman" w:cs="Times New Roman"/>
          <w:sz w:val="24"/>
          <w:szCs w:val="24"/>
          <w:lang w:eastAsia="en-AU"/>
        </w:rPr>
        <w:t>The Department of Infrastructure, Transport, Regional Development and Communications (the Department) has reviewed and assessed the performance of the Regulations in consultation with key stakeholders. The Department sought comments from the A</w:t>
      </w:r>
      <w:r>
        <w:rPr>
          <w:rFonts w:ascii="Times New Roman" w:hAnsi="Times New Roman" w:cs="Times New Roman"/>
          <w:sz w:val="24"/>
          <w:szCs w:val="24"/>
          <w:lang w:eastAsia="en-AU"/>
        </w:rPr>
        <w:t xml:space="preserve">ustralian </w:t>
      </w:r>
      <w:r w:rsidRPr="00BC2668">
        <w:rPr>
          <w:rFonts w:ascii="Times New Roman" w:hAnsi="Times New Roman" w:cs="Times New Roman"/>
          <w:sz w:val="24"/>
          <w:szCs w:val="24"/>
          <w:lang w:eastAsia="en-AU"/>
        </w:rPr>
        <w:t>C</w:t>
      </w:r>
      <w:r>
        <w:rPr>
          <w:rFonts w:ascii="Times New Roman" w:hAnsi="Times New Roman" w:cs="Times New Roman"/>
          <w:sz w:val="24"/>
          <w:szCs w:val="24"/>
          <w:lang w:eastAsia="en-AU"/>
        </w:rPr>
        <w:t xml:space="preserve">ommunications and </w:t>
      </w:r>
      <w:r w:rsidRPr="00BC2668">
        <w:rPr>
          <w:rFonts w:ascii="Times New Roman" w:hAnsi="Times New Roman" w:cs="Times New Roman"/>
          <w:sz w:val="24"/>
          <w:szCs w:val="24"/>
          <w:lang w:eastAsia="en-AU"/>
        </w:rPr>
        <w:t>M</w:t>
      </w:r>
      <w:r>
        <w:rPr>
          <w:rFonts w:ascii="Times New Roman" w:hAnsi="Times New Roman" w:cs="Times New Roman"/>
          <w:sz w:val="24"/>
          <w:szCs w:val="24"/>
          <w:lang w:eastAsia="en-AU"/>
        </w:rPr>
        <w:t xml:space="preserve">edia </w:t>
      </w:r>
      <w:r w:rsidRPr="00BC2668">
        <w:rPr>
          <w:rFonts w:ascii="Times New Roman" w:hAnsi="Times New Roman" w:cs="Times New Roman"/>
          <w:sz w:val="24"/>
          <w:szCs w:val="24"/>
          <w:lang w:eastAsia="en-AU"/>
        </w:rPr>
        <w:t>A</w:t>
      </w:r>
      <w:r>
        <w:rPr>
          <w:rFonts w:ascii="Times New Roman" w:hAnsi="Times New Roman" w:cs="Times New Roman"/>
          <w:sz w:val="24"/>
          <w:szCs w:val="24"/>
          <w:lang w:eastAsia="en-AU"/>
        </w:rPr>
        <w:t>uthority (ACMA)</w:t>
      </w:r>
      <w:r w:rsidRPr="00BC2668">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the </w:t>
      </w:r>
      <w:r w:rsidRPr="00F13C30">
        <w:rPr>
          <w:rFonts w:ascii="Times New Roman" w:hAnsi="Times New Roman" w:cs="Times New Roman"/>
          <w:sz w:val="24"/>
          <w:szCs w:val="24"/>
          <w:lang w:eastAsia="en-AU"/>
        </w:rPr>
        <w:t>Australian Communications Consumer Action Network</w:t>
      </w:r>
      <w:r>
        <w:rPr>
          <w:rFonts w:ascii="Times New Roman" w:hAnsi="Times New Roman" w:cs="Times New Roman"/>
          <w:sz w:val="24"/>
          <w:szCs w:val="24"/>
          <w:lang w:eastAsia="en-AU"/>
        </w:rPr>
        <w:t xml:space="preserve"> (ACCAN), </w:t>
      </w:r>
      <w:r w:rsidR="000E4EA8">
        <w:rPr>
          <w:rFonts w:ascii="Times New Roman" w:hAnsi="Times New Roman" w:cs="Times New Roman"/>
          <w:sz w:val="24"/>
          <w:szCs w:val="24"/>
          <w:lang w:eastAsia="en-AU"/>
        </w:rPr>
        <w:t xml:space="preserve">the </w:t>
      </w:r>
      <w:r w:rsidR="000E4EA8" w:rsidRPr="00BC2668">
        <w:rPr>
          <w:rFonts w:ascii="Times New Roman" w:hAnsi="Times New Roman" w:cs="Times New Roman"/>
          <w:sz w:val="24"/>
          <w:szCs w:val="24"/>
          <w:lang w:eastAsia="en-AU"/>
        </w:rPr>
        <w:t>Australian Competition and Consumer Commission (ACCC)</w:t>
      </w:r>
      <w:r w:rsidR="000E4EA8">
        <w:rPr>
          <w:rFonts w:ascii="Times New Roman" w:hAnsi="Times New Roman" w:cs="Times New Roman"/>
          <w:sz w:val="24"/>
          <w:szCs w:val="24"/>
          <w:lang w:eastAsia="en-AU"/>
        </w:rPr>
        <w:t>, Communications Alliance, as well as major telecommunications operators, including Telstra, Optus, Vocus and TPG.</w:t>
      </w:r>
    </w:p>
    <w:p w14:paraId="644FC03F" w14:textId="39BBB313" w:rsidR="00F13C30" w:rsidRDefault="000E4EA8" w:rsidP="00116173">
      <w:pPr>
        <w:rPr>
          <w:rFonts w:ascii="Times New Roman" w:hAnsi="Times New Roman" w:cs="Times New Roman"/>
          <w:sz w:val="24"/>
          <w:szCs w:val="24"/>
          <w:lang w:eastAsia="en-AU"/>
        </w:rPr>
      </w:pPr>
      <w:r w:rsidRPr="00995012">
        <w:rPr>
          <w:rFonts w:ascii="Times New Roman" w:hAnsi="Times New Roman" w:cs="Times New Roman"/>
          <w:sz w:val="24"/>
          <w:szCs w:val="24"/>
          <w:lang w:eastAsia="en-AU"/>
        </w:rPr>
        <w:t xml:space="preserve">The review and input received revealed the ongoing utility of the </w:t>
      </w:r>
      <w:r w:rsidR="004320AE">
        <w:rPr>
          <w:rFonts w:ascii="Times New Roman" w:hAnsi="Times New Roman" w:cs="Times New Roman"/>
          <w:sz w:val="24"/>
          <w:szCs w:val="24"/>
          <w:lang w:eastAsia="en-AU"/>
        </w:rPr>
        <w:t xml:space="preserve">existing </w:t>
      </w:r>
      <w:r w:rsidRPr="00995012">
        <w:rPr>
          <w:rFonts w:ascii="Times New Roman" w:hAnsi="Times New Roman" w:cs="Times New Roman"/>
          <w:sz w:val="24"/>
          <w:szCs w:val="24"/>
          <w:lang w:eastAsia="en-AU"/>
        </w:rPr>
        <w:t>Regulations as well as the need for certain aspects of the Regulations to be clarified and updated.</w:t>
      </w:r>
      <w:r w:rsidR="004320AE">
        <w:rPr>
          <w:rFonts w:ascii="Times New Roman" w:hAnsi="Times New Roman" w:cs="Times New Roman"/>
          <w:sz w:val="24"/>
          <w:szCs w:val="24"/>
          <w:lang w:eastAsia="en-AU"/>
        </w:rPr>
        <w:t xml:space="preserve"> </w:t>
      </w:r>
    </w:p>
    <w:p w14:paraId="0A7C7FE0" w14:textId="06E864CC" w:rsidR="005C1843" w:rsidRPr="007D3D73" w:rsidRDefault="005C1843" w:rsidP="00116173">
      <w:pPr>
        <w:rPr>
          <w:rFonts w:ascii="Times New Roman" w:hAnsi="Times New Roman" w:cs="Times New Roman"/>
          <w:b/>
          <w:sz w:val="24"/>
          <w:szCs w:val="24"/>
        </w:rPr>
      </w:pPr>
      <w:r w:rsidRPr="007D3D73">
        <w:rPr>
          <w:rFonts w:ascii="Times New Roman" w:hAnsi="Times New Roman" w:cs="Times New Roman"/>
          <w:b/>
          <w:sz w:val="24"/>
          <w:szCs w:val="24"/>
        </w:rPr>
        <w:lastRenderedPageBreak/>
        <w:t xml:space="preserve">Regulation </w:t>
      </w:r>
      <w:r w:rsidR="007D3D73">
        <w:rPr>
          <w:rFonts w:ascii="Times New Roman" w:hAnsi="Times New Roman" w:cs="Times New Roman"/>
          <w:b/>
          <w:sz w:val="24"/>
          <w:szCs w:val="24"/>
        </w:rPr>
        <w:t>i</w:t>
      </w:r>
      <w:r w:rsidRPr="007D3D73">
        <w:rPr>
          <w:rFonts w:ascii="Times New Roman" w:hAnsi="Times New Roman" w:cs="Times New Roman"/>
          <w:b/>
          <w:sz w:val="24"/>
          <w:szCs w:val="24"/>
        </w:rPr>
        <w:t xml:space="preserve">mpact </w:t>
      </w:r>
      <w:r w:rsidR="007D3D73">
        <w:rPr>
          <w:rFonts w:ascii="Times New Roman" w:hAnsi="Times New Roman" w:cs="Times New Roman"/>
          <w:b/>
          <w:sz w:val="24"/>
          <w:szCs w:val="24"/>
        </w:rPr>
        <w:t>assessment</w:t>
      </w:r>
    </w:p>
    <w:p w14:paraId="65426287" w14:textId="683C8EBD" w:rsidR="005C1843" w:rsidRPr="00AD0430" w:rsidRDefault="005C1843" w:rsidP="00116173">
      <w:pPr>
        <w:rPr>
          <w:rFonts w:ascii="Times New Roman" w:hAnsi="Times New Roman" w:cs="Times New Roman"/>
          <w:iCs/>
          <w:sz w:val="24"/>
          <w:szCs w:val="24"/>
        </w:rPr>
      </w:pPr>
      <w:r w:rsidRPr="00ED71F5">
        <w:rPr>
          <w:rFonts w:ascii="Times New Roman" w:hAnsi="Times New Roman" w:cs="Times New Roman"/>
          <w:iCs/>
          <w:sz w:val="24"/>
          <w:szCs w:val="24"/>
        </w:rPr>
        <w:t>The Office of Best Practice Regulation has assessed that remaking the instrument without substantial changes is not likely to</w:t>
      </w:r>
      <w:r w:rsidRPr="00325E5D">
        <w:rPr>
          <w:rFonts w:ascii="Times New Roman" w:hAnsi="Times New Roman" w:cs="Times New Roman"/>
          <w:iCs/>
          <w:sz w:val="24"/>
          <w:szCs w:val="24"/>
        </w:rPr>
        <w:t xml:space="preserve"> have more than a minor and/or mac</w:t>
      </w:r>
      <w:r w:rsidRPr="00261CDF">
        <w:rPr>
          <w:rFonts w:ascii="Times New Roman" w:hAnsi="Times New Roman" w:cs="Times New Roman"/>
          <w:iCs/>
          <w:sz w:val="24"/>
          <w:szCs w:val="24"/>
        </w:rPr>
        <w:t>hinery regulatory impact on business, community organisations and individuals. As such, a RIS is not required.</w:t>
      </w:r>
      <w:r w:rsidR="006B0850" w:rsidRPr="00621B91">
        <w:rPr>
          <w:rFonts w:ascii="Times New Roman" w:hAnsi="Times New Roman" w:cs="Times New Roman"/>
        </w:rPr>
        <w:t xml:space="preserve"> </w:t>
      </w:r>
      <w:r w:rsidR="005A4B5A">
        <w:rPr>
          <w:rFonts w:ascii="Times New Roman" w:hAnsi="Times New Roman" w:cs="Times New Roman"/>
          <w:iCs/>
          <w:sz w:val="24"/>
          <w:szCs w:val="24"/>
        </w:rPr>
        <w:t xml:space="preserve">The OBPR reference number is </w:t>
      </w:r>
      <w:r w:rsidR="005A4B5A" w:rsidRPr="005A4B5A">
        <w:rPr>
          <w:rFonts w:ascii="Times New Roman" w:hAnsi="Times New Roman" w:cs="Times New Roman"/>
          <w:iCs/>
          <w:sz w:val="24"/>
          <w:szCs w:val="24"/>
        </w:rPr>
        <w:t>43405</w:t>
      </w:r>
      <w:r w:rsidR="006B0850" w:rsidRPr="00AD0430">
        <w:rPr>
          <w:rFonts w:ascii="Times New Roman" w:hAnsi="Times New Roman" w:cs="Times New Roman"/>
          <w:iCs/>
          <w:sz w:val="24"/>
          <w:szCs w:val="24"/>
        </w:rPr>
        <w:t>.</w:t>
      </w:r>
    </w:p>
    <w:p w14:paraId="3ECAD10D" w14:textId="77777777" w:rsidR="005C1843" w:rsidRPr="007D3D73" w:rsidRDefault="005C1843" w:rsidP="00116173">
      <w:pPr>
        <w:rPr>
          <w:rFonts w:ascii="Times New Roman" w:hAnsi="Times New Roman" w:cs="Times New Roman"/>
          <w:b/>
          <w:sz w:val="24"/>
          <w:szCs w:val="24"/>
        </w:rPr>
      </w:pPr>
      <w:r w:rsidRPr="007D3D73">
        <w:rPr>
          <w:rFonts w:ascii="Times New Roman" w:hAnsi="Times New Roman" w:cs="Times New Roman"/>
          <w:b/>
          <w:sz w:val="24"/>
          <w:szCs w:val="24"/>
        </w:rPr>
        <w:t>Statement of Compatibility with Human Rights</w:t>
      </w:r>
    </w:p>
    <w:p w14:paraId="111F5373" w14:textId="6B7E7C5B" w:rsidR="005C1843" w:rsidRPr="00504FAA" w:rsidRDefault="005C1843" w:rsidP="00116173">
      <w:pPr>
        <w:rPr>
          <w:rFonts w:ascii="Times New Roman" w:hAnsi="Times New Roman" w:cs="Times New Roman"/>
          <w:sz w:val="24"/>
          <w:szCs w:val="24"/>
          <w:u w:val="single"/>
        </w:rPr>
      </w:pPr>
      <w:r w:rsidRPr="00373A1C">
        <w:rPr>
          <w:rFonts w:ascii="Times New Roman" w:hAnsi="Times New Roman" w:cs="Times New Roman"/>
          <w:sz w:val="24"/>
          <w:szCs w:val="24"/>
        </w:rPr>
        <w:t>A statement of compatibilit</w:t>
      </w:r>
      <w:r w:rsidRPr="000501F2">
        <w:rPr>
          <w:rFonts w:ascii="Times New Roman" w:hAnsi="Times New Roman" w:cs="Times New Roman"/>
          <w:sz w:val="24"/>
          <w:szCs w:val="24"/>
        </w:rPr>
        <w:t>y with human rights for the purposes of Part 3 of the </w:t>
      </w:r>
      <w:r w:rsidRPr="00504FAA">
        <w:rPr>
          <w:rFonts w:ascii="Times New Roman" w:hAnsi="Times New Roman" w:cs="Times New Roman"/>
          <w:i/>
          <w:iCs/>
          <w:sz w:val="24"/>
          <w:szCs w:val="24"/>
        </w:rPr>
        <w:t>Human Rights (Parliamentary Scrutiny) Act 2011</w:t>
      </w:r>
      <w:r w:rsidRPr="00504FAA">
        <w:rPr>
          <w:rFonts w:ascii="Times New Roman" w:hAnsi="Times New Roman" w:cs="Times New Roman"/>
          <w:sz w:val="24"/>
          <w:szCs w:val="24"/>
        </w:rPr>
        <w:t xml:space="preserve"> is set out at </w:t>
      </w:r>
      <w:r w:rsidRPr="007D3D73">
        <w:rPr>
          <w:rFonts w:ascii="Times New Roman" w:hAnsi="Times New Roman" w:cs="Times New Roman"/>
          <w:b/>
          <w:i/>
          <w:sz w:val="24"/>
          <w:szCs w:val="24"/>
        </w:rPr>
        <w:t>Attachment B</w:t>
      </w:r>
      <w:r w:rsidRPr="00504FAA">
        <w:rPr>
          <w:rFonts w:ascii="Times New Roman" w:hAnsi="Times New Roman" w:cs="Times New Roman"/>
          <w:sz w:val="24"/>
          <w:szCs w:val="24"/>
          <w:u w:val="single"/>
        </w:rPr>
        <w:t>.</w:t>
      </w:r>
    </w:p>
    <w:p w14:paraId="68F85571" w14:textId="7FB71186" w:rsidR="005C1843" w:rsidRPr="00261CDF" w:rsidRDefault="006B0850" w:rsidP="00116173">
      <w:pPr>
        <w:jc w:val="right"/>
        <w:rPr>
          <w:rFonts w:ascii="Times New Roman" w:hAnsi="Times New Roman" w:cs="Times New Roman"/>
          <w:b/>
          <w:caps/>
          <w:sz w:val="24"/>
          <w:szCs w:val="24"/>
          <w:u w:val="single"/>
        </w:rPr>
      </w:pPr>
      <w:r w:rsidRPr="00261CDF">
        <w:rPr>
          <w:rFonts w:ascii="Times New Roman" w:hAnsi="Times New Roman" w:cs="Times New Roman"/>
          <w:b/>
          <w:caps/>
          <w:sz w:val="24"/>
          <w:szCs w:val="24"/>
          <w:u w:val="single"/>
        </w:rPr>
        <w:br w:type="column"/>
      </w:r>
      <w:r w:rsidR="005C1843" w:rsidRPr="00261CDF">
        <w:rPr>
          <w:rFonts w:ascii="Times New Roman" w:hAnsi="Times New Roman" w:cs="Times New Roman"/>
          <w:b/>
          <w:caps/>
          <w:sz w:val="24"/>
          <w:szCs w:val="24"/>
          <w:u w:val="single"/>
        </w:rPr>
        <w:lastRenderedPageBreak/>
        <w:t>Attachment A</w:t>
      </w:r>
    </w:p>
    <w:p w14:paraId="19F2B5F5" w14:textId="77777777" w:rsidR="005C1843" w:rsidRPr="00261CDF" w:rsidRDefault="005C1843" w:rsidP="00116173">
      <w:pPr>
        <w:jc w:val="center"/>
        <w:rPr>
          <w:rFonts w:ascii="Times New Roman" w:hAnsi="Times New Roman" w:cs="Times New Roman"/>
          <w:b/>
          <w:sz w:val="28"/>
          <w:szCs w:val="24"/>
          <w:u w:val="single"/>
        </w:rPr>
      </w:pPr>
      <w:r w:rsidRPr="00261CDF">
        <w:rPr>
          <w:rFonts w:ascii="Times New Roman" w:hAnsi="Times New Roman" w:cs="Times New Roman"/>
          <w:b/>
          <w:sz w:val="28"/>
          <w:szCs w:val="24"/>
          <w:u w:val="single"/>
        </w:rPr>
        <w:t>Notes on the provisions of the new Regulations</w:t>
      </w:r>
    </w:p>
    <w:p w14:paraId="72DBDEF4" w14:textId="48779AA8" w:rsidR="009C7820" w:rsidRPr="00C82758" w:rsidRDefault="009C7820" w:rsidP="00ED6155">
      <w:pPr>
        <w:pStyle w:val="ActHead2"/>
      </w:pPr>
      <w:r w:rsidRPr="00C82758">
        <w:t xml:space="preserve">Part 1 – Preliminary </w:t>
      </w:r>
    </w:p>
    <w:p w14:paraId="2F74F5CD" w14:textId="071BE5C3" w:rsidR="009C7820" w:rsidRDefault="009C7820" w:rsidP="00ED6155">
      <w:pPr>
        <w:pStyle w:val="ActHead5"/>
      </w:pPr>
      <w:r w:rsidRPr="00261CDF">
        <w:t>Section 1 – Name</w:t>
      </w:r>
    </w:p>
    <w:p w14:paraId="11DA50D3" w14:textId="629D3F15" w:rsidR="006A7AF1" w:rsidRPr="00261CDF" w:rsidRDefault="006A7AF1" w:rsidP="00116173">
      <w:pPr>
        <w:rPr>
          <w:rFonts w:ascii="Times New Roman" w:hAnsi="Times New Roman" w:cs="Times New Roman"/>
          <w:sz w:val="24"/>
          <w:szCs w:val="24"/>
        </w:rPr>
      </w:pPr>
      <w:r w:rsidRPr="00261CDF">
        <w:rPr>
          <w:rFonts w:ascii="Times New Roman" w:hAnsi="Times New Roman" w:cs="Times New Roman"/>
          <w:sz w:val="24"/>
          <w:szCs w:val="24"/>
        </w:rPr>
        <w:t xml:space="preserve">This section provides for the Regulations to be cited as the </w:t>
      </w:r>
      <w:r w:rsidRPr="00261CDF">
        <w:rPr>
          <w:rFonts w:ascii="Times New Roman" w:hAnsi="Times New Roman" w:cs="Times New Roman"/>
          <w:i/>
          <w:sz w:val="24"/>
          <w:szCs w:val="24"/>
        </w:rPr>
        <w:t>Telecommunications Regulations 2021</w:t>
      </w:r>
      <w:r w:rsidRPr="00261CDF">
        <w:rPr>
          <w:rFonts w:ascii="Times New Roman" w:hAnsi="Times New Roman" w:cs="Times New Roman"/>
          <w:sz w:val="24"/>
          <w:szCs w:val="24"/>
        </w:rPr>
        <w:t>.</w:t>
      </w:r>
    </w:p>
    <w:p w14:paraId="355ABFA2" w14:textId="4B35A976" w:rsidR="009C7820" w:rsidRDefault="00ED6155" w:rsidP="00ED6155">
      <w:pPr>
        <w:pStyle w:val="ActHead5"/>
      </w:pPr>
      <w:r>
        <w:t>Section 2 – Commencement</w:t>
      </w:r>
    </w:p>
    <w:p w14:paraId="3E7DA9C8" w14:textId="2B70BA68" w:rsidR="006A7AF1" w:rsidRPr="001A0286" w:rsidRDefault="006A7AF1" w:rsidP="00116173">
      <w:pPr>
        <w:rPr>
          <w:rFonts w:ascii="Times New Roman" w:hAnsi="Times New Roman" w:cs="Times New Roman"/>
          <w:sz w:val="24"/>
          <w:szCs w:val="24"/>
        </w:rPr>
      </w:pPr>
      <w:r w:rsidRPr="00B71B41">
        <w:rPr>
          <w:rFonts w:ascii="Times New Roman" w:hAnsi="Times New Roman" w:cs="Times New Roman"/>
          <w:sz w:val="24"/>
          <w:szCs w:val="24"/>
        </w:rPr>
        <w:t>Section 2 provides for the commencement of the Regulations. It provides that the whole of the instrument commences on the day after th</w:t>
      </w:r>
      <w:r w:rsidR="006B0850" w:rsidRPr="00AD0430">
        <w:rPr>
          <w:rFonts w:ascii="Times New Roman" w:hAnsi="Times New Roman" w:cs="Times New Roman"/>
          <w:sz w:val="24"/>
          <w:szCs w:val="24"/>
        </w:rPr>
        <w:t>e</w:t>
      </w:r>
      <w:r w:rsidRPr="00AD0430">
        <w:rPr>
          <w:rFonts w:ascii="Times New Roman" w:hAnsi="Times New Roman" w:cs="Times New Roman"/>
          <w:sz w:val="24"/>
          <w:szCs w:val="24"/>
        </w:rPr>
        <w:t xml:space="preserve"> instrument is regist</w:t>
      </w:r>
      <w:r w:rsidRPr="001A0286">
        <w:rPr>
          <w:rFonts w:ascii="Times New Roman" w:hAnsi="Times New Roman" w:cs="Times New Roman"/>
          <w:sz w:val="24"/>
          <w:szCs w:val="24"/>
        </w:rPr>
        <w:t>ered on the Federal Register of Legislation.</w:t>
      </w:r>
    </w:p>
    <w:p w14:paraId="64BB4243" w14:textId="6BE42A81" w:rsidR="009C7820" w:rsidRPr="00AF2FBA" w:rsidRDefault="009C7820" w:rsidP="00ED6155">
      <w:pPr>
        <w:pStyle w:val="ActHead5"/>
      </w:pPr>
      <w:r w:rsidRPr="00AF2FBA">
        <w:t>Section 3 – Authority</w:t>
      </w:r>
    </w:p>
    <w:p w14:paraId="0AAD68C8" w14:textId="2ED6E810" w:rsidR="00121983" w:rsidRPr="00E37E72" w:rsidRDefault="009C7820" w:rsidP="00C07180">
      <w:pPr>
        <w:rPr>
          <w:rFonts w:ascii="Times New Roman" w:hAnsi="Times New Roman" w:cs="Times New Roman"/>
          <w:sz w:val="24"/>
          <w:szCs w:val="24"/>
        </w:rPr>
      </w:pPr>
      <w:r w:rsidRPr="00373A1C">
        <w:rPr>
          <w:rFonts w:ascii="Times New Roman" w:hAnsi="Times New Roman" w:cs="Times New Roman"/>
          <w:sz w:val="24"/>
          <w:szCs w:val="24"/>
        </w:rPr>
        <w:t xml:space="preserve">Section 3 provides that the authority for the </w:t>
      </w:r>
      <w:r w:rsidR="00F007A1" w:rsidRPr="000501F2">
        <w:rPr>
          <w:rFonts w:ascii="Times New Roman" w:hAnsi="Times New Roman" w:cs="Times New Roman"/>
          <w:sz w:val="24"/>
          <w:szCs w:val="24"/>
        </w:rPr>
        <w:t>Regulations</w:t>
      </w:r>
      <w:r w:rsidRPr="000501F2">
        <w:rPr>
          <w:rFonts w:ascii="Times New Roman" w:hAnsi="Times New Roman" w:cs="Times New Roman"/>
          <w:sz w:val="24"/>
          <w:szCs w:val="24"/>
        </w:rPr>
        <w:t xml:space="preserve"> is the </w:t>
      </w:r>
      <w:r w:rsidR="00121983" w:rsidRPr="000501F2">
        <w:rPr>
          <w:rFonts w:ascii="Times New Roman" w:hAnsi="Times New Roman" w:cs="Times New Roman"/>
          <w:i/>
          <w:sz w:val="24"/>
          <w:szCs w:val="24"/>
        </w:rPr>
        <w:t xml:space="preserve">Telecommunications Act </w:t>
      </w:r>
      <w:r w:rsidR="00C07180" w:rsidRPr="00504FAA">
        <w:rPr>
          <w:rFonts w:ascii="Times New Roman" w:hAnsi="Times New Roman" w:cs="Times New Roman"/>
          <w:i/>
          <w:sz w:val="24"/>
          <w:szCs w:val="24"/>
        </w:rPr>
        <w:t xml:space="preserve">1997 </w:t>
      </w:r>
      <w:r w:rsidR="00C07180" w:rsidRPr="00504FAA">
        <w:rPr>
          <w:rFonts w:ascii="Times New Roman" w:hAnsi="Times New Roman" w:cs="Times New Roman"/>
          <w:sz w:val="24"/>
          <w:szCs w:val="24"/>
        </w:rPr>
        <w:t>(the Act)</w:t>
      </w:r>
      <w:r w:rsidR="0004107B" w:rsidRPr="00621B91">
        <w:rPr>
          <w:rFonts w:ascii="Times New Roman" w:hAnsi="Times New Roman"/>
          <w:sz w:val="24"/>
        </w:rPr>
        <w:t>.</w:t>
      </w:r>
      <w:r w:rsidR="00121983" w:rsidRPr="00E37E72">
        <w:rPr>
          <w:rFonts w:ascii="Times New Roman" w:hAnsi="Times New Roman" w:cs="Times New Roman"/>
          <w:i/>
          <w:sz w:val="24"/>
          <w:szCs w:val="24"/>
        </w:rPr>
        <w:t xml:space="preserve"> </w:t>
      </w:r>
      <w:r w:rsidR="00121983" w:rsidRPr="00E37E72">
        <w:rPr>
          <w:rFonts w:ascii="Times New Roman" w:hAnsi="Times New Roman" w:cs="Times New Roman"/>
          <w:sz w:val="24"/>
          <w:szCs w:val="24"/>
        </w:rPr>
        <w:t xml:space="preserve">Section 594 provides that the Governor-General may make Regulations prescribing matters required or permitted to be prescribed by the Act, or necessary or convenient to be prescribed for carrying out or giving effect to the Act. </w:t>
      </w:r>
    </w:p>
    <w:p w14:paraId="39996D50" w14:textId="2C44D96E" w:rsidR="00121983" w:rsidRPr="00261CDF" w:rsidRDefault="00121983" w:rsidP="00116173">
      <w:pPr>
        <w:rPr>
          <w:rFonts w:ascii="Times New Roman" w:hAnsi="Times New Roman" w:cs="Times New Roman"/>
          <w:sz w:val="24"/>
          <w:szCs w:val="24"/>
        </w:rPr>
      </w:pPr>
      <w:r w:rsidRPr="00D549AB">
        <w:rPr>
          <w:rFonts w:ascii="Times New Roman" w:hAnsi="Times New Roman" w:cs="Times New Roman"/>
          <w:sz w:val="24"/>
          <w:szCs w:val="24"/>
        </w:rPr>
        <w:lastRenderedPageBreak/>
        <w:t xml:space="preserve">Subsection 33(3) of the </w:t>
      </w:r>
      <w:r w:rsidRPr="00D549AB">
        <w:rPr>
          <w:rFonts w:ascii="Times New Roman" w:hAnsi="Times New Roman" w:cs="Times New Roman"/>
          <w:i/>
          <w:sz w:val="24"/>
          <w:szCs w:val="24"/>
        </w:rPr>
        <w:t xml:space="preserve">Acts Interpretation Act 1901 </w:t>
      </w:r>
      <w:r w:rsidRPr="00D549AB">
        <w:rPr>
          <w:rFonts w:ascii="Times New Roman" w:hAnsi="Times New Roman" w:cs="Times New Roman"/>
          <w:sz w:val="24"/>
          <w:szCs w:val="24"/>
        </w:rPr>
        <w:t>relevantly provides that where an Act confers a power to make an instrument of a legislative character (including regulations) the power shall be c</w:t>
      </w:r>
      <w:r w:rsidRPr="00ED71F5">
        <w:rPr>
          <w:rFonts w:ascii="Times New Roman" w:hAnsi="Times New Roman" w:cs="Times New Roman"/>
          <w:sz w:val="24"/>
          <w:szCs w:val="24"/>
        </w:rPr>
        <w:t>onstrued as including a power exercisable in the like manner and subject to the like conditions to repeal, rescind, revoke, amend, or vary any such instrument. The Regulations repeal the </w:t>
      </w:r>
      <w:r w:rsidRPr="00325E5D">
        <w:rPr>
          <w:rFonts w:ascii="Times New Roman" w:hAnsi="Times New Roman" w:cs="Times New Roman"/>
          <w:i/>
          <w:iCs/>
          <w:sz w:val="24"/>
          <w:szCs w:val="24"/>
        </w:rPr>
        <w:t xml:space="preserve">Telecommunications </w:t>
      </w:r>
      <w:r w:rsidR="00DE4D8F">
        <w:rPr>
          <w:rFonts w:ascii="Times New Roman" w:hAnsi="Times New Roman" w:cs="Times New Roman"/>
          <w:i/>
          <w:iCs/>
          <w:sz w:val="24"/>
          <w:szCs w:val="24"/>
        </w:rPr>
        <w:t>Regulations</w:t>
      </w:r>
      <w:r w:rsidR="00DE4D8F" w:rsidRPr="00325E5D">
        <w:rPr>
          <w:rFonts w:ascii="Times New Roman" w:hAnsi="Times New Roman" w:cs="Times New Roman"/>
          <w:i/>
          <w:iCs/>
          <w:sz w:val="24"/>
          <w:szCs w:val="24"/>
        </w:rPr>
        <w:t xml:space="preserve"> </w:t>
      </w:r>
      <w:r w:rsidRPr="00325E5D">
        <w:rPr>
          <w:rFonts w:ascii="Times New Roman" w:hAnsi="Times New Roman" w:cs="Times New Roman"/>
          <w:i/>
          <w:iCs/>
          <w:sz w:val="24"/>
          <w:szCs w:val="24"/>
        </w:rPr>
        <w:t>2001</w:t>
      </w:r>
      <w:r w:rsidRPr="00261CDF">
        <w:rPr>
          <w:rFonts w:ascii="Times New Roman" w:hAnsi="Times New Roman" w:cs="Times New Roman"/>
          <w:sz w:val="24"/>
          <w:szCs w:val="24"/>
        </w:rPr>
        <w:t xml:space="preserve"> (</w:t>
      </w:r>
      <w:r w:rsidRPr="00261CDF">
        <w:rPr>
          <w:rFonts w:ascii="Times New Roman" w:hAnsi="Times New Roman" w:cs="Times New Roman"/>
          <w:bCs/>
          <w:sz w:val="24"/>
          <w:szCs w:val="24"/>
        </w:rPr>
        <w:t>sunsetting</w:t>
      </w:r>
      <w:r w:rsidRPr="00261CDF">
        <w:rPr>
          <w:rFonts w:ascii="Times New Roman" w:hAnsi="Times New Roman" w:cs="Times New Roman"/>
          <w:b/>
          <w:bCs/>
          <w:sz w:val="24"/>
          <w:szCs w:val="24"/>
        </w:rPr>
        <w:t xml:space="preserve"> </w:t>
      </w:r>
      <w:r w:rsidR="00C82758">
        <w:rPr>
          <w:rFonts w:ascii="Times New Roman" w:hAnsi="Times New Roman" w:cs="Times New Roman"/>
          <w:bCs/>
          <w:sz w:val="24"/>
          <w:szCs w:val="24"/>
        </w:rPr>
        <w:t>r</w:t>
      </w:r>
      <w:r w:rsidRPr="00261CDF">
        <w:rPr>
          <w:rFonts w:ascii="Times New Roman" w:hAnsi="Times New Roman" w:cs="Times New Roman"/>
          <w:bCs/>
          <w:sz w:val="24"/>
          <w:szCs w:val="24"/>
        </w:rPr>
        <w:t>egulations</w:t>
      </w:r>
      <w:r w:rsidRPr="00261CDF">
        <w:rPr>
          <w:rFonts w:ascii="Times New Roman" w:hAnsi="Times New Roman" w:cs="Times New Roman"/>
          <w:sz w:val="24"/>
          <w:szCs w:val="24"/>
        </w:rPr>
        <w:t>).</w:t>
      </w:r>
    </w:p>
    <w:p w14:paraId="475E9385" w14:textId="0CDDD025" w:rsidR="009C7820" w:rsidRPr="00261CDF" w:rsidRDefault="00121983" w:rsidP="00C73B66">
      <w:pPr>
        <w:pStyle w:val="ActHead5"/>
      </w:pPr>
      <w:r w:rsidRPr="00261CDF">
        <w:t xml:space="preserve">Section </w:t>
      </w:r>
      <w:r w:rsidR="00DE4D8F">
        <w:t>4</w:t>
      </w:r>
      <w:r w:rsidR="00DE4D8F" w:rsidRPr="00261CDF">
        <w:t xml:space="preserve"> </w:t>
      </w:r>
      <w:r w:rsidR="00C73B66">
        <w:t>– Schedules</w:t>
      </w:r>
    </w:p>
    <w:p w14:paraId="6227B200" w14:textId="50958510" w:rsidR="009C7820" w:rsidRPr="001A0286" w:rsidRDefault="009C7820" w:rsidP="00116173">
      <w:pPr>
        <w:rPr>
          <w:rFonts w:ascii="Times New Roman" w:hAnsi="Times New Roman" w:cs="Times New Roman"/>
          <w:sz w:val="24"/>
          <w:szCs w:val="24"/>
        </w:rPr>
      </w:pPr>
      <w:r w:rsidRPr="00261CDF">
        <w:rPr>
          <w:rFonts w:ascii="Times New Roman" w:hAnsi="Times New Roman" w:cs="Times New Roman"/>
          <w:sz w:val="24"/>
          <w:szCs w:val="24"/>
        </w:rPr>
        <w:t xml:space="preserve">Section </w:t>
      </w:r>
      <w:r w:rsidR="00DE4D8F">
        <w:rPr>
          <w:rFonts w:ascii="Times New Roman" w:hAnsi="Times New Roman" w:cs="Times New Roman"/>
          <w:sz w:val="24"/>
          <w:szCs w:val="24"/>
        </w:rPr>
        <w:t xml:space="preserve">4 </w:t>
      </w:r>
      <w:r w:rsidRPr="00261CDF">
        <w:rPr>
          <w:rFonts w:ascii="Times New Roman" w:hAnsi="Times New Roman" w:cs="Times New Roman"/>
          <w:sz w:val="24"/>
          <w:szCs w:val="24"/>
        </w:rPr>
        <w:t>specifies that each instrument is amended or repealed as set</w:t>
      </w:r>
      <w:r w:rsidR="00C07180" w:rsidRPr="00261CDF">
        <w:rPr>
          <w:rFonts w:ascii="Times New Roman" w:hAnsi="Times New Roman" w:cs="Times New Roman"/>
          <w:sz w:val="24"/>
          <w:szCs w:val="24"/>
        </w:rPr>
        <w:t xml:space="preserve"> out</w:t>
      </w:r>
      <w:r w:rsidRPr="00261CDF">
        <w:rPr>
          <w:rFonts w:ascii="Times New Roman" w:hAnsi="Times New Roman" w:cs="Times New Roman"/>
          <w:sz w:val="24"/>
          <w:szCs w:val="24"/>
        </w:rPr>
        <w:t xml:space="preserve"> in the applicable items</w:t>
      </w:r>
      <w:r w:rsidR="0004107B" w:rsidRPr="00261CDF">
        <w:rPr>
          <w:rFonts w:ascii="Times New Roman" w:hAnsi="Times New Roman" w:cs="Times New Roman"/>
          <w:sz w:val="24"/>
          <w:szCs w:val="24"/>
        </w:rPr>
        <w:t>.</w:t>
      </w:r>
      <w:r w:rsidR="00C07180" w:rsidRPr="00261CDF">
        <w:rPr>
          <w:rFonts w:ascii="Times New Roman" w:hAnsi="Times New Roman" w:cs="Times New Roman"/>
          <w:sz w:val="24"/>
          <w:szCs w:val="24"/>
        </w:rPr>
        <w:t xml:space="preserve"> </w:t>
      </w:r>
      <w:r w:rsidR="00AF1DED" w:rsidRPr="00261CDF">
        <w:rPr>
          <w:rFonts w:ascii="Times New Roman" w:hAnsi="Times New Roman" w:cs="Times New Roman"/>
          <w:sz w:val="24"/>
          <w:szCs w:val="24"/>
        </w:rPr>
        <w:t xml:space="preserve">There is one Schedule to the Regulations. Schedule 1 sets out the </w:t>
      </w:r>
      <w:r w:rsidR="001A0286">
        <w:rPr>
          <w:rFonts w:ascii="Times New Roman" w:hAnsi="Times New Roman" w:cs="Times New Roman"/>
          <w:sz w:val="24"/>
          <w:szCs w:val="24"/>
        </w:rPr>
        <w:t xml:space="preserve">sunsetting </w:t>
      </w:r>
      <w:r w:rsidR="00AF1DED" w:rsidRPr="001A0286">
        <w:rPr>
          <w:rFonts w:ascii="Times New Roman" w:hAnsi="Times New Roman" w:cs="Times New Roman"/>
          <w:sz w:val="24"/>
          <w:szCs w:val="24"/>
        </w:rPr>
        <w:t xml:space="preserve">regulations. The effect of this section is that the </w:t>
      </w:r>
      <w:r w:rsidR="00C1200F">
        <w:rPr>
          <w:rFonts w:ascii="Times New Roman" w:hAnsi="Times New Roman" w:cs="Times New Roman"/>
          <w:sz w:val="24"/>
          <w:szCs w:val="24"/>
        </w:rPr>
        <w:t xml:space="preserve">sunsetting </w:t>
      </w:r>
      <w:r w:rsidR="00AF1DED" w:rsidRPr="001A0286">
        <w:rPr>
          <w:rFonts w:ascii="Times New Roman" w:hAnsi="Times New Roman" w:cs="Times New Roman"/>
          <w:sz w:val="24"/>
          <w:szCs w:val="24"/>
        </w:rPr>
        <w:t xml:space="preserve">regulations </w:t>
      </w:r>
      <w:r w:rsidR="00C07180" w:rsidRPr="001A0286">
        <w:rPr>
          <w:rFonts w:ascii="Times New Roman" w:hAnsi="Times New Roman" w:cs="Times New Roman"/>
          <w:sz w:val="24"/>
          <w:szCs w:val="24"/>
        </w:rPr>
        <w:t>in force immediately before the Reg</w:t>
      </w:r>
      <w:r w:rsidR="00C73B66">
        <w:rPr>
          <w:rFonts w:ascii="Times New Roman" w:hAnsi="Times New Roman" w:cs="Times New Roman"/>
          <w:sz w:val="24"/>
          <w:szCs w:val="24"/>
        </w:rPr>
        <w:t>ulations commence is repealed.</w:t>
      </w:r>
    </w:p>
    <w:p w14:paraId="155768D8" w14:textId="5BA9F8CA" w:rsidR="009C7820" w:rsidRPr="00373A1C" w:rsidRDefault="00FE5DDF" w:rsidP="00C73B66">
      <w:pPr>
        <w:pStyle w:val="ActHead5"/>
      </w:pPr>
      <w:r w:rsidRPr="00AF2FBA">
        <w:t xml:space="preserve">Section </w:t>
      </w:r>
      <w:r w:rsidR="00DE4D8F">
        <w:t>5</w:t>
      </w:r>
      <w:r w:rsidR="009C7820" w:rsidRPr="00373A1C">
        <w:t xml:space="preserve"> – Definitions</w:t>
      </w:r>
    </w:p>
    <w:p w14:paraId="70E9AD68" w14:textId="5FD7B049" w:rsidR="00FE5DDF" w:rsidRPr="00504FAA" w:rsidRDefault="00FE5DDF" w:rsidP="00116173">
      <w:pPr>
        <w:rPr>
          <w:rFonts w:ascii="Times New Roman" w:hAnsi="Times New Roman" w:cs="Times New Roman"/>
          <w:sz w:val="24"/>
          <w:szCs w:val="24"/>
        </w:rPr>
      </w:pPr>
      <w:r w:rsidRPr="00504FAA">
        <w:rPr>
          <w:rFonts w:ascii="Times New Roman" w:hAnsi="Times New Roman" w:cs="Times New Roman"/>
          <w:sz w:val="24"/>
          <w:szCs w:val="24"/>
        </w:rPr>
        <w:t xml:space="preserve">Section </w:t>
      </w:r>
      <w:r w:rsidR="00DE4D8F">
        <w:rPr>
          <w:rFonts w:ascii="Times New Roman" w:hAnsi="Times New Roman" w:cs="Times New Roman"/>
          <w:sz w:val="24"/>
          <w:szCs w:val="24"/>
        </w:rPr>
        <w:t>5</w:t>
      </w:r>
      <w:r w:rsidR="009C7820" w:rsidRPr="00504FAA">
        <w:rPr>
          <w:rFonts w:ascii="Times New Roman" w:hAnsi="Times New Roman" w:cs="Times New Roman"/>
          <w:sz w:val="24"/>
          <w:szCs w:val="24"/>
        </w:rPr>
        <w:t xml:space="preserve"> defines terms used in the </w:t>
      </w:r>
      <w:r w:rsidR="00F007A1" w:rsidRPr="00504FAA">
        <w:rPr>
          <w:rFonts w:ascii="Times New Roman" w:hAnsi="Times New Roman" w:cs="Times New Roman"/>
          <w:sz w:val="24"/>
          <w:szCs w:val="24"/>
        </w:rPr>
        <w:t>Regulations</w:t>
      </w:r>
      <w:r w:rsidR="009C7820" w:rsidRPr="00504FAA">
        <w:rPr>
          <w:rFonts w:ascii="Times New Roman" w:hAnsi="Times New Roman" w:cs="Times New Roman"/>
          <w:sz w:val="24"/>
          <w:szCs w:val="24"/>
        </w:rPr>
        <w:t xml:space="preserve">. In particular, </w:t>
      </w:r>
      <w:r w:rsidRPr="00504FAA">
        <w:rPr>
          <w:rFonts w:ascii="Times New Roman" w:hAnsi="Times New Roman" w:cs="Times New Roman"/>
          <w:sz w:val="24"/>
          <w:szCs w:val="24"/>
        </w:rPr>
        <w:t xml:space="preserve">amended or new descriptions of a </w:t>
      </w:r>
      <w:r w:rsidRPr="00C82758">
        <w:rPr>
          <w:rFonts w:ascii="Times New Roman" w:hAnsi="Times New Roman" w:cs="Times New Roman"/>
          <w:i/>
          <w:sz w:val="24"/>
          <w:szCs w:val="24"/>
        </w:rPr>
        <w:t>mobile carriage service provider, premium content service</w:t>
      </w:r>
      <w:r w:rsidR="00C82758">
        <w:rPr>
          <w:rFonts w:ascii="Times New Roman" w:hAnsi="Times New Roman" w:cs="Times New Roman"/>
          <w:sz w:val="24"/>
          <w:szCs w:val="24"/>
        </w:rPr>
        <w:t xml:space="preserve">, and </w:t>
      </w:r>
      <w:r w:rsidRPr="00C82758">
        <w:rPr>
          <w:rFonts w:ascii="Times New Roman" w:hAnsi="Times New Roman" w:cs="Times New Roman"/>
          <w:i/>
          <w:sz w:val="24"/>
          <w:szCs w:val="24"/>
        </w:rPr>
        <w:t>proprietary network</w:t>
      </w:r>
      <w:r w:rsidRPr="00504FAA">
        <w:rPr>
          <w:rFonts w:ascii="Times New Roman" w:hAnsi="Times New Roman" w:cs="Times New Roman"/>
          <w:sz w:val="24"/>
          <w:szCs w:val="24"/>
        </w:rPr>
        <w:t>.</w:t>
      </w:r>
    </w:p>
    <w:p w14:paraId="0A17FF8F" w14:textId="77777777" w:rsidR="001A3FD6" w:rsidRPr="0051512B" w:rsidRDefault="001A3FD6" w:rsidP="00116173">
      <w:pPr>
        <w:pStyle w:val="Definition"/>
        <w:ind w:left="0"/>
        <w:rPr>
          <w:sz w:val="24"/>
        </w:rPr>
      </w:pPr>
      <w:r w:rsidRPr="00504FAA">
        <w:rPr>
          <w:b/>
          <w:i/>
          <w:sz w:val="24"/>
        </w:rPr>
        <w:t>Act</w:t>
      </w:r>
      <w:r w:rsidRPr="0051512B">
        <w:rPr>
          <w:sz w:val="24"/>
        </w:rPr>
        <w:t xml:space="preserve"> means the </w:t>
      </w:r>
      <w:r w:rsidRPr="0051512B">
        <w:rPr>
          <w:i/>
          <w:sz w:val="24"/>
        </w:rPr>
        <w:t>Telecommunications Act 1997</w:t>
      </w:r>
      <w:r w:rsidRPr="0051512B">
        <w:rPr>
          <w:sz w:val="24"/>
        </w:rPr>
        <w:t>.</w:t>
      </w:r>
    </w:p>
    <w:p w14:paraId="55B3BC68" w14:textId="77777777" w:rsidR="001A3FD6" w:rsidRPr="00C45C69" w:rsidRDefault="001A3FD6" w:rsidP="00116173">
      <w:pPr>
        <w:pStyle w:val="Definition"/>
        <w:ind w:left="0"/>
        <w:rPr>
          <w:sz w:val="24"/>
        </w:rPr>
      </w:pPr>
      <w:r w:rsidRPr="009677A7">
        <w:rPr>
          <w:b/>
          <w:i/>
          <w:sz w:val="24"/>
        </w:rPr>
        <w:t>Australian Parliament</w:t>
      </w:r>
      <w:r w:rsidRPr="00C45C69">
        <w:rPr>
          <w:sz w:val="24"/>
        </w:rPr>
        <w:t xml:space="preserve"> means the Parliament of the Commonwealth, a Parliament of a State or a Legislative Assembly of a Territory.</w:t>
      </w:r>
    </w:p>
    <w:p w14:paraId="6EE2FD27" w14:textId="6D04F6AB" w:rsidR="001A3FD6" w:rsidRPr="00ED71F5" w:rsidRDefault="001A3FD6" w:rsidP="00116173">
      <w:pPr>
        <w:pStyle w:val="Definition"/>
        <w:ind w:left="0"/>
        <w:rPr>
          <w:sz w:val="24"/>
        </w:rPr>
      </w:pPr>
      <w:r w:rsidRPr="00E37E72">
        <w:rPr>
          <w:b/>
          <w:i/>
          <w:sz w:val="24"/>
        </w:rPr>
        <w:lastRenderedPageBreak/>
        <w:t>authorised law enforcement officer</w:t>
      </w:r>
      <w:r w:rsidRPr="00E37E72">
        <w:rPr>
          <w:sz w:val="24"/>
        </w:rPr>
        <w:t xml:space="preserve"> means an authorised officer (within the meaning of the</w:t>
      </w:r>
      <w:r w:rsidRPr="00D549AB">
        <w:rPr>
          <w:i/>
          <w:sz w:val="24"/>
        </w:rPr>
        <w:t xml:space="preserve"> Telecommunications (Interception and Access) Act 1979</w:t>
      </w:r>
      <w:r w:rsidRPr="00D549AB">
        <w:rPr>
          <w:sz w:val="24"/>
        </w:rPr>
        <w:t xml:space="preserve">) of a </w:t>
      </w:r>
      <w:r w:rsidRPr="00D549AB">
        <w:rPr>
          <w:bCs/>
          <w:iCs/>
          <w:sz w:val="24"/>
        </w:rPr>
        <w:t>criminal law-enforcement agency (within the meaning of that Act)</w:t>
      </w:r>
      <w:r w:rsidRPr="00ED71F5">
        <w:rPr>
          <w:sz w:val="24"/>
        </w:rPr>
        <w:t>.</w:t>
      </w:r>
    </w:p>
    <w:p w14:paraId="1516B430" w14:textId="60643BA3" w:rsidR="001A3FD6" w:rsidRPr="00261CDF" w:rsidRDefault="001A3FD6" w:rsidP="00116173">
      <w:pPr>
        <w:pStyle w:val="Definition"/>
        <w:ind w:left="0"/>
        <w:rPr>
          <w:sz w:val="24"/>
        </w:rPr>
      </w:pPr>
      <w:r w:rsidRPr="00325E5D">
        <w:rPr>
          <w:b/>
          <w:i/>
          <w:sz w:val="24"/>
        </w:rPr>
        <w:t>authorised research</w:t>
      </w:r>
      <w:r w:rsidRPr="00261CDF">
        <w:rPr>
          <w:sz w:val="24"/>
        </w:rPr>
        <w:t>, under a research authorisation, means a kind or kinds of permitted research to which the authorisation applies (see paragraph 2</w:t>
      </w:r>
      <w:r w:rsidR="006C3FCC">
        <w:rPr>
          <w:sz w:val="24"/>
        </w:rPr>
        <w:t>2</w:t>
      </w:r>
      <w:r w:rsidRPr="00261CDF">
        <w:rPr>
          <w:sz w:val="24"/>
        </w:rPr>
        <w:t>(2)(b)).</w:t>
      </w:r>
    </w:p>
    <w:p w14:paraId="230B4206" w14:textId="0581FCA9" w:rsidR="001A3FD6" w:rsidRPr="00AD0430" w:rsidRDefault="001A3FD6" w:rsidP="00116173">
      <w:pPr>
        <w:pStyle w:val="Definition"/>
        <w:ind w:left="0"/>
        <w:rPr>
          <w:sz w:val="24"/>
        </w:rPr>
      </w:pPr>
      <w:r w:rsidRPr="00261CDF">
        <w:rPr>
          <w:b/>
          <w:i/>
          <w:sz w:val="24"/>
        </w:rPr>
        <w:t xml:space="preserve">authorised research </w:t>
      </w:r>
      <w:r w:rsidRPr="006C3FCC">
        <w:rPr>
          <w:b/>
          <w:i/>
          <w:sz w:val="24"/>
        </w:rPr>
        <w:t>entity</w:t>
      </w:r>
      <w:r w:rsidR="00C07180" w:rsidRPr="000501F2">
        <w:rPr>
          <w:sz w:val="24"/>
        </w:rPr>
        <w:t xml:space="preserve"> </w:t>
      </w:r>
      <w:r w:rsidR="000501F2" w:rsidRPr="000501F2">
        <w:rPr>
          <w:sz w:val="24"/>
        </w:rPr>
        <w:t xml:space="preserve">is defined to mean an entity referred to in </w:t>
      </w:r>
      <w:r w:rsidRPr="00B71B41">
        <w:rPr>
          <w:sz w:val="24"/>
        </w:rPr>
        <w:t xml:space="preserve">paragraph </w:t>
      </w:r>
      <w:r w:rsidRPr="00AD0430">
        <w:rPr>
          <w:sz w:val="24"/>
        </w:rPr>
        <w:t>2</w:t>
      </w:r>
      <w:r w:rsidR="006C3FCC">
        <w:rPr>
          <w:sz w:val="24"/>
        </w:rPr>
        <w:t>2</w:t>
      </w:r>
      <w:r w:rsidRPr="00AD0430">
        <w:rPr>
          <w:sz w:val="24"/>
        </w:rPr>
        <w:t>(2)(a).</w:t>
      </w:r>
    </w:p>
    <w:p w14:paraId="01F09695" w14:textId="77777777" w:rsidR="001A3FD6" w:rsidRPr="001A0286" w:rsidRDefault="001A3FD6" w:rsidP="00116173">
      <w:pPr>
        <w:pStyle w:val="Definition"/>
        <w:ind w:left="0"/>
        <w:rPr>
          <w:sz w:val="24"/>
        </w:rPr>
      </w:pPr>
      <w:r w:rsidRPr="00AD0430">
        <w:rPr>
          <w:b/>
          <w:i/>
          <w:sz w:val="24"/>
        </w:rPr>
        <w:t>authorised unlisted mobile number information</w:t>
      </w:r>
      <w:r w:rsidRPr="001A0286">
        <w:rPr>
          <w:sz w:val="24"/>
        </w:rPr>
        <w:t>, in relation to</w:t>
      </w:r>
      <w:bookmarkStart w:id="0" w:name="BK_S3P4L14C62"/>
      <w:bookmarkEnd w:id="0"/>
      <w:r w:rsidRPr="001A0286">
        <w:rPr>
          <w:sz w:val="24"/>
        </w:rPr>
        <w:t xml:space="preserve"> an authorised research entity, means unlisted mobile number information to which the research authorisation covering the entity applies.</w:t>
      </w:r>
    </w:p>
    <w:p w14:paraId="05CD80AA" w14:textId="5B35793F" w:rsidR="001A3FD6" w:rsidRPr="00373A1C" w:rsidRDefault="001A3FD6" w:rsidP="00116173">
      <w:pPr>
        <w:pStyle w:val="Definition"/>
        <w:ind w:left="0"/>
        <w:rPr>
          <w:sz w:val="24"/>
        </w:rPr>
      </w:pPr>
      <w:r w:rsidRPr="00AF2FBA">
        <w:rPr>
          <w:b/>
          <w:i/>
          <w:sz w:val="24"/>
        </w:rPr>
        <w:t>breach</w:t>
      </w:r>
      <w:r w:rsidRPr="00373A1C">
        <w:rPr>
          <w:sz w:val="24"/>
        </w:rPr>
        <w:t>:</w:t>
      </w:r>
    </w:p>
    <w:p w14:paraId="37CDA585" w14:textId="4524EE07" w:rsidR="001A3FD6" w:rsidRPr="000501F2" w:rsidRDefault="001A3FD6" w:rsidP="00997B5F">
      <w:pPr>
        <w:pStyle w:val="Definition"/>
        <w:numPr>
          <w:ilvl w:val="0"/>
          <w:numId w:val="3"/>
        </w:numPr>
        <w:spacing w:before="120"/>
        <w:ind w:left="811" w:hanging="357"/>
        <w:rPr>
          <w:sz w:val="24"/>
        </w:rPr>
      </w:pPr>
      <w:r w:rsidRPr="000501F2">
        <w:rPr>
          <w:sz w:val="24"/>
        </w:rPr>
        <w:t xml:space="preserve">in relation to an Australian Privacy Principle, has the meaning given by section 6A of the </w:t>
      </w:r>
      <w:r w:rsidRPr="000501F2">
        <w:rPr>
          <w:i/>
          <w:sz w:val="24"/>
        </w:rPr>
        <w:t>Privacy Act 1988</w:t>
      </w:r>
      <w:r w:rsidRPr="000501F2">
        <w:rPr>
          <w:sz w:val="24"/>
        </w:rPr>
        <w:t>; and</w:t>
      </w:r>
    </w:p>
    <w:p w14:paraId="6753ACC8" w14:textId="34CC4AB3" w:rsidR="001A3FD6" w:rsidRPr="00261CDF" w:rsidRDefault="009F6B61" w:rsidP="00997B5F">
      <w:pPr>
        <w:pStyle w:val="Definition"/>
        <w:numPr>
          <w:ilvl w:val="0"/>
          <w:numId w:val="3"/>
        </w:numPr>
        <w:spacing w:before="120"/>
        <w:ind w:left="811" w:hanging="357"/>
        <w:rPr>
          <w:sz w:val="24"/>
        </w:rPr>
      </w:pPr>
      <w:r w:rsidRPr="000501F2">
        <w:rPr>
          <w:sz w:val="24"/>
        </w:rPr>
        <w:t>i</w:t>
      </w:r>
      <w:r w:rsidR="001A3FD6" w:rsidRPr="00261CDF">
        <w:rPr>
          <w:sz w:val="24"/>
        </w:rPr>
        <w:t>n relation to a registered APP code, has the meaning given by section 6B of that Act.</w:t>
      </w:r>
    </w:p>
    <w:p w14:paraId="64DEE811" w14:textId="2A58F2A4" w:rsidR="00AF1DED" w:rsidRPr="00621B91" w:rsidRDefault="001A3FD6" w:rsidP="00AF1DED">
      <w:pPr>
        <w:pStyle w:val="Definition"/>
        <w:ind w:left="0"/>
        <w:rPr>
          <w:b/>
          <w:sz w:val="24"/>
        </w:rPr>
      </w:pPr>
      <w:r w:rsidRPr="00261CDF">
        <w:rPr>
          <w:b/>
          <w:i/>
          <w:sz w:val="24"/>
        </w:rPr>
        <w:t>Commonwealth entity</w:t>
      </w:r>
      <w:r w:rsidRPr="00261CDF">
        <w:rPr>
          <w:sz w:val="24"/>
        </w:rPr>
        <w:t xml:space="preserve"> has the same meaning as in the </w:t>
      </w:r>
      <w:r w:rsidRPr="00261CDF">
        <w:rPr>
          <w:i/>
          <w:sz w:val="24"/>
        </w:rPr>
        <w:t>Public Governance, Performance and Accountability Act 2013</w:t>
      </w:r>
      <w:r w:rsidR="00AF1DED" w:rsidRPr="00261CDF">
        <w:rPr>
          <w:sz w:val="24"/>
        </w:rPr>
        <w:t xml:space="preserve">; which </w:t>
      </w:r>
      <w:r w:rsidR="00AF1DED" w:rsidRPr="00261CDF">
        <w:rPr>
          <w:sz w:val="24"/>
          <w:szCs w:val="24"/>
        </w:rPr>
        <w:t>is, a Department of State; a Parliamentary Department; a listed entity (as prescribed); a body corporate that is established by a law of the Commonwealth; or a body corporate that is established under a law of the Commonwealth (other than a Commonwealth company) and is prescribed by an Act or the rules to be a Commonwealth entity.</w:t>
      </w:r>
    </w:p>
    <w:p w14:paraId="11EF5423" w14:textId="19C6011E" w:rsidR="001A3FD6" w:rsidRPr="00261CDF" w:rsidRDefault="001A3FD6" w:rsidP="00116173">
      <w:pPr>
        <w:pStyle w:val="Definition"/>
        <w:ind w:left="0"/>
        <w:rPr>
          <w:sz w:val="24"/>
        </w:rPr>
      </w:pPr>
      <w:r w:rsidRPr="00261CDF">
        <w:rPr>
          <w:b/>
          <w:i/>
          <w:sz w:val="24"/>
        </w:rPr>
        <w:lastRenderedPageBreak/>
        <w:t>contacted person</w:t>
      </w:r>
      <w:r w:rsidR="00E7051F" w:rsidRPr="00261CDF">
        <w:rPr>
          <w:b/>
          <w:i/>
          <w:sz w:val="24"/>
        </w:rPr>
        <w:t xml:space="preserve"> </w:t>
      </w:r>
      <w:r w:rsidR="00E7051F" w:rsidRPr="00261CDF">
        <w:rPr>
          <w:sz w:val="24"/>
        </w:rPr>
        <w:t>has the meaning given</w:t>
      </w:r>
      <w:r w:rsidR="00E7051F" w:rsidRPr="00261CDF">
        <w:rPr>
          <w:b/>
          <w:sz w:val="24"/>
        </w:rPr>
        <w:t xml:space="preserve"> </w:t>
      </w:r>
      <w:r w:rsidR="00E7051F" w:rsidRPr="00261CDF">
        <w:rPr>
          <w:sz w:val="24"/>
        </w:rPr>
        <w:t xml:space="preserve">in </w:t>
      </w:r>
      <w:r w:rsidRPr="00261CDF">
        <w:rPr>
          <w:sz w:val="24"/>
        </w:rPr>
        <w:t xml:space="preserve">subsection </w:t>
      </w:r>
      <w:r w:rsidR="006C3FCC">
        <w:rPr>
          <w:sz w:val="24"/>
        </w:rPr>
        <w:t>30</w:t>
      </w:r>
      <w:r w:rsidRPr="00261CDF">
        <w:rPr>
          <w:sz w:val="24"/>
        </w:rPr>
        <w:t>(2).</w:t>
      </w:r>
    </w:p>
    <w:p w14:paraId="257B7631" w14:textId="40BBC5D0" w:rsidR="001A3FD6" w:rsidRPr="001A0286" w:rsidRDefault="00AF1DED" w:rsidP="00116173">
      <w:pPr>
        <w:pStyle w:val="Definition"/>
        <w:ind w:left="0"/>
        <w:rPr>
          <w:sz w:val="24"/>
        </w:rPr>
      </w:pPr>
      <w:r w:rsidRPr="00621B91">
        <w:rPr>
          <w:sz w:val="24"/>
        </w:rPr>
        <w:t>For the purposes of the Regulations, t</w:t>
      </w:r>
      <w:r w:rsidR="001A3FD6" w:rsidRPr="00B71B41">
        <w:rPr>
          <w:sz w:val="24"/>
        </w:rPr>
        <w:t xml:space="preserve">he following </w:t>
      </w:r>
      <w:r w:rsidRPr="00B71B41">
        <w:rPr>
          <w:sz w:val="24"/>
        </w:rPr>
        <w:t xml:space="preserve">entities </w:t>
      </w:r>
      <w:r w:rsidR="001A3FD6" w:rsidRPr="00AD0430">
        <w:rPr>
          <w:sz w:val="24"/>
        </w:rPr>
        <w:t xml:space="preserve">are </w:t>
      </w:r>
      <w:r w:rsidRPr="00AD0430">
        <w:rPr>
          <w:sz w:val="24"/>
        </w:rPr>
        <w:t xml:space="preserve">considered to be </w:t>
      </w:r>
      <w:r w:rsidR="001A3FD6" w:rsidRPr="001A0286">
        <w:rPr>
          <w:b/>
          <w:i/>
          <w:sz w:val="24"/>
        </w:rPr>
        <w:t>covered by the Privacy Act</w:t>
      </w:r>
      <w:r w:rsidR="001A3FD6" w:rsidRPr="001A0286">
        <w:rPr>
          <w:sz w:val="24"/>
        </w:rPr>
        <w:t>:</w:t>
      </w:r>
    </w:p>
    <w:p w14:paraId="5CA5340D" w14:textId="7EA0895C" w:rsidR="009F6B61" w:rsidRPr="00B71B41" w:rsidRDefault="001A3FD6" w:rsidP="00997B5F">
      <w:pPr>
        <w:pStyle w:val="Definition"/>
        <w:numPr>
          <w:ilvl w:val="0"/>
          <w:numId w:val="4"/>
        </w:numPr>
        <w:spacing w:before="120"/>
        <w:ind w:left="867" w:hanging="357"/>
        <w:rPr>
          <w:sz w:val="24"/>
        </w:rPr>
      </w:pPr>
      <w:r w:rsidRPr="001A0286">
        <w:rPr>
          <w:sz w:val="24"/>
        </w:rPr>
        <w:t xml:space="preserve">an organisation within the meaning of the </w:t>
      </w:r>
      <w:r w:rsidRPr="00382AEA">
        <w:rPr>
          <w:i/>
          <w:sz w:val="24"/>
        </w:rPr>
        <w:t>Privacy Act 1988</w:t>
      </w:r>
      <w:r w:rsidRPr="00261CDF">
        <w:rPr>
          <w:sz w:val="24"/>
        </w:rPr>
        <w:t>;</w:t>
      </w:r>
    </w:p>
    <w:p w14:paraId="0D95865A" w14:textId="6FC29597" w:rsidR="001A3FD6" w:rsidRPr="00621B91" w:rsidRDefault="001A3FD6" w:rsidP="00997B5F">
      <w:pPr>
        <w:pStyle w:val="Definition"/>
        <w:numPr>
          <w:ilvl w:val="0"/>
          <w:numId w:val="4"/>
        </w:numPr>
        <w:spacing w:before="120"/>
        <w:ind w:left="867" w:hanging="357"/>
        <w:rPr>
          <w:sz w:val="24"/>
        </w:rPr>
      </w:pPr>
      <w:r w:rsidRPr="00621B91">
        <w:rPr>
          <w:sz w:val="24"/>
        </w:rPr>
        <w:t>a small business operator (within the meaning of that Act) that has chosen to be treated as an organisation under section 6EA of that Act.</w:t>
      </w:r>
    </w:p>
    <w:p w14:paraId="17B407FF" w14:textId="77777777" w:rsidR="00E7051F" w:rsidRPr="00261CDF" w:rsidRDefault="00E7051F" w:rsidP="00116173">
      <w:pPr>
        <w:rPr>
          <w:rFonts w:ascii="Times New Roman" w:hAnsi="Times New Roman" w:cs="Times New Roman"/>
          <w:b/>
          <w:i/>
          <w:sz w:val="24"/>
          <w:szCs w:val="24"/>
        </w:rPr>
      </w:pPr>
    </w:p>
    <w:p w14:paraId="07B1EC17" w14:textId="39185E4D" w:rsidR="001A3FD6" w:rsidRPr="00261CDF" w:rsidRDefault="001A3FD6" w:rsidP="00116173">
      <w:pPr>
        <w:rPr>
          <w:rFonts w:ascii="Times New Roman" w:hAnsi="Times New Roman" w:cs="Times New Roman"/>
          <w:sz w:val="24"/>
          <w:szCs w:val="24"/>
        </w:rPr>
      </w:pPr>
      <w:r w:rsidRPr="00B71B41">
        <w:rPr>
          <w:rFonts w:ascii="Times New Roman" w:hAnsi="Times New Roman" w:cs="Times New Roman"/>
          <w:b/>
          <w:i/>
          <w:sz w:val="24"/>
          <w:szCs w:val="24"/>
        </w:rPr>
        <w:t>de-identified</w:t>
      </w:r>
      <w:r w:rsidRPr="00AD0430">
        <w:rPr>
          <w:rFonts w:ascii="Times New Roman" w:hAnsi="Times New Roman" w:cs="Times New Roman"/>
          <w:sz w:val="24"/>
          <w:szCs w:val="24"/>
        </w:rPr>
        <w:t>: research information in relation to</w:t>
      </w:r>
      <w:bookmarkStart w:id="1" w:name="BK_S3P4L29C51"/>
      <w:bookmarkEnd w:id="1"/>
      <w:r w:rsidRPr="00AD0430">
        <w:rPr>
          <w:rFonts w:ascii="Times New Roman" w:hAnsi="Times New Roman" w:cs="Times New Roman"/>
          <w:sz w:val="24"/>
          <w:szCs w:val="24"/>
        </w:rPr>
        <w:t xml:space="preserve"> a contacted person is </w:t>
      </w:r>
      <w:r w:rsidRPr="00AD0430">
        <w:rPr>
          <w:rFonts w:ascii="Times New Roman" w:hAnsi="Times New Roman" w:cs="Times New Roman"/>
          <w:b/>
          <w:i/>
          <w:sz w:val="24"/>
          <w:szCs w:val="24"/>
        </w:rPr>
        <w:t>de-identified</w:t>
      </w:r>
      <w:r w:rsidR="00C82758">
        <w:rPr>
          <w:rFonts w:ascii="Times New Roman" w:hAnsi="Times New Roman" w:cs="Times New Roman"/>
          <w:b/>
          <w:i/>
          <w:sz w:val="24"/>
          <w:szCs w:val="24"/>
        </w:rPr>
        <w:br/>
      </w:r>
      <w:r w:rsidRPr="00AD0430">
        <w:rPr>
          <w:rFonts w:ascii="Times New Roman" w:hAnsi="Times New Roman" w:cs="Times New Roman"/>
          <w:sz w:val="24"/>
          <w:szCs w:val="24"/>
        </w:rPr>
        <w:t>if the information</w:t>
      </w:r>
      <w:r w:rsidRPr="00261CDF">
        <w:rPr>
          <w:rFonts w:ascii="Times New Roman" w:hAnsi="Times New Roman" w:cs="Times New Roman"/>
          <w:sz w:val="24"/>
          <w:szCs w:val="24"/>
        </w:rPr>
        <w:t>:</w:t>
      </w:r>
    </w:p>
    <w:p w14:paraId="45060FBD" w14:textId="16F1B5C6" w:rsidR="009F6B61" w:rsidRPr="00621B91" w:rsidRDefault="001A3FD6" w:rsidP="00997B5F">
      <w:pPr>
        <w:pStyle w:val="Definition"/>
        <w:numPr>
          <w:ilvl w:val="0"/>
          <w:numId w:val="6"/>
        </w:numPr>
        <w:spacing w:before="120"/>
        <w:rPr>
          <w:sz w:val="24"/>
        </w:rPr>
      </w:pPr>
      <w:r w:rsidRPr="00621B91">
        <w:rPr>
          <w:sz w:val="24"/>
        </w:rPr>
        <w:t>does not identify, or no longer identifies, the contacted person; and</w:t>
      </w:r>
    </w:p>
    <w:p w14:paraId="506ACF0F" w14:textId="51D72068" w:rsidR="001A3FD6" w:rsidRPr="00621B91" w:rsidRDefault="001A3FD6" w:rsidP="00997B5F">
      <w:pPr>
        <w:pStyle w:val="Definition"/>
        <w:numPr>
          <w:ilvl w:val="0"/>
          <w:numId w:val="6"/>
        </w:numPr>
        <w:spacing w:before="120"/>
        <w:rPr>
          <w:sz w:val="24"/>
        </w:rPr>
      </w:pPr>
      <w:r w:rsidRPr="00621B91">
        <w:rPr>
          <w:sz w:val="24"/>
        </w:rPr>
        <w:t>is not reasonably capable, or is no longer reasonably capable, of being used to identify the contacted person.</w:t>
      </w:r>
    </w:p>
    <w:p w14:paraId="7C49EF85" w14:textId="77777777" w:rsidR="00AF1DED" w:rsidRPr="00AF2FBA" w:rsidRDefault="00AF1DED" w:rsidP="00116173">
      <w:pPr>
        <w:rPr>
          <w:rFonts w:ascii="Times New Roman" w:hAnsi="Times New Roman" w:cs="Times New Roman"/>
          <w:b/>
          <w:i/>
          <w:sz w:val="24"/>
          <w:szCs w:val="24"/>
        </w:rPr>
      </w:pPr>
    </w:p>
    <w:p w14:paraId="2C9646D2" w14:textId="19CA2DC0" w:rsidR="001A3FD6" w:rsidRPr="00AF2FBA" w:rsidRDefault="001A3FD6" w:rsidP="00116173">
      <w:pPr>
        <w:rPr>
          <w:rFonts w:ascii="Times New Roman" w:hAnsi="Times New Roman" w:cs="Times New Roman"/>
          <w:sz w:val="24"/>
          <w:szCs w:val="24"/>
        </w:rPr>
      </w:pPr>
      <w:r w:rsidRPr="00AF2FBA">
        <w:rPr>
          <w:rFonts w:ascii="Times New Roman" w:hAnsi="Times New Roman" w:cs="Times New Roman"/>
          <w:b/>
          <w:i/>
          <w:sz w:val="24"/>
          <w:szCs w:val="24"/>
        </w:rPr>
        <w:t>electoral matter</w:t>
      </w:r>
      <w:r w:rsidRPr="00AF2FBA">
        <w:rPr>
          <w:rFonts w:ascii="Times New Roman" w:hAnsi="Times New Roman" w:cs="Times New Roman"/>
          <w:sz w:val="24"/>
          <w:szCs w:val="24"/>
        </w:rPr>
        <w:t xml:space="preserve"> means a matter which is intended or likely to affect voting in:</w:t>
      </w:r>
    </w:p>
    <w:p w14:paraId="1C27ADFF" w14:textId="45030774" w:rsidR="001A3FD6" w:rsidRPr="00621B91" w:rsidRDefault="001A3FD6" w:rsidP="00997B5F">
      <w:pPr>
        <w:pStyle w:val="Definition"/>
        <w:numPr>
          <w:ilvl w:val="0"/>
          <w:numId w:val="5"/>
        </w:numPr>
        <w:spacing w:before="120"/>
        <w:ind w:left="867" w:hanging="357"/>
        <w:rPr>
          <w:sz w:val="24"/>
        </w:rPr>
      </w:pPr>
      <w:r w:rsidRPr="00621B91">
        <w:rPr>
          <w:sz w:val="24"/>
        </w:rPr>
        <w:t>an election to an Australian Parliament or to a local government authority; or</w:t>
      </w:r>
    </w:p>
    <w:p w14:paraId="394AE2F5" w14:textId="6CEB2ED1" w:rsidR="001A3FD6" w:rsidRDefault="001A3FD6" w:rsidP="00997B5F">
      <w:pPr>
        <w:pStyle w:val="Definition"/>
        <w:numPr>
          <w:ilvl w:val="0"/>
          <w:numId w:val="5"/>
        </w:numPr>
        <w:spacing w:before="120"/>
        <w:ind w:left="867" w:hanging="357"/>
        <w:rPr>
          <w:sz w:val="24"/>
        </w:rPr>
      </w:pPr>
      <w:r w:rsidRPr="00621B91">
        <w:rPr>
          <w:sz w:val="24"/>
        </w:rPr>
        <w:t>a referendum under a law of the Commonwealth or a law of a State or Territory.</w:t>
      </w:r>
    </w:p>
    <w:p w14:paraId="1570000A" w14:textId="77777777" w:rsidR="006C3FCC" w:rsidRPr="00621B91" w:rsidRDefault="006C3FCC" w:rsidP="006C3FCC">
      <w:pPr>
        <w:pStyle w:val="Definition"/>
        <w:spacing w:before="120"/>
        <w:ind w:left="867"/>
        <w:rPr>
          <w:sz w:val="24"/>
        </w:rPr>
      </w:pPr>
    </w:p>
    <w:p w14:paraId="2603D033" w14:textId="65933CE8" w:rsidR="001A3FD6" w:rsidRPr="00261CDF" w:rsidRDefault="001A3FD6" w:rsidP="00116173">
      <w:pPr>
        <w:rPr>
          <w:rFonts w:ascii="Times New Roman" w:hAnsi="Times New Roman" w:cs="Times New Roman"/>
          <w:sz w:val="24"/>
          <w:szCs w:val="24"/>
        </w:rPr>
      </w:pPr>
      <w:r w:rsidRPr="00261CDF">
        <w:rPr>
          <w:rFonts w:ascii="Times New Roman" w:hAnsi="Times New Roman" w:cs="Times New Roman"/>
          <w:b/>
          <w:i/>
          <w:sz w:val="24"/>
          <w:szCs w:val="24"/>
        </w:rPr>
        <w:t>former authorised research entity</w:t>
      </w:r>
      <w:r w:rsidR="00E7051F" w:rsidRPr="00261CDF">
        <w:rPr>
          <w:rFonts w:ascii="Times New Roman" w:hAnsi="Times New Roman" w:cs="Times New Roman"/>
          <w:b/>
          <w:i/>
          <w:sz w:val="24"/>
          <w:szCs w:val="24"/>
        </w:rPr>
        <w:t xml:space="preserve"> </w:t>
      </w:r>
      <w:r w:rsidR="00E7051F" w:rsidRPr="00261CDF">
        <w:rPr>
          <w:rFonts w:ascii="Times New Roman" w:hAnsi="Times New Roman" w:cs="Times New Roman"/>
          <w:sz w:val="24"/>
          <w:szCs w:val="24"/>
        </w:rPr>
        <w:t>has the meaning given under</w:t>
      </w:r>
      <w:r w:rsidRPr="00261CDF">
        <w:rPr>
          <w:rFonts w:ascii="Times New Roman" w:hAnsi="Times New Roman" w:cs="Times New Roman"/>
          <w:sz w:val="24"/>
          <w:szCs w:val="24"/>
        </w:rPr>
        <w:t xml:space="preserve"> paragraph </w:t>
      </w:r>
      <w:r w:rsidR="006C3FCC">
        <w:rPr>
          <w:rFonts w:ascii="Times New Roman" w:hAnsi="Times New Roman" w:cs="Times New Roman"/>
          <w:sz w:val="24"/>
          <w:szCs w:val="24"/>
        </w:rPr>
        <w:t>40</w:t>
      </w:r>
      <w:r w:rsidRPr="00261CDF">
        <w:rPr>
          <w:rFonts w:ascii="Times New Roman" w:hAnsi="Times New Roman" w:cs="Times New Roman"/>
          <w:sz w:val="24"/>
          <w:szCs w:val="24"/>
        </w:rPr>
        <w:t>(2)(a).</w:t>
      </w:r>
    </w:p>
    <w:p w14:paraId="1CEB1BD2" w14:textId="30912626" w:rsidR="001A3FD6" w:rsidRPr="00261CDF" w:rsidRDefault="001A3FD6" w:rsidP="00116173">
      <w:pPr>
        <w:rPr>
          <w:rFonts w:ascii="Times New Roman" w:hAnsi="Times New Roman" w:cs="Times New Roman"/>
          <w:sz w:val="24"/>
          <w:szCs w:val="24"/>
        </w:rPr>
      </w:pPr>
      <w:r w:rsidRPr="00261CDF">
        <w:rPr>
          <w:rFonts w:ascii="Times New Roman" w:hAnsi="Times New Roman" w:cs="Times New Roman"/>
          <w:b/>
          <w:i/>
          <w:sz w:val="24"/>
          <w:szCs w:val="24"/>
        </w:rPr>
        <w:t>identifying number of a government document</w:t>
      </w:r>
      <w:r w:rsidR="009F6B61" w:rsidRPr="00261CDF">
        <w:rPr>
          <w:rFonts w:ascii="Times New Roman" w:hAnsi="Times New Roman" w:cs="Times New Roman"/>
          <w:b/>
          <w:i/>
          <w:sz w:val="24"/>
          <w:szCs w:val="24"/>
        </w:rPr>
        <w:t xml:space="preserve"> </w:t>
      </w:r>
      <w:r w:rsidRPr="00261CDF">
        <w:rPr>
          <w:rFonts w:ascii="Times New Roman" w:hAnsi="Times New Roman" w:cs="Times New Roman"/>
          <w:sz w:val="24"/>
          <w:szCs w:val="24"/>
        </w:rPr>
        <w:t>means the unique identifying number of a document that is issued by the Commonwealth or a State or Territory (such as a driver licence, Medicare card or passport)</w:t>
      </w:r>
      <w:r w:rsidR="00E7051F" w:rsidRPr="00261CDF">
        <w:rPr>
          <w:rFonts w:ascii="Times New Roman" w:hAnsi="Times New Roman" w:cs="Times New Roman"/>
          <w:sz w:val="24"/>
          <w:szCs w:val="24"/>
        </w:rPr>
        <w:t xml:space="preserve">. </w:t>
      </w:r>
      <w:bookmarkStart w:id="2" w:name="BK_S3P5L9C23"/>
      <w:bookmarkEnd w:id="2"/>
      <w:r w:rsidR="00E7051F" w:rsidRPr="00261CDF">
        <w:rPr>
          <w:rFonts w:ascii="Times New Roman" w:hAnsi="Times New Roman" w:cs="Times New Roman"/>
          <w:sz w:val="24"/>
          <w:szCs w:val="24"/>
        </w:rPr>
        <w:t xml:space="preserve">A </w:t>
      </w:r>
      <w:r w:rsidRPr="00261CDF">
        <w:rPr>
          <w:rFonts w:ascii="Times New Roman" w:hAnsi="Times New Roman" w:cs="Times New Roman"/>
          <w:sz w:val="24"/>
          <w:szCs w:val="24"/>
        </w:rPr>
        <w:t>receipt number or transaction number (such as a transaction number issued by the national Document Verification Service); or</w:t>
      </w:r>
      <w:r w:rsidR="00E7051F" w:rsidRPr="00261CDF">
        <w:rPr>
          <w:rFonts w:ascii="Times New Roman" w:hAnsi="Times New Roman" w:cs="Times New Roman"/>
          <w:sz w:val="24"/>
          <w:szCs w:val="24"/>
        </w:rPr>
        <w:t xml:space="preserve"> </w:t>
      </w:r>
      <w:r w:rsidRPr="00261CDF">
        <w:rPr>
          <w:rFonts w:ascii="Times New Roman" w:hAnsi="Times New Roman" w:cs="Times New Roman"/>
          <w:sz w:val="24"/>
          <w:szCs w:val="24"/>
        </w:rPr>
        <w:t>an Australian Business Number, Australian Company Number or Australian Registered Body Number</w:t>
      </w:r>
      <w:r w:rsidR="00E7051F" w:rsidRPr="00261CDF">
        <w:rPr>
          <w:rFonts w:ascii="Times New Roman" w:hAnsi="Times New Roman" w:cs="Times New Roman"/>
          <w:sz w:val="24"/>
          <w:szCs w:val="24"/>
        </w:rPr>
        <w:t xml:space="preserve"> are expressly excluded from being ‘identifying number of a government document’</w:t>
      </w:r>
      <w:r w:rsidRPr="00261CDF">
        <w:rPr>
          <w:rFonts w:ascii="Times New Roman" w:hAnsi="Times New Roman" w:cs="Times New Roman"/>
          <w:sz w:val="24"/>
          <w:szCs w:val="24"/>
        </w:rPr>
        <w:t>.</w:t>
      </w:r>
    </w:p>
    <w:p w14:paraId="0296FC7E" w14:textId="3D3855BE" w:rsidR="001A3FD6" w:rsidRPr="00261CDF" w:rsidRDefault="001A3FD6" w:rsidP="00116173">
      <w:pPr>
        <w:rPr>
          <w:rFonts w:ascii="Times New Roman" w:hAnsi="Times New Roman" w:cs="Times New Roman"/>
          <w:sz w:val="24"/>
          <w:szCs w:val="24"/>
        </w:rPr>
      </w:pPr>
      <w:r w:rsidRPr="00261CDF">
        <w:rPr>
          <w:rFonts w:ascii="Times New Roman" w:hAnsi="Times New Roman" w:cs="Times New Roman"/>
          <w:b/>
          <w:i/>
          <w:sz w:val="24"/>
          <w:szCs w:val="24"/>
        </w:rPr>
        <w:t>integrated public number database</w:t>
      </w:r>
      <w:r w:rsidRPr="00261CDF">
        <w:rPr>
          <w:rFonts w:ascii="Times New Roman" w:hAnsi="Times New Roman" w:cs="Times New Roman"/>
          <w:sz w:val="24"/>
          <w:szCs w:val="24"/>
        </w:rPr>
        <w:t xml:space="preserve"> </w:t>
      </w:r>
      <w:r w:rsidR="00C82758">
        <w:rPr>
          <w:rFonts w:ascii="Times New Roman" w:hAnsi="Times New Roman" w:cs="Times New Roman"/>
          <w:sz w:val="24"/>
          <w:szCs w:val="24"/>
        </w:rPr>
        <w:t xml:space="preserve">(IPND) </w:t>
      </w:r>
      <w:r w:rsidRPr="00261CDF">
        <w:rPr>
          <w:rFonts w:ascii="Times New Roman" w:hAnsi="Times New Roman" w:cs="Times New Roman"/>
          <w:sz w:val="24"/>
          <w:szCs w:val="24"/>
        </w:rPr>
        <w:t>means the database maintained by Telstra as mentioned in Part 4 of Schedule 2 to the Act.</w:t>
      </w:r>
    </w:p>
    <w:p w14:paraId="75611FE6" w14:textId="42DA734C" w:rsidR="001A3FD6" w:rsidRPr="00261CDF" w:rsidRDefault="001A3FD6" w:rsidP="00116173">
      <w:pPr>
        <w:rPr>
          <w:rFonts w:ascii="Times New Roman" w:hAnsi="Times New Roman" w:cs="Times New Roman"/>
          <w:sz w:val="24"/>
          <w:szCs w:val="24"/>
        </w:rPr>
      </w:pPr>
      <w:r w:rsidRPr="00261CDF">
        <w:rPr>
          <w:rFonts w:ascii="Times New Roman" w:hAnsi="Times New Roman" w:cs="Times New Roman"/>
          <w:b/>
          <w:i/>
          <w:sz w:val="24"/>
          <w:szCs w:val="24"/>
        </w:rPr>
        <w:t>IPND Scheme authorisation</w:t>
      </w:r>
      <w:r w:rsidRPr="00261CDF">
        <w:rPr>
          <w:rFonts w:ascii="Times New Roman" w:hAnsi="Times New Roman" w:cs="Times New Roman"/>
          <w:sz w:val="24"/>
          <w:szCs w:val="24"/>
        </w:rPr>
        <w:t xml:space="preserve"> means an authorisation granted under the integrated public number database scheme.</w:t>
      </w:r>
      <w:r w:rsidR="00AF1DED" w:rsidRPr="00261CDF">
        <w:rPr>
          <w:rFonts w:ascii="Times New Roman" w:hAnsi="Times New Roman" w:cs="Times New Roman"/>
          <w:sz w:val="24"/>
          <w:szCs w:val="24"/>
        </w:rPr>
        <w:t xml:space="preserve">  The IPND Scheme is enabled under section 295A of the </w:t>
      </w:r>
      <w:r w:rsidR="00AF1DED" w:rsidRPr="00236160">
        <w:rPr>
          <w:rFonts w:ascii="Times New Roman" w:hAnsi="Times New Roman" w:cs="Times New Roman"/>
          <w:i/>
          <w:sz w:val="24"/>
          <w:szCs w:val="24"/>
        </w:rPr>
        <w:t>Telecommunications Act 1997</w:t>
      </w:r>
      <w:r w:rsidR="00AF1DED" w:rsidRPr="00261CDF">
        <w:rPr>
          <w:rFonts w:ascii="Times New Roman" w:hAnsi="Times New Roman" w:cs="Times New Roman"/>
          <w:sz w:val="24"/>
          <w:szCs w:val="24"/>
        </w:rPr>
        <w:t xml:space="preserve"> and is provided for in the </w:t>
      </w:r>
      <w:r w:rsidR="00AF1DED" w:rsidRPr="00621B91">
        <w:rPr>
          <w:rFonts w:ascii="Times New Roman" w:hAnsi="Times New Roman" w:cs="Times New Roman"/>
          <w:i/>
          <w:sz w:val="24"/>
          <w:szCs w:val="24"/>
        </w:rPr>
        <w:t>Telecommunications Integrated Public Number Database Scheme 2017.</w:t>
      </w:r>
    </w:p>
    <w:p w14:paraId="2A11A841" w14:textId="3976B313" w:rsidR="001A3FD6" w:rsidRPr="00AD0430" w:rsidRDefault="001A3FD6" w:rsidP="00116173">
      <w:pPr>
        <w:rPr>
          <w:rFonts w:ascii="Times New Roman" w:hAnsi="Times New Roman" w:cs="Times New Roman"/>
          <w:sz w:val="24"/>
          <w:szCs w:val="24"/>
        </w:rPr>
      </w:pPr>
      <w:r w:rsidRPr="00B71B41">
        <w:rPr>
          <w:rFonts w:ascii="Times New Roman" w:hAnsi="Times New Roman" w:cs="Times New Roman"/>
          <w:b/>
          <w:i/>
          <w:sz w:val="24"/>
          <w:szCs w:val="24"/>
        </w:rPr>
        <w:t>legacy service</w:t>
      </w:r>
      <w:r w:rsidR="00E7051F" w:rsidRPr="00B71B41">
        <w:rPr>
          <w:rFonts w:ascii="Times New Roman" w:hAnsi="Times New Roman" w:cs="Times New Roman"/>
          <w:b/>
          <w:i/>
          <w:sz w:val="24"/>
          <w:szCs w:val="24"/>
        </w:rPr>
        <w:t xml:space="preserve"> </w:t>
      </w:r>
      <w:r w:rsidR="00E7051F" w:rsidRPr="00B71B41">
        <w:rPr>
          <w:rFonts w:ascii="Times New Roman" w:hAnsi="Times New Roman" w:cs="Times New Roman"/>
          <w:sz w:val="24"/>
          <w:szCs w:val="24"/>
        </w:rPr>
        <w:t xml:space="preserve">has the meaning given under </w:t>
      </w:r>
      <w:r w:rsidRPr="00AD0430">
        <w:rPr>
          <w:rFonts w:ascii="Times New Roman" w:hAnsi="Times New Roman" w:cs="Times New Roman"/>
          <w:sz w:val="24"/>
          <w:szCs w:val="24"/>
        </w:rPr>
        <w:t xml:space="preserve">subsection </w:t>
      </w:r>
      <w:r w:rsidR="006C3FCC">
        <w:rPr>
          <w:rFonts w:ascii="Times New Roman" w:hAnsi="Times New Roman" w:cs="Times New Roman"/>
          <w:sz w:val="24"/>
          <w:szCs w:val="24"/>
        </w:rPr>
        <w:t>13</w:t>
      </w:r>
      <w:r w:rsidRPr="00AD0430">
        <w:rPr>
          <w:rFonts w:ascii="Times New Roman" w:hAnsi="Times New Roman" w:cs="Times New Roman"/>
          <w:sz w:val="24"/>
          <w:szCs w:val="24"/>
        </w:rPr>
        <w:t>(3).</w:t>
      </w:r>
    </w:p>
    <w:p w14:paraId="02708D2D" w14:textId="77777777" w:rsidR="001A3FD6" w:rsidRPr="00373A1C" w:rsidRDefault="001A3FD6" w:rsidP="00116173">
      <w:pPr>
        <w:rPr>
          <w:rFonts w:ascii="Times New Roman" w:hAnsi="Times New Roman" w:cs="Times New Roman"/>
          <w:sz w:val="24"/>
          <w:szCs w:val="24"/>
        </w:rPr>
      </w:pPr>
      <w:r w:rsidRPr="00AF2FBA">
        <w:rPr>
          <w:rFonts w:ascii="Times New Roman" w:hAnsi="Times New Roman" w:cs="Times New Roman"/>
          <w:b/>
          <w:bCs/>
          <w:i/>
          <w:iCs/>
          <w:sz w:val="24"/>
          <w:szCs w:val="24"/>
        </w:rPr>
        <w:t>local government authority</w:t>
      </w:r>
      <w:r w:rsidRPr="00AF2FBA">
        <w:rPr>
          <w:rFonts w:ascii="Times New Roman" w:hAnsi="Times New Roman" w:cs="Times New Roman"/>
          <w:sz w:val="24"/>
          <w:szCs w:val="24"/>
        </w:rPr>
        <w:t xml:space="preserve"> means a body established for the purposes of local government by or under a law of a State or a Territ</w:t>
      </w:r>
      <w:r w:rsidRPr="00373A1C">
        <w:rPr>
          <w:rFonts w:ascii="Times New Roman" w:hAnsi="Times New Roman" w:cs="Times New Roman"/>
          <w:sz w:val="24"/>
          <w:szCs w:val="24"/>
        </w:rPr>
        <w:t>ory.</w:t>
      </w:r>
    </w:p>
    <w:p w14:paraId="5687F08B" w14:textId="202320B4" w:rsidR="001A3FD6" w:rsidRPr="00261CDF" w:rsidRDefault="001A3FD6" w:rsidP="00116173">
      <w:pPr>
        <w:rPr>
          <w:rFonts w:ascii="Times New Roman" w:hAnsi="Times New Roman" w:cs="Times New Roman"/>
          <w:sz w:val="24"/>
          <w:szCs w:val="24"/>
        </w:rPr>
      </w:pPr>
      <w:r w:rsidRPr="00373A1C">
        <w:rPr>
          <w:rFonts w:ascii="Times New Roman" w:hAnsi="Times New Roman" w:cs="Times New Roman"/>
          <w:b/>
          <w:i/>
          <w:sz w:val="24"/>
          <w:szCs w:val="24"/>
        </w:rPr>
        <w:lastRenderedPageBreak/>
        <w:t xml:space="preserve">mobile carriage service provider </w:t>
      </w:r>
      <w:r w:rsidRPr="00261CDF">
        <w:rPr>
          <w:rFonts w:ascii="Times New Roman" w:hAnsi="Times New Roman" w:cs="Times New Roman"/>
          <w:sz w:val="24"/>
          <w:szCs w:val="24"/>
        </w:rPr>
        <w:t>means:</w:t>
      </w:r>
    </w:p>
    <w:p w14:paraId="3823D6FF" w14:textId="2CDB3107" w:rsidR="001A3FD6" w:rsidRPr="00621B91" w:rsidRDefault="001A3FD6" w:rsidP="00997B5F">
      <w:pPr>
        <w:pStyle w:val="Definition"/>
        <w:numPr>
          <w:ilvl w:val="0"/>
          <w:numId w:val="7"/>
        </w:numPr>
        <w:spacing w:before="120"/>
        <w:ind w:left="811" w:hanging="357"/>
        <w:rPr>
          <w:sz w:val="24"/>
        </w:rPr>
      </w:pPr>
      <w:r w:rsidRPr="00621B91">
        <w:rPr>
          <w:sz w:val="24"/>
        </w:rPr>
        <w:t>a carriage service provider who supplies a customer with a public mobile telecommunications service; or</w:t>
      </w:r>
    </w:p>
    <w:p w14:paraId="723AA296" w14:textId="6FF49C14" w:rsidR="001A3FD6" w:rsidRDefault="001A3FD6" w:rsidP="00997B5F">
      <w:pPr>
        <w:pStyle w:val="Definition"/>
        <w:numPr>
          <w:ilvl w:val="0"/>
          <w:numId w:val="7"/>
        </w:numPr>
        <w:spacing w:before="120"/>
        <w:ind w:left="811" w:hanging="357"/>
        <w:rPr>
          <w:sz w:val="24"/>
        </w:rPr>
      </w:pPr>
      <w:r w:rsidRPr="00621B91">
        <w:rPr>
          <w:sz w:val="24"/>
        </w:rPr>
        <w:t>a carriage service intermediary who arranges for the supply by a carriage service provider to a customer of a public mobile telecommunications service.</w:t>
      </w:r>
    </w:p>
    <w:p w14:paraId="01F08A00" w14:textId="3CB44A05" w:rsidR="00453478" w:rsidRDefault="00453478" w:rsidP="00A41B82">
      <w:pPr>
        <w:pStyle w:val="Definition"/>
        <w:spacing w:before="120"/>
        <w:ind w:left="0"/>
        <w:rPr>
          <w:sz w:val="24"/>
          <w:szCs w:val="24"/>
        </w:rPr>
      </w:pPr>
      <w:r>
        <w:rPr>
          <w:sz w:val="24"/>
          <w:szCs w:val="24"/>
        </w:rPr>
        <w:t xml:space="preserve">Note: For the purposes of this definition, </w:t>
      </w:r>
      <w:r w:rsidRPr="00B66D5D">
        <w:rPr>
          <w:sz w:val="24"/>
          <w:szCs w:val="24"/>
        </w:rPr>
        <w:t>a ‘customer’ is the individual who enters into the contract (and is ostensibly responsible for pay</w:t>
      </w:r>
      <w:r>
        <w:rPr>
          <w:sz w:val="24"/>
          <w:szCs w:val="24"/>
        </w:rPr>
        <w:t xml:space="preserve">ments) with a service provider. </w:t>
      </w:r>
      <w:r w:rsidR="00141140">
        <w:rPr>
          <w:sz w:val="24"/>
          <w:szCs w:val="24"/>
        </w:rPr>
        <w:t>A</w:t>
      </w:r>
      <w:r w:rsidRPr="00B66D5D">
        <w:rPr>
          <w:sz w:val="24"/>
          <w:szCs w:val="24"/>
        </w:rPr>
        <w:t>n ‘end-user’ is anyone who accesses that service (ie, family or friends of the customer.</w:t>
      </w:r>
      <w:r w:rsidR="00EE6D1E">
        <w:rPr>
          <w:sz w:val="24"/>
          <w:szCs w:val="24"/>
        </w:rPr>
        <w:t xml:space="preserve"> This is consistent with the </w:t>
      </w:r>
      <w:r w:rsidR="001A3E0C">
        <w:rPr>
          <w:sz w:val="24"/>
          <w:szCs w:val="24"/>
        </w:rPr>
        <w:t>usage of the terms in s32 of the Act.</w:t>
      </w:r>
    </w:p>
    <w:p w14:paraId="6B887A4E" w14:textId="77777777" w:rsidR="00997B5F" w:rsidRPr="00621B91" w:rsidRDefault="00997B5F" w:rsidP="00A41B82">
      <w:pPr>
        <w:pStyle w:val="Definition"/>
        <w:spacing w:before="120"/>
        <w:ind w:left="0"/>
        <w:rPr>
          <w:sz w:val="24"/>
        </w:rPr>
      </w:pPr>
    </w:p>
    <w:p w14:paraId="48FE8ACB" w14:textId="77777777" w:rsidR="001A3FD6" w:rsidRPr="00373A1C" w:rsidRDefault="001A3FD6" w:rsidP="00116173">
      <w:pPr>
        <w:rPr>
          <w:rFonts w:ascii="Times New Roman" w:hAnsi="Times New Roman" w:cs="Times New Roman"/>
          <w:sz w:val="24"/>
          <w:szCs w:val="24"/>
        </w:rPr>
      </w:pPr>
      <w:r w:rsidRPr="00AF2FBA">
        <w:rPr>
          <w:rFonts w:ascii="Times New Roman" w:hAnsi="Times New Roman" w:cs="Times New Roman"/>
          <w:b/>
          <w:i/>
          <w:sz w:val="24"/>
          <w:szCs w:val="24"/>
        </w:rPr>
        <w:t>National Relay Service</w:t>
      </w:r>
      <w:r w:rsidRPr="00AF2FBA">
        <w:rPr>
          <w:rFonts w:ascii="Times New Roman" w:hAnsi="Times New Roman" w:cs="Times New Roman"/>
          <w:sz w:val="24"/>
          <w:szCs w:val="24"/>
        </w:rPr>
        <w:t xml:space="preserve"> has the same meaning as in the </w:t>
      </w:r>
      <w:r w:rsidRPr="00373A1C">
        <w:rPr>
          <w:rFonts w:ascii="Times New Roman" w:hAnsi="Times New Roman" w:cs="Times New Roman"/>
          <w:i/>
          <w:sz w:val="24"/>
          <w:szCs w:val="24"/>
        </w:rPr>
        <w:t>Telecommunications (Consumer Protection and Service Standards) Act 1999</w:t>
      </w:r>
      <w:r w:rsidRPr="00373A1C">
        <w:rPr>
          <w:rFonts w:ascii="Times New Roman" w:hAnsi="Times New Roman" w:cs="Times New Roman"/>
          <w:sz w:val="24"/>
          <w:szCs w:val="24"/>
        </w:rPr>
        <w:t>.</w:t>
      </w:r>
    </w:p>
    <w:p w14:paraId="681F5BD2" w14:textId="2C5888D0" w:rsidR="001A3FD6" w:rsidRPr="0051512B" w:rsidRDefault="001A3FD6" w:rsidP="00116173">
      <w:pPr>
        <w:rPr>
          <w:rFonts w:ascii="Times New Roman" w:hAnsi="Times New Roman" w:cs="Times New Roman"/>
          <w:sz w:val="24"/>
          <w:szCs w:val="24"/>
        </w:rPr>
      </w:pPr>
      <w:r w:rsidRPr="00373A1C">
        <w:rPr>
          <w:rFonts w:ascii="Times New Roman" w:hAnsi="Times New Roman" w:cs="Times New Roman"/>
          <w:b/>
          <w:i/>
          <w:sz w:val="24"/>
          <w:szCs w:val="24"/>
        </w:rPr>
        <w:t>next-generation broadband service</w:t>
      </w:r>
      <w:r w:rsidR="00E7051F" w:rsidRPr="00373A1C">
        <w:rPr>
          <w:rFonts w:ascii="Times New Roman" w:hAnsi="Times New Roman" w:cs="Times New Roman"/>
          <w:b/>
          <w:i/>
          <w:sz w:val="24"/>
          <w:szCs w:val="24"/>
        </w:rPr>
        <w:t xml:space="preserve"> </w:t>
      </w:r>
      <w:r w:rsidR="00E7051F" w:rsidRPr="000501F2">
        <w:rPr>
          <w:rFonts w:ascii="Times New Roman" w:hAnsi="Times New Roman" w:cs="Times New Roman"/>
          <w:sz w:val="24"/>
          <w:szCs w:val="24"/>
        </w:rPr>
        <w:t>has the meaning given under</w:t>
      </w:r>
      <w:r w:rsidRPr="00504FAA">
        <w:rPr>
          <w:rFonts w:ascii="Times New Roman" w:hAnsi="Times New Roman" w:cs="Times New Roman"/>
          <w:sz w:val="24"/>
          <w:szCs w:val="24"/>
        </w:rPr>
        <w:t xml:space="preserve"> subsection </w:t>
      </w:r>
      <w:r w:rsidR="0031627E">
        <w:rPr>
          <w:rFonts w:ascii="Times New Roman" w:hAnsi="Times New Roman" w:cs="Times New Roman"/>
          <w:sz w:val="24"/>
          <w:szCs w:val="24"/>
        </w:rPr>
        <w:t>13</w:t>
      </w:r>
      <w:r w:rsidRPr="0051512B">
        <w:rPr>
          <w:rFonts w:ascii="Times New Roman" w:hAnsi="Times New Roman" w:cs="Times New Roman"/>
          <w:sz w:val="24"/>
          <w:szCs w:val="24"/>
        </w:rPr>
        <w:t>(2).</w:t>
      </w:r>
    </w:p>
    <w:p w14:paraId="21CA68B2" w14:textId="1C7078BD" w:rsidR="001A3FD6" w:rsidRPr="00B71B41" w:rsidRDefault="001A3FD6" w:rsidP="00116173">
      <w:pPr>
        <w:rPr>
          <w:rFonts w:ascii="Times New Roman" w:hAnsi="Times New Roman" w:cs="Times New Roman"/>
          <w:sz w:val="24"/>
          <w:szCs w:val="24"/>
        </w:rPr>
      </w:pPr>
      <w:bookmarkStart w:id="3" w:name="BK_S3P5L25C28"/>
      <w:bookmarkEnd w:id="3"/>
      <w:r w:rsidRPr="00B71B41">
        <w:rPr>
          <w:rFonts w:ascii="Times New Roman" w:hAnsi="Times New Roman" w:cs="Times New Roman"/>
          <w:b/>
          <w:i/>
          <w:sz w:val="24"/>
          <w:szCs w:val="24"/>
        </w:rPr>
        <w:t>permitted research</w:t>
      </w:r>
      <w:r w:rsidR="00AF1DED" w:rsidRPr="00AD0430">
        <w:rPr>
          <w:rFonts w:ascii="Times New Roman" w:hAnsi="Times New Roman" w:cs="Times New Roman"/>
          <w:b/>
          <w:i/>
          <w:sz w:val="24"/>
          <w:szCs w:val="24"/>
        </w:rPr>
        <w:t xml:space="preserve"> </w:t>
      </w:r>
      <w:r w:rsidR="00AF1DED" w:rsidRPr="00621B91">
        <w:rPr>
          <w:rFonts w:ascii="Times New Roman" w:hAnsi="Times New Roman" w:cs="Times New Roman"/>
          <w:sz w:val="24"/>
          <w:szCs w:val="24"/>
        </w:rPr>
        <w:t>has the</w:t>
      </w:r>
      <w:r w:rsidR="00AF1DED" w:rsidRPr="00261CDF">
        <w:rPr>
          <w:rFonts w:ascii="Times New Roman" w:hAnsi="Times New Roman" w:cs="Times New Roman"/>
          <w:sz w:val="24"/>
          <w:szCs w:val="24"/>
        </w:rPr>
        <w:t xml:space="preserve"> </w:t>
      </w:r>
      <w:r w:rsidR="00AF1DED" w:rsidRPr="00621B91">
        <w:rPr>
          <w:rFonts w:ascii="Times New Roman" w:hAnsi="Times New Roman" w:cs="Times New Roman"/>
          <w:sz w:val="24"/>
          <w:szCs w:val="24"/>
        </w:rPr>
        <w:t>meaning under</w:t>
      </w:r>
      <w:r w:rsidR="00AF1DED" w:rsidRPr="00621B91">
        <w:rPr>
          <w:rFonts w:ascii="Times New Roman" w:hAnsi="Times New Roman"/>
          <w:b/>
          <w:i/>
          <w:sz w:val="24"/>
        </w:rPr>
        <w:t xml:space="preserve"> </w:t>
      </w:r>
      <w:r w:rsidRPr="00261CDF">
        <w:rPr>
          <w:rFonts w:ascii="Times New Roman" w:hAnsi="Times New Roman" w:cs="Times New Roman"/>
          <w:sz w:val="24"/>
          <w:szCs w:val="24"/>
        </w:rPr>
        <w:t xml:space="preserve">see section </w:t>
      </w:r>
      <w:r w:rsidR="0031627E">
        <w:rPr>
          <w:rFonts w:ascii="Times New Roman" w:hAnsi="Times New Roman" w:cs="Times New Roman"/>
          <w:sz w:val="24"/>
          <w:szCs w:val="24"/>
        </w:rPr>
        <w:t>6</w:t>
      </w:r>
      <w:r w:rsidRPr="00B71B41">
        <w:rPr>
          <w:rFonts w:ascii="Times New Roman" w:hAnsi="Times New Roman" w:cs="Times New Roman"/>
          <w:sz w:val="24"/>
          <w:szCs w:val="24"/>
        </w:rPr>
        <w:t>.</w:t>
      </w:r>
    </w:p>
    <w:p w14:paraId="6D1F48BB" w14:textId="377FADC5" w:rsidR="001A3FD6" w:rsidRPr="00621B91" w:rsidRDefault="001A3FD6" w:rsidP="00621B91">
      <w:pPr>
        <w:rPr>
          <w:rFonts w:ascii="Times New Roman" w:hAnsi="Times New Roman"/>
          <w:sz w:val="24"/>
        </w:rPr>
      </w:pPr>
      <w:r w:rsidRPr="00AD0430">
        <w:rPr>
          <w:rFonts w:ascii="Times New Roman" w:hAnsi="Times New Roman" w:cs="Times New Roman"/>
          <w:b/>
          <w:i/>
          <w:sz w:val="24"/>
          <w:szCs w:val="24"/>
        </w:rPr>
        <w:lastRenderedPageBreak/>
        <w:t>personal information</w:t>
      </w:r>
      <w:bookmarkStart w:id="4" w:name="BK_S3P6L7C21"/>
      <w:bookmarkEnd w:id="4"/>
      <w:r w:rsidRPr="00AD0430">
        <w:rPr>
          <w:rFonts w:ascii="Times New Roman" w:hAnsi="Times New Roman" w:cs="Times New Roman"/>
          <w:sz w:val="24"/>
          <w:szCs w:val="24"/>
        </w:rPr>
        <w:t xml:space="preserve"> has the same meaning as in the </w:t>
      </w:r>
      <w:r w:rsidRPr="00AD0430">
        <w:rPr>
          <w:rFonts w:ascii="Times New Roman" w:hAnsi="Times New Roman" w:cs="Times New Roman"/>
          <w:i/>
          <w:sz w:val="24"/>
          <w:szCs w:val="24"/>
        </w:rPr>
        <w:t>Privacy Act 1988</w:t>
      </w:r>
      <w:r w:rsidRPr="001A0286">
        <w:rPr>
          <w:rFonts w:ascii="Times New Roman" w:hAnsi="Times New Roman" w:cs="Times New Roman"/>
          <w:sz w:val="24"/>
          <w:szCs w:val="24"/>
        </w:rPr>
        <w:t>.</w:t>
      </w:r>
      <w:r w:rsidR="00AF1DED" w:rsidRPr="00621B91">
        <w:rPr>
          <w:rFonts w:ascii="Times New Roman" w:hAnsi="Times New Roman"/>
          <w:sz w:val="24"/>
        </w:rPr>
        <w:t xml:space="preserve"> That is, information or an opinion about an identified individual or an individual who is reasonable identifiable – whether the information or opinion is true or not – and whether the information or opinion is recorded in a material format or not.</w:t>
      </w:r>
    </w:p>
    <w:p w14:paraId="6436267E" w14:textId="77777777" w:rsidR="001A3FD6" w:rsidRPr="00373A1C" w:rsidRDefault="001A3FD6" w:rsidP="00116173">
      <w:pPr>
        <w:rPr>
          <w:rFonts w:ascii="Times New Roman" w:hAnsi="Times New Roman" w:cs="Times New Roman"/>
          <w:sz w:val="24"/>
          <w:szCs w:val="24"/>
        </w:rPr>
      </w:pPr>
      <w:r w:rsidRPr="00373A1C">
        <w:rPr>
          <w:rFonts w:ascii="Times New Roman" w:hAnsi="Times New Roman" w:cs="Times New Roman"/>
          <w:b/>
          <w:i/>
          <w:sz w:val="24"/>
          <w:szCs w:val="24"/>
        </w:rPr>
        <w:t>political representative</w:t>
      </w:r>
      <w:r w:rsidRPr="00373A1C">
        <w:rPr>
          <w:rFonts w:ascii="Times New Roman" w:hAnsi="Times New Roman" w:cs="Times New Roman"/>
          <w:sz w:val="24"/>
          <w:szCs w:val="24"/>
        </w:rPr>
        <w:t xml:space="preserve"> means:</w:t>
      </w:r>
    </w:p>
    <w:p w14:paraId="0C6F93A8" w14:textId="7EA476EB" w:rsidR="001A3FD6" w:rsidRPr="00621B91" w:rsidRDefault="001A3FD6" w:rsidP="00997B5F">
      <w:pPr>
        <w:pStyle w:val="Definition"/>
        <w:numPr>
          <w:ilvl w:val="0"/>
          <w:numId w:val="8"/>
        </w:numPr>
        <w:spacing w:before="120"/>
        <w:ind w:left="811" w:hanging="357"/>
        <w:rPr>
          <w:sz w:val="24"/>
        </w:rPr>
      </w:pPr>
      <w:r w:rsidRPr="00621B91">
        <w:rPr>
          <w:sz w:val="24"/>
        </w:rPr>
        <w:t>a member of an Australian Parliament; or</w:t>
      </w:r>
    </w:p>
    <w:p w14:paraId="2F804C61" w14:textId="06731CD8" w:rsidR="001A3FD6" w:rsidRPr="00621B91" w:rsidRDefault="001A3FD6" w:rsidP="00997B5F">
      <w:pPr>
        <w:pStyle w:val="Definition"/>
        <w:numPr>
          <w:ilvl w:val="0"/>
          <w:numId w:val="8"/>
        </w:numPr>
        <w:spacing w:before="120"/>
        <w:ind w:left="811" w:hanging="357"/>
        <w:rPr>
          <w:sz w:val="24"/>
        </w:rPr>
      </w:pPr>
      <w:r w:rsidRPr="00621B91">
        <w:rPr>
          <w:sz w:val="24"/>
        </w:rPr>
        <w:t>a councillor (however described) of a local government authority.</w:t>
      </w:r>
    </w:p>
    <w:p w14:paraId="04E12501" w14:textId="77777777" w:rsidR="001A3FD6" w:rsidRPr="00504FAA" w:rsidRDefault="001A3FD6" w:rsidP="00116173">
      <w:pPr>
        <w:spacing w:after="0"/>
        <w:rPr>
          <w:rFonts w:ascii="Times New Roman" w:hAnsi="Times New Roman" w:cs="Times New Roman"/>
          <w:sz w:val="24"/>
          <w:szCs w:val="24"/>
        </w:rPr>
      </w:pPr>
    </w:p>
    <w:p w14:paraId="67FEEF7D" w14:textId="253B26FD" w:rsidR="001A3FD6" w:rsidRPr="00C45C69" w:rsidRDefault="001A3FD6" w:rsidP="00116173">
      <w:pPr>
        <w:rPr>
          <w:rFonts w:ascii="Times New Roman" w:hAnsi="Times New Roman" w:cs="Times New Roman"/>
          <w:sz w:val="24"/>
          <w:szCs w:val="24"/>
        </w:rPr>
      </w:pPr>
      <w:r w:rsidRPr="00504FAA">
        <w:rPr>
          <w:rFonts w:ascii="Times New Roman" w:hAnsi="Times New Roman" w:cs="Times New Roman"/>
          <w:b/>
          <w:i/>
          <w:sz w:val="24"/>
          <w:szCs w:val="24"/>
        </w:rPr>
        <w:t>post-paid carriage service</w:t>
      </w:r>
      <w:r w:rsidR="00E7051F" w:rsidRPr="00504FAA">
        <w:rPr>
          <w:rFonts w:ascii="Times New Roman" w:hAnsi="Times New Roman" w:cs="Times New Roman"/>
          <w:b/>
          <w:i/>
          <w:sz w:val="24"/>
          <w:szCs w:val="24"/>
        </w:rPr>
        <w:t xml:space="preserve"> </w:t>
      </w:r>
      <w:r w:rsidR="00E7051F" w:rsidRPr="0051512B">
        <w:rPr>
          <w:rFonts w:ascii="Times New Roman" w:hAnsi="Times New Roman" w:cs="Times New Roman"/>
          <w:sz w:val="24"/>
          <w:szCs w:val="24"/>
        </w:rPr>
        <w:t>has the meaning given under</w:t>
      </w:r>
      <w:r w:rsidRPr="009677A7">
        <w:rPr>
          <w:rFonts w:ascii="Times New Roman" w:hAnsi="Times New Roman" w:cs="Times New Roman"/>
          <w:sz w:val="24"/>
          <w:szCs w:val="24"/>
        </w:rPr>
        <w:t xml:space="preserve"> subsection </w:t>
      </w:r>
      <w:r w:rsidR="0031627E">
        <w:rPr>
          <w:rFonts w:ascii="Times New Roman" w:hAnsi="Times New Roman" w:cs="Times New Roman"/>
          <w:sz w:val="24"/>
          <w:szCs w:val="24"/>
        </w:rPr>
        <w:t>8</w:t>
      </w:r>
      <w:r w:rsidRPr="00C45C69">
        <w:rPr>
          <w:rFonts w:ascii="Times New Roman" w:hAnsi="Times New Roman" w:cs="Times New Roman"/>
          <w:sz w:val="24"/>
          <w:szCs w:val="24"/>
        </w:rPr>
        <w:t>(3).</w:t>
      </w:r>
    </w:p>
    <w:p w14:paraId="3A368ED7" w14:textId="4AD362A8" w:rsidR="001A3FD6" w:rsidRPr="00D549AB" w:rsidRDefault="001A3FD6" w:rsidP="00116173">
      <w:pPr>
        <w:rPr>
          <w:rFonts w:ascii="Times New Roman" w:hAnsi="Times New Roman" w:cs="Times New Roman"/>
          <w:sz w:val="24"/>
          <w:szCs w:val="24"/>
        </w:rPr>
      </w:pPr>
      <w:r w:rsidRPr="00C45C69">
        <w:rPr>
          <w:rFonts w:ascii="Times New Roman" w:hAnsi="Times New Roman" w:cs="Times New Roman"/>
          <w:b/>
          <w:i/>
          <w:sz w:val="24"/>
          <w:szCs w:val="24"/>
        </w:rPr>
        <w:t>premium content service</w:t>
      </w:r>
      <w:r w:rsidR="00E7051F" w:rsidRPr="00C45C69">
        <w:rPr>
          <w:rFonts w:ascii="Times New Roman" w:hAnsi="Times New Roman" w:cs="Times New Roman"/>
          <w:sz w:val="24"/>
          <w:szCs w:val="24"/>
        </w:rPr>
        <w:t xml:space="preserve"> is defined to mean </w:t>
      </w:r>
      <w:r w:rsidRPr="00E37E72">
        <w:rPr>
          <w:rFonts w:ascii="Times New Roman" w:hAnsi="Times New Roman" w:cs="Times New Roman"/>
          <w:sz w:val="24"/>
          <w:szCs w:val="24"/>
        </w:rPr>
        <w:t>a</w:t>
      </w:r>
      <w:r w:rsidRPr="00A41B82">
        <w:rPr>
          <w:rFonts w:ascii="Times New Roman" w:hAnsi="Times New Roman"/>
          <w:sz w:val="24"/>
        </w:rPr>
        <w:t xml:space="preserve"> content service</w:t>
      </w:r>
      <w:r w:rsidRPr="00E37E72">
        <w:rPr>
          <w:rFonts w:ascii="Times New Roman" w:hAnsi="Times New Roman" w:cs="Times New Roman"/>
          <w:sz w:val="24"/>
          <w:szCs w:val="24"/>
        </w:rPr>
        <w:t xml:space="preserve"> </w:t>
      </w:r>
      <w:r w:rsidRPr="00D549AB">
        <w:rPr>
          <w:rFonts w:ascii="Times New Roman" w:hAnsi="Times New Roman" w:cs="Times New Roman"/>
          <w:sz w:val="24"/>
          <w:szCs w:val="24"/>
        </w:rPr>
        <w:t>if a charge for the supply of the service is:</w:t>
      </w:r>
    </w:p>
    <w:p w14:paraId="5A128E51" w14:textId="536A2F8D" w:rsidR="001A3FD6" w:rsidRPr="00997B5F" w:rsidRDefault="001A3FD6" w:rsidP="00997B5F">
      <w:pPr>
        <w:pStyle w:val="Definition"/>
        <w:numPr>
          <w:ilvl w:val="0"/>
          <w:numId w:val="20"/>
        </w:numPr>
        <w:spacing w:before="120"/>
        <w:ind w:left="851" w:hanging="425"/>
        <w:rPr>
          <w:sz w:val="24"/>
        </w:rPr>
      </w:pPr>
      <w:r w:rsidRPr="00997B5F">
        <w:rPr>
          <w:sz w:val="24"/>
        </w:rPr>
        <w:t>expected to be included in a bill sent to a customer of a mobile carriage service provider by or on behalf of that provider; or</w:t>
      </w:r>
    </w:p>
    <w:p w14:paraId="08426DFC" w14:textId="0F0BB965" w:rsidR="001A3FD6" w:rsidRPr="00997B5F" w:rsidRDefault="001A3FD6" w:rsidP="00997B5F">
      <w:pPr>
        <w:pStyle w:val="Definition"/>
        <w:numPr>
          <w:ilvl w:val="0"/>
          <w:numId w:val="20"/>
        </w:numPr>
        <w:spacing w:before="120"/>
        <w:ind w:left="851" w:hanging="425"/>
        <w:rPr>
          <w:sz w:val="24"/>
        </w:rPr>
      </w:pPr>
      <w:r w:rsidRPr="00997B5F">
        <w:rPr>
          <w:sz w:val="24"/>
        </w:rPr>
        <w:t>payable by a customer of a mobile carriage service provider to that provider or any person acting on behalf of that provider</w:t>
      </w:r>
      <w:r w:rsidR="00E7051F" w:rsidRPr="00997B5F">
        <w:rPr>
          <w:sz w:val="24"/>
        </w:rPr>
        <w:t xml:space="preserve"> </w:t>
      </w:r>
      <w:r w:rsidRPr="00997B5F">
        <w:rPr>
          <w:sz w:val="24"/>
        </w:rPr>
        <w:t>in advance; or</w:t>
      </w:r>
      <w:r w:rsidR="00AF1DED" w:rsidRPr="00997B5F">
        <w:rPr>
          <w:sz w:val="24"/>
        </w:rPr>
        <w:t xml:space="preserve"> </w:t>
      </w:r>
      <w:r w:rsidRPr="00997B5F">
        <w:rPr>
          <w:sz w:val="24"/>
        </w:rPr>
        <w:t>in any other manner.</w:t>
      </w:r>
    </w:p>
    <w:p w14:paraId="6E8185A4" w14:textId="77777777" w:rsidR="001A3FD6" w:rsidRPr="00261CDF" w:rsidRDefault="001A3FD6" w:rsidP="00116173">
      <w:pPr>
        <w:spacing w:after="0"/>
        <w:rPr>
          <w:rFonts w:ascii="Times New Roman" w:hAnsi="Times New Roman" w:cs="Times New Roman"/>
          <w:sz w:val="24"/>
          <w:szCs w:val="24"/>
        </w:rPr>
      </w:pPr>
    </w:p>
    <w:p w14:paraId="77821112" w14:textId="153E4AA4" w:rsidR="001A3FD6" w:rsidRPr="00261CDF" w:rsidRDefault="001A3FD6" w:rsidP="00116173">
      <w:pPr>
        <w:rPr>
          <w:rFonts w:ascii="Times New Roman" w:hAnsi="Times New Roman" w:cs="Times New Roman"/>
          <w:sz w:val="24"/>
          <w:szCs w:val="24"/>
        </w:rPr>
      </w:pPr>
      <w:r w:rsidRPr="00261CDF">
        <w:rPr>
          <w:rFonts w:ascii="Times New Roman" w:hAnsi="Times New Roman" w:cs="Times New Roman"/>
          <w:b/>
          <w:i/>
          <w:sz w:val="24"/>
          <w:szCs w:val="24"/>
        </w:rPr>
        <w:t>premium service</w:t>
      </w:r>
      <w:r w:rsidR="00E7051F" w:rsidRPr="00261CDF">
        <w:rPr>
          <w:rFonts w:ascii="Times New Roman" w:hAnsi="Times New Roman" w:cs="Times New Roman"/>
          <w:b/>
          <w:i/>
          <w:sz w:val="24"/>
          <w:szCs w:val="24"/>
        </w:rPr>
        <w:t xml:space="preserve"> </w:t>
      </w:r>
      <w:r w:rsidR="00E7051F" w:rsidRPr="00261CDF">
        <w:rPr>
          <w:rFonts w:ascii="Times New Roman" w:hAnsi="Times New Roman" w:cs="Times New Roman"/>
          <w:sz w:val="24"/>
          <w:szCs w:val="24"/>
        </w:rPr>
        <w:t>has the meaning given under</w:t>
      </w:r>
      <w:r w:rsidR="0031627E">
        <w:rPr>
          <w:rFonts w:ascii="Times New Roman" w:hAnsi="Times New Roman" w:cs="Times New Roman"/>
          <w:sz w:val="24"/>
          <w:szCs w:val="24"/>
        </w:rPr>
        <w:t xml:space="preserve"> subsection 9</w:t>
      </w:r>
      <w:r w:rsidRPr="00261CDF">
        <w:rPr>
          <w:rFonts w:ascii="Times New Roman" w:hAnsi="Times New Roman" w:cs="Times New Roman"/>
          <w:sz w:val="24"/>
          <w:szCs w:val="24"/>
        </w:rPr>
        <w:t>(2).</w:t>
      </w:r>
    </w:p>
    <w:p w14:paraId="53D5C60A" w14:textId="7971474F" w:rsidR="001A3FD6" w:rsidRPr="00261CDF" w:rsidRDefault="001A3FD6" w:rsidP="00116173">
      <w:pPr>
        <w:rPr>
          <w:rFonts w:ascii="Times New Roman" w:hAnsi="Times New Roman" w:cs="Times New Roman"/>
          <w:sz w:val="24"/>
          <w:szCs w:val="24"/>
        </w:rPr>
      </w:pPr>
      <w:r w:rsidRPr="00261CDF">
        <w:rPr>
          <w:rFonts w:ascii="Times New Roman" w:hAnsi="Times New Roman" w:cs="Times New Roman"/>
          <w:b/>
          <w:i/>
          <w:sz w:val="24"/>
          <w:szCs w:val="24"/>
        </w:rPr>
        <w:lastRenderedPageBreak/>
        <w:t>prepaid mobile carriage service</w:t>
      </w:r>
      <w:r w:rsidR="00E7051F" w:rsidRPr="00261CDF">
        <w:rPr>
          <w:rFonts w:ascii="Times New Roman" w:hAnsi="Times New Roman" w:cs="Times New Roman"/>
          <w:b/>
          <w:i/>
          <w:sz w:val="24"/>
          <w:szCs w:val="24"/>
        </w:rPr>
        <w:t xml:space="preserve"> </w:t>
      </w:r>
      <w:r w:rsidR="00E7051F" w:rsidRPr="00261CDF">
        <w:rPr>
          <w:rFonts w:ascii="Times New Roman" w:hAnsi="Times New Roman" w:cs="Times New Roman"/>
          <w:sz w:val="24"/>
          <w:szCs w:val="24"/>
        </w:rPr>
        <w:t>has the meaning given under</w:t>
      </w:r>
      <w:r w:rsidR="0031627E">
        <w:rPr>
          <w:rFonts w:ascii="Times New Roman" w:hAnsi="Times New Roman" w:cs="Times New Roman"/>
          <w:sz w:val="24"/>
          <w:szCs w:val="24"/>
        </w:rPr>
        <w:t xml:space="preserve"> </w:t>
      </w:r>
      <w:r w:rsidRPr="00261CDF">
        <w:rPr>
          <w:rFonts w:ascii="Times New Roman" w:hAnsi="Times New Roman" w:cs="Times New Roman"/>
          <w:sz w:val="24"/>
          <w:szCs w:val="24"/>
        </w:rPr>
        <w:t>s</w:t>
      </w:r>
      <w:r w:rsidR="0031627E">
        <w:rPr>
          <w:rFonts w:ascii="Times New Roman" w:hAnsi="Times New Roman" w:cs="Times New Roman"/>
          <w:sz w:val="24"/>
          <w:szCs w:val="24"/>
        </w:rPr>
        <w:t>ubsection 8</w:t>
      </w:r>
      <w:r w:rsidRPr="00261CDF">
        <w:rPr>
          <w:rFonts w:ascii="Times New Roman" w:hAnsi="Times New Roman" w:cs="Times New Roman"/>
          <w:sz w:val="24"/>
          <w:szCs w:val="24"/>
        </w:rPr>
        <w:t>(2).</w:t>
      </w:r>
    </w:p>
    <w:p w14:paraId="4B1B5A0E" w14:textId="2E3278AB" w:rsidR="001A3FD6" w:rsidRDefault="001A3FD6" w:rsidP="00116173">
      <w:pPr>
        <w:rPr>
          <w:rFonts w:ascii="Times New Roman" w:hAnsi="Times New Roman" w:cs="Times New Roman"/>
          <w:sz w:val="24"/>
          <w:szCs w:val="24"/>
        </w:rPr>
      </w:pPr>
      <w:r w:rsidRPr="00261CDF">
        <w:rPr>
          <w:rFonts w:ascii="Times New Roman" w:hAnsi="Times New Roman" w:cs="Times New Roman"/>
          <w:b/>
          <w:i/>
          <w:sz w:val="24"/>
          <w:szCs w:val="24"/>
        </w:rPr>
        <w:t>proprietary network</w:t>
      </w:r>
      <w:r w:rsidRPr="00261CDF">
        <w:rPr>
          <w:rFonts w:ascii="Times New Roman" w:hAnsi="Times New Roman" w:cs="Times New Roman"/>
          <w:sz w:val="24"/>
          <w:szCs w:val="24"/>
        </w:rPr>
        <w:t xml:space="preserve"> means a telecommunications network used by a mobile carriage service provider that enables customers of the provider to access a premium content service by way of a mobile device where the service is not otherwise generally available.</w:t>
      </w:r>
    </w:p>
    <w:p w14:paraId="735A9E8E" w14:textId="01A454AC" w:rsidR="001A3FD6" w:rsidRPr="00261CDF" w:rsidRDefault="001A3FD6" w:rsidP="00116173">
      <w:pPr>
        <w:rPr>
          <w:rFonts w:ascii="Times New Roman" w:hAnsi="Times New Roman" w:cs="Times New Roman"/>
          <w:sz w:val="24"/>
          <w:szCs w:val="24"/>
        </w:rPr>
      </w:pPr>
      <w:r w:rsidRPr="00261CDF">
        <w:rPr>
          <w:rFonts w:ascii="Times New Roman" w:hAnsi="Times New Roman" w:cs="Times New Roman"/>
          <w:b/>
          <w:i/>
          <w:sz w:val="24"/>
          <w:szCs w:val="24"/>
        </w:rPr>
        <w:t>public number</w:t>
      </w:r>
      <w:r w:rsidRPr="00261CDF">
        <w:rPr>
          <w:rFonts w:ascii="Times New Roman" w:hAnsi="Times New Roman" w:cs="Times New Roman"/>
          <w:i/>
          <w:sz w:val="24"/>
          <w:szCs w:val="24"/>
        </w:rPr>
        <w:t xml:space="preserve"> </w:t>
      </w:r>
      <w:r w:rsidRPr="00261CDF">
        <w:rPr>
          <w:rFonts w:ascii="Times New Roman" w:hAnsi="Times New Roman" w:cs="Times New Roman"/>
          <w:sz w:val="24"/>
          <w:szCs w:val="24"/>
        </w:rPr>
        <w:t>has the same meaning as in section 472 of the Act</w:t>
      </w:r>
      <w:r w:rsidR="00AF1DED" w:rsidRPr="00261CDF">
        <w:rPr>
          <w:rFonts w:ascii="Times New Roman" w:hAnsi="Times New Roman" w:cs="Times New Roman"/>
          <w:sz w:val="24"/>
          <w:szCs w:val="24"/>
        </w:rPr>
        <w:t xml:space="preserve"> ; that is, a number specified in the numbering plan.</w:t>
      </w:r>
      <w:r w:rsidRPr="00261CDF">
        <w:rPr>
          <w:rFonts w:ascii="Times New Roman" w:hAnsi="Times New Roman" w:cs="Times New Roman"/>
          <w:sz w:val="24"/>
          <w:szCs w:val="24"/>
        </w:rPr>
        <w:t>.</w:t>
      </w:r>
    </w:p>
    <w:p w14:paraId="768194C2" w14:textId="0FBB6B7F" w:rsidR="001A3FD6" w:rsidRPr="00261CDF" w:rsidRDefault="001A3FD6" w:rsidP="00116173">
      <w:pPr>
        <w:rPr>
          <w:rFonts w:ascii="Times New Roman" w:hAnsi="Times New Roman" w:cs="Times New Roman"/>
          <w:sz w:val="24"/>
          <w:szCs w:val="24"/>
        </w:rPr>
      </w:pPr>
      <w:r w:rsidRPr="00261CDF">
        <w:rPr>
          <w:rFonts w:ascii="Times New Roman" w:hAnsi="Times New Roman" w:cs="Times New Roman"/>
          <w:b/>
          <w:i/>
          <w:sz w:val="24"/>
          <w:szCs w:val="24"/>
        </w:rPr>
        <w:t xml:space="preserve">registered APP code </w:t>
      </w:r>
      <w:r w:rsidRPr="00261CDF">
        <w:rPr>
          <w:rFonts w:ascii="Times New Roman" w:hAnsi="Times New Roman" w:cs="Times New Roman"/>
          <w:sz w:val="24"/>
          <w:szCs w:val="24"/>
        </w:rPr>
        <w:t xml:space="preserve">has the same meaning as in the </w:t>
      </w:r>
      <w:r w:rsidRPr="00261CDF">
        <w:rPr>
          <w:rFonts w:ascii="Times New Roman" w:hAnsi="Times New Roman" w:cs="Times New Roman"/>
          <w:i/>
          <w:sz w:val="24"/>
          <w:szCs w:val="24"/>
        </w:rPr>
        <w:t>Privacy Act 1988</w:t>
      </w:r>
      <w:r w:rsidRPr="00261CDF">
        <w:rPr>
          <w:rFonts w:ascii="Times New Roman" w:hAnsi="Times New Roman" w:cs="Times New Roman"/>
          <w:sz w:val="24"/>
          <w:szCs w:val="24"/>
        </w:rPr>
        <w:t>.</w:t>
      </w:r>
      <w:r w:rsidR="00AF1DED" w:rsidRPr="00621B91">
        <w:rPr>
          <w:rFonts w:ascii="Times New Roman" w:hAnsi="Times New Roman"/>
          <w:sz w:val="24"/>
        </w:rPr>
        <w:t xml:space="preserve"> </w:t>
      </w:r>
      <w:r w:rsidR="00AF1DED" w:rsidRPr="00A41B82">
        <w:rPr>
          <w:rFonts w:ascii="Times New Roman" w:hAnsi="Times New Roman"/>
          <w:sz w:val="24"/>
        </w:rPr>
        <w:t>An APP code is a written code of practice about information privacy under section 26C of that Act. A registered APP code is one that is included on the Codes Register established under section 26U of that Act and is in force.</w:t>
      </w:r>
    </w:p>
    <w:p w14:paraId="6434DB53" w14:textId="108EA871" w:rsidR="001A3FD6" w:rsidRPr="00261CDF" w:rsidRDefault="001A3FD6" w:rsidP="00116173">
      <w:pPr>
        <w:rPr>
          <w:rFonts w:ascii="Times New Roman" w:hAnsi="Times New Roman" w:cs="Times New Roman"/>
          <w:sz w:val="24"/>
          <w:szCs w:val="24"/>
        </w:rPr>
      </w:pPr>
      <w:r w:rsidRPr="00261CDF">
        <w:rPr>
          <w:rFonts w:ascii="Times New Roman" w:hAnsi="Times New Roman" w:cs="Times New Roman"/>
          <w:b/>
          <w:i/>
          <w:sz w:val="24"/>
          <w:szCs w:val="24"/>
        </w:rPr>
        <w:t>registered political party</w:t>
      </w:r>
      <w:r w:rsidRPr="00261CDF">
        <w:rPr>
          <w:rFonts w:ascii="Times New Roman" w:hAnsi="Times New Roman" w:cs="Times New Roman"/>
          <w:sz w:val="24"/>
          <w:szCs w:val="24"/>
        </w:rPr>
        <w:t xml:space="preserve"> has the same meaning as in the </w:t>
      </w:r>
      <w:r w:rsidRPr="00261CDF">
        <w:rPr>
          <w:rFonts w:ascii="Times New Roman" w:hAnsi="Times New Roman" w:cs="Times New Roman"/>
          <w:i/>
          <w:sz w:val="24"/>
          <w:szCs w:val="24"/>
        </w:rPr>
        <w:t>Commonwealth Electoral Act 1918</w:t>
      </w:r>
      <w:r w:rsidR="00AF1DED" w:rsidRPr="00261CDF">
        <w:rPr>
          <w:rFonts w:ascii="Times New Roman" w:hAnsi="Times New Roman" w:cs="Times New Roman"/>
          <w:sz w:val="24"/>
          <w:szCs w:val="24"/>
        </w:rPr>
        <w:t>; that is, a political party registered under Part XI of that Act.</w:t>
      </w:r>
    </w:p>
    <w:p w14:paraId="5ACEDAF0" w14:textId="2DBDA9DC" w:rsidR="001A3FD6" w:rsidRPr="00261CDF" w:rsidRDefault="001A3FD6" w:rsidP="00116173">
      <w:pPr>
        <w:rPr>
          <w:rFonts w:ascii="Times New Roman" w:hAnsi="Times New Roman" w:cs="Times New Roman"/>
          <w:sz w:val="24"/>
          <w:szCs w:val="24"/>
        </w:rPr>
      </w:pPr>
      <w:r w:rsidRPr="00261CDF">
        <w:rPr>
          <w:rFonts w:ascii="Times New Roman" w:hAnsi="Times New Roman" w:cs="Times New Roman"/>
          <w:b/>
          <w:i/>
          <w:sz w:val="24"/>
          <w:szCs w:val="24"/>
        </w:rPr>
        <w:t>research authorisation</w:t>
      </w:r>
      <w:r w:rsidRPr="00261CDF">
        <w:rPr>
          <w:rFonts w:ascii="Times New Roman" w:hAnsi="Times New Roman" w:cs="Times New Roman"/>
          <w:sz w:val="24"/>
          <w:szCs w:val="24"/>
        </w:rPr>
        <w:t xml:space="preserve"> means an authorisa</w:t>
      </w:r>
      <w:r w:rsidR="0031627E">
        <w:rPr>
          <w:rFonts w:ascii="Times New Roman" w:hAnsi="Times New Roman" w:cs="Times New Roman"/>
          <w:sz w:val="24"/>
          <w:szCs w:val="24"/>
        </w:rPr>
        <w:t>tion granted under subsection 21</w:t>
      </w:r>
      <w:r w:rsidRPr="00261CDF">
        <w:rPr>
          <w:rFonts w:ascii="Times New Roman" w:hAnsi="Times New Roman" w:cs="Times New Roman"/>
          <w:sz w:val="24"/>
          <w:szCs w:val="24"/>
        </w:rPr>
        <w:t>(1).</w:t>
      </w:r>
    </w:p>
    <w:p w14:paraId="4CB21695" w14:textId="77777777" w:rsidR="001A3FD6" w:rsidRPr="00261CDF" w:rsidRDefault="001A3FD6" w:rsidP="00116173">
      <w:pPr>
        <w:rPr>
          <w:rFonts w:ascii="Times New Roman" w:hAnsi="Times New Roman" w:cs="Times New Roman"/>
          <w:sz w:val="24"/>
          <w:szCs w:val="24"/>
        </w:rPr>
      </w:pPr>
      <w:r w:rsidRPr="00261CDF">
        <w:rPr>
          <w:rFonts w:ascii="Times New Roman" w:hAnsi="Times New Roman" w:cs="Times New Roman"/>
          <w:b/>
          <w:i/>
          <w:sz w:val="24"/>
          <w:szCs w:val="24"/>
        </w:rPr>
        <w:lastRenderedPageBreak/>
        <w:t>research employee</w:t>
      </w:r>
      <w:r w:rsidRPr="00261CDF">
        <w:rPr>
          <w:rFonts w:ascii="Times New Roman" w:hAnsi="Times New Roman" w:cs="Times New Roman"/>
          <w:sz w:val="24"/>
          <w:szCs w:val="24"/>
        </w:rPr>
        <w:t>, in relation to</w:t>
      </w:r>
      <w:bookmarkStart w:id="5" w:name="BK_S3P6L18C34"/>
      <w:bookmarkEnd w:id="5"/>
      <w:r w:rsidRPr="00261CDF">
        <w:rPr>
          <w:rFonts w:ascii="Times New Roman" w:hAnsi="Times New Roman" w:cs="Times New Roman"/>
          <w:sz w:val="24"/>
          <w:szCs w:val="24"/>
        </w:rPr>
        <w:t xml:space="preserve"> an authorised research entity, means an individual employed or engaged by the entity to conduct authorised research under a research authorisation.</w:t>
      </w:r>
    </w:p>
    <w:p w14:paraId="67193375" w14:textId="0616FAE7" w:rsidR="001A3FD6" w:rsidRPr="00261CDF" w:rsidRDefault="001A3FD6" w:rsidP="00116173">
      <w:pPr>
        <w:rPr>
          <w:rFonts w:ascii="Times New Roman" w:hAnsi="Times New Roman" w:cs="Times New Roman"/>
          <w:sz w:val="24"/>
          <w:szCs w:val="24"/>
        </w:rPr>
      </w:pPr>
      <w:r w:rsidRPr="00261CDF">
        <w:rPr>
          <w:rFonts w:ascii="Times New Roman" w:hAnsi="Times New Roman" w:cs="Times New Roman"/>
          <w:b/>
          <w:i/>
          <w:sz w:val="24"/>
          <w:szCs w:val="24"/>
        </w:rPr>
        <w:t>research entity</w:t>
      </w:r>
      <w:r w:rsidR="00E7051F" w:rsidRPr="00261CDF">
        <w:rPr>
          <w:rFonts w:ascii="Times New Roman" w:hAnsi="Times New Roman" w:cs="Times New Roman"/>
          <w:b/>
          <w:i/>
          <w:sz w:val="24"/>
          <w:szCs w:val="24"/>
        </w:rPr>
        <w:t xml:space="preserve"> </w:t>
      </w:r>
      <w:r w:rsidR="00E7051F" w:rsidRPr="00261CDF">
        <w:rPr>
          <w:rFonts w:ascii="Times New Roman" w:hAnsi="Times New Roman" w:cs="Times New Roman"/>
          <w:sz w:val="24"/>
          <w:szCs w:val="24"/>
        </w:rPr>
        <w:t>has the meaning given under</w:t>
      </w:r>
      <w:r w:rsidRPr="00261CDF">
        <w:rPr>
          <w:rFonts w:ascii="Times New Roman" w:hAnsi="Times New Roman" w:cs="Times New Roman"/>
          <w:sz w:val="24"/>
          <w:szCs w:val="24"/>
        </w:rPr>
        <w:t xml:space="preserve"> subsection 1</w:t>
      </w:r>
      <w:r w:rsidR="0031627E">
        <w:rPr>
          <w:rFonts w:ascii="Times New Roman" w:hAnsi="Times New Roman" w:cs="Times New Roman"/>
          <w:sz w:val="24"/>
          <w:szCs w:val="24"/>
        </w:rPr>
        <w:t>8</w:t>
      </w:r>
      <w:r w:rsidRPr="00261CDF">
        <w:rPr>
          <w:rFonts w:ascii="Times New Roman" w:hAnsi="Times New Roman" w:cs="Times New Roman"/>
          <w:sz w:val="24"/>
          <w:szCs w:val="24"/>
        </w:rPr>
        <w:t>(2).</w:t>
      </w:r>
    </w:p>
    <w:p w14:paraId="4CD80DD5" w14:textId="77777777" w:rsidR="001A3FD6" w:rsidRPr="00261CDF" w:rsidRDefault="001A3FD6" w:rsidP="00116173">
      <w:pPr>
        <w:rPr>
          <w:rFonts w:ascii="Times New Roman" w:hAnsi="Times New Roman" w:cs="Times New Roman"/>
          <w:sz w:val="24"/>
          <w:szCs w:val="24"/>
        </w:rPr>
      </w:pPr>
      <w:r w:rsidRPr="00261CDF">
        <w:rPr>
          <w:rFonts w:ascii="Times New Roman" w:hAnsi="Times New Roman" w:cs="Times New Roman"/>
          <w:b/>
          <w:i/>
          <w:sz w:val="24"/>
          <w:szCs w:val="24"/>
        </w:rPr>
        <w:t>research information</w:t>
      </w:r>
      <w:r w:rsidRPr="00261CDF">
        <w:rPr>
          <w:rFonts w:ascii="Times New Roman" w:hAnsi="Times New Roman" w:cs="Times New Roman"/>
          <w:sz w:val="24"/>
          <w:szCs w:val="24"/>
        </w:rPr>
        <w:t>, in relation to</w:t>
      </w:r>
      <w:bookmarkStart w:id="6" w:name="BK_S3P6L21C37"/>
      <w:bookmarkEnd w:id="6"/>
      <w:r w:rsidRPr="00261CDF">
        <w:rPr>
          <w:rFonts w:ascii="Times New Roman" w:hAnsi="Times New Roman" w:cs="Times New Roman"/>
          <w:sz w:val="24"/>
          <w:szCs w:val="24"/>
        </w:rPr>
        <w:t xml:space="preserve"> a contacted person, means any information obtained from the person when the person is contacted by an authorised research entity for the purposes of authorised research under a research authorisation.</w:t>
      </w:r>
    </w:p>
    <w:p w14:paraId="179787A9" w14:textId="1163F9F0" w:rsidR="001A3FD6" w:rsidRPr="00261CDF" w:rsidRDefault="001A3FD6" w:rsidP="00116173">
      <w:pPr>
        <w:rPr>
          <w:rFonts w:ascii="Times New Roman" w:hAnsi="Times New Roman" w:cs="Times New Roman"/>
          <w:sz w:val="24"/>
          <w:szCs w:val="24"/>
        </w:rPr>
      </w:pPr>
      <w:r w:rsidRPr="00261CDF">
        <w:rPr>
          <w:rFonts w:ascii="Times New Roman" w:hAnsi="Times New Roman" w:cs="Times New Roman"/>
          <w:b/>
          <w:i/>
          <w:sz w:val="24"/>
          <w:szCs w:val="24"/>
        </w:rPr>
        <w:t>service provider determination</w:t>
      </w:r>
      <w:r w:rsidRPr="00261CDF">
        <w:rPr>
          <w:rFonts w:ascii="Times New Roman" w:hAnsi="Times New Roman" w:cs="Times New Roman"/>
          <w:sz w:val="24"/>
          <w:szCs w:val="24"/>
        </w:rPr>
        <w:t xml:space="preserve"> has the same meaning as in section 99 of the Act.</w:t>
      </w:r>
    </w:p>
    <w:p w14:paraId="3E661D11" w14:textId="29485683" w:rsidR="001A3FD6" w:rsidRPr="00261CDF" w:rsidRDefault="001A3FD6" w:rsidP="00116173">
      <w:pPr>
        <w:rPr>
          <w:rFonts w:ascii="Times New Roman" w:hAnsi="Times New Roman" w:cs="Times New Roman"/>
          <w:sz w:val="24"/>
          <w:szCs w:val="24"/>
        </w:rPr>
      </w:pPr>
      <w:r w:rsidRPr="00261CDF">
        <w:rPr>
          <w:rFonts w:ascii="Times New Roman" w:hAnsi="Times New Roman" w:cs="Times New Roman"/>
          <w:b/>
          <w:i/>
          <w:sz w:val="24"/>
          <w:szCs w:val="24"/>
        </w:rPr>
        <w:t>unconditioned local loop service</w:t>
      </w:r>
      <w:r w:rsidR="00E7051F" w:rsidRPr="00261CDF">
        <w:rPr>
          <w:rFonts w:ascii="Times New Roman" w:hAnsi="Times New Roman" w:cs="Times New Roman"/>
          <w:b/>
          <w:i/>
          <w:sz w:val="24"/>
          <w:szCs w:val="24"/>
        </w:rPr>
        <w:t xml:space="preserve"> </w:t>
      </w:r>
      <w:r w:rsidR="00E7051F" w:rsidRPr="00261CDF">
        <w:rPr>
          <w:rFonts w:ascii="Times New Roman" w:hAnsi="Times New Roman" w:cs="Times New Roman"/>
          <w:sz w:val="24"/>
          <w:szCs w:val="24"/>
        </w:rPr>
        <w:t>has the meaning given under</w:t>
      </w:r>
      <w:r w:rsidRPr="00261CDF">
        <w:rPr>
          <w:rFonts w:ascii="Times New Roman" w:hAnsi="Times New Roman" w:cs="Times New Roman"/>
          <w:sz w:val="24"/>
          <w:szCs w:val="24"/>
        </w:rPr>
        <w:t xml:space="preserve"> subsection 1</w:t>
      </w:r>
      <w:r w:rsidR="0031627E">
        <w:rPr>
          <w:rFonts w:ascii="Times New Roman" w:hAnsi="Times New Roman" w:cs="Times New Roman"/>
          <w:sz w:val="24"/>
          <w:szCs w:val="24"/>
        </w:rPr>
        <w:t>2</w:t>
      </w:r>
      <w:r w:rsidRPr="00261CDF">
        <w:rPr>
          <w:rFonts w:ascii="Times New Roman" w:hAnsi="Times New Roman" w:cs="Times New Roman"/>
          <w:sz w:val="24"/>
          <w:szCs w:val="24"/>
        </w:rPr>
        <w:t>(2).</w:t>
      </w:r>
    </w:p>
    <w:p w14:paraId="2ED3CBDE" w14:textId="0E3996D9" w:rsidR="001A3FD6" w:rsidRPr="00AD0430" w:rsidRDefault="001A3FD6" w:rsidP="00116173">
      <w:pPr>
        <w:rPr>
          <w:rFonts w:ascii="Times New Roman" w:hAnsi="Times New Roman" w:cs="Times New Roman"/>
          <w:sz w:val="24"/>
          <w:szCs w:val="24"/>
        </w:rPr>
      </w:pPr>
      <w:r w:rsidRPr="00261CDF">
        <w:rPr>
          <w:rFonts w:ascii="Times New Roman" w:hAnsi="Times New Roman" w:cs="Times New Roman"/>
          <w:b/>
          <w:i/>
          <w:sz w:val="24"/>
          <w:szCs w:val="24"/>
        </w:rPr>
        <w:t>unlisted mobile number information</w:t>
      </w:r>
      <w:r w:rsidR="00E7051F" w:rsidRPr="00261CDF">
        <w:rPr>
          <w:rFonts w:ascii="Times New Roman" w:hAnsi="Times New Roman" w:cs="Times New Roman"/>
          <w:b/>
          <w:i/>
          <w:sz w:val="24"/>
          <w:szCs w:val="24"/>
        </w:rPr>
        <w:t xml:space="preserve"> </w:t>
      </w:r>
      <w:r w:rsidR="00E7051F" w:rsidRPr="000501F2">
        <w:rPr>
          <w:rFonts w:ascii="Times New Roman" w:hAnsi="Times New Roman" w:cs="Times New Roman"/>
          <w:sz w:val="24"/>
          <w:szCs w:val="24"/>
        </w:rPr>
        <w:t xml:space="preserve">is </w:t>
      </w:r>
      <w:r w:rsidR="00E7051F" w:rsidRPr="00261CDF">
        <w:rPr>
          <w:rFonts w:ascii="Times New Roman" w:hAnsi="Times New Roman" w:cs="Times New Roman"/>
          <w:sz w:val="24"/>
          <w:szCs w:val="24"/>
        </w:rPr>
        <w:t>defined</w:t>
      </w:r>
      <w:r w:rsidR="00E7051F" w:rsidRPr="000501F2">
        <w:rPr>
          <w:rFonts w:ascii="Times New Roman" w:hAnsi="Times New Roman" w:cs="Times New Roman"/>
          <w:sz w:val="24"/>
          <w:szCs w:val="24"/>
        </w:rPr>
        <w:t xml:space="preserve"> to be</w:t>
      </w:r>
      <w:r w:rsidR="00E7051F" w:rsidRPr="00A41B82">
        <w:rPr>
          <w:rFonts w:ascii="Times New Roman" w:hAnsi="Times New Roman"/>
          <w:b/>
          <w:i/>
          <w:sz w:val="24"/>
        </w:rPr>
        <w:t xml:space="preserve"> </w:t>
      </w:r>
      <w:r w:rsidRPr="00261CDF">
        <w:rPr>
          <w:rFonts w:ascii="Times New Roman" w:hAnsi="Times New Roman" w:cs="Times New Roman"/>
          <w:sz w:val="24"/>
          <w:szCs w:val="24"/>
        </w:rPr>
        <w:t xml:space="preserve">information </w:t>
      </w:r>
      <w:r w:rsidR="00E7051F" w:rsidRPr="00B71B41">
        <w:rPr>
          <w:rFonts w:ascii="Times New Roman" w:hAnsi="Times New Roman" w:cs="Times New Roman"/>
          <w:sz w:val="24"/>
          <w:szCs w:val="24"/>
        </w:rPr>
        <w:t xml:space="preserve">that </w:t>
      </w:r>
      <w:r w:rsidRPr="00B71B41">
        <w:rPr>
          <w:rFonts w:ascii="Times New Roman" w:hAnsi="Times New Roman" w:cs="Times New Roman"/>
          <w:sz w:val="24"/>
          <w:szCs w:val="24"/>
        </w:rPr>
        <w:t xml:space="preserve">is </w:t>
      </w:r>
    </w:p>
    <w:p w14:paraId="0E40DC11" w14:textId="0295F1AE" w:rsidR="001A3FD6" w:rsidRPr="00621B91" w:rsidRDefault="001A3FD6" w:rsidP="00997B5F">
      <w:pPr>
        <w:pStyle w:val="Definition"/>
        <w:numPr>
          <w:ilvl w:val="0"/>
          <w:numId w:val="9"/>
        </w:numPr>
        <w:spacing w:before="120"/>
        <w:ind w:left="811" w:hanging="357"/>
        <w:rPr>
          <w:sz w:val="24"/>
        </w:rPr>
      </w:pPr>
      <w:r w:rsidRPr="00621B91">
        <w:rPr>
          <w:sz w:val="24"/>
        </w:rPr>
        <w:t>contained in the integrated public number database; and</w:t>
      </w:r>
    </w:p>
    <w:p w14:paraId="42DEC992" w14:textId="040BF520" w:rsidR="009F6B61" w:rsidRPr="00621B91" w:rsidRDefault="001A3FD6" w:rsidP="00997B5F">
      <w:pPr>
        <w:pStyle w:val="Definition"/>
        <w:numPr>
          <w:ilvl w:val="0"/>
          <w:numId w:val="9"/>
        </w:numPr>
        <w:spacing w:before="120"/>
        <w:ind w:left="811" w:hanging="357"/>
        <w:rPr>
          <w:sz w:val="24"/>
        </w:rPr>
      </w:pPr>
      <w:r w:rsidRPr="00373A1C">
        <w:rPr>
          <w:sz w:val="24"/>
          <w:szCs w:val="24"/>
        </w:rPr>
        <w:t xml:space="preserve">to </w:t>
      </w:r>
      <w:r w:rsidRPr="00621B91">
        <w:rPr>
          <w:sz w:val="24"/>
        </w:rPr>
        <w:t>a person’s mobile number that</w:t>
      </w:r>
      <w:r w:rsidR="009F6B61" w:rsidRPr="000501F2">
        <w:rPr>
          <w:sz w:val="24"/>
          <w:szCs w:val="24"/>
        </w:rPr>
        <w:t xml:space="preserve"> </w:t>
      </w:r>
      <w:r w:rsidRPr="00621B91">
        <w:rPr>
          <w:sz w:val="24"/>
        </w:rPr>
        <w:t>is unlisted; and</w:t>
      </w:r>
      <w:r w:rsidR="009F6B61" w:rsidRPr="005D7A3B">
        <w:rPr>
          <w:sz w:val="24"/>
          <w:szCs w:val="24"/>
        </w:rPr>
        <w:t xml:space="preserve"> </w:t>
      </w:r>
      <w:r w:rsidRPr="00621B91">
        <w:rPr>
          <w:sz w:val="24"/>
        </w:rPr>
        <w:t>the database indicates is not used for government, business or charitable purposes; and</w:t>
      </w:r>
    </w:p>
    <w:p w14:paraId="3DCE4048" w14:textId="7CA47242" w:rsidR="001A3FD6" w:rsidRPr="00621B91" w:rsidRDefault="001A3FD6" w:rsidP="00997B5F">
      <w:pPr>
        <w:pStyle w:val="Definition"/>
        <w:numPr>
          <w:ilvl w:val="0"/>
          <w:numId w:val="9"/>
        </w:numPr>
        <w:spacing w:before="120"/>
        <w:ind w:left="811" w:hanging="357"/>
      </w:pPr>
      <w:r w:rsidRPr="00621B91">
        <w:rPr>
          <w:sz w:val="24"/>
        </w:rPr>
        <w:t xml:space="preserve">consists only of </w:t>
      </w:r>
      <w:r w:rsidRPr="00621B91">
        <w:rPr>
          <w:sz w:val="24"/>
          <w:szCs w:val="24"/>
        </w:rPr>
        <w:t>the number</w:t>
      </w:r>
      <w:r w:rsidR="009F6B61" w:rsidRPr="00621B91">
        <w:rPr>
          <w:sz w:val="24"/>
          <w:szCs w:val="24"/>
        </w:rPr>
        <w:t xml:space="preserve"> and/</w:t>
      </w:r>
      <w:r w:rsidR="009F6B61" w:rsidRPr="00621B91">
        <w:rPr>
          <w:sz w:val="24"/>
        </w:rPr>
        <w:t xml:space="preserve">or </w:t>
      </w:r>
      <w:r w:rsidRPr="00621B91">
        <w:rPr>
          <w:sz w:val="24"/>
        </w:rPr>
        <w:t>the postcode of the person’s address.</w:t>
      </w:r>
    </w:p>
    <w:p w14:paraId="3191ECA0" w14:textId="4BC05838" w:rsidR="009C7820" w:rsidRPr="001A0286" w:rsidRDefault="00833BF0" w:rsidP="00C73B66">
      <w:pPr>
        <w:pStyle w:val="ActHead5"/>
      </w:pPr>
      <w:r w:rsidRPr="00AD0430">
        <w:t xml:space="preserve">Section </w:t>
      </w:r>
      <w:r w:rsidR="00DE4D8F">
        <w:t>6</w:t>
      </w:r>
      <w:r w:rsidRPr="00AD0430">
        <w:t xml:space="preserve"> – </w:t>
      </w:r>
      <w:r w:rsidR="00FE5DDF" w:rsidRPr="001A0286">
        <w:t>Meaning of permitted research</w:t>
      </w:r>
    </w:p>
    <w:p w14:paraId="5182046D" w14:textId="0005AFE8" w:rsidR="001112FC" w:rsidRPr="000501F2" w:rsidRDefault="001112FC" w:rsidP="00116173">
      <w:pPr>
        <w:rPr>
          <w:rFonts w:ascii="Times New Roman" w:hAnsi="Times New Roman" w:cs="Times New Roman"/>
          <w:sz w:val="24"/>
          <w:szCs w:val="24"/>
        </w:rPr>
      </w:pPr>
      <w:r w:rsidRPr="00AF2FBA">
        <w:rPr>
          <w:rFonts w:ascii="Times New Roman" w:hAnsi="Times New Roman" w:cs="Times New Roman"/>
          <w:sz w:val="24"/>
          <w:szCs w:val="24"/>
        </w:rPr>
        <w:t xml:space="preserve">Section </w:t>
      </w:r>
      <w:r w:rsidR="00DE4D8F">
        <w:rPr>
          <w:rFonts w:ascii="Times New Roman" w:hAnsi="Times New Roman" w:cs="Times New Roman"/>
          <w:sz w:val="24"/>
          <w:szCs w:val="24"/>
        </w:rPr>
        <w:t>6</w:t>
      </w:r>
      <w:r w:rsidRPr="00AF2FBA">
        <w:rPr>
          <w:rFonts w:ascii="Times New Roman" w:hAnsi="Times New Roman" w:cs="Times New Roman"/>
          <w:sz w:val="24"/>
          <w:szCs w:val="24"/>
        </w:rPr>
        <w:t xml:space="preserve"> introduces a definition of permitted research which is used under research authorisations in </w:t>
      </w:r>
      <w:r w:rsidR="009F6B61" w:rsidRPr="00373A1C">
        <w:rPr>
          <w:rFonts w:ascii="Times New Roman" w:hAnsi="Times New Roman" w:cs="Times New Roman"/>
          <w:sz w:val="24"/>
          <w:szCs w:val="24"/>
        </w:rPr>
        <w:t>s</w:t>
      </w:r>
      <w:r w:rsidRPr="00373A1C">
        <w:rPr>
          <w:rFonts w:ascii="Times New Roman" w:hAnsi="Times New Roman" w:cs="Times New Roman"/>
          <w:sz w:val="24"/>
          <w:szCs w:val="24"/>
        </w:rPr>
        <w:t xml:space="preserve">ection </w:t>
      </w:r>
      <w:r w:rsidR="00DE4D8F">
        <w:rPr>
          <w:rFonts w:ascii="Times New Roman" w:hAnsi="Times New Roman" w:cs="Times New Roman"/>
          <w:sz w:val="24"/>
          <w:szCs w:val="24"/>
        </w:rPr>
        <w:t>21</w:t>
      </w:r>
      <w:r w:rsidRPr="00373A1C">
        <w:rPr>
          <w:rFonts w:ascii="Times New Roman" w:hAnsi="Times New Roman" w:cs="Times New Roman"/>
          <w:sz w:val="24"/>
          <w:szCs w:val="24"/>
        </w:rPr>
        <w:t xml:space="preserve"> of the </w:t>
      </w:r>
      <w:r w:rsidR="009F6B61" w:rsidRPr="000501F2">
        <w:rPr>
          <w:rFonts w:ascii="Times New Roman" w:hAnsi="Times New Roman" w:cs="Times New Roman"/>
          <w:sz w:val="24"/>
          <w:szCs w:val="24"/>
        </w:rPr>
        <w:t>R</w:t>
      </w:r>
      <w:r w:rsidRPr="000501F2">
        <w:rPr>
          <w:rFonts w:ascii="Times New Roman" w:hAnsi="Times New Roman" w:cs="Times New Roman"/>
          <w:sz w:val="24"/>
          <w:szCs w:val="24"/>
        </w:rPr>
        <w:t>egulations.</w:t>
      </w:r>
    </w:p>
    <w:p w14:paraId="46A9328E" w14:textId="4494EE96" w:rsidR="00833BF0" w:rsidRPr="00504FAA" w:rsidRDefault="009F6B61" w:rsidP="00116173">
      <w:pPr>
        <w:rPr>
          <w:rFonts w:ascii="Times New Roman" w:hAnsi="Times New Roman" w:cs="Times New Roman"/>
          <w:sz w:val="24"/>
          <w:szCs w:val="24"/>
        </w:rPr>
      </w:pPr>
      <w:r w:rsidRPr="000501F2">
        <w:rPr>
          <w:rFonts w:ascii="Times New Roman" w:hAnsi="Times New Roman" w:cs="Times New Roman"/>
          <w:sz w:val="24"/>
          <w:szCs w:val="24"/>
        </w:rPr>
        <w:lastRenderedPageBreak/>
        <w:t>Subs</w:t>
      </w:r>
      <w:r w:rsidR="00FE5DDF" w:rsidRPr="000501F2">
        <w:rPr>
          <w:rFonts w:ascii="Times New Roman" w:hAnsi="Times New Roman" w:cs="Times New Roman"/>
          <w:sz w:val="24"/>
          <w:szCs w:val="24"/>
        </w:rPr>
        <w:t xml:space="preserve">ection </w:t>
      </w:r>
      <w:r w:rsidR="00DE4D8F">
        <w:rPr>
          <w:rFonts w:ascii="Times New Roman" w:hAnsi="Times New Roman" w:cs="Times New Roman"/>
          <w:sz w:val="24"/>
          <w:szCs w:val="24"/>
        </w:rPr>
        <w:t>6</w:t>
      </w:r>
      <w:r w:rsidRPr="005D7A3B">
        <w:rPr>
          <w:rFonts w:ascii="Times New Roman" w:hAnsi="Times New Roman" w:cs="Times New Roman"/>
          <w:sz w:val="24"/>
          <w:szCs w:val="24"/>
        </w:rPr>
        <w:t>(1)</w:t>
      </w:r>
      <w:r w:rsidR="00833BF0" w:rsidRPr="005D7A3B">
        <w:rPr>
          <w:rFonts w:ascii="Times New Roman" w:hAnsi="Times New Roman" w:cs="Times New Roman"/>
          <w:sz w:val="24"/>
          <w:szCs w:val="24"/>
        </w:rPr>
        <w:t xml:space="preserve"> </w:t>
      </w:r>
      <w:r w:rsidR="00FE5DDF" w:rsidRPr="005D7A3B">
        <w:rPr>
          <w:rFonts w:ascii="Times New Roman" w:hAnsi="Times New Roman" w:cs="Times New Roman"/>
          <w:sz w:val="24"/>
          <w:szCs w:val="24"/>
        </w:rPr>
        <w:t xml:space="preserve">defines the reasons by which research is permitted </w:t>
      </w:r>
      <w:r w:rsidR="001112FC" w:rsidRPr="005D7A3B">
        <w:rPr>
          <w:rFonts w:ascii="Times New Roman" w:hAnsi="Times New Roman" w:cs="Times New Roman"/>
          <w:sz w:val="24"/>
          <w:szCs w:val="24"/>
        </w:rPr>
        <w:t>under the Regulations</w:t>
      </w:r>
      <w:r w:rsidR="00C34371">
        <w:rPr>
          <w:rFonts w:ascii="Times New Roman" w:hAnsi="Times New Roman" w:cs="Times New Roman"/>
          <w:sz w:val="24"/>
          <w:szCs w:val="24"/>
        </w:rPr>
        <w:t>.</w:t>
      </w:r>
    </w:p>
    <w:p w14:paraId="6A2D597C" w14:textId="78A8305C" w:rsidR="000E6F2A" w:rsidRPr="00C45C69" w:rsidRDefault="000E6F2A" w:rsidP="00116173">
      <w:pPr>
        <w:pStyle w:val="subsection"/>
        <w:tabs>
          <w:tab w:val="clear" w:pos="1021"/>
        </w:tabs>
        <w:ind w:left="0" w:firstLine="0"/>
        <w:rPr>
          <w:sz w:val="24"/>
        </w:rPr>
      </w:pPr>
      <w:r w:rsidRPr="00504FAA">
        <w:rPr>
          <w:sz w:val="24"/>
        </w:rPr>
        <w:t xml:space="preserve">Research is </w:t>
      </w:r>
      <w:r w:rsidRPr="00504FAA">
        <w:rPr>
          <w:b/>
          <w:i/>
          <w:sz w:val="24"/>
        </w:rPr>
        <w:t>p</w:t>
      </w:r>
      <w:r w:rsidRPr="0051512B">
        <w:rPr>
          <w:b/>
          <w:i/>
          <w:sz w:val="24"/>
        </w:rPr>
        <w:t>ermitted research</w:t>
      </w:r>
      <w:r w:rsidRPr="009677A7">
        <w:rPr>
          <w:sz w:val="24"/>
        </w:rPr>
        <w:t xml:space="preserve"> if the research is relevant to public health, including </w:t>
      </w:r>
      <w:r w:rsidRPr="009677A7">
        <w:rPr>
          <w:rFonts w:eastAsiaTheme="minorHAnsi"/>
          <w:sz w:val="24"/>
          <w:szCs w:val="24"/>
          <w:lang w:eastAsia="en-US"/>
        </w:rPr>
        <w:t xml:space="preserve">epidemiological research; or </w:t>
      </w:r>
      <w:r w:rsidRPr="00C45C69">
        <w:rPr>
          <w:sz w:val="24"/>
        </w:rPr>
        <w:t>the research relates to an electoral matter and is conducted by or for one of the following:</w:t>
      </w:r>
    </w:p>
    <w:p w14:paraId="68CEE2D4" w14:textId="3D9965C6" w:rsidR="000E6F2A" w:rsidRPr="00C45C69" w:rsidRDefault="000E6F2A" w:rsidP="00997B5F">
      <w:pPr>
        <w:pStyle w:val="Definition"/>
        <w:numPr>
          <w:ilvl w:val="0"/>
          <w:numId w:val="10"/>
        </w:numPr>
        <w:spacing w:before="120"/>
        <w:ind w:left="811" w:hanging="357"/>
        <w:rPr>
          <w:sz w:val="24"/>
          <w:szCs w:val="24"/>
        </w:rPr>
      </w:pPr>
      <w:r w:rsidRPr="00C45C69">
        <w:rPr>
          <w:sz w:val="24"/>
          <w:szCs w:val="24"/>
        </w:rPr>
        <w:t>a registered political party; or</w:t>
      </w:r>
    </w:p>
    <w:p w14:paraId="63E0D7B9" w14:textId="4D34E364" w:rsidR="000E6F2A" w:rsidRPr="00E37E72" w:rsidRDefault="000E6F2A" w:rsidP="00997B5F">
      <w:pPr>
        <w:pStyle w:val="Definition"/>
        <w:numPr>
          <w:ilvl w:val="0"/>
          <w:numId w:val="10"/>
        </w:numPr>
        <w:spacing w:before="120"/>
        <w:ind w:left="811" w:hanging="357"/>
        <w:rPr>
          <w:sz w:val="24"/>
          <w:szCs w:val="24"/>
        </w:rPr>
      </w:pPr>
      <w:r w:rsidRPr="00E37E72">
        <w:rPr>
          <w:sz w:val="24"/>
          <w:szCs w:val="24"/>
        </w:rPr>
        <w:t>a political representative; or</w:t>
      </w:r>
    </w:p>
    <w:p w14:paraId="43C0C5F3" w14:textId="1EDD279A" w:rsidR="000E6F2A" w:rsidRPr="00D549AB" w:rsidRDefault="000E6F2A" w:rsidP="00997B5F">
      <w:pPr>
        <w:pStyle w:val="Definition"/>
        <w:numPr>
          <w:ilvl w:val="0"/>
          <w:numId w:val="10"/>
        </w:numPr>
        <w:spacing w:before="120"/>
        <w:ind w:left="811" w:hanging="357"/>
        <w:rPr>
          <w:sz w:val="24"/>
          <w:szCs w:val="24"/>
        </w:rPr>
      </w:pPr>
      <w:r w:rsidRPr="00D549AB">
        <w:rPr>
          <w:sz w:val="24"/>
          <w:szCs w:val="24"/>
        </w:rPr>
        <w:t>a candidate in an election for an Australian Parliament or a local government authority;</w:t>
      </w:r>
    </w:p>
    <w:p w14:paraId="5576CAC6" w14:textId="70936984" w:rsidR="000E6F2A" w:rsidRPr="00621B91" w:rsidRDefault="000E6F2A" w:rsidP="00116173">
      <w:pPr>
        <w:rPr>
          <w:rFonts w:ascii="Times New Roman" w:hAnsi="Times New Roman"/>
          <w:sz w:val="24"/>
        </w:rPr>
      </w:pPr>
      <w:r w:rsidRPr="00ED71F5">
        <w:rPr>
          <w:rFonts w:ascii="Times New Roman" w:hAnsi="Times New Roman" w:cs="Times New Roman"/>
          <w:sz w:val="24"/>
          <w:szCs w:val="24"/>
        </w:rPr>
        <w:t>Permitted research also applies if the research will contribute to the development of public policy and is conducted by or for the Commonwealth or a Commonwealth e</w:t>
      </w:r>
      <w:r w:rsidRPr="00325E5D">
        <w:rPr>
          <w:rFonts w:ascii="Times New Roman" w:hAnsi="Times New Roman" w:cs="Times New Roman"/>
          <w:sz w:val="24"/>
          <w:szCs w:val="24"/>
        </w:rPr>
        <w:t>ntity.</w:t>
      </w:r>
    </w:p>
    <w:p w14:paraId="688E0B29" w14:textId="104E6900" w:rsidR="00AF1DED" w:rsidRPr="00261CDF" w:rsidRDefault="00AF1DED" w:rsidP="00AF1DED">
      <w:pPr>
        <w:rPr>
          <w:rFonts w:ascii="Times New Roman" w:hAnsi="Times New Roman" w:cs="Times New Roman"/>
          <w:sz w:val="24"/>
          <w:szCs w:val="24"/>
        </w:rPr>
      </w:pPr>
      <w:r w:rsidRPr="00261CDF">
        <w:rPr>
          <w:rFonts w:ascii="Times New Roman" w:hAnsi="Times New Roman" w:cs="Times New Roman"/>
          <w:sz w:val="24"/>
          <w:szCs w:val="24"/>
        </w:rPr>
        <w:t xml:space="preserve">The intent of this definition is to limit the kinds of research for which the ACMA may grant a research authorisation, and in turn the kinds of research for which access to unlisted mobile number information in the IPND may be granted. The kinds of research specified in this regulation, mirror those provided in the </w:t>
      </w:r>
      <w:r w:rsidRPr="005D7A3B">
        <w:rPr>
          <w:rFonts w:ascii="Times New Roman" w:hAnsi="Times New Roman" w:cs="Times New Roman"/>
          <w:i/>
          <w:sz w:val="24"/>
          <w:szCs w:val="24"/>
        </w:rPr>
        <w:t>Telecommunications (Integrated Public Number Database – Permitted Research Purposes) Instrument 2017</w:t>
      </w:r>
      <w:r w:rsidR="006C79D6" w:rsidRPr="00261CDF">
        <w:rPr>
          <w:rFonts w:ascii="Times New Roman" w:hAnsi="Times New Roman" w:cs="Times New Roman"/>
          <w:i/>
          <w:sz w:val="24"/>
          <w:szCs w:val="24"/>
        </w:rPr>
        <w:t xml:space="preserve"> </w:t>
      </w:r>
      <w:r w:rsidR="006C79D6" w:rsidRPr="005D7A3B">
        <w:rPr>
          <w:rFonts w:ascii="Times New Roman" w:hAnsi="Times New Roman" w:cs="Times New Roman"/>
          <w:sz w:val="24"/>
          <w:szCs w:val="24"/>
        </w:rPr>
        <w:t>(IPND Instrument)</w:t>
      </w:r>
      <w:r w:rsidRPr="00261CDF">
        <w:rPr>
          <w:rFonts w:ascii="Times New Roman" w:hAnsi="Times New Roman" w:cs="Times New Roman"/>
          <w:sz w:val="24"/>
          <w:szCs w:val="24"/>
        </w:rPr>
        <w:t xml:space="preserve">; that is, the research purposes for which access to information about listed numbers is already available. </w:t>
      </w:r>
    </w:p>
    <w:p w14:paraId="5DEA31F7" w14:textId="4C378C8D" w:rsidR="00AF1DED" w:rsidRPr="00373A1C" w:rsidRDefault="00AF1DED" w:rsidP="00AF1DED">
      <w:pPr>
        <w:rPr>
          <w:rFonts w:ascii="Times New Roman" w:hAnsi="Times New Roman" w:cs="Times New Roman"/>
          <w:sz w:val="24"/>
          <w:szCs w:val="24"/>
        </w:rPr>
      </w:pPr>
      <w:r w:rsidRPr="00621B91">
        <w:rPr>
          <w:rFonts w:ascii="Times New Roman" w:hAnsi="Times New Roman"/>
          <w:sz w:val="24"/>
        </w:rPr>
        <w:t xml:space="preserve">The ACMA can authorise research which is relevant to public health, including epidemiological research. Any person can be authorised to access information from the IPND to conduct that type of research. </w:t>
      </w:r>
      <w:r w:rsidRPr="00B71B41">
        <w:rPr>
          <w:rFonts w:ascii="Times New Roman" w:hAnsi="Times New Roman" w:cs="Times New Roman"/>
          <w:sz w:val="24"/>
          <w:szCs w:val="24"/>
        </w:rPr>
        <w:lastRenderedPageBreak/>
        <w:t xml:space="preserve">However, an authorisation can only be granted to the class of </w:t>
      </w:r>
      <w:r w:rsidRPr="00AD0430">
        <w:rPr>
          <w:rFonts w:ascii="Times New Roman" w:hAnsi="Times New Roman" w:cs="Times New Roman"/>
          <w:sz w:val="24"/>
          <w:szCs w:val="24"/>
        </w:rPr>
        <w:t xml:space="preserve">person specified in subsection 5(1) to undertake research relating to an electoral matter or </w:t>
      </w:r>
      <w:r w:rsidR="006C79D6" w:rsidRPr="00AF2FBA">
        <w:rPr>
          <w:rFonts w:ascii="Times New Roman" w:hAnsi="Times New Roman" w:cs="Times New Roman"/>
          <w:sz w:val="24"/>
          <w:szCs w:val="24"/>
        </w:rPr>
        <w:t xml:space="preserve">for </w:t>
      </w:r>
      <w:r w:rsidRPr="00373A1C">
        <w:rPr>
          <w:rFonts w:ascii="Times New Roman" w:hAnsi="Times New Roman" w:cs="Times New Roman"/>
          <w:sz w:val="24"/>
          <w:szCs w:val="24"/>
        </w:rPr>
        <w:t xml:space="preserve">to the development of public policy. These constraints mirror those provided in the </w:t>
      </w:r>
      <w:r w:rsidR="006C79D6" w:rsidRPr="00373A1C">
        <w:rPr>
          <w:rFonts w:ascii="Times New Roman" w:hAnsi="Times New Roman" w:cs="Times New Roman"/>
          <w:sz w:val="24"/>
          <w:szCs w:val="24"/>
        </w:rPr>
        <w:t xml:space="preserve">IPND </w:t>
      </w:r>
      <w:r w:rsidRPr="00373A1C">
        <w:rPr>
          <w:rFonts w:ascii="Times New Roman" w:hAnsi="Times New Roman" w:cs="Times New Roman"/>
          <w:sz w:val="24"/>
          <w:szCs w:val="24"/>
        </w:rPr>
        <w:t>Instrument.</w:t>
      </w:r>
    </w:p>
    <w:p w14:paraId="6243EC1B" w14:textId="00B6060D" w:rsidR="009F6B61" w:rsidRPr="005D7A3B" w:rsidRDefault="009F6B61" w:rsidP="00AF1DED">
      <w:pPr>
        <w:rPr>
          <w:rFonts w:ascii="Times New Roman" w:hAnsi="Times New Roman" w:cs="Times New Roman"/>
          <w:sz w:val="24"/>
        </w:rPr>
      </w:pPr>
      <w:r w:rsidRPr="00504FAA">
        <w:rPr>
          <w:rFonts w:ascii="Times New Roman" w:hAnsi="Times New Roman" w:cs="Times New Roman"/>
          <w:sz w:val="24"/>
          <w:szCs w:val="24"/>
        </w:rPr>
        <w:t xml:space="preserve">Subsection 6(2) specifies when research will not be permitted research for the purposes of the Regulations. </w:t>
      </w:r>
      <w:r w:rsidR="006C79D6" w:rsidRPr="00621B91">
        <w:rPr>
          <w:rFonts w:ascii="Times New Roman" w:hAnsi="Times New Roman"/>
          <w:sz w:val="24"/>
        </w:rPr>
        <w:t>This provision is intended to ensure that a research entity is prohibited from accessing information in the IPND under a research authorisation primarily for a commercial purpose. However, the provision is intended to allow a research entity that is conducting research on behalf of another person or body to obtain financial benefit in return for providing the research services (such as payment for the service of carrying out the research).</w:t>
      </w:r>
    </w:p>
    <w:p w14:paraId="0450D816" w14:textId="3AE48412" w:rsidR="000E6F2A" w:rsidRPr="00C82758" w:rsidRDefault="00517F4D" w:rsidP="00C34371">
      <w:pPr>
        <w:pStyle w:val="ActHead2"/>
      </w:pPr>
      <w:r w:rsidRPr="00C82758">
        <w:t>Part 2 – Service provider determinations</w:t>
      </w:r>
    </w:p>
    <w:p w14:paraId="6F0EA67B" w14:textId="6DB4F365" w:rsidR="0087326E" w:rsidRPr="00AD0430" w:rsidRDefault="00517F4D" w:rsidP="00116173">
      <w:pPr>
        <w:shd w:val="clear" w:color="auto" w:fill="FFFFFF"/>
        <w:spacing w:before="100" w:beforeAutospacing="1" w:after="100" w:afterAutospacing="1" w:line="240" w:lineRule="auto"/>
        <w:rPr>
          <w:rFonts w:ascii="Times New Roman" w:hAnsi="Times New Roman" w:cs="Times New Roman"/>
          <w:sz w:val="24"/>
          <w:szCs w:val="24"/>
        </w:rPr>
      </w:pPr>
      <w:r w:rsidRPr="00B71B41">
        <w:rPr>
          <w:rFonts w:ascii="Times New Roman" w:hAnsi="Times New Roman" w:cs="Times New Roman"/>
          <w:sz w:val="24"/>
          <w:szCs w:val="24"/>
        </w:rPr>
        <w:t xml:space="preserve">Part 2 specifies matters in relation to which the ACMA may make a service provider determination for the purposes of section 99(3) of the Act. Under section 99, the ACMA may, by legislative instrument, make a service provider determination setting out rules that apply to service providers in relation to the supply of specified carriage services and specified content services. </w:t>
      </w:r>
    </w:p>
    <w:p w14:paraId="654B386B" w14:textId="21B4FC3C" w:rsidR="00C13958" w:rsidRPr="00373A1C" w:rsidRDefault="00517F4D" w:rsidP="00116173">
      <w:pPr>
        <w:shd w:val="clear" w:color="auto" w:fill="FFFFFF"/>
        <w:spacing w:before="100" w:beforeAutospacing="1" w:after="100" w:afterAutospacing="1" w:line="240" w:lineRule="auto"/>
        <w:rPr>
          <w:rFonts w:ascii="Times New Roman" w:hAnsi="Times New Roman" w:cs="Times New Roman"/>
          <w:sz w:val="24"/>
          <w:szCs w:val="24"/>
        </w:rPr>
      </w:pPr>
      <w:r w:rsidRPr="00AD0430">
        <w:rPr>
          <w:rFonts w:ascii="Times New Roman" w:hAnsi="Times New Roman" w:cs="Times New Roman"/>
          <w:sz w:val="24"/>
          <w:szCs w:val="24"/>
        </w:rPr>
        <w:t xml:space="preserve">However, the ACMA must not make a service provider determination unless the determination relates to a matter specified in </w:t>
      </w:r>
      <w:r w:rsidRPr="00373A1C">
        <w:rPr>
          <w:rFonts w:ascii="Times New Roman" w:hAnsi="Times New Roman" w:cs="Times New Roman"/>
          <w:sz w:val="24"/>
          <w:szCs w:val="24"/>
        </w:rPr>
        <w:t xml:space="preserve">regulations or in section 346 of the Act. </w:t>
      </w:r>
    </w:p>
    <w:p w14:paraId="7794A61A" w14:textId="57E6D11D" w:rsidR="00DE4D8F" w:rsidRPr="00A41B82" w:rsidRDefault="00DE4D8F" w:rsidP="00C34371">
      <w:pPr>
        <w:pStyle w:val="ActHead5"/>
      </w:pPr>
      <w:r w:rsidRPr="00A41B82">
        <w:lastRenderedPageBreak/>
        <w:t>Section 7 – Purpose of this Part</w:t>
      </w:r>
    </w:p>
    <w:p w14:paraId="7102A7E7" w14:textId="46AEB235" w:rsidR="00517F4D" w:rsidRPr="009677A7" w:rsidRDefault="00517F4D" w:rsidP="00116173">
      <w:pPr>
        <w:shd w:val="clear" w:color="auto" w:fill="FFFFFF"/>
        <w:spacing w:before="100" w:beforeAutospacing="1" w:after="100" w:afterAutospacing="1" w:line="240" w:lineRule="auto"/>
        <w:rPr>
          <w:rFonts w:ascii="Times New Roman" w:hAnsi="Times New Roman" w:cs="Times New Roman"/>
          <w:sz w:val="24"/>
          <w:szCs w:val="24"/>
        </w:rPr>
      </w:pPr>
      <w:r w:rsidRPr="00373A1C">
        <w:rPr>
          <w:rFonts w:ascii="Times New Roman" w:hAnsi="Times New Roman" w:cs="Times New Roman"/>
          <w:sz w:val="24"/>
          <w:szCs w:val="24"/>
        </w:rPr>
        <w:t xml:space="preserve">Part 2 </w:t>
      </w:r>
      <w:r w:rsidR="00C13958" w:rsidRPr="00373A1C">
        <w:rPr>
          <w:rFonts w:ascii="Times New Roman" w:hAnsi="Times New Roman" w:cs="Times New Roman"/>
          <w:sz w:val="24"/>
          <w:szCs w:val="24"/>
        </w:rPr>
        <w:t xml:space="preserve">of the Regulations </w:t>
      </w:r>
      <w:r w:rsidRPr="000501F2">
        <w:rPr>
          <w:rFonts w:ascii="Times New Roman" w:hAnsi="Times New Roman" w:cs="Times New Roman"/>
          <w:sz w:val="24"/>
          <w:szCs w:val="24"/>
        </w:rPr>
        <w:t>sets out those matters in relation to which service provider dete</w:t>
      </w:r>
      <w:r w:rsidR="00142278" w:rsidRPr="00504FAA">
        <w:rPr>
          <w:rFonts w:ascii="Times New Roman" w:hAnsi="Times New Roman" w:cs="Times New Roman"/>
          <w:sz w:val="24"/>
          <w:szCs w:val="24"/>
        </w:rPr>
        <w:t>rminations may be made</w:t>
      </w:r>
      <w:r w:rsidR="00C13958" w:rsidRPr="00504FAA">
        <w:rPr>
          <w:rFonts w:ascii="Times New Roman" w:hAnsi="Times New Roman" w:cs="Times New Roman"/>
          <w:sz w:val="24"/>
          <w:szCs w:val="24"/>
        </w:rPr>
        <w:t>, namel</w:t>
      </w:r>
      <w:r w:rsidR="00595ED1">
        <w:rPr>
          <w:rFonts w:ascii="Times New Roman" w:hAnsi="Times New Roman" w:cs="Times New Roman"/>
          <w:sz w:val="24"/>
          <w:szCs w:val="24"/>
        </w:rPr>
        <w:t>y</w:t>
      </w:r>
      <w:r w:rsidR="00142278" w:rsidRPr="0051512B">
        <w:rPr>
          <w:rFonts w:ascii="Times New Roman" w:hAnsi="Times New Roman" w:cs="Times New Roman"/>
          <w:sz w:val="24"/>
          <w:szCs w:val="24"/>
        </w:rPr>
        <w:t xml:space="preserve">: prepaid mobile carriage services; premium services; fixed or mobile voice or data carriage services; and information relating to the telecommunications industry. </w:t>
      </w:r>
    </w:p>
    <w:p w14:paraId="47AFEA11" w14:textId="5691DCF0" w:rsidR="00142278" w:rsidRPr="00C45C69" w:rsidRDefault="00142278" w:rsidP="00C34371">
      <w:pPr>
        <w:pStyle w:val="ActHead5"/>
      </w:pPr>
      <w:r w:rsidRPr="00C45C69">
        <w:t>Section</w:t>
      </w:r>
      <w:r w:rsidR="00DA7D15">
        <w:t xml:space="preserve"> 8</w:t>
      </w:r>
      <w:r w:rsidRPr="00C45C69">
        <w:t xml:space="preserve"> </w:t>
      </w:r>
      <w:r w:rsidR="008324DC">
        <w:t>–</w:t>
      </w:r>
      <w:r w:rsidRPr="00C45C69">
        <w:t xml:space="preserve"> Prepaid mobile carriage services</w:t>
      </w:r>
    </w:p>
    <w:p w14:paraId="676D3A08" w14:textId="4539B474" w:rsidR="001E1F4D" w:rsidRPr="00261CDF" w:rsidRDefault="001E1F4D" w:rsidP="00C41A2B">
      <w:pPr>
        <w:shd w:val="clear" w:color="auto" w:fill="FFFFFF"/>
        <w:spacing w:before="100" w:beforeAutospacing="1" w:after="100" w:afterAutospacing="1" w:line="240" w:lineRule="auto"/>
        <w:rPr>
          <w:rFonts w:ascii="Times New Roman" w:hAnsi="Times New Roman" w:cs="Times New Roman"/>
          <w:sz w:val="24"/>
          <w:szCs w:val="24"/>
        </w:rPr>
      </w:pPr>
      <w:r w:rsidRPr="00E37E72">
        <w:rPr>
          <w:rFonts w:ascii="Times New Roman" w:hAnsi="Times New Roman" w:cs="Times New Roman"/>
          <w:sz w:val="24"/>
          <w:szCs w:val="24"/>
        </w:rPr>
        <w:t xml:space="preserve">Subsection </w:t>
      </w:r>
      <w:r w:rsidR="00DA7D15">
        <w:rPr>
          <w:rFonts w:ascii="Times New Roman" w:hAnsi="Times New Roman" w:cs="Times New Roman"/>
          <w:sz w:val="24"/>
          <w:szCs w:val="24"/>
        </w:rPr>
        <w:t>8</w:t>
      </w:r>
      <w:r w:rsidRPr="00E37E72">
        <w:rPr>
          <w:rFonts w:ascii="Times New Roman" w:hAnsi="Times New Roman" w:cs="Times New Roman"/>
          <w:sz w:val="24"/>
          <w:szCs w:val="24"/>
        </w:rPr>
        <w:t xml:space="preserve">(1) </w:t>
      </w:r>
      <w:r w:rsidR="00C41A2B" w:rsidRPr="00E37E72">
        <w:rPr>
          <w:rFonts w:ascii="Times New Roman" w:hAnsi="Times New Roman" w:cs="Times New Roman"/>
          <w:sz w:val="24"/>
          <w:szCs w:val="24"/>
        </w:rPr>
        <w:t xml:space="preserve">specifies </w:t>
      </w:r>
      <w:r w:rsidR="00B4531A">
        <w:rPr>
          <w:rFonts w:ascii="Times New Roman" w:hAnsi="Times New Roman" w:cs="Times New Roman"/>
          <w:sz w:val="24"/>
          <w:szCs w:val="24"/>
        </w:rPr>
        <w:t>six</w:t>
      </w:r>
      <w:r w:rsidR="00C41A2B" w:rsidRPr="00D549AB">
        <w:rPr>
          <w:rFonts w:ascii="Times New Roman" w:hAnsi="Times New Roman" w:cs="Times New Roman"/>
          <w:sz w:val="24"/>
          <w:szCs w:val="24"/>
        </w:rPr>
        <w:t xml:space="preserve"> matters in relation to which </w:t>
      </w:r>
      <w:r w:rsidRPr="00D549AB">
        <w:rPr>
          <w:rFonts w:ascii="Times New Roman" w:hAnsi="Times New Roman" w:cs="Times New Roman"/>
          <w:sz w:val="24"/>
          <w:szCs w:val="24"/>
        </w:rPr>
        <w:t>service provider determination</w:t>
      </w:r>
      <w:r w:rsidR="00C41A2B" w:rsidRPr="00ED71F5">
        <w:rPr>
          <w:rFonts w:ascii="Times New Roman" w:hAnsi="Times New Roman" w:cs="Times New Roman"/>
          <w:sz w:val="24"/>
          <w:szCs w:val="24"/>
        </w:rPr>
        <w:t xml:space="preserve">s </w:t>
      </w:r>
      <w:r w:rsidR="00C41A2B" w:rsidRPr="00261CDF">
        <w:rPr>
          <w:rFonts w:ascii="Times New Roman" w:hAnsi="Times New Roman" w:cs="Times New Roman"/>
          <w:sz w:val="24"/>
          <w:szCs w:val="24"/>
        </w:rPr>
        <w:t xml:space="preserve">about </w:t>
      </w:r>
      <w:r w:rsidRPr="00261CDF">
        <w:rPr>
          <w:rFonts w:ascii="Times New Roman" w:hAnsi="Times New Roman" w:cs="Times New Roman"/>
          <w:sz w:val="24"/>
          <w:szCs w:val="24"/>
        </w:rPr>
        <w:t>the supply of prepaid mobile carriage services may relate</w:t>
      </w:r>
      <w:r w:rsidR="00C41A2B" w:rsidRPr="00261CDF">
        <w:rPr>
          <w:rFonts w:ascii="Times New Roman" w:hAnsi="Times New Roman" w:cs="Times New Roman"/>
          <w:sz w:val="24"/>
          <w:szCs w:val="24"/>
        </w:rPr>
        <w:t>.</w:t>
      </w:r>
    </w:p>
    <w:p w14:paraId="23E27416" w14:textId="3A79D727" w:rsidR="001E1F4D" w:rsidRPr="00261CDF" w:rsidRDefault="00C41A2B" w:rsidP="00116173">
      <w:pPr>
        <w:shd w:val="clear" w:color="auto" w:fill="FFFFFF"/>
        <w:spacing w:before="100" w:beforeAutospacing="1" w:after="100" w:afterAutospacing="1" w:line="240" w:lineRule="auto"/>
        <w:rPr>
          <w:rFonts w:ascii="Times New Roman" w:hAnsi="Times New Roman" w:cs="Times New Roman"/>
          <w:sz w:val="24"/>
          <w:szCs w:val="24"/>
        </w:rPr>
      </w:pPr>
      <w:r w:rsidRPr="00261CDF">
        <w:rPr>
          <w:rFonts w:ascii="Times New Roman" w:hAnsi="Times New Roman" w:cs="Times New Roman"/>
          <w:sz w:val="24"/>
          <w:szCs w:val="24"/>
        </w:rPr>
        <w:t xml:space="preserve">The first matter is </w:t>
      </w:r>
      <w:r w:rsidR="001E1F4D" w:rsidRPr="00261CDF">
        <w:rPr>
          <w:rFonts w:ascii="Times New Roman" w:hAnsi="Times New Roman" w:cs="Times New Roman"/>
          <w:sz w:val="24"/>
          <w:szCs w:val="24"/>
        </w:rPr>
        <w:t>verifying customer identity (including by obtaining from the customers reasonably necessary information, using the National Document Verification Services or a similar service to check the veracity of a document produced by the customer; and finding out what other carriage services are provided to the customer)</w:t>
      </w:r>
      <w:r w:rsidRPr="00261CDF">
        <w:rPr>
          <w:rFonts w:ascii="Times New Roman" w:hAnsi="Times New Roman" w:cs="Times New Roman"/>
          <w:sz w:val="24"/>
          <w:szCs w:val="24"/>
        </w:rPr>
        <w:t>.</w:t>
      </w:r>
    </w:p>
    <w:p w14:paraId="7851B815" w14:textId="0101C04F" w:rsidR="00C41A2B" w:rsidRPr="005D7A3B" w:rsidRDefault="00C41A2B" w:rsidP="00C41A2B">
      <w:pPr>
        <w:shd w:val="clear" w:color="auto" w:fill="FFFFFF"/>
        <w:spacing w:before="100" w:beforeAutospacing="1" w:after="100" w:afterAutospacing="1" w:line="240" w:lineRule="auto"/>
        <w:rPr>
          <w:rFonts w:ascii="Times New Roman" w:hAnsi="Times New Roman" w:cs="Times New Roman"/>
          <w:sz w:val="24"/>
          <w:szCs w:val="24"/>
        </w:rPr>
      </w:pPr>
      <w:r w:rsidRPr="00261CDF">
        <w:rPr>
          <w:rFonts w:ascii="Times New Roman" w:hAnsi="Times New Roman" w:cs="Times New Roman"/>
          <w:sz w:val="24"/>
          <w:szCs w:val="24"/>
        </w:rPr>
        <w:t xml:space="preserve">The second matter is </w:t>
      </w:r>
      <w:r w:rsidR="001E1F4D" w:rsidRPr="00261CDF">
        <w:rPr>
          <w:rFonts w:ascii="Times New Roman" w:hAnsi="Times New Roman" w:cs="Times New Roman"/>
          <w:sz w:val="24"/>
          <w:szCs w:val="24"/>
        </w:rPr>
        <w:t xml:space="preserve">obtaining </w:t>
      </w:r>
      <w:r w:rsidR="0059385B">
        <w:rPr>
          <w:rFonts w:ascii="Times New Roman" w:hAnsi="Times New Roman" w:cs="Times New Roman"/>
          <w:sz w:val="24"/>
          <w:szCs w:val="24"/>
        </w:rPr>
        <w:t>information from the customer</w:t>
      </w:r>
      <w:r w:rsidR="001E1F4D" w:rsidRPr="00261CDF">
        <w:rPr>
          <w:rFonts w:ascii="Times New Roman" w:hAnsi="Times New Roman" w:cs="Times New Roman"/>
          <w:sz w:val="24"/>
          <w:szCs w:val="24"/>
        </w:rPr>
        <w:t xml:space="preserve"> about the customer</w:t>
      </w:r>
      <w:r w:rsidR="0059385B">
        <w:rPr>
          <w:rFonts w:ascii="Times New Roman" w:hAnsi="Times New Roman" w:cs="Times New Roman"/>
          <w:sz w:val="24"/>
          <w:szCs w:val="24"/>
        </w:rPr>
        <w:t xml:space="preserve">’s proposed </w:t>
      </w:r>
      <w:r w:rsidR="001E1F4D" w:rsidRPr="00261CDF">
        <w:rPr>
          <w:rFonts w:ascii="Times New Roman" w:hAnsi="Times New Roman" w:cs="Times New Roman"/>
          <w:sz w:val="24"/>
          <w:szCs w:val="24"/>
        </w:rPr>
        <w:t>use</w:t>
      </w:r>
      <w:r w:rsidR="0059385B">
        <w:rPr>
          <w:rFonts w:ascii="Times New Roman" w:hAnsi="Times New Roman" w:cs="Times New Roman"/>
          <w:sz w:val="24"/>
          <w:szCs w:val="24"/>
        </w:rPr>
        <w:t xml:space="preserve"> of</w:t>
      </w:r>
      <w:r w:rsidR="001E1F4D" w:rsidRPr="00261CDF">
        <w:rPr>
          <w:rFonts w:ascii="Times New Roman" w:hAnsi="Times New Roman" w:cs="Times New Roman"/>
          <w:sz w:val="24"/>
          <w:szCs w:val="24"/>
        </w:rPr>
        <w:t xml:space="preserve"> the pre</w:t>
      </w:r>
      <w:r w:rsidR="0059385B">
        <w:rPr>
          <w:rFonts w:ascii="Times New Roman" w:hAnsi="Times New Roman" w:cs="Times New Roman"/>
          <w:sz w:val="24"/>
          <w:szCs w:val="24"/>
        </w:rPr>
        <w:t>paid mobile carriage service</w:t>
      </w:r>
      <w:r w:rsidR="00771D96">
        <w:rPr>
          <w:rFonts w:ascii="Times New Roman" w:hAnsi="Times New Roman" w:cs="Times New Roman"/>
          <w:sz w:val="24"/>
          <w:szCs w:val="24"/>
        </w:rPr>
        <w:t>.</w:t>
      </w:r>
      <w:r w:rsidR="004320AE">
        <w:rPr>
          <w:rFonts w:ascii="Times New Roman" w:hAnsi="Times New Roman" w:cs="Times New Roman"/>
          <w:sz w:val="24"/>
          <w:szCs w:val="24"/>
        </w:rPr>
        <w:t xml:space="preserve"> </w:t>
      </w:r>
      <w:r w:rsidRPr="00261CDF">
        <w:rPr>
          <w:rFonts w:ascii="Times New Roman" w:hAnsi="Times New Roman" w:cs="Times New Roman"/>
          <w:sz w:val="24"/>
          <w:szCs w:val="24"/>
        </w:rPr>
        <w:t xml:space="preserve">The third matter is </w:t>
      </w:r>
      <w:r w:rsidR="001E1F4D" w:rsidRPr="00261CDF">
        <w:rPr>
          <w:rFonts w:ascii="Times New Roman" w:hAnsi="Times New Roman" w:cs="Times New Roman"/>
          <w:sz w:val="24"/>
          <w:szCs w:val="24"/>
        </w:rPr>
        <w:t>recording and keeping</w:t>
      </w:r>
      <w:r w:rsidRPr="00261CDF">
        <w:rPr>
          <w:rFonts w:ascii="Times New Roman" w:hAnsi="Times New Roman" w:cs="Times New Roman"/>
          <w:sz w:val="24"/>
          <w:szCs w:val="24"/>
        </w:rPr>
        <w:t xml:space="preserve"> the following type of</w:t>
      </w:r>
      <w:r w:rsidR="005D7A3B">
        <w:rPr>
          <w:rFonts w:ascii="Times New Roman" w:hAnsi="Times New Roman" w:cs="Times New Roman"/>
          <w:sz w:val="24"/>
          <w:szCs w:val="24"/>
        </w:rPr>
        <w:t xml:space="preserve"> information</w:t>
      </w:r>
      <w:r w:rsidRPr="005D7A3B">
        <w:rPr>
          <w:rFonts w:ascii="Times New Roman" w:hAnsi="Times New Roman" w:cs="Times New Roman"/>
          <w:sz w:val="24"/>
          <w:szCs w:val="24"/>
        </w:rPr>
        <w:t xml:space="preserve"> </w:t>
      </w:r>
    </w:p>
    <w:p w14:paraId="7AF4C47B" w14:textId="420056A9" w:rsidR="00C41A2B" w:rsidRPr="00B71B41" w:rsidRDefault="001E1F4D" w:rsidP="00997B5F">
      <w:pPr>
        <w:pStyle w:val="Definition"/>
        <w:numPr>
          <w:ilvl w:val="0"/>
          <w:numId w:val="11"/>
        </w:numPr>
        <w:spacing w:before="120"/>
        <w:ind w:left="811" w:hanging="357"/>
        <w:rPr>
          <w:sz w:val="24"/>
          <w:szCs w:val="24"/>
        </w:rPr>
      </w:pPr>
      <w:r w:rsidRPr="00621B91">
        <w:rPr>
          <w:sz w:val="24"/>
        </w:rPr>
        <w:t>information</w:t>
      </w:r>
      <w:r w:rsidR="00C41A2B" w:rsidRPr="00621B91">
        <w:rPr>
          <w:sz w:val="24"/>
        </w:rPr>
        <w:t xml:space="preserve"> </w:t>
      </w:r>
      <w:r w:rsidRPr="00621B91">
        <w:rPr>
          <w:sz w:val="24"/>
        </w:rPr>
        <w:t xml:space="preserve">verifying customer identity (but not including the identifying number of a government document); </w:t>
      </w:r>
    </w:p>
    <w:p w14:paraId="7A93F509" w14:textId="123FE8ED" w:rsidR="00C41A2B" w:rsidRPr="001A0286" w:rsidRDefault="001E1F4D" w:rsidP="00997B5F">
      <w:pPr>
        <w:pStyle w:val="Definition"/>
        <w:numPr>
          <w:ilvl w:val="0"/>
          <w:numId w:val="11"/>
        </w:numPr>
        <w:spacing w:before="120"/>
        <w:ind w:left="811" w:hanging="357"/>
        <w:rPr>
          <w:sz w:val="24"/>
          <w:szCs w:val="24"/>
        </w:rPr>
      </w:pPr>
      <w:r w:rsidRPr="00621B91">
        <w:rPr>
          <w:sz w:val="24"/>
        </w:rPr>
        <w:lastRenderedPageBreak/>
        <w:t>information about what the customer proposes to use the service for; and</w:t>
      </w:r>
      <w:r w:rsidRPr="00AD0430">
        <w:rPr>
          <w:sz w:val="24"/>
          <w:szCs w:val="24"/>
        </w:rPr>
        <w:t xml:space="preserve"> </w:t>
      </w:r>
    </w:p>
    <w:p w14:paraId="52318A51" w14:textId="3FF68E9F" w:rsidR="001E1F4D" w:rsidRPr="00621B91" w:rsidRDefault="001E1F4D" w:rsidP="00997B5F">
      <w:pPr>
        <w:pStyle w:val="Definition"/>
        <w:numPr>
          <w:ilvl w:val="0"/>
          <w:numId w:val="11"/>
        </w:numPr>
        <w:spacing w:before="120"/>
        <w:ind w:left="811" w:hanging="357"/>
        <w:rPr>
          <w:sz w:val="24"/>
        </w:rPr>
      </w:pPr>
      <w:r w:rsidRPr="00621B91">
        <w:rPr>
          <w:sz w:val="24"/>
        </w:rPr>
        <w:t>information that the carriage service provider possesses about the supply of the prepaid carriage service to the customer</w:t>
      </w:r>
      <w:r w:rsidR="004320AE">
        <w:rPr>
          <w:sz w:val="24"/>
        </w:rPr>
        <w:t>.</w:t>
      </w:r>
    </w:p>
    <w:p w14:paraId="51119F61" w14:textId="5364C8C9" w:rsidR="001E1F4D" w:rsidRPr="00C45C69" w:rsidRDefault="00C41A2B" w:rsidP="00116173">
      <w:pPr>
        <w:shd w:val="clear" w:color="auto" w:fill="FFFFFF"/>
        <w:spacing w:before="100" w:beforeAutospacing="1" w:after="100" w:afterAutospacing="1" w:line="240" w:lineRule="auto"/>
        <w:rPr>
          <w:rFonts w:ascii="Times New Roman" w:hAnsi="Times New Roman" w:cs="Times New Roman"/>
          <w:sz w:val="24"/>
          <w:szCs w:val="24"/>
        </w:rPr>
      </w:pPr>
      <w:r w:rsidRPr="00504FAA">
        <w:rPr>
          <w:rFonts w:ascii="Times New Roman" w:hAnsi="Times New Roman" w:cs="Times New Roman"/>
          <w:sz w:val="24"/>
          <w:szCs w:val="24"/>
        </w:rPr>
        <w:t xml:space="preserve">The fourth matter is </w:t>
      </w:r>
      <w:r w:rsidR="001E1F4D" w:rsidRPr="0051512B">
        <w:rPr>
          <w:rFonts w:ascii="Times New Roman" w:hAnsi="Times New Roman" w:cs="Times New Roman"/>
          <w:sz w:val="24"/>
          <w:szCs w:val="24"/>
        </w:rPr>
        <w:t>destroying information that is recorded if the destruction is reasonable, including destruction when the information is no longer required by th</w:t>
      </w:r>
      <w:r w:rsidR="000E6AA1" w:rsidRPr="009677A7">
        <w:rPr>
          <w:rFonts w:ascii="Times New Roman" w:hAnsi="Times New Roman" w:cs="Times New Roman"/>
          <w:sz w:val="24"/>
          <w:szCs w:val="24"/>
        </w:rPr>
        <w:t>e carriage service provider</w:t>
      </w:r>
      <w:r w:rsidR="00D17294" w:rsidRPr="00C45C69">
        <w:rPr>
          <w:rFonts w:ascii="Times New Roman" w:hAnsi="Times New Roman" w:cs="Times New Roman"/>
          <w:sz w:val="24"/>
          <w:szCs w:val="24"/>
        </w:rPr>
        <w:t>.</w:t>
      </w:r>
    </w:p>
    <w:p w14:paraId="7D4435ED" w14:textId="5C77A474" w:rsidR="00D17294" w:rsidRPr="00D549AB" w:rsidRDefault="00D17294" w:rsidP="00116173">
      <w:pPr>
        <w:shd w:val="clear" w:color="auto" w:fill="FFFFFF"/>
        <w:spacing w:before="100" w:beforeAutospacing="1" w:after="100" w:afterAutospacing="1" w:line="240" w:lineRule="auto"/>
        <w:rPr>
          <w:rFonts w:ascii="Times New Roman" w:hAnsi="Times New Roman" w:cs="Times New Roman"/>
          <w:sz w:val="24"/>
          <w:szCs w:val="24"/>
        </w:rPr>
      </w:pPr>
      <w:r w:rsidRPr="00E37E72">
        <w:rPr>
          <w:rFonts w:ascii="Times New Roman" w:hAnsi="Times New Roman" w:cs="Times New Roman"/>
          <w:sz w:val="24"/>
          <w:szCs w:val="24"/>
        </w:rPr>
        <w:t xml:space="preserve">The fifth matter is </w:t>
      </w:r>
      <w:r w:rsidR="001E1F4D" w:rsidRPr="00D549AB">
        <w:rPr>
          <w:rFonts w:ascii="Times New Roman" w:hAnsi="Times New Roman" w:cs="Times New Roman"/>
          <w:sz w:val="24"/>
          <w:szCs w:val="24"/>
        </w:rPr>
        <w:t xml:space="preserve">preventing the use of a prepaid mobile carriage service if: </w:t>
      </w:r>
    </w:p>
    <w:p w14:paraId="67CB977A" w14:textId="77777777" w:rsidR="00D17294" w:rsidRPr="00261CDF" w:rsidRDefault="001E1F4D" w:rsidP="00997B5F">
      <w:pPr>
        <w:pStyle w:val="Definition"/>
        <w:numPr>
          <w:ilvl w:val="0"/>
          <w:numId w:val="12"/>
        </w:numPr>
        <w:spacing w:before="120"/>
        <w:ind w:left="811" w:hanging="357"/>
        <w:rPr>
          <w:sz w:val="24"/>
          <w:szCs w:val="24"/>
        </w:rPr>
      </w:pPr>
      <w:r w:rsidRPr="00621B91">
        <w:rPr>
          <w:sz w:val="24"/>
        </w:rPr>
        <w:t>a customer</w:t>
      </w:r>
      <w:r w:rsidR="000E6AA1" w:rsidRPr="00621B91">
        <w:rPr>
          <w:sz w:val="24"/>
        </w:rPr>
        <w:t xml:space="preserve"> fails to ver</w:t>
      </w:r>
      <w:r w:rsidRPr="00621B91">
        <w:rPr>
          <w:sz w:val="24"/>
        </w:rPr>
        <w:t xml:space="preserve">ify their identity (including by providing false or misleading information); or </w:t>
      </w:r>
    </w:p>
    <w:p w14:paraId="0500F7E1" w14:textId="5C35C037" w:rsidR="00B4531A" w:rsidRPr="00861895" w:rsidRDefault="001E1F4D" w:rsidP="00861895">
      <w:pPr>
        <w:pStyle w:val="Definition"/>
        <w:numPr>
          <w:ilvl w:val="0"/>
          <w:numId w:val="12"/>
        </w:numPr>
        <w:spacing w:before="120"/>
        <w:ind w:left="811" w:hanging="357"/>
        <w:rPr>
          <w:sz w:val="24"/>
        </w:rPr>
      </w:pPr>
      <w:r w:rsidRPr="00621B91">
        <w:rPr>
          <w:sz w:val="24"/>
        </w:rPr>
        <w:t>an authorised law enforcement officer gives the carriage service provider a written request to prevent a person using a prepaid mobile carriage service that states that action is necessary for a purpose in subsection 313(3) or (4) of the Act</w:t>
      </w:r>
      <w:r w:rsidRPr="00861895">
        <w:rPr>
          <w:sz w:val="24"/>
        </w:rPr>
        <w:t>.</w:t>
      </w:r>
      <w:r w:rsidR="00D54FEF" w:rsidRPr="00861895">
        <w:rPr>
          <w:sz w:val="24"/>
        </w:rPr>
        <w:t xml:space="preserve"> </w:t>
      </w:r>
      <w:r w:rsidR="00D17294" w:rsidRPr="00861895">
        <w:rPr>
          <w:sz w:val="24"/>
        </w:rPr>
        <w:t>(</w:t>
      </w:r>
      <w:r w:rsidR="00861895">
        <w:rPr>
          <w:sz w:val="24"/>
        </w:rPr>
        <w:t xml:space="preserve">Note: </w:t>
      </w:r>
      <w:r w:rsidRPr="00621B91">
        <w:rPr>
          <w:sz w:val="24"/>
        </w:rPr>
        <w:t>Section 313 of the Act sets out purposes for which carriage service providers have a duty to give officers and authorities of the Commonwealth and the States and Territories such help as is r</w:t>
      </w:r>
      <w:r w:rsidR="000E6AA1" w:rsidRPr="00621B91">
        <w:rPr>
          <w:sz w:val="24"/>
        </w:rPr>
        <w:t>easonably necessary</w:t>
      </w:r>
      <w:r w:rsidR="00D17294" w:rsidRPr="00861895">
        <w:rPr>
          <w:sz w:val="24"/>
        </w:rPr>
        <w:t>)</w:t>
      </w:r>
      <w:r w:rsidR="00861895">
        <w:rPr>
          <w:sz w:val="24"/>
        </w:rPr>
        <w:t>.</w:t>
      </w:r>
    </w:p>
    <w:p w14:paraId="3DC2B8B9" w14:textId="493A4E3F" w:rsidR="00B54895" w:rsidRPr="00621B91" w:rsidRDefault="00861895" w:rsidP="00861895">
      <w:pPr>
        <w:pStyle w:val="Definition"/>
        <w:spacing w:before="120"/>
        <w:ind w:left="0"/>
        <w:rPr>
          <w:sz w:val="24"/>
        </w:rPr>
      </w:pPr>
      <w:r>
        <w:rPr>
          <w:sz w:val="24"/>
          <w:szCs w:val="24"/>
        </w:rPr>
        <w:t xml:space="preserve">The sixth matter is </w:t>
      </w:r>
      <w:r w:rsidR="00B54895" w:rsidRPr="00261CDF">
        <w:rPr>
          <w:sz w:val="24"/>
          <w:szCs w:val="24"/>
        </w:rPr>
        <w:t xml:space="preserve">advising customers of the effect of the service provider determination. </w:t>
      </w:r>
    </w:p>
    <w:p w14:paraId="711C5A1F" w14:textId="1AC99713" w:rsidR="00D17294" w:rsidRPr="00261CDF" w:rsidRDefault="00B54895" w:rsidP="00116173">
      <w:pPr>
        <w:shd w:val="clear" w:color="auto" w:fill="FFFFFF"/>
        <w:spacing w:before="100" w:beforeAutospacing="1" w:after="100" w:afterAutospacing="1" w:line="240" w:lineRule="auto"/>
        <w:rPr>
          <w:rFonts w:ascii="Times New Roman" w:hAnsi="Times New Roman" w:cs="Times New Roman"/>
          <w:sz w:val="24"/>
          <w:szCs w:val="24"/>
        </w:rPr>
      </w:pPr>
      <w:r w:rsidRPr="00261CDF">
        <w:rPr>
          <w:rFonts w:ascii="Times New Roman" w:hAnsi="Times New Roman" w:cs="Times New Roman"/>
          <w:sz w:val="24"/>
          <w:szCs w:val="24"/>
        </w:rPr>
        <w:t xml:space="preserve">Subsections </w:t>
      </w:r>
      <w:r w:rsidR="00DA7D15">
        <w:rPr>
          <w:rFonts w:ascii="Times New Roman" w:hAnsi="Times New Roman" w:cs="Times New Roman"/>
          <w:sz w:val="24"/>
          <w:szCs w:val="24"/>
        </w:rPr>
        <w:t>8</w:t>
      </w:r>
      <w:r w:rsidRPr="00261CDF">
        <w:rPr>
          <w:rFonts w:ascii="Times New Roman" w:hAnsi="Times New Roman" w:cs="Times New Roman"/>
          <w:sz w:val="24"/>
          <w:szCs w:val="24"/>
        </w:rPr>
        <w:t>(2) and</w:t>
      </w:r>
      <w:r w:rsidR="00DA7D15">
        <w:rPr>
          <w:rFonts w:ascii="Times New Roman" w:hAnsi="Times New Roman" w:cs="Times New Roman"/>
          <w:sz w:val="24"/>
          <w:szCs w:val="24"/>
        </w:rPr>
        <w:t xml:space="preserve"> 8</w:t>
      </w:r>
      <w:r w:rsidRPr="00261CDF">
        <w:rPr>
          <w:rFonts w:ascii="Times New Roman" w:hAnsi="Times New Roman" w:cs="Times New Roman"/>
          <w:sz w:val="24"/>
          <w:szCs w:val="24"/>
        </w:rPr>
        <w:t xml:space="preserve">(3) provide definitions for ‘prepaid mobile carriage service’ and ‘post-paid carriage service’. </w:t>
      </w:r>
      <w:r w:rsidR="00D17294" w:rsidRPr="00261CDF">
        <w:rPr>
          <w:rFonts w:ascii="Times New Roman" w:hAnsi="Times New Roman" w:cs="Times New Roman"/>
          <w:sz w:val="24"/>
          <w:szCs w:val="24"/>
        </w:rPr>
        <w:t xml:space="preserve">These definitions are based on (with some minor modification) </w:t>
      </w:r>
      <w:r w:rsidR="00D576DE" w:rsidRPr="00261CDF">
        <w:rPr>
          <w:rFonts w:ascii="Times New Roman" w:hAnsi="Times New Roman" w:cs="Times New Roman"/>
          <w:sz w:val="24"/>
          <w:szCs w:val="24"/>
        </w:rPr>
        <w:t xml:space="preserve">those </w:t>
      </w:r>
      <w:r w:rsidR="00D17294" w:rsidRPr="00261CDF">
        <w:rPr>
          <w:rFonts w:ascii="Times New Roman" w:hAnsi="Times New Roman" w:cs="Times New Roman"/>
          <w:sz w:val="24"/>
          <w:szCs w:val="24"/>
        </w:rPr>
        <w:t xml:space="preserve">contained in the </w:t>
      </w:r>
      <w:r w:rsidR="00D17294" w:rsidRPr="00621B91">
        <w:rPr>
          <w:rFonts w:ascii="Times New Roman" w:hAnsi="Times New Roman" w:cs="Times New Roman"/>
          <w:i/>
          <w:sz w:val="24"/>
          <w:szCs w:val="24"/>
        </w:rPr>
        <w:t>Telecommunications (Service Provider — Identity Checks for Prepaid Mobile Carriage Services) Determination 2017</w:t>
      </w:r>
      <w:r w:rsidR="00D17294" w:rsidRPr="00261CDF">
        <w:rPr>
          <w:rFonts w:ascii="Times New Roman" w:hAnsi="Times New Roman" w:cs="Times New Roman"/>
          <w:sz w:val="24"/>
          <w:szCs w:val="24"/>
        </w:rPr>
        <w:t xml:space="preserve">.  </w:t>
      </w:r>
    </w:p>
    <w:p w14:paraId="2D1F1721" w14:textId="07748768" w:rsidR="001E1F4D" w:rsidRPr="00261CDF" w:rsidRDefault="00B54895" w:rsidP="00116173">
      <w:pPr>
        <w:shd w:val="clear" w:color="auto" w:fill="FFFFFF"/>
        <w:spacing w:before="100" w:beforeAutospacing="1" w:after="100" w:afterAutospacing="1" w:line="240" w:lineRule="auto"/>
        <w:rPr>
          <w:rFonts w:ascii="Times New Roman" w:hAnsi="Times New Roman" w:cs="Times New Roman"/>
          <w:sz w:val="24"/>
          <w:szCs w:val="24"/>
        </w:rPr>
      </w:pPr>
      <w:r w:rsidRPr="00B71B41">
        <w:rPr>
          <w:rFonts w:ascii="Times New Roman" w:hAnsi="Times New Roman" w:cs="Times New Roman"/>
          <w:sz w:val="24"/>
          <w:szCs w:val="24"/>
        </w:rPr>
        <w:lastRenderedPageBreak/>
        <w:t xml:space="preserve">Prepaid </w:t>
      </w:r>
      <w:r w:rsidR="00D17294" w:rsidRPr="00B71B41">
        <w:rPr>
          <w:rFonts w:ascii="Times New Roman" w:hAnsi="Times New Roman" w:cs="Times New Roman"/>
          <w:sz w:val="24"/>
          <w:szCs w:val="24"/>
        </w:rPr>
        <w:t xml:space="preserve">mobile </w:t>
      </w:r>
      <w:r w:rsidRPr="00AD0430">
        <w:rPr>
          <w:rFonts w:ascii="Times New Roman" w:hAnsi="Times New Roman" w:cs="Times New Roman"/>
          <w:sz w:val="24"/>
          <w:szCs w:val="24"/>
        </w:rPr>
        <w:t xml:space="preserve">carriage services are public mobile telecommunications services for which payment is made before the service is used (unless the supplier does not require payment for the initial supply of the service). </w:t>
      </w:r>
      <w:r w:rsidRPr="001131BA">
        <w:rPr>
          <w:rFonts w:ascii="Times New Roman" w:hAnsi="Times New Roman" w:cs="Times New Roman"/>
          <w:sz w:val="24"/>
          <w:szCs w:val="24"/>
        </w:rPr>
        <w:t>Post-paid carriage services</w:t>
      </w:r>
      <w:r w:rsidR="001131BA">
        <w:rPr>
          <w:rFonts w:ascii="Times New Roman" w:hAnsi="Times New Roman" w:cs="Times New Roman"/>
          <w:sz w:val="24"/>
          <w:szCs w:val="24"/>
        </w:rPr>
        <w:t xml:space="preserve"> are public telecommunications services provided</w:t>
      </w:r>
      <w:r w:rsidRPr="001131BA">
        <w:rPr>
          <w:rFonts w:ascii="Times New Roman" w:hAnsi="Times New Roman" w:cs="Times New Roman"/>
          <w:sz w:val="24"/>
          <w:szCs w:val="24"/>
        </w:rPr>
        <w:t xml:space="preserve"> </w:t>
      </w:r>
      <w:r w:rsidR="001131BA">
        <w:rPr>
          <w:rFonts w:ascii="Times New Roman" w:hAnsi="Times New Roman" w:cs="Times New Roman"/>
          <w:sz w:val="24"/>
          <w:szCs w:val="24"/>
        </w:rPr>
        <w:t xml:space="preserve">by a carrier to a customer </w:t>
      </w:r>
      <w:r w:rsidR="001E1F4D" w:rsidRPr="001131BA">
        <w:rPr>
          <w:rFonts w:ascii="Times New Roman" w:hAnsi="Times New Roman" w:cs="Times New Roman"/>
          <w:sz w:val="24"/>
          <w:szCs w:val="24"/>
        </w:rPr>
        <w:t>before payment for the supply of the service is made</w:t>
      </w:r>
      <w:r w:rsidR="001131BA">
        <w:rPr>
          <w:rFonts w:ascii="Times New Roman" w:hAnsi="Times New Roman" w:cs="Times New Roman"/>
          <w:sz w:val="24"/>
          <w:szCs w:val="24"/>
        </w:rPr>
        <w:t xml:space="preserve">. The supply occurs when </w:t>
      </w:r>
      <w:r w:rsidRPr="001131BA">
        <w:rPr>
          <w:rFonts w:ascii="Times New Roman" w:hAnsi="Times New Roman" w:cs="Times New Roman"/>
          <w:sz w:val="24"/>
          <w:szCs w:val="24"/>
        </w:rPr>
        <w:t xml:space="preserve">the customer has arranged with the carriage service provider </w:t>
      </w:r>
      <w:r w:rsidR="001E1F4D" w:rsidRPr="001131BA">
        <w:rPr>
          <w:rFonts w:ascii="Times New Roman" w:hAnsi="Times New Roman" w:cs="Times New Roman"/>
          <w:sz w:val="24"/>
          <w:szCs w:val="24"/>
        </w:rPr>
        <w:t>to pay an amount notified in an invoice, or instalments of fixed amounts at regular intervals, for the supply of the service.</w:t>
      </w:r>
    </w:p>
    <w:p w14:paraId="63DDA490" w14:textId="6E859353" w:rsidR="00517F4D" w:rsidRPr="00B71B41" w:rsidRDefault="00B54895" w:rsidP="00C34371">
      <w:pPr>
        <w:pStyle w:val="ActHead5"/>
      </w:pPr>
      <w:r w:rsidRPr="00B71B41">
        <w:t xml:space="preserve">Section </w:t>
      </w:r>
      <w:r w:rsidR="00DA7D15">
        <w:t>9</w:t>
      </w:r>
      <w:r w:rsidRPr="00B71B41">
        <w:t xml:space="preserve"> – Premium services</w:t>
      </w:r>
    </w:p>
    <w:p w14:paraId="22C8D66B" w14:textId="16DD5D8B" w:rsidR="00B54895" w:rsidRPr="00AD0430" w:rsidRDefault="00B54895" w:rsidP="00116173">
      <w:pPr>
        <w:shd w:val="clear" w:color="auto" w:fill="FFFFFF"/>
        <w:spacing w:before="100" w:beforeAutospacing="1" w:after="100" w:afterAutospacing="1" w:line="240" w:lineRule="auto"/>
        <w:rPr>
          <w:rFonts w:ascii="Times New Roman" w:hAnsi="Times New Roman" w:cs="Times New Roman"/>
          <w:sz w:val="24"/>
          <w:szCs w:val="24"/>
        </w:rPr>
      </w:pPr>
      <w:r w:rsidRPr="00AD0430">
        <w:rPr>
          <w:rFonts w:ascii="Times New Roman" w:hAnsi="Times New Roman" w:cs="Times New Roman"/>
          <w:sz w:val="24"/>
          <w:szCs w:val="24"/>
        </w:rPr>
        <w:t xml:space="preserve">Subsection </w:t>
      </w:r>
      <w:r w:rsidR="00DA7D15">
        <w:rPr>
          <w:rFonts w:ascii="Times New Roman" w:hAnsi="Times New Roman" w:cs="Times New Roman"/>
          <w:sz w:val="24"/>
          <w:szCs w:val="24"/>
        </w:rPr>
        <w:t>9</w:t>
      </w:r>
      <w:r w:rsidRPr="00AD0430">
        <w:rPr>
          <w:rFonts w:ascii="Times New Roman" w:hAnsi="Times New Roman" w:cs="Times New Roman"/>
          <w:sz w:val="24"/>
          <w:szCs w:val="24"/>
        </w:rPr>
        <w:t>(1)</w:t>
      </w:r>
      <w:r w:rsidR="0087326E" w:rsidRPr="00AD0430">
        <w:rPr>
          <w:rFonts w:ascii="Times New Roman" w:hAnsi="Times New Roman" w:cs="Times New Roman"/>
          <w:sz w:val="24"/>
          <w:szCs w:val="24"/>
        </w:rPr>
        <w:t xml:space="preserve"> provides that a service provider determination </w:t>
      </w:r>
      <w:r w:rsidR="00A40026">
        <w:rPr>
          <w:rFonts w:ascii="Times New Roman" w:hAnsi="Times New Roman" w:cs="Times New Roman"/>
          <w:sz w:val="24"/>
          <w:szCs w:val="24"/>
        </w:rPr>
        <w:t xml:space="preserve">in </w:t>
      </w:r>
      <w:r w:rsidR="0087326E" w:rsidRPr="00AD0430">
        <w:rPr>
          <w:rFonts w:ascii="Times New Roman" w:hAnsi="Times New Roman" w:cs="Times New Roman"/>
          <w:sz w:val="24"/>
          <w:szCs w:val="24"/>
        </w:rPr>
        <w:t>relation to the supply of premium services may relate to the following matters:</w:t>
      </w:r>
    </w:p>
    <w:p w14:paraId="0D795A8A" w14:textId="50F70F2A" w:rsidR="0087326E" w:rsidRPr="00621B91" w:rsidRDefault="0087326E" w:rsidP="00997B5F">
      <w:pPr>
        <w:pStyle w:val="Definition"/>
        <w:numPr>
          <w:ilvl w:val="0"/>
          <w:numId w:val="13"/>
        </w:numPr>
        <w:spacing w:before="120"/>
        <w:ind w:left="811" w:hanging="357"/>
        <w:rPr>
          <w:sz w:val="24"/>
        </w:rPr>
      </w:pPr>
      <w:r w:rsidRPr="00621B91">
        <w:rPr>
          <w:sz w:val="24"/>
        </w:rPr>
        <w:t>the terms and conditions on which premium services are offered or supplied;</w:t>
      </w:r>
    </w:p>
    <w:p w14:paraId="48323AFA" w14:textId="310DB10D" w:rsidR="0087326E" w:rsidRPr="00621B91" w:rsidRDefault="0087326E" w:rsidP="00997B5F">
      <w:pPr>
        <w:pStyle w:val="Definition"/>
        <w:numPr>
          <w:ilvl w:val="0"/>
          <w:numId w:val="13"/>
        </w:numPr>
        <w:spacing w:before="120"/>
        <w:ind w:left="811" w:hanging="357"/>
        <w:rPr>
          <w:sz w:val="24"/>
        </w:rPr>
      </w:pPr>
      <w:r w:rsidRPr="00621B91">
        <w:rPr>
          <w:sz w:val="24"/>
        </w:rPr>
        <w:t>the liability of a customer in respect of the supply of premium services;</w:t>
      </w:r>
    </w:p>
    <w:p w14:paraId="1E39DD9F" w14:textId="754DFDAF" w:rsidR="0087326E" w:rsidRPr="00621B91" w:rsidRDefault="0087326E" w:rsidP="00997B5F">
      <w:pPr>
        <w:pStyle w:val="Definition"/>
        <w:numPr>
          <w:ilvl w:val="0"/>
          <w:numId w:val="13"/>
        </w:numPr>
        <w:spacing w:before="120"/>
        <w:ind w:left="811" w:hanging="357"/>
        <w:rPr>
          <w:sz w:val="24"/>
        </w:rPr>
      </w:pPr>
      <w:r w:rsidRPr="00621B91">
        <w:rPr>
          <w:sz w:val="24"/>
        </w:rPr>
        <w:t>the limitation of the liability of a customer in respect of the supply of premium services;</w:t>
      </w:r>
    </w:p>
    <w:p w14:paraId="1B9551A8" w14:textId="4C0A2B18" w:rsidR="0087326E" w:rsidRPr="00621B91" w:rsidRDefault="0087326E" w:rsidP="00997B5F">
      <w:pPr>
        <w:pStyle w:val="Definition"/>
        <w:numPr>
          <w:ilvl w:val="0"/>
          <w:numId w:val="13"/>
        </w:numPr>
        <w:spacing w:before="120"/>
        <w:ind w:left="811" w:hanging="357"/>
        <w:rPr>
          <w:sz w:val="24"/>
        </w:rPr>
      </w:pPr>
      <w:r w:rsidRPr="00621B91">
        <w:rPr>
          <w:sz w:val="24"/>
        </w:rPr>
        <w:t>the obligation of a service provider to notify customers about matters relating to premium services;</w:t>
      </w:r>
    </w:p>
    <w:p w14:paraId="1AD32177" w14:textId="3D240FC3" w:rsidR="0087326E" w:rsidRPr="00621B91" w:rsidRDefault="0087326E" w:rsidP="00997B5F">
      <w:pPr>
        <w:pStyle w:val="Definition"/>
        <w:numPr>
          <w:ilvl w:val="0"/>
          <w:numId w:val="13"/>
        </w:numPr>
        <w:spacing w:before="120"/>
        <w:ind w:left="811" w:hanging="357"/>
        <w:rPr>
          <w:sz w:val="24"/>
        </w:rPr>
      </w:pPr>
      <w:r w:rsidRPr="00621B91">
        <w:rPr>
          <w:sz w:val="24"/>
        </w:rPr>
        <w:t>the advertising of premium services;</w:t>
      </w:r>
    </w:p>
    <w:p w14:paraId="1E2642C4" w14:textId="2B7D6FBA" w:rsidR="0087326E" w:rsidRPr="00621B91" w:rsidRDefault="0087326E" w:rsidP="00997B5F">
      <w:pPr>
        <w:pStyle w:val="Definition"/>
        <w:numPr>
          <w:ilvl w:val="0"/>
          <w:numId w:val="13"/>
        </w:numPr>
        <w:spacing w:before="120"/>
        <w:ind w:left="811" w:hanging="357"/>
        <w:rPr>
          <w:sz w:val="24"/>
        </w:rPr>
      </w:pPr>
      <w:r w:rsidRPr="00621B91">
        <w:rPr>
          <w:sz w:val="24"/>
        </w:rPr>
        <w:t>restrictions on access to premium services, or on access to a particular number used in the supply of premium services supplied using a carriage service provider’s service;</w:t>
      </w:r>
    </w:p>
    <w:p w14:paraId="5E2F2B74" w14:textId="0633FBC7" w:rsidR="0087326E" w:rsidRPr="00621B91" w:rsidRDefault="0087326E" w:rsidP="00997B5F">
      <w:pPr>
        <w:pStyle w:val="Definition"/>
        <w:numPr>
          <w:ilvl w:val="0"/>
          <w:numId w:val="13"/>
        </w:numPr>
        <w:spacing w:before="120"/>
        <w:ind w:left="811" w:hanging="357"/>
        <w:rPr>
          <w:sz w:val="24"/>
        </w:rPr>
      </w:pPr>
      <w:r w:rsidRPr="00621B91">
        <w:rPr>
          <w:sz w:val="24"/>
        </w:rPr>
        <w:lastRenderedPageBreak/>
        <w:t xml:space="preserve">the barring of calls to premium services, or of calls to a particular number used in the supply of premium services </w:t>
      </w:r>
    </w:p>
    <w:p w14:paraId="26A1C19F" w14:textId="134EC688" w:rsidR="0087326E" w:rsidRPr="00621B91" w:rsidRDefault="0087326E" w:rsidP="00997B5F">
      <w:pPr>
        <w:pStyle w:val="Definition"/>
        <w:numPr>
          <w:ilvl w:val="0"/>
          <w:numId w:val="13"/>
        </w:numPr>
        <w:spacing w:before="120"/>
        <w:ind w:left="811" w:hanging="357"/>
        <w:rPr>
          <w:sz w:val="24"/>
        </w:rPr>
      </w:pPr>
      <w:r w:rsidRPr="00621B91">
        <w:rPr>
          <w:sz w:val="24"/>
        </w:rPr>
        <w:t>the establishment of a registration scheme for service providers that are involved in the supply of premium services;</w:t>
      </w:r>
    </w:p>
    <w:p w14:paraId="4151F638" w14:textId="5022FC96" w:rsidR="0087326E" w:rsidRPr="00621B91" w:rsidRDefault="0087326E" w:rsidP="00997B5F">
      <w:pPr>
        <w:pStyle w:val="Definition"/>
        <w:numPr>
          <w:ilvl w:val="0"/>
          <w:numId w:val="13"/>
        </w:numPr>
        <w:spacing w:before="120"/>
        <w:ind w:left="811" w:hanging="357"/>
        <w:rPr>
          <w:sz w:val="24"/>
        </w:rPr>
      </w:pPr>
      <w:r w:rsidRPr="00621B91">
        <w:rPr>
          <w:sz w:val="24"/>
        </w:rPr>
        <w:t xml:space="preserve">the obligations of a carriage service provider in respect of premium services </w:t>
      </w:r>
    </w:p>
    <w:p w14:paraId="61EA7B5D" w14:textId="6940F4A2" w:rsidR="0087326E" w:rsidRPr="00621B91" w:rsidRDefault="0087326E" w:rsidP="00997B5F">
      <w:pPr>
        <w:pStyle w:val="Definition"/>
        <w:numPr>
          <w:ilvl w:val="0"/>
          <w:numId w:val="13"/>
        </w:numPr>
        <w:spacing w:before="120"/>
        <w:ind w:left="811" w:hanging="357"/>
        <w:rPr>
          <w:sz w:val="24"/>
        </w:rPr>
      </w:pPr>
      <w:r w:rsidRPr="00621B91">
        <w:rPr>
          <w:sz w:val="24"/>
        </w:rPr>
        <w:t>the prohibition or restriction of the imposition or collection of charges relating to the supply of carriage services or other services used in the supply of premium services;</w:t>
      </w:r>
    </w:p>
    <w:p w14:paraId="293365B5" w14:textId="7BF5EB80" w:rsidR="0087326E" w:rsidRPr="00621B91" w:rsidRDefault="0087326E" w:rsidP="00997B5F">
      <w:pPr>
        <w:pStyle w:val="Definition"/>
        <w:numPr>
          <w:ilvl w:val="0"/>
          <w:numId w:val="13"/>
        </w:numPr>
        <w:spacing w:before="120"/>
        <w:ind w:left="811" w:hanging="357"/>
        <w:rPr>
          <w:sz w:val="24"/>
        </w:rPr>
      </w:pPr>
      <w:r w:rsidRPr="00621B91">
        <w:rPr>
          <w:sz w:val="24"/>
        </w:rPr>
        <w:t>the issue of bills or accounts relating to the supply of carriage services or other services used in the supply of premium services;</w:t>
      </w:r>
    </w:p>
    <w:p w14:paraId="0F5594B0" w14:textId="245888FC" w:rsidR="0087326E" w:rsidRPr="00621B91" w:rsidRDefault="0087326E" w:rsidP="00997B5F">
      <w:pPr>
        <w:pStyle w:val="Definition"/>
        <w:numPr>
          <w:ilvl w:val="0"/>
          <w:numId w:val="13"/>
        </w:numPr>
        <w:spacing w:before="120"/>
        <w:ind w:left="811" w:hanging="357"/>
        <w:rPr>
          <w:sz w:val="24"/>
        </w:rPr>
      </w:pPr>
      <w:r w:rsidRPr="00621B91">
        <w:rPr>
          <w:sz w:val="24"/>
        </w:rPr>
        <w:t>a matter relating to the supply of premium services used to access an internet service;</w:t>
      </w:r>
    </w:p>
    <w:p w14:paraId="44D3323C" w14:textId="35F64D0C" w:rsidR="0087326E" w:rsidRPr="00261CDF" w:rsidRDefault="0087326E" w:rsidP="00116173">
      <w:pPr>
        <w:shd w:val="clear" w:color="auto" w:fill="FFFFFF"/>
        <w:spacing w:before="100" w:beforeAutospacing="1" w:after="100" w:afterAutospacing="1" w:line="240" w:lineRule="auto"/>
        <w:rPr>
          <w:rFonts w:ascii="Times New Roman" w:hAnsi="Times New Roman" w:cs="Times New Roman"/>
          <w:sz w:val="24"/>
          <w:szCs w:val="24"/>
        </w:rPr>
      </w:pPr>
      <w:bookmarkStart w:id="7" w:name="BK_S3P10L13C74"/>
      <w:bookmarkEnd w:id="7"/>
      <w:r w:rsidRPr="00261CDF">
        <w:rPr>
          <w:rFonts w:ascii="Times New Roman" w:hAnsi="Times New Roman" w:cs="Times New Roman"/>
          <w:sz w:val="24"/>
          <w:szCs w:val="24"/>
        </w:rPr>
        <w:t>Sub</w:t>
      </w:r>
      <w:r w:rsidRPr="00B71B41">
        <w:rPr>
          <w:rFonts w:ascii="Times New Roman" w:hAnsi="Times New Roman" w:cs="Times New Roman"/>
          <w:sz w:val="24"/>
          <w:szCs w:val="24"/>
        </w:rPr>
        <w:t xml:space="preserve">section </w:t>
      </w:r>
      <w:r w:rsidR="00DA7D15">
        <w:rPr>
          <w:rFonts w:ascii="Times New Roman" w:hAnsi="Times New Roman" w:cs="Times New Roman"/>
          <w:sz w:val="24"/>
          <w:szCs w:val="24"/>
        </w:rPr>
        <w:t>9</w:t>
      </w:r>
      <w:r w:rsidRPr="00B71B41">
        <w:rPr>
          <w:rFonts w:ascii="Times New Roman" w:hAnsi="Times New Roman" w:cs="Times New Roman"/>
          <w:sz w:val="24"/>
          <w:szCs w:val="24"/>
        </w:rPr>
        <w:t xml:space="preserve">(2) defines ‘premium service’ as any of: </w:t>
      </w:r>
      <w:r w:rsidRPr="00621B91">
        <w:rPr>
          <w:rFonts w:ascii="Times New Roman" w:hAnsi="Times New Roman"/>
          <w:sz w:val="24"/>
        </w:rPr>
        <w:t xml:space="preserve">a carriage service or content service using a number with a prefix </w:t>
      </w:r>
      <w:r w:rsidRPr="00A41B82">
        <w:rPr>
          <w:rFonts w:ascii="Times New Roman" w:hAnsi="Times New Roman"/>
          <w:sz w:val="24"/>
        </w:rPr>
        <w:t>of</w:t>
      </w:r>
      <w:r w:rsidRPr="00621B91">
        <w:rPr>
          <w:rFonts w:ascii="Times New Roman" w:hAnsi="Times New Roman"/>
          <w:sz w:val="24"/>
        </w:rPr>
        <w:t xml:space="preserve"> 190, 191, 193, 194, 195, 196, 197 or 199; a carriage service used to supply a content service or another service by way of a voice call (including a call using a recorded or synthetic voice) using a number that includes an access specified for use with an international service in the numbering plan; a public mobile telecommunications service that enables an end-user to access a proprietary network. </w:t>
      </w:r>
    </w:p>
    <w:p w14:paraId="04C3AB7E" w14:textId="44F6A1F9" w:rsidR="0087326E" w:rsidRPr="00276C8F" w:rsidRDefault="0087326E" w:rsidP="00C34371">
      <w:pPr>
        <w:pStyle w:val="ActHead5"/>
      </w:pPr>
      <w:r w:rsidRPr="00276C8F">
        <w:lastRenderedPageBreak/>
        <w:t xml:space="preserve">Section </w:t>
      </w:r>
      <w:r w:rsidR="00DA7D15" w:rsidRPr="00276C8F">
        <w:t>10</w:t>
      </w:r>
      <w:r w:rsidRPr="00276C8F">
        <w:t xml:space="preserve"> – Fixed or mobile voice or data carriage services</w:t>
      </w:r>
    </w:p>
    <w:p w14:paraId="7DBEDE98" w14:textId="44B0946A" w:rsidR="00D576DE" w:rsidRPr="00AD0430" w:rsidRDefault="00100B95" w:rsidP="00116173">
      <w:pPr>
        <w:shd w:val="clear" w:color="auto" w:fill="FFFFFF"/>
        <w:spacing w:before="100" w:beforeAutospacing="1" w:after="100" w:afterAutospacing="1" w:line="240" w:lineRule="auto"/>
        <w:rPr>
          <w:rFonts w:ascii="Times New Roman" w:hAnsi="Times New Roman" w:cs="Times New Roman"/>
          <w:sz w:val="24"/>
          <w:szCs w:val="24"/>
        </w:rPr>
      </w:pPr>
      <w:r w:rsidRPr="00AD0430">
        <w:rPr>
          <w:rFonts w:ascii="Times New Roman" w:hAnsi="Times New Roman" w:cs="Times New Roman"/>
          <w:sz w:val="24"/>
          <w:szCs w:val="24"/>
        </w:rPr>
        <w:t xml:space="preserve">Subsection </w:t>
      </w:r>
      <w:r w:rsidR="00DA7D15">
        <w:rPr>
          <w:rFonts w:ascii="Times New Roman" w:hAnsi="Times New Roman" w:cs="Times New Roman"/>
          <w:sz w:val="24"/>
          <w:szCs w:val="24"/>
        </w:rPr>
        <w:t>10</w:t>
      </w:r>
      <w:r w:rsidRPr="00AD0430">
        <w:rPr>
          <w:rFonts w:ascii="Times New Roman" w:hAnsi="Times New Roman" w:cs="Times New Roman"/>
          <w:sz w:val="24"/>
          <w:szCs w:val="24"/>
        </w:rPr>
        <w:t xml:space="preserve">(1) provides that a service provider determination may relate to the interests that customers (including prospective customers) have in relation to the supply of standard telephone services, public mobile telecommunications services and carriage services that enable customers to access the internet. </w:t>
      </w:r>
    </w:p>
    <w:p w14:paraId="77BD2C41" w14:textId="3CA13419" w:rsidR="00100B95" w:rsidRDefault="00100B95" w:rsidP="00E874A0">
      <w:pPr>
        <w:rPr>
          <w:rFonts w:ascii="Times New Roman" w:hAnsi="Times New Roman" w:cs="Times New Roman"/>
          <w:sz w:val="24"/>
          <w:szCs w:val="24"/>
        </w:rPr>
      </w:pPr>
      <w:r w:rsidRPr="00AF2FBA">
        <w:rPr>
          <w:rFonts w:ascii="Times New Roman" w:hAnsi="Times New Roman" w:cs="Times New Roman"/>
          <w:sz w:val="24"/>
          <w:szCs w:val="24"/>
        </w:rPr>
        <w:t xml:space="preserve">Subsection </w:t>
      </w:r>
      <w:r w:rsidR="00DA7D15">
        <w:rPr>
          <w:rFonts w:ascii="Times New Roman" w:hAnsi="Times New Roman" w:cs="Times New Roman"/>
          <w:sz w:val="24"/>
          <w:szCs w:val="24"/>
        </w:rPr>
        <w:t>10</w:t>
      </w:r>
      <w:r w:rsidRPr="00AF2FBA">
        <w:rPr>
          <w:rFonts w:ascii="Times New Roman" w:hAnsi="Times New Roman" w:cs="Times New Roman"/>
          <w:sz w:val="24"/>
          <w:szCs w:val="24"/>
        </w:rPr>
        <w:t>(2) provides that, without limiting subsection</w:t>
      </w:r>
      <w:r w:rsidR="00D576DE" w:rsidRPr="00373A1C">
        <w:rPr>
          <w:rFonts w:ascii="Times New Roman" w:hAnsi="Times New Roman" w:cs="Times New Roman"/>
          <w:sz w:val="24"/>
          <w:szCs w:val="24"/>
        </w:rPr>
        <w:t xml:space="preserve"> </w:t>
      </w:r>
      <w:r w:rsidR="00DA7D15">
        <w:rPr>
          <w:rFonts w:ascii="Times New Roman" w:hAnsi="Times New Roman" w:cs="Times New Roman"/>
          <w:sz w:val="24"/>
          <w:szCs w:val="24"/>
        </w:rPr>
        <w:t>10</w:t>
      </w:r>
      <w:r w:rsidRPr="00373A1C">
        <w:rPr>
          <w:rFonts w:ascii="Times New Roman" w:hAnsi="Times New Roman" w:cs="Times New Roman"/>
          <w:sz w:val="24"/>
          <w:szCs w:val="24"/>
        </w:rPr>
        <w:t>(1), a service pr</w:t>
      </w:r>
      <w:r w:rsidRPr="000501F2">
        <w:rPr>
          <w:rFonts w:ascii="Times New Roman" w:hAnsi="Times New Roman" w:cs="Times New Roman"/>
          <w:sz w:val="24"/>
          <w:szCs w:val="24"/>
        </w:rPr>
        <w:t>ovider determination relating to those services may include rules about: advertising, marketing and promotion; notifying customers about types and terms of services available (including prices); enabling customers to monitor the accumulation of charges; di</w:t>
      </w:r>
      <w:r w:rsidRPr="00504FAA">
        <w:rPr>
          <w:rFonts w:ascii="Times New Roman" w:hAnsi="Times New Roman" w:cs="Times New Roman"/>
          <w:sz w:val="24"/>
          <w:szCs w:val="24"/>
        </w:rPr>
        <w:t xml:space="preserve">sconnection of services; and dealing with complaints. </w:t>
      </w:r>
    </w:p>
    <w:p w14:paraId="25A8EB68" w14:textId="64D8ECFC" w:rsidR="00100B95" w:rsidRPr="0051512B" w:rsidRDefault="00100B95" w:rsidP="00C34371">
      <w:pPr>
        <w:pStyle w:val="ActHead5"/>
      </w:pPr>
      <w:r w:rsidRPr="00504FAA">
        <w:t>Section 1</w:t>
      </w:r>
      <w:r w:rsidR="00DA7D15">
        <w:t>1</w:t>
      </w:r>
      <w:r w:rsidRPr="00504FAA">
        <w:t xml:space="preserve"> </w:t>
      </w:r>
      <w:r w:rsidR="000F55B1" w:rsidRPr="00504FAA">
        <w:t>– Information relating to the telecommunications industry</w:t>
      </w:r>
    </w:p>
    <w:p w14:paraId="674831C8" w14:textId="710876C1" w:rsidR="000F55B1" w:rsidRPr="009677A7" w:rsidRDefault="000F55B1" w:rsidP="00116173">
      <w:pPr>
        <w:shd w:val="clear" w:color="auto" w:fill="FFFFFF"/>
        <w:spacing w:before="100" w:beforeAutospacing="1" w:after="100" w:afterAutospacing="1" w:line="240" w:lineRule="auto"/>
        <w:rPr>
          <w:rFonts w:ascii="Times New Roman" w:hAnsi="Times New Roman" w:cs="Times New Roman"/>
          <w:sz w:val="24"/>
          <w:szCs w:val="24"/>
        </w:rPr>
      </w:pPr>
      <w:r w:rsidRPr="009677A7">
        <w:rPr>
          <w:rFonts w:ascii="Times New Roman" w:hAnsi="Times New Roman" w:cs="Times New Roman"/>
          <w:sz w:val="24"/>
          <w:szCs w:val="24"/>
        </w:rPr>
        <w:t>Section 1</w:t>
      </w:r>
      <w:r w:rsidR="00DA7D15">
        <w:rPr>
          <w:rFonts w:ascii="Times New Roman" w:hAnsi="Times New Roman" w:cs="Times New Roman"/>
          <w:sz w:val="24"/>
          <w:szCs w:val="24"/>
        </w:rPr>
        <w:t>1</w:t>
      </w:r>
      <w:r w:rsidRPr="009677A7">
        <w:rPr>
          <w:rFonts w:ascii="Times New Roman" w:hAnsi="Times New Roman" w:cs="Times New Roman"/>
          <w:sz w:val="24"/>
          <w:szCs w:val="24"/>
        </w:rPr>
        <w:t xml:space="preserve"> provides that a service provider determination may relate to information relating </w:t>
      </w:r>
      <w:r w:rsidR="00267082">
        <w:rPr>
          <w:rFonts w:ascii="Times New Roman" w:hAnsi="Times New Roman" w:cs="Times New Roman"/>
          <w:sz w:val="24"/>
          <w:szCs w:val="24"/>
        </w:rPr>
        <w:t xml:space="preserve">to </w:t>
      </w:r>
      <w:r w:rsidRPr="009677A7">
        <w:rPr>
          <w:rFonts w:ascii="Times New Roman" w:hAnsi="Times New Roman" w:cs="Times New Roman"/>
          <w:sz w:val="24"/>
          <w:szCs w:val="24"/>
        </w:rPr>
        <w:t xml:space="preserve">the telecommunications industry that a carriage service provider must publish or distribute, and the way that information must be published or distributed. </w:t>
      </w:r>
    </w:p>
    <w:p w14:paraId="7FF1785A" w14:textId="3AE50AF8" w:rsidR="006D1A88" w:rsidRPr="00B720B4" w:rsidRDefault="006D1A88" w:rsidP="00C34371">
      <w:pPr>
        <w:pStyle w:val="ActHead2"/>
      </w:pPr>
      <w:r w:rsidRPr="00B720B4">
        <w:t>Part 3 – In</w:t>
      </w:r>
      <w:r w:rsidR="001112FC" w:rsidRPr="00B720B4">
        <w:t>dustry codes and industry standards</w:t>
      </w:r>
    </w:p>
    <w:p w14:paraId="3A03D706" w14:textId="58E74234" w:rsidR="00B22307" w:rsidRPr="009677A7" w:rsidRDefault="00B22307" w:rsidP="00116173">
      <w:pPr>
        <w:shd w:val="clear" w:color="auto" w:fill="FFFFFF"/>
        <w:spacing w:before="100" w:beforeAutospacing="1" w:after="100" w:afterAutospacing="1" w:line="240" w:lineRule="auto"/>
        <w:rPr>
          <w:rFonts w:ascii="Times New Roman" w:hAnsi="Times New Roman" w:cs="Times New Roman"/>
          <w:sz w:val="24"/>
          <w:szCs w:val="24"/>
        </w:rPr>
      </w:pPr>
      <w:r w:rsidRPr="00AD0430">
        <w:rPr>
          <w:rFonts w:ascii="Times New Roman" w:hAnsi="Times New Roman" w:cs="Times New Roman"/>
          <w:sz w:val="24"/>
          <w:szCs w:val="24"/>
        </w:rPr>
        <w:t xml:space="preserve">Part </w:t>
      </w:r>
      <w:r w:rsidR="00E37E72">
        <w:rPr>
          <w:rFonts w:ascii="Times New Roman" w:hAnsi="Times New Roman" w:cs="Times New Roman"/>
          <w:sz w:val="24"/>
          <w:szCs w:val="24"/>
        </w:rPr>
        <w:t>6</w:t>
      </w:r>
      <w:r w:rsidRPr="00AD0430">
        <w:rPr>
          <w:rFonts w:ascii="Times New Roman" w:hAnsi="Times New Roman" w:cs="Times New Roman"/>
          <w:sz w:val="24"/>
          <w:szCs w:val="24"/>
        </w:rPr>
        <w:t xml:space="preserve"> of the </w:t>
      </w:r>
      <w:r w:rsidR="00E624E1" w:rsidRPr="00A41B82">
        <w:rPr>
          <w:rFonts w:ascii="Times New Roman" w:hAnsi="Times New Roman" w:cs="Times New Roman"/>
          <w:i/>
          <w:sz w:val="24"/>
          <w:szCs w:val="24"/>
        </w:rPr>
        <w:t xml:space="preserve">Telecommunications </w:t>
      </w:r>
      <w:r w:rsidRPr="00A41B82">
        <w:rPr>
          <w:rFonts w:ascii="Times New Roman" w:hAnsi="Times New Roman" w:cs="Times New Roman"/>
          <w:i/>
          <w:sz w:val="24"/>
          <w:szCs w:val="24"/>
        </w:rPr>
        <w:t xml:space="preserve">Act </w:t>
      </w:r>
      <w:r w:rsidR="00E624E1" w:rsidRPr="00276C8F">
        <w:rPr>
          <w:rFonts w:ascii="Times New Roman" w:hAnsi="Times New Roman" w:cs="Times New Roman"/>
          <w:i/>
          <w:sz w:val="24"/>
          <w:szCs w:val="24"/>
        </w:rPr>
        <w:t>1997</w:t>
      </w:r>
      <w:r w:rsidR="00E624E1">
        <w:rPr>
          <w:rFonts w:ascii="Times New Roman" w:hAnsi="Times New Roman" w:cs="Times New Roman"/>
          <w:sz w:val="24"/>
          <w:szCs w:val="24"/>
        </w:rPr>
        <w:t xml:space="preserve"> </w:t>
      </w:r>
      <w:r w:rsidRPr="00AD0430">
        <w:rPr>
          <w:rFonts w:ascii="Times New Roman" w:hAnsi="Times New Roman" w:cs="Times New Roman"/>
          <w:sz w:val="24"/>
          <w:szCs w:val="24"/>
        </w:rPr>
        <w:t>allows bodies and associations that represent sections of the telecommunications industry</w:t>
      </w:r>
      <w:r w:rsidR="00483416" w:rsidRPr="00AD0430">
        <w:rPr>
          <w:rFonts w:ascii="Times New Roman" w:hAnsi="Times New Roman" w:cs="Times New Roman"/>
          <w:sz w:val="24"/>
          <w:szCs w:val="24"/>
        </w:rPr>
        <w:t>,</w:t>
      </w:r>
      <w:r w:rsidRPr="001A0286">
        <w:rPr>
          <w:rFonts w:ascii="Times New Roman" w:hAnsi="Times New Roman" w:cs="Times New Roman"/>
          <w:sz w:val="24"/>
          <w:szCs w:val="24"/>
        </w:rPr>
        <w:t xml:space="preserve"> to develop industry codes that may be registered by the </w:t>
      </w:r>
      <w:r w:rsidR="00483416" w:rsidRPr="00504FAA">
        <w:rPr>
          <w:rFonts w:ascii="Times New Roman" w:hAnsi="Times New Roman" w:cs="Times New Roman"/>
          <w:sz w:val="24"/>
          <w:szCs w:val="24"/>
        </w:rPr>
        <w:t>ACMA</w:t>
      </w:r>
      <w:r w:rsidRPr="0051512B">
        <w:rPr>
          <w:rFonts w:ascii="Times New Roman" w:hAnsi="Times New Roman" w:cs="Times New Roman"/>
          <w:sz w:val="24"/>
          <w:szCs w:val="24"/>
        </w:rPr>
        <w:t xml:space="preserve">. </w:t>
      </w:r>
    </w:p>
    <w:p w14:paraId="4D77E3F2" w14:textId="04954BA1" w:rsidR="001B4491" w:rsidRPr="000501F2" w:rsidRDefault="001B4491" w:rsidP="00116173">
      <w:pPr>
        <w:shd w:val="clear" w:color="auto" w:fill="FFFFFF"/>
        <w:spacing w:before="100" w:beforeAutospacing="1" w:after="100" w:afterAutospacing="1" w:line="240" w:lineRule="auto"/>
        <w:rPr>
          <w:rFonts w:ascii="Times New Roman" w:hAnsi="Times New Roman" w:cs="Times New Roman"/>
          <w:sz w:val="24"/>
          <w:szCs w:val="24"/>
        </w:rPr>
      </w:pPr>
      <w:r w:rsidRPr="00261CDF">
        <w:rPr>
          <w:rFonts w:ascii="Times New Roman" w:hAnsi="Times New Roman" w:cs="Times New Roman"/>
          <w:sz w:val="24"/>
          <w:szCs w:val="24"/>
        </w:rPr>
        <w:lastRenderedPageBreak/>
        <w:t>S</w:t>
      </w:r>
      <w:r w:rsidR="00D576DE" w:rsidRPr="00261CDF">
        <w:rPr>
          <w:rFonts w:ascii="Times New Roman" w:hAnsi="Times New Roman" w:cs="Times New Roman"/>
          <w:sz w:val="24"/>
          <w:szCs w:val="24"/>
        </w:rPr>
        <w:t xml:space="preserve">ubsection 115(1) of the Act ensure that if an industry body develops a code or the ACMA makes a standard, which </w:t>
      </w:r>
      <w:r w:rsidR="00D576DE" w:rsidRPr="00B71B41">
        <w:rPr>
          <w:rFonts w:ascii="Times New Roman" w:hAnsi="Times New Roman" w:cs="Times New Roman"/>
          <w:sz w:val="24"/>
          <w:szCs w:val="24"/>
        </w:rPr>
        <w:t xml:space="preserve">has the indirect effect of imposing requirements on industry members to design facilities or equipment in a certain way, then that code or standard has no legal effect. However, </w:t>
      </w:r>
      <w:r w:rsidR="00CF1C74" w:rsidRPr="00B71B41">
        <w:rPr>
          <w:rFonts w:ascii="Times New Roman" w:hAnsi="Times New Roman" w:cs="Times New Roman"/>
          <w:sz w:val="24"/>
          <w:szCs w:val="24"/>
        </w:rPr>
        <w:t>subsection 115(2</w:t>
      </w:r>
      <w:r w:rsidR="00D576DE" w:rsidRPr="00AD0430">
        <w:rPr>
          <w:rFonts w:ascii="Times New Roman" w:hAnsi="Times New Roman" w:cs="Times New Roman"/>
          <w:sz w:val="24"/>
          <w:szCs w:val="24"/>
        </w:rPr>
        <w:t xml:space="preserve">) </w:t>
      </w:r>
      <w:r w:rsidR="00CF1C74" w:rsidRPr="00AD0430">
        <w:rPr>
          <w:rFonts w:ascii="Times New Roman" w:hAnsi="Times New Roman" w:cs="Times New Roman"/>
          <w:sz w:val="24"/>
          <w:szCs w:val="24"/>
        </w:rPr>
        <w:t>provides that the rule</w:t>
      </w:r>
      <w:r w:rsidR="00D576DE" w:rsidRPr="00AD0430">
        <w:rPr>
          <w:rFonts w:ascii="Times New Roman" w:hAnsi="Times New Roman" w:cs="Times New Roman"/>
          <w:sz w:val="24"/>
          <w:szCs w:val="24"/>
        </w:rPr>
        <w:t xml:space="preserve"> in </w:t>
      </w:r>
      <w:r w:rsidR="00CF1C74" w:rsidRPr="00AF2FBA">
        <w:rPr>
          <w:rFonts w:ascii="Times New Roman" w:hAnsi="Times New Roman" w:cs="Times New Roman"/>
          <w:sz w:val="24"/>
          <w:szCs w:val="24"/>
        </w:rPr>
        <w:t xml:space="preserve">subsection 115(1) does not apply in </w:t>
      </w:r>
      <w:r w:rsidR="00D576DE" w:rsidRPr="00373A1C">
        <w:rPr>
          <w:rFonts w:ascii="Times New Roman" w:hAnsi="Times New Roman" w:cs="Times New Roman"/>
          <w:sz w:val="24"/>
          <w:szCs w:val="24"/>
        </w:rPr>
        <w:t xml:space="preserve">certain circumstances, including where matters are specified in the </w:t>
      </w:r>
      <w:r w:rsidR="00CF1C74" w:rsidRPr="00373A1C">
        <w:rPr>
          <w:rFonts w:ascii="Times New Roman" w:hAnsi="Times New Roman" w:cs="Times New Roman"/>
          <w:sz w:val="24"/>
          <w:szCs w:val="24"/>
        </w:rPr>
        <w:t>r</w:t>
      </w:r>
      <w:r w:rsidR="00D576DE" w:rsidRPr="00373A1C">
        <w:rPr>
          <w:rFonts w:ascii="Times New Roman" w:hAnsi="Times New Roman" w:cs="Times New Roman"/>
          <w:sz w:val="24"/>
          <w:szCs w:val="24"/>
        </w:rPr>
        <w:t xml:space="preserve">egulations. </w:t>
      </w:r>
      <w:r w:rsidR="00CF1C74" w:rsidRPr="000501F2">
        <w:rPr>
          <w:rFonts w:ascii="Times New Roman" w:hAnsi="Times New Roman" w:cs="Times New Roman"/>
          <w:sz w:val="24"/>
          <w:szCs w:val="24"/>
        </w:rPr>
        <w:t xml:space="preserve"> </w:t>
      </w:r>
      <w:r w:rsidR="00D576DE" w:rsidRPr="000501F2">
        <w:rPr>
          <w:rFonts w:ascii="Times New Roman" w:hAnsi="Times New Roman" w:cs="Times New Roman"/>
          <w:sz w:val="24"/>
          <w:szCs w:val="24"/>
        </w:rPr>
        <w:t xml:space="preserve"> </w:t>
      </w:r>
    </w:p>
    <w:p w14:paraId="66FE59B1" w14:textId="160EFCF6" w:rsidR="00D576DE" w:rsidRPr="009677A7" w:rsidRDefault="00D576DE" w:rsidP="00116173">
      <w:pPr>
        <w:shd w:val="clear" w:color="auto" w:fill="FFFFFF"/>
        <w:spacing w:before="100" w:beforeAutospacing="1" w:after="100" w:afterAutospacing="1" w:line="240" w:lineRule="auto"/>
        <w:rPr>
          <w:rFonts w:ascii="Times New Roman" w:hAnsi="Times New Roman" w:cs="Times New Roman"/>
          <w:sz w:val="24"/>
          <w:szCs w:val="24"/>
        </w:rPr>
      </w:pPr>
      <w:r w:rsidRPr="00504FAA">
        <w:rPr>
          <w:rFonts w:ascii="Times New Roman" w:hAnsi="Times New Roman" w:cs="Times New Roman"/>
          <w:sz w:val="24"/>
          <w:szCs w:val="24"/>
        </w:rPr>
        <w:t xml:space="preserve">The </w:t>
      </w:r>
      <w:r w:rsidR="001B4491" w:rsidRPr="00504FAA">
        <w:rPr>
          <w:rFonts w:ascii="Times New Roman" w:hAnsi="Times New Roman" w:cs="Times New Roman"/>
          <w:sz w:val="24"/>
          <w:szCs w:val="24"/>
        </w:rPr>
        <w:t xml:space="preserve">design features of the unconditioned local loop service and the </w:t>
      </w:r>
      <w:r w:rsidRPr="00504FAA">
        <w:rPr>
          <w:rFonts w:ascii="Times New Roman" w:hAnsi="Times New Roman" w:cs="Times New Roman"/>
          <w:sz w:val="24"/>
          <w:szCs w:val="24"/>
        </w:rPr>
        <w:t xml:space="preserve">management of interference caused by next-generation broadband systems </w:t>
      </w:r>
      <w:r w:rsidR="001B4491" w:rsidRPr="00504FAA">
        <w:rPr>
          <w:rFonts w:ascii="Times New Roman" w:hAnsi="Times New Roman" w:cs="Times New Roman"/>
          <w:sz w:val="24"/>
          <w:szCs w:val="24"/>
        </w:rPr>
        <w:t xml:space="preserve">are </w:t>
      </w:r>
      <w:r w:rsidR="00276C8F">
        <w:rPr>
          <w:rFonts w:ascii="Times New Roman" w:hAnsi="Times New Roman" w:cs="Times New Roman"/>
          <w:sz w:val="24"/>
          <w:szCs w:val="24"/>
        </w:rPr>
        <w:t xml:space="preserve">also </w:t>
      </w:r>
      <w:r w:rsidR="008F53E8" w:rsidRPr="00504FAA">
        <w:rPr>
          <w:rFonts w:ascii="Times New Roman" w:hAnsi="Times New Roman" w:cs="Times New Roman"/>
          <w:sz w:val="24"/>
          <w:szCs w:val="24"/>
        </w:rPr>
        <w:t>matters specified</w:t>
      </w:r>
      <w:r w:rsidR="001B4491" w:rsidRPr="0051512B">
        <w:rPr>
          <w:rFonts w:ascii="Times New Roman" w:hAnsi="Times New Roman" w:cs="Times New Roman"/>
          <w:sz w:val="24"/>
          <w:szCs w:val="24"/>
        </w:rPr>
        <w:t xml:space="preserve"> in the Regulations</w:t>
      </w:r>
      <w:r w:rsidRPr="0051512B">
        <w:rPr>
          <w:rFonts w:ascii="Times New Roman" w:hAnsi="Times New Roman" w:cs="Times New Roman"/>
          <w:sz w:val="24"/>
          <w:szCs w:val="24"/>
        </w:rPr>
        <w:t>.</w:t>
      </w:r>
    </w:p>
    <w:p w14:paraId="4D285AF8" w14:textId="7A9C54C3" w:rsidR="006D1A88" w:rsidRPr="00B71B41" w:rsidRDefault="006D1A88" w:rsidP="00C34371">
      <w:pPr>
        <w:pStyle w:val="ActHead5"/>
      </w:pPr>
      <w:r w:rsidRPr="009677A7">
        <w:t xml:space="preserve">Section </w:t>
      </w:r>
      <w:r w:rsidR="001112FC" w:rsidRPr="009677A7">
        <w:t>1</w:t>
      </w:r>
      <w:r w:rsidR="00E624E1">
        <w:t>2</w:t>
      </w:r>
      <w:r w:rsidR="00B22307" w:rsidRPr="009677A7">
        <w:t xml:space="preserve"> – Industry codes and industry standards not to deal with cert</w:t>
      </w:r>
      <w:r w:rsidR="00B22307" w:rsidRPr="002D3956">
        <w:t xml:space="preserve">ain </w:t>
      </w:r>
      <w:r w:rsidR="00B22307" w:rsidRPr="00261CDF">
        <w:t>design features and performance requirements—exception relating to the unconditioned local loop service</w:t>
      </w:r>
    </w:p>
    <w:p w14:paraId="07DCF39B" w14:textId="5D82293A" w:rsidR="001C5424" w:rsidRPr="00261CDF" w:rsidRDefault="00CF1C74" w:rsidP="00116173">
      <w:pPr>
        <w:shd w:val="clear" w:color="auto" w:fill="FFFFFF"/>
        <w:spacing w:before="100" w:beforeAutospacing="1" w:after="100" w:afterAutospacing="1" w:line="240" w:lineRule="auto"/>
        <w:rPr>
          <w:rFonts w:ascii="Times New Roman" w:hAnsi="Times New Roman" w:cs="Times New Roman"/>
          <w:sz w:val="24"/>
          <w:szCs w:val="24"/>
        </w:rPr>
      </w:pPr>
      <w:r w:rsidRPr="00B71B41">
        <w:rPr>
          <w:rFonts w:ascii="Times New Roman" w:hAnsi="Times New Roman" w:cs="Times New Roman"/>
          <w:sz w:val="24"/>
          <w:szCs w:val="24"/>
        </w:rPr>
        <w:t>Subs</w:t>
      </w:r>
      <w:r w:rsidR="001C5424" w:rsidRPr="009677A7">
        <w:rPr>
          <w:rFonts w:ascii="Times New Roman" w:hAnsi="Times New Roman" w:cs="Times New Roman"/>
          <w:sz w:val="24"/>
          <w:szCs w:val="24"/>
        </w:rPr>
        <w:t>ection 1</w:t>
      </w:r>
      <w:r w:rsidR="00E624E1">
        <w:rPr>
          <w:rFonts w:ascii="Times New Roman" w:hAnsi="Times New Roman" w:cs="Times New Roman"/>
          <w:sz w:val="24"/>
          <w:szCs w:val="24"/>
        </w:rPr>
        <w:t>2</w:t>
      </w:r>
      <w:r w:rsidRPr="002D3956">
        <w:rPr>
          <w:rFonts w:ascii="Times New Roman" w:hAnsi="Times New Roman" w:cs="Times New Roman"/>
          <w:sz w:val="24"/>
          <w:szCs w:val="24"/>
        </w:rPr>
        <w:t>(</w:t>
      </w:r>
      <w:r w:rsidR="008F53E8" w:rsidRPr="002D3956">
        <w:rPr>
          <w:rFonts w:ascii="Times New Roman" w:hAnsi="Times New Roman" w:cs="Times New Roman"/>
          <w:sz w:val="24"/>
          <w:szCs w:val="24"/>
        </w:rPr>
        <w:t>1</w:t>
      </w:r>
      <w:r w:rsidRPr="00C45C69">
        <w:rPr>
          <w:rFonts w:ascii="Times New Roman" w:hAnsi="Times New Roman" w:cs="Times New Roman"/>
          <w:sz w:val="24"/>
          <w:szCs w:val="24"/>
        </w:rPr>
        <w:t>)</w:t>
      </w:r>
      <w:r w:rsidR="001C5424" w:rsidRPr="00C45C69">
        <w:rPr>
          <w:rFonts w:ascii="Times New Roman" w:hAnsi="Times New Roman" w:cs="Times New Roman"/>
          <w:sz w:val="24"/>
          <w:szCs w:val="24"/>
        </w:rPr>
        <w:t xml:space="preserve"> </w:t>
      </w:r>
      <w:r w:rsidR="008F53E8" w:rsidRPr="00C45C69">
        <w:rPr>
          <w:rFonts w:ascii="Times New Roman" w:hAnsi="Times New Roman" w:cs="Times New Roman"/>
          <w:sz w:val="24"/>
          <w:szCs w:val="24"/>
        </w:rPr>
        <w:t>specifies three matters for the purposes of subparagraphs 11</w:t>
      </w:r>
      <w:r w:rsidR="008713D6">
        <w:rPr>
          <w:rFonts w:ascii="Times New Roman" w:hAnsi="Times New Roman" w:cs="Times New Roman"/>
          <w:sz w:val="24"/>
          <w:szCs w:val="24"/>
        </w:rPr>
        <w:t>5</w:t>
      </w:r>
      <w:r w:rsidR="008F53E8" w:rsidRPr="00C45C69">
        <w:rPr>
          <w:rFonts w:ascii="Times New Roman" w:hAnsi="Times New Roman" w:cs="Times New Roman"/>
          <w:sz w:val="24"/>
          <w:szCs w:val="24"/>
        </w:rPr>
        <w:t xml:space="preserve">(2)(a)(iii) and (b)(iii) of the Act. The effect of the provision is </w:t>
      </w:r>
      <w:r w:rsidR="001C5424" w:rsidRPr="00E37E72">
        <w:rPr>
          <w:rFonts w:ascii="Times New Roman" w:hAnsi="Times New Roman" w:cs="Times New Roman"/>
          <w:sz w:val="24"/>
          <w:szCs w:val="24"/>
        </w:rPr>
        <w:t xml:space="preserve">that the rule in subsection 115(1) of the Act </w:t>
      </w:r>
      <w:r w:rsidR="008F53E8" w:rsidRPr="00D549AB">
        <w:rPr>
          <w:rFonts w:ascii="Times New Roman" w:hAnsi="Times New Roman" w:cs="Times New Roman"/>
          <w:sz w:val="24"/>
          <w:szCs w:val="24"/>
        </w:rPr>
        <w:t xml:space="preserve">will </w:t>
      </w:r>
      <w:r w:rsidR="001C5424" w:rsidRPr="007A1B62">
        <w:rPr>
          <w:rFonts w:ascii="Times New Roman" w:hAnsi="Times New Roman" w:cs="Times New Roman"/>
          <w:sz w:val="24"/>
          <w:szCs w:val="24"/>
        </w:rPr>
        <w:t xml:space="preserve">not apply to an industry code </w:t>
      </w:r>
      <w:r w:rsidRPr="007A1B62">
        <w:rPr>
          <w:rFonts w:ascii="Times New Roman" w:hAnsi="Times New Roman" w:cs="Times New Roman"/>
          <w:sz w:val="24"/>
          <w:szCs w:val="24"/>
        </w:rPr>
        <w:t xml:space="preserve">or an industry standard </w:t>
      </w:r>
      <w:r w:rsidR="001C5424" w:rsidRPr="00325E5D">
        <w:rPr>
          <w:rFonts w:ascii="Times New Roman" w:hAnsi="Times New Roman" w:cs="Times New Roman"/>
          <w:sz w:val="24"/>
          <w:szCs w:val="24"/>
        </w:rPr>
        <w:t>to the extent to which compliance with the code is likely to have the indirect effect of requiring a telecommunications network or a facility to have particular design features, or to have the direct or indirect effect o</w:t>
      </w:r>
      <w:r w:rsidR="001C5424" w:rsidRPr="00261CDF">
        <w:rPr>
          <w:rFonts w:ascii="Times New Roman" w:hAnsi="Times New Roman" w:cs="Times New Roman"/>
          <w:sz w:val="24"/>
          <w:szCs w:val="24"/>
        </w:rPr>
        <w:t>f requiring the network or facility to meet performance requirements, that relate to:</w:t>
      </w:r>
    </w:p>
    <w:p w14:paraId="427A37EE" w14:textId="2F211C1B" w:rsidR="001C5424" w:rsidRPr="00621B91" w:rsidRDefault="001C5424" w:rsidP="003718E1">
      <w:pPr>
        <w:pStyle w:val="Definition"/>
        <w:numPr>
          <w:ilvl w:val="0"/>
          <w:numId w:val="23"/>
        </w:numPr>
        <w:spacing w:before="120"/>
        <w:ind w:left="851" w:hanging="425"/>
        <w:rPr>
          <w:sz w:val="24"/>
        </w:rPr>
      </w:pPr>
      <w:r w:rsidRPr="00621B91">
        <w:rPr>
          <w:sz w:val="24"/>
        </w:rPr>
        <w:t>interference between telecommunications systems operated using the unconditioned local loop service; or</w:t>
      </w:r>
    </w:p>
    <w:p w14:paraId="65C08F42" w14:textId="24400E5A" w:rsidR="001C5424" w:rsidRPr="00621B91" w:rsidRDefault="001C5424" w:rsidP="003718E1">
      <w:pPr>
        <w:pStyle w:val="Definition"/>
        <w:numPr>
          <w:ilvl w:val="0"/>
          <w:numId w:val="23"/>
        </w:numPr>
        <w:spacing w:before="120"/>
        <w:ind w:left="851" w:hanging="425"/>
        <w:rPr>
          <w:sz w:val="24"/>
        </w:rPr>
      </w:pPr>
      <w:r w:rsidRPr="00621B91">
        <w:rPr>
          <w:sz w:val="24"/>
        </w:rPr>
        <w:lastRenderedPageBreak/>
        <w:t>the health and safety of a person operating or working on a telecommunications network or facility that incorporates, or is used in connection with, the unconditioned local loop service; or</w:t>
      </w:r>
    </w:p>
    <w:p w14:paraId="2744C31A" w14:textId="487364AB" w:rsidR="001C5424" w:rsidRPr="00621B91" w:rsidRDefault="001C5424" w:rsidP="003718E1">
      <w:pPr>
        <w:pStyle w:val="Definition"/>
        <w:numPr>
          <w:ilvl w:val="0"/>
          <w:numId w:val="23"/>
        </w:numPr>
        <w:spacing w:before="120"/>
        <w:ind w:left="851" w:hanging="425"/>
        <w:rPr>
          <w:sz w:val="24"/>
        </w:rPr>
      </w:pPr>
      <w:r w:rsidRPr="00621B91">
        <w:rPr>
          <w:sz w:val="24"/>
        </w:rPr>
        <w:t>the integrity of a telecommunications network or a facility that incorporates, or is used in connection with, the unconditioned local loop service.</w:t>
      </w:r>
    </w:p>
    <w:p w14:paraId="4639786C" w14:textId="33631056" w:rsidR="00D576DE" w:rsidRPr="00261CDF" w:rsidRDefault="00504FAA" w:rsidP="00D576DE">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This s</w:t>
      </w:r>
      <w:r w:rsidR="00D576DE" w:rsidRPr="00504FAA">
        <w:rPr>
          <w:rFonts w:ascii="Times New Roman" w:hAnsi="Times New Roman" w:cs="Times New Roman"/>
          <w:sz w:val="24"/>
          <w:szCs w:val="24"/>
        </w:rPr>
        <w:t xml:space="preserve">ection enables </w:t>
      </w:r>
      <w:r>
        <w:rPr>
          <w:rFonts w:ascii="Times New Roman" w:hAnsi="Times New Roman" w:cs="Times New Roman"/>
          <w:sz w:val="24"/>
          <w:szCs w:val="24"/>
        </w:rPr>
        <w:t xml:space="preserve">industry bodies </w:t>
      </w:r>
      <w:r w:rsidR="00D576DE" w:rsidRPr="00504FAA">
        <w:rPr>
          <w:rFonts w:ascii="Times New Roman" w:hAnsi="Times New Roman" w:cs="Times New Roman"/>
          <w:sz w:val="24"/>
          <w:szCs w:val="24"/>
        </w:rPr>
        <w:t xml:space="preserve">to develop </w:t>
      </w:r>
      <w:r w:rsidR="00276C8F">
        <w:rPr>
          <w:rFonts w:ascii="Times New Roman" w:hAnsi="Times New Roman" w:cs="Times New Roman"/>
          <w:sz w:val="24"/>
          <w:szCs w:val="24"/>
        </w:rPr>
        <w:t xml:space="preserve">and register </w:t>
      </w:r>
      <w:r w:rsidR="00D576DE" w:rsidRPr="00504FAA">
        <w:rPr>
          <w:rFonts w:ascii="Times New Roman" w:hAnsi="Times New Roman" w:cs="Times New Roman"/>
          <w:sz w:val="24"/>
          <w:szCs w:val="24"/>
        </w:rPr>
        <w:t>industry code</w:t>
      </w:r>
      <w:r>
        <w:rPr>
          <w:rFonts w:ascii="Times New Roman" w:hAnsi="Times New Roman" w:cs="Times New Roman"/>
          <w:sz w:val="24"/>
          <w:szCs w:val="24"/>
        </w:rPr>
        <w:t>s</w:t>
      </w:r>
      <w:r w:rsidR="00276C8F">
        <w:rPr>
          <w:rFonts w:ascii="Times New Roman" w:hAnsi="Times New Roman" w:cs="Times New Roman"/>
          <w:sz w:val="24"/>
          <w:szCs w:val="24"/>
        </w:rPr>
        <w:t xml:space="preserve"> that prescribe </w:t>
      </w:r>
      <w:r w:rsidR="00D576DE" w:rsidRPr="00504FAA">
        <w:rPr>
          <w:rFonts w:ascii="Times New Roman" w:hAnsi="Times New Roman" w:cs="Times New Roman"/>
          <w:sz w:val="24"/>
          <w:szCs w:val="24"/>
        </w:rPr>
        <w:t>particular design features and minimum performance requirements for telecommunications networks and facilities operated by different service providers over the 'unconditioned local loop service'</w:t>
      </w:r>
      <w:r w:rsidR="00276C8F">
        <w:rPr>
          <w:rFonts w:ascii="Times New Roman" w:hAnsi="Times New Roman" w:cs="Times New Roman"/>
          <w:sz w:val="24"/>
          <w:szCs w:val="24"/>
        </w:rPr>
        <w:t>,</w:t>
      </w:r>
      <w:r w:rsidR="00CF1C74" w:rsidRPr="00504FAA">
        <w:rPr>
          <w:rFonts w:ascii="Times New Roman" w:hAnsi="Times New Roman" w:cs="Times New Roman"/>
          <w:sz w:val="24"/>
          <w:szCs w:val="24"/>
        </w:rPr>
        <w:t xml:space="preserve"> or for ACMA to make an industry standard covering </w:t>
      </w:r>
      <w:r>
        <w:rPr>
          <w:rFonts w:ascii="Times New Roman" w:hAnsi="Times New Roman" w:cs="Times New Roman"/>
          <w:sz w:val="24"/>
          <w:szCs w:val="24"/>
        </w:rPr>
        <w:t xml:space="preserve">such </w:t>
      </w:r>
      <w:r w:rsidR="00CF1C74" w:rsidRPr="00504FAA">
        <w:rPr>
          <w:rFonts w:ascii="Times New Roman" w:hAnsi="Times New Roman" w:cs="Times New Roman"/>
          <w:sz w:val="24"/>
          <w:szCs w:val="24"/>
        </w:rPr>
        <w:t>matters</w:t>
      </w:r>
      <w:r w:rsidR="00D576DE" w:rsidRPr="00504FAA">
        <w:rPr>
          <w:rFonts w:ascii="Times New Roman" w:hAnsi="Times New Roman" w:cs="Times New Roman"/>
          <w:sz w:val="24"/>
          <w:szCs w:val="24"/>
        </w:rPr>
        <w:t xml:space="preserve">. The unconditioned local loop service </w:t>
      </w:r>
      <w:r w:rsidR="00C454B2">
        <w:rPr>
          <w:rFonts w:ascii="Times New Roman" w:hAnsi="Times New Roman" w:cs="Times New Roman"/>
          <w:sz w:val="24"/>
          <w:szCs w:val="24"/>
        </w:rPr>
        <w:t xml:space="preserve">is </w:t>
      </w:r>
      <w:r w:rsidR="00D576DE" w:rsidRPr="00276C8F">
        <w:rPr>
          <w:rFonts w:ascii="Times New Roman" w:hAnsi="Times New Roman" w:cs="Times New Roman"/>
          <w:sz w:val="24"/>
          <w:szCs w:val="24"/>
        </w:rPr>
        <w:t>declared by the ACCC under subsection</w:t>
      </w:r>
      <w:r w:rsidR="00D576DE" w:rsidRPr="0051512B">
        <w:rPr>
          <w:rFonts w:ascii="Times New Roman" w:hAnsi="Times New Roman" w:cs="Times New Roman"/>
          <w:sz w:val="24"/>
          <w:szCs w:val="24"/>
        </w:rPr>
        <w:t xml:space="preserve"> 152AL(3) of the </w:t>
      </w:r>
      <w:r w:rsidR="00D576DE" w:rsidRPr="009677A7">
        <w:rPr>
          <w:rFonts w:ascii="Times New Roman" w:hAnsi="Times New Roman" w:cs="Times New Roman"/>
          <w:i/>
          <w:sz w:val="24"/>
          <w:szCs w:val="24"/>
        </w:rPr>
        <w:t>Competition and Consumer Act 2010</w:t>
      </w:r>
      <w:r w:rsidR="00D576DE" w:rsidRPr="009677A7">
        <w:rPr>
          <w:rFonts w:ascii="Times New Roman" w:hAnsi="Times New Roman" w:cs="Times New Roman"/>
          <w:sz w:val="24"/>
          <w:szCs w:val="24"/>
        </w:rPr>
        <w:t xml:space="preserve"> to be a </w:t>
      </w:r>
      <w:r w:rsidR="00C454B2">
        <w:rPr>
          <w:rFonts w:ascii="Times New Roman" w:hAnsi="Times New Roman" w:cs="Times New Roman"/>
          <w:sz w:val="24"/>
          <w:szCs w:val="24"/>
        </w:rPr>
        <w:t>‘</w:t>
      </w:r>
      <w:r w:rsidR="00D576DE" w:rsidRPr="009677A7">
        <w:rPr>
          <w:rFonts w:ascii="Times New Roman" w:hAnsi="Times New Roman" w:cs="Times New Roman"/>
          <w:sz w:val="24"/>
          <w:szCs w:val="24"/>
        </w:rPr>
        <w:t>declared service</w:t>
      </w:r>
      <w:r w:rsidR="00C454B2">
        <w:rPr>
          <w:rFonts w:ascii="Times New Roman" w:hAnsi="Times New Roman" w:cs="Times New Roman"/>
          <w:sz w:val="24"/>
          <w:szCs w:val="24"/>
        </w:rPr>
        <w:t>’</w:t>
      </w:r>
      <w:r w:rsidR="00D576DE" w:rsidRPr="009677A7">
        <w:rPr>
          <w:rFonts w:ascii="Times New Roman" w:hAnsi="Times New Roman" w:cs="Times New Roman"/>
          <w:sz w:val="24"/>
          <w:szCs w:val="24"/>
        </w:rPr>
        <w:t>.</w:t>
      </w:r>
      <w:r w:rsidR="00C34371">
        <w:rPr>
          <w:rFonts w:ascii="Times New Roman" w:hAnsi="Times New Roman" w:cs="Times New Roman"/>
          <w:sz w:val="24"/>
          <w:szCs w:val="24"/>
        </w:rPr>
        <w:t xml:space="preserve"> </w:t>
      </w:r>
      <w:r w:rsidR="00D576DE" w:rsidRPr="00E37E72">
        <w:rPr>
          <w:rFonts w:ascii="Times New Roman" w:hAnsi="Times New Roman" w:cs="Times New Roman"/>
          <w:sz w:val="24"/>
          <w:szCs w:val="24"/>
        </w:rPr>
        <w:t>It use</w:t>
      </w:r>
      <w:r w:rsidR="00D576DE" w:rsidRPr="00D549AB">
        <w:rPr>
          <w:rFonts w:ascii="Times New Roman" w:hAnsi="Times New Roman" w:cs="Times New Roman"/>
          <w:sz w:val="24"/>
          <w:szCs w:val="24"/>
        </w:rPr>
        <w:t>s unconditioned (metallic) communications wire between the bounda</w:t>
      </w:r>
      <w:r w:rsidR="00D576DE" w:rsidRPr="00ED71F5">
        <w:rPr>
          <w:rFonts w:ascii="Times New Roman" w:hAnsi="Times New Roman" w:cs="Times New Roman"/>
          <w:sz w:val="24"/>
          <w:szCs w:val="24"/>
        </w:rPr>
        <w:t>ry of a telecommunications network at an end-user's premises and a point on a telecommunications network that is a potential point of interconnection located at or associated with a customer access module and located on the end-user side of the customer ac</w:t>
      </w:r>
      <w:r w:rsidR="00D576DE" w:rsidRPr="00325E5D">
        <w:rPr>
          <w:rFonts w:ascii="Times New Roman" w:hAnsi="Times New Roman" w:cs="Times New Roman"/>
          <w:sz w:val="24"/>
          <w:szCs w:val="24"/>
        </w:rPr>
        <w:t>cess module. A cus</w:t>
      </w:r>
      <w:r w:rsidR="00D576DE" w:rsidRPr="00261CDF">
        <w:rPr>
          <w:rFonts w:ascii="Times New Roman" w:hAnsi="Times New Roman" w:cs="Times New Roman"/>
          <w:sz w:val="24"/>
          <w:szCs w:val="24"/>
        </w:rPr>
        <w:t>tomer access module is a device that provides ring tone, ring current and battery feed to customers' equipment.</w:t>
      </w:r>
    </w:p>
    <w:p w14:paraId="18819DEE" w14:textId="52BED64F" w:rsidR="00895F1D" w:rsidRPr="00C1200F" w:rsidRDefault="00A33249" w:rsidP="00C34371">
      <w:pPr>
        <w:pStyle w:val="ActHead5"/>
      </w:pPr>
      <w:r w:rsidRPr="00273641">
        <w:lastRenderedPageBreak/>
        <w:t>Section 1</w:t>
      </w:r>
      <w:r w:rsidR="00E624E1">
        <w:t>3</w:t>
      </w:r>
      <w:r w:rsidRPr="00273641">
        <w:t xml:space="preserve"> </w:t>
      </w:r>
      <w:r w:rsidR="0018651C" w:rsidRPr="009677A7">
        <w:t>–</w:t>
      </w:r>
      <w:r w:rsidRPr="00273641">
        <w:t xml:space="preserve"> </w:t>
      </w:r>
      <w:r w:rsidR="00B22307" w:rsidRPr="00273641">
        <w:t>Industry codes and industry standards not to deal with certain design features and performance requirements—exception relating to next-generation broadband services</w:t>
      </w:r>
    </w:p>
    <w:p w14:paraId="701BCFE6" w14:textId="235ED107" w:rsidR="008F53E8" w:rsidRDefault="008F53E8" w:rsidP="003718E1">
      <w:pPr>
        <w:rPr>
          <w:rFonts w:ascii="Times New Roman" w:hAnsi="Times New Roman" w:cs="Times New Roman"/>
          <w:sz w:val="24"/>
          <w:szCs w:val="24"/>
        </w:rPr>
      </w:pPr>
      <w:r w:rsidRPr="00261CDF">
        <w:rPr>
          <w:rFonts w:ascii="Times New Roman" w:hAnsi="Times New Roman" w:cs="Times New Roman"/>
          <w:sz w:val="24"/>
          <w:szCs w:val="24"/>
        </w:rPr>
        <w:t>Subsection 1</w:t>
      </w:r>
      <w:r w:rsidR="00C21F35">
        <w:rPr>
          <w:rFonts w:ascii="Times New Roman" w:hAnsi="Times New Roman" w:cs="Times New Roman"/>
          <w:sz w:val="24"/>
          <w:szCs w:val="24"/>
        </w:rPr>
        <w:t>3</w:t>
      </w:r>
      <w:r w:rsidRPr="00261CDF">
        <w:rPr>
          <w:rFonts w:ascii="Times New Roman" w:hAnsi="Times New Roman" w:cs="Times New Roman"/>
          <w:sz w:val="24"/>
          <w:szCs w:val="24"/>
        </w:rPr>
        <w:t xml:space="preserve">(1) specifies three matters for the purposes of </w:t>
      </w:r>
      <w:r w:rsidR="00564D13" w:rsidRPr="00C1200F">
        <w:rPr>
          <w:rFonts w:ascii="Times New Roman" w:hAnsi="Times New Roman" w:cs="Times New Roman"/>
          <w:sz w:val="24"/>
          <w:szCs w:val="24"/>
        </w:rPr>
        <w:t>subparagraphs 115(2)(a)(iii) and (b)(iii) of the Act</w:t>
      </w:r>
      <w:r w:rsidRPr="00C1200F">
        <w:rPr>
          <w:rFonts w:ascii="Times New Roman" w:hAnsi="Times New Roman" w:cs="Times New Roman"/>
          <w:sz w:val="24"/>
          <w:szCs w:val="24"/>
        </w:rPr>
        <w:t xml:space="preserve">. </w:t>
      </w:r>
      <w:r w:rsidR="003718E1">
        <w:rPr>
          <w:rFonts w:ascii="Times New Roman" w:hAnsi="Times New Roman" w:cs="Times New Roman"/>
          <w:sz w:val="24"/>
          <w:szCs w:val="24"/>
        </w:rPr>
        <w:t>These matters are:</w:t>
      </w:r>
    </w:p>
    <w:p w14:paraId="1D7BAE74" w14:textId="62209B15" w:rsidR="003718E1" w:rsidRPr="003718E1" w:rsidRDefault="003718E1" w:rsidP="003718E1">
      <w:pPr>
        <w:pStyle w:val="Definition"/>
        <w:numPr>
          <w:ilvl w:val="0"/>
          <w:numId w:val="22"/>
        </w:numPr>
        <w:spacing w:before="120"/>
        <w:rPr>
          <w:color w:val="000000"/>
        </w:rPr>
      </w:pPr>
      <w:r w:rsidRPr="003718E1">
        <w:rPr>
          <w:sz w:val="24"/>
        </w:rPr>
        <w:t>interference between telecommunications systems being operated to supply any of the following:</w:t>
      </w:r>
      <w:r w:rsidRPr="003718E1">
        <w:rPr>
          <w:color w:val="000000"/>
        </w:rPr>
        <w:t xml:space="preserve"> </w:t>
      </w:r>
    </w:p>
    <w:p w14:paraId="2CE05908" w14:textId="6FF53F93" w:rsidR="003718E1" w:rsidRPr="003718E1" w:rsidRDefault="003718E1" w:rsidP="003718E1">
      <w:pPr>
        <w:pStyle w:val="Definition"/>
        <w:numPr>
          <w:ilvl w:val="2"/>
          <w:numId w:val="22"/>
        </w:numPr>
        <w:spacing w:before="0"/>
        <w:ind w:hanging="181"/>
        <w:rPr>
          <w:sz w:val="24"/>
        </w:rPr>
      </w:pPr>
      <w:r w:rsidRPr="003718E1">
        <w:rPr>
          <w:sz w:val="24"/>
        </w:rPr>
        <w:t xml:space="preserve">next-generation broadband services; </w:t>
      </w:r>
    </w:p>
    <w:p w14:paraId="35C45DED" w14:textId="055651AC" w:rsidR="003718E1" w:rsidRPr="003718E1" w:rsidRDefault="003718E1" w:rsidP="003718E1">
      <w:pPr>
        <w:pStyle w:val="Definition"/>
        <w:numPr>
          <w:ilvl w:val="2"/>
          <w:numId w:val="22"/>
        </w:numPr>
        <w:spacing w:before="0"/>
        <w:ind w:hanging="181"/>
        <w:rPr>
          <w:sz w:val="24"/>
        </w:rPr>
      </w:pPr>
      <w:r w:rsidRPr="003718E1">
        <w:rPr>
          <w:sz w:val="24"/>
        </w:rPr>
        <w:t xml:space="preserve">legacy services; </w:t>
      </w:r>
    </w:p>
    <w:p w14:paraId="495414A7" w14:textId="7835029F" w:rsidR="003718E1" w:rsidRPr="003718E1" w:rsidRDefault="003718E1" w:rsidP="003718E1">
      <w:pPr>
        <w:pStyle w:val="Definition"/>
        <w:numPr>
          <w:ilvl w:val="2"/>
          <w:numId w:val="22"/>
        </w:numPr>
        <w:spacing w:before="0"/>
        <w:ind w:hanging="181"/>
        <w:rPr>
          <w:sz w:val="24"/>
        </w:rPr>
      </w:pPr>
      <w:r w:rsidRPr="003718E1">
        <w:rPr>
          <w:sz w:val="24"/>
        </w:rPr>
        <w:t xml:space="preserve">any other carriage services supplied over twisted pair cables; </w:t>
      </w:r>
    </w:p>
    <w:p w14:paraId="39A9366A" w14:textId="4DDF09C4" w:rsidR="003718E1" w:rsidRPr="003718E1" w:rsidRDefault="003718E1" w:rsidP="003718E1">
      <w:pPr>
        <w:pStyle w:val="Definition"/>
        <w:numPr>
          <w:ilvl w:val="0"/>
          <w:numId w:val="22"/>
        </w:numPr>
        <w:spacing w:before="120"/>
        <w:rPr>
          <w:sz w:val="24"/>
        </w:rPr>
      </w:pPr>
      <w:r w:rsidRPr="003718E1">
        <w:rPr>
          <w:sz w:val="24"/>
        </w:rPr>
        <w:t xml:space="preserve">the health and safety of a person operating or working on customer equipment, customer cabling, a telecommunications network or a facility that incorporates, or is used with, a next-generation broadband service; </w:t>
      </w:r>
    </w:p>
    <w:p w14:paraId="6F4C04DB" w14:textId="6E7C3CE3" w:rsidR="003718E1" w:rsidRPr="003718E1" w:rsidRDefault="003718E1" w:rsidP="003718E1">
      <w:pPr>
        <w:pStyle w:val="Definition"/>
        <w:numPr>
          <w:ilvl w:val="0"/>
          <w:numId w:val="22"/>
        </w:numPr>
        <w:spacing w:before="120"/>
        <w:rPr>
          <w:sz w:val="24"/>
        </w:rPr>
      </w:pPr>
      <w:r w:rsidRPr="003718E1">
        <w:rPr>
          <w:sz w:val="24"/>
        </w:rPr>
        <w:t>the integrity of customer equipment, customer cabling, a telecommunications network or a facility that incorporates, or is used with, a next-generation broadband service.</w:t>
      </w:r>
    </w:p>
    <w:p w14:paraId="098349F1" w14:textId="3278F9F8" w:rsidR="00344CAB" w:rsidRPr="004311F7" w:rsidRDefault="008F53E8" w:rsidP="00116173">
      <w:pPr>
        <w:rPr>
          <w:rFonts w:ascii="Times New Roman" w:hAnsi="Times New Roman" w:cs="Times New Roman"/>
          <w:sz w:val="24"/>
          <w:szCs w:val="24"/>
        </w:rPr>
      </w:pPr>
      <w:r w:rsidRPr="004311F7">
        <w:rPr>
          <w:rFonts w:ascii="Times New Roman" w:hAnsi="Times New Roman" w:cs="Times New Roman"/>
          <w:sz w:val="24"/>
          <w:szCs w:val="24"/>
        </w:rPr>
        <w:t>Sub</w:t>
      </w:r>
      <w:r w:rsidR="00564D13" w:rsidRPr="004311F7">
        <w:rPr>
          <w:rFonts w:ascii="Times New Roman" w:hAnsi="Times New Roman" w:cs="Times New Roman"/>
          <w:sz w:val="24"/>
          <w:szCs w:val="24"/>
        </w:rPr>
        <w:t xml:space="preserve">section </w:t>
      </w:r>
      <w:r w:rsidRPr="004311F7">
        <w:rPr>
          <w:rFonts w:ascii="Times New Roman" w:hAnsi="Times New Roman" w:cs="Times New Roman"/>
          <w:sz w:val="24"/>
          <w:szCs w:val="24"/>
        </w:rPr>
        <w:t>1</w:t>
      </w:r>
      <w:r w:rsidR="00C21F35">
        <w:rPr>
          <w:rFonts w:ascii="Times New Roman" w:hAnsi="Times New Roman" w:cs="Times New Roman"/>
          <w:sz w:val="24"/>
          <w:szCs w:val="24"/>
        </w:rPr>
        <w:t>3</w:t>
      </w:r>
      <w:r w:rsidRPr="004311F7">
        <w:rPr>
          <w:rFonts w:ascii="Times New Roman" w:hAnsi="Times New Roman" w:cs="Times New Roman"/>
          <w:sz w:val="24"/>
          <w:szCs w:val="24"/>
        </w:rPr>
        <w:t xml:space="preserve">(2) </w:t>
      </w:r>
      <w:r w:rsidR="00577478" w:rsidRPr="004311F7">
        <w:rPr>
          <w:rFonts w:ascii="Times New Roman" w:hAnsi="Times New Roman" w:cs="Times New Roman"/>
          <w:sz w:val="24"/>
          <w:szCs w:val="24"/>
        </w:rPr>
        <w:t>sets out the definition of next-generation broadband service</w:t>
      </w:r>
      <w:r w:rsidR="00344CAB" w:rsidRPr="004311F7">
        <w:rPr>
          <w:rFonts w:ascii="Times New Roman" w:hAnsi="Times New Roman" w:cs="Times New Roman"/>
          <w:sz w:val="24"/>
          <w:szCs w:val="24"/>
        </w:rPr>
        <w:t xml:space="preserve"> as any one of the following services:</w:t>
      </w:r>
    </w:p>
    <w:p w14:paraId="0CB85F52" w14:textId="10667ADD" w:rsidR="00344CAB" w:rsidRPr="00261CDF" w:rsidRDefault="00344CAB" w:rsidP="00116173">
      <w:pPr>
        <w:pStyle w:val="paragraph"/>
        <w:rPr>
          <w:sz w:val="24"/>
        </w:rPr>
      </w:pPr>
      <w:r w:rsidRPr="00261CDF">
        <w:rPr>
          <w:sz w:val="24"/>
        </w:rPr>
        <w:tab/>
        <w:t>(a)</w:t>
      </w:r>
      <w:r w:rsidRPr="00261CDF">
        <w:rPr>
          <w:sz w:val="24"/>
        </w:rPr>
        <w:tab/>
        <w:t>VDSL (very high-speed digital subscriber line);</w:t>
      </w:r>
    </w:p>
    <w:p w14:paraId="182D8C2E" w14:textId="77777777" w:rsidR="00344CAB" w:rsidRPr="00261CDF" w:rsidRDefault="00344CAB" w:rsidP="00116173">
      <w:pPr>
        <w:pStyle w:val="paragraph"/>
        <w:rPr>
          <w:sz w:val="24"/>
        </w:rPr>
      </w:pPr>
      <w:r w:rsidRPr="00261CDF">
        <w:rPr>
          <w:sz w:val="24"/>
        </w:rPr>
        <w:tab/>
        <w:t>(b)</w:t>
      </w:r>
      <w:r w:rsidRPr="00261CDF">
        <w:rPr>
          <w:sz w:val="24"/>
        </w:rPr>
        <w:tab/>
        <w:t>VDSL2;</w:t>
      </w:r>
    </w:p>
    <w:p w14:paraId="26678DD0" w14:textId="77777777" w:rsidR="00344CAB" w:rsidRPr="00261CDF" w:rsidRDefault="00344CAB" w:rsidP="00116173">
      <w:pPr>
        <w:pStyle w:val="paragraph"/>
        <w:rPr>
          <w:sz w:val="24"/>
        </w:rPr>
      </w:pPr>
      <w:r w:rsidRPr="00261CDF">
        <w:rPr>
          <w:sz w:val="24"/>
        </w:rPr>
        <w:lastRenderedPageBreak/>
        <w:tab/>
        <w:t>(c)</w:t>
      </w:r>
      <w:r w:rsidRPr="00261CDF">
        <w:rPr>
          <w:sz w:val="24"/>
        </w:rPr>
        <w:tab/>
        <w:t>VDSL2 with vectoring;</w:t>
      </w:r>
    </w:p>
    <w:p w14:paraId="6DB83AE1" w14:textId="77777777" w:rsidR="00344CAB" w:rsidRPr="00261CDF" w:rsidRDefault="00344CAB" w:rsidP="00116173">
      <w:pPr>
        <w:pStyle w:val="paragraph"/>
        <w:rPr>
          <w:sz w:val="24"/>
        </w:rPr>
      </w:pPr>
      <w:r w:rsidRPr="00261CDF">
        <w:rPr>
          <w:sz w:val="24"/>
        </w:rPr>
        <w:tab/>
        <w:t>(d)</w:t>
      </w:r>
      <w:r w:rsidRPr="00261CDF">
        <w:rPr>
          <w:sz w:val="24"/>
        </w:rPr>
        <w:tab/>
        <w:t>G.fast;</w:t>
      </w:r>
    </w:p>
    <w:p w14:paraId="4FB7AD2B" w14:textId="189FE794" w:rsidR="00344CAB" w:rsidRDefault="00344CAB" w:rsidP="00116173">
      <w:pPr>
        <w:pStyle w:val="paragraph"/>
        <w:rPr>
          <w:sz w:val="24"/>
        </w:rPr>
      </w:pPr>
      <w:r w:rsidRPr="00261CDF">
        <w:rPr>
          <w:sz w:val="24"/>
        </w:rPr>
        <w:tab/>
        <w:t>(e)</w:t>
      </w:r>
      <w:r w:rsidRPr="00261CDF">
        <w:rPr>
          <w:sz w:val="24"/>
        </w:rPr>
        <w:tab/>
        <w:t>a service that uses a successor technology to any other next-generation broadband service.</w:t>
      </w:r>
    </w:p>
    <w:p w14:paraId="01C6FDA0" w14:textId="21822C7C" w:rsidR="00B22307" w:rsidRPr="00AD0430" w:rsidRDefault="008F53E8" w:rsidP="008F53E8">
      <w:pPr>
        <w:rPr>
          <w:rFonts w:ascii="Times New Roman" w:hAnsi="Times New Roman" w:cs="Times New Roman"/>
          <w:sz w:val="24"/>
          <w:szCs w:val="24"/>
        </w:rPr>
      </w:pPr>
      <w:r w:rsidRPr="00273641">
        <w:rPr>
          <w:rFonts w:ascii="Times New Roman" w:hAnsi="Times New Roman" w:cs="Times New Roman"/>
          <w:sz w:val="24"/>
          <w:szCs w:val="24"/>
        </w:rPr>
        <w:t>Subsection 1</w:t>
      </w:r>
      <w:r w:rsidR="00C21F35">
        <w:rPr>
          <w:rFonts w:ascii="Times New Roman" w:hAnsi="Times New Roman" w:cs="Times New Roman"/>
          <w:sz w:val="24"/>
          <w:szCs w:val="24"/>
        </w:rPr>
        <w:t>3</w:t>
      </w:r>
      <w:r w:rsidRPr="00273641">
        <w:rPr>
          <w:rFonts w:ascii="Times New Roman" w:hAnsi="Times New Roman" w:cs="Times New Roman"/>
          <w:sz w:val="24"/>
          <w:szCs w:val="24"/>
        </w:rPr>
        <w:t xml:space="preserve">(3) defines </w:t>
      </w:r>
      <w:r w:rsidR="00577478" w:rsidRPr="00C1200F">
        <w:rPr>
          <w:rFonts w:ascii="Times New Roman" w:hAnsi="Times New Roman" w:cs="Times New Roman"/>
          <w:sz w:val="24"/>
          <w:szCs w:val="24"/>
        </w:rPr>
        <w:t>l</w:t>
      </w:r>
      <w:r w:rsidR="001F36AB" w:rsidRPr="00C1200F">
        <w:rPr>
          <w:rFonts w:ascii="Times New Roman" w:hAnsi="Times New Roman" w:cs="Times New Roman"/>
          <w:sz w:val="24"/>
          <w:szCs w:val="24"/>
        </w:rPr>
        <w:t>egacy service</w:t>
      </w:r>
      <w:r w:rsidRPr="00261CDF">
        <w:rPr>
          <w:rFonts w:ascii="Times New Roman" w:hAnsi="Times New Roman" w:cs="Times New Roman"/>
          <w:sz w:val="24"/>
          <w:szCs w:val="24"/>
        </w:rPr>
        <w:t xml:space="preserve"> as any of the following </w:t>
      </w:r>
      <w:r w:rsidR="001F36AB" w:rsidRPr="00B71B41">
        <w:rPr>
          <w:rFonts w:ascii="Times New Roman" w:hAnsi="Times New Roman" w:cs="Times New Roman"/>
          <w:sz w:val="24"/>
          <w:szCs w:val="24"/>
        </w:rPr>
        <w:t>services</w:t>
      </w:r>
      <w:r w:rsidR="00344CAB" w:rsidRPr="00AD0430">
        <w:rPr>
          <w:rFonts w:ascii="Times New Roman" w:hAnsi="Times New Roman" w:cs="Times New Roman"/>
          <w:sz w:val="24"/>
          <w:szCs w:val="24"/>
        </w:rPr>
        <w:t xml:space="preserve">: </w:t>
      </w:r>
    </w:p>
    <w:p w14:paraId="1C855BAD" w14:textId="377F2D4E" w:rsidR="00344CAB" w:rsidRPr="00373A1C" w:rsidRDefault="00344CAB" w:rsidP="00116173">
      <w:pPr>
        <w:pStyle w:val="paragraph"/>
        <w:rPr>
          <w:sz w:val="24"/>
        </w:rPr>
      </w:pPr>
      <w:r w:rsidRPr="00AF2FBA">
        <w:rPr>
          <w:sz w:val="24"/>
        </w:rPr>
        <w:tab/>
        <w:t>(a)</w:t>
      </w:r>
      <w:r w:rsidRPr="00AF2FBA">
        <w:rPr>
          <w:sz w:val="24"/>
        </w:rPr>
        <w:tab/>
        <w:t>PSTN (public switched te</w:t>
      </w:r>
      <w:r w:rsidRPr="00373A1C">
        <w:rPr>
          <w:sz w:val="24"/>
        </w:rPr>
        <w:t>lephone network);</w:t>
      </w:r>
    </w:p>
    <w:p w14:paraId="431AB385" w14:textId="77777777" w:rsidR="00344CAB" w:rsidRPr="00373A1C" w:rsidRDefault="00344CAB" w:rsidP="00116173">
      <w:pPr>
        <w:pStyle w:val="paragraph"/>
        <w:rPr>
          <w:sz w:val="24"/>
        </w:rPr>
      </w:pPr>
      <w:r w:rsidRPr="00373A1C">
        <w:rPr>
          <w:sz w:val="24"/>
        </w:rPr>
        <w:tab/>
        <w:t>(b)</w:t>
      </w:r>
      <w:r w:rsidRPr="00373A1C">
        <w:rPr>
          <w:sz w:val="24"/>
        </w:rPr>
        <w:tab/>
        <w:t>ADSL (asymmetric digital subscriber line);</w:t>
      </w:r>
    </w:p>
    <w:p w14:paraId="7265CD94" w14:textId="77777777" w:rsidR="00344CAB" w:rsidRPr="00504FAA" w:rsidRDefault="00344CAB" w:rsidP="00276C8F">
      <w:pPr>
        <w:pStyle w:val="paragraph"/>
        <w:rPr>
          <w:sz w:val="24"/>
        </w:rPr>
      </w:pPr>
      <w:r w:rsidRPr="00504FAA">
        <w:rPr>
          <w:sz w:val="24"/>
        </w:rPr>
        <w:tab/>
        <w:t>(c)</w:t>
      </w:r>
      <w:r w:rsidRPr="00504FAA">
        <w:rPr>
          <w:sz w:val="24"/>
        </w:rPr>
        <w:tab/>
        <w:t>ADSL2;</w:t>
      </w:r>
    </w:p>
    <w:p w14:paraId="468CA5EB" w14:textId="77777777" w:rsidR="00344CAB" w:rsidRPr="00504FAA" w:rsidRDefault="00344CAB" w:rsidP="00276C8F">
      <w:pPr>
        <w:pStyle w:val="paragraph"/>
        <w:rPr>
          <w:sz w:val="24"/>
        </w:rPr>
      </w:pPr>
      <w:r w:rsidRPr="00504FAA">
        <w:rPr>
          <w:sz w:val="24"/>
        </w:rPr>
        <w:tab/>
        <w:t>(d)</w:t>
      </w:r>
      <w:r w:rsidRPr="00504FAA">
        <w:rPr>
          <w:sz w:val="24"/>
        </w:rPr>
        <w:tab/>
        <w:t>ADSL2+;</w:t>
      </w:r>
    </w:p>
    <w:p w14:paraId="1CC60BA7" w14:textId="77777777" w:rsidR="00344CAB" w:rsidRPr="00504FAA" w:rsidRDefault="00344CAB" w:rsidP="00116173">
      <w:pPr>
        <w:pStyle w:val="paragraph"/>
        <w:rPr>
          <w:sz w:val="24"/>
        </w:rPr>
      </w:pPr>
      <w:r w:rsidRPr="00504FAA">
        <w:rPr>
          <w:sz w:val="24"/>
        </w:rPr>
        <w:tab/>
        <w:t>(e)</w:t>
      </w:r>
      <w:r w:rsidRPr="00504FAA">
        <w:rPr>
          <w:sz w:val="24"/>
        </w:rPr>
        <w:tab/>
        <w:t>SHDSL (single pair high-speed digital subscriber line);</w:t>
      </w:r>
    </w:p>
    <w:p w14:paraId="74B9D2FE" w14:textId="77777777" w:rsidR="00344CAB" w:rsidRPr="009677A7" w:rsidRDefault="00344CAB" w:rsidP="00116173">
      <w:pPr>
        <w:pStyle w:val="paragraph"/>
        <w:rPr>
          <w:sz w:val="24"/>
        </w:rPr>
      </w:pPr>
      <w:r w:rsidRPr="009677A7">
        <w:rPr>
          <w:sz w:val="24"/>
        </w:rPr>
        <w:tab/>
        <w:t>(f)</w:t>
      </w:r>
      <w:r w:rsidRPr="009677A7">
        <w:rPr>
          <w:sz w:val="24"/>
        </w:rPr>
        <w:tab/>
        <w:t>ISDN (integrated services digital network);</w:t>
      </w:r>
    </w:p>
    <w:p w14:paraId="693A2BC7" w14:textId="72B14348" w:rsidR="002D53E2" w:rsidRDefault="00344CAB" w:rsidP="00116173">
      <w:pPr>
        <w:pStyle w:val="paragraph"/>
        <w:rPr>
          <w:sz w:val="24"/>
        </w:rPr>
      </w:pPr>
      <w:r w:rsidRPr="009677A7">
        <w:rPr>
          <w:sz w:val="24"/>
        </w:rPr>
        <w:tab/>
        <w:t>(g)</w:t>
      </w:r>
      <w:r w:rsidRPr="009677A7">
        <w:rPr>
          <w:sz w:val="24"/>
        </w:rPr>
        <w:tab/>
        <w:t>another service (other than VDSL) covered by the C</w:t>
      </w:r>
      <w:r w:rsidRPr="002D3956">
        <w:rPr>
          <w:sz w:val="24"/>
        </w:rPr>
        <w:t>ommunications Al</w:t>
      </w:r>
      <w:r w:rsidR="00166A16">
        <w:rPr>
          <w:sz w:val="24"/>
        </w:rPr>
        <w:t xml:space="preserve">liance Industry Code C559:2012 </w:t>
      </w:r>
      <w:r w:rsidRPr="00A41198">
        <w:rPr>
          <w:sz w:val="24"/>
          <w:u w:val="single"/>
        </w:rPr>
        <w:t>Unconditioned Local Loop Service (ULLS) Network Deployment</w:t>
      </w:r>
      <w:r w:rsidRPr="002D3956">
        <w:rPr>
          <w:sz w:val="24"/>
        </w:rPr>
        <w:t>, as registered by the ACMA on 16 May 2012 under section 117 of the Act.</w:t>
      </w:r>
    </w:p>
    <w:p w14:paraId="156F129A" w14:textId="77777777" w:rsidR="00C34371" w:rsidRDefault="00C34371" w:rsidP="00116173">
      <w:pPr>
        <w:pStyle w:val="paragraph"/>
        <w:rPr>
          <w:sz w:val="24"/>
        </w:rPr>
      </w:pPr>
    </w:p>
    <w:p w14:paraId="5AE85BBA" w14:textId="4C1A2512" w:rsidR="002D53E2" w:rsidRDefault="002D53E2" w:rsidP="002D53E2">
      <w:pPr>
        <w:pStyle w:val="paragraph"/>
        <w:tabs>
          <w:tab w:val="clear" w:pos="1531"/>
        </w:tabs>
        <w:ind w:left="0" w:firstLine="0"/>
        <w:rPr>
          <w:rFonts w:eastAsiaTheme="minorHAnsi"/>
          <w:sz w:val="24"/>
          <w:szCs w:val="24"/>
          <w:lang w:eastAsia="en-US"/>
        </w:rPr>
      </w:pPr>
      <w:r w:rsidRPr="00A41B82">
        <w:rPr>
          <w:rFonts w:eastAsiaTheme="minorHAnsi"/>
          <w:sz w:val="24"/>
          <w:szCs w:val="24"/>
          <w:lang w:eastAsia="en-US"/>
        </w:rPr>
        <w:t>Note: A copy of the Unconditioned Local Loop Service (ULLS) Network Deployment Rules Industry Code</w:t>
      </w:r>
      <w:r>
        <w:rPr>
          <w:rFonts w:eastAsiaTheme="minorHAnsi"/>
          <w:sz w:val="24"/>
          <w:szCs w:val="24"/>
          <w:lang w:eastAsia="en-US"/>
        </w:rPr>
        <w:t xml:space="preserve"> is available on the Communications Alliance Ltd website at:</w:t>
      </w:r>
      <w:r>
        <w:rPr>
          <w:rFonts w:eastAsiaTheme="minorHAnsi"/>
          <w:sz w:val="24"/>
          <w:szCs w:val="24"/>
          <w:lang w:eastAsia="en-US"/>
        </w:rPr>
        <w:br/>
      </w:r>
      <w:hyperlink r:id="rId11" w:history="1">
        <w:r w:rsidRPr="00201241">
          <w:rPr>
            <w:rStyle w:val="Hyperlink"/>
            <w:rFonts w:eastAsiaTheme="minorHAnsi"/>
            <w:sz w:val="24"/>
            <w:szCs w:val="24"/>
            <w:lang w:eastAsia="en-US"/>
          </w:rPr>
          <w:t>www.commsalliance.com.au/Documents/all/codes/c559</w:t>
        </w:r>
      </w:hyperlink>
    </w:p>
    <w:p w14:paraId="172DAC19" w14:textId="697A6998" w:rsidR="002D53E2" w:rsidRDefault="0057485A" w:rsidP="00BB6094">
      <w:pPr>
        <w:pStyle w:val="paragraph"/>
        <w:tabs>
          <w:tab w:val="clear" w:pos="1531"/>
        </w:tabs>
        <w:ind w:left="0" w:firstLine="0"/>
        <w:rPr>
          <w:rFonts w:eastAsiaTheme="minorHAnsi"/>
          <w:sz w:val="24"/>
          <w:szCs w:val="24"/>
          <w:lang w:eastAsia="en-US"/>
        </w:rPr>
      </w:pPr>
      <w:r w:rsidRPr="0057485A">
        <w:rPr>
          <w:rFonts w:eastAsiaTheme="minorHAnsi"/>
          <w:sz w:val="24"/>
          <w:szCs w:val="24"/>
          <w:lang w:eastAsia="en-US"/>
        </w:rPr>
        <w:lastRenderedPageBreak/>
        <w:t>This Code was registered by the ACMA on 16 May 2012.</w:t>
      </w:r>
      <w:r>
        <w:rPr>
          <w:rFonts w:eastAsiaTheme="minorHAnsi"/>
          <w:sz w:val="24"/>
          <w:szCs w:val="24"/>
          <w:lang w:eastAsia="en-US"/>
        </w:rPr>
        <w:t xml:space="preserve"> The Code was reconfirmed </w:t>
      </w:r>
      <w:r w:rsidRPr="0057485A">
        <w:rPr>
          <w:rFonts w:eastAsiaTheme="minorHAnsi"/>
          <w:sz w:val="24"/>
          <w:szCs w:val="24"/>
          <w:lang w:eastAsia="en-US"/>
        </w:rPr>
        <w:t>in 2018 and the next review is scheduled to occur in 2023.</w:t>
      </w:r>
    </w:p>
    <w:p w14:paraId="08D8F60A" w14:textId="77777777" w:rsidR="0057485A" w:rsidRDefault="0057485A" w:rsidP="00A41B82">
      <w:pPr>
        <w:pStyle w:val="paragraph"/>
        <w:rPr>
          <w:rFonts w:eastAsiaTheme="minorHAnsi"/>
          <w:sz w:val="24"/>
          <w:szCs w:val="24"/>
          <w:lang w:eastAsia="en-US"/>
        </w:rPr>
      </w:pPr>
    </w:p>
    <w:p w14:paraId="2DD895D1" w14:textId="32BC3A33" w:rsidR="003F5942" w:rsidRDefault="003F5942" w:rsidP="008F53E8">
      <w:pPr>
        <w:rPr>
          <w:rFonts w:ascii="Times New Roman" w:hAnsi="Times New Roman" w:cs="Times New Roman"/>
          <w:sz w:val="24"/>
          <w:szCs w:val="24"/>
        </w:rPr>
      </w:pPr>
      <w:r w:rsidRPr="00B71B41">
        <w:rPr>
          <w:rFonts w:ascii="Times New Roman" w:hAnsi="Times New Roman" w:cs="Times New Roman"/>
          <w:sz w:val="24"/>
          <w:szCs w:val="24"/>
        </w:rPr>
        <w:t xml:space="preserve">This definition is intended to capture telephony or broadband carriage services that use twisted pair cables, that operate over the </w:t>
      </w:r>
      <w:r w:rsidRPr="00AD0430">
        <w:rPr>
          <w:rFonts w:ascii="Times New Roman" w:hAnsi="Times New Roman" w:cs="Times New Roman"/>
          <w:sz w:val="24"/>
          <w:szCs w:val="24"/>
        </w:rPr>
        <w:t xml:space="preserve">unconditioned local loop service and that operate at speeds below 25 Mbps.  The </w:t>
      </w:r>
      <w:r w:rsidR="00BB0655" w:rsidRPr="00AF2FBA">
        <w:rPr>
          <w:rFonts w:ascii="Times New Roman" w:hAnsi="Times New Roman" w:cs="Times New Roman"/>
          <w:sz w:val="24"/>
          <w:szCs w:val="24"/>
        </w:rPr>
        <w:t>unconditioned local loop service</w:t>
      </w:r>
      <w:r w:rsidR="00BB0655" w:rsidRPr="00373A1C">
        <w:rPr>
          <w:rFonts w:ascii="Times New Roman" w:hAnsi="Times New Roman" w:cs="Times New Roman"/>
          <w:sz w:val="24"/>
          <w:szCs w:val="24"/>
        </w:rPr>
        <w:t xml:space="preserve"> </w:t>
      </w:r>
      <w:r w:rsidRPr="00373A1C">
        <w:rPr>
          <w:rFonts w:ascii="Times New Roman" w:hAnsi="Times New Roman" w:cs="Times New Roman"/>
          <w:sz w:val="24"/>
          <w:szCs w:val="24"/>
        </w:rPr>
        <w:t>typically operates between a telephone exchange and the end-user premises in the case of a single-dwelling unit, or the telephone exchange and the building basement in the case of a multi-dwelling unit.</w:t>
      </w:r>
    </w:p>
    <w:p w14:paraId="704EA3FE" w14:textId="3519C945" w:rsidR="002D001C" w:rsidRDefault="003F5942" w:rsidP="00116173">
      <w:pPr>
        <w:rPr>
          <w:rFonts w:ascii="Times New Roman" w:hAnsi="Times New Roman" w:cs="Times New Roman"/>
          <w:sz w:val="24"/>
          <w:szCs w:val="24"/>
        </w:rPr>
      </w:pPr>
      <w:r w:rsidRPr="00E37E72">
        <w:rPr>
          <w:rFonts w:ascii="Times New Roman" w:hAnsi="Times New Roman" w:cs="Times New Roman"/>
          <w:sz w:val="24"/>
          <w:szCs w:val="24"/>
        </w:rPr>
        <w:t>The</w:t>
      </w:r>
      <w:r w:rsidRPr="00504FAA">
        <w:rPr>
          <w:rFonts w:ascii="Times New Roman" w:hAnsi="Times New Roman" w:cs="Times New Roman"/>
          <w:sz w:val="24"/>
          <w:szCs w:val="24"/>
        </w:rPr>
        <w:t xml:space="preserve"> effect of sub</w:t>
      </w:r>
      <w:r w:rsidR="00975AB6">
        <w:rPr>
          <w:rFonts w:ascii="Times New Roman" w:hAnsi="Times New Roman" w:cs="Times New Roman"/>
          <w:sz w:val="24"/>
          <w:szCs w:val="24"/>
        </w:rPr>
        <w:t xml:space="preserve">section </w:t>
      </w:r>
      <w:r w:rsidRPr="00504FAA">
        <w:rPr>
          <w:rFonts w:ascii="Times New Roman" w:hAnsi="Times New Roman" w:cs="Times New Roman"/>
          <w:sz w:val="24"/>
          <w:szCs w:val="24"/>
        </w:rPr>
        <w:t>1</w:t>
      </w:r>
      <w:r w:rsidR="00C21F35">
        <w:rPr>
          <w:rFonts w:ascii="Times New Roman" w:hAnsi="Times New Roman" w:cs="Times New Roman"/>
          <w:sz w:val="24"/>
          <w:szCs w:val="24"/>
        </w:rPr>
        <w:t>3</w:t>
      </w:r>
      <w:r w:rsidRPr="00504FAA">
        <w:rPr>
          <w:rFonts w:ascii="Times New Roman" w:hAnsi="Times New Roman" w:cs="Times New Roman"/>
          <w:sz w:val="24"/>
          <w:szCs w:val="24"/>
        </w:rPr>
        <w:t xml:space="preserve">(2) is that an industry code or ACMA standard may, for example, set out performance requirements relating to the management of interference between competing next-generation or legacy services in a cable or cable bundle with a view to them operating at optimal performance levels. This could include, for example, requirements for affected systems to operate within certain frequency bands. </w:t>
      </w:r>
      <w:r w:rsidR="00845F2A">
        <w:rPr>
          <w:rFonts w:ascii="Times New Roman" w:hAnsi="Times New Roman" w:cs="Times New Roman"/>
          <w:sz w:val="24"/>
          <w:szCs w:val="24"/>
        </w:rPr>
        <w:t xml:space="preserve">For example, the code </w:t>
      </w:r>
      <w:hyperlink r:id="rId12" w:anchor=":~:text=C658%3A2019%20Next%2DGeneration%20Broadband%20Systems%20Deployment%20in%20Customer%20Cabling,-C658%3A2019%20Part&amp;text=C658%3A2019%20is%20designed%20to,Systems%20(e.g.%20VDSL2%20technology)." w:history="1">
        <w:r w:rsidR="00845F2A" w:rsidRPr="00845F2A">
          <w:rPr>
            <w:rStyle w:val="Hyperlink"/>
            <w:rFonts w:ascii="Times New Roman" w:hAnsi="Times New Roman" w:cs="Times New Roman"/>
            <w:sz w:val="24"/>
            <w:szCs w:val="24"/>
          </w:rPr>
          <w:t>C658:2019 Next-Generation Broadband Systems Deployment in Customer Cabling</w:t>
        </w:r>
      </w:hyperlink>
      <w:r w:rsidR="00845F2A">
        <w:rPr>
          <w:rFonts w:ascii="Times New Roman" w:hAnsi="Times New Roman" w:cs="Times New Roman"/>
          <w:sz w:val="24"/>
          <w:szCs w:val="24"/>
        </w:rPr>
        <w:t xml:space="preserve"> </w:t>
      </w:r>
      <w:r w:rsidR="00845F2A" w:rsidRPr="00845F2A">
        <w:rPr>
          <w:rFonts w:ascii="Times New Roman" w:hAnsi="Times New Roman" w:cs="Times New Roman"/>
          <w:sz w:val="24"/>
          <w:szCs w:val="24"/>
        </w:rPr>
        <w:t>is designed to prevent performance-degrading Unacceptable Interference within Customer Cabling that carries Legacy Systems (e.g. ADSL2+ technology) and/or Next Generation Broadband Systems (e.g. VDSL2 technology).</w:t>
      </w:r>
    </w:p>
    <w:p w14:paraId="7897E518" w14:textId="2EE7B5A0" w:rsidR="00AA0095" w:rsidRPr="0018651C" w:rsidRDefault="00AA0095" w:rsidP="00C34371">
      <w:pPr>
        <w:pStyle w:val="ActHead2"/>
      </w:pPr>
      <w:r w:rsidRPr="0018651C">
        <w:lastRenderedPageBreak/>
        <w:t>Part 4 – Protection of communications</w:t>
      </w:r>
    </w:p>
    <w:p w14:paraId="0A2F7D24" w14:textId="428AB9BE" w:rsidR="002E6BDF" w:rsidRDefault="002E6BDF" w:rsidP="00116173">
      <w:pPr>
        <w:rPr>
          <w:rFonts w:ascii="Times New Roman" w:hAnsi="Times New Roman" w:cs="Times New Roman"/>
          <w:sz w:val="24"/>
          <w:szCs w:val="24"/>
        </w:rPr>
      </w:pPr>
      <w:r w:rsidRPr="00166A16">
        <w:rPr>
          <w:rFonts w:ascii="Times New Roman" w:hAnsi="Times New Roman" w:cs="Times New Roman"/>
          <w:sz w:val="24"/>
          <w:szCs w:val="24"/>
        </w:rPr>
        <w:t>The</w:t>
      </w:r>
      <w:r w:rsidRPr="00166A16">
        <w:rPr>
          <w:rFonts w:ascii="Times New Roman" w:hAnsi="Times New Roman" w:cs="Times New Roman"/>
          <w:i/>
          <w:sz w:val="24"/>
          <w:szCs w:val="24"/>
        </w:rPr>
        <w:t xml:space="preserve"> Privacy Act 1988</w:t>
      </w:r>
      <w:r w:rsidRPr="00166A16">
        <w:rPr>
          <w:rFonts w:ascii="Times New Roman" w:hAnsi="Times New Roman" w:cs="Times New Roman"/>
          <w:sz w:val="24"/>
          <w:szCs w:val="24"/>
        </w:rPr>
        <w:t xml:space="preserve"> </w:t>
      </w:r>
      <w:r w:rsidR="00166A16">
        <w:rPr>
          <w:rFonts w:ascii="Times New Roman" w:hAnsi="Times New Roman" w:cs="Times New Roman"/>
          <w:sz w:val="24"/>
          <w:szCs w:val="24"/>
        </w:rPr>
        <w:t xml:space="preserve">(Privacy Act) </w:t>
      </w:r>
      <w:r w:rsidR="004140FC" w:rsidRPr="00166A16">
        <w:rPr>
          <w:rFonts w:ascii="Times New Roman" w:hAnsi="Times New Roman" w:cs="Times New Roman"/>
          <w:sz w:val="24"/>
          <w:szCs w:val="24"/>
        </w:rPr>
        <w:t xml:space="preserve">requires authorities </w:t>
      </w:r>
      <w:r w:rsidR="00594282" w:rsidRPr="00166A16">
        <w:rPr>
          <w:rFonts w:ascii="Times New Roman" w:hAnsi="Times New Roman" w:cs="Times New Roman"/>
          <w:sz w:val="24"/>
          <w:szCs w:val="24"/>
        </w:rPr>
        <w:t xml:space="preserve">to handle information in accordance with the Australian Privacy Principles. Exceptions to the use and disclosure of information </w:t>
      </w:r>
      <w:r w:rsidR="004140FC" w:rsidRPr="00166A16">
        <w:rPr>
          <w:rFonts w:ascii="Times New Roman" w:hAnsi="Times New Roman" w:cs="Times New Roman"/>
          <w:sz w:val="24"/>
          <w:szCs w:val="24"/>
        </w:rPr>
        <w:t xml:space="preserve">outlined in this Part </w:t>
      </w:r>
      <w:r w:rsidR="00594282" w:rsidRPr="00166A16">
        <w:rPr>
          <w:rFonts w:ascii="Times New Roman" w:hAnsi="Times New Roman" w:cs="Times New Roman"/>
          <w:sz w:val="24"/>
          <w:szCs w:val="24"/>
        </w:rPr>
        <w:t xml:space="preserve">are </w:t>
      </w:r>
      <w:r w:rsidR="004140FC" w:rsidRPr="00166A16">
        <w:rPr>
          <w:rFonts w:ascii="Times New Roman" w:hAnsi="Times New Roman" w:cs="Times New Roman"/>
          <w:sz w:val="24"/>
          <w:szCs w:val="24"/>
        </w:rPr>
        <w:t>restricted</w:t>
      </w:r>
      <w:r w:rsidR="00594282" w:rsidRPr="00166A16">
        <w:rPr>
          <w:rFonts w:ascii="Times New Roman" w:hAnsi="Times New Roman" w:cs="Times New Roman"/>
          <w:sz w:val="24"/>
          <w:szCs w:val="24"/>
        </w:rPr>
        <w:t xml:space="preserve"> by </w:t>
      </w:r>
      <w:r w:rsidR="004140FC" w:rsidRPr="00166A16">
        <w:rPr>
          <w:rFonts w:ascii="Times New Roman" w:hAnsi="Times New Roman" w:cs="Times New Roman"/>
          <w:sz w:val="24"/>
          <w:szCs w:val="24"/>
        </w:rPr>
        <w:t>limited circumstances and do not negate the ACMA’s obligations under the Privacy Act.</w:t>
      </w:r>
    </w:p>
    <w:p w14:paraId="5F0481B7" w14:textId="39139E31" w:rsidR="00236160" w:rsidRPr="00166A16" w:rsidRDefault="00236160" w:rsidP="00116173">
      <w:pPr>
        <w:rPr>
          <w:rFonts w:ascii="Times New Roman" w:hAnsi="Times New Roman" w:cs="Times New Roman"/>
          <w:sz w:val="24"/>
          <w:szCs w:val="24"/>
        </w:rPr>
      </w:pPr>
      <w:r>
        <w:rPr>
          <w:rFonts w:ascii="Times New Roman" w:hAnsi="Times New Roman" w:cs="Times New Roman"/>
          <w:sz w:val="24"/>
          <w:szCs w:val="24"/>
        </w:rPr>
        <w:t xml:space="preserve">Part 13 of the Act is directed at protecting the confidentiality of (among other things) personal information held by carriage service providers. The disclosure or use of such information is prohibited except in limited circumstances, such as for the purposes </w:t>
      </w:r>
      <w:r w:rsidRPr="00AE458D">
        <w:rPr>
          <w:rFonts w:ascii="Times New Roman" w:hAnsi="Times New Roman" w:cs="Times New Roman"/>
          <w:sz w:val="24"/>
          <w:szCs w:val="24"/>
        </w:rPr>
        <w:t>relating to the enforcement of the criminal law, assisting the ACMA to carry out its</w:t>
      </w:r>
      <w:r>
        <w:rPr>
          <w:rFonts w:ascii="Times New Roman" w:hAnsi="Times New Roman" w:cs="Times New Roman"/>
          <w:sz w:val="24"/>
          <w:szCs w:val="24"/>
        </w:rPr>
        <w:t xml:space="preserve"> functions or powers, or providing emergency warnings. Part 13 also imposes a range of record-keeping requirements on carriage service providers in relation to authorised disclosure or use of information.</w:t>
      </w:r>
    </w:p>
    <w:p w14:paraId="4E45B320" w14:textId="7742E5D8" w:rsidR="003D7CCB" w:rsidRPr="0018651C" w:rsidRDefault="003D7CCB" w:rsidP="00C34371">
      <w:pPr>
        <w:pStyle w:val="ActHead3"/>
      </w:pPr>
      <w:bookmarkStart w:id="8" w:name="_Toc56670003"/>
      <w:r w:rsidRPr="0018651C">
        <w:t>Division 1 – Exceptions to primary disclosure/use offences</w:t>
      </w:r>
    </w:p>
    <w:p w14:paraId="70E892C0" w14:textId="1462E256" w:rsidR="00BB0655" w:rsidRPr="00AD0430" w:rsidRDefault="00B71B41" w:rsidP="00116173">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Division 1 of </w:t>
      </w:r>
      <w:r w:rsidR="00CC5DD5" w:rsidRPr="00B71B41">
        <w:rPr>
          <w:rFonts w:ascii="Times New Roman" w:hAnsi="Times New Roman" w:cs="Times New Roman"/>
          <w:sz w:val="24"/>
          <w:szCs w:val="24"/>
        </w:rPr>
        <w:t>Part 4</w:t>
      </w:r>
      <w:r w:rsidR="00BB0655" w:rsidRPr="00B71B41">
        <w:rPr>
          <w:rFonts w:ascii="Times New Roman" w:hAnsi="Times New Roman" w:cs="Times New Roman"/>
          <w:sz w:val="24"/>
          <w:szCs w:val="24"/>
        </w:rPr>
        <w:t xml:space="preserve"> of the Regulation </w:t>
      </w:r>
      <w:r w:rsidR="00CC5DD5" w:rsidRPr="00B71B41">
        <w:rPr>
          <w:rFonts w:ascii="Times New Roman" w:hAnsi="Times New Roman" w:cs="Times New Roman"/>
          <w:sz w:val="24"/>
          <w:szCs w:val="24"/>
        </w:rPr>
        <w:t>creates exceptions to the use and disclosure offences in Part 13 of the Act. Those offences are designed to apply to carriers, carriage service providers</w:t>
      </w:r>
      <w:r w:rsidR="00BB0655" w:rsidRPr="00B71B41">
        <w:rPr>
          <w:rFonts w:ascii="Times New Roman" w:hAnsi="Times New Roman" w:cs="Times New Roman"/>
          <w:sz w:val="24"/>
          <w:szCs w:val="24"/>
        </w:rPr>
        <w:t>,</w:t>
      </w:r>
      <w:r w:rsidR="00CC5DD5" w:rsidRPr="00B71B41">
        <w:rPr>
          <w:rFonts w:ascii="Times New Roman" w:hAnsi="Times New Roman" w:cs="Times New Roman"/>
          <w:sz w:val="24"/>
          <w:szCs w:val="24"/>
        </w:rPr>
        <w:t xml:space="preserve"> number‑database operators, emergency call persons and their respective associates and protect the confidentiality of information that relates to the contents of communications, carriage services supplied and the affairs and personal particulars of other people. </w:t>
      </w:r>
      <w:r w:rsidR="00CC5DD5" w:rsidRPr="00AD0430">
        <w:rPr>
          <w:rFonts w:ascii="Times New Roman" w:hAnsi="Times New Roman" w:cs="Times New Roman"/>
          <w:sz w:val="24"/>
          <w:szCs w:val="24"/>
        </w:rPr>
        <w:t xml:space="preserve">The disclosure or use of protected information is authorised in limited </w:t>
      </w:r>
      <w:r w:rsidR="00CC5DD5" w:rsidRPr="00AD0430">
        <w:rPr>
          <w:rFonts w:ascii="Times New Roman" w:hAnsi="Times New Roman" w:cs="Times New Roman"/>
          <w:sz w:val="24"/>
          <w:szCs w:val="24"/>
        </w:rPr>
        <w:lastRenderedPageBreak/>
        <w:t>circumstances (for example, disclosure or use for purposes relating to the enforcement of the criminal law).</w:t>
      </w:r>
    </w:p>
    <w:p w14:paraId="5C7890A5" w14:textId="3D35FA0C" w:rsidR="00CC5DD5" w:rsidRPr="00AD0430" w:rsidRDefault="00CC5DD5" w:rsidP="00116173">
      <w:pPr>
        <w:shd w:val="clear" w:color="auto" w:fill="FFFFFF"/>
        <w:spacing w:before="100" w:beforeAutospacing="1" w:after="100" w:afterAutospacing="1" w:line="240" w:lineRule="auto"/>
        <w:rPr>
          <w:rFonts w:ascii="Times New Roman" w:hAnsi="Times New Roman" w:cs="Times New Roman"/>
          <w:sz w:val="24"/>
          <w:szCs w:val="24"/>
        </w:rPr>
      </w:pPr>
      <w:r w:rsidRPr="00AD0430">
        <w:rPr>
          <w:rFonts w:ascii="Times New Roman" w:hAnsi="Times New Roman" w:cs="Times New Roman"/>
          <w:sz w:val="24"/>
          <w:szCs w:val="24"/>
        </w:rPr>
        <w:t xml:space="preserve">Section 292 of the Act allows for regulations to be made specifying circumstances in which the offences in sections 276, 277 and 278 do not prohibit a disclosure or use of information or a document. </w:t>
      </w:r>
    </w:p>
    <w:p w14:paraId="43DBADE0" w14:textId="3091C1A7" w:rsidR="00CC5DD5" w:rsidRPr="00AF2FBA" w:rsidRDefault="00CC5DD5" w:rsidP="00C34371">
      <w:pPr>
        <w:pStyle w:val="ActHead5"/>
      </w:pPr>
      <w:r w:rsidRPr="00AF2FBA">
        <w:t>Section 1</w:t>
      </w:r>
      <w:r w:rsidR="00AD29D5">
        <w:t>4</w:t>
      </w:r>
      <w:r w:rsidRPr="00AF2FBA">
        <w:t xml:space="preserve"> – Disclosures to a National Relay Service Provider</w:t>
      </w:r>
    </w:p>
    <w:p w14:paraId="64E5586E" w14:textId="3D05587F" w:rsidR="00BB0655" w:rsidRPr="00504FAA" w:rsidRDefault="00BB0655" w:rsidP="00116173">
      <w:pPr>
        <w:shd w:val="clear" w:color="auto" w:fill="FFFFFF"/>
        <w:spacing w:before="100" w:beforeAutospacing="1" w:after="100" w:afterAutospacing="1" w:line="240" w:lineRule="auto"/>
        <w:rPr>
          <w:rFonts w:ascii="Times New Roman" w:hAnsi="Times New Roman" w:cs="Times New Roman"/>
          <w:sz w:val="24"/>
          <w:szCs w:val="24"/>
        </w:rPr>
      </w:pPr>
      <w:r w:rsidRPr="00373A1C">
        <w:rPr>
          <w:rFonts w:ascii="Times New Roman" w:hAnsi="Times New Roman" w:cs="Times New Roman"/>
          <w:sz w:val="24"/>
          <w:szCs w:val="24"/>
        </w:rPr>
        <w:t>The National Relay Service (NRS) assists Australians who are deaf,</w:t>
      </w:r>
      <w:r w:rsidR="00236160">
        <w:rPr>
          <w:rFonts w:ascii="Times New Roman" w:hAnsi="Times New Roman" w:cs="Times New Roman"/>
          <w:sz w:val="24"/>
          <w:szCs w:val="24"/>
        </w:rPr>
        <w:t xml:space="preserve"> hard of hearing or have speech-</w:t>
      </w:r>
      <w:r w:rsidRPr="00373A1C">
        <w:rPr>
          <w:rFonts w:ascii="Times New Roman" w:hAnsi="Times New Roman" w:cs="Times New Roman"/>
          <w:sz w:val="24"/>
          <w:szCs w:val="24"/>
        </w:rPr>
        <w:t>impairment to communicate with voice callers.</w:t>
      </w:r>
    </w:p>
    <w:p w14:paraId="0E72E4C3" w14:textId="618C6D1F" w:rsidR="00CC5DD5" w:rsidRPr="00D549AB" w:rsidRDefault="00CC5DD5" w:rsidP="00116173">
      <w:pPr>
        <w:shd w:val="clear" w:color="auto" w:fill="FFFFFF"/>
        <w:spacing w:before="100" w:beforeAutospacing="1" w:after="100" w:afterAutospacing="1" w:line="240" w:lineRule="auto"/>
        <w:rPr>
          <w:rFonts w:ascii="Times New Roman" w:hAnsi="Times New Roman" w:cs="Times New Roman"/>
          <w:sz w:val="24"/>
          <w:szCs w:val="24"/>
        </w:rPr>
      </w:pPr>
      <w:r w:rsidRPr="00504FAA">
        <w:rPr>
          <w:rFonts w:ascii="Times New Roman" w:hAnsi="Times New Roman" w:cs="Times New Roman"/>
          <w:sz w:val="24"/>
          <w:szCs w:val="24"/>
        </w:rPr>
        <w:t>Section 1</w:t>
      </w:r>
      <w:r w:rsidR="00AD29D5">
        <w:rPr>
          <w:rFonts w:ascii="Times New Roman" w:hAnsi="Times New Roman" w:cs="Times New Roman"/>
          <w:sz w:val="24"/>
          <w:szCs w:val="24"/>
        </w:rPr>
        <w:t>4</w:t>
      </w:r>
      <w:r w:rsidRPr="00504FAA">
        <w:rPr>
          <w:rFonts w:ascii="Times New Roman" w:hAnsi="Times New Roman" w:cs="Times New Roman"/>
          <w:sz w:val="24"/>
          <w:szCs w:val="24"/>
        </w:rPr>
        <w:t xml:space="preserve"> provides that section 276 of the Act does not prohibit the disclosure </w:t>
      </w:r>
      <w:r w:rsidR="00BB0655" w:rsidRPr="00504FAA">
        <w:rPr>
          <w:rFonts w:ascii="Times New Roman" w:hAnsi="Times New Roman" w:cs="Times New Roman"/>
          <w:sz w:val="24"/>
          <w:szCs w:val="24"/>
        </w:rPr>
        <w:t xml:space="preserve">or use </w:t>
      </w:r>
      <w:r w:rsidRPr="00504FAA">
        <w:rPr>
          <w:rFonts w:ascii="Times New Roman" w:hAnsi="Times New Roman" w:cs="Times New Roman"/>
          <w:sz w:val="24"/>
          <w:szCs w:val="24"/>
        </w:rPr>
        <w:t xml:space="preserve">of information or a document if a carrier or carriage service provides it to a provider of </w:t>
      </w:r>
      <w:r w:rsidR="00BB0655" w:rsidRPr="00504FAA">
        <w:rPr>
          <w:rFonts w:ascii="Times New Roman" w:hAnsi="Times New Roman" w:cs="Times New Roman"/>
          <w:sz w:val="24"/>
          <w:szCs w:val="24"/>
        </w:rPr>
        <w:t xml:space="preserve">a </w:t>
      </w:r>
      <w:r w:rsidRPr="009677A7">
        <w:rPr>
          <w:rFonts w:ascii="Times New Roman" w:hAnsi="Times New Roman" w:cs="Times New Roman"/>
          <w:sz w:val="24"/>
          <w:szCs w:val="24"/>
        </w:rPr>
        <w:t>NRS, and the information or document relates to the use of the NRS by another person, and the disclosure or use is for the purpose of</w:t>
      </w:r>
      <w:r w:rsidR="00BB0655" w:rsidRPr="00C45C69">
        <w:rPr>
          <w:rFonts w:ascii="Times New Roman" w:hAnsi="Times New Roman" w:cs="Times New Roman"/>
          <w:sz w:val="24"/>
          <w:szCs w:val="24"/>
        </w:rPr>
        <w:t>,</w:t>
      </w:r>
      <w:r w:rsidRPr="00C45C69">
        <w:rPr>
          <w:rFonts w:ascii="Times New Roman" w:hAnsi="Times New Roman" w:cs="Times New Roman"/>
          <w:sz w:val="24"/>
          <w:szCs w:val="24"/>
        </w:rPr>
        <w:t xml:space="preserve"> or connected with</w:t>
      </w:r>
      <w:r w:rsidR="00BB0655" w:rsidRPr="00E37E72">
        <w:rPr>
          <w:rFonts w:ascii="Times New Roman" w:hAnsi="Times New Roman" w:cs="Times New Roman"/>
          <w:sz w:val="24"/>
          <w:szCs w:val="24"/>
        </w:rPr>
        <w:t>,</w:t>
      </w:r>
      <w:r w:rsidRPr="00E37E72">
        <w:rPr>
          <w:rFonts w:ascii="Times New Roman" w:hAnsi="Times New Roman" w:cs="Times New Roman"/>
          <w:sz w:val="24"/>
          <w:szCs w:val="24"/>
        </w:rPr>
        <w:t xml:space="preserve"> the supply of the NRS by the NRS provider to that other person. </w:t>
      </w:r>
    </w:p>
    <w:p w14:paraId="26C06219" w14:textId="292E68A7" w:rsidR="00CC5DD5" w:rsidRPr="00ED71F5" w:rsidRDefault="00CC5DD5" w:rsidP="00C34371">
      <w:pPr>
        <w:pStyle w:val="ActHead5"/>
      </w:pPr>
      <w:r w:rsidRPr="00ED71F5">
        <w:t>Section 1</w:t>
      </w:r>
      <w:r w:rsidR="00AD29D5">
        <w:t>5</w:t>
      </w:r>
      <w:r w:rsidRPr="00ED71F5">
        <w:t xml:space="preserve"> </w:t>
      </w:r>
      <w:r w:rsidR="0018651C" w:rsidRPr="009677A7">
        <w:t>–</w:t>
      </w:r>
      <w:r w:rsidRPr="00ED71F5">
        <w:t xml:space="preserve"> Disclosures of unlisted mobile number information to authorised research entity</w:t>
      </w:r>
    </w:p>
    <w:p w14:paraId="22DCDC3D" w14:textId="3B34C9D4" w:rsidR="00CC5DD5" w:rsidRDefault="00CC5DD5" w:rsidP="00116173">
      <w:pPr>
        <w:shd w:val="clear" w:color="auto" w:fill="FFFFFF"/>
        <w:spacing w:before="100" w:beforeAutospacing="1" w:after="100" w:afterAutospacing="1" w:line="240" w:lineRule="auto"/>
        <w:rPr>
          <w:rFonts w:ascii="Times New Roman" w:hAnsi="Times New Roman" w:cs="Times New Roman"/>
          <w:sz w:val="24"/>
          <w:szCs w:val="24"/>
        </w:rPr>
      </w:pPr>
      <w:r w:rsidRPr="00325E5D">
        <w:rPr>
          <w:rFonts w:ascii="Times New Roman" w:hAnsi="Times New Roman" w:cs="Times New Roman"/>
          <w:sz w:val="24"/>
          <w:szCs w:val="24"/>
        </w:rPr>
        <w:t>Section 1</w:t>
      </w:r>
      <w:r w:rsidR="00AD29D5">
        <w:rPr>
          <w:rFonts w:ascii="Times New Roman" w:hAnsi="Times New Roman" w:cs="Times New Roman"/>
          <w:sz w:val="24"/>
          <w:szCs w:val="24"/>
        </w:rPr>
        <w:t>5</w:t>
      </w:r>
      <w:r w:rsidRPr="00325E5D">
        <w:rPr>
          <w:rFonts w:ascii="Times New Roman" w:hAnsi="Times New Roman" w:cs="Times New Roman"/>
          <w:sz w:val="24"/>
          <w:szCs w:val="24"/>
        </w:rPr>
        <w:t xml:space="preserve"> provides that section 276 does not prohibit </w:t>
      </w:r>
      <w:r w:rsidRPr="00261CDF">
        <w:rPr>
          <w:rFonts w:ascii="Times New Roman" w:hAnsi="Times New Roman" w:cs="Times New Roman"/>
          <w:sz w:val="24"/>
          <w:szCs w:val="24"/>
        </w:rPr>
        <w:t xml:space="preserve">the manager of the Integrated Public Number Database </w:t>
      </w:r>
      <w:r w:rsidR="007D3D73">
        <w:rPr>
          <w:rFonts w:ascii="Times New Roman" w:hAnsi="Times New Roman" w:cs="Times New Roman"/>
          <w:sz w:val="24"/>
          <w:szCs w:val="24"/>
        </w:rPr>
        <w:t xml:space="preserve">Manager </w:t>
      </w:r>
      <w:r w:rsidRPr="00261CDF">
        <w:rPr>
          <w:rFonts w:ascii="Times New Roman" w:hAnsi="Times New Roman" w:cs="Times New Roman"/>
          <w:sz w:val="24"/>
          <w:szCs w:val="24"/>
        </w:rPr>
        <w:t>(IPND</w:t>
      </w:r>
      <w:r w:rsidR="007D3D73">
        <w:rPr>
          <w:rFonts w:ascii="Times New Roman" w:hAnsi="Times New Roman" w:cs="Times New Roman"/>
          <w:sz w:val="24"/>
          <w:szCs w:val="24"/>
        </w:rPr>
        <w:t xml:space="preserve"> Manager</w:t>
      </w:r>
      <w:r w:rsidRPr="00261CDF">
        <w:rPr>
          <w:rFonts w:ascii="Times New Roman" w:hAnsi="Times New Roman" w:cs="Times New Roman"/>
          <w:sz w:val="24"/>
          <w:szCs w:val="24"/>
        </w:rPr>
        <w:t xml:space="preserve">) from disclosing </w:t>
      </w:r>
      <w:r w:rsidR="00BB0655" w:rsidRPr="00261CDF">
        <w:rPr>
          <w:rFonts w:ascii="Times New Roman" w:hAnsi="Times New Roman" w:cs="Times New Roman"/>
          <w:sz w:val="24"/>
          <w:szCs w:val="24"/>
        </w:rPr>
        <w:t xml:space="preserve">or using </w:t>
      </w:r>
      <w:r w:rsidRPr="00261CDF">
        <w:rPr>
          <w:rFonts w:ascii="Times New Roman" w:hAnsi="Times New Roman" w:cs="Times New Roman"/>
          <w:sz w:val="24"/>
          <w:szCs w:val="24"/>
        </w:rPr>
        <w:t>unlisted mobile number information to an authorised research entity. Provisions governing authorisations to access that information for research purposes are set out in Division 2 of Part 4</w:t>
      </w:r>
      <w:r w:rsidR="00F61A42" w:rsidRPr="00261CDF">
        <w:rPr>
          <w:rFonts w:ascii="Times New Roman" w:hAnsi="Times New Roman" w:cs="Times New Roman"/>
          <w:sz w:val="24"/>
          <w:szCs w:val="24"/>
        </w:rPr>
        <w:t xml:space="preserve"> of the Regulations</w:t>
      </w:r>
      <w:r w:rsidRPr="00261CDF">
        <w:rPr>
          <w:rFonts w:ascii="Times New Roman" w:hAnsi="Times New Roman" w:cs="Times New Roman"/>
          <w:sz w:val="24"/>
          <w:szCs w:val="24"/>
        </w:rPr>
        <w:t xml:space="preserve">. </w:t>
      </w:r>
    </w:p>
    <w:p w14:paraId="4DBA960E" w14:textId="4EBC2BDD" w:rsidR="00CC5DD5" w:rsidRPr="00261CDF" w:rsidRDefault="00CC5DD5" w:rsidP="00C34371">
      <w:pPr>
        <w:pStyle w:val="ActHead5"/>
      </w:pPr>
      <w:r w:rsidRPr="00261CDF">
        <w:lastRenderedPageBreak/>
        <w:t>Section 1</w:t>
      </w:r>
      <w:r w:rsidR="00AD29D5">
        <w:t>6</w:t>
      </w:r>
      <w:r w:rsidR="0018651C">
        <w:t xml:space="preserve"> </w:t>
      </w:r>
      <w:r w:rsidR="0018651C" w:rsidRPr="009677A7">
        <w:t>–</w:t>
      </w:r>
      <w:r w:rsidRPr="00261CDF">
        <w:t xml:space="preserve"> Disclosures by emergency call persons—research about emergency service numbers</w:t>
      </w:r>
    </w:p>
    <w:p w14:paraId="23302004" w14:textId="54E5CD22" w:rsidR="00CC5DD5" w:rsidRDefault="00751EE5" w:rsidP="00116173">
      <w:pPr>
        <w:shd w:val="clear" w:color="auto" w:fill="FFFFFF"/>
        <w:spacing w:before="100" w:beforeAutospacing="1" w:after="100" w:afterAutospacing="1" w:line="240" w:lineRule="auto"/>
        <w:rPr>
          <w:rFonts w:ascii="Times New Roman" w:hAnsi="Times New Roman" w:cs="Times New Roman"/>
          <w:sz w:val="24"/>
          <w:szCs w:val="24"/>
        </w:rPr>
      </w:pPr>
      <w:r w:rsidRPr="00261CDF">
        <w:rPr>
          <w:rFonts w:ascii="Times New Roman" w:hAnsi="Times New Roman" w:cs="Times New Roman"/>
          <w:sz w:val="24"/>
          <w:szCs w:val="24"/>
        </w:rPr>
        <w:t>Section 1</w:t>
      </w:r>
      <w:r w:rsidR="00AD29D5">
        <w:rPr>
          <w:rFonts w:ascii="Times New Roman" w:hAnsi="Times New Roman" w:cs="Times New Roman"/>
          <w:sz w:val="24"/>
          <w:szCs w:val="24"/>
        </w:rPr>
        <w:t>6</w:t>
      </w:r>
      <w:r w:rsidRPr="00261CDF">
        <w:rPr>
          <w:rFonts w:ascii="Times New Roman" w:hAnsi="Times New Roman" w:cs="Times New Roman"/>
          <w:sz w:val="24"/>
          <w:szCs w:val="24"/>
        </w:rPr>
        <w:t xml:space="preserve"> provides that section 278 of the Act does not prohibit the disclosure or use of information or a document if the information is disclosed by an emergency call person to a researcher engaged by the ACMA to research the way emergency service numbers are dialled and used. The information must be disclosed solely to conduct the research. The ACMA and the researcher must also agree in writing that the research must conclude within 12 months of commencement and the researcher will not use or disclosure any information or document disclosed except to conduct the research. The exception does not authorise the disclosure or use of information or a document more than 12 months after the researcher starts the research. </w:t>
      </w:r>
    </w:p>
    <w:p w14:paraId="763CB53D" w14:textId="099DEFC8" w:rsidR="00AA0095" w:rsidRPr="00C34371" w:rsidRDefault="00ED6155" w:rsidP="00C34371">
      <w:pPr>
        <w:pStyle w:val="ActHead3"/>
      </w:pPr>
      <w:r w:rsidRPr="00C34371">
        <w:t xml:space="preserve">Division 2 – </w:t>
      </w:r>
      <w:r w:rsidR="00AA0095" w:rsidRPr="00C34371">
        <w:t>Research authorisations</w:t>
      </w:r>
      <w:bookmarkEnd w:id="8"/>
    </w:p>
    <w:p w14:paraId="0D90BBC1" w14:textId="2CB8895D" w:rsidR="00AD29D5" w:rsidRPr="00C34371" w:rsidRDefault="00AD29D5" w:rsidP="00C34371">
      <w:pPr>
        <w:pStyle w:val="ActHead4"/>
      </w:pPr>
      <w:r w:rsidRPr="00C34371">
        <w:rPr>
          <w:rStyle w:val="CharSubdNo"/>
        </w:rPr>
        <w:t>Subdivision A</w:t>
      </w:r>
      <w:r w:rsidR="00ED6155" w:rsidRPr="00C34371">
        <w:rPr>
          <w:rStyle w:val="CharSubdNo"/>
        </w:rPr>
        <w:t xml:space="preserve"> </w:t>
      </w:r>
      <w:r w:rsidR="00ED6155" w:rsidRPr="00C34371">
        <w:t>–</w:t>
      </w:r>
      <w:r w:rsidR="00ED6155" w:rsidRPr="00C34371">
        <w:rPr>
          <w:rStyle w:val="CharSubdNo"/>
        </w:rPr>
        <w:t xml:space="preserve"> </w:t>
      </w:r>
      <w:r w:rsidRPr="00C34371">
        <w:rPr>
          <w:rStyle w:val="CharSubdText"/>
        </w:rPr>
        <w:t>Introduction</w:t>
      </w:r>
    </w:p>
    <w:p w14:paraId="047F836E" w14:textId="7D903233" w:rsidR="00AD29D5" w:rsidRPr="00C34371" w:rsidRDefault="00AD29D5" w:rsidP="00C34371">
      <w:pPr>
        <w:pStyle w:val="ActHead5"/>
      </w:pPr>
      <w:r w:rsidRPr="00C34371">
        <w:t xml:space="preserve">Section 17 – Simplified </w:t>
      </w:r>
      <w:r w:rsidR="001E2BB3">
        <w:t>o</w:t>
      </w:r>
      <w:r w:rsidRPr="00C34371">
        <w:t>utline</w:t>
      </w:r>
      <w:r w:rsidR="001E2BB3">
        <w:t xml:space="preserve"> of this Division</w:t>
      </w:r>
    </w:p>
    <w:p w14:paraId="2AE1BBCC" w14:textId="77777777" w:rsidR="00AD29D5" w:rsidRPr="00621B91" w:rsidRDefault="00AD29D5" w:rsidP="00AD29D5">
      <w:pPr>
        <w:shd w:val="clear" w:color="auto" w:fill="FFFFFF"/>
        <w:spacing w:before="100" w:beforeAutospacing="1" w:after="100" w:afterAutospacing="1" w:line="240" w:lineRule="auto"/>
        <w:rPr>
          <w:rFonts w:ascii="Times New Roman" w:hAnsi="Times New Roman"/>
          <w:sz w:val="24"/>
        </w:rPr>
      </w:pPr>
      <w:r w:rsidRPr="00621B91">
        <w:rPr>
          <w:rFonts w:ascii="Times New Roman" w:hAnsi="Times New Roman"/>
          <w:sz w:val="24"/>
        </w:rPr>
        <w:t>Item 1</w:t>
      </w:r>
      <w:r>
        <w:rPr>
          <w:rFonts w:ascii="Times New Roman" w:hAnsi="Times New Roman"/>
          <w:sz w:val="24"/>
        </w:rPr>
        <w:t>7</w:t>
      </w:r>
      <w:r w:rsidRPr="00621B91">
        <w:rPr>
          <w:rFonts w:ascii="Times New Roman" w:hAnsi="Times New Roman"/>
          <w:sz w:val="24"/>
        </w:rPr>
        <w:t xml:space="preserve"> provides a simplified outline of the Division.</w:t>
      </w:r>
    </w:p>
    <w:p w14:paraId="15DA2740" w14:textId="5BDBC55F" w:rsidR="00B71B41" w:rsidRPr="00621B91" w:rsidRDefault="00B71B41" w:rsidP="00B71B41">
      <w:pPr>
        <w:shd w:val="clear" w:color="auto" w:fill="FFFFFF"/>
        <w:spacing w:before="100" w:beforeAutospacing="1" w:after="100" w:afterAutospacing="1" w:line="240" w:lineRule="auto"/>
        <w:rPr>
          <w:rFonts w:ascii="Times New Roman" w:hAnsi="Times New Roman"/>
          <w:sz w:val="19"/>
          <w:lang w:val="en-US"/>
        </w:rPr>
      </w:pPr>
      <w:r w:rsidRPr="00261CDF">
        <w:rPr>
          <w:rFonts w:ascii="Times New Roman" w:eastAsia="Times New Roman" w:hAnsi="Times New Roman" w:cs="Times New Roman"/>
          <w:sz w:val="24"/>
          <w:szCs w:val="24"/>
          <w:lang w:eastAsia="en-AU"/>
        </w:rPr>
        <w:t xml:space="preserve">The use and disclosure of information contained in the </w:t>
      </w:r>
      <w:r>
        <w:rPr>
          <w:rFonts w:ascii="Times New Roman" w:eastAsia="Times New Roman" w:hAnsi="Times New Roman" w:cs="Times New Roman"/>
          <w:sz w:val="24"/>
          <w:szCs w:val="24"/>
          <w:lang w:eastAsia="en-AU"/>
        </w:rPr>
        <w:t xml:space="preserve">IPND </w:t>
      </w:r>
      <w:r w:rsidRPr="00261CDF">
        <w:rPr>
          <w:rFonts w:ascii="Times New Roman" w:eastAsia="Times New Roman" w:hAnsi="Times New Roman" w:cs="Times New Roman"/>
          <w:sz w:val="24"/>
          <w:szCs w:val="24"/>
          <w:lang w:eastAsia="en-AU"/>
        </w:rPr>
        <w:t>is regulated under Part 13 of the Act</w:t>
      </w:r>
      <w:r>
        <w:rPr>
          <w:rFonts w:ascii="Times New Roman" w:hAnsi="Times New Roman" w:cs="Times New Roman"/>
          <w:sz w:val="24"/>
          <w:szCs w:val="24"/>
        </w:rPr>
        <w:t xml:space="preserve">. </w:t>
      </w:r>
      <w:r w:rsidRPr="00621B91">
        <w:rPr>
          <w:rFonts w:ascii="Times New Roman" w:hAnsi="Times New Roman"/>
          <w:sz w:val="24"/>
        </w:rPr>
        <w:t>Part 13 of the Act includes exceptions to these general proh</w:t>
      </w:r>
      <w:r w:rsidR="00E76600">
        <w:rPr>
          <w:rFonts w:ascii="Times New Roman" w:hAnsi="Times New Roman"/>
          <w:sz w:val="24"/>
        </w:rPr>
        <w:t xml:space="preserve">ibitions, including subsection </w:t>
      </w:r>
      <w:r w:rsidRPr="00621B91">
        <w:rPr>
          <w:rFonts w:ascii="Times New Roman" w:hAnsi="Times New Roman"/>
          <w:sz w:val="24"/>
        </w:rPr>
        <w:t>292(1) of the Act, which provides that where circumstances</w:t>
      </w:r>
      <w:r w:rsidR="00166A16">
        <w:rPr>
          <w:rFonts w:ascii="Times New Roman" w:hAnsi="Times New Roman"/>
          <w:sz w:val="24"/>
        </w:rPr>
        <w:t xml:space="preserve"> are specified in regulations</w:t>
      </w:r>
      <w:r w:rsidRPr="00621B91">
        <w:rPr>
          <w:rFonts w:ascii="Times New Roman" w:hAnsi="Times New Roman"/>
          <w:sz w:val="24"/>
        </w:rPr>
        <w:t xml:space="preserve">, section 276 does not prohibit the </w:t>
      </w:r>
      <w:r w:rsidRPr="00621B91">
        <w:rPr>
          <w:rFonts w:ascii="Times New Roman" w:hAnsi="Times New Roman"/>
          <w:sz w:val="24"/>
        </w:rPr>
        <w:lastRenderedPageBreak/>
        <w:t>disclosure or use of information in the IPND. Section 285 of the Act contains a further exception for the disclosure, to certain recipients, of IPND information, other than information relating to an unlisted telephone number, including for conducting research of a kind specified by the Minister in a legislative instrument.</w:t>
      </w:r>
    </w:p>
    <w:p w14:paraId="79BCFAD0" w14:textId="5DF11508" w:rsidR="00B71B41" w:rsidRPr="00B71B41" w:rsidRDefault="00B71B41" w:rsidP="00B71B41">
      <w:pPr>
        <w:shd w:val="clear" w:color="auto" w:fill="FFFFFF"/>
        <w:spacing w:before="100" w:beforeAutospacing="1" w:after="100" w:afterAutospacing="1" w:line="240" w:lineRule="auto"/>
        <w:rPr>
          <w:rFonts w:ascii="Times New Roman" w:hAnsi="Times New Roman" w:cs="Times New Roman"/>
          <w:sz w:val="24"/>
          <w:szCs w:val="24"/>
        </w:rPr>
      </w:pPr>
      <w:r w:rsidRPr="003900B2">
        <w:rPr>
          <w:rFonts w:ascii="Times New Roman" w:hAnsi="Times New Roman" w:cs="Times New Roman"/>
          <w:sz w:val="24"/>
          <w:szCs w:val="24"/>
        </w:rPr>
        <w:t xml:space="preserve">Division </w:t>
      </w:r>
      <w:r>
        <w:rPr>
          <w:rFonts w:ascii="Times New Roman" w:hAnsi="Times New Roman" w:cs="Times New Roman"/>
          <w:sz w:val="24"/>
          <w:szCs w:val="24"/>
        </w:rPr>
        <w:t xml:space="preserve">2 of Part 4 </w:t>
      </w:r>
      <w:r w:rsidRPr="003900B2">
        <w:rPr>
          <w:rFonts w:ascii="Times New Roman" w:hAnsi="Times New Roman" w:cs="Times New Roman"/>
          <w:sz w:val="24"/>
          <w:szCs w:val="24"/>
        </w:rPr>
        <w:t>of the Regulation</w:t>
      </w:r>
      <w:r w:rsidR="00166A16">
        <w:rPr>
          <w:rFonts w:ascii="Times New Roman" w:hAnsi="Times New Roman" w:cs="Times New Roman"/>
          <w:sz w:val="24"/>
          <w:szCs w:val="24"/>
        </w:rPr>
        <w:t>s</w:t>
      </w:r>
      <w:r w:rsidRPr="003900B2">
        <w:rPr>
          <w:rFonts w:ascii="Times New Roman" w:hAnsi="Times New Roman" w:cs="Times New Roman"/>
          <w:sz w:val="24"/>
          <w:szCs w:val="24"/>
        </w:rPr>
        <w:t xml:space="preserve"> </w:t>
      </w:r>
      <w:r>
        <w:rPr>
          <w:rFonts w:ascii="Times New Roman" w:hAnsi="Times New Roman" w:cs="Times New Roman"/>
          <w:sz w:val="24"/>
          <w:szCs w:val="24"/>
        </w:rPr>
        <w:t xml:space="preserve">sets out an </w:t>
      </w:r>
      <w:r w:rsidRPr="003900B2">
        <w:rPr>
          <w:rFonts w:ascii="Times New Roman" w:hAnsi="Times New Roman" w:cs="Times New Roman"/>
          <w:sz w:val="24"/>
          <w:szCs w:val="24"/>
        </w:rPr>
        <w:t>e</w:t>
      </w:r>
      <w:r>
        <w:rPr>
          <w:rFonts w:ascii="Times New Roman" w:hAnsi="Times New Roman" w:cs="Times New Roman"/>
          <w:sz w:val="24"/>
          <w:szCs w:val="24"/>
        </w:rPr>
        <w:t>xception</w:t>
      </w:r>
      <w:r w:rsidRPr="003900B2">
        <w:rPr>
          <w:rFonts w:ascii="Times New Roman" w:hAnsi="Times New Roman" w:cs="Times New Roman"/>
          <w:sz w:val="24"/>
          <w:szCs w:val="24"/>
        </w:rPr>
        <w:t xml:space="preserve"> to the </w:t>
      </w:r>
      <w:r>
        <w:rPr>
          <w:rFonts w:ascii="Times New Roman" w:hAnsi="Times New Roman" w:cs="Times New Roman"/>
          <w:sz w:val="24"/>
          <w:szCs w:val="24"/>
        </w:rPr>
        <w:t xml:space="preserve">general </w:t>
      </w:r>
      <w:r w:rsidRPr="003900B2">
        <w:rPr>
          <w:rFonts w:ascii="Times New Roman" w:hAnsi="Times New Roman" w:cs="Times New Roman"/>
          <w:sz w:val="24"/>
          <w:szCs w:val="24"/>
        </w:rPr>
        <w:t xml:space="preserve">use and disclosure offences in Part 13 of the Act </w:t>
      </w:r>
      <w:r w:rsidRPr="00261CDF">
        <w:rPr>
          <w:rFonts w:ascii="Times New Roman" w:eastAsia="Times New Roman" w:hAnsi="Times New Roman" w:cs="Times New Roman"/>
          <w:sz w:val="24"/>
          <w:szCs w:val="24"/>
          <w:lang w:eastAsia="en-AU"/>
        </w:rPr>
        <w:t>to allow for the disclosure of unlisted mobile telephone numbers and their associated postcode recorded in the IPND</w:t>
      </w:r>
      <w:r>
        <w:rPr>
          <w:rFonts w:ascii="Times New Roman" w:eastAsia="Times New Roman" w:hAnsi="Times New Roman" w:cs="Times New Roman"/>
          <w:sz w:val="24"/>
          <w:szCs w:val="24"/>
          <w:lang w:eastAsia="en-AU"/>
        </w:rPr>
        <w:t xml:space="preserve"> </w:t>
      </w:r>
      <w:r w:rsidRPr="00261CDF">
        <w:rPr>
          <w:rFonts w:ascii="Times New Roman" w:eastAsia="Times New Roman" w:hAnsi="Times New Roman" w:cs="Times New Roman"/>
          <w:sz w:val="24"/>
          <w:szCs w:val="24"/>
          <w:lang w:eastAsia="en-AU"/>
        </w:rPr>
        <w:t>for certain research purposes.</w:t>
      </w:r>
      <w:r w:rsidRPr="00B71B41">
        <w:rPr>
          <w:rFonts w:ascii="Times New Roman" w:hAnsi="Times New Roman" w:cs="Times New Roman"/>
          <w:sz w:val="24"/>
          <w:szCs w:val="24"/>
        </w:rPr>
        <w:t xml:space="preserve"> </w:t>
      </w:r>
    </w:p>
    <w:p w14:paraId="739524A4" w14:textId="288779F2" w:rsidR="00B71B41" w:rsidRDefault="00AA0095" w:rsidP="00116173">
      <w:pPr>
        <w:shd w:val="clear" w:color="auto" w:fill="FFFFFF"/>
        <w:spacing w:before="100" w:beforeAutospacing="1" w:after="100" w:afterAutospacing="1" w:line="240" w:lineRule="auto"/>
        <w:rPr>
          <w:rFonts w:ascii="Times New Roman" w:hAnsi="Times New Roman" w:cs="Times New Roman"/>
          <w:sz w:val="24"/>
          <w:szCs w:val="24"/>
        </w:rPr>
      </w:pPr>
      <w:r w:rsidRPr="00B71B41">
        <w:rPr>
          <w:rFonts w:ascii="Times New Roman" w:hAnsi="Times New Roman" w:cs="Times New Roman"/>
          <w:sz w:val="24"/>
          <w:szCs w:val="24"/>
        </w:rPr>
        <w:t xml:space="preserve">This enables </w:t>
      </w:r>
      <w:r w:rsidR="00166A16">
        <w:rPr>
          <w:rFonts w:ascii="Times New Roman" w:hAnsi="Times New Roman" w:cs="Times New Roman"/>
          <w:sz w:val="24"/>
          <w:szCs w:val="24"/>
        </w:rPr>
        <w:t xml:space="preserve">authorised </w:t>
      </w:r>
      <w:r w:rsidRPr="00B71B41">
        <w:rPr>
          <w:rFonts w:ascii="Times New Roman" w:hAnsi="Times New Roman" w:cs="Times New Roman"/>
          <w:sz w:val="24"/>
          <w:szCs w:val="24"/>
        </w:rPr>
        <w:t>research entities to more effectively sample mobile and mobile-only users and in turn a representative cross-section of the community.</w:t>
      </w:r>
      <w:r w:rsidR="00261CDF" w:rsidRPr="00B71B41">
        <w:rPr>
          <w:rFonts w:ascii="Times New Roman" w:hAnsi="Times New Roman" w:cs="Times New Roman"/>
          <w:sz w:val="24"/>
          <w:szCs w:val="24"/>
        </w:rPr>
        <w:t xml:space="preserve"> </w:t>
      </w:r>
    </w:p>
    <w:p w14:paraId="6BCF094A" w14:textId="5529CD6E" w:rsidR="00AA0095" w:rsidRPr="00621B9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621B91">
        <w:rPr>
          <w:rFonts w:ascii="Times New Roman" w:hAnsi="Times New Roman"/>
          <w:sz w:val="24"/>
        </w:rPr>
        <w:t>The IPND is an industry-wide database containing information relating to all public telephone numbers (both listed and unlisted) and associated customer information, including name and address information. It also includes information such as whether the number or address is to be listed in a public number directory, and whether the number is used for residential, business, government or charitable purposes.</w:t>
      </w:r>
    </w:p>
    <w:p w14:paraId="1E06F9A1" w14:textId="59F29A70" w:rsidR="00AA0095" w:rsidRPr="00261CDF" w:rsidRDefault="00AA0095" w:rsidP="00116173">
      <w:pPr>
        <w:shd w:val="clear" w:color="auto" w:fill="FFFFFF"/>
        <w:spacing w:before="100" w:beforeAutospacing="1" w:after="100" w:afterAutospacing="1" w:line="240" w:lineRule="auto"/>
        <w:rPr>
          <w:rFonts w:ascii="Times New Roman" w:eastAsia="Times New Roman" w:hAnsi="Times New Roman" w:cs="Times New Roman"/>
          <w:sz w:val="19"/>
          <w:szCs w:val="19"/>
          <w:lang w:val="en-US" w:eastAsia="en-AU"/>
        </w:rPr>
      </w:pPr>
      <w:r w:rsidRPr="00621B91">
        <w:rPr>
          <w:rFonts w:ascii="Times New Roman" w:hAnsi="Times New Roman"/>
          <w:sz w:val="24"/>
        </w:rPr>
        <w:t xml:space="preserve">The IPND is maintained by Telstra Corporation Limited (Telstra) under </w:t>
      </w:r>
      <w:r w:rsidR="00261CDF" w:rsidRPr="00B71B41">
        <w:rPr>
          <w:rFonts w:ascii="Times New Roman" w:eastAsia="Times New Roman" w:hAnsi="Times New Roman" w:cs="Times New Roman"/>
          <w:sz w:val="24"/>
          <w:szCs w:val="24"/>
          <w:lang w:eastAsia="en-AU"/>
        </w:rPr>
        <w:t>section</w:t>
      </w:r>
      <w:r w:rsidR="00261CDF" w:rsidRPr="00621B91">
        <w:rPr>
          <w:rFonts w:ascii="Times New Roman" w:hAnsi="Times New Roman"/>
          <w:sz w:val="24"/>
        </w:rPr>
        <w:t xml:space="preserve"> </w:t>
      </w:r>
      <w:r w:rsidRPr="00621B91">
        <w:rPr>
          <w:rFonts w:ascii="Times New Roman" w:hAnsi="Times New Roman"/>
          <w:sz w:val="24"/>
        </w:rPr>
        <w:t xml:space="preserve">10 of the </w:t>
      </w:r>
      <w:r w:rsidRPr="00621B91">
        <w:rPr>
          <w:rFonts w:ascii="Times New Roman" w:hAnsi="Times New Roman"/>
          <w:i/>
          <w:sz w:val="24"/>
        </w:rPr>
        <w:t xml:space="preserve">Carrier Licence Conditions (Telstra Corporation Limited) Declaration </w:t>
      </w:r>
      <w:r w:rsidR="00261CDF" w:rsidRPr="00B71B41">
        <w:rPr>
          <w:rFonts w:ascii="Times New Roman" w:eastAsia="Times New Roman" w:hAnsi="Times New Roman" w:cs="Times New Roman"/>
          <w:i/>
          <w:iCs/>
          <w:sz w:val="24"/>
          <w:szCs w:val="24"/>
          <w:lang w:eastAsia="en-AU"/>
        </w:rPr>
        <w:t>2019</w:t>
      </w:r>
      <w:r w:rsidRPr="00621B91">
        <w:rPr>
          <w:rFonts w:ascii="Times New Roman" w:hAnsi="Times New Roman"/>
          <w:sz w:val="24"/>
        </w:rPr>
        <w:t>. All carriage service providers that supply carriage services to customers that have public numbers are obliged to provide customer information to Telstra for inclusion in the IPND.</w:t>
      </w:r>
    </w:p>
    <w:p w14:paraId="4225970F" w14:textId="5D3F7966" w:rsidR="00AA0095" w:rsidRPr="001E2BB3" w:rsidRDefault="00AA0095" w:rsidP="001E2BB3">
      <w:pPr>
        <w:pStyle w:val="ActHead4"/>
        <w:rPr>
          <w:rStyle w:val="CharSubdNo"/>
        </w:rPr>
      </w:pPr>
      <w:r w:rsidRPr="001E2BB3">
        <w:rPr>
          <w:rStyle w:val="CharSubdNo"/>
        </w:rPr>
        <w:lastRenderedPageBreak/>
        <w:t>Subdivision B</w:t>
      </w:r>
      <w:r w:rsidR="00B71B41" w:rsidRPr="001E2BB3">
        <w:rPr>
          <w:rStyle w:val="CharSubdNo"/>
        </w:rPr>
        <w:t xml:space="preserve"> </w:t>
      </w:r>
      <w:r w:rsidRPr="001E2BB3">
        <w:rPr>
          <w:rStyle w:val="CharSubdNo"/>
        </w:rPr>
        <w:t>– Application for, and grant of, research authorisations</w:t>
      </w:r>
    </w:p>
    <w:p w14:paraId="3720E4EE" w14:textId="01605CB1" w:rsidR="00AA0095" w:rsidRPr="00621B91" w:rsidRDefault="00AA0095" w:rsidP="001E2BB3">
      <w:pPr>
        <w:pStyle w:val="ActHead5"/>
        <w:rPr>
          <w:sz w:val="19"/>
          <w:lang w:val="en-US"/>
        </w:rPr>
      </w:pPr>
      <w:r w:rsidRPr="00621B91">
        <w:t>Section 1</w:t>
      </w:r>
      <w:r w:rsidR="00AD29D5">
        <w:t>8</w:t>
      </w:r>
      <w:r w:rsidRPr="00621B91">
        <w:t xml:space="preserve"> – Applying for research authorisations</w:t>
      </w:r>
    </w:p>
    <w:p w14:paraId="03FB4712" w14:textId="484068A1" w:rsidR="00AA0095" w:rsidRPr="00621B9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DE224C">
        <w:rPr>
          <w:rFonts w:ascii="Times New Roman" w:hAnsi="Times New Roman"/>
          <w:sz w:val="24"/>
        </w:rPr>
        <w:t>Section 1</w:t>
      </w:r>
      <w:r w:rsidR="00AD29D5">
        <w:rPr>
          <w:rFonts w:ascii="Times New Roman" w:hAnsi="Times New Roman"/>
          <w:sz w:val="24"/>
        </w:rPr>
        <w:t>8</w:t>
      </w:r>
      <w:r w:rsidRPr="00DE224C">
        <w:rPr>
          <w:rFonts w:ascii="Times New Roman" w:hAnsi="Times New Roman"/>
          <w:sz w:val="24"/>
        </w:rPr>
        <w:t xml:space="preserve"> allows a person to apply for a research authorisation in writing</w:t>
      </w:r>
      <w:r w:rsidRPr="00621B91">
        <w:rPr>
          <w:rFonts w:ascii="Times New Roman" w:hAnsi="Times New Roman"/>
          <w:sz w:val="24"/>
        </w:rPr>
        <w:t xml:space="preserve">. The application must specify each person to be covered by the authorisation (i.e. the section allows for authorisations to cover multiple persons), the kind/s of unlisted mobile number information being sought, the kind/s of research for which the unlisted mobile number is sought and reasons as to why the information has been sought. An application must be accompanied by the applicable charge (if any) determined by the ACMA under section 60 of the </w:t>
      </w:r>
      <w:r w:rsidRPr="00621B91">
        <w:rPr>
          <w:rFonts w:ascii="Times New Roman" w:hAnsi="Times New Roman"/>
          <w:i/>
          <w:sz w:val="24"/>
        </w:rPr>
        <w:t>Australian Communications and Media Authority Act 2005</w:t>
      </w:r>
      <w:r w:rsidRPr="00621B91">
        <w:rPr>
          <w:rFonts w:ascii="Times New Roman" w:hAnsi="Times New Roman"/>
          <w:sz w:val="24"/>
        </w:rPr>
        <w:t>,</w:t>
      </w:r>
      <w:r w:rsidRPr="00621B91">
        <w:rPr>
          <w:rFonts w:ascii="Times New Roman" w:hAnsi="Times New Roman"/>
          <w:i/>
          <w:sz w:val="24"/>
        </w:rPr>
        <w:t xml:space="preserve"> </w:t>
      </w:r>
      <w:r w:rsidRPr="00621B91">
        <w:rPr>
          <w:rFonts w:ascii="Times New Roman" w:hAnsi="Times New Roman"/>
          <w:sz w:val="24"/>
        </w:rPr>
        <w:t>and a completed privacy impact assessment approved by the ACMA.</w:t>
      </w:r>
    </w:p>
    <w:p w14:paraId="59E23163" w14:textId="4F31FE7C" w:rsidR="00AA0095" w:rsidRPr="00621B91" w:rsidRDefault="00AA0095" w:rsidP="001E2BB3">
      <w:pPr>
        <w:pStyle w:val="ActHead5"/>
        <w:rPr>
          <w:sz w:val="19"/>
          <w:lang w:val="en-US"/>
        </w:rPr>
      </w:pPr>
      <w:r w:rsidRPr="00621B91">
        <w:t>Section 1</w:t>
      </w:r>
      <w:r w:rsidR="001A52C9">
        <w:t>9</w:t>
      </w:r>
      <w:r w:rsidRPr="00621B91">
        <w:t xml:space="preserve"> – ACMA may request further information</w:t>
      </w:r>
    </w:p>
    <w:p w14:paraId="558D977A" w14:textId="4BFCB57C" w:rsidR="00AA0095" w:rsidRPr="00621B91" w:rsidRDefault="00AA0095" w:rsidP="00116173">
      <w:pPr>
        <w:shd w:val="clear" w:color="auto" w:fill="FFFFFF"/>
        <w:spacing w:before="100" w:beforeAutospacing="1" w:after="100" w:afterAutospacing="1" w:line="240" w:lineRule="auto"/>
        <w:rPr>
          <w:rFonts w:ascii="Times New Roman" w:hAnsi="Times New Roman"/>
          <w:sz w:val="24"/>
        </w:rPr>
      </w:pPr>
      <w:r w:rsidRPr="00621B91">
        <w:rPr>
          <w:rFonts w:ascii="Times New Roman" w:hAnsi="Times New Roman"/>
          <w:sz w:val="24"/>
        </w:rPr>
        <w:t>Section 1</w:t>
      </w:r>
      <w:r w:rsidR="001A52C9">
        <w:rPr>
          <w:rFonts w:ascii="Times New Roman" w:hAnsi="Times New Roman"/>
          <w:sz w:val="24"/>
        </w:rPr>
        <w:t>9</w:t>
      </w:r>
      <w:r w:rsidRPr="00621B91">
        <w:rPr>
          <w:rFonts w:ascii="Times New Roman" w:hAnsi="Times New Roman"/>
          <w:sz w:val="24"/>
        </w:rPr>
        <w:t xml:space="preserve"> empowers the ACMA to request, in writing, that a research entity specified in an application for a research authorisation provide further information in relation to the application for a research authorisation. If that entity does not provide the further information within 90 days of the request being made, the ACMA may treat the application as if the relevant research entity was not specified in the application. </w:t>
      </w:r>
    </w:p>
    <w:p w14:paraId="33F90E78" w14:textId="61520BF9" w:rsidR="00AA0095" w:rsidRPr="00621B9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621B91">
        <w:rPr>
          <w:rFonts w:ascii="Times New Roman" w:hAnsi="Times New Roman"/>
          <w:sz w:val="24"/>
        </w:rPr>
        <w:t>The intent of section 1</w:t>
      </w:r>
      <w:r w:rsidR="001A52C9">
        <w:rPr>
          <w:rFonts w:ascii="Times New Roman" w:hAnsi="Times New Roman"/>
          <w:sz w:val="24"/>
        </w:rPr>
        <w:t>9</w:t>
      </w:r>
      <w:r w:rsidRPr="00621B91">
        <w:rPr>
          <w:rFonts w:ascii="Times New Roman" w:hAnsi="Times New Roman"/>
          <w:sz w:val="24"/>
        </w:rPr>
        <w:t xml:space="preserve"> is to create an incentive for persons covered by an application for an authorisation to provide information requested by the ACMA promptly. If that information is not provided within </w:t>
      </w:r>
      <w:r w:rsidRPr="00621B91">
        <w:rPr>
          <w:rFonts w:ascii="Times New Roman" w:hAnsi="Times New Roman"/>
          <w:sz w:val="24"/>
        </w:rPr>
        <w:lastRenderedPageBreak/>
        <w:t>a 90</w:t>
      </w:r>
      <w:r w:rsidR="001A52C9">
        <w:rPr>
          <w:rFonts w:ascii="Times New Roman" w:hAnsi="Times New Roman"/>
          <w:sz w:val="24"/>
        </w:rPr>
        <w:t>-</w:t>
      </w:r>
      <w:r w:rsidRPr="00621B91">
        <w:rPr>
          <w:rFonts w:ascii="Times New Roman" w:hAnsi="Times New Roman"/>
          <w:sz w:val="24"/>
        </w:rPr>
        <w:t xml:space="preserve">day timeframe, then the authorisation process can continue to proceed in relation to other persons specified in the application. </w:t>
      </w:r>
      <w:r w:rsidR="001A52C9">
        <w:rPr>
          <w:rFonts w:ascii="Times New Roman" w:hAnsi="Times New Roman"/>
          <w:sz w:val="24"/>
        </w:rPr>
        <w:br/>
      </w:r>
      <w:r w:rsidR="00373A1C" w:rsidRPr="00621B91">
        <w:rPr>
          <w:rFonts w:ascii="Times New Roman" w:hAnsi="Times New Roman"/>
          <w:sz w:val="24"/>
        </w:rPr>
        <w:t xml:space="preserve">A </w:t>
      </w:r>
      <w:r w:rsidRPr="00621B91">
        <w:rPr>
          <w:rFonts w:ascii="Times New Roman" w:hAnsi="Times New Roman"/>
          <w:sz w:val="24"/>
        </w:rPr>
        <w:t xml:space="preserve">request </w:t>
      </w:r>
      <w:r w:rsidR="00373A1C">
        <w:rPr>
          <w:rFonts w:ascii="Times New Roman" w:eastAsia="Times New Roman" w:hAnsi="Times New Roman" w:cs="Times New Roman"/>
          <w:sz w:val="24"/>
          <w:szCs w:val="24"/>
          <w:lang w:eastAsia="en-AU"/>
        </w:rPr>
        <w:t xml:space="preserve">made by the ACMA pursuant </w:t>
      </w:r>
      <w:r w:rsidRPr="00621B91">
        <w:rPr>
          <w:rFonts w:ascii="Times New Roman" w:hAnsi="Times New Roman"/>
          <w:sz w:val="24"/>
        </w:rPr>
        <w:t>is not a legislative instrument</w:t>
      </w:r>
      <w:r w:rsidR="00373A1C">
        <w:rPr>
          <w:rFonts w:ascii="Times New Roman" w:eastAsia="Times New Roman" w:hAnsi="Times New Roman" w:cs="Times New Roman"/>
          <w:sz w:val="24"/>
          <w:szCs w:val="24"/>
          <w:lang w:eastAsia="en-AU"/>
        </w:rPr>
        <w:t xml:space="preserve">, see </w:t>
      </w:r>
      <w:r w:rsidR="00373A1C" w:rsidRPr="00373A1C">
        <w:rPr>
          <w:rFonts w:ascii="Times New Roman" w:eastAsia="Times New Roman" w:hAnsi="Times New Roman" w:cs="Times New Roman"/>
          <w:sz w:val="24"/>
          <w:szCs w:val="24"/>
          <w:lang w:eastAsia="en-AU"/>
        </w:rPr>
        <w:t xml:space="preserve">item 4 of the table in subsection 6(1) of the </w:t>
      </w:r>
      <w:r w:rsidR="00373A1C" w:rsidRPr="00373A1C">
        <w:rPr>
          <w:rFonts w:ascii="Times New Roman" w:eastAsia="Times New Roman" w:hAnsi="Times New Roman" w:cs="Times New Roman"/>
          <w:i/>
          <w:sz w:val="24"/>
          <w:szCs w:val="24"/>
          <w:lang w:eastAsia="en-AU"/>
        </w:rPr>
        <w:t>Legislation (Exemptions and Other Matters) Regulation 2015</w:t>
      </w:r>
      <w:r w:rsidRPr="00621B91">
        <w:rPr>
          <w:rFonts w:ascii="Times New Roman" w:hAnsi="Times New Roman"/>
          <w:sz w:val="24"/>
        </w:rPr>
        <w:t xml:space="preserve">. </w:t>
      </w:r>
    </w:p>
    <w:p w14:paraId="74ACE1B0" w14:textId="7E306CF6" w:rsidR="00AA0095" w:rsidRPr="00621B91" w:rsidRDefault="00AA0095" w:rsidP="001E2BB3">
      <w:pPr>
        <w:pStyle w:val="ActHead5"/>
        <w:rPr>
          <w:sz w:val="19"/>
          <w:lang w:val="en-US"/>
        </w:rPr>
      </w:pPr>
      <w:r w:rsidRPr="00621B91">
        <w:t xml:space="preserve">Section </w:t>
      </w:r>
      <w:r w:rsidR="001A52C9">
        <w:t>20</w:t>
      </w:r>
      <w:r w:rsidR="001A52C9" w:rsidRPr="00621B91">
        <w:t xml:space="preserve"> </w:t>
      </w:r>
      <w:r w:rsidR="001E2BB3">
        <w:t>– ACMA may consult</w:t>
      </w:r>
    </w:p>
    <w:p w14:paraId="275B23CF" w14:textId="5A9582D3" w:rsidR="00AA0095" w:rsidRPr="00621B9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621B91">
        <w:rPr>
          <w:rFonts w:ascii="Times New Roman" w:hAnsi="Times New Roman"/>
          <w:sz w:val="24"/>
        </w:rPr>
        <w:t xml:space="preserve">Section </w:t>
      </w:r>
      <w:r w:rsidR="001A52C9">
        <w:rPr>
          <w:rFonts w:ascii="Times New Roman" w:hAnsi="Times New Roman"/>
          <w:sz w:val="24"/>
        </w:rPr>
        <w:t>20</w:t>
      </w:r>
      <w:r w:rsidRPr="00621B91">
        <w:rPr>
          <w:rFonts w:ascii="Times New Roman" w:hAnsi="Times New Roman"/>
          <w:sz w:val="24"/>
        </w:rPr>
        <w:t xml:space="preserve"> allows the ACMA to consult with any person or body that the ACMA considers appropriate before granting a research authorisation. This could include, for example, consultation with statutory office-holders like the Privacy Commissioner in </w:t>
      </w:r>
      <w:r w:rsidRPr="00166A16">
        <w:rPr>
          <w:rFonts w:ascii="Times New Roman" w:hAnsi="Times New Roman"/>
          <w:sz w:val="24"/>
        </w:rPr>
        <w:t xml:space="preserve">relation to the </w:t>
      </w:r>
      <w:r w:rsidR="004D7ED2">
        <w:rPr>
          <w:rFonts w:ascii="Times New Roman" w:hAnsi="Times New Roman"/>
          <w:sz w:val="24"/>
        </w:rPr>
        <w:t xml:space="preserve">privacy-related matters (see </w:t>
      </w:r>
      <w:r w:rsidRPr="00166A16">
        <w:rPr>
          <w:rFonts w:ascii="Times New Roman" w:hAnsi="Times New Roman"/>
          <w:sz w:val="24"/>
        </w:rPr>
        <w:t xml:space="preserve">paragraph </w:t>
      </w:r>
      <w:r w:rsidR="00166A16" w:rsidRPr="00166A16">
        <w:rPr>
          <w:rFonts w:ascii="Times New Roman" w:hAnsi="Times New Roman"/>
          <w:sz w:val="24"/>
        </w:rPr>
        <w:t>21</w:t>
      </w:r>
      <w:r w:rsidRPr="00166A16">
        <w:rPr>
          <w:rFonts w:ascii="Times New Roman" w:hAnsi="Times New Roman"/>
          <w:sz w:val="24"/>
        </w:rPr>
        <w:t>(2)(d)</w:t>
      </w:r>
      <w:r w:rsidR="0062293A">
        <w:rPr>
          <w:rFonts w:ascii="Times New Roman" w:hAnsi="Times New Roman"/>
          <w:sz w:val="24"/>
        </w:rPr>
        <w:t>)</w:t>
      </w:r>
      <w:r w:rsidRPr="00166A16">
        <w:rPr>
          <w:rFonts w:ascii="Times New Roman" w:hAnsi="Times New Roman"/>
          <w:sz w:val="24"/>
        </w:rPr>
        <w:t xml:space="preserve"> which requires the</w:t>
      </w:r>
      <w:r w:rsidRPr="00621B91">
        <w:rPr>
          <w:rFonts w:ascii="Times New Roman" w:hAnsi="Times New Roman"/>
          <w:sz w:val="24"/>
        </w:rPr>
        <w:t xml:space="preserve"> ACMA to have regard to the extent to which an entity’s collection, use and disclosure of personal information has complied with, or is consistent with the </w:t>
      </w:r>
      <w:r w:rsidR="00970E20" w:rsidRPr="00621B91">
        <w:rPr>
          <w:rFonts w:ascii="Times New Roman" w:eastAsia="Times New Roman" w:hAnsi="Times New Roman" w:cs="Times New Roman"/>
          <w:iCs/>
          <w:sz w:val="24"/>
          <w:szCs w:val="24"/>
          <w:lang w:eastAsia="en-AU"/>
        </w:rPr>
        <w:t>Privacy Act</w:t>
      </w:r>
      <w:r w:rsidRPr="00621B91">
        <w:rPr>
          <w:rFonts w:ascii="Times New Roman" w:hAnsi="Times New Roman"/>
          <w:sz w:val="24"/>
        </w:rPr>
        <w:t>.</w:t>
      </w:r>
    </w:p>
    <w:p w14:paraId="6E79943D" w14:textId="59698EF2" w:rsidR="00AA0095" w:rsidRPr="00621B91" w:rsidRDefault="00AA0095" w:rsidP="001E2BB3">
      <w:pPr>
        <w:pStyle w:val="ActHead5"/>
        <w:rPr>
          <w:sz w:val="19"/>
          <w:lang w:val="en-US"/>
        </w:rPr>
      </w:pPr>
      <w:r w:rsidRPr="00621B91">
        <w:t>Section 2</w:t>
      </w:r>
      <w:r w:rsidR="00854959">
        <w:t>1</w:t>
      </w:r>
      <w:r w:rsidRPr="00621B91">
        <w:t xml:space="preserve"> – Research authorisations</w:t>
      </w:r>
    </w:p>
    <w:p w14:paraId="4938D269" w14:textId="6DC8D351" w:rsidR="00AA0095" w:rsidRPr="00621B91" w:rsidRDefault="00AA0095" w:rsidP="00116173">
      <w:pPr>
        <w:shd w:val="clear" w:color="auto" w:fill="FFFFFF"/>
        <w:spacing w:before="100" w:beforeAutospacing="1" w:after="100" w:afterAutospacing="1" w:line="240" w:lineRule="auto"/>
        <w:rPr>
          <w:rFonts w:ascii="Times New Roman" w:hAnsi="Times New Roman"/>
          <w:sz w:val="24"/>
        </w:rPr>
      </w:pPr>
      <w:r w:rsidRPr="00621B91">
        <w:rPr>
          <w:rFonts w:ascii="Times New Roman" w:hAnsi="Times New Roman"/>
          <w:sz w:val="24"/>
        </w:rPr>
        <w:t>Section 2</w:t>
      </w:r>
      <w:r w:rsidR="00854959">
        <w:rPr>
          <w:rFonts w:ascii="Times New Roman" w:hAnsi="Times New Roman"/>
          <w:sz w:val="24"/>
        </w:rPr>
        <w:t>1</w:t>
      </w:r>
      <w:r w:rsidRPr="00621B91">
        <w:rPr>
          <w:rFonts w:ascii="Times New Roman" w:hAnsi="Times New Roman"/>
          <w:sz w:val="24"/>
        </w:rPr>
        <w:t xml:space="preserve"> specifies that the ACMA must grant a research authorisation if, following </w:t>
      </w:r>
      <w:r w:rsidRPr="00166A16">
        <w:rPr>
          <w:rFonts w:ascii="Times New Roman" w:hAnsi="Times New Roman"/>
          <w:sz w:val="24"/>
        </w:rPr>
        <w:t>the making of an application in accordance with the requirements set out in section 1</w:t>
      </w:r>
      <w:r w:rsidR="00854959" w:rsidRPr="00166A16">
        <w:rPr>
          <w:rFonts w:ascii="Times New Roman" w:hAnsi="Times New Roman"/>
          <w:sz w:val="24"/>
        </w:rPr>
        <w:t>8</w:t>
      </w:r>
      <w:r w:rsidRPr="00166A16">
        <w:rPr>
          <w:rFonts w:ascii="Times New Roman" w:hAnsi="Times New Roman"/>
          <w:sz w:val="24"/>
        </w:rPr>
        <w:t>, the ACMA is reasonably satisfied of certain specified matters.</w:t>
      </w:r>
      <w:r w:rsidRPr="00621B91">
        <w:rPr>
          <w:rFonts w:ascii="Times New Roman" w:hAnsi="Times New Roman"/>
          <w:sz w:val="24"/>
        </w:rPr>
        <w:t xml:space="preserve"> </w:t>
      </w:r>
    </w:p>
    <w:p w14:paraId="23ECCF80" w14:textId="77777777" w:rsidR="00AA0095" w:rsidRPr="00621B9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621B91">
        <w:rPr>
          <w:rFonts w:ascii="Times New Roman" w:hAnsi="Times New Roman"/>
          <w:sz w:val="24"/>
        </w:rPr>
        <w:lastRenderedPageBreak/>
        <w:t>The ACMA must be reasonably satisfied that the kind/s of research proposed by the applicant is permitted research. This means that the research for which the information can be disclosed must be either research relating to public health, an electoral matter, or research that contributes to the development of public policy.</w:t>
      </w:r>
      <w:r w:rsidRPr="00621B91">
        <w:rPr>
          <w:rFonts w:ascii="Times New Roman" w:hAnsi="Times New Roman"/>
          <w:sz w:val="19"/>
          <w:lang w:val="en-US"/>
        </w:rPr>
        <w:t xml:space="preserve"> </w:t>
      </w:r>
    </w:p>
    <w:p w14:paraId="4EE134AB" w14:textId="77777777" w:rsidR="00AA0095" w:rsidRPr="00621B9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621B91">
        <w:rPr>
          <w:rFonts w:ascii="Times New Roman" w:hAnsi="Times New Roman"/>
          <w:sz w:val="24"/>
        </w:rPr>
        <w:t xml:space="preserve">The ACMA must also be reasonably satisfied that the research entity will comply with the conditions of the authorisation, including any additional conditions specified by the ACMA. </w:t>
      </w:r>
    </w:p>
    <w:p w14:paraId="30AE75CA" w14:textId="77777777" w:rsidR="00AA0095" w:rsidRPr="00621B9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621B91">
        <w:rPr>
          <w:rFonts w:ascii="Times New Roman" w:hAnsi="Times New Roman"/>
          <w:sz w:val="24"/>
        </w:rPr>
        <w:t>The ACMA must also be satisfied that each research entity will comply with the use and disclosure prohibitions imposed on former research entities when an authorisation ends or entities are removed.</w:t>
      </w:r>
    </w:p>
    <w:p w14:paraId="2FE98EEA" w14:textId="7630A4B6" w:rsidR="00AA0095" w:rsidRPr="00621B9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621B91">
        <w:rPr>
          <w:rFonts w:ascii="Times New Roman" w:hAnsi="Times New Roman"/>
          <w:sz w:val="24"/>
        </w:rPr>
        <w:t>The note after subsection 2</w:t>
      </w:r>
      <w:r w:rsidR="00854959">
        <w:rPr>
          <w:rFonts w:ascii="Times New Roman" w:hAnsi="Times New Roman"/>
          <w:sz w:val="24"/>
        </w:rPr>
        <w:t>1</w:t>
      </w:r>
      <w:r w:rsidRPr="00621B91">
        <w:rPr>
          <w:rFonts w:ascii="Times New Roman" w:hAnsi="Times New Roman"/>
          <w:sz w:val="24"/>
        </w:rPr>
        <w:t xml:space="preserve">(1) clarifies that where the ACMA decides not to grant an authorisation, a research entity or any other person affected by the decision may request that the ACMA reconsider its decision pursuant to section </w:t>
      </w:r>
      <w:r w:rsidR="00166A16">
        <w:rPr>
          <w:rFonts w:ascii="Times New Roman" w:hAnsi="Times New Roman"/>
          <w:sz w:val="24"/>
        </w:rPr>
        <w:t>42</w:t>
      </w:r>
      <w:r w:rsidRPr="00621B91">
        <w:rPr>
          <w:rFonts w:ascii="Times New Roman" w:hAnsi="Times New Roman"/>
          <w:sz w:val="24"/>
        </w:rPr>
        <w:t xml:space="preserve">. </w:t>
      </w:r>
    </w:p>
    <w:p w14:paraId="2E1C7A41" w14:textId="1621125B" w:rsidR="00AA0095" w:rsidRPr="00621B9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621B91">
        <w:rPr>
          <w:rFonts w:ascii="Times New Roman" w:hAnsi="Times New Roman"/>
          <w:sz w:val="24"/>
        </w:rPr>
        <w:t>Subsection 2</w:t>
      </w:r>
      <w:r w:rsidR="00854959">
        <w:rPr>
          <w:rFonts w:ascii="Times New Roman" w:hAnsi="Times New Roman"/>
          <w:sz w:val="24"/>
        </w:rPr>
        <w:t>1</w:t>
      </w:r>
      <w:r w:rsidRPr="00621B91">
        <w:rPr>
          <w:rFonts w:ascii="Times New Roman" w:hAnsi="Times New Roman"/>
          <w:sz w:val="24"/>
        </w:rPr>
        <w:t>(2) sets out the factors which the ACMA must have regard to in determining whether a research entity will comply with the conditions of an authorisat</w:t>
      </w:r>
      <w:r w:rsidR="00166A16">
        <w:rPr>
          <w:rFonts w:ascii="Times New Roman" w:hAnsi="Times New Roman"/>
          <w:sz w:val="24"/>
        </w:rPr>
        <w:t>ion, as required by paragraph 21</w:t>
      </w:r>
      <w:r w:rsidR="00FA74E4">
        <w:rPr>
          <w:rFonts w:ascii="Times New Roman" w:hAnsi="Times New Roman"/>
          <w:sz w:val="24"/>
        </w:rPr>
        <w:t>(1)(b).</w:t>
      </w:r>
    </w:p>
    <w:p w14:paraId="158AE1E3" w14:textId="4D733D36" w:rsidR="00AA0095" w:rsidRPr="00621B9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166A16">
        <w:rPr>
          <w:rFonts w:ascii="Times New Roman" w:hAnsi="Times New Roman"/>
          <w:sz w:val="24"/>
        </w:rPr>
        <w:t>Paragraph 2</w:t>
      </w:r>
      <w:r w:rsidR="00854959" w:rsidRPr="00166A16">
        <w:rPr>
          <w:rFonts w:ascii="Times New Roman" w:hAnsi="Times New Roman"/>
          <w:sz w:val="24"/>
        </w:rPr>
        <w:t>1</w:t>
      </w:r>
      <w:r w:rsidRPr="00166A16">
        <w:rPr>
          <w:rFonts w:ascii="Times New Roman" w:hAnsi="Times New Roman"/>
          <w:sz w:val="24"/>
        </w:rPr>
        <w:t>(2)(a) requires the ACMA to have regard to the practices, procedures,</w:t>
      </w:r>
      <w:r w:rsidRPr="00621B91">
        <w:rPr>
          <w:rFonts w:ascii="Times New Roman" w:hAnsi="Times New Roman"/>
          <w:sz w:val="24"/>
        </w:rPr>
        <w:t xml:space="preserve"> processes and systems the entity has in place, or intends to put in place, to comply with the conditions of the authorisation. For example, it is a condition of an authorisation that an authorised research entity comply with the </w:t>
      </w:r>
      <w:r w:rsidR="00560C87">
        <w:rPr>
          <w:rFonts w:ascii="Times New Roman" w:hAnsi="Times New Roman"/>
          <w:i/>
          <w:sz w:val="24"/>
        </w:rPr>
        <w:t xml:space="preserve">Privacy Act </w:t>
      </w:r>
      <w:r w:rsidRPr="00621B91">
        <w:rPr>
          <w:rFonts w:ascii="Times New Roman" w:hAnsi="Times New Roman"/>
          <w:i/>
          <w:sz w:val="24"/>
        </w:rPr>
        <w:t>1988</w:t>
      </w:r>
      <w:r w:rsidRPr="00621B91">
        <w:rPr>
          <w:rFonts w:ascii="Times New Roman" w:hAnsi="Times New Roman"/>
          <w:sz w:val="24"/>
        </w:rPr>
        <w:t xml:space="preserve"> </w:t>
      </w:r>
      <w:r w:rsidRPr="00621B91">
        <w:rPr>
          <w:rFonts w:ascii="Times New Roman" w:hAnsi="Times New Roman"/>
          <w:sz w:val="24"/>
        </w:rPr>
        <w:lastRenderedPageBreak/>
        <w:t>where it collects, uses or discloses personal information about an individual for the purposes of authorised research. Pursuant to paragraph 2</w:t>
      </w:r>
      <w:r w:rsidR="004B7AB9">
        <w:rPr>
          <w:rFonts w:ascii="Times New Roman" w:hAnsi="Times New Roman"/>
          <w:sz w:val="24"/>
        </w:rPr>
        <w:t>1</w:t>
      </w:r>
      <w:r w:rsidRPr="00621B91">
        <w:rPr>
          <w:rFonts w:ascii="Times New Roman" w:hAnsi="Times New Roman"/>
          <w:sz w:val="24"/>
        </w:rPr>
        <w:t>(2)(a), in considering if the entity will comply with section 28, the ACMA may have regard to the specific information management procedures an entity has in place to control and track the use and disclosure of personal information. The ACMA could also have regard to the information security practices and technical systems that an entity has in place to ensure it can comply with A</w:t>
      </w:r>
      <w:r w:rsidR="00156F72">
        <w:rPr>
          <w:rFonts w:ascii="Times New Roman" w:hAnsi="Times New Roman"/>
          <w:sz w:val="24"/>
        </w:rPr>
        <w:t xml:space="preserve">ustralian </w:t>
      </w:r>
      <w:r w:rsidRPr="00621B91">
        <w:rPr>
          <w:rFonts w:ascii="Times New Roman" w:hAnsi="Times New Roman"/>
          <w:sz w:val="24"/>
        </w:rPr>
        <w:t>P</w:t>
      </w:r>
      <w:r w:rsidR="00156F72">
        <w:rPr>
          <w:rFonts w:ascii="Times New Roman" w:hAnsi="Times New Roman"/>
          <w:sz w:val="24"/>
        </w:rPr>
        <w:t xml:space="preserve">rivacy </w:t>
      </w:r>
      <w:r w:rsidRPr="00621B91">
        <w:rPr>
          <w:rFonts w:ascii="Times New Roman" w:hAnsi="Times New Roman"/>
          <w:sz w:val="24"/>
        </w:rPr>
        <w:t>P</w:t>
      </w:r>
      <w:r w:rsidR="00156F72">
        <w:rPr>
          <w:rFonts w:ascii="Times New Roman" w:hAnsi="Times New Roman"/>
          <w:sz w:val="24"/>
        </w:rPr>
        <w:t>rinciple</w:t>
      </w:r>
      <w:r w:rsidRPr="00621B91">
        <w:rPr>
          <w:rFonts w:ascii="Times New Roman" w:hAnsi="Times New Roman"/>
          <w:sz w:val="24"/>
        </w:rPr>
        <w:t xml:space="preserve"> 11 – security of personal information. APP 11 requires an entity to take such steps as are reasonable to protect personal information from misuse, interference and loss and from unauthorised access, modification or disclosure. </w:t>
      </w:r>
    </w:p>
    <w:p w14:paraId="0C0885E1" w14:textId="0EA2B643" w:rsidR="00AA0095" w:rsidRPr="00621B9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621B91">
        <w:rPr>
          <w:rFonts w:ascii="Times New Roman" w:hAnsi="Times New Roman"/>
          <w:sz w:val="24"/>
        </w:rPr>
        <w:t>Where an entity has previously been covered by a research authorisation, paragraph 2</w:t>
      </w:r>
      <w:r w:rsidR="00854959">
        <w:rPr>
          <w:rFonts w:ascii="Times New Roman" w:hAnsi="Times New Roman"/>
          <w:sz w:val="24"/>
        </w:rPr>
        <w:t>1</w:t>
      </w:r>
      <w:r w:rsidRPr="00621B91">
        <w:rPr>
          <w:rFonts w:ascii="Times New Roman" w:hAnsi="Times New Roman"/>
          <w:sz w:val="24"/>
        </w:rPr>
        <w:t>(2)(b) requires the ACMA to have regard to the extent to which the entity has complied with, or is complying with, the conditions of that authorisation.</w:t>
      </w:r>
    </w:p>
    <w:p w14:paraId="3E04B5FF" w14:textId="1336EE53" w:rsidR="00AA0095" w:rsidRPr="00621B9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621B91">
        <w:rPr>
          <w:rFonts w:ascii="Times New Roman" w:hAnsi="Times New Roman"/>
          <w:sz w:val="24"/>
        </w:rPr>
        <w:t>Paragraph 2</w:t>
      </w:r>
      <w:r w:rsidR="00854959">
        <w:rPr>
          <w:rFonts w:ascii="Times New Roman" w:hAnsi="Times New Roman"/>
          <w:sz w:val="24"/>
        </w:rPr>
        <w:t>1</w:t>
      </w:r>
      <w:r w:rsidRPr="00621B91">
        <w:rPr>
          <w:rFonts w:ascii="Times New Roman" w:hAnsi="Times New Roman"/>
          <w:sz w:val="24"/>
        </w:rPr>
        <w:t>(2)(c) requires the ACMA to have regard to the extent to which the entity has complied with, or is complying with, the conditions of any IPND authorisation that it has been granted.</w:t>
      </w:r>
    </w:p>
    <w:p w14:paraId="55C6C663" w14:textId="39DF30C4" w:rsidR="00AA0095" w:rsidRPr="00621B9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621B91">
        <w:rPr>
          <w:rFonts w:ascii="Times New Roman" w:hAnsi="Times New Roman"/>
          <w:sz w:val="24"/>
        </w:rPr>
        <w:t>Paragraph 2</w:t>
      </w:r>
      <w:r w:rsidR="00854959">
        <w:rPr>
          <w:rFonts w:ascii="Times New Roman" w:hAnsi="Times New Roman"/>
          <w:sz w:val="24"/>
        </w:rPr>
        <w:t>1</w:t>
      </w:r>
      <w:r w:rsidRPr="00621B91">
        <w:rPr>
          <w:rFonts w:ascii="Times New Roman" w:hAnsi="Times New Roman"/>
          <w:sz w:val="24"/>
        </w:rPr>
        <w:t xml:space="preserve">(2)(d) requires the ACMA to have regard to the extent to which the entity’s collection, use and disclosure of personal information has complied with, or is consistent with the Privacy Act. This criteria applies regardless of whether that Act normally applies to the entity (including registered political parties and other entities that are normally exempt under section 6C of that Act). The sections have been </w:t>
      </w:r>
      <w:r w:rsidRPr="00621B91">
        <w:rPr>
          <w:rFonts w:ascii="Times New Roman" w:hAnsi="Times New Roman"/>
          <w:sz w:val="24"/>
        </w:rPr>
        <w:lastRenderedPageBreak/>
        <w:t xml:space="preserve">designed to allow the ACMA to consult with others, including the Privacy Commissioner, in relation to this criteria (section </w:t>
      </w:r>
      <w:r w:rsidR="00854959">
        <w:rPr>
          <w:rFonts w:ascii="Times New Roman" w:hAnsi="Times New Roman"/>
          <w:sz w:val="24"/>
        </w:rPr>
        <w:t>20</w:t>
      </w:r>
      <w:r w:rsidRPr="00621B91">
        <w:rPr>
          <w:rFonts w:ascii="Times New Roman" w:hAnsi="Times New Roman"/>
          <w:sz w:val="24"/>
        </w:rPr>
        <w:t xml:space="preserve"> refers).</w:t>
      </w:r>
    </w:p>
    <w:p w14:paraId="45B59A22" w14:textId="1C9A5D38" w:rsidR="00AA0095" w:rsidRPr="00621B9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621B91">
        <w:rPr>
          <w:rFonts w:ascii="Times New Roman" w:hAnsi="Times New Roman"/>
          <w:sz w:val="24"/>
        </w:rPr>
        <w:t>Subsection 2</w:t>
      </w:r>
      <w:r w:rsidR="00854959">
        <w:rPr>
          <w:rFonts w:ascii="Times New Roman" w:hAnsi="Times New Roman"/>
          <w:sz w:val="24"/>
        </w:rPr>
        <w:t>1</w:t>
      </w:r>
      <w:r w:rsidRPr="00621B91">
        <w:rPr>
          <w:rFonts w:ascii="Times New Roman" w:hAnsi="Times New Roman"/>
          <w:sz w:val="24"/>
        </w:rPr>
        <w:t xml:space="preserve">(3) requires that, where an entity has previously been covered by a research authorisation, the ACMA must have regard to past compliance with the use </w:t>
      </w:r>
      <w:r w:rsidRPr="00166A16">
        <w:rPr>
          <w:rFonts w:ascii="Times New Roman" w:hAnsi="Times New Roman"/>
          <w:sz w:val="24"/>
        </w:rPr>
        <w:t xml:space="preserve">and disclosure prohibitions under section </w:t>
      </w:r>
      <w:r w:rsidR="00854959" w:rsidRPr="00166A16">
        <w:rPr>
          <w:rFonts w:ascii="Times New Roman" w:hAnsi="Times New Roman"/>
          <w:sz w:val="24"/>
        </w:rPr>
        <w:t>40</w:t>
      </w:r>
      <w:r w:rsidRPr="00166A16">
        <w:rPr>
          <w:rFonts w:ascii="Times New Roman" w:hAnsi="Times New Roman"/>
          <w:sz w:val="24"/>
        </w:rPr>
        <w:t xml:space="preserve"> or 4</w:t>
      </w:r>
      <w:r w:rsidR="00854959" w:rsidRPr="00166A16">
        <w:rPr>
          <w:rFonts w:ascii="Times New Roman" w:hAnsi="Times New Roman"/>
          <w:sz w:val="24"/>
        </w:rPr>
        <w:t>1</w:t>
      </w:r>
      <w:r w:rsidRPr="00166A16">
        <w:rPr>
          <w:rFonts w:ascii="Times New Roman" w:hAnsi="Times New Roman"/>
          <w:sz w:val="24"/>
        </w:rPr>
        <w:t>.</w:t>
      </w:r>
    </w:p>
    <w:p w14:paraId="62E6DFD8" w14:textId="13390B28" w:rsidR="00AA0095" w:rsidRPr="00621B9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621B91">
        <w:rPr>
          <w:rFonts w:ascii="Times New Roman" w:hAnsi="Times New Roman"/>
          <w:sz w:val="24"/>
        </w:rPr>
        <w:t>Subsection 2</w:t>
      </w:r>
      <w:r w:rsidR="00854959">
        <w:rPr>
          <w:rFonts w:ascii="Times New Roman" w:hAnsi="Times New Roman"/>
          <w:sz w:val="24"/>
        </w:rPr>
        <w:t>1</w:t>
      </w:r>
      <w:r w:rsidRPr="00621B91">
        <w:rPr>
          <w:rFonts w:ascii="Times New Roman" w:hAnsi="Times New Roman"/>
          <w:sz w:val="24"/>
        </w:rPr>
        <w:t>(4) makes it clear that subsections 2</w:t>
      </w:r>
      <w:r w:rsidR="00854959">
        <w:rPr>
          <w:rFonts w:ascii="Times New Roman" w:hAnsi="Times New Roman"/>
          <w:sz w:val="24"/>
        </w:rPr>
        <w:t>1</w:t>
      </w:r>
      <w:r w:rsidRPr="00621B91">
        <w:rPr>
          <w:rFonts w:ascii="Times New Roman" w:hAnsi="Times New Roman"/>
          <w:sz w:val="24"/>
        </w:rPr>
        <w:t>(2) and 2</w:t>
      </w:r>
      <w:r w:rsidR="00854959">
        <w:rPr>
          <w:rFonts w:ascii="Times New Roman" w:hAnsi="Times New Roman"/>
          <w:sz w:val="24"/>
        </w:rPr>
        <w:t>1</w:t>
      </w:r>
      <w:r w:rsidRPr="00621B91">
        <w:rPr>
          <w:rFonts w:ascii="Times New Roman" w:hAnsi="Times New Roman"/>
          <w:sz w:val="24"/>
        </w:rPr>
        <w:t>(3) do not limit the matters to which the ACMA may have regard when considering whether to grant a research authorisation.</w:t>
      </w:r>
    </w:p>
    <w:p w14:paraId="4E2644F9" w14:textId="007FD503" w:rsidR="00AA0095" w:rsidRPr="00621B9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166A16">
        <w:rPr>
          <w:rFonts w:ascii="Times New Roman" w:hAnsi="Times New Roman"/>
          <w:sz w:val="24"/>
        </w:rPr>
        <w:t>Subsection 2</w:t>
      </w:r>
      <w:r w:rsidR="00854959" w:rsidRPr="00166A16">
        <w:rPr>
          <w:rFonts w:ascii="Times New Roman" w:hAnsi="Times New Roman"/>
          <w:sz w:val="24"/>
        </w:rPr>
        <w:t>1</w:t>
      </w:r>
      <w:r w:rsidRPr="00166A16">
        <w:rPr>
          <w:rFonts w:ascii="Times New Roman" w:hAnsi="Times New Roman"/>
          <w:sz w:val="24"/>
        </w:rPr>
        <w:t>(5) provides that, for the purposes of Subdivision F (review of</w:t>
      </w:r>
      <w:r w:rsidRPr="00621B91">
        <w:rPr>
          <w:rFonts w:ascii="Times New Roman" w:hAnsi="Times New Roman"/>
          <w:sz w:val="24"/>
        </w:rPr>
        <w:t xml:space="preserve"> decisions), if the ACMA does not make a decision on the application within the period specified in subsection 2</w:t>
      </w:r>
      <w:r w:rsidR="00854959">
        <w:rPr>
          <w:rFonts w:ascii="Times New Roman" w:hAnsi="Times New Roman"/>
          <w:sz w:val="24"/>
        </w:rPr>
        <w:t>1</w:t>
      </w:r>
      <w:r w:rsidRPr="00621B91">
        <w:rPr>
          <w:rFonts w:ascii="Times New Roman" w:hAnsi="Times New Roman"/>
          <w:sz w:val="24"/>
        </w:rPr>
        <w:t>(6) (detailed below) the ACMA is taken to have decided not to gr</w:t>
      </w:r>
      <w:r w:rsidR="00156F72">
        <w:rPr>
          <w:rFonts w:ascii="Times New Roman" w:hAnsi="Times New Roman"/>
          <w:sz w:val="24"/>
        </w:rPr>
        <w:t>ant the authorisation.</w:t>
      </w:r>
    </w:p>
    <w:p w14:paraId="2D30E6B1" w14:textId="728521CF" w:rsidR="00AA0095" w:rsidRPr="00621B9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621B91">
        <w:rPr>
          <w:rFonts w:ascii="Times New Roman" w:hAnsi="Times New Roman"/>
          <w:sz w:val="24"/>
        </w:rPr>
        <w:t>Subsection 2</w:t>
      </w:r>
      <w:r w:rsidR="00854959">
        <w:rPr>
          <w:rFonts w:ascii="Times New Roman" w:hAnsi="Times New Roman"/>
          <w:sz w:val="24"/>
        </w:rPr>
        <w:t>1</w:t>
      </w:r>
      <w:r w:rsidRPr="00621B91">
        <w:rPr>
          <w:rFonts w:ascii="Times New Roman" w:hAnsi="Times New Roman"/>
          <w:sz w:val="24"/>
        </w:rPr>
        <w:t>(6) specifies the period referenced in subsection 20(5) as the period that ends the later of 90 days after receiving the application. If the ACMA has requested further information about an application under subsection 1</w:t>
      </w:r>
      <w:r w:rsidR="00E74622">
        <w:rPr>
          <w:rFonts w:ascii="Times New Roman" w:hAnsi="Times New Roman"/>
          <w:sz w:val="24"/>
        </w:rPr>
        <w:t>9</w:t>
      </w:r>
      <w:r w:rsidRPr="00621B91">
        <w:rPr>
          <w:rFonts w:ascii="Times New Roman" w:hAnsi="Times New Roman"/>
          <w:sz w:val="24"/>
        </w:rPr>
        <w:t>(1), the period referenced in in subsection 2</w:t>
      </w:r>
      <w:r w:rsidR="00E74622">
        <w:rPr>
          <w:rFonts w:ascii="Times New Roman" w:hAnsi="Times New Roman"/>
          <w:sz w:val="24"/>
        </w:rPr>
        <w:t>1</w:t>
      </w:r>
      <w:r w:rsidRPr="00621B91">
        <w:rPr>
          <w:rFonts w:ascii="Times New Roman" w:hAnsi="Times New Roman"/>
          <w:sz w:val="24"/>
        </w:rPr>
        <w:t>(5) is 90 days after the end of the period for compliance with the last requ</w:t>
      </w:r>
      <w:r w:rsidR="00156F72">
        <w:rPr>
          <w:rFonts w:ascii="Times New Roman" w:hAnsi="Times New Roman"/>
          <w:sz w:val="24"/>
        </w:rPr>
        <w:t>est made under that subsection.</w:t>
      </w:r>
    </w:p>
    <w:p w14:paraId="480ECCCC" w14:textId="7587E736" w:rsidR="00AA0095" w:rsidRPr="00063001" w:rsidRDefault="00AA0095" w:rsidP="001E2BB3">
      <w:pPr>
        <w:pStyle w:val="ActHead5"/>
        <w:rPr>
          <w:sz w:val="19"/>
          <w:lang w:val="en-US"/>
        </w:rPr>
      </w:pPr>
      <w:r w:rsidRPr="00063001">
        <w:lastRenderedPageBreak/>
        <w:t>Section 2</w:t>
      </w:r>
      <w:r w:rsidR="00E74622">
        <w:t>2</w:t>
      </w:r>
      <w:r w:rsidRPr="00063001">
        <w:t xml:space="preserve"> – Content of research authorisations</w:t>
      </w:r>
    </w:p>
    <w:p w14:paraId="7AD3864C" w14:textId="4C3C6146"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Section 2</w:t>
      </w:r>
      <w:r w:rsidR="00E74622">
        <w:rPr>
          <w:rFonts w:ascii="Times New Roman" w:hAnsi="Times New Roman"/>
          <w:sz w:val="24"/>
        </w:rPr>
        <w:t>2</w:t>
      </w:r>
      <w:r w:rsidRPr="00063001">
        <w:rPr>
          <w:rFonts w:ascii="Times New Roman" w:hAnsi="Times New Roman"/>
          <w:sz w:val="24"/>
        </w:rPr>
        <w:t xml:space="preserve"> specifies the form and content of research authorisations granted by the ACMA. The ACMA’s authorisation must be in writing (subsection 21(1)), </w:t>
      </w:r>
      <w:r w:rsidR="00166A16">
        <w:rPr>
          <w:rFonts w:ascii="Times New Roman" w:hAnsi="Times New Roman"/>
          <w:sz w:val="24"/>
        </w:rPr>
        <w:t>noting that</w:t>
      </w:r>
      <w:r w:rsidRPr="00063001">
        <w:rPr>
          <w:rFonts w:ascii="Times New Roman" w:hAnsi="Times New Roman"/>
          <w:sz w:val="24"/>
        </w:rPr>
        <w:t xml:space="preserve"> a research authorisation is not a legislative instrument. The authorisation must specify each research entity covered by the authorisation, the kind/s of research to which the authorisation applies, and the kind/s of unlisted mobile number information that may be disclosed to the research entity – that is, whether the research entity will receive only the number, or both the number and postcode (subsection 2</w:t>
      </w:r>
      <w:r w:rsidR="00E74622">
        <w:rPr>
          <w:rFonts w:ascii="Times New Roman" w:hAnsi="Times New Roman"/>
          <w:sz w:val="24"/>
        </w:rPr>
        <w:t>1</w:t>
      </w:r>
      <w:r w:rsidRPr="00B03855">
        <w:rPr>
          <w:rFonts w:ascii="Helvetica Neue" w:eastAsia="Times New Roman" w:hAnsi="Helvetica Neue" w:cs="Times New Roman"/>
          <w:sz w:val="24"/>
          <w:szCs w:val="24"/>
          <w:lang w:eastAsia="en-AU"/>
        </w:rPr>
        <w:t xml:space="preserve">(2)). </w:t>
      </w:r>
      <w:r w:rsidR="0051512B">
        <w:rPr>
          <w:rFonts w:ascii="Times New Roman" w:eastAsia="Times New Roman" w:hAnsi="Times New Roman" w:cs="Times New Roman"/>
          <w:sz w:val="24"/>
          <w:szCs w:val="24"/>
          <w:lang w:eastAsia="en-AU"/>
        </w:rPr>
        <w:t xml:space="preserve">A research authorisation is not a legislative instrument, </w:t>
      </w:r>
      <w:r w:rsidR="00156F72">
        <w:rPr>
          <w:rFonts w:ascii="Times New Roman" w:eastAsia="Times New Roman" w:hAnsi="Times New Roman" w:cs="Times New Roman"/>
          <w:sz w:val="24"/>
          <w:szCs w:val="24"/>
          <w:lang w:eastAsia="en-AU"/>
        </w:rPr>
        <w:t>(</w:t>
      </w:r>
      <w:r w:rsidR="0051512B">
        <w:rPr>
          <w:rFonts w:ascii="Times New Roman" w:eastAsia="Times New Roman" w:hAnsi="Times New Roman" w:cs="Times New Roman"/>
          <w:sz w:val="24"/>
          <w:szCs w:val="24"/>
          <w:lang w:eastAsia="en-AU"/>
        </w:rPr>
        <w:t>see item 4</w:t>
      </w:r>
      <w:r w:rsidR="0051512B" w:rsidRPr="00373A1C">
        <w:rPr>
          <w:rFonts w:ascii="Times New Roman" w:eastAsia="Times New Roman" w:hAnsi="Times New Roman" w:cs="Times New Roman"/>
          <w:sz w:val="24"/>
          <w:szCs w:val="24"/>
          <w:lang w:eastAsia="en-AU"/>
        </w:rPr>
        <w:t xml:space="preserve"> of the table in subsection 6(1) of the </w:t>
      </w:r>
      <w:r w:rsidR="0051512B" w:rsidRPr="00373A1C">
        <w:rPr>
          <w:rFonts w:ascii="Times New Roman" w:eastAsia="Times New Roman" w:hAnsi="Times New Roman" w:cs="Times New Roman"/>
          <w:i/>
          <w:sz w:val="24"/>
          <w:szCs w:val="24"/>
          <w:lang w:eastAsia="en-AU"/>
        </w:rPr>
        <w:t>Legislation (Exemptions and Other Matters) Regulation 2015</w:t>
      </w:r>
      <w:r w:rsidR="00156F72">
        <w:rPr>
          <w:rFonts w:ascii="Times New Roman" w:eastAsia="Times New Roman" w:hAnsi="Times New Roman" w:cs="Times New Roman"/>
          <w:i/>
          <w:sz w:val="24"/>
          <w:szCs w:val="24"/>
          <w:lang w:eastAsia="en-AU"/>
        </w:rPr>
        <w:t>)</w:t>
      </w:r>
      <w:r w:rsidR="0051512B">
        <w:rPr>
          <w:rFonts w:ascii="Times New Roman" w:eastAsia="Times New Roman" w:hAnsi="Times New Roman" w:cs="Times New Roman"/>
          <w:sz w:val="24"/>
          <w:szCs w:val="24"/>
          <w:lang w:eastAsia="en-AU"/>
        </w:rPr>
        <w:t>.</w:t>
      </w:r>
    </w:p>
    <w:p w14:paraId="1FD409CC" w14:textId="5528A2EF"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Subsection 2</w:t>
      </w:r>
      <w:r w:rsidR="00E74622">
        <w:rPr>
          <w:rFonts w:ascii="Times New Roman" w:hAnsi="Times New Roman"/>
          <w:sz w:val="24"/>
        </w:rPr>
        <w:t>2</w:t>
      </w:r>
      <w:r w:rsidRPr="00063001">
        <w:rPr>
          <w:rFonts w:ascii="Times New Roman" w:hAnsi="Times New Roman"/>
          <w:sz w:val="24"/>
        </w:rPr>
        <w:t>(3) provides that a research authorisation must specify the period that the authorisation i</w:t>
      </w:r>
      <w:r w:rsidR="00166A16">
        <w:rPr>
          <w:rFonts w:ascii="Times New Roman" w:hAnsi="Times New Roman"/>
          <w:sz w:val="24"/>
        </w:rPr>
        <w:t>s</w:t>
      </w:r>
      <w:r w:rsidRPr="00063001">
        <w:rPr>
          <w:rFonts w:ascii="Times New Roman" w:hAnsi="Times New Roman"/>
          <w:sz w:val="24"/>
        </w:rPr>
        <w:t xml:space="preserve"> in effect. This period starts on the day </w:t>
      </w:r>
      <w:r w:rsidR="007D3D73">
        <w:rPr>
          <w:rFonts w:ascii="Times New Roman" w:hAnsi="Times New Roman"/>
          <w:sz w:val="24"/>
        </w:rPr>
        <w:t xml:space="preserve">Telstra </w:t>
      </w:r>
      <w:r w:rsidRPr="00063001">
        <w:rPr>
          <w:rFonts w:ascii="Times New Roman" w:hAnsi="Times New Roman"/>
          <w:sz w:val="24"/>
        </w:rPr>
        <w:t>first discloses authorised unlisted mobile number information to an authorised research entity covered by the authorisation and ends no later than 12 months afterwards. However, research authorisations can have a duration of less than 12 months.</w:t>
      </w:r>
    </w:p>
    <w:p w14:paraId="24889813" w14:textId="5490689C"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Subsection 2</w:t>
      </w:r>
      <w:r w:rsidR="00E74622">
        <w:rPr>
          <w:rFonts w:ascii="Times New Roman" w:hAnsi="Times New Roman"/>
          <w:sz w:val="24"/>
        </w:rPr>
        <w:t>2</w:t>
      </w:r>
      <w:r w:rsidRPr="00063001">
        <w:rPr>
          <w:rFonts w:ascii="Times New Roman" w:hAnsi="Times New Roman"/>
          <w:sz w:val="24"/>
        </w:rPr>
        <w:t xml:space="preserve">(4) provides that the ACMA may specify conditions additional to those specified in </w:t>
      </w:r>
      <w:r w:rsidR="00166A16">
        <w:rPr>
          <w:rFonts w:ascii="Times New Roman" w:hAnsi="Times New Roman"/>
          <w:sz w:val="24"/>
        </w:rPr>
        <w:t>S</w:t>
      </w:r>
      <w:r w:rsidRPr="00063001">
        <w:rPr>
          <w:rFonts w:ascii="Times New Roman" w:hAnsi="Times New Roman"/>
          <w:sz w:val="24"/>
        </w:rPr>
        <w:t xml:space="preserve">ubdivision C to which the authorisation is subject. This provision allows the ACMA to impose specific conditions tailored to the particular research activity, in order to both support effective research and protect </w:t>
      </w:r>
      <w:r w:rsidRPr="00063001">
        <w:rPr>
          <w:rFonts w:ascii="Times New Roman" w:hAnsi="Times New Roman"/>
          <w:sz w:val="24"/>
        </w:rPr>
        <w:lastRenderedPageBreak/>
        <w:t xml:space="preserve">personal information. For example, the ACMA could specify conditions relating to information management, security or handling procedures that an entity must adhere to in relation to the personal information it will collect during its research activity. Such conditions could be used where a proposed research activity might collect particularly sensitive personal information such as health information. </w:t>
      </w:r>
    </w:p>
    <w:p w14:paraId="273ED6E3" w14:textId="1E036835"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Note 1 after subsection 2</w:t>
      </w:r>
      <w:r w:rsidR="00E74622">
        <w:rPr>
          <w:rFonts w:ascii="Times New Roman" w:hAnsi="Times New Roman"/>
          <w:sz w:val="24"/>
        </w:rPr>
        <w:t>2</w:t>
      </w:r>
      <w:r w:rsidRPr="00063001">
        <w:rPr>
          <w:rFonts w:ascii="Times New Roman" w:hAnsi="Times New Roman"/>
          <w:sz w:val="24"/>
        </w:rPr>
        <w:t>(4) indicates that an authorised research entity can request that the ACMA review a decision to impose an additional condition on a research authorisation, in accordance with section 4</w:t>
      </w:r>
      <w:r w:rsidR="00E74622">
        <w:rPr>
          <w:rFonts w:ascii="Times New Roman" w:hAnsi="Times New Roman"/>
          <w:sz w:val="24"/>
        </w:rPr>
        <w:t>2</w:t>
      </w:r>
      <w:r w:rsidRPr="00063001">
        <w:rPr>
          <w:rFonts w:ascii="Times New Roman" w:hAnsi="Times New Roman"/>
          <w:sz w:val="24"/>
        </w:rPr>
        <w:t>.</w:t>
      </w:r>
    </w:p>
    <w:p w14:paraId="30C68EF8" w14:textId="2EE24EB1"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Note 2 after subsection 2</w:t>
      </w:r>
      <w:r w:rsidR="00E74622">
        <w:rPr>
          <w:rFonts w:ascii="Times New Roman" w:hAnsi="Times New Roman"/>
          <w:sz w:val="24"/>
        </w:rPr>
        <w:t>2</w:t>
      </w:r>
      <w:r w:rsidRPr="00063001">
        <w:rPr>
          <w:rFonts w:ascii="Times New Roman" w:hAnsi="Times New Roman"/>
          <w:sz w:val="24"/>
        </w:rPr>
        <w:t xml:space="preserve">(4) makes it clear that the ACMA can consult with others about the imposition of additional conditions in research authorisations, in accordance with section </w:t>
      </w:r>
      <w:r w:rsidR="00E74622">
        <w:rPr>
          <w:rFonts w:ascii="Times New Roman" w:hAnsi="Times New Roman"/>
          <w:sz w:val="24"/>
        </w:rPr>
        <w:t>20</w:t>
      </w:r>
      <w:r w:rsidRPr="00063001">
        <w:rPr>
          <w:rFonts w:ascii="Times New Roman" w:hAnsi="Times New Roman"/>
          <w:sz w:val="24"/>
        </w:rPr>
        <w:t>.</w:t>
      </w:r>
    </w:p>
    <w:p w14:paraId="4C678507" w14:textId="3AF1B28B" w:rsidR="00AA0095" w:rsidRPr="00063001" w:rsidRDefault="00AA0095" w:rsidP="001E2BB3">
      <w:pPr>
        <w:pStyle w:val="ActHead5"/>
        <w:rPr>
          <w:sz w:val="19"/>
          <w:lang w:val="en-US"/>
        </w:rPr>
      </w:pPr>
      <w:r w:rsidRPr="00063001">
        <w:t>Section 2</w:t>
      </w:r>
      <w:r w:rsidR="00E74622">
        <w:t>3</w:t>
      </w:r>
      <w:r w:rsidRPr="00063001">
        <w:t xml:space="preserve"> – Notice relating to research authorisations</w:t>
      </w:r>
    </w:p>
    <w:p w14:paraId="3A673B94" w14:textId="12C786E2"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If the ACMA grants a research authorisation, subsection 2</w:t>
      </w:r>
      <w:r w:rsidR="00E74622">
        <w:rPr>
          <w:rFonts w:ascii="Times New Roman" w:hAnsi="Times New Roman"/>
          <w:sz w:val="24"/>
        </w:rPr>
        <w:t>3</w:t>
      </w:r>
      <w:r w:rsidRPr="00063001">
        <w:rPr>
          <w:rFonts w:ascii="Times New Roman" w:hAnsi="Times New Roman"/>
          <w:sz w:val="24"/>
        </w:rPr>
        <w:t>(1) requires the ACMA to provide each research entity identified in the authorisation, and the IPND Manager</w:t>
      </w:r>
      <w:r w:rsidR="0043233A">
        <w:rPr>
          <w:rFonts w:ascii="Times New Roman" w:hAnsi="Times New Roman"/>
          <w:sz w:val="24"/>
        </w:rPr>
        <w:t>, a copy of the authorisation.</w:t>
      </w:r>
    </w:p>
    <w:p w14:paraId="25657508" w14:textId="09624868"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If the ACMA grants an authorisation that specifies additional conditions, subsection 2</w:t>
      </w:r>
      <w:r w:rsidR="00DE224C">
        <w:rPr>
          <w:rFonts w:ascii="Times New Roman" w:hAnsi="Times New Roman"/>
          <w:sz w:val="24"/>
        </w:rPr>
        <w:t>3</w:t>
      </w:r>
      <w:r w:rsidRPr="00063001">
        <w:rPr>
          <w:rFonts w:ascii="Times New Roman" w:hAnsi="Times New Roman"/>
          <w:sz w:val="24"/>
        </w:rPr>
        <w:t>(2) requires that the ACMA must, as soon as is reasonably practicable, give written notice to each authorised research entity and any other person affected by the decision, that they may request the ACMA reconsider its decision (using the process set out at section 4</w:t>
      </w:r>
      <w:r w:rsidR="00DE224C">
        <w:rPr>
          <w:rFonts w:ascii="Times New Roman" w:hAnsi="Times New Roman"/>
          <w:sz w:val="24"/>
        </w:rPr>
        <w:t>2</w:t>
      </w:r>
      <w:r w:rsidR="0043233A">
        <w:rPr>
          <w:rFonts w:ascii="Times New Roman" w:hAnsi="Times New Roman"/>
          <w:sz w:val="24"/>
        </w:rPr>
        <w:t>).</w:t>
      </w:r>
    </w:p>
    <w:p w14:paraId="40478CB2" w14:textId="18C36C9C"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lastRenderedPageBreak/>
        <w:t>If the ACMA decides not to grant a research authorisation, subsection 2</w:t>
      </w:r>
      <w:r w:rsidR="00DE224C">
        <w:rPr>
          <w:rFonts w:ascii="Times New Roman" w:hAnsi="Times New Roman"/>
          <w:sz w:val="24"/>
        </w:rPr>
        <w:t>3</w:t>
      </w:r>
      <w:r w:rsidRPr="00063001">
        <w:rPr>
          <w:rFonts w:ascii="Times New Roman" w:hAnsi="Times New Roman"/>
          <w:sz w:val="24"/>
        </w:rPr>
        <w:t>(3) requires that the ACMA give the applicant written notice indicating that the authorisation has not be granted, the reasons the authorisation was not granted, and advising that the applicant or any other person affected by the decision may request the ACMA to reconsider its decision under section 4</w:t>
      </w:r>
      <w:r w:rsidR="00DE224C">
        <w:rPr>
          <w:rFonts w:ascii="Times New Roman" w:hAnsi="Times New Roman"/>
          <w:sz w:val="24"/>
        </w:rPr>
        <w:t>2</w:t>
      </w:r>
      <w:r w:rsidR="0043233A">
        <w:rPr>
          <w:rFonts w:ascii="Times New Roman" w:hAnsi="Times New Roman"/>
          <w:sz w:val="24"/>
        </w:rPr>
        <w:t>.</w:t>
      </w:r>
    </w:p>
    <w:p w14:paraId="1650105F" w14:textId="4CBB73F4" w:rsidR="00AA0095" w:rsidRPr="00063001" w:rsidRDefault="00DE224C" w:rsidP="00116173">
      <w:pPr>
        <w:shd w:val="clear" w:color="auto" w:fill="FFFFFF"/>
        <w:spacing w:before="100" w:beforeAutospacing="1" w:after="100" w:afterAutospacing="1" w:line="240" w:lineRule="auto"/>
        <w:rPr>
          <w:rFonts w:ascii="Times New Roman" w:hAnsi="Times New Roman"/>
          <w:sz w:val="19"/>
          <w:lang w:val="en-US"/>
        </w:rPr>
      </w:pPr>
      <w:r>
        <w:rPr>
          <w:rFonts w:ascii="Times New Roman" w:hAnsi="Times New Roman"/>
          <w:sz w:val="24"/>
        </w:rPr>
        <w:t>The n</w:t>
      </w:r>
      <w:r w:rsidR="00AA0095" w:rsidRPr="00063001">
        <w:rPr>
          <w:rFonts w:ascii="Times New Roman" w:hAnsi="Times New Roman"/>
          <w:sz w:val="24"/>
        </w:rPr>
        <w:t>ote after subsection 2</w:t>
      </w:r>
      <w:r>
        <w:rPr>
          <w:rFonts w:ascii="Times New Roman" w:hAnsi="Times New Roman"/>
          <w:sz w:val="24"/>
        </w:rPr>
        <w:t>3</w:t>
      </w:r>
      <w:r w:rsidR="00AA0095" w:rsidRPr="00063001">
        <w:rPr>
          <w:rFonts w:ascii="Times New Roman" w:hAnsi="Times New Roman"/>
          <w:sz w:val="24"/>
        </w:rPr>
        <w:t>(3) clarifies that a research entity is taken not to be specified in an application if the entity does not provide the ACMA with further information as requested under section 1</w:t>
      </w:r>
      <w:r>
        <w:rPr>
          <w:rFonts w:ascii="Times New Roman" w:hAnsi="Times New Roman"/>
          <w:sz w:val="24"/>
        </w:rPr>
        <w:t>9</w:t>
      </w:r>
      <w:r w:rsidR="00AA0095" w:rsidRPr="00063001">
        <w:rPr>
          <w:rFonts w:ascii="Times New Roman" w:hAnsi="Times New Roman"/>
          <w:sz w:val="24"/>
        </w:rPr>
        <w:t xml:space="preserve"> within 90 days after the ACMA requests that information. The intent of section 1</w:t>
      </w:r>
      <w:r>
        <w:rPr>
          <w:rFonts w:ascii="Times New Roman" w:hAnsi="Times New Roman"/>
          <w:sz w:val="24"/>
        </w:rPr>
        <w:t>9</w:t>
      </w:r>
      <w:r w:rsidR="00AA0095" w:rsidRPr="00063001">
        <w:rPr>
          <w:rFonts w:ascii="Times New Roman" w:hAnsi="Times New Roman"/>
          <w:sz w:val="24"/>
        </w:rPr>
        <w:t xml:space="preserve"> is to create an incentive for persons covered by an application for an authorisation to provide information requested by the ACMA promptly. If that information is not provided within a 90</w:t>
      </w:r>
      <w:r>
        <w:rPr>
          <w:rFonts w:ascii="Times New Roman" w:hAnsi="Times New Roman"/>
          <w:sz w:val="24"/>
        </w:rPr>
        <w:t>-</w:t>
      </w:r>
      <w:r w:rsidR="00AA0095" w:rsidRPr="00063001">
        <w:rPr>
          <w:rFonts w:ascii="Times New Roman" w:hAnsi="Times New Roman"/>
          <w:sz w:val="24"/>
        </w:rPr>
        <w:t>day timeframe, then the authorisation process can continue to proceed in relation to other persons specified in the application.</w:t>
      </w:r>
    </w:p>
    <w:p w14:paraId="1890D57F" w14:textId="4E5C274A" w:rsidR="00AA0095" w:rsidRPr="00063001" w:rsidRDefault="00AA0095" w:rsidP="00FE3238">
      <w:pPr>
        <w:pStyle w:val="ActHead5"/>
        <w:rPr>
          <w:sz w:val="19"/>
          <w:lang w:val="en-US"/>
        </w:rPr>
      </w:pPr>
      <w:r w:rsidRPr="00063001">
        <w:t>Section 2</w:t>
      </w:r>
      <w:r w:rsidR="00DE224C">
        <w:t>4</w:t>
      </w:r>
      <w:r w:rsidRPr="00063001">
        <w:t xml:space="preserve"> – Period of research authorisations</w:t>
      </w:r>
    </w:p>
    <w:p w14:paraId="075B1978" w14:textId="197E9BA7"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Section 2</w:t>
      </w:r>
      <w:r w:rsidR="00DE224C">
        <w:rPr>
          <w:rFonts w:ascii="Times New Roman" w:hAnsi="Times New Roman"/>
          <w:sz w:val="24"/>
        </w:rPr>
        <w:t>4</w:t>
      </w:r>
      <w:r w:rsidRPr="00063001">
        <w:rPr>
          <w:rFonts w:ascii="Times New Roman" w:hAnsi="Times New Roman"/>
          <w:sz w:val="24"/>
        </w:rPr>
        <w:t xml:space="preserve"> provides that research authorisations are valid for the period specified in the authorisation. This section is to be read with subsection 2</w:t>
      </w:r>
      <w:r w:rsidR="00DE224C">
        <w:rPr>
          <w:rFonts w:ascii="Times New Roman" w:hAnsi="Times New Roman"/>
          <w:sz w:val="24"/>
        </w:rPr>
        <w:t>2</w:t>
      </w:r>
      <w:r w:rsidRPr="00063001">
        <w:rPr>
          <w:rFonts w:ascii="Times New Roman" w:hAnsi="Times New Roman"/>
          <w:sz w:val="24"/>
        </w:rPr>
        <w:t>(3) such that the maximum period for an authorisation to be in effect is 12 months, starting on the day Telstra (the IPND Manager</w:t>
      </w:r>
      <w:r w:rsidR="00166A16">
        <w:rPr>
          <w:rFonts w:ascii="Times New Roman" w:hAnsi="Times New Roman"/>
          <w:sz w:val="24"/>
        </w:rPr>
        <w:t>)</w:t>
      </w:r>
      <w:r w:rsidRPr="00063001">
        <w:rPr>
          <w:rFonts w:ascii="Times New Roman" w:hAnsi="Times New Roman"/>
          <w:sz w:val="24"/>
        </w:rPr>
        <w:t xml:space="preserve"> first discloses the authorised unlisted mobile number information to the research entity. Authorisations may specify a sh</w:t>
      </w:r>
      <w:r w:rsidR="0043233A">
        <w:rPr>
          <w:rFonts w:ascii="Times New Roman" w:hAnsi="Times New Roman"/>
          <w:sz w:val="24"/>
        </w:rPr>
        <w:t xml:space="preserve">orter period than </w:t>
      </w:r>
      <w:r w:rsidR="0043233A">
        <w:rPr>
          <w:rFonts w:ascii="Times New Roman" w:hAnsi="Times New Roman"/>
          <w:sz w:val="24"/>
        </w:rPr>
        <w:lastRenderedPageBreak/>
        <w:t xml:space="preserve">12 months. This section </w:t>
      </w:r>
      <w:r w:rsidRPr="00063001">
        <w:rPr>
          <w:rFonts w:ascii="Times New Roman" w:hAnsi="Times New Roman"/>
          <w:sz w:val="24"/>
        </w:rPr>
        <w:t>do</w:t>
      </w:r>
      <w:r w:rsidR="0043233A">
        <w:rPr>
          <w:rFonts w:ascii="Times New Roman" w:hAnsi="Times New Roman"/>
          <w:sz w:val="24"/>
        </w:rPr>
        <w:t>es</w:t>
      </w:r>
      <w:r w:rsidRPr="00063001">
        <w:rPr>
          <w:rFonts w:ascii="Times New Roman" w:hAnsi="Times New Roman"/>
          <w:sz w:val="24"/>
        </w:rPr>
        <w:t xml:space="preserve"> not contemplate extensions of research authorisations. Rather, research entities can apply for an additional research authorisation in the same terms in advance of an authorisation expiring if further time is ne</w:t>
      </w:r>
      <w:r w:rsidR="0043233A">
        <w:rPr>
          <w:rFonts w:ascii="Times New Roman" w:hAnsi="Times New Roman"/>
          <w:sz w:val="24"/>
        </w:rPr>
        <w:t>eded to undertake the research.</w:t>
      </w:r>
    </w:p>
    <w:p w14:paraId="4CECCA23" w14:textId="20EEC6EF" w:rsidR="00AA0095" w:rsidRPr="00063001" w:rsidRDefault="00AA0095" w:rsidP="00FE3238">
      <w:pPr>
        <w:pStyle w:val="ActHead4"/>
        <w:rPr>
          <w:sz w:val="19"/>
          <w:lang w:val="en-US"/>
        </w:rPr>
      </w:pPr>
      <w:r w:rsidRPr="00063001">
        <w:t xml:space="preserve">Subdivision C – Authorisation </w:t>
      </w:r>
      <w:r w:rsidR="00DE224C">
        <w:t>c</w:t>
      </w:r>
      <w:r w:rsidRPr="00063001">
        <w:t>onditions</w:t>
      </w:r>
    </w:p>
    <w:p w14:paraId="33138DBD" w14:textId="03528C9B" w:rsidR="00AA0095" w:rsidRPr="00063001" w:rsidRDefault="00AA0095" w:rsidP="00FE3238">
      <w:pPr>
        <w:pStyle w:val="ActHead5"/>
        <w:rPr>
          <w:sz w:val="19"/>
          <w:lang w:val="en-US"/>
        </w:rPr>
      </w:pPr>
      <w:r w:rsidRPr="00063001">
        <w:t>Section 2</w:t>
      </w:r>
      <w:r w:rsidR="00DE224C">
        <w:t>5</w:t>
      </w:r>
      <w:r w:rsidRPr="00063001">
        <w:t xml:space="preserve"> – Authorisation conditions</w:t>
      </w:r>
    </w:p>
    <w:p w14:paraId="10314A27" w14:textId="272EAD48"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Section 2</w:t>
      </w:r>
      <w:r w:rsidR="00DE224C">
        <w:rPr>
          <w:rFonts w:ascii="Times New Roman" w:hAnsi="Times New Roman"/>
          <w:sz w:val="24"/>
        </w:rPr>
        <w:t>5</w:t>
      </w:r>
      <w:r w:rsidRPr="00063001">
        <w:rPr>
          <w:rFonts w:ascii="Times New Roman" w:hAnsi="Times New Roman"/>
          <w:sz w:val="24"/>
        </w:rPr>
        <w:t xml:space="preserve"> provides that a research authorisation is subject to the conditions set out in this Subdivision and any additional conditions specified by the ACMA (see subsection 2</w:t>
      </w:r>
      <w:r w:rsidR="00DE224C">
        <w:rPr>
          <w:rFonts w:ascii="Times New Roman" w:hAnsi="Times New Roman"/>
          <w:sz w:val="24"/>
        </w:rPr>
        <w:t>2</w:t>
      </w:r>
      <w:r w:rsidRPr="00063001">
        <w:rPr>
          <w:rFonts w:ascii="Times New Roman" w:hAnsi="Times New Roman"/>
          <w:sz w:val="24"/>
        </w:rPr>
        <w:t>(4) and section 3</w:t>
      </w:r>
      <w:r w:rsidR="00DE224C">
        <w:rPr>
          <w:rFonts w:ascii="Times New Roman" w:hAnsi="Times New Roman"/>
          <w:sz w:val="24"/>
        </w:rPr>
        <w:t>6</w:t>
      </w:r>
      <w:r w:rsidRPr="00063001">
        <w:rPr>
          <w:rFonts w:ascii="Times New Roman" w:hAnsi="Times New Roman"/>
          <w:sz w:val="24"/>
        </w:rPr>
        <w:t>).</w:t>
      </w:r>
    </w:p>
    <w:p w14:paraId="4DF68060" w14:textId="44BA5D60" w:rsidR="00AA0095" w:rsidRPr="00063001" w:rsidRDefault="00AA0095" w:rsidP="00FE3238">
      <w:pPr>
        <w:pStyle w:val="ActHead5"/>
        <w:rPr>
          <w:sz w:val="19"/>
          <w:lang w:val="en-US"/>
        </w:rPr>
      </w:pPr>
      <w:r w:rsidRPr="00063001">
        <w:t>Section 2</w:t>
      </w:r>
      <w:r w:rsidR="00DE224C">
        <w:t>6</w:t>
      </w:r>
      <w:r w:rsidRPr="00063001">
        <w:t xml:space="preserve"> – Receipt of authorised unlisted mobile number information</w:t>
      </w:r>
    </w:p>
    <w:p w14:paraId="04A7C449" w14:textId="52003A63"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Section 2</w:t>
      </w:r>
      <w:r w:rsidR="00DE224C">
        <w:rPr>
          <w:rFonts w:ascii="Times New Roman" w:hAnsi="Times New Roman"/>
          <w:sz w:val="24"/>
        </w:rPr>
        <w:t>6</w:t>
      </w:r>
      <w:r w:rsidRPr="00063001">
        <w:rPr>
          <w:rFonts w:ascii="Times New Roman" w:hAnsi="Times New Roman"/>
          <w:sz w:val="24"/>
        </w:rPr>
        <w:t xml:space="preserve"> provides that the first research entity to receive authorised unlisted mobile number information from </w:t>
      </w:r>
      <w:r w:rsidR="0043233A">
        <w:rPr>
          <w:rFonts w:ascii="Times New Roman" w:hAnsi="Times New Roman"/>
          <w:sz w:val="24"/>
        </w:rPr>
        <w:t>the IPND Manager</w:t>
      </w:r>
      <w:r w:rsidRPr="00063001">
        <w:rPr>
          <w:rFonts w:ascii="Times New Roman" w:hAnsi="Times New Roman"/>
          <w:sz w:val="24"/>
        </w:rPr>
        <w:t xml:space="preserve"> under an authorisation, must provide written notice to the ACMA and each other authorised research entity covered by the authorisation within 10 business days. As the period of an authorisation commences when </w:t>
      </w:r>
      <w:r w:rsidR="0043233A">
        <w:rPr>
          <w:rFonts w:ascii="Times New Roman" w:hAnsi="Times New Roman"/>
          <w:sz w:val="24"/>
        </w:rPr>
        <w:t>the IPND Manager</w:t>
      </w:r>
      <w:r w:rsidRPr="00063001">
        <w:rPr>
          <w:rFonts w:ascii="Times New Roman" w:hAnsi="Times New Roman"/>
          <w:sz w:val="24"/>
        </w:rPr>
        <w:t xml:space="preserve"> first discloses authorised unlisted mobile information to a research entity (section 2</w:t>
      </w:r>
      <w:r w:rsidR="00DE224C">
        <w:rPr>
          <w:rFonts w:ascii="Times New Roman" w:hAnsi="Times New Roman"/>
          <w:sz w:val="24"/>
        </w:rPr>
        <w:t>2</w:t>
      </w:r>
      <w:r w:rsidRPr="00063001">
        <w:rPr>
          <w:rFonts w:ascii="Times New Roman" w:hAnsi="Times New Roman"/>
          <w:sz w:val="24"/>
        </w:rPr>
        <w:t>(3)), this section ensures that the ACMA and all parties covered by the authorisation are aware that the authorisation period has begun.</w:t>
      </w:r>
    </w:p>
    <w:p w14:paraId="3321DD17" w14:textId="69D9AF03" w:rsidR="00AA0095" w:rsidRPr="00063001" w:rsidRDefault="00AA0095" w:rsidP="00156F72">
      <w:pPr>
        <w:pStyle w:val="ActHead5"/>
        <w:rPr>
          <w:sz w:val="19"/>
          <w:lang w:val="en-US"/>
        </w:rPr>
      </w:pPr>
      <w:r w:rsidRPr="00063001">
        <w:t>Section 2</w:t>
      </w:r>
      <w:r w:rsidR="00DE224C">
        <w:t>7</w:t>
      </w:r>
      <w:r w:rsidRPr="00063001">
        <w:t xml:space="preserve"> – Use and disclosure of authorised unlisted mobile number information</w:t>
      </w:r>
    </w:p>
    <w:p w14:paraId="352B9A84" w14:textId="5F1BEE50"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Section 2</w:t>
      </w:r>
      <w:r w:rsidR="00DE224C">
        <w:rPr>
          <w:rFonts w:ascii="Times New Roman" w:hAnsi="Times New Roman"/>
          <w:sz w:val="24"/>
        </w:rPr>
        <w:t>7</w:t>
      </w:r>
      <w:r w:rsidRPr="00063001">
        <w:rPr>
          <w:rFonts w:ascii="Times New Roman" w:hAnsi="Times New Roman"/>
          <w:sz w:val="24"/>
        </w:rPr>
        <w:t xml:space="preserve"> limits the use and disclosure of authorised unlisted mobile number information. </w:t>
      </w:r>
    </w:p>
    <w:p w14:paraId="64D387A7" w14:textId="046B7FC1"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lastRenderedPageBreak/>
        <w:t>An authorised research entity can only make a record of or use unlisted mobile number information for authorised research purposes as specified in the authorisation. Subsection 2</w:t>
      </w:r>
      <w:r w:rsidR="00DE224C">
        <w:rPr>
          <w:rFonts w:ascii="Times New Roman" w:hAnsi="Times New Roman"/>
          <w:sz w:val="24"/>
        </w:rPr>
        <w:t>7</w:t>
      </w:r>
      <w:r w:rsidRPr="00063001">
        <w:rPr>
          <w:rFonts w:ascii="Times New Roman" w:hAnsi="Times New Roman"/>
          <w:sz w:val="24"/>
        </w:rPr>
        <w:t>(2), when read together with subsection 2</w:t>
      </w:r>
      <w:r w:rsidR="00DE224C">
        <w:rPr>
          <w:rFonts w:ascii="Times New Roman" w:hAnsi="Times New Roman"/>
          <w:sz w:val="24"/>
        </w:rPr>
        <w:t>7</w:t>
      </w:r>
      <w:r w:rsidRPr="00063001">
        <w:rPr>
          <w:rFonts w:ascii="Times New Roman" w:hAnsi="Times New Roman"/>
          <w:sz w:val="24"/>
        </w:rPr>
        <w:t xml:space="preserve">(3), limits the disclosure of unlisted mobile number information: to the research entity’s employees, any other authorised research entities covered by the authorisation be for the purposes of authorised research as specified in the authorisation; or as otherwise authorised or required by any other law. </w:t>
      </w:r>
    </w:p>
    <w:p w14:paraId="2207F95F" w14:textId="2B10B22E"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The ACMA may also request authorised unlisted mobile number information (for example, for compliance purposes), and the research entity is required to disclose this information on request pursuant to subsection 2</w:t>
      </w:r>
      <w:r w:rsidR="00DE224C">
        <w:rPr>
          <w:rFonts w:ascii="Times New Roman" w:hAnsi="Times New Roman"/>
          <w:sz w:val="24"/>
        </w:rPr>
        <w:t>7</w:t>
      </w:r>
      <w:r w:rsidRPr="00063001">
        <w:rPr>
          <w:rFonts w:ascii="Times New Roman" w:hAnsi="Times New Roman"/>
          <w:sz w:val="24"/>
        </w:rPr>
        <w:t xml:space="preserve">(4). </w:t>
      </w:r>
    </w:p>
    <w:p w14:paraId="26F673FA" w14:textId="3A9068DA" w:rsidR="00AA0095" w:rsidRPr="00063001" w:rsidRDefault="00AA0095" w:rsidP="00381517">
      <w:pPr>
        <w:pStyle w:val="ActHead5"/>
        <w:rPr>
          <w:sz w:val="19"/>
          <w:lang w:val="en-US"/>
        </w:rPr>
      </w:pPr>
      <w:bookmarkStart w:id="9" w:name="_Toc509412366"/>
      <w:r w:rsidRPr="00063001">
        <w:t>Section 2</w:t>
      </w:r>
      <w:r w:rsidR="00DE224C">
        <w:t>8</w:t>
      </w:r>
      <w:r w:rsidRPr="00063001">
        <w:t xml:space="preserve"> </w:t>
      </w:r>
      <w:bookmarkEnd w:id="9"/>
      <w:r w:rsidRPr="00063001">
        <w:t>– Covered by the Privacy Act</w:t>
      </w:r>
    </w:p>
    <w:p w14:paraId="57CBF5B7" w14:textId="089EE87B"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Section 2</w:t>
      </w:r>
      <w:r w:rsidR="00DE224C">
        <w:rPr>
          <w:rFonts w:ascii="Times New Roman" w:hAnsi="Times New Roman"/>
          <w:sz w:val="24"/>
        </w:rPr>
        <w:t>8</w:t>
      </w:r>
      <w:r w:rsidRPr="00063001">
        <w:rPr>
          <w:rFonts w:ascii="Times New Roman" w:hAnsi="Times New Roman"/>
          <w:sz w:val="24"/>
        </w:rPr>
        <w:t xml:space="preserve"> provides that an authorised research entity must be covered by the Privacy Act</w:t>
      </w:r>
      <w:r w:rsidRPr="00063001">
        <w:rPr>
          <w:rFonts w:ascii="Times New Roman" w:hAnsi="Times New Roman"/>
          <w:i/>
          <w:sz w:val="24"/>
        </w:rPr>
        <w:t xml:space="preserve"> </w:t>
      </w:r>
      <w:r w:rsidRPr="00063001">
        <w:rPr>
          <w:rFonts w:ascii="Times New Roman" w:hAnsi="Times New Roman"/>
          <w:sz w:val="24"/>
        </w:rPr>
        <w:t>unless that entity is a registered political party. This is because registered political parties are exempt organisations under section 6C of that Act.</w:t>
      </w:r>
      <w:r w:rsidR="0043233A">
        <w:rPr>
          <w:rFonts w:ascii="Times New Roman" w:hAnsi="Times New Roman"/>
          <w:sz w:val="24"/>
        </w:rPr>
        <w:t xml:space="preserve"> S</w:t>
      </w:r>
      <w:r w:rsidRPr="00063001">
        <w:rPr>
          <w:rFonts w:ascii="Times New Roman" w:hAnsi="Times New Roman"/>
          <w:sz w:val="24"/>
        </w:rPr>
        <w:t>ubsection 2</w:t>
      </w:r>
      <w:r w:rsidR="00DE224C">
        <w:rPr>
          <w:rFonts w:ascii="Times New Roman" w:hAnsi="Times New Roman"/>
          <w:sz w:val="24"/>
        </w:rPr>
        <w:t>9</w:t>
      </w:r>
      <w:r w:rsidRPr="00063001">
        <w:rPr>
          <w:rFonts w:ascii="Times New Roman" w:hAnsi="Times New Roman"/>
          <w:sz w:val="24"/>
        </w:rPr>
        <w:t xml:space="preserve"> (detailed below) extends the application of the Australian Privacy Principles or a registered APP code to registered political parties by making compliance with them a condition of the authorisation.</w:t>
      </w:r>
    </w:p>
    <w:p w14:paraId="469E5AA7" w14:textId="2043572B" w:rsidR="00AA0095" w:rsidRPr="00063001" w:rsidRDefault="00AA0095" w:rsidP="00381517">
      <w:pPr>
        <w:pStyle w:val="ActHead5"/>
        <w:rPr>
          <w:sz w:val="19"/>
          <w:lang w:val="en-US"/>
        </w:rPr>
      </w:pPr>
      <w:bookmarkStart w:id="10" w:name="_Toc509412367"/>
      <w:r w:rsidRPr="00063001">
        <w:t>Section 2</w:t>
      </w:r>
      <w:r w:rsidR="00DE224C">
        <w:t>9</w:t>
      </w:r>
      <w:r w:rsidRPr="00063001">
        <w:t xml:space="preserve"> </w:t>
      </w:r>
      <w:bookmarkEnd w:id="10"/>
      <w:r w:rsidRPr="00063001">
        <w:t>– Compliance with the Privacy Act</w:t>
      </w:r>
    </w:p>
    <w:p w14:paraId="44088518" w14:textId="70A167B1"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Subsection 2</w:t>
      </w:r>
      <w:r w:rsidR="00DE224C">
        <w:rPr>
          <w:rFonts w:ascii="Times New Roman" w:hAnsi="Times New Roman"/>
          <w:sz w:val="24"/>
        </w:rPr>
        <w:t>9</w:t>
      </w:r>
      <w:r w:rsidRPr="00063001">
        <w:rPr>
          <w:rFonts w:ascii="Times New Roman" w:hAnsi="Times New Roman"/>
          <w:sz w:val="24"/>
        </w:rPr>
        <w:t xml:space="preserve">(1) requires that, where an authorised research entity collects, uses or discloses personal information for the purposes of authorised research they must do so in a way that does not breach the </w:t>
      </w:r>
      <w:r w:rsidRPr="00063001">
        <w:rPr>
          <w:rFonts w:ascii="Times New Roman" w:hAnsi="Times New Roman"/>
          <w:sz w:val="24"/>
        </w:rPr>
        <w:lastRenderedPageBreak/>
        <w:t xml:space="preserve">Australian Privacy Principles or a registered APP </w:t>
      </w:r>
      <w:r w:rsidRPr="00A41B82">
        <w:rPr>
          <w:rFonts w:ascii="Times New Roman" w:hAnsi="Times New Roman"/>
          <w:sz w:val="24"/>
        </w:rPr>
        <w:t>code that binds the entity. Subsection 2</w:t>
      </w:r>
      <w:r w:rsidR="00DE224C">
        <w:rPr>
          <w:rFonts w:ascii="Times New Roman" w:hAnsi="Times New Roman"/>
          <w:sz w:val="24"/>
        </w:rPr>
        <w:t>9</w:t>
      </w:r>
      <w:r w:rsidRPr="00A41B82">
        <w:rPr>
          <w:rFonts w:ascii="Times New Roman" w:hAnsi="Times New Roman"/>
          <w:sz w:val="24"/>
        </w:rPr>
        <w:t>(2) provides that the obligation in subsection 2</w:t>
      </w:r>
      <w:r w:rsidR="00DE224C">
        <w:rPr>
          <w:rFonts w:ascii="Times New Roman" w:hAnsi="Times New Roman"/>
          <w:sz w:val="24"/>
        </w:rPr>
        <w:t>9</w:t>
      </w:r>
      <w:r w:rsidRPr="00A41B82">
        <w:rPr>
          <w:rFonts w:ascii="Times New Roman" w:hAnsi="Times New Roman"/>
          <w:sz w:val="24"/>
        </w:rPr>
        <w:t xml:space="preserve">(1) applies to registered political parties who are normally exempt under section 6C of the </w:t>
      </w:r>
      <w:r w:rsidRPr="00063001">
        <w:rPr>
          <w:rFonts w:ascii="Times New Roman" w:hAnsi="Times New Roman"/>
          <w:sz w:val="24"/>
        </w:rPr>
        <w:t>Privacy Act</w:t>
      </w:r>
      <w:r w:rsidRPr="00063001">
        <w:rPr>
          <w:rFonts w:ascii="Times New Roman" w:hAnsi="Times New Roman"/>
          <w:i/>
          <w:sz w:val="24"/>
        </w:rPr>
        <w:t xml:space="preserve"> </w:t>
      </w:r>
      <w:r w:rsidRPr="00063001">
        <w:rPr>
          <w:rFonts w:ascii="Times New Roman" w:hAnsi="Times New Roman"/>
          <w:sz w:val="24"/>
        </w:rPr>
        <w:t xml:space="preserve">or acts which are normally exempt under section 7C that Act. </w:t>
      </w:r>
    </w:p>
    <w:p w14:paraId="15E6CE0D" w14:textId="3210074B"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The effect of this subsection is to ensure that all research entities</w:t>
      </w:r>
      <w:r w:rsidR="00FA74E4">
        <w:rPr>
          <w:rFonts w:ascii="Times New Roman" w:hAnsi="Times New Roman"/>
          <w:sz w:val="24"/>
        </w:rPr>
        <w:t>,</w:t>
      </w:r>
      <w:r w:rsidRPr="00063001">
        <w:rPr>
          <w:rFonts w:ascii="Times New Roman" w:hAnsi="Times New Roman"/>
          <w:sz w:val="24"/>
        </w:rPr>
        <w:t xml:space="preserve"> including registered political parties, will be required to adhere to the Australian Privacy Principles </w:t>
      </w:r>
      <w:r w:rsidR="0082471A">
        <w:rPr>
          <w:rFonts w:ascii="Times New Roman" w:hAnsi="Times New Roman"/>
          <w:sz w:val="24"/>
        </w:rPr>
        <w:t xml:space="preserve">(APPs) </w:t>
      </w:r>
      <w:r w:rsidRPr="00063001">
        <w:rPr>
          <w:rFonts w:ascii="Times New Roman" w:hAnsi="Times New Roman"/>
          <w:sz w:val="24"/>
        </w:rPr>
        <w:t xml:space="preserve">which govern how personal information must be handled, used and managed. Given the broad scope of potential research activities which could be carried out under a research authorisation, there is the potential for research entities to handle personal information which is ‘sensitive information’. The </w:t>
      </w:r>
      <w:r w:rsidR="0082471A">
        <w:rPr>
          <w:rFonts w:ascii="Times New Roman" w:hAnsi="Times New Roman"/>
          <w:sz w:val="24"/>
        </w:rPr>
        <w:t xml:space="preserve">APPs </w:t>
      </w:r>
      <w:r w:rsidRPr="00063001">
        <w:rPr>
          <w:rFonts w:ascii="Times New Roman" w:hAnsi="Times New Roman"/>
          <w:sz w:val="24"/>
        </w:rPr>
        <w:t xml:space="preserve">place stringent obligations on organisations that handle sensitive information.  </w:t>
      </w:r>
    </w:p>
    <w:p w14:paraId="527B8484" w14:textId="7B13DBFF" w:rsidR="00AA0095" w:rsidRDefault="00AA0095" w:rsidP="0043233A">
      <w:pPr>
        <w:pStyle w:val="ActHead5"/>
      </w:pPr>
      <w:r w:rsidRPr="00063001">
        <w:t xml:space="preserve">Section </w:t>
      </w:r>
      <w:r w:rsidR="00DE224C">
        <w:t>30</w:t>
      </w:r>
      <w:r w:rsidRPr="00063001">
        <w:t xml:space="preserve"> – Contacting persons for authorised research</w:t>
      </w:r>
    </w:p>
    <w:p w14:paraId="67C7D600" w14:textId="18852F20" w:rsidR="0037185E" w:rsidRPr="00A41B82" w:rsidRDefault="0037185E" w:rsidP="00116173">
      <w:pPr>
        <w:shd w:val="clear" w:color="auto" w:fill="FFFFFF"/>
        <w:spacing w:before="100" w:beforeAutospacing="1" w:after="100" w:afterAutospacing="1" w:line="240" w:lineRule="auto"/>
        <w:rPr>
          <w:rFonts w:ascii="Times New Roman" w:hAnsi="Times New Roman"/>
          <w:i/>
          <w:sz w:val="19"/>
          <w:lang w:val="en-US"/>
        </w:rPr>
      </w:pPr>
      <w:r w:rsidRPr="00A41B82">
        <w:rPr>
          <w:rFonts w:ascii="Times New Roman" w:hAnsi="Times New Roman"/>
          <w:i/>
          <w:sz w:val="24"/>
        </w:rPr>
        <w:t>Making contact</w:t>
      </w:r>
    </w:p>
    <w:p w14:paraId="679793D8" w14:textId="352C36BC"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 xml:space="preserve">Section </w:t>
      </w:r>
      <w:r w:rsidR="00DE224C">
        <w:rPr>
          <w:rFonts w:ascii="Times New Roman" w:hAnsi="Times New Roman"/>
          <w:sz w:val="24"/>
        </w:rPr>
        <w:t>30</w:t>
      </w:r>
      <w:r w:rsidRPr="00063001">
        <w:rPr>
          <w:rFonts w:ascii="Times New Roman" w:hAnsi="Times New Roman"/>
          <w:sz w:val="24"/>
        </w:rPr>
        <w:t xml:space="preserve"> outlines the requirements that apply when a research entity contacts a person for authorised research using authorised unlisted mobile </w:t>
      </w:r>
      <w:r w:rsidR="00166A16">
        <w:rPr>
          <w:rFonts w:ascii="Times New Roman" w:hAnsi="Times New Roman"/>
          <w:sz w:val="24"/>
        </w:rPr>
        <w:t xml:space="preserve">number </w:t>
      </w:r>
      <w:r w:rsidRPr="00063001">
        <w:rPr>
          <w:rFonts w:ascii="Times New Roman" w:hAnsi="Times New Roman"/>
          <w:sz w:val="24"/>
        </w:rPr>
        <w:t xml:space="preserve">information. </w:t>
      </w:r>
    </w:p>
    <w:p w14:paraId="3D0FA1C8" w14:textId="7BB53AAA"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 xml:space="preserve">Subsection </w:t>
      </w:r>
      <w:r w:rsidR="0037185E">
        <w:rPr>
          <w:rFonts w:ascii="Times New Roman" w:hAnsi="Times New Roman"/>
          <w:sz w:val="24"/>
        </w:rPr>
        <w:t>30</w:t>
      </w:r>
      <w:r w:rsidR="00560C87">
        <w:rPr>
          <w:rFonts w:ascii="Times New Roman" w:hAnsi="Times New Roman"/>
          <w:sz w:val="24"/>
        </w:rPr>
        <w:t>(1) specifies that</w:t>
      </w:r>
      <w:r w:rsidRPr="00063001">
        <w:rPr>
          <w:rFonts w:ascii="Times New Roman" w:hAnsi="Times New Roman"/>
          <w:sz w:val="24"/>
        </w:rPr>
        <w:t xml:space="preserve"> an authorised research entity may contact a person using authorised unlisted mobile number information, only by calling the person. As illustrated by the example after subsection </w:t>
      </w:r>
      <w:r w:rsidR="0037185E">
        <w:rPr>
          <w:rFonts w:ascii="Times New Roman" w:hAnsi="Times New Roman"/>
          <w:sz w:val="24"/>
        </w:rPr>
        <w:t>30</w:t>
      </w:r>
      <w:r w:rsidRPr="00063001">
        <w:rPr>
          <w:rFonts w:ascii="Times New Roman" w:hAnsi="Times New Roman"/>
          <w:sz w:val="24"/>
        </w:rPr>
        <w:t>(1), this provision makes it clear that an authorised research entity must not contact a person using authorised unlisted mobile number information by other means such as text message.</w:t>
      </w:r>
    </w:p>
    <w:p w14:paraId="1BBE471B" w14:textId="3382937C" w:rsidR="00AA0095" w:rsidRPr="00063001" w:rsidRDefault="00C45C69" w:rsidP="00116173">
      <w:pPr>
        <w:shd w:val="clear" w:color="auto" w:fill="FFFFFF"/>
        <w:spacing w:before="100" w:beforeAutospacing="1" w:after="100" w:afterAutospacing="1" w:line="240" w:lineRule="auto"/>
        <w:rPr>
          <w:rFonts w:ascii="Times New Roman" w:hAnsi="Times New Roman"/>
          <w:sz w:val="19"/>
          <w:lang w:val="en-US"/>
        </w:rPr>
      </w:pPr>
      <w:r>
        <w:rPr>
          <w:rFonts w:ascii="Times New Roman" w:eastAsia="Times New Roman" w:hAnsi="Times New Roman" w:cs="Times New Roman"/>
          <w:sz w:val="24"/>
          <w:szCs w:val="24"/>
          <w:lang w:eastAsia="en-AU"/>
        </w:rPr>
        <w:lastRenderedPageBreak/>
        <w:t>Paragraph</w:t>
      </w:r>
      <w:r w:rsidRPr="00063001">
        <w:rPr>
          <w:rFonts w:ascii="Times New Roman" w:hAnsi="Times New Roman"/>
          <w:sz w:val="24"/>
        </w:rPr>
        <w:t xml:space="preserve"> </w:t>
      </w:r>
      <w:r w:rsidR="0037185E">
        <w:rPr>
          <w:rFonts w:ascii="Times New Roman" w:hAnsi="Times New Roman"/>
          <w:sz w:val="24"/>
        </w:rPr>
        <w:t>30</w:t>
      </w:r>
      <w:r w:rsidR="00AA0095" w:rsidRPr="00063001">
        <w:rPr>
          <w:rFonts w:ascii="Times New Roman" w:hAnsi="Times New Roman"/>
          <w:sz w:val="24"/>
        </w:rPr>
        <w:t xml:space="preserve">(2)(a) specifies information research entities must provide to a contacted person when using authorised unlisted mobile number information for the purpose of conducting research. Research entities must tell the contacted person the entity’s name, the contact details of the entity, the purpose of the research, how the mobile number was obtained, how the entity will use the research information collected, and if asked, how the person can access their personal information. </w:t>
      </w:r>
    </w:p>
    <w:p w14:paraId="6DBA9B4A" w14:textId="0344BD90" w:rsidR="00AA0095" w:rsidRPr="00063001" w:rsidRDefault="00C45C69" w:rsidP="00116173">
      <w:pPr>
        <w:shd w:val="clear" w:color="auto" w:fill="FFFFFF"/>
        <w:spacing w:before="100" w:beforeAutospacing="1" w:after="100" w:afterAutospacing="1" w:line="240" w:lineRule="auto"/>
        <w:rPr>
          <w:rFonts w:ascii="Times New Roman" w:hAnsi="Times New Roman"/>
          <w:sz w:val="19"/>
          <w:lang w:val="en-US"/>
        </w:rPr>
      </w:pPr>
      <w:r>
        <w:rPr>
          <w:rFonts w:ascii="Times New Roman" w:eastAsia="Times New Roman" w:hAnsi="Times New Roman" w:cs="Times New Roman"/>
          <w:sz w:val="24"/>
          <w:szCs w:val="24"/>
          <w:lang w:eastAsia="en-AU"/>
        </w:rPr>
        <w:t>Paragraphs</w:t>
      </w:r>
      <w:r w:rsidR="00AA0095" w:rsidRPr="00063001">
        <w:rPr>
          <w:rFonts w:ascii="Times New Roman" w:hAnsi="Times New Roman"/>
          <w:sz w:val="24"/>
        </w:rPr>
        <w:t xml:space="preserve"> </w:t>
      </w:r>
      <w:r w:rsidR="0037185E">
        <w:rPr>
          <w:rFonts w:ascii="Times New Roman" w:hAnsi="Times New Roman"/>
          <w:sz w:val="24"/>
        </w:rPr>
        <w:t>30</w:t>
      </w:r>
      <w:r w:rsidR="00A238B3">
        <w:rPr>
          <w:rFonts w:ascii="Times New Roman" w:hAnsi="Times New Roman"/>
          <w:sz w:val="24"/>
        </w:rPr>
        <w:t>(2)(b) and</w:t>
      </w:r>
      <w:r w:rsidR="00AA0095" w:rsidRPr="00063001">
        <w:rPr>
          <w:rFonts w:ascii="Times New Roman" w:hAnsi="Times New Roman"/>
          <w:sz w:val="24"/>
        </w:rPr>
        <w:t xml:space="preserve"> (c) require the research entity to confirm that it has the consent of the contacted person in relation to certain matters. Research entities are compelled by the subsections to seek and obtain the contacted person’s consent to use and disclose the research information collected, and inform the contacted person that consent can be withdrawn at any time during the call. </w:t>
      </w:r>
    </w:p>
    <w:p w14:paraId="2AE466D6" w14:textId="681C34D7" w:rsidR="00AA0095" w:rsidRDefault="00C45C69" w:rsidP="00116173">
      <w:pPr>
        <w:shd w:val="clear" w:color="auto" w:fill="FFFFFF"/>
        <w:spacing w:after="100" w:afterAutospacing="1" w:line="240" w:lineRule="auto"/>
        <w:rPr>
          <w:rFonts w:ascii="Times New Roman" w:hAnsi="Times New Roman"/>
          <w:sz w:val="24"/>
        </w:rPr>
      </w:pPr>
      <w:r>
        <w:rPr>
          <w:rFonts w:ascii="Times New Roman" w:eastAsia="Times New Roman" w:hAnsi="Times New Roman" w:cs="Times New Roman"/>
          <w:sz w:val="24"/>
          <w:szCs w:val="24"/>
          <w:lang w:eastAsia="en-AU"/>
        </w:rPr>
        <w:t>Paragraph</w:t>
      </w:r>
      <w:r w:rsidR="00AA0095" w:rsidRPr="00063001">
        <w:rPr>
          <w:rFonts w:ascii="Times New Roman" w:hAnsi="Times New Roman"/>
          <w:sz w:val="24"/>
        </w:rPr>
        <w:t xml:space="preserve"> </w:t>
      </w:r>
      <w:r w:rsidR="0037185E">
        <w:rPr>
          <w:rFonts w:ascii="Times New Roman" w:hAnsi="Times New Roman"/>
          <w:sz w:val="24"/>
        </w:rPr>
        <w:t>30</w:t>
      </w:r>
      <w:r w:rsidR="00AA0095" w:rsidRPr="00063001">
        <w:rPr>
          <w:rFonts w:ascii="Times New Roman" w:hAnsi="Times New Roman"/>
          <w:sz w:val="24"/>
        </w:rPr>
        <w:t xml:space="preserve">(2)(d) and 29(2)(e) require that the research entity give the contacted person any other information required by law (such as under the Privacy Act) and comply with all other applicable laws relating to unsolicited communications. For instance the </w:t>
      </w:r>
      <w:r w:rsidR="00AA0095" w:rsidRPr="00063001">
        <w:rPr>
          <w:rFonts w:ascii="Times New Roman" w:hAnsi="Times New Roman"/>
          <w:i/>
          <w:sz w:val="24"/>
        </w:rPr>
        <w:t>Telecommunications</w:t>
      </w:r>
      <w:r w:rsidR="00AA0095" w:rsidRPr="00063001">
        <w:rPr>
          <w:rFonts w:ascii="Times New Roman" w:hAnsi="Times New Roman"/>
          <w:sz w:val="24"/>
        </w:rPr>
        <w:t xml:space="preserve"> </w:t>
      </w:r>
      <w:r w:rsidR="00AA0095" w:rsidRPr="00063001">
        <w:rPr>
          <w:rFonts w:ascii="Times New Roman" w:hAnsi="Times New Roman"/>
          <w:i/>
          <w:sz w:val="24"/>
        </w:rPr>
        <w:t xml:space="preserve">(Telemarketing and Research Calls) Industry Standard </w:t>
      </w:r>
      <w:r w:rsidR="00AA0095" w:rsidRPr="00261CDF">
        <w:rPr>
          <w:rFonts w:ascii="Times New Roman" w:eastAsia="Times New Roman" w:hAnsi="Times New Roman" w:cs="Times New Roman"/>
          <w:i/>
          <w:iCs/>
          <w:sz w:val="24"/>
          <w:szCs w:val="24"/>
          <w:lang w:eastAsia="en-AU"/>
        </w:rPr>
        <w:t>2017</w:t>
      </w:r>
      <w:r w:rsidR="00AA0095" w:rsidRPr="00063001">
        <w:rPr>
          <w:rFonts w:ascii="Times New Roman" w:hAnsi="Times New Roman"/>
          <w:sz w:val="24"/>
        </w:rPr>
        <w:t xml:space="preserve"> (the Standard) applies to all telemarketing calls, research calls and calls from public interest groups (such as charities, registered political parties and religious organisations) made to Australian numbers - and so will apply to all calls made under a research authorisation.</w:t>
      </w:r>
      <w:r w:rsidR="00AA0095" w:rsidRPr="00063001">
        <w:rPr>
          <w:rFonts w:ascii="Times New Roman" w:hAnsi="Times New Roman"/>
          <w:sz w:val="19"/>
        </w:rPr>
        <w:t xml:space="preserve"> </w:t>
      </w:r>
      <w:r w:rsidR="00AA0095" w:rsidRPr="00063001">
        <w:rPr>
          <w:rFonts w:ascii="Times New Roman" w:hAnsi="Times New Roman"/>
          <w:sz w:val="24"/>
        </w:rPr>
        <w:t>The standard</w:t>
      </w:r>
      <w:r w:rsidR="00AA0095" w:rsidRPr="00063001">
        <w:rPr>
          <w:rFonts w:ascii="Times New Roman" w:hAnsi="Times New Roman"/>
          <w:sz w:val="19"/>
        </w:rPr>
        <w:t xml:space="preserve"> </w:t>
      </w:r>
      <w:r w:rsidR="00AA0095" w:rsidRPr="00063001">
        <w:rPr>
          <w:rFonts w:ascii="Times New Roman" w:hAnsi="Times New Roman"/>
          <w:sz w:val="24"/>
        </w:rPr>
        <w:t>sets the minimum benchmarks for: when research calls can be made</w:t>
      </w:r>
      <w:r w:rsidR="00AA0095" w:rsidRPr="00063001">
        <w:rPr>
          <w:rFonts w:ascii="Times New Roman" w:hAnsi="Times New Roman"/>
          <w:sz w:val="19"/>
        </w:rPr>
        <w:t xml:space="preserve">; </w:t>
      </w:r>
      <w:r w:rsidR="00AA0095" w:rsidRPr="00063001">
        <w:rPr>
          <w:rFonts w:ascii="Times New Roman" w:hAnsi="Times New Roman"/>
          <w:sz w:val="24"/>
        </w:rPr>
        <w:t>information that must be provided during a research call</w:t>
      </w:r>
      <w:r w:rsidR="00AA0095" w:rsidRPr="00063001">
        <w:rPr>
          <w:rFonts w:ascii="Times New Roman" w:hAnsi="Times New Roman"/>
          <w:sz w:val="19"/>
        </w:rPr>
        <w:t xml:space="preserve">; </w:t>
      </w:r>
      <w:r w:rsidR="00AA0095" w:rsidRPr="00063001">
        <w:rPr>
          <w:rFonts w:ascii="Times New Roman" w:hAnsi="Times New Roman"/>
          <w:sz w:val="24"/>
        </w:rPr>
        <w:t>when calls must be terminated; and the use of calling line identification.</w:t>
      </w:r>
    </w:p>
    <w:p w14:paraId="7FDBB63E" w14:textId="27B43D94" w:rsidR="00334D38" w:rsidRPr="00A41B82" w:rsidRDefault="00334D38" w:rsidP="00A41B82">
      <w:pPr>
        <w:pStyle w:val="notetext"/>
        <w:ind w:left="0" w:firstLine="0"/>
        <w:rPr>
          <w:rFonts w:eastAsiaTheme="minorHAnsi" w:cstheme="minorBidi"/>
          <w:sz w:val="24"/>
          <w:szCs w:val="22"/>
          <w:lang w:eastAsia="en-US"/>
        </w:rPr>
      </w:pPr>
      <w:r w:rsidRPr="00A41B82">
        <w:rPr>
          <w:sz w:val="24"/>
          <w:szCs w:val="24"/>
        </w:rPr>
        <w:lastRenderedPageBreak/>
        <w:t>The note accompanyi</w:t>
      </w:r>
      <w:r>
        <w:rPr>
          <w:sz w:val="24"/>
          <w:szCs w:val="24"/>
        </w:rPr>
        <w:t>ng this subsection indicates that f</w:t>
      </w:r>
      <w:r w:rsidRPr="00A41B82">
        <w:rPr>
          <w:sz w:val="24"/>
          <w:szCs w:val="24"/>
        </w:rPr>
        <w:t>or the purposes of paragraph </w:t>
      </w:r>
      <w:r>
        <w:rPr>
          <w:sz w:val="24"/>
          <w:szCs w:val="24"/>
        </w:rPr>
        <w:t>30(2)</w:t>
      </w:r>
      <w:r w:rsidRPr="00A41B82">
        <w:rPr>
          <w:sz w:val="24"/>
          <w:szCs w:val="24"/>
        </w:rPr>
        <w:t xml:space="preserve">(e), </w:t>
      </w:r>
      <w:r>
        <w:rPr>
          <w:sz w:val="24"/>
          <w:szCs w:val="24"/>
        </w:rPr>
        <w:t xml:space="preserve">the following </w:t>
      </w:r>
      <w:r w:rsidRPr="00A41B82">
        <w:rPr>
          <w:sz w:val="24"/>
          <w:szCs w:val="24"/>
        </w:rPr>
        <w:t>applicable laws relating to unsolicited</w:t>
      </w:r>
      <w:r w:rsidRPr="00A41B82">
        <w:rPr>
          <w:rFonts w:eastAsiaTheme="minorHAnsi" w:cstheme="minorBidi"/>
          <w:sz w:val="24"/>
          <w:szCs w:val="22"/>
          <w:lang w:eastAsia="en-US"/>
        </w:rPr>
        <w:t xml:space="preserve"> contact with another person </w:t>
      </w:r>
      <w:r>
        <w:rPr>
          <w:rFonts w:eastAsiaTheme="minorHAnsi" w:cstheme="minorBidi"/>
          <w:sz w:val="24"/>
          <w:szCs w:val="22"/>
          <w:lang w:eastAsia="en-US"/>
        </w:rPr>
        <w:t>apply</w:t>
      </w:r>
      <w:r w:rsidRPr="00A41B82">
        <w:rPr>
          <w:rFonts w:eastAsiaTheme="minorHAnsi" w:cstheme="minorBidi"/>
          <w:sz w:val="24"/>
          <w:szCs w:val="22"/>
          <w:lang w:eastAsia="en-US"/>
        </w:rPr>
        <w:t>:</w:t>
      </w:r>
      <w:r>
        <w:rPr>
          <w:rFonts w:eastAsiaTheme="minorHAnsi" w:cstheme="minorBidi"/>
          <w:sz w:val="24"/>
          <w:szCs w:val="22"/>
          <w:lang w:eastAsia="en-US"/>
        </w:rPr>
        <w:t xml:space="preserve">  </w:t>
      </w:r>
      <w:r w:rsidRPr="00A41B82">
        <w:rPr>
          <w:rFonts w:eastAsiaTheme="minorHAnsi" w:cstheme="minorBidi"/>
          <w:sz w:val="24"/>
          <w:szCs w:val="22"/>
          <w:lang w:eastAsia="en-US"/>
        </w:rPr>
        <w:t xml:space="preserve">the </w:t>
      </w:r>
      <w:r w:rsidRPr="00A41B82">
        <w:rPr>
          <w:rFonts w:eastAsiaTheme="minorHAnsi" w:cstheme="minorBidi"/>
          <w:i/>
          <w:sz w:val="24"/>
          <w:szCs w:val="22"/>
          <w:lang w:eastAsia="en-US"/>
        </w:rPr>
        <w:t>Do Not Call Register Act 2006</w:t>
      </w:r>
      <w:r w:rsidRPr="00A41B82">
        <w:rPr>
          <w:rFonts w:eastAsiaTheme="minorHAnsi" w:cstheme="minorBidi"/>
          <w:sz w:val="24"/>
          <w:szCs w:val="22"/>
          <w:lang w:eastAsia="en-US"/>
        </w:rPr>
        <w:t>;</w:t>
      </w:r>
      <w:r>
        <w:rPr>
          <w:rFonts w:eastAsiaTheme="minorHAnsi" w:cstheme="minorBidi"/>
          <w:sz w:val="24"/>
          <w:szCs w:val="22"/>
          <w:lang w:eastAsia="en-US"/>
        </w:rPr>
        <w:t xml:space="preserve"> </w:t>
      </w:r>
      <w:r w:rsidRPr="00A41B82">
        <w:rPr>
          <w:rFonts w:eastAsiaTheme="minorHAnsi" w:cstheme="minorBidi"/>
          <w:sz w:val="24"/>
          <w:szCs w:val="22"/>
          <w:lang w:eastAsia="en-US"/>
        </w:rPr>
        <w:t xml:space="preserve">the </w:t>
      </w:r>
      <w:r w:rsidRPr="00A41B82">
        <w:rPr>
          <w:rFonts w:eastAsiaTheme="minorHAnsi" w:cstheme="minorBidi"/>
          <w:i/>
          <w:sz w:val="24"/>
          <w:szCs w:val="22"/>
          <w:lang w:eastAsia="en-US"/>
        </w:rPr>
        <w:t>Privacy Act 1988</w:t>
      </w:r>
      <w:r w:rsidRPr="00A41B82">
        <w:rPr>
          <w:rFonts w:eastAsiaTheme="minorHAnsi" w:cstheme="minorBidi"/>
          <w:sz w:val="24"/>
          <w:szCs w:val="22"/>
          <w:lang w:eastAsia="en-US"/>
        </w:rPr>
        <w:t>;</w:t>
      </w:r>
      <w:r>
        <w:rPr>
          <w:rFonts w:eastAsiaTheme="minorHAnsi" w:cstheme="minorBidi"/>
          <w:sz w:val="24"/>
          <w:szCs w:val="22"/>
          <w:lang w:eastAsia="en-US"/>
        </w:rPr>
        <w:t xml:space="preserve"> </w:t>
      </w:r>
      <w:r>
        <w:rPr>
          <w:rFonts w:eastAsiaTheme="minorHAnsi" w:cstheme="minorBidi"/>
          <w:sz w:val="24"/>
          <w:szCs w:val="22"/>
          <w:lang w:eastAsia="en-US"/>
        </w:rPr>
        <w:br/>
        <w:t xml:space="preserve">and </w:t>
      </w:r>
      <w:r w:rsidRPr="00A41B82">
        <w:rPr>
          <w:rFonts w:eastAsiaTheme="minorHAnsi" w:cstheme="minorBidi"/>
          <w:sz w:val="24"/>
          <w:szCs w:val="22"/>
          <w:lang w:eastAsia="en-US"/>
        </w:rPr>
        <w:t xml:space="preserve">the </w:t>
      </w:r>
      <w:r w:rsidRPr="00A41B82">
        <w:rPr>
          <w:rFonts w:eastAsiaTheme="minorHAnsi" w:cstheme="minorBidi"/>
          <w:i/>
          <w:sz w:val="24"/>
          <w:szCs w:val="22"/>
          <w:lang w:eastAsia="en-US"/>
        </w:rPr>
        <w:t>Spam Act 2003</w:t>
      </w:r>
      <w:r w:rsidRPr="00A41B82">
        <w:rPr>
          <w:rFonts w:eastAsiaTheme="minorHAnsi" w:cstheme="minorBidi"/>
          <w:sz w:val="24"/>
          <w:szCs w:val="22"/>
          <w:lang w:eastAsia="en-US"/>
        </w:rPr>
        <w:t>.</w:t>
      </w:r>
    </w:p>
    <w:p w14:paraId="1749EA73" w14:textId="1D24084E" w:rsidR="00AA0095" w:rsidRPr="00382AEA" w:rsidRDefault="00AA0095" w:rsidP="00382AEA">
      <w:pPr>
        <w:shd w:val="clear" w:color="auto" w:fill="FFFFFF"/>
        <w:spacing w:before="100" w:beforeAutospacing="1" w:after="100" w:afterAutospacing="1" w:line="240" w:lineRule="auto"/>
        <w:rPr>
          <w:rFonts w:ascii="Times New Roman" w:hAnsi="Times New Roman"/>
          <w:i/>
          <w:sz w:val="24"/>
        </w:rPr>
      </w:pPr>
      <w:r w:rsidRPr="00063001">
        <w:rPr>
          <w:rFonts w:ascii="Times New Roman" w:hAnsi="Times New Roman"/>
          <w:i/>
          <w:sz w:val="24"/>
        </w:rPr>
        <w:t xml:space="preserve">Contacted </w:t>
      </w:r>
      <w:r w:rsidR="0037185E">
        <w:rPr>
          <w:rFonts w:ascii="Times New Roman" w:hAnsi="Times New Roman"/>
          <w:i/>
          <w:sz w:val="24"/>
        </w:rPr>
        <w:t>p</w:t>
      </w:r>
      <w:r w:rsidRPr="00063001">
        <w:rPr>
          <w:rFonts w:ascii="Times New Roman" w:hAnsi="Times New Roman"/>
          <w:i/>
          <w:sz w:val="24"/>
        </w:rPr>
        <w:t>erson does not consent to the use and disclosure of research information</w:t>
      </w:r>
    </w:p>
    <w:p w14:paraId="09B3F4EE" w14:textId="4D44E4C8"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Th</w:t>
      </w:r>
      <w:r w:rsidR="00CE1C65">
        <w:rPr>
          <w:rFonts w:ascii="Times New Roman" w:hAnsi="Times New Roman"/>
          <w:sz w:val="24"/>
        </w:rPr>
        <w:t>is</w:t>
      </w:r>
      <w:r w:rsidRPr="00063001">
        <w:rPr>
          <w:rFonts w:ascii="Times New Roman" w:hAnsi="Times New Roman"/>
          <w:sz w:val="24"/>
        </w:rPr>
        <w:t xml:space="preserve"> section</w:t>
      </w:r>
      <w:r w:rsidR="00CE1C65">
        <w:rPr>
          <w:rFonts w:ascii="Times New Roman" w:hAnsi="Times New Roman"/>
          <w:sz w:val="24"/>
        </w:rPr>
        <w:t xml:space="preserve"> </w:t>
      </w:r>
      <w:r w:rsidRPr="00063001">
        <w:rPr>
          <w:rFonts w:ascii="Times New Roman" w:hAnsi="Times New Roman"/>
          <w:sz w:val="24"/>
        </w:rPr>
        <w:t>provide</w:t>
      </w:r>
      <w:r w:rsidR="00CE1C65">
        <w:rPr>
          <w:rFonts w:ascii="Times New Roman" w:hAnsi="Times New Roman"/>
          <w:sz w:val="24"/>
        </w:rPr>
        <w:t>s</w:t>
      </w:r>
      <w:r w:rsidRPr="00063001">
        <w:rPr>
          <w:rFonts w:ascii="Times New Roman" w:hAnsi="Times New Roman"/>
          <w:sz w:val="24"/>
        </w:rPr>
        <w:t xml:space="preserve"> that if a contacted person informs the research entity that he or she does not consent or withdraws consent to the use and disclosure of research information during the call, any such information must not be recorded, used or disclosed by the research entity that has made the call (with the exception of making a notice required by subsection 29(3) as outlined below). In addition any research entity covered by the research authorisation must not use the unlisted mobile number information relating to the person. This allows a contacted person to ‘opt out’ of receiving further calls under a s</w:t>
      </w:r>
      <w:r w:rsidR="0043233A">
        <w:rPr>
          <w:rFonts w:ascii="Times New Roman" w:hAnsi="Times New Roman"/>
          <w:sz w:val="24"/>
        </w:rPr>
        <w:t>pecific research authorisation.</w:t>
      </w:r>
    </w:p>
    <w:p w14:paraId="57C7F5F2" w14:textId="25C092B9"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 xml:space="preserve">Subsections </w:t>
      </w:r>
      <w:r w:rsidR="0037185E">
        <w:rPr>
          <w:rFonts w:ascii="Times New Roman" w:hAnsi="Times New Roman"/>
          <w:sz w:val="24"/>
        </w:rPr>
        <w:t>30</w:t>
      </w:r>
      <w:r w:rsidRPr="00063001">
        <w:rPr>
          <w:rFonts w:ascii="Times New Roman" w:hAnsi="Times New Roman"/>
          <w:sz w:val="24"/>
        </w:rPr>
        <w:t xml:space="preserve">(3) and </w:t>
      </w:r>
      <w:r w:rsidR="0037185E">
        <w:rPr>
          <w:rFonts w:ascii="Times New Roman" w:hAnsi="Times New Roman"/>
          <w:sz w:val="24"/>
        </w:rPr>
        <w:t>30</w:t>
      </w:r>
      <w:r w:rsidRPr="00063001">
        <w:rPr>
          <w:rFonts w:ascii="Times New Roman" w:hAnsi="Times New Roman"/>
          <w:sz w:val="24"/>
        </w:rPr>
        <w:t xml:space="preserve">(4) also detail further steps that a research entity must take if a contacted person does not consent or withdraws consent. Under subparagraph </w:t>
      </w:r>
      <w:r w:rsidR="0037185E">
        <w:rPr>
          <w:rFonts w:ascii="Times New Roman" w:hAnsi="Times New Roman"/>
          <w:sz w:val="24"/>
        </w:rPr>
        <w:t>30</w:t>
      </w:r>
      <w:r w:rsidRPr="00063001">
        <w:rPr>
          <w:rFonts w:ascii="Times New Roman" w:hAnsi="Times New Roman"/>
          <w:sz w:val="24"/>
        </w:rPr>
        <w:t xml:space="preserve">(3)(c)(i), the entity must take all reasonable steps to destroy any research information that the entity has relating to the person within 10 business days after the person informs the entity that they do not consent or has withdrawn consent. Under subparagraph </w:t>
      </w:r>
      <w:r w:rsidR="0037185E">
        <w:rPr>
          <w:rFonts w:ascii="Times New Roman" w:hAnsi="Times New Roman"/>
          <w:sz w:val="24"/>
        </w:rPr>
        <w:t>30</w:t>
      </w:r>
      <w:r w:rsidRPr="00063001">
        <w:rPr>
          <w:rFonts w:ascii="Times New Roman" w:hAnsi="Times New Roman"/>
          <w:sz w:val="24"/>
        </w:rPr>
        <w:t xml:space="preserve">(3)(c)(ii), the entity is also required to notify any other authorised research entities covered by </w:t>
      </w:r>
      <w:r w:rsidRPr="00063001">
        <w:rPr>
          <w:rFonts w:ascii="Times New Roman" w:hAnsi="Times New Roman"/>
          <w:sz w:val="24"/>
        </w:rPr>
        <w:lastRenderedPageBreak/>
        <w:t>the authorisation that the authorised unlisted mobile number information relating to the person must not be used.</w:t>
      </w:r>
    </w:p>
    <w:p w14:paraId="2D333A8E" w14:textId="39368E17" w:rsidR="00AA0095" w:rsidRDefault="00AA0095" w:rsidP="00116173">
      <w:pPr>
        <w:shd w:val="clear" w:color="auto" w:fill="FFFFFF"/>
        <w:spacing w:before="100" w:beforeAutospacing="1" w:after="100" w:afterAutospacing="1" w:line="240" w:lineRule="auto"/>
        <w:rPr>
          <w:rFonts w:ascii="Times New Roman" w:hAnsi="Times New Roman"/>
          <w:sz w:val="24"/>
        </w:rPr>
      </w:pPr>
      <w:r w:rsidRPr="00063001">
        <w:rPr>
          <w:rFonts w:ascii="Times New Roman" w:hAnsi="Times New Roman"/>
          <w:sz w:val="24"/>
        </w:rPr>
        <w:t xml:space="preserve">Subsection </w:t>
      </w:r>
      <w:r w:rsidR="0037185E">
        <w:rPr>
          <w:rFonts w:ascii="Times New Roman" w:hAnsi="Times New Roman"/>
          <w:sz w:val="24"/>
        </w:rPr>
        <w:t>30</w:t>
      </w:r>
      <w:r w:rsidRPr="00063001">
        <w:rPr>
          <w:rFonts w:ascii="Times New Roman" w:hAnsi="Times New Roman"/>
          <w:sz w:val="24"/>
        </w:rPr>
        <w:t xml:space="preserve">(4) requires that where a research entity is notified that authorised unlisted mobile number information relating to a contacted person must not be used (pursuant to subparagraph </w:t>
      </w:r>
      <w:r w:rsidR="0037185E">
        <w:rPr>
          <w:rFonts w:ascii="Times New Roman" w:hAnsi="Times New Roman"/>
          <w:sz w:val="24"/>
        </w:rPr>
        <w:t>30</w:t>
      </w:r>
      <w:r w:rsidRPr="00063001">
        <w:rPr>
          <w:rFonts w:ascii="Times New Roman" w:hAnsi="Times New Roman"/>
          <w:sz w:val="24"/>
        </w:rPr>
        <w:t>(3)(c)(ii)), the entity must not use the unlisted mobile number information relating to the contacted person. That is, the entity must not make contact with the person using the unlisted mobile number information subsequent to that entity receiving the notice under the relevant research authorisation.</w:t>
      </w:r>
    </w:p>
    <w:p w14:paraId="0A9E2D66" w14:textId="6F29AE13" w:rsidR="0037185E" w:rsidRPr="00A41B82" w:rsidRDefault="0037185E" w:rsidP="00116173">
      <w:pPr>
        <w:shd w:val="clear" w:color="auto" w:fill="FFFFFF"/>
        <w:spacing w:before="100" w:beforeAutospacing="1" w:after="100" w:afterAutospacing="1" w:line="240" w:lineRule="auto"/>
        <w:rPr>
          <w:rFonts w:ascii="Times New Roman" w:hAnsi="Times New Roman"/>
          <w:i/>
          <w:sz w:val="24"/>
        </w:rPr>
      </w:pPr>
      <w:r w:rsidRPr="00A41B82">
        <w:rPr>
          <w:rFonts w:ascii="Times New Roman" w:hAnsi="Times New Roman"/>
          <w:i/>
          <w:sz w:val="24"/>
        </w:rPr>
        <w:t>Internal dispute procedures</w:t>
      </w:r>
    </w:p>
    <w:p w14:paraId="215A13CF" w14:textId="25FF48EF"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 xml:space="preserve">Subsections </w:t>
      </w:r>
      <w:r w:rsidR="0037185E">
        <w:rPr>
          <w:rFonts w:ascii="Times New Roman" w:hAnsi="Times New Roman"/>
          <w:sz w:val="24"/>
        </w:rPr>
        <w:t>30</w:t>
      </w:r>
      <w:r w:rsidRPr="00063001">
        <w:rPr>
          <w:rFonts w:ascii="Times New Roman" w:hAnsi="Times New Roman"/>
          <w:sz w:val="24"/>
        </w:rPr>
        <w:t xml:space="preserve">(5) and (6) stipulate the internal dispute resolution procedures that research entities must have in place to deal with inquiries or complaints about the use or disclosure research information relating to a person. If a contacted person makes a complaint, research entities must inform account holders that they have the option to refer their complaint to the ACMA, and provide the account holder with the ACMA’s contact information. The research entity is also obliged to provide reasonable assistance to the ACMA in relation to any such complaint if </w:t>
      </w:r>
      <w:r w:rsidR="0043233A">
        <w:rPr>
          <w:rFonts w:ascii="Times New Roman" w:hAnsi="Times New Roman"/>
          <w:sz w:val="24"/>
        </w:rPr>
        <w:t>requested to do so by the ACMA.</w:t>
      </w:r>
    </w:p>
    <w:p w14:paraId="17B6A4D9" w14:textId="1F266BCA" w:rsidR="00AA0095" w:rsidRPr="00063001" w:rsidRDefault="00AA0095" w:rsidP="0043233A">
      <w:pPr>
        <w:pStyle w:val="ActHead5"/>
        <w:rPr>
          <w:sz w:val="19"/>
          <w:lang w:val="en-US"/>
        </w:rPr>
      </w:pPr>
      <w:r w:rsidRPr="00063001">
        <w:t>Section 3</w:t>
      </w:r>
      <w:r w:rsidR="0037185E">
        <w:t>1</w:t>
      </w:r>
      <w:r w:rsidRPr="00063001">
        <w:t xml:space="preserve"> – Dis</w:t>
      </w:r>
      <w:r w:rsidR="0043233A">
        <w:t>closure of research information</w:t>
      </w:r>
    </w:p>
    <w:p w14:paraId="54DED898" w14:textId="313EEA67"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Section 3</w:t>
      </w:r>
      <w:r w:rsidR="0037185E">
        <w:rPr>
          <w:rFonts w:ascii="Times New Roman" w:hAnsi="Times New Roman"/>
          <w:sz w:val="24"/>
        </w:rPr>
        <w:t>1</w:t>
      </w:r>
      <w:r w:rsidRPr="00063001">
        <w:rPr>
          <w:rFonts w:ascii="Times New Roman" w:hAnsi="Times New Roman"/>
          <w:sz w:val="24"/>
        </w:rPr>
        <w:t xml:space="preserve"> deals with the disc</w:t>
      </w:r>
      <w:r w:rsidR="0043233A">
        <w:rPr>
          <w:rFonts w:ascii="Times New Roman" w:hAnsi="Times New Roman"/>
          <w:sz w:val="24"/>
        </w:rPr>
        <w:t>losure of research information.</w:t>
      </w:r>
    </w:p>
    <w:p w14:paraId="04282F2A" w14:textId="12C7592A"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lastRenderedPageBreak/>
        <w:t>Subsection 3</w:t>
      </w:r>
      <w:r w:rsidR="0037185E">
        <w:rPr>
          <w:rFonts w:ascii="Times New Roman" w:hAnsi="Times New Roman"/>
          <w:sz w:val="24"/>
        </w:rPr>
        <w:t>1</w:t>
      </w:r>
      <w:r w:rsidRPr="00063001">
        <w:rPr>
          <w:rFonts w:ascii="Times New Roman" w:hAnsi="Times New Roman"/>
          <w:sz w:val="24"/>
        </w:rPr>
        <w:t>(1) establishes a general prohibition on the disclosure of research information relating to a contacted person by an authorised research entity unless the disclosure is permitted by subsections 3</w:t>
      </w:r>
      <w:r w:rsidR="0037185E">
        <w:rPr>
          <w:rFonts w:ascii="Times New Roman" w:hAnsi="Times New Roman"/>
          <w:sz w:val="24"/>
        </w:rPr>
        <w:t>1</w:t>
      </w:r>
      <w:r w:rsidRPr="00063001">
        <w:rPr>
          <w:rFonts w:ascii="Times New Roman" w:hAnsi="Times New Roman"/>
          <w:sz w:val="24"/>
        </w:rPr>
        <w:t>(2) and 3</w:t>
      </w:r>
      <w:r w:rsidR="0037185E">
        <w:rPr>
          <w:rFonts w:ascii="Times New Roman" w:hAnsi="Times New Roman"/>
          <w:sz w:val="24"/>
        </w:rPr>
        <w:t>1</w:t>
      </w:r>
      <w:r w:rsidRPr="00063001">
        <w:rPr>
          <w:rFonts w:ascii="Times New Roman" w:hAnsi="Times New Roman"/>
          <w:sz w:val="24"/>
        </w:rPr>
        <w:t>(3), or the disclosure is otherwise authorised or required by law. The prohibition in this provision has effect while an entity is covered by a research authorisation. As the note after subsection 3</w:t>
      </w:r>
      <w:r w:rsidR="0037185E">
        <w:rPr>
          <w:rFonts w:ascii="Times New Roman" w:hAnsi="Times New Roman"/>
          <w:sz w:val="24"/>
        </w:rPr>
        <w:t>1</w:t>
      </w:r>
      <w:r w:rsidRPr="00063001">
        <w:rPr>
          <w:rFonts w:ascii="Times New Roman" w:hAnsi="Times New Roman"/>
          <w:sz w:val="24"/>
        </w:rPr>
        <w:t>(1) indicates, section 4</w:t>
      </w:r>
      <w:r w:rsidR="0037185E">
        <w:rPr>
          <w:rFonts w:ascii="Times New Roman" w:hAnsi="Times New Roman"/>
          <w:sz w:val="24"/>
        </w:rPr>
        <w:t>1</w:t>
      </w:r>
      <w:r w:rsidRPr="00063001">
        <w:rPr>
          <w:rFonts w:ascii="Times New Roman" w:hAnsi="Times New Roman"/>
          <w:sz w:val="24"/>
        </w:rPr>
        <w:t xml:space="preserve"> deals with the recording, use and disclosure of research information after the authorisation ends or the entity is removed from the authorisation.</w:t>
      </w:r>
    </w:p>
    <w:p w14:paraId="14A61FF9" w14:textId="04B46725"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Subsection 3</w:t>
      </w:r>
      <w:r w:rsidR="0037185E">
        <w:rPr>
          <w:rFonts w:ascii="Times New Roman" w:hAnsi="Times New Roman"/>
          <w:sz w:val="24"/>
        </w:rPr>
        <w:t>1</w:t>
      </w:r>
      <w:r w:rsidRPr="00063001">
        <w:rPr>
          <w:rFonts w:ascii="Times New Roman" w:hAnsi="Times New Roman"/>
          <w:sz w:val="24"/>
        </w:rPr>
        <w:t xml:space="preserve">(2) allows a research entity to disclose research information relating to a contacted person to the entity’s research employees. </w:t>
      </w:r>
    </w:p>
    <w:p w14:paraId="44255266" w14:textId="17E5A37A"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Subsection 3</w:t>
      </w:r>
      <w:r w:rsidR="0037185E">
        <w:rPr>
          <w:rFonts w:ascii="Times New Roman" w:hAnsi="Times New Roman"/>
          <w:sz w:val="24"/>
        </w:rPr>
        <w:t>1</w:t>
      </w:r>
      <w:r w:rsidRPr="00063001">
        <w:rPr>
          <w:rFonts w:ascii="Times New Roman" w:hAnsi="Times New Roman"/>
          <w:sz w:val="24"/>
        </w:rPr>
        <w:t>(3) allows the disclosure of research information where it is de</w:t>
      </w:r>
      <w:r w:rsidRPr="00063001">
        <w:rPr>
          <w:rFonts w:ascii="Times New Roman" w:hAnsi="Times New Roman"/>
          <w:sz w:val="24"/>
        </w:rPr>
        <w:noBreakHyphen/>
        <w:t>identified and does not include the person’s public number. The intention of this subsection is to allow for the disclosure of research information to those entities covered by the research authorisation and also more broadly to entities outside of the research authorisation. For instance, the subsection will allow for the publication of a report or a media release about the research, so long as the research information is de</w:t>
      </w:r>
      <w:r w:rsidRPr="00063001">
        <w:rPr>
          <w:rFonts w:ascii="Times New Roman" w:hAnsi="Times New Roman"/>
          <w:sz w:val="24"/>
        </w:rPr>
        <w:noBreakHyphen/>
        <w:t xml:space="preserve">identified information and does not contain the public numbers of contacted persons. Similarly, the disclosure of a de-identified dataset to an entity not covered by the research authorisation for a different or subsequent purpose would be permissible. </w:t>
      </w:r>
    </w:p>
    <w:p w14:paraId="66D6DCB5" w14:textId="0823A78F"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lastRenderedPageBreak/>
        <w:t>However, research entities who are involuntarily removed from a researc</w:t>
      </w:r>
      <w:r w:rsidR="00E76600">
        <w:rPr>
          <w:rFonts w:ascii="Times New Roman" w:hAnsi="Times New Roman"/>
          <w:sz w:val="24"/>
        </w:rPr>
        <w:t xml:space="preserve">h authorisation (pursuant to </w:t>
      </w:r>
      <w:r w:rsidRPr="00063001">
        <w:rPr>
          <w:rFonts w:ascii="Times New Roman" w:hAnsi="Times New Roman"/>
          <w:sz w:val="24"/>
        </w:rPr>
        <w:t xml:space="preserve">section </w:t>
      </w:r>
      <w:r w:rsidR="0037185E">
        <w:rPr>
          <w:rFonts w:ascii="Times New Roman" w:hAnsi="Times New Roman"/>
          <w:sz w:val="24"/>
        </w:rPr>
        <w:t>30</w:t>
      </w:r>
      <w:r w:rsidRPr="00063001">
        <w:rPr>
          <w:rFonts w:ascii="Times New Roman" w:hAnsi="Times New Roman"/>
          <w:sz w:val="24"/>
        </w:rPr>
        <w:t>), will not be permitted to</w:t>
      </w:r>
      <w:r w:rsidRPr="00063001">
        <w:rPr>
          <w:rFonts w:ascii="Times New Roman" w:hAnsi="Times New Roman"/>
          <w:sz w:val="19"/>
        </w:rPr>
        <w:t xml:space="preserve"> </w:t>
      </w:r>
      <w:r w:rsidRPr="00063001">
        <w:rPr>
          <w:rFonts w:ascii="Times New Roman" w:hAnsi="Times New Roman"/>
          <w:sz w:val="24"/>
        </w:rPr>
        <w:t>make a record of, use, or disclose any research information that they have collected, and will be required to destroy</w:t>
      </w:r>
      <w:r w:rsidR="00E76600">
        <w:rPr>
          <w:rFonts w:ascii="Times New Roman" w:hAnsi="Times New Roman"/>
          <w:sz w:val="24"/>
        </w:rPr>
        <w:t xml:space="preserve"> that information (see below </w:t>
      </w:r>
      <w:r w:rsidRPr="00063001">
        <w:rPr>
          <w:rFonts w:ascii="Times New Roman" w:hAnsi="Times New Roman"/>
          <w:sz w:val="24"/>
        </w:rPr>
        <w:t>section 4</w:t>
      </w:r>
      <w:r w:rsidR="0037185E">
        <w:rPr>
          <w:rFonts w:ascii="Times New Roman" w:hAnsi="Times New Roman"/>
          <w:sz w:val="24"/>
        </w:rPr>
        <w:t>1</w:t>
      </w:r>
      <w:r w:rsidRPr="00063001">
        <w:rPr>
          <w:rFonts w:ascii="Times New Roman" w:hAnsi="Times New Roman"/>
          <w:sz w:val="24"/>
        </w:rPr>
        <w:t>). This provision is designed to encourage research entities not to breach authorisation conditions.</w:t>
      </w:r>
    </w:p>
    <w:p w14:paraId="5BDDFACC" w14:textId="170B2BC8"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Subsection 3</w:t>
      </w:r>
      <w:r w:rsidR="0037185E">
        <w:rPr>
          <w:rFonts w:ascii="Times New Roman" w:hAnsi="Times New Roman"/>
          <w:sz w:val="24"/>
        </w:rPr>
        <w:t>1</w:t>
      </w:r>
      <w:r w:rsidRPr="00063001">
        <w:rPr>
          <w:rFonts w:ascii="Times New Roman" w:hAnsi="Times New Roman"/>
          <w:sz w:val="24"/>
        </w:rPr>
        <w:t>(4) provides that section 3</w:t>
      </w:r>
      <w:r w:rsidR="0037185E">
        <w:rPr>
          <w:rFonts w:ascii="Times New Roman" w:hAnsi="Times New Roman"/>
          <w:sz w:val="24"/>
        </w:rPr>
        <w:t>1</w:t>
      </w:r>
      <w:r w:rsidRPr="00063001">
        <w:rPr>
          <w:rFonts w:ascii="Times New Roman" w:hAnsi="Times New Roman"/>
          <w:sz w:val="24"/>
        </w:rPr>
        <w:t xml:space="preserve"> is subject to subsection </w:t>
      </w:r>
      <w:r w:rsidR="0037185E">
        <w:rPr>
          <w:rFonts w:ascii="Times New Roman" w:hAnsi="Times New Roman"/>
          <w:sz w:val="24"/>
        </w:rPr>
        <w:t>30</w:t>
      </w:r>
      <w:r w:rsidRPr="00063001">
        <w:rPr>
          <w:rFonts w:ascii="Times New Roman" w:hAnsi="Times New Roman"/>
          <w:sz w:val="24"/>
        </w:rPr>
        <w:t>(3). The note after subsection 3</w:t>
      </w:r>
      <w:r w:rsidR="0037185E">
        <w:rPr>
          <w:rFonts w:ascii="Times New Roman" w:hAnsi="Times New Roman"/>
          <w:sz w:val="24"/>
        </w:rPr>
        <w:t>1</w:t>
      </w:r>
      <w:r w:rsidRPr="00063001">
        <w:rPr>
          <w:rFonts w:ascii="Times New Roman" w:hAnsi="Times New Roman"/>
          <w:sz w:val="24"/>
        </w:rPr>
        <w:t xml:space="preserve">(4) indicates that subsection </w:t>
      </w:r>
      <w:r w:rsidR="0037185E">
        <w:rPr>
          <w:rFonts w:ascii="Times New Roman" w:hAnsi="Times New Roman"/>
          <w:sz w:val="24"/>
        </w:rPr>
        <w:t>30</w:t>
      </w:r>
      <w:r w:rsidRPr="00063001">
        <w:rPr>
          <w:rFonts w:ascii="Times New Roman" w:hAnsi="Times New Roman"/>
          <w:sz w:val="24"/>
        </w:rPr>
        <w:t>(3) provides that an authorised research entity must not record, use or disclose research information relating to a contacted person if the person does not consent, or withdraws consent, to the use and disclosure of that information.</w:t>
      </w:r>
    </w:p>
    <w:p w14:paraId="6DEB454A" w14:textId="229B4537" w:rsidR="00AA0095" w:rsidRPr="00063001" w:rsidRDefault="00AA0095" w:rsidP="0043233A">
      <w:pPr>
        <w:pStyle w:val="ActHead5"/>
        <w:rPr>
          <w:sz w:val="19"/>
          <w:lang w:val="en-US"/>
        </w:rPr>
      </w:pPr>
      <w:r w:rsidRPr="00063001">
        <w:t xml:space="preserve">Section </w:t>
      </w:r>
      <w:r w:rsidR="00691EDE">
        <w:t>32</w:t>
      </w:r>
      <w:r w:rsidR="00691EDE" w:rsidRPr="00063001">
        <w:t xml:space="preserve"> </w:t>
      </w:r>
      <w:r w:rsidRPr="00063001">
        <w:t>– Technical system for receiving authorised unlisted mobile number information</w:t>
      </w:r>
    </w:p>
    <w:p w14:paraId="75CE1846" w14:textId="58DDF735" w:rsidR="00AA0095" w:rsidRPr="00063001" w:rsidRDefault="00AA0095" w:rsidP="00116173">
      <w:pPr>
        <w:shd w:val="clear" w:color="auto" w:fill="FFFFFF"/>
        <w:spacing w:before="100" w:beforeAutospacing="1" w:after="100" w:afterAutospacing="1" w:line="240" w:lineRule="auto"/>
        <w:rPr>
          <w:rFonts w:ascii="Times New Roman" w:hAnsi="Times New Roman"/>
          <w:sz w:val="24"/>
        </w:rPr>
      </w:pPr>
      <w:r w:rsidRPr="00063001">
        <w:rPr>
          <w:rFonts w:ascii="Times New Roman" w:hAnsi="Times New Roman"/>
          <w:sz w:val="24"/>
        </w:rPr>
        <w:t>Section 3</w:t>
      </w:r>
      <w:r w:rsidR="00691EDE">
        <w:rPr>
          <w:rFonts w:ascii="Times New Roman" w:hAnsi="Times New Roman"/>
          <w:sz w:val="24"/>
        </w:rPr>
        <w:t>2</w:t>
      </w:r>
      <w:r w:rsidRPr="00063001">
        <w:rPr>
          <w:rFonts w:ascii="Times New Roman" w:hAnsi="Times New Roman"/>
          <w:sz w:val="24"/>
        </w:rPr>
        <w:t xml:space="preserve"> requires that research entities must have technical systems in place to receive authorised unlisted mobile information that accords with Telstra’s technical methods. A specification by Telstra of a technical method (if done by instrument) is not a legislative instrument.</w:t>
      </w:r>
      <w:r w:rsidR="00373A1C" w:rsidRPr="00063001">
        <w:rPr>
          <w:rFonts w:ascii="Times New Roman" w:hAnsi="Times New Roman"/>
          <w:sz w:val="24"/>
        </w:rPr>
        <w:t xml:space="preserve"> </w:t>
      </w:r>
      <w:r w:rsidR="00373A1C">
        <w:rPr>
          <w:rFonts w:ascii="Times New Roman" w:eastAsia="Times New Roman" w:hAnsi="Times New Roman" w:cs="Times New Roman"/>
          <w:sz w:val="24"/>
          <w:szCs w:val="24"/>
          <w:lang w:eastAsia="en-AU"/>
        </w:rPr>
        <w:t xml:space="preserve"> T</w:t>
      </w:r>
      <w:r w:rsidR="00373A1C" w:rsidRPr="00373A1C">
        <w:rPr>
          <w:rFonts w:ascii="Times New Roman" w:eastAsia="Times New Roman" w:hAnsi="Times New Roman" w:cs="Times New Roman"/>
          <w:sz w:val="24"/>
          <w:szCs w:val="24"/>
          <w:lang w:eastAsia="en-AU"/>
        </w:rPr>
        <w:t xml:space="preserve">he specification by Telstra of a technical method (if done by instrument) </w:t>
      </w:r>
      <w:r w:rsidR="00373A1C">
        <w:rPr>
          <w:rFonts w:ascii="Times New Roman" w:eastAsia="Times New Roman" w:hAnsi="Times New Roman" w:cs="Times New Roman"/>
          <w:sz w:val="24"/>
          <w:szCs w:val="24"/>
          <w:lang w:eastAsia="en-AU"/>
        </w:rPr>
        <w:t xml:space="preserve">would </w:t>
      </w:r>
      <w:r w:rsidR="00373A1C" w:rsidRPr="00373A1C">
        <w:rPr>
          <w:rFonts w:ascii="Times New Roman" w:eastAsia="Times New Roman" w:hAnsi="Times New Roman" w:cs="Times New Roman"/>
          <w:sz w:val="24"/>
          <w:szCs w:val="24"/>
          <w:lang w:eastAsia="en-AU"/>
        </w:rPr>
        <w:t xml:space="preserve">not </w:t>
      </w:r>
      <w:r w:rsidR="00373A1C">
        <w:rPr>
          <w:rFonts w:ascii="Times New Roman" w:eastAsia="Times New Roman" w:hAnsi="Times New Roman" w:cs="Times New Roman"/>
          <w:sz w:val="24"/>
          <w:szCs w:val="24"/>
          <w:lang w:eastAsia="en-AU"/>
        </w:rPr>
        <w:t xml:space="preserve">be </w:t>
      </w:r>
      <w:r w:rsidR="00373A1C" w:rsidRPr="00373A1C">
        <w:rPr>
          <w:rFonts w:ascii="Times New Roman" w:eastAsia="Times New Roman" w:hAnsi="Times New Roman" w:cs="Times New Roman"/>
          <w:sz w:val="24"/>
          <w:szCs w:val="24"/>
          <w:lang w:eastAsia="en-AU"/>
        </w:rPr>
        <w:t xml:space="preserve">a legislative instrument (see item 5 of the table in subsection 6(1) of the </w:t>
      </w:r>
      <w:r w:rsidR="00373A1C" w:rsidRPr="00373A1C">
        <w:rPr>
          <w:rFonts w:ascii="Times New Roman" w:eastAsia="Times New Roman" w:hAnsi="Times New Roman" w:cs="Times New Roman"/>
          <w:i/>
          <w:sz w:val="24"/>
          <w:szCs w:val="24"/>
          <w:lang w:eastAsia="en-AU"/>
        </w:rPr>
        <w:t>Legislation (Exemptions and Other Matters) Regulation 2015</w:t>
      </w:r>
      <w:r w:rsidR="006B558D">
        <w:rPr>
          <w:rFonts w:ascii="Times New Roman" w:eastAsia="Times New Roman" w:hAnsi="Times New Roman" w:cs="Times New Roman"/>
          <w:sz w:val="24"/>
          <w:szCs w:val="24"/>
          <w:lang w:eastAsia="en-AU"/>
        </w:rPr>
        <w:t>).</w:t>
      </w:r>
      <w:r w:rsidRPr="00261CDF">
        <w:rPr>
          <w:rFonts w:ascii="Times New Roman" w:eastAsia="Times New Roman" w:hAnsi="Times New Roman" w:cs="Times New Roman"/>
          <w:sz w:val="24"/>
          <w:szCs w:val="24"/>
          <w:lang w:eastAsia="en-AU"/>
        </w:rPr>
        <w:t xml:space="preserve"> </w:t>
      </w:r>
    </w:p>
    <w:p w14:paraId="7E8620F3" w14:textId="5661833F" w:rsidR="00AA0095" w:rsidRPr="00063001" w:rsidRDefault="00AA0095" w:rsidP="0043233A">
      <w:pPr>
        <w:pStyle w:val="ActHead5"/>
        <w:rPr>
          <w:sz w:val="19"/>
          <w:lang w:val="en-US"/>
        </w:rPr>
      </w:pPr>
      <w:r w:rsidRPr="00063001">
        <w:t>Section 3</w:t>
      </w:r>
      <w:r w:rsidR="00691EDE">
        <w:t>3</w:t>
      </w:r>
      <w:r w:rsidRPr="00063001">
        <w:t xml:space="preserve"> – Compliance with the Act</w:t>
      </w:r>
    </w:p>
    <w:p w14:paraId="7AAAFD4A" w14:textId="17FB0BBF"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Section 3</w:t>
      </w:r>
      <w:r w:rsidR="00691EDE">
        <w:rPr>
          <w:rFonts w:ascii="Times New Roman" w:hAnsi="Times New Roman"/>
          <w:sz w:val="24"/>
        </w:rPr>
        <w:t>3</w:t>
      </w:r>
      <w:r w:rsidRPr="00063001">
        <w:rPr>
          <w:rFonts w:ascii="Times New Roman" w:hAnsi="Times New Roman"/>
          <w:sz w:val="24"/>
        </w:rPr>
        <w:t xml:space="preserve"> requires that research entities are subject to any requirements imposed by the </w:t>
      </w:r>
      <w:r w:rsidR="000501F2">
        <w:rPr>
          <w:rFonts w:ascii="Times New Roman" w:eastAsia="Times New Roman" w:hAnsi="Times New Roman" w:cs="Times New Roman"/>
          <w:sz w:val="24"/>
          <w:szCs w:val="24"/>
          <w:lang w:eastAsia="en-AU"/>
        </w:rPr>
        <w:t>Act</w:t>
      </w:r>
      <w:r w:rsidR="000501F2" w:rsidRPr="00063001">
        <w:rPr>
          <w:rFonts w:ascii="Times New Roman" w:hAnsi="Times New Roman"/>
          <w:sz w:val="24"/>
        </w:rPr>
        <w:t xml:space="preserve"> </w:t>
      </w:r>
      <w:r w:rsidRPr="00063001">
        <w:rPr>
          <w:rFonts w:ascii="Times New Roman" w:hAnsi="Times New Roman"/>
          <w:sz w:val="24"/>
        </w:rPr>
        <w:t>and legisl</w:t>
      </w:r>
      <w:r w:rsidR="0043233A">
        <w:rPr>
          <w:rFonts w:ascii="Times New Roman" w:hAnsi="Times New Roman"/>
          <w:sz w:val="24"/>
        </w:rPr>
        <w:t>ative instruments made under the</w:t>
      </w:r>
      <w:r w:rsidRPr="00063001">
        <w:rPr>
          <w:rFonts w:ascii="Times New Roman" w:hAnsi="Times New Roman"/>
          <w:sz w:val="24"/>
        </w:rPr>
        <w:t xml:space="preserve"> Act.</w:t>
      </w:r>
    </w:p>
    <w:p w14:paraId="0CC3F932" w14:textId="5F4BB270" w:rsidR="00AA0095" w:rsidRPr="00063001" w:rsidRDefault="00AA0095" w:rsidP="0043233A">
      <w:pPr>
        <w:pStyle w:val="ActHead5"/>
        <w:rPr>
          <w:sz w:val="19"/>
          <w:lang w:val="en-US"/>
        </w:rPr>
      </w:pPr>
      <w:r w:rsidRPr="00063001">
        <w:lastRenderedPageBreak/>
        <w:t>Section 3</w:t>
      </w:r>
      <w:r w:rsidR="00691EDE">
        <w:t>4</w:t>
      </w:r>
      <w:r w:rsidRPr="00063001">
        <w:t xml:space="preserve"> – Employees of the authorised research entity</w:t>
      </w:r>
    </w:p>
    <w:p w14:paraId="553BA9A3" w14:textId="76095823"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Section 3</w:t>
      </w:r>
      <w:r w:rsidR="00691EDE">
        <w:rPr>
          <w:rFonts w:ascii="Times New Roman" w:hAnsi="Times New Roman"/>
          <w:sz w:val="24"/>
        </w:rPr>
        <w:t>4</w:t>
      </w:r>
      <w:r w:rsidRPr="00063001">
        <w:rPr>
          <w:rFonts w:ascii="Times New Roman" w:hAnsi="Times New Roman"/>
          <w:sz w:val="24"/>
        </w:rPr>
        <w:t xml:space="preserve"> requires research entities to take all reasonable steps to ensure that their employees are made aware of research authorisation conditions and cooperate with the research entity in complying with those conditions. If the entity’s employee becomes aware of an act or omission that would result in a breach of a condition, the employee is required to notify the entity in writing as soon as reasonably practicable. </w:t>
      </w:r>
      <w:bookmarkStart w:id="11" w:name="_Toc509412372"/>
      <w:r w:rsidRPr="00063001">
        <w:rPr>
          <w:rFonts w:ascii="Times New Roman" w:hAnsi="Times New Roman"/>
          <w:sz w:val="24"/>
        </w:rPr>
        <w:t xml:space="preserve">If an employee becomes aware of an act or omission by another entity covered by the research authorisation that would result in a contravention, the employee would have an obligation to notify their employer.  </w:t>
      </w:r>
      <w:bookmarkEnd w:id="11"/>
    </w:p>
    <w:p w14:paraId="6CE7AE13" w14:textId="5F8734AB" w:rsidR="00AA0095" w:rsidRPr="00063001" w:rsidRDefault="00AA0095" w:rsidP="0043233A">
      <w:pPr>
        <w:pStyle w:val="ActHead5"/>
        <w:rPr>
          <w:sz w:val="19"/>
          <w:lang w:val="en-US"/>
        </w:rPr>
      </w:pPr>
      <w:r w:rsidRPr="00063001">
        <w:t>Section 3</w:t>
      </w:r>
      <w:r w:rsidR="00691EDE">
        <w:t>5</w:t>
      </w:r>
      <w:r w:rsidRPr="00063001">
        <w:t xml:space="preserve"> – Contravention of authorisation conditions</w:t>
      </w:r>
    </w:p>
    <w:p w14:paraId="0F0E0345" w14:textId="2A8DABC9"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Section 3</w:t>
      </w:r>
      <w:r w:rsidR="00691EDE">
        <w:rPr>
          <w:rFonts w:ascii="Times New Roman" w:hAnsi="Times New Roman"/>
          <w:sz w:val="24"/>
        </w:rPr>
        <w:t>5</w:t>
      </w:r>
      <w:r w:rsidRPr="00063001">
        <w:rPr>
          <w:rFonts w:ascii="Times New Roman" w:hAnsi="Times New Roman"/>
          <w:sz w:val="24"/>
        </w:rPr>
        <w:t xml:space="preserve"> provides that once a research entity becomes aware of a contravention of a condition in an authorisation by the entity, it must notify the ACMA as soon as reasonably practicable. The same notification obligation applies if the entity becomes </w:t>
      </w:r>
      <w:r w:rsidR="0043233A">
        <w:rPr>
          <w:rFonts w:ascii="Times New Roman" w:hAnsi="Times New Roman"/>
          <w:sz w:val="24"/>
        </w:rPr>
        <w:t>aware</w:t>
      </w:r>
      <w:r w:rsidRPr="00063001">
        <w:rPr>
          <w:rFonts w:ascii="Times New Roman" w:hAnsi="Times New Roman"/>
          <w:sz w:val="24"/>
        </w:rPr>
        <w:t xml:space="preserve"> of a breach by another entity covered by the same authorisation. Subsection 3</w:t>
      </w:r>
      <w:r w:rsidR="00691EDE">
        <w:rPr>
          <w:rFonts w:ascii="Times New Roman" w:hAnsi="Times New Roman"/>
          <w:sz w:val="24"/>
        </w:rPr>
        <w:t>5</w:t>
      </w:r>
      <w:r w:rsidRPr="00063001">
        <w:rPr>
          <w:rFonts w:ascii="Times New Roman" w:hAnsi="Times New Roman"/>
          <w:sz w:val="24"/>
        </w:rPr>
        <w:t>(2) also requires a research entity to take reasonable steps to minimise the effects of any breach of a condition of an authorisation. Subsection 3</w:t>
      </w:r>
      <w:r w:rsidR="00691EDE">
        <w:rPr>
          <w:rFonts w:ascii="Times New Roman" w:hAnsi="Times New Roman"/>
          <w:sz w:val="24"/>
        </w:rPr>
        <w:t>5</w:t>
      </w:r>
      <w:r w:rsidRPr="00063001">
        <w:rPr>
          <w:rFonts w:ascii="Times New Roman" w:hAnsi="Times New Roman"/>
          <w:sz w:val="24"/>
        </w:rPr>
        <w:t xml:space="preserve">(3) makes the requirement to take reasonable steps to minimise the effects of the contravention a condition of the authorisation. </w:t>
      </w:r>
      <w:bookmarkStart w:id="12" w:name="_Toc511732588"/>
      <w:bookmarkStart w:id="13" w:name="_Toc512351309"/>
      <w:bookmarkEnd w:id="12"/>
      <w:bookmarkEnd w:id="13"/>
    </w:p>
    <w:p w14:paraId="27A024FE" w14:textId="77777777" w:rsidR="00AA0095" w:rsidRPr="00063001" w:rsidRDefault="00AA0095" w:rsidP="0043233A">
      <w:pPr>
        <w:pStyle w:val="ActHead4"/>
        <w:rPr>
          <w:sz w:val="19"/>
          <w:lang w:val="en-US"/>
        </w:rPr>
      </w:pPr>
      <w:r w:rsidRPr="00063001">
        <w:lastRenderedPageBreak/>
        <w:t>Subdivision D – Changes to authorisations</w:t>
      </w:r>
    </w:p>
    <w:p w14:paraId="45B7DD38" w14:textId="1C23C4B0" w:rsidR="00AA0095" w:rsidRPr="00063001" w:rsidRDefault="00AA0095" w:rsidP="009C6890">
      <w:pPr>
        <w:pStyle w:val="ActHead5"/>
        <w:rPr>
          <w:sz w:val="19"/>
          <w:lang w:val="en-US"/>
        </w:rPr>
      </w:pPr>
      <w:r w:rsidRPr="00063001">
        <w:t>Section 3</w:t>
      </w:r>
      <w:r w:rsidR="00E81A4E">
        <w:t>6</w:t>
      </w:r>
      <w:r w:rsidRPr="00063001">
        <w:t xml:space="preserve"> – Changes made by the ACMA</w:t>
      </w:r>
    </w:p>
    <w:p w14:paraId="39AE88FB" w14:textId="08994085" w:rsidR="00AA0095" w:rsidRPr="00A41B82" w:rsidRDefault="00AA0095" w:rsidP="00970E20">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Subsection 3</w:t>
      </w:r>
      <w:r w:rsidR="00E81A4E">
        <w:rPr>
          <w:rFonts w:ascii="Times New Roman" w:hAnsi="Times New Roman"/>
          <w:sz w:val="24"/>
        </w:rPr>
        <w:t>6</w:t>
      </w:r>
      <w:r w:rsidRPr="00063001">
        <w:rPr>
          <w:rFonts w:ascii="Times New Roman" w:hAnsi="Times New Roman"/>
          <w:sz w:val="24"/>
        </w:rPr>
        <w:t>(1) provides that after the ACMA grants a research authorisation it may, in writing, specify other conditions to which the authorisation is subject, or vary or revoke any condition specified in the authorisation. Subsection 3</w:t>
      </w:r>
      <w:r w:rsidR="00E81A4E">
        <w:rPr>
          <w:rFonts w:ascii="Times New Roman" w:hAnsi="Times New Roman"/>
          <w:sz w:val="24"/>
        </w:rPr>
        <w:t>6</w:t>
      </w:r>
      <w:r w:rsidRPr="00063001">
        <w:rPr>
          <w:rFonts w:ascii="Times New Roman" w:hAnsi="Times New Roman"/>
          <w:sz w:val="24"/>
        </w:rPr>
        <w:t>(2) provides that before taking action under section 3</w:t>
      </w:r>
      <w:r w:rsidR="00E81A4E">
        <w:rPr>
          <w:rFonts w:ascii="Times New Roman" w:hAnsi="Times New Roman"/>
          <w:sz w:val="24"/>
        </w:rPr>
        <w:t>6</w:t>
      </w:r>
      <w:r w:rsidRPr="00063001">
        <w:rPr>
          <w:rFonts w:ascii="Times New Roman" w:hAnsi="Times New Roman"/>
          <w:sz w:val="24"/>
        </w:rPr>
        <w:t>(1) the ACMA may consult with any person or body that the ACMA considers is appropriate. Subsection 3</w:t>
      </w:r>
      <w:r w:rsidR="00E81A4E">
        <w:rPr>
          <w:rFonts w:ascii="Times New Roman" w:hAnsi="Times New Roman"/>
          <w:sz w:val="24"/>
        </w:rPr>
        <w:t>6</w:t>
      </w:r>
      <w:r w:rsidRPr="00063001">
        <w:rPr>
          <w:rFonts w:ascii="Times New Roman" w:hAnsi="Times New Roman"/>
          <w:sz w:val="24"/>
        </w:rPr>
        <w:t>(3) provides that the ACMA must give written notice of any action taken under section 3</w:t>
      </w:r>
      <w:r w:rsidR="00E81A4E">
        <w:rPr>
          <w:rFonts w:ascii="Times New Roman" w:hAnsi="Times New Roman"/>
          <w:sz w:val="24"/>
        </w:rPr>
        <w:t>6</w:t>
      </w:r>
      <w:r w:rsidRPr="00063001">
        <w:rPr>
          <w:rFonts w:ascii="Times New Roman" w:hAnsi="Times New Roman"/>
          <w:sz w:val="24"/>
        </w:rPr>
        <w:t xml:space="preserve">(1) to each authorised research entity covered by the authorisation stating the action taken; reasons for that action; and indicating that the entity or another entity affected by the </w:t>
      </w:r>
      <w:r w:rsidRPr="00A41B82">
        <w:rPr>
          <w:rFonts w:ascii="Times New Roman" w:hAnsi="Times New Roman"/>
          <w:sz w:val="24"/>
        </w:rPr>
        <w:t>decision may request the ACMA reconsider the action taken pursuant to section 4</w:t>
      </w:r>
      <w:r w:rsidR="008C7005">
        <w:rPr>
          <w:rFonts w:ascii="Times New Roman" w:hAnsi="Times New Roman"/>
          <w:sz w:val="24"/>
        </w:rPr>
        <w:t>2</w:t>
      </w:r>
      <w:r w:rsidRPr="00A41B82">
        <w:rPr>
          <w:rFonts w:ascii="Times New Roman" w:hAnsi="Times New Roman"/>
          <w:sz w:val="24"/>
        </w:rPr>
        <w:t xml:space="preserve"> (except where the change is to revoke a condition of an authorisation). </w:t>
      </w:r>
    </w:p>
    <w:p w14:paraId="17555128" w14:textId="772E051B" w:rsidR="00AA0095" w:rsidRPr="00063001" w:rsidRDefault="00AA0095" w:rsidP="00116173">
      <w:pPr>
        <w:shd w:val="clear" w:color="auto" w:fill="FFFFFF"/>
        <w:spacing w:before="100" w:beforeAutospacing="1" w:after="100" w:afterAutospacing="1" w:line="240" w:lineRule="auto"/>
        <w:rPr>
          <w:rFonts w:ascii="Times New Roman" w:hAnsi="Times New Roman"/>
          <w:sz w:val="19"/>
          <w:lang w:val="en-US"/>
        </w:rPr>
      </w:pPr>
      <w:r w:rsidRPr="00063001">
        <w:rPr>
          <w:rFonts w:ascii="Times New Roman" w:hAnsi="Times New Roman"/>
          <w:sz w:val="24"/>
        </w:rPr>
        <w:t>Subsection 3</w:t>
      </w:r>
      <w:r w:rsidR="008C7005">
        <w:rPr>
          <w:rFonts w:ascii="Times New Roman" w:hAnsi="Times New Roman"/>
          <w:sz w:val="24"/>
        </w:rPr>
        <w:t>6</w:t>
      </w:r>
      <w:r w:rsidRPr="00063001">
        <w:rPr>
          <w:rFonts w:ascii="Times New Roman" w:hAnsi="Times New Roman"/>
          <w:sz w:val="24"/>
        </w:rPr>
        <w:t xml:space="preserve">(4) requires that the notice must be given as soon as reasonably practicable and before the action under </w:t>
      </w:r>
      <w:r w:rsidR="00AD0430">
        <w:rPr>
          <w:rFonts w:ascii="Times New Roman" w:eastAsia="Times New Roman" w:hAnsi="Times New Roman" w:cs="Times New Roman"/>
          <w:sz w:val="24"/>
          <w:szCs w:val="24"/>
          <w:lang w:eastAsia="en-AU"/>
        </w:rPr>
        <w:t>sub</w:t>
      </w:r>
      <w:r w:rsidRPr="00261CDF">
        <w:rPr>
          <w:rFonts w:ascii="Times New Roman" w:eastAsia="Times New Roman" w:hAnsi="Times New Roman" w:cs="Times New Roman"/>
          <w:sz w:val="24"/>
          <w:szCs w:val="24"/>
          <w:lang w:eastAsia="en-AU"/>
        </w:rPr>
        <w:t>section</w:t>
      </w:r>
      <w:r w:rsidRPr="00063001">
        <w:rPr>
          <w:rFonts w:ascii="Times New Roman" w:hAnsi="Times New Roman"/>
          <w:sz w:val="24"/>
        </w:rPr>
        <w:t xml:space="preserve"> 3</w:t>
      </w:r>
      <w:r w:rsidR="008C7005">
        <w:rPr>
          <w:rFonts w:ascii="Times New Roman" w:hAnsi="Times New Roman"/>
          <w:sz w:val="24"/>
        </w:rPr>
        <w:t>6</w:t>
      </w:r>
      <w:r w:rsidRPr="00063001">
        <w:rPr>
          <w:rFonts w:ascii="Times New Roman" w:hAnsi="Times New Roman"/>
          <w:sz w:val="24"/>
        </w:rPr>
        <w:t xml:space="preserve">(1) is expressed to take effect. </w:t>
      </w:r>
    </w:p>
    <w:p w14:paraId="3F171C76" w14:textId="03CD7DC6" w:rsidR="00AA0095" w:rsidRPr="004F4FEE" w:rsidRDefault="00AD0430" w:rsidP="00116173">
      <w:pPr>
        <w:shd w:val="clear" w:color="auto" w:fill="FFFFFF"/>
        <w:spacing w:before="100" w:beforeAutospacing="1" w:after="100" w:afterAutospacing="1" w:line="240" w:lineRule="auto"/>
        <w:rPr>
          <w:rFonts w:ascii="Times New Roman" w:hAnsi="Times New Roman"/>
          <w:sz w:val="19"/>
          <w:lang w:val="en-US"/>
        </w:rPr>
      </w:pPr>
      <w:r>
        <w:rPr>
          <w:rFonts w:ascii="Times New Roman" w:eastAsia="Times New Roman" w:hAnsi="Times New Roman" w:cs="Times New Roman"/>
          <w:sz w:val="24"/>
          <w:szCs w:val="24"/>
          <w:lang w:eastAsia="en-AU"/>
        </w:rPr>
        <w:t>The</w:t>
      </w:r>
      <w:r w:rsidRPr="004F4FEE">
        <w:rPr>
          <w:rFonts w:ascii="Times New Roman" w:hAnsi="Times New Roman"/>
          <w:sz w:val="24"/>
        </w:rPr>
        <w:t xml:space="preserve"> </w:t>
      </w:r>
      <w:r w:rsidR="00AA0095" w:rsidRPr="004F4FEE">
        <w:rPr>
          <w:rFonts w:ascii="Times New Roman" w:hAnsi="Times New Roman"/>
          <w:sz w:val="24"/>
        </w:rPr>
        <w:t xml:space="preserve">ACMA must also give </w:t>
      </w:r>
      <w:r w:rsidR="009C6890">
        <w:rPr>
          <w:rFonts w:ascii="Times New Roman" w:hAnsi="Times New Roman"/>
          <w:sz w:val="24"/>
        </w:rPr>
        <w:t>the IPND Manager</w:t>
      </w:r>
      <w:r w:rsidR="00AA0095" w:rsidRPr="004F4FEE">
        <w:rPr>
          <w:rFonts w:ascii="Times New Roman" w:hAnsi="Times New Roman"/>
          <w:sz w:val="24"/>
        </w:rPr>
        <w:t xml:space="preserve"> written notice of a change made under </w:t>
      </w:r>
      <w:r>
        <w:rPr>
          <w:rFonts w:ascii="Times New Roman" w:eastAsia="Times New Roman" w:hAnsi="Times New Roman" w:cs="Times New Roman"/>
          <w:sz w:val="24"/>
          <w:szCs w:val="24"/>
          <w:lang w:eastAsia="en-AU"/>
        </w:rPr>
        <w:t>sub</w:t>
      </w:r>
      <w:r w:rsidR="00AA0095" w:rsidRPr="00261CDF">
        <w:rPr>
          <w:rFonts w:ascii="Times New Roman" w:eastAsia="Times New Roman" w:hAnsi="Times New Roman" w:cs="Times New Roman"/>
          <w:sz w:val="24"/>
          <w:szCs w:val="24"/>
          <w:lang w:eastAsia="en-AU"/>
        </w:rPr>
        <w:t>section</w:t>
      </w:r>
      <w:r w:rsidR="00AA0095" w:rsidRPr="004F4FEE">
        <w:rPr>
          <w:rFonts w:ascii="Times New Roman" w:hAnsi="Times New Roman"/>
          <w:sz w:val="24"/>
        </w:rPr>
        <w:t xml:space="preserve"> 3</w:t>
      </w:r>
      <w:r w:rsidR="008C7005">
        <w:rPr>
          <w:rFonts w:ascii="Times New Roman" w:hAnsi="Times New Roman"/>
          <w:sz w:val="24"/>
        </w:rPr>
        <w:t>6</w:t>
      </w:r>
      <w:r w:rsidR="00AA0095" w:rsidRPr="004F4FEE">
        <w:rPr>
          <w:rFonts w:ascii="Times New Roman" w:hAnsi="Times New Roman"/>
          <w:sz w:val="24"/>
        </w:rPr>
        <w:t xml:space="preserve">(1) as soon as reasonable practicable. This will ensure that </w:t>
      </w:r>
      <w:r w:rsidR="009C6890">
        <w:rPr>
          <w:rFonts w:ascii="Times New Roman" w:hAnsi="Times New Roman"/>
          <w:sz w:val="24"/>
        </w:rPr>
        <w:t>the IPND Manager</w:t>
      </w:r>
      <w:r w:rsidR="00AA0095" w:rsidRPr="004F4FEE">
        <w:rPr>
          <w:rFonts w:ascii="Times New Roman" w:hAnsi="Times New Roman"/>
          <w:sz w:val="24"/>
        </w:rPr>
        <w:t xml:space="preserve"> is aware of the action taken, and can ensure that its future actions are consistent with them.</w:t>
      </w:r>
    </w:p>
    <w:p w14:paraId="74ABA5CB" w14:textId="77777777" w:rsidR="00AA0095" w:rsidRPr="004F4FEE" w:rsidRDefault="00AA0095" w:rsidP="009C6890">
      <w:pPr>
        <w:pStyle w:val="ActHead4"/>
        <w:rPr>
          <w:sz w:val="19"/>
          <w:lang w:val="en-US"/>
        </w:rPr>
      </w:pPr>
      <w:bookmarkStart w:id="14" w:name="_Toc509412377"/>
      <w:r w:rsidRPr="004F4FEE">
        <w:lastRenderedPageBreak/>
        <w:t>Subdivision E – Removal of authorised research entities</w:t>
      </w:r>
      <w:bookmarkEnd w:id="14"/>
    </w:p>
    <w:p w14:paraId="78044F29" w14:textId="55F193A0" w:rsidR="00AA0095" w:rsidRPr="004F4FEE" w:rsidRDefault="00AA0095" w:rsidP="009C6890">
      <w:pPr>
        <w:pStyle w:val="ActHead5"/>
        <w:rPr>
          <w:sz w:val="19"/>
          <w:lang w:val="en-US"/>
        </w:rPr>
      </w:pPr>
      <w:r w:rsidRPr="004F4FEE">
        <w:t>Section 3</w:t>
      </w:r>
      <w:r w:rsidR="00943228">
        <w:t>7</w:t>
      </w:r>
      <w:r w:rsidRPr="004F4FEE">
        <w:t xml:space="preserve"> – Effect of removal</w:t>
      </w:r>
    </w:p>
    <w:p w14:paraId="585DBFD2" w14:textId="2FB939EB" w:rsidR="00AA0095" w:rsidRPr="004F4FEE" w:rsidRDefault="00AA0095" w:rsidP="00116173">
      <w:pPr>
        <w:shd w:val="clear" w:color="auto" w:fill="FFFFFF"/>
        <w:spacing w:before="100" w:beforeAutospacing="1" w:after="100" w:afterAutospacing="1" w:line="240" w:lineRule="auto"/>
        <w:rPr>
          <w:rFonts w:ascii="Times New Roman" w:hAnsi="Times New Roman"/>
          <w:sz w:val="19"/>
          <w:lang w:val="en-US"/>
        </w:rPr>
      </w:pPr>
      <w:r w:rsidRPr="004F4FEE">
        <w:rPr>
          <w:rFonts w:ascii="Times New Roman" w:hAnsi="Times New Roman"/>
          <w:sz w:val="24"/>
        </w:rPr>
        <w:t>Section 3</w:t>
      </w:r>
      <w:r w:rsidR="00943228">
        <w:rPr>
          <w:rFonts w:ascii="Times New Roman" w:hAnsi="Times New Roman"/>
          <w:sz w:val="24"/>
        </w:rPr>
        <w:t>7</w:t>
      </w:r>
      <w:r w:rsidRPr="004F4FEE">
        <w:rPr>
          <w:rFonts w:ascii="Times New Roman" w:hAnsi="Times New Roman"/>
          <w:sz w:val="24"/>
        </w:rPr>
        <w:t xml:space="preserve"> provides that an authorised research entity ceases to be covered by a research authorisation if the entity is removed from the authorisation.</w:t>
      </w:r>
    </w:p>
    <w:p w14:paraId="1F94B2BC" w14:textId="6FEFA936" w:rsidR="00AA0095" w:rsidRPr="004F4FEE" w:rsidRDefault="00AA0095" w:rsidP="009C6890">
      <w:pPr>
        <w:pStyle w:val="ActHead5"/>
        <w:rPr>
          <w:sz w:val="19"/>
          <w:lang w:val="en-US"/>
        </w:rPr>
      </w:pPr>
      <w:bookmarkStart w:id="15" w:name="_Toc509412378"/>
      <w:r w:rsidRPr="004F4FEE">
        <w:t xml:space="preserve">Section </w:t>
      </w:r>
      <w:bookmarkEnd w:id="15"/>
      <w:r w:rsidRPr="004F4FEE">
        <w:t>3</w:t>
      </w:r>
      <w:r w:rsidR="00943228">
        <w:t>8</w:t>
      </w:r>
      <w:r w:rsidRPr="004F4FEE">
        <w:t xml:space="preserve"> – Removal of authorised research entities – contravention of research authorisation</w:t>
      </w:r>
    </w:p>
    <w:p w14:paraId="269988CD" w14:textId="7A44F7A8" w:rsidR="00AA0095" w:rsidRDefault="00AA0095" w:rsidP="00116173">
      <w:pPr>
        <w:shd w:val="clear" w:color="auto" w:fill="FFFFFF"/>
        <w:spacing w:before="100" w:beforeAutospacing="1" w:after="100" w:afterAutospacing="1" w:line="240" w:lineRule="auto"/>
        <w:rPr>
          <w:rFonts w:ascii="Times New Roman" w:hAnsi="Times New Roman"/>
          <w:sz w:val="24"/>
        </w:rPr>
      </w:pPr>
      <w:r w:rsidRPr="004F4FEE">
        <w:rPr>
          <w:rFonts w:ascii="Times New Roman" w:hAnsi="Times New Roman"/>
          <w:sz w:val="24"/>
        </w:rPr>
        <w:t>Subsection 3</w:t>
      </w:r>
      <w:r w:rsidR="00943228">
        <w:rPr>
          <w:rFonts w:ascii="Times New Roman" w:hAnsi="Times New Roman"/>
          <w:sz w:val="24"/>
        </w:rPr>
        <w:t>8</w:t>
      </w:r>
      <w:r w:rsidRPr="004F4FEE">
        <w:rPr>
          <w:rFonts w:ascii="Times New Roman" w:hAnsi="Times New Roman"/>
          <w:sz w:val="24"/>
        </w:rPr>
        <w:t>(1) empowers the ACMA to remove an authorised research entity from a research authorisation if it is satisfied that a condition of any research authorisation covering that entity has been contravened. As indicated in the accompanying note, any such a decision is subject to reconsideration on request by any person affected by the decision (pursuant to section 3</w:t>
      </w:r>
      <w:r w:rsidR="00943228">
        <w:rPr>
          <w:rFonts w:ascii="Times New Roman" w:hAnsi="Times New Roman"/>
          <w:sz w:val="24"/>
        </w:rPr>
        <w:t>8</w:t>
      </w:r>
      <w:r w:rsidRPr="004F4FEE">
        <w:rPr>
          <w:rFonts w:ascii="Times New Roman" w:hAnsi="Times New Roman"/>
          <w:sz w:val="24"/>
        </w:rPr>
        <w:t xml:space="preserve">). </w:t>
      </w:r>
    </w:p>
    <w:p w14:paraId="3BDDDDCB" w14:textId="77777777" w:rsidR="00E85749" w:rsidRDefault="00E85749" w:rsidP="00A41B82">
      <w:pPr>
        <w:pStyle w:val="SubsectionHead"/>
        <w:ind w:left="0"/>
      </w:pPr>
      <w:r>
        <w:t>Consultation</w:t>
      </w:r>
    </w:p>
    <w:p w14:paraId="6B21E448" w14:textId="402672E5" w:rsidR="00AA0095" w:rsidRDefault="00AA0095" w:rsidP="00116173">
      <w:pPr>
        <w:shd w:val="clear" w:color="auto" w:fill="FFFFFF"/>
        <w:spacing w:before="100" w:beforeAutospacing="1" w:after="100" w:afterAutospacing="1" w:line="240" w:lineRule="auto"/>
        <w:rPr>
          <w:rFonts w:ascii="Times New Roman" w:hAnsi="Times New Roman"/>
          <w:sz w:val="24"/>
        </w:rPr>
      </w:pPr>
      <w:r w:rsidRPr="004F4FEE">
        <w:rPr>
          <w:rFonts w:ascii="Times New Roman" w:hAnsi="Times New Roman"/>
          <w:sz w:val="24"/>
        </w:rPr>
        <w:t>Subsection 3</w:t>
      </w:r>
      <w:r w:rsidR="00943228">
        <w:rPr>
          <w:rFonts w:ascii="Times New Roman" w:hAnsi="Times New Roman"/>
          <w:sz w:val="24"/>
        </w:rPr>
        <w:t>8</w:t>
      </w:r>
      <w:r w:rsidRPr="004F4FEE">
        <w:rPr>
          <w:rFonts w:ascii="Times New Roman" w:hAnsi="Times New Roman"/>
          <w:sz w:val="24"/>
        </w:rPr>
        <w:t>(2) allows the ACMA to consult with any person or body considered appropriate prior to removing an entity under subsection 3</w:t>
      </w:r>
      <w:r w:rsidR="00943228">
        <w:rPr>
          <w:rFonts w:ascii="Times New Roman" w:hAnsi="Times New Roman"/>
          <w:sz w:val="24"/>
        </w:rPr>
        <w:t>8</w:t>
      </w:r>
      <w:r w:rsidRPr="004F4FEE">
        <w:rPr>
          <w:rFonts w:ascii="Times New Roman" w:hAnsi="Times New Roman"/>
          <w:sz w:val="24"/>
        </w:rPr>
        <w:t>(1).</w:t>
      </w:r>
    </w:p>
    <w:p w14:paraId="7ADD0E05" w14:textId="77777777" w:rsidR="00E85749" w:rsidRDefault="00E85749" w:rsidP="00A41B82">
      <w:pPr>
        <w:pStyle w:val="SubsectionHead"/>
        <w:ind w:left="0"/>
      </w:pPr>
      <w:r>
        <w:t>Notice to entity of removal</w:t>
      </w:r>
    </w:p>
    <w:p w14:paraId="0E3F86C2" w14:textId="7517B1B6" w:rsidR="00AA0095" w:rsidRDefault="00AA0095" w:rsidP="00116173">
      <w:pPr>
        <w:shd w:val="clear" w:color="auto" w:fill="FFFFFF"/>
        <w:spacing w:before="100" w:beforeAutospacing="1" w:after="100" w:afterAutospacing="1" w:line="240" w:lineRule="auto"/>
        <w:rPr>
          <w:rFonts w:ascii="Times New Roman" w:hAnsi="Times New Roman"/>
          <w:sz w:val="24"/>
        </w:rPr>
      </w:pPr>
      <w:r w:rsidRPr="004F4FEE">
        <w:rPr>
          <w:rFonts w:ascii="Times New Roman" w:hAnsi="Times New Roman"/>
          <w:sz w:val="24"/>
        </w:rPr>
        <w:t>Before removing an entity subsections 3</w:t>
      </w:r>
      <w:r w:rsidR="00943228">
        <w:rPr>
          <w:rFonts w:ascii="Times New Roman" w:hAnsi="Times New Roman"/>
          <w:sz w:val="24"/>
        </w:rPr>
        <w:t>8</w:t>
      </w:r>
      <w:r w:rsidRPr="004F4FEE">
        <w:rPr>
          <w:rFonts w:ascii="Times New Roman" w:hAnsi="Times New Roman"/>
          <w:sz w:val="24"/>
        </w:rPr>
        <w:t>(3) and 3</w:t>
      </w:r>
      <w:r w:rsidR="00943228">
        <w:rPr>
          <w:rFonts w:ascii="Times New Roman" w:hAnsi="Times New Roman"/>
          <w:sz w:val="24"/>
        </w:rPr>
        <w:t>8</w:t>
      </w:r>
      <w:r w:rsidRPr="004F4FEE">
        <w:rPr>
          <w:rFonts w:ascii="Times New Roman" w:hAnsi="Times New Roman"/>
          <w:sz w:val="24"/>
        </w:rPr>
        <w:t xml:space="preserve">(4) require the ACMA to give the entity written notice stating that the ACMA proposes to remove it from the authorisation; and invite the entity to make a </w:t>
      </w:r>
      <w:r w:rsidRPr="004F4FEE">
        <w:rPr>
          <w:rFonts w:ascii="Times New Roman" w:hAnsi="Times New Roman"/>
          <w:sz w:val="24"/>
        </w:rPr>
        <w:lastRenderedPageBreak/>
        <w:t>submission the ACMA about the proposed removal within a specified period of time. The specified period for the making of a submission must not be not shorter than 30 days.</w:t>
      </w:r>
    </w:p>
    <w:p w14:paraId="17BCDF9F" w14:textId="77777777" w:rsidR="00E85749" w:rsidRDefault="00E85749" w:rsidP="00A41B82">
      <w:pPr>
        <w:pStyle w:val="SubsectionHead"/>
        <w:ind w:left="0"/>
      </w:pPr>
      <w:r>
        <w:t>Notice of removal</w:t>
      </w:r>
    </w:p>
    <w:p w14:paraId="362189D5" w14:textId="4BAAD3B6" w:rsidR="00AA0095" w:rsidRPr="004F4FEE" w:rsidRDefault="00AA0095" w:rsidP="00116173">
      <w:pPr>
        <w:shd w:val="clear" w:color="auto" w:fill="FFFFFF"/>
        <w:spacing w:before="100" w:beforeAutospacing="1" w:after="100" w:afterAutospacing="1" w:line="240" w:lineRule="auto"/>
        <w:rPr>
          <w:rFonts w:ascii="Times New Roman" w:hAnsi="Times New Roman"/>
          <w:sz w:val="19"/>
          <w:lang w:val="en-US"/>
        </w:rPr>
      </w:pPr>
      <w:r w:rsidRPr="004F4FEE">
        <w:rPr>
          <w:rFonts w:ascii="Times New Roman" w:hAnsi="Times New Roman"/>
          <w:sz w:val="24"/>
        </w:rPr>
        <w:t>Subsection 3</w:t>
      </w:r>
      <w:r w:rsidR="00943228">
        <w:rPr>
          <w:rFonts w:ascii="Times New Roman" w:hAnsi="Times New Roman"/>
          <w:sz w:val="24"/>
        </w:rPr>
        <w:t>8</w:t>
      </w:r>
      <w:r w:rsidRPr="004F4FEE">
        <w:rPr>
          <w:rFonts w:ascii="Times New Roman" w:hAnsi="Times New Roman"/>
          <w:sz w:val="24"/>
        </w:rPr>
        <w:t>(5) requires that where the ACMA removes an entity, it must, as soon as reasonably practicable, notify that entity in writing, and provide the reasons for the entity’s removal. The notice must state that the entity and any affected person may request reconsideration of the decision to remove the entity (pursuant to section 41).</w:t>
      </w:r>
    </w:p>
    <w:p w14:paraId="46256E31" w14:textId="505D7FF4" w:rsidR="00AE7F5E" w:rsidRDefault="00AA0095" w:rsidP="00116173">
      <w:pPr>
        <w:shd w:val="clear" w:color="auto" w:fill="FFFFFF"/>
        <w:spacing w:before="100" w:beforeAutospacing="1" w:after="100" w:afterAutospacing="1" w:line="240" w:lineRule="auto"/>
        <w:rPr>
          <w:rFonts w:ascii="Times New Roman" w:hAnsi="Times New Roman"/>
          <w:sz w:val="19"/>
          <w:lang w:val="en-US"/>
        </w:rPr>
      </w:pPr>
      <w:r w:rsidRPr="004F4FEE">
        <w:rPr>
          <w:rFonts w:ascii="Times New Roman" w:hAnsi="Times New Roman"/>
          <w:sz w:val="24"/>
        </w:rPr>
        <w:t>Subsection 3</w:t>
      </w:r>
      <w:r w:rsidR="00943228">
        <w:rPr>
          <w:rFonts w:ascii="Times New Roman" w:hAnsi="Times New Roman"/>
          <w:sz w:val="24"/>
        </w:rPr>
        <w:t>8</w:t>
      </w:r>
      <w:r w:rsidRPr="004F4FEE">
        <w:rPr>
          <w:rFonts w:ascii="Times New Roman" w:hAnsi="Times New Roman"/>
          <w:sz w:val="24"/>
        </w:rPr>
        <w:t xml:space="preserve">(6) requires that the ACMA provide written notice of any such removal to: any other authorised research entity covered by the authorisation; and </w:t>
      </w:r>
      <w:r w:rsidR="009C6890">
        <w:rPr>
          <w:rFonts w:ascii="Times New Roman" w:hAnsi="Times New Roman"/>
          <w:sz w:val="24"/>
        </w:rPr>
        <w:t>the IPND Manager</w:t>
      </w:r>
      <w:r w:rsidRPr="004F4FEE">
        <w:rPr>
          <w:rFonts w:ascii="Times New Roman" w:hAnsi="Times New Roman"/>
          <w:sz w:val="24"/>
        </w:rPr>
        <w:t xml:space="preserve"> as soon as reasonable practicable after the ACMA removes the entity. </w:t>
      </w:r>
    </w:p>
    <w:p w14:paraId="34FC0AA2" w14:textId="77777777" w:rsidR="00AE7F5E" w:rsidRDefault="00AE7F5E" w:rsidP="00A41B82">
      <w:pPr>
        <w:pStyle w:val="SubsectionHead"/>
        <w:ind w:left="0"/>
      </w:pPr>
      <w:r>
        <w:t>Further application for authorisation after removal</w:t>
      </w:r>
    </w:p>
    <w:p w14:paraId="18108387" w14:textId="584C7444" w:rsidR="00AA0095" w:rsidRPr="004F4FEE" w:rsidRDefault="00AA0095" w:rsidP="00116173">
      <w:pPr>
        <w:shd w:val="clear" w:color="auto" w:fill="FFFFFF"/>
        <w:spacing w:before="100" w:beforeAutospacing="1" w:after="100" w:afterAutospacing="1" w:line="240" w:lineRule="auto"/>
        <w:rPr>
          <w:rFonts w:ascii="Times New Roman" w:hAnsi="Times New Roman"/>
          <w:sz w:val="19"/>
          <w:lang w:val="en-US"/>
        </w:rPr>
      </w:pPr>
      <w:r w:rsidRPr="004F4FEE">
        <w:rPr>
          <w:rFonts w:ascii="Times New Roman" w:hAnsi="Times New Roman"/>
          <w:sz w:val="24"/>
        </w:rPr>
        <w:t>Subsection 3</w:t>
      </w:r>
      <w:r w:rsidR="00943228">
        <w:rPr>
          <w:rFonts w:ascii="Times New Roman" w:hAnsi="Times New Roman"/>
          <w:sz w:val="24"/>
        </w:rPr>
        <w:t>8</w:t>
      </w:r>
      <w:r w:rsidRPr="004F4FEE">
        <w:rPr>
          <w:rFonts w:ascii="Times New Roman" w:hAnsi="Times New Roman"/>
          <w:sz w:val="24"/>
        </w:rPr>
        <w:t>(7) provides that if the ACMA removes an entity from a research authorisation, an application for a further research authorisation covering that entity cannot be made until after the end of that research authorisation. By prohibiting further applications for a period of following a breach, this subsection ensures that an entity that has been removed from an authorisation for contravention of a condition cannot immediately apply for a further authorisation and thereby evade the consequences of removal. This provision therefore creates an incentive for research entities to comply with authorisation conditions.</w:t>
      </w:r>
    </w:p>
    <w:p w14:paraId="4C929A93" w14:textId="08153E35" w:rsidR="00AA0095" w:rsidRPr="004F4FEE" w:rsidRDefault="00AA0095" w:rsidP="009C6890">
      <w:pPr>
        <w:pStyle w:val="ActHead5"/>
        <w:rPr>
          <w:sz w:val="19"/>
          <w:lang w:val="en-US"/>
        </w:rPr>
      </w:pPr>
      <w:r w:rsidRPr="004F4FEE">
        <w:lastRenderedPageBreak/>
        <w:t>Section 3</w:t>
      </w:r>
      <w:r w:rsidR="00943228">
        <w:t>9</w:t>
      </w:r>
      <w:r w:rsidRPr="004F4FEE">
        <w:t xml:space="preserve"> – Voluntary removal of authorised research entities </w:t>
      </w:r>
    </w:p>
    <w:p w14:paraId="2F40CCA6" w14:textId="32002124" w:rsidR="00AA0095" w:rsidRDefault="00AA0095" w:rsidP="00116173">
      <w:pPr>
        <w:shd w:val="clear" w:color="auto" w:fill="FFFFFF"/>
        <w:spacing w:before="100" w:beforeAutospacing="1" w:after="100" w:afterAutospacing="1" w:line="240" w:lineRule="auto"/>
        <w:rPr>
          <w:rFonts w:ascii="Times New Roman" w:hAnsi="Times New Roman"/>
          <w:sz w:val="24"/>
        </w:rPr>
      </w:pPr>
      <w:r w:rsidRPr="004F4FEE">
        <w:rPr>
          <w:rFonts w:ascii="Times New Roman" w:hAnsi="Times New Roman"/>
          <w:sz w:val="24"/>
        </w:rPr>
        <w:t>Subsection 3</w:t>
      </w:r>
      <w:r w:rsidR="00943228">
        <w:rPr>
          <w:rFonts w:ascii="Times New Roman" w:hAnsi="Times New Roman"/>
          <w:sz w:val="24"/>
        </w:rPr>
        <w:t>9</w:t>
      </w:r>
      <w:r w:rsidRPr="004F4FEE">
        <w:rPr>
          <w:rFonts w:ascii="Times New Roman" w:hAnsi="Times New Roman"/>
          <w:sz w:val="24"/>
        </w:rPr>
        <w:t xml:space="preserve">(1) specifies that an authorised research entity can provide a written request to the ACMA to be removed from a research authorisation. </w:t>
      </w:r>
    </w:p>
    <w:p w14:paraId="3C75EE11" w14:textId="58BA30A8" w:rsidR="0062195D" w:rsidRPr="00A41B82" w:rsidRDefault="0062195D" w:rsidP="00116173">
      <w:pPr>
        <w:shd w:val="clear" w:color="auto" w:fill="FFFFFF"/>
        <w:spacing w:before="100" w:beforeAutospacing="1" w:after="100" w:afterAutospacing="1" w:line="240" w:lineRule="auto"/>
        <w:rPr>
          <w:rFonts w:ascii="Times New Roman" w:hAnsi="Times New Roman"/>
          <w:sz w:val="24"/>
        </w:rPr>
      </w:pPr>
      <w:r w:rsidRPr="00A41B82">
        <w:rPr>
          <w:rFonts w:ascii="Times New Roman" w:hAnsi="Times New Roman"/>
          <w:sz w:val="24"/>
        </w:rPr>
        <w:t>The Note after Subsection 39(1)</w:t>
      </w:r>
      <w:r>
        <w:rPr>
          <w:rFonts w:ascii="Times New Roman" w:hAnsi="Times New Roman"/>
          <w:sz w:val="24"/>
        </w:rPr>
        <w:t xml:space="preserve"> specifies that if the ACMA decides not to remove </w:t>
      </w:r>
      <w:r w:rsidRPr="0062195D">
        <w:rPr>
          <w:rFonts w:ascii="Times New Roman" w:hAnsi="Times New Roman"/>
          <w:sz w:val="24"/>
        </w:rPr>
        <w:t>the entity, the entity, or any other person affected by the decision, may request the ACMA to reconsider its decision (</w:t>
      </w:r>
      <w:r>
        <w:rPr>
          <w:rFonts w:ascii="Times New Roman" w:hAnsi="Times New Roman"/>
          <w:sz w:val="24"/>
        </w:rPr>
        <w:t>as outlined in Subdivision F</w:t>
      </w:r>
      <w:r w:rsidRPr="0062195D">
        <w:rPr>
          <w:rFonts w:ascii="Times New Roman" w:hAnsi="Times New Roman"/>
          <w:sz w:val="24"/>
        </w:rPr>
        <w:t>).</w:t>
      </w:r>
    </w:p>
    <w:p w14:paraId="63F7CE93" w14:textId="1CD236B2" w:rsidR="00AA0095" w:rsidRPr="004F4FEE" w:rsidRDefault="00AA0095" w:rsidP="00116173">
      <w:pPr>
        <w:shd w:val="clear" w:color="auto" w:fill="FFFFFF"/>
        <w:spacing w:before="100" w:beforeAutospacing="1" w:after="100" w:afterAutospacing="1" w:line="240" w:lineRule="auto"/>
        <w:rPr>
          <w:rFonts w:ascii="Times New Roman" w:hAnsi="Times New Roman"/>
          <w:sz w:val="19"/>
          <w:lang w:val="en-US"/>
        </w:rPr>
      </w:pPr>
      <w:r w:rsidRPr="004F4FEE">
        <w:rPr>
          <w:rFonts w:ascii="Times New Roman" w:hAnsi="Times New Roman"/>
          <w:sz w:val="24"/>
        </w:rPr>
        <w:t>Subsection 3</w:t>
      </w:r>
      <w:r w:rsidR="00943228">
        <w:rPr>
          <w:rFonts w:ascii="Times New Roman" w:hAnsi="Times New Roman"/>
          <w:sz w:val="24"/>
        </w:rPr>
        <w:t>9</w:t>
      </w:r>
      <w:r w:rsidRPr="004F4FEE">
        <w:rPr>
          <w:rFonts w:ascii="Times New Roman" w:hAnsi="Times New Roman"/>
          <w:sz w:val="24"/>
        </w:rPr>
        <w:t>(2) provides that when considering a request for voluntary removal, the ACMA may have regard to whether the entity has received a notice that it has been removed for contravention under section 3</w:t>
      </w:r>
      <w:r w:rsidR="00943228">
        <w:rPr>
          <w:rFonts w:ascii="Times New Roman" w:hAnsi="Times New Roman"/>
          <w:sz w:val="24"/>
        </w:rPr>
        <w:t>8</w:t>
      </w:r>
      <w:r w:rsidRPr="004F4FEE">
        <w:rPr>
          <w:rFonts w:ascii="Times New Roman" w:hAnsi="Times New Roman"/>
          <w:sz w:val="24"/>
        </w:rPr>
        <w:t>(3). This subsection has been included to ensure that the ACMA has, at its discretion, the option to not allow an entity to voluntarily remove itself from a research authorisation in circumstances in which the ACMA has issued a notice to that research entity that it proposes to remove the entity from the authorisation. In the absence of this provision, a research entity could voluntarily remove itself from an authorisation to avoid the consequences that would flow from a contravention of an authorisation condition.</w:t>
      </w:r>
    </w:p>
    <w:p w14:paraId="34BCC82D" w14:textId="74A4616A" w:rsidR="00AA0095" w:rsidRPr="004F4FEE" w:rsidRDefault="00AA0095" w:rsidP="00116173">
      <w:pPr>
        <w:shd w:val="clear" w:color="auto" w:fill="FFFFFF"/>
        <w:spacing w:before="100" w:beforeAutospacing="1" w:after="100" w:afterAutospacing="1" w:line="240" w:lineRule="auto"/>
        <w:rPr>
          <w:rFonts w:ascii="Times New Roman" w:hAnsi="Times New Roman"/>
          <w:sz w:val="19"/>
          <w:lang w:val="en-US"/>
        </w:rPr>
      </w:pPr>
      <w:r w:rsidRPr="004F4FEE">
        <w:rPr>
          <w:rFonts w:ascii="Times New Roman" w:hAnsi="Times New Roman"/>
          <w:sz w:val="24"/>
        </w:rPr>
        <w:t>If the ACMA decides to remove an entity on the basis of a voluntary request, subsection 3</w:t>
      </w:r>
      <w:r w:rsidR="00B9033F">
        <w:rPr>
          <w:rFonts w:ascii="Times New Roman" w:hAnsi="Times New Roman"/>
          <w:sz w:val="24"/>
        </w:rPr>
        <w:t>9</w:t>
      </w:r>
      <w:r w:rsidRPr="004F4FEE">
        <w:rPr>
          <w:rFonts w:ascii="Times New Roman" w:hAnsi="Times New Roman"/>
          <w:sz w:val="24"/>
        </w:rPr>
        <w:t xml:space="preserve">(3) requires that it give notice as soon as practicable to both the entity and </w:t>
      </w:r>
      <w:r w:rsidR="009C6890">
        <w:rPr>
          <w:rFonts w:ascii="Times New Roman" w:hAnsi="Times New Roman"/>
          <w:sz w:val="24"/>
        </w:rPr>
        <w:t>the IPND Manager</w:t>
      </w:r>
      <w:r w:rsidRPr="004F4FEE">
        <w:rPr>
          <w:rFonts w:ascii="Times New Roman" w:hAnsi="Times New Roman"/>
          <w:sz w:val="24"/>
        </w:rPr>
        <w:t>. If the ACMA does not remove an entity subsection 3</w:t>
      </w:r>
      <w:r w:rsidR="00B9033F">
        <w:rPr>
          <w:rFonts w:ascii="Times New Roman" w:hAnsi="Times New Roman"/>
          <w:sz w:val="24"/>
        </w:rPr>
        <w:t>9</w:t>
      </w:r>
      <w:r w:rsidRPr="004F4FEE">
        <w:rPr>
          <w:rFonts w:ascii="Times New Roman" w:hAnsi="Times New Roman"/>
          <w:sz w:val="24"/>
        </w:rPr>
        <w:t>(4) requires the AMCA to notify the entity in writing that it has not been so removed, the reasons for that decision, and that the decision is subject to review under section 3</w:t>
      </w:r>
      <w:r w:rsidR="00B9033F">
        <w:rPr>
          <w:rFonts w:ascii="Times New Roman" w:hAnsi="Times New Roman"/>
          <w:sz w:val="24"/>
        </w:rPr>
        <w:t>9</w:t>
      </w:r>
      <w:r w:rsidRPr="004F4FEE">
        <w:rPr>
          <w:rFonts w:ascii="Times New Roman" w:hAnsi="Times New Roman"/>
          <w:sz w:val="24"/>
        </w:rPr>
        <w:t>.</w:t>
      </w:r>
    </w:p>
    <w:p w14:paraId="18E8E0C0" w14:textId="7C2BA78E" w:rsidR="00764106" w:rsidRDefault="00AA0095" w:rsidP="009C6890">
      <w:pPr>
        <w:pStyle w:val="ActHead5"/>
      </w:pPr>
      <w:r w:rsidRPr="004F4FEE">
        <w:lastRenderedPageBreak/>
        <w:t xml:space="preserve">Section </w:t>
      </w:r>
      <w:r w:rsidR="00B9033F">
        <w:t>40</w:t>
      </w:r>
      <w:r w:rsidR="00B9033F" w:rsidRPr="004F4FEE">
        <w:t xml:space="preserve"> </w:t>
      </w:r>
      <w:r w:rsidRPr="004F4FEE">
        <w:t>– No use or disclosure of authorised unlisted mobile number information by former research entities</w:t>
      </w:r>
    </w:p>
    <w:p w14:paraId="267E0DA3" w14:textId="47010294" w:rsidR="00AA0095" w:rsidRPr="004F4FEE" w:rsidRDefault="00AA0095" w:rsidP="00116173">
      <w:pPr>
        <w:shd w:val="clear" w:color="auto" w:fill="FFFFFF"/>
        <w:spacing w:before="100" w:beforeAutospacing="1" w:after="100" w:afterAutospacing="1" w:line="240" w:lineRule="auto"/>
        <w:rPr>
          <w:rFonts w:ascii="Times New Roman" w:hAnsi="Times New Roman"/>
          <w:sz w:val="19"/>
          <w:lang w:val="en-US"/>
        </w:rPr>
      </w:pPr>
      <w:r w:rsidRPr="004F4FEE">
        <w:rPr>
          <w:rFonts w:ascii="Times New Roman" w:hAnsi="Times New Roman"/>
          <w:sz w:val="24"/>
        </w:rPr>
        <w:t xml:space="preserve">Section </w:t>
      </w:r>
      <w:r w:rsidR="00531ACD">
        <w:rPr>
          <w:rFonts w:ascii="Times New Roman" w:hAnsi="Times New Roman"/>
          <w:sz w:val="24"/>
        </w:rPr>
        <w:t>40</w:t>
      </w:r>
      <w:r w:rsidR="00531ACD" w:rsidRPr="004F4FEE">
        <w:rPr>
          <w:rFonts w:ascii="Times New Roman" w:hAnsi="Times New Roman"/>
          <w:sz w:val="24"/>
        </w:rPr>
        <w:t xml:space="preserve"> </w:t>
      </w:r>
      <w:r w:rsidRPr="004F4FEE">
        <w:rPr>
          <w:rFonts w:ascii="Times New Roman" w:hAnsi="Times New Roman"/>
          <w:sz w:val="24"/>
        </w:rPr>
        <w:t xml:space="preserve">limits the use and disclosure of authorised unlisted mobile number information by a former research entity after authorisation period ends or the entity is removed from an authorisation. </w:t>
      </w:r>
    </w:p>
    <w:p w14:paraId="3D8D86FA" w14:textId="77777777" w:rsidR="00764106" w:rsidRDefault="00764106" w:rsidP="00764106">
      <w:pPr>
        <w:pStyle w:val="SubsectionHead"/>
        <w:ind w:left="0"/>
      </w:pPr>
      <w:r>
        <w:t>Purpose of this section</w:t>
      </w:r>
    </w:p>
    <w:p w14:paraId="4CDDFBB5" w14:textId="5AC2AC06" w:rsidR="00AA0095" w:rsidRDefault="00AA0095" w:rsidP="00116173">
      <w:pPr>
        <w:shd w:val="clear" w:color="auto" w:fill="FFFFFF"/>
        <w:spacing w:before="100" w:beforeAutospacing="1" w:after="100" w:afterAutospacing="1" w:line="240" w:lineRule="auto"/>
        <w:rPr>
          <w:rFonts w:ascii="Times New Roman" w:hAnsi="Times New Roman"/>
          <w:sz w:val="24"/>
        </w:rPr>
      </w:pPr>
      <w:r w:rsidRPr="004F4FEE">
        <w:rPr>
          <w:rFonts w:ascii="Times New Roman" w:hAnsi="Times New Roman"/>
          <w:sz w:val="24"/>
        </w:rPr>
        <w:t xml:space="preserve">Subsection </w:t>
      </w:r>
      <w:r w:rsidR="00531ACD">
        <w:rPr>
          <w:rFonts w:ascii="Times New Roman" w:hAnsi="Times New Roman"/>
          <w:sz w:val="24"/>
        </w:rPr>
        <w:t>40</w:t>
      </w:r>
      <w:r w:rsidRPr="004F4FEE">
        <w:rPr>
          <w:rFonts w:ascii="Times New Roman" w:hAnsi="Times New Roman"/>
          <w:sz w:val="24"/>
        </w:rPr>
        <w:t>(1) specifies that the section is made for the purposes of subparagraph 2</w:t>
      </w:r>
      <w:r w:rsidR="00531ACD">
        <w:rPr>
          <w:rFonts w:ascii="Times New Roman" w:hAnsi="Times New Roman"/>
          <w:sz w:val="24"/>
        </w:rPr>
        <w:t>1</w:t>
      </w:r>
      <w:r w:rsidRPr="004F4FEE">
        <w:rPr>
          <w:rFonts w:ascii="Times New Roman" w:hAnsi="Times New Roman"/>
          <w:sz w:val="24"/>
        </w:rPr>
        <w:t>(1)(c), which requires the ACMA to grant a research authorisation if it is reasonably satisfied, amongst the other criteria set out at subsection 2</w:t>
      </w:r>
      <w:r w:rsidR="00531ACD">
        <w:rPr>
          <w:rFonts w:ascii="Times New Roman" w:hAnsi="Times New Roman"/>
          <w:sz w:val="24"/>
        </w:rPr>
        <w:t>1</w:t>
      </w:r>
      <w:r w:rsidRPr="004F4FEE">
        <w:rPr>
          <w:rFonts w:ascii="Times New Roman" w:hAnsi="Times New Roman"/>
          <w:sz w:val="24"/>
        </w:rPr>
        <w:t xml:space="preserve">(1), that the each research entity covered by the authorisation will comply with the use and disclosure requirements of section </w:t>
      </w:r>
      <w:r w:rsidR="00531ACD">
        <w:rPr>
          <w:rFonts w:ascii="Times New Roman" w:hAnsi="Times New Roman"/>
          <w:sz w:val="24"/>
        </w:rPr>
        <w:t>40</w:t>
      </w:r>
      <w:r w:rsidRPr="004F4FEE">
        <w:rPr>
          <w:rFonts w:ascii="Times New Roman" w:hAnsi="Times New Roman"/>
          <w:sz w:val="24"/>
        </w:rPr>
        <w:t xml:space="preserve"> and section 4</w:t>
      </w:r>
      <w:r w:rsidR="00531ACD">
        <w:rPr>
          <w:rFonts w:ascii="Times New Roman" w:hAnsi="Times New Roman"/>
          <w:sz w:val="24"/>
        </w:rPr>
        <w:t>1</w:t>
      </w:r>
      <w:r w:rsidRPr="004F4FEE">
        <w:rPr>
          <w:rFonts w:ascii="Times New Roman" w:hAnsi="Times New Roman"/>
          <w:sz w:val="24"/>
        </w:rPr>
        <w:t>.</w:t>
      </w:r>
    </w:p>
    <w:p w14:paraId="2132D800" w14:textId="77777777" w:rsidR="00764106" w:rsidRDefault="00764106" w:rsidP="00A41B82">
      <w:pPr>
        <w:pStyle w:val="SubsectionHead"/>
        <w:ind w:left="0"/>
      </w:pPr>
      <w:r>
        <w:t>Scope of this section</w:t>
      </w:r>
    </w:p>
    <w:p w14:paraId="7B0E3241" w14:textId="6A34E4E4" w:rsidR="00AA0095" w:rsidRDefault="00AA0095" w:rsidP="00116173">
      <w:pPr>
        <w:shd w:val="clear" w:color="auto" w:fill="FFFFFF"/>
        <w:spacing w:before="100" w:beforeAutospacing="1" w:after="100" w:afterAutospacing="1" w:line="240" w:lineRule="auto"/>
        <w:rPr>
          <w:rFonts w:ascii="Times New Roman" w:hAnsi="Times New Roman"/>
          <w:sz w:val="24"/>
        </w:rPr>
      </w:pPr>
      <w:r w:rsidRPr="004F4FEE">
        <w:rPr>
          <w:rFonts w:ascii="Times New Roman" w:hAnsi="Times New Roman"/>
          <w:sz w:val="24"/>
        </w:rPr>
        <w:t xml:space="preserve">Subsection </w:t>
      </w:r>
      <w:r w:rsidR="00531ACD">
        <w:rPr>
          <w:rFonts w:ascii="Times New Roman" w:hAnsi="Times New Roman"/>
          <w:sz w:val="24"/>
        </w:rPr>
        <w:t>40</w:t>
      </w:r>
      <w:r w:rsidRPr="004F4FEE">
        <w:rPr>
          <w:rFonts w:ascii="Times New Roman" w:hAnsi="Times New Roman"/>
          <w:sz w:val="24"/>
        </w:rPr>
        <w:t xml:space="preserve">(2) provides that the section applies in situations where an authorised research entity receives unauthorised unlisted mobile number information under an authorisation, and the authorisation subsequently ends or the research entity is removed from the authorisation. </w:t>
      </w:r>
    </w:p>
    <w:p w14:paraId="4759375C" w14:textId="77777777" w:rsidR="00764106" w:rsidRDefault="00764106" w:rsidP="00A41B82">
      <w:pPr>
        <w:pStyle w:val="SubsectionHead"/>
        <w:ind w:left="0"/>
      </w:pPr>
      <w:r>
        <w:t>Former authorised research entity must not use information</w:t>
      </w:r>
    </w:p>
    <w:p w14:paraId="6AAAF035" w14:textId="542C9771" w:rsidR="00AA0095" w:rsidRDefault="00AA0095" w:rsidP="00116173">
      <w:pPr>
        <w:shd w:val="clear" w:color="auto" w:fill="FFFFFF"/>
        <w:spacing w:before="100" w:beforeAutospacing="1" w:after="100" w:afterAutospacing="1" w:line="240" w:lineRule="auto"/>
        <w:rPr>
          <w:rFonts w:ascii="Times New Roman" w:hAnsi="Times New Roman"/>
          <w:sz w:val="24"/>
        </w:rPr>
      </w:pPr>
      <w:r w:rsidRPr="004F4FEE">
        <w:rPr>
          <w:rFonts w:ascii="Times New Roman" w:hAnsi="Times New Roman"/>
          <w:sz w:val="24"/>
        </w:rPr>
        <w:t xml:space="preserve">Subsection </w:t>
      </w:r>
      <w:r w:rsidR="00531ACD">
        <w:rPr>
          <w:rFonts w:ascii="Times New Roman" w:hAnsi="Times New Roman"/>
          <w:sz w:val="24"/>
        </w:rPr>
        <w:t>40</w:t>
      </w:r>
      <w:r w:rsidRPr="004F4FEE">
        <w:rPr>
          <w:rFonts w:ascii="Times New Roman" w:hAnsi="Times New Roman"/>
          <w:sz w:val="24"/>
        </w:rPr>
        <w:t xml:space="preserve">(3) provides that a former research entity must not record or use unlisted mobile number information, or disclose that information unless authorised by unless authorised or required by the </w:t>
      </w:r>
      <w:r w:rsidRPr="004F4FEE">
        <w:rPr>
          <w:rFonts w:ascii="Times New Roman" w:hAnsi="Times New Roman"/>
          <w:sz w:val="24"/>
        </w:rPr>
        <w:lastRenderedPageBreak/>
        <w:t>ACMA to disclose that information to the ACMA or by any other law. The former research entity is also required to take all reasonable steps to destroy the information within 10 days after the authorisation ends or the former research entity is removed as the case requires.</w:t>
      </w:r>
    </w:p>
    <w:p w14:paraId="11441141" w14:textId="77777777" w:rsidR="00764106" w:rsidRDefault="00764106" w:rsidP="00A41B82">
      <w:pPr>
        <w:pStyle w:val="SubsectionHead"/>
        <w:ind w:left="0"/>
      </w:pPr>
      <w:r>
        <w:t>Disclosure to the ACMA</w:t>
      </w:r>
    </w:p>
    <w:p w14:paraId="3ACE0030" w14:textId="02654458" w:rsidR="00AA0095" w:rsidRPr="004F4FEE" w:rsidRDefault="00AA0095" w:rsidP="00116173">
      <w:pPr>
        <w:shd w:val="clear" w:color="auto" w:fill="FFFFFF"/>
        <w:spacing w:before="100" w:beforeAutospacing="1" w:after="100" w:afterAutospacing="1" w:line="240" w:lineRule="auto"/>
        <w:rPr>
          <w:rFonts w:ascii="Times New Roman" w:hAnsi="Times New Roman"/>
          <w:sz w:val="19"/>
          <w:lang w:val="en-US"/>
        </w:rPr>
      </w:pPr>
      <w:r w:rsidRPr="004F4FEE">
        <w:rPr>
          <w:rFonts w:ascii="Times New Roman" w:hAnsi="Times New Roman"/>
          <w:sz w:val="24"/>
        </w:rPr>
        <w:t xml:space="preserve">Subsection </w:t>
      </w:r>
      <w:r w:rsidR="00531ACD">
        <w:rPr>
          <w:rFonts w:ascii="Times New Roman" w:hAnsi="Times New Roman"/>
          <w:sz w:val="24"/>
        </w:rPr>
        <w:t>40</w:t>
      </w:r>
      <w:r w:rsidRPr="004F4FEE">
        <w:rPr>
          <w:rFonts w:ascii="Times New Roman" w:hAnsi="Times New Roman"/>
          <w:sz w:val="24"/>
        </w:rPr>
        <w:t>(4) requires the former research entity to disclose the information to the ACMA on request.</w:t>
      </w:r>
    </w:p>
    <w:p w14:paraId="0BEA109A" w14:textId="01FB8F22" w:rsidR="00AA0095" w:rsidRPr="004F4FEE" w:rsidRDefault="00AA0095" w:rsidP="00D319F7">
      <w:pPr>
        <w:pStyle w:val="ActHead5"/>
        <w:ind w:left="0" w:firstLine="0"/>
        <w:rPr>
          <w:sz w:val="19"/>
          <w:lang w:val="en-US"/>
        </w:rPr>
      </w:pPr>
      <w:r w:rsidRPr="004F4FEE">
        <w:t>Section 4</w:t>
      </w:r>
      <w:r w:rsidR="00531ACD">
        <w:t>1</w:t>
      </w:r>
      <w:r w:rsidRPr="004F4FEE">
        <w:t xml:space="preserve"> – Use or disclosure of research information after end of research authorisation etc.</w:t>
      </w:r>
    </w:p>
    <w:p w14:paraId="2D8B8B49" w14:textId="2AAEB072" w:rsidR="00AA0095" w:rsidRPr="004F4FEE" w:rsidRDefault="00AA0095" w:rsidP="00116173">
      <w:pPr>
        <w:shd w:val="clear" w:color="auto" w:fill="FFFFFF"/>
        <w:spacing w:before="100" w:beforeAutospacing="1" w:after="100" w:afterAutospacing="1" w:line="240" w:lineRule="auto"/>
        <w:rPr>
          <w:rFonts w:ascii="Times New Roman" w:hAnsi="Times New Roman"/>
          <w:sz w:val="19"/>
          <w:lang w:val="en-US"/>
        </w:rPr>
      </w:pPr>
      <w:r w:rsidRPr="004F4FEE">
        <w:rPr>
          <w:rFonts w:ascii="Times New Roman" w:hAnsi="Times New Roman"/>
          <w:sz w:val="24"/>
        </w:rPr>
        <w:t>Section 4</w:t>
      </w:r>
      <w:r w:rsidR="006C3991">
        <w:rPr>
          <w:rFonts w:ascii="Times New Roman" w:hAnsi="Times New Roman"/>
          <w:sz w:val="24"/>
        </w:rPr>
        <w:t>1</w:t>
      </w:r>
      <w:r w:rsidRPr="004F4FEE">
        <w:rPr>
          <w:rFonts w:ascii="Times New Roman" w:hAnsi="Times New Roman"/>
          <w:sz w:val="24"/>
        </w:rPr>
        <w:t xml:space="preserve"> limits the use and disclosure of research information by a former research entity after authorisation period lapses or the entity is removed. </w:t>
      </w:r>
    </w:p>
    <w:p w14:paraId="5D6B30DB" w14:textId="77777777" w:rsidR="00AA0095" w:rsidRPr="004F4FEE" w:rsidRDefault="00AA0095" w:rsidP="00116173">
      <w:pPr>
        <w:shd w:val="clear" w:color="auto" w:fill="FFFFFF"/>
        <w:spacing w:before="100" w:beforeAutospacing="1" w:after="100" w:afterAutospacing="1" w:line="240" w:lineRule="auto"/>
        <w:rPr>
          <w:rFonts w:ascii="Times New Roman" w:hAnsi="Times New Roman"/>
          <w:sz w:val="19"/>
          <w:lang w:val="en-US"/>
        </w:rPr>
      </w:pPr>
      <w:r w:rsidRPr="004F4FEE">
        <w:rPr>
          <w:rFonts w:ascii="Times New Roman" w:hAnsi="Times New Roman"/>
          <w:sz w:val="24"/>
        </w:rPr>
        <w:t xml:space="preserve">Once a research period ends or a research entity voluntarily withdraws from a research authorisation, those entities – former research entities – will be permitted to make a record of, or use, the research information relating to a contacted person where the information is de-identified and does not include the person’s public number. </w:t>
      </w:r>
    </w:p>
    <w:p w14:paraId="743E2A61" w14:textId="0AB3CC85" w:rsidR="00AA0095" w:rsidRDefault="00AA0095" w:rsidP="00116173">
      <w:pPr>
        <w:shd w:val="clear" w:color="auto" w:fill="FFFFFF"/>
        <w:spacing w:before="100" w:beforeAutospacing="1" w:after="100" w:afterAutospacing="1" w:line="240" w:lineRule="auto"/>
        <w:rPr>
          <w:rFonts w:ascii="Times New Roman" w:hAnsi="Times New Roman"/>
          <w:sz w:val="24"/>
        </w:rPr>
      </w:pPr>
      <w:r w:rsidRPr="004F4FEE">
        <w:rPr>
          <w:rFonts w:ascii="Times New Roman" w:hAnsi="Times New Roman"/>
          <w:sz w:val="24"/>
        </w:rPr>
        <w:t>However if a former research entity has been removed for contravention under section 3</w:t>
      </w:r>
      <w:r w:rsidR="006C3991">
        <w:rPr>
          <w:rFonts w:ascii="Times New Roman" w:hAnsi="Times New Roman"/>
          <w:sz w:val="24"/>
        </w:rPr>
        <w:t>8</w:t>
      </w:r>
      <w:r w:rsidRPr="004F4FEE">
        <w:rPr>
          <w:rFonts w:ascii="Times New Roman" w:hAnsi="Times New Roman"/>
          <w:sz w:val="24"/>
        </w:rPr>
        <w:t xml:space="preserve">, the research entity will be prohibited from making a record of, using or disclosing research information. They will also be required to take all reasonable steps to destroy the research information. </w:t>
      </w:r>
    </w:p>
    <w:p w14:paraId="3994F35E" w14:textId="77777777" w:rsidR="00764106" w:rsidRDefault="00764106" w:rsidP="00A41B82">
      <w:pPr>
        <w:pStyle w:val="SubsectionHead"/>
        <w:ind w:left="0"/>
      </w:pPr>
      <w:r>
        <w:lastRenderedPageBreak/>
        <w:t>Purpose of this section</w:t>
      </w:r>
    </w:p>
    <w:p w14:paraId="0FECCFDD" w14:textId="334C18E3" w:rsidR="00AA0095" w:rsidRDefault="00AA0095" w:rsidP="00116173">
      <w:pPr>
        <w:shd w:val="clear" w:color="auto" w:fill="FFFFFF"/>
        <w:spacing w:before="100" w:beforeAutospacing="1" w:after="100" w:afterAutospacing="1" w:line="240" w:lineRule="auto"/>
        <w:rPr>
          <w:rFonts w:ascii="Times New Roman" w:hAnsi="Times New Roman"/>
          <w:sz w:val="24"/>
        </w:rPr>
      </w:pPr>
      <w:r w:rsidRPr="004F4FEE">
        <w:rPr>
          <w:rFonts w:ascii="Times New Roman" w:hAnsi="Times New Roman"/>
          <w:sz w:val="24"/>
        </w:rPr>
        <w:t>Subsection 4</w:t>
      </w:r>
      <w:r w:rsidR="006C3991">
        <w:rPr>
          <w:rFonts w:ascii="Times New Roman" w:hAnsi="Times New Roman"/>
          <w:sz w:val="24"/>
        </w:rPr>
        <w:t>1</w:t>
      </w:r>
      <w:r w:rsidRPr="004F4FEE">
        <w:rPr>
          <w:rFonts w:ascii="Times New Roman" w:hAnsi="Times New Roman"/>
          <w:sz w:val="24"/>
        </w:rPr>
        <w:t>(1) provides that the section is made for the purposes of subsection 2</w:t>
      </w:r>
      <w:r w:rsidR="006C3991">
        <w:rPr>
          <w:rFonts w:ascii="Times New Roman" w:hAnsi="Times New Roman"/>
          <w:sz w:val="24"/>
        </w:rPr>
        <w:t>1</w:t>
      </w:r>
      <w:r w:rsidRPr="004F4FEE">
        <w:rPr>
          <w:rFonts w:ascii="Times New Roman" w:hAnsi="Times New Roman"/>
          <w:sz w:val="24"/>
        </w:rPr>
        <w:t>(1)(c), which requires the ACMA to grant a research authorisation if it is reasonably satisfied, amongst the other criteria set out at subsection 2</w:t>
      </w:r>
      <w:r w:rsidR="006C3991">
        <w:rPr>
          <w:rFonts w:ascii="Times New Roman" w:hAnsi="Times New Roman"/>
          <w:sz w:val="24"/>
        </w:rPr>
        <w:t>1</w:t>
      </w:r>
      <w:r w:rsidRPr="004F4FEE">
        <w:rPr>
          <w:rFonts w:ascii="Times New Roman" w:hAnsi="Times New Roman"/>
          <w:sz w:val="24"/>
        </w:rPr>
        <w:t xml:space="preserve">(1), that the each research entity covered by the authorisation will comply with the use and disclosure requirements of sections </w:t>
      </w:r>
      <w:r w:rsidR="006C3991">
        <w:rPr>
          <w:rFonts w:ascii="Times New Roman" w:hAnsi="Times New Roman"/>
          <w:sz w:val="24"/>
        </w:rPr>
        <w:t>40</w:t>
      </w:r>
      <w:r w:rsidR="006C3991" w:rsidRPr="004F4FEE">
        <w:rPr>
          <w:rFonts w:ascii="Times New Roman" w:hAnsi="Times New Roman"/>
          <w:sz w:val="24"/>
        </w:rPr>
        <w:t xml:space="preserve"> </w:t>
      </w:r>
      <w:r w:rsidRPr="004F4FEE">
        <w:rPr>
          <w:rFonts w:ascii="Times New Roman" w:hAnsi="Times New Roman"/>
          <w:sz w:val="24"/>
        </w:rPr>
        <w:t xml:space="preserve">and </w:t>
      </w:r>
      <w:r w:rsidR="006C3991">
        <w:rPr>
          <w:rFonts w:ascii="Times New Roman" w:hAnsi="Times New Roman"/>
          <w:sz w:val="24"/>
        </w:rPr>
        <w:t>41</w:t>
      </w:r>
      <w:r w:rsidRPr="004F4FEE">
        <w:rPr>
          <w:rFonts w:ascii="Times New Roman" w:hAnsi="Times New Roman"/>
          <w:sz w:val="24"/>
        </w:rPr>
        <w:t>.</w:t>
      </w:r>
    </w:p>
    <w:p w14:paraId="65F6C1EC" w14:textId="08881FFE" w:rsidR="00764106" w:rsidRPr="00A41B82" w:rsidRDefault="00764106" w:rsidP="00A41B82">
      <w:pPr>
        <w:pStyle w:val="SubsectionHead"/>
        <w:ind w:left="0"/>
      </w:pPr>
      <w:r w:rsidRPr="00A41B82">
        <w:t>Research authorisation ends etc.</w:t>
      </w:r>
    </w:p>
    <w:p w14:paraId="0AEF183F" w14:textId="09639628" w:rsidR="00AA0095" w:rsidRPr="004F4FEE" w:rsidRDefault="00AA0095" w:rsidP="00116173">
      <w:pPr>
        <w:shd w:val="clear" w:color="auto" w:fill="FFFFFF"/>
        <w:spacing w:before="100" w:beforeAutospacing="1" w:after="100" w:afterAutospacing="1" w:line="240" w:lineRule="auto"/>
        <w:rPr>
          <w:rFonts w:ascii="Times New Roman" w:hAnsi="Times New Roman"/>
          <w:sz w:val="19"/>
          <w:lang w:val="en-US"/>
        </w:rPr>
      </w:pPr>
      <w:r w:rsidRPr="004F4FEE">
        <w:rPr>
          <w:rFonts w:ascii="Times New Roman" w:hAnsi="Times New Roman"/>
          <w:sz w:val="24"/>
        </w:rPr>
        <w:t xml:space="preserve">Subsection </w:t>
      </w:r>
      <w:r w:rsidR="006C3991">
        <w:rPr>
          <w:rFonts w:ascii="Times New Roman" w:hAnsi="Times New Roman"/>
          <w:sz w:val="24"/>
        </w:rPr>
        <w:t>41</w:t>
      </w:r>
      <w:r w:rsidRPr="004F4FEE">
        <w:rPr>
          <w:rFonts w:ascii="Times New Roman" w:hAnsi="Times New Roman"/>
          <w:sz w:val="24"/>
        </w:rPr>
        <w:t xml:space="preserve">(2) provides that if an authorised research entity has research information relating to a contacted person, and the authorisation ends or the entity is voluntarily removed under section 38, the entity must not make a record of, use or disclose the information unless it is de-identified and does not include the person’s public number. </w:t>
      </w:r>
    </w:p>
    <w:p w14:paraId="1181DCE4" w14:textId="30E9AD93" w:rsidR="00AA0095" w:rsidRDefault="00AA0095" w:rsidP="00116173">
      <w:pPr>
        <w:shd w:val="clear" w:color="auto" w:fill="FFFFFF"/>
        <w:spacing w:before="100" w:beforeAutospacing="1" w:after="100" w:afterAutospacing="1" w:line="240" w:lineRule="auto"/>
        <w:rPr>
          <w:rFonts w:ascii="Times New Roman" w:hAnsi="Times New Roman"/>
          <w:sz w:val="24"/>
        </w:rPr>
      </w:pPr>
      <w:r w:rsidRPr="004F4FEE">
        <w:rPr>
          <w:rFonts w:ascii="Times New Roman" w:hAnsi="Times New Roman"/>
          <w:sz w:val="24"/>
        </w:rPr>
        <w:t xml:space="preserve">This allows former research entities that have complied with all conditions of the research authorisation to make effective use of the research information gathered, so long as it is de-identified. For instance this provision will allow for the release of a report or the disclosure of a de-identified dataset to an entity not covered by the research authorisation for a different or subsequent purpose. </w:t>
      </w:r>
    </w:p>
    <w:p w14:paraId="6D6308ED" w14:textId="77777777" w:rsidR="00764106" w:rsidRDefault="00764106" w:rsidP="00A41B82">
      <w:pPr>
        <w:pStyle w:val="SubsectionHead"/>
        <w:ind w:left="0"/>
      </w:pPr>
      <w:r>
        <w:lastRenderedPageBreak/>
        <w:t>Authorised research entity is involuntarily removed from research authorisation</w:t>
      </w:r>
    </w:p>
    <w:p w14:paraId="3E03CC8D" w14:textId="5BA126AD" w:rsidR="00AA0095" w:rsidRPr="004F4FEE" w:rsidRDefault="00D319F7" w:rsidP="00116173">
      <w:pPr>
        <w:shd w:val="clear" w:color="auto" w:fill="FFFFFF"/>
        <w:spacing w:before="100" w:beforeAutospacing="1" w:after="100" w:afterAutospacing="1" w:line="240" w:lineRule="auto"/>
        <w:rPr>
          <w:rFonts w:ascii="Times New Roman" w:hAnsi="Times New Roman"/>
          <w:sz w:val="19"/>
          <w:lang w:val="en-US"/>
        </w:rPr>
      </w:pPr>
      <w:r>
        <w:rPr>
          <w:rFonts w:ascii="Times New Roman" w:hAnsi="Times New Roman"/>
          <w:sz w:val="24"/>
        </w:rPr>
        <w:t>P</w:t>
      </w:r>
      <w:r w:rsidR="00AA0095" w:rsidRPr="004F4FEE">
        <w:rPr>
          <w:rFonts w:ascii="Times New Roman" w:hAnsi="Times New Roman"/>
          <w:sz w:val="24"/>
        </w:rPr>
        <w:t>aragraphs 4</w:t>
      </w:r>
      <w:r w:rsidR="006C3991">
        <w:rPr>
          <w:rFonts w:ascii="Times New Roman" w:hAnsi="Times New Roman"/>
          <w:sz w:val="24"/>
        </w:rPr>
        <w:t>1</w:t>
      </w:r>
      <w:r w:rsidR="00A238B3">
        <w:rPr>
          <w:rFonts w:ascii="Times New Roman" w:hAnsi="Times New Roman"/>
          <w:sz w:val="24"/>
        </w:rPr>
        <w:t>(3)(a) and</w:t>
      </w:r>
      <w:r w:rsidR="00AA0095" w:rsidRPr="004F4FEE">
        <w:rPr>
          <w:rFonts w:ascii="Times New Roman" w:hAnsi="Times New Roman"/>
          <w:sz w:val="24"/>
        </w:rPr>
        <w:t xml:space="preserve"> (b) prohibit a former research</w:t>
      </w:r>
      <w:r w:rsidR="00E76600">
        <w:rPr>
          <w:rFonts w:ascii="Times New Roman" w:hAnsi="Times New Roman"/>
          <w:sz w:val="24"/>
        </w:rPr>
        <w:t xml:space="preserve"> entity who is removed under </w:t>
      </w:r>
      <w:r w:rsidR="00AA0095" w:rsidRPr="004F4FEE">
        <w:rPr>
          <w:rFonts w:ascii="Times New Roman" w:hAnsi="Times New Roman"/>
          <w:sz w:val="24"/>
        </w:rPr>
        <w:t>section 3</w:t>
      </w:r>
      <w:r w:rsidR="006C3991">
        <w:rPr>
          <w:rFonts w:ascii="Times New Roman" w:hAnsi="Times New Roman"/>
          <w:sz w:val="24"/>
        </w:rPr>
        <w:t>8</w:t>
      </w:r>
      <w:r w:rsidR="00AA0095" w:rsidRPr="004F4FEE">
        <w:rPr>
          <w:rFonts w:ascii="Times New Roman" w:hAnsi="Times New Roman"/>
          <w:sz w:val="24"/>
        </w:rPr>
        <w:t xml:space="preserve"> from using, disclosing or recording any research information it has relating to a contacted person. Section 37 allows the ACMA to remove an authorised research entity from a research authorisation if it is satisfied that a condition of any research authorisation covering that entity has</w:t>
      </w:r>
      <w:r w:rsidR="00A238B3">
        <w:rPr>
          <w:rFonts w:ascii="Times New Roman" w:hAnsi="Times New Roman"/>
          <w:sz w:val="24"/>
        </w:rPr>
        <w:t xml:space="preserve"> been contravened. Subsection 41</w:t>
      </w:r>
      <w:r w:rsidR="00AA0095" w:rsidRPr="004F4FEE">
        <w:rPr>
          <w:rFonts w:ascii="Times New Roman" w:hAnsi="Times New Roman"/>
          <w:sz w:val="24"/>
        </w:rPr>
        <w:t>(3)(c) requires that such a former research entity take all reasonable steps to destroy the information within 10 days of its removal from the authorisation.</w:t>
      </w:r>
    </w:p>
    <w:p w14:paraId="32CB2021" w14:textId="5328FED5" w:rsidR="00AA0095" w:rsidRPr="004F4FEE" w:rsidRDefault="00AA0095" w:rsidP="00116173">
      <w:pPr>
        <w:shd w:val="clear" w:color="auto" w:fill="FFFFFF"/>
        <w:spacing w:before="100" w:beforeAutospacing="1" w:after="100" w:afterAutospacing="1" w:line="240" w:lineRule="auto"/>
        <w:rPr>
          <w:rFonts w:ascii="Times New Roman" w:hAnsi="Times New Roman"/>
          <w:sz w:val="19"/>
          <w:lang w:val="en-US"/>
        </w:rPr>
      </w:pPr>
      <w:r w:rsidRPr="009C6890">
        <w:rPr>
          <w:rFonts w:ascii="Times New Roman" w:hAnsi="Times New Roman"/>
          <w:sz w:val="24"/>
        </w:rPr>
        <w:t>The effect of this provision is that an entity who is removed by the ACMA for contravention of an authorisation condition – for instance</w:t>
      </w:r>
      <w:r w:rsidR="00844DA3">
        <w:rPr>
          <w:rFonts w:ascii="Times New Roman" w:hAnsi="Times New Roman"/>
          <w:sz w:val="24"/>
        </w:rPr>
        <w:t>,</w:t>
      </w:r>
      <w:r w:rsidRPr="009C6890">
        <w:rPr>
          <w:rFonts w:ascii="Times New Roman" w:hAnsi="Times New Roman"/>
          <w:sz w:val="24"/>
        </w:rPr>
        <w:t xml:space="preserve"> non-compliance with the Privacy Act</w:t>
      </w:r>
      <w:r w:rsidR="006C3991" w:rsidRPr="009C6890">
        <w:rPr>
          <w:rFonts w:ascii="Helvetica Neue" w:eastAsia="Times New Roman" w:hAnsi="Helvetica Neue" w:cs="Times New Roman"/>
          <w:sz w:val="24"/>
          <w:szCs w:val="24"/>
          <w:lang w:eastAsia="en-AU"/>
        </w:rPr>
        <w:t xml:space="preserve"> </w:t>
      </w:r>
      <w:r w:rsidRPr="009C6890">
        <w:rPr>
          <w:rFonts w:ascii="Times New Roman" w:hAnsi="Times New Roman"/>
          <w:sz w:val="24"/>
        </w:rPr>
        <w:t>– will be prevented from making use of any research information that they have obtained. Non-compliant research entities will forfeit any research information they have obtained in the event of a breach of a condition in an authorisation. This provision encourages compliance with the conditions of a research authorisation.</w:t>
      </w:r>
    </w:p>
    <w:p w14:paraId="359C62D6" w14:textId="77777777" w:rsidR="00AA0095" w:rsidRPr="004F4FEE" w:rsidRDefault="00AA0095" w:rsidP="009C6890">
      <w:pPr>
        <w:pStyle w:val="ActHead4"/>
        <w:rPr>
          <w:sz w:val="19"/>
          <w:lang w:val="en-US"/>
        </w:rPr>
      </w:pPr>
      <w:r w:rsidRPr="004F4FEE">
        <w:t>Subdivision F – Review of decisions</w:t>
      </w:r>
    </w:p>
    <w:p w14:paraId="4B888535" w14:textId="695E39F5" w:rsidR="00AA0095" w:rsidRPr="004F4FEE" w:rsidRDefault="00AA0095" w:rsidP="009C6890">
      <w:pPr>
        <w:pStyle w:val="ActHead5"/>
        <w:rPr>
          <w:sz w:val="19"/>
          <w:lang w:val="en-US"/>
        </w:rPr>
      </w:pPr>
      <w:r w:rsidRPr="004F4FEE">
        <w:t>Section 4</w:t>
      </w:r>
      <w:r w:rsidR="006C3991">
        <w:t>2</w:t>
      </w:r>
      <w:r w:rsidRPr="004F4FEE">
        <w:t xml:space="preserve"> – Decisions that may be subject to reconsideration by the ACMA</w:t>
      </w:r>
    </w:p>
    <w:p w14:paraId="4F6B1772" w14:textId="62CFBFC7" w:rsidR="00AA0095" w:rsidRPr="004F4FEE" w:rsidRDefault="00AA0095" w:rsidP="00116173">
      <w:pPr>
        <w:shd w:val="clear" w:color="auto" w:fill="FFFFFF"/>
        <w:spacing w:before="100" w:beforeAutospacing="1" w:after="100" w:afterAutospacing="1" w:line="240" w:lineRule="auto"/>
        <w:rPr>
          <w:rFonts w:ascii="Times New Roman" w:hAnsi="Times New Roman"/>
          <w:sz w:val="19"/>
          <w:lang w:val="en-US"/>
        </w:rPr>
      </w:pPr>
      <w:r w:rsidRPr="004F4FEE">
        <w:rPr>
          <w:rFonts w:ascii="Times New Roman" w:hAnsi="Times New Roman"/>
          <w:sz w:val="24"/>
        </w:rPr>
        <w:t>Section 4</w:t>
      </w:r>
      <w:r w:rsidR="006C3991">
        <w:rPr>
          <w:rFonts w:ascii="Times New Roman" w:hAnsi="Times New Roman"/>
          <w:sz w:val="24"/>
        </w:rPr>
        <w:t>2</w:t>
      </w:r>
      <w:r w:rsidRPr="004F4FEE">
        <w:rPr>
          <w:rFonts w:ascii="Times New Roman" w:hAnsi="Times New Roman"/>
          <w:sz w:val="24"/>
        </w:rPr>
        <w:t xml:space="preserve"> provides for the review of decisions by the ACMA. Persons dissatisfied with an ACMA decision to: not grant a research authorisation; to grant a research authorisation subject to additional conditions; to specify additional conditions to which an authorisation is subject; vary an additional condition; </w:t>
      </w:r>
      <w:r w:rsidRPr="004F4FEE">
        <w:rPr>
          <w:rFonts w:ascii="Times New Roman" w:hAnsi="Times New Roman"/>
          <w:sz w:val="24"/>
        </w:rPr>
        <w:lastRenderedPageBreak/>
        <w:t>remove an entity from an authorisation; or not voluntarily remove an entity from an authorisation, may request a review of the decision.</w:t>
      </w:r>
      <w:r w:rsidR="00FA74E4">
        <w:rPr>
          <w:rFonts w:ascii="Times New Roman" w:hAnsi="Times New Roman"/>
          <w:sz w:val="24"/>
        </w:rPr>
        <w:t xml:space="preserve"> A request must be in writing, </w:t>
      </w:r>
      <w:r w:rsidR="006C3991">
        <w:rPr>
          <w:rFonts w:ascii="Times New Roman" w:hAnsi="Times New Roman"/>
          <w:sz w:val="24"/>
        </w:rPr>
        <w:t xml:space="preserve">clearly </w:t>
      </w:r>
      <w:r w:rsidRPr="004F4FEE">
        <w:rPr>
          <w:rFonts w:ascii="Times New Roman" w:hAnsi="Times New Roman"/>
          <w:sz w:val="24"/>
        </w:rPr>
        <w:t>set</w:t>
      </w:r>
      <w:r w:rsidR="006C3991">
        <w:rPr>
          <w:rFonts w:ascii="Times New Roman" w:hAnsi="Times New Roman"/>
          <w:sz w:val="24"/>
        </w:rPr>
        <w:t>ting</w:t>
      </w:r>
      <w:r w:rsidRPr="004F4FEE">
        <w:rPr>
          <w:rFonts w:ascii="Times New Roman" w:hAnsi="Times New Roman"/>
          <w:sz w:val="24"/>
        </w:rPr>
        <w:t xml:space="preserve"> out the reasons for the request. To ensure that such requests are made in a timely way, the sections specify that the request must be made within 28 days from when the decision was made. </w:t>
      </w:r>
    </w:p>
    <w:p w14:paraId="5A6F5E68" w14:textId="622353FD" w:rsidR="00AA0095" w:rsidRPr="004F4FEE" w:rsidRDefault="00AA0095" w:rsidP="009C6890">
      <w:pPr>
        <w:pStyle w:val="ActHead5"/>
        <w:rPr>
          <w:sz w:val="19"/>
          <w:lang w:val="en-US"/>
        </w:rPr>
      </w:pPr>
      <w:r w:rsidRPr="004F4FEE">
        <w:t>Section 4</w:t>
      </w:r>
      <w:r w:rsidR="006C3991">
        <w:t>3</w:t>
      </w:r>
      <w:r w:rsidRPr="004F4FEE">
        <w:t xml:space="preserve"> – Reconsideration by the ACMA</w:t>
      </w:r>
    </w:p>
    <w:p w14:paraId="7D85AE7E" w14:textId="167E032E" w:rsidR="00AA0095" w:rsidRPr="004F4FEE" w:rsidRDefault="00AA0095" w:rsidP="00116173">
      <w:pPr>
        <w:shd w:val="clear" w:color="auto" w:fill="FFFFFF"/>
        <w:spacing w:before="100" w:beforeAutospacing="1" w:after="100" w:afterAutospacing="1" w:line="240" w:lineRule="auto"/>
        <w:rPr>
          <w:rFonts w:ascii="Times New Roman" w:hAnsi="Times New Roman"/>
          <w:sz w:val="19"/>
          <w:lang w:val="en-US"/>
        </w:rPr>
      </w:pPr>
      <w:r w:rsidRPr="004F4FEE">
        <w:rPr>
          <w:rFonts w:ascii="Times New Roman" w:hAnsi="Times New Roman"/>
          <w:sz w:val="24"/>
        </w:rPr>
        <w:t>Section 4</w:t>
      </w:r>
      <w:r w:rsidR="006C3991">
        <w:rPr>
          <w:rFonts w:ascii="Times New Roman" w:hAnsi="Times New Roman"/>
          <w:sz w:val="24"/>
        </w:rPr>
        <w:t>3</w:t>
      </w:r>
      <w:r w:rsidRPr="004F4FEE">
        <w:rPr>
          <w:rFonts w:ascii="Times New Roman" w:hAnsi="Times New Roman"/>
          <w:sz w:val="24"/>
        </w:rPr>
        <w:t xml:space="preserve"> specifies that upon receipt of a request under section 4</w:t>
      </w:r>
      <w:r w:rsidR="006C3991">
        <w:rPr>
          <w:rFonts w:ascii="Times New Roman" w:hAnsi="Times New Roman"/>
          <w:sz w:val="24"/>
        </w:rPr>
        <w:t>2</w:t>
      </w:r>
      <w:r w:rsidRPr="004F4FEE">
        <w:rPr>
          <w:rFonts w:ascii="Times New Roman" w:hAnsi="Times New Roman"/>
          <w:sz w:val="24"/>
        </w:rPr>
        <w:t>, the ACMA must reconsider the decision and either affirm, vary or revoke the decision. Before making a decision on reconsideration the ACMA may consult with any person or body considered appropriate. The ACMA must notify the applicant in writing of its decision and provide reasons.</w:t>
      </w:r>
    </w:p>
    <w:p w14:paraId="0C841B80" w14:textId="45681836" w:rsidR="00AA0095" w:rsidRPr="00A41B82" w:rsidRDefault="00AA0095" w:rsidP="00116173">
      <w:pPr>
        <w:shd w:val="clear" w:color="auto" w:fill="FFFFFF"/>
        <w:spacing w:before="100" w:beforeAutospacing="1" w:after="100" w:afterAutospacing="1" w:line="240" w:lineRule="auto"/>
        <w:rPr>
          <w:rFonts w:ascii="Times New Roman" w:hAnsi="Times New Roman"/>
          <w:sz w:val="19"/>
          <w:lang w:val="en-US"/>
        </w:rPr>
      </w:pPr>
      <w:r w:rsidRPr="004F4FEE">
        <w:rPr>
          <w:rFonts w:ascii="Times New Roman" w:hAnsi="Times New Roman"/>
          <w:sz w:val="24"/>
        </w:rPr>
        <w:t>The note after subsection 4</w:t>
      </w:r>
      <w:r w:rsidR="006C3991">
        <w:rPr>
          <w:rFonts w:ascii="Times New Roman" w:hAnsi="Times New Roman"/>
          <w:sz w:val="24"/>
        </w:rPr>
        <w:t>3</w:t>
      </w:r>
      <w:r w:rsidRPr="004F4FEE">
        <w:rPr>
          <w:rFonts w:ascii="Times New Roman" w:hAnsi="Times New Roman"/>
          <w:sz w:val="24"/>
        </w:rPr>
        <w:t xml:space="preserve">(4) references section 27A of the </w:t>
      </w:r>
      <w:r w:rsidRPr="004F4FEE">
        <w:rPr>
          <w:rFonts w:ascii="Times New Roman" w:hAnsi="Times New Roman"/>
          <w:i/>
          <w:sz w:val="24"/>
        </w:rPr>
        <w:t>Administrative Appeals Tribunal Act 1975</w:t>
      </w:r>
      <w:r w:rsidR="002D3956">
        <w:rPr>
          <w:rFonts w:ascii="Times New Roman" w:eastAsia="Times New Roman" w:hAnsi="Times New Roman" w:cs="Times New Roman"/>
          <w:iCs/>
          <w:sz w:val="24"/>
          <w:szCs w:val="24"/>
          <w:lang w:eastAsia="en-AU"/>
        </w:rPr>
        <w:t>¸</w:t>
      </w:r>
      <w:r w:rsidR="002D3956" w:rsidRPr="002D3956">
        <w:t xml:space="preserve"> </w:t>
      </w:r>
      <w:r w:rsidR="002D3956" w:rsidRPr="002D3956">
        <w:rPr>
          <w:rFonts w:ascii="Times New Roman" w:eastAsia="Times New Roman" w:hAnsi="Times New Roman" w:cs="Times New Roman"/>
          <w:iCs/>
          <w:sz w:val="24"/>
          <w:szCs w:val="24"/>
          <w:lang w:eastAsia="en-AU"/>
        </w:rPr>
        <w:t>which requires a notice of decision and review rights to be given for reviewable decisions</w:t>
      </w:r>
      <w:r w:rsidRPr="00261CDF">
        <w:rPr>
          <w:rFonts w:ascii="Times New Roman" w:eastAsia="Times New Roman" w:hAnsi="Times New Roman" w:cs="Times New Roman"/>
          <w:sz w:val="24"/>
          <w:szCs w:val="24"/>
          <w:lang w:eastAsia="en-AU"/>
        </w:rPr>
        <w:t>.</w:t>
      </w:r>
      <w:r w:rsidRPr="00A41B82">
        <w:rPr>
          <w:rFonts w:ascii="Times New Roman" w:hAnsi="Times New Roman"/>
          <w:sz w:val="24"/>
        </w:rPr>
        <w:t xml:space="preserve"> </w:t>
      </w:r>
    </w:p>
    <w:p w14:paraId="431FBD90" w14:textId="4D4926CE" w:rsidR="00AA0095" w:rsidRPr="004F4FEE" w:rsidRDefault="00AA0095" w:rsidP="009C6890">
      <w:pPr>
        <w:pStyle w:val="ActHead5"/>
        <w:rPr>
          <w:sz w:val="19"/>
          <w:lang w:val="en-US"/>
        </w:rPr>
      </w:pPr>
      <w:r w:rsidRPr="004F4FEE">
        <w:t xml:space="preserve">Section </w:t>
      </w:r>
      <w:r w:rsidR="006C3991">
        <w:t>4</w:t>
      </w:r>
      <w:r w:rsidR="00764106">
        <w:t>4</w:t>
      </w:r>
      <w:r w:rsidRPr="004F4FEE">
        <w:t xml:space="preserve"> – Deadlines for reconsiderations</w:t>
      </w:r>
    </w:p>
    <w:p w14:paraId="33B822C4" w14:textId="02B576ED" w:rsidR="00AA0095" w:rsidRPr="004F4FEE" w:rsidRDefault="00AA0095" w:rsidP="00116173">
      <w:pPr>
        <w:shd w:val="clear" w:color="auto" w:fill="FFFFFF"/>
        <w:spacing w:before="100" w:beforeAutospacing="1" w:after="100" w:afterAutospacing="1" w:line="240" w:lineRule="auto"/>
        <w:rPr>
          <w:rFonts w:ascii="Times New Roman" w:hAnsi="Times New Roman"/>
          <w:sz w:val="19"/>
          <w:lang w:val="en-US"/>
        </w:rPr>
      </w:pPr>
      <w:r w:rsidRPr="004F4FEE">
        <w:rPr>
          <w:rFonts w:ascii="Times New Roman" w:hAnsi="Times New Roman"/>
          <w:sz w:val="24"/>
        </w:rPr>
        <w:t>Section 4</w:t>
      </w:r>
      <w:r w:rsidR="00764106">
        <w:rPr>
          <w:rFonts w:ascii="Times New Roman" w:hAnsi="Times New Roman"/>
          <w:sz w:val="24"/>
        </w:rPr>
        <w:t>4</w:t>
      </w:r>
      <w:r w:rsidRPr="004F4FEE">
        <w:rPr>
          <w:rFonts w:ascii="Times New Roman" w:hAnsi="Times New Roman"/>
          <w:sz w:val="24"/>
        </w:rPr>
        <w:t xml:space="preserve"> provides that the ACMA’s original decision is taken to be affirmed 90 days after receiving a request, if it does not make a decision on the request in subsection 4</w:t>
      </w:r>
      <w:r w:rsidR="006C3991">
        <w:rPr>
          <w:rFonts w:ascii="Times New Roman" w:hAnsi="Times New Roman"/>
          <w:sz w:val="24"/>
        </w:rPr>
        <w:t>3</w:t>
      </w:r>
      <w:r w:rsidRPr="004F4FEE">
        <w:rPr>
          <w:rFonts w:ascii="Times New Roman" w:hAnsi="Times New Roman"/>
          <w:sz w:val="24"/>
        </w:rPr>
        <w:t xml:space="preserve">(1) before then. </w:t>
      </w:r>
    </w:p>
    <w:p w14:paraId="3A1A90CC" w14:textId="06A01773" w:rsidR="00AA0095" w:rsidRPr="00DA1C42" w:rsidRDefault="00AA0095" w:rsidP="00116173">
      <w:pPr>
        <w:shd w:val="clear" w:color="auto" w:fill="FFFFFF"/>
        <w:spacing w:before="100" w:beforeAutospacing="1" w:after="100" w:afterAutospacing="1" w:line="240" w:lineRule="auto"/>
        <w:rPr>
          <w:rFonts w:ascii="Times New Roman" w:hAnsi="Times New Roman"/>
          <w:sz w:val="19"/>
          <w:lang w:val="en-US"/>
        </w:rPr>
      </w:pPr>
      <w:r w:rsidRPr="00DA1C42">
        <w:rPr>
          <w:rFonts w:ascii="Times New Roman" w:hAnsi="Times New Roman"/>
          <w:b/>
          <w:sz w:val="24"/>
        </w:rPr>
        <w:t>Section 4</w:t>
      </w:r>
      <w:r w:rsidR="006C3991">
        <w:rPr>
          <w:rFonts w:ascii="Times New Roman" w:hAnsi="Times New Roman"/>
          <w:b/>
          <w:sz w:val="24"/>
        </w:rPr>
        <w:t>5</w:t>
      </w:r>
      <w:r w:rsidRPr="00DA1C42">
        <w:rPr>
          <w:rFonts w:ascii="Times New Roman" w:hAnsi="Times New Roman"/>
          <w:b/>
          <w:sz w:val="24"/>
        </w:rPr>
        <w:t xml:space="preserve"> – Review by the Administrative Appeals Tribunal</w:t>
      </w:r>
    </w:p>
    <w:p w14:paraId="2831A28D" w14:textId="7600728D" w:rsidR="00AA0095" w:rsidRPr="004F4FEE" w:rsidRDefault="00AA0095" w:rsidP="00116173">
      <w:pPr>
        <w:shd w:val="clear" w:color="auto" w:fill="FFFFFF"/>
        <w:spacing w:before="100" w:beforeAutospacing="1" w:after="100" w:afterAutospacing="1" w:line="240" w:lineRule="auto"/>
        <w:rPr>
          <w:rFonts w:ascii="Times New Roman" w:hAnsi="Times New Roman"/>
          <w:sz w:val="19"/>
          <w:lang w:val="en-US"/>
        </w:rPr>
      </w:pPr>
      <w:r w:rsidRPr="00DA1C42">
        <w:rPr>
          <w:rFonts w:ascii="Times New Roman" w:hAnsi="Times New Roman"/>
          <w:sz w:val="24"/>
        </w:rPr>
        <w:lastRenderedPageBreak/>
        <w:t>Where the ACMA affirms or varies a decision under section 4</w:t>
      </w:r>
      <w:r w:rsidR="006C3991">
        <w:rPr>
          <w:rFonts w:ascii="Times New Roman" w:hAnsi="Times New Roman"/>
          <w:sz w:val="24"/>
        </w:rPr>
        <w:t>3</w:t>
      </w:r>
      <w:r w:rsidRPr="00DA1C42">
        <w:rPr>
          <w:rFonts w:ascii="Times New Roman" w:hAnsi="Times New Roman"/>
          <w:sz w:val="24"/>
        </w:rPr>
        <w:t>, section 4</w:t>
      </w:r>
      <w:r w:rsidR="006C3991">
        <w:rPr>
          <w:rFonts w:ascii="Times New Roman" w:hAnsi="Times New Roman"/>
          <w:sz w:val="24"/>
        </w:rPr>
        <w:t>5</w:t>
      </w:r>
      <w:r w:rsidRPr="00DA1C42">
        <w:rPr>
          <w:rFonts w:ascii="Times New Roman" w:hAnsi="Times New Roman"/>
          <w:sz w:val="24"/>
        </w:rPr>
        <w:t xml:space="preserve"> provides for a review of that </w:t>
      </w:r>
      <w:r w:rsidRPr="004F4FEE">
        <w:rPr>
          <w:rFonts w:ascii="Times New Roman" w:hAnsi="Times New Roman"/>
          <w:sz w:val="24"/>
        </w:rPr>
        <w:t>decision by application to the Administrative Appeals Tribunal.</w:t>
      </w:r>
    </w:p>
    <w:p w14:paraId="1335B6CB" w14:textId="123C396A" w:rsidR="00AA0095" w:rsidRPr="0018651C" w:rsidRDefault="00AA0095" w:rsidP="009C6890">
      <w:pPr>
        <w:pStyle w:val="ActHead4"/>
        <w:rPr>
          <w:sz w:val="19"/>
          <w:lang w:val="en-US"/>
        </w:rPr>
      </w:pPr>
      <w:r w:rsidRPr="0018651C">
        <w:t>Subdivision G – Offences</w:t>
      </w:r>
    </w:p>
    <w:p w14:paraId="0EB24CBC" w14:textId="0A3770D4" w:rsidR="00AA0095" w:rsidRPr="00D73027" w:rsidRDefault="00AA0095" w:rsidP="009C6890">
      <w:pPr>
        <w:pStyle w:val="ActHead5"/>
        <w:rPr>
          <w:sz w:val="19"/>
          <w:lang w:val="en-US"/>
        </w:rPr>
      </w:pPr>
      <w:r w:rsidRPr="00A41B82">
        <w:t>Section 4</w:t>
      </w:r>
      <w:r w:rsidR="006C3991" w:rsidRPr="00A41B82">
        <w:t>6</w:t>
      </w:r>
      <w:r w:rsidRPr="00A41B82">
        <w:t xml:space="preserve"> – Offences of contravening a condition etc.</w:t>
      </w:r>
    </w:p>
    <w:p w14:paraId="69368A9B" w14:textId="0BF0342F" w:rsidR="00AA0095" w:rsidRPr="004F4FEE" w:rsidRDefault="00AA0095" w:rsidP="00116173">
      <w:pPr>
        <w:shd w:val="clear" w:color="auto" w:fill="FFFFFF"/>
        <w:spacing w:before="100" w:beforeAutospacing="1" w:after="100" w:afterAutospacing="1" w:line="240" w:lineRule="auto"/>
        <w:rPr>
          <w:rFonts w:ascii="Times New Roman" w:hAnsi="Times New Roman"/>
          <w:sz w:val="19"/>
          <w:lang w:val="en-US"/>
        </w:rPr>
      </w:pPr>
      <w:r w:rsidRPr="004F4FEE">
        <w:rPr>
          <w:rFonts w:ascii="Times New Roman" w:hAnsi="Times New Roman"/>
          <w:sz w:val="24"/>
        </w:rPr>
        <w:t>Section 4</w:t>
      </w:r>
      <w:r w:rsidR="006C3991">
        <w:rPr>
          <w:rFonts w:ascii="Times New Roman" w:hAnsi="Times New Roman"/>
          <w:sz w:val="24"/>
        </w:rPr>
        <w:t>6</w:t>
      </w:r>
      <w:r w:rsidRPr="004F4FEE">
        <w:rPr>
          <w:rFonts w:ascii="Times New Roman" w:hAnsi="Times New Roman"/>
          <w:sz w:val="24"/>
        </w:rPr>
        <w:t xml:space="preserve"> establishes strict liability offences for certain contraventions that carry a maximum penalty of 10 penalty units. </w:t>
      </w:r>
    </w:p>
    <w:p w14:paraId="6C7052FE" w14:textId="09F62BA4" w:rsidR="00AA0095" w:rsidRPr="00DA1C42" w:rsidRDefault="00AA0095" w:rsidP="00116173">
      <w:pPr>
        <w:shd w:val="clear" w:color="auto" w:fill="FFFFFF"/>
        <w:spacing w:before="100" w:beforeAutospacing="1" w:after="100" w:afterAutospacing="1" w:line="240" w:lineRule="auto"/>
        <w:rPr>
          <w:rFonts w:ascii="Times New Roman" w:hAnsi="Times New Roman"/>
          <w:sz w:val="24"/>
          <w:lang w:val="en-US"/>
        </w:rPr>
      </w:pPr>
      <w:r w:rsidRPr="004F4FEE">
        <w:rPr>
          <w:rFonts w:ascii="Times New Roman" w:hAnsi="Times New Roman"/>
          <w:sz w:val="24"/>
        </w:rPr>
        <w:t>The offence in subsection 4</w:t>
      </w:r>
      <w:r w:rsidR="006C3991">
        <w:rPr>
          <w:rFonts w:ascii="Times New Roman" w:hAnsi="Times New Roman"/>
          <w:sz w:val="24"/>
        </w:rPr>
        <w:t>6</w:t>
      </w:r>
      <w:r w:rsidRPr="004F4FEE">
        <w:rPr>
          <w:rFonts w:ascii="Times New Roman" w:hAnsi="Times New Roman"/>
          <w:sz w:val="24"/>
        </w:rPr>
        <w:t xml:space="preserve">(1) is triggered if an authorised research entity covered </w:t>
      </w:r>
      <w:r w:rsidRPr="00DA1C42">
        <w:rPr>
          <w:rFonts w:ascii="Times New Roman" w:hAnsi="Times New Roman"/>
          <w:sz w:val="24"/>
        </w:rPr>
        <w:t>by a research authorisation contravenes any condition of the authorisation other than section 2</w:t>
      </w:r>
      <w:r w:rsidR="00FA7D57">
        <w:rPr>
          <w:rFonts w:ascii="Times New Roman" w:hAnsi="Times New Roman"/>
          <w:sz w:val="24"/>
        </w:rPr>
        <w:t>9</w:t>
      </w:r>
      <w:r w:rsidRPr="00DA1C42">
        <w:rPr>
          <w:rFonts w:ascii="Times New Roman" w:hAnsi="Times New Roman"/>
          <w:sz w:val="24"/>
        </w:rPr>
        <w:t xml:space="preserve">, which makes compliance with the </w:t>
      </w:r>
      <w:r w:rsidRPr="004F4FEE">
        <w:rPr>
          <w:rFonts w:ascii="Times New Roman" w:hAnsi="Times New Roman"/>
          <w:sz w:val="24"/>
        </w:rPr>
        <w:t>Privacy Act</w:t>
      </w:r>
      <w:r w:rsidRPr="004F4FEE">
        <w:rPr>
          <w:rFonts w:ascii="Times New Roman" w:hAnsi="Times New Roman"/>
          <w:i/>
          <w:sz w:val="24"/>
        </w:rPr>
        <w:t xml:space="preserve"> </w:t>
      </w:r>
      <w:r w:rsidRPr="004F4FEE">
        <w:rPr>
          <w:rFonts w:ascii="Times New Roman" w:hAnsi="Times New Roman"/>
          <w:sz w:val="24"/>
        </w:rPr>
        <w:t xml:space="preserve">a condition of an authorisation. For entities that are subject to </w:t>
      </w:r>
      <w:r w:rsidRPr="006B1E74">
        <w:rPr>
          <w:rFonts w:ascii="Times New Roman" w:eastAsia="Times New Roman" w:hAnsi="Times New Roman" w:cs="Times New Roman"/>
          <w:sz w:val="24"/>
          <w:szCs w:val="24"/>
          <w:lang w:eastAsia="en-AU"/>
        </w:rPr>
        <w:t>th</w:t>
      </w:r>
      <w:r w:rsidR="00970E20" w:rsidRPr="00AD3F90">
        <w:rPr>
          <w:rFonts w:ascii="Times New Roman" w:eastAsia="Times New Roman" w:hAnsi="Times New Roman" w:cs="Times New Roman"/>
          <w:sz w:val="24"/>
          <w:szCs w:val="24"/>
          <w:lang w:eastAsia="en-AU"/>
        </w:rPr>
        <w:t>at</w:t>
      </w:r>
      <w:r w:rsidR="00970E20" w:rsidRPr="00DA1C42">
        <w:rPr>
          <w:rFonts w:ascii="Times New Roman" w:hAnsi="Times New Roman"/>
          <w:sz w:val="24"/>
        </w:rPr>
        <w:t xml:space="preserve"> Act</w:t>
      </w:r>
      <w:r w:rsidRPr="00DA1C42">
        <w:rPr>
          <w:rFonts w:ascii="Times New Roman" w:hAnsi="Times New Roman"/>
          <w:sz w:val="24"/>
        </w:rPr>
        <w:t>, there is an enforcement regime in place for contravention of that Act.</w:t>
      </w:r>
    </w:p>
    <w:p w14:paraId="2C2CCFB0" w14:textId="2CB2E32A" w:rsidR="00AA0095" w:rsidRPr="004F4FEE" w:rsidRDefault="00AA0095" w:rsidP="00116173">
      <w:pPr>
        <w:shd w:val="clear" w:color="auto" w:fill="FFFFFF"/>
        <w:spacing w:before="100" w:beforeAutospacing="1" w:after="100" w:afterAutospacing="1" w:line="240" w:lineRule="auto"/>
        <w:rPr>
          <w:rFonts w:ascii="Times New Roman" w:hAnsi="Times New Roman"/>
          <w:sz w:val="24"/>
          <w:lang w:val="en-US"/>
        </w:rPr>
      </w:pPr>
      <w:r w:rsidRPr="00DA1C42">
        <w:rPr>
          <w:rFonts w:ascii="Times New Roman" w:hAnsi="Times New Roman"/>
          <w:sz w:val="24"/>
        </w:rPr>
        <w:t xml:space="preserve">The </w:t>
      </w:r>
      <w:r w:rsidRPr="004F4FEE">
        <w:rPr>
          <w:rFonts w:ascii="Times New Roman" w:hAnsi="Times New Roman"/>
          <w:sz w:val="24"/>
        </w:rPr>
        <w:t>Privacy Act</w:t>
      </w:r>
      <w:r w:rsidRPr="00DA1C42">
        <w:rPr>
          <w:rFonts w:ascii="Times New Roman" w:hAnsi="Times New Roman"/>
          <w:i/>
          <w:sz w:val="24"/>
        </w:rPr>
        <w:t xml:space="preserve"> </w:t>
      </w:r>
      <w:r w:rsidRPr="00DA1C42">
        <w:rPr>
          <w:rFonts w:ascii="Times New Roman" w:hAnsi="Times New Roman"/>
          <w:sz w:val="24"/>
        </w:rPr>
        <w:t xml:space="preserve">contains civil penalty provisions for interference with an individual’s privacy and </w:t>
      </w:r>
      <w:r w:rsidRPr="004F4FEE">
        <w:rPr>
          <w:rFonts w:ascii="Times New Roman" w:hAnsi="Times New Roman"/>
          <w:sz w:val="24"/>
        </w:rPr>
        <w:t xml:space="preserve">breach of the </w:t>
      </w:r>
      <w:r w:rsidR="0082471A">
        <w:rPr>
          <w:rFonts w:ascii="Times New Roman" w:hAnsi="Times New Roman"/>
          <w:sz w:val="24"/>
        </w:rPr>
        <w:t>APP</w:t>
      </w:r>
      <w:r w:rsidRPr="004F4FEE">
        <w:rPr>
          <w:rFonts w:ascii="Times New Roman" w:hAnsi="Times New Roman"/>
          <w:sz w:val="24"/>
        </w:rPr>
        <w:t>s. It also confers a range of investigatory and enforcement powers on the Privacy Commissioner. These include powers to investigate a matter following a complaint or via a ‘Commissioner Initiated Investigation’, as well as the power to seek injunctions, enforceable undertakings and civil penalty orders.  </w:t>
      </w:r>
    </w:p>
    <w:p w14:paraId="4E285EB1" w14:textId="77831A55" w:rsidR="00AA0095" w:rsidRPr="00DA1C42" w:rsidRDefault="00AA0095" w:rsidP="00116173">
      <w:pPr>
        <w:shd w:val="clear" w:color="auto" w:fill="FFFFFF"/>
        <w:spacing w:before="100" w:beforeAutospacing="1" w:after="100" w:afterAutospacing="1" w:line="240" w:lineRule="auto"/>
        <w:rPr>
          <w:rFonts w:ascii="Times New Roman" w:hAnsi="Times New Roman"/>
          <w:sz w:val="24"/>
          <w:lang w:val="en-US"/>
        </w:rPr>
      </w:pPr>
      <w:r w:rsidRPr="004F4FEE">
        <w:rPr>
          <w:rFonts w:ascii="Times New Roman" w:hAnsi="Times New Roman"/>
          <w:sz w:val="24"/>
        </w:rPr>
        <w:lastRenderedPageBreak/>
        <w:t>The offence in subsection 4</w:t>
      </w:r>
      <w:r w:rsidR="006C3991">
        <w:rPr>
          <w:rFonts w:ascii="Times New Roman" w:hAnsi="Times New Roman"/>
          <w:sz w:val="24"/>
        </w:rPr>
        <w:t>6</w:t>
      </w:r>
      <w:r w:rsidRPr="004F4FEE">
        <w:rPr>
          <w:rFonts w:ascii="Times New Roman" w:hAnsi="Times New Roman"/>
          <w:sz w:val="24"/>
        </w:rPr>
        <w:t xml:space="preserve">(2) deals with authorised research entities that are not covered by the Privacy </w:t>
      </w:r>
      <w:r w:rsidRPr="00DA1C42">
        <w:rPr>
          <w:rFonts w:ascii="Times New Roman" w:hAnsi="Times New Roman"/>
          <w:sz w:val="24"/>
        </w:rPr>
        <w:t>Act</w:t>
      </w:r>
      <w:r w:rsidRPr="00DA1C42">
        <w:rPr>
          <w:rFonts w:ascii="Times New Roman" w:hAnsi="Times New Roman"/>
          <w:i/>
          <w:sz w:val="24"/>
        </w:rPr>
        <w:t xml:space="preserve"> </w:t>
      </w:r>
      <w:r w:rsidRPr="00DA1C42">
        <w:rPr>
          <w:rFonts w:ascii="Times New Roman" w:hAnsi="Times New Roman"/>
          <w:sz w:val="24"/>
        </w:rPr>
        <w:t xml:space="preserve">and </w:t>
      </w:r>
      <w:r w:rsidRPr="004F4FEE">
        <w:rPr>
          <w:rFonts w:ascii="Times New Roman" w:hAnsi="Times New Roman"/>
          <w:sz w:val="24"/>
        </w:rPr>
        <w:t xml:space="preserve">therefore not captured by the enforcement regime in that Act. The offence is triggered where an authorised research entity contravenes section </w:t>
      </w:r>
      <w:r w:rsidR="006C3991">
        <w:rPr>
          <w:rFonts w:ascii="Times New Roman" w:hAnsi="Times New Roman"/>
          <w:sz w:val="24"/>
        </w:rPr>
        <w:t>29</w:t>
      </w:r>
      <w:r w:rsidR="006C3991" w:rsidRPr="004F4FEE">
        <w:rPr>
          <w:rFonts w:ascii="Times New Roman" w:hAnsi="Times New Roman"/>
          <w:sz w:val="24"/>
        </w:rPr>
        <w:t xml:space="preserve"> </w:t>
      </w:r>
      <w:r w:rsidRPr="004F4FEE">
        <w:rPr>
          <w:rFonts w:ascii="Times New Roman" w:hAnsi="Times New Roman"/>
          <w:sz w:val="24"/>
        </w:rPr>
        <w:t xml:space="preserve">– by breaching an </w:t>
      </w:r>
      <w:r w:rsidR="0082471A">
        <w:rPr>
          <w:rFonts w:ascii="Times New Roman" w:hAnsi="Times New Roman"/>
          <w:sz w:val="24"/>
        </w:rPr>
        <w:t>APP</w:t>
      </w:r>
      <w:r w:rsidR="009C6890">
        <w:rPr>
          <w:rFonts w:ascii="Times New Roman" w:hAnsi="Times New Roman"/>
          <w:sz w:val="24"/>
        </w:rPr>
        <w:t xml:space="preserve"> or registered APP code,</w:t>
      </w:r>
      <w:r w:rsidRPr="004F4FEE">
        <w:rPr>
          <w:rFonts w:ascii="Times New Roman" w:hAnsi="Times New Roman"/>
          <w:sz w:val="24"/>
        </w:rPr>
        <w:t xml:space="preserve"> and that entity is either a registered political party or the act done to </w:t>
      </w:r>
      <w:r w:rsidRPr="00DA1C42">
        <w:rPr>
          <w:rFonts w:ascii="Times New Roman" w:hAnsi="Times New Roman"/>
          <w:sz w:val="24"/>
        </w:rPr>
        <w:t>contravene section 2</w:t>
      </w:r>
      <w:r w:rsidR="00FA7D57">
        <w:rPr>
          <w:rFonts w:ascii="Times New Roman" w:hAnsi="Times New Roman"/>
          <w:sz w:val="24"/>
        </w:rPr>
        <w:t>9</w:t>
      </w:r>
      <w:r w:rsidRPr="00DA1C42">
        <w:rPr>
          <w:rFonts w:ascii="Times New Roman" w:hAnsi="Times New Roman"/>
          <w:sz w:val="24"/>
        </w:rPr>
        <w:t xml:space="preserve"> is an exempt act under section 7C of the Privacy Act. This provision ensures that there are consequences for a breach of the </w:t>
      </w:r>
      <w:r w:rsidR="0082471A">
        <w:rPr>
          <w:rFonts w:ascii="Times New Roman" w:hAnsi="Times New Roman"/>
          <w:sz w:val="24"/>
        </w:rPr>
        <w:t>APP</w:t>
      </w:r>
      <w:r w:rsidRPr="00DA1C42">
        <w:rPr>
          <w:rFonts w:ascii="Times New Roman" w:hAnsi="Times New Roman"/>
          <w:sz w:val="24"/>
        </w:rPr>
        <w:t>s by entities that are not typically covered by the Privacy Act.</w:t>
      </w:r>
    </w:p>
    <w:p w14:paraId="7DC57846" w14:textId="341B4A8B" w:rsidR="00AA0095" w:rsidRPr="00DA1C42" w:rsidRDefault="00AA0095" w:rsidP="00116173">
      <w:pPr>
        <w:shd w:val="clear" w:color="auto" w:fill="FFFFFF"/>
        <w:spacing w:before="100" w:beforeAutospacing="1" w:after="100" w:afterAutospacing="1" w:line="240" w:lineRule="auto"/>
        <w:rPr>
          <w:rFonts w:ascii="Times New Roman" w:hAnsi="Times New Roman"/>
          <w:sz w:val="24"/>
          <w:lang w:val="en-US"/>
        </w:rPr>
      </w:pPr>
      <w:r w:rsidRPr="00DA1C42">
        <w:rPr>
          <w:rFonts w:ascii="Times New Roman" w:hAnsi="Times New Roman"/>
          <w:sz w:val="24"/>
        </w:rPr>
        <w:t>The offence in subsection 4</w:t>
      </w:r>
      <w:r w:rsidR="00FA7D57">
        <w:rPr>
          <w:rFonts w:ascii="Times New Roman" w:hAnsi="Times New Roman"/>
          <w:sz w:val="24"/>
        </w:rPr>
        <w:t>6</w:t>
      </w:r>
      <w:r w:rsidRPr="00DA1C42">
        <w:rPr>
          <w:rFonts w:ascii="Times New Roman" w:hAnsi="Times New Roman"/>
          <w:sz w:val="24"/>
        </w:rPr>
        <w:t xml:space="preserve">(3) </w:t>
      </w:r>
      <w:r w:rsidR="002D5770">
        <w:rPr>
          <w:rFonts w:ascii="Times New Roman" w:hAnsi="Times New Roman"/>
          <w:sz w:val="24"/>
        </w:rPr>
        <w:t xml:space="preserve">occurs </w:t>
      </w:r>
      <w:r w:rsidRPr="00DA1C42">
        <w:rPr>
          <w:rFonts w:ascii="Times New Roman" w:hAnsi="Times New Roman"/>
          <w:sz w:val="24"/>
        </w:rPr>
        <w:t xml:space="preserve">where a former research entity contravenes the use and disclosure provisions relating to authorised unlisted mobile number information in subsection </w:t>
      </w:r>
      <w:r w:rsidR="00FA7D57">
        <w:rPr>
          <w:rFonts w:ascii="Times New Roman" w:hAnsi="Times New Roman"/>
          <w:sz w:val="24"/>
        </w:rPr>
        <w:t>40</w:t>
      </w:r>
      <w:r w:rsidRPr="00DA1C42">
        <w:rPr>
          <w:rFonts w:ascii="Times New Roman" w:hAnsi="Times New Roman"/>
          <w:sz w:val="24"/>
        </w:rPr>
        <w:t xml:space="preserve">(3) or (4). Subsection </w:t>
      </w:r>
      <w:r w:rsidR="00FA7D57">
        <w:rPr>
          <w:rFonts w:ascii="Times New Roman" w:hAnsi="Times New Roman"/>
          <w:sz w:val="24"/>
        </w:rPr>
        <w:t>40</w:t>
      </w:r>
      <w:r w:rsidRPr="00DA1C42">
        <w:rPr>
          <w:rFonts w:ascii="Times New Roman" w:hAnsi="Times New Roman"/>
          <w:sz w:val="24"/>
        </w:rPr>
        <w:t xml:space="preserve">(3) prohibits a former research entity from using or disclosing authorised unlisted mobile number information once the authorisation has ended and subsection </w:t>
      </w:r>
      <w:r w:rsidR="00FA7D57">
        <w:rPr>
          <w:rFonts w:ascii="Times New Roman" w:hAnsi="Times New Roman"/>
          <w:sz w:val="24"/>
        </w:rPr>
        <w:t>40</w:t>
      </w:r>
      <w:r w:rsidRPr="00DA1C42">
        <w:rPr>
          <w:rFonts w:ascii="Times New Roman" w:hAnsi="Times New Roman"/>
          <w:sz w:val="24"/>
        </w:rPr>
        <w:t>(4) requires that a former research entity disclose that information to the ACMA if the ACMA requests it.</w:t>
      </w:r>
    </w:p>
    <w:p w14:paraId="1801395F" w14:textId="074B0DC1" w:rsidR="00AA0095" w:rsidRPr="00DA1C42" w:rsidRDefault="00AA0095" w:rsidP="00116173">
      <w:pPr>
        <w:shd w:val="clear" w:color="auto" w:fill="FFFFFF"/>
        <w:spacing w:before="100" w:beforeAutospacing="1" w:after="100" w:afterAutospacing="1" w:line="240" w:lineRule="auto"/>
        <w:rPr>
          <w:rFonts w:ascii="Times New Roman" w:hAnsi="Times New Roman"/>
          <w:sz w:val="24"/>
        </w:rPr>
      </w:pPr>
      <w:r w:rsidRPr="00DA1C42">
        <w:rPr>
          <w:rFonts w:ascii="Times New Roman" w:hAnsi="Times New Roman"/>
          <w:sz w:val="24"/>
        </w:rPr>
        <w:t>The offence in subsection 4</w:t>
      </w:r>
      <w:r w:rsidR="00FA7D57">
        <w:rPr>
          <w:rFonts w:ascii="Times New Roman" w:hAnsi="Times New Roman"/>
          <w:sz w:val="24"/>
        </w:rPr>
        <w:t>6</w:t>
      </w:r>
      <w:r w:rsidRPr="00DA1C42">
        <w:rPr>
          <w:rFonts w:ascii="Times New Roman" w:hAnsi="Times New Roman"/>
          <w:sz w:val="24"/>
        </w:rPr>
        <w:t>(4) is triggered where a former research entity contravenes the use and disclosure provisions relating to research information in subsection</w:t>
      </w:r>
      <w:r w:rsidR="00E76600">
        <w:rPr>
          <w:rFonts w:ascii="Times New Roman" w:hAnsi="Times New Roman"/>
          <w:sz w:val="24"/>
        </w:rPr>
        <w:t>s</w:t>
      </w:r>
      <w:r w:rsidRPr="00DA1C42">
        <w:rPr>
          <w:rFonts w:ascii="Times New Roman" w:hAnsi="Times New Roman"/>
          <w:sz w:val="24"/>
        </w:rPr>
        <w:t xml:space="preserve"> 4</w:t>
      </w:r>
      <w:r w:rsidR="00FA7D57">
        <w:rPr>
          <w:rFonts w:ascii="Times New Roman" w:hAnsi="Times New Roman"/>
          <w:sz w:val="24"/>
        </w:rPr>
        <w:t>1</w:t>
      </w:r>
      <w:r w:rsidRPr="00DA1C42">
        <w:rPr>
          <w:rFonts w:ascii="Times New Roman" w:hAnsi="Times New Roman"/>
          <w:sz w:val="24"/>
        </w:rPr>
        <w:t>(2) or (3). If an authorisation ends or an entity is voluntarily removed from an authorisation under section 3</w:t>
      </w:r>
      <w:r w:rsidR="00FA7D57">
        <w:rPr>
          <w:rFonts w:ascii="Times New Roman" w:hAnsi="Times New Roman"/>
          <w:sz w:val="24"/>
        </w:rPr>
        <w:t>9</w:t>
      </w:r>
      <w:r w:rsidRPr="00DA1C42">
        <w:rPr>
          <w:rFonts w:ascii="Times New Roman" w:hAnsi="Times New Roman"/>
          <w:sz w:val="24"/>
        </w:rPr>
        <w:t>, subsection 4</w:t>
      </w:r>
      <w:r w:rsidR="00FA7D57">
        <w:rPr>
          <w:rFonts w:ascii="Times New Roman" w:hAnsi="Times New Roman"/>
          <w:sz w:val="24"/>
        </w:rPr>
        <w:t>1</w:t>
      </w:r>
      <w:r w:rsidRPr="00DA1C42">
        <w:rPr>
          <w:rFonts w:ascii="Times New Roman" w:hAnsi="Times New Roman"/>
          <w:sz w:val="24"/>
        </w:rPr>
        <w:t>(2) prohibits the entity from using or disclosing authorised research information unless that information is de</w:t>
      </w:r>
      <w:r w:rsidRPr="00DA1C42">
        <w:rPr>
          <w:rFonts w:ascii="Times New Roman" w:hAnsi="Times New Roman"/>
          <w:sz w:val="24"/>
        </w:rPr>
        <w:noBreakHyphen/>
        <w:t xml:space="preserve">identified and does not contain a contacted person’s public number. Where an entity is involuntarily removed from </w:t>
      </w:r>
      <w:r w:rsidRPr="00DA1C42">
        <w:rPr>
          <w:rFonts w:ascii="Times New Roman" w:hAnsi="Times New Roman"/>
          <w:sz w:val="24"/>
        </w:rPr>
        <w:lastRenderedPageBreak/>
        <w:t>an authorisation under section 3</w:t>
      </w:r>
      <w:r w:rsidR="00FA7D57">
        <w:rPr>
          <w:rFonts w:ascii="Times New Roman" w:hAnsi="Times New Roman"/>
          <w:sz w:val="24"/>
        </w:rPr>
        <w:t>8</w:t>
      </w:r>
      <w:r w:rsidRPr="00DA1C42">
        <w:rPr>
          <w:rFonts w:ascii="Times New Roman" w:hAnsi="Times New Roman"/>
          <w:sz w:val="24"/>
        </w:rPr>
        <w:t>, subsection 4</w:t>
      </w:r>
      <w:r w:rsidR="00FA7D57">
        <w:rPr>
          <w:rFonts w:ascii="Times New Roman" w:hAnsi="Times New Roman"/>
          <w:sz w:val="24"/>
        </w:rPr>
        <w:t>1</w:t>
      </w:r>
      <w:r w:rsidRPr="00DA1C42">
        <w:rPr>
          <w:rFonts w:ascii="Times New Roman" w:hAnsi="Times New Roman"/>
          <w:sz w:val="24"/>
        </w:rPr>
        <w:t xml:space="preserve">(3) prohibits the entity from using or disclosing that information and requires that it take all reasonable steps to destroy it within 10 business days of their removal. </w:t>
      </w:r>
    </w:p>
    <w:p w14:paraId="5DD4E54D" w14:textId="6CE620FA" w:rsidR="00B35F08" w:rsidRPr="00B35F08" w:rsidRDefault="00B35F08" w:rsidP="00B35F08">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35F08">
        <w:rPr>
          <w:rFonts w:ascii="Times New Roman" w:eastAsia="Times New Roman" w:hAnsi="Times New Roman" w:cs="Times New Roman"/>
          <w:sz w:val="24"/>
          <w:szCs w:val="24"/>
          <w:lang w:val="en-US" w:eastAsia="en-AU"/>
        </w:rPr>
        <w:t>The offences included in section 4</w:t>
      </w:r>
      <w:r w:rsidR="00FA7D57">
        <w:rPr>
          <w:rFonts w:ascii="Times New Roman" w:eastAsia="Times New Roman" w:hAnsi="Times New Roman" w:cs="Times New Roman"/>
          <w:sz w:val="24"/>
          <w:szCs w:val="24"/>
          <w:lang w:val="en-US" w:eastAsia="en-AU"/>
        </w:rPr>
        <w:t>6</w:t>
      </w:r>
      <w:r w:rsidRPr="00B35F08">
        <w:rPr>
          <w:rFonts w:ascii="Times New Roman" w:eastAsia="Times New Roman" w:hAnsi="Times New Roman" w:cs="Times New Roman"/>
          <w:sz w:val="24"/>
          <w:szCs w:val="24"/>
          <w:lang w:val="en-US" w:eastAsia="en-AU"/>
        </w:rPr>
        <w:t xml:space="preserve"> of the Regulations are strict liability offences.</w:t>
      </w:r>
    </w:p>
    <w:p w14:paraId="1BCF58AA" w14:textId="33F94BD3" w:rsidR="00B35F08" w:rsidRPr="00B35F08" w:rsidRDefault="00B35F08" w:rsidP="00B35F08">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35F08">
        <w:rPr>
          <w:rFonts w:ascii="Times New Roman" w:eastAsia="Times New Roman" w:hAnsi="Times New Roman" w:cs="Times New Roman"/>
          <w:sz w:val="24"/>
          <w:szCs w:val="24"/>
          <w:lang w:val="en-US" w:eastAsia="en-AU"/>
        </w:rPr>
        <w:t>The Attorney-General’s Department ‘Guide to Framing Commonwealth Offences, Infringement Notices and Enforcement Powers’ (AGD Guide) notes that strict liability may be necessary to ensure the int</w:t>
      </w:r>
      <w:r w:rsidR="009C6890">
        <w:rPr>
          <w:rFonts w:ascii="Times New Roman" w:eastAsia="Times New Roman" w:hAnsi="Times New Roman" w:cs="Times New Roman"/>
          <w:sz w:val="24"/>
          <w:szCs w:val="24"/>
          <w:lang w:val="en-US" w:eastAsia="en-AU"/>
        </w:rPr>
        <w:t xml:space="preserve">egrity of a regulatory regime. </w:t>
      </w:r>
      <w:r w:rsidRPr="00B35F08">
        <w:rPr>
          <w:rFonts w:ascii="Times New Roman" w:eastAsia="Times New Roman" w:hAnsi="Times New Roman" w:cs="Times New Roman"/>
          <w:sz w:val="24"/>
          <w:szCs w:val="24"/>
          <w:lang w:val="en-US" w:eastAsia="en-AU"/>
        </w:rPr>
        <w:t>Consistent with the AGD Guide, applying strict liability in relation to these offences in the Regulations is necessary</w:t>
      </w:r>
      <w:r w:rsidR="009C6890">
        <w:rPr>
          <w:sz w:val="24"/>
          <w:szCs w:val="24"/>
        </w:rPr>
        <w:t xml:space="preserve">. </w:t>
      </w:r>
      <w:r w:rsidRPr="00B35F08">
        <w:rPr>
          <w:rFonts w:ascii="Times New Roman" w:eastAsia="Times New Roman" w:hAnsi="Times New Roman" w:cs="Times New Roman"/>
          <w:sz w:val="24"/>
          <w:szCs w:val="24"/>
          <w:lang w:val="en-US" w:eastAsia="en-AU"/>
        </w:rPr>
        <w:t>The offences contained in section 4</w:t>
      </w:r>
      <w:r w:rsidR="002D5770">
        <w:rPr>
          <w:rFonts w:ascii="Times New Roman" w:eastAsia="Times New Roman" w:hAnsi="Times New Roman" w:cs="Times New Roman"/>
          <w:sz w:val="24"/>
          <w:szCs w:val="24"/>
          <w:lang w:val="en-US" w:eastAsia="en-AU"/>
        </w:rPr>
        <w:t>6</w:t>
      </w:r>
      <w:r w:rsidRPr="00B35F08">
        <w:rPr>
          <w:rFonts w:ascii="Times New Roman" w:eastAsia="Times New Roman" w:hAnsi="Times New Roman" w:cs="Times New Roman"/>
          <w:sz w:val="24"/>
          <w:szCs w:val="24"/>
          <w:lang w:val="en-US" w:eastAsia="en-AU"/>
        </w:rPr>
        <w:t xml:space="preserve"> of the Regulations are aimed at upholding the integrity of the research authorisation process ensuring that the authorised research information (including personal information) is properly dealt with and any embedded personal information (such as a person’s telephone number) is not disclosed to the public.  By making these offences strict liability offences, it provides a strong deterrent for parties to improperly use or deal with personal information </w:t>
      </w:r>
    </w:p>
    <w:p w14:paraId="7C8922C2" w14:textId="3D4CD3A9" w:rsidR="00B35F08" w:rsidRPr="00B35F08" w:rsidRDefault="00B35F08" w:rsidP="00B35F08">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35F08">
        <w:rPr>
          <w:rFonts w:ascii="Times New Roman" w:eastAsia="Times New Roman" w:hAnsi="Times New Roman" w:cs="Times New Roman"/>
          <w:sz w:val="24"/>
          <w:szCs w:val="24"/>
          <w:lang w:val="en-US" w:eastAsia="en-AU"/>
        </w:rPr>
        <w:t xml:space="preserve">A person would still have access to all of the defences in Part 2.3 of the </w:t>
      </w:r>
      <w:r w:rsidRPr="00B35F08">
        <w:rPr>
          <w:rFonts w:ascii="Times New Roman" w:eastAsia="Times New Roman" w:hAnsi="Times New Roman" w:cs="Times New Roman"/>
          <w:i/>
          <w:sz w:val="24"/>
          <w:szCs w:val="24"/>
          <w:lang w:val="en-US" w:eastAsia="en-AU"/>
        </w:rPr>
        <w:t>Criminal Code Act 1995</w:t>
      </w:r>
      <w:r w:rsidRPr="00B35F08">
        <w:rPr>
          <w:rFonts w:ascii="Times New Roman" w:eastAsia="Times New Roman" w:hAnsi="Times New Roman" w:cs="Times New Roman"/>
          <w:sz w:val="24"/>
          <w:szCs w:val="24"/>
          <w:lang w:val="en-US" w:eastAsia="en-AU"/>
        </w:rPr>
        <w:t xml:space="preserve"> (Criminal Code). Part 2.3 of the Criminal Code sets out defences that are generally available, such as a defence of honest and reasonable mistake and intervening conduct or event. </w:t>
      </w:r>
    </w:p>
    <w:p w14:paraId="1AB06EAB" w14:textId="77777777" w:rsidR="00B35F08" w:rsidRPr="00B35F08" w:rsidRDefault="00B35F08" w:rsidP="00B35F08">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35F08">
        <w:rPr>
          <w:rFonts w:ascii="Times New Roman" w:eastAsia="Times New Roman" w:hAnsi="Times New Roman" w:cs="Times New Roman"/>
          <w:sz w:val="24"/>
          <w:szCs w:val="24"/>
          <w:lang w:val="en-US" w:eastAsia="en-AU"/>
        </w:rPr>
        <w:lastRenderedPageBreak/>
        <w:t xml:space="preserve">Nothing in the offence provisions under these Regulations abrogates the common law privilege against self-incrimination. </w:t>
      </w:r>
    </w:p>
    <w:p w14:paraId="34C42632" w14:textId="40171608" w:rsidR="00B35F08" w:rsidRPr="00B35F08" w:rsidRDefault="00B35F08" w:rsidP="00B35F08">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B35F08">
        <w:rPr>
          <w:rFonts w:ascii="Times New Roman" w:eastAsia="Times New Roman" w:hAnsi="Times New Roman" w:cs="Times New Roman"/>
          <w:sz w:val="24"/>
          <w:szCs w:val="24"/>
          <w:lang w:val="en-US" w:eastAsia="en-AU"/>
        </w:rPr>
        <w:t>The offences in section 4</w:t>
      </w:r>
      <w:r w:rsidR="00FA7D57">
        <w:rPr>
          <w:rFonts w:ascii="Times New Roman" w:eastAsia="Times New Roman" w:hAnsi="Times New Roman" w:cs="Times New Roman"/>
          <w:sz w:val="24"/>
          <w:szCs w:val="24"/>
          <w:lang w:val="en-US" w:eastAsia="en-AU"/>
        </w:rPr>
        <w:t>6</w:t>
      </w:r>
      <w:r w:rsidRPr="00B35F08">
        <w:rPr>
          <w:rFonts w:ascii="Times New Roman" w:eastAsia="Times New Roman" w:hAnsi="Times New Roman" w:cs="Times New Roman"/>
          <w:sz w:val="24"/>
          <w:szCs w:val="24"/>
          <w:lang w:val="en-US" w:eastAsia="en-AU"/>
        </w:rPr>
        <w:t xml:space="preserve"> each attract 10 penalty units. This is considered to be consistent with the principles in the AGD Guide.</w:t>
      </w:r>
    </w:p>
    <w:p w14:paraId="2B2641EA" w14:textId="50B50114" w:rsidR="00F07AF1" w:rsidRPr="0018651C" w:rsidRDefault="00F07AF1" w:rsidP="009C6890">
      <w:pPr>
        <w:pStyle w:val="ActHead2"/>
      </w:pPr>
      <w:r w:rsidRPr="0018651C">
        <w:t xml:space="preserve">Part </w:t>
      </w:r>
      <w:r w:rsidR="00FA7D57" w:rsidRPr="0018651C">
        <w:t>5</w:t>
      </w:r>
      <w:r w:rsidRPr="0018651C">
        <w:t xml:space="preserve"> – </w:t>
      </w:r>
      <w:r w:rsidR="00EC14BC" w:rsidRPr="0018651C">
        <w:t>Standard agreements for the supply of carriage services</w:t>
      </w:r>
    </w:p>
    <w:p w14:paraId="6C7199B3" w14:textId="6C22D99D" w:rsidR="00EC5A6F" w:rsidRPr="00261CDF" w:rsidRDefault="009D5F0F" w:rsidP="009C6890">
      <w:pPr>
        <w:pStyle w:val="ActHead5"/>
      </w:pPr>
      <w:r>
        <w:t xml:space="preserve">Section </w:t>
      </w:r>
      <w:r w:rsidR="00FA7D57">
        <w:t>47</w:t>
      </w:r>
      <w:r w:rsidR="0018651C">
        <w:t xml:space="preserve"> </w:t>
      </w:r>
      <w:r w:rsidR="0018651C" w:rsidRPr="009677A7">
        <w:t>–</w:t>
      </w:r>
      <w:r w:rsidR="00EC5A6F" w:rsidRPr="00261CDF">
        <w:t xml:space="preserve"> Supply of specified kinds of carriage services </w:t>
      </w:r>
    </w:p>
    <w:p w14:paraId="7D93400D" w14:textId="547D7801" w:rsidR="00C47433" w:rsidRPr="00261CDF" w:rsidRDefault="00C47433" w:rsidP="00116173">
      <w:pPr>
        <w:rPr>
          <w:rFonts w:ascii="Times New Roman" w:hAnsi="Times New Roman" w:cs="Times New Roman"/>
          <w:sz w:val="24"/>
          <w:szCs w:val="24"/>
        </w:rPr>
      </w:pPr>
      <w:r w:rsidRPr="00261CDF">
        <w:rPr>
          <w:rFonts w:ascii="Times New Roman" w:hAnsi="Times New Roman" w:cs="Times New Roman"/>
          <w:sz w:val="24"/>
          <w:szCs w:val="24"/>
        </w:rPr>
        <w:t xml:space="preserve">Section 479 of the Act allows a carriage service provider (defined in section 87 of the Act to include a person who supplies, or proposes to supply, carriage services to the public using network units owned by a telecommunications carrier) to use a standard form of agreement as a contract with customers for the supply of a standard telephone service (defined in section 6 of the </w:t>
      </w:r>
      <w:r w:rsidRPr="00261CDF">
        <w:rPr>
          <w:rFonts w:ascii="Times New Roman" w:hAnsi="Times New Roman" w:cs="Times New Roman"/>
          <w:i/>
          <w:sz w:val="24"/>
          <w:szCs w:val="24"/>
        </w:rPr>
        <w:t>Telecommunications (Consumer Protection and Service Standards) Act 1999</w:t>
      </w:r>
      <w:r w:rsidRPr="00261CDF">
        <w:rPr>
          <w:rFonts w:ascii="Times New Roman" w:hAnsi="Times New Roman" w:cs="Times New Roman"/>
          <w:sz w:val="24"/>
          <w:szCs w:val="24"/>
        </w:rPr>
        <w:t>) and for such other carriage services or goods or services for use in connection with a carriage service as are specified in the regulations.</w:t>
      </w:r>
    </w:p>
    <w:p w14:paraId="58E62196" w14:textId="0AEEA3F2" w:rsidR="00F07AF1" w:rsidRPr="00261CDF" w:rsidRDefault="00D77B80" w:rsidP="00116173">
      <w:pPr>
        <w:rPr>
          <w:rFonts w:ascii="Times New Roman" w:hAnsi="Times New Roman" w:cs="Times New Roman"/>
          <w:sz w:val="24"/>
          <w:szCs w:val="24"/>
        </w:rPr>
      </w:pPr>
      <w:r w:rsidRPr="00261CDF">
        <w:rPr>
          <w:rFonts w:ascii="Times New Roman" w:hAnsi="Times New Roman" w:cs="Times New Roman"/>
          <w:sz w:val="24"/>
          <w:szCs w:val="24"/>
        </w:rPr>
        <w:t xml:space="preserve">Part </w:t>
      </w:r>
      <w:r w:rsidR="00FA7D57">
        <w:rPr>
          <w:rFonts w:ascii="Times New Roman" w:hAnsi="Times New Roman" w:cs="Times New Roman"/>
          <w:sz w:val="24"/>
          <w:szCs w:val="24"/>
        </w:rPr>
        <w:t>5</w:t>
      </w:r>
      <w:r w:rsidR="00C47433" w:rsidRPr="00261CDF">
        <w:rPr>
          <w:rFonts w:ascii="Times New Roman" w:hAnsi="Times New Roman" w:cs="Times New Roman"/>
          <w:sz w:val="24"/>
          <w:szCs w:val="24"/>
        </w:rPr>
        <w:t xml:space="preserve"> of the accompanying regulations enables carriage service providers to use standard forms of agreement with their customers not only for the supply of a standard telephone service but also for the supply of other mass market carriage services, ancillary goods and ancillary services specified in the regulations.</w:t>
      </w:r>
      <w:r w:rsidR="005F4854" w:rsidRPr="00261CDF">
        <w:rPr>
          <w:rFonts w:ascii="Times New Roman" w:hAnsi="Times New Roman" w:cs="Times New Roman"/>
          <w:sz w:val="24"/>
          <w:szCs w:val="24"/>
        </w:rPr>
        <w:t xml:space="preserve"> </w:t>
      </w:r>
    </w:p>
    <w:p w14:paraId="25BFEB6E" w14:textId="01435BBF" w:rsidR="00EC5A6F" w:rsidRPr="00261CDF" w:rsidRDefault="009D5F0F" w:rsidP="009C6890">
      <w:pPr>
        <w:pStyle w:val="ActHead5"/>
      </w:pPr>
      <w:r>
        <w:lastRenderedPageBreak/>
        <w:t xml:space="preserve">Section </w:t>
      </w:r>
      <w:r w:rsidR="00FA7D57">
        <w:t>48</w:t>
      </w:r>
      <w:r w:rsidR="00FA7D57" w:rsidRPr="00261CDF">
        <w:t xml:space="preserve"> </w:t>
      </w:r>
      <w:r w:rsidR="0018651C" w:rsidRPr="009677A7">
        <w:t>–</w:t>
      </w:r>
      <w:r w:rsidR="00EC5A6F" w:rsidRPr="00261CDF">
        <w:t xml:space="preserve"> Supply of specified kinds of ancillary goods</w:t>
      </w:r>
    </w:p>
    <w:p w14:paraId="2E96DC25" w14:textId="23C86708" w:rsidR="00D160AF" w:rsidRPr="00261CDF" w:rsidRDefault="00D160AF" w:rsidP="00116173">
      <w:pPr>
        <w:rPr>
          <w:rFonts w:ascii="Times New Roman" w:hAnsi="Times New Roman" w:cs="Times New Roman"/>
          <w:sz w:val="24"/>
          <w:szCs w:val="24"/>
        </w:rPr>
      </w:pPr>
      <w:r w:rsidRPr="00261CDF">
        <w:rPr>
          <w:rFonts w:ascii="Times New Roman" w:hAnsi="Times New Roman" w:cs="Times New Roman"/>
          <w:sz w:val="24"/>
          <w:szCs w:val="24"/>
        </w:rPr>
        <w:t>The following kinds of ancillary goods are specified</w:t>
      </w:r>
      <w:r w:rsidR="00EC5A6F" w:rsidRPr="00261CDF">
        <w:rPr>
          <w:rFonts w:ascii="Times New Roman" w:hAnsi="Times New Roman" w:cs="Times New Roman"/>
          <w:sz w:val="24"/>
          <w:szCs w:val="24"/>
        </w:rPr>
        <w:t xml:space="preserve"> in section </w:t>
      </w:r>
      <w:r w:rsidR="00FA7D57">
        <w:rPr>
          <w:rFonts w:ascii="Times New Roman" w:hAnsi="Times New Roman" w:cs="Times New Roman"/>
          <w:sz w:val="24"/>
          <w:szCs w:val="24"/>
        </w:rPr>
        <w:t>48</w:t>
      </w:r>
      <w:r w:rsidRPr="00261CDF">
        <w:rPr>
          <w:rFonts w:ascii="Times New Roman" w:hAnsi="Times New Roman" w:cs="Times New Roman"/>
          <w:sz w:val="24"/>
          <w:szCs w:val="24"/>
        </w:rPr>
        <w:t xml:space="preserve">: </w:t>
      </w:r>
    </w:p>
    <w:p w14:paraId="12954115" w14:textId="2BF69AA1" w:rsidR="00D160AF" w:rsidRPr="00261CDF" w:rsidRDefault="00D160AF" w:rsidP="00FA74E4">
      <w:pPr>
        <w:spacing w:before="0" w:after="0"/>
        <w:ind w:left="720"/>
        <w:rPr>
          <w:rFonts w:ascii="Times New Roman" w:hAnsi="Times New Roman" w:cs="Times New Roman"/>
          <w:sz w:val="24"/>
          <w:szCs w:val="24"/>
        </w:rPr>
      </w:pPr>
      <w:r w:rsidRPr="00261CDF">
        <w:rPr>
          <w:rFonts w:ascii="Times New Roman" w:hAnsi="Times New Roman" w:cs="Times New Roman"/>
          <w:sz w:val="24"/>
          <w:szCs w:val="24"/>
        </w:rPr>
        <w:t>(a)</w:t>
      </w:r>
      <w:r w:rsidRPr="00261CDF">
        <w:rPr>
          <w:rFonts w:ascii="Times New Roman" w:hAnsi="Times New Roman" w:cs="Times New Roman"/>
          <w:sz w:val="24"/>
          <w:szCs w:val="24"/>
        </w:rPr>
        <w:tab/>
        <w:t>goods for use in connection with a standard telephone service;</w:t>
      </w:r>
    </w:p>
    <w:p w14:paraId="0E26D919" w14:textId="2B3BE9CF" w:rsidR="00D160AF" w:rsidRPr="00261CDF" w:rsidRDefault="00D160AF" w:rsidP="00FA74E4">
      <w:pPr>
        <w:spacing w:before="0" w:after="240"/>
        <w:ind w:left="720"/>
        <w:rPr>
          <w:rFonts w:ascii="Times New Roman" w:hAnsi="Times New Roman" w:cs="Times New Roman"/>
          <w:sz w:val="24"/>
          <w:szCs w:val="24"/>
        </w:rPr>
      </w:pPr>
      <w:r w:rsidRPr="00261CDF">
        <w:rPr>
          <w:rFonts w:ascii="Times New Roman" w:hAnsi="Times New Roman" w:cs="Times New Roman"/>
          <w:sz w:val="24"/>
          <w:szCs w:val="24"/>
        </w:rPr>
        <w:t>(b)</w:t>
      </w:r>
      <w:r w:rsidRPr="00261CDF">
        <w:rPr>
          <w:rFonts w:ascii="Times New Roman" w:hAnsi="Times New Roman" w:cs="Times New Roman"/>
          <w:sz w:val="24"/>
          <w:szCs w:val="24"/>
        </w:rPr>
        <w:tab/>
        <w:t>goods for use in connection with a carriage service of a kind as defined in this section.</w:t>
      </w:r>
    </w:p>
    <w:p w14:paraId="3485714F" w14:textId="7B1D072B" w:rsidR="00EC5A6F" w:rsidRPr="00261CDF" w:rsidRDefault="009D5F0F" w:rsidP="00116173">
      <w:pPr>
        <w:rPr>
          <w:rFonts w:ascii="Times New Roman" w:hAnsi="Times New Roman" w:cs="Times New Roman"/>
          <w:b/>
          <w:sz w:val="24"/>
          <w:szCs w:val="24"/>
        </w:rPr>
      </w:pPr>
      <w:r>
        <w:rPr>
          <w:rFonts w:ascii="Times New Roman" w:hAnsi="Times New Roman" w:cs="Times New Roman"/>
          <w:b/>
          <w:sz w:val="24"/>
          <w:szCs w:val="24"/>
        </w:rPr>
        <w:t xml:space="preserve">Section </w:t>
      </w:r>
      <w:r w:rsidR="00FA7D57">
        <w:rPr>
          <w:rFonts w:ascii="Times New Roman" w:hAnsi="Times New Roman" w:cs="Times New Roman"/>
          <w:b/>
          <w:sz w:val="24"/>
          <w:szCs w:val="24"/>
        </w:rPr>
        <w:t>49</w:t>
      </w:r>
      <w:r w:rsidR="00FA7D57" w:rsidRPr="00261CDF">
        <w:rPr>
          <w:rFonts w:ascii="Times New Roman" w:hAnsi="Times New Roman" w:cs="Times New Roman"/>
          <w:b/>
          <w:sz w:val="24"/>
          <w:szCs w:val="24"/>
        </w:rPr>
        <w:t xml:space="preserve"> </w:t>
      </w:r>
      <w:r w:rsidR="0018651C" w:rsidRPr="009677A7">
        <w:rPr>
          <w:rFonts w:ascii="Times New Roman" w:hAnsi="Times New Roman" w:cs="Times New Roman"/>
          <w:b/>
          <w:sz w:val="24"/>
          <w:szCs w:val="24"/>
        </w:rPr>
        <w:t>–</w:t>
      </w:r>
      <w:r w:rsidR="00EC5A6F" w:rsidRPr="00261CDF">
        <w:rPr>
          <w:rFonts w:ascii="Times New Roman" w:hAnsi="Times New Roman" w:cs="Times New Roman"/>
          <w:b/>
          <w:sz w:val="24"/>
          <w:szCs w:val="24"/>
        </w:rPr>
        <w:t xml:space="preserve"> Supply of specified kinds of ancillary services</w:t>
      </w:r>
    </w:p>
    <w:p w14:paraId="0E7918B1" w14:textId="1D19CEC6" w:rsidR="000F4812" w:rsidRPr="00261CDF" w:rsidRDefault="000F4812" w:rsidP="00116173">
      <w:pPr>
        <w:rPr>
          <w:rFonts w:ascii="Times New Roman" w:hAnsi="Times New Roman" w:cs="Times New Roman"/>
          <w:sz w:val="24"/>
          <w:szCs w:val="24"/>
        </w:rPr>
      </w:pPr>
      <w:r w:rsidRPr="00261CDF">
        <w:rPr>
          <w:rFonts w:ascii="Times New Roman" w:hAnsi="Times New Roman" w:cs="Times New Roman"/>
          <w:sz w:val="24"/>
          <w:szCs w:val="24"/>
        </w:rPr>
        <w:t>For the purposes of paragraph 479(1)(d) of the Act, the following kinds of ancillary services are specified:</w:t>
      </w:r>
    </w:p>
    <w:p w14:paraId="56B4FB37" w14:textId="3F6BCE66" w:rsidR="000F4812" w:rsidRPr="00261CDF" w:rsidRDefault="000F4812" w:rsidP="00FA74E4">
      <w:pPr>
        <w:spacing w:before="0" w:after="0"/>
        <w:ind w:left="720"/>
        <w:rPr>
          <w:rFonts w:ascii="Times New Roman" w:hAnsi="Times New Roman" w:cs="Times New Roman"/>
          <w:sz w:val="24"/>
          <w:szCs w:val="24"/>
        </w:rPr>
      </w:pPr>
      <w:r w:rsidRPr="00261CDF">
        <w:rPr>
          <w:rFonts w:ascii="Times New Roman" w:hAnsi="Times New Roman" w:cs="Times New Roman"/>
          <w:sz w:val="24"/>
          <w:szCs w:val="24"/>
        </w:rPr>
        <w:t>(a)</w:t>
      </w:r>
      <w:r w:rsidRPr="00261CDF">
        <w:rPr>
          <w:rFonts w:ascii="Times New Roman" w:hAnsi="Times New Roman" w:cs="Times New Roman"/>
          <w:sz w:val="24"/>
          <w:szCs w:val="24"/>
        </w:rPr>
        <w:tab/>
        <w:t>a service for use in connection with a standard telephone service;</w:t>
      </w:r>
    </w:p>
    <w:p w14:paraId="781660AB" w14:textId="3B8C3024" w:rsidR="000F4812" w:rsidRPr="00261CDF" w:rsidRDefault="000F4812" w:rsidP="00FA74E4">
      <w:pPr>
        <w:spacing w:before="0" w:after="0"/>
        <w:ind w:left="720"/>
        <w:rPr>
          <w:rFonts w:ascii="Times New Roman" w:hAnsi="Times New Roman" w:cs="Times New Roman"/>
          <w:sz w:val="24"/>
          <w:szCs w:val="24"/>
        </w:rPr>
      </w:pPr>
      <w:r w:rsidRPr="00261CDF">
        <w:rPr>
          <w:rFonts w:ascii="Times New Roman" w:hAnsi="Times New Roman" w:cs="Times New Roman"/>
          <w:sz w:val="24"/>
          <w:szCs w:val="24"/>
        </w:rPr>
        <w:t>(b)</w:t>
      </w:r>
      <w:r w:rsidRPr="00261CDF">
        <w:rPr>
          <w:rFonts w:ascii="Times New Roman" w:hAnsi="Times New Roman" w:cs="Times New Roman"/>
          <w:sz w:val="24"/>
          <w:szCs w:val="24"/>
        </w:rPr>
        <w:tab/>
        <w:t>a service for use in connection with a carriage service of a kind as defined in this section.</w:t>
      </w:r>
    </w:p>
    <w:p w14:paraId="7378C5AA" w14:textId="6A027E9C" w:rsidR="002229B3" w:rsidRPr="0018651C" w:rsidRDefault="002229B3" w:rsidP="009C6890">
      <w:pPr>
        <w:pStyle w:val="ActHead2"/>
      </w:pPr>
      <w:r w:rsidRPr="0018651C">
        <w:t xml:space="preserve">Part </w:t>
      </w:r>
      <w:r w:rsidR="00FA7D57" w:rsidRPr="0018651C">
        <w:t>6</w:t>
      </w:r>
      <w:r w:rsidRPr="0018651C">
        <w:t xml:space="preserve"> – Carriers’ powers and immunities</w:t>
      </w:r>
    </w:p>
    <w:p w14:paraId="5C95D5C1" w14:textId="77777777" w:rsidR="002229B3" w:rsidRPr="00261CDF" w:rsidRDefault="002229B3" w:rsidP="00116173">
      <w:pPr>
        <w:rPr>
          <w:rFonts w:ascii="Times New Roman" w:hAnsi="Times New Roman" w:cs="Times New Roman"/>
          <w:sz w:val="24"/>
          <w:szCs w:val="24"/>
        </w:rPr>
      </w:pPr>
      <w:r w:rsidRPr="00261CDF">
        <w:rPr>
          <w:rFonts w:ascii="Times New Roman" w:hAnsi="Times New Roman" w:cs="Times New Roman"/>
          <w:sz w:val="24"/>
          <w:szCs w:val="24"/>
        </w:rPr>
        <w:t xml:space="preserve">If a carrier engages in an activity covered by Division 2, 3 or 4 of Schedule 3 of the Act (which pertain to inspecting land, installing facilities and maintenance of facilities) the carrier must do so in a manner that is consistent with Australia’s obligations under a listed international agreement that is relevant to the activity. </w:t>
      </w:r>
    </w:p>
    <w:p w14:paraId="61A56964" w14:textId="6D9E2AB9" w:rsidR="002229B3" w:rsidRPr="00261CDF" w:rsidRDefault="002229B3" w:rsidP="00116173">
      <w:pPr>
        <w:rPr>
          <w:rFonts w:ascii="Times New Roman" w:hAnsi="Times New Roman" w:cs="Times New Roman"/>
          <w:sz w:val="24"/>
          <w:szCs w:val="24"/>
        </w:rPr>
      </w:pPr>
      <w:r w:rsidRPr="00261CDF">
        <w:rPr>
          <w:rFonts w:ascii="Times New Roman" w:hAnsi="Times New Roman" w:cs="Times New Roman"/>
          <w:sz w:val="24"/>
          <w:szCs w:val="24"/>
        </w:rPr>
        <w:lastRenderedPageBreak/>
        <w:t>In addition, subparagraph 3(b)(ii) of the Act provides that reference in Part 1 of Schedule 3 of the Act to a designated overhead line is a reference to a line that is suspended above the surface of land (other than submerged land); or a river, lake, tidal inlet, bay, estuary, harbour or other body of water; and the maximum external cross‑section of any part of which exceeds 13</w:t>
      </w:r>
      <w:r w:rsidR="00EB71E8">
        <w:rPr>
          <w:rFonts w:ascii="Times New Roman" w:hAnsi="Times New Roman" w:cs="Times New Roman"/>
          <w:sz w:val="24"/>
          <w:szCs w:val="24"/>
        </w:rPr>
        <w:t xml:space="preserve"> </w:t>
      </w:r>
      <w:r w:rsidRPr="00261CDF">
        <w:rPr>
          <w:rFonts w:ascii="Times New Roman" w:hAnsi="Times New Roman" w:cs="Times New Roman"/>
          <w:sz w:val="24"/>
          <w:szCs w:val="24"/>
        </w:rPr>
        <w:t xml:space="preserve">mm; or if another distance is specified in the regulations—that other distance. Part </w:t>
      </w:r>
      <w:r w:rsidR="00EB71E8">
        <w:rPr>
          <w:rFonts w:ascii="Times New Roman" w:hAnsi="Times New Roman" w:cs="Times New Roman"/>
          <w:sz w:val="24"/>
          <w:szCs w:val="24"/>
        </w:rPr>
        <w:t>6</w:t>
      </w:r>
      <w:r w:rsidRPr="00261CDF">
        <w:rPr>
          <w:rFonts w:ascii="Times New Roman" w:hAnsi="Times New Roman" w:cs="Times New Roman"/>
          <w:sz w:val="24"/>
          <w:szCs w:val="24"/>
        </w:rPr>
        <w:t xml:space="preserve"> specifies another distance for the purposes of that provision.</w:t>
      </w:r>
    </w:p>
    <w:p w14:paraId="0C6EFCCD" w14:textId="5666A3FD" w:rsidR="002229B3" w:rsidRPr="00261CDF" w:rsidRDefault="002229B3" w:rsidP="009C6890">
      <w:pPr>
        <w:pStyle w:val="ActHead5"/>
      </w:pPr>
      <w:r w:rsidRPr="00261CDF">
        <w:t xml:space="preserve">Section </w:t>
      </w:r>
      <w:r w:rsidR="00EB71E8">
        <w:t>50</w:t>
      </w:r>
      <w:r w:rsidR="00EB71E8" w:rsidRPr="00261CDF">
        <w:t xml:space="preserve"> </w:t>
      </w:r>
      <w:r w:rsidR="0018651C" w:rsidRPr="009677A7">
        <w:t>–</w:t>
      </w:r>
      <w:r w:rsidRPr="00261CDF">
        <w:t xml:space="preserve"> Listed international agreements</w:t>
      </w:r>
    </w:p>
    <w:p w14:paraId="23908670" w14:textId="5654D65B" w:rsidR="002229B3" w:rsidRPr="00261CDF" w:rsidRDefault="002229B3" w:rsidP="00116173">
      <w:pPr>
        <w:rPr>
          <w:rFonts w:ascii="Times New Roman" w:hAnsi="Times New Roman" w:cs="Times New Roman"/>
          <w:sz w:val="24"/>
          <w:szCs w:val="24"/>
        </w:rPr>
      </w:pPr>
      <w:r w:rsidRPr="00261CDF">
        <w:rPr>
          <w:rFonts w:ascii="Times New Roman" w:hAnsi="Times New Roman" w:cs="Times New Roman"/>
          <w:sz w:val="24"/>
          <w:szCs w:val="24"/>
        </w:rPr>
        <w:t xml:space="preserve">Section </w:t>
      </w:r>
      <w:r w:rsidR="00EB71E8">
        <w:rPr>
          <w:rFonts w:ascii="Times New Roman" w:hAnsi="Times New Roman" w:cs="Times New Roman"/>
          <w:sz w:val="24"/>
          <w:szCs w:val="24"/>
        </w:rPr>
        <w:t>50</w:t>
      </w:r>
      <w:r w:rsidR="00EB71E8" w:rsidRPr="00261CDF">
        <w:rPr>
          <w:rFonts w:ascii="Times New Roman" w:hAnsi="Times New Roman" w:cs="Times New Roman"/>
          <w:sz w:val="24"/>
          <w:szCs w:val="24"/>
        </w:rPr>
        <w:t xml:space="preserve"> </w:t>
      </w:r>
      <w:r w:rsidRPr="00261CDF">
        <w:rPr>
          <w:rFonts w:ascii="Times New Roman" w:hAnsi="Times New Roman" w:cs="Times New Roman"/>
          <w:sz w:val="24"/>
          <w:szCs w:val="24"/>
        </w:rPr>
        <w:t xml:space="preserve">includes a table </w:t>
      </w:r>
      <w:r w:rsidR="001912EF">
        <w:rPr>
          <w:rFonts w:ascii="Times New Roman" w:hAnsi="Times New Roman" w:cs="Times New Roman"/>
          <w:sz w:val="24"/>
          <w:szCs w:val="24"/>
        </w:rPr>
        <w:t xml:space="preserve">which specifies </w:t>
      </w:r>
      <w:r w:rsidRPr="00261CDF">
        <w:rPr>
          <w:rFonts w:ascii="Times New Roman" w:hAnsi="Times New Roman" w:cs="Times New Roman"/>
          <w:sz w:val="24"/>
          <w:szCs w:val="24"/>
        </w:rPr>
        <w:t xml:space="preserve">the </w:t>
      </w:r>
      <w:r w:rsidR="001912EF">
        <w:rPr>
          <w:rFonts w:ascii="Times New Roman" w:hAnsi="Times New Roman" w:cs="Times New Roman"/>
          <w:sz w:val="24"/>
          <w:szCs w:val="24"/>
        </w:rPr>
        <w:t xml:space="preserve">international agreements, as those agreement are in force for Australia at the commencement of the Regulations for the purposes of the definition of </w:t>
      </w:r>
      <w:r w:rsidRPr="00261CDF">
        <w:rPr>
          <w:rFonts w:ascii="Times New Roman" w:hAnsi="Times New Roman" w:cs="Times New Roman"/>
          <w:sz w:val="24"/>
          <w:szCs w:val="24"/>
        </w:rPr>
        <w:t>‘listed international agreements’</w:t>
      </w:r>
      <w:r w:rsidR="001912EF">
        <w:rPr>
          <w:rFonts w:ascii="Times New Roman" w:hAnsi="Times New Roman" w:cs="Times New Roman"/>
          <w:sz w:val="24"/>
          <w:szCs w:val="24"/>
        </w:rPr>
        <w:t xml:space="preserve"> in clause 2 of Schedule 3 to the Act</w:t>
      </w:r>
      <w:r w:rsidRPr="00261CDF">
        <w:rPr>
          <w:rFonts w:ascii="Times New Roman" w:hAnsi="Times New Roman" w:cs="Times New Roman"/>
          <w:sz w:val="24"/>
          <w:szCs w:val="24"/>
        </w:rPr>
        <w:t>.</w:t>
      </w:r>
      <w:r w:rsidR="00970E20">
        <w:rPr>
          <w:rFonts w:ascii="Times New Roman" w:hAnsi="Times New Roman" w:cs="Times New Roman"/>
          <w:sz w:val="24"/>
          <w:szCs w:val="24"/>
        </w:rPr>
        <w:t xml:space="preserve"> A note accompanies section 5</w:t>
      </w:r>
      <w:r w:rsidR="00EB71E8">
        <w:rPr>
          <w:rFonts w:ascii="Times New Roman" w:hAnsi="Times New Roman" w:cs="Times New Roman"/>
          <w:sz w:val="24"/>
          <w:szCs w:val="24"/>
        </w:rPr>
        <w:t>0</w:t>
      </w:r>
      <w:r w:rsidR="00970E20">
        <w:rPr>
          <w:rFonts w:ascii="Times New Roman" w:hAnsi="Times New Roman" w:cs="Times New Roman"/>
          <w:sz w:val="24"/>
          <w:szCs w:val="24"/>
        </w:rPr>
        <w:t xml:space="preserve"> which </w:t>
      </w:r>
      <w:r w:rsidR="00EB71E8">
        <w:rPr>
          <w:rFonts w:ascii="Times New Roman" w:hAnsi="Times New Roman" w:cs="Times New Roman"/>
          <w:sz w:val="24"/>
          <w:szCs w:val="24"/>
        </w:rPr>
        <w:t xml:space="preserve">indicates </w:t>
      </w:r>
      <w:r w:rsidR="00970E20">
        <w:rPr>
          <w:rFonts w:ascii="Times New Roman" w:hAnsi="Times New Roman" w:cs="Times New Roman"/>
          <w:sz w:val="24"/>
          <w:szCs w:val="24"/>
        </w:rPr>
        <w:t xml:space="preserve">that the international agreements specified in </w:t>
      </w:r>
      <w:r w:rsidR="00D73027">
        <w:rPr>
          <w:rFonts w:ascii="Times New Roman" w:hAnsi="Times New Roman" w:cs="Times New Roman"/>
          <w:sz w:val="24"/>
          <w:szCs w:val="24"/>
        </w:rPr>
        <w:t>the</w:t>
      </w:r>
      <w:r w:rsidR="00970E20">
        <w:rPr>
          <w:rFonts w:ascii="Times New Roman" w:hAnsi="Times New Roman" w:cs="Times New Roman"/>
          <w:sz w:val="24"/>
          <w:szCs w:val="24"/>
        </w:rPr>
        <w:t xml:space="preserve"> table could in 2021 be viewed in the Australian Treaties Library on the AustLII website. </w:t>
      </w:r>
    </w:p>
    <w:p w14:paraId="7AFC5EF6" w14:textId="0FB037FB" w:rsidR="002229B3" w:rsidRPr="00261CDF" w:rsidRDefault="002229B3" w:rsidP="009C6890">
      <w:pPr>
        <w:pStyle w:val="ActHead5"/>
      </w:pPr>
      <w:r w:rsidRPr="00261CDF">
        <w:t>Section 5</w:t>
      </w:r>
      <w:r w:rsidR="00EB71E8">
        <w:t>1</w:t>
      </w:r>
      <w:r w:rsidRPr="00261CDF">
        <w:t xml:space="preserve"> – Designated overhead line</w:t>
      </w:r>
    </w:p>
    <w:p w14:paraId="53C5E5BC" w14:textId="658E77B9" w:rsidR="002229B3" w:rsidRPr="00261CDF" w:rsidRDefault="002229B3" w:rsidP="00AF2FBA">
      <w:pPr>
        <w:rPr>
          <w:rFonts w:ascii="Times New Roman" w:hAnsi="Times New Roman" w:cs="Times New Roman"/>
          <w:sz w:val="24"/>
          <w:szCs w:val="24"/>
        </w:rPr>
      </w:pPr>
      <w:r w:rsidRPr="00261CDF">
        <w:rPr>
          <w:rFonts w:ascii="Times New Roman" w:hAnsi="Times New Roman" w:cs="Times New Roman"/>
          <w:sz w:val="24"/>
          <w:szCs w:val="24"/>
        </w:rPr>
        <w:t>Section 5</w:t>
      </w:r>
      <w:r w:rsidR="00EB71E8">
        <w:rPr>
          <w:rFonts w:ascii="Times New Roman" w:hAnsi="Times New Roman" w:cs="Times New Roman"/>
          <w:sz w:val="24"/>
          <w:szCs w:val="24"/>
        </w:rPr>
        <w:t>1</w:t>
      </w:r>
      <w:r w:rsidRPr="00261CDF">
        <w:rPr>
          <w:rFonts w:ascii="Times New Roman" w:hAnsi="Times New Roman" w:cs="Times New Roman"/>
          <w:sz w:val="24"/>
          <w:szCs w:val="24"/>
        </w:rPr>
        <w:t xml:space="preserve"> specifies </w:t>
      </w:r>
      <w:r w:rsidR="00AF2FBA">
        <w:rPr>
          <w:rFonts w:ascii="Times New Roman" w:hAnsi="Times New Roman" w:cs="Times New Roman"/>
          <w:sz w:val="24"/>
          <w:szCs w:val="24"/>
        </w:rPr>
        <w:t xml:space="preserve">the </w:t>
      </w:r>
      <w:r w:rsidRPr="00261CDF">
        <w:rPr>
          <w:rFonts w:ascii="Times New Roman" w:hAnsi="Times New Roman" w:cs="Times New Roman"/>
          <w:sz w:val="24"/>
          <w:szCs w:val="24"/>
        </w:rPr>
        <w:t>distance of 48</w:t>
      </w:r>
      <w:r w:rsidR="00EB71E8">
        <w:rPr>
          <w:rFonts w:ascii="Times New Roman" w:hAnsi="Times New Roman" w:cs="Times New Roman"/>
          <w:sz w:val="24"/>
          <w:szCs w:val="24"/>
        </w:rPr>
        <w:t xml:space="preserve"> </w:t>
      </w:r>
      <w:r w:rsidRPr="00261CDF">
        <w:rPr>
          <w:rFonts w:ascii="Times New Roman" w:hAnsi="Times New Roman" w:cs="Times New Roman"/>
          <w:sz w:val="24"/>
          <w:szCs w:val="24"/>
        </w:rPr>
        <w:t xml:space="preserve">mm </w:t>
      </w:r>
      <w:r w:rsidR="00AF2FBA">
        <w:rPr>
          <w:rFonts w:ascii="Times New Roman" w:hAnsi="Times New Roman" w:cs="Times New Roman"/>
          <w:sz w:val="24"/>
          <w:szCs w:val="24"/>
        </w:rPr>
        <w:t xml:space="preserve">as the maximum external cross-section distance of a designated overhead line </w:t>
      </w:r>
      <w:r w:rsidRPr="00261CDF">
        <w:rPr>
          <w:rFonts w:ascii="Times New Roman" w:hAnsi="Times New Roman" w:cs="Times New Roman"/>
          <w:sz w:val="24"/>
          <w:szCs w:val="24"/>
        </w:rPr>
        <w:t xml:space="preserve">for the purposes subparagraph 3(b)(ii) of Schedule 3 to the Act. </w:t>
      </w:r>
    </w:p>
    <w:p w14:paraId="4D574ECD" w14:textId="2593DA56" w:rsidR="00B921DE" w:rsidRPr="0018651C" w:rsidRDefault="00B921DE" w:rsidP="009C6890">
      <w:pPr>
        <w:pStyle w:val="ActHead2"/>
      </w:pPr>
      <w:r w:rsidRPr="0018651C">
        <w:lastRenderedPageBreak/>
        <w:t xml:space="preserve">Part </w:t>
      </w:r>
      <w:r w:rsidR="00EB71E8" w:rsidRPr="0018651C">
        <w:t>7</w:t>
      </w:r>
      <w:r w:rsidRPr="0018651C">
        <w:t xml:space="preserve"> – Application, saving and transitional provisions</w:t>
      </w:r>
    </w:p>
    <w:p w14:paraId="09CC4056" w14:textId="4D36AD73" w:rsidR="00D77B80" w:rsidRPr="009C6890" w:rsidRDefault="00D77B80" w:rsidP="009C6890">
      <w:pPr>
        <w:pStyle w:val="ActHead3"/>
        <w:rPr>
          <w:rStyle w:val="CharDivText"/>
        </w:rPr>
      </w:pPr>
      <w:bookmarkStart w:id="16" w:name="_Toc59180372"/>
      <w:bookmarkStart w:id="17" w:name="_Toc56670059"/>
      <w:r w:rsidRPr="009C6890">
        <w:rPr>
          <w:rStyle w:val="CharDivNo"/>
        </w:rPr>
        <w:t>Division 1</w:t>
      </w:r>
      <w:r w:rsidR="0018651C" w:rsidRPr="009C6890">
        <w:rPr>
          <w:rStyle w:val="CharDivNo"/>
        </w:rPr>
        <w:t xml:space="preserve"> </w:t>
      </w:r>
      <w:r w:rsidR="0018651C" w:rsidRPr="009C6890">
        <w:t xml:space="preserve">– </w:t>
      </w:r>
      <w:r w:rsidRPr="009C6890">
        <w:rPr>
          <w:rStyle w:val="CharDivText"/>
        </w:rPr>
        <w:t>Provisions for this instrument as originally made</w:t>
      </w:r>
      <w:bookmarkEnd w:id="16"/>
      <w:bookmarkEnd w:id="17"/>
    </w:p>
    <w:p w14:paraId="0DFC14A3" w14:textId="281EE581" w:rsidR="007A44C6" w:rsidRPr="00261CDF" w:rsidRDefault="00D77B80" w:rsidP="00116173">
      <w:pPr>
        <w:rPr>
          <w:rFonts w:ascii="Times New Roman" w:hAnsi="Times New Roman" w:cs="Times New Roman"/>
          <w:sz w:val="24"/>
          <w:szCs w:val="24"/>
        </w:rPr>
      </w:pPr>
      <w:r w:rsidRPr="00261CDF">
        <w:rPr>
          <w:rFonts w:ascii="Times New Roman" w:hAnsi="Times New Roman" w:cs="Times New Roman"/>
          <w:sz w:val="24"/>
          <w:szCs w:val="24"/>
        </w:rPr>
        <w:t xml:space="preserve">This Division </w:t>
      </w:r>
      <w:r w:rsidR="00325E5D">
        <w:rPr>
          <w:rFonts w:ascii="Times New Roman" w:hAnsi="Times New Roman" w:cs="Times New Roman"/>
          <w:sz w:val="24"/>
          <w:szCs w:val="24"/>
        </w:rPr>
        <w:t xml:space="preserve">sets </w:t>
      </w:r>
      <w:r w:rsidRPr="00261CDF">
        <w:rPr>
          <w:rFonts w:ascii="Times New Roman" w:hAnsi="Times New Roman" w:cs="Times New Roman"/>
          <w:sz w:val="24"/>
          <w:szCs w:val="24"/>
        </w:rPr>
        <w:t>out</w:t>
      </w:r>
      <w:r w:rsidR="00325E5D">
        <w:rPr>
          <w:rFonts w:ascii="Times New Roman" w:hAnsi="Times New Roman" w:cs="Times New Roman"/>
          <w:sz w:val="24"/>
          <w:szCs w:val="24"/>
        </w:rPr>
        <w:t xml:space="preserve"> </w:t>
      </w:r>
      <w:r w:rsidR="00325E5D" w:rsidRPr="00325E5D">
        <w:rPr>
          <w:rFonts w:ascii="Times New Roman" w:hAnsi="Times New Roman" w:cs="Times New Roman"/>
          <w:sz w:val="24"/>
          <w:szCs w:val="24"/>
        </w:rPr>
        <w:t xml:space="preserve">sets out </w:t>
      </w:r>
      <w:r w:rsidR="00325E5D">
        <w:rPr>
          <w:rFonts w:ascii="Times New Roman" w:hAnsi="Times New Roman" w:cs="Times New Roman"/>
          <w:sz w:val="24"/>
          <w:szCs w:val="24"/>
        </w:rPr>
        <w:t xml:space="preserve">several </w:t>
      </w:r>
      <w:r w:rsidR="00325E5D" w:rsidRPr="00325E5D">
        <w:rPr>
          <w:rFonts w:ascii="Times New Roman" w:hAnsi="Times New Roman" w:cs="Times New Roman"/>
          <w:sz w:val="24"/>
          <w:szCs w:val="24"/>
        </w:rPr>
        <w:t xml:space="preserve">transitional provision (and accompanying definitions) </w:t>
      </w:r>
      <w:r w:rsidRPr="00261CDF">
        <w:rPr>
          <w:rFonts w:ascii="Times New Roman" w:hAnsi="Times New Roman" w:cs="Times New Roman"/>
          <w:sz w:val="24"/>
          <w:szCs w:val="24"/>
        </w:rPr>
        <w:t xml:space="preserve">arising from the repeal of the </w:t>
      </w:r>
      <w:r w:rsidR="00373A1C" w:rsidRPr="00373A1C">
        <w:rPr>
          <w:rFonts w:ascii="Times New Roman" w:hAnsi="Times New Roman" w:cs="Times New Roman"/>
          <w:i/>
          <w:sz w:val="24"/>
          <w:szCs w:val="24"/>
        </w:rPr>
        <w:t>Telecommunications Regulations 2001</w:t>
      </w:r>
      <w:r w:rsidR="00373A1C">
        <w:rPr>
          <w:rFonts w:ascii="Times New Roman" w:hAnsi="Times New Roman" w:cs="Times New Roman"/>
          <w:sz w:val="24"/>
          <w:szCs w:val="24"/>
        </w:rPr>
        <w:t xml:space="preserve"> </w:t>
      </w:r>
      <w:r w:rsidRPr="00261CDF">
        <w:rPr>
          <w:rFonts w:ascii="Times New Roman" w:hAnsi="Times New Roman" w:cs="Times New Roman"/>
          <w:sz w:val="24"/>
          <w:szCs w:val="24"/>
        </w:rPr>
        <w:t xml:space="preserve">and the commencement of the </w:t>
      </w:r>
      <w:r w:rsidR="00970E20">
        <w:rPr>
          <w:rFonts w:ascii="Times New Roman" w:hAnsi="Times New Roman" w:cs="Times New Roman"/>
          <w:sz w:val="24"/>
          <w:szCs w:val="24"/>
        </w:rPr>
        <w:t>replacement R</w:t>
      </w:r>
      <w:r w:rsidRPr="00261CDF">
        <w:rPr>
          <w:rFonts w:ascii="Times New Roman" w:hAnsi="Times New Roman" w:cs="Times New Roman"/>
          <w:sz w:val="24"/>
          <w:szCs w:val="24"/>
        </w:rPr>
        <w:t>egulations.</w:t>
      </w:r>
    </w:p>
    <w:p w14:paraId="520CABDA" w14:textId="7B35473E" w:rsidR="00325E5D" w:rsidRPr="00261CDF" w:rsidRDefault="00325E5D" w:rsidP="009C6890">
      <w:pPr>
        <w:pStyle w:val="ActHead5"/>
      </w:pPr>
      <w:r w:rsidRPr="00261CDF">
        <w:t xml:space="preserve">Section </w:t>
      </w:r>
      <w:r w:rsidR="00EB71E8">
        <w:t>52</w:t>
      </w:r>
      <w:r w:rsidRPr="00261CDF">
        <w:t xml:space="preserve"> – </w:t>
      </w:r>
      <w:r>
        <w:t xml:space="preserve">Definitions </w:t>
      </w:r>
    </w:p>
    <w:p w14:paraId="61C3AFA9" w14:textId="45FB229D" w:rsidR="00325E5D" w:rsidRDefault="00325E5D" w:rsidP="001A0286">
      <w:pPr>
        <w:rPr>
          <w:rFonts w:ascii="Times New Roman" w:hAnsi="Times New Roman" w:cs="Times New Roman"/>
          <w:sz w:val="24"/>
          <w:szCs w:val="24"/>
        </w:rPr>
      </w:pPr>
      <w:r>
        <w:rPr>
          <w:rFonts w:ascii="Times New Roman" w:hAnsi="Times New Roman" w:cs="Times New Roman"/>
          <w:sz w:val="24"/>
          <w:szCs w:val="24"/>
        </w:rPr>
        <w:t xml:space="preserve">Section </w:t>
      </w:r>
      <w:r w:rsidR="00EB71E8">
        <w:rPr>
          <w:rFonts w:ascii="Times New Roman" w:hAnsi="Times New Roman" w:cs="Times New Roman"/>
          <w:sz w:val="24"/>
          <w:szCs w:val="24"/>
        </w:rPr>
        <w:t>52</w:t>
      </w:r>
      <w:r>
        <w:rPr>
          <w:rFonts w:ascii="Times New Roman" w:hAnsi="Times New Roman" w:cs="Times New Roman"/>
          <w:sz w:val="24"/>
          <w:szCs w:val="24"/>
        </w:rPr>
        <w:t xml:space="preserve"> provides for two key terms used in the Division, ‘</w:t>
      </w:r>
      <w:r w:rsidRPr="00261CDF">
        <w:rPr>
          <w:rFonts w:ascii="Times New Roman" w:hAnsi="Times New Roman" w:cs="Times New Roman"/>
          <w:sz w:val="24"/>
          <w:szCs w:val="24"/>
        </w:rPr>
        <w:t>commencement time</w:t>
      </w:r>
      <w:r>
        <w:rPr>
          <w:rFonts w:ascii="Times New Roman" w:hAnsi="Times New Roman" w:cs="Times New Roman"/>
          <w:sz w:val="24"/>
          <w:szCs w:val="24"/>
        </w:rPr>
        <w:t xml:space="preserve">’ being the time when the section comments, i.e. the day after the instrument is registered on the Federal Register of Legislation) </w:t>
      </w:r>
      <w:r w:rsidRPr="00261CDF">
        <w:rPr>
          <w:rFonts w:ascii="Times New Roman" w:hAnsi="Times New Roman" w:cs="Times New Roman"/>
          <w:sz w:val="24"/>
          <w:szCs w:val="24"/>
        </w:rPr>
        <w:t xml:space="preserve">and </w:t>
      </w:r>
      <w:r>
        <w:rPr>
          <w:rFonts w:ascii="Times New Roman" w:hAnsi="Times New Roman" w:cs="Times New Roman"/>
          <w:sz w:val="24"/>
          <w:szCs w:val="24"/>
        </w:rPr>
        <w:t>‘</w:t>
      </w:r>
      <w:r w:rsidRPr="00261CDF">
        <w:rPr>
          <w:rFonts w:ascii="Times New Roman" w:hAnsi="Times New Roman" w:cs="Times New Roman"/>
          <w:sz w:val="24"/>
          <w:szCs w:val="24"/>
        </w:rPr>
        <w:t>old regulations</w:t>
      </w:r>
      <w:r>
        <w:rPr>
          <w:rFonts w:ascii="Times New Roman" w:hAnsi="Times New Roman" w:cs="Times New Roman"/>
          <w:sz w:val="24"/>
          <w:szCs w:val="24"/>
        </w:rPr>
        <w:t xml:space="preserve">’ (being the </w:t>
      </w:r>
      <w:r w:rsidRPr="00621B91">
        <w:rPr>
          <w:rFonts w:ascii="Times New Roman" w:hAnsi="Times New Roman" w:cs="Times New Roman"/>
          <w:i/>
          <w:sz w:val="24"/>
          <w:szCs w:val="24"/>
        </w:rPr>
        <w:t>Telecommunications Regulations 2001</w:t>
      </w:r>
      <w:r>
        <w:rPr>
          <w:rFonts w:ascii="Times New Roman" w:hAnsi="Times New Roman" w:cs="Times New Roman"/>
          <w:sz w:val="24"/>
          <w:szCs w:val="24"/>
        </w:rPr>
        <w:t>)</w:t>
      </w:r>
      <w:r w:rsidRPr="00261CDF">
        <w:rPr>
          <w:rFonts w:ascii="Times New Roman" w:hAnsi="Times New Roman" w:cs="Times New Roman"/>
          <w:sz w:val="24"/>
          <w:szCs w:val="24"/>
        </w:rPr>
        <w:t>.</w:t>
      </w:r>
    </w:p>
    <w:p w14:paraId="4C61B043" w14:textId="65D063FD" w:rsidR="00EB71E8" w:rsidRPr="00A41B82" w:rsidRDefault="00EB71E8" w:rsidP="009C6890">
      <w:pPr>
        <w:pStyle w:val="ActHead5"/>
      </w:pPr>
      <w:r w:rsidRPr="00A41B82">
        <w:t>Section 53 – Things done under the old regulations</w:t>
      </w:r>
    </w:p>
    <w:p w14:paraId="0E2F216F" w14:textId="4E6BBC13" w:rsidR="00A957DC" w:rsidRPr="00A957DC" w:rsidRDefault="00325E5D" w:rsidP="00A957DC">
      <w:pPr>
        <w:rPr>
          <w:rFonts w:ascii="Times New Roman" w:hAnsi="Times New Roman" w:cs="Times New Roman"/>
          <w:sz w:val="24"/>
          <w:szCs w:val="24"/>
        </w:rPr>
      </w:pPr>
      <w:r>
        <w:rPr>
          <w:rFonts w:ascii="Times New Roman" w:hAnsi="Times New Roman" w:cs="Times New Roman"/>
          <w:sz w:val="24"/>
          <w:szCs w:val="24"/>
        </w:rPr>
        <w:t>S</w:t>
      </w:r>
      <w:r w:rsidR="009D5F0F">
        <w:rPr>
          <w:rFonts w:ascii="Times New Roman" w:hAnsi="Times New Roman" w:cs="Times New Roman"/>
          <w:sz w:val="24"/>
          <w:szCs w:val="24"/>
        </w:rPr>
        <w:t xml:space="preserve">ection </w:t>
      </w:r>
      <w:r w:rsidR="00EB71E8">
        <w:rPr>
          <w:rFonts w:ascii="Times New Roman" w:hAnsi="Times New Roman" w:cs="Times New Roman"/>
          <w:sz w:val="24"/>
          <w:szCs w:val="24"/>
        </w:rPr>
        <w:t>53</w:t>
      </w:r>
      <w:r w:rsidR="009D5F0F">
        <w:rPr>
          <w:rFonts w:ascii="Times New Roman" w:hAnsi="Times New Roman" w:cs="Times New Roman"/>
          <w:sz w:val="24"/>
          <w:szCs w:val="24"/>
        </w:rPr>
        <w:t xml:space="preserve"> provides for a general </w:t>
      </w:r>
      <w:r w:rsidR="00A957DC">
        <w:rPr>
          <w:rFonts w:ascii="Times New Roman" w:hAnsi="Times New Roman" w:cs="Times New Roman"/>
          <w:sz w:val="24"/>
          <w:szCs w:val="24"/>
        </w:rPr>
        <w:t xml:space="preserve">application </w:t>
      </w:r>
      <w:r w:rsidR="009D5F0F">
        <w:rPr>
          <w:rFonts w:ascii="Times New Roman" w:hAnsi="Times New Roman" w:cs="Times New Roman"/>
          <w:sz w:val="24"/>
          <w:szCs w:val="24"/>
        </w:rPr>
        <w:t>p</w:t>
      </w:r>
      <w:r w:rsidR="00A957DC">
        <w:rPr>
          <w:rFonts w:ascii="Times New Roman" w:hAnsi="Times New Roman" w:cs="Times New Roman"/>
          <w:sz w:val="24"/>
          <w:szCs w:val="24"/>
        </w:rPr>
        <w:t xml:space="preserve">rovision </w:t>
      </w:r>
      <w:r w:rsidR="00A957DC" w:rsidRPr="00A957DC">
        <w:rPr>
          <w:rFonts w:ascii="Times New Roman" w:hAnsi="Times New Roman" w:cs="Times New Roman"/>
          <w:sz w:val="24"/>
          <w:szCs w:val="24"/>
        </w:rPr>
        <w:t xml:space="preserve">relating to things done under the old regulations. This section ensures that decisions made under the old regulations continue to have effect. </w:t>
      </w:r>
    </w:p>
    <w:p w14:paraId="41225ECA" w14:textId="161AF2FB" w:rsidR="00A957DC" w:rsidRPr="00A957DC" w:rsidRDefault="00A957DC" w:rsidP="00A957DC">
      <w:pPr>
        <w:rPr>
          <w:rFonts w:ascii="Times New Roman" w:hAnsi="Times New Roman" w:cs="Times New Roman"/>
          <w:sz w:val="24"/>
          <w:szCs w:val="24"/>
        </w:rPr>
      </w:pPr>
      <w:r>
        <w:rPr>
          <w:rFonts w:ascii="Times New Roman" w:hAnsi="Times New Roman" w:cs="Times New Roman"/>
          <w:sz w:val="24"/>
          <w:szCs w:val="24"/>
        </w:rPr>
        <w:lastRenderedPageBreak/>
        <w:t xml:space="preserve">Subsection </w:t>
      </w:r>
      <w:r w:rsidR="00B562BA">
        <w:rPr>
          <w:rFonts w:ascii="Times New Roman" w:hAnsi="Times New Roman" w:cs="Times New Roman"/>
          <w:sz w:val="24"/>
          <w:szCs w:val="24"/>
        </w:rPr>
        <w:t>53</w:t>
      </w:r>
      <w:r w:rsidRPr="00A957DC">
        <w:rPr>
          <w:rFonts w:ascii="Times New Roman" w:hAnsi="Times New Roman" w:cs="Times New Roman"/>
          <w:sz w:val="24"/>
          <w:szCs w:val="24"/>
        </w:rPr>
        <w:t xml:space="preserve">(1) provides that, if a thing that was done for a particular purpose under the old regulations as in force immediately before those regulations were repealed, and the thing could be done for that purpose under </w:t>
      </w:r>
      <w:r>
        <w:rPr>
          <w:rFonts w:ascii="Times New Roman" w:hAnsi="Times New Roman" w:cs="Times New Roman"/>
          <w:sz w:val="24"/>
          <w:szCs w:val="24"/>
        </w:rPr>
        <w:t xml:space="preserve">the new Regulations (the </w:t>
      </w:r>
      <w:r w:rsidRPr="00A957DC">
        <w:rPr>
          <w:rFonts w:ascii="Times New Roman" w:hAnsi="Times New Roman" w:cs="Times New Roman"/>
          <w:sz w:val="24"/>
          <w:szCs w:val="24"/>
        </w:rPr>
        <w:t>instrument</w:t>
      </w:r>
      <w:r>
        <w:rPr>
          <w:rFonts w:ascii="Times New Roman" w:hAnsi="Times New Roman" w:cs="Times New Roman"/>
          <w:sz w:val="24"/>
          <w:szCs w:val="24"/>
        </w:rPr>
        <w:t>)</w:t>
      </w:r>
      <w:r w:rsidRPr="00A957DC">
        <w:rPr>
          <w:rFonts w:ascii="Times New Roman" w:hAnsi="Times New Roman" w:cs="Times New Roman"/>
          <w:sz w:val="24"/>
          <w:szCs w:val="24"/>
        </w:rPr>
        <w:t xml:space="preserve">, the thing has effect for the purposes of </w:t>
      </w:r>
      <w:r>
        <w:rPr>
          <w:rFonts w:ascii="Times New Roman" w:hAnsi="Times New Roman" w:cs="Times New Roman"/>
          <w:sz w:val="24"/>
          <w:szCs w:val="24"/>
        </w:rPr>
        <w:t xml:space="preserve">the </w:t>
      </w:r>
      <w:r w:rsidRPr="00A957DC">
        <w:rPr>
          <w:rFonts w:ascii="Times New Roman" w:hAnsi="Times New Roman" w:cs="Times New Roman"/>
          <w:sz w:val="24"/>
          <w:szCs w:val="24"/>
        </w:rPr>
        <w:t xml:space="preserve">instrument as if it had been done for that particular purpose under </w:t>
      </w:r>
      <w:r>
        <w:rPr>
          <w:rFonts w:ascii="Times New Roman" w:hAnsi="Times New Roman" w:cs="Times New Roman"/>
          <w:sz w:val="24"/>
          <w:szCs w:val="24"/>
        </w:rPr>
        <w:t xml:space="preserve">that </w:t>
      </w:r>
      <w:r w:rsidRPr="00A957DC">
        <w:rPr>
          <w:rFonts w:ascii="Times New Roman" w:hAnsi="Times New Roman" w:cs="Times New Roman"/>
          <w:sz w:val="24"/>
          <w:szCs w:val="24"/>
        </w:rPr>
        <w:t xml:space="preserve">instrument. </w:t>
      </w:r>
    </w:p>
    <w:p w14:paraId="5E9B3F73" w14:textId="3485757A" w:rsidR="00A957DC" w:rsidRPr="00A957DC" w:rsidRDefault="00A957DC" w:rsidP="00A957DC">
      <w:pPr>
        <w:rPr>
          <w:rFonts w:ascii="Times New Roman" w:hAnsi="Times New Roman" w:cs="Times New Roman"/>
          <w:sz w:val="24"/>
          <w:szCs w:val="24"/>
        </w:rPr>
      </w:pPr>
      <w:r>
        <w:rPr>
          <w:rFonts w:ascii="Times New Roman" w:hAnsi="Times New Roman" w:cs="Times New Roman"/>
          <w:sz w:val="24"/>
          <w:szCs w:val="24"/>
        </w:rPr>
        <w:t xml:space="preserve">Subsection </w:t>
      </w:r>
      <w:r w:rsidR="00940AAA">
        <w:rPr>
          <w:rFonts w:ascii="Times New Roman" w:hAnsi="Times New Roman" w:cs="Times New Roman"/>
          <w:sz w:val="24"/>
          <w:szCs w:val="24"/>
        </w:rPr>
        <w:t>53</w:t>
      </w:r>
      <w:r w:rsidRPr="00A957DC">
        <w:rPr>
          <w:rFonts w:ascii="Times New Roman" w:hAnsi="Times New Roman" w:cs="Times New Roman"/>
          <w:sz w:val="24"/>
          <w:szCs w:val="24"/>
        </w:rPr>
        <w:t xml:space="preserve">(2) of the Regulations clarifies that a reference to a thing being done includes a reference to a notice, approval or other instrument being given or made. </w:t>
      </w:r>
    </w:p>
    <w:p w14:paraId="11DFC9F8" w14:textId="7EF8A4E1" w:rsidR="00A957DC" w:rsidRDefault="00A957DC" w:rsidP="00A957DC">
      <w:pPr>
        <w:rPr>
          <w:rFonts w:ascii="Times New Roman" w:hAnsi="Times New Roman" w:cs="Times New Roman"/>
          <w:sz w:val="24"/>
          <w:szCs w:val="24"/>
        </w:rPr>
      </w:pPr>
      <w:r w:rsidRPr="00A957DC">
        <w:rPr>
          <w:rFonts w:ascii="Times New Roman" w:hAnsi="Times New Roman" w:cs="Times New Roman"/>
          <w:sz w:val="24"/>
          <w:szCs w:val="24"/>
        </w:rPr>
        <w:t xml:space="preserve">Section </w:t>
      </w:r>
      <w:r w:rsidR="00940AAA">
        <w:rPr>
          <w:rFonts w:ascii="Times New Roman" w:hAnsi="Times New Roman" w:cs="Times New Roman"/>
          <w:sz w:val="24"/>
          <w:szCs w:val="24"/>
        </w:rPr>
        <w:t>53</w:t>
      </w:r>
      <w:r>
        <w:rPr>
          <w:rFonts w:ascii="Times New Roman" w:hAnsi="Times New Roman" w:cs="Times New Roman"/>
          <w:sz w:val="24"/>
          <w:szCs w:val="24"/>
        </w:rPr>
        <w:t xml:space="preserve"> </w:t>
      </w:r>
      <w:r w:rsidRPr="00A957DC">
        <w:rPr>
          <w:rFonts w:ascii="Times New Roman" w:hAnsi="Times New Roman" w:cs="Times New Roman"/>
          <w:sz w:val="24"/>
          <w:szCs w:val="24"/>
        </w:rPr>
        <w:t xml:space="preserve">only validates decisions made for a particular purpose under the old regulations, and does not retrospectively validate decisions made outside the limits of the old regulations or not made in accordance with a particular purpose contained in the old regulations. </w:t>
      </w:r>
    </w:p>
    <w:p w14:paraId="3813B385" w14:textId="4E744ADA" w:rsidR="00A957DC" w:rsidRPr="00A957DC" w:rsidRDefault="00A957DC" w:rsidP="009C6890">
      <w:pPr>
        <w:pStyle w:val="ActHead5"/>
      </w:pPr>
      <w:r w:rsidRPr="00A957DC">
        <w:t xml:space="preserve">Section </w:t>
      </w:r>
      <w:r w:rsidR="00940AAA">
        <w:t>54</w:t>
      </w:r>
      <w:r w:rsidRPr="00A957DC">
        <w:t xml:space="preserve"> </w:t>
      </w:r>
      <w:r w:rsidR="0018651C" w:rsidRPr="009677A7">
        <w:t>–</w:t>
      </w:r>
      <w:r w:rsidRPr="00A957DC">
        <w:t xml:space="preserve"> Conduct, event, circumstances occurring before commencement </w:t>
      </w:r>
    </w:p>
    <w:p w14:paraId="2533FEA1" w14:textId="2B50C58D" w:rsidR="00A957DC" w:rsidRPr="00A957DC" w:rsidRDefault="00A957DC" w:rsidP="00A957DC">
      <w:pPr>
        <w:rPr>
          <w:rFonts w:ascii="Times New Roman" w:hAnsi="Times New Roman" w:cs="Times New Roman"/>
          <w:sz w:val="24"/>
          <w:szCs w:val="24"/>
        </w:rPr>
      </w:pPr>
      <w:r>
        <w:rPr>
          <w:rFonts w:ascii="Times New Roman" w:hAnsi="Times New Roman" w:cs="Times New Roman"/>
          <w:sz w:val="24"/>
          <w:szCs w:val="24"/>
        </w:rPr>
        <w:t xml:space="preserve">Section </w:t>
      </w:r>
      <w:r w:rsidR="00940AAA">
        <w:rPr>
          <w:rFonts w:ascii="Times New Roman" w:hAnsi="Times New Roman" w:cs="Times New Roman"/>
          <w:sz w:val="24"/>
          <w:szCs w:val="24"/>
        </w:rPr>
        <w:t>54</w:t>
      </w:r>
      <w:r>
        <w:rPr>
          <w:rFonts w:ascii="Times New Roman" w:hAnsi="Times New Roman" w:cs="Times New Roman"/>
          <w:sz w:val="24"/>
          <w:szCs w:val="24"/>
        </w:rPr>
        <w:t xml:space="preserve"> is an avoidance</w:t>
      </w:r>
      <w:r w:rsidR="00940AAA">
        <w:rPr>
          <w:rFonts w:ascii="Times New Roman" w:hAnsi="Times New Roman" w:cs="Times New Roman"/>
          <w:sz w:val="24"/>
          <w:szCs w:val="24"/>
        </w:rPr>
        <w:t>-</w:t>
      </w:r>
      <w:r>
        <w:rPr>
          <w:rFonts w:ascii="Times New Roman" w:hAnsi="Times New Roman" w:cs="Times New Roman"/>
          <w:sz w:val="24"/>
          <w:szCs w:val="24"/>
        </w:rPr>
        <w:t>of</w:t>
      </w:r>
      <w:r w:rsidR="00940AAA">
        <w:rPr>
          <w:rFonts w:ascii="Times New Roman" w:hAnsi="Times New Roman" w:cs="Times New Roman"/>
          <w:sz w:val="24"/>
          <w:szCs w:val="24"/>
        </w:rPr>
        <w:t>-</w:t>
      </w:r>
      <w:r>
        <w:rPr>
          <w:rFonts w:ascii="Times New Roman" w:hAnsi="Times New Roman" w:cs="Times New Roman"/>
          <w:sz w:val="24"/>
          <w:szCs w:val="24"/>
        </w:rPr>
        <w:t xml:space="preserve">doubt </w:t>
      </w:r>
      <w:r w:rsidRPr="00A957DC">
        <w:rPr>
          <w:rFonts w:ascii="Times New Roman" w:hAnsi="Times New Roman" w:cs="Times New Roman"/>
          <w:sz w:val="24"/>
          <w:szCs w:val="24"/>
        </w:rPr>
        <w:t xml:space="preserve">application provision relating to conduct, events and circumstances occurring before the commencement of the Regulations. </w:t>
      </w:r>
      <w:r>
        <w:rPr>
          <w:rFonts w:ascii="Times New Roman" w:hAnsi="Times New Roman" w:cs="Times New Roman"/>
          <w:sz w:val="24"/>
          <w:szCs w:val="24"/>
        </w:rPr>
        <w:t xml:space="preserve"> It </w:t>
      </w:r>
      <w:r w:rsidRPr="00A957DC">
        <w:rPr>
          <w:rFonts w:ascii="Times New Roman" w:hAnsi="Times New Roman" w:cs="Times New Roman"/>
          <w:sz w:val="24"/>
          <w:szCs w:val="24"/>
        </w:rPr>
        <w:t>ensures that the powers, functions or duties under the Regulations can be performed or exercised in relation to past events.</w:t>
      </w:r>
    </w:p>
    <w:p w14:paraId="56BC3430" w14:textId="54B77103" w:rsidR="00A957DC" w:rsidRPr="00A957DC" w:rsidRDefault="00A957DC" w:rsidP="00A957DC">
      <w:pPr>
        <w:rPr>
          <w:rFonts w:ascii="Times New Roman" w:hAnsi="Times New Roman" w:cs="Times New Roman"/>
          <w:sz w:val="24"/>
          <w:szCs w:val="24"/>
        </w:rPr>
      </w:pPr>
      <w:r w:rsidRPr="00A957DC">
        <w:rPr>
          <w:rFonts w:ascii="Times New Roman" w:hAnsi="Times New Roman" w:cs="Times New Roman"/>
          <w:sz w:val="24"/>
          <w:szCs w:val="24"/>
        </w:rPr>
        <w:t xml:space="preserve">Subsection </w:t>
      </w:r>
      <w:r w:rsidR="00940AAA">
        <w:rPr>
          <w:rFonts w:ascii="Times New Roman" w:hAnsi="Times New Roman" w:cs="Times New Roman"/>
          <w:sz w:val="24"/>
          <w:szCs w:val="24"/>
        </w:rPr>
        <w:t>54</w:t>
      </w:r>
      <w:r w:rsidRPr="00A957DC">
        <w:rPr>
          <w:rFonts w:ascii="Times New Roman" w:hAnsi="Times New Roman" w:cs="Times New Roman"/>
          <w:sz w:val="24"/>
          <w:szCs w:val="24"/>
        </w:rPr>
        <w:t>(</w:t>
      </w:r>
      <w:r>
        <w:rPr>
          <w:rFonts w:ascii="Times New Roman" w:hAnsi="Times New Roman" w:cs="Times New Roman"/>
          <w:sz w:val="24"/>
          <w:szCs w:val="24"/>
        </w:rPr>
        <w:t>2</w:t>
      </w:r>
      <w:r w:rsidRPr="00A957DC">
        <w:rPr>
          <w:rFonts w:ascii="Times New Roman" w:hAnsi="Times New Roman" w:cs="Times New Roman"/>
          <w:sz w:val="24"/>
          <w:szCs w:val="24"/>
        </w:rPr>
        <w:t xml:space="preserve">) of the Regulations states that, to avoid doubt, a function or duty may be performed, or a power exercised, under this instrument in relation to conduct engaged in, an event that occurred, or a circumstance that arose, before this section commences. </w:t>
      </w:r>
    </w:p>
    <w:p w14:paraId="0D2AFD24" w14:textId="1E5CE7D7" w:rsidR="00A957DC" w:rsidRPr="00A957DC" w:rsidRDefault="00A957DC" w:rsidP="00A957DC">
      <w:pPr>
        <w:rPr>
          <w:rFonts w:ascii="Times New Roman" w:hAnsi="Times New Roman" w:cs="Times New Roman"/>
          <w:sz w:val="24"/>
          <w:szCs w:val="24"/>
        </w:rPr>
      </w:pPr>
      <w:r>
        <w:rPr>
          <w:rFonts w:ascii="Times New Roman" w:hAnsi="Times New Roman" w:cs="Times New Roman"/>
          <w:sz w:val="24"/>
          <w:szCs w:val="24"/>
        </w:rPr>
        <w:lastRenderedPageBreak/>
        <w:t xml:space="preserve">Subsection </w:t>
      </w:r>
      <w:r w:rsidR="00940AAA">
        <w:rPr>
          <w:rFonts w:ascii="Times New Roman" w:hAnsi="Times New Roman" w:cs="Times New Roman"/>
          <w:sz w:val="24"/>
          <w:szCs w:val="24"/>
        </w:rPr>
        <w:t>54</w:t>
      </w:r>
      <w:r w:rsidRPr="00A957DC">
        <w:rPr>
          <w:rFonts w:ascii="Times New Roman" w:hAnsi="Times New Roman" w:cs="Times New Roman"/>
          <w:sz w:val="24"/>
          <w:szCs w:val="24"/>
        </w:rPr>
        <w:t xml:space="preserve">(2) of the Regulations provides that this section does not limit section 7 of the </w:t>
      </w:r>
      <w:r w:rsidRPr="00A957DC">
        <w:rPr>
          <w:rFonts w:ascii="Times New Roman" w:hAnsi="Times New Roman" w:cs="Times New Roman"/>
          <w:i/>
          <w:sz w:val="24"/>
          <w:szCs w:val="24"/>
        </w:rPr>
        <w:t>Acts Interpretation Act 1901</w:t>
      </w:r>
      <w:r w:rsidRPr="00A957DC">
        <w:rPr>
          <w:rFonts w:ascii="Times New Roman" w:hAnsi="Times New Roman" w:cs="Times New Roman"/>
          <w:sz w:val="24"/>
          <w:szCs w:val="24"/>
        </w:rPr>
        <w:t xml:space="preserve"> (as that Act applies in relation to this instrument because of paragraph 13(1)(a) of the Legislation Act 2003). </w:t>
      </w:r>
    </w:p>
    <w:p w14:paraId="655BE866" w14:textId="54B8638D" w:rsidR="00A957DC" w:rsidRDefault="00A957DC" w:rsidP="009C6890">
      <w:pPr>
        <w:pStyle w:val="ActHead5"/>
      </w:pPr>
      <w:r w:rsidRPr="00A957DC">
        <w:t xml:space="preserve">Section </w:t>
      </w:r>
      <w:r w:rsidR="00940AAA">
        <w:t>55</w:t>
      </w:r>
      <w:r w:rsidRPr="00A957DC">
        <w:t xml:space="preserve"> – Service </w:t>
      </w:r>
      <w:r>
        <w:t>p</w:t>
      </w:r>
      <w:r w:rsidRPr="00A957DC">
        <w:t>rovider determinations</w:t>
      </w:r>
    </w:p>
    <w:p w14:paraId="6EB211FF" w14:textId="60CFEDE0" w:rsidR="00A957DC" w:rsidRDefault="00A957DC" w:rsidP="00A957DC">
      <w:pPr>
        <w:rPr>
          <w:rFonts w:ascii="Times New Roman" w:hAnsi="Times New Roman" w:cs="Times New Roman"/>
          <w:sz w:val="24"/>
          <w:szCs w:val="24"/>
        </w:rPr>
      </w:pPr>
      <w:r w:rsidRPr="00675BA2">
        <w:rPr>
          <w:rFonts w:ascii="Times New Roman" w:hAnsi="Times New Roman" w:cs="Times New Roman"/>
          <w:sz w:val="24"/>
          <w:szCs w:val="24"/>
        </w:rPr>
        <w:t xml:space="preserve">Section </w:t>
      </w:r>
      <w:r w:rsidR="00940AAA">
        <w:rPr>
          <w:rFonts w:ascii="Times New Roman" w:hAnsi="Times New Roman" w:cs="Times New Roman"/>
          <w:sz w:val="24"/>
          <w:szCs w:val="24"/>
        </w:rPr>
        <w:t>55</w:t>
      </w:r>
      <w:r w:rsidRPr="00675BA2">
        <w:rPr>
          <w:rFonts w:ascii="Times New Roman" w:hAnsi="Times New Roman" w:cs="Times New Roman"/>
          <w:sz w:val="24"/>
          <w:szCs w:val="24"/>
        </w:rPr>
        <w:t xml:space="preserve"> </w:t>
      </w:r>
      <w:r w:rsidR="00675BA2" w:rsidRPr="00675BA2">
        <w:rPr>
          <w:rFonts w:ascii="Times New Roman" w:hAnsi="Times New Roman" w:cs="Times New Roman"/>
          <w:sz w:val="24"/>
          <w:szCs w:val="24"/>
        </w:rPr>
        <w:t xml:space="preserve">makes clear that Part 2 under the Regulations applies in relation to any service provider determination made after the commencement time. Service provider determinations </w:t>
      </w:r>
      <w:r w:rsidR="00675BA2">
        <w:rPr>
          <w:rFonts w:ascii="Times New Roman" w:hAnsi="Times New Roman" w:cs="Times New Roman"/>
          <w:sz w:val="24"/>
          <w:szCs w:val="24"/>
        </w:rPr>
        <w:t xml:space="preserve">(which are made under section 99 of the Act) and that were in force </w:t>
      </w:r>
      <w:r w:rsidR="00675BA2" w:rsidRPr="00675BA2">
        <w:rPr>
          <w:rFonts w:ascii="Times New Roman" w:hAnsi="Times New Roman" w:cs="Times New Roman"/>
          <w:sz w:val="24"/>
          <w:szCs w:val="24"/>
        </w:rPr>
        <w:t xml:space="preserve">prior to the </w:t>
      </w:r>
      <w:r w:rsidR="00675BA2">
        <w:rPr>
          <w:rFonts w:ascii="Times New Roman" w:hAnsi="Times New Roman" w:cs="Times New Roman"/>
          <w:sz w:val="24"/>
          <w:szCs w:val="24"/>
        </w:rPr>
        <w:t xml:space="preserve">repeal </w:t>
      </w:r>
      <w:r w:rsidR="00675BA2" w:rsidRPr="00675BA2">
        <w:rPr>
          <w:rFonts w:ascii="Times New Roman" w:hAnsi="Times New Roman" w:cs="Times New Roman"/>
          <w:sz w:val="24"/>
          <w:szCs w:val="24"/>
        </w:rPr>
        <w:t xml:space="preserve">of the </w:t>
      </w:r>
      <w:r w:rsidR="00675BA2">
        <w:rPr>
          <w:rFonts w:ascii="Times New Roman" w:hAnsi="Times New Roman" w:cs="Times New Roman"/>
          <w:sz w:val="24"/>
          <w:szCs w:val="24"/>
        </w:rPr>
        <w:t>old r</w:t>
      </w:r>
      <w:r w:rsidR="00675BA2" w:rsidRPr="00675BA2">
        <w:rPr>
          <w:rFonts w:ascii="Times New Roman" w:hAnsi="Times New Roman" w:cs="Times New Roman"/>
          <w:sz w:val="24"/>
          <w:szCs w:val="24"/>
        </w:rPr>
        <w:t xml:space="preserve">egulations continue in full force and effect. </w:t>
      </w:r>
    </w:p>
    <w:p w14:paraId="028B5F1B" w14:textId="2E9E5154" w:rsidR="00164E04" w:rsidRDefault="00A957DC" w:rsidP="009C6890">
      <w:pPr>
        <w:pStyle w:val="ActHead5"/>
      </w:pPr>
      <w:r>
        <w:t xml:space="preserve">Section </w:t>
      </w:r>
      <w:r w:rsidR="009308E2">
        <w:t>56</w:t>
      </w:r>
      <w:r w:rsidR="00164E04">
        <w:t xml:space="preserve"> </w:t>
      </w:r>
      <w:r w:rsidR="0018651C" w:rsidRPr="009677A7">
        <w:t>–</w:t>
      </w:r>
      <w:r w:rsidRPr="00A957DC">
        <w:t xml:space="preserve"> </w:t>
      </w:r>
      <w:r w:rsidR="00164E04" w:rsidRPr="00A41B82">
        <w:t>Industry codes and industry standards</w:t>
      </w:r>
    </w:p>
    <w:p w14:paraId="5EAD3C79" w14:textId="77777777" w:rsidR="00164E04" w:rsidRPr="00A41B82" w:rsidRDefault="00164E04" w:rsidP="00A41B82">
      <w:r w:rsidRPr="00290357">
        <w:rPr>
          <w:rFonts w:ascii="Times New Roman" w:hAnsi="Times New Roman" w:cs="Times New Roman"/>
          <w:sz w:val="24"/>
          <w:szCs w:val="24"/>
        </w:rPr>
        <w:t xml:space="preserve">Part </w:t>
      </w:r>
      <w:r>
        <w:rPr>
          <w:rFonts w:ascii="Times New Roman" w:hAnsi="Times New Roman" w:cs="Times New Roman"/>
          <w:sz w:val="24"/>
          <w:szCs w:val="24"/>
        </w:rPr>
        <w:t>3</w:t>
      </w:r>
      <w:r w:rsidRPr="00290357">
        <w:rPr>
          <w:rFonts w:ascii="Times New Roman" w:hAnsi="Times New Roman" w:cs="Times New Roman"/>
          <w:sz w:val="24"/>
          <w:szCs w:val="24"/>
        </w:rPr>
        <w:t xml:space="preserve"> applies in relation to any </w:t>
      </w:r>
      <w:r>
        <w:rPr>
          <w:rFonts w:ascii="Times New Roman" w:hAnsi="Times New Roman" w:cs="Times New Roman"/>
          <w:sz w:val="24"/>
          <w:szCs w:val="24"/>
        </w:rPr>
        <w:t xml:space="preserve">industry code, </w:t>
      </w:r>
      <w:r w:rsidRPr="00B65A1B">
        <w:rPr>
          <w:rFonts w:ascii="Times New Roman" w:hAnsi="Times New Roman" w:cs="Times New Roman"/>
          <w:sz w:val="24"/>
          <w:szCs w:val="24"/>
        </w:rPr>
        <w:t xml:space="preserve">whether registered before or after the commencement time; </w:t>
      </w:r>
      <w:r w:rsidRPr="00A41B82">
        <w:rPr>
          <w:rFonts w:ascii="Times New Roman" w:hAnsi="Times New Roman" w:cs="Times New Roman"/>
          <w:sz w:val="24"/>
          <w:szCs w:val="24"/>
        </w:rPr>
        <w:t>and any industry standard, whether determined before or after the commencement time.</w:t>
      </w:r>
    </w:p>
    <w:p w14:paraId="52CE940F" w14:textId="694D6CAF" w:rsidR="00A957DC" w:rsidRDefault="00164E04" w:rsidP="009C6890">
      <w:pPr>
        <w:pStyle w:val="ActHead5"/>
      </w:pPr>
      <w:r>
        <w:t xml:space="preserve">Section 57 </w:t>
      </w:r>
      <w:r w:rsidR="0018651C" w:rsidRPr="009677A7">
        <w:t>–</w:t>
      </w:r>
      <w:r>
        <w:t xml:space="preserve"> </w:t>
      </w:r>
      <w:r w:rsidR="00A957DC" w:rsidRPr="00A957DC">
        <w:t xml:space="preserve">Research </w:t>
      </w:r>
      <w:r w:rsidR="00A957DC" w:rsidRPr="00DA1C42">
        <w:t>authorisations</w:t>
      </w:r>
      <w:r w:rsidR="00A957DC" w:rsidRPr="00A957DC">
        <w:t xml:space="preserve"> </w:t>
      </w:r>
    </w:p>
    <w:p w14:paraId="32C792F9" w14:textId="469B53A1" w:rsidR="00164E04" w:rsidRPr="00A41B82" w:rsidRDefault="00164E04" w:rsidP="00A957DC">
      <w:pPr>
        <w:rPr>
          <w:rFonts w:ascii="Times New Roman" w:hAnsi="Times New Roman" w:cs="Times New Roman"/>
          <w:b/>
          <w:sz w:val="24"/>
        </w:rPr>
      </w:pPr>
      <w:r w:rsidRPr="00A41B82">
        <w:rPr>
          <w:rFonts w:ascii="Times New Roman" w:hAnsi="Times New Roman" w:cs="Times New Roman"/>
          <w:i/>
          <w:iCs/>
        </w:rPr>
        <w:t>Research authorisations under the old regulations continue</w:t>
      </w:r>
    </w:p>
    <w:p w14:paraId="66DF7ED4" w14:textId="15413D39" w:rsidR="00675BA2" w:rsidRDefault="00675BA2" w:rsidP="00675BA2">
      <w:pPr>
        <w:rPr>
          <w:rFonts w:ascii="Times New Roman" w:hAnsi="Times New Roman" w:cs="Times New Roman"/>
          <w:sz w:val="24"/>
          <w:szCs w:val="24"/>
        </w:rPr>
      </w:pPr>
      <w:r>
        <w:rPr>
          <w:rFonts w:ascii="Times New Roman" w:hAnsi="Times New Roman" w:cs="Times New Roman"/>
          <w:sz w:val="24"/>
          <w:szCs w:val="24"/>
        </w:rPr>
        <w:t xml:space="preserve">Subsections </w:t>
      </w:r>
      <w:r w:rsidR="009308E2">
        <w:rPr>
          <w:rFonts w:ascii="Times New Roman" w:hAnsi="Times New Roman" w:cs="Times New Roman"/>
          <w:sz w:val="24"/>
          <w:szCs w:val="24"/>
        </w:rPr>
        <w:t>5</w:t>
      </w:r>
      <w:r w:rsidR="00164E04">
        <w:rPr>
          <w:rFonts w:ascii="Times New Roman" w:hAnsi="Times New Roman" w:cs="Times New Roman"/>
          <w:sz w:val="24"/>
          <w:szCs w:val="24"/>
        </w:rPr>
        <w:t>7</w:t>
      </w:r>
      <w:r>
        <w:rPr>
          <w:rFonts w:ascii="Times New Roman" w:hAnsi="Times New Roman" w:cs="Times New Roman"/>
          <w:sz w:val="24"/>
          <w:szCs w:val="24"/>
        </w:rPr>
        <w:t>(1) (and (2) set out transitional provisions to ensure that a research authorisation granted under the old regulations is treated as an authorisation that had been granted under section 2</w:t>
      </w:r>
      <w:r w:rsidR="009308E2">
        <w:rPr>
          <w:rFonts w:ascii="Times New Roman" w:hAnsi="Times New Roman" w:cs="Times New Roman"/>
          <w:sz w:val="24"/>
          <w:szCs w:val="24"/>
        </w:rPr>
        <w:t>1</w:t>
      </w:r>
      <w:r>
        <w:rPr>
          <w:rFonts w:ascii="Times New Roman" w:hAnsi="Times New Roman" w:cs="Times New Roman"/>
          <w:sz w:val="24"/>
          <w:szCs w:val="24"/>
        </w:rPr>
        <w:t xml:space="preserve"> of the Reg</w:t>
      </w:r>
      <w:r>
        <w:rPr>
          <w:rFonts w:ascii="Times New Roman" w:hAnsi="Times New Roman" w:cs="Times New Roman"/>
          <w:sz w:val="24"/>
          <w:szCs w:val="24"/>
        </w:rPr>
        <w:lastRenderedPageBreak/>
        <w:t>ulations and any accompany in conditions are treated as being specified under section 3</w:t>
      </w:r>
      <w:r w:rsidR="009308E2">
        <w:rPr>
          <w:rFonts w:ascii="Times New Roman" w:hAnsi="Times New Roman" w:cs="Times New Roman"/>
          <w:sz w:val="24"/>
          <w:szCs w:val="24"/>
        </w:rPr>
        <w:t>6</w:t>
      </w:r>
      <w:r>
        <w:rPr>
          <w:rFonts w:ascii="Times New Roman" w:hAnsi="Times New Roman" w:cs="Times New Roman"/>
          <w:sz w:val="24"/>
          <w:szCs w:val="24"/>
        </w:rPr>
        <w:t xml:space="preserve"> of the Regulations, additional any research entity removed under regulation 5.28 or 5.2</w:t>
      </w:r>
      <w:r w:rsidR="007D3D73">
        <w:rPr>
          <w:rFonts w:ascii="Times New Roman" w:hAnsi="Times New Roman" w:cs="Times New Roman"/>
          <w:sz w:val="24"/>
          <w:szCs w:val="24"/>
        </w:rPr>
        <w:t>9</w:t>
      </w:r>
      <w:r>
        <w:rPr>
          <w:rFonts w:ascii="Times New Roman" w:hAnsi="Times New Roman" w:cs="Times New Roman"/>
          <w:sz w:val="24"/>
          <w:szCs w:val="24"/>
        </w:rPr>
        <w:t xml:space="preserve"> from the authorisation (as originally issued under the old regulation) is treated as having been removed. </w:t>
      </w:r>
    </w:p>
    <w:p w14:paraId="29DD0D2A" w14:textId="3A82123D" w:rsidR="00164E04" w:rsidRPr="00A41B82" w:rsidRDefault="00164E04" w:rsidP="00675BA2">
      <w:pPr>
        <w:rPr>
          <w:rFonts w:ascii="Times New Roman" w:hAnsi="Times New Roman" w:cs="Times New Roman"/>
          <w:i/>
          <w:iCs/>
        </w:rPr>
      </w:pPr>
      <w:r w:rsidRPr="00A41B82">
        <w:rPr>
          <w:rFonts w:ascii="Times New Roman" w:hAnsi="Times New Roman" w:cs="Times New Roman"/>
          <w:i/>
          <w:iCs/>
        </w:rPr>
        <w:t>Old regulations in relation to former authorised research entities continue to apply</w:t>
      </w:r>
    </w:p>
    <w:p w14:paraId="27116B13" w14:textId="1B5FB6D9" w:rsidR="00675BA2" w:rsidRDefault="00675BA2" w:rsidP="00675BA2">
      <w:pPr>
        <w:rPr>
          <w:rFonts w:ascii="Times New Roman" w:hAnsi="Times New Roman" w:cs="Times New Roman"/>
          <w:sz w:val="24"/>
          <w:szCs w:val="24"/>
        </w:rPr>
      </w:pPr>
      <w:r>
        <w:rPr>
          <w:rFonts w:ascii="Times New Roman" w:hAnsi="Times New Roman" w:cs="Times New Roman"/>
          <w:sz w:val="24"/>
          <w:szCs w:val="24"/>
        </w:rPr>
        <w:t xml:space="preserve">Subsection </w:t>
      </w:r>
      <w:r w:rsidR="009308E2">
        <w:rPr>
          <w:rFonts w:ascii="Times New Roman" w:hAnsi="Times New Roman" w:cs="Times New Roman"/>
          <w:sz w:val="24"/>
          <w:szCs w:val="24"/>
        </w:rPr>
        <w:t>57</w:t>
      </w:r>
      <w:r>
        <w:rPr>
          <w:rFonts w:ascii="Times New Roman" w:hAnsi="Times New Roman" w:cs="Times New Roman"/>
          <w:sz w:val="24"/>
          <w:szCs w:val="24"/>
        </w:rPr>
        <w:t xml:space="preserve">(3) provides that despite the repeal of the old regulations, the old regulations in relation to former authorised research entities continue to apply. This has the effect of preserving the existing research authorisations and ensuring offences relating to former authorised research entities continue to apply. </w:t>
      </w:r>
    </w:p>
    <w:p w14:paraId="41098851" w14:textId="4FA4211A" w:rsidR="00164E04" w:rsidRDefault="00164E04" w:rsidP="00675BA2">
      <w:pPr>
        <w:rPr>
          <w:rFonts w:ascii="Times New Roman" w:hAnsi="Times New Roman" w:cs="Times New Roman"/>
          <w:i/>
          <w:iCs/>
        </w:rPr>
      </w:pPr>
      <w:r w:rsidRPr="00A41B82">
        <w:rPr>
          <w:rFonts w:ascii="Times New Roman" w:hAnsi="Times New Roman" w:cs="Times New Roman"/>
          <w:i/>
          <w:iCs/>
        </w:rPr>
        <w:t>Decisions made under the old regulations can be reviewed under this instrument</w:t>
      </w:r>
    </w:p>
    <w:p w14:paraId="29DB5358" w14:textId="77777777" w:rsidR="00164E04" w:rsidRDefault="00164E04" w:rsidP="00164E04">
      <w:pPr>
        <w:rPr>
          <w:rFonts w:ascii="Times New Roman" w:hAnsi="Times New Roman" w:cs="Times New Roman"/>
          <w:sz w:val="24"/>
          <w:szCs w:val="24"/>
        </w:rPr>
      </w:pPr>
      <w:r w:rsidRPr="001D30A5">
        <w:rPr>
          <w:rFonts w:ascii="Times New Roman" w:hAnsi="Times New Roman" w:cs="Times New Roman"/>
          <w:sz w:val="24"/>
          <w:szCs w:val="24"/>
        </w:rPr>
        <w:t>Subsection 57(4) and (5) provide that certain decisions can be reviewed under this instrument.</w:t>
      </w:r>
    </w:p>
    <w:p w14:paraId="64DDA7D5" w14:textId="5C6E676A" w:rsidR="001A0286" w:rsidRDefault="009308E2" w:rsidP="00A957DC">
      <w:pPr>
        <w:rPr>
          <w:rFonts w:ascii="Times New Roman" w:hAnsi="Times New Roman" w:cs="Times New Roman"/>
          <w:sz w:val="24"/>
          <w:szCs w:val="24"/>
        </w:rPr>
      </w:pPr>
      <w:r>
        <w:rPr>
          <w:rFonts w:ascii="Times New Roman" w:hAnsi="Times New Roman" w:cs="Times New Roman"/>
          <w:sz w:val="24"/>
          <w:szCs w:val="24"/>
        </w:rPr>
        <w:t>Subsection 57</w:t>
      </w:r>
      <w:r w:rsidR="00BB6094">
        <w:rPr>
          <w:rFonts w:ascii="Times New Roman" w:hAnsi="Times New Roman" w:cs="Times New Roman"/>
          <w:sz w:val="24"/>
          <w:szCs w:val="24"/>
        </w:rPr>
        <w:t xml:space="preserve">(4) states that despite the repeal of the old regulations, </w:t>
      </w:r>
      <w:r w:rsidR="00BB6094" w:rsidRPr="00BB6094">
        <w:rPr>
          <w:rFonts w:ascii="Times New Roman" w:hAnsi="Times New Roman" w:cs="Times New Roman"/>
          <w:sz w:val="24"/>
          <w:szCs w:val="24"/>
        </w:rPr>
        <w:t xml:space="preserve">decisions made under the old regulations </w:t>
      </w:r>
      <w:r w:rsidR="00164E04">
        <w:rPr>
          <w:rFonts w:ascii="Times New Roman" w:hAnsi="Times New Roman" w:cs="Times New Roman"/>
          <w:sz w:val="24"/>
          <w:szCs w:val="24"/>
        </w:rPr>
        <w:t>(mentioned in subregulation 5.32(1))</w:t>
      </w:r>
      <w:r w:rsidR="00BB6094">
        <w:rPr>
          <w:rFonts w:ascii="Times New Roman" w:hAnsi="Times New Roman" w:cs="Times New Roman"/>
          <w:sz w:val="24"/>
          <w:szCs w:val="24"/>
        </w:rPr>
        <w:t xml:space="preserve"> still apply as if the repeal had not happened.  This is in relation to research authorisations </w:t>
      </w:r>
      <w:r w:rsidR="001D2C78">
        <w:rPr>
          <w:rFonts w:ascii="Times New Roman" w:hAnsi="Times New Roman" w:cs="Times New Roman"/>
          <w:sz w:val="24"/>
          <w:szCs w:val="24"/>
        </w:rPr>
        <w:t xml:space="preserve">and authorised research entities </w:t>
      </w:r>
      <w:r w:rsidR="00BB6094">
        <w:rPr>
          <w:rFonts w:ascii="Times New Roman" w:hAnsi="Times New Roman" w:cs="Times New Roman"/>
          <w:sz w:val="24"/>
          <w:szCs w:val="24"/>
        </w:rPr>
        <w:t>(within the meaning of the old regulations) that ended before the commencement of the new regulations</w:t>
      </w:r>
      <w:r w:rsidR="001D2C78">
        <w:rPr>
          <w:rFonts w:ascii="Times New Roman" w:hAnsi="Times New Roman" w:cs="Times New Roman"/>
          <w:sz w:val="24"/>
          <w:szCs w:val="24"/>
        </w:rPr>
        <w:t xml:space="preserve">. These </w:t>
      </w:r>
      <w:r w:rsidR="00BB6094" w:rsidRPr="00BB6094">
        <w:rPr>
          <w:rFonts w:ascii="Times New Roman" w:hAnsi="Times New Roman" w:cs="Times New Roman"/>
          <w:sz w:val="24"/>
          <w:szCs w:val="24"/>
        </w:rPr>
        <w:t xml:space="preserve">can </w:t>
      </w:r>
      <w:r w:rsidR="001D2C78">
        <w:rPr>
          <w:rFonts w:ascii="Times New Roman" w:hAnsi="Times New Roman" w:cs="Times New Roman"/>
          <w:sz w:val="24"/>
          <w:szCs w:val="24"/>
        </w:rPr>
        <w:t xml:space="preserve">both </w:t>
      </w:r>
      <w:r w:rsidR="00BB6094" w:rsidRPr="00BB6094">
        <w:rPr>
          <w:rFonts w:ascii="Times New Roman" w:hAnsi="Times New Roman" w:cs="Times New Roman"/>
          <w:sz w:val="24"/>
          <w:szCs w:val="24"/>
        </w:rPr>
        <w:t>be reconsidered and reviewed u</w:t>
      </w:r>
      <w:r w:rsidR="00BB6094">
        <w:rPr>
          <w:rFonts w:ascii="Times New Roman" w:hAnsi="Times New Roman" w:cs="Times New Roman"/>
          <w:sz w:val="24"/>
          <w:szCs w:val="24"/>
        </w:rPr>
        <w:t>n</w:t>
      </w:r>
      <w:r w:rsidR="00BB6094" w:rsidRPr="00BB6094">
        <w:rPr>
          <w:rFonts w:ascii="Times New Roman" w:hAnsi="Times New Roman" w:cs="Times New Roman"/>
          <w:sz w:val="24"/>
          <w:szCs w:val="24"/>
        </w:rPr>
        <w:t>der this instrument.</w:t>
      </w:r>
    </w:p>
    <w:p w14:paraId="6C3E1678" w14:textId="7903CA19" w:rsidR="006E3389" w:rsidRPr="006E3389" w:rsidRDefault="00164E04" w:rsidP="006E3389">
      <w:pPr>
        <w:rPr>
          <w:rFonts w:ascii="Times New Roman" w:hAnsi="Times New Roman" w:cs="Times New Roman"/>
          <w:i/>
          <w:sz w:val="24"/>
          <w:szCs w:val="24"/>
        </w:rPr>
      </w:pPr>
      <w:r>
        <w:rPr>
          <w:rFonts w:ascii="Times New Roman" w:hAnsi="Times New Roman" w:cs="Times New Roman"/>
          <w:sz w:val="24"/>
          <w:szCs w:val="24"/>
        </w:rPr>
        <w:lastRenderedPageBreak/>
        <w:t>Subsection 57</w:t>
      </w:r>
      <w:r w:rsidR="001D2C78">
        <w:rPr>
          <w:rFonts w:ascii="Times New Roman" w:hAnsi="Times New Roman" w:cs="Times New Roman"/>
          <w:sz w:val="24"/>
          <w:szCs w:val="24"/>
        </w:rPr>
        <w:t xml:space="preserve">(5) allows </w:t>
      </w:r>
      <w:r w:rsidR="001D2C78" w:rsidRPr="001D2C78">
        <w:rPr>
          <w:rFonts w:ascii="Times New Roman" w:hAnsi="Times New Roman" w:cs="Times New Roman"/>
          <w:sz w:val="24"/>
          <w:szCs w:val="24"/>
        </w:rPr>
        <w:t xml:space="preserve">for </w:t>
      </w:r>
      <w:r w:rsidR="001D2C78" w:rsidRPr="00A41B82">
        <w:rPr>
          <w:rFonts w:ascii="Times New Roman" w:hAnsi="Times New Roman" w:cs="Times New Roman"/>
          <w:sz w:val="24"/>
          <w:szCs w:val="24"/>
        </w:rPr>
        <w:t xml:space="preserve">an application for reconsideration of a decision </w:t>
      </w:r>
      <w:r w:rsidR="001D2C78">
        <w:rPr>
          <w:rFonts w:ascii="Times New Roman" w:hAnsi="Times New Roman" w:cs="Times New Roman"/>
          <w:sz w:val="24"/>
          <w:szCs w:val="24"/>
        </w:rPr>
        <w:t>that was</w:t>
      </w:r>
      <w:r w:rsidR="001D2C78" w:rsidRPr="00A41B82">
        <w:rPr>
          <w:rFonts w:ascii="Times New Roman" w:hAnsi="Times New Roman" w:cs="Times New Roman"/>
          <w:sz w:val="24"/>
          <w:szCs w:val="24"/>
        </w:rPr>
        <w:t xml:space="preserve"> made under the old regulations </w:t>
      </w:r>
      <w:r w:rsidR="001D2C78">
        <w:rPr>
          <w:rFonts w:ascii="Times New Roman" w:hAnsi="Times New Roman" w:cs="Times New Roman"/>
          <w:sz w:val="24"/>
          <w:szCs w:val="24"/>
        </w:rPr>
        <w:t xml:space="preserve">to </w:t>
      </w:r>
      <w:r w:rsidR="001D2C78" w:rsidRPr="00A41B82">
        <w:rPr>
          <w:rFonts w:ascii="Times New Roman" w:hAnsi="Times New Roman" w:cs="Times New Roman"/>
          <w:sz w:val="24"/>
          <w:szCs w:val="24"/>
        </w:rPr>
        <w:t>be finished under this instrument.</w:t>
      </w:r>
      <w:r w:rsidR="006E3389">
        <w:rPr>
          <w:rFonts w:ascii="Times New Roman" w:hAnsi="Times New Roman" w:cs="Times New Roman"/>
          <w:sz w:val="24"/>
          <w:szCs w:val="24"/>
        </w:rPr>
        <w:t xml:space="preserve"> </w:t>
      </w:r>
      <w:r w:rsidR="006E3389" w:rsidRPr="00A41B82">
        <w:rPr>
          <w:rFonts w:ascii="Times New Roman" w:hAnsi="Times New Roman" w:cs="Times New Roman"/>
          <w:sz w:val="24"/>
          <w:szCs w:val="24"/>
        </w:rPr>
        <w:t>The ACMA’s decision on a reconsideration under this instrument of a decision made under a provision of the old regulations has effect as if it had been made under the equivalent provision of this instrumen</w:t>
      </w:r>
      <w:r w:rsidR="006E3389">
        <w:rPr>
          <w:rFonts w:ascii="Times New Roman" w:hAnsi="Times New Roman" w:cs="Times New Roman"/>
          <w:sz w:val="24"/>
          <w:szCs w:val="24"/>
        </w:rPr>
        <w:t>t.</w:t>
      </w:r>
    </w:p>
    <w:p w14:paraId="75759FC4" w14:textId="4CB5FD74" w:rsidR="00164E04" w:rsidRDefault="0018651C" w:rsidP="009C6890">
      <w:pPr>
        <w:pStyle w:val="ActHead5"/>
      </w:pPr>
      <w:r>
        <w:t>Section</w:t>
      </w:r>
      <w:r w:rsidR="009C6890">
        <w:t xml:space="preserve"> </w:t>
      </w:r>
      <w:r w:rsidR="00164E04" w:rsidRPr="00290357">
        <w:t xml:space="preserve">58 </w:t>
      </w:r>
      <w:r w:rsidRPr="009677A7">
        <w:t>–</w:t>
      </w:r>
      <w:r w:rsidR="00164E04" w:rsidRPr="00290357">
        <w:t xml:space="preserve"> Infringement notices</w:t>
      </w:r>
    </w:p>
    <w:p w14:paraId="3C7F2A0C" w14:textId="77777777" w:rsidR="00164E04" w:rsidRPr="00B65A1B" w:rsidRDefault="00164E04" w:rsidP="00164E04">
      <w:pPr>
        <w:rPr>
          <w:rFonts w:ascii="Times New Roman" w:hAnsi="Times New Roman" w:cs="Times New Roman"/>
          <w:sz w:val="24"/>
          <w:szCs w:val="24"/>
        </w:rPr>
      </w:pPr>
      <w:r w:rsidRPr="00290357">
        <w:rPr>
          <w:rFonts w:ascii="Times New Roman" w:hAnsi="Times New Roman" w:cs="Times New Roman"/>
          <w:sz w:val="24"/>
          <w:szCs w:val="24"/>
        </w:rPr>
        <w:t>Despite the repeal of the old regulations by this instrument, Part 6 of the old regulations continues to apply in relation to infringement notices issued before the commencement time, as if the repeal had not happened.</w:t>
      </w:r>
    </w:p>
    <w:p w14:paraId="09ED83AE" w14:textId="45198A93" w:rsidR="00EC4B7C" w:rsidRPr="0018651C" w:rsidRDefault="00EC4B7C" w:rsidP="009C6890">
      <w:pPr>
        <w:pStyle w:val="ActHead2"/>
      </w:pPr>
      <w:r w:rsidRPr="0018651C">
        <w:t>Schedule 1 – Repeals</w:t>
      </w:r>
    </w:p>
    <w:p w14:paraId="5AD85C46" w14:textId="1C7BD974" w:rsidR="00EC4B7C" w:rsidRPr="00261CDF" w:rsidRDefault="00EC4B7C" w:rsidP="00116173">
      <w:pPr>
        <w:rPr>
          <w:rFonts w:ascii="Times New Roman" w:hAnsi="Times New Roman" w:cs="Times New Roman"/>
          <w:sz w:val="24"/>
          <w:szCs w:val="24"/>
        </w:rPr>
      </w:pPr>
      <w:r w:rsidRPr="00261CDF">
        <w:rPr>
          <w:rFonts w:ascii="Times New Roman" w:hAnsi="Times New Roman" w:cs="Times New Roman"/>
          <w:sz w:val="24"/>
          <w:szCs w:val="24"/>
        </w:rPr>
        <w:t xml:space="preserve">Schedule 1 repeals the whole of the </w:t>
      </w:r>
      <w:r w:rsidRPr="00261CDF">
        <w:rPr>
          <w:rFonts w:ascii="Times New Roman" w:hAnsi="Times New Roman" w:cs="Times New Roman"/>
          <w:i/>
          <w:sz w:val="24"/>
          <w:szCs w:val="24"/>
        </w:rPr>
        <w:t>Telecommunications Regulations 2001</w:t>
      </w:r>
      <w:r w:rsidRPr="00261CDF">
        <w:rPr>
          <w:rFonts w:ascii="Times New Roman" w:hAnsi="Times New Roman" w:cs="Times New Roman"/>
          <w:sz w:val="24"/>
          <w:szCs w:val="24"/>
        </w:rPr>
        <w:t xml:space="preserve">. The </w:t>
      </w:r>
      <w:r w:rsidR="00AD0430">
        <w:rPr>
          <w:rFonts w:ascii="Times New Roman" w:hAnsi="Times New Roman" w:cs="Times New Roman"/>
          <w:sz w:val="24"/>
          <w:szCs w:val="24"/>
        </w:rPr>
        <w:t>R</w:t>
      </w:r>
      <w:r w:rsidRPr="00261CDF">
        <w:rPr>
          <w:rFonts w:ascii="Times New Roman" w:hAnsi="Times New Roman" w:cs="Times New Roman"/>
          <w:sz w:val="24"/>
          <w:szCs w:val="24"/>
        </w:rPr>
        <w:t xml:space="preserve">egulations replace those regulations. </w:t>
      </w:r>
    </w:p>
    <w:p w14:paraId="1A10AEEB" w14:textId="726E3396" w:rsidR="00EC4B7C" w:rsidRPr="00DA1C42" w:rsidRDefault="00EC4B7C" w:rsidP="00116173">
      <w:pPr>
        <w:rPr>
          <w:rFonts w:ascii="Times New Roman" w:hAnsi="Times New Roman"/>
          <w:sz w:val="24"/>
          <w:u w:val="single"/>
        </w:rPr>
      </w:pPr>
      <w:r w:rsidRPr="00DA1C42">
        <w:rPr>
          <w:rFonts w:ascii="Times New Roman" w:hAnsi="Times New Roman"/>
          <w:sz w:val="24"/>
          <w:u w:val="single"/>
        </w:rPr>
        <w:br w:type="page"/>
      </w:r>
    </w:p>
    <w:p w14:paraId="5B3934E0" w14:textId="6EB46DFE" w:rsidR="00116173" w:rsidRPr="00261CDF" w:rsidRDefault="00116173" w:rsidP="00116173">
      <w:pPr>
        <w:shd w:val="clear" w:color="auto" w:fill="FFFFFF"/>
        <w:spacing w:before="360" w:after="120" w:line="240" w:lineRule="auto"/>
        <w:jc w:val="right"/>
        <w:outlineLvl w:val="1"/>
        <w:rPr>
          <w:rFonts w:ascii="Times New Roman" w:eastAsia="Times New Roman" w:hAnsi="Times New Roman" w:cs="Times New Roman"/>
          <w:b/>
          <w:bCs/>
          <w:color w:val="000000"/>
          <w:sz w:val="24"/>
          <w:szCs w:val="28"/>
          <w:u w:val="single"/>
          <w:lang w:eastAsia="en-AU"/>
        </w:rPr>
      </w:pPr>
      <w:r w:rsidRPr="00261CDF">
        <w:rPr>
          <w:rFonts w:ascii="Times New Roman" w:eastAsia="Times New Roman" w:hAnsi="Times New Roman" w:cs="Times New Roman"/>
          <w:b/>
          <w:bCs/>
          <w:color w:val="000000"/>
          <w:sz w:val="24"/>
          <w:szCs w:val="28"/>
          <w:u w:val="single"/>
          <w:lang w:eastAsia="en-AU"/>
        </w:rPr>
        <w:lastRenderedPageBreak/>
        <w:t>ATTACHMENT B</w:t>
      </w:r>
    </w:p>
    <w:p w14:paraId="1FF0B6C5" w14:textId="271B3E7E" w:rsidR="00AB043D" w:rsidRPr="00261CDF" w:rsidRDefault="00AB043D" w:rsidP="00116173">
      <w:pPr>
        <w:shd w:val="clear" w:color="auto" w:fill="FFFFFF"/>
        <w:spacing w:before="360" w:after="120" w:line="240" w:lineRule="auto"/>
        <w:jc w:val="center"/>
        <w:outlineLvl w:val="1"/>
        <w:rPr>
          <w:rFonts w:ascii="Times New Roman" w:eastAsia="Times New Roman" w:hAnsi="Times New Roman" w:cs="Times New Roman"/>
          <w:b/>
          <w:bCs/>
          <w:color w:val="000000"/>
          <w:sz w:val="28"/>
          <w:szCs w:val="28"/>
          <w:lang w:eastAsia="en-AU"/>
        </w:rPr>
      </w:pPr>
      <w:r w:rsidRPr="00261CDF">
        <w:rPr>
          <w:rFonts w:ascii="Times New Roman" w:eastAsia="Times New Roman" w:hAnsi="Times New Roman" w:cs="Times New Roman"/>
          <w:b/>
          <w:bCs/>
          <w:color w:val="000000"/>
          <w:sz w:val="28"/>
          <w:szCs w:val="28"/>
          <w:lang w:eastAsia="en-AU"/>
        </w:rPr>
        <w:t>Statement of Compatibility with Human Rights</w:t>
      </w:r>
    </w:p>
    <w:p w14:paraId="70A06008" w14:textId="77777777" w:rsidR="00AB043D" w:rsidRPr="00DA1C42" w:rsidRDefault="00AB043D" w:rsidP="00AE458D">
      <w:pPr>
        <w:shd w:val="clear" w:color="auto" w:fill="FFFFFF"/>
        <w:spacing w:after="120" w:line="240" w:lineRule="auto"/>
        <w:rPr>
          <w:rFonts w:ascii="Times New Roman" w:hAnsi="Times New Roman"/>
          <w:color w:val="000000"/>
        </w:rPr>
      </w:pPr>
      <w:r w:rsidRPr="00261CDF">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53910326" w14:textId="77777777" w:rsidR="00AB043D" w:rsidRPr="00DA1C42" w:rsidRDefault="00AB043D" w:rsidP="00AE458D">
      <w:pPr>
        <w:shd w:val="clear" w:color="auto" w:fill="FFFFFF"/>
        <w:spacing w:after="120" w:line="240" w:lineRule="auto"/>
        <w:rPr>
          <w:rFonts w:ascii="Times New Roman" w:hAnsi="Times New Roman"/>
          <w:color w:val="000000"/>
        </w:rPr>
      </w:pPr>
      <w:r w:rsidRPr="00261CDF">
        <w:rPr>
          <w:rFonts w:ascii="Times New Roman" w:eastAsia="Times New Roman" w:hAnsi="Times New Roman" w:cs="Times New Roman"/>
          <w:b/>
          <w:bCs/>
          <w:color w:val="000000"/>
          <w:sz w:val="24"/>
          <w:szCs w:val="24"/>
          <w:lang w:eastAsia="en-AU"/>
        </w:rPr>
        <w:t>Telecommunications Regulations 2021</w:t>
      </w:r>
    </w:p>
    <w:p w14:paraId="7D32A689" w14:textId="77777777" w:rsidR="00AB043D" w:rsidRPr="00DA1C42" w:rsidRDefault="00AB043D" w:rsidP="00AE458D">
      <w:pPr>
        <w:shd w:val="clear" w:color="auto" w:fill="FFFFFF"/>
        <w:spacing w:after="120" w:line="240" w:lineRule="auto"/>
        <w:rPr>
          <w:rFonts w:ascii="Times New Roman" w:hAnsi="Times New Roman"/>
          <w:color w:val="000000"/>
        </w:rPr>
      </w:pPr>
      <w:r w:rsidRPr="00261CDF">
        <w:rPr>
          <w:rFonts w:ascii="Times New Roman" w:eastAsia="Times New Roman" w:hAnsi="Times New Roman" w:cs="Times New Roman"/>
          <w:color w:val="000000"/>
          <w:sz w:val="24"/>
          <w:szCs w:val="24"/>
          <w:lang w:eastAsia="en-AU"/>
        </w:rPr>
        <w:t>This Legislative Instrument is compatible with the human rights and freedoms recognised or declared in the international instruments listed in section 3 of the </w:t>
      </w:r>
      <w:r w:rsidRPr="00261CDF">
        <w:rPr>
          <w:rFonts w:ascii="Times New Roman" w:eastAsia="Times New Roman" w:hAnsi="Times New Roman" w:cs="Times New Roman"/>
          <w:i/>
          <w:iCs/>
          <w:color w:val="000000"/>
          <w:sz w:val="24"/>
          <w:szCs w:val="24"/>
          <w:lang w:eastAsia="en-AU"/>
        </w:rPr>
        <w:t>Human Rights (Parliamentary Scrutiny) Act 2011</w:t>
      </w:r>
      <w:r w:rsidRPr="00261CDF">
        <w:rPr>
          <w:rFonts w:ascii="Times New Roman" w:eastAsia="Times New Roman" w:hAnsi="Times New Roman" w:cs="Times New Roman"/>
          <w:color w:val="000000"/>
          <w:sz w:val="24"/>
          <w:szCs w:val="24"/>
          <w:lang w:eastAsia="en-AU"/>
        </w:rPr>
        <w:t>.</w:t>
      </w:r>
    </w:p>
    <w:p w14:paraId="7D1293E3" w14:textId="3706AC3F" w:rsidR="00AB043D" w:rsidRPr="00DA1C42" w:rsidRDefault="00AB043D" w:rsidP="008343C3">
      <w:pPr>
        <w:shd w:val="clear" w:color="auto" w:fill="FFFFFF"/>
        <w:spacing w:after="120" w:line="240" w:lineRule="auto"/>
        <w:rPr>
          <w:rFonts w:ascii="Times New Roman" w:hAnsi="Times New Roman"/>
          <w:b/>
          <w:color w:val="000000"/>
          <w:sz w:val="24"/>
        </w:rPr>
      </w:pPr>
      <w:r w:rsidRPr="00261CDF">
        <w:rPr>
          <w:rFonts w:ascii="Times New Roman" w:eastAsia="Times New Roman" w:hAnsi="Times New Roman" w:cs="Times New Roman"/>
          <w:color w:val="000000"/>
          <w:sz w:val="24"/>
          <w:szCs w:val="24"/>
          <w:lang w:eastAsia="en-AU"/>
        </w:rPr>
        <w:t> </w:t>
      </w:r>
      <w:r w:rsidRPr="00DA1C42">
        <w:rPr>
          <w:rFonts w:ascii="Times New Roman" w:hAnsi="Times New Roman"/>
          <w:b/>
          <w:color w:val="000000"/>
          <w:sz w:val="24"/>
        </w:rPr>
        <w:t>Overview of the Instrument</w:t>
      </w:r>
    </w:p>
    <w:p w14:paraId="4CC05B1C" w14:textId="648A3F81" w:rsidR="00AB043D" w:rsidRDefault="00AB043D" w:rsidP="00116173">
      <w:pPr>
        <w:shd w:val="clear" w:color="auto" w:fill="FFFFFF"/>
        <w:spacing w:line="240" w:lineRule="auto"/>
        <w:rPr>
          <w:rFonts w:ascii="Times New Roman" w:eastAsia="Times New Roman" w:hAnsi="Times New Roman" w:cs="Times New Roman"/>
          <w:color w:val="000000"/>
          <w:sz w:val="24"/>
          <w:szCs w:val="24"/>
          <w:lang w:val="en-US" w:eastAsia="en-AU"/>
        </w:rPr>
      </w:pPr>
      <w:r w:rsidRPr="00261CDF">
        <w:rPr>
          <w:rFonts w:ascii="Times New Roman" w:eastAsia="Times New Roman" w:hAnsi="Times New Roman" w:cs="Times New Roman"/>
          <w:color w:val="000000"/>
          <w:sz w:val="24"/>
          <w:szCs w:val="24"/>
          <w:lang w:eastAsia="en-AU"/>
        </w:rPr>
        <w:t>The </w:t>
      </w:r>
      <w:r w:rsidRPr="00261CDF">
        <w:rPr>
          <w:rFonts w:ascii="Times New Roman" w:eastAsia="Times New Roman" w:hAnsi="Times New Roman" w:cs="Times New Roman"/>
          <w:i/>
          <w:iCs/>
          <w:color w:val="000000"/>
          <w:sz w:val="24"/>
          <w:szCs w:val="24"/>
          <w:lang w:eastAsia="en-AU"/>
        </w:rPr>
        <w:t>Telecommunications Regulations 2021</w:t>
      </w:r>
      <w:r w:rsidRPr="00261CDF">
        <w:rPr>
          <w:rFonts w:ascii="Times New Roman" w:eastAsia="Times New Roman" w:hAnsi="Times New Roman" w:cs="Times New Roman"/>
          <w:color w:val="000000"/>
          <w:sz w:val="24"/>
          <w:szCs w:val="24"/>
          <w:lang w:eastAsia="en-AU"/>
        </w:rPr>
        <w:t xml:space="preserve"> (the Regulations) </w:t>
      </w:r>
      <w:r w:rsidRPr="00261CDF">
        <w:rPr>
          <w:rFonts w:ascii="Times New Roman" w:eastAsia="Times New Roman" w:hAnsi="Times New Roman" w:cs="Times New Roman"/>
          <w:color w:val="000000"/>
          <w:sz w:val="24"/>
          <w:szCs w:val="24"/>
          <w:lang w:val="en-US" w:eastAsia="en-AU"/>
        </w:rPr>
        <w:t xml:space="preserve">will </w:t>
      </w:r>
      <w:r w:rsidR="001A0286">
        <w:rPr>
          <w:rFonts w:ascii="Times New Roman" w:eastAsia="Times New Roman" w:hAnsi="Times New Roman" w:cs="Times New Roman"/>
          <w:color w:val="000000"/>
          <w:sz w:val="24"/>
          <w:szCs w:val="24"/>
          <w:lang w:val="en-US" w:eastAsia="en-AU"/>
        </w:rPr>
        <w:t xml:space="preserve">repeal </w:t>
      </w:r>
      <w:r w:rsidRPr="00261CDF">
        <w:rPr>
          <w:rFonts w:ascii="Times New Roman" w:eastAsia="Times New Roman" w:hAnsi="Times New Roman" w:cs="Times New Roman"/>
          <w:color w:val="000000"/>
          <w:sz w:val="24"/>
          <w:szCs w:val="24"/>
          <w:lang w:val="en-US" w:eastAsia="en-AU"/>
        </w:rPr>
        <w:t xml:space="preserve">the </w:t>
      </w:r>
      <w:r w:rsidRPr="00261CDF">
        <w:rPr>
          <w:rFonts w:ascii="Times New Roman" w:eastAsia="Times New Roman" w:hAnsi="Times New Roman" w:cs="Times New Roman"/>
          <w:i/>
          <w:iCs/>
          <w:color w:val="000000"/>
          <w:sz w:val="24"/>
          <w:szCs w:val="24"/>
          <w:lang w:val="en-US" w:eastAsia="en-AU"/>
        </w:rPr>
        <w:t xml:space="preserve">Telecommunications Regulations 2001 </w:t>
      </w:r>
      <w:r w:rsidR="00AE458D">
        <w:rPr>
          <w:rFonts w:ascii="Times New Roman" w:eastAsia="Times New Roman" w:hAnsi="Times New Roman" w:cs="Times New Roman"/>
          <w:iCs/>
          <w:color w:val="000000"/>
          <w:sz w:val="24"/>
          <w:szCs w:val="24"/>
          <w:lang w:val="en-US" w:eastAsia="en-AU"/>
        </w:rPr>
        <w:t xml:space="preserve">(the sunsetting regulations) </w:t>
      </w:r>
      <w:r w:rsidRPr="00261CDF">
        <w:rPr>
          <w:rFonts w:ascii="Times New Roman" w:eastAsia="Times New Roman" w:hAnsi="Times New Roman" w:cs="Times New Roman"/>
          <w:color w:val="000000"/>
          <w:sz w:val="24"/>
          <w:szCs w:val="24"/>
          <w:lang w:val="en-US" w:eastAsia="en-AU"/>
        </w:rPr>
        <w:t xml:space="preserve">and </w:t>
      </w:r>
      <w:r w:rsidR="001A0286">
        <w:rPr>
          <w:rFonts w:ascii="Times New Roman" w:eastAsia="Times New Roman" w:hAnsi="Times New Roman" w:cs="Times New Roman"/>
          <w:color w:val="000000"/>
          <w:sz w:val="24"/>
          <w:szCs w:val="24"/>
          <w:lang w:val="en-US" w:eastAsia="en-AU"/>
        </w:rPr>
        <w:t xml:space="preserve">remake them with minor </w:t>
      </w:r>
      <w:r w:rsidR="00E05F9A">
        <w:rPr>
          <w:rFonts w:ascii="Times New Roman" w:eastAsia="Times New Roman" w:hAnsi="Times New Roman" w:cs="Times New Roman"/>
          <w:color w:val="000000"/>
          <w:sz w:val="24"/>
          <w:szCs w:val="24"/>
          <w:lang w:val="en-US" w:eastAsia="en-AU"/>
        </w:rPr>
        <w:t xml:space="preserve">amendments and </w:t>
      </w:r>
      <w:r w:rsidRPr="00261CDF">
        <w:rPr>
          <w:rFonts w:ascii="Times New Roman" w:eastAsia="Times New Roman" w:hAnsi="Times New Roman" w:cs="Times New Roman"/>
          <w:color w:val="000000"/>
          <w:sz w:val="24"/>
          <w:szCs w:val="24"/>
          <w:lang w:val="en-US" w:eastAsia="en-AU"/>
        </w:rPr>
        <w:t>update</w:t>
      </w:r>
      <w:r w:rsidR="001A0286">
        <w:rPr>
          <w:rFonts w:ascii="Times New Roman" w:eastAsia="Times New Roman" w:hAnsi="Times New Roman" w:cs="Times New Roman"/>
          <w:color w:val="000000"/>
          <w:sz w:val="24"/>
          <w:szCs w:val="24"/>
          <w:lang w:val="en-US" w:eastAsia="en-AU"/>
        </w:rPr>
        <w:t>s</w:t>
      </w:r>
      <w:r w:rsidRPr="00261CDF">
        <w:rPr>
          <w:rFonts w:ascii="Times New Roman" w:eastAsia="Times New Roman" w:hAnsi="Times New Roman" w:cs="Times New Roman"/>
          <w:color w:val="000000"/>
          <w:sz w:val="24"/>
          <w:szCs w:val="24"/>
          <w:lang w:val="en-US" w:eastAsia="en-AU"/>
        </w:rPr>
        <w:t xml:space="preserve"> </w:t>
      </w:r>
      <w:r w:rsidR="00E05F9A">
        <w:rPr>
          <w:rFonts w:ascii="Times New Roman" w:eastAsia="Times New Roman" w:hAnsi="Times New Roman" w:cs="Times New Roman"/>
          <w:color w:val="000000"/>
          <w:sz w:val="24"/>
          <w:szCs w:val="24"/>
          <w:lang w:val="en-US" w:eastAsia="en-AU"/>
        </w:rPr>
        <w:t xml:space="preserve">to reflect </w:t>
      </w:r>
      <w:r w:rsidRPr="00261CDF">
        <w:rPr>
          <w:rFonts w:ascii="Times New Roman" w:eastAsia="Times New Roman" w:hAnsi="Times New Roman" w:cs="Times New Roman"/>
          <w:color w:val="000000"/>
          <w:sz w:val="24"/>
          <w:szCs w:val="24"/>
          <w:lang w:val="en-US" w:eastAsia="en-AU"/>
        </w:rPr>
        <w:t xml:space="preserve">and </w:t>
      </w:r>
      <w:r w:rsidR="001A0286">
        <w:rPr>
          <w:rFonts w:ascii="Times New Roman" w:eastAsia="Times New Roman" w:hAnsi="Times New Roman" w:cs="Times New Roman"/>
          <w:color w:val="000000"/>
          <w:sz w:val="24"/>
          <w:szCs w:val="24"/>
          <w:lang w:val="en-US" w:eastAsia="en-AU"/>
        </w:rPr>
        <w:t xml:space="preserve">to </w:t>
      </w:r>
      <w:r w:rsidRPr="00261CDF">
        <w:rPr>
          <w:rFonts w:ascii="Times New Roman" w:eastAsia="Times New Roman" w:hAnsi="Times New Roman" w:cs="Times New Roman"/>
          <w:color w:val="000000"/>
          <w:sz w:val="24"/>
          <w:szCs w:val="24"/>
          <w:lang w:val="en-US" w:eastAsia="en-AU"/>
        </w:rPr>
        <w:t>remove obsolete provisions.</w:t>
      </w:r>
    </w:p>
    <w:p w14:paraId="68766CC1" w14:textId="042BCFF3" w:rsidR="00994AF6" w:rsidRDefault="00994AF6" w:rsidP="00ED71F5">
      <w:pPr>
        <w:rPr>
          <w:rFonts w:ascii="Times New Roman" w:hAnsi="Times New Roman" w:cs="Times New Roman"/>
          <w:sz w:val="24"/>
          <w:szCs w:val="24"/>
        </w:rPr>
      </w:pPr>
      <w:r w:rsidRPr="00AF2FBA">
        <w:rPr>
          <w:rFonts w:ascii="Times New Roman" w:hAnsi="Times New Roman" w:cs="Times New Roman"/>
          <w:sz w:val="24"/>
          <w:szCs w:val="24"/>
        </w:rPr>
        <w:t>Secti</w:t>
      </w:r>
      <w:r w:rsidRPr="00373A1C">
        <w:rPr>
          <w:rFonts w:ascii="Times New Roman" w:hAnsi="Times New Roman" w:cs="Times New Roman"/>
          <w:sz w:val="24"/>
          <w:szCs w:val="24"/>
        </w:rPr>
        <w:t xml:space="preserve">on 594 provides that the Governor-General may make Regulations prescribing matters required or permitted to be prescribed by the </w:t>
      </w:r>
      <w:r w:rsidR="004D1BE9" w:rsidRPr="004D1BE9">
        <w:rPr>
          <w:rFonts w:ascii="Times New Roman" w:hAnsi="Times New Roman" w:cs="Times New Roman"/>
          <w:i/>
          <w:sz w:val="24"/>
          <w:szCs w:val="24"/>
        </w:rPr>
        <w:t>Telecommunications Act 1997</w:t>
      </w:r>
      <w:r w:rsidR="004D1BE9">
        <w:rPr>
          <w:rFonts w:ascii="Times New Roman" w:hAnsi="Times New Roman" w:cs="Times New Roman"/>
          <w:sz w:val="24"/>
          <w:szCs w:val="24"/>
        </w:rPr>
        <w:t xml:space="preserve"> (the Act)</w:t>
      </w:r>
      <w:r w:rsidRPr="00373A1C">
        <w:rPr>
          <w:rFonts w:ascii="Times New Roman" w:hAnsi="Times New Roman" w:cs="Times New Roman"/>
          <w:sz w:val="24"/>
          <w:szCs w:val="24"/>
        </w:rPr>
        <w:t>, or necessary or convenient to be prescribed for carrying out or giving effect to the Act</w:t>
      </w:r>
      <w:r w:rsidR="004D1BE9">
        <w:rPr>
          <w:rFonts w:ascii="Times New Roman" w:hAnsi="Times New Roman" w:cs="Times New Roman"/>
          <w:sz w:val="24"/>
          <w:szCs w:val="24"/>
        </w:rPr>
        <w:t>.</w:t>
      </w:r>
    </w:p>
    <w:p w14:paraId="479E8B33" w14:textId="3D22EDAD" w:rsidR="00F70B22" w:rsidRDefault="00F70B22" w:rsidP="00ED71F5">
      <w:pPr>
        <w:rPr>
          <w:rFonts w:ascii="Times New Roman" w:hAnsi="Times New Roman" w:cs="Times New Roman"/>
          <w:iCs/>
          <w:sz w:val="24"/>
          <w:szCs w:val="24"/>
        </w:rPr>
      </w:pPr>
      <w:r>
        <w:rPr>
          <w:rFonts w:ascii="Times New Roman" w:hAnsi="Times New Roman" w:cs="Times New Roman"/>
          <w:iCs/>
          <w:sz w:val="24"/>
          <w:szCs w:val="24"/>
        </w:rPr>
        <w:t>The Regulations comprise the following parts:</w:t>
      </w:r>
    </w:p>
    <w:p w14:paraId="18512C4D" w14:textId="0FD5F496" w:rsidR="00573255" w:rsidRDefault="00573255" w:rsidP="00A41B82">
      <w:pPr>
        <w:shd w:val="clear" w:color="auto" w:fill="FFFFFF"/>
        <w:spacing w:line="240" w:lineRule="auto"/>
        <w:rPr>
          <w:rFonts w:ascii="Times New Roman" w:hAnsi="Times New Roman" w:cs="Times New Roman"/>
          <w:iCs/>
          <w:sz w:val="24"/>
          <w:szCs w:val="24"/>
        </w:rPr>
      </w:pPr>
      <w:r>
        <w:rPr>
          <w:rFonts w:ascii="Times New Roman" w:hAnsi="Times New Roman" w:cs="Times New Roman"/>
          <w:iCs/>
          <w:sz w:val="24"/>
          <w:szCs w:val="24"/>
        </w:rPr>
        <w:lastRenderedPageBreak/>
        <w:t xml:space="preserve">Part 1 of the Regulations set out preliminary matters, such as the title of the Instrument, </w:t>
      </w:r>
      <w:r w:rsidR="001D30A5">
        <w:rPr>
          <w:rFonts w:ascii="Times New Roman" w:hAnsi="Times New Roman" w:cs="Times New Roman"/>
          <w:iCs/>
          <w:sz w:val="24"/>
          <w:szCs w:val="24"/>
        </w:rPr>
        <w:t xml:space="preserve">and </w:t>
      </w:r>
      <w:r>
        <w:rPr>
          <w:rFonts w:ascii="Times New Roman" w:hAnsi="Times New Roman" w:cs="Times New Roman"/>
          <w:iCs/>
          <w:sz w:val="24"/>
          <w:szCs w:val="24"/>
        </w:rPr>
        <w:t xml:space="preserve">the authority under which it is made. The Part also </w:t>
      </w:r>
      <w:r w:rsidRPr="00E05F9A">
        <w:rPr>
          <w:rFonts w:ascii="Times New Roman" w:hAnsi="Times New Roman" w:cs="Times New Roman"/>
          <w:iCs/>
          <w:sz w:val="24"/>
          <w:szCs w:val="24"/>
        </w:rPr>
        <w:t>defines key terms used throughout the Regulations</w:t>
      </w:r>
      <w:r>
        <w:rPr>
          <w:rFonts w:ascii="Times New Roman" w:hAnsi="Times New Roman" w:cs="Times New Roman"/>
          <w:iCs/>
          <w:sz w:val="24"/>
          <w:szCs w:val="24"/>
        </w:rPr>
        <w:t xml:space="preserve">, inserting new definitions of </w:t>
      </w:r>
      <w:r w:rsidR="00770462" w:rsidRPr="00CA298C">
        <w:rPr>
          <w:rFonts w:ascii="Times New Roman" w:hAnsi="Times New Roman" w:cs="Times New Roman"/>
          <w:i/>
          <w:sz w:val="24"/>
          <w:szCs w:val="24"/>
          <w:lang w:eastAsia="en-AU"/>
        </w:rPr>
        <w:t>mobile carriage service provider</w:t>
      </w:r>
      <w:r w:rsidR="00770462" w:rsidRPr="00094076">
        <w:rPr>
          <w:rFonts w:ascii="Times New Roman" w:hAnsi="Times New Roman" w:cs="Times New Roman"/>
          <w:sz w:val="24"/>
          <w:szCs w:val="24"/>
          <w:lang w:eastAsia="en-AU"/>
        </w:rPr>
        <w:t xml:space="preserve">, </w:t>
      </w:r>
      <w:r w:rsidR="00770462" w:rsidRPr="00CA298C">
        <w:rPr>
          <w:rFonts w:ascii="Times New Roman" w:hAnsi="Times New Roman" w:cs="Times New Roman"/>
          <w:i/>
          <w:sz w:val="24"/>
          <w:szCs w:val="24"/>
          <w:lang w:eastAsia="en-AU"/>
        </w:rPr>
        <w:t>premium content service</w:t>
      </w:r>
      <w:r w:rsidR="00770462" w:rsidRPr="00094076">
        <w:rPr>
          <w:rFonts w:ascii="Times New Roman" w:hAnsi="Times New Roman" w:cs="Times New Roman"/>
          <w:sz w:val="24"/>
          <w:szCs w:val="24"/>
          <w:lang w:eastAsia="en-AU"/>
        </w:rPr>
        <w:t xml:space="preserve">, </w:t>
      </w:r>
      <w:r w:rsidR="00770462" w:rsidRPr="00244BB4">
        <w:rPr>
          <w:rFonts w:ascii="Times New Roman" w:hAnsi="Times New Roman" w:cs="Times New Roman"/>
          <w:sz w:val="24"/>
          <w:szCs w:val="24"/>
          <w:lang w:eastAsia="en-AU"/>
        </w:rPr>
        <w:t>and</w:t>
      </w:r>
      <w:r w:rsidR="00770462" w:rsidRPr="00094076">
        <w:rPr>
          <w:rFonts w:ascii="Times New Roman" w:hAnsi="Times New Roman" w:cs="Times New Roman"/>
          <w:sz w:val="24"/>
          <w:szCs w:val="24"/>
          <w:lang w:eastAsia="en-AU"/>
        </w:rPr>
        <w:t xml:space="preserve"> </w:t>
      </w:r>
      <w:r w:rsidR="00770462" w:rsidRPr="00CA298C">
        <w:rPr>
          <w:rFonts w:ascii="Times New Roman" w:hAnsi="Times New Roman" w:cs="Times New Roman"/>
          <w:i/>
          <w:sz w:val="24"/>
          <w:szCs w:val="24"/>
          <w:lang w:eastAsia="en-AU"/>
        </w:rPr>
        <w:t>proprietary network</w:t>
      </w:r>
      <w:r w:rsidR="00770462" w:rsidRPr="00094076">
        <w:rPr>
          <w:rFonts w:ascii="Times New Roman" w:hAnsi="Times New Roman" w:cs="Times New Roman"/>
          <w:sz w:val="24"/>
          <w:szCs w:val="24"/>
          <w:lang w:eastAsia="en-AU"/>
        </w:rPr>
        <w:t xml:space="preserve">. </w:t>
      </w:r>
    </w:p>
    <w:p w14:paraId="7D1D376C" w14:textId="77777777" w:rsidR="00573255" w:rsidRPr="004D1BE9" w:rsidRDefault="00573255" w:rsidP="00573255">
      <w:pPr>
        <w:rPr>
          <w:rFonts w:ascii="Times New Roman" w:hAnsi="Times New Roman"/>
          <w:iCs/>
          <w:sz w:val="24"/>
          <w:szCs w:val="24"/>
        </w:rPr>
      </w:pPr>
      <w:r>
        <w:rPr>
          <w:rFonts w:ascii="Times New Roman" w:hAnsi="Times New Roman"/>
          <w:iCs/>
          <w:sz w:val="24"/>
          <w:szCs w:val="24"/>
        </w:rPr>
        <w:t xml:space="preserve">Part 2 </w:t>
      </w:r>
      <w:r w:rsidRPr="004D1BE9">
        <w:rPr>
          <w:rFonts w:ascii="Times New Roman" w:hAnsi="Times New Roman"/>
          <w:iCs/>
          <w:sz w:val="24"/>
          <w:szCs w:val="24"/>
        </w:rPr>
        <w:t>specif</w:t>
      </w:r>
      <w:r>
        <w:rPr>
          <w:rFonts w:ascii="Times New Roman" w:hAnsi="Times New Roman"/>
          <w:iCs/>
          <w:sz w:val="24"/>
          <w:szCs w:val="24"/>
        </w:rPr>
        <w:t xml:space="preserve">ies </w:t>
      </w:r>
      <w:r w:rsidRPr="004D1BE9">
        <w:rPr>
          <w:rFonts w:ascii="Times New Roman" w:hAnsi="Times New Roman"/>
          <w:iCs/>
          <w:sz w:val="24"/>
          <w:szCs w:val="24"/>
        </w:rPr>
        <w:t xml:space="preserve">a range of matters in relation to which the ACMA may make a service provider determination, and these </w:t>
      </w:r>
      <w:r>
        <w:rPr>
          <w:rFonts w:ascii="Times New Roman" w:hAnsi="Times New Roman"/>
          <w:iCs/>
          <w:sz w:val="24"/>
          <w:szCs w:val="24"/>
        </w:rPr>
        <w:t xml:space="preserve">cover </w:t>
      </w:r>
      <w:r w:rsidRPr="004D1BE9">
        <w:rPr>
          <w:rFonts w:ascii="Times New Roman" w:hAnsi="Times New Roman"/>
          <w:iCs/>
          <w:sz w:val="24"/>
          <w:szCs w:val="24"/>
        </w:rPr>
        <w:t>prepaid mobile carriage services; premium services; fixed or mobile voice or data carriage services; and information relating to the telecommunications industry.</w:t>
      </w:r>
    </w:p>
    <w:p w14:paraId="64E425F0" w14:textId="3186AA13" w:rsidR="00573255" w:rsidRDefault="00573255" w:rsidP="00573255">
      <w:pPr>
        <w:rPr>
          <w:rFonts w:ascii="Times New Roman" w:hAnsi="Times New Roman"/>
          <w:iCs/>
          <w:sz w:val="24"/>
          <w:szCs w:val="24"/>
        </w:rPr>
      </w:pPr>
      <w:r>
        <w:rPr>
          <w:rFonts w:ascii="Times New Roman" w:hAnsi="Times New Roman"/>
          <w:iCs/>
          <w:sz w:val="24"/>
          <w:szCs w:val="24"/>
        </w:rPr>
        <w:t xml:space="preserve">Part 3 </w:t>
      </w:r>
      <w:r w:rsidRPr="004D1BE9">
        <w:rPr>
          <w:rFonts w:ascii="Times New Roman" w:hAnsi="Times New Roman"/>
          <w:iCs/>
          <w:sz w:val="24"/>
          <w:szCs w:val="24"/>
        </w:rPr>
        <w:t>provide</w:t>
      </w:r>
      <w:r>
        <w:rPr>
          <w:rFonts w:ascii="Times New Roman" w:hAnsi="Times New Roman"/>
          <w:iCs/>
          <w:sz w:val="24"/>
          <w:szCs w:val="24"/>
        </w:rPr>
        <w:t>s</w:t>
      </w:r>
      <w:r w:rsidRPr="004D1BE9">
        <w:rPr>
          <w:rFonts w:ascii="Times New Roman" w:hAnsi="Times New Roman"/>
          <w:iCs/>
          <w:sz w:val="24"/>
          <w:szCs w:val="24"/>
        </w:rPr>
        <w:t xml:space="preserve"> for several exceptions to the rule under </w:t>
      </w:r>
      <w:r>
        <w:rPr>
          <w:rFonts w:ascii="Times New Roman" w:hAnsi="Times New Roman"/>
          <w:iCs/>
          <w:sz w:val="24"/>
          <w:szCs w:val="24"/>
        </w:rPr>
        <w:t xml:space="preserve">section 115 of </w:t>
      </w:r>
      <w:r w:rsidRPr="004D1BE9">
        <w:rPr>
          <w:rFonts w:ascii="Times New Roman" w:hAnsi="Times New Roman"/>
          <w:iCs/>
          <w:sz w:val="24"/>
          <w:szCs w:val="24"/>
        </w:rPr>
        <w:t>the Act</w:t>
      </w:r>
      <w:r w:rsidR="006B565A">
        <w:rPr>
          <w:rFonts w:ascii="Times New Roman" w:hAnsi="Times New Roman"/>
          <w:iCs/>
          <w:sz w:val="24"/>
          <w:szCs w:val="24"/>
        </w:rPr>
        <w:t>,</w:t>
      </w:r>
      <w:r w:rsidRPr="004D1BE9">
        <w:rPr>
          <w:rFonts w:ascii="Times New Roman" w:hAnsi="Times New Roman"/>
          <w:iCs/>
          <w:sz w:val="24"/>
          <w:szCs w:val="24"/>
        </w:rPr>
        <w:t xml:space="preserve"> </w:t>
      </w:r>
      <w:r>
        <w:rPr>
          <w:rFonts w:ascii="Times New Roman" w:hAnsi="Times New Roman"/>
          <w:iCs/>
          <w:sz w:val="24"/>
          <w:szCs w:val="24"/>
        </w:rPr>
        <w:t xml:space="preserve">which </w:t>
      </w:r>
      <w:r w:rsidRPr="004D1BE9">
        <w:rPr>
          <w:rFonts w:ascii="Times New Roman" w:hAnsi="Times New Roman"/>
          <w:iCs/>
          <w:sz w:val="24"/>
          <w:szCs w:val="24"/>
        </w:rPr>
        <w:t>precludes industry codes and industry standards from deal</w:t>
      </w:r>
      <w:r>
        <w:rPr>
          <w:rFonts w:ascii="Times New Roman" w:hAnsi="Times New Roman"/>
          <w:iCs/>
          <w:sz w:val="24"/>
          <w:szCs w:val="24"/>
        </w:rPr>
        <w:t xml:space="preserve">ing </w:t>
      </w:r>
      <w:r w:rsidRPr="004D1BE9">
        <w:rPr>
          <w:rFonts w:ascii="Times New Roman" w:hAnsi="Times New Roman"/>
          <w:iCs/>
          <w:sz w:val="24"/>
          <w:szCs w:val="24"/>
        </w:rPr>
        <w:t>with certain design features and performance requirements relating to the unconditioned local loop service and the management of next-generation broadband networks</w:t>
      </w:r>
      <w:r>
        <w:rPr>
          <w:rFonts w:ascii="Times New Roman" w:hAnsi="Times New Roman"/>
          <w:iCs/>
          <w:sz w:val="24"/>
          <w:szCs w:val="24"/>
        </w:rPr>
        <w:t>.</w:t>
      </w:r>
    </w:p>
    <w:p w14:paraId="1F906432" w14:textId="77777777" w:rsidR="00573255" w:rsidRDefault="00573255" w:rsidP="00573255">
      <w:pPr>
        <w:rPr>
          <w:rFonts w:ascii="Times New Roman" w:hAnsi="Times New Roman"/>
          <w:iCs/>
          <w:sz w:val="24"/>
          <w:szCs w:val="24"/>
        </w:rPr>
      </w:pPr>
      <w:r>
        <w:rPr>
          <w:rFonts w:ascii="Times New Roman" w:hAnsi="Times New Roman"/>
          <w:iCs/>
          <w:sz w:val="24"/>
          <w:szCs w:val="24"/>
        </w:rPr>
        <w:t>Part 4</w:t>
      </w:r>
      <w:r w:rsidRPr="004D1BE9">
        <w:rPr>
          <w:rFonts w:ascii="Times New Roman" w:hAnsi="Times New Roman"/>
          <w:iCs/>
          <w:sz w:val="24"/>
          <w:szCs w:val="24"/>
        </w:rPr>
        <w:t xml:space="preserve"> </w:t>
      </w:r>
      <w:r>
        <w:rPr>
          <w:rFonts w:ascii="Times New Roman" w:hAnsi="Times New Roman"/>
          <w:iCs/>
          <w:sz w:val="24"/>
          <w:szCs w:val="24"/>
        </w:rPr>
        <w:t xml:space="preserve">sets out </w:t>
      </w:r>
      <w:r w:rsidRPr="004D1BE9">
        <w:rPr>
          <w:rFonts w:ascii="Times New Roman" w:hAnsi="Times New Roman"/>
          <w:iCs/>
          <w:sz w:val="24"/>
          <w:szCs w:val="24"/>
        </w:rPr>
        <w:t>three specific exceptions to the use and disclosure offences in Part 13 of the Act</w:t>
      </w:r>
      <w:r>
        <w:rPr>
          <w:rFonts w:ascii="Times New Roman" w:hAnsi="Times New Roman"/>
          <w:iCs/>
          <w:sz w:val="24"/>
          <w:szCs w:val="24"/>
        </w:rPr>
        <w:t>. These exceptions relate to:</w:t>
      </w:r>
    </w:p>
    <w:p w14:paraId="01609D3F" w14:textId="20E7FD9F" w:rsidR="00573255" w:rsidRDefault="00573255" w:rsidP="00997B5F">
      <w:pPr>
        <w:pStyle w:val="ListParagraph"/>
        <w:numPr>
          <w:ilvl w:val="0"/>
          <w:numId w:val="16"/>
        </w:numPr>
        <w:rPr>
          <w:rFonts w:ascii="Times New Roman" w:hAnsi="Times New Roman"/>
          <w:iCs/>
          <w:sz w:val="24"/>
          <w:szCs w:val="24"/>
        </w:rPr>
      </w:pPr>
      <w:r w:rsidRPr="004D1BE9">
        <w:rPr>
          <w:rFonts w:ascii="Times New Roman" w:hAnsi="Times New Roman"/>
          <w:iCs/>
          <w:sz w:val="24"/>
          <w:szCs w:val="24"/>
        </w:rPr>
        <w:t>disclosure of p</w:t>
      </w:r>
      <w:r>
        <w:rPr>
          <w:rFonts w:ascii="Times New Roman" w:hAnsi="Times New Roman"/>
          <w:iCs/>
          <w:sz w:val="24"/>
          <w:szCs w:val="24"/>
        </w:rPr>
        <w:t xml:space="preserve">rotected </w:t>
      </w:r>
      <w:r w:rsidRPr="004D1BE9">
        <w:rPr>
          <w:rFonts w:ascii="Times New Roman" w:hAnsi="Times New Roman"/>
          <w:iCs/>
          <w:sz w:val="24"/>
          <w:szCs w:val="24"/>
        </w:rPr>
        <w:t>information where the disclosure is to a pro</w:t>
      </w:r>
      <w:r w:rsidR="001D30A5">
        <w:rPr>
          <w:rFonts w:ascii="Times New Roman" w:hAnsi="Times New Roman"/>
          <w:iCs/>
          <w:sz w:val="24"/>
          <w:szCs w:val="24"/>
        </w:rPr>
        <w:t>vider of the National Relay Service</w:t>
      </w:r>
      <w:r w:rsidRPr="004D1BE9">
        <w:rPr>
          <w:rFonts w:ascii="Times New Roman" w:hAnsi="Times New Roman"/>
          <w:iCs/>
          <w:sz w:val="24"/>
          <w:szCs w:val="24"/>
        </w:rPr>
        <w:t xml:space="preserve">; </w:t>
      </w:r>
    </w:p>
    <w:p w14:paraId="727D2D82" w14:textId="77777777" w:rsidR="00573255" w:rsidRDefault="00573255" w:rsidP="00997B5F">
      <w:pPr>
        <w:pStyle w:val="ListParagraph"/>
        <w:numPr>
          <w:ilvl w:val="0"/>
          <w:numId w:val="16"/>
        </w:numPr>
        <w:rPr>
          <w:rFonts w:ascii="Times New Roman" w:hAnsi="Times New Roman"/>
          <w:iCs/>
          <w:sz w:val="24"/>
          <w:szCs w:val="24"/>
        </w:rPr>
      </w:pPr>
      <w:r w:rsidRPr="004D1BE9">
        <w:rPr>
          <w:rFonts w:ascii="Times New Roman" w:hAnsi="Times New Roman"/>
          <w:iCs/>
          <w:sz w:val="24"/>
          <w:szCs w:val="24"/>
        </w:rPr>
        <w:t xml:space="preserve">the disclosure </w:t>
      </w:r>
      <w:r>
        <w:rPr>
          <w:rFonts w:ascii="Times New Roman" w:hAnsi="Times New Roman"/>
          <w:iCs/>
          <w:sz w:val="24"/>
          <w:szCs w:val="24"/>
        </w:rPr>
        <w:t xml:space="preserve">by the IPND Manager </w:t>
      </w:r>
      <w:r w:rsidRPr="004D1BE9">
        <w:rPr>
          <w:rFonts w:ascii="Times New Roman" w:hAnsi="Times New Roman"/>
          <w:iCs/>
          <w:sz w:val="24"/>
          <w:szCs w:val="24"/>
        </w:rPr>
        <w:t xml:space="preserve">of unlisted mobile number </w:t>
      </w:r>
      <w:r>
        <w:rPr>
          <w:rFonts w:ascii="Times New Roman" w:hAnsi="Times New Roman"/>
          <w:iCs/>
          <w:sz w:val="24"/>
          <w:szCs w:val="24"/>
        </w:rPr>
        <w:t xml:space="preserve">(a form of protected information) </w:t>
      </w:r>
      <w:r w:rsidRPr="004D1BE9">
        <w:rPr>
          <w:rFonts w:ascii="Times New Roman" w:hAnsi="Times New Roman"/>
          <w:iCs/>
          <w:sz w:val="24"/>
          <w:szCs w:val="24"/>
        </w:rPr>
        <w:t xml:space="preserve">to </w:t>
      </w:r>
      <w:r>
        <w:rPr>
          <w:rFonts w:ascii="Times New Roman" w:hAnsi="Times New Roman"/>
          <w:iCs/>
          <w:sz w:val="24"/>
          <w:szCs w:val="24"/>
        </w:rPr>
        <w:t xml:space="preserve">an </w:t>
      </w:r>
      <w:r w:rsidRPr="004D1BE9">
        <w:rPr>
          <w:rFonts w:ascii="Times New Roman" w:hAnsi="Times New Roman"/>
          <w:iCs/>
          <w:sz w:val="24"/>
          <w:szCs w:val="24"/>
        </w:rPr>
        <w:t xml:space="preserve">authorised research entity (including the rules for the issuance of research authorisations etc); and </w:t>
      </w:r>
    </w:p>
    <w:p w14:paraId="09E410FF" w14:textId="1CF42D77" w:rsidR="00DA1C42" w:rsidRDefault="00573255" w:rsidP="00997B5F">
      <w:pPr>
        <w:pStyle w:val="ListParagraph"/>
        <w:numPr>
          <w:ilvl w:val="0"/>
          <w:numId w:val="16"/>
        </w:numPr>
        <w:rPr>
          <w:rFonts w:ascii="Times New Roman" w:hAnsi="Times New Roman"/>
          <w:iCs/>
          <w:sz w:val="24"/>
          <w:szCs w:val="24"/>
        </w:rPr>
      </w:pPr>
      <w:r w:rsidRPr="004D1BE9">
        <w:rPr>
          <w:rFonts w:ascii="Times New Roman" w:hAnsi="Times New Roman"/>
          <w:iCs/>
          <w:sz w:val="24"/>
          <w:szCs w:val="24"/>
        </w:rPr>
        <w:t>the disclosure of p</w:t>
      </w:r>
      <w:r>
        <w:rPr>
          <w:rFonts w:ascii="Times New Roman" w:hAnsi="Times New Roman"/>
          <w:iCs/>
          <w:sz w:val="24"/>
          <w:szCs w:val="24"/>
        </w:rPr>
        <w:t xml:space="preserve">rotected </w:t>
      </w:r>
      <w:r w:rsidRPr="004D1BE9">
        <w:rPr>
          <w:rFonts w:ascii="Times New Roman" w:hAnsi="Times New Roman"/>
          <w:iCs/>
          <w:sz w:val="24"/>
          <w:szCs w:val="24"/>
        </w:rPr>
        <w:t>information by emergency call persons—research about emergency service numbers</w:t>
      </w:r>
      <w:r w:rsidR="00DA1C42">
        <w:rPr>
          <w:rFonts w:ascii="Times New Roman" w:hAnsi="Times New Roman"/>
          <w:iCs/>
          <w:sz w:val="24"/>
          <w:szCs w:val="24"/>
        </w:rPr>
        <w:t>.</w:t>
      </w:r>
    </w:p>
    <w:p w14:paraId="5E810140" w14:textId="77777777" w:rsidR="00DA1C42" w:rsidRDefault="00DA1C42" w:rsidP="00DA1C42">
      <w:pPr>
        <w:shd w:val="clear" w:color="auto" w:fill="FFFFFF"/>
        <w:spacing w:after="0" w:line="240" w:lineRule="auto"/>
        <w:rPr>
          <w:rFonts w:ascii="Times New Roman" w:hAnsi="Times New Roman"/>
          <w:iCs/>
          <w:sz w:val="24"/>
          <w:szCs w:val="24"/>
        </w:rPr>
      </w:pPr>
    </w:p>
    <w:p w14:paraId="187C592D" w14:textId="09A0F14D" w:rsidR="00DA1C42" w:rsidRDefault="00DA1C42" w:rsidP="00DA1C42">
      <w:pPr>
        <w:rPr>
          <w:rFonts w:ascii="Times New Roman" w:hAnsi="Times New Roman"/>
          <w:iCs/>
          <w:sz w:val="24"/>
          <w:szCs w:val="24"/>
        </w:rPr>
      </w:pPr>
      <w:r>
        <w:rPr>
          <w:rFonts w:ascii="Times New Roman" w:hAnsi="Times New Roman"/>
          <w:iCs/>
          <w:sz w:val="24"/>
          <w:szCs w:val="24"/>
        </w:rPr>
        <w:t xml:space="preserve">Part 5 </w:t>
      </w:r>
      <w:r w:rsidRPr="006E014D">
        <w:rPr>
          <w:rFonts w:ascii="Times New Roman" w:hAnsi="Times New Roman"/>
          <w:iCs/>
          <w:sz w:val="24"/>
          <w:szCs w:val="24"/>
        </w:rPr>
        <w:t>specifies additional kinds of carriage services, ancillary goods and ancillary services for which standard agreements are required</w:t>
      </w:r>
      <w:r>
        <w:rPr>
          <w:rFonts w:ascii="Times New Roman" w:hAnsi="Times New Roman"/>
          <w:iCs/>
          <w:sz w:val="24"/>
          <w:szCs w:val="24"/>
        </w:rPr>
        <w:t xml:space="preserve">. </w:t>
      </w:r>
    </w:p>
    <w:p w14:paraId="06F7CA85" w14:textId="77777777" w:rsidR="001D30A5" w:rsidRDefault="001D30A5" w:rsidP="001D30A5">
      <w:pPr>
        <w:rPr>
          <w:rFonts w:ascii="Times New Roman" w:hAnsi="Times New Roman"/>
          <w:iCs/>
          <w:sz w:val="24"/>
          <w:szCs w:val="24"/>
        </w:rPr>
      </w:pPr>
      <w:r>
        <w:rPr>
          <w:rFonts w:ascii="Times New Roman" w:hAnsi="Times New Roman"/>
          <w:iCs/>
          <w:sz w:val="24"/>
          <w:szCs w:val="24"/>
        </w:rPr>
        <w:t>Part 6 deals with several matters related to the carrier powers and immunities regime under Schedule 3 to the Act. Namely, listing the international agreements for purposes of the definition of ‘listed international agreement’ under Schedule 3 to the Act and specifying the maximum distance for designated overhead lines.</w:t>
      </w:r>
    </w:p>
    <w:p w14:paraId="7575DC8D" w14:textId="77777777" w:rsidR="00DA1C42" w:rsidRDefault="00DA1C42" w:rsidP="00DA1C42">
      <w:pPr>
        <w:rPr>
          <w:rFonts w:ascii="Times New Roman" w:hAnsi="Times New Roman"/>
          <w:iCs/>
          <w:sz w:val="24"/>
          <w:szCs w:val="24"/>
        </w:rPr>
      </w:pPr>
      <w:r>
        <w:rPr>
          <w:rFonts w:ascii="Times New Roman" w:hAnsi="Times New Roman"/>
          <w:iCs/>
          <w:sz w:val="24"/>
          <w:szCs w:val="24"/>
        </w:rPr>
        <w:t>Part 7 deals with several matters related to the carrier powers and immunities regime under Schedule 3 to the Act. Namely, listing the international agreements for purposes of the definition of ‘listed international agreement’ under Schedule 3 to the Act and specifying the maximum distance for designated overhead lines.</w:t>
      </w:r>
    </w:p>
    <w:p w14:paraId="459AF8D2" w14:textId="77777777" w:rsidR="00DA1C42" w:rsidRPr="006E014D" w:rsidRDefault="00DA1C42" w:rsidP="00DA1C42">
      <w:pPr>
        <w:rPr>
          <w:rFonts w:ascii="Times New Roman" w:hAnsi="Times New Roman"/>
          <w:iCs/>
          <w:sz w:val="24"/>
          <w:szCs w:val="24"/>
        </w:rPr>
      </w:pPr>
      <w:r>
        <w:rPr>
          <w:rFonts w:ascii="Times New Roman" w:hAnsi="Times New Roman"/>
          <w:iCs/>
          <w:sz w:val="24"/>
          <w:szCs w:val="24"/>
        </w:rPr>
        <w:t xml:space="preserve">Part 8 contains </w:t>
      </w:r>
      <w:r w:rsidRPr="006E014D">
        <w:rPr>
          <w:rFonts w:ascii="Times New Roman" w:hAnsi="Times New Roman"/>
          <w:iCs/>
          <w:sz w:val="24"/>
          <w:szCs w:val="24"/>
        </w:rPr>
        <w:t xml:space="preserve">several application, saving and transitional provisions that a necessary as a consequence of the repeal of the sunsetting regulations, </w:t>
      </w:r>
    </w:p>
    <w:p w14:paraId="654863D5" w14:textId="4B2A24DD" w:rsidR="00DA1C42" w:rsidRDefault="00DA1C42" w:rsidP="00DA1C42">
      <w:pPr>
        <w:shd w:val="clear" w:color="auto" w:fill="FFFFFF"/>
        <w:spacing w:line="240" w:lineRule="auto"/>
        <w:rPr>
          <w:rFonts w:ascii="Times New Roman" w:eastAsia="Times New Roman" w:hAnsi="Times New Roman" w:cs="Times New Roman"/>
          <w:color w:val="000000"/>
          <w:sz w:val="24"/>
          <w:szCs w:val="24"/>
          <w:lang w:val="en-US" w:eastAsia="en-AU"/>
        </w:rPr>
      </w:pPr>
      <w:r>
        <w:rPr>
          <w:rFonts w:ascii="Times New Roman" w:eastAsia="Times New Roman" w:hAnsi="Times New Roman" w:cs="Times New Roman"/>
          <w:color w:val="000000"/>
          <w:sz w:val="24"/>
          <w:szCs w:val="24"/>
          <w:lang w:val="en-US" w:eastAsia="en-AU"/>
        </w:rPr>
        <w:t xml:space="preserve">The Schedule to the Regulations repeal the sunsetting regulations. </w:t>
      </w:r>
    </w:p>
    <w:p w14:paraId="2AD5144B" w14:textId="50FB1FB9" w:rsidR="00AE458D" w:rsidRPr="00261CDF" w:rsidRDefault="00AE458D" w:rsidP="00DA1C42">
      <w:pPr>
        <w:shd w:val="clear" w:color="auto" w:fill="FFFFFF"/>
        <w:spacing w:line="240" w:lineRule="auto"/>
        <w:rPr>
          <w:rFonts w:ascii="Times New Roman" w:eastAsia="Times New Roman" w:hAnsi="Times New Roman" w:cs="Times New Roman"/>
          <w:color w:val="000000"/>
          <w:sz w:val="24"/>
          <w:szCs w:val="24"/>
          <w:lang w:val="en-US" w:eastAsia="en-AU"/>
        </w:rPr>
      </w:pPr>
      <w:r>
        <w:rPr>
          <w:rFonts w:ascii="Times New Roman" w:eastAsia="Times New Roman" w:hAnsi="Times New Roman" w:cs="Times New Roman"/>
          <w:color w:val="000000"/>
          <w:sz w:val="24"/>
          <w:szCs w:val="24"/>
          <w:lang w:val="en-US" w:eastAsia="en-AU"/>
        </w:rPr>
        <w:t>The purpose of the Regulations is to support the operation of the Act.</w:t>
      </w:r>
    </w:p>
    <w:p w14:paraId="0A740D87" w14:textId="5C37791F" w:rsidR="00AB043D" w:rsidRPr="008343C3" w:rsidRDefault="00AB043D" w:rsidP="008343C3">
      <w:pPr>
        <w:shd w:val="clear" w:color="auto" w:fill="FFFFFF"/>
        <w:spacing w:after="120" w:line="240" w:lineRule="auto"/>
        <w:rPr>
          <w:rFonts w:ascii="Times New Roman" w:eastAsia="Times New Roman" w:hAnsi="Times New Roman" w:cs="Times New Roman"/>
          <w:b/>
          <w:color w:val="000000"/>
          <w:sz w:val="24"/>
          <w:szCs w:val="24"/>
          <w:lang w:eastAsia="en-AU"/>
        </w:rPr>
      </w:pPr>
      <w:r w:rsidRPr="008343C3">
        <w:rPr>
          <w:rFonts w:ascii="Times New Roman" w:eastAsia="Times New Roman" w:hAnsi="Times New Roman" w:cs="Times New Roman"/>
          <w:b/>
          <w:color w:val="000000"/>
          <w:sz w:val="24"/>
          <w:szCs w:val="24"/>
          <w:lang w:eastAsia="en-AU"/>
        </w:rPr>
        <w:t xml:space="preserve">Human rights implications  </w:t>
      </w:r>
    </w:p>
    <w:p w14:paraId="555CB629" w14:textId="617EC6E3" w:rsidR="00AB043D" w:rsidRPr="00261CDF" w:rsidRDefault="00AB043D" w:rsidP="00045F38">
      <w:pPr>
        <w:shd w:val="clear" w:color="auto" w:fill="FFFFFF"/>
        <w:spacing w:after="240" w:line="240" w:lineRule="auto"/>
        <w:rPr>
          <w:rFonts w:ascii="Times New Roman" w:eastAsia="Times New Roman" w:hAnsi="Times New Roman" w:cs="Times New Roman"/>
          <w:color w:val="000000"/>
          <w:sz w:val="24"/>
          <w:szCs w:val="24"/>
          <w:lang w:eastAsia="en-AU"/>
        </w:rPr>
      </w:pPr>
      <w:r w:rsidRPr="00261CDF">
        <w:rPr>
          <w:rFonts w:ascii="Times New Roman" w:eastAsia="Times New Roman" w:hAnsi="Times New Roman" w:cs="Times New Roman"/>
          <w:color w:val="000000"/>
          <w:sz w:val="24"/>
          <w:szCs w:val="24"/>
          <w:lang w:eastAsia="en-AU"/>
        </w:rPr>
        <w:lastRenderedPageBreak/>
        <w:t xml:space="preserve">The </w:t>
      </w:r>
      <w:r w:rsidR="00045F38">
        <w:rPr>
          <w:rFonts w:ascii="Times New Roman" w:eastAsia="Times New Roman" w:hAnsi="Times New Roman" w:cs="Times New Roman"/>
          <w:color w:val="000000"/>
          <w:sz w:val="24"/>
          <w:szCs w:val="24"/>
          <w:lang w:eastAsia="en-AU"/>
        </w:rPr>
        <w:t>Instrument</w:t>
      </w:r>
      <w:r w:rsidR="00AE458D">
        <w:rPr>
          <w:rFonts w:ascii="Times New Roman" w:eastAsia="Times New Roman" w:hAnsi="Times New Roman" w:cs="Times New Roman"/>
          <w:color w:val="000000"/>
          <w:sz w:val="24"/>
          <w:szCs w:val="24"/>
          <w:lang w:eastAsia="en-AU"/>
        </w:rPr>
        <w:t xml:space="preserve"> </w:t>
      </w:r>
      <w:r w:rsidRPr="00261CDF">
        <w:rPr>
          <w:rFonts w:ascii="Times New Roman" w:eastAsia="Times New Roman" w:hAnsi="Times New Roman" w:cs="Times New Roman"/>
          <w:color w:val="000000"/>
          <w:sz w:val="24"/>
          <w:szCs w:val="24"/>
          <w:lang w:eastAsia="en-AU"/>
        </w:rPr>
        <w:t>engages the following</w:t>
      </w:r>
      <w:r w:rsidR="00AE458D">
        <w:rPr>
          <w:rFonts w:ascii="Times New Roman" w:eastAsia="Times New Roman" w:hAnsi="Times New Roman" w:cs="Times New Roman"/>
          <w:color w:val="000000"/>
          <w:sz w:val="24"/>
          <w:szCs w:val="24"/>
          <w:lang w:eastAsia="en-AU"/>
        </w:rPr>
        <w:t xml:space="preserve"> rights</w:t>
      </w:r>
      <w:r w:rsidRPr="00261CDF">
        <w:rPr>
          <w:rFonts w:ascii="Times New Roman" w:eastAsia="Times New Roman" w:hAnsi="Times New Roman" w:cs="Times New Roman"/>
          <w:color w:val="000000"/>
          <w:sz w:val="24"/>
          <w:szCs w:val="24"/>
          <w:lang w:eastAsia="en-AU"/>
        </w:rPr>
        <w:t>:</w:t>
      </w:r>
    </w:p>
    <w:p w14:paraId="60C522BA" w14:textId="77777777" w:rsidR="00AB043D" w:rsidRPr="00045F38" w:rsidRDefault="00AB043D" w:rsidP="00997B5F">
      <w:pPr>
        <w:pStyle w:val="ListParagraph"/>
        <w:numPr>
          <w:ilvl w:val="0"/>
          <w:numId w:val="15"/>
        </w:numPr>
        <w:rPr>
          <w:rFonts w:ascii="Times New Roman" w:hAnsi="Times New Roman"/>
          <w:iCs/>
          <w:sz w:val="24"/>
          <w:szCs w:val="24"/>
        </w:rPr>
      </w:pPr>
      <w:r w:rsidRPr="00045F38">
        <w:rPr>
          <w:rFonts w:ascii="Times New Roman" w:hAnsi="Times New Roman"/>
          <w:iCs/>
          <w:sz w:val="24"/>
          <w:szCs w:val="24"/>
        </w:rPr>
        <w:t xml:space="preserve">The right to privacy in </w:t>
      </w:r>
      <w:r w:rsidRPr="00DA1C42">
        <w:rPr>
          <w:rFonts w:ascii="Times New Roman" w:hAnsi="Times New Roman"/>
          <w:sz w:val="24"/>
        </w:rPr>
        <w:t>Article 17</w:t>
      </w:r>
      <w:r w:rsidRPr="00045F38">
        <w:rPr>
          <w:rFonts w:ascii="Times New Roman" w:hAnsi="Times New Roman"/>
          <w:iCs/>
          <w:sz w:val="24"/>
          <w:szCs w:val="24"/>
        </w:rPr>
        <w:t xml:space="preserve"> of the International Covenant on Civil and Political Rights (the ICCPR).</w:t>
      </w:r>
    </w:p>
    <w:p w14:paraId="05D21FA0" w14:textId="77777777" w:rsidR="00AB043D" w:rsidRPr="00045F38" w:rsidRDefault="00AB043D" w:rsidP="00997B5F">
      <w:pPr>
        <w:pStyle w:val="ListParagraph"/>
        <w:numPr>
          <w:ilvl w:val="0"/>
          <w:numId w:val="15"/>
        </w:numPr>
        <w:rPr>
          <w:rFonts w:ascii="Times New Roman" w:hAnsi="Times New Roman"/>
          <w:iCs/>
          <w:sz w:val="24"/>
          <w:szCs w:val="24"/>
        </w:rPr>
      </w:pPr>
      <w:r w:rsidRPr="00045F38">
        <w:rPr>
          <w:rFonts w:ascii="Times New Roman" w:hAnsi="Times New Roman"/>
          <w:iCs/>
          <w:sz w:val="24"/>
          <w:szCs w:val="24"/>
        </w:rPr>
        <w:t xml:space="preserve">The right to freedom of expression in </w:t>
      </w:r>
      <w:r w:rsidRPr="00DA1C42">
        <w:rPr>
          <w:rFonts w:ascii="Times New Roman" w:hAnsi="Times New Roman"/>
          <w:sz w:val="24"/>
        </w:rPr>
        <w:t>Article 19</w:t>
      </w:r>
      <w:r w:rsidRPr="00045F38">
        <w:rPr>
          <w:rFonts w:ascii="Times New Roman" w:hAnsi="Times New Roman"/>
          <w:iCs/>
          <w:sz w:val="24"/>
          <w:szCs w:val="24"/>
        </w:rPr>
        <w:t xml:space="preserve"> of the ICCPR.</w:t>
      </w:r>
    </w:p>
    <w:p w14:paraId="6913FFBC" w14:textId="77777777" w:rsidR="00AB043D" w:rsidRPr="00045F38" w:rsidRDefault="00AB043D" w:rsidP="00997B5F">
      <w:pPr>
        <w:pStyle w:val="ListParagraph"/>
        <w:numPr>
          <w:ilvl w:val="0"/>
          <w:numId w:val="15"/>
        </w:numPr>
        <w:rPr>
          <w:rFonts w:ascii="Times New Roman" w:hAnsi="Times New Roman"/>
          <w:iCs/>
          <w:sz w:val="24"/>
          <w:szCs w:val="24"/>
        </w:rPr>
      </w:pPr>
      <w:r w:rsidRPr="00045F38">
        <w:rPr>
          <w:rFonts w:ascii="Times New Roman" w:hAnsi="Times New Roman"/>
          <w:iCs/>
          <w:sz w:val="24"/>
          <w:szCs w:val="24"/>
        </w:rPr>
        <w:t xml:space="preserve">The presumption of innocence in </w:t>
      </w:r>
      <w:r w:rsidRPr="00DA1C42">
        <w:rPr>
          <w:rFonts w:ascii="Times New Roman" w:hAnsi="Times New Roman"/>
          <w:sz w:val="24"/>
        </w:rPr>
        <w:t>Article 14(2) of ICCPR. </w:t>
      </w:r>
    </w:p>
    <w:p w14:paraId="3F46BB7E" w14:textId="174CD1A0" w:rsidR="00AB043D" w:rsidRPr="00A100D7" w:rsidRDefault="005E5CDC" w:rsidP="008343C3">
      <w:pPr>
        <w:shd w:val="clear" w:color="auto" w:fill="FFFFFF"/>
        <w:spacing w:after="120" w:line="240" w:lineRule="auto"/>
        <w:rPr>
          <w:rFonts w:ascii="Times New Roman" w:eastAsia="Times New Roman" w:hAnsi="Times New Roman" w:cs="Times New Roman"/>
          <w:b/>
          <w:color w:val="000000"/>
          <w:sz w:val="24"/>
          <w:szCs w:val="24"/>
          <w:u w:val="single"/>
          <w:lang w:eastAsia="en-AU"/>
        </w:rPr>
      </w:pPr>
      <w:r w:rsidRPr="00A100D7">
        <w:rPr>
          <w:rFonts w:ascii="Times New Roman" w:eastAsia="Times New Roman" w:hAnsi="Times New Roman" w:cs="Times New Roman"/>
          <w:b/>
          <w:color w:val="000000"/>
          <w:sz w:val="24"/>
          <w:szCs w:val="24"/>
          <w:u w:val="single"/>
          <w:lang w:eastAsia="en-AU"/>
        </w:rPr>
        <w:t>Measures in detail</w:t>
      </w:r>
    </w:p>
    <w:p w14:paraId="1793B5B4" w14:textId="74A34F86" w:rsidR="00AB043D" w:rsidRPr="008343C3" w:rsidRDefault="00AB043D" w:rsidP="008343C3">
      <w:pPr>
        <w:shd w:val="clear" w:color="auto" w:fill="FFFFFF"/>
        <w:spacing w:after="120" w:line="240" w:lineRule="auto"/>
        <w:rPr>
          <w:rFonts w:ascii="Times New Roman" w:eastAsia="Times New Roman" w:hAnsi="Times New Roman" w:cs="Times New Roman"/>
          <w:b/>
          <w:color w:val="000000"/>
          <w:sz w:val="24"/>
          <w:szCs w:val="24"/>
          <w:lang w:eastAsia="en-AU"/>
        </w:rPr>
      </w:pPr>
      <w:r w:rsidRPr="008343C3">
        <w:rPr>
          <w:rFonts w:ascii="Times New Roman" w:eastAsia="Times New Roman" w:hAnsi="Times New Roman" w:cs="Times New Roman"/>
          <w:b/>
          <w:color w:val="000000"/>
          <w:sz w:val="24"/>
          <w:szCs w:val="24"/>
          <w:lang w:eastAsia="en-AU"/>
        </w:rPr>
        <w:t>Part 2 – Service provider determinations</w:t>
      </w:r>
    </w:p>
    <w:p w14:paraId="599FA2E8" w14:textId="77777777" w:rsidR="001D30A5" w:rsidRDefault="00A2712D" w:rsidP="00A2712D">
      <w:pPr>
        <w:shd w:val="clear" w:color="auto" w:fill="FFFFFF"/>
        <w:spacing w:after="240" w:line="240" w:lineRule="auto"/>
        <w:rPr>
          <w:rFonts w:ascii="Times New Roman" w:eastAsia="Times New Roman" w:hAnsi="Times New Roman" w:cs="Times New Roman"/>
          <w:color w:val="000000"/>
          <w:sz w:val="24"/>
          <w:szCs w:val="24"/>
          <w:lang w:eastAsia="en-AU"/>
        </w:rPr>
      </w:pPr>
      <w:r w:rsidRPr="00A2712D">
        <w:rPr>
          <w:rFonts w:ascii="Times New Roman" w:eastAsia="Times New Roman" w:hAnsi="Times New Roman" w:cs="Times New Roman"/>
          <w:color w:val="000000"/>
          <w:sz w:val="24"/>
          <w:szCs w:val="24"/>
          <w:lang w:eastAsia="en-AU"/>
        </w:rPr>
        <w:t>Part 2 specifies matters in relation to which the A</w:t>
      </w:r>
      <w:r>
        <w:rPr>
          <w:rFonts w:ascii="Times New Roman" w:eastAsia="Times New Roman" w:hAnsi="Times New Roman" w:cs="Times New Roman"/>
          <w:color w:val="000000"/>
          <w:sz w:val="24"/>
          <w:szCs w:val="24"/>
          <w:lang w:eastAsia="en-AU"/>
        </w:rPr>
        <w:t xml:space="preserve">ustralian </w:t>
      </w:r>
      <w:r w:rsidRPr="00A2712D">
        <w:rPr>
          <w:rFonts w:ascii="Times New Roman" w:eastAsia="Times New Roman" w:hAnsi="Times New Roman" w:cs="Times New Roman"/>
          <w:color w:val="000000"/>
          <w:sz w:val="24"/>
          <w:szCs w:val="24"/>
          <w:lang w:eastAsia="en-AU"/>
        </w:rPr>
        <w:t>C</w:t>
      </w:r>
      <w:r>
        <w:rPr>
          <w:rFonts w:ascii="Times New Roman" w:eastAsia="Times New Roman" w:hAnsi="Times New Roman" w:cs="Times New Roman"/>
          <w:color w:val="000000"/>
          <w:sz w:val="24"/>
          <w:szCs w:val="24"/>
          <w:lang w:eastAsia="en-AU"/>
        </w:rPr>
        <w:t xml:space="preserve">ommunications and </w:t>
      </w:r>
      <w:r w:rsidRPr="00A2712D">
        <w:rPr>
          <w:rFonts w:ascii="Times New Roman" w:eastAsia="Times New Roman" w:hAnsi="Times New Roman" w:cs="Times New Roman"/>
          <w:color w:val="000000"/>
          <w:sz w:val="24"/>
          <w:szCs w:val="24"/>
          <w:lang w:eastAsia="en-AU"/>
        </w:rPr>
        <w:t>M</w:t>
      </w:r>
      <w:r>
        <w:rPr>
          <w:rFonts w:ascii="Times New Roman" w:eastAsia="Times New Roman" w:hAnsi="Times New Roman" w:cs="Times New Roman"/>
          <w:color w:val="000000"/>
          <w:sz w:val="24"/>
          <w:szCs w:val="24"/>
          <w:lang w:eastAsia="en-AU"/>
        </w:rPr>
        <w:t>edia Authority (ACMA)</w:t>
      </w:r>
      <w:r w:rsidRPr="00A2712D">
        <w:rPr>
          <w:rFonts w:ascii="Times New Roman" w:eastAsia="Times New Roman" w:hAnsi="Times New Roman" w:cs="Times New Roman"/>
          <w:color w:val="000000"/>
          <w:sz w:val="24"/>
          <w:szCs w:val="24"/>
          <w:lang w:eastAsia="en-AU"/>
        </w:rPr>
        <w:t xml:space="preserve"> may make a service provider determination for the purposes of section 99(3) of the Act. </w:t>
      </w:r>
    </w:p>
    <w:p w14:paraId="7A93A2F5" w14:textId="57BD8B68" w:rsidR="00AB043D" w:rsidRPr="00261CDF" w:rsidRDefault="00A2712D" w:rsidP="00A2712D">
      <w:pPr>
        <w:shd w:val="clear" w:color="auto" w:fill="FFFFFF"/>
        <w:spacing w:after="240" w:line="240" w:lineRule="auto"/>
        <w:rPr>
          <w:rFonts w:ascii="Times New Roman" w:eastAsia="Times New Roman" w:hAnsi="Times New Roman" w:cs="Times New Roman"/>
          <w:color w:val="000000"/>
          <w:sz w:val="24"/>
          <w:szCs w:val="24"/>
          <w:lang w:eastAsia="en-AU"/>
        </w:rPr>
      </w:pPr>
      <w:r w:rsidRPr="00A2712D">
        <w:rPr>
          <w:rFonts w:ascii="Times New Roman" w:eastAsia="Times New Roman" w:hAnsi="Times New Roman" w:cs="Times New Roman"/>
          <w:color w:val="000000"/>
          <w:sz w:val="24"/>
          <w:szCs w:val="24"/>
          <w:lang w:eastAsia="en-AU"/>
        </w:rPr>
        <w:t xml:space="preserve">Under </w:t>
      </w:r>
      <w:r>
        <w:rPr>
          <w:rFonts w:ascii="Times New Roman" w:eastAsia="Times New Roman" w:hAnsi="Times New Roman" w:cs="Times New Roman"/>
          <w:color w:val="000000"/>
          <w:sz w:val="24"/>
          <w:szCs w:val="24"/>
          <w:lang w:eastAsia="en-AU"/>
        </w:rPr>
        <w:t>s</w:t>
      </w:r>
      <w:r w:rsidR="00AB043D" w:rsidRPr="00261CDF">
        <w:rPr>
          <w:rFonts w:ascii="Times New Roman" w:eastAsia="Times New Roman" w:hAnsi="Times New Roman" w:cs="Times New Roman"/>
          <w:color w:val="000000"/>
          <w:sz w:val="24"/>
          <w:szCs w:val="24"/>
          <w:lang w:eastAsia="en-AU"/>
        </w:rPr>
        <w:t>ubsection 99(1) of the Act</w:t>
      </w:r>
      <w:r w:rsidR="00AE458D">
        <w:rPr>
          <w:rFonts w:ascii="Times New Roman" w:eastAsia="Times New Roman" w:hAnsi="Times New Roman" w:cs="Times New Roman"/>
          <w:color w:val="000000"/>
          <w:sz w:val="24"/>
          <w:szCs w:val="24"/>
          <w:lang w:eastAsia="en-AU"/>
        </w:rPr>
        <w:t>,</w:t>
      </w:r>
      <w:r w:rsidR="00AB043D" w:rsidRPr="00261CDF">
        <w:rPr>
          <w:rFonts w:ascii="Times New Roman" w:eastAsia="Times New Roman" w:hAnsi="Times New Roman" w:cs="Times New Roman"/>
          <w:color w:val="000000"/>
          <w:sz w:val="24"/>
          <w:szCs w:val="24"/>
          <w:lang w:eastAsia="en-AU"/>
        </w:rPr>
        <w:t xml:space="preserve"> the ACMA may make written determinations setting out rules that apply to service providers in relation to the supply of either or both specified carriage services or specified content services, which are called service provider determinations. Subsection 99(3) of the Act provides, relevantly, that the ACMA must not make a service provider determination unless the determination relate</w:t>
      </w:r>
      <w:r w:rsidR="001D6888">
        <w:rPr>
          <w:rFonts w:ascii="Times New Roman" w:eastAsia="Times New Roman" w:hAnsi="Times New Roman" w:cs="Times New Roman"/>
          <w:color w:val="000000"/>
          <w:sz w:val="24"/>
          <w:szCs w:val="24"/>
          <w:lang w:eastAsia="en-AU"/>
        </w:rPr>
        <w:t>s to a matter specified in the R</w:t>
      </w:r>
      <w:r w:rsidR="00AB043D" w:rsidRPr="00261CDF">
        <w:rPr>
          <w:rFonts w:ascii="Times New Roman" w:eastAsia="Times New Roman" w:hAnsi="Times New Roman" w:cs="Times New Roman"/>
          <w:color w:val="000000"/>
          <w:sz w:val="24"/>
          <w:szCs w:val="24"/>
          <w:lang w:eastAsia="en-AU"/>
        </w:rPr>
        <w:t>egulations.</w:t>
      </w:r>
    </w:p>
    <w:p w14:paraId="281811E8" w14:textId="5F36C345" w:rsidR="00A2712D" w:rsidRDefault="00A2712D" w:rsidP="00A2712D">
      <w:pPr>
        <w:shd w:val="clear" w:color="auto" w:fill="FFFFFF"/>
        <w:spacing w:after="240" w:line="240" w:lineRule="auto"/>
        <w:rPr>
          <w:rFonts w:ascii="Times New Roman" w:eastAsia="Times New Roman" w:hAnsi="Times New Roman" w:cs="Times New Roman"/>
          <w:color w:val="000000"/>
          <w:sz w:val="24"/>
          <w:szCs w:val="24"/>
          <w:lang w:eastAsia="en-AU"/>
        </w:rPr>
      </w:pPr>
      <w:r w:rsidRPr="00A2712D">
        <w:rPr>
          <w:rFonts w:ascii="Times New Roman" w:eastAsia="Times New Roman" w:hAnsi="Times New Roman" w:cs="Times New Roman"/>
          <w:color w:val="000000"/>
          <w:sz w:val="24"/>
          <w:szCs w:val="24"/>
          <w:lang w:eastAsia="en-AU"/>
        </w:rPr>
        <w:t xml:space="preserve">Part 2 of the Regulations sets out those matters in relation to which service provider determinations may be made, namely: prepaid mobile carriage services; premium services; fixed or mobile voice or data carriage services; and information relating to the telecommunications industry. </w:t>
      </w:r>
    </w:p>
    <w:p w14:paraId="5130E281" w14:textId="2F0BE46A" w:rsidR="00AB043D" w:rsidRDefault="001D30A5" w:rsidP="00A2712D">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lastRenderedPageBreak/>
        <w:t>Paragraph 8</w:t>
      </w:r>
      <w:r w:rsidR="00A2712D">
        <w:rPr>
          <w:rFonts w:ascii="Times New Roman" w:eastAsia="Times New Roman" w:hAnsi="Times New Roman" w:cs="Times New Roman"/>
          <w:color w:val="000000"/>
          <w:sz w:val="24"/>
          <w:szCs w:val="24"/>
          <w:lang w:eastAsia="en-AU"/>
        </w:rPr>
        <w:t xml:space="preserve">(1)(e) of </w:t>
      </w:r>
      <w:r w:rsidR="00AB043D" w:rsidRPr="00261CDF">
        <w:rPr>
          <w:rFonts w:ascii="Times New Roman" w:eastAsia="Times New Roman" w:hAnsi="Times New Roman" w:cs="Times New Roman"/>
          <w:color w:val="000000"/>
          <w:sz w:val="24"/>
          <w:szCs w:val="24"/>
          <w:lang w:eastAsia="en-AU"/>
        </w:rPr>
        <w:t xml:space="preserve">Part 2 </w:t>
      </w:r>
      <w:r w:rsidR="00A2712D">
        <w:rPr>
          <w:rFonts w:ascii="Times New Roman" w:eastAsia="Times New Roman" w:hAnsi="Times New Roman" w:cs="Times New Roman"/>
          <w:color w:val="000000"/>
          <w:sz w:val="24"/>
          <w:szCs w:val="24"/>
          <w:lang w:eastAsia="en-AU"/>
        </w:rPr>
        <w:t>of the Regulation</w:t>
      </w:r>
      <w:r w:rsidR="001D6888">
        <w:rPr>
          <w:rFonts w:ascii="Times New Roman" w:eastAsia="Times New Roman" w:hAnsi="Times New Roman" w:cs="Times New Roman"/>
          <w:color w:val="000000"/>
          <w:sz w:val="24"/>
          <w:szCs w:val="24"/>
          <w:lang w:eastAsia="en-AU"/>
        </w:rPr>
        <w:t>s</w:t>
      </w:r>
      <w:r w:rsidR="00A2712D">
        <w:rPr>
          <w:rFonts w:ascii="Times New Roman" w:eastAsia="Times New Roman" w:hAnsi="Times New Roman" w:cs="Times New Roman"/>
          <w:color w:val="000000"/>
          <w:sz w:val="24"/>
          <w:szCs w:val="24"/>
          <w:lang w:eastAsia="en-AU"/>
        </w:rPr>
        <w:t xml:space="preserve"> </w:t>
      </w:r>
      <w:r w:rsidR="00AB043D" w:rsidRPr="00261CDF">
        <w:rPr>
          <w:rFonts w:ascii="Times New Roman" w:eastAsia="Times New Roman" w:hAnsi="Times New Roman" w:cs="Times New Roman"/>
          <w:color w:val="000000"/>
          <w:sz w:val="24"/>
          <w:szCs w:val="24"/>
          <w:lang w:eastAsia="en-AU"/>
        </w:rPr>
        <w:t xml:space="preserve">specifies that the ACMA may make a determination preventing a service provider from supplying a person with a prepaid </w:t>
      </w:r>
      <w:r w:rsidR="00A2712D">
        <w:rPr>
          <w:rFonts w:ascii="Times New Roman" w:eastAsia="Times New Roman" w:hAnsi="Times New Roman" w:cs="Times New Roman"/>
          <w:color w:val="000000"/>
          <w:sz w:val="24"/>
          <w:szCs w:val="24"/>
          <w:lang w:eastAsia="en-AU"/>
        </w:rPr>
        <w:t xml:space="preserve">mobile </w:t>
      </w:r>
      <w:r w:rsidR="00AB043D" w:rsidRPr="00261CDF">
        <w:rPr>
          <w:rFonts w:ascii="Times New Roman" w:eastAsia="Times New Roman" w:hAnsi="Times New Roman" w:cs="Times New Roman"/>
          <w:color w:val="000000"/>
          <w:sz w:val="24"/>
          <w:szCs w:val="24"/>
          <w:lang w:eastAsia="en-AU"/>
        </w:rPr>
        <w:t xml:space="preserve">carriage service </w:t>
      </w:r>
      <w:r w:rsidR="001D6888">
        <w:rPr>
          <w:rFonts w:ascii="Times New Roman" w:eastAsia="Times New Roman" w:hAnsi="Times New Roman" w:cs="Times New Roman"/>
          <w:color w:val="000000"/>
          <w:sz w:val="24"/>
          <w:szCs w:val="24"/>
          <w:lang w:eastAsia="en-AU"/>
        </w:rPr>
        <w:t>if the customer</w:t>
      </w:r>
      <w:r w:rsidR="00A2712D" w:rsidRPr="00A2712D">
        <w:rPr>
          <w:rFonts w:ascii="Times New Roman" w:eastAsia="Times New Roman" w:hAnsi="Times New Roman" w:cs="Times New Roman"/>
          <w:color w:val="000000"/>
          <w:sz w:val="24"/>
          <w:szCs w:val="24"/>
          <w:lang w:eastAsia="en-AU"/>
        </w:rPr>
        <w:t xml:space="preserve"> fails to verify the customer’s identity, including by giving false or misleading information</w:t>
      </w:r>
      <w:r w:rsidR="00A2712D">
        <w:rPr>
          <w:rFonts w:ascii="Times New Roman" w:eastAsia="Times New Roman" w:hAnsi="Times New Roman" w:cs="Times New Roman"/>
          <w:color w:val="000000"/>
          <w:sz w:val="24"/>
          <w:szCs w:val="24"/>
          <w:lang w:eastAsia="en-AU"/>
        </w:rPr>
        <w:t xml:space="preserve">. The effect of this specification is, for example, that the ACMA may </w:t>
      </w:r>
      <w:r w:rsidR="00AB043D" w:rsidRPr="00261CDF">
        <w:rPr>
          <w:rFonts w:ascii="Times New Roman" w:eastAsia="Times New Roman" w:hAnsi="Times New Roman" w:cs="Times New Roman"/>
          <w:color w:val="000000"/>
          <w:sz w:val="24"/>
          <w:szCs w:val="24"/>
          <w:lang w:eastAsia="en-AU"/>
        </w:rPr>
        <w:t>make a determination about a service provider not allowing a person to use a public number for a prepaid carriage service if the service provider knows that the person has given information that is false or misleading.</w:t>
      </w:r>
    </w:p>
    <w:p w14:paraId="7021420B" w14:textId="709CF26A" w:rsidR="00F93983" w:rsidRPr="00261CDF" w:rsidRDefault="00D319F7" w:rsidP="00F93983">
      <w:pPr>
        <w:shd w:val="clear" w:color="auto" w:fill="FFFFFF"/>
        <w:spacing w:after="24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4"/>
          <w:szCs w:val="24"/>
          <w:lang w:eastAsia="en-AU"/>
        </w:rPr>
        <w:t>Subp</w:t>
      </w:r>
      <w:r w:rsidR="001D30A5">
        <w:rPr>
          <w:rFonts w:ascii="Times New Roman" w:eastAsia="Times New Roman" w:hAnsi="Times New Roman" w:cs="Times New Roman"/>
          <w:color w:val="000000"/>
          <w:sz w:val="24"/>
          <w:szCs w:val="24"/>
          <w:lang w:eastAsia="en-AU"/>
        </w:rPr>
        <w:t>aragraph 8</w:t>
      </w:r>
      <w:r w:rsidR="00F93983">
        <w:rPr>
          <w:rFonts w:ascii="Times New Roman" w:eastAsia="Times New Roman" w:hAnsi="Times New Roman" w:cs="Times New Roman"/>
          <w:color w:val="000000"/>
          <w:sz w:val="24"/>
          <w:szCs w:val="24"/>
          <w:lang w:eastAsia="en-AU"/>
        </w:rPr>
        <w:t xml:space="preserve">(1)(e)(ii) of Part 2 of the Regulations </w:t>
      </w:r>
      <w:r w:rsidR="00F93983" w:rsidRPr="00F93983">
        <w:rPr>
          <w:rFonts w:ascii="Times New Roman" w:eastAsia="Times New Roman" w:hAnsi="Times New Roman" w:cs="Times New Roman"/>
          <w:color w:val="000000"/>
          <w:sz w:val="24"/>
          <w:szCs w:val="24"/>
          <w:lang w:eastAsia="en-AU"/>
        </w:rPr>
        <w:t xml:space="preserve">specifies that the ACMA may make a determination preventing a service provider from supplying a person with a prepaid mobile carriage service </w:t>
      </w:r>
      <w:r w:rsidR="001D6888">
        <w:rPr>
          <w:rFonts w:ascii="Times New Roman" w:eastAsia="Times New Roman" w:hAnsi="Times New Roman" w:cs="Times New Roman"/>
          <w:color w:val="000000"/>
          <w:sz w:val="24"/>
          <w:szCs w:val="24"/>
          <w:lang w:eastAsia="en-AU"/>
        </w:rPr>
        <w:t>if</w:t>
      </w:r>
      <w:r w:rsidR="00F93983">
        <w:rPr>
          <w:rFonts w:ascii="Times New Roman" w:eastAsia="Times New Roman" w:hAnsi="Times New Roman" w:cs="Times New Roman"/>
          <w:color w:val="000000"/>
          <w:sz w:val="24"/>
          <w:szCs w:val="24"/>
          <w:lang w:eastAsia="en-AU"/>
        </w:rPr>
        <w:t xml:space="preserve"> an authorised law enforcement officer gives </w:t>
      </w:r>
      <w:r w:rsidR="00F93983" w:rsidRPr="00F93983">
        <w:rPr>
          <w:rFonts w:ascii="Times New Roman" w:eastAsia="Times New Roman" w:hAnsi="Times New Roman" w:cs="Times New Roman"/>
          <w:color w:val="000000"/>
          <w:sz w:val="24"/>
          <w:szCs w:val="24"/>
          <w:lang w:eastAsia="en-AU"/>
        </w:rPr>
        <w:t xml:space="preserve">the service </w:t>
      </w:r>
      <w:r w:rsidR="001D6888">
        <w:rPr>
          <w:rFonts w:ascii="Times New Roman" w:eastAsia="Times New Roman" w:hAnsi="Times New Roman" w:cs="Times New Roman"/>
          <w:color w:val="000000"/>
          <w:sz w:val="24"/>
          <w:szCs w:val="24"/>
          <w:lang w:eastAsia="en-AU"/>
        </w:rPr>
        <w:t>provider</w:t>
      </w:r>
      <w:r w:rsidR="00F93983">
        <w:rPr>
          <w:rFonts w:ascii="Times New Roman" w:eastAsia="Times New Roman" w:hAnsi="Times New Roman" w:cs="Times New Roman"/>
          <w:color w:val="000000"/>
          <w:sz w:val="24"/>
          <w:szCs w:val="24"/>
          <w:lang w:eastAsia="en-AU"/>
        </w:rPr>
        <w:t xml:space="preserve"> </w:t>
      </w:r>
      <w:r w:rsidR="00F93983" w:rsidRPr="00F93983">
        <w:rPr>
          <w:rFonts w:ascii="Times New Roman" w:eastAsia="Times New Roman" w:hAnsi="Times New Roman" w:cs="Times New Roman"/>
          <w:color w:val="000000"/>
          <w:sz w:val="24"/>
          <w:szCs w:val="24"/>
          <w:lang w:eastAsia="en-AU"/>
        </w:rPr>
        <w:t>a written request to prevent a person using a prepaid mobile carriage service that states that action is necessary for a purpose mentioned in subs</w:t>
      </w:r>
      <w:r w:rsidR="001D6888">
        <w:rPr>
          <w:rFonts w:ascii="Times New Roman" w:eastAsia="Times New Roman" w:hAnsi="Times New Roman" w:cs="Times New Roman"/>
          <w:color w:val="000000"/>
          <w:sz w:val="24"/>
          <w:szCs w:val="24"/>
          <w:lang w:eastAsia="en-AU"/>
        </w:rPr>
        <w:t>ection</w:t>
      </w:r>
      <w:r w:rsidR="00E76600">
        <w:rPr>
          <w:rFonts w:ascii="Times New Roman" w:eastAsia="Times New Roman" w:hAnsi="Times New Roman" w:cs="Times New Roman"/>
          <w:color w:val="000000"/>
          <w:sz w:val="24"/>
          <w:szCs w:val="24"/>
          <w:lang w:eastAsia="en-AU"/>
        </w:rPr>
        <w:t>s</w:t>
      </w:r>
      <w:r w:rsidR="001D6888">
        <w:rPr>
          <w:rFonts w:ascii="Times New Roman" w:eastAsia="Times New Roman" w:hAnsi="Times New Roman" w:cs="Times New Roman"/>
          <w:color w:val="000000"/>
          <w:sz w:val="24"/>
          <w:szCs w:val="24"/>
          <w:lang w:eastAsia="en-AU"/>
        </w:rPr>
        <w:t xml:space="preserve"> 313(3) or (4) of the Act. T</w:t>
      </w:r>
      <w:r w:rsidR="00F93983">
        <w:rPr>
          <w:rFonts w:ascii="Times New Roman" w:eastAsia="Times New Roman" w:hAnsi="Times New Roman" w:cs="Times New Roman"/>
          <w:color w:val="000000"/>
          <w:sz w:val="24"/>
          <w:szCs w:val="24"/>
          <w:lang w:eastAsia="en-AU"/>
        </w:rPr>
        <w:t xml:space="preserve">his covers </w:t>
      </w:r>
      <w:r w:rsidR="00F93983" w:rsidRPr="00F93983">
        <w:rPr>
          <w:rFonts w:ascii="Times New Roman" w:eastAsia="Times New Roman" w:hAnsi="Times New Roman" w:cs="Times New Roman"/>
          <w:color w:val="000000"/>
          <w:sz w:val="24"/>
          <w:szCs w:val="24"/>
          <w:lang w:eastAsia="en-AU"/>
        </w:rPr>
        <w:t xml:space="preserve">action </w:t>
      </w:r>
      <w:r w:rsidR="00F93983">
        <w:rPr>
          <w:rFonts w:ascii="Times New Roman" w:eastAsia="Times New Roman" w:hAnsi="Times New Roman" w:cs="Times New Roman"/>
          <w:color w:val="000000"/>
          <w:sz w:val="24"/>
          <w:szCs w:val="24"/>
          <w:lang w:eastAsia="en-AU"/>
        </w:rPr>
        <w:t xml:space="preserve">that </w:t>
      </w:r>
      <w:r w:rsidR="00F93983" w:rsidRPr="00F93983">
        <w:rPr>
          <w:rFonts w:ascii="Times New Roman" w:eastAsia="Times New Roman" w:hAnsi="Times New Roman" w:cs="Times New Roman"/>
          <w:color w:val="000000"/>
          <w:sz w:val="24"/>
          <w:szCs w:val="24"/>
          <w:lang w:eastAsia="en-AU"/>
        </w:rPr>
        <w:t>is necessary for the purposes of: enforcing the criminal law and laws imposing pecuniary penalties; assisting the enforcement of the criminal laws in force in a foreign country; protecting the public revenue; or safeguarding national security.</w:t>
      </w:r>
    </w:p>
    <w:p w14:paraId="5DA35AD9" w14:textId="2D5DDB84" w:rsidR="00A2712D" w:rsidRPr="00261CDF" w:rsidRDefault="001D6888" w:rsidP="00A2712D">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w:t>
      </w:r>
      <w:r w:rsidR="00A2712D">
        <w:rPr>
          <w:rFonts w:ascii="Times New Roman" w:eastAsia="Times New Roman" w:hAnsi="Times New Roman" w:cs="Times New Roman"/>
          <w:color w:val="000000"/>
          <w:sz w:val="24"/>
          <w:szCs w:val="24"/>
          <w:lang w:eastAsia="en-AU"/>
        </w:rPr>
        <w:t xml:space="preserve"> r</w:t>
      </w:r>
      <w:r w:rsidR="00A2712D" w:rsidRPr="00261CDF">
        <w:rPr>
          <w:rFonts w:ascii="Times New Roman" w:eastAsia="Times New Roman" w:hAnsi="Times New Roman" w:cs="Times New Roman"/>
          <w:color w:val="000000"/>
          <w:sz w:val="24"/>
          <w:szCs w:val="24"/>
          <w:lang w:eastAsia="en-AU"/>
        </w:rPr>
        <w:t>egulatory arrangements for prepaid mobile carriage services (prepaid mobile services) have been in place since 1997. The requirements were put in place to inhibit the use of anonymous prepaid mobile services, so that law enforcement and national security agencies can gain accurate information and evidence about users, should they need to do so.</w:t>
      </w:r>
    </w:p>
    <w:p w14:paraId="12E0DBD0" w14:textId="77777777" w:rsidR="00AB043D" w:rsidRPr="00261CDF" w:rsidRDefault="00AB043D" w:rsidP="00116173">
      <w:pPr>
        <w:shd w:val="clear" w:color="auto" w:fill="FFFFFF"/>
        <w:spacing w:after="240" w:line="240" w:lineRule="auto"/>
        <w:rPr>
          <w:rFonts w:ascii="Times New Roman" w:eastAsia="Times New Roman" w:hAnsi="Times New Roman" w:cs="Times New Roman"/>
          <w:color w:val="000000"/>
          <w:sz w:val="24"/>
          <w:szCs w:val="24"/>
          <w:lang w:eastAsia="en-AU"/>
        </w:rPr>
      </w:pPr>
      <w:r w:rsidRPr="00261CDF">
        <w:rPr>
          <w:rFonts w:ascii="Times New Roman" w:eastAsia="Times New Roman" w:hAnsi="Times New Roman" w:cs="Times New Roman"/>
          <w:color w:val="000000"/>
          <w:sz w:val="24"/>
          <w:szCs w:val="24"/>
          <w:lang w:eastAsia="en-AU"/>
        </w:rPr>
        <w:lastRenderedPageBreak/>
        <w:t>This special regime for prepaid mobile carriage services has been put in place because there is no commercial driver for service providers to check the identity of prepaid customers. This is in contrast to the case of customers of post-paid telecommunications services where service providers have an incentive to undertake identity checks for credit management purposes. The identification information sought to be obtained from customers of prepaid mobile carriage services under this Part is thus already generally held by service providers in relation to customers of post-paid carriage services.</w:t>
      </w:r>
    </w:p>
    <w:p w14:paraId="594EC8BE" w14:textId="531E6378" w:rsidR="00A150E9" w:rsidRPr="001B66BB" w:rsidRDefault="00134004" w:rsidP="001B66BB">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provisions under </w:t>
      </w:r>
      <w:r w:rsidR="00AB043D" w:rsidRPr="00261CDF">
        <w:rPr>
          <w:rFonts w:ascii="Times New Roman" w:eastAsia="Times New Roman" w:hAnsi="Times New Roman" w:cs="Times New Roman"/>
          <w:color w:val="000000"/>
          <w:sz w:val="24"/>
          <w:szCs w:val="24"/>
          <w:lang w:eastAsia="en-AU"/>
        </w:rPr>
        <w:t xml:space="preserve">Part 2 aim to assist law enforcement and national security agencies in identifying customers of prepaid mobile services for the purposes of their </w:t>
      </w:r>
      <w:r w:rsidR="00A150E9">
        <w:rPr>
          <w:rFonts w:ascii="Times New Roman" w:eastAsia="Times New Roman" w:hAnsi="Times New Roman" w:cs="Times New Roman"/>
          <w:color w:val="000000"/>
          <w:sz w:val="24"/>
          <w:szCs w:val="24"/>
          <w:lang w:eastAsia="en-AU"/>
        </w:rPr>
        <w:t>investigations</w:t>
      </w:r>
      <w:r w:rsidR="001B66BB">
        <w:rPr>
          <w:rFonts w:ascii="Times New Roman" w:eastAsia="Times New Roman" w:hAnsi="Times New Roman" w:cs="Times New Roman"/>
          <w:color w:val="000000"/>
          <w:sz w:val="24"/>
          <w:szCs w:val="24"/>
          <w:lang w:eastAsia="en-AU"/>
        </w:rPr>
        <w:t>. C</w:t>
      </w:r>
      <w:r w:rsidR="00AB043D" w:rsidRPr="00A150E9">
        <w:rPr>
          <w:rFonts w:ascii="Times New Roman" w:hAnsi="Times New Roman"/>
          <w:sz w:val="24"/>
          <w:szCs w:val="24"/>
        </w:rPr>
        <w:t>arriage service pro</w:t>
      </w:r>
      <w:r w:rsidR="001B66BB">
        <w:rPr>
          <w:rFonts w:ascii="Times New Roman" w:hAnsi="Times New Roman"/>
          <w:sz w:val="24"/>
          <w:szCs w:val="24"/>
        </w:rPr>
        <w:t xml:space="preserve">viders (CSPs) can only </w:t>
      </w:r>
      <w:r w:rsidR="00AB043D" w:rsidRPr="001B66BB">
        <w:rPr>
          <w:rFonts w:ascii="Times New Roman" w:hAnsi="Times New Roman"/>
          <w:sz w:val="24"/>
          <w:szCs w:val="24"/>
        </w:rPr>
        <w:t>obtain the minimum amount of information that is reasonably necessary to assi</w:t>
      </w:r>
      <w:r w:rsidR="001B66BB">
        <w:rPr>
          <w:rFonts w:ascii="Times New Roman" w:hAnsi="Times New Roman"/>
          <w:sz w:val="24"/>
          <w:szCs w:val="24"/>
        </w:rPr>
        <w:t xml:space="preserve">st the relevant agencies and there are </w:t>
      </w:r>
      <w:r w:rsidR="00AB043D" w:rsidRPr="001B66BB">
        <w:rPr>
          <w:rFonts w:ascii="Times New Roman" w:hAnsi="Times New Roman"/>
          <w:sz w:val="24"/>
          <w:szCs w:val="24"/>
        </w:rPr>
        <w:t>restrictions on the collection, recording and copying of personal information in</w:t>
      </w:r>
      <w:r w:rsidR="001B66BB">
        <w:rPr>
          <w:rFonts w:ascii="Times New Roman" w:hAnsi="Times New Roman"/>
          <w:sz w:val="24"/>
          <w:szCs w:val="24"/>
        </w:rPr>
        <w:t xml:space="preserve"> the identity-checking process. CSPs need to advise customers of the effect of a service provider determination.</w:t>
      </w:r>
    </w:p>
    <w:p w14:paraId="2B4DFE73" w14:textId="0F9DA210" w:rsidR="00770462" w:rsidRDefault="001D30A5" w:rsidP="008343C3">
      <w:pPr>
        <w:shd w:val="clear" w:color="auto" w:fill="FFFFFF"/>
        <w:spacing w:after="120" w:line="240" w:lineRule="auto"/>
        <w:rPr>
          <w:rFonts w:ascii="Times New Roman" w:eastAsia="Times New Roman" w:hAnsi="Times New Roman" w:cs="Times New Roman"/>
          <w:b/>
          <w:color w:val="000000"/>
          <w:sz w:val="24"/>
          <w:szCs w:val="24"/>
          <w:lang w:eastAsia="en-AU"/>
        </w:rPr>
      </w:pPr>
      <w:r w:rsidRPr="00621B91">
        <w:rPr>
          <w:rFonts w:ascii="Times New Roman" w:eastAsia="Times New Roman" w:hAnsi="Times New Roman" w:cs="Times New Roman"/>
          <w:b/>
          <w:color w:val="000000"/>
          <w:sz w:val="24"/>
          <w:szCs w:val="24"/>
          <w:lang w:eastAsia="en-AU"/>
        </w:rPr>
        <w:t>Part 4</w:t>
      </w:r>
      <w:r w:rsidR="008343C3">
        <w:rPr>
          <w:rFonts w:ascii="Times New Roman" w:eastAsia="Times New Roman" w:hAnsi="Times New Roman" w:cs="Times New Roman"/>
          <w:b/>
          <w:color w:val="000000"/>
          <w:sz w:val="24"/>
          <w:szCs w:val="24"/>
          <w:lang w:eastAsia="en-AU"/>
        </w:rPr>
        <w:t xml:space="preserve"> </w:t>
      </w:r>
      <w:r w:rsidR="008324DC">
        <w:rPr>
          <w:rFonts w:ascii="Times New Roman" w:eastAsia="Times New Roman" w:hAnsi="Times New Roman" w:cs="Times New Roman"/>
          <w:b/>
          <w:color w:val="000000"/>
          <w:sz w:val="24"/>
          <w:szCs w:val="24"/>
          <w:lang w:eastAsia="en-AU"/>
        </w:rPr>
        <w:t>–</w:t>
      </w:r>
      <w:r w:rsidR="008343C3">
        <w:rPr>
          <w:rFonts w:ascii="Times New Roman" w:eastAsia="Times New Roman" w:hAnsi="Times New Roman" w:cs="Times New Roman"/>
          <w:b/>
          <w:color w:val="000000"/>
          <w:sz w:val="24"/>
          <w:szCs w:val="24"/>
          <w:lang w:eastAsia="en-AU"/>
        </w:rPr>
        <w:t xml:space="preserve"> </w:t>
      </w:r>
      <w:r w:rsidR="00A2712D" w:rsidRPr="00621B91">
        <w:rPr>
          <w:rFonts w:ascii="Times New Roman" w:eastAsia="Times New Roman" w:hAnsi="Times New Roman" w:cs="Times New Roman"/>
          <w:b/>
          <w:color w:val="000000"/>
          <w:sz w:val="24"/>
          <w:szCs w:val="24"/>
          <w:lang w:eastAsia="en-AU"/>
        </w:rPr>
        <w:t xml:space="preserve">Division 2 </w:t>
      </w:r>
      <w:r w:rsidR="008324DC">
        <w:rPr>
          <w:rFonts w:ascii="Times New Roman" w:eastAsia="Times New Roman" w:hAnsi="Times New Roman" w:cs="Times New Roman"/>
          <w:b/>
          <w:color w:val="000000"/>
          <w:sz w:val="24"/>
          <w:szCs w:val="24"/>
          <w:lang w:eastAsia="en-AU"/>
        </w:rPr>
        <w:t>–</w:t>
      </w:r>
      <w:r w:rsidR="008343C3">
        <w:rPr>
          <w:rFonts w:ascii="Times New Roman" w:eastAsia="Times New Roman" w:hAnsi="Times New Roman" w:cs="Times New Roman"/>
          <w:b/>
          <w:color w:val="000000"/>
          <w:sz w:val="24"/>
          <w:szCs w:val="24"/>
          <w:lang w:eastAsia="en-AU"/>
        </w:rPr>
        <w:t xml:space="preserve"> Research Authorisations</w:t>
      </w:r>
    </w:p>
    <w:p w14:paraId="2A13AFB6" w14:textId="11EF7AFD" w:rsidR="00A2712D" w:rsidRPr="00AF2FBA" w:rsidRDefault="00A2712D" w:rsidP="00A2712D">
      <w:pPr>
        <w:shd w:val="clear" w:color="auto" w:fill="FFFFFF"/>
        <w:spacing w:after="240" w:line="240" w:lineRule="auto"/>
        <w:rPr>
          <w:rFonts w:ascii="Helvetica Neue" w:eastAsia="Times New Roman" w:hAnsi="Helvetica Neue" w:cs="Times New Roman"/>
          <w:sz w:val="19"/>
          <w:szCs w:val="19"/>
          <w:lang w:val="en-US" w:eastAsia="en-AU"/>
        </w:rPr>
      </w:pPr>
      <w:r w:rsidRPr="00AF2FBA">
        <w:rPr>
          <w:rFonts w:ascii="Helvetica Neue" w:eastAsia="Times New Roman" w:hAnsi="Helvetica Neue" w:cs="Times New Roman"/>
          <w:sz w:val="24"/>
          <w:szCs w:val="24"/>
          <w:lang w:eastAsia="en-AU"/>
        </w:rPr>
        <w:t xml:space="preserve">The Integrated Public Number Database (IPND) is maintained by Telstra Corporation Limited (Telstra) under </w:t>
      </w:r>
      <w:r w:rsidR="00F93983">
        <w:rPr>
          <w:rFonts w:ascii="Helvetica Neue" w:eastAsia="Times New Roman" w:hAnsi="Helvetica Neue" w:cs="Times New Roman"/>
          <w:sz w:val="24"/>
          <w:szCs w:val="24"/>
          <w:lang w:eastAsia="en-AU"/>
        </w:rPr>
        <w:t xml:space="preserve">section </w:t>
      </w:r>
      <w:r w:rsidRPr="00AF2FBA">
        <w:rPr>
          <w:rFonts w:ascii="Helvetica Neue" w:eastAsia="Times New Roman" w:hAnsi="Helvetica Neue" w:cs="Times New Roman"/>
          <w:sz w:val="24"/>
          <w:szCs w:val="24"/>
          <w:lang w:eastAsia="en-AU"/>
        </w:rPr>
        <w:t xml:space="preserve">10 of the </w:t>
      </w:r>
      <w:r w:rsidRPr="00AF2FBA">
        <w:rPr>
          <w:rFonts w:ascii="Helvetica Neue" w:eastAsia="Times New Roman" w:hAnsi="Helvetica Neue" w:cs="Times New Roman"/>
          <w:i/>
          <w:iCs/>
          <w:sz w:val="24"/>
          <w:szCs w:val="24"/>
          <w:lang w:eastAsia="en-AU"/>
        </w:rPr>
        <w:t xml:space="preserve">Carrier Licence Conditions (Telstra Corporation Limited) Declaration </w:t>
      </w:r>
      <w:r w:rsidR="00F93983">
        <w:rPr>
          <w:rFonts w:ascii="Helvetica Neue" w:eastAsia="Times New Roman" w:hAnsi="Helvetica Neue" w:cs="Times New Roman"/>
          <w:i/>
          <w:iCs/>
          <w:sz w:val="24"/>
          <w:szCs w:val="24"/>
          <w:lang w:eastAsia="en-AU"/>
        </w:rPr>
        <w:t>2019</w:t>
      </w:r>
      <w:r w:rsidRPr="00AF2FBA">
        <w:rPr>
          <w:rFonts w:ascii="Helvetica Neue" w:eastAsia="Times New Roman" w:hAnsi="Helvetica Neue" w:cs="Times New Roman"/>
          <w:sz w:val="24"/>
          <w:szCs w:val="24"/>
          <w:lang w:eastAsia="en-AU"/>
        </w:rPr>
        <w:t>. The IPND is a centralised database containing records of Australian public telephone numbers and associated customer details.</w:t>
      </w:r>
    </w:p>
    <w:p w14:paraId="0DA7ADF8" w14:textId="2C37B2C7" w:rsidR="00A2712D" w:rsidRPr="00AF2FBA" w:rsidRDefault="00A2712D" w:rsidP="00A2712D">
      <w:pPr>
        <w:shd w:val="clear" w:color="auto" w:fill="FFFFFF"/>
        <w:spacing w:after="240" w:line="240" w:lineRule="auto"/>
        <w:rPr>
          <w:rFonts w:ascii="Helvetica Neue" w:eastAsia="Times New Roman" w:hAnsi="Helvetica Neue" w:cs="Times New Roman"/>
          <w:sz w:val="19"/>
          <w:szCs w:val="19"/>
          <w:lang w:val="en-US" w:eastAsia="en-AU"/>
        </w:rPr>
      </w:pPr>
      <w:r w:rsidRPr="00AF2FBA">
        <w:rPr>
          <w:rFonts w:ascii="Helvetica Neue" w:eastAsia="Times New Roman" w:hAnsi="Helvetica Neue" w:cs="Times New Roman"/>
          <w:sz w:val="24"/>
          <w:szCs w:val="24"/>
          <w:lang w:eastAsia="en-AU"/>
        </w:rPr>
        <w:lastRenderedPageBreak/>
        <w:t xml:space="preserve">The information </w:t>
      </w:r>
      <w:r w:rsidR="00134004">
        <w:rPr>
          <w:rFonts w:ascii="Helvetica Neue" w:eastAsia="Times New Roman" w:hAnsi="Helvetica Neue" w:cs="Times New Roman"/>
          <w:sz w:val="24"/>
          <w:szCs w:val="24"/>
          <w:lang w:eastAsia="en-AU"/>
        </w:rPr>
        <w:t xml:space="preserve">and data </w:t>
      </w:r>
      <w:r w:rsidRPr="00AF2FBA">
        <w:rPr>
          <w:rFonts w:ascii="Helvetica Neue" w:eastAsia="Times New Roman" w:hAnsi="Helvetica Neue" w:cs="Times New Roman"/>
          <w:sz w:val="24"/>
          <w:szCs w:val="24"/>
          <w:lang w:eastAsia="en-AU"/>
        </w:rPr>
        <w:t>in the IPND includes customer name, address, phone number, whether the service is fixed or mobile, whether the service is listed or unlisted, and details about the telecommunications company providing the customer with the service.</w:t>
      </w:r>
      <w:r w:rsidR="00134004">
        <w:rPr>
          <w:rFonts w:ascii="Helvetica Neue" w:eastAsia="Times New Roman" w:hAnsi="Helvetica Neue" w:cs="Times New Roman"/>
          <w:sz w:val="24"/>
          <w:szCs w:val="24"/>
          <w:lang w:eastAsia="en-AU"/>
        </w:rPr>
        <w:t xml:space="preserve"> </w:t>
      </w:r>
      <w:r w:rsidRPr="00AF2FBA">
        <w:rPr>
          <w:rFonts w:ascii="Helvetica Neue" w:eastAsia="Times New Roman" w:hAnsi="Helvetica Neue" w:cs="Times New Roman"/>
          <w:sz w:val="24"/>
          <w:szCs w:val="24"/>
          <w:lang w:eastAsia="en-AU"/>
        </w:rPr>
        <w:t xml:space="preserve">The IPND may only be accessed from Telstra for approved purposes as specified in Telstra’s Carrier Licence Conditions, or as allowed by Part 13 of the Act. </w:t>
      </w:r>
    </w:p>
    <w:p w14:paraId="463D78EF" w14:textId="2DEC30A4" w:rsidR="00A2712D" w:rsidRPr="00AF2FBA" w:rsidRDefault="00F93983" w:rsidP="00F93983">
      <w:pPr>
        <w:shd w:val="clear" w:color="auto" w:fill="FFFFFF"/>
        <w:spacing w:after="240"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sz w:val="24"/>
          <w:szCs w:val="24"/>
          <w:lang w:eastAsia="en-AU"/>
        </w:rPr>
        <w:t xml:space="preserve">Part 4 of the </w:t>
      </w:r>
      <w:r w:rsidRPr="00F93983">
        <w:rPr>
          <w:rFonts w:ascii="Helvetica Neue" w:eastAsia="Times New Roman" w:hAnsi="Helvetica Neue" w:cs="Times New Roman"/>
          <w:sz w:val="24"/>
          <w:szCs w:val="24"/>
          <w:lang w:eastAsia="en-AU"/>
        </w:rPr>
        <w:t xml:space="preserve">Regulations </w:t>
      </w:r>
      <w:r>
        <w:rPr>
          <w:rFonts w:ascii="Helvetica Neue" w:eastAsia="Times New Roman" w:hAnsi="Helvetica Neue" w:cs="Times New Roman"/>
          <w:sz w:val="24"/>
          <w:szCs w:val="24"/>
          <w:lang w:eastAsia="en-AU"/>
        </w:rPr>
        <w:t xml:space="preserve">specify an exception to the disclosure and use </w:t>
      </w:r>
      <w:r w:rsidR="00134004">
        <w:rPr>
          <w:rFonts w:ascii="Helvetica Neue" w:eastAsia="Times New Roman" w:hAnsi="Helvetica Neue" w:cs="Times New Roman"/>
          <w:sz w:val="24"/>
          <w:szCs w:val="24"/>
          <w:lang w:eastAsia="en-AU"/>
        </w:rPr>
        <w:t>prohibitions</w:t>
      </w:r>
      <w:r>
        <w:rPr>
          <w:rFonts w:ascii="Helvetica Neue" w:eastAsia="Times New Roman" w:hAnsi="Helvetica Neue" w:cs="Times New Roman"/>
          <w:sz w:val="24"/>
          <w:szCs w:val="24"/>
          <w:lang w:eastAsia="en-AU"/>
        </w:rPr>
        <w:t xml:space="preserve"> under Part 13 </w:t>
      </w:r>
      <w:r w:rsidR="001D30A5">
        <w:rPr>
          <w:rFonts w:ascii="Helvetica Neue" w:eastAsia="Times New Roman" w:hAnsi="Helvetica Neue" w:cs="Times New Roman"/>
          <w:sz w:val="24"/>
          <w:szCs w:val="24"/>
          <w:lang w:eastAsia="en-AU"/>
        </w:rPr>
        <w:t xml:space="preserve">of the Act, </w:t>
      </w:r>
      <w:r>
        <w:rPr>
          <w:rFonts w:ascii="Helvetica Neue" w:eastAsia="Times New Roman" w:hAnsi="Helvetica Neue" w:cs="Times New Roman"/>
          <w:sz w:val="24"/>
          <w:szCs w:val="24"/>
          <w:lang w:eastAsia="en-AU"/>
        </w:rPr>
        <w:t xml:space="preserve">and </w:t>
      </w:r>
      <w:r w:rsidRPr="00F93983">
        <w:rPr>
          <w:rFonts w:ascii="Helvetica Neue" w:eastAsia="Times New Roman" w:hAnsi="Helvetica Neue" w:cs="Times New Roman"/>
          <w:sz w:val="24"/>
          <w:szCs w:val="24"/>
          <w:lang w:eastAsia="en-AU"/>
        </w:rPr>
        <w:t>allow research entities to access unlisted mobile phone numbers and their associated postcodes located in the IPND for specific research purposes as prescribed in the research entities research authorisation in order to better target research</w:t>
      </w:r>
      <w:r>
        <w:rPr>
          <w:rFonts w:ascii="Helvetica Neue" w:eastAsia="Times New Roman" w:hAnsi="Helvetica Neue" w:cs="Times New Roman"/>
          <w:sz w:val="24"/>
          <w:szCs w:val="24"/>
          <w:lang w:eastAsia="en-AU"/>
        </w:rPr>
        <w:t xml:space="preserve">. </w:t>
      </w:r>
      <w:r w:rsidRPr="00F93983">
        <w:rPr>
          <w:rFonts w:ascii="Helvetica Neue" w:eastAsia="Times New Roman" w:hAnsi="Helvetica Neue" w:cs="Times New Roman"/>
          <w:sz w:val="24"/>
          <w:szCs w:val="24"/>
          <w:lang w:eastAsia="en-AU"/>
        </w:rPr>
        <w:t xml:space="preserve">Privacy protections similar to those that apply in relation to listed numbers apply to mobile number information. </w:t>
      </w:r>
    </w:p>
    <w:p w14:paraId="58B617DF" w14:textId="067801F4" w:rsidR="00134004" w:rsidRDefault="00042DA0" w:rsidP="00134004">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en-AU"/>
        </w:rPr>
      </w:pPr>
      <w:r>
        <w:rPr>
          <w:rFonts w:ascii="Times New Roman" w:eastAsia="Times New Roman" w:hAnsi="Times New Roman" w:cs="Times New Roman"/>
          <w:color w:val="000000"/>
          <w:sz w:val="24"/>
          <w:szCs w:val="24"/>
          <w:shd w:val="clear" w:color="auto" w:fill="FFFFFF"/>
          <w:lang w:eastAsia="en-AU"/>
        </w:rPr>
        <w:t xml:space="preserve">Subdivision G of </w:t>
      </w:r>
      <w:r w:rsidR="00134004">
        <w:rPr>
          <w:rFonts w:ascii="Times New Roman" w:eastAsia="Times New Roman" w:hAnsi="Times New Roman" w:cs="Times New Roman"/>
          <w:color w:val="000000"/>
          <w:sz w:val="24"/>
          <w:szCs w:val="24"/>
          <w:shd w:val="clear" w:color="auto" w:fill="FFFFFF"/>
          <w:lang w:eastAsia="en-AU"/>
        </w:rPr>
        <w:t xml:space="preserve">Part 4 </w:t>
      </w:r>
      <w:r>
        <w:rPr>
          <w:rFonts w:ascii="Times New Roman" w:eastAsia="Times New Roman" w:hAnsi="Times New Roman" w:cs="Times New Roman"/>
          <w:color w:val="000000"/>
          <w:sz w:val="24"/>
          <w:szCs w:val="24"/>
          <w:shd w:val="clear" w:color="auto" w:fill="FFFFFF"/>
          <w:lang w:eastAsia="en-AU"/>
        </w:rPr>
        <w:t xml:space="preserve">contains </w:t>
      </w:r>
      <w:r w:rsidR="00134004">
        <w:rPr>
          <w:rFonts w:ascii="Times New Roman" w:eastAsia="Times New Roman" w:hAnsi="Times New Roman" w:cs="Times New Roman"/>
          <w:color w:val="000000"/>
          <w:sz w:val="24"/>
          <w:szCs w:val="24"/>
          <w:shd w:val="clear" w:color="auto" w:fill="FFFFFF"/>
          <w:lang w:eastAsia="en-AU"/>
        </w:rPr>
        <w:t xml:space="preserve">four offence provisions of strict liability. Under </w:t>
      </w:r>
      <w:r w:rsidR="00134004" w:rsidRPr="009A3713">
        <w:rPr>
          <w:rFonts w:ascii="Times New Roman" w:eastAsia="Times New Roman" w:hAnsi="Times New Roman" w:cs="Times New Roman"/>
          <w:color w:val="000000"/>
          <w:sz w:val="24"/>
          <w:szCs w:val="24"/>
          <w:shd w:val="clear" w:color="auto" w:fill="FFFFFF"/>
          <w:lang w:eastAsia="en-AU"/>
        </w:rPr>
        <w:t>subsection 4</w:t>
      </w:r>
      <w:r>
        <w:rPr>
          <w:rFonts w:ascii="Times New Roman" w:eastAsia="Times New Roman" w:hAnsi="Times New Roman" w:cs="Times New Roman"/>
          <w:color w:val="000000"/>
          <w:sz w:val="24"/>
          <w:szCs w:val="24"/>
          <w:shd w:val="clear" w:color="auto" w:fill="FFFFFF"/>
          <w:lang w:eastAsia="en-AU"/>
        </w:rPr>
        <w:t>6</w:t>
      </w:r>
      <w:r w:rsidR="00134004" w:rsidRPr="009A3713">
        <w:rPr>
          <w:rFonts w:ascii="Times New Roman" w:eastAsia="Times New Roman" w:hAnsi="Times New Roman" w:cs="Times New Roman"/>
          <w:color w:val="000000"/>
          <w:sz w:val="24"/>
          <w:szCs w:val="24"/>
          <w:shd w:val="clear" w:color="auto" w:fill="FFFFFF"/>
          <w:lang w:eastAsia="en-AU"/>
        </w:rPr>
        <w:t>(1)</w:t>
      </w:r>
      <w:r w:rsidR="00F37134">
        <w:rPr>
          <w:rFonts w:ascii="Times New Roman" w:eastAsia="Times New Roman" w:hAnsi="Times New Roman" w:cs="Times New Roman"/>
          <w:color w:val="000000"/>
          <w:sz w:val="24"/>
          <w:szCs w:val="24"/>
          <w:shd w:val="clear" w:color="auto" w:fill="FFFFFF"/>
          <w:lang w:eastAsia="en-AU"/>
        </w:rPr>
        <w:t xml:space="preserve"> of the R</w:t>
      </w:r>
      <w:r w:rsidR="00134004">
        <w:rPr>
          <w:rFonts w:ascii="Times New Roman" w:eastAsia="Times New Roman" w:hAnsi="Times New Roman" w:cs="Times New Roman"/>
          <w:color w:val="000000"/>
          <w:sz w:val="24"/>
          <w:szCs w:val="24"/>
          <w:shd w:val="clear" w:color="auto" w:fill="FFFFFF"/>
          <w:lang w:eastAsia="en-AU"/>
        </w:rPr>
        <w:t xml:space="preserve">egulations, an offence applies </w:t>
      </w:r>
      <w:r w:rsidR="00134004" w:rsidRPr="009A3713">
        <w:rPr>
          <w:rFonts w:ascii="Times New Roman" w:eastAsia="Times New Roman" w:hAnsi="Times New Roman" w:cs="Times New Roman"/>
          <w:color w:val="000000"/>
          <w:sz w:val="24"/>
          <w:szCs w:val="24"/>
          <w:shd w:val="clear" w:color="auto" w:fill="FFFFFF"/>
          <w:lang w:eastAsia="en-AU"/>
        </w:rPr>
        <w:t>if an authorised research entity covered by a research authorisation contravenes any condition of the authorisation other than section 2</w:t>
      </w:r>
      <w:r>
        <w:rPr>
          <w:rFonts w:ascii="Times New Roman" w:eastAsia="Times New Roman" w:hAnsi="Times New Roman" w:cs="Times New Roman"/>
          <w:color w:val="000000"/>
          <w:sz w:val="24"/>
          <w:szCs w:val="24"/>
          <w:shd w:val="clear" w:color="auto" w:fill="FFFFFF"/>
          <w:lang w:eastAsia="en-AU"/>
        </w:rPr>
        <w:t>9</w:t>
      </w:r>
      <w:r w:rsidR="00134004" w:rsidRPr="009A3713">
        <w:rPr>
          <w:rFonts w:ascii="Times New Roman" w:eastAsia="Times New Roman" w:hAnsi="Times New Roman" w:cs="Times New Roman"/>
          <w:color w:val="000000"/>
          <w:sz w:val="24"/>
          <w:szCs w:val="24"/>
          <w:shd w:val="clear" w:color="auto" w:fill="FFFFFF"/>
          <w:lang w:eastAsia="en-AU"/>
        </w:rPr>
        <w:t xml:space="preserve">, which makes compliance with the </w:t>
      </w:r>
      <w:r w:rsidR="00134004" w:rsidRPr="00F37134">
        <w:rPr>
          <w:rFonts w:ascii="Times New Roman" w:eastAsia="Times New Roman" w:hAnsi="Times New Roman" w:cs="Times New Roman"/>
          <w:color w:val="000000"/>
          <w:sz w:val="24"/>
          <w:szCs w:val="24"/>
          <w:shd w:val="clear" w:color="auto" w:fill="FFFFFF"/>
          <w:lang w:eastAsia="en-AU"/>
        </w:rPr>
        <w:t xml:space="preserve">Privacy Act </w:t>
      </w:r>
      <w:r w:rsidR="00134004" w:rsidRPr="009A3713">
        <w:rPr>
          <w:rFonts w:ascii="Times New Roman" w:eastAsia="Times New Roman" w:hAnsi="Times New Roman" w:cs="Times New Roman"/>
          <w:color w:val="000000"/>
          <w:sz w:val="24"/>
          <w:szCs w:val="24"/>
          <w:shd w:val="clear" w:color="auto" w:fill="FFFFFF"/>
          <w:lang w:eastAsia="en-AU"/>
        </w:rPr>
        <w:t>a condition of an authorisation</w:t>
      </w:r>
      <w:r w:rsidR="00134004">
        <w:rPr>
          <w:rFonts w:ascii="Times New Roman" w:eastAsia="Times New Roman" w:hAnsi="Times New Roman" w:cs="Times New Roman"/>
          <w:color w:val="000000"/>
          <w:sz w:val="24"/>
          <w:szCs w:val="24"/>
          <w:shd w:val="clear" w:color="auto" w:fill="FFFFFF"/>
          <w:lang w:eastAsia="en-AU"/>
        </w:rPr>
        <w:t xml:space="preserve">. </w:t>
      </w:r>
    </w:p>
    <w:p w14:paraId="6BCEC7C8" w14:textId="797830DF" w:rsidR="00134004" w:rsidRDefault="00134004" w:rsidP="00134004">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en-AU"/>
        </w:rPr>
      </w:pPr>
      <w:r w:rsidRPr="009A3713">
        <w:rPr>
          <w:rFonts w:ascii="Times New Roman" w:eastAsia="Times New Roman" w:hAnsi="Times New Roman" w:cs="Times New Roman"/>
          <w:color w:val="000000"/>
          <w:sz w:val="24"/>
          <w:szCs w:val="24"/>
          <w:shd w:val="clear" w:color="auto" w:fill="FFFFFF"/>
          <w:lang w:eastAsia="en-AU"/>
        </w:rPr>
        <w:t>The offence in subsection 4</w:t>
      </w:r>
      <w:r w:rsidR="00042DA0">
        <w:rPr>
          <w:rFonts w:ascii="Times New Roman" w:eastAsia="Times New Roman" w:hAnsi="Times New Roman" w:cs="Times New Roman"/>
          <w:color w:val="000000"/>
          <w:sz w:val="24"/>
          <w:szCs w:val="24"/>
          <w:shd w:val="clear" w:color="auto" w:fill="FFFFFF"/>
          <w:lang w:eastAsia="en-AU"/>
        </w:rPr>
        <w:t>6</w:t>
      </w:r>
      <w:r w:rsidRPr="009A3713">
        <w:rPr>
          <w:rFonts w:ascii="Times New Roman" w:eastAsia="Times New Roman" w:hAnsi="Times New Roman" w:cs="Times New Roman"/>
          <w:color w:val="000000"/>
          <w:sz w:val="24"/>
          <w:szCs w:val="24"/>
          <w:shd w:val="clear" w:color="auto" w:fill="FFFFFF"/>
          <w:lang w:eastAsia="en-AU"/>
        </w:rPr>
        <w:t>(2) is triggered where an authorised resear</w:t>
      </w:r>
      <w:r w:rsidR="00042DA0">
        <w:rPr>
          <w:rFonts w:ascii="Times New Roman" w:eastAsia="Times New Roman" w:hAnsi="Times New Roman" w:cs="Times New Roman"/>
          <w:color w:val="000000"/>
          <w:sz w:val="24"/>
          <w:szCs w:val="24"/>
          <w:shd w:val="clear" w:color="auto" w:fill="FFFFFF"/>
          <w:lang w:eastAsia="en-AU"/>
        </w:rPr>
        <w:t>ch entity contravenes section 29</w:t>
      </w:r>
      <w:r w:rsidR="00854854">
        <w:rPr>
          <w:rFonts w:ascii="Times New Roman" w:eastAsia="Times New Roman" w:hAnsi="Times New Roman" w:cs="Times New Roman"/>
          <w:color w:val="000000"/>
          <w:sz w:val="24"/>
          <w:szCs w:val="24"/>
          <w:shd w:val="clear" w:color="auto" w:fill="FFFFFF"/>
          <w:lang w:eastAsia="en-AU"/>
        </w:rPr>
        <w:t xml:space="preserve"> -</w:t>
      </w:r>
      <w:r w:rsidRPr="009A3713">
        <w:rPr>
          <w:rFonts w:ascii="Times New Roman" w:eastAsia="Times New Roman" w:hAnsi="Times New Roman" w:cs="Times New Roman"/>
          <w:color w:val="000000"/>
          <w:sz w:val="24"/>
          <w:szCs w:val="24"/>
          <w:shd w:val="clear" w:color="auto" w:fill="FFFFFF"/>
          <w:lang w:eastAsia="en-AU"/>
        </w:rPr>
        <w:t xml:space="preserve"> by breaching an </w:t>
      </w:r>
      <w:r w:rsidR="0082471A">
        <w:rPr>
          <w:rFonts w:ascii="Times New Roman" w:eastAsia="Times New Roman" w:hAnsi="Times New Roman" w:cs="Times New Roman"/>
          <w:color w:val="000000"/>
          <w:sz w:val="24"/>
          <w:szCs w:val="24"/>
          <w:shd w:val="clear" w:color="auto" w:fill="FFFFFF"/>
          <w:lang w:eastAsia="en-AU"/>
        </w:rPr>
        <w:t>APP</w:t>
      </w:r>
      <w:r w:rsidRPr="009A3713">
        <w:rPr>
          <w:rFonts w:ascii="Times New Roman" w:eastAsia="Times New Roman" w:hAnsi="Times New Roman" w:cs="Times New Roman"/>
          <w:color w:val="000000"/>
          <w:sz w:val="24"/>
          <w:szCs w:val="24"/>
          <w:shd w:val="clear" w:color="auto" w:fill="FFFFFF"/>
          <w:lang w:eastAsia="en-AU"/>
        </w:rPr>
        <w:t xml:space="preserve"> or registered APP code - and that entity is either a registered political party or the act done to contravene section 28 is an exempt act under section 7C of the Privacy Act. This provision ensures that there are consequences for a breach of the </w:t>
      </w:r>
      <w:r w:rsidR="007670B0">
        <w:rPr>
          <w:rFonts w:ascii="Times New Roman" w:eastAsia="Times New Roman" w:hAnsi="Times New Roman" w:cs="Times New Roman"/>
          <w:color w:val="000000"/>
          <w:sz w:val="24"/>
          <w:szCs w:val="24"/>
          <w:shd w:val="clear" w:color="auto" w:fill="FFFFFF"/>
          <w:lang w:eastAsia="en-AU"/>
        </w:rPr>
        <w:t>APP</w:t>
      </w:r>
      <w:r w:rsidRPr="009A3713">
        <w:rPr>
          <w:rFonts w:ascii="Times New Roman" w:eastAsia="Times New Roman" w:hAnsi="Times New Roman" w:cs="Times New Roman"/>
          <w:color w:val="000000"/>
          <w:sz w:val="24"/>
          <w:szCs w:val="24"/>
          <w:shd w:val="clear" w:color="auto" w:fill="FFFFFF"/>
          <w:lang w:eastAsia="en-AU"/>
        </w:rPr>
        <w:t>s by entities that are not typically covered by the Privacy Act.</w:t>
      </w:r>
      <w:r>
        <w:rPr>
          <w:rFonts w:ascii="Times New Roman" w:eastAsia="Times New Roman" w:hAnsi="Times New Roman" w:cs="Times New Roman"/>
          <w:color w:val="000000"/>
          <w:sz w:val="24"/>
          <w:szCs w:val="24"/>
          <w:shd w:val="clear" w:color="auto" w:fill="FFFFFF"/>
          <w:lang w:eastAsia="en-AU"/>
        </w:rPr>
        <w:t xml:space="preserve">  </w:t>
      </w:r>
    </w:p>
    <w:p w14:paraId="5F0EF31C" w14:textId="6260BBD7" w:rsidR="00134004" w:rsidRDefault="00134004" w:rsidP="00134004">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en-AU"/>
        </w:rPr>
      </w:pPr>
      <w:r w:rsidRPr="009A3713">
        <w:rPr>
          <w:rFonts w:ascii="Times New Roman" w:eastAsia="Times New Roman" w:hAnsi="Times New Roman" w:cs="Times New Roman"/>
          <w:color w:val="000000"/>
          <w:sz w:val="24"/>
          <w:szCs w:val="24"/>
          <w:shd w:val="clear" w:color="auto" w:fill="FFFFFF"/>
          <w:lang w:eastAsia="en-AU"/>
        </w:rPr>
        <w:lastRenderedPageBreak/>
        <w:t>The offence in subsection 4</w:t>
      </w:r>
      <w:r w:rsidR="00042DA0">
        <w:rPr>
          <w:rFonts w:ascii="Times New Roman" w:eastAsia="Times New Roman" w:hAnsi="Times New Roman" w:cs="Times New Roman"/>
          <w:color w:val="000000"/>
          <w:sz w:val="24"/>
          <w:szCs w:val="24"/>
          <w:shd w:val="clear" w:color="auto" w:fill="FFFFFF"/>
          <w:lang w:eastAsia="en-AU"/>
        </w:rPr>
        <w:t>6</w:t>
      </w:r>
      <w:r w:rsidRPr="009A3713">
        <w:rPr>
          <w:rFonts w:ascii="Times New Roman" w:eastAsia="Times New Roman" w:hAnsi="Times New Roman" w:cs="Times New Roman"/>
          <w:color w:val="000000"/>
          <w:sz w:val="24"/>
          <w:szCs w:val="24"/>
          <w:shd w:val="clear" w:color="auto" w:fill="FFFFFF"/>
          <w:lang w:eastAsia="en-AU"/>
        </w:rPr>
        <w:t xml:space="preserve">(3) </w:t>
      </w:r>
      <w:r>
        <w:rPr>
          <w:rFonts w:ascii="Times New Roman" w:eastAsia="Times New Roman" w:hAnsi="Times New Roman" w:cs="Times New Roman"/>
          <w:color w:val="000000"/>
          <w:sz w:val="24"/>
          <w:szCs w:val="24"/>
          <w:shd w:val="clear" w:color="auto" w:fill="FFFFFF"/>
          <w:lang w:eastAsia="en-AU"/>
        </w:rPr>
        <w:t xml:space="preserve">applies </w:t>
      </w:r>
      <w:r w:rsidRPr="009A3713">
        <w:rPr>
          <w:rFonts w:ascii="Times New Roman" w:eastAsia="Times New Roman" w:hAnsi="Times New Roman" w:cs="Times New Roman"/>
          <w:color w:val="000000"/>
          <w:sz w:val="24"/>
          <w:szCs w:val="24"/>
          <w:shd w:val="clear" w:color="auto" w:fill="FFFFFF"/>
          <w:lang w:eastAsia="en-AU"/>
        </w:rPr>
        <w:t xml:space="preserve">where a former research entity contravenes the use and disclosure provisions relating to authorised unlisted mobile number information in subsection </w:t>
      </w:r>
      <w:r w:rsidR="00042DA0">
        <w:rPr>
          <w:rFonts w:ascii="Times New Roman" w:eastAsia="Times New Roman" w:hAnsi="Times New Roman" w:cs="Times New Roman"/>
          <w:color w:val="000000"/>
          <w:sz w:val="24"/>
          <w:szCs w:val="24"/>
          <w:shd w:val="clear" w:color="auto" w:fill="FFFFFF"/>
          <w:lang w:eastAsia="en-AU"/>
        </w:rPr>
        <w:t>40</w:t>
      </w:r>
      <w:r w:rsidRPr="009A3713">
        <w:rPr>
          <w:rFonts w:ascii="Times New Roman" w:eastAsia="Times New Roman" w:hAnsi="Times New Roman" w:cs="Times New Roman"/>
          <w:color w:val="000000"/>
          <w:sz w:val="24"/>
          <w:szCs w:val="24"/>
          <w:shd w:val="clear" w:color="auto" w:fill="FFFFFF"/>
          <w:lang w:eastAsia="en-AU"/>
        </w:rPr>
        <w:t xml:space="preserve">(3) or (4). </w:t>
      </w:r>
      <w:r>
        <w:rPr>
          <w:rFonts w:ascii="Times New Roman" w:eastAsia="Times New Roman" w:hAnsi="Times New Roman" w:cs="Times New Roman"/>
          <w:color w:val="000000"/>
          <w:sz w:val="24"/>
          <w:szCs w:val="24"/>
          <w:shd w:val="clear" w:color="auto" w:fill="FFFFFF"/>
          <w:lang w:eastAsia="en-AU"/>
        </w:rPr>
        <w:t xml:space="preserve"> </w:t>
      </w:r>
    </w:p>
    <w:p w14:paraId="61DE1871" w14:textId="0C07815C" w:rsidR="00134004" w:rsidRDefault="00042DA0" w:rsidP="00134004">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en-AU"/>
        </w:rPr>
      </w:pPr>
      <w:r>
        <w:rPr>
          <w:rFonts w:ascii="Times New Roman" w:eastAsia="Times New Roman" w:hAnsi="Times New Roman" w:cs="Times New Roman"/>
          <w:color w:val="000000"/>
          <w:sz w:val="24"/>
          <w:szCs w:val="24"/>
          <w:shd w:val="clear" w:color="auto" w:fill="FFFFFF"/>
          <w:lang w:eastAsia="en-AU"/>
        </w:rPr>
        <w:t>The offence in subsection 46</w:t>
      </w:r>
      <w:r w:rsidR="00134004" w:rsidRPr="009A3713">
        <w:rPr>
          <w:rFonts w:ascii="Times New Roman" w:eastAsia="Times New Roman" w:hAnsi="Times New Roman" w:cs="Times New Roman"/>
          <w:color w:val="000000"/>
          <w:sz w:val="24"/>
          <w:szCs w:val="24"/>
          <w:shd w:val="clear" w:color="auto" w:fill="FFFFFF"/>
          <w:lang w:eastAsia="en-AU"/>
        </w:rPr>
        <w:t xml:space="preserve">(4) </w:t>
      </w:r>
      <w:r w:rsidR="00134004">
        <w:rPr>
          <w:rFonts w:ascii="Times New Roman" w:eastAsia="Times New Roman" w:hAnsi="Times New Roman" w:cs="Times New Roman"/>
          <w:color w:val="000000"/>
          <w:sz w:val="24"/>
          <w:szCs w:val="24"/>
          <w:shd w:val="clear" w:color="auto" w:fill="FFFFFF"/>
          <w:lang w:eastAsia="en-AU"/>
        </w:rPr>
        <w:t xml:space="preserve">applies </w:t>
      </w:r>
      <w:r w:rsidR="00134004" w:rsidRPr="009A3713">
        <w:rPr>
          <w:rFonts w:ascii="Times New Roman" w:eastAsia="Times New Roman" w:hAnsi="Times New Roman" w:cs="Times New Roman"/>
          <w:color w:val="000000"/>
          <w:sz w:val="24"/>
          <w:szCs w:val="24"/>
          <w:shd w:val="clear" w:color="auto" w:fill="FFFFFF"/>
          <w:lang w:eastAsia="en-AU"/>
        </w:rPr>
        <w:t>where a former research entity contravenes the use and disclosure provisions relating to research information in subsection 4</w:t>
      </w:r>
      <w:r>
        <w:rPr>
          <w:rFonts w:ascii="Times New Roman" w:eastAsia="Times New Roman" w:hAnsi="Times New Roman" w:cs="Times New Roman"/>
          <w:color w:val="000000"/>
          <w:sz w:val="24"/>
          <w:szCs w:val="24"/>
          <w:shd w:val="clear" w:color="auto" w:fill="FFFFFF"/>
          <w:lang w:eastAsia="en-AU"/>
        </w:rPr>
        <w:t>1</w:t>
      </w:r>
      <w:r w:rsidR="00134004" w:rsidRPr="009A3713">
        <w:rPr>
          <w:rFonts w:ascii="Times New Roman" w:eastAsia="Times New Roman" w:hAnsi="Times New Roman" w:cs="Times New Roman"/>
          <w:color w:val="000000"/>
          <w:sz w:val="24"/>
          <w:szCs w:val="24"/>
          <w:shd w:val="clear" w:color="auto" w:fill="FFFFFF"/>
          <w:lang w:eastAsia="en-AU"/>
        </w:rPr>
        <w:t xml:space="preserve">(2) or (3). </w:t>
      </w:r>
    </w:p>
    <w:p w14:paraId="6575B900" w14:textId="77777777" w:rsidR="00AB043D" w:rsidRPr="00A100D7" w:rsidRDefault="00AB043D" w:rsidP="00920C5A">
      <w:pPr>
        <w:shd w:val="clear" w:color="auto" w:fill="FFFFFF"/>
        <w:spacing w:after="120" w:line="240" w:lineRule="auto"/>
        <w:rPr>
          <w:rFonts w:ascii="Times New Roman" w:eastAsia="Times New Roman" w:hAnsi="Times New Roman" w:cs="Times New Roman"/>
          <w:b/>
          <w:color w:val="000000"/>
          <w:sz w:val="24"/>
          <w:szCs w:val="24"/>
          <w:u w:val="single"/>
          <w:lang w:eastAsia="en-AU"/>
        </w:rPr>
      </w:pPr>
      <w:r w:rsidRPr="00A100D7">
        <w:rPr>
          <w:rFonts w:ascii="Times New Roman" w:eastAsia="Times New Roman" w:hAnsi="Times New Roman" w:cs="Times New Roman"/>
          <w:b/>
          <w:color w:val="000000"/>
          <w:sz w:val="24"/>
          <w:szCs w:val="24"/>
          <w:u w:val="single"/>
          <w:lang w:eastAsia="en-AU"/>
        </w:rPr>
        <w:t>Human rights implications – Right to privacy</w:t>
      </w:r>
    </w:p>
    <w:p w14:paraId="74F972C5" w14:textId="77777777" w:rsidR="00AB043D" w:rsidRPr="00261CDF" w:rsidRDefault="00AB043D" w:rsidP="00116173">
      <w:pPr>
        <w:shd w:val="clear" w:color="auto" w:fill="FFFFFF"/>
        <w:spacing w:after="240" w:line="240" w:lineRule="auto"/>
        <w:rPr>
          <w:rFonts w:ascii="Times New Roman" w:eastAsia="Times New Roman" w:hAnsi="Times New Roman" w:cs="Times New Roman"/>
          <w:color w:val="000000"/>
          <w:sz w:val="24"/>
          <w:szCs w:val="24"/>
          <w:lang w:eastAsia="en-AU"/>
        </w:rPr>
      </w:pPr>
      <w:r w:rsidRPr="00261CDF">
        <w:rPr>
          <w:rFonts w:ascii="Times New Roman" w:eastAsia="Times New Roman" w:hAnsi="Times New Roman" w:cs="Times New Roman"/>
          <w:b/>
          <w:color w:val="000000"/>
          <w:sz w:val="24"/>
          <w:szCs w:val="24"/>
          <w:lang w:eastAsia="en-AU"/>
        </w:rPr>
        <w:t xml:space="preserve">Article 17 </w:t>
      </w:r>
      <w:r w:rsidRPr="00261CDF">
        <w:rPr>
          <w:rFonts w:ascii="Times New Roman" w:eastAsia="Times New Roman" w:hAnsi="Times New Roman" w:cs="Times New Roman"/>
          <w:color w:val="000000"/>
          <w:sz w:val="24"/>
          <w:szCs w:val="24"/>
          <w:lang w:eastAsia="en-AU"/>
        </w:rPr>
        <w:t>of the ICCPR provides:</w:t>
      </w:r>
    </w:p>
    <w:p w14:paraId="20B4E0C9" w14:textId="77777777" w:rsidR="00AB043D" w:rsidRPr="00261CDF" w:rsidRDefault="00AB043D" w:rsidP="00116173">
      <w:pPr>
        <w:shd w:val="clear" w:color="auto" w:fill="FFFFFF"/>
        <w:spacing w:after="240" w:line="240" w:lineRule="auto"/>
        <w:rPr>
          <w:rFonts w:ascii="Times New Roman" w:eastAsia="Times New Roman" w:hAnsi="Times New Roman" w:cs="Times New Roman"/>
          <w:color w:val="000000"/>
          <w:sz w:val="24"/>
          <w:szCs w:val="24"/>
          <w:lang w:eastAsia="en-AU"/>
        </w:rPr>
      </w:pPr>
      <w:r w:rsidRPr="00261CDF">
        <w:rPr>
          <w:rFonts w:ascii="Times New Roman" w:eastAsia="Times New Roman" w:hAnsi="Times New Roman" w:cs="Times New Roman"/>
          <w:color w:val="000000"/>
          <w:sz w:val="24"/>
          <w:szCs w:val="24"/>
          <w:lang w:eastAsia="en-AU"/>
        </w:rPr>
        <w:t>1. No one shall be subjected to arbitrary or unlawful interference with his privacy, family, home or correspondence, nor to unlawful attacks on his honour and reputation.</w:t>
      </w:r>
    </w:p>
    <w:p w14:paraId="5620442D" w14:textId="77777777" w:rsidR="00AB043D" w:rsidRPr="00261CDF" w:rsidRDefault="00AB043D" w:rsidP="00116173">
      <w:pPr>
        <w:shd w:val="clear" w:color="auto" w:fill="FFFFFF"/>
        <w:spacing w:after="240" w:line="240" w:lineRule="auto"/>
        <w:rPr>
          <w:rFonts w:ascii="Times New Roman" w:eastAsia="Times New Roman" w:hAnsi="Times New Roman" w:cs="Times New Roman"/>
          <w:color w:val="000000"/>
          <w:sz w:val="24"/>
          <w:szCs w:val="24"/>
          <w:lang w:eastAsia="en-AU"/>
        </w:rPr>
      </w:pPr>
      <w:r w:rsidRPr="00261CDF">
        <w:rPr>
          <w:rFonts w:ascii="Times New Roman" w:eastAsia="Times New Roman" w:hAnsi="Times New Roman" w:cs="Times New Roman"/>
          <w:color w:val="000000"/>
          <w:sz w:val="24"/>
          <w:szCs w:val="24"/>
          <w:lang w:eastAsia="en-AU"/>
        </w:rPr>
        <w:t>2. Everyone has the right to the protection of the law against such interference or attacks.</w:t>
      </w:r>
    </w:p>
    <w:p w14:paraId="2EE4654A" w14:textId="57AB9FA1" w:rsidR="00AB043D" w:rsidRPr="00261CDF" w:rsidRDefault="00AB043D" w:rsidP="00116173">
      <w:pPr>
        <w:shd w:val="clear" w:color="auto" w:fill="FFFFFF"/>
        <w:spacing w:after="240" w:line="240" w:lineRule="auto"/>
        <w:rPr>
          <w:rFonts w:ascii="Times New Roman" w:eastAsia="Times New Roman" w:hAnsi="Times New Roman" w:cs="Times New Roman"/>
          <w:color w:val="000000"/>
          <w:sz w:val="24"/>
          <w:szCs w:val="24"/>
          <w:lang w:eastAsia="en-AU"/>
        </w:rPr>
      </w:pPr>
      <w:r w:rsidRPr="00261CDF">
        <w:rPr>
          <w:rFonts w:ascii="Times New Roman" w:eastAsia="Times New Roman" w:hAnsi="Times New Roman" w:cs="Times New Roman"/>
          <w:color w:val="000000"/>
          <w:sz w:val="24"/>
          <w:szCs w:val="24"/>
          <w:lang w:eastAsia="en-AU"/>
        </w:rPr>
        <w:t xml:space="preserve">Article 17 of the ICCPR (like Article 16 of the Convention on the Rights of the Child and Article 22 of the Convention on the Rights of Persons with Disabilities) protects the right to freedom from unlawful or arbitrary interference with privacy. Certain provisions in the </w:t>
      </w:r>
      <w:r w:rsidR="00821FE0">
        <w:rPr>
          <w:rFonts w:ascii="Times New Roman" w:eastAsia="Times New Roman" w:hAnsi="Times New Roman" w:cs="Times New Roman"/>
          <w:color w:val="000000"/>
          <w:sz w:val="24"/>
          <w:szCs w:val="24"/>
          <w:lang w:eastAsia="en-AU"/>
        </w:rPr>
        <w:t>Instrument</w:t>
      </w:r>
      <w:r w:rsidRPr="00261CDF">
        <w:rPr>
          <w:rFonts w:ascii="Times New Roman" w:eastAsia="Times New Roman" w:hAnsi="Times New Roman" w:cs="Times New Roman"/>
          <w:color w:val="000000"/>
          <w:sz w:val="24"/>
          <w:szCs w:val="24"/>
          <w:lang w:eastAsia="en-AU"/>
        </w:rPr>
        <w:t xml:space="preserve"> could be considered to limit the right to privacy</w:t>
      </w:r>
      <w:r w:rsidR="00821FE0">
        <w:rPr>
          <w:rFonts w:ascii="Times New Roman" w:eastAsia="Times New Roman" w:hAnsi="Times New Roman" w:cs="Times New Roman"/>
          <w:color w:val="000000"/>
          <w:sz w:val="24"/>
          <w:szCs w:val="24"/>
          <w:lang w:eastAsia="en-AU"/>
        </w:rPr>
        <w:t>, but not in an arbitrary or unlawful manner</w:t>
      </w:r>
      <w:r w:rsidRPr="00261CDF">
        <w:rPr>
          <w:rFonts w:ascii="Times New Roman" w:eastAsia="Times New Roman" w:hAnsi="Times New Roman" w:cs="Times New Roman"/>
          <w:color w:val="000000"/>
          <w:sz w:val="24"/>
          <w:szCs w:val="24"/>
          <w:lang w:eastAsia="en-AU"/>
        </w:rPr>
        <w:t>.</w:t>
      </w:r>
      <w:r w:rsidR="00821FE0">
        <w:rPr>
          <w:rFonts w:ascii="Times New Roman" w:eastAsia="Times New Roman" w:hAnsi="Times New Roman" w:cs="Times New Roman"/>
          <w:color w:val="000000"/>
          <w:sz w:val="24"/>
          <w:szCs w:val="24"/>
          <w:lang w:eastAsia="en-AU"/>
        </w:rPr>
        <w:t xml:space="preserve"> T</w:t>
      </w:r>
      <w:r w:rsidRPr="00261CDF">
        <w:rPr>
          <w:rFonts w:ascii="Times New Roman" w:eastAsia="Times New Roman" w:hAnsi="Times New Roman" w:cs="Times New Roman"/>
          <w:color w:val="000000"/>
          <w:sz w:val="24"/>
          <w:szCs w:val="24"/>
          <w:lang w:eastAsia="en-AU"/>
        </w:rPr>
        <w:t>he right to privacy is not an absolute right</w:t>
      </w:r>
      <w:r w:rsidR="00821FE0">
        <w:rPr>
          <w:rFonts w:ascii="Times New Roman" w:eastAsia="Times New Roman" w:hAnsi="Times New Roman" w:cs="Times New Roman"/>
          <w:color w:val="000000"/>
          <w:sz w:val="24"/>
          <w:szCs w:val="24"/>
          <w:lang w:eastAsia="en-AU"/>
        </w:rPr>
        <w:t>, however,</w:t>
      </w:r>
      <w:r w:rsidRPr="00261CDF">
        <w:rPr>
          <w:rFonts w:ascii="Times New Roman" w:eastAsia="Times New Roman" w:hAnsi="Times New Roman" w:cs="Times New Roman"/>
          <w:color w:val="000000"/>
          <w:sz w:val="24"/>
          <w:szCs w:val="24"/>
          <w:lang w:eastAsia="en-AU"/>
        </w:rPr>
        <w:t xml:space="preserve"> and a limitation is not incompatible with the right itself.</w:t>
      </w:r>
    </w:p>
    <w:p w14:paraId="238CCF06" w14:textId="13E11FD2" w:rsidR="00166C32" w:rsidRPr="00166C32" w:rsidRDefault="00166C32" w:rsidP="00166C32">
      <w:pPr>
        <w:shd w:val="clear" w:color="auto" w:fill="FFFFFF"/>
        <w:spacing w:after="240" w:line="240" w:lineRule="auto"/>
        <w:rPr>
          <w:rFonts w:ascii="Times New Roman" w:eastAsia="Times New Roman" w:hAnsi="Times New Roman" w:cs="Times New Roman"/>
          <w:color w:val="000000"/>
          <w:sz w:val="24"/>
          <w:szCs w:val="24"/>
          <w:lang w:eastAsia="en-AU"/>
        </w:rPr>
      </w:pPr>
      <w:r w:rsidRPr="00166C32">
        <w:rPr>
          <w:rFonts w:ascii="Times New Roman" w:eastAsia="Times New Roman" w:hAnsi="Times New Roman" w:cs="Times New Roman"/>
          <w:color w:val="000000"/>
          <w:sz w:val="24"/>
          <w:szCs w:val="24"/>
          <w:lang w:eastAsia="en-AU"/>
        </w:rPr>
        <w:t xml:space="preserve">Collecting, using, storing, disclosing or publishing personal information </w:t>
      </w:r>
      <w:r w:rsidR="00821FE0">
        <w:rPr>
          <w:rFonts w:ascii="Times New Roman" w:eastAsia="Times New Roman" w:hAnsi="Times New Roman" w:cs="Times New Roman"/>
          <w:color w:val="000000"/>
          <w:sz w:val="24"/>
          <w:szCs w:val="24"/>
          <w:lang w:eastAsia="en-AU"/>
        </w:rPr>
        <w:t xml:space="preserve">may amount </w:t>
      </w:r>
      <w:r w:rsidRPr="00166C32">
        <w:rPr>
          <w:rFonts w:ascii="Times New Roman" w:eastAsia="Times New Roman" w:hAnsi="Times New Roman" w:cs="Times New Roman"/>
          <w:color w:val="000000"/>
          <w:sz w:val="24"/>
          <w:szCs w:val="24"/>
          <w:lang w:eastAsia="en-AU"/>
        </w:rPr>
        <w:t xml:space="preserve">to an interference with privacy. In order for the interference with privacy not to be ‘arbitrary’, any interference with privacy must be in accordance with the provisions, aims and objectives of the ICCPR and should be reasonable in </w:t>
      </w:r>
      <w:r w:rsidRPr="00166C32">
        <w:rPr>
          <w:rFonts w:ascii="Times New Roman" w:eastAsia="Times New Roman" w:hAnsi="Times New Roman" w:cs="Times New Roman"/>
          <w:color w:val="000000"/>
          <w:sz w:val="24"/>
          <w:szCs w:val="24"/>
          <w:lang w:eastAsia="en-AU"/>
        </w:rPr>
        <w:lastRenderedPageBreak/>
        <w:t>the particular circumstances. Reasonableness, in this context, incorporates notions of proportionality, appropriateness and necessity</w:t>
      </w:r>
      <w:r w:rsidR="00821FE0">
        <w:rPr>
          <w:rFonts w:ascii="Times New Roman" w:eastAsia="Times New Roman" w:hAnsi="Times New Roman" w:cs="Times New Roman"/>
          <w:color w:val="000000"/>
          <w:sz w:val="24"/>
          <w:szCs w:val="24"/>
          <w:lang w:eastAsia="en-AU"/>
        </w:rPr>
        <w:t>, particularly in relation to criminal law and national security</w:t>
      </w:r>
      <w:r w:rsidRPr="00166C32">
        <w:rPr>
          <w:rFonts w:ascii="Times New Roman" w:eastAsia="Times New Roman" w:hAnsi="Times New Roman" w:cs="Times New Roman"/>
          <w:color w:val="000000"/>
          <w:sz w:val="24"/>
          <w:szCs w:val="24"/>
          <w:lang w:eastAsia="en-AU"/>
        </w:rPr>
        <w:t xml:space="preserve">. </w:t>
      </w:r>
    </w:p>
    <w:p w14:paraId="25D1688B" w14:textId="69CD3A02" w:rsidR="00166C32" w:rsidRDefault="00AB043D" w:rsidP="00920C5A">
      <w:pPr>
        <w:shd w:val="clear" w:color="auto" w:fill="FFFFFF"/>
        <w:spacing w:after="120" w:line="240" w:lineRule="auto"/>
        <w:rPr>
          <w:rFonts w:ascii="Times New Roman" w:eastAsia="Times New Roman" w:hAnsi="Times New Roman" w:cs="Times New Roman"/>
          <w:b/>
          <w:color w:val="000000"/>
          <w:sz w:val="24"/>
          <w:szCs w:val="24"/>
          <w:lang w:eastAsia="en-AU"/>
        </w:rPr>
      </w:pPr>
      <w:r w:rsidRPr="00621B91">
        <w:rPr>
          <w:rFonts w:ascii="Times New Roman" w:eastAsia="Times New Roman" w:hAnsi="Times New Roman" w:cs="Times New Roman"/>
          <w:b/>
          <w:color w:val="000000"/>
          <w:sz w:val="24"/>
          <w:szCs w:val="24"/>
          <w:lang w:eastAsia="en-AU"/>
        </w:rPr>
        <w:t xml:space="preserve">Part 2 </w:t>
      </w:r>
      <w:r w:rsidR="00166C32" w:rsidRPr="00621B91">
        <w:rPr>
          <w:rFonts w:ascii="Times New Roman" w:eastAsia="Times New Roman" w:hAnsi="Times New Roman" w:cs="Times New Roman"/>
          <w:b/>
          <w:color w:val="000000"/>
          <w:sz w:val="24"/>
          <w:szCs w:val="24"/>
          <w:lang w:eastAsia="en-AU"/>
        </w:rPr>
        <w:t xml:space="preserve">of the Regulations and the right to privacy </w:t>
      </w:r>
    </w:p>
    <w:p w14:paraId="0B0E93CA" w14:textId="59EE8C45" w:rsidR="00AB043D" w:rsidRPr="00261CDF" w:rsidRDefault="00166C32" w:rsidP="00116173">
      <w:pPr>
        <w:shd w:val="clear" w:color="auto" w:fill="FFFFFF"/>
        <w:spacing w:after="24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4"/>
          <w:szCs w:val="24"/>
          <w:lang w:eastAsia="en-AU"/>
        </w:rPr>
        <w:t xml:space="preserve">This Part </w:t>
      </w:r>
      <w:r w:rsidR="00AB043D" w:rsidRPr="00261CDF">
        <w:rPr>
          <w:rFonts w:ascii="Times New Roman" w:eastAsia="Times New Roman" w:hAnsi="Times New Roman" w:cs="Times New Roman"/>
          <w:color w:val="000000"/>
          <w:sz w:val="24"/>
          <w:szCs w:val="24"/>
          <w:lang w:eastAsia="en-AU"/>
        </w:rPr>
        <w:t>authorises the collection, storage and use of personal information. However, to the extent that the Part could be said to authorise an interference with privacy, that interference will be neither unlawful nor arbitrary. It will not be unlawful because the collection, use and destruction of personal information is authorised by the Telecommunications Act. It will not be arbitrary because this Part specifies only the minimum amount of personal information that is reasonably necessary to assist with the legitimate objectives of law enforcement and national security. This Part limits the information that a determination may require to be obtained from a customer to:</w:t>
      </w:r>
    </w:p>
    <w:p w14:paraId="49485FEF" w14:textId="7CCDCF74" w:rsidR="00AB043D" w:rsidRPr="00261CDF" w:rsidRDefault="00AB043D" w:rsidP="00997B5F">
      <w:pPr>
        <w:numPr>
          <w:ilvl w:val="0"/>
          <w:numId w:val="1"/>
        </w:numPr>
        <w:shd w:val="clear" w:color="auto" w:fill="FFFFFF"/>
        <w:spacing w:after="240" w:line="240" w:lineRule="auto"/>
        <w:rPr>
          <w:rFonts w:ascii="Times New Roman" w:eastAsia="Times New Roman" w:hAnsi="Times New Roman" w:cs="Times New Roman"/>
          <w:color w:val="000000"/>
          <w:sz w:val="20"/>
          <w:szCs w:val="20"/>
          <w:lang w:eastAsia="en-AU"/>
        </w:rPr>
      </w:pPr>
      <w:r w:rsidRPr="00261CDF">
        <w:rPr>
          <w:rFonts w:ascii="Times New Roman" w:eastAsia="Times New Roman" w:hAnsi="Times New Roman" w:cs="Times New Roman"/>
          <w:color w:val="000000"/>
          <w:sz w:val="24"/>
          <w:szCs w:val="24"/>
          <w:lang w:eastAsia="en-AU"/>
        </w:rPr>
        <w:t xml:space="preserve">the minimum amount of information that is reasonably necessary to identify </w:t>
      </w:r>
      <w:r w:rsidR="00042DA0">
        <w:rPr>
          <w:rFonts w:ascii="Times New Roman" w:eastAsia="Times New Roman" w:hAnsi="Times New Roman" w:cs="Times New Roman"/>
          <w:color w:val="000000"/>
          <w:sz w:val="24"/>
          <w:szCs w:val="24"/>
          <w:lang w:eastAsia="en-AU"/>
        </w:rPr>
        <w:t>a customer (subparagraph 8</w:t>
      </w:r>
      <w:r w:rsidR="00143A86">
        <w:rPr>
          <w:rFonts w:ascii="Times New Roman" w:eastAsia="Times New Roman" w:hAnsi="Times New Roman" w:cs="Times New Roman"/>
          <w:color w:val="000000"/>
          <w:sz w:val="24"/>
          <w:szCs w:val="24"/>
          <w:lang w:eastAsia="en-AU"/>
        </w:rPr>
        <w:t>(1)</w:t>
      </w:r>
      <w:r w:rsidRPr="00261CDF">
        <w:rPr>
          <w:rFonts w:ascii="Times New Roman" w:eastAsia="Times New Roman" w:hAnsi="Times New Roman" w:cs="Times New Roman"/>
          <w:color w:val="000000"/>
          <w:sz w:val="24"/>
          <w:szCs w:val="24"/>
          <w:lang w:eastAsia="en-AU"/>
        </w:rPr>
        <w:t>a)(i));</w:t>
      </w:r>
    </w:p>
    <w:p w14:paraId="78952C76" w14:textId="6242CFAC" w:rsidR="00AB043D" w:rsidRPr="00261CDF" w:rsidRDefault="00AB043D" w:rsidP="00997B5F">
      <w:pPr>
        <w:numPr>
          <w:ilvl w:val="0"/>
          <w:numId w:val="1"/>
        </w:numPr>
        <w:shd w:val="clear" w:color="auto" w:fill="FFFFFF"/>
        <w:spacing w:after="240" w:line="240" w:lineRule="auto"/>
        <w:rPr>
          <w:rFonts w:ascii="Times New Roman" w:eastAsia="Times New Roman" w:hAnsi="Times New Roman" w:cs="Times New Roman"/>
          <w:color w:val="000000"/>
          <w:sz w:val="20"/>
          <w:szCs w:val="20"/>
          <w:lang w:eastAsia="en-AU"/>
        </w:rPr>
      </w:pPr>
      <w:r w:rsidRPr="00261CDF">
        <w:rPr>
          <w:rFonts w:ascii="Times New Roman" w:eastAsia="Times New Roman" w:hAnsi="Times New Roman" w:cs="Times New Roman"/>
          <w:color w:val="000000"/>
          <w:sz w:val="24"/>
          <w:szCs w:val="24"/>
          <w:lang w:eastAsia="en-AU"/>
        </w:rPr>
        <w:t xml:space="preserve">information about the customer’s existing carriage services (subparagraph </w:t>
      </w:r>
      <w:r w:rsidR="00042DA0">
        <w:rPr>
          <w:rFonts w:ascii="Times New Roman" w:eastAsia="Times New Roman" w:hAnsi="Times New Roman" w:cs="Times New Roman"/>
          <w:color w:val="000000"/>
          <w:sz w:val="24"/>
          <w:szCs w:val="24"/>
          <w:lang w:eastAsia="en-AU"/>
        </w:rPr>
        <w:t>8</w:t>
      </w:r>
      <w:r w:rsidR="00143A86">
        <w:rPr>
          <w:rFonts w:ascii="Times New Roman" w:eastAsia="Times New Roman" w:hAnsi="Times New Roman" w:cs="Times New Roman"/>
          <w:color w:val="000000"/>
          <w:sz w:val="24"/>
          <w:szCs w:val="24"/>
          <w:lang w:eastAsia="en-AU"/>
        </w:rPr>
        <w:t>(1)</w:t>
      </w:r>
      <w:r w:rsidRPr="00261CDF">
        <w:rPr>
          <w:rFonts w:ascii="Times New Roman" w:eastAsia="Times New Roman" w:hAnsi="Times New Roman" w:cs="Times New Roman"/>
          <w:color w:val="000000"/>
          <w:sz w:val="24"/>
          <w:szCs w:val="24"/>
          <w:lang w:eastAsia="en-AU"/>
        </w:rPr>
        <w:t>(a)(iii)); and</w:t>
      </w:r>
    </w:p>
    <w:p w14:paraId="0DD7A681" w14:textId="2E37A638" w:rsidR="00AB043D" w:rsidRPr="00261CDF" w:rsidRDefault="00AB043D" w:rsidP="00997B5F">
      <w:pPr>
        <w:numPr>
          <w:ilvl w:val="0"/>
          <w:numId w:val="1"/>
        </w:numPr>
        <w:shd w:val="clear" w:color="auto" w:fill="FFFFFF"/>
        <w:spacing w:after="240" w:line="240" w:lineRule="auto"/>
        <w:rPr>
          <w:rFonts w:ascii="Times New Roman" w:eastAsia="Times New Roman" w:hAnsi="Times New Roman" w:cs="Times New Roman"/>
          <w:color w:val="000000"/>
          <w:sz w:val="24"/>
          <w:szCs w:val="24"/>
          <w:lang w:eastAsia="en-AU"/>
        </w:rPr>
      </w:pPr>
      <w:r w:rsidRPr="00261CDF">
        <w:rPr>
          <w:rFonts w:ascii="Times New Roman" w:eastAsia="Times New Roman" w:hAnsi="Times New Roman" w:cs="Times New Roman"/>
          <w:color w:val="000000"/>
          <w:sz w:val="24"/>
          <w:szCs w:val="24"/>
          <w:lang w:eastAsia="en-AU"/>
        </w:rPr>
        <w:t>information about what the customer proposes to use the carriage service for (such as residential, business, government</w:t>
      </w:r>
      <w:r w:rsidR="00316EFD">
        <w:rPr>
          <w:rFonts w:ascii="Times New Roman" w:eastAsia="Times New Roman" w:hAnsi="Times New Roman" w:cs="Times New Roman"/>
          <w:color w:val="000000"/>
          <w:sz w:val="24"/>
          <w:szCs w:val="24"/>
          <w:lang w:eastAsia="en-AU"/>
        </w:rPr>
        <w:t xml:space="preserve"> or charitable use) (paragraph 8</w:t>
      </w:r>
      <w:r w:rsidR="00143A86">
        <w:rPr>
          <w:rFonts w:ascii="Times New Roman" w:eastAsia="Times New Roman" w:hAnsi="Times New Roman" w:cs="Times New Roman"/>
          <w:color w:val="000000"/>
          <w:sz w:val="24"/>
          <w:szCs w:val="24"/>
          <w:lang w:eastAsia="en-AU"/>
        </w:rPr>
        <w:t>(1)</w:t>
      </w:r>
      <w:r w:rsidRPr="00261CDF">
        <w:rPr>
          <w:rFonts w:ascii="Times New Roman" w:eastAsia="Times New Roman" w:hAnsi="Times New Roman" w:cs="Times New Roman"/>
          <w:color w:val="000000"/>
          <w:sz w:val="24"/>
          <w:szCs w:val="24"/>
          <w:lang w:eastAsia="en-AU"/>
        </w:rPr>
        <w:t>(b)).</w:t>
      </w:r>
    </w:p>
    <w:p w14:paraId="251B4B40" w14:textId="7EEF1F85" w:rsidR="00AB043D" w:rsidRPr="00261CDF" w:rsidRDefault="00AB043D" w:rsidP="00116173">
      <w:pPr>
        <w:shd w:val="clear" w:color="auto" w:fill="FFFFFF"/>
        <w:spacing w:after="240" w:line="240" w:lineRule="auto"/>
        <w:rPr>
          <w:rFonts w:ascii="Times New Roman" w:eastAsia="Times New Roman" w:hAnsi="Times New Roman" w:cs="Times New Roman"/>
          <w:color w:val="000000"/>
          <w:sz w:val="20"/>
          <w:szCs w:val="20"/>
          <w:lang w:eastAsia="en-AU"/>
        </w:rPr>
      </w:pPr>
      <w:r w:rsidRPr="00261CDF">
        <w:rPr>
          <w:rFonts w:ascii="Times New Roman" w:eastAsia="Times New Roman" w:hAnsi="Times New Roman" w:cs="Times New Roman"/>
          <w:color w:val="000000"/>
          <w:sz w:val="24"/>
          <w:szCs w:val="24"/>
          <w:lang w:eastAsia="en-AU"/>
        </w:rPr>
        <w:t>Part</w:t>
      </w:r>
      <w:r w:rsidR="00166C32">
        <w:rPr>
          <w:rFonts w:ascii="Times New Roman" w:eastAsia="Times New Roman" w:hAnsi="Times New Roman" w:cs="Times New Roman"/>
          <w:color w:val="000000"/>
          <w:sz w:val="24"/>
          <w:szCs w:val="24"/>
          <w:lang w:eastAsia="en-AU"/>
        </w:rPr>
        <w:t xml:space="preserve"> 2 </w:t>
      </w:r>
      <w:r w:rsidRPr="00261CDF">
        <w:rPr>
          <w:rFonts w:ascii="Times New Roman" w:eastAsia="Times New Roman" w:hAnsi="Times New Roman" w:cs="Times New Roman"/>
          <w:color w:val="000000"/>
          <w:sz w:val="24"/>
          <w:szCs w:val="24"/>
          <w:lang w:eastAsia="en-AU"/>
        </w:rPr>
        <w:t>also imposes restrictions on the collection, recording, keeping and reproduction of personal information in the identity-checking process.</w:t>
      </w:r>
    </w:p>
    <w:p w14:paraId="2322AC6B" w14:textId="6EA00C28" w:rsidR="00AB043D" w:rsidRPr="00261CDF" w:rsidRDefault="00AB043D" w:rsidP="00116173">
      <w:pPr>
        <w:shd w:val="clear" w:color="auto" w:fill="FFFFFF"/>
        <w:spacing w:after="240" w:line="240" w:lineRule="auto"/>
        <w:rPr>
          <w:rFonts w:ascii="Times New Roman" w:eastAsia="Times New Roman" w:hAnsi="Times New Roman" w:cs="Times New Roman"/>
          <w:color w:val="000000"/>
          <w:sz w:val="24"/>
          <w:szCs w:val="24"/>
          <w:lang w:eastAsia="en-AU"/>
        </w:rPr>
      </w:pPr>
      <w:r w:rsidRPr="00261CDF">
        <w:rPr>
          <w:rFonts w:ascii="Times New Roman" w:eastAsia="Times New Roman" w:hAnsi="Times New Roman" w:cs="Times New Roman"/>
          <w:color w:val="000000"/>
          <w:sz w:val="24"/>
          <w:szCs w:val="24"/>
          <w:lang w:eastAsia="en-AU"/>
        </w:rPr>
        <w:lastRenderedPageBreak/>
        <w:t xml:space="preserve">The Division requires carriage service providers to find out what other carriage services </w:t>
      </w:r>
      <w:r w:rsidR="00042DA0">
        <w:rPr>
          <w:rFonts w:ascii="Times New Roman" w:eastAsia="Times New Roman" w:hAnsi="Times New Roman" w:cs="Times New Roman"/>
          <w:color w:val="000000"/>
          <w:sz w:val="24"/>
          <w:szCs w:val="24"/>
          <w:lang w:eastAsia="en-AU"/>
        </w:rPr>
        <w:t>the customer has (subparagraph 8</w:t>
      </w:r>
      <w:r w:rsidRPr="00261CDF">
        <w:rPr>
          <w:rFonts w:ascii="Times New Roman" w:eastAsia="Times New Roman" w:hAnsi="Times New Roman" w:cs="Times New Roman"/>
          <w:color w:val="000000"/>
          <w:sz w:val="24"/>
          <w:szCs w:val="24"/>
          <w:lang w:eastAsia="en-AU"/>
        </w:rPr>
        <w:t xml:space="preserve">(1)(a)(iii)). This relates to the existing requirement of the </w:t>
      </w:r>
      <w:r w:rsidR="00D952E5">
        <w:rPr>
          <w:rFonts w:ascii="Times New Roman" w:eastAsia="Times New Roman" w:hAnsi="Times New Roman" w:cs="Times New Roman"/>
          <w:color w:val="000000"/>
          <w:sz w:val="24"/>
          <w:szCs w:val="24"/>
          <w:lang w:eastAsia="en-AU"/>
        </w:rPr>
        <w:t>Instrument</w:t>
      </w:r>
      <w:r w:rsidRPr="00261CDF">
        <w:rPr>
          <w:rFonts w:ascii="Times New Roman" w:eastAsia="Times New Roman" w:hAnsi="Times New Roman" w:cs="Times New Roman"/>
          <w:color w:val="000000"/>
          <w:sz w:val="24"/>
          <w:szCs w:val="24"/>
          <w:lang w:eastAsia="en-AU"/>
        </w:rPr>
        <w:t xml:space="preserve"> for carriage service providers to record the number of other activated prepaid mobile services (if any) supplied to a customer</w:t>
      </w:r>
      <w:r w:rsidR="00143A86">
        <w:rPr>
          <w:rFonts w:ascii="Times New Roman" w:eastAsia="Times New Roman" w:hAnsi="Times New Roman" w:cs="Times New Roman"/>
          <w:color w:val="000000"/>
          <w:sz w:val="24"/>
          <w:szCs w:val="24"/>
          <w:lang w:eastAsia="en-AU"/>
        </w:rPr>
        <w:t>.</w:t>
      </w:r>
    </w:p>
    <w:p w14:paraId="043D5A5E" w14:textId="36B53100" w:rsidR="00AB043D" w:rsidRPr="00261CDF" w:rsidRDefault="00AB043D" w:rsidP="00116173">
      <w:pPr>
        <w:shd w:val="clear" w:color="auto" w:fill="FFFFFF"/>
        <w:spacing w:after="240" w:line="240" w:lineRule="auto"/>
        <w:rPr>
          <w:rFonts w:ascii="Times New Roman" w:eastAsia="Times New Roman" w:hAnsi="Times New Roman" w:cs="Times New Roman"/>
          <w:color w:val="000000"/>
          <w:sz w:val="24"/>
          <w:szCs w:val="24"/>
          <w:lang w:eastAsia="en-AU"/>
        </w:rPr>
      </w:pPr>
      <w:r w:rsidRPr="00261CDF">
        <w:rPr>
          <w:rFonts w:ascii="Times New Roman" w:eastAsia="Times New Roman" w:hAnsi="Times New Roman" w:cs="Times New Roman"/>
          <w:color w:val="000000"/>
          <w:sz w:val="24"/>
          <w:szCs w:val="24"/>
          <w:lang w:eastAsia="en-AU"/>
        </w:rPr>
        <w:t>Information about what the customer proposes to use the carriage service for (such as residential, business, government</w:t>
      </w:r>
      <w:r w:rsidR="00042DA0">
        <w:rPr>
          <w:rFonts w:ascii="Times New Roman" w:eastAsia="Times New Roman" w:hAnsi="Times New Roman" w:cs="Times New Roman"/>
          <w:color w:val="000000"/>
          <w:sz w:val="24"/>
          <w:szCs w:val="24"/>
          <w:lang w:eastAsia="en-AU"/>
        </w:rPr>
        <w:t xml:space="preserve"> or charitable use) (paragraph 8</w:t>
      </w:r>
      <w:r w:rsidRPr="00261CDF">
        <w:rPr>
          <w:rFonts w:ascii="Times New Roman" w:eastAsia="Times New Roman" w:hAnsi="Times New Roman" w:cs="Times New Roman"/>
          <w:color w:val="000000"/>
          <w:sz w:val="24"/>
          <w:szCs w:val="24"/>
          <w:lang w:eastAsia="en-AU"/>
        </w:rPr>
        <w:t>(1)(b)) is also currently collected both for the Integrated Public Number Database and for law enforcement and national security purposes. This information assists law enforcement and security agencies in their investigations and allows them to narrow their inquiries. For instance, if a carriage service is used for business purposes, agencies will know that it may be used by multiple people and some call records may not be of interest.</w:t>
      </w:r>
    </w:p>
    <w:p w14:paraId="40C0854A" w14:textId="1A681CAD" w:rsidR="00AB043D" w:rsidRDefault="00AB043D" w:rsidP="00116173">
      <w:pPr>
        <w:shd w:val="clear" w:color="auto" w:fill="FFFFFF"/>
        <w:spacing w:after="240" w:line="240" w:lineRule="auto"/>
        <w:rPr>
          <w:rFonts w:ascii="Times New Roman" w:eastAsia="Times New Roman" w:hAnsi="Times New Roman" w:cs="Times New Roman"/>
          <w:color w:val="000000"/>
          <w:sz w:val="24"/>
          <w:szCs w:val="24"/>
          <w:lang w:eastAsia="en-AU"/>
        </w:rPr>
      </w:pPr>
      <w:r w:rsidRPr="00261CDF">
        <w:rPr>
          <w:rFonts w:ascii="Times New Roman" w:eastAsia="Times New Roman" w:hAnsi="Times New Roman" w:cs="Times New Roman"/>
          <w:color w:val="000000"/>
          <w:sz w:val="24"/>
          <w:szCs w:val="24"/>
          <w:lang w:eastAsia="en-AU"/>
        </w:rPr>
        <w:t>In terms of the information that may be recorded and kept, while this extends to the information obtained when verifying the identity of a customer (including the type of document produced and information about existing services), as well as intended usage, the identifying number on a government document may not be r</w:t>
      </w:r>
      <w:r w:rsidR="00042DA0">
        <w:rPr>
          <w:rFonts w:ascii="Times New Roman" w:eastAsia="Times New Roman" w:hAnsi="Times New Roman" w:cs="Times New Roman"/>
          <w:color w:val="000000"/>
          <w:sz w:val="24"/>
          <w:szCs w:val="24"/>
          <w:lang w:eastAsia="en-AU"/>
        </w:rPr>
        <w:t>ecorded and kept (subparagraph 8</w:t>
      </w:r>
      <w:r w:rsidRPr="00261CDF">
        <w:rPr>
          <w:rFonts w:ascii="Times New Roman" w:eastAsia="Times New Roman" w:hAnsi="Times New Roman" w:cs="Times New Roman"/>
          <w:color w:val="000000"/>
          <w:sz w:val="24"/>
          <w:szCs w:val="24"/>
          <w:lang w:eastAsia="en-AU"/>
        </w:rPr>
        <w:t>(1)(c)(i)).</w:t>
      </w:r>
    </w:p>
    <w:p w14:paraId="24746C4D" w14:textId="0A5301A7" w:rsidR="00CA2BBF" w:rsidRPr="008343C3" w:rsidRDefault="00CA2BBF" w:rsidP="00116173">
      <w:pPr>
        <w:shd w:val="clear" w:color="auto" w:fill="FFFFFF"/>
        <w:spacing w:after="240" w:line="240" w:lineRule="auto"/>
        <w:rPr>
          <w:rFonts w:ascii="Times New Roman" w:eastAsia="Times New Roman" w:hAnsi="Times New Roman" w:cs="Times New Roman"/>
          <w:i/>
          <w:color w:val="000000"/>
          <w:sz w:val="24"/>
          <w:szCs w:val="24"/>
          <w:lang w:eastAsia="en-AU"/>
        </w:rPr>
      </w:pPr>
      <w:r w:rsidRPr="008343C3">
        <w:rPr>
          <w:rFonts w:ascii="Times New Roman" w:eastAsia="Times New Roman" w:hAnsi="Times New Roman" w:cs="Times New Roman"/>
          <w:i/>
          <w:color w:val="000000"/>
          <w:sz w:val="24"/>
          <w:szCs w:val="24"/>
          <w:lang w:eastAsia="en-AU"/>
        </w:rPr>
        <w:t>Safeguards</w:t>
      </w:r>
    </w:p>
    <w:p w14:paraId="3338CCAB" w14:textId="4D56EF25" w:rsidR="00CA2BBF" w:rsidRPr="00042DA0" w:rsidRDefault="00CA2BBF" w:rsidP="00CA2BBF">
      <w:pPr>
        <w:rPr>
          <w:rFonts w:ascii="Times New Roman" w:hAnsi="Times New Roman" w:cs="Times New Roman"/>
          <w:sz w:val="24"/>
          <w:szCs w:val="24"/>
        </w:rPr>
      </w:pPr>
      <w:r w:rsidRPr="00042DA0">
        <w:rPr>
          <w:rFonts w:ascii="Times New Roman" w:hAnsi="Times New Roman" w:cs="Times New Roman"/>
          <w:sz w:val="24"/>
          <w:szCs w:val="24"/>
        </w:rPr>
        <w:t xml:space="preserve">Authorities are required to handle information in accordance with the Australian Privacy Principles outlined by the </w:t>
      </w:r>
      <w:r w:rsidRPr="00042DA0">
        <w:rPr>
          <w:rFonts w:ascii="Times New Roman" w:hAnsi="Times New Roman" w:cs="Times New Roman"/>
          <w:i/>
          <w:sz w:val="24"/>
          <w:szCs w:val="24"/>
        </w:rPr>
        <w:t>Privacy Act 1988</w:t>
      </w:r>
      <w:r w:rsidRPr="00042DA0">
        <w:rPr>
          <w:rFonts w:ascii="Times New Roman" w:hAnsi="Times New Roman" w:cs="Times New Roman"/>
          <w:sz w:val="24"/>
          <w:szCs w:val="24"/>
        </w:rPr>
        <w:t>. Exceptions to the use and disclosure of information outlined in this Part are restricted by limited circumstances and do not negate the ACMA’s obligations under the Privacy Act.</w:t>
      </w:r>
    </w:p>
    <w:p w14:paraId="25107EF6" w14:textId="56A3E459" w:rsidR="00CA2BBF" w:rsidRPr="0056789E" w:rsidRDefault="00CA2BBF" w:rsidP="00CA2BBF">
      <w:pPr>
        <w:shd w:val="clear" w:color="auto" w:fill="FFFFFF"/>
        <w:spacing w:before="100" w:beforeAutospacing="1" w:after="100" w:afterAutospacing="1" w:line="240" w:lineRule="auto"/>
        <w:rPr>
          <w:rFonts w:ascii="Times New Roman" w:hAnsi="Times New Roman" w:cs="Times New Roman"/>
          <w:sz w:val="24"/>
          <w:szCs w:val="24"/>
        </w:rPr>
      </w:pPr>
      <w:r w:rsidRPr="00042DA0">
        <w:rPr>
          <w:rFonts w:ascii="Times New Roman" w:hAnsi="Times New Roman" w:cs="Times New Roman"/>
          <w:sz w:val="24"/>
          <w:szCs w:val="24"/>
        </w:rPr>
        <w:lastRenderedPageBreak/>
        <w:t xml:space="preserve">Note that there are differences in Division 1 </w:t>
      </w:r>
      <w:r w:rsidR="003B2E35">
        <w:rPr>
          <w:rFonts w:ascii="Times New Roman" w:hAnsi="Times New Roman" w:cs="Times New Roman"/>
          <w:sz w:val="24"/>
          <w:szCs w:val="24"/>
        </w:rPr>
        <w:t xml:space="preserve">of Part 4 </w:t>
      </w:r>
      <w:r w:rsidRPr="00042DA0">
        <w:rPr>
          <w:rFonts w:ascii="Times New Roman" w:hAnsi="Times New Roman" w:cs="Times New Roman"/>
          <w:sz w:val="24"/>
          <w:szCs w:val="24"/>
        </w:rPr>
        <w:t xml:space="preserve">in relation to exceptions to primary disclosure/use offences. Section 14 relates to a disclosure by a carrier or CSP to the </w:t>
      </w:r>
      <w:r w:rsidR="00042DA0">
        <w:rPr>
          <w:rFonts w:ascii="Times New Roman" w:hAnsi="Times New Roman" w:cs="Times New Roman"/>
          <w:sz w:val="24"/>
          <w:szCs w:val="24"/>
        </w:rPr>
        <w:t>N</w:t>
      </w:r>
      <w:r w:rsidRPr="00042DA0">
        <w:rPr>
          <w:rFonts w:ascii="Times New Roman" w:hAnsi="Times New Roman" w:cs="Times New Roman"/>
          <w:sz w:val="24"/>
          <w:szCs w:val="24"/>
        </w:rPr>
        <w:t xml:space="preserve">ational </w:t>
      </w:r>
      <w:r w:rsidR="00042DA0">
        <w:rPr>
          <w:rFonts w:ascii="Times New Roman" w:hAnsi="Times New Roman" w:cs="Times New Roman"/>
          <w:sz w:val="24"/>
          <w:szCs w:val="24"/>
        </w:rPr>
        <w:t>R</w:t>
      </w:r>
      <w:r w:rsidRPr="00042DA0">
        <w:rPr>
          <w:rFonts w:ascii="Times New Roman" w:hAnsi="Times New Roman" w:cs="Times New Roman"/>
          <w:sz w:val="24"/>
          <w:szCs w:val="24"/>
        </w:rPr>
        <w:t xml:space="preserve">elay </w:t>
      </w:r>
      <w:r w:rsidR="00042DA0">
        <w:rPr>
          <w:rFonts w:ascii="Times New Roman" w:hAnsi="Times New Roman" w:cs="Times New Roman"/>
          <w:sz w:val="24"/>
          <w:szCs w:val="24"/>
        </w:rPr>
        <w:t>S</w:t>
      </w:r>
      <w:r w:rsidRPr="00042DA0">
        <w:rPr>
          <w:rFonts w:ascii="Times New Roman" w:hAnsi="Times New Roman" w:cs="Times New Roman"/>
          <w:sz w:val="24"/>
          <w:szCs w:val="24"/>
        </w:rPr>
        <w:t xml:space="preserve">ervice provider about a person’s use of the </w:t>
      </w:r>
      <w:r w:rsidR="00042DA0">
        <w:rPr>
          <w:rFonts w:ascii="Times New Roman" w:hAnsi="Times New Roman" w:cs="Times New Roman"/>
          <w:sz w:val="24"/>
          <w:szCs w:val="24"/>
        </w:rPr>
        <w:t>N</w:t>
      </w:r>
      <w:r w:rsidRPr="00042DA0">
        <w:rPr>
          <w:rFonts w:ascii="Times New Roman" w:hAnsi="Times New Roman" w:cs="Times New Roman"/>
          <w:sz w:val="24"/>
          <w:szCs w:val="24"/>
        </w:rPr>
        <w:t xml:space="preserve">ational </w:t>
      </w:r>
      <w:r w:rsidR="00042DA0">
        <w:rPr>
          <w:rFonts w:ascii="Times New Roman" w:hAnsi="Times New Roman" w:cs="Times New Roman"/>
          <w:sz w:val="24"/>
          <w:szCs w:val="24"/>
        </w:rPr>
        <w:t>R</w:t>
      </w:r>
      <w:r w:rsidRPr="00042DA0">
        <w:rPr>
          <w:rFonts w:ascii="Times New Roman" w:hAnsi="Times New Roman" w:cs="Times New Roman"/>
          <w:sz w:val="24"/>
          <w:szCs w:val="24"/>
        </w:rPr>
        <w:t xml:space="preserve">elay </w:t>
      </w:r>
      <w:r w:rsidR="00042DA0">
        <w:rPr>
          <w:rFonts w:ascii="Times New Roman" w:hAnsi="Times New Roman" w:cs="Times New Roman"/>
          <w:sz w:val="24"/>
          <w:szCs w:val="24"/>
        </w:rPr>
        <w:t>S</w:t>
      </w:r>
      <w:r w:rsidRPr="00042DA0">
        <w:rPr>
          <w:rFonts w:ascii="Times New Roman" w:hAnsi="Times New Roman" w:cs="Times New Roman"/>
          <w:sz w:val="24"/>
          <w:szCs w:val="24"/>
        </w:rPr>
        <w:t xml:space="preserve">ervice for the purpose of, or connected with the supply or proposed supply of the </w:t>
      </w:r>
      <w:r w:rsidR="00042DA0">
        <w:rPr>
          <w:rFonts w:ascii="Times New Roman" w:hAnsi="Times New Roman" w:cs="Times New Roman"/>
          <w:sz w:val="24"/>
          <w:szCs w:val="24"/>
        </w:rPr>
        <w:t>N</w:t>
      </w:r>
      <w:r w:rsidRPr="00042DA0">
        <w:rPr>
          <w:rFonts w:ascii="Times New Roman" w:hAnsi="Times New Roman" w:cs="Times New Roman"/>
          <w:sz w:val="24"/>
          <w:szCs w:val="24"/>
        </w:rPr>
        <w:t xml:space="preserve">ational </w:t>
      </w:r>
      <w:r w:rsidR="00042DA0">
        <w:rPr>
          <w:rFonts w:ascii="Times New Roman" w:hAnsi="Times New Roman" w:cs="Times New Roman"/>
          <w:sz w:val="24"/>
          <w:szCs w:val="24"/>
        </w:rPr>
        <w:t>R</w:t>
      </w:r>
      <w:r w:rsidRPr="00042DA0">
        <w:rPr>
          <w:rFonts w:ascii="Times New Roman" w:hAnsi="Times New Roman" w:cs="Times New Roman"/>
          <w:sz w:val="24"/>
          <w:szCs w:val="24"/>
        </w:rPr>
        <w:t xml:space="preserve">elay </w:t>
      </w:r>
      <w:r w:rsidR="00042DA0">
        <w:rPr>
          <w:rFonts w:ascii="Times New Roman" w:hAnsi="Times New Roman" w:cs="Times New Roman"/>
          <w:sz w:val="24"/>
          <w:szCs w:val="24"/>
        </w:rPr>
        <w:t>S</w:t>
      </w:r>
      <w:r w:rsidRPr="00042DA0">
        <w:rPr>
          <w:rFonts w:ascii="Times New Roman" w:hAnsi="Times New Roman" w:cs="Times New Roman"/>
          <w:sz w:val="24"/>
          <w:szCs w:val="24"/>
        </w:rPr>
        <w:t>ervice to that person. Section 15 relates to the disclosure by Telstra of unlisted numbers to an authorised research entity. Provisions governing authorised research entities are set out in Division 2 of Part 4 of the Regulations. Section 16 relates to the disclosure by an emergency call person to a researcher (contracted by agreement with the ACMA) of information or a document for research into the way emergency numbers are dialled or used.</w:t>
      </w:r>
    </w:p>
    <w:p w14:paraId="7A133F2E" w14:textId="4F10D96C" w:rsidR="00B60509" w:rsidRDefault="00AB043D" w:rsidP="00A100D7">
      <w:pPr>
        <w:shd w:val="clear" w:color="auto" w:fill="FFFFFF"/>
        <w:spacing w:after="240" w:line="240" w:lineRule="auto"/>
        <w:rPr>
          <w:rFonts w:ascii="Times New Roman" w:eastAsia="Times New Roman" w:hAnsi="Times New Roman" w:cs="Times New Roman"/>
          <w:color w:val="000000"/>
          <w:sz w:val="24"/>
          <w:szCs w:val="24"/>
          <w:lang w:eastAsia="en-AU"/>
        </w:rPr>
      </w:pPr>
      <w:r w:rsidRPr="00261CDF">
        <w:rPr>
          <w:rFonts w:ascii="Times New Roman" w:eastAsia="Times New Roman" w:hAnsi="Times New Roman" w:cs="Times New Roman"/>
          <w:color w:val="000000"/>
          <w:sz w:val="24"/>
          <w:szCs w:val="24"/>
          <w:lang w:eastAsia="en-AU"/>
        </w:rPr>
        <w:t>Part 2 requires service providers to destroy the information that they have collected if the destruction is reasonable, including destruction when the information is no longer required by the carriage service provider (paragraph </w:t>
      </w:r>
      <w:r w:rsidR="00582B92">
        <w:rPr>
          <w:rFonts w:ascii="Times New Roman" w:eastAsia="Times New Roman" w:hAnsi="Times New Roman" w:cs="Times New Roman"/>
          <w:color w:val="000000"/>
          <w:sz w:val="24"/>
          <w:szCs w:val="24"/>
          <w:lang w:eastAsia="en-AU"/>
        </w:rPr>
        <w:t>8</w:t>
      </w:r>
      <w:r w:rsidRPr="00261CDF">
        <w:rPr>
          <w:rFonts w:ascii="Times New Roman" w:eastAsia="Times New Roman" w:hAnsi="Times New Roman" w:cs="Times New Roman"/>
          <w:color w:val="000000"/>
          <w:sz w:val="24"/>
          <w:szCs w:val="24"/>
          <w:lang w:eastAsia="en-AU"/>
        </w:rPr>
        <w:t xml:space="preserve">(1)(d)). The aim is to ensure that information is not retained when it is no longer required. </w:t>
      </w:r>
      <w:r w:rsidR="00582B92">
        <w:rPr>
          <w:rFonts w:ascii="Times New Roman" w:eastAsia="Times New Roman" w:hAnsi="Times New Roman" w:cs="Times New Roman"/>
          <w:color w:val="000000"/>
          <w:sz w:val="24"/>
          <w:szCs w:val="24"/>
          <w:lang w:eastAsia="en-AU"/>
        </w:rPr>
        <w:t>Australian</w:t>
      </w:r>
      <w:r w:rsidRPr="00261CDF">
        <w:rPr>
          <w:rFonts w:ascii="Times New Roman" w:eastAsia="Times New Roman" w:hAnsi="Times New Roman" w:cs="Times New Roman"/>
          <w:color w:val="000000"/>
          <w:sz w:val="24"/>
          <w:szCs w:val="24"/>
          <w:lang w:eastAsia="en-AU"/>
        </w:rPr>
        <w:t xml:space="preserve"> Privacy Principle 4.2 in the </w:t>
      </w:r>
      <w:r w:rsidRPr="00582B92">
        <w:rPr>
          <w:rFonts w:ascii="Times New Roman" w:eastAsia="Times New Roman" w:hAnsi="Times New Roman" w:cs="Times New Roman"/>
          <w:iCs/>
          <w:color w:val="000000"/>
          <w:sz w:val="24"/>
          <w:szCs w:val="24"/>
          <w:lang w:eastAsia="en-AU"/>
        </w:rPr>
        <w:t>Privacy Act</w:t>
      </w:r>
      <w:r w:rsidRPr="00261CDF">
        <w:rPr>
          <w:rFonts w:ascii="Times New Roman" w:eastAsia="Times New Roman" w:hAnsi="Times New Roman" w:cs="Times New Roman"/>
          <w:i/>
          <w:iCs/>
          <w:color w:val="000000"/>
          <w:sz w:val="24"/>
          <w:szCs w:val="24"/>
          <w:lang w:eastAsia="en-AU"/>
        </w:rPr>
        <w:t xml:space="preserve"> </w:t>
      </w:r>
      <w:r w:rsidRPr="00261CDF">
        <w:rPr>
          <w:rFonts w:ascii="Times New Roman" w:eastAsia="Times New Roman" w:hAnsi="Times New Roman" w:cs="Times New Roman"/>
          <w:color w:val="000000"/>
          <w:sz w:val="24"/>
          <w:szCs w:val="24"/>
          <w:lang w:eastAsia="en-AU"/>
        </w:rPr>
        <w:t>also imposes a requirement on organisations to take reasonable steps to destroy or permanently de</w:t>
      </w:r>
      <w:r w:rsidRPr="00261CDF">
        <w:rPr>
          <w:rFonts w:ascii="Times New Roman" w:eastAsia="Times New Roman" w:hAnsi="Times New Roman" w:cs="Times New Roman"/>
          <w:color w:val="000000"/>
          <w:sz w:val="24"/>
          <w:szCs w:val="24"/>
          <w:lang w:eastAsia="en-AU"/>
        </w:rPr>
        <w:noBreakHyphen/>
        <w:t>identify personal information if it is no longer needed for any purpose for which the information may be used or disclosed under the </w:t>
      </w:r>
      <w:r w:rsidRPr="00582B92">
        <w:rPr>
          <w:rFonts w:ascii="Times New Roman" w:eastAsia="Times New Roman" w:hAnsi="Times New Roman" w:cs="Times New Roman"/>
          <w:iCs/>
          <w:color w:val="000000"/>
          <w:sz w:val="24"/>
          <w:szCs w:val="24"/>
          <w:lang w:eastAsia="en-AU"/>
        </w:rPr>
        <w:t>Privacy Act</w:t>
      </w:r>
      <w:r w:rsidRPr="00261CDF">
        <w:rPr>
          <w:rFonts w:ascii="Times New Roman" w:eastAsia="Times New Roman" w:hAnsi="Times New Roman" w:cs="Times New Roman"/>
          <w:color w:val="000000"/>
          <w:sz w:val="24"/>
          <w:szCs w:val="24"/>
          <w:lang w:eastAsia="en-AU"/>
        </w:rPr>
        <w:t>.</w:t>
      </w:r>
    </w:p>
    <w:p w14:paraId="36161965" w14:textId="2BB3A454" w:rsidR="00AB043D" w:rsidRDefault="00AB043D" w:rsidP="00116173">
      <w:pPr>
        <w:shd w:val="clear" w:color="auto" w:fill="FFFFFF"/>
        <w:spacing w:after="240" w:line="240" w:lineRule="auto"/>
        <w:rPr>
          <w:rFonts w:ascii="Times New Roman" w:eastAsia="Times New Roman" w:hAnsi="Times New Roman" w:cs="Times New Roman"/>
          <w:color w:val="000000"/>
          <w:sz w:val="24"/>
          <w:szCs w:val="24"/>
          <w:lang w:eastAsia="en-AU"/>
        </w:rPr>
      </w:pPr>
      <w:r w:rsidRPr="00261CDF">
        <w:rPr>
          <w:rFonts w:ascii="Times New Roman" w:eastAsia="Times New Roman" w:hAnsi="Times New Roman" w:cs="Times New Roman"/>
          <w:color w:val="000000"/>
          <w:sz w:val="24"/>
          <w:szCs w:val="24"/>
          <w:lang w:eastAsia="en-AU"/>
        </w:rPr>
        <w:t xml:space="preserve">In addition to those safeguards, Part 13 of the </w:t>
      </w:r>
      <w:r w:rsidR="003B2E35">
        <w:rPr>
          <w:rFonts w:ascii="Times New Roman" w:eastAsia="Times New Roman" w:hAnsi="Times New Roman" w:cs="Times New Roman"/>
          <w:color w:val="000000"/>
          <w:sz w:val="24"/>
          <w:szCs w:val="24"/>
          <w:lang w:eastAsia="en-AU"/>
        </w:rPr>
        <w:t xml:space="preserve">Telecommunications </w:t>
      </w:r>
      <w:r w:rsidRPr="00261CDF">
        <w:rPr>
          <w:rFonts w:ascii="Times New Roman" w:eastAsia="Times New Roman" w:hAnsi="Times New Roman" w:cs="Times New Roman"/>
          <w:color w:val="000000"/>
          <w:sz w:val="24"/>
          <w:szCs w:val="24"/>
          <w:lang w:eastAsia="en-AU"/>
        </w:rPr>
        <w:t xml:space="preserve">Act is directed at protecting the confidentiality of </w:t>
      </w:r>
      <w:r w:rsidR="002C282E">
        <w:rPr>
          <w:rFonts w:ascii="Times New Roman" w:eastAsia="Times New Roman" w:hAnsi="Times New Roman" w:cs="Times New Roman"/>
          <w:color w:val="000000"/>
          <w:sz w:val="24"/>
          <w:szCs w:val="24"/>
          <w:lang w:eastAsia="en-AU"/>
        </w:rPr>
        <w:t xml:space="preserve">customers’ </w:t>
      </w:r>
      <w:r w:rsidRPr="00261CDF">
        <w:rPr>
          <w:rFonts w:ascii="Times New Roman" w:eastAsia="Times New Roman" w:hAnsi="Times New Roman" w:cs="Times New Roman"/>
          <w:color w:val="000000"/>
          <w:sz w:val="24"/>
          <w:szCs w:val="24"/>
          <w:lang w:eastAsia="en-AU"/>
        </w:rPr>
        <w:t xml:space="preserve">personal information held by CSPs. The disclosure or use of such information is prohibited except in limited circumstances, such as for purposes relating to the enforcement of the criminal law, assisting the ACMA to carry out its functions or powers, or providing emergency warnings. </w:t>
      </w:r>
      <w:r w:rsidR="002C282E">
        <w:rPr>
          <w:rFonts w:ascii="Times New Roman" w:eastAsia="Times New Roman" w:hAnsi="Times New Roman" w:cs="Times New Roman"/>
          <w:color w:val="000000"/>
          <w:sz w:val="24"/>
          <w:szCs w:val="24"/>
          <w:lang w:eastAsia="en-AU"/>
        </w:rPr>
        <w:br/>
      </w:r>
      <w:r w:rsidRPr="00261CDF">
        <w:rPr>
          <w:rFonts w:ascii="Times New Roman" w:eastAsia="Times New Roman" w:hAnsi="Times New Roman" w:cs="Times New Roman"/>
          <w:color w:val="000000"/>
          <w:sz w:val="24"/>
          <w:szCs w:val="24"/>
          <w:lang w:eastAsia="en-AU"/>
        </w:rPr>
        <w:lastRenderedPageBreak/>
        <w:t xml:space="preserve">Part 13 also imposes a range of record-keeping requirements on CSPs in relation to authorised disclosures or uses of information. The Information Commissioner (within the meaning of </w:t>
      </w:r>
      <w:r w:rsidR="002C282E">
        <w:rPr>
          <w:rFonts w:ascii="Times New Roman" w:eastAsia="Times New Roman" w:hAnsi="Times New Roman" w:cs="Times New Roman"/>
          <w:color w:val="000000"/>
          <w:sz w:val="24"/>
          <w:szCs w:val="24"/>
          <w:lang w:eastAsia="en-AU"/>
        </w:rPr>
        <w:t xml:space="preserve">section 3A of </w:t>
      </w:r>
      <w:r w:rsidRPr="00261CDF">
        <w:rPr>
          <w:rFonts w:ascii="Times New Roman" w:eastAsia="Times New Roman" w:hAnsi="Times New Roman" w:cs="Times New Roman"/>
          <w:color w:val="000000"/>
          <w:sz w:val="24"/>
          <w:szCs w:val="24"/>
          <w:lang w:eastAsia="en-AU"/>
        </w:rPr>
        <w:t xml:space="preserve">the </w:t>
      </w:r>
      <w:r w:rsidRPr="00261CDF">
        <w:rPr>
          <w:rFonts w:ascii="Times New Roman" w:eastAsia="Times New Roman" w:hAnsi="Times New Roman" w:cs="Times New Roman"/>
          <w:i/>
          <w:color w:val="000000"/>
          <w:sz w:val="24"/>
          <w:szCs w:val="24"/>
          <w:lang w:eastAsia="en-AU"/>
        </w:rPr>
        <w:t>Australian Information Commissioner Act 2010</w:t>
      </w:r>
      <w:r w:rsidRPr="00261CDF">
        <w:rPr>
          <w:rFonts w:ascii="Times New Roman" w:eastAsia="Times New Roman" w:hAnsi="Times New Roman" w:cs="Times New Roman"/>
          <w:color w:val="000000"/>
          <w:sz w:val="24"/>
          <w:szCs w:val="24"/>
          <w:lang w:eastAsia="en-AU"/>
        </w:rPr>
        <w:t xml:space="preserve">) has the function of monitoring compliance with, and reporting to the </w:t>
      </w:r>
      <w:r w:rsidR="002C282E">
        <w:rPr>
          <w:rFonts w:ascii="Times New Roman" w:eastAsia="Times New Roman" w:hAnsi="Times New Roman" w:cs="Times New Roman"/>
          <w:color w:val="000000"/>
          <w:sz w:val="24"/>
          <w:szCs w:val="24"/>
          <w:lang w:eastAsia="en-AU"/>
        </w:rPr>
        <w:t xml:space="preserve">relevant </w:t>
      </w:r>
      <w:r w:rsidRPr="00261CDF">
        <w:rPr>
          <w:rFonts w:ascii="Times New Roman" w:eastAsia="Times New Roman" w:hAnsi="Times New Roman" w:cs="Times New Roman"/>
          <w:color w:val="000000"/>
          <w:sz w:val="24"/>
          <w:szCs w:val="24"/>
          <w:lang w:eastAsia="en-AU"/>
        </w:rPr>
        <w:t>Minister, in relation to these record-keeping requirements, and on whether the records indicate compliance with limitations imposed on disclosure and use of personal information held by CSPs.</w:t>
      </w:r>
    </w:p>
    <w:p w14:paraId="7C44554E" w14:textId="77777777" w:rsidR="00B60509" w:rsidRPr="00261CDF" w:rsidRDefault="00B60509" w:rsidP="00B60509">
      <w:pPr>
        <w:shd w:val="clear" w:color="auto" w:fill="FFFFFF"/>
        <w:spacing w:after="240" w:line="240" w:lineRule="auto"/>
        <w:rPr>
          <w:rFonts w:ascii="Times New Roman" w:eastAsia="Times New Roman" w:hAnsi="Times New Roman" w:cs="Times New Roman"/>
          <w:color w:val="000000"/>
          <w:sz w:val="20"/>
          <w:szCs w:val="20"/>
          <w:lang w:eastAsia="en-AU"/>
        </w:rPr>
      </w:pPr>
      <w:r w:rsidRPr="00261CDF">
        <w:rPr>
          <w:rFonts w:ascii="Times New Roman" w:eastAsia="Times New Roman" w:hAnsi="Times New Roman" w:cs="Times New Roman"/>
          <w:color w:val="000000"/>
          <w:sz w:val="24"/>
          <w:szCs w:val="24"/>
          <w:lang w:eastAsia="en-AU"/>
        </w:rPr>
        <w:t xml:space="preserve">In conclusion, the collection, use, storage and disclosure of personal information enabled by </w:t>
      </w:r>
      <w:r>
        <w:rPr>
          <w:rFonts w:ascii="Times New Roman" w:eastAsia="Times New Roman" w:hAnsi="Times New Roman" w:cs="Times New Roman"/>
          <w:color w:val="000000"/>
          <w:sz w:val="24"/>
          <w:szCs w:val="24"/>
          <w:lang w:eastAsia="en-AU"/>
        </w:rPr>
        <w:t>Part 2 are neither ‘</w:t>
      </w:r>
      <w:r w:rsidRPr="00261CDF">
        <w:rPr>
          <w:rFonts w:ascii="Times New Roman" w:eastAsia="Times New Roman" w:hAnsi="Times New Roman" w:cs="Times New Roman"/>
          <w:color w:val="000000"/>
          <w:sz w:val="24"/>
          <w:szCs w:val="24"/>
          <w:lang w:eastAsia="en-AU"/>
        </w:rPr>
        <w:t>unlawful</w:t>
      </w:r>
      <w:r>
        <w:rPr>
          <w:rFonts w:ascii="Times New Roman" w:eastAsia="Times New Roman" w:hAnsi="Times New Roman" w:cs="Times New Roman"/>
          <w:color w:val="000000"/>
          <w:sz w:val="24"/>
          <w:szCs w:val="24"/>
          <w:lang w:eastAsia="en-AU"/>
        </w:rPr>
        <w:t>’</w:t>
      </w:r>
      <w:r w:rsidRPr="00261CDF">
        <w:rPr>
          <w:rFonts w:ascii="Times New Roman" w:eastAsia="Times New Roman" w:hAnsi="Times New Roman" w:cs="Times New Roman"/>
          <w:color w:val="000000"/>
          <w:sz w:val="24"/>
          <w:szCs w:val="24"/>
          <w:lang w:eastAsia="en-AU"/>
        </w:rPr>
        <w:t xml:space="preserve"> nor </w:t>
      </w:r>
      <w:r>
        <w:rPr>
          <w:rFonts w:ascii="Times New Roman" w:eastAsia="Times New Roman" w:hAnsi="Times New Roman" w:cs="Times New Roman"/>
          <w:color w:val="000000"/>
          <w:sz w:val="24"/>
          <w:szCs w:val="24"/>
          <w:lang w:eastAsia="en-AU"/>
        </w:rPr>
        <w:t>‘</w:t>
      </w:r>
      <w:r w:rsidRPr="00261CDF">
        <w:rPr>
          <w:rFonts w:ascii="Times New Roman" w:eastAsia="Times New Roman" w:hAnsi="Times New Roman" w:cs="Times New Roman"/>
          <w:color w:val="000000"/>
          <w:sz w:val="24"/>
          <w:szCs w:val="24"/>
          <w:lang w:eastAsia="en-AU"/>
        </w:rPr>
        <w:t>arbitrary</w:t>
      </w:r>
      <w:r>
        <w:rPr>
          <w:rFonts w:ascii="Times New Roman" w:eastAsia="Times New Roman" w:hAnsi="Times New Roman" w:cs="Times New Roman"/>
          <w:color w:val="000000"/>
          <w:sz w:val="24"/>
          <w:szCs w:val="24"/>
          <w:lang w:eastAsia="en-AU"/>
        </w:rPr>
        <w:t>’</w:t>
      </w:r>
      <w:r w:rsidRPr="00261CDF">
        <w:rPr>
          <w:rFonts w:ascii="Times New Roman" w:eastAsia="Times New Roman" w:hAnsi="Times New Roman" w:cs="Times New Roman"/>
          <w:color w:val="000000"/>
          <w:sz w:val="24"/>
          <w:szCs w:val="24"/>
          <w:lang w:eastAsia="en-AU"/>
        </w:rPr>
        <w:t>. The information is collected for the legitimate objectives of law enforcement and national security. The type of personal information authorised to be collected, and the safeguards included in the Act and Regulat</w:t>
      </w:r>
      <w:r>
        <w:rPr>
          <w:rFonts w:ascii="Times New Roman" w:eastAsia="Times New Roman" w:hAnsi="Times New Roman" w:cs="Times New Roman"/>
          <w:color w:val="000000"/>
          <w:sz w:val="24"/>
          <w:szCs w:val="24"/>
          <w:lang w:eastAsia="en-AU"/>
        </w:rPr>
        <w:t>i</w:t>
      </w:r>
      <w:r w:rsidRPr="00261CDF">
        <w:rPr>
          <w:rFonts w:ascii="Times New Roman" w:eastAsia="Times New Roman" w:hAnsi="Times New Roman" w:cs="Times New Roman"/>
          <w:color w:val="000000"/>
          <w:sz w:val="24"/>
          <w:szCs w:val="24"/>
          <w:lang w:eastAsia="en-AU"/>
        </w:rPr>
        <w:t>ons around the subsequent use and disclosure of that personal information, are reasonable, necessary and proportionate to these objectives.</w:t>
      </w:r>
    </w:p>
    <w:p w14:paraId="64898A9B" w14:textId="305B6B88" w:rsidR="00B60509" w:rsidRDefault="00B60509" w:rsidP="00B60509">
      <w:pPr>
        <w:shd w:val="clear" w:color="auto" w:fill="FFFFFF"/>
        <w:spacing w:after="240" w:line="240" w:lineRule="auto"/>
        <w:rPr>
          <w:rFonts w:ascii="Times New Roman" w:eastAsia="Times New Roman" w:hAnsi="Times New Roman" w:cs="Times New Roman"/>
          <w:color w:val="000000"/>
          <w:sz w:val="24"/>
          <w:szCs w:val="24"/>
          <w:lang w:eastAsia="en-AU"/>
        </w:rPr>
      </w:pPr>
      <w:r w:rsidRPr="00143A86">
        <w:rPr>
          <w:rFonts w:ascii="Times New Roman" w:eastAsia="Times New Roman" w:hAnsi="Times New Roman" w:cs="Times New Roman"/>
          <w:color w:val="000000"/>
          <w:sz w:val="24"/>
          <w:szCs w:val="24"/>
          <w:lang w:eastAsia="en-AU"/>
        </w:rPr>
        <w:t>Further, it should be noted that the service provider determination made by the ACMA would be a disallowable instrument and will therefore be subject to Parliamentary scrutiny and require its own statement of compatibility. This provides a further safeguard against the occurrence of any arbitrary interference with privacy.</w:t>
      </w:r>
    </w:p>
    <w:p w14:paraId="1D9A4FC9" w14:textId="7A202A14" w:rsidR="00166C32" w:rsidRPr="00166C32" w:rsidRDefault="00166C32" w:rsidP="00166C32">
      <w:pPr>
        <w:shd w:val="clear" w:color="auto" w:fill="FFFFFF"/>
        <w:spacing w:after="240" w:line="240" w:lineRule="auto"/>
        <w:rPr>
          <w:rFonts w:ascii="Times New Roman" w:eastAsia="Times New Roman" w:hAnsi="Times New Roman" w:cs="Times New Roman"/>
          <w:b/>
          <w:color w:val="000000"/>
          <w:sz w:val="24"/>
          <w:szCs w:val="24"/>
          <w:lang w:eastAsia="en-AU"/>
        </w:rPr>
      </w:pPr>
      <w:r w:rsidRPr="00621B91">
        <w:rPr>
          <w:rFonts w:ascii="Times New Roman" w:eastAsia="Times New Roman" w:hAnsi="Times New Roman" w:cs="Times New Roman"/>
          <w:b/>
          <w:color w:val="000000"/>
          <w:sz w:val="24"/>
          <w:szCs w:val="24"/>
          <w:lang w:eastAsia="en-AU"/>
        </w:rPr>
        <w:t xml:space="preserve">Part 4 </w:t>
      </w:r>
      <w:r w:rsidR="00920C5A">
        <w:rPr>
          <w:rFonts w:ascii="Times New Roman" w:eastAsia="Times New Roman" w:hAnsi="Times New Roman" w:cs="Times New Roman"/>
          <w:b/>
          <w:color w:val="000000"/>
          <w:sz w:val="24"/>
          <w:szCs w:val="24"/>
          <w:lang w:eastAsia="en-AU"/>
        </w:rPr>
        <w:t xml:space="preserve">of </w:t>
      </w:r>
      <w:r w:rsidRPr="00166C32">
        <w:rPr>
          <w:rFonts w:ascii="Times New Roman" w:eastAsia="Times New Roman" w:hAnsi="Times New Roman" w:cs="Times New Roman"/>
          <w:b/>
          <w:color w:val="000000"/>
          <w:sz w:val="24"/>
          <w:szCs w:val="24"/>
          <w:lang w:eastAsia="en-AU"/>
        </w:rPr>
        <w:t xml:space="preserve">the Regulations and the right to privacy </w:t>
      </w:r>
    </w:p>
    <w:p w14:paraId="2EDF05D6" w14:textId="0F32EF83" w:rsidR="00CA2BBF" w:rsidRPr="00582B92" w:rsidRDefault="00920C5A" w:rsidP="00CA2BBF">
      <w:pPr>
        <w:rPr>
          <w:rFonts w:ascii="Times New Roman" w:hAnsi="Times New Roman" w:cs="Times New Roman"/>
          <w:sz w:val="24"/>
          <w:szCs w:val="24"/>
        </w:rPr>
      </w:pPr>
      <w:r>
        <w:rPr>
          <w:rFonts w:ascii="Times New Roman" w:hAnsi="Times New Roman" w:cs="Times New Roman"/>
          <w:sz w:val="24"/>
          <w:szCs w:val="24"/>
        </w:rPr>
        <w:lastRenderedPageBreak/>
        <w:t xml:space="preserve">Firstly, it should be noted </w:t>
      </w:r>
      <w:r w:rsidR="00CA2BBF" w:rsidRPr="00582B92">
        <w:rPr>
          <w:rFonts w:ascii="Times New Roman" w:hAnsi="Times New Roman" w:cs="Times New Roman"/>
          <w:sz w:val="24"/>
          <w:szCs w:val="24"/>
        </w:rPr>
        <w:t xml:space="preserve">that all research authorisations granted by the ACMA are covered by the Commonwealth Contract Terms, with the proviso that these can be superseded by any additional terms and conditions in a panel Deed of Standing Offer or the executed Research Work Order. </w:t>
      </w:r>
    </w:p>
    <w:p w14:paraId="3CEFA761" w14:textId="77777777" w:rsidR="00CA2BBF" w:rsidRPr="00582B92" w:rsidRDefault="00CA2BBF" w:rsidP="00CA2BBF">
      <w:pPr>
        <w:rPr>
          <w:rFonts w:ascii="Times New Roman" w:hAnsi="Times New Roman" w:cs="Times New Roman"/>
          <w:sz w:val="24"/>
          <w:szCs w:val="24"/>
        </w:rPr>
      </w:pPr>
      <w:r w:rsidRPr="00582B92">
        <w:rPr>
          <w:rFonts w:ascii="Times New Roman" w:hAnsi="Times New Roman" w:cs="Times New Roman"/>
          <w:sz w:val="24"/>
          <w:szCs w:val="24"/>
        </w:rPr>
        <w:t xml:space="preserve">The </w:t>
      </w:r>
      <w:hyperlink r:id="rId13" w:history="1">
        <w:r w:rsidRPr="00582B92">
          <w:rPr>
            <w:rStyle w:val="Hyperlink"/>
            <w:rFonts w:ascii="Times New Roman" w:hAnsi="Times New Roman" w:cs="Times New Roman"/>
            <w:sz w:val="24"/>
            <w:szCs w:val="24"/>
          </w:rPr>
          <w:t>Commonwealth Contract Terms</w:t>
        </w:r>
      </w:hyperlink>
      <w:r w:rsidRPr="00582B92">
        <w:rPr>
          <w:rFonts w:ascii="Times New Roman" w:hAnsi="Times New Roman" w:cs="Times New Roman"/>
          <w:sz w:val="24"/>
          <w:szCs w:val="24"/>
        </w:rPr>
        <w:t xml:space="preserve"> includes the following:</w:t>
      </w:r>
    </w:p>
    <w:p w14:paraId="50F4F666" w14:textId="77777777" w:rsidR="00CA2BBF" w:rsidRPr="00920C5A" w:rsidRDefault="00CA2BBF" w:rsidP="00CA2BBF">
      <w:pPr>
        <w:rPr>
          <w:rFonts w:ascii="Times New Roman" w:hAnsi="Times New Roman" w:cs="Times New Roman"/>
          <w:sz w:val="24"/>
          <w:szCs w:val="24"/>
        </w:rPr>
      </w:pPr>
      <w:r w:rsidRPr="00920C5A">
        <w:rPr>
          <w:rFonts w:ascii="Times New Roman" w:hAnsi="Times New Roman" w:cs="Times New Roman"/>
          <w:bCs/>
          <w:sz w:val="24"/>
          <w:szCs w:val="24"/>
        </w:rPr>
        <w:t>C.C.22 Compliance with Commonwealth Laws and Policies</w:t>
      </w:r>
      <w:r w:rsidRPr="00920C5A">
        <w:rPr>
          <w:rFonts w:ascii="Times New Roman" w:hAnsi="Times New Roman" w:cs="Times New Roman"/>
          <w:sz w:val="24"/>
          <w:szCs w:val="24"/>
        </w:rPr>
        <w:t>.</w:t>
      </w:r>
    </w:p>
    <w:p w14:paraId="609D8FCE" w14:textId="77777777" w:rsidR="00CA2BBF" w:rsidRPr="00582B92" w:rsidRDefault="00CA2BBF" w:rsidP="00CA2BBF">
      <w:pPr>
        <w:rPr>
          <w:rFonts w:ascii="Times New Roman" w:hAnsi="Times New Roman" w:cs="Times New Roman"/>
          <w:i/>
          <w:sz w:val="24"/>
          <w:szCs w:val="24"/>
        </w:rPr>
      </w:pPr>
      <w:r w:rsidRPr="00582B92">
        <w:rPr>
          <w:rFonts w:ascii="Times New Roman" w:hAnsi="Times New Roman" w:cs="Times New Roman"/>
          <w:i/>
          <w:sz w:val="24"/>
          <w:szCs w:val="24"/>
        </w:rPr>
        <w:t>Section B. Privacy Act 1988 (Cth) Requirements: In providing the Goods and/or Services, the Supplier agrees to comply, and to ensure that its officers, employees, agents and subcontractors comply with the Privacy Act 1988 (Cth) and not to do anything, which if done by the Customer would breach an Australian Privacy Principle as defined in that Act.</w:t>
      </w:r>
    </w:p>
    <w:p w14:paraId="17A2A921" w14:textId="4AAF5F73" w:rsidR="00CA2BBF" w:rsidRPr="00582B92" w:rsidRDefault="00CA2BBF" w:rsidP="00CA2BBF">
      <w:pPr>
        <w:rPr>
          <w:rFonts w:ascii="Times New Roman" w:hAnsi="Times New Roman" w:cs="Times New Roman"/>
          <w:sz w:val="24"/>
          <w:szCs w:val="24"/>
        </w:rPr>
      </w:pPr>
      <w:r w:rsidRPr="00582B92">
        <w:rPr>
          <w:rFonts w:ascii="Times New Roman" w:hAnsi="Times New Roman" w:cs="Times New Roman"/>
          <w:sz w:val="24"/>
          <w:szCs w:val="24"/>
        </w:rPr>
        <w:t xml:space="preserve">In addition, </w:t>
      </w:r>
      <w:r w:rsidR="00920C5A">
        <w:rPr>
          <w:rFonts w:ascii="Times New Roman" w:hAnsi="Times New Roman" w:cs="Times New Roman"/>
          <w:sz w:val="24"/>
          <w:szCs w:val="24"/>
        </w:rPr>
        <w:t xml:space="preserve">the grant of a research authorisation by the </w:t>
      </w:r>
      <w:r w:rsidRPr="00582B92">
        <w:rPr>
          <w:rFonts w:ascii="Times New Roman" w:hAnsi="Times New Roman" w:cs="Times New Roman"/>
          <w:sz w:val="24"/>
          <w:szCs w:val="24"/>
        </w:rPr>
        <w:t xml:space="preserve">ACMA generally include the additional text: </w:t>
      </w:r>
    </w:p>
    <w:p w14:paraId="563F21EA" w14:textId="77777777" w:rsidR="00CA2BBF" w:rsidRPr="00920C5A" w:rsidRDefault="00CA2BBF" w:rsidP="00CA2BBF">
      <w:pPr>
        <w:rPr>
          <w:rFonts w:ascii="Times New Roman" w:hAnsi="Times New Roman" w:cs="Times New Roman"/>
          <w:i/>
          <w:sz w:val="24"/>
          <w:szCs w:val="24"/>
        </w:rPr>
      </w:pPr>
      <w:r w:rsidRPr="00920C5A">
        <w:rPr>
          <w:rFonts w:ascii="Times New Roman" w:hAnsi="Times New Roman" w:cs="Times New Roman"/>
          <w:i/>
          <w:sz w:val="24"/>
          <w:szCs w:val="24"/>
        </w:rPr>
        <w:t xml:space="preserve">The Supplier (researcher) will also be bound by the </w:t>
      </w:r>
      <w:hyperlink r:id="rId14" w:history="1">
        <w:r w:rsidRPr="00920C5A">
          <w:rPr>
            <w:rStyle w:val="Hyperlink"/>
            <w:rFonts w:ascii="Times New Roman" w:hAnsi="Times New Roman" w:cs="Times New Roman"/>
            <w:i/>
            <w:sz w:val="24"/>
            <w:szCs w:val="24"/>
          </w:rPr>
          <w:t>Privacy (Market and Social Research) Code 2014</w:t>
        </w:r>
      </w:hyperlink>
      <w:r w:rsidRPr="00920C5A">
        <w:rPr>
          <w:rFonts w:ascii="Times New Roman" w:hAnsi="Times New Roman" w:cs="Times New Roman"/>
          <w:i/>
          <w:sz w:val="24"/>
          <w:szCs w:val="24"/>
        </w:rPr>
        <w:t xml:space="preserve"> and the </w:t>
      </w:r>
      <w:hyperlink r:id="rId15" w:history="1">
        <w:r w:rsidRPr="00920C5A">
          <w:rPr>
            <w:rStyle w:val="Hyperlink"/>
            <w:rFonts w:ascii="Times New Roman" w:hAnsi="Times New Roman" w:cs="Times New Roman"/>
            <w:i/>
            <w:sz w:val="24"/>
            <w:szCs w:val="24"/>
          </w:rPr>
          <w:t>AMSRS Code of Professional Behaviour</w:t>
        </w:r>
      </w:hyperlink>
      <w:r w:rsidRPr="00920C5A">
        <w:rPr>
          <w:rFonts w:ascii="Times New Roman" w:hAnsi="Times New Roman" w:cs="Times New Roman"/>
          <w:i/>
          <w:sz w:val="24"/>
          <w:szCs w:val="24"/>
        </w:rPr>
        <w:t>, and will adhere to the Australian Privacy Principles under the Privacy Act 1988 (Cth).</w:t>
      </w:r>
    </w:p>
    <w:p w14:paraId="131C49E4" w14:textId="0EABEBCD" w:rsidR="00166C32" w:rsidRPr="00166C32" w:rsidRDefault="00166C32" w:rsidP="00166C32">
      <w:pPr>
        <w:shd w:val="clear" w:color="auto" w:fill="FFFFFF"/>
        <w:spacing w:after="240" w:line="240" w:lineRule="auto"/>
        <w:rPr>
          <w:rFonts w:ascii="Times New Roman" w:eastAsia="Times New Roman" w:hAnsi="Times New Roman" w:cs="Times New Roman"/>
          <w:color w:val="000000"/>
          <w:sz w:val="24"/>
          <w:szCs w:val="24"/>
          <w:lang w:eastAsia="en-AU"/>
        </w:rPr>
      </w:pPr>
      <w:r w:rsidRPr="00166C32">
        <w:rPr>
          <w:rFonts w:ascii="Times New Roman" w:eastAsia="Times New Roman" w:hAnsi="Times New Roman" w:cs="Times New Roman"/>
          <w:color w:val="000000"/>
          <w:sz w:val="24"/>
          <w:szCs w:val="24"/>
          <w:lang w:eastAsia="en-AU"/>
        </w:rPr>
        <w:t xml:space="preserve">Under </w:t>
      </w:r>
      <w:r>
        <w:rPr>
          <w:rFonts w:ascii="Times New Roman" w:eastAsia="Times New Roman" w:hAnsi="Times New Roman" w:cs="Times New Roman"/>
          <w:color w:val="000000"/>
          <w:sz w:val="24"/>
          <w:szCs w:val="24"/>
          <w:lang w:eastAsia="en-AU"/>
        </w:rPr>
        <w:t xml:space="preserve">Part 4 of the </w:t>
      </w:r>
      <w:r w:rsidRPr="00166C32">
        <w:rPr>
          <w:rFonts w:ascii="Times New Roman" w:eastAsia="Times New Roman" w:hAnsi="Times New Roman" w:cs="Times New Roman"/>
          <w:color w:val="000000"/>
          <w:sz w:val="24"/>
          <w:szCs w:val="24"/>
          <w:lang w:eastAsia="en-AU"/>
        </w:rPr>
        <w:t xml:space="preserve">Regulations, limited data contained within the IPND would be made available to a research entity through an authorisation scheme administered by the ACMA. </w:t>
      </w:r>
      <w:r w:rsidR="00D8114E">
        <w:rPr>
          <w:rFonts w:ascii="Times New Roman" w:eastAsia="Times New Roman" w:hAnsi="Times New Roman" w:cs="Times New Roman"/>
          <w:color w:val="000000"/>
          <w:sz w:val="24"/>
          <w:szCs w:val="24"/>
          <w:lang w:eastAsia="en-AU"/>
        </w:rPr>
        <w:t>Under subsection 15(2), au</w:t>
      </w:r>
      <w:r w:rsidR="00D8114E">
        <w:rPr>
          <w:rFonts w:ascii="Times New Roman" w:eastAsia="Times New Roman" w:hAnsi="Times New Roman" w:cs="Times New Roman"/>
          <w:color w:val="000000"/>
          <w:sz w:val="24"/>
          <w:szCs w:val="24"/>
          <w:lang w:eastAsia="en-AU"/>
        </w:rPr>
        <w:lastRenderedPageBreak/>
        <w:t>thorised r</w:t>
      </w:r>
      <w:r w:rsidRPr="00166C32">
        <w:rPr>
          <w:rFonts w:ascii="Times New Roman" w:eastAsia="Times New Roman" w:hAnsi="Times New Roman" w:cs="Times New Roman"/>
          <w:color w:val="000000"/>
          <w:sz w:val="24"/>
          <w:szCs w:val="24"/>
          <w:lang w:eastAsia="en-AU"/>
        </w:rPr>
        <w:t>esearch entities will only be permitted to access authorised unlisted mobile numbers and postcode data from the IPND Manager, Telstra, with a valid authorisation. Other personal identifying information will not be disclosed by the IPND Manager. The use and disclosure of the unlisted mobile number information is confined to the purposes set out in the authorisation. At the conclusion of a research authorisation, that information must be destroyed. Any resultant research information must be de-identified before being further used or disclosed.</w:t>
      </w:r>
    </w:p>
    <w:p w14:paraId="57E9C230" w14:textId="77777777" w:rsidR="00166C32" w:rsidRPr="00166C32" w:rsidRDefault="00166C32" w:rsidP="00166C32">
      <w:pPr>
        <w:shd w:val="clear" w:color="auto" w:fill="FFFFFF"/>
        <w:spacing w:after="240" w:line="240" w:lineRule="auto"/>
        <w:rPr>
          <w:rFonts w:ascii="Times New Roman" w:eastAsia="Times New Roman" w:hAnsi="Times New Roman" w:cs="Times New Roman"/>
          <w:color w:val="000000"/>
          <w:sz w:val="24"/>
          <w:szCs w:val="24"/>
          <w:lang w:eastAsia="en-AU"/>
        </w:rPr>
      </w:pPr>
      <w:r w:rsidRPr="00166C32">
        <w:rPr>
          <w:rFonts w:ascii="Times New Roman" w:eastAsia="Times New Roman" w:hAnsi="Times New Roman" w:cs="Times New Roman"/>
          <w:color w:val="000000"/>
          <w:sz w:val="24"/>
          <w:szCs w:val="24"/>
          <w:lang w:eastAsia="en-AU"/>
        </w:rPr>
        <w:t xml:space="preserve">Research entities will be subject to a range of obligations that seek to limit the impact on the privacy of individuals. These safeguards are outlined below: </w:t>
      </w:r>
    </w:p>
    <w:p w14:paraId="15C44B93" w14:textId="6AE923E8" w:rsidR="00166C32" w:rsidRPr="00621B91" w:rsidRDefault="00166C32" w:rsidP="00997B5F">
      <w:pPr>
        <w:pStyle w:val="ListParagraph"/>
        <w:numPr>
          <w:ilvl w:val="1"/>
          <w:numId w:val="17"/>
        </w:numPr>
        <w:shd w:val="clear" w:color="auto" w:fill="FFFFFF"/>
        <w:spacing w:after="240" w:line="240" w:lineRule="auto"/>
        <w:ind w:left="227"/>
        <w:rPr>
          <w:rFonts w:ascii="Times New Roman" w:hAnsi="Times New Roman"/>
          <w:sz w:val="24"/>
          <w:szCs w:val="24"/>
        </w:rPr>
      </w:pPr>
      <w:r w:rsidRPr="00621B91">
        <w:rPr>
          <w:rFonts w:ascii="Times New Roman" w:hAnsi="Times New Roman"/>
          <w:sz w:val="24"/>
          <w:szCs w:val="24"/>
        </w:rPr>
        <w:t xml:space="preserve">Research entities will be required to apply to the ACMA for a research authorisation prior to accessing information from the IPND. Research authorisations will prescribe the kind or kinds of unlisted mobile number information being sought and the reasons for seeking the information </w:t>
      </w:r>
      <w:r w:rsidR="00827EC1">
        <w:rPr>
          <w:rFonts w:ascii="Times New Roman" w:hAnsi="Times New Roman"/>
          <w:sz w:val="24"/>
          <w:szCs w:val="24"/>
        </w:rPr>
        <w:br/>
      </w:r>
      <w:r w:rsidRPr="00621B91">
        <w:rPr>
          <w:rFonts w:ascii="Times New Roman" w:hAnsi="Times New Roman"/>
          <w:sz w:val="24"/>
          <w:szCs w:val="24"/>
        </w:rPr>
        <w:t>(</w:t>
      </w:r>
      <w:r w:rsidR="00827EC1">
        <w:rPr>
          <w:rFonts w:ascii="Times New Roman" w:hAnsi="Times New Roman"/>
          <w:sz w:val="24"/>
          <w:szCs w:val="24"/>
        </w:rPr>
        <w:t>subsection</w:t>
      </w:r>
      <w:r w:rsidRPr="00621B91">
        <w:rPr>
          <w:rFonts w:ascii="Times New Roman" w:hAnsi="Times New Roman"/>
          <w:sz w:val="24"/>
          <w:szCs w:val="24"/>
        </w:rPr>
        <w:t xml:space="preserve"> </w:t>
      </w:r>
      <w:r w:rsidR="00582B92">
        <w:rPr>
          <w:rFonts w:ascii="Times New Roman" w:hAnsi="Times New Roman"/>
          <w:sz w:val="24"/>
          <w:szCs w:val="24"/>
        </w:rPr>
        <w:t>18</w:t>
      </w:r>
      <w:r>
        <w:rPr>
          <w:rFonts w:ascii="Times New Roman" w:hAnsi="Times New Roman"/>
          <w:sz w:val="24"/>
          <w:szCs w:val="24"/>
        </w:rPr>
        <w:t>(1)</w:t>
      </w:r>
      <w:r w:rsidRPr="00621B91">
        <w:rPr>
          <w:rFonts w:ascii="Times New Roman" w:hAnsi="Times New Roman"/>
          <w:sz w:val="24"/>
          <w:szCs w:val="24"/>
        </w:rPr>
        <w:t xml:space="preserve">); </w:t>
      </w:r>
    </w:p>
    <w:p w14:paraId="18ABFE78" w14:textId="7CF33D6F" w:rsidR="00166C32" w:rsidRPr="00621B91" w:rsidRDefault="00166C32" w:rsidP="00997B5F">
      <w:pPr>
        <w:pStyle w:val="ListParagraph"/>
        <w:numPr>
          <w:ilvl w:val="1"/>
          <w:numId w:val="17"/>
        </w:numPr>
        <w:shd w:val="clear" w:color="auto" w:fill="FFFFFF"/>
        <w:spacing w:after="240" w:line="240" w:lineRule="auto"/>
        <w:ind w:left="227"/>
        <w:rPr>
          <w:rFonts w:ascii="Times New Roman" w:hAnsi="Times New Roman"/>
          <w:sz w:val="24"/>
          <w:szCs w:val="24"/>
        </w:rPr>
      </w:pPr>
      <w:r w:rsidRPr="00621B91">
        <w:rPr>
          <w:rFonts w:ascii="Times New Roman" w:hAnsi="Times New Roman"/>
          <w:sz w:val="24"/>
          <w:szCs w:val="24"/>
        </w:rPr>
        <w:t xml:space="preserve">Research authorisations must be accompanied </w:t>
      </w:r>
      <w:r w:rsidR="00D8114E">
        <w:rPr>
          <w:rFonts w:ascii="Times New Roman" w:hAnsi="Times New Roman"/>
          <w:sz w:val="24"/>
          <w:szCs w:val="24"/>
        </w:rPr>
        <w:t>by a privacy impact assessment</w:t>
      </w:r>
      <w:r w:rsidRPr="00621B91">
        <w:rPr>
          <w:rFonts w:ascii="Times New Roman" w:hAnsi="Times New Roman"/>
          <w:sz w:val="24"/>
          <w:szCs w:val="24"/>
        </w:rPr>
        <w:t xml:space="preserve"> (</w:t>
      </w:r>
      <w:r w:rsidR="00854854">
        <w:rPr>
          <w:rFonts w:ascii="Times New Roman" w:hAnsi="Times New Roman"/>
          <w:sz w:val="24"/>
          <w:szCs w:val="24"/>
        </w:rPr>
        <w:t xml:space="preserve">subparagraph </w:t>
      </w:r>
      <w:r>
        <w:rPr>
          <w:rFonts w:ascii="Times New Roman" w:hAnsi="Times New Roman"/>
          <w:sz w:val="24"/>
          <w:szCs w:val="24"/>
        </w:rPr>
        <w:t>1</w:t>
      </w:r>
      <w:r w:rsidR="00582B92">
        <w:rPr>
          <w:rFonts w:ascii="Times New Roman" w:hAnsi="Times New Roman"/>
          <w:sz w:val="24"/>
          <w:szCs w:val="24"/>
        </w:rPr>
        <w:t>8</w:t>
      </w:r>
      <w:r>
        <w:rPr>
          <w:rFonts w:ascii="Times New Roman" w:hAnsi="Times New Roman"/>
          <w:sz w:val="24"/>
          <w:szCs w:val="24"/>
        </w:rPr>
        <w:t>(</w:t>
      </w:r>
      <w:r w:rsidR="00582B92">
        <w:rPr>
          <w:rFonts w:ascii="Times New Roman" w:hAnsi="Times New Roman"/>
          <w:sz w:val="24"/>
          <w:szCs w:val="24"/>
        </w:rPr>
        <w:t>c</w:t>
      </w:r>
      <w:r>
        <w:rPr>
          <w:rFonts w:ascii="Times New Roman" w:hAnsi="Times New Roman"/>
          <w:sz w:val="24"/>
          <w:szCs w:val="24"/>
        </w:rPr>
        <w:t>)(</w:t>
      </w:r>
      <w:r w:rsidR="00582B92">
        <w:rPr>
          <w:rFonts w:ascii="Times New Roman" w:hAnsi="Times New Roman"/>
          <w:sz w:val="24"/>
          <w:szCs w:val="24"/>
        </w:rPr>
        <w:t>ii</w:t>
      </w:r>
      <w:r>
        <w:rPr>
          <w:rFonts w:ascii="Times New Roman" w:hAnsi="Times New Roman"/>
          <w:sz w:val="24"/>
          <w:szCs w:val="24"/>
        </w:rPr>
        <w:t>)</w:t>
      </w:r>
      <w:r w:rsidRPr="00621B91">
        <w:rPr>
          <w:rFonts w:ascii="Times New Roman" w:hAnsi="Times New Roman"/>
          <w:sz w:val="24"/>
          <w:szCs w:val="24"/>
        </w:rPr>
        <w:t>);</w:t>
      </w:r>
    </w:p>
    <w:p w14:paraId="39DB2E6A" w14:textId="1949BA42" w:rsidR="00D52FA7" w:rsidRDefault="00166C32" w:rsidP="00997B5F">
      <w:pPr>
        <w:pStyle w:val="ListParagraph"/>
        <w:numPr>
          <w:ilvl w:val="1"/>
          <w:numId w:val="17"/>
        </w:numPr>
        <w:shd w:val="clear" w:color="auto" w:fill="FFFFFF"/>
        <w:spacing w:after="240" w:line="240" w:lineRule="auto"/>
        <w:ind w:left="227"/>
        <w:rPr>
          <w:rFonts w:ascii="Times New Roman" w:hAnsi="Times New Roman"/>
          <w:sz w:val="24"/>
          <w:szCs w:val="24"/>
        </w:rPr>
      </w:pPr>
      <w:r w:rsidRPr="00621B91">
        <w:rPr>
          <w:rFonts w:ascii="Times New Roman" w:hAnsi="Times New Roman"/>
          <w:sz w:val="24"/>
          <w:szCs w:val="24"/>
        </w:rPr>
        <w:t>The ACMA may take a range of matters into account when considering whether to grant a research authorisation, including the practices, procedures, processes and systems the applicant has in place, or intends to put in place, to comply with the conditions of the authorisation</w:t>
      </w:r>
      <w:r w:rsidR="00582B92">
        <w:rPr>
          <w:rFonts w:ascii="Times New Roman" w:hAnsi="Times New Roman"/>
          <w:sz w:val="24"/>
          <w:szCs w:val="24"/>
        </w:rPr>
        <w:t xml:space="preserve"> (subsection 21</w:t>
      </w:r>
      <w:r w:rsidR="00D52FA7">
        <w:rPr>
          <w:rFonts w:ascii="Times New Roman" w:hAnsi="Times New Roman"/>
          <w:sz w:val="24"/>
          <w:szCs w:val="24"/>
        </w:rPr>
        <w:t>(2</w:t>
      </w:r>
      <w:r w:rsidR="00827EC1">
        <w:rPr>
          <w:rFonts w:ascii="Times New Roman" w:hAnsi="Times New Roman"/>
          <w:sz w:val="24"/>
          <w:szCs w:val="24"/>
        </w:rPr>
        <w:t>)</w:t>
      </w:r>
      <w:r w:rsidR="00D52FA7">
        <w:rPr>
          <w:rFonts w:ascii="Times New Roman" w:hAnsi="Times New Roman"/>
          <w:sz w:val="24"/>
          <w:szCs w:val="24"/>
        </w:rPr>
        <w:t>)</w:t>
      </w:r>
      <w:r w:rsidRPr="00621B91">
        <w:rPr>
          <w:rFonts w:ascii="Times New Roman" w:hAnsi="Times New Roman"/>
          <w:sz w:val="24"/>
          <w:szCs w:val="24"/>
        </w:rPr>
        <w:t>.</w:t>
      </w:r>
      <w:r w:rsidR="00D52FA7" w:rsidRPr="00D52FA7">
        <w:rPr>
          <w:rFonts w:ascii="Times New Roman" w:hAnsi="Times New Roman"/>
          <w:sz w:val="24"/>
          <w:szCs w:val="24"/>
        </w:rPr>
        <w:t xml:space="preserve"> For </w:t>
      </w:r>
      <w:r w:rsidR="00D52FA7">
        <w:rPr>
          <w:rFonts w:ascii="Times New Roman" w:hAnsi="Times New Roman"/>
          <w:sz w:val="24"/>
          <w:szCs w:val="24"/>
        </w:rPr>
        <w:t>example</w:t>
      </w:r>
      <w:r w:rsidR="00D52FA7" w:rsidRPr="00D52FA7">
        <w:rPr>
          <w:rFonts w:ascii="Times New Roman" w:hAnsi="Times New Roman"/>
          <w:sz w:val="24"/>
          <w:szCs w:val="24"/>
        </w:rPr>
        <w:t>,</w:t>
      </w:r>
      <w:r w:rsidR="00D52FA7">
        <w:rPr>
          <w:rFonts w:ascii="Times New Roman" w:hAnsi="Times New Roman"/>
          <w:sz w:val="24"/>
          <w:szCs w:val="24"/>
        </w:rPr>
        <w:t xml:space="preserve"> the </w:t>
      </w:r>
      <w:r w:rsidR="00D52FA7" w:rsidRPr="00621B91">
        <w:rPr>
          <w:rFonts w:ascii="Times New Roman" w:hAnsi="Times New Roman"/>
          <w:sz w:val="24"/>
          <w:szCs w:val="24"/>
        </w:rPr>
        <w:t xml:space="preserve">ACMA will </w:t>
      </w:r>
      <w:r w:rsidR="00CA6CFE">
        <w:rPr>
          <w:rFonts w:ascii="Times New Roman" w:hAnsi="Times New Roman"/>
          <w:sz w:val="24"/>
          <w:szCs w:val="24"/>
        </w:rPr>
        <w:t>cons</w:t>
      </w:r>
      <w:r w:rsidR="00CA2BBF">
        <w:rPr>
          <w:rFonts w:ascii="Times New Roman" w:hAnsi="Times New Roman"/>
          <w:sz w:val="24"/>
          <w:szCs w:val="24"/>
        </w:rPr>
        <w:t>i</w:t>
      </w:r>
      <w:r w:rsidR="00CA6CFE">
        <w:rPr>
          <w:rFonts w:ascii="Times New Roman" w:hAnsi="Times New Roman"/>
          <w:sz w:val="24"/>
          <w:szCs w:val="24"/>
        </w:rPr>
        <w:t>der</w:t>
      </w:r>
      <w:r w:rsidR="00D52FA7">
        <w:rPr>
          <w:rFonts w:ascii="Times New Roman" w:hAnsi="Times New Roman"/>
          <w:sz w:val="24"/>
          <w:szCs w:val="24"/>
        </w:rPr>
        <w:t>:</w:t>
      </w:r>
    </w:p>
    <w:p w14:paraId="6CA76931" w14:textId="263E81CF" w:rsidR="00D52FA7" w:rsidRDefault="00D52FA7" w:rsidP="00997B5F">
      <w:pPr>
        <w:pStyle w:val="ListParagraph"/>
        <w:numPr>
          <w:ilvl w:val="2"/>
          <w:numId w:val="17"/>
        </w:numPr>
        <w:shd w:val="clear" w:color="auto" w:fill="FFFFFF"/>
        <w:spacing w:after="240" w:line="240" w:lineRule="auto"/>
        <w:ind w:left="748" w:hanging="181"/>
        <w:rPr>
          <w:rFonts w:ascii="Times New Roman" w:hAnsi="Times New Roman"/>
          <w:sz w:val="24"/>
          <w:szCs w:val="24"/>
        </w:rPr>
      </w:pPr>
      <w:r w:rsidRPr="00621B91">
        <w:rPr>
          <w:rFonts w:ascii="Times New Roman" w:hAnsi="Times New Roman"/>
          <w:sz w:val="24"/>
          <w:szCs w:val="24"/>
        </w:rPr>
        <w:lastRenderedPageBreak/>
        <w:t xml:space="preserve"> the previous conduct of all entities listed in the application and the extent to which each entity has complied with the conditions of any previous IPND Scheme authorisation granted to it (</w:t>
      </w:r>
      <w:r w:rsidR="00854854">
        <w:rPr>
          <w:rFonts w:ascii="Times New Roman" w:hAnsi="Times New Roman"/>
          <w:sz w:val="24"/>
          <w:szCs w:val="24"/>
        </w:rPr>
        <w:t>paragraph</w:t>
      </w:r>
      <w:r w:rsidR="00582B92">
        <w:rPr>
          <w:rFonts w:ascii="Times New Roman" w:hAnsi="Times New Roman"/>
          <w:sz w:val="24"/>
          <w:szCs w:val="24"/>
        </w:rPr>
        <w:t xml:space="preserve"> 21</w:t>
      </w:r>
      <w:r w:rsidR="00CA6CFE">
        <w:rPr>
          <w:rFonts w:ascii="Times New Roman" w:hAnsi="Times New Roman"/>
          <w:sz w:val="24"/>
          <w:szCs w:val="24"/>
        </w:rPr>
        <w:t>(2)(b)</w:t>
      </w:r>
      <w:r w:rsidRPr="00621B91">
        <w:rPr>
          <w:rFonts w:ascii="Times New Roman" w:hAnsi="Times New Roman"/>
          <w:sz w:val="24"/>
          <w:szCs w:val="24"/>
        </w:rPr>
        <w:t>);</w:t>
      </w:r>
    </w:p>
    <w:p w14:paraId="54A9A7FC" w14:textId="3414B542" w:rsidR="00D52FA7" w:rsidRPr="00621B91" w:rsidRDefault="00D52FA7" w:rsidP="00997B5F">
      <w:pPr>
        <w:pStyle w:val="ListParagraph"/>
        <w:numPr>
          <w:ilvl w:val="2"/>
          <w:numId w:val="17"/>
        </w:numPr>
        <w:shd w:val="clear" w:color="auto" w:fill="FFFFFF"/>
        <w:spacing w:after="240" w:line="240" w:lineRule="auto"/>
        <w:ind w:left="748" w:hanging="181"/>
        <w:rPr>
          <w:rFonts w:ascii="Times New Roman" w:hAnsi="Times New Roman"/>
          <w:sz w:val="24"/>
          <w:szCs w:val="24"/>
        </w:rPr>
      </w:pPr>
      <w:r>
        <w:rPr>
          <w:rFonts w:ascii="Times New Roman" w:hAnsi="Times New Roman"/>
          <w:sz w:val="24"/>
          <w:szCs w:val="24"/>
        </w:rPr>
        <w:t xml:space="preserve">The </w:t>
      </w:r>
      <w:r w:rsidRPr="00074B44">
        <w:rPr>
          <w:rFonts w:ascii="Times New Roman" w:hAnsi="Times New Roman"/>
          <w:sz w:val="24"/>
          <w:szCs w:val="24"/>
        </w:rPr>
        <w:t>extent to which the applicant’s collection, use and disclosure of persona</w:t>
      </w:r>
      <w:r>
        <w:rPr>
          <w:rFonts w:ascii="Times New Roman" w:hAnsi="Times New Roman"/>
          <w:sz w:val="24"/>
          <w:szCs w:val="24"/>
        </w:rPr>
        <w:t xml:space="preserve">l information has complied, or is consistent, with </w:t>
      </w:r>
      <w:r w:rsidRPr="00074B44">
        <w:rPr>
          <w:rFonts w:ascii="Times New Roman" w:hAnsi="Times New Roman"/>
          <w:sz w:val="24"/>
          <w:szCs w:val="24"/>
        </w:rPr>
        <w:t xml:space="preserve">the </w:t>
      </w:r>
      <w:r w:rsidR="0050033C">
        <w:rPr>
          <w:rFonts w:ascii="Times New Roman" w:hAnsi="Times New Roman"/>
          <w:sz w:val="24"/>
          <w:szCs w:val="24"/>
        </w:rPr>
        <w:t>Privacy Act</w:t>
      </w:r>
      <w:r w:rsidR="0050033C">
        <w:rPr>
          <w:rFonts w:ascii="Times New Roman" w:hAnsi="Times New Roman"/>
          <w:sz w:val="24"/>
          <w:szCs w:val="24"/>
        </w:rPr>
        <w:br/>
      </w:r>
      <w:r w:rsidRPr="00074B44">
        <w:rPr>
          <w:rFonts w:ascii="Times New Roman" w:hAnsi="Times New Roman"/>
          <w:sz w:val="24"/>
          <w:szCs w:val="24"/>
        </w:rPr>
        <w:t>(</w:t>
      </w:r>
      <w:r w:rsidR="00E76600">
        <w:rPr>
          <w:rFonts w:ascii="Times New Roman" w:hAnsi="Times New Roman"/>
          <w:sz w:val="24"/>
          <w:szCs w:val="24"/>
        </w:rPr>
        <w:t>paragraph</w:t>
      </w:r>
      <w:r w:rsidR="00CA6CFE">
        <w:rPr>
          <w:rFonts w:ascii="Times New Roman" w:hAnsi="Times New Roman"/>
          <w:sz w:val="24"/>
          <w:szCs w:val="24"/>
        </w:rPr>
        <w:t xml:space="preserve"> 2</w:t>
      </w:r>
      <w:r w:rsidR="00582B92">
        <w:rPr>
          <w:rFonts w:ascii="Times New Roman" w:hAnsi="Times New Roman"/>
          <w:sz w:val="24"/>
          <w:szCs w:val="24"/>
        </w:rPr>
        <w:t>1</w:t>
      </w:r>
      <w:r w:rsidR="00CA6CFE">
        <w:rPr>
          <w:rFonts w:ascii="Times New Roman" w:hAnsi="Times New Roman"/>
          <w:sz w:val="24"/>
          <w:szCs w:val="24"/>
        </w:rPr>
        <w:t>(2)(d)</w:t>
      </w:r>
      <w:r w:rsidRPr="00074B44">
        <w:rPr>
          <w:rFonts w:ascii="Times New Roman" w:hAnsi="Times New Roman"/>
          <w:sz w:val="24"/>
          <w:szCs w:val="24"/>
        </w:rPr>
        <w:t>);</w:t>
      </w:r>
    </w:p>
    <w:p w14:paraId="27982B07" w14:textId="58C0A11E" w:rsidR="00D52FA7" w:rsidRDefault="00166C32" w:rsidP="00997B5F">
      <w:pPr>
        <w:pStyle w:val="ListParagraph"/>
        <w:numPr>
          <w:ilvl w:val="1"/>
          <w:numId w:val="17"/>
        </w:numPr>
        <w:shd w:val="clear" w:color="auto" w:fill="FFFFFF"/>
        <w:spacing w:after="240" w:line="240" w:lineRule="auto"/>
        <w:ind w:left="227"/>
        <w:rPr>
          <w:rFonts w:ascii="Times New Roman" w:hAnsi="Times New Roman"/>
          <w:sz w:val="24"/>
          <w:szCs w:val="24"/>
        </w:rPr>
      </w:pPr>
      <w:r w:rsidRPr="00621B91">
        <w:rPr>
          <w:rFonts w:ascii="Times New Roman" w:hAnsi="Times New Roman"/>
          <w:sz w:val="24"/>
          <w:szCs w:val="24"/>
        </w:rPr>
        <w:t>The ACMA will also have the authority to specify each research entity that would be able to access IPND information when deciding whether to grant a research authorisation</w:t>
      </w:r>
      <w:r w:rsidR="00D52FA7">
        <w:rPr>
          <w:rFonts w:ascii="Times New Roman" w:hAnsi="Times New Roman"/>
          <w:sz w:val="24"/>
          <w:szCs w:val="24"/>
        </w:rPr>
        <w:t xml:space="preserve"> (subsection 2</w:t>
      </w:r>
      <w:r w:rsidR="00582B92">
        <w:rPr>
          <w:rFonts w:ascii="Times New Roman" w:hAnsi="Times New Roman"/>
          <w:sz w:val="24"/>
          <w:szCs w:val="24"/>
        </w:rPr>
        <w:t>2</w:t>
      </w:r>
      <w:r w:rsidR="00D52FA7">
        <w:rPr>
          <w:rFonts w:ascii="Times New Roman" w:hAnsi="Times New Roman"/>
          <w:sz w:val="24"/>
          <w:szCs w:val="24"/>
        </w:rPr>
        <w:t>(2)</w:t>
      </w:r>
      <w:r w:rsidR="00CA6CFE">
        <w:rPr>
          <w:rFonts w:ascii="Times New Roman" w:hAnsi="Times New Roman"/>
          <w:sz w:val="24"/>
          <w:szCs w:val="24"/>
        </w:rPr>
        <w:t>)</w:t>
      </w:r>
      <w:r w:rsidR="00382AEA">
        <w:rPr>
          <w:rFonts w:ascii="Times New Roman" w:hAnsi="Times New Roman"/>
          <w:sz w:val="24"/>
          <w:szCs w:val="24"/>
        </w:rPr>
        <w:t>;</w:t>
      </w:r>
    </w:p>
    <w:p w14:paraId="783F261D" w14:textId="39496A24" w:rsidR="00CA6CFE" w:rsidRDefault="00166C32" w:rsidP="00997B5F">
      <w:pPr>
        <w:pStyle w:val="ListParagraph"/>
        <w:numPr>
          <w:ilvl w:val="1"/>
          <w:numId w:val="17"/>
        </w:numPr>
        <w:shd w:val="clear" w:color="auto" w:fill="FFFFFF"/>
        <w:spacing w:after="240" w:line="240" w:lineRule="auto"/>
        <w:ind w:left="227"/>
        <w:rPr>
          <w:rFonts w:ascii="Times New Roman" w:hAnsi="Times New Roman"/>
          <w:sz w:val="24"/>
          <w:szCs w:val="24"/>
        </w:rPr>
      </w:pPr>
      <w:r w:rsidRPr="00621B91">
        <w:rPr>
          <w:rFonts w:ascii="Times New Roman" w:hAnsi="Times New Roman"/>
          <w:sz w:val="24"/>
          <w:szCs w:val="24"/>
        </w:rPr>
        <w:t xml:space="preserve">Research entities must be covered by the </w:t>
      </w:r>
      <w:r w:rsidRPr="00382AEA">
        <w:rPr>
          <w:rFonts w:ascii="Times New Roman" w:hAnsi="Times New Roman"/>
          <w:sz w:val="24"/>
          <w:szCs w:val="24"/>
        </w:rPr>
        <w:t>Privacy Act</w:t>
      </w:r>
      <w:r w:rsidR="00CA6CFE">
        <w:rPr>
          <w:rFonts w:ascii="Times New Roman" w:hAnsi="Times New Roman"/>
          <w:sz w:val="24"/>
          <w:szCs w:val="24"/>
        </w:rPr>
        <w:t xml:space="preserve"> (section </w:t>
      </w:r>
      <w:r w:rsidR="00582B92">
        <w:rPr>
          <w:rFonts w:ascii="Times New Roman" w:hAnsi="Times New Roman"/>
          <w:sz w:val="24"/>
          <w:szCs w:val="24"/>
        </w:rPr>
        <w:t>28</w:t>
      </w:r>
      <w:r w:rsidR="00CA6CFE">
        <w:rPr>
          <w:rFonts w:ascii="Times New Roman" w:hAnsi="Times New Roman"/>
          <w:sz w:val="24"/>
          <w:szCs w:val="24"/>
        </w:rPr>
        <w:t>)</w:t>
      </w:r>
    </w:p>
    <w:p w14:paraId="12741433" w14:textId="4631C86C" w:rsidR="00166C32" w:rsidRPr="00621B91" w:rsidRDefault="00166C32" w:rsidP="00997B5F">
      <w:pPr>
        <w:pStyle w:val="ListParagraph"/>
        <w:numPr>
          <w:ilvl w:val="1"/>
          <w:numId w:val="17"/>
        </w:numPr>
        <w:shd w:val="clear" w:color="auto" w:fill="FFFFFF"/>
        <w:spacing w:after="240" w:line="240" w:lineRule="auto"/>
        <w:ind w:left="227"/>
        <w:rPr>
          <w:rFonts w:ascii="Times New Roman" w:hAnsi="Times New Roman"/>
          <w:sz w:val="24"/>
          <w:szCs w:val="24"/>
        </w:rPr>
      </w:pPr>
      <w:r w:rsidRPr="00621B91">
        <w:rPr>
          <w:rFonts w:ascii="Times New Roman" w:hAnsi="Times New Roman"/>
          <w:sz w:val="24"/>
          <w:szCs w:val="24"/>
        </w:rPr>
        <w:t>Entities that are exempt from that Act must comply with the Australian Privacy Principles or a registered APP code</w:t>
      </w:r>
      <w:r w:rsidR="00CA6CFE">
        <w:rPr>
          <w:rFonts w:ascii="Times New Roman" w:hAnsi="Times New Roman"/>
          <w:sz w:val="24"/>
          <w:szCs w:val="24"/>
        </w:rPr>
        <w:t xml:space="preserve"> (section 2</w:t>
      </w:r>
      <w:r w:rsidR="00582B92">
        <w:rPr>
          <w:rFonts w:ascii="Times New Roman" w:hAnsi="Times New Roman"/>
          <w:sz w:val="24"/>
          <w:szCs w:val="24"/>
        </w:rPr>
        <w:t>9</w:t>
      </w:r>
      <w:r w:rsidR="00CA6CFE">
        <w:rPr>
          <w:rFonts w:ascii="Times New Roman" w:hAnsi="Times New Roman"/>
          <w:sz w:val="24"/>
          <w:szCs w:val="24"/>
        </w:rPr>
        <w:t>)</w:t>
      </w:r>
      <w:r w:rsidR="00382AEA">
        <w:rPr>
          <w:rFonts w:ascii="Times New Roman" w:hAnsi="Times New Roman"/>
          <w:sz w:val="24"/>
          <w:szCs w:val="24"/>
        </w:rPr>
        <w:t>;</w:t>
      </w:r>
    </w:p>
    <w:p w14:paraId="13CFF3DF" w14:textId="5F028FA0" w:rsidR="00166C32" w:rsidRPr="00621B91" w:rsidRDefault="00166C32" w:rsidP="00997B5F">
      <w:pPr>
        <w:pStyle w:val="ListParagraph"/>
        <w:numPr>
          <w:ilvl w:val="1"/>
          <w:numId w:val="17"/>
        </w:numPr>
        <w:shd w:val="clear" w:color="auto" w:fill="FFFFFF"/>
        <w:spacing w:after="240" w:line="240" w:lineRule="auto"/>
        <w:ind w:left="227"/>
        <w:rPr>
          <w:rFonts w:ascii="Times New Roman" w:hAnsi="Times New Roman"/>
          <w:sz w:val="24"/>
          <w:szCs w:val="24"/>
        </w:rPr>
      </w:pPr>
      <w:r w:rsidRPr="00621B91">
        <w:rPr>
          <w:rFonts w:ascii="Times New Roman" w:hAnsi="Times New Roman"/>
          <w:sz w:val="24"/>
          <w:szCs w:val="24"/>
        </w:rPr>
        <w:t>Research entities will be bound by the conditions set out in an authorisation (</w:t>
      </w:r>
      <w:r w:rsidR="00CA6CFE">
        <w:rPr>
          <w:rFonts w:ascii="Times New Roman" w:hAnsi="Times New Roman"/>
          <w:sz w:val="24"/>
          <w:szCs w:val="24"/>
        </w:rPr>
        <w:t>section 2</w:t>
      </w:r>
      <w:r w:rsidR="00582B92">
        <w:rPr>
          <w:rFonts w:ascii="Times New Roman" w:hAnsi="Times New Roman"/>
          <w:sz w:val="24"/>
          <w:szCs w:val="24"/>
        </w:rPr>
        <w:t>1</w:t>
      </w:r>
      <w:r w:rsidR="00CA6CFE">
        <w:rPr>
          <w:rFonts w:ascii="Times New Roman" w:hAnsi="Times New Roman"/>
          <w:sz w:val="24"/>
          <w:szCs w:val="24"/>
        </w:rPr>
        <w:t>(4))</w:t>
      </w:r>
      <w:r w:rsidRPr="00621B91">
        <w:rPr>
          <w:rFonts w:ascii="Times New Roman" w:hAnsi="Times New Roman"/>
          <w:sz w:val="24"/>
          <w:szCs w:val="24"/>
        </w:rPr>
        <w:t>;</w:t>
      </w:r>
    </w:p>
    <w:p w14:paraId="383A38F7" w14:textId="7155EA0F" w:rsidR="00166C32" w:rsidRPr="00621B91" w:rsidRDefault="00166C32" w:rsidP="00997B5F">
      <w:pPr>
        <w:pStyle w:val="ListParagraph"/>
        <w:numPr>
          <w:ilvl w:val="1"/>
          <w:numId w:val="17"/>
        </w:numPr>
        <w:shd w:val="clear" w:color="auto" w:fill="FFFFFF"/>
        <w:spacing w:after="240" w:line="240" w:lineRule="auto"/>
        <w:ind w:left="227"/>
        <w:rPr>
          <w:rFonts w:ascii="Times New Roman" w:hAnsi="Times New Roman"/>
          <w:sz w:val="24"/>
          <w:szCs w:val="24"/>
        </w:rPr>
      </w:pPr>
      <w:r w:rsidRPr="00621B91">
        <w:rPr>
          <w:rFonts w:ascii="Times New Roman" w:hAnsi="Times New Roman"/>
          <w:sz w:val="24"/>
          <w:szCs w:val="24"/>
        </w:rPr>
        <w:t>Research authorisations will be limited to a period specified by the ACMA which can be no greater 12 months</w:t>
      </w:r>
      <w:r w:rsidR="00582B92">
        <w:rPr>
          <w:rFonts w:ascii="Times New Roman" w:hAnsi="Times New Roman"/>
          <w:sz w:val="24"/>
          <w:szCs w:val="24"/>
        </w:rPr>
        <w:t xml:space="preserve"> (</w:t>
      </w:r>
      <w:r w:rsidR="00854854">
        <w:rPr>
          <w:rFonts w:ascii="Times New Roman" w:hAnsi="Times New Roman"/>
          <w:sz w:val="24"/>
          <w:szCs w:val="24"/>
        </w:rPr>
        <w:t>paragraph</w:t>
      </w:r>
      <w:r w:rsidR="00582B92">
        <w:rPr>
          <w:rFonts w:ascii="Times New Roman" w:hAnsi="Times New Roman"/>
          <w:sz w:val="24"/>
          <w:szCs w:val="24"/>
        </w:rPr>
        <w:t xml:space="preserve"> 22</w:t>
      </w:r>
      <w:r w:rsidR="00CA6CFE">
        <w:rPr>
          <w:rFonts w:ascii="Times New Roman" w:hAnsi="Times New Roman"/>
          <w:sz w:val="24"/>
          <w:szCs w:val="24"/>
        </w:rPr>
        <w:t>(3)(b)</w:t>
      </w:r>
      <w:r w:rsidR="00A238B3">
        <w:rPr>
          <w:rFonts w:ascii="Times New Roman" w:hAnsi="Times New Roman"/>
          <w:sz w:val="24"/>
          <w:szCs w:val="24"/>
        </w:rPr>
        <w:t>)</w:t>
      </w:r>
      <w:r w:rsidRPr="00621B91">
        <w:rPr>
          <w:rFonts w:ascii="Times New Roman" w:hAnsi="Times New Roman"/>
          <w:sz w:val="24"/>
          <w:szCs w:val="24"/>
        </w:rPr>
        <w:t xml:space="preserve">. Research entities will be required to re-apply for an authorisation after this period; </w:t>
      </w:r>
    </w:p>
    <w:p w14:paraId="4D04C93C" w14:textId="47E0EECE" w:rsidR="00166C32" w:rsidRPr="00621B91" w:rsidRDefault="00166C32" w:rsidP="00997B5F">
      <w:pPr>
        <w:pStyle w:val="ListParagraph"/>
        <w:numPr>
          <w:ilvl w:val="1"/>
          <w:numId w:val="17"/>
        </w:numPr>
        <w:shd w:val="clear" w:color="auto" w:fill="FFFFFF"/>
        <w:spacing w:after="240" w:line="240" w:lineRule="auto"/>
        <w:ind w:left="227"/>
        <w:rPr>
          <w:rFonts w:ascii="Times New Roman" w:hAnsi="Times New Roman"/>
          <w:sz w:val="24"/>
          <w:szCs w:val="24"/>
        </w:rPr>
      </w:pPr>
      <w:r w:rsidRPr="00621B91">
        <w:rPr>
          <w:rFonts w:ascii="Times New Roman" w:hAnsi="Times New Roman"/>
          <w:sz w:val="24"/>
          <w:szCs w:val="24"/>
        </w:rPr>
        <w:t>Research entities will be prohibited from using and disclosing authorised unlisted mobile number information for purposes that are not listed in the research authorisation or after the authorisation period has lapsed (</w:t>
      </w:r>
      <w:r w:rsidR="00CA6CFE">
        <w:rPr>
          <w:rFonts w:ascii="Times New Roman" w:hAnsi="Times New Roman"/>
          <w:sz w:val="24"/>
          <w:szCs w:val="24"/>
        </w:rPr>
        <w:t xml:space="preserve">section </w:t>
      </w:r>
      <w:r w:rsidR="00582B92">
        <w:rPr>
          <w:rFonts w:ascii="Times New Roman" w:hAnsi="Times New Roman"/>
          <w:sz w:val="24"/>
          <w:szCs w:val="24"/>
        </w:rPr>
        <w:t>40</w:t>
      </w:r>
      <w:r w:rsidR="00CA6CFE">
        <w:rPr>
          <w:rFonts w:ascii="Times New Roman" w:hAnsi="Times New Roman"/>
          <w:sz w:val="24"/>
          <w:szCs w:val="24"/>
        </w:rPr>
        <w:t xml:space="preserve"> and 4</w:t>
      </w:r>
      <w:r w:rsidR="00582B92">
        <w:rPr>
          <w:rFonts w:ascii="Times New Roman" w:hAnsi="Times New Roman"/>
          <w:sz w:val="24"/>
          <w:szCs w:val="24"/>
        </w:rPr>
        <w:t>1</w:t>
      </w:r>
      <w:r w:rsidRPr="00621B91">
        <w:rPr>
          <w:rFonts w:ascii="Times New Roman" w:hAnsi="Times New Roman"/>
          <w:sz w:val="24"/>
          <w:szCs w:val="24"/>
        </w:rPr>
        <w:t xml:space="preserve">) unless otherwise required by law; </w:t>
      </w:r>
    </w:p>
    <w:p w14:paraId="2003F098" w14:textId="51E927FC" w:rsidR="00166C32" w:rsidRPr="00621B91" w:rsidRDefault="00166C32" w:rsidP="00997B5F">
      <w:pPr>
        <w:pStyle w:val="ListParagraph"/>
        <w:numPr>
          <w:ilvl w:val="1"/>
          <w:numId w:val="17"/>
        </w:numPr>
        <w:shd w:val="clear" w:color="auto" w:fill="FFFFFF"/>
        <w:spacing w:after="240" w:line="240" w:lineRule="auto"/>
        <w:ind w:left="227"/>
        <w:rPr>
          <w:rFonts w:ascii="Times New Roman" w:hAnsi="Times New Roman"/>
          <w:sz w:val="24"/>
          <w:szCs w:val="24"/>
        </w:rPr>
      </w:pPr>
      <w:r w:rsidRPr="00621B91">
        <w:rPr>
          <w:rFonts w:ascii="Times New Roman" w:hAnsi="Times New Roman"/>
          <w:sz w:val="24"/>
          <w:szCs w:val="24"/>
        </w:rPr>
        <w:lastRenderedPageBreak/>
        <w:t>Research entities must seek the account holder’s consent at the beginning of a call, and inform the account holder of their right to withdraw consent at any time during the call (</w:t>
      </w:r>
      <w:r w:rsidR="00CA6CFE">
        <w:rPr>
          <w:rFonts w:ascii="Times New Roman" w:hAnsi="Times New Roman"/>
          <w:sz w:val="24"/>
          <w:szCs w:val="24"/>
        </w:rPr>
        <w:t xml:space="preserve">section </w:t>
      </w:r>
      <w:r w:rsidR="00582B92">
        <w:rPr>
          <w:rFonts w:ascii="Times New Roman" w:hAnsi="Times New Roman"/>
          <w:sz w:val="24"/>
          <w:szCs w:val="24"/>
        </w:rPr>
        <w:t>30</w:t>
      </w:r>
      <w:r w:rsidRPr="00621B91">
        <w:rPr>
          <w:rFonts w:ascii="Times New Roman" w:hAnsi="Times New Roman"/>
          <w:sz w:val="24"/>
          <w:szCs w:val="24"/>
        </w:rPr>
        <w:t xml:space="preserve">); </w:t>
      </w:r>
    </w:p>
    <w:p w14:paraId="573A5727" w14:textId="62FE5370" w:rsidR="00166C32" w:rsidRPr="00621B91" w:rsidRDefault="00166C32" w:rsidP="00997B5F">
      <w:pPr>
        <w:pStyle w:val="ListParagraph"/>
        <w:numPr>
          <w:ilvl w:val="1"/>
          <w:numId w:val="17"/>
        </w:numPr>
        <w:shd w:val="clear" w:color="auto" w:fill="FFFFFF"/>
        <w:spacing w:after="240" w:line="240" w:lineRule="auto"/>
        <w:ind w:left="227"/>
        <w:rPr>
          <w:rFonts w:ascii="Times New Roman" w:hAnsi="Times New Roman"/>
          <w:sz w:val="24"/>
          <w:szCs w:val="24"/>
        </w:rPr>
      </w:pPr>
      <w:r w:rsidRPr="00621B91">
        <w:rPr>
          <w:rFonts w:ascii="Times New Roman" w:hAnsi="Times New Roman"/>
          <w:sz w:val="24"/>
          <w:szCs w:val="24"/>
        </w:rPr>
        <w:t>Research entities must have internal dispute resolution procedures in place to address complaints from account holder about the use or disclosure of their information, or any research information collected during a call (</w:t>
      </w:r>
      <w:r w:rsidR="00CA6CFE">
        <w:rPr>
          <w:rFonts w:ascii="Times New Roman" w:hAnsi="Times New Roman"/>
          <w:sz w:val="24"/>
          <w:szCs w:val="24"/>
        </w:rPr>
        <w:t xml:space="preserve">subsection </w:t>
      </w:r>
      <w:r w:rsidR="00582B92">
        <w:rPr>
          <w:rFonts w:ascii="Times New Roman" w:hAnsi="Times New Roman"/>
          <w:sz w:val="24"/>
          <w:szCs w:val="24"/>
        </w:rPr>
        <w:t>30</w:t>
      </w:r>
      <w:r w:rsidR="00CA6CFE">
        <w:rPr>
          <w:rFonts w:ascii="Times New Roman" w:hAnsi="Times New Roman"/>
          <w:sz w:val="24"/>
          <w:szCs w:val="24"/>
        </w:rPr>
        <w:t>(5)</w:t>
      </w:r>
      <w:r w:rsidR="00582B92">
        <w:rPr>
          <w:rFonts w:ascii="Times New Roman" w:hAnsi="Times New Roman"/>
          <w:sz w:val="24"/>
          <w:szCs w:val="24"/>
        </w:rPr>
        <w:t>;</w:t>
      </w:r>
      <w:r w:rsidR="00CA6CFE">
        <w:rPr>
          <w:rFonts w:ascii="Times New Roman" w:hAnsi="Times New Roman"/>
          <w:sz w:val="24"/>
          <w:szCs w:val="24"/>
        </w:rPr>
        <w:t xml:space="preserve"> </w:t>
      </w:r>
    </w:p>
    <w:p w14:paraId="3160DF79" w14:textId="57E324F6" w:rsidR="00166C32" w:rsidRPr="00621B91" w:rsidRDefault="00166C32" w:rsidP="00997B5F">
      <w:pPr>
        <w:pStyle w:val="ListParagraph"/>
        <w:numPr>
          <w:ilvl w:val="1"/>
          <w:numId w:val="17"/>
        </w:numPr>
        <w:shd w:val="clear" w:color="auto" w:fill="FFFFFF"/>
        <w:spacing w:after="240" w:line="240" w:lineRule="auto"/>
        <w:ind w:left="227"/>
        <w:rPr>
          <w:rFonts w:ascii="Times New Roman" w:hAnsi="Times New Roman"/>
          <w:sz w:val="24"/>
          <w:szCs w:val="24"/>
        </w:rPr>
      </w:pPr>
      <w:r w:rsidRPr="00621B91">
        <w:rPr>
          <w:rFonts w:ascii="Times New Roman" w:hAnsi="Times New Roman"/>
          <w:sz w:val="24"/>
          <w:szCs w:val="24"/>
        </w:rPr>
        <w:t>Research entities will be required to notify the ACMA of any contravention of a condition of a research authorisation as soon as reasonably practicable and take reasonable steps to minimise the effects of the contravention (</w:t>
      </w:r>
      <w:r w:rsidR="00CA6CFE">
        <w:rPr>
          <w:rFonts w:ascii="Times New Roman" w:hAnsi="Times New Roman"/>
          <w:sz w:val="24"/>
          <w:szCs w:val="24"/>
        </w:rPr>
        <w:t xml:space="preserve">section </w:t>
      </w:r>
      <w:r w:rsidR="00582B92">
        <w:rPr>
          <w:rFonts w:ascii="Times New Roman" w:hAnsi="Times New Roman"/>
          <w:sz w:val="24"/>
          <w:szCs w:val="24"/>
        </w:rPr>
        <w:t>35</w:t>
      </w:r>
      <w:r w:rsidRPr="00621B91">
        <w:rPr>
          <w:rFonts w:ascii="Times New Roman" w:hAnsi="Times New Roman"/>
          <w:sz w:val="24"/>
          <w:szCs w:val="24"/>
        </w:rPr>
        <w:t>).</w:t>
      </w:r>
    </w:p>
    <w:p w14:paraId="1EA90A87" w14:textId="6CBBF51B" w:rsidR="00CA6CFE" w:rsidRDefault="00166C32" w:rsidP="00997B5F">
      <w:pPr>
        <w:pStyle w:val="ListParagraph"/>
        <w:numPr>
          <w:ilvl w:val="1"/>
          <w:numId w:val="17"/>
        </w:numPr>
        <w:shd w:val="clear" w:color="auto" w:fill="FFFFFF"/>
        <w:spacing w:after="240" w:line="240" w:lineRule="auto"/>
        <w:ind w:left="227"/>
        <w:rPr>
          <w:rFonts w:ascii="Times New Roman" w:hAnsi="Times New Roman"/>
          <w:sz w:val="24"/>
          <w:szCs w:val="24"/>
        </w:rPr>
      </w:pPr>
      <w:r w:rsidRPr="00621B91">
        <w:rPr>
          <w:rFonts w:ascii="Times New Roman" w:hAnsi="Times New Roman"/>
          <w:sz w:val="24"/>
          <w:szCs w:val="24"/>
        </w:rPr>
        <w:t>Former research entities will be prohibited from using or disclosing authorised unlisted mobile number information once authorisation period ends</w:t>
      </w:r>
      <w:r w:rsidR="00CA6CFE">
        <w:rPr>
          <w:rFonts w:ascii="Times New Roman" w:hAnsi="Times New Roman"/>
          <w:sz w:val="24"/>
          <w:szCs w:val="24"/>
        </w:rPr>
        <w:t xml:space="preserve"> and cannot </w:t>
      </w:r>
      <w:r w:rsidRPr="00621B91">
        <w:rPr>
          <w:rFonts w:ascii="Times New Roman" w:hAnsi="Times New Roman"/>
          <w:sz w:val="24"/>
          <w:szCs w:val="24"/>
        </w:rPr>
        <w:t>make a record of, or use, the authorised unlisted mobile number information</w:t>
      </w:r>
      <w:r w:rsidR="00CA6CFE">
        <w:rPr>
          <w:rFonts w:ascii="Times New Roman" w:hAnsi="Times New Roman"/>
          <w:sz w:val="24"/>
          <w:szCs w:val="24"/>
        </w:rPr>
        <w:t xml:space="preserve"> (section </w:t>
      </w:r>
      <w:r w:rsidR="00582B92">
        <w:rPr>
          <w:rFonts w:ascii="Times New Roman" w:hAnsi="Times New Roman"/>
          <w:sz w:val="24"/>
          <w:szCs w:val="24"/>
        </w:rPr>
        <w:t>41</w:t>
      </w:r>
      <w:r w:rsidR="00CA6CFE">
        <w:rPr>
          <w:rFonts w:ascii="Times New Roman" w:hAnsi="Times New Roman"/>
          <w:sz w:val="24"/>
          <w:szCs w:val="24"/>
        </w:rPr>
        <w:t>)</w:t>
      </w:r>
      <w:r w:rsidRPr="00621B91">
        <w:rPr>
          <w:rFonts w:ascii="Times New Roman" w:hAnsi="Times New Roman"/>
          <w:sz w:val="24"/>
          <w:szCs w:val="24"/>
        </w:rPr>
        <w:t xml:space="preserve">. </w:t>
      </w:r>
    </w:p>
    <w:p w14:paraId="3A0D2206" w14:textId="4B89465A" w:rsidR="00166C32" w:rsidRPr="00621B91" w:rsidRDefault="00166C32" w:rsidP="00997B5F">
      <w:pPr>
        <w:pStyle w:val="ListParagraph"/>
        <w:numPr>
          <w:ilvl w:val="1"/>
          <w:numId w:val="17"/>
        </w:numPr>
        <w:shd w:val="clear" w:color="auto" w:fill="FFFFFF"/>
        <w:spacing w:after="240" w:line="240" w:lineRule="auto"/>
        <w:ind w:left="227"/>
        <w:rPr>
          <w:rFonts w:ascii="Times New Roman" w:hAnsi="Times New Roman"/>
          <w:sz w:val="24"/>
          <w:szCs w:val="24"/>
        </w:rPr>
      </w:pPr>
      <w:r w:rsidRPr="00621B91">
        <w:rPr>
          <w:rFonts w:ascii="Times New Roman" w:hAnsi="Times New Roman"/>
          <w:sz w:val="24"/>
          <w:szCs w:val="24"/>
        </w:rPr>
        <w:t>Research entities must take all reasonable steps to destroy the unauthorised mobile number information once the authorisation ends or the entity is removed from the research authorisation (</w:t>
      </w:r>
      <w:r w:rsidR="00CA6CFE">
        <w:rPr>
          <w:rFonts w:ascii="Times New Roman" w:hAnsi="Times New Roman"/>
          <w:sz w:val="24"/>
          <w:szCs w:val="24"/>
        </w:rPr>
        <w:t>section</w:t>
      </w:r>
      <w:r w:rsidR="00DA1C42">
        <w:rPr>
          <w:rFonts w:ascii="Times New Roman" w:hAnsi="Times New Roman"/>
          <w:sz w:val="24"/>
          <w:szCs w:val="24"/>
        </w:rPr>
        <w:t>s</w:t>
      </w:r>
      <w:r w:rsidR="00CA6CFE">
        <w:rPr>
          <w:rFonts w:ascii="Times New Roman" w:hAnsi="Times New Roman"/>
          <w:sz w:val="24"/>
          <w:szCs w:val="24"/>
        </w:rPr>
        <w:t xml:space="preserve"> </w:t>
      </w:r>
      <w:r w:rsidR="00582B92">
        <w:rPr>
          <w:rFonts w:ascii="Times New Roman" w:hAnsi="Times New Roman"/>
          <w:sz w:val="24"/>
          <w:szCs w:val="24"/>
        </w:rPr>
        <w:t>40</w:t>
      </w:r>
      <w:r w:rsidR="00CA6CFE">
        <w:rPr>
          <w:rFonts w:ascii="Times New Roman" w:hAnsi="Times New Roman"/>
          <w:sz w:val="24"/>
          <w:szCs w:val="24"/>
        </w:rPr>
        <w:t xml:space="preserve"> and 4</w:t>
      </w:r>
      <w:r w:rsidR="00582B92">
        <w:rPr>
          <w:rFonts w:ascii="Times New Roman" w:hAnsi="Times New Roman"/>
          <w:sz w:val="24"/>
          <w:szCs w:val="24"/>
        </w:rPr>
        <w:t>1</w:t>
      </w:r>
      <w:r w:rsidRPr="00621B91">
        <w:rPr>
          <w:rFonts w:ascii="Times New Roman" w:hAnsi="Times New Roman"/>
          <w:sz w:val="24"/>
          <w:szCs w:val="24"/>
        </w:rPr>
        <w:t>).</w:t>
      </w:r>
    </w:p>
    <w:p w14:paraId="304EE634" w14:textId="7713F6AD" w:rsidR="00166C32" w:rsidRPr="00621B91" w:rsidRDefault="00166C32" w:rsidP="00997B5F">
      <w:pPr>
        <w:pStyle w:val="ListParagraph"/>
        <w:numPr>
          <w:ilvl w:val="1"/>
          <w:numId w:val="17"/>
        </w:numPr>
        <w:shd w:val="clear" w:color="auto" w:fill="FFFFFF"/>
        <w:spacing w:after="240" w:line="240" w:lineRule="auto"/>
        <w:ind w:left="227"/>
        <w:rPr>
          <w:rFonts w:ascii="Times New Roman" w:hAnsi="Times New Roman"/>
          <w:sz w:val="24"/>
          <w:szCs w:val="24"/>
        </w:rPr>
      </w:pPr>
      <w:r w:rsidRPr="00621B91">
        <w:rPr>
          <w:rFonts w:ascii="Times New Roman" w:hAnsi="Times New Roman"/>
          <w:sz w:val="24"/>
          <w:szCs w:val="24"/>
        </w:rPr>
        <w:t>Research entities will be subject to an offence of strict liability for contravening a condition of a research authorisation or the use a disclosure requirements for former research entities (</w:t>
      </w:r>
      <w:r w:rsidR="00D52FA7">
        <w:rPr>
          <w:rFonts w:ascii="Times New Roman" w:hAnsi="Times New Roman"/>
          <w:sz w:val="24"/>
          <w:szCs w:val="24"/>
        </w:rPr>
        <w:t>subsection</w:t>
      </w:r>
      <w:r w:rsidR="00DA1C42">
        <w:rPr>
          <w:rFonts w:ascii="Times New Roman" w:hAnsi="Times New Roman"/>
          <w:sz w:val="24"/>
          <w:szCs w:val="24"/>
        </w:rPr>
        <w:t>s</w:t>
      </w:r>
      <w:r w:rsidR="00D52FA7">
        <w:rPr>
          <w:rFonts w:ascii="Times New Roman" w:hAnsi="Times New Roman"/>
          <w:sz w:val="24"/>
          <w:szCs w:val="24"/>
        </w:rPr>
        <w:t xml:space="preserve"> 4</w:t>
      </w:r>
      <w:r w:rsidR="00F62151">
        <w:rPr>
          <w:rFonts w:ascii="Times New Roman" w:hAnsi="Times New Roman"/>
          <w:sz w:val="24"/>
          <w:szCs w:val="24"/>
        </w:rPr>
        <w:t>6</w:t>
      </w:r>
      <w:r w:rsidR="00D52FA7">
        <w:rPr>
          <w:rFonts w:ascii="Times New Roman" w:hAnsi="Times New Roman"/>
          <w:sz w:val="24"/>
          <w:szCs w:val="24"/>
        </w:rPr>
        <w:t>(1) –</w:t>
      </w:r>
      <w:r w:rsidR="00854854">
        <w:rPr>
          <w:rFonts w:ascii="Times New Roman" w:hAnsi="Times New Roman"/>
          <w:sz w:val="24"/>
          <w:szCs w:val="24"/>
        </w:rPr>
        <w:t xml:space="preserve"> </w:t>
      </w:r>
      <w:r w:rsidR="00D52FA7">
        <w:rPr>
          <w:rFonts w:ascii="Times New Roman" w:hAnsi="Times New Roman"/>
          <w:sz w:val="24"/>
          <w:szCs w:val="24"/>
        </w:rPr>
        <w:t>(</w:t>
      </w:r>
      <w:r w:rsidR="00CA6CFE">
        <w:rPr>
          <w:rFonts w:ascii="Times New Roman" w:hAnsi="Times New Roman"/>
          <w:sz w:val="24"/>
          <w:szCs w:val="24"/>
        </w:rPr>
        <w:t>4)</w:t>
      </w:r>
      <w:r w:rsidRPr="00621B91">
        <w:rPr>
          <w:rFonts w:ascii="Times New Roman" w:hAnsi="Times New Roman"/>
          <w:sz w:val="24"/>
          <w:szCs w:val="24"/>
        </w:rPr>
        <w:t xml:space="preserve">). </w:t>
      </w:r>
    </w:p>
    <w:p w14:paraId="0A4322ED" w14:textId="516960EE" w:rsidR="00AB043D" w:rsidRPr="00261CDF" w:rsidRDefault="00AB043D" w:rsidP="00166C32">
      <w:pPr>
        <w:shd w:val="clear" w:color="auto" w:fill="FFFFFF"/>
        <w:spacing w:after="240" w:line="240" w:lineRule="auto"/>
        <w:rPr>
          <w:rFonts w:ascii="Times New Roman" w:eastAsia="Times New Roman" w:hAnsi="Times New Roman" w:cs="Times New Roman"/>
          <w:color w:val="000000"/>
          <w:sz w:val="20"/>
          <w:szCs w:val="20"/>
          <w:lang w:eastAsia="en-AU"/>
        </w:rPr>
      </w:pPr>
      <w:r w:rsidRPr="00261CDF">
        <w:rPr>
          <w:rFonts w:ascii="Times New Roman" w:eastAsia="Times New Roman" w:hAnsi="Times New Roman" w:cs="Times New Roman"/>
          <w:color w:val="000000"/>
          <w:sz w:val="24"/>
          <w:szCs w:val="24"/>
          <w:lang w:eastAsia="en-AU"/>
        </w:rPr>
        <w:lastRenderedPageBreak/>
        <w:t>In addition to these protections, the </w:t>
      </w:r>
      <w:r w:rsidRPr="00F62151">
        <w:rPr>
          <w:rFonts w:ascii="Times New Roman" w:eastAsia="Times New Roman" w:hAnsi="Times New Roman" w:cs="Times New Roman"/>
          <w:iCs/>
          <w:color w:val="000000"/>
          <w:sz w:val="24"/>
          <w:szCs w:val="24"/>
          <w:lang w:eastAsia="en-AU"/>
        </w:rPr>
        <w:t>Privacy Act</w:t>
      </w:r>
      <w:r w:rsidRPr="00261CDF">
        <w:rPr>
          <w:rFonts w:ascii="Times New Roman" w:eastAsia="Times New Roman" w:hAnsi="Times New Roman" w:cs="Times New Roman"/>
          <w:color w:val="000000"/>
          <w:sz w:val="24"/>
          <w:szCs w:val="24"/>
          <w:lang w:eastAsia="en-AU"/>
        </w:rPr>
        <w:t> requires service providers to inform individuals about how the information collected will be used, ensure the physical security of the personal information held, and allow access to, and correction of, that information amongst other things.</w:t>
      </w:r>
    </w:p>
    <w:p w14:paraId="52C6D49C" w14:textId="67845697" w:rsidR="00AB043D" w:rsidRDefault="00AF284D" w:rsidP="00AF284D">
      <w:pPr>
        <w:shd w:val="clear" w:color="auto" w:fill="FFFFFF"/>
        <w:spacing w:after="240" w:line="240" w:lineRule="auto"/>
        <w:rPr>
          <w:rFonts w:ascii="Times New Roman" w:eastAsia="Times New Roman" w:hAnsi="Times New Roman" w:cs="Times New Roman"/>
          <w:color w:val="000000"/>
          <w:sz w:val="24"/>
          <w:szCs w:val="24"/>
          <w:lang w:eastAsia="en-AU"/>
        </w:rPr>
      </w:pPr>
      <w:r w:rsidRPr="00F62151">
        <w:rPr>
          <w:rFonts w:ascii="Times New Roman" w:eastAsia="Times New Roman" w:hAnsi="Times New Roman" w:cs="Times New Roman"/>
          <w:color w:val="000000"/>
          <w:sz w:val="24"/>
          <w:szCs w:val="24"/>
          <w:lang w:eastAsia="en-AU"/>
        </w:rPr>
        <w:t xml:space="preserve">The ACMA is bound by the statutory requirements of the Privacy Act, and must handle personal information in accordance with the APPs. These Regulations have the intent to provide clear, certain, transparent and non-arbitrary privacy protections to complement the Privacy Act provisions. </w:t>
      </w:r>
      <w:r w:rsidR="00AB043D" w:rsidRPr="00F62151">
        <w:rPr>
          <w:rFonts w:ascii="Times New Roman" w:eastAsia="Times New Roman" w:hAnsi="Times New Roman" w:cs="Times New Roman"/>
          <w:color w:val="000000"/>
          <w:sz w:val="24"/>
          <w:szCs w:val="24"/>
          <w:lang w:eastAsia="en-AU"/>
        </w:rPr>
        <w:t>These safeguards, together with the other restrictions on the handling of personal information described above, indicate that the instrument is reasonable, necessary and proportionate to the objectives of law enforcement and national security.</w:t>
      </w:r>
      <w:r w:rsidRPr="00F62151">
        <w:rPr>
          <w:rFonts w:ascii="Times New Roman" w:eastAsia="Times New Roman" w:hAnsi="Times New Roman" w:cs="Times New Roman"/>
          <w:color w:val="000000"/>
          <w:sz w:val="24"/>
          <w:szCs w:val="24"/>
          <w:lang w:eastAsia="en-AU"/>
        </w:rPr>
        <w:t xml:space="preserve"> </w:t>
      </w:r>
    </w:p>
    <w:p w14:paraId="5C7CBD79" w14:textId="01725BBB" w:rsidR="00A100D7" w:rsidRPr="00A100D7" w:rsidRDefault="00A100D7" w:rsidP="00A100D7">
      <w:pPr>
        <w:shd w:val="clear" w:color="auto" w:fill="FFFFFF"/>
        <w:spacing w:after="240" w:line="240" w:lineRule="auto"/>
        <w:rPr>
          <w:rFonts w:ascii="Times New Roman" w:eastAsia="Times New Roman" w:hAnsi="Times New Roman" w:cs="Times New Roman"/>
          <w:b/>
          <w:color w:val="000000"/>
          <w:sz w:val="24"/>
          <w:szCs w:val="24"/>
          <w:u w:val="single"/>
          <w:lang w:eastAsia="en-AU"/>
        </w:rPr>
      </w:pPr>
      <w:r w:rsidRPr="00A100D7">
        <w:rPr>
          <w:rFonts w:ascii="Times New Roman" w:eastAsia="Times New Roman" w:hAnsi="Times New Roman" w:cs="Times New Roman"/>
          <w:b/>
          <w:color w:val="000000"/>
          <w:sz w:val="24"/>
          <w:szCs w:val="24"/>
          <w:u w:val="single"/>
          <w:lang w:eastAsia="en-AU"/>
        </w:rPr>
        <w:t>Human rights implications – Right to freedom of expression</w:t>
      </w:r>
    </w:p>
    <w:p w14:paraId="387DA4B9" w14:textId="14561B8A" w:rsidR="00A100D7" w:rsidRDefault="00A100D7" w:rsidP="00A100D7">
      <w:pPr>
        <w:shd w:val="clear" w:color="auto" w:fill="FFFFFF"/>
        <w:spacing w:after="240" w:line="240" w:lineRule="auto"/>
        <w:rPr>
          <w:rFonts w:ascii="Times New Roman" w:eastAsia="Times New Roman" w:hAnsi="Times New Roman" w:cs="Times New Roman"/>
          <w:color w:val="000000"/>
          <w:sz w:val="24"/>
          <w:szCs w:val="24"/>
          <w:lang w:eastAsia="en-AU"/>
        </w:rPr>
      </w:pPr>
      <w:r w:rsidRPr="00A100D7">
        <w:rPr>
          <w:rFonts w:ascii="Times New Roman" w:eastAsia="Times New Roman" w:hAnsi="Times New Roman" w:cs="Times New Roman"/>
          <w:b/>
          <w:color w:val="000000"/>
          <w:sz w:val="24"/>
          <w:szCs w:val="24"/>
          <w:lang w:eastAsia="en-AU"/>
        </w:rPr>
        <w:t>Article 19(2)</w:t>
      </w:r>
      <w:r w:rsidRPr="00261CDF">
        <w:rPr>
          <w:rFonts w:ascii="Times New Roman" w:eastAsia="Times New Roman" w:hAnsi="Times New Roman" w:cs="Times New Roman"/>
          <w:color w:val="000000"/>
          <w:sz w:val="24"/>
          <w:szCs w:val="24"/>
          <w:lang w:eastAsia="en-AU"/>
        </w:rPr>
        <w:t xml:space="preserve"> of the ICCPR (and Article 13 of the </w:t>
      </w:r>
      <w:r w:rsidRPr="00261CDF">
        <w:rPr>
          <w:rFonts w:ascii="Times New Roman" w:eastAsia="Times New Roman" w:hAnsi="Times New Roman" w:cs="Times New Roman"/>
          <w:i/>
          <w:iCs/>
          <w:color w:val="000000"/>
          <w:sz w:val="24"/>
          <w:szCs w:val="24"/>
          <w:lang w:eastAsia="en-AU"/>
        </w:rPr>
        <w:t>Convention on the Rights of the Child</w:t>
      </w:r>
      <w:r w:rsidRPr="00261CDF">
        <w:rPr>
          <w:rFonts w:ascii="Times New Roman" w:eastAsia="Times New Roman" w:hAnsi="Times New Roman" w:cs="Times New Roman"/>
          <w:color w:val="000000"/>
          <w:sz w:val="24"/>
          <w:szCs w:val="24"/>
          <w:lang w:eastAsia="en-AU"/>
        </w:rPr>
        <w:t xml:space="preserve"> and Article 21 of the Convention on the Rights of Persons with Disabilities) protects the right to freedom of expression, including the right to seek, receive and impart information and ideas through any media of a person’s choice. </w:t>
      </w:r>
      <w:r>
        <w:rPr>
          <w:rFonts w:ascii="Times New Roman" w:eastAsia="Times New Roman" w:hAnsi="Times New Roman" w:cs="Times New Roman"/>
          <w:color w:val="000000"/>
          <w:sz w:val="24"/>
          <w:szCs w:val="24"/>
          <w:lang w:eastAsia="en-AU"/>
        </w:rPr>
        <w:t xml:space="preserve"> </w:t>
      </w:r>
      <w:r w:rsidRPr="00261CDF">
        <w:rPr>
          <w:rFonts w:ascii="Times New Roman" w:eastAsia="Times New Roman" w:hAnsi="Times New Roman" w:cs="Times New Roman"/>
          <w:color w:val="000000"/>
          <w:sz w:val="24"/>
          <w:szCs w:val="24"/>
          <w:lang w:eastAsia="en-AU"/>
        </w:rPr>
        <w:t>However, this right is subject to certain restrictions, including the protection of national security or public order. Protection of public order includes law enforcement</w:t>
      </w:r>
      <w:r w:rsidR="006B565A">
        <w:rPr>
          <w:rFonts w:ascii="Times New Roman" w:eastAsia="Times New Roman" w:hAnsi="Times New Roman" w:cs="Times New Roman"/>
          <w:color w:val="000000"/>
          <w:sz w:val="24"/>
          <w:szCs w:val="24"/>
          <w:lang w:eastAsia="en-AU"/>
        </w:rPr>
        <w:t>,</w:t>
      </w:r>
      <w:r>
        <w:rPr>
          <w:rFonts w:ascii="Times New Roman" w:eastAsia="Times New Roman" w:hAnsi="Times New Roman" w:cs="Times New Roman"/>
          <w:color w:val="000000"/>
          <w:sz w:val="24"/>
          <w:szCs w:val="24"/>
          <w:lang w:eastAsia="en-AU"/>
        </w:rPr>
        <w:t xml:space="preserve"> which is reasonable and necessary</w:t>
      </w:r>
      <w:r w:rsidRPr="00261CDF">
        <w:rPr>
          <w:rFonts w:ascii="Times New Roman" w:eastAsia="Times New Roman" w:hAnsi="Times New Roman" w:cs="Times New Roman"/>
          <w:color w:val="000000"/>
          <w:sz w:val="24"/>
          <w:szCs w:val="24"/>
          <w:lang w:eastAsia="en-AU"/>
        </w:rPr>
        <w:t xml:space="preserve">. </w:t>
      </w:r>
    </w:p>
    <w:p w14:paraId="472517E9" w14:textId="0672F22F" w:rsidR="00A100D7" w:rsidRPr="00261CDF" w:rsidRDefault="00A100D7" w:rsidP="00A100D7">
      <w:pPr>
        <w:shd w:val="clear" w:color="auto" w:fill="FFFFFF"/>
        <w:spacing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lastRenderedPageBreak/>
        <w:t xml:space="preserve">In </w:t>
      </w:r>
      <w:r w:rsidR="00E76600">
        <w:rPr>
          <w:rFonts w:ascii="Times New Roman" w:eastAsia="Times New Roman" w:hAnsi="Times New Roman" w:cs="Times New Roman"/>
          <w:color w:val="000000"/>
          <w:sz w:val="24"/>
          <w:szCs w:val="24"/>
          <w:lang w:eastAsia="en-AU"/>
        </w:rPr>
        <w:t>paragraph</w:t>
      </w:r>
      <w:r>
        <w:rPr>
          <w:rFonts w:ascii="Times New Roman" w:eastAsia="Times New Roman" w:hAnsi="Times New Roman" w:cs="Times New Roman"/>
          <w:color w:val="000000"/>
          <w:sz w:val="24"/>
          <w:szCs w:val="24"/>
          <w:lang w:eastAsia="en-AU"/>
        </w:rPr>
        <w:t xml:space="preserve"> 8</w:t>
      </w:r>
      <w:r w:rsidR="00E76600">
        <w:rPr>
          <w:rFonts w:ascii="Times New Roman" w:eastAsia="Times New Roman" w:hAnsi="Times New Roman" w:cs="Times New Roman"/>
          <w:color w:val="000000"/>
          <w:sz w:val="24"/>
          <w:szCs w:val="24"/>
          <w:lang w:eastAsia="en-AU"/>
        </w:rPr>
        <w:t>(1)</w:t>
      </w:r>
      <w:r>
        <w:rPr>
          <w:rFonts w:ascii="Times New Roman" w:eastAsia="Times New Roman" w:hAnsi="Times New Roman" w:cs="Times New Roman"/>
          <w:color w:val="000000"/>
          <w:sz w:val="24"/>
          <w:szCs w:val="24"/>
          <w:lang w:eastAsia="en-AU"/>
        </w:rPr>
        <w:t>(e), where a carriage service provider</w:t>
      </w:r>
      <w:r w:rsidRPr="00261CDF">
        <w:rPr>
          <w:rFonts w:ascii="Times New Roman" w:eastAsia="Times New Roman" w:hAnsi="Times New Roman" w:cs="Times New Roman"/>
          <w:color w:val="000000"/>
          <w:sz w:val="24"/>
          <w:szCs w:val="24"/>
          <w:lang w:eastAsia="en-AU"/>
        </w:rPr>
        <w:t xml:space="preserve"> prevents the use of a prepaid mobile service (because the </w:t>
      </w:r>
      <w:r>
        <w:rPr>
          <w:rFonts w:ascii="Times New Roman" w:eastAsia="Times New Roman" w:hAnsi="Times New Roman" w:cs="Times New Roman"/>
          <w:color w:val="000000"/>
          <w:sz w:val="24"/>
          <w:szCs w:val="24"/>
          <w:lang w:eastAsia="en-AU"/>
        </w:rPr>
        <w:t xml:space="preserve">provider </w:t>
      </w:r>
      <w:r w:rsidRPr="00261CDF">
        <w:rPr>
          <w:rFonts w:ascii="Times New Roman" w:eastAsia="Times New Roman" w:hAnsi="Times New Roman" w:cs="Times New Roman"/>
          <w:color w:val="000000"/>
          <w:sz w:val="24"/>
          <w:szCs w:val="24"/>
          <w:lang w:eastAsia="en-AU"/>
        </w:rPr>
        <w:t xml:space="preserve">has been unable to verify a </w:t>
      </w:r>
      <w:r>
        <w:rPr>
          <w:rFonts w:ascii="Times New Roman" w:eastAsia="Times New Roman" w:hAnsi="Times New Roman" w:cs="Times New Roman"/>
          <w:color w:val="000000"/>
          <w:sz w:val="24"/>
          <w:szCs w:val="24"/>
          <w:lang w:eastAsia="en-AU"/>
        </w:rPr>
        <w:t>customer</w:t>
      </w:r>
      <w:r w:rsidRPr="00261CDF">
        <w:rPr>
          <w:rFonts w:ascii="Times New Roman" w:eastAsia="Times New Roman" w:hAnsi="Times New Roman" w:cs="Times New Roman"/>
          <w:color w:val="000000"/>
          <w:sz w:val="24"/>
          <w:szCs w:val="24"/>
          <w:lang w:eastAsia="en-AU"/>
        </w:rPr>
        <w:t xml:space="preserve">’s identity) under the </w:t>
      </w:r>
      <w:r>
        <w:rPr>
          <w:rFonts w:ascii="Times New Roman" w:eastAsia="Times New Roman" w:hAnsi="Times New Roman" w:cs="Times New Roman"/>
          <w:color w:val="000000"/>
          <w:sz w:val="24"/>
          <w:szCs w:val="24"/>
          <w:lang w:eastAsia="en-AU"/>
        </w:rPr>
        <w:t>Instrument</w:t>
      </w:r>
      <w:r w:rsidRPr="00261CDF">
        <w:rPr>
          <w:rFonts w:ascii="Times New Roman" w:eastAsia="Times New Roman" w:hAnsi="Times New Roman" w:cs="Times New Roman"/>
          <w:color w:val="000000"/>
          <w:sz w:val="24"/>
          <w:szCs w:val="24"/>
          <w:lang w:eastAsia="en-AU"/>
        </w:rPr>
        <w:t>, this may affect a person’s right to freedom of expression.</w:t>
      </w:r>
    </w:p>
    <w:p w14:paraId="75132327" w14:textId="77777777" w:rsidR="00A100D7" w:rsidRPr="00A100D7" w:rsidRDefault="00A100D7" w:rsidP="00A100D7">
      <w:pPr>
        <w:shd w:val="clear" w:color="auto" w:fill="FFFFFF"/>
        <w:spacing w:after="240" w:line="240" w:lineRule="auto"/>
        <w:rPr>
          <w:rFonts w:ascii="Times New Roman" w:eastAsia="Times New Roman" w:hAnsi="Times New Roman" w:cs="Times New Roman"/>
          <w:b/>
          <w:color w:val="000000"/>
          <w:sz w:val="24"/>
          <w:szCs w:val="24"/>
          <w:lang w:eastAsia="en-AU"/>
        </w:rPr>
      </w:pPr>
      <w:r w:rsidRPr="00A100D7">
        <w:rPr>
          <w:rFonts w:ascii="Times New Roman" w:eastAsia="Times New Roman" w:hAnsi="Times New Roman" w:cs="Times New Roman"/>
          <w:b/>
          <w:color w:val="000000"/>
          <w:sz w:val="24"/>
          <w:szCs w:val="24"/>
          <w:lang w:eastAsia="en-AU"/>
        </w:rPr>
        <w:t>Part 2 of the Regulations and the right to freedom of expression</w:t>
      </w:r>
    </w:p>
    <w:p w14:paraId="7A388361" w14:textId="77777777" w:rsidR="00A100D7" w:rsidRPr="00A100D7" w:rsidRDefault="00A100D7" w:rsidP="00A100D7">
      <w:pPr>
        <w:shd w:val="clear" w:color="auto" w:fill="FFFFFF"/>
        <w:spacing w:after="24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4"/>
          <w:szCs w:val="24"/>
          <w:lang w:eastAsia="en-AU"/>
        </w:rPr>
        <w:t xml:space="preserve">The </w:t>
      </w:r>
      <w:r w:rsidRPr="00A100D7">
        <w:rPr>
          <w:rFonts w:ascii="Times New Roman" w:eastAsia="Times New Roman" w:hAnsi="Times New Roman" w:cs="Times New Roman"/>
          <w:color w:val="000000"/>
          <w:sz w:val="24"/>
          <w:szCs w:val="24"/>
          <w:lang w:eastAsia="en-AU"/>
        </w:rPr>
        <w:t xml:space="preserve">right </w:t>
      </w:r>
      <w:r>
        <w:rPr>
          <w:rFonts w:ascii="Times New Roman" w:eastAsia="Times New Roman" w:hAnsi="Times New Roman" w:cs="Times New Roman"/>
          <w:color w:val="000000"/>
          <w:sz w:val="24"/>
          <w:szCs w:val="24"/>
          <w:lang w:eastAsia="en-AU"/>
        </w:rPr>
        <w:t xml:space="preserve">to freedom of expression </w:t>
      </w:r>
      <w:r w:rsidRPr="00A100D7">
        <w:rPr>
          <w:rFonts w:ascii="Times New Roman" w:eastAsia="Times New Roman" w:hAnsi="Times New Roman" w:cs="Times New Roman"/>
          <w:color w:val="000000"/>
          <w:sz w:val="24"/>
          <w:szCs w:val="24"/>
          <w:lang w:eastAsia="en-AU"/>
        </w:rPr>
        <w:t>needs to be considered in the context of Part 2 of the Regulations which requires a service provider to prevent the use of a prepaid mobile carriage service if:</w:t>
      </w:r>
    </w:p>
    <w:p w14:paraId="651515F3" w14:textId="03BFFA9C" w:rsidR="00A100D7" w:rsidRPr="00A100D7" w:rsidRDefault="00A100D7" w:rsidP="00997B5F">
      <w:pPr>
        <w:numPr>
          <w:ilvl w:val="0"/>
          <w:numId w:val="2"/>
        </w:numPr>
        <w:shd w:val="clear" w:color="auto" w:fill="FFFFFF"/>
        <w:spacing w:after="240" w:line="240" w:lineRule="auto"/>
        <w:rPr>
          <w:rFonts w:ascii="Times New Roman" w:eastAsia="Times New Roman" w:hAnsi="Times New Roman" w:cs="Times New Roman"/>
          <w:color w:val="000000"/>
          <w:sz w:val="20"/>
          <w:szCs w:val="20"/>
          <w:lang w:eastAsia="en-AU"/>
        </w:rPr>
      </w:pPr>
      <w:r w:rsidRPr="00A100D7">
        <w:rPr>
          <w:rFonts w:ascii="Times New Roman" w:eastAsia="Times New Roman" w:hAnsi="Times New Roman" w:cs="Times New Roman"/>
          <w:color w:val="000000"/>
          <w:sz w:val="24"/>
          <w:szCs w:val="24"/>
          <w:lang w:eastAsia="en-AU"/>
        </w:rPr>
        <w:t>a customer fails to verify his or her identity, including by giving false or mis</w:t>
      </w:r>
      <w:r w:rsidR="00854854">
        <w:rPr>
          <w:rFonts w:ascii="Times New Roman" w:eastAsia="Times New Roman" w:hAnsi="Times New Roman" w:cs="Times New Roman"/>
          <w:color w:val="000000"/>
          <w:sz w:val="24"/>
          <w:szCs w:val="24"/>
          <w:lang w:eastAsia="en-AU"/>
        </w:rPr>
        <w:t xml:space="preserve">leading information (subparagraph </w:t>
      </w:r>
      <w:r w:rsidRPr="00A100D7">
        <w:rPr>
          <w:rFonts w:ascii="Times New Roman" w:eastAsia="Times New Roman" w:hAnsi="Times New Roman" w:cs="Times New Roman"/>
          <w:color w:val="000000"/>
          <w:sz w:val="24"/>
          <w:szCs w:val="24"/>
          <w:lang w:eastAsia="en-AU"/>
        </w:rPr>
        <w:t>8</w:t>
      </w:r>
      <w:r w:rsidR="00854854">
        <w:rPr>
          <w:rFonts w:ascii="Times New Roman" w:eastAsia="Times New Roman" w:hAnsi="Times New Roman" w:cs="Times New Roman"/>
          <w:color w:val="000000"/>
          <w:sz w:val="24"/>
          <w:szCs w:val="24"/>
          <w:lang w:eastAsia="en-AU"/>
        </w:rPr>
        <w:t>(1)</w:t>
      </w:r>
      <w:r w:rsidRPr="00A100D7">
        <w:rPr>
          <w:rFonts w:ascii="Times New Roman" w:eastAsia="Times New Roman" w:hAnsi="Times New Roman" w:cs="Times New Roman"/>
          <w:color w:val="000000"/>
          <w:sz w:val="24"/>
          <w:szCs w:val="24"/>
          <w:lang w:eastAsia="en-AU"/>
        </w:rPr>
        <w:t>(e)(i)</w:t>
      </w:r>
      <w:r w:rsidR="00854854">
        <w:rPr>
          <w:rFonts w:ascii="Times New Roman" w:eastAsia="Times New Roman" w:hAnsi="Times New Roman" w:cs="Times New Roman"/>
          <w:color w:val="000000"/>
          <w:sz w:val="24"/>
          <w:szCs w:val="24"/>
          <w:lang w:eastAsia="en-AU"/>
        </w:rPr>
        <w:t>)</w:t>
      </w:r>
      <w:r w:rsidRPr="00A100D7">
        <w:rPr>
          <w:rFonts w:ascii="Times New Roman" w:eastAsia="Times New Roman" w:hAnsi="Times New Roman" w:cs="Times New Roman"/>
          <w:color w:val="000000"/>
          <w:sz w:val="24"/>
          <w:szCs w:val="24"/>
          <w:lang w:eastAsia="en-AU"/>
        </w:rPr>
        <w:t>; or</w:t>
      </w:r>
    </w:p>
    <w:p w14:paraId="74F7F2E6" w14:textId="77777777" w:rsidR="00A100D7" w:rsidRPr="00261CDF" w:rsidRDefault="00A100D7" w:rsidP="00997B5F">
      <w:pPr>
        <w:numPr>
          <w:ilvl w:val="0"/>
          <w:numId w:val="2"/>
        </w:numPr>
        <w:shd w:val="clear" w:color="auto" w:fill="FFFFFF"/>
        <w:spacing w:after="240" w:line="240" w:lineRule="auto"/>
        <w:rPr>
          <w:rFonts w:ascii="Times New Roman" w:eastAsia="Times New Roman" w:hAnsi="Times New Roman" w:cs="Times New Roman"/>
          <w:color w:val="000000"/>
          <w:sz w:val="20"/>
          <w:szCs w:val="20"/>
          <w:lang w:eastAsia="en-AU"/>
        </w:rPr>
      </w:pPr>
      <w:r w:rsidRPr="00261CDF">
        <w:rPr>
          <w:rFonts w:ascii="Times New Roman" w:eastAsia="Times New Roman" w:hAnsi="Times New Roman" w:cs="Times New Roman"/>
          <w:color w:val="000000"/>
          <w:sz w:val="24"/>
          <w:szCs w:val="24"/>
          <w:lang w:eastAsia="en-AU"/>
        </w:rPr>
        <w:t>an authorised law enforcement officer gives the carriage service provider a written request to prevent a person using a carriage service that states that action is necessary for the purposes of:</w:t>
      </w:r>
    </w:p>
    <w:p w14:paraId="672E69C6" w14:textId="77777777" w:rsidR="00A100D7" w:rsidRPr="00261CDF" w:rsidRDefault="00A100D7" w:rsidP="00854854">
      <w:pPr>
        <w:numPr>
          <w:ilvl w:val="1"/>
          <w:numId w:val="2"/>
        </w:numPr>
        <w:shd w:val="clear" w:color="auto" w:fill="FFFFFF"/>
        <w:spacing w:before="0" w:after="0" w:line="240" w:lineRule="auto"/>
        <w:ind w:left="1434" w:hanging="357"/>
        <w:rPr>
          <w:rFonts w:ascii="Times New Roman" w:eastAsia="Times New Roman" w:hAnsi="Times New Roman" w:cs="Times New Roman"/>
          <w:color w:val="000000"/>
          <w:sz w:val="20"/>
          <w:szCs w:val="20"/>
          <w:lang w:eastAsia="en-AU"/>
        </w:rPr>
      </w:pPr>
      <w:r w:rsidRPr="00261CDF">
        <w:rPr>
          <w:rFonts w:ascii="Times New Roman" w:eastAsia="Times New Roman" w:hAnsi="Times New Roman" w:cs="Times New Roman"/>
          <w:color w:val="000000"/>
          <w:sz w:val="24"/>
          <w:szCs w:val="24"/>
          <w:lang w:eastAsia="en-AU"/>
        </w:rPr>
        <w:t>enforcing the criminal law and laws imposing pecuniary penalties;</w:t>
      </w:r>
    </w:p>
    <w:p w14:paraId="7A9CB375" w14:textId="77777777" w:rsidR="00A100D7" w:rsidRPr="00261CDF" w:rsidRDefault="00A100D7" w:rsidP="00854854">
      <w:pPr>
        <w:numPr>
          <w:ilvl w:val="1"/>
          <w:numId w:val="2"/>
        </w:numPr>
        <w:shd w:val="clear" w:color="auto" w:fill="FFFFFF"/>
        <w:spacing w:before="0" w:after="0" w:line="240" w:lineRule="auto"/>
        <w:ind w:left="1434" w:hanging="357"/>
        <w:rPr>
          <w:rFonts w:ascii="Times New Roman" w:eastAsia="Times New Roman" w:hAnsi="Times New Roman" w:cs="Times New Roman"/>
          <w:color w:val="000000"/>
          <w:sz w:val="20"/>
          <w:szCs w:val="20"/>
          <w:lang w:eastAsia="en-AU"/>
        </w:rPr>
      </w:pPr>
      <w:r w:rsidRPr="00261CDF">
        <w:rPr>
          <w:rFonts w:ascii="Times New Roman" w:eastAsia="Times New Roman" w:hAnsi="Times New Roman" w:cs="Times New Roman"/>
          <w:color w:val="000000"/>
          <w:sz w:val="24"/>
          <w:szCs w:val="24"/>
          <w:lang w:eastAsia="en-AU"/>
        </w:rPr>
        <w:t>assisting the enforcement of the criminal laws in force in a foreign country;</w:t>
      </w:r>
    </w:p>
    <w:p w14:paraId="689D8A3C" w14:textId="77777777" w:rsidR="00A100D7" w:rsidRPr="00261CDF" w:rsidRDefault="00A100D7" w:rsidP="00854854">
      <w:pPr>
        <w:numPr>
          <w:ilvl w:val="1"/>
          <w:numId w:val="2"/>
        </w:numPr>
        <w:shd w:val="clear" w:color="auto" w:fill="FFFFFF"/>
        <w:spacing w:before="0" w:after="0" w:line="240" w:lineRule="auto"/>
        <w:ind w:left="1434" w:hanging="357"/>
        <w:rPr>
          <w:rFonts w:ascii="Times New Roman" w:eastAsia="Times New Roman" w:hAnsi="Times New Roman" w:cs="Times New Roman"/>
          <w:color w:val="000000"/>
          <w:sz w:val="20"/>
          <w:szCs w:val="20"/>
          <w:lang w:eastAsia="en-AU"/>
        </w:rPr>
      </w:pPr>
      <w:r w:rsidRPr="00261CDF">
        <w:rPr>
          <w:rFonts w:ascii="Times New Roman" w:eastAsia="Times New Roman" w:hAnsi="Times New Roman" w:cs="Times New Roman"/>
          <w:color w:val="000000"/>
          <w:sz w:val="24"/>
          <w:szCs w:val="24"/>
          <w:lang w:eastAsia="en-AU"/>
        </w:rPr>
        <w:t>protecting the public revenue; or</w:t>
      </w:r>
    </w:p>
    <w:p w14:paraId="7ECD0E03" w14:textId="77777777" w:rsidR="00A100D7" w:rsidRPr="00261CDF" w:rsidRDefault="00A100D7" w:rsidP="00854854">
      <w:pPr>
        <w:numPr>
          <w:ilvl w:val="1"/>
          <w:numId w:val="2"/>
        </w:numPr>
        <w:shd w:val="clear" w:color="auto" w:fill="FFFFFF"/>
        <w:spacing w:before="0" w:after="0" w:line="240" w:lineRule="auto"/>
        <w:ind w:left="1434" w:hanging="357"/>
        <w:rPr>
          <w:rFonts w:ascii="Times New Roman" w:eastAsia="Times New Roman" w:hAnsi="Times New Roman" w:cs="Times New Roman"/>
          <w:color w:val="000000"/>
          <w:sz w:val="20"/>
          <w:szCs w:val="20"/>
          <w:lang w:eastAsia="en-AU"/>
        </w:rPr>
      </w:pPr>
      <w:r w:rsidRPr="00261CDF">
        <w:rPr>
          <w:rFonts w:ascii="Times New Roman" w:eastAsia="Times New Roman" w:hAnsi="Times New Roman" w:cs="Times New Roman"/>
          <w:color w:val="000000"/>
          <w:sz w:val="24"/>
          <w:szCs w:val="24"/>
          <w:lang w:eastAsia="en-AU"/>
        </w:rPr>
        <w:t>safeguarding national security.</w:t>
      </w:r>
    </w:p>
    <w:p w14:paraId="1B9F90B6" w14:textId="77777777" w:rsidR="00A100D7" w:rsidRPr="00261CDF" w:rsidRDefault="00A100D7" w:rsidP="00A100D7">
      <w:pPr>
        <w:shd w:val="clear" w:color="auto" w:fill="FFFFFF"/>
        <w:spacing w:after="0" w:line="240" w:lineRule="auto"/>
        <w:ind w:left="1434"/>
        <w:rPr>
          <w:rFonts w:ascii="Times New Roman" w:eastAsia="Times New Roman" w:hAnsi="Times New Roman" w:cs="Times New Roman"/>
          <w:color w:val="000000"/>
          <w:sz w:val="20"/>
          <w:szCs w:val="20"/>
          <w:lang w:eastAsia="en-AU"/>
        </w:rPr>
      </w:pPr>
    </w:p>
    <w:p w14:paraId="537F6743" w14:textId="77777777" w:rsidR="00A100D7" w:rsidRPr="00261CDF" w:rsidRDefault="00A100D7" w:rsidP="00A100D7">
      <w:pPr>
        <w:shd w:val="clear" w:color="auto" w:fill="FFFFFF"/>
        <w:spacing w:after="240" w:line="240" w:lineRule="auto"/>
        <w:rPr>
          <w:rFonts w:ascii="Times New Roman" w:eastAsia="Times New Roman" w:hAnsi="Times New Roman" w:cs="Times New Roman"/>
          <w:color w:val="000000"/>
          <w:sz w:val="20"/>
          <w:szCs w:val="20"/>
          <w:lang w:eastAsia="en-AU"/>
        </w:rPr>
      </w:pPr>
      <w:r w:rsidRPr="00261CDF">
        <w:rPr>
          <w:rFonts w:ascii="Times New Roman" w:eastAsia="Times New Roman" w:hAnsi="Times New Roman" w:cs="Times New Roman"/>
          <w:color w:val="000000"/>
          <w:sz w:val="24"/>
          <w:szCs w:val="24"/>
          <w:lang w:eastAsia="en-AU"/>
        </w:rPr>
        <w:lastRenderedPageBreak/>
        <w:t xml:space="preserve">One of the objectives of the </w:t>
      </w:r>
      <w:r>
        <w:rPr>
          <w:rFonts w:ascii="Times New Roman" w:eastAsia="Times New Roman" w:hAnsi="Times New Roman" w:cs="Times New Roman"/>
          <w:color w:val="000000"/>
          <w:sz w:val="24"/>
          <w:szCs w:val="24"/>
          <w:lang w:eastAsia="en-AU"/>
        </w:rPr>
        <w:t xml:space="preserve">regulatory framework consisting of the </w:t>
      </w:r>
      <w:r w:rsidRPr="00261CDF">
        <w:rPr>
          <w:rFonts w:ascii="Times New Roman" w:eastAsia="Times New Roman" w:hAnsi="Times New Roman" w:cs="Times New Roman"/>
          <w:color w:val="000000"/>
          <w:sz w:val="24"/>
          <w:szCs w:val="24"/>
          <w:lang w:eastAsia="en-AU"/>
        </w:rPr>
        <w:t xml:space="preserve">Telecommunications Act and Regulations, and </w:t>
      </w:r>
      <w:r>
        <w:rPr>
          <w:rFonts w:ascii="Times New Roman" w:eastAsia="Times New Roman" w:hAnsi="Times New Roman" w:cs="Times New Roman"/>
          <w:color w:val="000000"/>
          <w:sz w:val="24"/>
          <w:szCs w:val="24"/>
          <w:lang w:eastAsia="en-AU"/>
        </w:rPr>
        <w:t xml:space="preserve">the subsequent statutory </w:t>
      </w:r>
      <w:r w:rsidRPr="00261CDF">
        <w:rPr>
          <w:rFonts w:ascii="Times New Roman" w:eastAsia="Times New Roman" w:hAnsi="Times New Roman" w:cs="Times New Roman"/>
          <w:color w:val="000000"/>
          <w:sz w:val="24"/>
          <w:szCs w:val="24"/>
          <w:lang w:eastAsia="en-AU"/>
        </w:rPr>
        <w:t xml:space="preserve">responsibilities imposed on service providers, is to prevent telecommunications networks and facilities from being used in, or in relation to, the commission of offences against the laws of the Commonwealth or of the States and Territories. This objective goes to </w:t>
      </w:r>
      <w:r>
        <w:rPr>
          <w:rFonts w:ascii="Times New Roman" w:eastAsia="Times New Roman" w:hAnsi="Times New Roman" w:cs="Times New Roman"/>
          <w:color w:val="000000"/>
          <w:sz w:val="24"/>
          <w:szCs w:val="24"/>
          <w:lang w:eastAsia="en-AU"/>
        </w:rPr>
        <w:t xml:space="preserve">criminal </w:t>
      </w:r>
      <w:r w:rsidRPr="00261CDF">
        <w:rPr>
          <w:rFonts w:ascii="Times New Roman" w:eastAsia="Times New Roman" w:hAnsi="Times New Roman" w:cs="Times New Roman"/>
          <w:color w:val="000000"/>
          <w:sz w:val="24"/>
          <w:szCs w:val="24"/>
          <w:lang w:eastAsia="en-AU"/>
        </w:rPr>
        <w:t>law enforcement and preventing threats to national security.</w:t>
      </w:r>
    </w:p>
    <w:p w14:paraId="59A96AAD" w14:textId="77777777" w:rsidR="00A100D7" w:rsidRPr="00261CDF" w:rsidRDefault="00A100D7" w:rsidP="00A100D7">
      <w:pPr>
        <w:shd w:val="clear" w:color="auto" w:fill="FFFFFF"/>
        <w:spacing w:after="240" w:line="240" w:lineRule="auto"/>
        <w:rPr>
          <w:rFonts w:ascii="Times New Roman" w:eastAsia="Times New Roman" w:hAnsi="Times New Roman" w:cs="Times New Roman"/>
          <w:color w:val="000000"/>
          <w:sz w:val="20"/>
          <w:szCs w:val="20"/>
          <w:lang w:eastAsia="en-AU"/>
        </w:rPr>
      </w:pPr>
      <w:r w:rsidRPr="00261CDF">
        <w:rPr>
          <w:rFonts w:ascii="Times New Roman" w:eastAsia="Times New Roman" w:hAnsi="Times New Roman" w:cs="Times New Roman"/>
          <w:color w:val="000000"/>
          <w:sz w:val="24"/>
          <w:szCs w:val="24"/>
          <w:lang w:eastAsia="en-AU"/>
        </w:rPr>
        <w:t>Requiring individuals who use telecommunications networks and facilities to disclose their identity is one basic and crucial way to</w:t>
      </w:r>
      <w:r>
        <w:rPr>
          <w:rFonts w:ascii="Times New Roman" w:eastAsia="Times New Roman" w:hAnsi="Times New Roman" w:cs="Times New Roman"/>
          <w:color w:val="000000"/>
          <w:sz w:val="24"/>
          <w:szCs w:val="24"/>
          <w:lang w:eastAsia="en-AU"/>
        </w:rPr>
        <w:t xml:space="preserve"> assist </w:t>
      </w:r>
      <w:r w:rsidRPr="00261CDF">
        <w:rPr>
          <w:rFonts w:ascii="Times New Roman" w:eastAsia="Times New Roman" w:hAnsi="Times New Roman" w:cs="Times New Roman"/>
          <w:color w:val="000000"/>
          <w:sz w:val="24"/>
          <w:szCs w:val="24"/>
          <w:lang w:eastAsia="en-AU"/>
        </w:rPr>
        <w:t>law enforcement agencies to identify and apprehend individuals who do use, or attempt to use, telecommunications networks and facilities in, or in relation to, the commission of offences</w:t>
      </w:r>
      <w:r>
        <w:rPr>
          <w:rFonts w:ascii="Times New Roman" w:eastAsia="Times New Roman" w:hAnsi="Times New Roman" w:cs="Times New Roman"/>
          <w:color w:val="000000"/>
          <w:sz w:val="24"/>
          <w:szCs w:val="24"/>
          <w:lang w:eastAsia="en-AU"/>
        </w:rPr>
        <w:t xml:space="preserve"> that may, for example, be a security threat to the broader population</w:t>
      </w:r>
      <w:r w:rsidRPr="00261CDF">
        <w:rPr>
          <w:rFonts w:ascii="Times New Roman" w:eastAsia="Times New Roman" w:hAnsi="Times New Roman" w:cs="Times New Roman"/>
          <w:color w:val="000000"/>
          <w:sz w:val="24"/>
          <w:szCs w:val="24"/>
          <w:lang w:eastAsia="en-AU"/>
        </w:rPr>
        <w:t>. It is reasonable, necessary and proportionate to give effect to the legitimate law enforcement and national security objectives discussed above to make the use of prepaid mobile carriage services conditional upon providing the minimum amount of information that is reasonably necessary to identify the customer.</w:t>
      </w:r>
    </w:p>
    <w:p w14:paraId="536E59EB" w14:textId="77777777" w:rsidR="00A100D7" w:rsidRPr="00261CDF" w:rsidRDefault="00A100D7" w:rsidP="00A100D7">
      <w:pPr>
        <w:shd w:val="clear" w:color="auto" w:fill="FFFFFF"/>
        <w:spacing w:after="240" w:line="240" w:lineRule="auto"/>
        <w:rPr>
          <w:rFonts w:ascii="Times New Roman" w:eastAsia="Times New Roman" w:hAnsi="Times New Roman" w:cs="Times New Roman"/>
          <w:color w:val="000000"/>
          <w:sz w:val="20"/>
          <w:szCs w:val="20"/>
          <w:lang w:eastAsia="en-AU"/>
        </w:rPr>
      </w:pPr>
      <w:r w:rsidRPr="00261CDF">
        <w:rPr>
          <w:rFonts w:ascii="Times New Roman" w:eastAsia="Times New Roman" w:hAnsi="Times New Roman" w:cs="Times New Roman"/>
          <w:color w:val="000000"/>
          <w:sz w:val="24"/>
          <w:szCs w:val="24"/>
          <w:lang w:eastAsia="en-AU"/>
        </w:rPr>
        <w:t>Preventing the use of a prepaid mobile carriage service by a person in circumstances where an authorised law enforcement officer considers that this is necessary to prevent unlawful activity or to enforce the criminal law is a reasonable, necessary and proportionate restriction on the freedom of expression.</w:t>
      </w:r>
    </w:p>
    <w:p w14:paraId="4B7C7BDD" w14:textId="77777777" w:rsidR="00A100D7" w:rsidRPr="00261CDF" w:rsidRDefault="00A100D7" w:rsidP="00A100D7">
      <w:pPr>
        <w:shd w:val="clear" w:color="auto" w:fill="FFFFFF"/>
        <w:spacing w:after="240" w:line="240" w:lineRule="auto"/>
        <w:rPr>
          <w:rFonts w:ascii="Times New Roman" w:eastAsia="Times New Roman" w:hAnsi="Times New Roman" w:cs="Times New Roman"/>
          <w:color w:val="000000"/>
          <w:sz w:val="24"/>
          <w:szCs w:val="24"/>
          <w:lang w:eastAsia="en-AU"/>
        </w:rPr>
      </w:pPr>
      <w:r w:rsidRPr="00261CDF">
        <w:rPr>
          <w:rFonts w:ascii="Times New Roman" w:eastAsia="Times New Roman" w:hAnsi="Times New Roman" w:cs="Times New Roman"/>
          <w:color w:val="000000"/>
          <w:sz w:val="24"/>
          <w:szCs w:val="24"/>
          <w:lang w:eastAsia="en-AU"/>
        </w:rPr>
        <w:t xml:space="preserve">Requiring persons who use telecommunications networks and facilities to disclose their identity is one basic and crucial way to minimise the risk of telecommunications networks being used in, or in relation to, the commission of offences. It also assists relevant agencies to identify and apprehend persons who do </w:t>
      </w:r>
      <w:r w:rsidRPr="00261CDF">
        <w:rPr>
          <w:rFonts w:ascii="Times New Roman" w:eastAsia="Times New Roman" w:hAnsi="Times New Roman" w:cs="Times New Roman"/>
          <w:color w:val="000000"/>
          <w:sz w:val="24"/>
          <w:szCs w:val="24"/>
          <w:lang w:eastAsia="en-AU"/>
        </w:rPr>
        <w:lastRenderedPageBreak/>
        <w:t>use, or attempt to use, telecommunications networks and facilities in, or in relation to, the commission of offences. Part</w:t>
      </w:r>
      <w:r>
        <w:rPr>
          <w:rFonts w:ascii="Times New Roman" w:eastAsia="Times New Roman" w:hAnsi="Times New Roman" w:cs="Times New Roman"/>
          <w:color w:val="000000"/>
          <w:sz w:val="24"/>
          <w:szCs w:val="24"/>
          <w:lang w:eastAsia="en-AU"/>
        </w:rPr>
        <w:t xml:space="preserve"> 2</w:t>
      </w:r>
      <w:r w:rsidRPr="00261CDF">
        <w:rPr>
          <w:rFonts w:ascii="Times New Roman" w:eastAsia="Times New Roman" w:hAnsi="Times New Roman" w:cs="Times New Roman"/>
          <w:color w:val="000000"/>
          <w:sz w:val="24"/>
          <w:szCs w:val="24"/>
          <w:lang w:eastAsia="en-AU"/>
        </w:rPr>
        <w:t xml:space="preserve"> is, in this respect, a reasonable, necessary and proportionate restriction on the freedom of expression.</w:t>
      </w:r>
    </w:p>
    <w:p w14:paraId="7BE3ADF3" w14:textId="5145FA0E" w:rsidR="00AB043D" w:rsidRPr="00A100D7" w:rsidRDefault="00AB043D" w:rsidP="00116173">
      <w:pPr>
        <w:rPr>
          <w:rFonts w:ascii="Times New Roman" w:eastAsia="Times New Roman" w:hAnsi="Times New Roman" w:cs="Times New Roman"/>
          <w:b/>
          <w:bCs/>
          <w:color w:val="000000"/>
          <w:sz w:val="24"/>
          <w:szCs w:val="24"/>
          <w:u w:val="single"/>
          <w:lang w:eastAsia="en-AU"/>
        </w:rPr>
      </w:pPr>
      <w:r w:rsidRPr="00A100D7">
        <w:rPr>
          <w:rFonts w:ascii="Times New Roman" w:eastAsia="Times New Roman" w:hAnsi="Times New Roman" w:cs="Times New Roman"/>
          <w:b/>
          <w:bCs/>
          <w:color w:val="000000"/>
          <w:sz w:val="24"/>
          <w:szCs w:val="24"/>
          <w:u w:val="single"/>
          <w:lang w:eastAsia="en-AU"/>
        </w:rPr>
        <w:t xml:space="preserve">Human rights implications </w:t>
      </w:r>
      <w:bookmarkStart w:id="18" w:name="_GoBack"/>
      <w:r w:rsidRPr="00A100D7">
        <w:rPr>
          <w:rFonts w:ascii="Times New Roman" w:eastAsia="Times New Roman" w:hAnsi="Times New Roman" w:cs="Times New Roman"/>
          <w:b/>
          <w:bCs/>
          <w:color w:val="000000"/>
          <w:sz w:val="24"/>
          <w:szCs w:val="24"/>
          <w:u w:val="single"/>
          <w:lang w:eastAsia="en-AU"/>
        </w:rPr>
        <w:t>–</w:t>
      </w:r>
      <w:bookmarkEnd w:id="18"/>
      <w:r w:rsidRPr="00A100D7">
        <w:rPr>
          <w:rFonts w:ascii="Times New Roman" w:eastAsia="Times New Roman" w:hAnsi="Times New Roman" w:cs="Times New Roman"/>
          <w:b/>
          <w:bCs/>
          <w:color w:val="000000"/>
          <w:sz w:val="24"/>
          <w:szCs w:val="24"/>
          <w:u w:val="single"/>
          <w:lang w:eastAsia="en-AU"/>
        </w:rPr>
        <w:t xml:space="preserve"> Presumption of innocence</w:t>
      </w:r>
    </w:p>
    <w:p w14:paraId="6895407B" w14:textId="28DED7AE" w:rsidR="00AB043D" w:rsidRPr="00DA1C42" w:rsidRDefault="00AB043D" w:rsidP="00116173">
      <w:pPr>
        <w:shd w:val="clear" w:color="auto" w:fill="FFFFFF"/>
        <w:spacing w:after="0" w:line="240" w:lineRule="auto"/>
        <w:rPr>
          <w:rFonts w:ascii="Times New Roman" w:hAnsi="Times New Roman"/>
          <w:color w:val="000000"/>
        </w:rPr>
      </w:pPr>
      <w:r w:rsidRPr="00A100D7">
        <w:rPr>
          <w:rFonts w:ascii="Times New Roman" w:eastAsia="Times New Roman" w:hAnsi="Times New Roman" w:cs="Times New Roman"/>
          <w:b/>
          <w:color w:val="000000"/>
          <w:sz w:val="24"/>
          <w:szCs w:val="24"/>
          <w:lang w:eastAsia="en-AU"/>
        </w:rPr>
        <w:t>Article </w:t>
      </w:r>
      <w:r w:rsidRPr="00A100D7">
        <w:rPr>
          <w:rFonts w:ascii="Times New Roman" w:eastAsia="Times New Roman" w:hAnsi="Times New Roman" w:cs="Times New Roman"/>
          <w:b/>
          <w:color w:val="000000"/>
          <w:sz w:val="24"/>
          <w:szCs w:val="24"/>
          <w:shd w:val="clear" w:color="auto" w:fill="FFFFFF"/>
          <w:lang w:eastAsia="en-AU"/>
        </w:rPr>
        <w:t>14(2)</w:t>
      </w:r>
      <w:r w:rsidR="00293C29">
        <w:rPr>
          <w:rFonts w:ascii="Times New Roman" w:eastAsia="Times New Roman" w:hAnsi="Times New Roman" w:cs="Times New Roman"/>
          <w:color w:val="000000"/>
          <w:sz w:val="24"/>
          <w:szCs w:val="24"/>
          <w:shd w:val="clear" w:color="auto" w:fill="FFFFFF"/>
          <w:lang w:eastAsia="en-AU"/>
        </w:rPr>
        <w:t xml:space="preserve"> of the </w:t>
      </w:r>
      <w:r w:rsidRPr="00261CDF">
        <w:rPr>
          <w:rFonts w:ascii="Times New Roman" w:eastAsia="Times New Roman" w:hAnsi="Times New Roman" w:cs="Times New Roman"/>
          <w:color w:val="000000"/>
          <w:sz w:val="24"/>
          <w:szCs w:val="24"/>
          <w:shd w:val="clear" w:color="auto" w:fill="FFFFFF"/>
          <w:lang w:eastAsia="en-AU"/>
        </w:rPr>
        <w:t>ICCPR provides that everyone charged with a criminal offence shall have the right to be presumed innocent until proven guilty according to law. It imposes on the prosecution the burden of proving a criminal charge and guarantees that no guilt can be presumed until the charge has been proved beyond reasonable doubt. Under international law the term ‘criminal offence’ includes not only offences or penalties that are classified as a criminal offence under national law, but also other forms of penalties that may be designated as civil penalties under domestic law. The approach under international and comparative human rights law is to consider the substance and effect of the proceedings, rather than the ‘label’ itself.</w:t>
      </w:r>
    </w:p>
    <w:p w14:paraId="79AB5772" w14:textId="3A35FE06" w:rsidR="00BC4068" w:rsidRDefault="00AB043D" w:rsidP="00116173">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en-AU"/>
        </w:rPr>
      </w:pPr>
      <w:r w:rsidRPr="00CE3729">
        <w:rPr>
          <w:rFonts w:ascii="Times New Roman" w:eastAsia="Times New Roman" w:hAnsi="Times New Roman" w:cs="Times New Roman"/>
          <w:color w:val="000000"/>
          <w:sz w:val="24"/>
          <w:szCs w:val="24"/>
          <w:shd w:val="clear" w:color="auto" w:fill="FFFFFF"/>
          <w:lang w:eastAsia="en-AU"/>
        </w:rPr>
        <w:t>Strict liability offences engage and limit the right to be presumed innocent as they</w:t>
      </w:r>
      <w:r w:rsidRPr="00261CDF">
        <w:rPr>
          <w:rFonts w:ascii="Times New Roman" w:eastAsia="Times New Roman" w:hAnsi="Times New Roman" w:cs="Times New Roman"/>
          <w:color w:val="000000"/>
          <w:sz w:val="24"/>
          <w:szCs w:val="24"/>
          <w:shd w:val="clear" w:color="auto" w:fill="FFFFFF"/>
          <w:lang w:eastAsia="en-AU"/>
        </w:rPr>
        <w:t xml:space="preserve"> allow for the imposition of criminal liability without the need for the prosecution to prove fault. In the case of a strict liability offence, the prosecution is only required to prove the physical elements of the offence. </w:t>
      </w:r>
    </w:p>
    <w:p w14:paraId="19452506" w14:textId="26FEBC88" w:rsidR="00BC4068" w:rsidRPr="00CE3729" w:rsidRDefault="00BC4068" w:rsidP="00A41B82">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en-AU"/>
        </w:rPr>
      </w:pPr>
      <w:r w:rsidRPr="00CE3729">
        <w:rPr>
          <w:rFonts w:ascii="Times New Roman" w:eastAsia="Times New Roman" w:hAnsi="Times New Roman" w:cs="Times New Roman"/>
          <w:color w:val="000000"/>
          <w:sz w:val="24"/>
          <w:szCs w:val="24"/>
          <w:shd w:val="clear" w:color="auto" w:fill="FFFFFF"/>
          <w:lang w:eastAsia="en-AU"/>
        </w:rPr>
        <w:t>By applying strict liability to all the physical elements of an offence will generally be considered appropriate where:</w:t>
      </w:r>
    </w:p>
    <w:p w14:paraId="0CAA21F6" w14:textId="466C2F8C" w:rsidR="00BC4068" w:rsidRPr="00293C29" w:rsidRDefault="00BC4068" w:rsidP="00997B5F">
      <w:pPr>
        <w:pStyle w:val="ListParagraph"/>
        <w:numPr>
          <w:ilvl w:val="0"/>
          <w:numId w:val="19"/>
        </w:numPr>
        <w:shd w:val="clear" w:color="auto" w:fill="FFFFFF"/>
        <w:spacing w:after="0" w:line="240" w:lineRule="auto"/>
        <w:rPr>
          <w:rFonts w:ascii="Times New Roman" w:hAnsi="Times New Roman"/>
          <w:sz w:val="24"/>
          <w:szCs w:val="24"/>
          <w:shd w:val="clear" w:color="auto" w:fill="FFFFFF"/>
        </w:rPr>
      </w:pPr>
      <w:r w:rsidRPr="00293C29">
        <w:rPr>
          <w:rFonts w:ascii="Times New Roman" w:hAnsi="Times New Roman"/>
          <w:sz w:val="24"/>
          <w:szCs w:val="24"/>
          <w:shd w:val="clear" w:color="auto" w:fill="FFFFFF"/>
        </w:rPr>
        <w:lastRenderedPageBreak/>
        <w:t>the offence is not punishable by imprisonment;</w:t>
      </w:r>
    </w:p>
    <w:p w14:paraId="75E5987B" w14:textId="71361070" w:rsidR="00BC4068" w:rsidRPr="00293C29" w:rsidRDefault="00BC4068" w:rsidP="00997B5F">
      <w:pPr>
        <w:pStyle w:val="ListParagraph"/>
        <w:numPr>
          <w:ilvl w:val="0"/>
          <w:numId w:val="19"/>
        </w:numPr>
        <w:shd w:val="clear" w:color="auto" w:fill="FFFFFF"/>
        <w:spacing w:after="0" w:line="240" w:lineRule="auto"/>
        <w:rPr>
          <w:rFonts w:ascii="Times New Roman" w:hAnsi="Times New Roman"/>
          <w:sz w:val="24"/>
          <w:szCs w:val="24"/>
          <w:shd w:val="clear" w:color="auto" w:fill="FFFFFF"/>
        </w:rPr>
      </w:pPr>
      <w:r w:rsidRPr="00293C29">
        <w:rPr>
          <w:rFonts w:ascii="Times New Roman" w:hAnsi="Times New Roman"/>
          <w:sz w:val="24"/>
          <w:szCs w:val="24"/>
          <w:shd w:val="clear" w:color="auto" w:fill="FFFFFF"/>
        </w:rPr>
        <w:t>the offence is punishable by a fine of up to 60 penalty units for an individual (300 for a body corporate);</w:t>
      </w:r>
    </w:p>
    <w:p w14:paraId="041796C8" w14:textId="3CBA81A3" w:rsidR="00BC4068" w:rsidRPr="00293C29" w:rsidRDefault="00BC4068" w:rsidP="00997B5F">
      <w:pPr>
        <w:pStyle w:val="ListParagraph"/>
        <w:numPr>
          <w:ilvl w:val="0"/>
          <w:numId w:val="19"/>
        </w:numPr>
        <w:shd w:val="clear" w:color="auto" w:fill="FFFFFF"/>
        <w:spacing w:after="0" w:line="240" w:lineRule="auto"/>
        <w:rPr>
          <w:rFonts w:ascii="Times New Roman" w:hAnsi="Times New Roman"/>
          <w:sz w:val="24"/>
          <w:szCs w:val="24"/>
          <w:shd w:val="clear" w:color="auto" w:fill="FFFFFF"/>
        </w:rPr>
      </w:pPr>
      <w:r w:rsidRPr="00293C29">
        <w:rPr>
          <w:rFonts w:ascii="Times New Roman" w:hAnsi="Times New Roman"/>
          <w:sz w:val="24"/>
          <w:szCs w:val="24"/>
          <w:shd w:val="clear" w:color="auto" w:fill="FFFFFF"/>
        </w:rPr>
        <w:t>the punishment of offences not involving fault is likely to significantly enhance the effectiveness of the enforcement regime in deterring certain conduct; and</w:t>
      </w:r>
    </w:p>
    <w:p w14:paraId="2BD25A18" w14:textId="29810C98" w:rsidR="00BC4068" w:rsidRPr="00293C29" w:rsidRDefault="00BC4068" w:rsidP="00997B5F">
      <w:pPr>
        <w:pStyle w:val="ListParagraph"/>
        <w:numPr>
          <w:ilvl w:val="0"/>
          <w:numId w:val="19"/>
        </w:numPr>
        <w:shd w:val="clear" w:color="auto" w:fill="FFFFFF"/>
        <w:spacing w:after="0" w:line="240" w:lineRule="auto"/>
        <w:rPr>
          <w:rFonts w:ascii="Times New Roman" w:hAnsi="Times New Roman"/>
          <w:sz w:val="24"/>
          <w:szCs w:val="24"/>
          <w:shd w:val="clear" w:color="auto" w:fill="FFFFFF"/>
        </w:rPr>
      </w:pPr>
      <w:r w:rsidRPr="00293C29">
        <w:rPr>
          <w:rFonts w:ascii="Times New Roman" w:hAnsi="Times New Roman"/>
          <w:sz w:val="24"/>
          <w:szCs w:val="24"/>
          <w:shd w:val="clear" w:color="auto" w:fill="FFFFFF"/>
        </w:rPr>
        <w:t>there are legitimate grounds for pe</w:t>
      </w:r>
      <w:r w:rsidR="002B371B">
        <w:rPr>
          <w:rFonts w:ascii="Times New Roman" w:hAnsi="Times New Roman"/>
          <w:sz w:val="24"/>
          <w:szCs w:val="24"/>
          <w:shd w:val="clear" w:color="auto" w:fill="FFFFFF"/>
        </w:rPr>
        <w:t xml:space="preserve">nalising persons lacking fault, </w:t>
      </w:r>
      <w:r w:rsidRPr="00293C29">
        <w:rPr>
          <w:rFonts w:ascii="Times New Roman" w:hAnsi="Times New Roman"/>
          <w:sz w:val="24"/>
          <w:szCs w:val="24"/>
          <w:shd w:val="clear" w:color="auto" w:fill="FFFFFF"/>
        </w:rPr>
        <w:t>for example, because he or she will be placed on notice to guard against the possibility of any contravention.</w:t>
      </w:r>
    </w:p>
    <w:p w14:paraId="40D79C9B" w14:textId="2683DD6D" w:rsidR="00AB043D" w:rsidRPr="00DA1C42" w:rsidRDefault="00AB043D" w:rsidP="00116173">
      <w:pPr>
        <w:shd w:val="clear" w:color="auto" w:fill="FFFFFF"/>
        <w:spacing w:after="0" w:line="240" w:lineRule="auto"/>
        <w:rPr>
          <w:rFonts w:ascii="Times New Roman" w:hAnsi="Times New Roman"/>
          <w:color w:val="000000"/>
        </w:rPr>
      </w:pPr>
      <w:r w:rsidRPr="00261CDF">
        <w:rPr>
          <w:rFonts w:ascii="Times New Roman" w:eastAsia="Times New Roman" w:hAnsi="Times New Roman" w:cs="Times New Roman"/>
          <w:color w:val="000000"/>
          <w:sz w:val="24"/>
          <w:szCs w:val="24"/>
          <w:shd w:val="clear" w:color="auto" w:fill="FFFFFF"/>
          <w:lang w:eastAsia="en-AU"/>
        </w:rPr>
        <w:t>A strict liability offence will not violate the presumption of innocence if it pursues a legitimate objective and is reasonable, necessary and proportionate to that objective.</w:t>
      </w:r>
    </w:p>
    <w:p w14:paraId="37B2E60C" w14:textId="1242E4CF" w:rsidR="00DD4A58" w:rsidRDefault="00F70B22" w:rsidP="00DD4A58">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en-AU"/>
        </w:rPr>
      </w:pPr>
      <w:r>
        <w:rPr>
          <w:rFonts w:ascii="Times New Roman" w:eastAsia="Times New Roman" w:hAnsi="Times New Roman" w:cs="Times New Roman"/>
          <w:color w:val="000000"/>
          <w:sz w:val="24"/>
          <w:szCs w:val="24"/>
          <w:shd w:val="clear" w:color="auto" w:fill="FFFFFF"/>
          <w:lang w:eastAsia="en-AU"/>
        </w:rPr>
        <w:t>The</w:t>
      </w:r>
      <w:r w:rsidR="00134004">
        <w:rPr>
          <w:rFonts w:ascii="Times New Roman" w:eastAsia="Times New Roman" w:hAnsi="Times New Roman" w:cs="Times New Roman"/>
          <w:color w:val="000000"/>
          <w:sz w:val="24"/>
          <w:szCs w:val="24"/>
          <w:shd w:val="clear" w:color="auto" w:fill="FFFFFF"/>
          <w:lang w:eastAsia="en-AU"/>
        </w:rPr>
        <w:t xml:space="preserve"> </w:t>
      </w:r>
      <w:r>
        <w:rPr>
          <w:rFonts w:ascii="Times New Roman" w:eastAsia="Times New Roman" w:hAnsi="Times New Roman" w:cs="Times New Roman"/>
          <w:color w:val="000000"/>
          <w:sz w:val="24"/>
          <w:szCs w:val="24"/>
          <w:shd w:val="clear" w:color="auto" w:fill="FFFFFF"/>
          <w:lang w:eastAsia="en-AU"/>
        </w:rPr>
        <w:t xml:space="preserve">offence provisions contained in the Regulations at </w:t>
      </w:r>
      <w:r w:rsidR="002B371B">
        <w:rPr>
          <w:rFonts w:ascii="Times New Roman" w:eastAsia="Times New Roman" w:hAnsi="Times New Roman" w:cs="Times New Roman"/>
          <w:color w:val="000000"/>
          <w:sz w:val="24"/>
          <w:szCs w:val="24"/>
          <w:shd w:val="clear" w:color="auto" w:fill="FFFFFF"/>
          <w:lang w:eastAsia="en-AU"/>
        </w:rPr>
        <w:t xml:space="preserve">section 46, </w:t>
      </w:r>
      <w:r>
        <w:rPr>
          <w:rFonts w:ascii="Times New Roman" w:eastAsia="Times New Roman" w:hAnsi="Times New Roman" w:cs="Times New Roman"/>
          <w:color w:val="000000"/>
          <w:sz w:val="24"/>
          <w:szCs w:val="24"/>
          <w:shd w:val="clear" w:color="auto" w:fill="FFFFFF"/>
          <w:lang w:eastAsia="en-AU"/>
        </w:rPr>
        <w:t>Division 2 of Part 4 are strict liability offences.</w:t>
      </w:r>
      <w:r w:rsidR="002B371B">
        <w:rPr>
          <w:rFonts w:ascii="Times New Roman" w:eastAsia="Times New Roman" w:hAnsi="Times New Roman" w:cs="Times New Roman"/>
          <w:color w:val="000000"/>
          <w:sz w:val="24"/>
          <w:szCs w:val="24"/>
          <w:shd w:val="clear" w:color="auto" w:fill="FFFFFF"/>
          <w:lang w:eastAsia="en-AU"/>
        </w:rPr>
        <w:t xml:space="preserve"> </w:t>
      </w:r>
      <w:r w:rsidR="009A3713" w:rsidRPr="009A3713">
        <w:rPr>
          <w:rFonts w:ascii="Times New Roman" w:eastAsia="Times New Roman" w:hAnsi="Times New Roman" w:cs="Times New Roman"/>
          <w:color w:val="000000"/>
          <w:sz w:val="24"/>
          <w:szCs w:val="24"/>
          <w:shd w:val="clear" w:color="auto" w:fill="FFFFFF"/>
          <w:lang w:eastAsia="en-AU"/>
        </w:rPr>
        <w:t>The</w:t>
      </w:r>
      <w:r w:rsidR="009A3713">
        <w:rPr>
          <w:rFonts w:ascii="Times New Roman" w:eastAsia="Times New Roman" w:hAnsi="Times New Roman" w:cs="Times New Roman"/>
          <w:color w:val="000000"/>
          <w:sz w:val="24"/>
          <w:szCs w:val="24"/>
          <w:shd w:val="clear" w:color="auto" w:fill="FFFFFF"/>
          <w:lang w:eastAsia="en-AU"/>
        </w:rPr>
        <w:t xml:space="preserve"> offences </w:t>
      </w:r>
      <w:r w:rsidR="002B371B">
        <w:rPr>
          <w:rFonts w:ascii="Times New Roman" w:eastAsia="Times New Roman" w:hAnsi="Times New Roman" w:cs="Times New Roman"/>
          <w:color w:val="000000"/>
          <w:sz w:val="24"/>
          <w:szCs w:val="24"/>
          <w:shd w:val="clear" w:color="auto" w:fill="FFFFFF"/>
          <w:lang w:eastAsia="en-AU"/>
        </w:rPr>
        <w:t xml:space="preserve">in the </w:t>
      </w:r>
      <w:r w:rsidR="009A3713" w:rsidRPr="009A3713">
        <w:rPr>
          <w:rFonts w:ascii="Times New Roman" w:eastAsia="Times New Roman" w:hAnsi="Times New Roman" w:cs="Times New Roman"/>
          <w:color w:val="000000"/>
          <w:sz w:val="24"/>
          <w:szCs w:val="24"/>
          <w:shd w:val="clear" w:color="auto" w:fill="FFFFFF"/>
          <w:lang w:eastAsia="en-AU"/>
        </w:rPr>
        <w:t xml:space="preserve">Regulations are aimed at upholding the integrity of the </w:t>
      </w:r>
      <w:r w:rsidR="00DD4A58">
        <w:rPr>
          <w:rFonts w:ascii="Times New Roman" w:eastAsia="Times New Roman" w:hAnsi="Times New Roman" w:cs="Times New Roman"/>
          <w:color w:val="000000"/>
          <w:sz w:val="24"/>
          <w:szCs w:val="24"/>
          <w:shd w:val="clear" w:color="auto" w:fill="FFFFFF"/>
          <w:lang w:eastAsia="en-AU"/>
        </w:rPr>
        <w:t xml:space="preserve">research authorisation </w:t>
      </w:r>
      <w:r w:rsidR="009A3713" w:rsidRPr="009A3713">
        <w:rPr>
          <w:rFonts w:ascii="Times New Roman" w:eastAsia="Times New Roman" w:hAnsi="Times New Roman" w:cs="Times New Roman"/>
          <w:color w:val="000000"/>
          <w:sz w:val="24"/>
          <w:szCs w:val="24"/>
          <w:shd w:val="clear" w:color="auto" w:fill="FFFFFF"/>
          <w:lang w:eastAsia="en-AU"/>
        </w:rPr>
        <w:t xml:space="preserve">process and ensuring </w:t>
      </w:r>
      <w:r w:rsidR="00DD4A58">
        <w:rPr>
          <w:rFonts w:ascii="Times New Roman" w:eastAsia="Times New Roman" w:hAnsi="Times New Roman" w:cs="Times New Roman"/>
          <w:color w:val="000000"/>
          <w:sz w:val="24"/>
          <w:szCs w:val="24"/>
          <w:shd w:val="clear" w:color="auto" w:fill="FFFFFF"/>
          <w:lang w:eastAsia="en-AU"/>
        </w:rPr>
        <w:t xml:space="preserve">that </w:t>
      </w:r>
      <w:r w:rsidR="009A3713" w:rsidRPr="009A3713">
        <w:rPr>
          <w:rFonts w:ascii="Times New Roman" w:eastAsia="Times New Roman" w:hAnsi="Times New Roman" w:cs="Times New Roman"/>
          <w:color w:val="000000"/>
          <w:sz w:val="24"/>
          <w:szCs w:val="24"/>
          <w:shd w:val="clear" w:color="auto" w:fill="FFFFFF"/>
          <w:lang w:eastAsia="en-AU"/>
        </w:rPr>
        <w:t xml:space="preserve">the </w:t>
      </w:r>
      <w:r w:rsidR="00DD4A58">
        <w:rPr>
          <w:rFonts w:ascii="Times New Roman" w:eastAsia="Times New Roman" w:hAnsi="Times New Roman" w:cs="Times New Roman"/>
          <w:color w:val="000000"/>
          <w:sz w:val="24"/>
          <w:szCs w:val="24"/>
          <w:shd w:val="clear" w:color="auto" w:fill="FFFFFF"/>
          <w:lang w:eastAsia="en-AU"/>
        </w:rPr>
        <w:t xml:space="preserve">authorised research information (including personal information) is properly dealt with and personal information (such as a person’s </w:t>
      </w:r>
      <w:r w:rsidR="005E5CDC">
        <w:rPr>
          <w:rFonts w:ascii="Times New Roman" w:eastAsia="Times New Roman" w:hAnsi="Times New Roman" w:cs="Times New Roman"/>
          <w:color w:val="000000"/>
          <w:sz w:val="24"/>
          <w:szCs w:val="24"/>
          <w:shd w:val="clear" w:color="auto" w:fill="FFFFFF"/>
          <w:lang w:eastAsia="en-AU"/>
        </w:rPr>
        <w:t xml:space="preserve">unlisted mobile </w:t>
      </w:r>
      <w:r w:rsidR="00DD4A58">
        <w:rPr>
          <w:rFonts w:ascii="Times New Roman" w:eastAsia="Times New Roman" w:hAnsi="Times New Roman" w:cs="Times New Roman"/>
          <w:color w:val="000000"/>
          <w:sz w:val="24"/>
          <w:szCs w:val="24"/>
          <w:shd w:val="clear" w:color="auto" w:fill="FFFFFF"/>
          <w:lang w:eastAsia="en-AU"/>
        </w:rPr>
        <w:t>number) is not disclosed to the public</w:t>
      </w:r>
      <w:r w:rsidR="009A3713" w:rsidRPr="009A3713">
        <w:rPr>
          <w:rFonts w:ascii="Times New Roman" w:eastAsia="Times New Roman" w:hAnsi="Times New Roman" w:cs="Times New Roman"/>
          <w:color w:val="000000"/>
          <w:sz w:val="24"/>
          <w:szCs w:val="24"/>
          <w:shd w:val="clear" w:color="auto" w:fill="FFFFFF"/>
          <w:lang w:eastAsia="en-AU"/>
        </w:rPr>
        <w:t xml:space="preserve">. </w:t>
      </w:r>
      <w:r w:rsidR="00DD4A58">
        <w:rPr>
          <w:rFonts w:ascii="Times New Roman" w:eastAsia="Times New Roman" w:hAnsi="Times New Roman" w:cs="Times New Roman"/>
          <w:color w:val="000000"/>
          <w:sz w:val="24"/>
          <w:szCs w:val="24"/>
          <w:shd w:val="clear" w:color="auto" w:fill="FFFFFF"/>
          <w:lang w:eastAsia="en-AU"/>
        </w:rPr>
        <w:t xml:space="preserve"> </w:t>
      </w:r>
      <w:r w:rsidR="009A3713" w:rsidRPr="009A3713">
        <w:rPr>
          <w:rFonts w:ascii="Times New Roman" w:eastAsia="Times New Roman" w:hAnsi="Times New Roman" w:cs="Times New Roman"/>
          <w:color w:val="000000"/>
          <w:sz w:val="24"/>
          <w:szCs w:val="24"/>
          <w:shd w:val="clear" w:color="auto" w:fill="FFFFFF"/>
          <w:lang w:eastAsia="en-AU"/>
        </w:rPr>
        <w:t xml:space="preserve">By making these offences strict liability offences, it provides a strong deterrent for those parties </w:t>
      </w:r>
      <w:r w:rsidR="00DD4A58">
        <w:rPr>
          <w:rFonts w:ascii="Times New Roman" w:eastAsia="Times New Roman" w:hAnsi="Times New Roman" w:cs="Times New Roman"/>
          <w:color w:val="000000"/>
          <w:sz w:val="24"/>
          <w:szCs w:val="24"/>
          <w:shd w:val="clear" w:color="auto" w:fill="FFFFFF"/>
          <w:lang w:eastAsia="en-AU"/>
        </w:rPr>
        <w:t>to improperly use or</w:t>
      </w:r>
      <w:r w:rsidR="005E5CDC">
        <w:rPr>
          <w:rFonts w:ascii="Times New Roman" w:eastAsia="Times New Roman" w:hAnsi="Times New Roman" w:cs="Times New Roman"/>
          <w:color w:val="000000"/>
          <w:sz w:val="24"/>
          <w:szCs w:val="24"/>
          <w:shd w:val="clear" w:color="auto" w:fill="FFFFFF"/>
          <w:lang w:eastAsia="en-AU"/>
        </w:rPr>
        <w:t xml:space="preserve"> deal with personal information. </w:t>
      </w:r>
      <w:r w:rsidR="00DD4A58">
        <w:rPr>
          <w:rFonts w:ascii="Times New Roman" w:eastAsia="Times New Roman" w:hAnsi="Times New Roman" w:cs="Times New Roman"/>
          <w:color w:val="000000"/>
          <w:sz w:val="24"/>
          <w:szCs w:val="24"/>
          <w:lang w:eastAsia="en-AU"/>
        </w:rPr>
        <w:t>I</w:t>
      </w:r>
      <w:r w:rsidR="00DD4A58" w:rsidRPr="00261CDF">
        <w:rPr>
          <w:rFonts w:ascii="Times New Roman" w:eastAsia="Times New Roman" w:hAnsi="Times New Roman" w:cs="Times New Roman"/>
          <w:color w:val="000000"/>
          <w:sz w:val="24"/>
          <w:szCs w:val="24"/>
          <w:lang w:eastAsia="en-AU"/>
        </w:rPr>
        <w:t xml:space="preserve">n this respect, </w:t>
      </w:r>
      <w:r w:rsidR="00DD4A58">
        <w:rPr>
          <w:rFonts w:ascii="Times New Roman" w:eastAsia="Times New Roman" w:hAnsi="Times New Roman" w:cs="Times New Roman"/>
          <w:color w:val="000000"/>
          <w:sz w:val="24"/>
          <w:szCs w:val="24"/>
          <w:lang w:eastAsia="en-AU"/>
        </w:rPr>
        <w:t xml:space="preserve">it is considered </w:t>
      </w:r>
      <w:r w:rsidR="00DD4A58" w:rsidRPr="00261CDF">
        <w:rPr>
          <w:rFonts w:ascii="Times New Roman" w:eastAsia="Times New Roman" w:hAnsi="Times New Roman" w:cs="Times New Roman"/>
          <w:color w:val="000000"/>
          <w:sz w:val="24"/>
          <w:szCs w:val="24"/>
          <w:lang w:eastAsia="en-AU"/>
        </w:rPr>
        <w:t xml:space="preserve">a reasonable, necessary and proportionate restriction on the </w:t>
      </w:r>
      <w:r w:rsidR="00DD4A58" w:rsidRPr="00261CDF">
        <w:rPr>
          <w:rFonts w:ascii="Times New Roman" w:eastAsia="Times New Roman" w:hAnsi="Times New Roman" w:cs="Times New Roman"/>
          <w:color w:val="000000"/>
          <w:sz w:val="24"/>
          <w:szCs w:val="24"/>
          <w:shd w:val="clear" w:color="auto" w:fill="FFFFFF"/>
          <w:lang w:eastAsia="en-AU"/>
        </w:rPr>
        <w:t xml:space="preserve">right to be presumed innocent until proven guilty </w:t>
      </w:r>
      <w:r w:rsidR="00DD4A58">
        <w:rPr>
          <w:rFonts w:ascii="Times New Roman" w:eastAsia="Times New Roman" w:hAnsi="Times New Roman" w:cs="Times New Roman"/>
          <w:color w:val="000000"/>
          <w:sz w:val="24"/>
          <w:szCs w:val="24"/>
          <w:shd w:val="clear" w:color="auto" w:fill="FFFFFF"/>
          <w:lang w:eastAsia="en-AU"/>
        </w:rPr>
        <w:t xml:space="preserve">in order </w:t>
      </w:r>
      <w:r w:rsidR="001968DE">
        <w:rPr>
          <w:rFonts w:ascii="Times New Roman" w:eastAsia="Times New Roman" w:hAnsi="Times New Roman" w:cs="Times New Roman"/>
          <w:color w:val="000000"/>
          <w:sz w:val="24"/>
          <w:szCs w:val="24"/>
          <w:shd w:val="clear" w:color="auto" w:fill="FFFFFF"/>
          <w:lang w:eastAsia="en-AU"/>
        </w:rPr>
        <w:t xml:space="preserve">to </w:t>
      </w:r>
      <w:r w:rsidR="00DD4A58">
        <w:rPr>
          <w:rFonts w:ascii="Times New Roman" w:eastAsia="Times New Roman" w:hAnsi="Times New Roman" w:cs="Times New Roman"/>
          <w:color w:val="000000"/>
          <w:sz w:val="24"/>
          <w:szCs w:val="24"/>
          <w:shd w:val="clear" w:color="auto" w:fill="FFFFFF"/>
          <w:lang w:eastAsia="en-AU"/>
        </w:rPr>
        <w:t>protect individual privacy</w:t>
      </w:r>
      <w:r w:rsidR="00DD4A58" w:rsidRPr="009A3713">
        <w:rPr>
          <w:rFonts w:ascii="Times New Roman" w:eastAsia="Times New Roman" w:hAnsi="Times New Roman" w:cs="Times New Roman"/>
          <w:color w:val="000000"/>
          <w:sz w:val="24"/>
          <w:szCs w:val="24"/>
          <w:shd w:val="clear" w:color="auto" w:fill="FFFFFF"/>
          <w:lang w:eastAsia="en-AU"/>
        </w:rPr>
        <w:t>.</w:t>
      </w:r>
    </w:p>
    <w:p w14:paraId="6DE5F68A" w14:textId="73E32342" w:rsidR="001968DE" w:rsidRPr="009A3713" w:rsidRDefault="001968DE" w:rsidP="00DD4A58">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en-AU"/>
        </w:rPr>
      </w:pPr>
      <w:r>
        <w:rPr>
          <w:rFonts w:ascii="Times New Roman" w:eastAsia="Times New Roman" w:hAnsi="Times New Roman" w:cs="Times New Roman"/>
          <w:color w:val="000000"/>
          <w:sz w:val="24"/>
          <w:szCs w:val="24"/>
          <w:shd w:val="clear" w:color="auto" w:fill="FFFFFF"/>
          <w:lang w:eastAsia="en-AU"/>
        </w:rPr>
        <w:lastRenderedPageBreak/>
        <w:t xml:space="preserve">Any </w:t>
      </w:r>
      <w:r w:rsidRPr="001968DE">
        <w:rPr>
          <w:rFonts w:ascii="Times New Roman" w:eastAsia="Times New Roman" w:hAnsi="Times New Roman" w:cs="Times New Roman"/>
          <w:color w:val="000000"/>
          <w:sz w:val="24"/>
          <w:szCs w:val="24"/>
          <w:shd w:val="clear" w:color="auto" w:fill="FFFFFF"/>
          <w:lang w:eastAsia="en-AU"/>
        </w:rPr>
        <w:t xml:space="preserve">authorised research entity that fails to comply with conditions set out by ACMA </w:t>
      </w:r>
      <w:r w:rsidR="002B371B">
        <w:rPr>
          <w:rFonts w:ascii="Times New Roman" w:eastAsia="Times New Roman" w:hAnsi="Times New Roman" w:cs="Times New Roman"/>
          <w:color w:val="000000"/>
          <w:sz w:val="24"/>
          <w:szCs w:val="24"/>
          <w:shd w:val="clear" w:color="auto" w:fill="FFFFFF"/>
          <w:lang w:eastAsia="en-AU"/>
        </w:rPr>
        <w:t xml:space="preserve">under Subdivision C </w:t>
      </w:r>
      <w:r w:rsidRPr="001968DE">
        <w:rPr>
          <w:rFonts w:ascii="Times New Roman" w:eastAsia="Times New Roman" w:hAnsi="Times New Roman" w:cs="Times New Roman"/>
          <w:color w:val="000000"/>
          <w:sz w:val="24"/>
          <w:szCs w:val="24"/>
          <w:shd w:val="clear" w:color="auto" w:fill="FFFFFF"/>
          <w:lang w:eastAsia="en-AU"/>
        </w:rPr>
        <w:t>would have been well aware of those conditions due to there being a research authorisation in place.</w:t>
      </w:r>
    </w:p>
    <w:p w14:paraId="1A6D4F5D" w14:textId="77777777" w:rsidR="00BD7C56" w:rsidRPr="00B35F08" w:rsidRDefault="009A3713" w:rsidP="00BD7C56">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r w:rsidRPr="009A3713">
        <w:rPr>
          <w:rFonts w:ascii="Times New Roman" w:eastAsia="Times New Roman" w:hAnsi="Times New Roman" w:cs="Times New Roman"/>
          <w:color w:val="000000"/>
          <w:sz w:val="24"/>
          <w:szCs w:val="24"/>
          <w:shd w:val="clear" w:color="auto" w:fill="FFFFFF"/>
          <w:lang w:eastAsia="en-AU"/>
        </w:rPr>
        <w:t xml:space="preserve">The conduct that is the subject of offences is not </w:t>
      </w:r>
      <w:r w:rsidR="00DD4A58">
        <w:rPr>
          <w:rFonts w:ascii="Times New Roman" w:eastAsia="Times New Roman" w:hAnsi="Times New Roman" w:cs="Times New Roman"/>
          <w:color w:val="000000"/>
          <w:sz w:val="24"/>
          <w:szCs w:val="24"/>
          <w:shd w:val="clear" w:color="auto" w:fill="FFFFFF"/>
          <w:lang w:eastAsia="en-AU"/>
        </w:rPr>
        <w:t xml:space="preserve">overly </w:t>
      </w:r>
      <w:r w:rsidRPr="009A3713">
        <w:rPr>
          <w:rFonts w:ascii="Times New Roman" w:eastAsia="Times New Roman" w:hAnsi="Times New Roman" w:cs="Times New Roman"/>
          <w:color w:val="000000"/>
          <w:sz w:val="24"/>
          <w:szCs w:val="24"/>
          <w:shd w:val="clear" w:color="auto" w:fill="FFFFFF"/>
          <w:lang w:eastAsia="en-AU"/>
        </w:rPr>
        <w:t xml:space="preserve">burdensome to comply with, </w:t>
      </w:r>
      <w:r w:rsidR="00EB0AD2">
        <w:rPr>
          <w:rFonts w:ascii="Times New Roman" w:eastAsia="Times New Roman" w:hAnsi="Times New Roman" w:cs="Times New Roman"/>
          <w:color w:val="000000"/>
          <w:sz w:val="24"/>
          <w:szCs w:val="24"/>
          <w:shd w:val="clear" w:color="auto" w:fill="FFFFFF"/>
          <w:lang w:eastAsia="en-AU"/>
        </w:rPr>
        <w:t xml:space="preserve">and the </w:t>
      </w:r>
      <w:r w:rsidRPr="009A3713">
        <w:rPr>
          <w:rFonts w:ascii="Times New Roman" w:eastAsia="Times New Roman" w:hAnsi="Times New Roman" w:cs="Times New Roman"/>
          <w:color w:val="000000"/>
          <w:sz w:val="24"/>
          <w:szCs w:val="24"/>
          <w:shd w:val="clear" w:color="auto" w:fill="FFFFFF"/>
          <w:lang w:eastAsia="en-AU"/>
        </w:rPr>
        <w:t xml:space="preserve">penalty </w:t>
      </w:r>
      <w:r w:rsidR="00EB0AD2">
        <w:rPr>
          <w:rFonts w:ascii="Times New Roman" w:eastAsia="Times New Roman" w:hAnsi="Times New Roman" w:cs="Times New Roman"/>
          <w:color w:val="000000"/>
          <w:sz w:val="24"/>
          <w:szCs w:val="24"/>
          <w:shd w:val="clear" w:color="auto" w:fill="FFFFFF"/>
          <w:lang w:eastAsia="en-AU"/>
        </w:rPr>
        <w:t xml:space="preserve">for each offence </w:t>
      </w:r>
      <w:r w:rsidRPr="009A3713">
        <w:rPr>
          <w:rFonts w:ascii="Times New Roman" w:eastAsia="Times New Roman" w:hAnsi="Times New Roman" w:cs="Times New Roman"/>
          <w:color w:val="000000"/>
          <w:sz w:val="24"/>
          <w:szCs w:val="24"/>
          <w:shd w:val="clear" w:color="auto" w:fill="FFFFFF"/>
          <w:lang w:eastAsia="en-AU"/>
        </w:rPr>
        <w:t xml:space="preserve">(10 penalty units) is also not unduly onerous.  For these reasons, strict liability is a reasonable and proportionate response. </w:t>
      </w:r>
      <w:r w:rsidR="00BD7C56">
        <w:rPr>
          <w:rFonts w:ascii="Times New Roman" w:eastAsia="Times New Roman" w:hAnsi="Times New Roman" w:cs="Times New Roman"/>
          <w:color w:val="000000"/>
          <w:sz w:val="24"/>
          <w:szCs w:val="24"/>
          <w:shd w:val="clear" w:color="auto" w:fill="FFFFFF"/>
          <w:lang w:eastAsia="en-AU"/>
        </w:rPr>
        <w:t xml:space="preserve"> </w:t>
      </w:r>
      <w:r w:rsidR="00BD7C56" w:rsidRPr="00B35F08">
        <w:rPr>
          <w:rFonts w:ascii="Times New Roman" w:eastAsia="Times New Roman" w:hAnsi="Times New Roman" w:cs="Times New Roman"/>
          <w:sz w:val="24"/>
          <w:szCs w:val="24"/>
          <w:lang w:val="en-US" w:eastAsia="en-AU"/>
        </w:rPr>
        <w:t xml:space="preserve">Nothing in the offence provisions under these Regulations abrogates the common law privilege against self-incrimination. </w:t>
      </w:r>
    </w:p>
    <w:p w14:paraId="2A9FABB2" w14:textId="3D0572C2" w:rsidR="00AB043D" w:rsidRPr="00DA1C42" w:rsidRDefault="00EB0AD2" w:rsidP="009A3713">
      <w:pPr>
        <w:shd w:val="clear" w:color="auto" w:fill="FFFFFF"/>
        <w:spacing w:after="0" w:line="240" w:lineRule="auto"/>
        <w:rPr>
          <w:rFonts w:ascii="Times New Roman" w:hAnsi="Times New Roman"/>
          <w:color w:val="000000"/>
        </w:rPr>
      </w:pPr>
      <w:r>
        <w:rPr>
          <w:rFonts w:ascii="Times New Roman" w:eastAsia="Times New Roman" w:hAnsi="Times New Roman" w:cs="Times New Roman"/>
          <w:color w:val="000000"/>
          <w:sz w:val="24"/>
          <w:szCs w:val="24"/>
          <w:shd w:val="clear" w:color="auto" w:fill="FFFFFF"/>
          <w:lang w:eastAsia="en-AU"/>
        </w:rPr>
        <w:t>Of course, i</w:t>
      </w:r>
      <w:r w:rsidR="00AB043D" w:rsidRPr="00261CDF">
        <w:rPr>
          <w:rFonts w:ascii="Times New Roman" w:eastAsia="Times New Roman" w:hAnsi="Times New Roman" w:cs="Times New Roman"/>
          <w:color w:val="000000"/>
          <w:sz w:val="24"/>
          <w:szCs w:val="24"/>
          <w:shd w:val="clear" w:color="auto" w:fill="FFFFFF"/>
          <w:lang w:eastAsia="en-AU"/>
        </w:rPr>
        <w:t xml:space="preserve">t remains incumbent on the prosecution to prove the physical elements of these offences beyond a reasonable doubt. An accused will have access to the defences available under Part 2.3 of the </w:t>
      </w:r>
      <w:r w:rsidR="00AB043D" w:rsidRPr="002B371B">
        <w:rPr>
          <w:rFonts w:ascii="Times New Roman" w:eastAsia="Times New Roman" w:hAnsi="Times New Roman" w:cs="Times New Roman"/>
          <w:i/>
          <w:color w:val="000000"/>
          <w:sz w:val="24"/>
          <w:szCs w:val="24"/>
          <w:shd w:val="clear" w:color="auto" w:fill="FFFFFF"/>
          <w:lang w:eastAsia="en-AU"/>
        </w:rPr>
        <w:t>Criminal Code Act 1995</w:t>
      </w:r>
      <w:r w:rsidR="00AB043D" w:rsidRPr="00261CDF">
        <w:rPr>
          <w:rFonts w:ascii="Times New Roman" w:eastAsia="Times New Roman" w:hAnsi="Times New Roman" w:cs="Times New Roman"/>
          <w:color w:val="000000"/>
          <w:sz w:val="24"/>
          <w:szCs w:val="24"/>
          <w:shd w:val="clear" w:color="auto" w:fill="FFFFFF"/>
          <w:lang w:eastAsia="en-AU"/>
        </w:rPr>
        <w:t xml:space="preserve"> (</w:t>
      </w:r>
      <w:r w:rsidR="00AB043D" w:rsidRPr="00CE3729">
        <w:rPr>
          <w:rFonts w:ascii="Times New Roman" w:eastAsia="Times New Roman" w:hAnsi="Times New Roman" w:cs="Times New Roman"/>
          <w:iCs/>
          <w:color w:val="000000"/>
          <w:sz w:val="24"/>
          <w:szCs w:val="24"/>
          <w:shd w:val="clear" w:color="auto" w:fill="FFFFFF"/>
          <w:lang w:eastAsia="en-AU"/>
        </w:rPr>
        <w:t>Criminal Code</w:t>
      </w:r>
      <w:r w:rsidR="00AB043D" w:rsidRPr="00CE3729">
        <w:rPr>
          <w:rFonts w:ascii="Times New Roman" w:eastAsia="Times New Roman" w:hAnsi="Times New Roman" w:cs="Times New Roman"/>
          <w:color w:val="000000"/>
          <w:sz w:val="24"/>
          <w:szCs w:val="24"/>
          <w:shd w:val="clear" w:color="auto" w:fill="FFFFFF"/>
          <w:lang w:eastAsia="en-AU"/>
        </w:rPr>
        <w:t>)</w:t>
      </w:r>
      <w:r w:rsidR="00AB043D" w:rsidRPr="00261CDF">
        <w:rPr>
          <w:rFonts w:ascii="Times New Roman" w:eastAsia="Times New Roman" w:hAnsi="Times New Roman" w:cs="Times New Roman"/>
          <w:color w:val="000000"/>
          <w:sz w:val="24"/>
          <w:szCs w:val="24"/>
          <w:shd w:val="clear" w:color="auto" w:fill="FFFFFF"/>
          <w:lang w:eastAsia="en-AU"/>
        </w:rPr>
        <w:t>, where applicable. For example, the defence of intervening conduct or event (s10.1 of the Criminal Code), or the defence of honest and reasonable mistake of fact (s9.2 of the Criminal Code) may be available. These are considered to be a sufficient safeguard against error, abuse, and provide the opportunity to avoid penalty for reasonable excuses.</w:t>
      </w:r>
    </w:p>
    <w:p w14:paraId="4A8A86C8" w14:textId="091C2B10" w:rsidR="00AB043D" w:rsidRDefault="00AB043D" w:rsidP="00116173">
      <w:pPr>
        <w:shd w:val="clear" w:color="auto" w:fill="FFFFFF"/>
        <w:spacing w:line="240" w:lineRule="auto"/>
        <w:rPr>
          <w:rFonts w:ascii="Times New Roman" w:hAnsi="Times New Roman"/>
        </w:rPr>
      </w:pPr>
    </w:p>
    <w:p w14:paraId="18ACAAF4" w14:textId="0B4FEDC8" w:rsidR="00854854" w:rsidRDefault="00854854" w:rsidP="00116173">
      <w:pPr>
        <w:shd w:val="clear" w:color="auto" w:fill="FFFFFF"/>
        <w:spacing w:line="240" w:lineRule="auto"/>
        <w:rPr>
          <w:rFonts w:ascii="Times New Roman" w:hAnsi="Times New Roman"/>
        </w:rPr>
      </w:pPr>
    </w:p>
    <w:p w14:paraId="1461D0D3" w14:textId="77777777" w:rsidR="00854854" w:rsidRPr="00DA1C42" w:rsidRDefault="00854854" w:rsidP="00116173">
      <w:pPr>
        <w:shd w:val="clear" w:color="auto" w:fill="FFFFFF"/>
        <w:spacing w:line="240" w:lineRule="auto"/>
        <w:rPr>
          <w:rFonts w:ascii="Times New Roman" w:hAnsi="Times New Roman"/>
        </w:rPr>
      </w:pPr>
    </w:p>
    <w:p w14:paraId="3F618C8F" w14:textId="77777777" w:rsidR="00AB043D" w:rsidRPr="00261CDF" w:rsidRDefault="00AB043D" w:rsidP="00116173">
      <w:pPr>
        <w:shd w:val="clear" w:color="auto" w:fill="FFFFFF"/>
        <w:spacing w:after="240" w:line="240" w:lineRule="auto"/>
        <w:rPr>
          <w:rFonts w:ascii="Times New Roman" w:eastAsia="Times New Roman" w:hAnsi="Times New Roman" w:cs="Times New Roman"/>
          <w:b/>
          <w:color w:val="000000"/>
          <w:sz w:val="24"/>
          <w:szCs w:val="24"/>
          <w:lang w:eastAsia="en-AU"/>
        </w:rPr>
      </w:pPr>
      <w:r w:rsidRPr="00261CDF">
        <w:rPr>
          <w:rFonts w:ascii="Times New Roman" w:eastAsia="Times New Roman" w:hAnsi="Times New Roman" w:cs="Times New Roman"/>
          <w:b/>
          <w:color w:val="000000"/>
          <w:sz w:val="24"/>
          <w:szCs w:val="24"/>
          <w:lang w:eastAsia="en-AU"/>
        </w:rPr>
        <w:t>Conclusion</w:t>
      </w:r>
    </w:p>
    <w:p w14:paraId="1C5A24FD" w14:textId="5F4F53A8" w:rsidR="00AB043D" w:rsidRPr="00261CDF" w:rsidRDefault="00AB043D" w:rsidP="00116173">
      <w:pPr>
        <w:shd w:val="clear" w:color="auto" w:fill="FFFFFF"/>
        <w:spacing w:after="240" w:line="240" w:lineRule="auto"/>
        <w:rPr>
          <w:rFonts w:ascii="Times New Roman" w:eastAsia="Times New Roman" w:hAnsi="Times New Roman" w:cs="Times New Roman"/>
          <w:color w:val="000000"/>
          <w:sz w:val="24"/>
          <w:szCs w:val="24"/>
          <w:lang w:eastAsia="en-AU"/>
        </w:rPr>
      </w:pPr>
      <w:r w:rsidRPr="00261CDF">
        <w:rPr>
          <w:rFonts w:ascii="Times New Roman" w:eastAsia="Times New Roman" w:hAnsi="Times New Roman" w:cs="Times New Roman"/>
          <w:color w:val="000000"/>
          <w:sz w:val="24"/>
          <w:szCs w:val="24"/>
          <w:lang w:eastAsia="en-AU"/>
        </w:rPr>
        <w:lastRenderedPageBreak/>
        <w:t>Th</w:t>
      </w:r>
      <w:r w:rsidR="00E05F9A">
        <w:rPr>
          <w:rFonts w:ascii="Times New Roman" w:eastAsia="Times New Roman" w:hAnsi="Times New Roman" w:cs="Times New Roman"/>
          <w:color w:val="000000"/>
          <w:sz w:val="24"/>
          <w:szCs w:val="24"/>
          <w:lang w:eastAsia="en-AU"/>
        </w:rPr>
        <w:t>e I</w:t>
      </w:r>
      <w:r w:rsidRPr="00261CDF">
        <w:rPr>
          <w:rFonts w:ascii="Times New Roman" w:eastAsia="Times New Roman" w:hAnsi="Times New Roman" w:cs="Times New Roman"/>
          <w:color w:val="000000"/>
          <w:sz w:val="24"/>
          <w:szCs w:val="24"/>
          <w:lang w:eastAsia="en-AU"/>
        </w:rPr>
        <w:t>nstrument is compatible with human rights. Any interference with privacy is neither unlawful nor arbitrary</w:t>
      </w:r>
      <w:r w:rsidR="006B1E74">
        <w:rPr>
          <w:rFonts w:ascii="Times New Roman" w:eastAsia="Times New Roman" w:hAnsi="Times New Roman" w:cs="Times New Roman"/>
          <w:color w:val="000000"/>
          <w:sz w:val="24"/>
          <w:szCs w:val="24"/>
          <w:lang w:eastAsia="en-AU"/>
        </w:rPr>
        <w:t xml:space="preserve"> </w:t>
      </w:r>
      <w:r w:rsidR="006B1E74" w:rsidRPr="006B1E74">
        <w:rPr>
          <w:rFonts w:ascii="Times New Roman" w:eastAsia="Times New Roman" w:hAnsi="Times New Roman" w:cs="Times New Roman"/>
          <w:color w:val="000000"/>
          <w:sz w:val="24"/>
          <w:szCs w:val="24"/>
          <w:lang w:eastAsia="en-AU"/>
        </w:rPr>
        <w:t xml:space="preserve">and </w:t>
      </w:r>
      <w:r w:rsidR="006B1E74">
        <w:rPr>
          <w:rFonts w:ascii="Times New Roman" w:eastAsia="Times New Roman" w:hAnsi="Times New Roman" w:cs="Times New Roman"/>
          <w:color w:val="000000"/>
          <w:sz w:val="24"/>
          <w:szCs w:val="24"/>
          <w:lang w:eastAsia="en-AU"/>
        </w:rPr>
        <w:t xml:space="preserve">there are </w:t>
      </w:r>
      <w:r w:rsidR="006B1E74" w:rsidRPr="006B1E74">
        <w:rPr>
          <w:rFonts w:ascii="Times New Roman" w:eastAsia="Times New Roman" w:hAnsi="Times New Roman" w:cs="Times New Roman"/>
          <w:color w:val="000000"/>
          <w:sz w:val="24"/>
          <w:szCs w:val="24"/>
          <w:lang w:eastAsia="en-AU"/>
        </w:rPr>
        <w:t>strong privacy protections</w:t>
      </w:r>
      <w:r w:rsidRPr="00261CDF">
        <w:rPr>
          <w:rFonts w:ascii="Times New Roman" w:eastAsia="Times New Roman" w:hAnsi="Times New Roman" w:cs="Times New Roman"/>
          <w:color w:val="000000"/>
          <w:sz w:val="24"/>
          <w:szCs w:val="24"/>
          <w:lang w:eastAsia="en-AU"/>
        </w:rPr>
        <w:t xml:space="preserve">. The restrictions imposed on freedom of expression are reasonable, necessary and proportionate to give effect to the legitimate objectives of law enforcement and national security. The presumption of innocence is maintained as the instrument is </w:t>
      </w:r>
      <w:r w:rsidRPr="00261CDF">
        <w:rPr>
          <w:rFonts w:ascii="Times New Roman" w:eastAsia="Times New Roman" w:hAnsi="Times New Roman" w:cs="Times New Roman"/>
          <w:color w:val="000000"/>
          <w:sz w:val="24"/>
          <w:szCs w:val="24"/>
          <w:shd w:val="clear" w:color="auto" w:fill="FFFFFF"/>
          <w:lang w:eastAsia="en-AU"/>
        </w:rPr>
        <w:t>reasonable, necessary and proportionate.</w:t>
      </w:r>
    </w:p>
    <w:p w14:paraId="12D4D4C0" w14:textId="77777777" w:rsidR="00E05F9A" w:rsidRPr="00DA1C42" w:rsidRDefault="00E05F9A">
      <w:pPr>
        <w:rPr>
          <w:rFonts w:ascii="Times New Roman" w:hAnsi="Times New Roman"/>
          <w:b/>
          <w:sz w:val="23"/>
        </w:rPr>
      </w:pPr>
    </w:p>
    <w:p w14:paraId="76DC7228" w14:textId="6B6BB46A" w:rsidR="00E05F9A" w:rsidRPr="00DA1C42" w:rsidRDefault="002E5B8A" w:rsidP="00DA1C42">
      <w:pPr>
        <w:jc w:val="center"/>
        <w:rPr>
          <w:rFonts w:ascii="Times New Roman" w:hAnsi="Times New Roman"/>
          <w:b/>
          <w:sz w:val="24"/>
          <w:u w:val="single"/>
        </w:rPr>
      </w:pPr>
      <w:r w:rsidRPr="002E5B8A">
        <w:rPr>
          <w:rFonts w:ascii="Times New Roman" w:hAnsi="Times New Roman" w:cs="Times New Roman"/>
          <w:b/>
          <w:iCs/>
          <w:sz w:val="24"/>
          <w:szCs w:val="24"/>
        </w:rPr>
        <w:t>Minister for Communications, Urban Infrastructure, Cities and the Arts</w:t>
      </w:r>
    </w:p>
    <w:sectPr w:rsidR="00E05F9A" w:rsidRPr="00DA1C42" w:rsidSect="009C7820">
      <w:headerReference w:type="even" r:id="rId16"/>
      <w:footerReference w:type="even" r:id="rId17"/>
      <w:footerReference w:type="default" r:id="rId18"/>
      <w:footerReference w:type="first" r:id="rId19"/>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B2B89" w14:textId="77777777" w:rsidR="00AC0C9B" w:rsidRDefault="00AC0C9B" w:rsidP="007C4B26">
      <w:pPr>
        <w:spacing w:after="0" w:line="240" w:lineRule="auto"/>
      </w:pPr>
      <w:r>
        <w:separator/>
      </w:r>
    </w:p>
  </w:endnote>
  <w:endnote w:type="continuationSeparator" w:id="0">
    <w:p w14:paraId="11894C28" w14:textId="77777777" w:rsidR="00AC0C9B" w:rsidRDefault="00AC0C9B" w:rsidP="007C4B26">
      <w:pPr>
        <w:spacing w:after="0" w:line="240" w:lineRule="auto"/>
      </w:pPr>
      <w:r>
        <w:continuationSeparator/>
      </w:r>
    </w:p>
  </w:endnote>
  <w:endnote w:type="continuationNotice" w:id="1">
    <w:p w14:paraId="0D351404" w14:textId="77777777" w:rsidR="00AC0C9B" w:rsidRDefault="00AC0C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Arial"/>
    <w:panose1 w:val="00000000000000000000"/>
    <w:charset w:val="00"/>
    <w:family w:val="modern"/>
    <w:notTrueType/>
    <w:pitch w:val="variable"/>
    <w:sig w:usb0="00000001" w:usb1="00000000" w:usb2="00000000" w:usb3="00000000" w:csb0="00000093"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48A38" w14:textId="77777777" w:rsidR="00143A86" w:rsidRPr="00D90ABA" w:rsidRDefault="00143A86" w:rsidP="009E1220">
    <w:pPr>
      <w:pBdr>
        <w:top w:val="single" w:sz="6" w:space="1" w:color="auto"/>
      </w:pBdr>
      <w:spacing w:line="0" w:lineRule="atLeast"/>
      <w:rPr>
        <w:sz w:val="16"/>
        <w:szCs w:val="16"/>
      </w:rPr>
    </w:pPr>
    <w:r>
      <w:rPr>
        <w:noProof/>
        <w:lang w:eastAsia="en-AU"/>
      </w:rPr>
      <mc:AlternateContent>
        <mc:Choice Requires="wps">
          <w:drawing>
            <wp:anchor distT="0" distB="0" distL="114300" distR="114300" simplePos="0" relativeHeight="251658243" behindDoc="1" locked="0" layoutInCell="1" allowOverlap="1" wp14:anchorId="47948A66" wp14:editId="47948A67">
              <wp:simplePos x="0" y="0"/>
              <wp:positionH relativeFrom="column">
                <wp:align>center</wp:align>
              </wp:positionH>
              <wp:positionV relativeFrom="page">
                <wp:posOffset>9737725</wp:posOffset>
              </wp:positionV>
              <wp:extent cx="4411980" cy="396240"/>
              <wp:effectExtent l="0" t="0" r="7620" b="38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47948A7C" w14:textId="29AFDAF2" w:rsidR="00143A86" w:rsidRPr="00551C1E" w:rsidRDefault="00143A86"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48A66" id="_x0000_t202" coordsize="21600,21600" o:spt="202" path="m,l,21600r21600,l21600,xe">
              <v:stroke joinstyle="miter"/>
              <v:path gradientshapeok="t" o:connecttype="rect"/>
            </v:shapetype>
            <v:shape id="Text Box 57" o:spid="_x0000_s1028" type="#_x0000_t202" style="position:absolute;margin-left:0;margin-top:766.75pt;width:347.4pt;height:31.2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" stroked="f" strokeweight=".5pt">
              <v:path arrowok="t"/>
              <v:textbox>
                <w:txbxContent>
                  <w:p w14:paraId="47948A7C" w14:textId="29AFDAF2" w:rsidR="00143A86" w:rsidRPr="00551C1E" w:rsidRDefault="00143A86"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58242" behindDoc="1" locked="0" layoutInCell="1" allowOverlap="1" wp14:anchorId="47948A68" wp14:editId="47948A69">
              <wp:simplePos x="0" y="0"/>
              <wp:positionH relativeFrom="column">
                <wp:align>center</wp:align>
              </wp:positionH>
              <wp:positionV relativeFrom="page">
                <wp:posOffset>10079990</wp:posOffset>
              </wp:positionV>
              <wp:extent cx="4411980" cy="396240"/>
              <wp:effectExtent l="0" t="0" r="7620" b="38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47948A7D" w14:textId="76CD04E7" w:rsidR="00143A86" w:rsidRPr="00551C1E" w:rsidRDefault="00143A86"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48A68" id="Text Box 56" o:spid="_x0000_s1029" type="#_x0000_t202" style="position:absolute;margin-left:0;margin-top:793.7pt;width:347.4pt;height:31.2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" stroked="f" strokeweight=".5pt">
              <v:path arrowok="t"/>
              <v:textbox>
                <w:txbxContent>
                  <w:p w14:paraId="47948A7D" w14:textId="76CD04E7" w:rsidR="00143A86" w:rsidRPr="00551C1E" w:rsidRDefault="00143A86"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p>
  <w:tbl>
    <w:tblPr>
      <w:tblW w:w="5000" w:type="pct"/>
      <w:tblLook w:val="04A0" w:firstRow="1" w:lastRow="0" w:firstColumn="1" w:lastColumn="0" w:noHBand="0" w:noVBand="1"/>
    </w:tblPr>
    <w:tblGrid>
      <w:gridCol w:w="607"/>
      <w:gridCol w:w="6132"/>
      <w:gridCol w:w="1574"/>
    </w:tblGrid>
    <w:tr w:rsidR="00143A86" w:rsidRPr="00762F85" w14:paraId="47948A3C" w14:textId="77777777" w:rsidTr="009E1220">
      <w:tc>
        <w:tcPr>
          <w:tcW w:w="365" w:type="pct"/>
          <w:shd w:val="clear" w:color="auto" w:fill="auto"/>
        </w:tcPr>
        <w:p w14:paraId="47948A39" w14:textId="77777777" w:rsidR="00143A86" w:rsidRPr="00762F85" w:rsidRDefault="00143A86" w:rsidP="009E1220">
          <w:pPr>
            <w:spacing w:line="0" w:lineRule="atLeast"/>
            <w:rPr>
              <w:sz w:val="18"/>
            </w:rPr>
          </w:pPr>
          <w:r w:rsidRPr="00762F85">
            <w:rPr>
              <w:i/>
              <w:sz w:val="18"/>
            </w:rPr>
            <w:fldChar w:fldCharType="begin"/>
          </w:r>
          <w:r w:rsidRPr="00762F85">
            <w:rPr>
              <w:i/>
              <w:sz w:val="18"/>
            </w:rPr>
            <w:instrText xml:space="preserve"> PAGE </w:instrText>
          </w:r>
          <w:r w:rsidRPr="00762F85">
            <w:rPr>
              <w:i/>
              <w:sz w:val="18"/>
            </w:rPr>
            <w:fldChar w:fldCharType="separate"/>
          </w:r>
          <w:r>
            <w:rPr>
              <w:i/>
              <w:noProof/>
              <w:sz w:val="18"/>
            </w:rPr>
            <w:t>18</w:t>
          </w:r>
          <w:r w:rsidRPr="00762F85">
            <w:rPr>
              <w:i/>
              <w:sz w:val="18"/>
            </w:rPr>
            <w:fldChar w:fldCharType="end"/>
          </w:r>
        </w:p>
      </w:tc>
      <w:tc>
        <w:tcPr>
          <w:tcW w:w="3688" w:type="pct"/>
          <w:shd w:val="clear" w:color="auto" w:fill="auto"/>
        </w:tcPr>
        <w:p w14:paraId="47948A3A" w14:textId="72E863A3" w:rsidR="00143A86" w:rsidRPr="00762F85" w:rsidRDefault="00143A86" w:rsidP="009E1220">
          <w:pPr>
            <w:spacing w:line="0" w:lineRule="atLeast"/>
            <w:jc w:val="center"/>
            <w:rPr>
              <w:sz w:val="18"/>
            </w:rPr>
          </w:pPr>
          <w:r w:rsidRPr="00762F85">
            <w:rPr>
              <w:i/>
              <w:sz w:val="18"/>
            </w:rPr>
            <w:fldChar w:fldCharType="begin"/>
          </w:r>
          <w:r w:rsidRPr="00762F85">
            <w:rPr>
              <w:i/>
              <w:sz w:val="18"/>
            </w:rPr>
            <w:instrText xml:space="preserve"> DOCPROPERTY ShortT </w:instrText>
          </w:r>
          <w:r w:rsidRPr="00762F85">
            <w:rPr>
              <w:i/>
              <w:sz w:val="18"/>
            </w:rPr>
            <w:fldChar w:fldCharType="separate"/>
          </w:r>
          <w:r>
            <w:rPr>
              <w:b/>
              <w:bCs/>
              <w:i/>
              <w:sz w:val="18"/>
              <w:lang w:val="en-US"/>
            </w:rPr>
            <w:t>Error! Unknown document property name.</w:t>
          </w:r>
          <w:r w:rsidRPr="00762F85">
            <w:rPr>
              <w:i/>
              <w:sz w:val="18"/>
            </w:rPr>
            <w:fldChar w:fldCharType="end"/>
          </w:r>
        </w:p>
      </w:tc>
      <w:tc>
        <w:tcPr>
          <w:tcW w:w="947" w:type="pct"/>
          <w:shd w:val="clear" w:color="auto" w:fill="auto"/>
        </w:tcPr>
        <w:p w14:paraId="47948A3B" w14:textId="77777777" w:rsidR="00143A86" w:rsidRPr="00762F85" w:rsidRDefault="00143A86" w:rsidP="009E1220">
          <w:pPr>
            <w:spacing w:line="0" w:lineRule="atLeast"/>
            <w:jc w:val="right"/>
            <w:rPr>
              <w:sz w:val="18"/>
            </w:rPr>
          </w:pPr>
        </w:p>
      </w:tc>
    </w:tr>
    <w:tr w:rsidR="00143A86" w:rsidRPr="00762F85" w14:paraId="47948A3E" w14:textId="77777777" w:rsidTr="009E1220">
      <w:tc>
        <w:tcPr>
          <w:tcW w:w="5000" w:type="pct"/>
          <w:gridSpan w:val="3"/>
          <w:shd w:val="clear" w:color="auto" w:fill="auto"/>
        </w:tcPr>
        <w:p w14:paraId="47948A3D" w14:textId="77777777" w:rsidR="00143A86" w:rsidRPr="00762F85" w:rsidRDefault="00143A86" w:rsidP="009E1220">
          <w:pPr>
            <w:jc w:val="right"/>
            <w:rPr>
              <w:sz w:val="18"/>
            </w:rPr>
          </w:pPr>
          <w:r w:rsidRPr="00762F85">
            <w:rPr>
              <w:i/>
              <w:sz w:val="18"/>
            </w:rPr>
            <w:t xml:space="preserve"> </w:t>
          </w:r>
        </w:p>
      </w:tc>
    </w:tr>
  </w:tbl>
  <w:p w14:paraId="47948A3F" w14:textId="77777777" w:rsidR="00143A86" w:rsidRDefault="00143A86" w:rsidP="009E1220">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960141"/>
      <w:docPartObj>
        <w:docPartGallery w:val="Page Numbers (Bottom of Page)"/>
        <w:docPartUnique/>
      </w:docPartObj>
    </w:sdtPr>
    <w:sdtEndPr>
      <w:rPr>
        <w:noProof/>
      </w:rPr>
    </w:sdtEndPr>
    <w:sdtContent>
      <w:p w14:paraId="2E863E13" w14:textId="79A5F4AA" w:rsidR="00143A86" w:rsidRDefault="00143A86">
        <w:pPr>
          <w:pStyle w:val="Footer"/>
          <w:jc w:val="center"/>
        </w:pPr>
        <w:r>
          <w:fldChar w:fldCharType="begin"/>
        </w:r>
        <w:r>
          <w:instrText xml:space="preserve"> PAGE   \* MERGEFORMAT </w:instrText>
        </w:r>
        <w:r>
          <w:fldChar w:fldCharType="separate"/>
        </w:r>
        <w:r w:rsidR="008324DC">
          <w:rPr>
            <w:noProof/>
          </w:rPr>
          <w:t>44</w:t>
        </w:r>
        <w:r>
          <w:rPr>
            <w:noProof/>
          </w:rPr>
          <w:fldChar w:fldCharType="end"/>
        </w:r>
      </w:p>
    </w:sdtContent>
  </w:sdt>
  <w:p w14:paraId="290303AE" w14:textId="77777777" w:rsidR="00143A86" w:rsidRDefault="00143A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48A49" w14:textId="77777777" w:rsidR="00143A86" w:rsidRDefault="00143A86">
    <w:pPr>
      <w:pBdr>
        <w:top w:val="single" w:sz="6" w:space="1" w:color="auto"/>
      </w:pBdr>
      <w:rPr>
        <w:sz w:val="18"/>
      </w:rPr>
    </w:pPr>
  </w:p>
  <w:p w14:paraId="47948A4A" w14:textId="20393DA3" w:rsidR="00143A86" w:rsidRDefault="00143A86">
    <w:pPr>
      <w:jc w:val="right"/>
      <w:rPr>
        <w:i/>
        <w:sz w:val="18"/>
      </w:rPr>
    </w:pPr>
    <w:r>
      <w:rPr>
        <w:i/>
        <w:sz w:val="18"/>
      </w:rPr>
      <w:fldChar w:fldCharType="begin"/>
    </w:r>
    <w:r>
      <w:rPr>
        <w:i/>
        <w:sz w:val="18"/>
      </w:rPr>
      <w:instrText xml:space="preserve"> STYLEREF ShortT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Use the Home tab to apply Actno to the text that you want to appear here.</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18</w:t>
    </w:r>
    <w:r>
      <w:rPr>
        <w:i/>
        <w:sz w:val="18"/>
      </w:rPr>
      <w:fldChar w:fldCharType="end"/>
    </w:r>
  </w:p>
  <w:p w14:paraId="47948A4B" w14:textId="77777777" w:rsidR="00143A86" w:rsidRDefault="00143A86">
    <w:pPr>
      <w:rPr>
        <w:i/>
        <w:sz w:val="18"/>
      </w:rPr>
    </w:pPr>
    <w:r>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80627" w14:textId="77777777" w:rsidR="00AC0C9B" w:rsidRDefault="00AC0C9B" w:rsidP="007C4B26">
      <w:pPr>
        <w:spacing w:after="0" w:line="240" w:lineRule="auto"/>
      </w:pPr>
      <w:r>
        <w:separator/>
      </w:r>
    </w:p>
  </w:footnote>
  <w:footnote w:type="continuationSeparator" w:id="0">
    <w:p w14:paraId="7EE9668B" w14:textId="77777777" w:rsidR="00AC0C9B" w:rsidRDefault="00AC0C9B" w:rsidP="007C4B26">
      <w:pPr>
        <w:spacing w:after="0" w:line="240" w:lineRule="auto"/>
      </w:pPr>
      <w:r>
        <w:continuationSeparator/>
      </w:r>
    </w:p>
  </w:footnote>
  <w:footnote w:type="continuationNotice" w:id="1">
    <w:p w14:paraId="0A116F05" w14:textId="77777777" w:rsidR="00AC0C9B" w:rsidRDefault="00AC0C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48A32" w14:textId="35D61EBB" w:rsidR="00143A86" w:rsidRDefault="00143A86">
    <w:pPr>
      <w:rPr>
        <w:sz w:val="20"/>
      </w:rPr>
    </w:pPr>
    <w:r>
      <w:rPr>
        <w:noProof/>
        <w:lang w:eastAsia="en-AU"/>
      </w:rPr>
      <mc:AlternateContent>
        <mc:Choice Requires="wps">
          <w:drawing>
            <wp:anchor distT="0" distB="0" distL="114300" distR="114300" simplePos="0" relativeHeight="251658241" behindDoc="1" locked="0" layoutInCell="1" allowOverlap="1" wp14:anchorId="47948A5E" wp14:editId="47948A5F">
              <wp:simplePos x="0" y="0"/>
              <wp:positionH relativeFrom="column">
                <wp:align>center</wp:align>
              </wp:positionH>
              <wp:positionV relativeFrom="page">
                <wp:posOffset>443230</wp:posOffset>
              </wp:positionV>
              <wp:extent cx="4411980" cy="396240"/>
              <wp:effectExtent l="0" t="0" r="7620" b="38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47948A78" w14:textId="7043DF46" w:rsidR="00143A86" w:rsidRPr="00551C1E" w:rsidRDefault="00143A86"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48A5E" id="_x0000_t202" coordsize="21600,21600" o:spt="202" path="m,l,21600r21600,l21600,xe">
              <v:stroke joinstyle="miter"/>
              <v:path gradientshapeok="t" o:connecttype="rect"/>
            </v:shapetype>
            <v:shape id="Text Box 33" o:spid="_x0000_s1026" type="#_x0000_t202" style="position:absolute;margin-left:0;margin-top:34.9pt;width:347.4pt;height:31.2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" stroked="f" strokeweight=".5pt">
              <v:path arrowok="t"/>
              <v:textbox>
                <w:txbxContent>
                  <w:p w14:paraId="47948A78" w14:textId="7043DF46" w:rsidR="00143A86" w:rsidRPr="00551C1E" w:rsidRDefault="00143A86"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58240" behindDoc="1" locked="0" layoutInCell="1" allowOverlap="1" wp14:anchorId="47948A60" wp14:editId="47948A61">
              <wp:simplePos x="0" y="0"/>
              <wp:positionH relativeFrom="column">
                <wp:align>center</wp:align>
              </wp:positionH>
              <wp:positionV relativeFrom="page">
                <wp:posOffset>143510</wp:posOffset>
              </wp:positionV>
              <wp:extent cx="4411980" cy="396240"/>
              <wp:effectExtent l="0" t="0" r="7620" b="381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47948A79" w14:textId="1184AB64" w:rsidR="00143A86" w:rsidRPr="00551C1E" w:rsidRDefault="00143A86"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48A60" id="Text Box 32" o:spid="_x0000_s1027" type="#_x0000_t202" style="position:absolute;margin-left:0;margin-top:11.3pt;width:347.4pt;height:31.2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oUugIAAJo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" stroked="f" strokeweight=".5pt">
              <v:path arrowok="t"/>
              <v:textbox>
                <w:txbxContent>
                  <w:p w14:paraId="47948A79" w14:textId="1184AB64" w:rsidR="00143A86" w:rsidRPr="00551C1E" w:rsidRDefault="00143A86"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Pr>
        <w:bCs/>
        <w:noProof/>
        <w:sz w:val="20"/>
        <w:lang w:val="en-US"/>
      </w:rPr>
      <w:t>Error! No text of specified style in document.</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Pr>
        <w:b/>
        <w:bCs/>
        <w:noProof/>
        <w:sz w:val="20"/>
        <w:lang w:val="en-US"/>
      </w:rPr>
      <w:t>Error! No text of specified style in document.</w:t>
    </w:r>
    <w:r>
      <w:rPr>
        <w:sz w:val="20"/>
      </w:rPr>
      <w:fldChar w:fldCharType="end"/>
    </w:r>
  </w:p>
  <w:p w14:paraId="47948A33" w14:textId="7EBB28FE" w:rsidR="00143A86" w:rsidRDefault="00143A86">
    <w:pPr>
      <w:rPr>
        <w:b/>
        <w:sz w:val="20"/>
      </w:rPr>
    </w:pPr>
    <w:r>
      <w:rPr>
        <w:b/>
        <w:sz w:val="20"/>
      </w:rPr>
      <w:fldChar w:fldCharType="begin"/>
    </w:r>
    <w:r>
      <w:rPr>
        <w:b/>
        <w:sz w:val="20"/>
      </w:rPr>
      <w:instrText xml:space="preserve"> STYLEREF CharAmPartNo </w:instrText>
    </w:r>
    <w:r>
      <w:rPr>
        <w:b/>
        <w:sz w:val="20"/>
      </w:rPr>
      <w:fldChar w:fldCharType="separate"/>
    </w:r>
    <w:r>
      <w:rPr>
        <w:bCs/>
        <w:noProof/>
        <w:sz w:val="20"/>
        <w:lang w:val="en-US"/>
      </w:rPr>
      <w:t>Error! No text of specified style in document.</w: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Pr>
        <w:b/>
        <w:bCs/>
        <w:noProof/>
        <w:sz w:val="20"/>
        <w:lang w:val="en-US"/>
      </w:rPr>
      <w:t>Error! No text of specified style in document.</w:t>
    </w:r>
    <w:r>
      <w:rPr>
        <w:sz w:val="20"/>
      </w:rPr>
      <w:fldChar w:fldCharType="end"/>
    </w:r>
  </w:p>
  <w:p w14:paraId="47948A34" w14:textId="77777777" w:rsidR="00143A86" w:rsidRDefault="00143A86" w:rsidP="009E1220">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D12"/>
    <w:multiLevelType w:val="multilevel"/>
    <w:tmpl w:val="AB5A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84D82"/>
    <w:multiLevelType w:val="hybridMultilevel"/>
    <w:tmpl w:val="4F828C3A"/>
    <w:lvl w:ilvl="0" w:tplc="EF60B5A6">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 w15:restartNumberingAfterBreak="0">
    <w:nsid w:val="0E451D49"/>
    <w:multiLevelType w:val="hybridMultilevel"/>
    <w:tmpl w:val="6764F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24F10"/>
    <w:multiLevelType w:val="hybridMultilevel"/>
    <w:tmpl w:val="A3BCF21A"/>
    <w:lvl w:ilvl="0" w:tplc="860E6B3A">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125CE5"/>
    <w:multiLevelType w:val="hybridMultilevel"/>
    <w:tmpl w:val="A3BCF21A"/>
    <w:lvl w:ilvl="0" w:tplc="860E6B3A">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787AD9"/>
    <w:multiLevelType w:val="hybridMultilevel"/>
    <w:tmpl w:val="4F828C3A"/>
    <w:lvl w:ilvl="0" w:tplc="EF60B5A6">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FE3EEE"/>
    <w:multiLevelType w:val="hybridMultilevel"/>
    <w:tmpl w:val="F94A2676"/>
    <w:lvl w:ilvl="0" w:tplc="0C09000F">
      <w:start w:val="1"/>
      <w:numFmt w:val="decimal"/>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BA1A84"/>
    <w:multiLevelType w:val="hybridMultilevel"/>
    <w:tmpl w:val="E122982C"/>
    <w:lvl w:ilvl="0" w:tplc="860E6B3A">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92E5039"/>
    <w:multiLevelType w:val="hybridMultilevel"/>
    <w:tmpl w:val="4F828C3A"/>
    <w:lvl w:ilvl="0" w:tplc="EF60B5A6">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831B51"/>
    <w:multiLevelType w:val="hybridMultilevel"/>
    <w:tmpl w:val="4F828C3A"/>
    <w:lvl w:ilvl="0" w:tplc="EF60B5A6">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EC1FEE"/>
    <w:multiLevelType w:val="hybridMultilevel"/>
    <w:tmpl w:val="4F828C3A"/>
    <w:lvl w:ilvl="0" w:tplc="EF60B5A6">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FA2807"/>
    <w:multiLevelType w:val="hybridMultilevel"/>
    <w:tmpl w:val="9FC85E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24535F"/>
    <w:multiLevelType w:val="hybridMultilevel"/>
    <w:tmpl w:val="B8CE6A40"/>
    <w:lvl w:ilvl="0" w:tplc="358A365E">
      <w:start w:val="1"/>
      <w:numFmt w:val="lowerLetter"/>
      <w:lvlText w:val="(%1)"/>
      <w:lvlJc w:val="left"/>
      <w:pPr>
        <w:ind w:left="720" w:hanging="360"/>
      </w:pPr>
      <w:rPr>
        <w:rFonts w:hint="default"/>
      </w:rPr>
    </w:lvl>
    <w:lvl w:ilvl="1" w:tplc="9C54C880">
      <w:numFmt w:val="bullet"/>
      <w:lvlText w:val="·"/>
      <w:lvlJc w:val="left"/>
      <w:pPr>
        <w:ind w:left="1700" w:hanging="6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B057D6"/>
    <w:multiLevelType w:val="hybridMultilevel"/>
    <w:tmpl w:val="8B8ACC4E"/>
    <w:lvl w:ilvl="0" w:tplc="1EF26B3E">
      <w:start w:val="59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F86D15"/>
    <w:multiLevelType w:val="multilevel"/>
    <w:tmpl w:val="0A2C9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EB0A53"/>
    <w:multiLevelType w:val="hybridMultilevel"/>
    <w:tmpl w:val="4F828C3A"/>
    <w:lvl w:ilvl="0" w:tplc="EF60B5A6">
      <w:start w:val="1"/>
      <w:numFmt w:val="lowerLetter"/>
      <w:lvlText w:val="(%1)"/>
      <w:lvlJc w:val="left"/>
      <w:pPr>
        <w:ind w:left="144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2603B5"/>
    <w:multiLevelType w:val="hybridMultilevel"/>
    <w:tmpl w:val="EA4E374E"/>
    <w:lvl w:ilvl="0" w:tplc="1EF26B3E">
      <w:start w:val="59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8163B1"/>
    <w:multiLevelType w:val="hybridMultilevel"/>
    <w:tmpl w:val="77BA7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2D7A66"/>
    <w:multiLevelType w:val="hybridMultilevel"/>
    <w:tmpl w:val="4F828C3A"/>
    <w:lvl w:ilvl="0" w:tplc="EF60B5A6">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B1240A"/>
    <w:multiLevelType w:val="hybridMultilevel"/>
    <w:tmpl w:val="4F828C3A"/>
    <w:lvl w:ilvl="0" w:tplc="EF60B5A6">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490EB3"/>
    <w:multiLevelType w:val="hybridMultilevel"/>
    <w:tmpl w:val="4F828C3A"/>
    <w:lvl w:ilvl="0" w:tplc="EF60B5A6">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82402B"/>
    <w:multiLevelType w:val="hybridMultilevel"/>
    <w:tmpl w:val="4F828C3A"/>
    <w:lvl w:ilvl="0" w:tplc="EF60B5A6">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B0516E"/>
    <w:multiLevelType w:val="hybridMultilevel"/>
    <w:tmpl w:val="4F828C3A"/>
    <w:lvl w:ilvl="0" w:tplc="EF60B5A6">
      <w:start w:val="1"/>
      <w:numFmt w:val="lowerLetter"/>
      <w:lvlText w:val="(%1)"/>
      <w:lvlJc w:val="left"/>
      <w:pPr>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4"/>
  </w:num>
  <w:num w:numId="3">
    <w:abstractNumId w:val="3"/>
  </w:num>
  <w:num w:numId="4">
    <w:abstractNumId w:val="4"/>
  </w:num>
  <w:num w:numId="5">
    <w:abstractNumId w:val="9"/>
  </w:num>
  <w:num w:numId="6">
    <w:abstractNumId w:val="12"/>
  </w:num>
  <w:num w:numId="7">
    <w:abstractNumId w:val="21"/>
  </w:num>
  <w:num w:numId="8">
    <w:abstractNumId w:val="22"/>
  </w:num>
  <w:num w:numId="9">
    <w:abstractNumId w:val="20"/>
  </w:num>
  <w:num w:numId="10">
    <w:abstractNumId w:val="10"/>
  </w:num>
  <w:num w:numId="11">
    <w:abstractNumId w:val="5"/>
  </w:num>
  <w:num w:numId="12">
    <w:abstractNumId w:val="19"/>
  </w:num>
  <w:num w:numId="13">
    <w:abstractNumId w:val="8"/>
  </w:num>
  <w:num w:numId="14">
    <w:abstractNumId w:val="18"/>
  </w:num>
  <w:num w:numId="15">
    <w:abstractNumId w:val="13"/>
  </w:num>
  <w:num w:numId="16">
    <w:abstractNumId w:val="2"/>
  </w:num>
  <w:num w:numId="17">
    <w:abstractNumId w:val="7"/>
  </w:num>
  <w:num w:numId="18">
    <w:abstractNumId w:val="16"/>
  </w:num>
  <w:num w:numId="19">
    <w:abstractNumId w:val="17"/>
  </w:num>
  <w:num w:numId="20">
    <w:abstractNumId w:val="1"/>
  </w:num>
  <w:num w:numId="21">
    <w:abstractNumId w:val="15"/>
  </w:num>
  <w:num w:numId="22">
    <w:abstractNumId w:val="11"/>
  </w:num>
  <w:num w:numId="2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8D"/>
    <w:rsid w:val="000132FD"/>
    <w:rsid w:val="00015B97"/>
    <w:rsid w:val="00016A17"/>
    <w:rsid w:val="000233A9"/>
    <w:rsid w:val="00034195"/>
    <w:rsid w:val="0003553D"/>
    <w:rsid w:val="0004107B"/>
    <w:rsid w:val="00042DA0"/>
    <w:rsid w:val="00043974"/>
    <w:rsid w:val="00045F38"/>
    <w:rsid w:val="000501F2"/>
    <w:rsid w:val="00063001"/>
    <w:rsid w:val="00063B4D"/>
    <w:rsid w:val="00066D43"/>
    <w:rsid w:val="0008595C"/>
    <w:rsid w:val="00086AE1"/>
    <w:rsid w:val="0008715A"/>
    <w:rsid w:val="000A214D"/>
    <w:rsid w:val="000A34A1"/>
    <w:rsid w:val="000B3736"/>
    <w:rsid w:val="000B751B"/>
    <w:rsid w:val="000C6413"/>
    <w:rsid w:val="000E4EA8"/>
    <w:rsid w:val="000E6AA1"/>
    <w:rsid w:val="000E6F2A"/>
    <w:rsid w:val="000F1E26"/>
    <w:rsid w:val="000F4812"/>
    <w:rsid w:val="000F55B1"/>
    <w:rsid w:val="00100B95"/>
    <w:rsid w:val="001112FC"/>
    <w:rsid w:val="001131BA"/>
    <w:rsid w:val="00116173"/>
    <w:rsid w:val="00116A23"/>
    <w:rsid w:val="00121983"/>
    <w:rsid w:val="00134004"/>
    <w:rsid w:val="00141140"/>
    <w:rsid w:val="00142278"/>
    <w:rsid w:val="00143A86"/>
    <w:rsid w:val="001564FC"/>
    <w:rsid w:val="00156F72"/>
    <w:rsid w:val="00163913"/>
    <w:rsid w:val="00164E04"/>
    <w:rsid w:val="00166A16"/>
    <w:rsid w:val="00166C32"/>
    <w:rsid w:val="0018489F"/>
    <w:rsid w:val="0018651C"/>
    <w:rsid w:val="001912EF"/>
    <w:rsid w:val="0019209C"/>
    <w:rsid w:val="001967BC"/>
    <w:rsid w:val="001968DE"/>
    <w:rsid w:val="001A0286"/>
    <w:rsid w:val="001A3E0C"/>
    <w:rsid w:val="001A3FD6"/>
    <w:rsid w:val="001A52C9"/>
    <w:rsid w:val="001B4491"/>
    <w:rsid w:val="001B66BB"/>
    <w:rsid w:val="001C0C57"/>
    <w:rsid w:val="001C5424"/>
    <w:rsid w:val="001D2C78"/>
    <w:rsid w:val="001D30A5"/>
    <w:rsid w:val="001D6502"/>
    <w:rsid w:val="001D6888"/>
    <w:rsid w:val="001E1F4D"/>
    <w:rsid w:val="001E2BB3"/>
    <w:rsid w:val="001F0674"/>
    <w:rsid w:val="001F28CC"/>
    <w:rsid w:val="001F36AB"/>
    <w:rsid w:val="002229B3"/>
    <w:rsid w:val="00232985"/>
    <w:rsid w:val="00232D9A"/>
    <w:rsid w:val="00236160"/>
    <w:rsid w:val="00237E34"/>
    <w:rsid w:val="00261CDF"/>
    <w:rsid w:val="002634CE"/>
    <w:rsid w:val="00267082"/>
    <w:rsid w:val="002722FA"/>
    <w:rsid w:val="00273641"/>
    <w:rsid w:val="00276C8F"/>
    <w:rsid w:val="002810F8"/>
    <w:rsid w:val="00293C29"/>
    <w:rsid w:val="002A2F6A"/>
    <w:rsid w:val="002A4084"/>
    <w:rsid w:val="002B371B"/>
    <w:rsid w:val="002C282E"/>
    <w:rsid w:val="002D001C"/>
    <w:rsid w:val="002D00EE"/>
    <w:rsid w:val="002D204C"/>
    <w:rsid w:val="002D3956"/>
    <w:rsid w:val="002D53E2"/>
    <w:rsid w:val="002D5770"/>
    <w:rsid w:val="002D6973"/>
    <w:rsid w:val="002E0058"/>
    <w:rsid w:val="002E436D"/>
    <w:rsid w:val="002E5B8A"/>
    <w:rsid w:val="002E61FC"/>
    <w:rsid w:val="002E6BDF"/>
    <w:rsid w:val="0031627E"/>
    <w:rsid w:val="00316EFD"/>
    <w:rsid w:val="00325E5D"/>
    <w:rsid w:val="00334361"/>
    <w:rsid w:val="00334D38"/>
    <w:rsid w:val="00335932"/>
    <w:rsid w:val="00340B5A"/>
    <w:rsid w:val="00344CAB"/>
    <w:rsid w:val="00346348"/>
    <w:rsid w:val="0037185E"/>
    <w:rsid w:val="003718E1"/>
    <w:rsid w:val="00373A1C"/>
    <w:rsid w:val="003752F9"/>
    <w:rsid w:val="00381517"/>
    <w:rsid w:val="00382AEA"/>
    <w:rsid w:val="00382B7B"/>
    <w:rsid w:val="003A2967"/>
    <w:rsid w:val="003B2E35"/>
    <w:rsid w:val="003D0E8E"/>
    <w:rsid w:val="003D7CCB"/>
    <w:rsid w:val="003E271E"/>
    <w:rsid w:val="003E53AB"/>
    <w:rsid w:val="003E7EC9"/>
    <w:rsid w:val="003F5942"/>
    <w:rsid w:val="00401D9D"/>
    <w:rsid w:val="004140FC"/>
    <w:rsid w:val="004311F7"/>
    <w:rsid w:val="004320AE"/>
    <w:rsid w:val="0043233A"/>
    <w:rsid w:val="00435FA1"/>
    <w:rsid w:val="0043685D"/>
    <w:rsid w:val="00437E84"/>
    <w:rsid w:val="00453478"/>
    <w:rsid w:val="00462811"/>
    <w:rsid w:val="004806E8"/>
    <w:rsid w:val="00483416"/>
    <w:rsid w:val="004B76A7"/>
    <w:rsid w:val="004B7AB9"/>
    <w:rsid w:val="004C06D7"/>
    <w:rsid w:val="004C4FB1"/>
    <w:rsid w:val="004D120E"/>
    <w:rsid w:val="004D1BE9"/>
    <w:rsid w:val="004D7ED2"/>
    <w:rsid w:val="004E36F3"/>
    <w:rsid w:val="004F4FEE"/>
    <w:rsid w:val="0050033C"/>
    <w:rsid w:val="00504FAA"/>
    <w:rsid w:val="0051512B"/>
    <w:rsid w:val="00517F4D"/>
    <w:rsid w:val="00531ACD"/>
    <w:rsid w:val="00560C87"/>
    <w:rsid w:val="00564D13"/>
    <w:rsid w:val="00573255"/>
    <w:rsid w:val="0057462B"/>
    <w:rsid w:val="0057485A"/>
    <w:rsid w:val="00577478"/>
    <w:rsid w:val="00580429"/>
    <w:rsid w:val="0058252C"/>
    <w:rsid w:val="00582B92"/>
    <w:rsid w:val="0059385B"/>
    <w:rsid w:val="00593BCE"/>
    <w:rsid w:val="00594282"/>
    <w:rsid w:val="00595ED1"/>
    <w:rsid w:val="005A4B5A"/>
    <w:rsid w:val="005A7044"/>
    <w:rsid w:val="005B2ED3"/>
    <w:rsid w:val="005C1843"/>
    <w:rsid w:val="005D7A3B"/>
    <w:rsid w:val="005E5CDC"/>
    <w:rsid w:val="005F4854"/>
    <w:rsid w:val="005F63F5"/>
    <w:rsid w:val="00602274"/>
    <w:rsid w:val="0060326C"/>
    <w:rsid w:val="0062195D"/>
    <w:rsid w:val="00621B91"/>
    <w:rsid w:val="006224C5"/>
    <w:rsid w:val="0062293A"/>
    <w:rsid w:val="00637996"/>
    <w:rsid w:val="00643A62"/>
    <w:rsid w:val="00646F21"/>
    <w:rsid w:val="00657EE1"/>
    <w:rsid w:val="00662A1F"/>
    <w:rsid w:val="00675BA2"/>
    <w:rsid w:val="00682AF0"/>
    <w:rsid w:val="00691EDE"/>
    <w:rsid w:val="00693070"/>
    <w:rsid w:val="00694814"/>
    <w:rsid w:val="006A7AF1"/>
    <w:rsid w:val="006B0850"/>
    <w:rsid w:val="006B1E74"/>
    <w:rsid w:val="006B558D"/>
    <w:rsid w:val="006B565A"/>
    <w:rsid w:val="006C3991"/>
    <w:rsid w:val="006C3FCC"/>
    <w:rsid w:val="006C7066"/>
    <w:rsid w:val="006C79D6"/>
    <w:rsid w:val="006D1A88"/>
    <w:rsid w:val="006D4E6F"/>
    <w:rsid w:val="006D5545"/>
    <w:rsid w:val="006E014D"/>
    <w:rsid w:val="006E3389"/>
    <w:rsid w:val="006F25D1"/>
    <w:rsid w:val="007001EB"/>
    <w:rsid w:val="007403BE"/>
    <w:rsid w:val="00743AB6"/>
    <w:rsid w:val="007444BF"/>
    <w:rsid w:val="00751EE5"/>
    <w:rsid w:val="00754B13"/>
    <w:rsid w:val="00764106"/>
    <w:rsid w:val="007670B0"/>
    <w:rsid w:val="00770462"/>
    <w:rsid w:val="007716C7"/>
    <w:rsid w:val="00771D96"/>
    <w:rsid w:val="00772277"/>
    <w:rsid w:val="0078027D"/>
    <w:rsid w:val="00780F29"/>
    <w:rsid w:val="00797B82"/>
    <w:rsid w:val="007A1B62"/>
    <w:rsid w:val="007A3B19"/>
    <w:rsid w:val="007A44C6"/>
    <w:rsid w:val="007B10EF"/>
    <w:rsid w:val="007B7DBA"/>
    <w:rsid w:val="007C3DBA"/>
    <w:rsid w:val="007C4B26"/>
    <w:rsid w:val="007C7B38"/>
    <w:rsid w:val="007D3D73"/>
    <w:rsid w:val="007D601F"/>
    <w:rsid w:val="007E3BE0"/>
    <w:rsid w:val="007E5B5D"/>
    <w:rsid w:val="007E685D"/>
    <w:rsid w:val="00800162"/>
    <w:rsid w:val="008058BF"/>
    <w:rsid w:val="008173F5"/>
    <w:rsid w:val="00821204"/>
    <w:rsid w:val="00821FE0"/>
    <w:rsid w:val="0082471A"/>
    <w:rsid w:val="00827EC1"/>
    <w:rsid w:val="008324DC"/>
    <w:rsid w:val="00833BF0"/>
    <w:rsid w:val="008343C3"/>
    <w:rsid w:val="008428B6"/>
    <w:rsid w:val="0084343A"/>
    <w:rsid w:val="00844DA3"/>
    <w:rsid w:val="00845F2A"/>
    <w:rsid w:val="00846CA2"/>
    <w:rsid w:val="00854854"/>
    <w:rsid w:val="00854959"/>
    <w:rsid w:val="00855FE2"/>
    <w:rsid w:val="00861895"/>
    <w:rsid w:val="00865ECB"/>
    <w:rsid w:val="00870C54"/>
    <w:rsid w:val="008713D6"/>
    <w:rsid w:val="0087326E"/>
    <w:rsid w:val="0087505D"/>
    <w:rsid w:val="00895F1D"/>
    <w:rsid w:val="008A1CFE"/>
    <w:rsid w:val="008C3EB6"/>
    <w:rsid w:val="008C575F"/>
    <w:rsid w:val="008C5D77"/>
    <w:rsid w:val="008C7005"/>
    <w:rsid w:val="008C7FB7"/>
    <w:rsid w:val="008D10C6"/>
    <w:rsid w:val="008E2CE8"/>
    <w:rsid w:val="008F3640"/>
    <w:rsid w:val="008F53E8"/>
    <w:rsid w:val="008F65B0"/>
    <w:rsid w:val="0091387D"/>
    <w:rsid w:val="00920C5A"/>
    <w:rsid w:val="00926C86"/>
    <w:rsid w:val="009308E2"/>
    <w:rsid w:val="00940AAA"/>
    <w:rsid w:val="00943228"/>
    <w:rsid w:val="00945690"/>
    <w:rsid w:val="00953C58"/>
    <w:rsid w:val="00957DEC"/>
    <w:rsid w:val="009677A7"/>
    <w:rsid w:val="00970E20"/>
    <w:rsid w:val="00971F21"/>
    <w:rsid w:val="00975AB6"/>
    <w:rsid w:val="0099370D"/>
    <w:rsid w:val="00994AF6"/>
    <w:rsid w:val="00997B5F"/>
    <w:rsid w:val="009A3713"/>
    <w:rsid w:val="009B0574"/>
    <w:rsid w:val="009C6890"/>
    <w:rsid w:val="009C7820"/>
    <w:rsid w:val="009D405E"/>
    <w:rsid w:val="009D484B"/>
    <w:rsid w:val="009D5F0F"/>
    <w:rsid w:val="009E1220"/>
    <w:rsid w:val="009E54E4"/>
    <w:rsid w:val="009F6B61"/>
    <w:rsid w:val="00A100D7"/>
    <w:rsid w:val="00A150E9"/>
    <w:rsid w:val="00A238B3"/>
    <w:rsid w:val="00A2712D"/>
    <w:rsid w:val="00A33249"/>
    <w:rsid w:val="00A3608C"/>
    <w:rsid w:val="00A40026"/>
    <w:rsid w:val="00A41198"/>
    <w:rsid w:val="00A41B82"/>
    <w:rsid w:val="00A63CBD"/>
    <w:rsid w:val="00A6475B"/>
    <w:rsid w:val="00A8442B"/>
    <w:rsid w:val="00A86DF3"/>
    <w:rsid w:val="00A957DC"/>
    <w:rsid w:val="00A96F61"/>
    <w:rsid w:val="00A9744D"/>
    <w:rsid w:val="00AA0095"/>
    <w:rsid w:val="00AA2FC7"/>
    <w:rsid w:val="00AA40DF"/>
    <w:rsid w:val="00AB043D"/>
    <w:rsid w:val="00AC0C9B"/>
    <w:rsid w:val="00AD0430"/>
    <w:rsid w:val="00AD29D5"/>
    <w:rsid w:val="00AD3F90"/>
    <w:rsid w:val="00AE458D"/>
    <w:rsid w:val="00AE7F5E"/>
    <w:rsid w:val="00AF1DED"/>
    <w:rsid w:val="00AF284D"/>
    <w:rsid w:val="00AF2FBA"/>
    <w:rsid w:val="00B052A3"/>
    <w:rsid w:val="00B05C32"/>
    <w:rsid w:val="00B12AF0"/>
    <w:rsid w:val="00B22307"/>
    <w:rsid w:val="00B3151E"/>
    <w:rsid w:val="00B35F08"/>
    <w:rsid w:val="00B4531A"/>
    <w:rsid w:val="00B54895"/>
    <w:rsid w:val="00B55F6C"/>
    <w:rsid w:val="00B562BA"/>
    <w:rsid w:val="00B60509"/>
    <w:rsid w:val="00B66D5D"/>
    <w:rsid w:val="00B71B41"/>
    <w:rsid w:val="00B720B4"/>
    <w:rsid w:val="00B9033F"/>
    <w:rsid w:val="00B921DE"/>
    <w:rsid w:val="00B963DA"/>
    <w:rsid w:val="00BA4C1A"/>
    <w:rsid w:val="00BA623F"/>
    <w:rsid w:val="00BB0655"/>
    <w:rsid w:val="00BB525A"/>
    <w:rsid w:val="00BB6094"/>
    <w:rsid w:val="00BC4068"/>
    <w:rsid w:val="00BD7C56"/>
    <w:rsid w:val="00C02AAF"/>
    <w:rsid w:val="00C07180"/>
    <w:rsid w:val="00C1200F"/>
    <w:rsid w:val="00C13958"/>
    <w:rsid w:val="00C17184"/>
    <w:rsid w:val="00C21F35"/>
    <w:rsid w:val="00C25952"/>
    <w:rsid w:val="00C34371"/>
    <w:rsid w:val="00C41A2B"/>
    <w:rsid w:val="00C436BF"/>
    <w:rsid w:val="00C454B2"/>
    <w:rsid w:val="00C45C69"/>
    <w:rsid w:val="00C47433"/>
    <w:rsid w:val="00C675BF"/>
    <w:rsid w:val="00C73B66"/>
    <w:rsid w:val="00C82758"/>
    <w:rsid w:val="00C85B3A"/>
    <w:rsid w:val="00C85D92"/>
    <w:rsid w:val="00C91E90"/>
    <w:rsid w:val="00C93CF5"/>
    <w:rsid w:val="00CA2BBF"/>
    <w:rsid w:val="00CA6CFE"/>
    <w:rsid w:val="00CC3D37"/>
    <w:rsid w:val="00CC5DD5"/>
    <w:rsid w:val="00CD18EB"/>
    <w:rsid w:val="00CE1C65"/>
    <w:rsid w:val="00CE3729"/>
    <w:rsid w:val="00CF1C74"/>
    <w:rsid w:val="00CF5F63"/>
    <w:rsid w:val="00D046DB"/>
    <w:rsid w:val="00D05282"/>
    <w:rsid w:val="00D07FBC"/>
    <w:rsid w:val="00D160AF"/>
    <w:rsid w:val="00D17294"/>
    <w:rsid w:val="00D319F7"/>
    <w:rsid w:val="00D321EB"/>
    <w:rsid w:val="00D52FA7"/>
    <w:rsid w:val="00D549AB"/>
    <w:rsid w:val="00D54FEF"/>
    <w:rsid w:val="00D55C8D"/>
    <w:rsid w:val="00D576DE"/>
    <w:rsid w:val="00D64112"/>
    <w:rsid w:val="00D675BF"/>
    <w:rsid w:val="00D73027"/>
    <w:rsid w:val="00D77B80"/>
    <w:rsid w:val="00D8114E"/>
    <w:rsid w:val="00D952E5"/>
    <w:rsid w:val="00DA1C42"/>
    <w:rsid w:val="00DA6496"/>
    <w:rsid w:val="00DA7D15"/>
    <w:rsid w:val="00DB576E"/>
    <w:rsid w:val="00DB6359"/>
    <w:rsid w:val="00DD4A58"/>
    <w:rsid w:val="00DE224C"/>
    <w:rsid w:val="00DE32AC"/>
    <w:rsid w:val="00DE3E53"/>
    <w:rsid w:val="00DE4D8F"/>
    <w:rsid w:val="00E05F9A"/>
    <w:rsid w:val="00E14635"/>
    <w:rsid w:val="00E15B6E"/>
    <w:rsid w:val="00E20AF8"/>
    <w:rsid w:val="00E271A1"/>
    <w:rsid w:val="00E346F6"/>
    <w:rsid w:val="00E37E72"/>
    <w:rsid w:val="00E50BC2"/>
    <w:rsid w:val="00E5457C"/>
    <w:rsid w:val="00E624E1"/>
    <w:rsid w:val="00E66E4E"/>
    <w:rsid w:val="00E7051F"/>
    <w:rsid w:val="00E74622"/>
    <w:rsid w:val="00E76600"/>
    <w:rsid w:val="00E80DF0"/>
    <w:rsid w:val="00E81A4E"/>
    <w:rsid w:val="00E82B53"/>
    <w:rsid w:val="00E85749"/>
    <w:rsid w:val="00E874A0"/>
    <w:rsid w:val="00E90DB5"/>
    <w:rsid w:val="00E914A4"/>
    <w:rsid w:val="00EA63CF"/>
    <w:rsid w:val="00EB0AD2"/>
    <w:rsid w:val="00EB71E8"/>
    <w:rsid w:val="00EC14BC"/>
    <w:rsid w:val="00EC4B7C"/>
    <w:rsid w:val="00EC5A6F"/>
    <w:rsid w:val="00ED6155"/>
    <w:rsid w:val="00ED71F5"/>
    <w:rsid w:val="00EE6D1E"/>
    <w:rsid w:val="00EF2EF3"/>
    <w:rsid w:val="00EF7F67"/>
    <w:rsid w:val="00F007A1"/>
    <w:rsid w:val="00F0080E"/>
    <w:rsid w:val="00F07AF1"/>
    <w:rsid w:val="00F13C30"/>
    <w:rsid w:val="00F237AE"/>
    <w:rsid w:val="00F26E41"/>
    <w:rsid w:val="00F37134"/>
    <w:rsid w:val="00F45A77"/>
    <w:rsid w:val="00F61A42"/>
    <w:rsid w:val="00F61A98"/>
    <w:rsid w:val="00F62151"/>
    <w:rsid w:val="00F647B9"/>
    <w:rsid w:val="00F70B22"/>
    <w:rsid w:val="00F82FC0"/>
    <w:rsid w:val="00F93983"/>
    <w:rsid w:val="00F95020"/>
    <w:rsid w:val="00FA74E4"/>
    <w:rsid w:val="00FA7743"/>
    <w:rsid w:val="00FA7D57"/>
    <w:rsid w:val="00FB2563"/>
    <w:rsid w:val="00FB314C"/>
    <w:rsid w:val="00FE3238"/>
    <w:rsid w:val="00FE5DDF"/>
    <w:rsid w:val="00FE6567"/>
    <w:rsid w:val="00FF24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948899"/>
  <w15:chartTrackingRefBased/>
  <w15:docId w15:val="{51C7B9FB-663A-4ED5-A760-D93E0F4E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B66"/>
    <w:pPr>
      <w:spacing w:before="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1">
    <w:name w:val="ActHead 1"/>
    <w:aliases w:val="c"/>
    <w:basedOn w:val="Normal"/>
    <w:next w:val="Normal"/>
    <w:qFormat/>
    <w:rsid w:val="007C4B26"/>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paragraph" w:customStyle="1" w:styleId="ActHead2">
    <w:name w:val="ActHead 2"/>
    <w:aliases w:val="p"/>
    <w:basedOn w:val="Normal"/>
    <w:next w:val="ActHead3"/>
    <w:qFormat/>
    <w:rsid w:val="007C4B26"/>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3">
    <w:name w:val="ActHead 3"/>
    <w:aliases w:val="d"/>
    <w:basedOn w:val="Normal"/>
    <w:next w:val="Normal"/>
    <w:qFormat/>
    <w:rsid w:val="007C4B26"/>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ActHead5">
    <w:name w:val="ActHead 5"/>
    <w:aliases w:val="s"/>
    <w:basedOn w:val="Normal"/>
    <w:next w:val="subsection"/>
    <w:link w:val="ActHead5Char"/>
    <w:qFormat/>
    <w:rsid w:val="007C4B2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ActHead6">
    <w:name w:val="ActHead 6"/>
    <w:aliases w:val="as"/>
    <w:basedOn w:val="Normal"/>
    <w:next w:val="Normal"/>
    <w:qFormat/>
    <w:rsid w:val="007C4B26"/>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ActHead9">
    <w:name w:val="ActHead 9"/>
    <w:aliases w:val="aat"/>
    <w:basedOn w:val="Normal"/>
    <w:next w:val="ItemHead"/>
    <w:qFormat/>
    <w:rsid w:val="007C4B26"/>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CharAmPartNo">
    <w:name w:val="CharAmPartNo"/>
    <w:basedOn w:val="DefaultParagraphFont"/>
    <w:qFormat/>
    <w:rsid w:val="007C4B26"/>
  </w:style>
  <w:style w:type="character" w:customStyle="1" w:styleId="CharAmPartText">
    <w:name w:val="CharAmPartText"/>
    <w:basedOn w:val="DefaultParagraphFont"/>
    <w:qFormat/>
    <w:rsid w:val="007C4B26"/>
  </w:style>
  <w:style w:type="character" w:customStyle="1" w:styleId="CharAmSchNo">
    <w:name w:val="CharAmSchNo"/>
    <w:basedOn w:val="DefaultParagraphFont"/>
    <w:qFormat/>
    <w:rsid w:val="007C4B26"/>
  </w:style>
  <w:style w:type="character" w:customStyle="1" w:styleId="CharAmSchText">
    <w:name w:val="CharAmSchText"/>
    <w:basedOn w:val="DefaultParagraphFont"/>
    <w:qFormat/>
    <w:rsid w:val="007C4B26"/>
  </w:style>
  <w:style w:type="character" w:customStyle="1" w:styleId="CharChapNo">
    <w:name w:val="CharChapNo"/>
    <w:basedOn w:val="DefaultParagraphFont"/>
    <w:uiPriority w:val="1"/>
    <w:qFormat/>
    <w:rsid w:val="007C4B26"/>
  </w:style>
  <w:style w:type="character" w:customStyle="1" w:styleId="CharChapText">
    <w:name w:val="CharChapText"/>
    <w:basedOn w:val="DefaultParagraphFont"/>
    <w:uiPriority w:val="1"/>
    <w:qFormat/>
    <w:rsid w:val="007C4B26"/>
  </w:style>
  <w:style w:type="character" w:customStyle="1" w:styleId="CharDivNo">
    <w:name w:val="CharDivNo"/>
    <w:basedOn w:val="DefaultParagraphFont"/>
    <w:uiPriority w:val="1"/>
    <w:qFormat/>
    <w:rsid w:val="007C4B26"/>
  </w:style>
  <w:style w:type="character" w:customStyle="1" w:styleId="CharDivText">
    <w:name w:val="CharDivText"/>
    <w:basedOn w:val="DefaultParagraphFont"/>
    <w:uiPriority w:val="1"/>
    <w:qFormat/>
    <w:rsid w:val="007C4B26"/>
  </w:style>
  <w:style w:type="character" w:customStyle="1" w:styleId="CharPartNo">
    <w:name w:val="CharPartNo"/>
    <w:basedOn w:val="DefaultParagraphFont"/>
    <w:uiPriority w:val="1"/>
    <w:qFormat/>
    <w:rsid w:val="007C4B26"/>
  </w:style>
  <w:style w:type="character" w:customStyle="1" w:styleId="CharPartText">
    <w:name w:val="CharPartText"/>
    <w:basedOn w:val="DefaultParagraphFont"/>
    <w:uiPriority w:val="1"/>
    <w:qFormat/>
    <w:rsid w:val="007C4B26"/>
  </w:style>
  <w:style w:type="character" w:customStyle="1" w:styleId="CharSectno">
    <w:name w:val="CharSectno"/>
    <w:basedOn w:val="DefaultParagraphFont"/>
    <w:qFormat/>
    <w:rsid w:val="007C4B26"/>
  </w:style>
  <w:style w:type="paragraph" w:customStyle="1" w:styleId="subsection">
    <w:name w:val="subsection"/>
    <w:aliases w:val="ss,Subsection"/>
    <w:basedOn w:val="Normal"/>
    <w:link w:val="subsectionChar"/>
    <w:rsid w:val="007C4B2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Definition">
    <w:name w:val="Definition"/>
    <w:aliases w:val="dd"/>
    <w:basedOn w:val="Normal"/>
    <w:link w:val="DefinitionChar"/>
    <w:rsid w:val="007C4B26"/>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nhideWhenUsed/>
    <w:rsid w:val="007C4B26"/>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7C4B26"/>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7C4B26"/>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7C4B26"/>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margin">
    <w:name w:val="note(margin)"/>
    <w:aliases w:val="nm"/>
    <w:basedOn w:val="Normal"/>
    <w:rsid w:val="007C4B26"/>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7C4B2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7C4B26"/>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enalty">
    <w:name w:val="Penalty"/>
    <w:basedOn w:val="Normal"/>
    <w:rsid w:val="007C4B26"/>
    <w:pPr>
      <w:tabs>
        <w:tab w:val="left" w:pos="2977"/>
      </w:tabs>
      <w:spacing w:before="180" w:after="0" w:line="240" w:lineRule="auto"/>
      <w:ind w:left="1985" w:hanging="851"/>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7C4B26"/>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7C4B26"/>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Tabletext">
    <w:name w:val="Tabletext"/>
    <w:aliases w:val="tt"/>
    <w:basedOn w:val="Normal"/>
    <w:rsid w:val="007C4B26"/>
    <w:pPr>
      <w:spacing w:before="60" w:after="0" w:line="240" w:lineRule="atLeast"/>
    </w:pPr>
    <w:rPr>
      <w:rFonts w:ascii="Times New Roman" w:eastAsia="Times New Roman" w:hAnsi="Times New Roman" w:cs="Times New Roman"/>
      <w:sz w:val="20"/>
      <w:szCs w:val="20"/>
      <w:lang w:eastAsia="en-AU"/>
    </w:rPr>
  </w:style>
  <w:style w:type="paragraph" w:styleId="Footer">
    <w:name w:val="footer"/>
    <w:link w:val="FooterChar"/>
    <w:rsid w:val="007C4B26"/>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7C4B26"/>
    <w:rPr>
      <w:rFonts w:ascii="Times New Roman" w:eastAsia="Times New Roman" w:hAnsi="Times New Roman" w:cs="Times New Roman"/>
      <w:szCs w:val="24"/>
      <w:lang w:eastAsia="en-AU"/>
    </w:rPr>
  </w:style>
  <w:style w:type="paragraph" w:customStyle="1" w:styleId="notetext">
    <w:name w:val="note(text)"/>
    <w:aliases w:val="n"/>
    <w:basedOn w:val="Normal"/>
    <w:link w:val="notetextChar"/>
    <w:rsid w:val="007C4B26"/>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FreeForm">
    <w:name w:val="FreeForm"/>
    <w:rsid w:val="007C4B26"/>
    <w:pPr>
      <w:spacing w:after="0" w:line="240" w:lineRule="auto"/>
    </w:pPr>
    <w:rPr>
      <w:rFonts w:ascii="Arial" w:eastAsia="Calibri" w:hAnsi="Arial" w:cs="Times New Roman"/>
      <w:szCs w:val="20"/>
    </w:rPr>
  </w:style>
  <w:style w:type="paragraph" w:customStyle="1" w:styleId="TableHeading">
    <w:name w:val="TableHeading"/>
    <w:aliases w:val="th"/>
    <w:basedOn w:val="Normal"/>
    <w:next w:val="Tabletext"/>
    <w:rsid w:val="007C4B26"/>
    <w:pPr>
      <w:keepNext/>
      <w:spacing w:before="60" w:after="0" w:line="240" w:lineRule="atLeast"/>
    </w:pPr>
    <w:rPr>
      <w:rFonts w:ascii="Times New Roman" w:eastAsia="Times New Roman" w:hAnsi="Times New Roman" w:cs="Times New Roman"/>
      <w:b/>
      <w:sz w:val="20"/>
      <w:szCs w:val="20"/>
      <w:lang w:eastAsia="en-AU"/>
    </w:rPr>
  </w:style>
  <w:style w:type="character" w:customStyle="1" w:styleId="subsectionChar">
    <w:name w:val="subsection Char"/>
    <w:aliases w:val="ss Char"/>
    <w:link w:val="subsection"/>
    <w:locked/>
    <w:rsid w:val="007C4B26"/>
    <w:rPr>
      <w:rFonts w:ascii="Times New Roman" w:eastAsia="Times New Roman" w:hAnsi="Times New Roman" w:cs="Times New Roman"/>
      <w:szCs w:val="20"/>
      <w:lang w:eastAsia="en-AU"/>
    </w:rPr>
  </w:style>
  <w:style w:type="character" w:customStyle="1" w:styleId="notetextChar">
    <w:name w:val="note(text) Char"/>
    <w:aliases w:val="n Char"/>
    <w:link w:val="notetext"/>
    <w:rsid w:val="007C4B26"/>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7C4B26"/>
    <w:rPr>
      <w:rFonts w:ascii="Times New Roman" w:eastAsia="Times New Roman" w:hAnsi="Times New Roman" w:cs="Times New Roman"/>
      <w:b/>
      <w:kern w:val="28"/>
      <w:sz w:val="24"/>
      <w:szCs w:val="20"/>
      <w:lang w:eastAsia="en-AU"/>
    </w:rPr>
  </w:style>
  <w:style w:type="paragraph" w:styleId="NormalWeb">
    <w:name w:val="Normal (Web)"/>
    <w:basedOn w:val="Normal"/>
    <w:uiPriority w:val="99"/>
    <w:semiHidden/>
    <w:unhideWhenUsed/>
    <w:rsid w:val="00E346F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46F21"/>
    <w:rPr>
      <w:sz w:val="16"/>
      <w:szCs w:val="16"/>
    </w:rPr>
  </w:style>
  <w:style w:type="paragraph" w:styleId="CommentText">
    <w:name w:val="annotation text"/>
    <w:basedOn w:val="Normal"/>
    <w:link w:val="CommentTextChar"/>
    <w:uiPriority w:val="99"/>
    <w:semiHidden/>
    <w:unhideWhenUsed/>
    <w:rsid w:val="00646F2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46F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46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F21"/>
    <w:rPr>
      <w:rFonts w:ascii="Segoe UI" w:hAnsi="Segoe UI" w:cs="Segoe UI"/>
      <w:sz w:val="18"/>
      <w:szCs w:val="18"/>
    </w:rPr>
  </w:style>
  <w:style w:type="paragraph" w:styleId="ListParagraph">
    <w:name w:val="List Paragraph"/>
    <w:basedOn w:val="Normal"/>
    <w:uiPriority w:val="34"/>
    <w:qFormat/>
    <w:rsid w:val="00646F21"/>
    <w:pPr>
      <w:spacing w:after="176" w:line="240" w:lineRule="atLeast"/>
      <w:ind w:left="720"/>
      <w:contextualSpacing/>
    </w:pPr>
    <w:rPr>
      <w:rFonts w:ascii="Montserrat Light" w:eastAsia="Times New Roman" w:hAnsi="Montserrat Light" w:cs="Times New Roman"/>
      <w:color w:val="000000"/>
      <w:sz w:val="18"/>
      <w:szCs w:val="20"/>
      <w:lang w:eastAsia="en-AU"/>
    </w:rPr>
  </w:style>
  <w:style w:type="paragraph" w:customStyle="1" w:styleId="ShortT">
    <w:name w:val="ShortT"/>
    <w:basedOn w:val="Normal"/>
    <w:next w:val="Normal"/>
    <w:qFormat/>
    <w:rsid w:val="00682AF0"/>
    <w:pPr>
      <w:spacing w:after="0" w:line="240" w:lineRule="auto"/>
    </w:pPr>
    <w:rPr>
      <w:rFonts w:ascii="Times New Roman" w:eastAsia="Times New Roman" w:hAnsi="Times New Roman" w:cs="Times New Roman"/>
      <w:b/>
      <w:sz w:val="40"/>
      <w:szCs w:val="20"/>
      <w:lang w:eastAsia="en-AU"/>
    </w:rPr>
  </w:style>
  <w:style w:type="paragraph" w:styleId="TOC2">
    <w:name w:val="toc 2"/>
    <w:basedOn w:val="Normal"/>
    <w:next w:val="Normal"/>
    <w:uiPriority w:val="39"/>
    <w:unhideWhenUsed/>
    <w:rsid w:val="00682AF0"/>
    <w:pPr>
      <w:keepNext/>
      <w:keepLines/>
      <w:tabs>
        <w:tab w:val="right" w:pos="8278"/>
      </w:tabs>
      <w:spacing w:after="0" w:line="240" w:lineRule="auto"/>
      <w:ind w:left="879" w:right="567" w:hanging="879"/>
    </w:pPr>
    <w:rPr>
      <w:rFonts w:ascii="Times New Roman" w:eastAsia="Times New Roman" w:hAnsi="Times New Roman" w:cs="Times New Roman"/>
      <w:b/>
      <w:kern w:val="28"/>
      <w:sz w:val="24"/>
      <w:szCs w:val="20"/>
      <w:lang w:eastAsia="en-AU"/>
    </w:rPr>
  </w:style>
  <w:style w:type="paragraph" w:styleId="TOC5">
    <w:name w:val="toc 5"/>
    <w:basedOn w:val="Normal"/>
    <w:next w:val="Normal"/>
    <w:uiPriority w:val="39"/>
    <w:unhideWhenUsed/>
    <w:rsid w:val="00682AF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lang w:eastAsia="en-AU"/>
    </w:rPr>
  </w:style>
  <w:style w:type="paragraph" w:styleId="TOC6">
    <w:name w:val="toc 6"/>
    <w:basedOn w:val="Normal"/>
    <w:next w:val="Normal"/>
    <w:uiPriority w:val="39"/>
    <w:unhideWhenUsed/>
    <w:rsid w:val="00682AF0"/>
    <w:pPr>
      <w:keepLines/>
      <w:tabs>
        <w:tab w:val="right" w:pos="8278"/>
      </w:tabs>
      <w:spacing w:after="0" w:line="240" w:lineRule="auto"/>
      <w:ind w:left="1344" w:right="567" w:hanging="1344"/>
    </w:pPr>
    <w:rPr>
      <w:rFonts w:ascii="Times New Roman" w:eastAsia="Times New Roman" w:hAnsi="Times New Roman" w:cs="Times New Roman"/>
      <w:b/>
      <w:kern w:val="28"/>
      <w:sz w:val="24"/>
      <w:szCs w:val="20"/>
      <w:lang w:eastAsia="en-AU"/>
    </w:rPr>
  </w:style>
  <w:style w:type="paragraph" w:styleId="TOC9">
    <w:name w:val="toc 9"/>
    <w:basedOn w:val="Normal"/>
    <w:next w:val="Normal"/>
    <w:uiPriority w:val="39"/>
    <w:unhideWhenUsed/>
    <w:rsid w:val="00682AF0"/>
    <w:pPr>
      <w:keepLines/>
      <w:tabs>
        <w:tab w:val="right" w:pos="8278"/>
      </w:tabs>
      <w:spacing w:before="80" w:after="0" w:line="240" w:lineRule="auto"/>
      <w:ind w:left="851" w:right="567"/>
    </w:pPr>
    <w:rPr>
      <w:rFonts w:ascii="Times New Roman" w:eastAsia="Times New Roman" w:hAnsi="Times New Roman" w:cs="Times New Roman"/>
      <w:i/>
      <w:kern w:val="28"/>
      <w:sz w:val="20"/>
      <w:szCs w:val="20"/>
      <w:lang w:eastAsia="en-AU"/>
    </w:rPr>
  </w:style>
  <w:style w:type="paragraph" w:customStyle="1" w:styleId="notepara">
    <w:name w:val="note(para)"/>
    <w:aliases w:val="na"/>
    <w:basedOn w:val="Normal"/>
    <w:rsid w:val="00682AF0"/>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SignCoverPageEnd">
    <w:name w:val="SignCoverPageEnd"/>
    <w:basedOn w:val="Normal"/>
    <w:next w:val="Normal"/>
    <w:rsid w:val="00682AF0"/>
    <w:pPr>
      <w:keepNext/>
      <w:pBdr>
        <w:bottom w:val="single" w:sz="4" w:space="12" w:color="auto"/>
      </w:pBdr>
      <w:tabs>
        <w:tab w:val="left" w:pos="3402"/>
      </w:tabs>
      <w:spacing w:after="24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682AF0"/>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character" w:styleId="Hyperlink">
    <w:name w:val="Hyperlink"/>
    <w:basedOn w:val="DefaultParagraphFont"/>
    <w:uiPriority w:val="99"/>
    <w:unhideWhenUsed/>
    <w:rsid w:val="006D1A88"/>
    <w:rPr>
      <w:color w:val="0000FF"/>
      <w:u w:val="single"/>
    </w:rPr>
  </w:style>
  <w:style w:type="paragraph" w:styleId="CommentSubject">
    <w:name w:val="annotation subject"/>
    <w:basedOn w:val="CommentText"/>
    <w:next w:val="CommentText"/>
    <w:link w:val="CommentSubjectChar"/>
    <w:uiPriority w:val="99"/>
    <w:semiHidden/>
    <w:unhideWhenUsed/>
    <w:rsid w:val="0004107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4107B"/>
    <w:rPr>
      <w:rFonts w:ascii="Times New Roman" w:eastAsia="Times New Roman" w:hAnsi="Times New Roman" w:cs="Times New Roman"/>
      <w:b/>
      <w:bCs/>
      <w:sz w:val="20"/>
      <w:szCs w:val="20"/>
    </w:rPr>
  </w:style>
  <w:style w:type="paragraph" w:customStyle="1" w:styleId="notedraft">
    <w:name w:val="note(draft)"/>
    <w:aliases w:val="nd"/>
    <w:basedOn w:val="Normal"/>
    <w:rsid w:val="001A3FD6"/>
    <w:pPr>
      <w:spacing w:before="240" w:after="0" w:line="240" w:lineRule="auto"/>
      <w:ind w:left="284" w:hanging="284"/>
    </w:pPr>
    <w:rPr>
      <w:rFonts w:ascii="Times New Roman" w:eastAsia="Times New Roman" w:hAnsi="Times New Roman" w:cs="Times New Roman"/>
      <w:i/>
      <w:sz w:val="24"/>
      <w:szCs w:val="20"/>
      <w:lang w:eastAsia="en-AU"/>
    </w:rPr>
  </w:style>
  <w:style w:type="character" w:customStyle="1" w:styleId="paragraphChar">
    <w:name w:val="paragraph Char"/>
    <w:aliases w:val="a Char"/>
    <w:link w:val="paragraph"/>
    <w:rsid w:val="001A3FD6"/>
    <w:rPr>
      <w:rFonts w:ascii="Times New Roman" w:eastAsia="Times New Roman" w:hAnsi="Times New Roman" w:cs="Times New Roman"/>
      <w:szCs w:val="20"/>
      <w:lang w:eastAsia="en-AU"/>
    </w:rPr>
  </w:style>
  <w:style w:type="paragraph" w:customStyle="1" w:styleId="CTA1a">
    <w:name w:val="CTA 1(a)"/>
    <w:basedOn w:val="Normal"/>
    <w:rsid w:val="00DA6496"/>
    <w:pPr>
      <w:tabs>
        <w:tab w:val="right" w:pos="414"/>
      </w:tabs>
      <w:spacing w:before="40" w:after="0" w:line="240" w:lineRule="atLeast"/>
      <w:ind w:left="675" w:hanging="675"/>
    </w:pPr>
    <w:rPr>
      <w:rFonts w:ascii="Times New Roman" w:eastAsia="Times New Roman" w:hAnsi="Times New Roman" w:cs="Times New Roman"/>
      <w:sz w:val="20"/>
      <w:szCs w:val="20"/>
      <w:lang w:eastAsia="en-AU"/>
    </w:rPr>
  </w:style>
  <w:style w:type="paragraph" w:customStyle="1" w:styleId="ActHead4">
    <w:name w:val="ActHead 4"/>
    <w:aliases w:val="sd"/>
    <w:basedOn w:val="Normal"/>
    <w:next w:val="Normal"/>
    <w:qFormat/>
    <w:rsid w:val="003E7EC9"/>
    <w:pPr>
      <w:keepNext/>
      <w:keepLines/>
      <w:spacing w:before="220" w:after="0" w:line="240" w:lineRule="auto"/>
      <w:ind w:left="1134" w:hanging="1134"/>
      <w:outlineLvl w:val="3"/>
    </w:pPr>
    <w:rPr>
      <w:rFonts w:ascii="Times New Roman" w:eastAsia="Times New Roman" w:hAnsi="Times New Roman" w:cs="Times New Roman"/>
      <w:b/>
      <w:kern w:val="28"/>
      <w:sz w:val="26"/>
      <w:szCs w:val="20"/>
      <w:lang w:eastAsia="en-AU"/>
    </w:rPr>
  </w:style>
  <w:style w:type="character" w:customStyle="1" w:styleId="CharSubdNo">
    <w:name w:val="CharSubdNo"/>
    <w:basedOn w:val="DefaultParagraphFont"/>
    <w:uiPriority w:val="1"/>
    <w:qFormat/>
    <w:rsid w:val="003E7EC9"/>
  </w:style>
  <w:style w:type="character" w:customStyle="1" w:styleId="CharSubdText">
    <w:name w:val="CharSubdText"/>
    <w:basedOn w:val="DefaultParagraphFont"/>
    <w:uiPriority w:val="1"/>
    <w:qFormat/>
    <w:rsid w:val="003E7EC9"/>
  </w:style>
  <w:style w:type="paragraph" w:customStyle="1" w:styleId="paragraphsub0">
    <w:name w:val="paragraphsub"/>
    <w:basedOn w:val="Normal"/>
    <w:rsid w:val="00517F4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efinitionChar">
    <w:name w:val="Definition Char"/>
    <w:aliases w:val="dd Char"/>
    <w:link w:val="Definition"/>
    <w:rsid w:val="00AF1DED"/>
    <w:rPr>
      <w:rFonts w:ascii="Times New Roman" w:eastAsia="Times New Roman" w:hAnsi="Times New Roman" w:cs="Times New Roman"/>
      <w:szCs w:val="20"/>
      <w:lang w:eastAsia="en-AU"/>
    </w:rPr>
  </w:style>
  <w:style w:type="paragraph" w:styleId="Revision">
    <w:name w:val="Revision"/>
    <w:hidden/>
    <w:uiPriority w:val="99"/>
    <w:semiHidden/>
    <w:rsid w:val="00E14635"/>
    <w:pPr>
      <w:spacing w:after="0" w:line="240" w:lineRule="auto"/>
    </w:pPr>
  </w:style>
  <w:style w:type="character" w:styleId="FollowedHyperlink">
    <w:name w:val="FollowedHyperlink"/>
    <w:basedOn w:val="DefaultParagraphFont"/>
    <w:uiPriority w:val="99"/>
    <w:semiHidden/>
    <w:unhideWhenUsed/>
    <w:rsid w:val="002D53E2"/>
    <w:rPr>
      <w:color w:val="954F72" w:themeColor="followedHyperlink"/>
      <w:u w:val="single"/>
    </w:rPr>
  </w:style>
  <w:style w:type="paragraph" w:customStyle="1" w:styleId="Default">
    <w:name w:val="Default"/>
    <w:rsid w:val="00164E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3800">
      <w:bodyDiv w:val="1"/>
      <w:marLeft w:val="0"/>
      <w:marRight w:val="0"/>
      <w:marTop w:val="0"/>
      <w:marBottom w:val="0"/>
      <w:divBdr>
        <w:top w:val="none" w:sz="0" w:space="0" w:color="auto"/>
        <w:left w:val="none" w:sz="0" w:space="0" w:color="auto"/>
        <w:bottom w:val="none" w:sz="0" w:space="0" w:color="auto"/>
        <w:right w:val="none" w:sz="0" w:space="0" w:color="auto"/>
      </w:divBdr>
    </w:div>
    <w:div w:id="100607542">
      <w:bodyDiv w:val="1"/>
      <w:marLeft w:val="0"/>
      <w:marRight w:val="0"/>
      <w:marTop w:val="0"/>
      <w:marBottom w:val="0"/>
      <w:divBdr>
        <w:top w:val="none" w:sz="0" w:space="0" w:color="auto"/>
        <w:left w:val="none" w:sz="0" w:space="0" w:color="auto"/>
        <w:bottom w:val="none" w:sz="0" w:space="0" w:color="auto"/>
        <w:right w:val="none" w:sz="0" w:space="0" w:color="auto"/>
      </w:divBdr>
    </w:div>
    <w:div w:id="224799294">
      <w:bodyDiv w:val="1"/>
      <w:marLeft w:val="0"/>
      <w:marRight w:val="0"/>
      <w:marTop w:val="0"/>
      <w:marBottom w:val="0"/>
      <w:divBdr>
        <w:top w:val="none" w:sz="0" w:space="0" w:color="auto"/>
        <w:left w:val="none" w:sz="0" w:space="0" w:color="auto"/>
        <w:bottom w:val="none" w:sz="0" w:space="0" w:color="auto"/>
        <w:right w:val="none" w:sz="0" w:space="0" w:color="auto"/>
      </w:divBdr>
    </w:div>
    <w:div w:id="318582609">
      <w:bodyDiv w:val="1"/>
      <w:marLeft w:val="0"/>
      <w:marRight w:val="0"/>
      <w:marTop w:val="0"/>
      <w:marBottom w:val="0"/>
      <w:divBdr>
        <w:top w:val="none" w:sz="0" w:space="0" w:color="auto"/>
        <w:left w:val="none" w:sz="0" w:space="0" w:color="auto"/>
        <w:bottom w:val="none" w:sz="0" w:space="0" w:color="auto"/>
        <w:right w:val="none" w:sz="0" w:space="0" w:color="auto"/>
      </w:divBdr>
    </w:div>
    <w:div w:id="424883326">
      <w:bodyDiv w:val="1"/>
      <w:marLeft w:val="0"/>
      <w:marRight w:val="0"/>
      <w:marTop w:val="0"/>
      <w:marBottom w:val="0"/>
      <w:divBdr>
        <w:top w:val="none" w:sz="0" w:space="0" w:color="auto"/>
        <w:left w:val="none" w:sz="0" w:space="0" w:color="auto"/>
        <w:bottom w:val="none" w:sz="0" w:space="0" w:color="auto"/>
        <w:right w:val="none" w:sz="0" w:space="0" w:color="auto"/>
      </w:divBdr>
      <w:divsChild>
        <w:div w:id="1045104397">
          <w:marLeft w:val="0"/>
          <w:marRight w:val="0"/>
          <w:marTop w:val="0"/>
          <w:marBottom w:val="0"/>
          <w:divBdr>
            <w:top w:val="none" w:sz="0" w:space="0" w:color="auto"/>
            <w:left w:val="none" w:sz="0" w:space="0" w:color="auto"/>
            <w:bottom w:val="none" w:sz="0" w:space="0" w:color="auto"/>
            <w:right w:val="none" w:sz="0" w:space="0" w:color="auto"/>
          </w:divBdr>
          <w:divsChild>
            <w:div w:id="1140148764">
              <w:marLeft w:val="0"/>
              <w:marRight w:val="0"/>
              <w:marTop w:val="0"/>
              <w:marBottom w:val="0"/>
              <w:divBdr>
                <w:top w:val="none" w:sz="0" w:space="0" w:color="auto"/>
                <w:left w:val="none" w:sz="0" w:space="0" w:color="auto"/>
                <w:bottom w:val="none" w:sz="0" w:space="0" w:color="auto"/>
                <w:right w:val="none" w:sz="0" w:space="0" w:color="auto"/>
              </w:divBdr>
              <w:divsChild>
                <w:div w:id="909384037">
                  <w:marLeft w:val="0"/>
                  <w:marRight w:val="0"/>
                  <w:marTop w:val="0"/>
                  <w:marBottom w:val="0"/>
                  <w:divBdr>
                    <w:top w:val="none" w:sz="0" w:space="0" w:color="auto"/>
                    <w:left w:val="none" w:sz="0" w:space="0" w:color="auto"/>
                    <w:bottom w:val="none" w:sz="0" w:space="0" w:color="auto"/>
                    <w:right w:val="none" w:sz="0" w:space="0" w:color="auto"/>
                  </w:divBdr>
                  <w:divsChild>
                    <w:div w:id="139199997">
                      <w:marLeft w:val="0"/>
                      <w:marRight w:val="0"/>
                      <w:marTop w:val="0"/>
                      <w:marBottom w:val="0"/>
                      <w:divBdr>
                        <w:top w:val="none" w:sz="0" w:space="0" w:color="auto"/>
                        <w:left w:val="none" w:sz="0" w:space="0" w:color="auto"/>
                        <w:bottom w:val="none" w:sz="0" w:space="0" w:color="auto"/>
                        <w:right w:val="none" w:sz="0" w:space="0" w:color="auto"/>
                      </w:divBdr>
                      <w:divsChild>
                        <w:div w:id="1452239950">
                          <w:marLeft w:val="0"/>
                          <w:marRight w:val="0"/>
                          <w:marTop w:val="0"/>
                          <w:marBottom w:val="0"/>
                          <w:divBdr>
                            <w:top w:val="none" w:sz="0" w:space="0" w:color="auto"/>
                            <w:left w:val="none" w:sz="0" w:space="0" w:color="auto"/>
                            <w:bottom w:val="none" w:sz="0" w:space="0" w:color="auto"/>
                            <w:right w:val="none" w:sz="0" w:space="0" w:color="auto"/>
                          </w:divBdr>
                          <w:divsChild>
                            <w:div w:id="1157454523">
                              <w:marLeft w:val="0"/>
                              <w:marRight w:val="0"/>
                              <w:marTop w:val="0"/>
                              <w:marBottom w:val="0"/>
                              <w:divBdr>
                                <w:top w:val="none" w:sz="0" w:space="0" w:color="auto"/>
                                <w:left w:val="none" w:sz="0" w:space="0" w:color="auto"/>
                                <w:bottom w:val="none" w:sz="0" w:space="0" w:color="auto"/>
                                <w:right w:val="none" w:sz="0" w:space="0" w:color="auto"/>
                              </w:divBdr>
                              <w:divsChild>
                                <w:div w:id="1435515559">
                                  <w:marLeft w:val="0"/>
                                  <w:marRight w:val="0"/>
                                  <w:marTop w:val="0"/>
                                  <w:marBottom w:val="0"/>
                                  <w:divBdr>
                                    <w:top w:val="none" w:sz="0" w:space="0" w:color="auto"/>
                                    <w:left w:val="none" w:sz="0" w:space="0" w:color="auto"/>
                                    <w:bottom w:val="none" w:sz="0" w:space="0" w:color="auto"/>
                                    <w:right w:val="none" w:sz="0" w:space="0" w:color="auto"/>
                                  </w:divBdr>
                                  <w:divsChild>
                                    <w:div w:id="2133131536">
                                      <w:marLeft w:val="0"/>
                                      <w:marRight w:val="0"/>
                                      <w:marTop w:val="0"/>
                                      <w:marBottom w:val="0"/>
                                      <w:divBdr>
                                        <w:top w:val="none" w:sz="0" w:space="0" w:color="auto"/>
                                        <w:left w:val="none" w:sz="0" w:space="0" w:color="auto"/>
                                        <w:bottom w:val="none" w:sz="0" w:space="0" w:color="auto"/>
                                        <w:right w:val="none" w:sz="0" w:space="0" w:color="auto"/>
                                      </w:divBdr>
                                      <w:divsChild>
                                        <w:div w:id="763110499">
                                          <w:marLeft w:val="0"/>
                                          <w:marRight w:val="0"/>
                                          <w:marTop w:val="0"/>
                                          <w:marBottom w:val="0"/>
                                          <w:divBdr>
                                            <w:top w:val="none" w:sz="0" w:space="0" w:color="auto"/>
                                            <w:left w:val="none" w:sz="0" w:space="0" w:color="auto"/>
                                            <w:bottom w:val="none" w:sz="0" w:space="0" w:color="auto"/>
                                            <w:right w:val="none" w:sz="0" w:space="0" w:color="auto"/>
                                          </w:divBdr>
                                          <w:divsChild>
                                            <w:div w:id="1605723207">
                                              <w:marLeft w:val="0"/>
                                              <w:marRight w:val="0"/>
                                              <w:marTop w:val="0"/>
                                              <w:marBottom w:val="0"/>
                                              <w:divBdr>
                                                <w:top w:val="none" w:sz="0" w:space="0" w:color="auto"/>
                                                <w:left w:val="none" w:sz="0" w:space="0" w:color="auto"/>
                                                <w:bottom w:val="none" w:sz="0" w:space="0" w:color="auto"/>
                                                <w:right w:val="none" w:sz="0" w:space="0" w:color="auto"/>
                                              </w:divBdr>
                                              <w:divsChild>
                                                <w:div w:id="1374114798">
                                                  <w:marLeft w:val="0"/>
                                                  <w:marRight w:val="0"/>
                                                  <w:marTop w:val="0"/>
                                                  <w:marBottom w:val="0"/>
                                                  <w:divBdr>
                                                    <w:top w:val="none" w:sz="0" w:space="0" w:color="auto"/>
                                                    <w:left w:val="none" w:sz="0" w:space="0" w:color="auto"/>
                                                    <w:bottom w:val="none" w:sz="0" w:space="0" w:color="auto"/>
                                                    <w:right w:val="none" w:sz="0" w:space="0" w:color="auto"/>
                                                  </w:divBdr>
                                                  <w:divsChild>
                                                    <w:div w:id="1910379527">
                                                      <w:marLeft w:val="0"/>
                                                      <w:marRight w:val="0"/>
                                                      <w:marTop w:val="0"/>
                                                      <w:marBottom w:val="0"/>
                                                      <w:divBdr>
                                                        <w:top w:val="none" w:sz="0" w:space="0" w:color="auto"/>
                                                        <w:left w:val="none" w:sz="0" w:space="0" w:color="auto"/>
                                                        <w:bottom w:val="none" w:sz="0" w:space="0" w:color="auto"/>
                                                        <w:right w:val="none" w:sz="0" w:space="0" w:color="auto"/>
                                                      </w:divBdr>
                                                      <w:divsChild>
                                                        <w:div w:id="1656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2754937">
      <w:bodyDiv w:val="1"/>
      <w:marLeft w:val="0"/>
      <w:marRight w:val="0"/>
      <w:marTop w:val="0"/>
      <w:marBottom w:val="0"/>
      <w:divBdr>
        <w:top w:val="none" w:sz="0" w:space="0" w:color="auto"/>
        <w:left w:val="none" w:sz="0" w:space="0" w:color="auto"/>
        <w:bottom w:val="none" w:sz="0" w:space="0" w:color="auto"/>
        <w:right w:val="none" w:sz="0" w:space="0" w:color="auto"/>
      </w:divBdr>
    </w:div>
    <w:div w:id="453905669">
      <w:bodyDiv w:val="1"/>
      <w:marLeft w:val="0"/>
      <w:marRight w:val="0"/>
      <w:marTop w:val="0"/>
      <w:marBottom w:val="0"/>
      <w:divBdr>
        <w:top w:val="none" w:sz="0" w:space="0" w:color="auto"/>
        <w:left w:val="none" w:sz="0" w:space="0" w:color="auto"/>
        <w:bottom w:val="none" w:sz="0" w:space="0" w:color="auto"/>
        <w:right w:val="none" w:sz="0" w:space="0" w:color="auto"/>
      </w:divBdr>
    </w:div>
    <w:div w:id="458955151">
      <w:bodyDiv w:val="1"/>
      <w:marLeft w:val="0"/>
      <w:marRight w:val="0"/>
      <w:marTop w:val="0"/>
      <w:marBottom w:val="0"/>
      <w:divBdr>
        <w:top w:val="none" w:sz="0" w:space="0" w:color="auto"/>
        <w:left w:val="none" w:sz="0" w:space="0" w:color="auto"/>
        <w:bottom w:val="none" w:sz="0" w:space="0" w:color="auto"/>
        <w:right w:val="none" w:sz="0" w:space="0" w:color="auto"/>
      </w:divBdr>
    </w:div>
    <w:div w:id="499584566">
      <w:bodyDiv w:val="1"/>
      <w:marLeft w:val="0"/>
      <w:marRight w:val="0"/>
      <w:marTop w:val="0"/>
      <w:marBottom w:val="0"/>
      <w:divBdr>
        <w:top w:val="none" w:sz="0" w:space="0" w:color="auto"/>
        <w:left w:val="none" w:sz="0" w:space="0" w:color="auto"/>
        <w:bottom w:val="none" w:sz="0" w:space="0" w:color="auto"/>
        <w:right w:val="none" w:sz="0" w:space="0" w:color="auto"/>
      </w:divBdr>
    </w:div>
    <w:div w:id="512720397">
      <w:bodyDiv w:val="1"/>
      <w:marLeft w:val="0"/>
      <w:marRight w:val="0"/>
      <w:marTop w:val="0"/>
      <w:marBottom w:val="0"/>
      <w:divBdr>
        <w:top w:val="none" w:sz="0" w:space="0" w:color="auto"/>
        <w:left w:val="none" w:sz="0" w:space="0" w:color="auto"/>
        <w:bottom w:val="none" w:sz="0" w:space="0" w:color="auto"/>
        <w:right w:val="none" w:sz="0" w:space="0" w:color="auto"/>
      </w:divBdr>
    </w:div>
    <w:div w:id="554392652">
      <w:bodyDiv w:val="1"/>
      <w:marLeft w:val="0"/>
      <w:marRight w:val="0"/>
      <w:marTop w:val="0"/>
      <w:marBottom w:val="0"/>
      <w:divBdr>
        <w:top w:val="none" w:sz="0" w:space="0" w:color="auto"/>
        <w:left w:val="none" w:sz="0" w:space="0" w:color="auto"/>
        <w:bottom w:val="none" w:sz="0" w:space="0" w:color="auto"/>
        <w:right w:val="none" w:sz="0" w:space="0" w:color="auto"/>
      </w:divBdr>
    </w:div>
    <w:div w:id="608703970">
      <w:bodyDiv w:val="1"/>
      <w:marLeft w:val="0"/>
      <w:marRight w:val="0"/>
      <w:marTop w:val="0"/>
      <w:marBottom w:val="0"/>
      <w:divBdr>
        <w:top w:val="none" w:sz="0" w:space="0" w:color="auto"/>
        <w:left w:val="none" w:sz="0" w:space="0" w:color="auto"/>
        <w:bottom w:val="none" w:sz="0" w:space="0" w:color="auto"/>
        <w:right w:val="none" w:sz="0" w:space="0" w:color="auto"/>
      </w:divBdr>
    </w:div>
    <w:div w:id="663818936">
      <w:bodyDiv w:val="1"/>
      <w:marLeft w:val="0"/>
      <w:marRight w:val="0"/>
      <w:marTop w:val="0"/>
      <w:marBottom w:val="0"/>
      <w:divBdr>
        <w:top w:val="none" w:sz="0" w:space="0" w:color="auto"/>
        <w:left w:val="none" w:sz="0" w:space="0" w:color="auto"/>
        <w:bottom w:val="none" w:sz="0" w:space="0" w:color="auto"/>
        <w:right w:val="none" w:sz="0" w:space="0" w:color="auto"/>
      </w:divBdr>
    </w:div>
    <w:div w:id="690187974">
      <w:bodyDiv w:val="1"/>
      <w:marLeft w:val="0"/>
      <w:marRight w:val="0"/>
      <w:marTop w:val="0"/>
      <w:marBottom w:val="0"/>
      <w:divBdr>
        <w:top w:val="none" w:sz="0" w:space="0" w:color="auto"/>
        <w:left w:val="none" w:sz="0" w:space="0" w:color="auto"/>
        <w:bottom w:val="none" w:sz="0" w:space="0" w:color="auto"/>
        <w:right w:val="none" w:sz="0" w:space="0" w:color="auto"/>
      </w:divBdr>
    </w:div>
    <w:div w:id="777217750">
      <w:bodyDiv w:val="1"/>
      <w:marLeft w:val="0"/>
      <w:marRight w:val="0"/>
      <w:marTop w:val="0"/>
      <w:marBottom w:val="0"/>
      <w:divBdr>
        <w:top w:val="none" w:sz="0" w:space="0" w:color="auto"/>
        <w:left w:val="none" w:sz="0" w:space="0" w:color="auto"/>
        <w:bottom w:val="none" w:sz="0" w:space="0" w:color="auto"/>
        <w:right w:val="none" w:sz="0" w:space="0" w:color="auto"/>
      </w:divBdr>
    </w:div>
    <w:div w:id="789082142">
      <w:bodyDiv w:val="1"/>
      <w:marLeft w:val="0"/>
      <w:marRight w:val="0"/>
      <w:marTop w:val="0"/>
      <w:marBottom w:val="0"/>
      <w:divBdr>
        <w:top w:val="none" w:sz="0" w:space="0" w:color="auto"/>
        <w:left w:val="none" w:sz="0" w:space="0" w:color="auto"/>
        <w:bottom w:val="none" w:sz="0" w:space="0" w:color="auto"/>
        <w:right w:val="none" w:sz="0" w:space="0" w:color="auto"/>
      </w:divBdr>
    </w:div>
    <w:div w:id="795173317">
      <w:bodyDiv w:val="1"/>
      <w:marLeft w:val="0"/>
      <w:marRight w:val="0"/>
      <w:marTop w:val="0"/>
      <w:marBottom w:val="0"/>
      <w:divBdr>
        <w:top w:val="none" w:sz="0" w:space="0" w:color="auto"/>
        <w:left w:val="none" w:sz="0" w:space="0" w:color="auto"/>
        <w:bottom w:val="none" w:sz="0" w:space="0" w:color="auto"/>
        <w:right w:val="none" w:sz="0" w:space="0" w:color="auto"/>
      </w:divBdr>
    </w:div>
    <w:div w:id="800227073">
      <w:bodyDiv w:val="1"/>
      <w:marLeft w:val="0"/>
      <w:marRight w:val="0"/>
      <w:marTop w:val="0"/>
      <w:marBottom w:val="0"/>
      <w:divBdr>
        <w:top w:val="none" w:sz="0" w:space="0" w:color="auto"/>
        <w:left w:val="none" w:sz="0" w:space="0" w:color="auto"/>
        <w:bottom w:val="none" w:sz="0" w:space="0" w:color="auto"/>
        <w:right w:val="none" w:sz="0" w:space="0" w:color="auto"/>
      </w:divBdr>
    </w:div>
    <w:div w:id="812523002">
      <w:bodyDiv w:val="1"/>
      <w:marLeft w:val="0"/>
      <w:marRight w:val="0"/>
      <w:marTop w:val="0"/>
      <w:marBottom w:val="0"/>
      <w:divBdr>
        <w:top w:val="none" w:sz="0" w:space="0" w:color="auto"/>
        <w:left w:val="none" w:sz="0" w:space="0" w:color="auto"/>
        <w:bottom w:val="none" w:sz="0" w:space="0" w:color="auto"/>
        <w:right w:val="none" w:sz="0" w:space="0" w:color="auto"/>
      </w:divBdr>
    </w:div>
    <w:div w:id="827017422">
      <w:bodyDiv w:val="1"/>
      <w:marLeft w:val="0"/>
      <w:marRight w:val="0"/>
      <w:marTop w:val="0"/>
      <w:marBottom w:val="0"/>
      <w:divBdr>
        <w:top w:val="none" w:sz="0" w:space="0" w:color="auto"/>
        <w:left w:val="none" w:sz="0" w:space="0" w:color="auto"/>
        <w:bottom w:val="none" w:sz="0" w:space="0" w:color="auto"/>
        <w:right w:val="none" w:sz="0" w:space="0" w:color="auto"/>
      </w:divBdr>
    </w:div>
    <w:div w:id="867989140">
      <w:bodyDiv w:val="1"/>
      <w:marLeft w:val="0"/>
      <w:marRight w:val="0"/>
      <w:marTop w:val="0"/>
      <w:marBottom w:val="0"/>
      <w:divBdr>
        <w:top w:val="none" w:sz="0" w:space="0" w:color="auto"/>
        <w:left w:val="none" w:sz="0" w:space="0" w:color="auto"/>
        <w:bottom w:val="none" w:sz="0" w:space="0" w:color="auto"/>
        <w:right w:val="none" w:sz="0" w:space="0" w:color="auto"/>
      </w:divBdr>
    </w:div>
    <w:div w:id="956176901">
      <w:bodyDiv w:val="1"/>
      <w:marLeft w:val="0"/>
      <w:marRight w:val="0"/>
      <w:marTop w:val="0"/>
      <w:marBottom w:val="0"/>
      <w:divBdr>
        <w:top w:val="none" w:sz="0" w:space="0" w:color="auto"/>
        <w:left w:val="none" w:sz="0" w:space="0" w:color="auto"/>
        <w:bottom w:val="none" w:sz="0" w:space="0" w:color="auto"/>
        <w:right w:val="none" w:sz="0" w:space="0" w:color="auto"/>
      </w:divBdr>
    </w:div>
    <w:div w:id="972445127">
      <w:bodyDiv w:val="1"/>
      <w:marLeft w:val="0"/>
      <w:marRight w:val="0"/>
      <w:marTop w:val="0"/>
      <w:marBottom w:val="0"/>
      <w:divBdr>
        <w:top w:val="none" w:sz="0" w:space="0" w:color="auto"/>
        <w:left w:val="none" w:sz="0" w:space="0" w:color="auto"/>
        <w:bottom w:val="none" w:sz="0" w:space="0" w:color="auto"/>
        <w:right w:val="none" w:sz="0" w:space="0" w:color="auto"/>
      </w:divBdr>
    </w:div>
    <w:div w:id="1093014411">
      <w:bodyDiv w:val="1"/>
      <w:marLeft w:val="0"/>
      <w:marRight w:val="0"/>
      <w:marTop w:val="0"/>
      <w:marBottom w:val="0"/>
      <w:divBdr>
        <w:top w:val="none" w:sz="0" w:space="0" w:color="auto"/>
        <w:left w:val="none" w:sz="0" w:space="0" w:color="auto"/>
        <w:bottom w:val="none" w:sz="0" w:space="0" w:color="auto"/>
        <w:right w:val="none" w:sz="0" w:space="0" w:color="auto"/>
      </w:divBdr>
    </w:div>
    <w:div w:id="1096752681">
      <w:bodyDiv w:val="1"/>
      <w:marLeft w:val="0"/>
      <w:marRight w:val="0"/>
      <w:marTop w:val="0"/>
      <w:marBottom w:val="0"/>
      <w:divBdr>
        <w:top w:val="none" w:sz="0" w:space="0" w:color="auto"/>
        <w:left w:val="none" w:sz="0" w:space="0" w:color="auto"/>
        <w:bottom w:val="none" w:sz="0" w:space="0" w:color="auto"/>
        <w:right w:val="none" w:sz="0" w:space="0" w:color="auto"/>
      </w:divBdr>
    </w:div>
    <w:div w:id="1106004884">
      <w:bodyDiv w:val="1"/>
      <w:marLeft w:val="0"/>
      <w:marRight w:val="0"/>
      <w:marTop w:val="0"/>
      <w:marBottom w:val="0"/>
      <w:divBdr>
        <w:top w:val="none" w:sz="0" w:space="0" w:color="auto"/>
        <w:left w:val="none" w:sz="0" w:space="0" w:color="auto"/>
        <w:bottom w:val="none" w:sz="0" w:space="0" w:color="auto"/>
        <w:right w:val="none" w:sz="0" w:space="0" w:color="auto"/>
      </w:divBdr>
    </w:div>
    <w:div w:id="1137408772">
      <w:bodyDiv w:val="1"/>
      <w:marLeft w:val="0"/>
      <w:marRight w:val="0"/>
      <w:marTop w:val="0"/>
      <w:marBottom w:val="0"/>
      <w:divBdr>
        <w:top w:val="none" w:sz="0" w:space="0" w:color="auto"/>
        <w:left w:val="none" w:sz="0" w:space="0" w:color="auto"/>
        <w:bottom w:val="none" w:sz="0" w:space="0" w:color="auto"/>
        <w:right w:val="none" w:sz="0" w:space="0" w:color="auto"/>
      </w:divBdr>
    </w:div>
    <w:div w:id="1163619706">
      <w:bodyDiv w:val="1"/>
      <w:marLeft w:val="0"/>
      <w:marRight w:val="0"/>
      <w:marTop w:val="0"/>
      <w:marBottom w:val="0"/>
      <w:divBdr>
        <w:top w:val="none" w:sz="0" w:space="0" w:color="auto"/>
        <w:left w:val="none" w:sz="0" w:space="0" w:color="auto"/>
        <w:bottom w:val="none" w:sz="0" w:space="0" w:color="auto"/>
        <w:right w:val="none" w:sz="0" w:space="0" w:color="auto"/>
      </w:divBdr>
      <w:divsChild>
        <w:div w:id="1099371640">
          <w:marLeft w:val="0"/>
          <w:marRight w:val="0"/>
          <w:marTop w:val="0"/>
          <w:marBottom w:val="0"/>
          <w:divBdr>
            <w:top w:val="none" w:sz="0" w:space="0" w:color="auto"/>
            <w:left w:val="none" w:sz="0" w:space="0" w:color="auto"/>
            <w:bottom w:val="none" w:sz="0" w:space="0" w:color="auto"/>
            <w:right w:val="none" w:sz="0" w:space="0" w:color="auto"/>
          </w:divBdr>
          <w:divsChild>
            <w:div w:id="1497766435">
              <w:marLeft w:val="0"/>
              <w:marRight w:val="0"/>
              <w:marTop w:val="0"/>
              <w:marBottom w:val="0"/>
              <w:divBdr>
                <w:top w:val="none" w:sz="0" w:space="0" w:color="auto"/>
                <w:left w:val="none" w:sz="0" w:space="0" w:color="auto"/>
                <w:bottom w:val="none" w:sz="0" w:space="0" w:color="auto"/>
                <w:right w:val="none" w:sz="0" w:space="0" w:color="auto"/>
              </w:divBdr>
              <w:divsChild>
                <w:div w:id="681468340">
                  <w:marLeft w:val="0"/>
                  <w:marRight w:val="0"/>
                  <w:marTop w:val="0"/>
                  <w:marBottom w:val="0"/>
                  <w:divBdr>
                    <w:top w:val="none" w:sz="0" w:space="0" w:color="auto"/>
                    <w:left w:val="none" w:sz="0" w:space="0" w:color="auto"/>
                    <w:bottom w:val="none" w:sz="0" w:space="0" w:color="auto"/>
                    <w:right w:val="none" w:sz="0" w:space="0" w:color="auto"/>
                  </w:divBdr>
                  <w:divsChild>
                    <w:div w:id="2001035425">
                      <w:marLeft w:val="0"/>
                      <w:marRight w:val="0"/>
                      <w:marTop w:val="0"/>
                      <w:marBottom w:val="0"/>
                      <w:divBdr>
                        <w:top w:val="none" w:sz="0" w:space="0" w:color="auto"/>
                        <w:left w:val="none" w:sz="0" w:space="0" w:color="auto"/>
                        <w:bottom w:val="none" w:sz="0" w:space="0" w:color="auto"/>
                        <w:right w:val="none" w:sz="0" w:space="0" w:color="auto"/>
                      </w:divBdr>
                      <w:divsChild>
                        <w:div w:id="1802579484">
                          <w:marLeft w:val="0"/>
                          <w:marRight w:val="0"/>
                          <w:marTop w:val="0"/>
                          <w:marBottom w:val="0"/>
                          <w:divBdr>
                            <w:top w:val="none" w:sz="0" w:space="0" w:color="auto"/>
                            <w:left w:val="none" w:sz="0" w:space="0" w:color="auto"/>
                            <w:bottom w:val="none" w:sz="0" w:space="0" w:color="auto"/>
                            <w:right w:val="none" w:sz="0" w:space="0" w:color="auto"/>
                          </w:divBdr>
                          <w:divsChild>
                            <w:div w:id="2138061227">
                              <w:marLeft w:val="0"/>
                              <w:marRight w:val="0"/>
                              <w:marTop w:val="0"/>
                              <w:marBottom w:val="0"/>
                              <w:divBdr>
                                <w:top w:val="none" w:sz="0" w:space="0" w:color="auto"/>
                                <w:left w:val="none" w:sz="0" w:space="0" w:color="auto"/>
                                <w:bottom w:val="none" w:sz="0" w:space="0" w:color="auto"/>
                                <w:right w:val="none" w:sz="0" w:space="0" w:color="auto"/>
                              </w:divBdr>
                              <w:divsChild>
                                <w:div w:id="845751979">
                                  <w:marLeft w:val="0"/>
                                  <w:marRight w:val="0"/>
                                  <w:marTop w:val="0"/>
                                  <w:marBottom w:val="0"/>
                                  <w:divBdr>
                                    <w:top w:val="none" w:sz="0" w:space="0" w:color="auto"/>
                                    <w:left w:val="none" w:sz="0" w:space="0" w:color="auto"/>
                                    <w:bottom w:val="none" w:sz="0" w:space="0" w:color="auto"/>
                                    <w:right w:val="none" w:sz="0" w:space="0" w:color="auto"/>
                                  </w:divBdr>
                                  <w:divsChild>
                                    <w:div w:id="837036123">
                                      <w:marLeft w:val="0"/>
                                      <w:marRight w:val="0"/>
                                      <w:marTop w:val="0"/>
                                      <w:marBottom w:val="0"/>
                                      <w:divBdr>
                                        <w:top w:val="none" w:sz="0" w:space="0" w:color="auto"/>
                                        <w:left w:val="none" w:sz="0" w:space="0" w:color="auto"/>
                                        <w:bottom w:val="none" w:sz="0" w:space="0" w:color="auto"/>
                                        <w:right w:val="none" w:sz="0" w:space="0" w:color="auto"/>
                                      </w:divBdr>
                                      <w:divsChild>
                                        <w:div w:id="136578620">
                                          <w:marLeft w:val="0"/>
                                          <w:marRight w:val="0"/>
                                          <w:marTop w:val="0"/>
                                          <w:marBottom w:val="0"/>
                                          <w:divBdr>
                                            <w:top w:val="none" w:sz="0" w:space="0" w:color="auto"/>
                                            <w:left w:val="none" w:sz="0" w:space="0" w:color="auto"/>
                                            <w:bottom w:val="none" w:sz="0" w:space="0" w:color="auto"/>
                                            <w:right w:val="none" w:sz="0" w:space="0" w:color="auto"/>
                                          </w:divBdr>
                                          <w:divsChild>
                                            <w:div w:id="1656179207">
                                              <w:marLeft w:val="0"/>
                                              <w:marRight w:val="0"/>
                                              <w:marTop w:val="0"/>
                                              <w:marBottom w:val="0"/>
                                              <w:divBdr>
                                                <w:top w:val="none" w:sz="0" w:space="0" w:color="auto"/>
                                                <w:left w:val="none" w:sz="0" w:space="0" w:color="auto"/>
                                                <w:bottom w:val="none" w:sz="0" w:space="0" w:color="auto"/>
                                                <w:right w:val="none" w:sz="0" w:space="0" w:color="auto"/>
                                              </w:divBdr>
                                              <w:divsChild>
                                                <w:div w:id="857699212">
                                                  <w:marLeft w:val="0"/>
                                                  <w:marRight w:val="0"/>
                                                  <w:marTop w:val="0"/>
                                                  <w:marBottom w:val="0"/>
                                                  <w:divBdr>
                                                    <w:top w:val="none" w:sz="0" w:space="0" w:color="auto"/>
                                                    <w:left w:val="none" w:sz="0" w:space="0" w:color="auto"/>
                                                    <w:bottom w:val="none" w:sz="0" w:space="0" w:color="auto"/>
                                                    <w:right w:val="none" w:sz="0" w:space="0" w:color="auto"/>
                                                  </w:divBdr>
                                                  <w:divsChild>
                                                    <w:div w:id="853808234">
                                                      <w:marLeft w:val="0"/>
                                                      <w:marRight w:val="0"/>
                                                      <w:marTop w:val="0"/>
                                                      <w:marBottom w:val="0"/>
                                                      <w:divBdr>
                                                        <w:top w:val="none" w:sz="0" w:space="0" w:color="auto"/>
                                                        <w:left w:val="none" w:sz="0" w:space="0" w:color="auto"/>
                                                        <w:bottom w:val="none" w:sz="0" w:space="0" w:color="auto"/>
                                                        <w:right w:val="none" w:sz="0" w:space="0" w:color="auto"/>
                                                      </w:divBdr>
                                                      <w:divsChild>
                                                        <w:div w:id="1273973583">
                                                          <w:marLeft w:val="0"/>
                                                          <w:marRight w:val="0"/>
                                                          <w:marTop w:val="0"/>
                                                          <w:marBottom w:val="0"/>
                                                          <w:divBdr>
                                                            <w:top w:val="none" w:sz="0" w:space="0" w:color="auto"/>
                                                            <w:left w:val="none" w:sz="0" w:space="0" w:color="auto"/>
                                                            <w:bottom w:val="none" w:sz="0" w:space="0" w:color="auto"/>
                                                            <w:right w:val="none" w:sz="0" w:space="0" w:color="auto"/>
                                                          </w:divBdr>
                                                          <w:divsChild>
                                                            <w:div w:id="1444033448">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sChild>
                    </w:div>
                  </w:divsChild>
                </w:div>
              </w:divsChild>
            </w:div>
          </w:divsChild>
        </w:div>
      </w:divsChild>
    </w:div>
    <w:div w:id="1170828963">
      <w:bodyDiv w:val="1"/>
      <w:marLeft w:val="0"/>
      <w:marRight w:val="0"/>
      <w:marTop w:val="0"/>
      <w:marBottom w:val="0"/>
      <w:divBdr>
        <w:top w:val="none" w:sz="0" w:space="0" w:color="auto"/>
        <w:left w:val="none" w:sz="0" w:space="0" w:color="auto"/>
        <w:bottom w:val="none" w:sz="0" w:space="0" w:color="auto"/>
        <w:right w:val="none" w:sz="0" w:space="0" w:color="auto"/>
      </w:divBdr>
    </w:div>
    <w:div w:id="1206677644">
      <w:bodyDiv w:val="1"/>
      <w:marLeft w:val="0"/>
      <w:marRight w:val="0"/>
      <w:marTop w:val="0"/>
      <w:marBottom w:val="0"/>
      <w:divBdr>
        <w:top w:val="none" w:sz="0" w:space="0" w:color="auto"/>
        <w:left w:val="none" w:sz="0" w:space="0" w:color="auto"/>
        <w:bottom w:val="none" w:sz="0" w:space="0" w:color="auto"/>
        <w:right w:val="none" w:sz="0" w:space="0" w:color="auto"/>
      </w:divBdr>
    </w:div>
    <w:div w:id="1210386244">
      <w:bodyDiv w:val="1"/>
      <w:marLeft w:val="0"/>
      <w:marRight w:val="0"/>
      <w:marTop w:val="0"/>
      <w:marBottom w:val="0"/>
      <w:divBdr>
        <w:top w:val="none" w:sz="0" w:space="0" w:color="auto"/>
        <w:left w:val="none" w:sz="0" w:space="0" w:color="auto"/>
        <w:bottom w:val="none" w:sz="0" w:space="0" w:color="auto"/>
        <w:right w:val="none" w:sz="0" w:space="0" w:color="auto"/>
      </w:divBdr>
    </w:div>
    <w:div w:id="1286421507">
      <w:bodyDiv w:val="1"/>
      <w:marLeft w:val="0"/>
      <w:marRight w:val="0"/>
      <w:marTop w:val="0"/>
      <w:marBottom w:val="0"/>
      <w:divBdr>
        <w:top w:val="none" w:sz="0" w:space="0" w:color="auto"/>
        <w:left w:val="none" w:sz="0" w:space="0" w:color="auto"/>
        <w:bottom w:val="none" w:sz="0" w:space="0" w:color="auto"/>
        <w:right w:val="none" w:sz="0" w:space="0" w:color="auto"/>
      </w:divBdr>
    </w:div>
    <w:div w:id="1287199972">
      <w:bodyDiv w:val="1"/>
      <w:marLeft w:val="0"/>
      <w:marRight w:val="0"/>
      <w:marTop w:val="0"/>
      <w:marBottom w:val="0"/>
      <w:divBdr>
        <w:top w:val="none" w:sz="0" w:space="0" w:color="auto"/>
        <w:left w:val="none" w:sz="0" w:space="0" w:color="auto"/>
        <w:bottom w:val="none" w:sz="0" w:space="0" w:color="auto"/>
        <w:right w:val="none" w:sz="0" w:space="0" w:color="auto"/>
      </w:divBdr>
    </w:div>
    <w:div w:id="1478838741">
      <w:bodyDiv w:val="1"/>
      <w:marLeft w:val="0"/>
      <w:marRight w:val="0"/>
      <w:marTop w:val="0"/>
      <w:marBottom w:val="0"/>
      <w:divBdr>
        <w:top w:val="none" w:sz="0" w:space="0" w:color="auto"/>
        <w:left w:val="none" w:sz="0" w:space="0" w:color="auto"/>
        <w:bottom w:val="none" w:sz="0" w:space="0" w:color="auto"/>
        <w:right w:val="none" w:sz="0" w:space="0" w:color="auto"/>
      </w:divBdr>
    </w:div>
    <w:div w:id="1548027947">
      <w:bodyDiv w:val="1"/>
      <w:marLeft w:val="0"/>
      <w:marRight w:val="0"/>
      <w:marTop w:val="0"/>
      <w:marBottom w:val="0"/>
      <w:divBdr>
        <w:top w:val="none" w:sz="0" w:space="0" w:color="auto"/>
        <w:left w:val="none" w:sz="0" w:space="0" w:color="auto"/>
        <w:bottom w:val="none" w:sz="0" w:space="0" w:color="auto"/>
        <w:right w:val="none" w:sz="0" w:space="0" w:color="auto"/>
      </w:divBdr>
    </w:div>
    <w:div w:id="1566379899">
      <w:bodyDiv w:val="1"/>
      <w:marLeft w:val="0"/>
      <w:marRight w:val="0"/>
      <w:marTop w:val="0"/>
      <w:marBottom w:val="0"/>
      <w:divBdr>
        <w:top w:val="none" w:sz="0" w:space="0" w:color="auto"/>
        <w:left w:val="none" w:sz="0" w:space="0" w:color="auto"/>
        <w:bottom w:val="none" w:sz="0" w:space="0" w:color="auto"/>
        <w:right w:val="none" w:sz="0" w:space="0" w:color="auto"/>
      </w:divBdr>
    </w:div>
    <w:div w:id="1619753284">
      <w:bodyDiv w:val="1"/>
      <w:marLeft w:val="0"/>
      <w:marRight w:val="0"/>
      <w:marTop w:val="0"/>
      <w:marBottom w:val="0"/>
      <w:divBdr>
        <w:top w:val="none" w:sz="0" w:space="0" w:color="auto"/>
        <w:left w:val="none" w:sz="0" w:space="0" w:color="auto"/>
        <w:bottom w:val="none" w:sz="0" w:space="0" w:color="auto"/>
        <w:right w:val="none" w:sz="0" w:space="0" w:color="auto"/>
      </w:divBdr>
    </w:div>
    <w:div w:id="1680430939">
      <w:bodyDiv w:val="1"/>
      <w:marLeft w:val="0"/>
      <w:marRight w:val="0"/>
      <w:marTop w:val="0"/>
      <w:marBottom w:val="0"/>
      <w:divBdr>
        <w:top w:val="none" w:sz="0" w:space="0" w:color="auto"/>
        <w:left w:val="none" w:sz="0" w:space="0" w:color="auto"/>
        <w:bottom w:val="none" w:sz="0" w:space="0" w:color="auto"/>
        <w:right w:val="none" w:sz="0" w:space="0" w:color="auto"/>
      </w:divBdr>
    </w:div>
    <w:div w:id="1687169032">
      <w:bodyDiv w:val="1"/>
      <w:marLeft w:val="0"/>
      <w:marRight w:val="0"/>
      <w:marTop w:val="0"/>
      <w:marBottom w:val="0"/>
      <w:divBdr>
        <w:top w:val="none" w:sz="0" w:space="0" w:color="auto"/>
        <w:left w:val="none" w:sz="0" w:space="0" w:color="auto"/>
        <w:bottom w:val="none" w:sz="0" w:space="0" w:color="auto"/>
        <w:right w:val="none" w:sz="0" w:space="0" w:color="auto"/>
      </w:divBdr>
      <w:divsChild>
        <w:div w:id="1859847975">
          <w:marLeft w:val="0"/>
          <w:marRight w:val="0"/>
          <w:marTop w:val="0"/>
          <w:marBottom w:val="0"/>
          <w:divBdr>
            <w:top w:val="none" w:sz="0" w:space="0" w:color="auto"/>
            <w:left w:val="none" w:sz="0" w:space="0" w:color="auto"/>
            <w:bottom w:val="none" w:sz="0" w:space="0" w:color="auto"/>
            <w:right w:val="none" w:sz="0" w:space="0" w:color="auto"/>
          </w:divBdr>
          <w:divsChild>
            <w:div w:id="610550655">
              <w:marLeft w:val="0"/>
              <w:marRight w:val="0"/>
              <w:marTop w:val="0"/>
              <w:marBottom w:val="0"/>
              <w:divBdr>
                <w:top w:val="none" w:sz="0" w:space="0" w:color="auto"/>
                <w:left w:val="none" w:sz="0" w:space="0" w:color="auto"/>
                <w:bottom w:val="none" w:sz="0" w:space="0" w:color="auto"/>
                <w:right w:val="none" w:sz="0" w:space="0" w:color="auto"/>
              </w:divBdr>
              <w:divsChild>
                <w:div w:id="2092509485">
                  <w:marLeft w:val="0"/>
                  <w:marRight w:val="0"/>
                  <w:marTop w:val="0"/>
                  <w:marBottom w:val="0"/>
                  <w:divBdr>
                    <w:top w:val="none" w:sz="0" w:space="0" w:color="auto"/>
                    <w:left w:val="none" w:sz="0" w:space="0" w:color="auto"/>
                    <w:bottom w:val="none" w:sz="0" w:space="0" w:color="auto"/>
                    <w:right w:val="none" w:sz="0" w:space="0" w:color="auto"/>
                  </w:divBdr>
                  <w:divsChild>
                    <w:div w:id="357464212">
                      <w:marLeft w:val="0"/>
                      <w:marRight w:val="0"/>
                      <w:marTop w:val="0"/>
                      <w:marBottom w:val="0"/>
                      <w:divBdr>
                        <w:top w:val="none" w:sz="0" w:space="0" w:color="auto"/>
                        <w:left w:val="none" w:sz="0" w:space="0" w:color="auto"/>
                        <w:bottom w:val="none" w:sz="0" w:space="0" w:color="auto"/>
                        <w:right w:val="none" w:sz="0" w:space="0" w:color="auto"/>
                      </w:divBdr>
                      <w:divsChild>
                        <w:div w:id="149640018">
                          <w:marLeft w:val="0"/>
                          <w:marRight w:val="0"/>
                          <w:marTop w:val="0"/>
                          <w:marBottom w:val="0"/>
                          <w:divBdr>
                            <w:top w:val="none" w:sz="0" w:space="0" w:color="auto"/>
                            <w:left w:val="none" w:sz="0" w:space="0" w:color="auto"/>
                            <w:bottom w:val="none" w:sz="0" w:space="0" w:color="auto"/>
                            <w:right w:val="none" w:sz="0" w:space="0" w:color="auto"/>
                          </w:divBdr>
                          <w:divsChild>
                            <w:div w:id="1200046819">
                              <w:marLeft w:val="0"/>
                              <w:marRight w:val="0"/>
                              <w:marTop w:val="0"/>
                              <w:marBottom w:val="0"/>
                              <w:divBdr>
                                <w:top w:val="none" w:sz="0" w:space="0" w:color="auto"/>
                                <w:left w:val="none" w:sz="0" w:space="0" w:color="auto"/>
                                <w:bottom w:val="none" w:sz="0" w:space="0" w:color="auto"/>
                                <w:right w:val="none" w:sz="0" w:space="0" w:color="auto"/>
                              </w:divBdr>
                              <w:divsChild>
                                <w:div w:id="369577955">
                                  <w:marLeft w:val="0"/>
                                  <w:marRight w:val="0"/>
                                  <w:marTop w:val="0"/>
                                  <w:marBottom w:val="0"/>
                                  <w:divBdr>
                                    <w:top w:val="none" w:sz="0" w:space="0" w:color="auto"/>
                                    <w:left w:val="none" w:sz="0" w:space="0" w:color="auto"/>
                                    <w:bottom w:val="none" w:sz="0" w:space="0" w:color="auto"/>
                                    <w:right w:val="none" w:sz="0" w:space="0" w:color="auto"/>
                                  </w:divBdr>
                                  <w:divsChild>
                                    <w:div w:id="800460134">
                                      <w:marLeft w:val="0"/>
                                      <w:marRight w:val="0"/>
                                      <w:marTop w:val="0"/>
                                      <w:marBottom w:val="0"/>
                                      <w:divBdr>
                                        <w:top w:val="none" w:sz="0" w:space="0" w:color="auto"/>
                                        <w:left w:val="none" w:sz="0" w:space="0" w:color="auto"/>
                                        <w:bottom w:val="none" w:sz="0" w:space="0" w:color="auto"/>
                                        <w:right w:val="none" w:sz="0" w:space="0" w:color="auto"/>
                                      </w:divBdr>
                                      <w:divsChild>
                                        <w:div w:id="2008828320">
                                          <w:marLeft w:val="0"/>
                                          <w:marRight w:val="0"/>
                                          <w:marTop w:val="0"/>
                                          <w:marBottom w:val="0"/>
                                          <w:divBdr>
                                            <w:top w:val="none" w:sz="0" w:space="0" w:color="auto"/>
                                            <w:left w:val="none" w:sz="0" w:space="0" w:color="auto"/>
                                            <w:bottom w:val="none" w:sz="0" w:space="0" w:color="auto"/>
                                            <w:right w:val="none" w:sz="0" w:space="0" w:color="auto"/>
                                          </w:divBdr>
                                          <w:divsChild>
                                            <w:div w:id="144250134">
                                              <w:marLeft w:val="0"/>
                                              <w:marRight w:val="0"/>
                                              <w:marTop w:val="0"/>
                                              <w:marBottom w:val="0"/>
                                              <w:divBdr>
                                                <w:top w:val="none" w:sz="0" w:space="0" w:color="auto"/>
                                                <w:left w:val="none" w:sz="0" w:space="0" w:color="auto"/>
                                                <w:bottom w:val="none" w:sz="0" w:space="0" w:color="auto"/>
                                                <w:right w:val="none" w:sz="0" w:space="0" w:color="auto"/>
                                              </w:divBdr>
                                              <w:divsChild>
                                                <w:div w:id="1683975042">
                                                  <w:marLeft w:val="0"/>
                                                  <w:marRight w:val="0"/>
                                                  <w:marTop w:val="0"/>
                                                  <w:marBottom w:val="0"/>
                                                  <w:divBdr>
                                                    <w:top w:val="none" w:sz="0" w:space="0" w:color="auto"/>
                                                    <w:left w:val="none" w:sz="0" w:space="0" w:color="auto"/>
                                                    <w:bottom w:val="none" w:sz="0" w:space="0" w:color="auto"/>
                                                    <w:right w:val="none" w:sz="0" w:space="0" w:color="auto"/>
                                                  </w:divBdr>
                                                  <w:divsChild>
                                                    <w:div w:id="1525636105">
                                                      <w:marLeft w:val="0"/>
                                                      <w:marRight w:val="0"/>
                                                      <w:marTop w:val="0"/>
                                                      <w:marBottom w:val="0"/>
                                                      <w:divBdr>
                                                        <w:top w:val="none" w:sz="0" w:space="0" w:color="auto"/>
                                                        <w:left w:val="none" w:sz="0" w:space="0" w:color="auto"/>
                                                        <w:bottom w:val="none" w:sz="0" w:space="0" w:color="auto"/>
                                                        <w:right w:val="none" w:sz="0" w:space="0" w:color="auto"/>
                                                      </w:divBdr>
                                                      <w:divsChild>
                                                        <w:div w:id="13518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231008">
      <w:bodyDiv w:val="1"/>
      <w:marLeft w:val="0"/>
      <w:marRight w:val="0"/>
      <w:marTop w:val="0"/>
      <w:marBottom w:val="0"/>
      <w:divBdr>
        <w:top w:val="none" w:sz="0" w:space="0" w:color="auto"/>
        <w:left w:val="none" w:sz="0" w:space="0" w:color="auto"/>
        <w:bottom w:val="none" w:sz="0" w:space="0" w:color="auto"/>
        <w:right w:val="none" w:sz="0" w:space="0" w:color="auto"/>
      </w:divBdr>
    </w:div>
    <w:div w:id="1727098741">
      <w:bodyDiv w:val="1"/>
      <w:marLeft w:val="0"/>
      <w:marRight w:val="0"/>
      <w:marTop w:val="0"/>
      <w:marBottom w:val="0"/>
      <w:divBdr>
        <w:top w:val="none" w:sz="0" w:space="0" w:color="auto"/>
        <w:left w:val="none" w:sz="0" w:space="0" w:color="auto"/>
        <w:bottom w:val="none" w:sz="0" w:space="0" w:color="auto"/>
        <w:right w:val="none" w:sz="0" w:space="0" w:color="auto"/>
      </w:divBdr>
    </w:div>
    <w:div w:id="1754666202">
      <w:bodyDiv w:val="1"/>
      <w:marLeft w:val="0"/>
      <w:marRight w:val="0"/>
      <w:marTop w:val="0"/>
      <w:marBottom w:val="0"/>
      <w:divBdr>
        <w:top w:val="none" w:sz="0" w:space="0" w:color="auto"/>
        <w:left w:val="none" w:sz="0" w:space="0" w:color="auto"/>
        <w:bottom w:val="none" w:sz="0" w:space="0" w:color="auto"/>
        <w:right w:val="none" w:sz="0" w:space="0" w:color="auto"/>
      </w:divBdr>
    </w:div>
    <w:div w:id="1879538741">
      <w:bodyDiv w:val="1"/>
      <w:marLeft w:val="0"/>
      <w:marRight w:val="0"/>
      <w:marTop w:val="0"/>
      <w:marBottom w:val="0"/>
      <w:divBdr>
        <w:top w:val="none" w:sz="0" w:space="0" w:color="auto"/>
        <w:left w:val="none" w:sz="0" w:space="0" w:color="auto"/>
        <w:bottom w:val="none" w:sz="0" w:space="0" w:color="auto"/>
        <w:right w:val="none" w:sz="0" w:space="0" w:color="auto"/>
      </w:divBdr>
    </w:div>
    <w:div w:id="1883789707">
      <w:bodyDiv w:val="1"/>
      <w:marLeft w:val="0"/>
      <w:marRight w:val="0"/>
      <w:marTop w:val="0"/>
      <w:marBottom w:val="0"/>
      <w:divBdr>
        <w:top w:val="none" w:sz="0" w:space="0" w:color="auto"/>
        <w:left w:val="none" w:sz="0" w:space="0" w:color="auto"/>
        <w:bottom w:val="none" w:sz="0" w:space="0" w:color="auto"/>
        <w:right w:val="none" w:sz="0" w:space="0" w:color="auto"/>
      </w:divBdr>
    </w:div>
    <w:div w:id="1939947103">
      <w:bodyDiv w:val="1"/>
      <w:marLeft w:val="0"/>
      <w:marRight w:val="0"/>
      <w:marTop w:val="0"/>
      <w:marBottom w:val="0"/>
      <w:divBdr>
        <w:top w:val="none" w:sz="0" w:space="0" w:color="auto"/>
        <w:left w:val="none" w:sz="0" w:space="0" w:color="auto"/>
        <w:bottom w:val="none" w:sz="0" w:space="0" w:color="auto"/>
        <w:right w:val="none" w:sz="0" w:space="0" w:color="auto"/>
      </w:divBdr>
    </w:div>
    <w:div w:id="1982535903">
      <w:bodyDiv w:val="1"/>
      <w:marLeft w:val="0"/>
      <w:marRight w:val="0"/>
      <w:marTop w:val="0"/>
      <w:marBottom w:val="0"/>
      <w:divBdr>
        <w:top w:val="none" w:sz="0" w:space="0" w:color="auto"/>
        <w:left w:val="none" w:sz="0" w:space="0" w:color="auto"/>
        <w:bottom w:val="none" w:sz="0" w:space="0" w:color="auto"/>
        <w:right w:val="none" w:sz="0" w:space="0" w:color="auto"/>
      </w:divBdr>
    </w:div>
    <w:div w:id="2019111124">
      <w:bodyDiv w:val="1"/>
      <w:marLeft w:val="0"/>
      <w:marRight w:val="0"/>
      <w:marTop w:val="0"/>
      <w:marBottom w:val="0"/>
      <w:divBdr>
        <w:top w:val="none" w:sz="0" w:space="0" w:color="auto"/>
        <w:left w:val="none" w:sz="0" w:space="0" w:color="auto"/>
        <w:bottom w:val="none" w:sz="0" w:space="0" w:color="auto"/>
        <w:right w:val="none" w:sz="0" w:space="0" w:color="auto"/>
      </w:divBdr>
    </w:div>
    <w:div w:id="2083333455">
      <w:bodyDiv w:val="1"/>
      <w:marLeft w:val="0"/>
      <w:marRight w:val="0"/>
      <w:marTop w:val="0"/>
      <w:marBottom w:val="0"/>
      <w:divBdr>
        <w:top w:val="none" w:sz="0" w:space="0" w:color="auto"/>
        <w:left w:val="none" w:sz="0" w:space="0" w:color="auto"/>
        <w:bottom w:val="none" w:sz="0" w:space="0" w:color="auto"/>
        <w:right w:val="none" w:sz="0" w:space="0" w:color="auto"/>
      </w:divBdr>
    </w:div>
    <w:div w:id="2086491776">
      <w:bodyDiv w:val="1"/>
      <w:marLeft w:val="0"/>
      <w:marRight w:val="0"/>
      <w:marTop w:val="0"/>
      <w:marBottom w:val="0"/>
      <w:divBdr>
        <w:top w:val="none" w:sz="0" w:space="0" w:color="auto"/>
        <w:left w:val="none" w:sz="0" w:space="0" w:color="auto"/>
        <w:bottom w:val="none" w:sz="0" w:space="0" w:color="auto"/>
        <w:right w:val="none" w:sz="0" w:space="0" w:color="auto"/>
      </w:divBdr>
    </w:div>
    <w:div w:id="2098209216">
      <w:bodyDiv w:val="1"/>
      <w:marLeft w:val="0"/>
      <w:marRight w:val="0"/>
      <w:marTop w:val="0"/>
      <w:marBottom w:val="0"/>
      <w:divBdr>
        <w:top w:val="none" w:sz="0" w:space="0" w:color="auto"/>
        <w:left w:val="none" w:sz="0" w:space="0" w:color="auto"/>
        <w:bottom w:val="none" w:sz="0" w:space="0" w:color="auto"/>
        <w:right w:val="none" w:sz="0" w:space="0" w:color="auto"/>
      </w:divBdr>
      <w:divsChild>
        <w:div w:id="1726102075">
          <w:marLeft w:val="0"/>
          <w:marRight w:val="0"/>
          <w:marTop w:val="0"/>
          <w:marBottom w:val="0"/>
          <w:divBdr>
            <w:top w:val="none" w:sz="0" w:space="0" w:color="auto"/>
            <w:left w:val="none" w:sz="0" w:space="0" w:color="auto"/>
            <w:bottom w:val="none" w:sz="0" w:space="0" w:color="auto"/>
            <w:right w:val="none" w:sz="0" w:space="0" w:color="auto"/>
          </w:divBdr>
          <w:divsChild>
            <w:div w:id="1811285248">
              <w:marLeft w:val="0"/>
              <w:marRight w:val="0"/>
              <w:marTop w:val="0"/>
              <w:marBottom w:val="0"/>
              <w:divBdr>
                <w:top w:val="none" w:sz="0" w:space="0" w:color="auto"/>
                <w:left w:val="none" w:sz="0" w:space="0" w:color="auto"/>
                <w:bottom w:val="none" w:sz="0" w:space="0" w:color="auto"/>
                <w:right w:val="none" w:sz="0" w:space="0" w:color="auto"/>
              </w:divBdr>
              <w:divsChild>
                <w:div w:id="1690063110">
                  <w:marLeft w:val="0"/>
                  <w:marRight w:val="0"/>
                  <w:marTop w:val="0"/>
                  <w:marBottom w:val="0"/>
                  <w:divBdr>
                    <w:top w:val="none" w:sz="0" w:space="0" w:color="auto"/>
                    <w:left w:val="none" w:sz="0" w:space="0" w:color="auto"/>
                    <w:bottom w:val="none" w:sz="0" w:space="0" w:color="auto"/>
                    <w:right w:val="none" w:sz="0" w:space="0" w:color="auto"/>
                  </w:divBdr>
                  <w:divsChild>
                    <w:div w:id="1630475238">
                      <w:marLeft w:val="0"/>
                      <w:marRight w:val="0"/>
                      <w:marTop w:val="0"/>
                      <w:marBottom w:val="0"/>
                      <w:divBdr>
                        <w:top w:val="none" w:sz="0" w:space="0" w:color="auto"/>
                        <w:left w:val="none" w:sz="0" w:space="0" w:color="auto"/>
                        <w:bottom w:val="none" w:sz="0" w:space="0" w:color="auto"/>
                        <w:right w:val="none" w:sz="0" w:space="0" w:color="auto"/>
                      </w:divBdr>
                      <w:divsChild>
                        <w:div w:id="1864636580">
                          <w:marLeft w:val="0"/>
                          <w:marRight w:val="0"/>
                          <w:marTop w:val="0"/>
                          <w:marBottom w:val="0"/>
                          <w:divBdr>
                            <w:top w:val="none" w:sz="0" w:space="0" w:color="auto"/>
                            <w:left w:val="none" w:sz="0" w:space="0" w:color="auto"/>
                            <w:bottom w:val="none" w:sz="0" w:space="0" w:color="auto"/>
                            <w:right w:val="none" w:sz="0" w:space="0" w:color="auto"/>
                          </w:divBdr>
                          <w:divsChild>
                            <w:div w:id="569119935">
                              <w:marLeft w:val="0"/>
                              <w:marRight w:val="0"/>
                              <w:marTop w:val="0"/>
                              <w:marBottom w:val="0"/>
                              <w:divBdr>
                                <w:top w:val="none" w:sz="0" w:space="0" w:color="auto"/>
                                <w:left w:val="none" w:sz="0" w:space="0" w:color="auto"/>
                                <w:bottom w:val="none" w:sz="0" w:space="0" w:color="auto"/>
                                <w:right w:val="none" w:sz="0" w:space="0" w:color="auto"/>
                              </w:divBdr>
                              <w:divsChild>
                                <w:div w:id="842667637">
                                  <w:marLeft w:val="0"/>
                                  <w:marRight w:val="0"/>
                                  <w:marTop w:val="0"/>
                                  <w:marBottom w:val="0"/>
                                  <w:divBdr>
                                    <w:top w:val="none" w:sz="0" w:space="0" w:color="auto"/>
                                    <w:left w:val="none" w:sz="0" w:space="0" w:color="auto"/>
                                    <w:bottom w:val="none" w:sz="0" w:space="0" w:color="auto"/>
                                    <w:right w:val="none" w:sz="0" w:space="0" w:color="auto"/>
                                  </w:divBdr>
                                  <w:divsChild>
                                    <w:div w:id="1579099593">
                                      <w:marLeft w:val="0"/>
                                      <w:marRight w:val="0"/>
                                      <w:marTop w:val="0"/>
                                      <w:marBottom w:val="0"/>
                                      <w:divBdr>
                                        <w:top w:val="none" w:sz="0" w:space="0" w:color="auto"/>
                                        <w:left w:val="none" w:sz="0" w:space="0" w:color="auto"/>
                                        <w:bottom w:val="none" w:sz="0" w:space="0" w:color="auto"/>
                                        <w:right w:val="none" w:sz="0" w:space="0" w:color="auto"/>
                                      </w:divBdr>
                                      <w:divsChild>
                                        <w:div w:id="606734716">
                                          <w:marLeft w:val="0"/>
                                          <w:marRight w:val="0"/>
                                          <w:marTop w:val="0"/>
                                          <w:marBottom w:val="0"/>
                                          <w:divBdr>
                                            <w:top w:val="none" w:sz="0" w:space="0" w:color="auto"/>
                                            <w:left w:val="none" w:sz="0" w:space="0" w:color="auto"/>
                                            <w:bottom w:val="none" w:sz="0" w:space="0" w:color="auto"/>
                                            <w:right w:val="none" w:sz="0" w:space="0" w:color="auto"/>
                                          </w:divBdr>
                                          <w:divsChild>
                                            <w:div w:id="1838183596">
                                              <w:marLeft w:val="0"/>
                                              <w:marRight w:val="0"/>
                                              <w:marTop w:val="0"/>
                                              <w:marBottom w:val="0"/>
                                              <w:divBdr>
                                                <w:top w:val="none" w:sz="0" w:space="0" w:color="auto"/>
                                                <w:left w:val="none" w:sz="0" w:space="0" w:color="auto"/>
                                                <w:bottom w:val="none" w:sz="0" w:space="0" w:color="auto"/>
                                                <w:right w:val="none" w:sz="0" w:space="0" w:color="auto"/>
                                              </w:divBdr>
                                              <w:divsChild>
                                                <w:div w:id="102000380">
                                                  <w:marLeft w:val="0"/>
                                                  <w:marRight w:val="0"/>
                                                  <w:marTop w:val="0"/>
                                                  <w:marBottom w:val="0"/>
                                                  <w:divBdr>
                                                    <w:top w:val="none" w:sz="0" w:space="0" w:color="auto"/>
                                                    <w:left w:val="none" w:sz="0" w:space="0" w:color="auto"/>
                                                    <w:bottom w:val="none" w:sz="0" w:space="0" w:color="auto"/>
                                                    <w:right w:val="none" w:sz="0" w:space="0" w:color="auto"/>
                                                  </w:divBdr>
                                                  <w:divsChild>
                                                    <w:div w:id="610165166">
                                                      <w:marLeft w:val="0"/>
                                                      <w:marRight w:val="0"/>
                                                      <w:marTop w:val="0"/>
                                                      <w:marBottom w:val="0"/>
                                                      <w:divBdr>
                                                        <w:top w:val="none" w:sz="0" w:space="0" w:color="auto"/>
                                                        <w:left w:val="none" w:sz="0" w:space="0" w:color="auto"/>
                                                        <w:bottom w:val="none" w:sz="0" w:space="0" w:color="auto"/>
                                                        <w:right w:val="none" w:sz="0" w:space="0" w:color="auto"/>
                                                      </w:divBdr>
                                                      <w:divsChild>
                                                        <w:div w:id="3889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34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ance.gov.au/sites/default/files/2020-11/Commonwealth_Contract_Terms_v6.1_19_November%202020.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mmsalliance.com.au/Documents/all/codes/c65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msalliance.com.au/Documents/all/codes/c559" TargetMode="External"/><Relationship Id="rId5" Type="http://schemas.openxmlformats.org/officeDocument/2006/relationships/numbering" Target="numbering.xml"/><Relationship Id="rId15" Type="http://schemas.openxmlformats.org/officeDocument/2006/relationships/hyperlink" Target="https://www.amsrs.com.au/professional-standards/amsrs-code-of-professional-behaviour"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4L01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F298E9CA044498A09F072C47C9E64" ma:contentTypeVersion="0" ma:contentTypeDescription="Create a new document." ma:contentTypeScope="" ma:versionID="1871b62a6bc14945bfc2eef67338259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280FE-A373-42AA-A6A6-F792A5524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315AB1-6CA8-460F-9B63-2CED14C2DC97}">
  <ds:schemaRefs>
    <ds:schemaRef ds:uri="http://schemas.microsoft.com/sharepoint/v3/contenttype/forms"/>
  </ds:schemaRefs>
</ds:datastoreItem>
</file>

<file path=customXml/itemProps3.xml><?xml version="1.0" encoding="utf-8"?>
<ds:datastoreItem xmlns:ds="http://schemas.openxmlformats.org/officeDocument/2006/customXml" ds:itemID="{BD45DF1D-0F00-49ED-ACD4-BE19CC8792C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1074034-7C43-4146-9660-F4567BF0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47</Pages>
  <Words>17758</Words>
  <Characters>101227</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118748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Shaw, Katherine</dc:creator>
  <cp:keywords/>
  <dc:description/>
  <cp:lastModifiedBy>Dawson, Stephen</cp:lastModifiedBy>
  <cp:revision>13</cp:revision>
  <cp:lastPrinted>2021-01-17T23:04:00Z</cp:lastPrinted>
  <dcterms:created xsi:type="dcterms:W3CDTF">2021-03-16T03:20:00Z</dcterms:created>
  <dcterms:modified xsi:type="dcterms:W3CDTF">2021-03-16T03:57:00Z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0x010100B14F298E9CA044498A09F072C47C9E64</vt:lpwstr>
  </property>
  <property fmtid="{D5CDD505-2E9C-101B-9397-08002B2CF9AE}" pid="3" name="TrimRevisionNumber">
    <vt:i4>64</vt:i4>
  </property>
</Properties>
</file>