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914" w:rsidRPr="004303AB" w:rsidRDefault="00DA186E" w:rsidP="00B05CF4">
      <w:pPr>
        <w:rPr>
          <w:sz w:val="28"/>
        </w:rPr>
      </w:pPr>
      <w:r w:rsidRPr="004303AB">
        <w:rPr>
          <w:noProof/>
          <w:lang w:eastAsia="en-AU"/>
        </w:rPr>
        <w:drawing>
          <wp:inline distT="0" distB="0" distL="0" distR="0" wp14:anchorId="2CADB7A9" wp14:editId="1F6BA73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4303AB" w:rsidRDefault="00715914" w:rsidP="00715914">
      <w:pPr>
        <w:rPr>
          <w:sz w:val="19"/>
        </w:rPr>
      </w:pPr>
    </w:p>
    <w:p w:rsidR="00715914" w:rsidRPr="004303AB" w:rsidRDefault="009A1B68" w:rsidP="00715914">
      <w:pPr>
        <w:pStyle w:val="ShortT"/>
      </w:pPr>
      <w:r w:rsidRPr="004303AB">
        <w:t xml:space="preserve">Telecommunications </w:t>
      </w:r>
      <w:r w:rsidR="00A671FC" w:rsidRPr="004303AB">
        <w:t>Regulations 2</w:t>
      </w:r>
      <w:r w:rsidR="007E79E6" w:rsidRPr="004303AB">
        <w:t>021</w:t>
      </w:r>
    </w:p>
    <w:p w:rsidR="00FE0E4B" w:rsidRPr="004303AB" w:rsidRDefault="00FE0E4B" w:rsidP="00285157">
      <w:pPr>
        <w:pStyle w:val="SignCoverPageStart"/>
        <w:spacing w:before="240"/>
        <w:rPr>
          <w:szCs w:val="22"/>
        </w:rPr>
      </w:pPr>
      <w:r w:rsidRPr="004303AB">
        <w:rPr>
          <w:szCs w:val="22"/>
        </w:rPr>
        <w:t>I, General the Honourable David Hurley AC DSC (Retd), Governor</w:t>
      </w:r>
      <w:r w:rsidR="004303AB">
        <w:rPr>
          <w:szCs w:val="22"/>
        </w:rPr>
        <w:noBreakHyphen/>
      </w:r>
      <w:r w:rsidRPr="004303AB">
        <w:rPr>
          <w:szCs w:val="22"/>
        </w:rPr>
        <w:t>General of the Commonwealth of Australia, acting with the advice of the Federal Executive Council, make the following regulations.</w:t>
      </w:r>
    </w:p>
    <w:p w:rsidR="00FE0E4B" w:rsidRPr="004303AB" w:rsidRDefault="00FE0E4B" w:rsidP="00285157">
      <w:pPr>
        <w:keepNext/>
        <w:spacing w:before="720" w:line="240" w:lineRule="atLeast"/>
        <w:ind w:right="397"/>
        <w:jc w:val="both"/>
        <w:rPr>
          <w:szCs w:val="22"/>
        </w:rPr>
      </w:pPr>
      <w:r w:rsidRPr="004303AB">
        <w:rPr>
          <w:szCs w:val="22"/>
        </w:rPr>
        <w:t xml:space="preserve">Dated </w:t>
      </w:r>
      <w:bookmarkStart w:id="0" w:name="BKCheck15B_1"/>
      <w:bookmarkEnd w:id="0"/>
      <w:r w:rsidRPr="004303AB">
        <w:rPr>
          <w:szCs w:val="22"/>
        </w:rPr>
        <w:fldChar w:fldCharType="begin"/>
      </w:r>
      <w:r w:rsidRPr="004303AB">
        <w:rPr>
          <w:szCs w:val="22"/>
        </w:rPr>
        <w:instrText xml:space="preserve"> DOCPROPERTY  DateMade </w:instrText>
      </w:r>
      <w:r w:rsidRPr="004303AB">
        <w:rPr>
          <w:szCs w:val="22"/>
        </w:rPr>
        <w:fldChar w:fldCharType="separate"/>
      </w:r>
      <w:r w:rsidR="00002EB4">
        <w:rPr>
          <w:szCs w:val="22"/>
        </w:rPr>
        <w:t>18 March 2021</w:t>
      </w:r>
      <w:r w:rsidRPr="004303AB">
        <w:rPr>
          <w:szCs w:val="22"/>
        </w:rPr>
        <w:fldChar w:fldCharType="end"/>
      </w:r>
    </w:p>
    <w:p w:rsidR="00FE0E4B" w:rsidRPr="004303AB" w:rsidRDefault="00FE0E4B" w:rsidP="00285157">
      <w:pPr>
        <w:keepNext/>
        <w:tabs>
          <w:tab w:val="left" w:pos="3402"/>
        </w:tabs>
        <w:spacing w:before="1080" w:line="300" w:lineRule="atLeast"/>
        <w:ind w:left="397" w:right="397"/>
        <w:jc w:val="right"/>
        <w:rPr>
          <w:szCs w:val="22"/>
        </w:rPr>
      </w:pPr>
      <w:r w:rsidRPr="004303AB">
        <w:rPr>
          <w:szCs w:val="22"/>
        </w:rPr>
        <w:t>David Hurley</w:t>
      </w:r>
    </w:p>
    <w:p w:rsidR="00FE0E4B" w:rsidRPr="004303AB" w:rsidRDefault="00FE0E4B" w:rsidP="00285157">
      <w:pPr>
        <w:keepNext/>
        <w:tabs>
          <w:tab w:val="left" w:pos="3402"/>
        </w:tabs>
        <w:spacing w:line="300" w:lineRule="atLeast"/>
        <w:ind w:left="397" w:right="397"/>
        <w:jc w:val="right"/>
        <w:rPr>
          <w:szCs w:val="22"/>
        </w:rPr>
      </w:pPr>
      <w:r w:rsidRPr="004303AB">
        <w:rPr>
          <w:szCs w:val="22"/>
        </w:rPr>
        <w:t>Governor</w:t>
      </w:r>
      <w:r w:rsidR="004303AB">
        <w:rPr>
          <w:szCs w:val="22"/>
        </w:rPr>
        <w:noBreakHyphen/>
      </w:r>
      <w:r w:rsidRPr="004303AB">
        <w:rPr>
          <w:szCs w:val="22"/>
        </w:rPr>
        <w:t>General</w:t>
      </w:r>
    </w:p>
    <w:p w:rsidR="00FE0E4B" w:rsidRPr="004303AB" w:rsidRDefault="00FE0E4B" w:rsidP="00285157">
      <w:pPr>
        <w:keepNext/>
        <w:tabs>
          <w:tab w:val="left" w:pos="3402"/>
        </w:tabs>
        <w:spacing w:before="840" w:after="1080" w:line="300" w:lineRule="atLeast"/>
        <w:ind w:right="397"/>
        <w:rPr>
          <w:szCs w:val="22"/>
        </w:rPr>
      </w:pPr>
      <w:r w:rsidRPr="004303AB">
        <w:rPr>
          <w:szCs w:val="22"/>
        </w:rPr>
        <w:t>By His Excellency’s Command</w:t>
      </w:r>
    </w:p>
    <w:p w:rsidR="00FE0E4B" w:rsidRPr="004303AB" w:rsidRDefault="00FE0E4B" w:rsidP="00285157">
      <w:pPr>
        <w:keepNext/>
        <w:tabs>
          <w:tab w:val="left" w:pos="3402"/>
        </w:tabs>
        <w:spacing w:before="480" w:line="300" w:lineRule="atLeast"/>
        <w:ind w:right="397"/>
        <w:rPr>
          <w:szCs w:val="22"/>
        </w:rPr>
      </w:pPr>
      <w:r w:rsidRPr="004303AB">
        <w:rPr>
          <w:szCs w:val="22"/>
        </w:rPr>
        <w:t>Paul Fletcher</w:t>
      </w:r>
    </w:p>
    <w:p w:rsidR="00FE0E4B" w:rsidRPr="004303AB" w:rsidRDefault="00FE0E4B" w:rsidP="00285157">
      <w:pPr>
        <w:pStyle w:val="SignCoverPageEnd"/>
        <w:rPr>
          <w:szCs w:val="22"/>
        </w:rPr>
      </w:pPr>
      <w:r w:rsidRPr="004303AB">
        <w:rPr>
          <w:szCs w:val="22"/>
        </w:rPr>
        <w:t>Minister for Communications, Urban Infrastructure, Cities and the Arts</w:t>
      </w:r>
    </w:p>
    <w:p w:rsidR="00FE0E4B" w:rsidRPr="004303AB" w:rsidRDefault="00FE0E4B" w:rsidP="00285157"/>
    <w:p w:rsidR="00FE0E4B" w:rsidRPr="004303AB" w:rsidRDefault="00FE0E4B" w:rsidP="00285157"/>
    <w:p w:rsidR="00FE0E4B" w:rsidRPr="004303AB" w:rsidRDefault="00FE0E4B" w:rsidP="00285157"/>
    <w:p w:rsidR="00715914" w:rsidRPr="00E34AC3" w:rsidRDefault="00715914" w:rsidP="00715914">
      <w:pPr>
        <w:pStyle w:val="Header"/>
        <w:tabs>
          <w:tab w:val="clear" w:pos="4150"/>
          <w:tab w:val="clear" w:pos="8307"/>
        </w:tabs>
      </w:pPr>
      <w:r w:rsidRPr="00E34AC3">
        <w:rPr>
          <w:rStyle w:val="CharChapNo"/>
        </w:rPr>
        <w:t xml:space="preserve"> </w:t>
      </w:r>
      <w:r w:rsidRPr="00E34AC3">
        <w:rPr>
          <w:rStyle w:val="CharChapText"/>
        </w:rPr>
        <w:t xml:space="preserve"> </w:t>
      </w:r>
    </w:p>
    <w:p w:rsidR="00715914" w:rsidRPr="00E34AC3" w:rsidRDefault="00715914" w:rsidP="00715914">
      <w:pPr>
        <w:pStyle w:val="Header"/>
        <w:tabs>
          <w:tab w:val="clear" w:pos="4150"/>
          <w:tab w:val="clear" w:pos="8307"/>
        </w:tabs>
      </w:pPr>
      <w:r w:rsidRPr="00E34AC3">
        <w:rPr>
          <w:rStyle w:val="CharPartNo"/>
        </w:rPr>
        <w:t xml:space="preserve"> </w:t>
      </w:r>
      <w:r w:rsidRPr="00E34AC3">
        <w:rPr>
          <w:rStyle w:val="CharPartText"/>
        </w:rPr>
        <w:t xml:space="preserve"> </w:t>
      </w:r>
    </w:p>
    <w:p w:rsidR="00715914" w:rsidRPr="00E34AC3" w:rsidRDefault="00715914" w:rsidP="00715914">
      <w:pPr>
        <w:pStyle w:val="Header"/>
        <w:tabs>
          <w:tab w:val="clear" w:pos="4150"/>
          <w:tab w:val="clear" w:pos="8307"/>
        </w:tabs>
      </w:pPr>
      <w:r w:rsidRPr="00E34AC3">
        <w:rPr>
          <w:rStyle w:val="CharDivNo"/>
        </w:rPr>
        <w:t xml:space="preserve"> </w:t>
      </w:r>
      <w:r w:rsidRPr="00E34AC3">
        <w:rPr>
          <w:rStyle w:val="CharDivText"/>
        </w:rPr>
        <w:t xml:space="preserve"> </w:t>
      </w:r>
    </w:p>
    <w:p w:rsidR="00715914" w:rsidRPr="004303AB" w:rsidRDefault="00715914" w:rsidP="00715914">
      <w:pPr>
        <w:sectPr w:rsidR="00715914" w:rsidRPr="004303AB" w:rsidSect="00040820">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F67BCA" w:rsidRPr="004303AB" w:rsidRDefault="00715914" w:rsidP="00715914">
      <w:pPr>
        <w:outlineLvl w:val="0"/>
        <w:rPr>
          <w:sz w:val="36"/>
        </w:rPr>
      </w:pPr>
      <w:r w:rsidRPr="004303AB">
        <w:rPr>
          <w:sz w:val="36"/>
        </w:rPr>
        <w:lastRenderedPageBreak/>
        <w:t>Contents</w:t>
      </w:r>
    </w:p>
    <w:bookmarkStart w:id="1" w:name="BKCheck15B_2"/>
    <w:bookmarkEnd w:id="1"/>
    <w:p w:rsidR="00293BBF" w:rsidRDefault="00293BBF">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293BBF">
        <w:rPr>
          <w:b w:val="0"/>
          <w:noProof/>
          <w:sz w:val="18"/>
        </w:rPr>
        <w:tab/>
      </w:r>
      <w:r w:rsidRPr="00293BBF">
        <w:rPr>
          <w:b w:val="0"/>
          <w:noProof/>
          <w:sz w:val="18"/>
        </w:rPr>
        <w:fldChar w:fldCharType="begin"/>
      </w:r>
      <w:r w:rsidRPr="00293BBF">
        <w:rPr>
          <w:b w:val="0"/>
          <w:noProof/>
          <w:sz w:val="18"/>
        </w:rPr>
        <w:instrText xml:space="preserve"> PAGEREF _Toc64297877 \h </w:instrText>
      </w:r>
      <w:r w:rsidRPr="00293BBF">
        <w:rPr>
          <w:b w:val="0"/>
          <w:noProof/>
          <w:sz w:val="18"/>
        </w:rPr>
      </w:r>
      <w:r w:rsidRPr="00293BBF">
        <w:rPr>
          <w:b w:val="0"/>
          <w:noProof/>
          <w:sz w:val="18"/>
        </w:rPr>
        <w:fldChar w:fldCharType="separate"/>
      </w:r>
      <w:r w:rsidR="00002EB4">
        <w:rPr>
          <w:b w:val="0"/>
          <w:noProof/>
          <w:sz w:val="18"/>
        </w:rPr>
        <w:t>1</w:t>
      </w:r>
      <w:r w:rsidRPr="00293BBF">
        <w:rPr>
          <w:b w:val="0"/>
          <w:noProof/>
          <w:sz w:val="18"/>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1</w:t>
      </w:r>
      <w:r>
        <w:rPr>
          <w:noProof/>
        </w:rPr>
        <w:tab/>
        <w:t>Name</w:t>
      </w:r>
      <w:r w:rsidRPr="00293BBF">
        <w:rPr>
          <w:noProof/>
        </w:rPr>
        <w:tab/>
      </w:r>
      <w:r w:rsidRPr="00293BBF">
        <w:rPr>
          <w:noProof/>
        </w:rPr>
        <w:fldChar w:fldCharType="begin"/>
      </w:r>
      <w:r w:rsidRPr="00293BBF">
        <w:rPr>
          <w:noProof/>
        </w:rPr>
        <w:instrText xml:space="preserve"> PAGEREF _Toc64297878 \h </w:instrText>
      </w:r>
      <w:r w:rsidRPr="00293BBF">
        <w:rPr>
          <w:noProof/>
        </w:rPr>
      </w:r>
      <w:r w:rsidRPr="00293BBF">
        <w:rPr>
          <w:noProof/>
        </w:rPr>
        <w:fldChar w:fldCharType="separate"/>
      </w:r>
      <w:r w:rsidR="00002EB4">
        <w:rPr>
          <w:noProof/>
        </w:rPr>
        <w:t>1</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2</w:t>
      </w:r>
      <w:r>
        <w:rPr>
          <w:noProof/>
        </w:rPr>
        <w:tab/>
        <w:t>Commencement</w:t>
      </w:r>
      <w:r w:rsidRPr="00293BBF">
        <w:rPr>
          <w:noProof/>
        </w:rPr>
        <w:tab/>
      </w:r>
      <w:r w:rsidRPr="00293BBF">
        <w:rPr>
          <w:noProof/>
        </w:rPr>
        <w:fldChar w:fldCharType="begin"/>
      </w:r>
      <w:r w:rsidRPr="00293BBF">
        <w:rPr>
          <w:noProof/>
        </w:rPr>
        <w:instrText xml:space="preserve"> PAGEREF _Toc64297879 \h </w:instrText>
      </w:r>
      <w:r w:rsidRPr="00293BBF">
        <w:rPr>
          <w:noProof/>
        </w:rPr>
      </w:r>
      <w:r w:rsidRPr="00293BBF">
        <w:rPr>
          <w:noProof/>
        </w:rPr>
        <w:fldChar w:fldCharType="separate"/>
      </w:r>
      <w:r w:rsidR="00002EB4">
        <w:rPr>
          <w:noProof/>
        </w:rPr>
        <w:t>1</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3</w:t>
      </w:r>
      <w:r>
        <w:rPr>
          <w:noProof/>
        </w:rPr>
        <w:tab/>
        <w:t>Authority</w:t>
      </w:r>
      <w:r w:rsidRPr="00293BBF">
        <w:rPr>
          <w:noProof/>
        </w:rPr>
        <w:tab/>
      </w:r>
      <w:r w:rsidRPr="00293BBF">
        <w:rPr>
          <w:noProof/>
        </w:rPr>
        <w:fldChar w:fldCharType="begin"/>
      </w:r>
      <w:r w:rsidRPr="00293BBF">
        <w:rPr>
          <w:noProof/>
        </w:rPr>
        <w:instrText xml:space="preserve"> PAGEREF _Toc64297880 \h </w:instrText>
      </w:r>
      <w:r w:rsidRPr="00293BBF">
        <w:rPr>
          <w:noProof/>
        </w:rPr>
      </w:r>
      <w:r w:rsidRPr="00293BBF">
        <w:rPr>
          <w:noProof/>
        </w:rPr>
        <w:fldChar w:fldCharType="separate"/>
      </w:r>
      <w:r w:rsidR="00002EB4">
        <w:rPr>
          <w:noProof/>
        </w:rPr>
        <w:t>1</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4</w:t>
      </w:r>
      <w:r>
        <w:rPr>
          <w:noProof/>
        </w:rPr>
        <w:tab/>
        <w:t>Schedules</w:t>
      </w:r>
      <w:r w:rsidRPr="00293BBF">
        <w:rPr>
          <w:noProof/>
        </w:rPr>
        <w:tab/>
      </w:r>
      <w:r w:rsidRPr="00293BBF">
        <w:rPr>
          <w:noProof/>
        </w:rPr>
        <w:fldChar w:fldCharType="begin"/>
      </w:r>
      <w:r w:rsidRPr="00293BBF">
        <w:rPr>
          <w:noProof/>
        </w:rPr>
        <w:instrText xml:space="preserve"> PAGEREF _Toc64297881 \h </w:instrText>
      </w:r>
      <w:r w:rsidRPr="00293BBF">
        <w:rPr>
          <w:noProof/>
        </w:rPr>
      </w:r>
      <w:r w:rsidRPr="00293BBF">
        <w:rPr>
          <w:noProof/>
        </w:rPr>
        <w:fldChar w:fldCharType="separate"/>
      </w:r>
      <w:r w:rsidR="00002EB4">
        <w:rPr>
          <w:noProof/>
        </w:rPr>
        <w:t>1</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5</w:t>
      </w:r>
      <w:r>
        <w:rPr>
          <w:noProof/>
        </w:rPr>
        <w:tab/>
        <w:t>Definitions</w:t>
      </w:r>
      <w:r w:rsidRPr="00293BBF">
        <w:rPr>
          <w:noProof/>
        </w:rPr>
        <w:tab/>
      </w:r>
      <w:r w:rsidRPr="00293BBF">
        <w:rPr>
          <w:noProof/>
        </w:rPr>
        <w:fldChar w:fldCharType="begin"/>
      </w:r>
      <w:r w:rsidRPr="00293BBF">
        <w:rPr>
          <w:noProof/>
        </w:rPr>
        <w:instrText xml:space="preserve"> PAGEREF _Toc64297882 \h </w:instrText>
      </w:r>
      <w:r w:rsidRPr="00293BBF">
        <w:rPr>
          <w:noProof/>
        </w:rPr>
      </w:r>
      <w:r w:rsidRPr="00293BBF">
        <w:rPr>
          <w:noProof/>
        </w:rPr>
        <w:fldChar w:fldCharType="separate"/>
      </w:r>
      <w:r w:rsidR="00002EB4">
        <w:rPr>
          <w:noProof/>
        </w:rPr>
        <w:t>1</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573A24">
        <w:rPr>
          <w:i/>
          <w:noProof/>
        </w:rPr>
        <w:t>permitted research</w:t>
      </w:r>
      <w:r w:rsidRPr="00293BBF">
        <w:rPr>
          <w:noProof/>
        </w:rPr>
        <w:tab/>
      </w:r>
      <w:r w:rsidRPr="00293BBF">
        <w:rPr>
          <w:noProof/>
        </w:rPr>
        <w:fldChar w:fldCharType="begin"/>
      </w:r>
      <w:r w:rsidRPr="00293BBF">
        <w:rPr>
          <w:noProof/>
        </w:rPr>
        <w:instrText xml:space="preserve"> PAGEREF _Toc64297883 \h </w:instrText>
      </w:r>
      <w:r w:rsidRPr="00293BBF">
        <w:rPr>
          <w:noProof/>
        </w:rPr>
      </w:r>
      <w:r w:rsidRPr="00293BBF">
        <w:rPr>
          <w:noProof/>
        </w:rPr>
        <w:fldChar w:fldCharType="separate"/>
      </w:r>
      <w:r w:rsidR="00002EB4">
        <w:rPr>
          <w:noProof/>
        </w:rPr>
        <w:t>4</w:t>
      </w:r>
      <w:r w:rsidRPr="00293BBF">
        <w:rPr>
          <w:noProof/>
        </w:rPr>
        <w:fldChar w:fldCharType="end"/>
      </w:r>
    </w:p>
    <w:p w:rsidR="00293BBF" w:rsidRDefault="00293BBF">
      <w:pPr>
        <w:pStyle w:val="TOC2"/>
        <w:rPr>
          <w:rFonts w:asciiTheme="minorHAnsi" w:eastAsiaTheme="minorEastAsia" w:hAnsiTheme="minorHAnsi" w:cstheme="minorBidi"/>
          <w:b w:val="0"/>
          <w:noProof/>
          <w:kern w:val="0"/>
          <w:sz w:val="22"/>
          <w:szCs w:val="22"/>
        </w:rPr>
      </w:pPr>
      <w:r>
        <w:rPr>
          <w:noProof/>
        </w:rPr>
        <w:t>Part 2—Service provider determinations</w:t>
      </w:r>
      <w:r w:rsidRPr="00293BBF">
        <w:rPr>
          <w:b w:val="0"/>
          <w:noProof/>
          <w:sz w:val="18"/>
        </w:rPr>
        <w:tab/>
      </w:r>
      <w:r w:rsidRPr="00293BBF">
        <w:rPr>
          <w:b w:val="0"/>
          <w:noProof/>
          <w:sz w:val="18"/>
        </w:rPr>
        <w:fldChar w:fldCharType="begin"/>
      </w:r>
      <w:r w:rsidRPr="00293BBF">
        <w:rPr>
          <w:b w:val="0"/>
          <w:noProof/>
          <w:sz w:val="18"/>
        </w:rPr>
        <w:instrText xml:space="preserve"> PAGEREF _Toc64297884 \h </w:instrText>
      </w:r>
      <w:r w:rsidRPr="00293BBF">
        <w:rPr>
          <w:b w:val="0"/>
          <w:noProof/>
          <w:sz w:val="18"/>
        </w:rPr>
      </w:r>
      <w:r w:rsidRPr="00293BBF">
        <w:rPr>
          <w:b w:val="0"/>
          <w:noProof/>
          <w:sz w:val="18"/>
        </w:rPr>
        <w:fldChar w:fldCharType="separate"/>
      </w:r>
      <w:r w:rsidR="00002EB4">
        <w:rPr>
          <w:b w:val="0"/>
          <w:noProof/>
          <w:sz w:val="18"/>
        </w:rPr>
        <w:t>5</w:t>
      </w:r>
      <w:r w:rsidRPr="00293BBF">
        <w:rPr>
          <w:b w:val="0"/>
          <w:noProof/>
          <w:sz w:val="18"/>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7</w:t>
      </w:r>
      <w:r>
        <w:rPr>
          <w:noProof/>
        </w:rPr>
        <w:tab/>
        <w:t>Purpose of this Part</w:t>
      </w:r>
      <w:r w:rsidRPr="00293BBF">
        <w:rPr>
          <w:noProof/>
        </w:rPr>
        <w:tab/>
      </w:r>
      <w:r w:rsidRPr="00293BBF">
        <w:rPr>
          <w:noProof/>
        </w:rPr>
        <w:fldChar w:fldCharType="begin"/>
      </w:r>
      <w:r w:rsidRPr="00293BBF">
        <w:rPr>
          <w:noProof/>
        </w:rPr>
        <w:instrText xml:space="preserve"> PAGEREF _Toc64297885 \h </w:instrText>
      </w:r>
      <w:r w:rsidRPr="00293BBF">
        <w:rPr>
          <w:noProof/>
        </w:rPr>
      </w:r>
      <w:r w:rsidRPr="00293BBF">
        <w:rPr>
          <w:noProof/>
        </w:rPr>
        <w:fldChar w:fldCharType="separate"/>
      </w:r>
      <w:r w:rsidR="00002EB4">
        <w:rPr>
          <w:noProof/>
        </w:rPr>
        <w:t>5</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8</w:t>
      </w:r>
      <w:r>
        <w:rPr>
          <w:noProof/>
        </w:rPr>
        <w:tab/>
        <w:t>Prepaid mobile carriage services</w:t>
      </w:r>
      <w:r w:rsidRPr="00293BBF">
        <w:rPr>
          <w:noProof/>
        </w:rPr>
        <w:tab/>
      </w:r>
      <w:r w:rsidRPr="00293BBF">
        <w:rPr>
          <w:noProof/>
        </w:rPr>
        <w:fldChar w:fldCharType="begin"/>
      </w:r>
      <w:r w:rsidRPr="00293BBF">
        <w:rPr>
          <w:noProof/>
        </w:rPr>
        <w:instrText xml:space="preserve"> PAGEREF _Toc64297886 \h </w:instrText>
      </w:r>
      <w:r w:rsidRPr="00293BBF">
        <w:rPr>
          <w:noProof/>
        </w:rPr>
      </w:r>
      <w:r w:rsidRPr="00293BBF">
        <w:rPr>
          <w:noProof/>
        </w:rPr>
        <w:fldChar w:fldCharType="separate"/>
      </w:r>
      <w:r w:rsidR="00002EB4">
        <w:rPr>
          <w:noProof/>
        </w:rPr>
        <w:t>5</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9</w:t>
      </w:r>
      <w:r>
        <w:rPr>
          <w:noProof/>
        </w:rPr>
        <w:tab/>
        <w:t>Premium services</w:t>
      </w:r>
      <w:r w:rsidRPr="00293BBF">
        <w:rPr>
          <w:noProof/>
        </w:rPr>
        <w:tab/>
      </w:r>
      <w:r w:rsidRPr="00293BBF">
        <w:rPr>
          <w:noProof/>
        </w:rPr>
        <w:fldChar w:fldCharType="begin"/>
      </w:r>
      <w:r w:rsidRPr="00293BBF">
        <w:rPr>
          <w:noProof/>
        </w:rPr>
        <w:instrText xml:space="preserve"> PAGEREF _Toc64297887 \h </w:instrText>
      </w:r>
      <w:r w:rsidRPr="00293BBF">
        <w:rPr>
          <w:noProof/>
        </w:rPr>
      </w:r>
      <w:r w:rsidRPr="00293BBF">
        <w:rPr>
          <w:noProof/>
        </w:rPr>
        <w:fldChar w:fldCharType="separate"/>
      </w:r>
      <w:r w:rsidR="00002EB4">
        <w:rPr>
          <w:noProof/>
        </w:rPr>
        <w:t>6</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10</w:t>
      </w:r>
      <w:r>
        <w:rPr>
          <w:noProof/>
        </w:rPr>
        <w:tab/>
        <w:t>Fixed or mobile voice or data carriage services</w:t>
      </w:r>
      <w:r w:rsidRPr="00293BBF">
        <w:rPr>
          <w:noProof/>
        </w:rPr>
        <w:tab/>
      </w:r>
      <w:r w:rsidRPr="00293BBF">
        <w:rPr>
          <w:noProof/>
        </w:rPr>
        <w:fldChar w:fldCharType="begin"/>
      </w:r>
      <w:r w:rsidRPr="00293BBF">
        <w:rPr>
          <w:noProof/>
        </w:rPr>
        <w:instrText xml:space="preserve"> PAGEREF _Toc64297888 \h </w:instrText>
      </w:r>
      <w:r w:rsidRPr="00293BBF">
        <w:rPr>
          <w:noProof/>
        </w:rPr>
      </w:r>
      <w:r w:rsidRPr="00293BBF">
        <w:rPr>
          <w:noProof/>
        </w:rPr>
        <w:fldChar w:fldCharType="separate"/>
      </w:r>
      <w:r w:rsidR="00002EB4">
        <w:rPr>
          <w:noProof/>
        </w:rPr>
        <w:t>7</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11</w:t>
      </w:r>
      <w:r>
        <w:rPr>
          <w:noProof/>
        </w:rPr>
        <w:tab/>
        <w:t>Information relating to the telecommunications industry</w:t>
      </w:r>
      <w:r w:rsidRPr="00293BBF">
        <w:rPr>
          <w:noProof/>
        </w:rPr>
        <w:tab/>
      </w:r>
      <w:r w:rsidRPr="00293BBF">
        <w:rPr>
          <w:noProof/>
        </w:rPr>
        <w:fldChar w:fldCharType="begin"/>
      </w:r>
      <w:r w:rsidRPr="00293BBF">
        <w:rPr>
          <w:noProof/>
        </w:rPr>
        <w:instrText xml:space="preserve"> PAGEREF _Toc64297889 \h </w:instrText>
      </w:r>
      <w:r w:rsidRPr="00293BBF">
        <w:rPr>
          <w:noProof/>
        </w:rPr>
      </w:r>
      <w:r w:rsidRPr="00293BBF">
        <w:rPr>
          <w:noProof/>
        </w:rPr>
        <w:fldChar w:fldCharType="separate"/>
      </w:r>
      <w:r w:rsidR="00002EB4">
        <w:rPr>
          <w:noProof/>
        </w:rPr>
        <w:t>7</w:t>
      </w:r>
      <w:r w:rsidRPr="00293BBF">
        <w:rPr>
          <w:noProof/>
        </w:rPr>
        <w:fldChar w:fldCharType="end"/>
      </w:r>
    </w:p>
    <w:p w:rsidR="00293BBF" w:rsidRDefault="00293BBF">
      <w:pPr>
        <w:pStyle w:val="TOC2"/>
        <w:rPr>
          <w:rFonts w:asciiTheme="minorHAnsi" w:eastAsiaTheme="minorEastAsia" w:hAnsiTheme="minorHAnsi" w:cstheme="minorBidi"/>
          <w:b w:val="0"/>
          <w:noProof/>
          <w:kern w:val="0"/>
          <w:sz w:val="22"/>
          <w:szCs w:val="22"/>
        </w:rPr>
      </w:pPr>
      <w:r>
        <w:rPr>
          <w:noProof/>
        </w:rPr>
        <w:t>Part 3—Industry codes and industry standards</w:t>
      </w:r>
      <w:r w:rsidRPr="00293BBF">
        <w:rPr>
          <w:b w:val="0"/>
          <w:noProof/>
          <w:sz w:val="18"/>
        </w:rPr>
        <w:tab/>
      </w:r>
      <w:r w:rsidRPr="00293BBF">
        <w:rPr>
          <w:b w:val="0"/>
          <w:noProof/>
          <w:sz w:val="18"/>
        </w:rPr>
        <w:fldChar w:fldCharType="begin"/>
      </w:r>
      <w:r w:rsidRPr="00293BBF">
        <w:rPr>
          <w:b w:val="0"/>
          <w:noProof/>
          <w:sz w:val="18"/>
        </w:rPr>
        <w:instrText xml:space="preserve"> PAGEREF _Toc64297890 \h </w:instrText>
      </w:r>
      <w:r w:rsidRPr="00293BBF">
        <w:rPr>
          <w:b w:val="0"/>
          <w:noProof/>
          <w:sz w:val="18"/>
        </w:rPr>
      </w:r>
      <w:r w:rsidRPr="00293BBF">
        <w:rPr>
          <w:b w:val="0"/>
          <w:noProof/>
          <w:sz w:val="18"/>
        </w:rPr>
        <w:fldChar w:fldCharType="separate"/>
      </w:r>
      <w:r w:rsidR="00002EB4">
        <w:rPr>
          <w:b w:val="0"/>
          <w:noProof/>
          <w:sz w:val="18"/>
        </w:rPr>
        <w:t>8</w:t>
      </w:r>
      <w:r w:rsidRPr="00293BBF">
        <w:rPr>
          <w:b w:val="0"/>
          <w:noProof/>
          <w:sz w:val="18"/>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12</w:t>
      </w:r>
      <w:r>
        <w:rPr>
          <w:noProof/>
        </w:rPr>
        <w:tab/>
        <w:t>Industry codes and industry standards not to deal with certain design features and performance requirements—exception relating to the unconditioned local loop service</w:t>
      </w:r>
      <w:r w:rsidRPr="00293BBF">
        <w:rPr>
          <w:noProof/>
        </w:rPr>
        <w:tab/>
      </w:r>
      <w:r w:rsidRPr="00293BBF">
        <w:rPr>
          <w:noProof/>
        </w:rPr>
        <w:fldChar w:fldCharType="begin"/>
      </w:r>
      <w:r w:rsidRPr="00293BBF">
        <w:rPr>
          <w:noProof/>
        </w:rPr>
        <w:instrText xml:space="preserve"> PAGEREF _Toc64297891 \h </w:instrText>
      </w:r>
      <w:r w:rsidRPr="00293BBF">
        <w:rPr>
          <w:noProof/>
        </w:rPr>
      </w:r>
      <w:r w:rsidRPr="00293BBF">
        <w:rPr>
          <w:noProof/>
        </w:rPr>
        <w:fldChar w:fldCharType="separate"/>
      </w:r>
      <w:r w:rsidR="00002EB4">
        <w:rPr>
          <w:noProof/>
        </w:rPr>
        <w:t>8</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13</w:t>
      </w:r>
      <w:r>
        <w:rPr>
          <w:noProof/>
        </w:rPr>
        <w:tab/>
        <w:t>Industry codes and industry standards not to deal with certain design features and performance requirements—exception relating to next</w:t>
      </w:r>
      <w:r>
        <w:rPr>
          <w:noProof/>
        </w:rPr>
        <w:noBreakHyphen/>
        <w:t>generation broadband services</w:t>
      </w:r>
      <w:r w:rsidRPr="00293BBF">
        <w:rPr>
          <w:noProof/>
        </w:rPr>
        <w:tab/>
      </w:r>
      <w:r w:rsidRPr="00293BBF">
        <w:rPr>
          <w:noProof/>
        </w:rPr>
        <w:fldChar w:fldCharType="begin"/>
      </w:r>
      <w:r w:rsidRPr="00293BBF">
        <w:rPr>
          <w:noProof/>
        </w:rPr>
        <w:instrText xml:space="preserve"> PAGEREF _Toc64297892 \h </w:instrText>
      </w:r>
      <w:r w:rsidRPr="00293BBF">
        <w:rPr>
          <w:noProof/>
        </w:rPr>
      </w:r>
      <w:r w:rsidRPr="00293BBF">
        <w:rPr>
          <w:noProof/>
        </w:rPr>
        <w:fldChar w:fldCharType="separate"/>
      </w:r>
      <w:r w:rsidR="00002EB4">
        <w:rPr>
          <w:noProof/>
        </w:rPr>
        <w:t>8</w:t>
      </w:r>
      <w:r w:rsidRPr="00293BBF">
        <w:rPr>
          <w:noProof/>
        </w:rPr>
        <w:fldChar w:fldCharType="end"/>
      </w:r>
    </w:p>
    <w:p w:rsidR="00293BBF" w:rsidRDefault="00293BBF">
      <w:pPr>
        <w:pStyle w:val="TOC2"/>
        <w:rPr>
          <w:rFonts w:asciiTheme="minorHAnsi" w:eastAsiaTheme="minorEastAsia" w:hAnsiTheme="minorHAnsi" w:cstheme="minorBidi"/>
          <w:b w:val="0"/>
          <w:noProof/>
          <w:kern w:val="0"/>
          <w:sz w:val="22"/>
          <w:szCs w:val="22"/>
        </w:rPr>
      </w:pPr>
      <w:r>
        <w:rPr>
          <w:noProof/>
        </w:rPr>
        <w:t>Part 4—Protection of communications</w:t>
      </w:r>
      <w:r w:rsidRPr="00293BBF">
        <w:rPr>
          <w:b w:val="0"/>
          <w:noProof/>
          <w:sz w:val="18"/>
        </w:rPr>
        <w:tab/>
      </w:r>
      <w:r w:rsidRPr="00293BBF">
        <w:rPr>
          <w:b w:val="0"/>
          <w:noProof/>
          <w:sz w:val="18"/>
        </w:rPr>
        <w:fldChar w:fldCharType="begin"/>
      </w:r>
      <w:r w:rsidRPr="00293BBF">
        <w:rPr>
          <w:b w:val="0"/>
          <w:noProof/>
          <w:sz w:val="18"/>
        </w:rPr>
        <w:instrText xml:space="preserve"> PAGEREF _Toc64297893 \h </w:instrText>
      </w:r>
      <w:r w:rsidRPr="00293BBF">
        <w:rPr>
          <w:b w:val="0"/>
          <w:noProof/>
          <w:sz w:val="18"/>
        </w:rPr>
      </w:r>
      <w:r w:rsidRPr="00293BBF">
        <w:rPr>
          <w:b w:val="0"/>
          <w:noProof/>
          <w:sz w:val="18"/>
        </w:rPr>
        <w:fldChar w:fldCharType="separate"/>
      </w:r>
      <w:r w:rsidR="00002EB4">
        <w:rPr>
          <w:b w:val="0"/>
          <w:noProof/>
          <w:sz w:val="18"/>
        </w:rPr>
        <w:t>10</w:t>
      </w:r>
      <w:r w:rsidRPr="00293BBF">
        <w:rPr>
          <w:b w:val="0"/>
          <w:noProof/>
          <w:sz w:val="18"/>
        </w:rPr>
        <w:fldChar w:fldCharType="end"/>
      </w:r>
    </w:p>
    <w:p w:rsidR="00293BBF" w:rsidRDefault="00293BBF">
      <w:pPr>
        <w:pStyle w:val="TOC3"/>
        <w:rPr>
          <w:rFonts w:asciiTheme="minorHAnsi" w:eastAsiaTheme="minorEastAsia" w:hAnsiTheme="minorHAnsi" w:cstheme="minorBidi"/>
          <w:b w:val="0"/>
          <w:noProof/>
          <w:kern w:val="0"/>
          <w:szCs w:val="22"/>
        </w:rPr>
      </w:pPr>
      <w:r>
        <w:rPr>
          <w:noProof/>
        </w:rPr>
        <w:t>Division 1—Exceptions to primary disclosure/use offences</w:t>
      </w:r>
      <w:r w:rsidRPr="00293BBF">
        <w:rPr>
          <w:b w:val="0"/>
          <w:noProof/>
          <w:sz w:val="18"/>
        </w:rPr>
        <w:tab/>
      </w:r>
      <w:r w:rsidRPr="00293BBF">
        <w:rPr>
          <w:b w:val="0"/>
          <w:noProof/>
          <w:sz w:val="18"/>
        </w:rPr>
        <w:fldChar w:fldCharType="begin"/>
      </w:r>
      <w:r w:rsidRPr="00293BBF">
        <w:rPr>
          <w:b w:val="0"/>
          <w:noProof/>
          <w:sz w:val="18"/>
        </w:rPr>
        <w:instrText xml:space="preserve"> PAGEREF _Toc64297894 \h </w:instrText>
      </w:r>
      <w:r w:rsidRPr="00293BBF">
        <w:rPr>
          <w:b w:val="0"/>
          <w:noProof/>
          <w:sz w:val="18"/>
        </w:rPr>
      </w:r>
      <w:r w:rsidRPr="00293BBF">
        <w:rPr>
          <w:b w:val="0"/>
          <w:noProof/>
          <w:sz w:val="18"/>
        </w:rPr>
        <w:fldChar w:fldCharType="separate"/>
      </w:r>
      <w:r w:rsidR="00002EB4">
        <w:rPr>
          <w:b w:val="0"/>
          <w:noProof/>
          <w:sz w:val="18"/>
        </w:rPr>
        <w:t>10</w:t>
      </w:r>
      <w:r w:rsidRPr="00293BBF">
        <w:rPr>
          <w:b w:val="0"/>
          <w:noProof/>
          <w:sz w:val="18"/>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14</w:t>
      </w:r>
      <w:r>
        <w:rPr>
          <w:noProof/>
        </w:rPr>
        <w:tab/>
        <w:t>Disclosures to a National Relay Service provider</w:t>
      </w:r>
      <w:r w:rsidRPr="00293BBF">
        <w:rPr>
          <w:noProof/>
        </w:rPr>
        <w:tab/>
      </w:r>
      <w:r w:rsidRPr="00293BBF">
        <w:rPr>
          <w:noProof/>
        </w:rPr>
        <w:fldChar w:fldCharType="begin"/>
      </w:r>
      <w:r w:rsidRPr="00293BBF">
        <w:rPr>
          <w:noProof/>
        </w:rPr>
        <w:instrText xml:space="preserve"> PAGEREF _Toc64297895 \h </w:instrText>
      </w:r>
      <w:r w:rsidRPr="00293BBF">
        <w:rPr>
          <w:noProof/>
        </w:rPr>
      </w:r>
      <w:r w:rsidRPr="00293BBF">
        <w:rPr>
          <w:noProof/>
        </w:rPr>
        <w:fldChar w:fldCharType="separate"/>
      </w:r>
      <w:r w:rsidR="00002EB4">
        <w:rPr>
          <w:noProof/>
        </w:rPr>
        <w:t>10</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15</w:t>
      </w:r>
      <w:r>
        <w:rPr>
          <w:noProof/>
        </w:rPr>
        <w:tab/>
        <w:t>Disclosures of unlisted mobile number information to authorised research entity</w:t>
      </w:r>
      <w:r w:rsidRPr="00293BBF">
        <w:rPr>
          <w:noProof/>
        </w:rPr>
        <w:tab/>
      </w:r>
      <w:r w:rsidRPr="00293BBF">
        <w:rPr>
          <w:noProof/>
        </w:rPr>
        <w:fldChar w:fldCharType="begin"/>
      </w:r>
      <w:r w:rsidRPr="00293BBF">
        <w:rPr>
          <w:noProof/>
        </w:rPr>
        <w:instrText xml:space="preserve"> PAGEREF _Toc64297896 \h </w:instrText>
      </w:r>
      <w:r w:rsidRPr="00293BBF">
        <w:rPr>
          <w:noProof/>
        </w:rPr>
      </w:r>
      <w:r w:rsidRPr="00293BBF">
        <w:rPr>
          <w:noProof/>
        </w:rPr>
        <w:fldChar w:fldCharType="separate"/>
      </w:r>
      <w:r w:rsidR="00002EB4">
        <w:rPr>
          <w:noProof/>
        </w:rPr>
        <w:t>10</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16</w:t>
      </w:r>
      <w:r>
        <w:rPr>
          <w:noProof/>
        </w:rPr>
        <w:tab/>
        <w:t>Disclosures by emergency call persons—research about emergency service numbers</w:t>
      </w:r>
      <w:r w:rsidRPr="00293BBF">
        <w:rPr>
          <w:noProof/>
        </w:rPr>
        <w:tab/>
      </w:r>
      <w:r w:rsidRPr="00293BBF">
        <w:rPr>
          <w:noProof/>
        </w:rPr>
        <w:fldChar w:fldCharType="begin"/>
      </w:r>
      <w:r w:rsidRPr="00293BBF">
        <w:rPr>
          <w:noProof/>
        </w:rPr>
        <w:instrText xml:space="preserve"> PAGEREF _Toc64297897 \h </w:instrText>
      </w:r>
      <w:r w:rsidRPr="00293BBF">
        <w:rPr>
          <w:noProof/>
        </w:rPr>
      </w:r>
      <w:r w:rsidRPr="00293BBF">
        <w:rPr>
          <w:noProof/>
        </w:rPr>
        <w:fldChar w:fldCharType="separate"/>
      </w:r>
      <w:r w:rsidR="00002EB4">
        <w:rPr>
          <w:noProof/>
        </w:rPr>
        <w:t>10</w:t>
      </w:r>
      <w:r w:rsidRPr="00293BBF">
        <w:rPr>
          <w:noProof/>
        </w:rPr>
        <w:fldChar w:fldCharType="end"/>
      </w:r>
    </w:p>
    <w:p w:rsidR="00293BBF" w:rsidRDefault="00293BBF">
      <w:pPr>
        <w:pStyle w:val="TOC3"/>
        <w:rPr>
          <w:rFonts w:asciiTheme="minorHAnsi" w:eastAsiaTheme="minorEastAsia" w:hAnsiTheme="minorHAnsi" w:cstheme="minorBidi"/>
          <w:b w:val="0"/>
          <w:noProof/>
          <w:kern w:val="0"/>
          <w:szCs w:val="22"/>
        </w:rPr>
      </w:pPr>
      <w:r>
        <w:rPr>
          <w:noProof/>
        </w:rPr>
        <w:t>Division 2—Research authorisations</w:t>
      </w:r>
      <w:r w:rsidRPr="00293BBF">
        <w:rPr>
          <w:b w:val="0"/>
          <w:noProof/>
          <w:sz w:val="18"/>
        </w:rPr>
        <w:tab/>
      </w:r>
      <w:r w:rsidRPr="00293BBF">
        <w:rPr>
          <w:b w:val="0"/>
          <w:noProof/>
          <w:sz w:val="18"/>
        </w:rPr>
        <w:fldChar w:fldCharType="begin"/>
      </w:r>
      <w:r w:rsidRPr="00293BBF">
        <w:rPr>
          <w:b w:val="0"/>
          <w:noProof/>
          <w:sz w:val="18"/>
        </w:rPr>
        <w:instrText xml:space="preserve"> PAGEREF _Toc64297898 \h </w:instrText>
      </w:r>
      <w:r w:rsidRPr="00293BBF">
        <w:rPr>
          <w:b w:val="0"/>
          <w:noProof/>
          <w:sz w:val="18"/>
        </w:rPr>
      </w:r>
      <w:r w:rsidRPr="00293BBF">
        <w:rPr>
          <w:b w:val="0"/>
          <w:noProof/>
          <w:sz w:val="18"/>
        </w:rPr>
        <w:fldChar w:fldCharType="separate"/>
      </w:r>
      <w:r w:rsidR="00002EB4">
        <w:rPr>
          <w:b w:val="0"/>
          <w:noProof/>
          <w:sz w:val="18"/>
        </w:rPr>
        <w:t>12</w:t>
      </w:r>
      <w:r w:rsidRPr="00293BBF">
        <w:rPr>
          <w:b w:val="0"/>
          <w:noProof/>
          <w:sz w:val="18"/>
        </w:rPr>
        <w:fldChar w:fldCharType="end"/>
      </w:r>
    </w:p>
    <w:p w:rsidR="00293BBF" w:rsidRDefault="00293BBF">
      <w:pPr>
        <w:pStyle w:val="TOC4"/>
        <w:rPr>
          <w:rFonts w:asciiTheme="minorHAnsi" w:eastAsiaTheme="minorEastAsia" w:hAnsiTheme="minorHAnsi" w:cstheme="minorBidi"/>
          <w:b w:val="0"/>
          <w:noProof/>
          <w:kern w:val="0"/>
          <w:sz w:val="22"/>
          <w:szCs w:val="22"/>
        </w:rPr>
      </w:pPr>
      <w:r>
        <w:rPr>
          <w:noProof/>
        </w:rPr>
        <w:t>Subdivision A—Introduction</w:t>
      </w:r>
      <w:r w:rsidRPr="00293BBF">
        <w:rPr>
          <w:b w:val="0"/>
          <w:noProof/>
          <w:sz w:val="18"/>
        </w:rPr>
        <w:tab/>
      </w:r>
      <w:r w:rsidRPr="00293BBF">
        <w:rPr>
          <w:b w:val="0"/>
          <w:noProof/>
          <w:sz w:val="18"/>
        </w:rPr>
        <w:fldChar w:fldCharType="begin"/>
      </w:r>
      <w:r w:rsidRPr="00293BBF">
        <w:rPr>
          <w:b w:val="0"/>
          <w:noProof/>
          <w:sz w:val="18"/>
        </w:rPr>
        <w:instrText xml:space="preserve"> PAGEREF _Toc64297899 \h </w:instrText>
      </w:r>
      <w:r w:rsidRPr="00293BBF">
        <w:rPr>
          <w:b w:val="0"/>
          <w:noProof/>
          <w:sz w:val="18"/>
        </w:rPr>
      </w:r>
      <w:r w:rsidRPr="00293BBF">
        <w:rPr>
          <w:b w:val="0"/>
          <w:noProof/>
          <w:sz w:val="18"/>
        </w:rPr>
        <w:fldChar w:fldCharType="separate"/>
      </w:r>
      <w:r w:rsidR="00002EB4">
        <w:rPr>
          <w:b w:val="0"/>
          <w:noProof/>
          <w:sz w:val="18"/>
        </w:rPr>
        <w:t>12</w:t>
      </w:r>
      <w:r w:rsidRPr="00293BBF">
        <w:rPr>
          <w:b w:val="0"/>
          <w:noProof/>
          <w:sz w:val="18"/>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17</w:t>
      </w:r>
      <w:r>
        <w:rPr>
          <w:noProof/>
        </w:rPr>
        <w:tab/>
        <w:t>Simplified outline of this Division</w:t>
      </w:r>
      <w:r w:rsidRPr="00293BBF">
        <w:rPr>
          <w:noProof/>
        </w:rPr>
        <w:tab/>
      </w:r>
      <w:r w:rsidRPr="00293BBF">
        <w:rPr>
          <w:noProof/>
        </w:rPr>
        <w:fldChar w:fldCharType="begin"/>
      </w:r>
      <w:r w:rsidRPr="00293BBF">
        <w:rPr>
          <w:noProof/>
        </w:rPr>
        <w:instrText xml:space="preserve"> PAGEREF _Toc64297900 \h </w:instrText>
      </w:r>
      <w:r w:rsidRPr="00293BBF">
        <w:rPr>
          <w:noProof/>
        </w:rPr>
      </w:r>
      <w:r w:rsidRPr="00293BBF">
        <w:rPr>
          <w:noProof/>
        </w:rPr>
        <w:fldChar w:fldCharType="separate"/>
      </w:r>
      <w:r w:rsidR="00002EB4">
        <w:rPr>
          <w:noProof/>
        </w:rPr>
        <w:t>12</w:t>
      </w:r>
      <w:r w:rsidRPr="00293BBF">
        <w:rPr>
          <w:noProof/>
        </w:rPr>
        <w:fldChar w:fldCharType="end"/>
      </w:r>
    </w:p>
    <w:p w:rsidR="00293BBF" w:rsidRDefault="00293BBF">
      <w:pPr>
        <w:pStyle w:val="TOC4"/>
        <w:rPr>
          <w:rFonts w:asciiTheme="minorHAnsi" w:eastAsiaTheme="minorEastAsia" w:hAnsiTheme="minorHAnsi" w:cstheme="minorBidi"/>
          <w:b w:val="0"/>
          <w:noProof/>
          <w:kern w:val="0"/>
          <w:sz w:val="22"/>
          <w:szCs w:val="22"/>
        </w:rPr>
      </w:pPr>
      <w:r>
        <w:rPr>
          <w:noProof/>
        </w:rPr>
        <w:t>Subdivision B—Application for, and grant of, research authorisations</w:t>
      </w:r>
      <w:r w:rsidRPr="00293BBF">
        <w:rPr>
          <w:b w:val="0"/>
          <w:noProof/>
          <w:sz w:val="18"/>
        </w:rPr>
        <w:tab/>
      </w:r>
      <w:r w:rsidRPr="00293BBF">
        <w:rPr>
          <w:b w:val="0"/>
          <w:noProof/>
          <w:sz w:val="18"/>
        </w:rPr>
        <w:fldChar w:fldCharType="begin"/>
      </w:r>
      <w:r w:rsidRPr="00293BBF">
        <w:rPr>
          <w:b w:val="0"/>
          <w:noProof/>
          <w:sz w:val="18"/>
        </w:rPr>
        <w:instrText xml:space="preserve"> PAGEREF _Toc64297901 \h </w:instrText>
      </w:r>
      <w:r w:rsidRPr="00293BBF">
        <w:rPr>
          <w:b w:val="0"/>
          <w:noProof/>
          <w:sz w:val="18"/>
        </w:rPr>
      </w:r>
      <w:r w:rsidRPr="00293BBF">
        <w:rPr>
          <w:b w:val="0"/>
          <w:noProof/>
          <w:sz w:val="18"/>
        </w:rPr>
        <w:fldChar w:fldCharType="separate"/>
      </w:r>
      <w:r w:rsidR="00002EB4">
        <w:rPr>
          <w:b w:val="0"/>
          <w:noProof/>
          <w:sz w:val="18"/>
        </w:rPr>
        <w:t>12</w:t>
      </w:r>
      <w:r w:rsidRPr="00293BBF">
        <w:rPr>
          <w:b w:val="0"/>
          <w:noProof/>
          <w:sz w:val="18"/>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18</w:t>
      </w:r>
      <w:r>
        <w:rPr>
          <w:noProof/>
        </w:rPr>
        <w:tab/>
        <w:t>Applying for research authorisations</w:t>
      </w:r>
      <w:r w:rsidRPr="00293BBF">
        <w:rPr>
          <w:noProof/>
        </w:rPr>
        <w:tab/>
      </w:r>
      <w:r w:rsidRPr="00293BBF">
        <w:rPr>
          <w:noProof/>
        </w:rPr>
        <w:fldChar w:fldCharType="begin"/>
      </w:r>
      <w:r w:rsidRPr="00293BBF">
        <w:rPr>
          <w:noProof/>
        </w:rPr>
        <w:instrText xml:space="preserve"> PAGEREF _Toc64297902 \h </w:instrText>
      </w:r>
      <w:r w:rsidRPr="00293BBF">
        <w:rPr>
          <w:noProof/>
        </w:rPr>
      </w:r>
      <w:r w:rsidRPr="00293BBF">
        <w:rPr>
          <w:noProof/>
        </w:rPr>
        <w:fldChar w:fldCharType="separate"/>
      </w:r>
      <w:r w:rsidR="00002EB4">
        <w:rPr>
          <w:noProof/>
        </w:rPr>
        <w:t>12</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19</w:t>
      </w:r>
      <w:r>
        <w:rPr>
          <w:noProof/>
        </w:rPr>
        <w:tab/>
        <w:t>ACMA may request further information</w:t>
      </w:r>
      <w:r w:rsidRPr="00293BBF">
        <w:rPr>
          <w:noProof/>
        </w:rPr>
        <w:tab/>
      </w:r>
      <w:r w:rsidRPr="00293BBF">
        <w:rPr>
          <w:noProof/>
        </w:rPr>
        <w:fldChar w:fldCharType="begin"/>
      </w:r>
      <w:r w:rsidRPr="00293BBF">
        <w:rPr>
          <w:noProof/>
        </w:rPr>
        <w:instrText xml:space="preserve"> PAGEREF _Toc64297903 \h </w:instrText>
      </w:r>
      <w:r w:rsidRPr="00293BBF">
        <w:rPr>
          <w:noProof/>
        </w:rPr>
      </w:r>
      <w:r w:rsidRPr="00293BBF">
        <w:rPr>
          <w:noProof/>
        </w:rPr>
        <w:fldChar w:fldCharType="separate"/>
      </w:r>
      <w:r w:rsidR="00002EB4">
        <w:rPr>
          <w:noProof/>
        </w:rPr>
        <w:t>13</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20</w:t>
      </w:r>
      <w:r>
        <w:rPr>
          <w:noProof/>
        </w:rPr>
        <w:tab/>
        <w:t>ACMA may consult</w:t>
      </w:r>
      <w:r w:rsidRPr="00293BBF">
        <w:rPr>
          <w:noProof/>
        </w:rPr>
        <w:tab/>
      </w:r>
      <w:r w:rsidRPr="00293BBF">
        <w:rPr>
          <w:noProof/>
        </w:rPr>
        <w:fldChar w:fldCharType="begin"/>
      </w:r>
      <w:r w:rsidRPr="00293BBF">
        <w:rPr>
          <w:noProof/>
        </w:rPr>
        <w:instrText xml:space="preserve"> PAGEREF _Toc64297904 \h </w:instrText>
      </w:r>
      <w:r w:rsidRPr="00293BBF">
        <w:rPr>
          <w:noProof/>
        </w:rPr>
      </w:r>
      <w:r w:rsidRPr="00293BBF">
        <w:rPr>
          <w:noProof/>
        </w:rPr>
        <w:fldChar w:fldCharType="separate"/>
      </w:r>
      <w:r w:rsidR="00002EB4">
        <w:rPr>
          <w:noProof/>
        </w:rPr>
        <w:t>13</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21</w:t>
      </w:r>
      <w:r>
        <w:rPr>
          <w:noProof/>
        </w:rPr>
        <w:tab/>
        <w:t>Research authorisations</w:t>
      </w:r>
      <w:r w:rsidRPr="00293BBF">
        <w:rPr>
          <w:noProof/>
        </w:rPr>
        <w:tab/>
      </w:r>
      <w:r w:rsidRPr="00293BBF">
        <w:rPr>
          <w:noProof/>
        </w:rPr>
        <w:fldChar w:fldCharType="begin"/>
      </w:r>
      <w:r w:rsidRPr="00293BBF">
        <w:rPr>
          <w:noProof/>
        </w:rPr>
        <w:instrText xml:space="preserve"> PAGEREF _Toc64297905 \h </w:instrText>
      </w:r>
      <w:r w:rsidRPr="00293BBF">
        <w:rPr>
          <w:noProof/>
        </w:rPr>
      </w:r>
      <w:r w:rsidRPr="00293BBF">
        <w:rPr>
          <w:noProof/>
        </w:rPr>
        <w:fldChar w:fldCharType="separate"/>
      </w:r>
      <w:r w:rsidR="00002EB4">
        <w:rPr>
          <w:noProof/>
        </w:rPr>
        <w:t>13</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22</w:t>
      </w:r>
      <w:r>
        <w:rPr>
          <w:noProof/>
        </w:rPr>
        <w:tab/>
        <w:t>Content of research authorisations</w:t>
      </w:r>
      <w:r w:rsidRPr="00293BBF">
        <w:rPr>
          <w:noProof/>
        </w:rPr>
        <w:tab/>
      </w:r>
      <w:r w:rsidRPr="00293BBF">
        <w:rPr>
          <w:noProof/>
        </w:rPr>
        <w:fldChar w:fldCharType="begin"/>
      </w:r>
      <w:r w:rsidRPr="00293BBF">
        <w:rPr>
          <w:noProof/>
        </w:rPr>
        <w:instrText xml:space="preserve"> PAGEREF _Toc64297906 \h </w:instrText>
      </w:r>
      <w:r w:rsidRPr="00293BBF">
        <w:rPr>
          <w:noProof/>
        </w:rPr>
      </w:r>
      <w:r w:rsidRPr="00293BBF">
        <w:rPr>
          <w:noProof/>
        </w:rPr>
        <w:fldChar w:fldCharType="separate"/>
      </w:r>
      <w:r w:rsidR="00002EB4">
        <w:rPr>
          <w:noProof/>
        </w:rPr>
        <w:t>14</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23</w:t>
      </w:r>
      <w:r>
        <w:rPr>
          <w:noProof/>
        </w:rPr>
        <w:tab/>
        <w:t>Notice relating to research authorisations</w:t>
      </w:r>
      <w:r w:rsidRPr="00293BBF">
        <w:rPr>
          <w:noProof/>
        </w:rPr>
        <w:tab/>
      </w:r>
      <w:r w:rsidRPr="00293BBF">
        <w:rPr>
          <w:noProof/>
        </w:rPr>
        <w:fldChar w:fldCharType="begin"/>
      </w:r>
      <w:r w:rsidRPr="00293BBF">
        <w:rPr>
          <w:noProof/>
        </w:rPr>
        <w:instrText xml:space="preserve"> PAGEREF _Toc64297907 \h </w:instrText>
      </w:r>
      <w:r w:rsidRPr="00293BBF">
        <w:rPr>
          <w:noProof/>
        </w:rPr>
      </w:r>
      <w:r w:rsidRPr="00293BBF">
        <w:rPr>
          <w:noProof/>
        </w:rPr>
        <w:fldChar w:fldCharType="separate"/>
      </w:r>
      <w:r w:rsidR="00002EB4">
        <w:rPr>
          <w:noProof/>
        </w:rPr>
        <w:t>15</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24</w:t>
      </w:r>
      <w:r>
        <w:rPr>
          <w:noProof/>
        </w:rPr>
        <w:tab/>
        <w:t>Period of research authorisations</w:t>
      </w:r>
      <w:r w:rsidRPr="00293BBF">
        <w:rPr>
          <w:noProof/>
        </w:rPr>
        <w:tab/>
      </w:r>
      <w:r w:rsidRPr="00293BBF">
        <w:rPr>
          <w:noProof/>
        </w:rPr>
        <w:fldChar w:fldCharType="begin"/>
      </w:r>
      <w:r w:rsidRPr="00293BBF">
        <w:rPr>
          <w:noProof/>
        </w:rPr>
        <w:instrText xml:space="preserve"> PAGEREF _Toc64297908 \h </w:instrText>
      </w:r>
      <w:r w:rsidRPr="00293BBF">
        <w:rPr>
          <w:noProof/>
        </w:rPr>
      </w:r>
      <w:r w:rsidRPr="00293BBF">
        <w:rPr>
          <w:noProof/>
        </w:rPr>
        <w:fldChar w:fldCharType="separate"/>
      </w:r>
      <w:r w:rsidR="00002EB4">
        <w:rPr>
          <w:noProof/>
        </w:rPr>
        <w:t>15</w:t>
      </w:r>
      <w:r w:rsidRPr="00293BBF">
        <w:rPr>
          <w:noProof/>
        </w:rPr>
        <w:fldChar w:fldCharType="end"/>
      </w:r>
    </w:p>
    <w:p w:rsidR="00293BBF" w:rsidRDefault="00293BBF">
      <w:pPr>
        <w:pStyle w:val="TOC4"/>
        <w:rPr>
          <w:rFonts w:asciiTheme="minorHAnsi" w:eastAsiaTheme="minorEastAsia" w:hAnsiTheme="minorHAnsi" w:cstheme="minorBidi"/>
          <w:b w:val="0"/>
          <w:noProof/>
          <w:kern w:val="0"/>
          <w:sz w:val="22"/>
          <w:szCs w:val="22"/>
        </w:rPr>
      </w:pPr>
      <w:r>
        <w:rPr>
          <w:noProof/>
        </w:rPr>
        <w:t>Subdivision C—Authorisation conditions</w:t>
      </w:r>
      <w:r w:rsidRPr="00293BBF">
        <w:rPr>
          <w:b w:val="0"/>
          <w:noProof/>
          <w:sz w:val="18"/>
        </w:rPr>
        <w:tab/>
      </w:r>
      <w:r w:rsidRPr="00293BBF">
        <w:rPr>
          <w:b w:val="0"/>
          <w:noProof/>
          <w:sz w:val="18"/>
        </w:rPr>
        <w:fldChar w:fldCharType="begin"/>
      </w:r>
      <w:r w:rsidRPr="00293BBF">
        <w:rPr>
          <w:b w:val="0"/>
          <w:noProof/>
          <w:sz w:val="18"/>
        </w:rPr>
        <w:instrText xml:space="preserve"> PAGEREF _Toc64297909 \h </w:instrText>
      </w:r>
      <w:r w:rsidRPr="00293BBF">
        <w:rPr>
          <w:b w:val="0"/>
          <w:noProof/>
          <w:sz w:val="18"/>
        </w:rPr>
      </w:r>
      <w:r w:rsidRPr="00293BBF">
        <w:rPr>
          <w:b w:val="0"/>
          <w:noProof/>
          <w:sz w:val="18"/>
        </w:rPr>
        <w:fldChar w:fldCharType="separate"/>
      </w:r>
      <w:r w:rsidR="00002EB4">
        <w:rPr>
          <w:b w:val="0"/>
          <w:noProof/>
          <w:sz w:val="18"/>
        </w:rPr>
        <w:t>15</w:t>
      </w:r>
      <w:r w:rsidRPr="00293BBF">
        <w:rPr>
          <w:b w:val="0"/>
          <w:noProof/>
          <w:sz w:val="18"/>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25</w:t>
      </w:r>
      <w:r>
        <w:rPr>
          <w:noProof/>
        </w:rPr>
        <w:tab/>
        <w:t>Authorisation conditions</w:t>
      </w:r>
      <w:r w:rsidRPr="00293BBF">
        <w:rPr>
          <w:noProof/>
        </w:rPr>
        <w:tab/>
      </w:r>
      <w:r w:rsidRPr="00293BBF">
        <w:rPr>
          <w:noProof/>
        </w:rPr>
        <w:fldChar w:fldCharType="begin"/>
      </w:r>
      <w:r w:rsidRPr="00293BBF">
        <w:rPr>
          <w:noProof/>
        </w:rPr>
        <w:instrText xml:space="preserve"> PAGEREF _Toc64297910 \h </w:instrText>
      </w:r>
      <w:r w:rsidRPr="00293BBF">
        <w:rPr>
          <w:noProof/>
        </w:rPr>
      </w:r>
      <w:r w:rsidRPr="00293BBF">
        <w:rPr>
          <w:noProof/>
        </w:rPr>
        <w:fldChar w:fldCharType="separate"/>
      </w:r>
      <w:r w:rsidR="00002EB4">
        <w:rPr>
          <w:noProof/>
        </w:rPr>
        <w:t>15</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26</w:t>
      </w:r>
      <w:r>
        <w:rPr>
          <w:noProof/>
        </w:rPr>
        <w:tab/>
        <w:t>Receipt of authorised unlisted mobile number information</w:t>
      </w:r>
      <w:r w:rsidRPr="00293BBF">
        <w:rPr>
          <w:noProof/>
        </w:rPr>
        <w:tab/>
      </w:r>
      <w:r w:rsidRPr="00293BBF">
        <w:rPr>
          <w:noProof/>
        </w:rPr>
        <w:fldChar w:fldCharType="begin"/>
      </w:r>
      <w:r w:rsidRPr="00293BBF">
        <w:rPr>
          <w:noProof/>
        </w:rPr>
        <w:instrText xml:space="preserve"> PAGEREF _Toc64297911 \h </w:instrText>
      </w:r>
      <w:r w:rsidRPr="00293BBF">
        <w:rPr>
          <w:noProof/>
        </w:rPr>
      </w:r>
      <w:r w:rsidRPr="00293BBF">
        <w:rPr>
          <w:noProof/>
        </w:rPr>
        <w:fldChar w:fldCharType="separate"/>
      </w:r>
      <w:r w:rsidR="00002EB4">
        <w:rPr>
          <w:noProof/>
        </w:rPr>
        <w:t>15</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27</w:t>
      </w:r>
      <w:r>
        <w:rPr>
          <w:noProof/>
        </w:rPr>
        <w:tab/>
        <w:t>Use and disclosure of authorised unlisted mobile number information</w:t>
      </w:r>
      <w:r w:rsidRPr="00293BBF">
        <w:rPr>
          <w:noProof/>
        </w:rPr>
        <w:tab/>
      </w:r>
      <w:r w:rsidRPr="00293BBF">
        <w:rPr>
          <w:noProof/>
        </w:rPr>
        <w:fldChar w:fldCharType="begin"/>
      </w:r>
      <w:r w:rsidRPr="00293BBF">
        <w:rPr>
          <w:noProof/>
        </w:rPr>
        <w:instrText xml:space="preserve"> PAGEREF _Toc64297912 \h </w:instrText>
      </w:r>
      <w:r w:rsidRPr="00293BBF">
        <w:rPr>
          <w:noProof/>
        </w:rPr>
      </w:r>
      <w:r w:rsidRPr="00293BBF">
        <w:rPr>
          <w:noProof/>
        </w:rPr>
        <w:fldChar w:fldCharType="separate"/>
      </w:r>
      <w:r w:rsidR="00002EB4">
        <w:rPr>
          <w:noProof/>
        </w:rPr>
        <w:t>16</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28</w:t>
      </w:r>
      <w:r>
        <w:rPr>
          <w:noProof/>
        </w:rPr>
        <w:tab/>
        <w:t>Covered by the Privacy Act</w:t>
      </w:r>
      <w:r w:rsidRPr="00293BBF">
        <w:rPr>
          <w:noProof/>
        </w:rPr>
        <w:tab/>
      </w:r>
      <w:r w:rsidRPr="00293BBF">
        <w:rPr>
          <w:noProof/>
        </w:rPr>
        <w:fldChar w:fldCharType="begin"/>
      </w:r>
      <w:r w:rsidRPr="00293BBF">
        <w:rPr>
          <w:noProof/>
        </w:rPr>
        <w:instrText xml:space="preserve"> PAGEREF _Toc64297913 \h </w:instrText>
      </w:r>
      <w:r w:rsidRPr="00293BBF">
        <w:rPr>
          <w:noProof/>
        </w:rPr>
      </w:r>
      <w:r w:rsidRPr="00293BBF">
        <w:rPr>
          <w:noProof/>
        </w:rPr>
        <w:fldChar w:fldCharType="separate"/>
      </w:r>
      <w:r w:rsidR="00002EB4">
        <w:rPr>
          <w:noProof/>
        </w:rPr>
        <w:t>16</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29</w:t>
      </w:r>
      <w:r>
        <w:rPr>
          <w:noProof/>
        </w:rPr>
        <w:tab/>
        <w:t>Compliance with the Privacy Act</w:t>
      </w:r>
      <w:r w:rsidRPr="00293BBF">
        <w:rPr>
          <w:noProof/>
        </w:rPr>
        <w:tab/>
      </w:r>
      <w:r w:rsidRPr="00293BBF">
        <w:rPr>
          <w:noProof/>
        </w:rPr>
        <w:fldChar w:fldCharType="begin"/>
      </w:r>
      <w:r w:rsidRPr="00293BBF">
        <w:rPr>
          <w:noProof/>
        </w:rPr>
        <w:instrText xml:space="preserve"> PAGEREF _Toc64297914 \h </w:instrText>
      </w:r>
      <w:r w:rsidRPr="00293BBF">
        <w:rPr>
          <w:noProof/>
        </w:rPr>
      </w:r>
      <w:r w:rsidRPr="00293BBF">
        <w:rPr>
          <w:noProof/>
        </w:rPr>
        <w:fldChar w:fldCharType="separate"/>
      </w:r>
      <w:r w:rsidR="00002EB4">
        <w:rPr>
          <w:noProof/>
        </w:rPr>
        <w:t>16</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30</w:t>
      </w:r>
      <w:r>
        <w:rPr>
          <w:noProof/>
        </w:rPr>
        <w:tab/>
        <w:t>Contacting persons for authorised research</w:t>
      </w:r>
      <w:r w:rsidRPr="00293BBF">
        <w:rPr>
          <w:noProof/>
        </w:rPr>
        <w:tab/>
      </w:r>
      <w:r w:rsidRPr="00293BBF">
        <w:rPr>
          <w:noProof/>
        </w:rPr>
        <w:fldChar w:fldCharType="begin"/>
      </w:r>
      <w:r w:rsidRPr="00293BBF">
        <w:rPr>
          <w:noProof/>
        </w:rPr>
        <w:instrText xml:space="preserve"> PAGEREF _Toc64297915 \h </w:instrText>
      </w:r>
      <w:r w:rsidRPr="00293BBF">
        <w:rPr>
          <w:noProof/>
        </w:rPr>
      </w:r>
      <w:r w:rsidRPr="00293BBF">
        <w:rPr>
          <w:noProof/>
        </w:rPr>
        <w:fldChar w:fldCharType="separate"/>
      </w:r>
      <w:r w:rsidR="00002EB4">
        <w:rPr>
          <w:noProof/>
        </w:rPr>
        <w:t>17</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31</w:t>
      </w:r>
      <w:r>
        <w:rPr>
          <w:noProof/>
        </w:rPr>
        <w:tab/>
        <w:t>Disclosure of research information</w:t>
      </w:r>
      <w:r w:rsidRPr="00293BBF">
        <w:rPr>
          <w:noProof/>
        </w:rPr>
        <w:tab/>
      </w:r>
      <w:r w:rsidRPr="00293BBF">
        <w:rPr>
          <w:noProof/>
        </w:rPr>
        <w:fldChar w:fldCharType="begin"/>
      </w:r>
      <w:r w:rsidRPr="00293BBF">
        <w:rPr>
          <w:noProof/>
        </w:rPr>
        <w:instrText xml:space="preserve"> PAGEREF _Toc64297916 \h </w:instrText>
      </w:r>
      <w:r w:rsidRPr="00293BBF">
        <w:rPr>
          <w:noProof/>
        </w:rPr>
      </w:r>
      <w:r w:rsidRPr="00293BBF">
        <w:rPr>
          <w:noProof/>
        </w:rPr>
        <w:fldChar w:fldCharType="separate"/>
      </w:r>
      <w:r w:rsidR="00002EB4">
        <w:rPr>
          <w:noProof/>
        </w:rPr>
        <w:t>18</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32</w:t>
      </w:r>
      <w:r>
        <w:rPr>
          <w:noProof/>
        </w:rPr>
        <w:tab/>
        <w:t>Technical system for receiving authorised unlisted mobile number information</w:t>
      </w:r>
      <w:r w:rsidRPr="00293BBF">
        <w:rPr>
          <w:noProof/>
        </w:rPr>
        <w:tab/>
      </w:r>
      <w:r w:rsidRPr="00293BBF">
        <w:rPr>
          <w:noProof/>
        </w:rPr>
        <w:fldChar w:fldCharType="begin"/>
      </w:r>
      <w:r w:rsidRPr="00293BBF">
        <w:rPr>
          <w:noProof/>
        </w:rPr>
        <w:instrText xml:space="preserve"> PAGEREF _Toc64297917 \h </w:instrText>
      </w:r>
      <w:r w:rsidRPr="00293BBF">
        <w:rPr>
          <w:noProof/>
        </w:rPr>
      </w:r>
      <w:r w:rsidRPr="00293BBF">
        <w:rPr>
          <w:noProof/>
        </w:rPr>
        <w:fldChar w:fldCharType="separate"/>
      </w:r>
      <w:r w:rsidR="00002EB4">
        <w:rPr>
          <w:noProof/>
        </w:rPr>
        <w:t>18</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33</w:t>
      </w:r>
      <w:r>
        <w:rPr>
          <w:noProof/>
        </w:rPr>
        <w:tab/>
        <w:t>Compliance with the Act</w:t>
      </w:r>
      <w:r w:rsidRPr="00293BBF">
        <w:rPr>
          <w:noProof/>
        </w:rPr>
        <w:tab/>
      </w:r>
      <w:r w:rsidRPr="00293BBF">
        <w:rPr>
          <w:noProof/>
        </w:rPr>
        <w:fldChar w:fldCharType="begin"/>
      </w:r>
      <w:r w:rsidRPr="00293BBF">
        <w:rPr>
          <w:noProof/>
        </w:rPr>
        <w:instrText xml:space="preserve"> PAGEREF _Toc64297918 \h </w:instrText>
      </w:r>
      <w:r w:rsidRPr="00293BBF">
        <w:rPr>
          <w:noProof/>
        </w:rPr>
      </w:r>
      <w:r w:rsidRPr="00293BBF">
        <w:rPr>
          <w:noProof/>
        </w:rPr>
        <w:fldChar w:fldCharType="separate"/>
      </w:r>
      <w:r w:rsidR="00002EB4">
        <w:rPr>
          <w:noProof/>
        </w:rPr>
        <w:t>19</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34</w:t>
      </w:r>
      <w:r>
        <w:rPr>
          <w:noProof/>
        </w:rPr>
        <w:tab/>
        <w:t>Employees of the authorised research entity</w:t>
      </w:r>
      <w:r w:rsidRPr="00293BBF">
        <w:rPr>
          <w:noProof/>
        </w:rPr>
        <w:tab/>
      </w:r>
      <w:r w:rsidRPr="00293BBF">
        <w:rPr>
          <w:noProof/>
        </w:rPr>
        <w:fldChar w:fldCharType="begin"/>
      </w:r>
      <w:r w:rsidRPr="00293BBF">
        <w:rPr>
          <w:noProof/>
        </w:rPr>
        <w:instrText xml:space="preserve"> PAGEREF _Toc64297919 \h </w:instrText>
      </w:r>
      <w:r w:rsidRPr="00293BBF">
        <w:rPr>
          <w:noProof/>
        </w:rPr>
      </w:r>
      <w:r w:rsidRPr="00293BBF">
        <w:rPr>
          <w:noProof/>
        </w:rPr>
        <w:fldChar w:fldCharType="separate"/>
      </w:r>
      <w:r w:rsidR="00002EB4">
        <w:rPr>
          <w:noProof/>
        </w:rPr>
        <w:t>19</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35</w:t>
      </w:r>
      <w:r>
        <w:rPr>
          <w:noProof/>
        </w:rPr>
        <w:tab/>
        <w:t>Contravention of authorisation conditions</w:t>
      </w:r>
      <w:r w:rsidRPr="00293BBF">
        <w:rPr>
          <w:noProof/>
        </w:rPr>
        <w:tab/>
      </w:r>
      <w:r w:rsidRPr="00293BBF">
        <w:rPr>
          <w:noProof/>
        </w:rPr>
        <w:fldChar w:fldCharType="begin"/>
      </w:r>
      <w:r w:rsidRPr="00293BBF">
        <w:rPr>
          <w:noProof/>
        </w:rPr>
        <w:instrText xml:space="preserve"> PAGEREF _Toc64297920 \h </w:instrText>
      </w:r>
      <w:r w:rsidRPr="00293BBF">
        <w:rPr>
          <w:noProof/>
        </w:rPr>
      </w:r>
      <w:r w:rsidRPr="00293BBF">
        <w:rPr>
          <w:noProof/>
        </w:rPr>
        <w:fldChar w:fldCharType="separate"/>
      </w:r>
      <w:r w:rsidR="00002EB4">
        <w:rPr>
          <w:noProof/>
        </w:rPr>
        <w:t>19</w:t>
      </w:r>
      <w:r w:rsidRPr="00293BBF">
        <w:rPr>
          <w:noProof/>
        </w:rPr>
        <w:fldChar w:fldCharType="end"/>
      </w:r>
    </w:p>
    <w:p w:rsidR="00293BBF" w:rsidRDefault="00293BBF">
      <w:pPr>
        <w:pStyle w:val="TOC4"/>
        <w:rPr>
          <w:rFonts w:asciiTheme="minorHAnsi" w:eastAsiaTheme="minorEastAsia" w:hAnsiTheme="minorHAnsi" w:cstheme="minorBidi"/>
          <w:b w:val="0"/>
          <w:noProof/>
          <w:kern w:val="0"/>
          <w:sz w:val="22"/>
          <w:szCs w:val="22"/>
        </w:rPr>
      </w:pPr>
      <w:r>
        <w:rPr>
          <w:noProof/>
        </w:rPr>
        <w:t>Subdivision D—Changes to authorisations</w:t>
      </w:r>
      <w:r w:rsidRPr="00293BBF">
        <w:rPr>
          <w:b w:val="0"/>
          <w:noProof/>
          <w:sz w:val="18"/>
        </w:rPr>
        <w:tab/>
      </w:r>
      <w:r w:rsidRPr="00293BBF">
        <w:rPr>
          <w:b w:val="0"/>
          <w:noProof/>
          <w:sz w:val="18"/>
        </w:rPr>
        <w:fldChar w:fldCharType="begin"/>
      </w:r>
      <w:r w:rsidRPr="00293BBF">
        <w:rPr>
          <w:b w:val="0"/>
          <w:noProof/>
          <w:sz w:val="18"/>
        </w:rPr>
        <w:instrText xml:space="preserve"> PAGEREF _Toc64297921 \h </w:instrText>
      </w:r>
      <w:r w:rsidRPr="00293BBF">
        <w:rPr>
          <w:b w:val="0"/>
          <w:noProof/>
          <w:sz w:val="18"/>
        </w:rPr>
      </w:r>
      <w:r w:rsidRPr="00293BBF">
        <w:rPr>
          <w:b w:val="0"/>
          <w:noProof/>
          <w:sz w:val="18"/>
        </w:rPr>
        <w:fldChar w:fldCharType="separate"/>
      </w:r>
      <w:r w:rsidR="00002EB4">
        <w:rPr>
          <w:b w:val="0"/>
          <w:noProof/>
          <w:sz w:val="18"/>
        </w:rPr>
        <w:t>19</w:t>
      </w:r>
      <w:r w:rsidRPr="00293BBF">
        <w:rPr>
          <w:b w:val="0"/>
          <w:noProof/>
          <w:sz w:val="18"/>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36</w:t>
      </w:r>
      <w:r>
        <w:rPr>
          <w:noProof/>
        </w:rPr>
        <w:tab/>
        <w:t>Changes made by the ACMA</w:t>
      </w:r>
      <w:r w:rsidRPr="00293BBF">
        <w:rPr>
          <w:noProof/>
        </w:rPr>
        <w:tab/>
      </w:r>
      <w:r w:rsidRPr="00293BBF">
        <w:rPr>
          <w:noProof/>
        </w:rPr>
        <w:fldChar w:fldCharType="begin"/>
      </w:r>
      <w:r w:rsidRPr="00293BBF">
        <w:rPr>
          <w:noProof/>
        </w:rPr>
        <w:instrText xml:space="preserve"> PAGEREF _Toc64297922 \h </w:instrText>
      </w:r>
      <w:r w:rsidRPr="00293BBF">
        <w:rPr>
          <w:noProof/>
        </w:rPr>
      </w:r>
      <w:r w:rsidRPr="00293BBF">
        <w:rPr>
          <w:noProof/>
        </w:rPr>
        <w:fldChar w:fldCharType="separate"/>
      </w:r>
      <w:r w:rsidR="00002EB4">
        <w:rPr>
          <w:noProof/>
        </w:rPr>
        <w:t>19</w:t>
      </w:r>
      <w:r w:rsidRPr="00293BBF">
        <w:rPr>
          <w:noProof/>
        </w:rPr>
        <w:fldChar w:fldCharType="end"/>
      </w:r>
    </w:p>
    <w:p w:rsidR="00293BBF" w:rsidRDefault="00293BBF">
      <w:pPr>
        <w:pStyle w:val="TOC4"/>
        <w:rPr>
          <w:rFonts w:asciiTheme="minorHAnsi" w:eastAsiaTheme="minorEastAsia" w:hAnsiTheme="minorHAnsi" w:cstheme="minorBidi"/>
          <w:b w:val="0"/>
          <w:noProof/>
          <w:kern w:val="0"/>
          <w:sz w:val="22"/>
          <w:szCs w:val="22"/>
        </w:rPr>
      </w:pPr>
      <w:r>
        <w:rPr>
          <w:noProof/>
        </w:rPr>
        <w:t>Subdivision E—Removal of authorised research entities</w:t>
      </w:r>
      <w:r w:rsidRPr="00293BBF">
        <w:rPr>
          <w:b w:val="0"/>
          <w:noProof/>
          <w:sz w:val="18"/>
        </w:rPr>
        <w:tab/>
      </w:r>
      <w:r w:rsidRPr="00293BBF">
        <w:rPr>
          <w:b w:val="0"/>
          <w:noProof/>
          <w:sz w:val="18"/>
        </w:rPr>
        <w:fldChar w:fldCharType="begin"/>
      </w:r>
      <w:r w:rsidRPr="00293BBF">
        <w:rPr>
          <w:b w:val="0"/>
          <w:noProof/>
          <w:sz w:val="18"/>
        </w:rPr>
        <w:instrText xml:space="preserve"> PAGEREF _Toc64297923 \h </w:instrText>
      </w:r>
      <w:r w:rsidRPr="00293BBF">
        <w:rPr>
          <w:b w:val="0"/>
          <w:noProof/>
          <w:sz w:val="18"/>
        </w:rPr>
      </w:r>
      <w:r w:rsidRPr="00293BBF">
        <w:rPr>
          <w:b w:val="0"/>
          <w:noProof/>
          <w:sz w:val="18"/>
        </w:rPr>
        <w:fldChar w:fldCharType="separate"/>
      </w:r>
      <w:r w:rsidR="00002EB4">
        <w:rPr>
          <w:b w:val="0"/>
          <w:noProof/>
          <w:sz w:val="18"/>
        </w:rPr>
        <w:t>20</w:t>
      </w:r>
      <w:r w:rsidRPr="00293BBF">
        <w:rPr>
          <w:b w:val="0"/>
          <w:noProof/>
          <w:sz w:val="18"/>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37</w:t>
      </w:r>
      <w:r>
        <w:rPr>
          <w:noProof/>
        </w:rPr>
        <w:tab/>
        <w:t>Effect of removal</w:t>
      </w:r>
      <w:r w:rsidRPr="00293BBF">
        <w:rPr>
          <w:noProof/>
        </w:rPr>
        <w:tab/>
      </w:r>
      <w:r w:rsidRPr="00293BBF">
        <w:rPr>
          <w:noProof/>
        </w:rPr>
        <w:fldChar w:fldCharType="begin"/>
      </w:r>
      <w:r w:rsidRPr="00293BBF">
        <w:rPr>
          <w:noProof/>
        </w:rPr>
        <w:instrText xml:space="preserve"> PAGEREF _Toc64297924 \h </w:instrText>
      </w:r>
      <w:r w:rsidRPr="00293BBF">
        <w:rPr>
          <w:noProof/>
        </w:rPr>
      </w:r>
      <w:r w:rsidRPr="00293BBF">
        <w:rPr>
          <w:noProof/>
        </w:rPr>
        <w:fldChar w:fldCharType="separate"/>
      </w:r>
      <w:r w:rsidR="00002EB4">
        <w:rPr>
          <w:noProof/>
        </w:rPr>
        <w:t>20</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38</w:t>
      </w:r>
      <w:r>
        <w:rPr>
          <w:noProof/>
        </w:rPr>
        <w:tab/>
        <w:t>Removal of authorised research entities—contravention of research authorisation</w:t>
      </w:r>
      <w:r w:rsidRPr="00293BBF">
        <w:rPr>
          <w:noProof/>
        </w:rPr>
        <w:tab/>
      </w:r>
      <w:r w:rsidRPr="00293BBF">
        <w:rPr>
          <w:noProof/>
        </w:rPr>
        <w:fldChar w:fldCharType="begin"/>
      </w:r>
      <w:r w:rsidRPr="00293BBF">
        <w:rPr>
          <w:noProof/>
        </w:rPr>
        <w:instrText xml:space="preserve"> PAGEREF _Toc64297925 \h </w:instrText>
      </w:r>
      <w:r w:rsidRPr="00293BBF">
        <w:rPr>
          <w:noProof/>
        </w:rPr>
      </w:r>
      <w:r w:rsidRPr="00293BBF">
        <w:rPr>
          <w:noProof/>
        </w:rPr>
        <w:fldChar w:fldCharType="separate"/>
      </w:r>
      <w:r w:rsidR="00002EB4">
        <w:rPr>
          <w:noProof/>
        </w:rPr>
        <w:t>20</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39</w:t>
      </w:r>
      <w:r>
        <w:rPr>
          <w:noProof/>
        </w:rPr>
        <w:tab/>
        <w:t>Voluntary removal of authorised research entities</w:t>
      </w:r>
      <w:r w:rsidRPr="00293BBF">
        <w:rPr>
          <w:noProof/>
        </w:rPr>
        <w:tab/>
      </w:r>
      <w:r w:rsidRPr="00293BBF">
        <w:rPr>
          <w:noProof/>
        </w:rPr>
        <w:fldChar w:fldCharType="begin"/>
      </w:r>
      <w:r w:rsidRPr="00293BBF">
        <w:rPr>
          <w:noProof/>
        </w:rPr>
        <w:instrText xml:space="preserve"> PAGEREF _Toc64297926 \h </w:instrText>
      </w:r>
      <w:r w:rsidRPr="00293BBF">
        <w:rPr>
          <w:noProof/>
        </w:rPr>
      </w:r>
      <w:r w:rsidRPr="00293BBF">
        <w:rPr>
          <w:noProof/>
        </w:rPr>
        <w:fldChar w:fldCharType="separate"/>
      </w:r>
      <w:r w:rsidR="00002EB4">
        <w:rPr>
          <w:noProof/>
        </w:rPr>
        <w:t>21</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40</w:t>
      </w:r>
      <w:r>
        <w:rPr>
          <w:noProof/>
        </w:rPr>
        <w:tab/>
        <w:t>No use or disclosure of authorised unlisted mobile number information by former authorised research entities</w:t>
      </w:r>
      <w:r w:rsidRPr="00293BBF">
        <w:rPr>
          <w:noProof/>
        </w:rPr>
        <w:tab/>
      </w:r>
      <w:r w:rsidRPr="00293BBF">
        <w:rPr>
          <w:noProof/>
        </w:rPr>
        <w:fldChar w:fldCharType="begin"/>
      </w:r>
      <w:r w:rsidRPr="00293BBF">
        <w:rPr>
          <w:noProof/>
        </w:rPr>
        <w:instrText xml:space="preserve"> PAGEREF _Toc64297927 \h </w:instrText>
      </w:r>
      <w:r w:rsidRPr="00293BBF">
        <w:rPr>
          <w:noProof/>
        </w:rPr>
      </w:r>
      <w:r w:rsidRPr="00293BBF">
        <w:rPr>
          <w:noProof/>
        </w:rPr>
        <w:fldChar w:fldCharType="separate"/>
      </w:r>
      <w:r w:rsidR="00002EB4">
        <w:rPr>
          <w:noProof/>
        </w:rPr>
        <w:t>22</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41</w:t>
      </w:r>
      <w:r>
        <w:rPr>
          <w:noProof/>
        </w:rPr>
        <w:tab/>
        <w:t>Use or disclosure of research information after end of research authorisation etc.</w:t>
      </w:r>
      <w:r w:rsidRPr="00293BBF">
        <w:rPr>
          <w:noProof/>
        </w:rPr>
        <w:tab/>
      </w:r>
      <w:r w:rsidRPr="00293BBF">
        <w:rPr>
          <w:noProof/>
        </w:rPr>
        <w:fldChar w:fldCharType="begin"/>
      </w:r>
      <w:r w:rsidRPr="00293BBF">
        <w:rPr>
          <w:noProof/>
        </w:rPr>
        <w:instrText xml:space="preserve"> PAGEREF _Toc64297928 \h </w:instrText>
      </w:r>
      <w:r w:rsidRPr="00293BBF">
        <w:rPr>
          <w:noProof/>
        </w:rPr>
      </w:r>
      <w:r w:rsidRPr="00293BBF">
        <w:rPr>
          <w:noProof/>
        </w:rPr>
        <w:fldChar w:fldCharType="separate"/>
      </w:r>
      <w:r w:rsidR="00002EB4">
        <w:rPr>
          <w:noProof/>
        </w:rPr>
        <w:t>22</w:t>
      </w:r>
      <w:r w:rsidRPr="00293BBF">
        <w:rPr>
          <w:noProof/>
        </w:rPr>
        <w:fldChar w:fldCharType="end"/>
      </w:r>
    </w:p>
    <w:p w:rsidR="00293BBF" w:rsidRDefault="00293BBF">
      <w:pPr>
        <w:pStyle w:val="TOC4"/>
        <w:rPr>
          <w:rFonts w:asciiTheme="minorHAnsi" w:eastAsiaTheme="minorEastAsia" w:hAnsiTheme="minorHAnsi" w:cstheme="minorBidi"/>
          <w:b w:val="0"/>
          <w:noProof/>
          <w:kern w:val="0"/>
          <w:sz w:val="22"/>
          <w:szCs w:val="22"/>
        </w:rPr>
      </w:pPr>
      <w:r>
        <w:rPr>
          <w:noProof/>
        </w:rPr>
        <w:t>Subdivision F—Review of decisions</w:t>
      </w:r>
      <w:r w:rsidRPr="00293BBF">
        <w:rPr>
          <w:b w:val="0"/>
          <w:noProof/>
          <w:sz w:val="18"/>
        </w:rPr>
        <w:tab/>
      </w:r>
      <w:r w:rsidRPr="00293BBF">
        <w:rPr>
          <w:b w:val="0"/>
          <w:noProof/>
          <w:sz w:val="18"/>
        </w:rPr>
        <w:fldChar w:fldCharType="begin"/>
      </w:r>
      <w:r w:rsidRPr="00293BBF">
        <w:rPr>
          <w:b w:val="0"/>
          <w:noProof/>
          <w:sz w:val="18"/>
        </w:rPr>
        <w:instrText xml:space="preserve"> PAGEREF _Toc64297929 \h </w:instrText>
      </w:r>
      <w:r w:rsidRPr="00293BBF">
        <w:rPr>
          <w:b w:val="0"/>
          <w:noProof/>
          <w:sz w:val="18"/>
        </w:rPr>
      </w:r>
      <w:r w:rsidRPr="00293BBF">
        <w:rPr>
          <w:b w:val="0"/>
          <w:noProof/>
          <w:sz w:val="18"/>
        </w:rPr>
        <w:fldChar w:fldCharType="separate"/>
      </w:r>
      <w:r w:rsidR="00002EB4">
        <w:rPr>
          <w:b w:val="0"/>
          <w:noProof/>
          <w:sz w:val="18"/>
        </w:rPr>
        <w:t>23</w:t>
      </w:r>
      <w:r w:rsidRPr="00293BBF">
        <w:rPr>
          <w:b w:val="0"/>
          <w:noProof/>
          <w:sz w:val="18"/>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42</w:t>
      </w:r>
      <w:r>
        <w:rPr>
          <w:noProof/>
        </w:rPr>
        <w:tab/>
        <w:t>Decisions that may be subject to reconsideration by the ACMA</w:t>
      </w:r>
      <w:r w:rsidRPr="00293BBF">
        <w:rPr>
          <w:noProof/>
        </w:rPr>
        <w:tab/>
      </w:r>
      <w:r w:rsidRPr="00293BBF">
        <w:rPr>
          <w:noProof/>
        </w:rPr>
        <w:fldChar w:fldCharType="begin"/>
      </w:r>
      <w:r w:rsidRPr="00293BBF">
        <w:rPr>
          <w:noProof/>
        </w:rPr>
        <w:instrText xml:space="preserve"> PAGEREF _Toc64297930 \h </w:instrText>
      </w:r>
      <w:r w:rsidRPr="00293BBF">
        <w:rPr>
          <w:noProof/>
        </w:rPr>
      </w:r>
      <w:r w:rsidRPr="00293BBF">
        <w:rPr>
          <w:noProof/>
        </w:rPr>
        <w:fldChar w:fldCharType="separate"/>
      </w:r>
      <w:r w:rsidR="00002EB4">
        <w:rPr>
          <w:noProof/>
        </w:rPr>
        <w:t>23</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43</w:t>
      </w:r>
      <w:r>
        <w:rPr>
          <w:noProof/>
        </w:rPr>
        <w:tab/>
        <w:t>Reconsideration by the ACMA</w:t>
      </w:r>
      <w:r w:rsidRPr="00293BBF">
        <w:rPr>
          <w:noProof/>
        </w:rPr>
        <w:tab/>
      </w:r>
      <w:r w:rsidRPr="00293BBF">
        <w:rPr>
          <w:noProof/>
        </w:rPr>
        <w:fldChar w:fldCharType="begin"/>
      </w:r>
      <w:r w:rsidRPr="00293BBF">
        <w:rPr>
          <w:noProof/>
        </w:rPr>
        <w:instrText xml:space="preserve"> PAGEREF _Toc64297931 \h </w:instrText>
      </w:r>
      <w:r w:rsidRPr="00293BBF">
        <w:rPr>
          <w:noProof/>
        </w:rPr>
      </w:r>
      <w:r w:rsidRPr="00293BBF">
        <w:rPr>
          <w:noProof/>
        </w:rPr>
        <w:fldChar w:fldCharType="separate"/>
      </w:r>
      <w:r w:rsidR="00002EB4">
        <w:rPr>
          <w:noProof/>
        </w:rPr>
        <w:t>23</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44</w:t>
      </w:r>
      <w:r>
        <w:rPr>
          <w:noProof/>
        </w:rPr>
        <w:tab/>
        <w:t>Deadlines for reconsiderations</w:t>
      </w:r>
      <w:r w:rsidRPr="00293BBF">
        <w:rPr>
          <w:noProof/>
        </w:rPr>
        <w:tab/>
      </w:r>
      <w:r w:rsidRPr="00293BBF">
        <w:rPr>
          <w:noProof/>
        </w:rPr>
        <w:fldChar w:fldCharType="begin"/>
      </w:r>
      <w:r w:rsidRPr="00293BBF">
        <w:rPr>
          <w:noProof/>
        </w:rPr>
        <w:instrText xml:space="preserve"> PAGEREF _Toc64297932 \h </w:instrText>
      </w:r>
      <w:r w:rsidRPr="00293BBF">
        <w:rPr>
          <w:noProof/>
        </w:rPr>
      </w:r>
      <w:r w:rsidRPr="00293BBF">
        <w:rPr>
          <w:noProof/>
        </w:rPr>
        <w:fldChar w:fldCharType="separate"/>
      </w:r>
      <w:r w:rsidR="00002EB4">
        <w:rPr>
          <w:noProof/>
        </w:rPr>
        <w:t>24</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45</w:t>
      </w:r>
      <w:r>
        <w:rPr>
          <w:noProof/>
        </w:rPr>
        <w:tab/>
        <w:t>Review by the Administrative Appeals Tribunal</w:t>
      </w:r>
      <w:r w:rsidRPr="00293BBF">
        <w:rPr>
          <w:noProof/>
        </w:rPr>
        <w:tab/>
      </w:r>
      <w:r w:rsidRPr="00293BBF">
        <w:rPr>
          <w:noProof/>
        </w:rPr>
        <w:fldChar w:fldCharType="begin"/>
      </w:r>
      <w:r w:rsidRPr="00293BBF">
        <w:rPr>
          <w:noProof/>
        </w:rPr>
        <w:instrText xml:space="preserve"> PAGEREF _Toc64297933 \h </w:instrText>
      </w:r>
      <w:r w:rsidRPr="00293BBF">
        <w:rPr>
          <w:noProof/>
        </w:rPr>
      </w:r>
      <w:r w:rsidRPr="00293BBF">
        <w:rPr>
          <w:noProof/>
        </w:rPr>
        <w:fldChar w:fldCharType="separate"/>
      </w:r>
      <w:r w:rsidR="00002EB4">
        <w:rPr>
          <w:noProof/>
        </w:rPr>
        <w:t>24</w:t>
      </w:r>
      <w:r w:rsidRPr="00293BBF">
        <w:rPr>
          <w:noProof/>
        </w:rPr>
        <w:fldChar w:fldCharType="end"/>
      </w:r>
    </w:p>
    <w:p w:rsidR="00293BBF" w:rsidRDefault="00293BBF">
      <w:pPr>
        <w:pStyle w:val="TOC4"/>
        <w:rPr>
          <w:rFonts w:asciiTheme="minorHAnsi" w:eastAsiaTheme="minorEastAsia" w:hAnsiTheme="minorHAnsi" w:cstheme="minorBidi"/>
          <w:b w:val="0"/>
          <w:noProof/>
          <w:kern w:val="0"/>
          <w:sz w:val="22"/>
          <w:szCs w:val="22"/>
        </w:rPr>
      </w:pPr>
      <w:r>
        <w:rPr>
          <w:noProof/>
        </w:rPr>
        <w:t>Subdivision G—Offences</w:t>
      </w:r>
      <w:r w:rsidRPr="00293BBF">
        <w:rPr>
          <w:b w:val="0"/>
          <w:noProof/>
          <w:sz w:val="18"/>
        </w:rPr>
        <w:tab/>
      </w:r>
      <w:r w:rsidRPr="00293BBF">
        <w:rPr>
          <w:b w:val="0"/>
          <w:noProof/>
          <w:sz w:val="18"/>
        </w:rPr>
        <w:fldChar w:fldCharType="begin"/>
      </w:r>
      <w:r w:rsidRPr="00293BBF">
        <w:rPr>
          <w:b w:val="0"/>
          <w:noProof/>
          <w:sz w:val="18"/>
        </w:rPr>
        <w:instrText xml:space="preserve"> PAGEREF _Toc64297934 \h </w:instrText>
      </w:r>
      <w:r w:rsidRPr="00293BBF">
        <w:rPr>
          <w:b w:val="0"/>
          <w:noProof/>
          <w:sz w:val="18"/>
        </w:rPr>
      </w:r>
      <w:r w:rsidRPr="00293BBF">
        <w:rPr>
          <w:b w:val="0"/>
          <w:noProof/>
          <w:sz w:val="18"/>
        </w:rPr>
        <w:fldChar w:fldCharType="separate"/>
      </w:r>
      <w:r w:rsidR="00002EB4">
        <w:rPr>
          <w:b w:val="0"/>
          <w:noProof/>
          <w:sz w:val="18"/>
        </w:rPr>
        <w:t>24</w:t>
      </w:r>
      <w:r w:rsidRPr="00293BBF">
        <w:rPr>
          <w:b w:val="0"/>
          <w:noProof/>
          <w:sz w:val="18"/>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46</w:t>
      </w:r>
      <w:r>
        <w:rPr>
          <w:noProof/>
        </w:rPr>
        <w:tab/>
        <w:t>Offence of contravening a condition etc.</w:t>
      </w:r>
      <w:r w:rsidRPr="00293BBF">
        <w:rPr>
          <w:noProof/>
        </w:rPr>
        <w:tab/>
      </w:r>
      <w:r w:rsidRPr="00293BBF">
        <w:rPr>
          <w:noProof/>
        </w:rPr>
        <w:fldChar w:fldCharType="begin"/>
      </w:r>
      <w:r w:rsidRPr="00293BBF">
        <w:rPr>
          <w:noProof/>
        </w:rPr>
        <w:instrText xml:space="preserve"> PAGEREF _Toc64297935 \h </w:instrText>
      </w:r>
      <w:r w:rsidRPr="00293BBF">
        <w:rPr>
          <w:noProof/>
        </w:rPr>
      </w:r>
      <w:r w:rsidRPr="00293BBF">
        <w:rPr>
          <w:noProof/>
        </w:rPr>
        <w:fldChar w:fldCharType="separate"/>
      </w:r>
      <w:r w:rsidR="00002EB4">
        <w:rPr>
          <w:noProof/>
        </w:rPr>
        <w:t>24</w:t>
      </w:r>
      <w:r w:rsidRPr="00293BBF">
        <w:rPr>
          <w:noProof/>
        </w:rPr>
        <w:fldChar w:fldCharType="end"/>
      </w:r>
    </w:p>
    <w:p w:rsidR="00293BBF" w:rsidRDefault="00293BBF">
      <w:pPr>
        <w:pStyle w:val="TOC2"/>
        <w:rPr>
          <w:rFonts w:asciiTheme="minorHAnsi" w:eastAsiaTheme="minorEastAsia" w:hAnsiTheme="minorHAnsi" w:cstheme="minorBidi"/>
          <w:b w:val="0"/>
          <w:noProof/>
          <w:kern w:val="0"/>
          <w:sz w:val="22"/>
          <w:szCs w:val="22"/>
        </w:rPr>
      </w:pPr>
      <w:r>
        <w:rPr>
          <w:noProof/>
        </w:rPr>
        <w:t>Part 5—Standard agreements for the supply of carriage services</w:t>
      </w:r>
      <w:r w:rsidRPr="00293BBF">
        <w:rPr>
          <w:b w:val="0"/>
          <w:noProof/>
          <w:sz w:val="18"/>
        </w:rPr>
        <w:tab/>
      </w:r>
      <w:r w:rsidRPr="00293BBF">
        <w:rPr>
          <w:b w:val="0"/>
          <w:noProof/>
          <w:sz w:val="18"/>
        </w:rPr>
        <w:fldChar w:fldCharType="begin"/>
      </w:r>
      <w:r w:rsidRPr="00293BBF">
        <w:rPr>
          <w:b w:val="0"/>
          <w:noProof/>
          <w:sz w:val="18"/>
        </w:rPr>
        <w:instrText xml:space="preserve"> PAGEREF _Toc64297936 \h </w:instrText>
      </w:r>
      <w:r w:rsidRPr="00293BBF">
        <w:rPr>
          <w:b w:val="0"/>
          <w:noProof/>
          <w:sz w:val="18"/>
        </w:rPr>
      </w:r>
      <w:r w:rsidRPr="00293BBF">
        <w:rPr>
          <w:b w:val="0"/>
          <w:noProof/>
          <w:sz w:val="18"/>
        </w:rPr>
        <w:fldChar w:fldCharType="separate"/>
      </w:r>
      <w:r w:rsidR="00002EB4">
        <w:rPr>
          <w:b w:val="0"/>
          <w:noProof/>
          <w:sz w:val="18"/>
        </w:rPr>
        <w:t>25</w:t>
      </w:r>
      <w:r w:rsidRPr="00293BBF">
        <w:rPr>
          <w:b w:val="0"/>
          <w:noProof/>
          <w:sz w:val="18"/>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47</w:t>
      </w:r>
      <w:r>
        <w:rPr>
          <w:noProof/>
        </w:rPr>
        <w:tab/>
        <w:t>Supply of specified kinds of carriage services</w:t>
      </w:r>
      <w:r w:rsidRPr="00293BBF">
        <w:rPr>
          <w:noProof/>
        </w:rPr>
        <w:tab/>
      </w:r>
      <w:r w:rsidRPr="00293BBF">
        <w:rPr>
          <w:noProof/>
        </w:rPr>
        <w:fldChar w:fldCharType="begin"/>
      </w:r>
      <w:r w:rsidRPr="00293BBF">
        <w:rPr>
          <w:noProof/>
        </w:rPr>
        <w:instrText xml:space="preserve"> PAGEREF _Toc64297937 \h </w:instrText>
      </w:r>
      <w:r w:rsidRPr="00293BBF">
        <w:rPr>
          <w:noProof/>
        </w:rPr>
      </w:r>
      <w:r w:rsidRPr="00293BBF">
        <w:rPr>
          <w:noProof/>
        </w:rPr>
        <w:fldChar w:fldCharType="separate"/>
      </w:r>
      <w:r w:rsidR="00002EB4">
        <w:rPr>
          <w:noProof/>
        </w:rPr>
        <w:t>25</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48</w:t>
      </w:r>
      <w:r>
        <w:rPr>
          <w:noProof/>
        </w:rPr>
        <w:tab/>
        <w:t>Supply of specified kinds of ancillary goods</w:t>
      </w:r>
      <w:r w:rsidRPr="00293BBF">
        <w:rPr>
          <w:noProof/>
        </w:rPr>
        <w:tab/>
      </w:r>
      <w:r w:rsidRPr="00293BBF">
        <w:rPr>
          <w:noProof/>
        </w:rPr>
        <w:fldChar w:fldCharType="begin"/>
      </w:r>
      <w:r w:rsidRPr="00293BBF">
        <w:rPr>
          <w:noProof/>
        </w:rPr>
        <w:instrText xml:space="preserve"> PAGEREF _Toc64297938 \h </w:instrText>
      </w:r>
      <w:r w:rsidRPr="00293BBF">
        <w:rPr>
          <w:noProof/>
        </w:rPr>
      </w:r>
      <w:r w:rsidRPr="00293BBF">
        <w:rPr>
          <w:noProof/>
        </w:rPr>
        <w:fldChar w:fldCharType="separate"/>
      </w:r>
      <w:r w:rsidR="00002EB4">
        <w:rPr>
          <w:noProof/>
        </w:rPr>
        <w:t>25</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49</w:t>
      </w:r>
      <w:r>
        <w:rPr>
          <w:noProof/>
        </w:rPr>
        <w:tab/>
        <w:t>Supply of specified kinds of ancillary services</w:t>
      </w:r>
      <w:r w:rsidRPr="00293BBF">
        <w:rPr>
          <w:noProof/>
        </w:rPr>
        <w:tab/>
      </w:r>
      <w:r w:rsidRPr="00293BBF">
        <w:rPr>
          <w:noProof/>
        </w:rPr>
        <w:fldChar w:fldCharType="begin"/>
      </w:r>
      <w:r w:rsidRPr="00293BBF">
        <w:rPr>
          <w:noProof/>
        </w:rPr>
        <w:instrText xml:space="preserve"> PAGEREF _Toc64297939 \h </w:instrText>
      </w:r>
      <w:r w:rsidRPr="00293BBF">
        <w:rPr>
          <w:noProof/>
        </w:rPr>
      </w:r>
      <w:r w:rsidRPr="00293BBF">
        <w:rPr>
          <w:noProof/>
        </w:rPr>
        <w:fldChar w:fldCharType="separate"/>
      </w:r>
      <w:r w:rsidR="00002EB4">
        <w:rPr>
          <w:noProof/>
        </w:rPr>
        <w:t>25</w:t>
      </w:r>
      <w:r w:rsidRPr="00293BBF">
        <w:rPr>
          <w:noProof/>
        </w:rPr>
        <w:fldChar w:fldCharType="end"/>
      </w:r>
    </w:p>
    <w:p w:rsidR="00293BBF" w:rsidRDefault="00293BBF">
      <w:pPr>
        <w:pStyle w:val="TOC2"/>
        <w:rPr>
          <w:rFonts w:asciiTheme="minorHAnsi" w:eastAsiaTheme="minorEastAsia" w:hAnsiTheme="minorHAnsi" w:cstheme="minorBidi"/>
          <w:b w:val="0"/>
          <w:noProof/>
          <w:kern w:val="0"/>
          <w:sz w:val="22"/>
          <w:szCs w:val="22"/>
        </w:rPr>
      </w:pPr>
      <w:r>
        <w:rPr>
          <w:noProof/>
        </w:rPr>
        <w:t>Part 6—Carriers’ powers and immunities</w:t>
      </w:r>
      <w:r w:rsidRPr="00293BBF">
        <w:rPr>
          <w:b w:val="0"/>
          <w:noProof/>
          <w:sz w:val="18"/>
        </w:rPr>
        <w:tab/>
      </w:r>
      <w:r w:rsidRPr="00293BBF">
        <w:rPr>
          <w:b w:val="0"/>
          <w:noProof/>
          <w:sz w:val="18"/>
        </w:rPr>
        <w:fldChar w:fldCharType="begin"/>
      </w:r>
      <w:r w:rsidRPr="00293BBF">
        <w:rPr>
          <w:b w:val="0"/>
          <w:noProof/>
          <w:sz w:val="18"/>
        </w:rPr>
        <w:instrText xml:space="preserve"> PAGEREF _Toc64297940 \h </w:instrText>
      </w:r>
      <w:r w:rsidRPr="00293BBF">
        <w:rPr>
          <w:b w:val="0"/>
          <w:noProof/>
          <w:sz w:val="18"/>
        </w:rPr>
      </w:r>
      <w:r w:rsidRPr="00293BBF">
        <w:rPr>
          <w:b w:val="0"/>
          <w:noProof/>
          <w:sz w:val="18"/>
        </w:rPr>
        <w:fldChar w:fldCharType="separate"/>
      </w:r>
      <w:r w:rsidR="00002EB4">
        <w:rPr>
          <w:b w:val="0"/>
          <w:noProof/>
          <w:sz w:val="18"/>
        </w:rPr>
        <w:t>26</w:t>
      </w:r>
      <w:r w:rsidRPr="00293BBF">
        <w:rPr>
          <w:b w:val="0"/>
          <w:noProof/>
          <w:sz w:val="18"/>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50</w:t>
      </w:r>
      <w:r>
        <w:rPr>
          <w:noProof/>
        </w:rPr>
        <w:tab/>
        <w:t>Listed international agreements</w:t>
      </w:r>
      <w:r w:rsidRPr="00293BBF">
        <w:rPr>
          <w:noProof/>
        </w:rPr>
        <w:tab/>
      </w:r>
      <w:r w:rsidRPr="00293BBF">
        <w:rPr>
          <w:noProof/>
        </w:rPr>
        <w:fldChar w:fldCharType="begin"/>
      </w:r>
      <w:r w:rsidRPr="00293BBF">
        <w:rPr>
          <w:noProof/>
        </w:rPr>
        <w:instrText xml:space="preserve"> PAGEREF _Toc64297941 \h </w:instrText>
      </w:r>
      <w:r w:rsidRPr="00293BBF">
        <w:rPr>
          <w:noProof/>
        </w:rPr>
      </w:r>
      <w:r w:rsidRPr="00293BBF">
        <w:rPr>
          <w:noProof/>
        </w:rPr>
        <w:fldChar w:fldCharType="separate"/>
      </w:r>
      <w:r w:rsidR="00002EB4">
        <w:rPr>
          <w:noProof/>
        </w:rPr>
        <w:t>26</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51</w:t>
      </w:r>
      <w:r>
        <w:rPr>
          <w:noProof/>
        </w:rPr>
        <w:tab/>
        <w:t>Designated overhead line</w:t>
      </w:r>
      <w:r w:rsidRPr="00293BBF">
        <w:rPr>
          <w:noProof/>
        </w:rPr>
        <w:tab/>
      </w:r>
      <w:r w:rsidRPr="00293BBF">
        <w:rPr>
          <w:noProof/>
        </w:rPr>
        <w:fldChar w:fldCharType="begin"/>
      </w:r>
      <w:r w:rsidRPr="00293BBF">
        <w:rPr>
          <w:noProof/>
        </w:rPr>
        <w:instrText xml:space="preserve"> PAGEREF _Toc64297942 \h </w:instrText>
      </w:r>
      <w:r w:rsidRPr="00293BBF">
        <w:rPr>
          <w:noProof/>
        </w:rPr>
      </w:r>
      <w:r w:rsidRPr="00293BBF">
        <w:rPr>
          <w:noProof/>
        </w:rPr>
        <w:fldChar w:fldCharType="separate"/>
      </w:r>
      <w:r w:rsidR="00002EB4">
        <w:rPr>
          <w:noProof/>
        </w:rPr>
        <w:t>28</w:t>
      </w:r>
      <w:r w:rsidRPr="00293BBF">
        <w:rPr>
          <w:noProof/>
        </w:rPr>
        <w:fldChar w:fldCharType="end"/>
      </w:r>
    </w:p>
    <w:p w:rsidR="00293BBF" w:rsidRDefault="00293BBF">
      <w:pPr>
        <w:pStyle w:val="TOC2"/>
        <w:rPr>
          <w:rFonts w:asciiTheme="minorHAnsi" w:eastAsiaTheme="minorEastAsia" w:hAnsiTheme="minorHAnsi" w:cstheme="minorBidi"/>
          <w:b w:val="0"/>
          <w:noProof/>
          <w:kern w:val="0"/>
          <w:sz w:val="22"/>
          <w:szCs w:val="22"/>
        </w:rPr>
      </w:pPr>
      <w:r>
        <w:rPr>
          <w:noProof/>
        </w:rPr>
        <w:t>Part 7—Application, saving and transitional provisions</w:t>
      </w:r>
      <w:r w:rsidRPr="00293BBF">
        <w:rPr>
          <w:b w:val="0"/>
          <w:noProof/>
          <w:sz w:val="18"/>
        </w:rPr>
        <w:tab/>
      </w:r>
      <w:r w:rsidRPr="00293BBF">
        <w:rPr>
          <w:b w:val="0"/>
          <w:noProof/>
          <w:sz w:val="18"/>
        </w:rPr>
        <w:fldChar w:fldCharType="begin"/>
      </w:r>
      <w:r w:rsidRPr="00293BBF">
        <w:rPr>
          <w:b w:val="0"/>
          <w:noProof/>
          <w:sz w:val="18"/>
        </w:rPr>
        <w:instrText xml:space="preserve"> PAGEREF _Toc64297943 \h </w:instrText>
      </w:r>
      <w:r w:rsidRPr="00293BBF">
        <w:rPr>
          <w:b w:val="0"/>
          <w:noProof/>
          <w:sz w:val="18"/>
        </w:rPr>
      </w:r>
      <w:r w:rsidRPr="00293BBF">
        <w:rPr>
          <w:b w:val="0"/>
          <w:noProof/>
          <w:sz w:val="18"/>
        </w:rPr>
        <w:fldChar w:fldCharType="separate"/>
      </w:r>
      <w:r w:rsidR="00002EB4">
        <w:rPr>
          <w:b w:val="0"/>
          <w:noProof/>
          <w:sz w:val="18"/>
        </w:rPr>
        <w:t>29</w:t>
      </w:r>
      <w:r w:rsidRPr="00293BBF">
        <w:rPr>
          <w:b w:val="0"/>
          <w:noProof/>
          <w:sz w:val="18"/>
        </w:rPr>
        <w:fldChar w:fldCharType="end"/>
      </w:r>
    </w:p>
    <w:p w:rsidR="00293BBF" w:rsidRDefault="00293BBF">
      <w:pPr>
        <w:pStyle w:val="TOC3"/>
        <w:rPr>
          <w:rFonts w:asciiTheme="minorHAnsi" w:eastAsiaTheme="minorEastAsia" w:hAnsiTheme="minorHAnsi" w:cstheme="minorBidi"/>
          <w:b w:val="0"/>
          <w:noProof/>
          <w:kern w:val="0"/>
          <w:szCs w:val="22"/>
        </w:rPr>
      </w:pPr>
      <w:r>
        <w:rPr>
          <w:noProof/>
        </w:rPr>
        <w:t>Division 1—Provisions for this instrument as originally made</w:t>
      </w:r>
      <w:r w:rsidRPr="00293BBF">
        <w:rPr>
          <w:b w:val="0"/>
          <w:noProof/>
          <w:sz w:val="18"/>
        </w:rPr>
        <w:tab/>
      </w:r>
      <w:r w:rsidRPr="00293BBF">
        <w:rPr>
          <w:b w:val="0"/>
          <w:noProof/>
          <w:sz w:val="18"/>
        </w:rPr>
        <w:fldChar w:fldCharType="begin"/>
      </w:r>
      <w:r w:rsidRPr="00293BBF">
        <w:rPr>
          <w:b w:val="0"/>
          <w:noProof/>
          <w:sz w:val="18"/>
        </w:rPr>
        <w:instrText xml:space="preserve"> PAGEREF _Toc64297944 \h </w:instrText>
      </w:r>
      <w:r w:rsidRPr="00293BBF">
        <w:rPr>
          <w:b w:val="0"/>
          <w:noProof/>
          <w:sz w:val="18"/>
        </w:rPr>
      </w:r>
      <w:r w:rsidRPr="00293BBF">
        <w:rPr>
          <w:b w:val="0"/>
          <w:noProof/>
          <w:sz w:val="18"/>
        </w:rPr>
        <w:fldChar w:fldCharType="separate"/>
      </w:r>
      <w:r w:rsidR="00002EB4">
        <w:rPr>
          <w:b w:val="0"/>
          <w:noProof/>
          <w:sz w:val="18"/>
        </w:rPr>
        <w:t>29</w:t>
      </w:r>
      <w:r w:rsidRPr="00293BBF">
        <w:rPr>
          <w:b w:val="0"/>
          <w:noProof/>
          <w:sz w:val="18"/>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52</w:t>
      </w:r>
      <w:r>
        <w:rPr>
          <w:noProof/>
        </w:rPr>
        <w:tab/>
        <w:t>Definitions</w:t>
      </w:r>
      <w:r w:rsidRPr="00293BBF">
        <w:rPr>
          <w:noProof/>
        </w:rPr>
        <w:tab/>
      </w:r>
      <w:r w:rsidRPr="00293BBF">
        <w:rPr>
          <w:noProof/>
        </w:rPr>
        <w:fldChar w:fldCharType="begin"/>
      </w:r>
      <w:r w:rsidRPr="00293BBF">
        <w:rPr>
          <w:noProof/>
        </w:rPr>
        <w:instrText xml:space="preserve"> PAGEREF _Toc64297945 \h </w:instrText>
      </w:r>
      <w:r w:rsidRPr="00293BBF">
        <w:rPr>
          <w:noProof/>
        </w:rPr>
      </w:r>
      <w:r w:rsidRPr="00293BBF">
        <w:rPr>
          <w:noProof/>
        </w:rPr>
        <w:fldChar w:fldCharType="separate"/>
      </w:r>
      <w:r w:rsidR="00002EB4">
        <w:rPr>
          <w:noProof/>
        </w:rPr>
        <w:t>29</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53</w:t>
      </w:r>
      <w:r>
        <w:rPr>
          <w:noProof/>
        </w:rPr>
        <w:tab/>
        <w:t>Things done under the old regulations</w:t>
      </w:r>
      <w:r w:rsidRPr="00293BBF">
        <w:rPr>
          <w:noProof/>
        </w:rPr>
        <w:tab/>
      </w:r>
      <w:r w:rsidRPr="00293BBF">
        <w:rPr>
          <w:noProof/>
        </w:rPr>
        <w:fldChar w:fldCharType="begin"/>
      </w:r>
      <w:r w:rsidRPr="00293BBF">
        <w:rPr>
          <w:noProof/>
        </w:rPr>
        <w:instrText xml:space="preserve"> PAGEREF _Toc64297946 \h </w:instrText>
      </w:r>
      <w:r w:rsidRPr="00293BBF">
        <w:rPr>
          <w:noProof/>
        </w:rPr>
      </w:r>
      <w:r w:rsidRPr="00293BBF">
        <w:rPr>
          <w:noProof/>
        </w:rPr>
        <w:fldChar w:fldCharType="separate"/>
      </w:r>
      <w:r w:rsidR="00002EB4">
        <w:rPr>
          <w:noProof/>
        </w:rPr>
        <w:t>29</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54</w:t>
      </w:r>
      <w:r>
        <w:rPr>
          <w:noProof/>
        </w:rPr>
        <w:tab/>
        <w:t>Conduct, event, circumstances occurring before commencement</w:t>
      </w:r>
      <w:r w:rsidRPr="00293BBF">
        <w:rPr>
          <w:noProof/>
        </w:rPr>
        <w:tab/>
      </w:r>
      <w:r w:rsidRPr="00293BBF">
        <w:rPr>
          <w:noProof/>
        </w:rPr>
        <w:fldChar w:fldCharType="begin"/>
      </w:r>
      <w:r w:rsidRPr="00293BBF">
        <w:rPr>
          <w:noProof/>
        </w:rPr>
        <w:instrText xml:space="preserve"> PAGEREF _Toc64297947 \h </w:instrText>
      </w:r>
      <w:r w:rsidRPr="00293BBF">
        <w:rPr>
          <w:noProof/>
        </w:rPr>
      </w:r>
      <w:r w:rsidRPr="00293BBF">
        <w:rPr>
          <w:noProof/>
        </w:rPr>
        <w:fldChar w:fldCharType="separate"/>
      </w:r>
      <w:r w:rsidR="00002EB4">
        <w:rPr>
          <w:noProof/>
        </w:rPr>
        <w:t>29</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55</w:t>
      </w:r>
      <w:r>
        <w:rPr>
          <w:noProof/>
        </w:rPr>
        <w:tab/>
        <w:t>Service provider determinations</w:t>
      </w:r>
      <w:r w:rsidRPr="00293BBF">
        <w:rPr>
          <w:noProof/>
        </w:rPr>
        <w:tab/>
      </w:r>
      <w:r w:rsidRPr="00293BBF">
        <w:rPr>
          <w:noProof/>
        </w:rPr>
        <w:fldChar w:fldCharType="begin"/>
      </w:r>
      <w:r w:rsidRPr="00293BBF">
        <w:rPr>
          <w:noProof/>
        </w:rPr>
        <w:instrText xml:space="preserve"> PAGEREF _Toc64297948 \h </w:instrText>
      </w:r>
      <w:r w:rsidRPr="00293BBF">
        <w:rPr>
          <w:noProof/>
        </w:rPr>
      </w:r>
      <w:r w:rsidRPr="00293BBF">
        <w:rPr>
          <w:noProof/>
        </w:rPr>
        <w:fldChar w:fldCharType="separate"/>
      </w:r>
      <w:r w:rsidR="00002EB4">
        <w:rPr>
          <w:noProof/>
        </w:rPr>
        <w:t>29</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56</w:t>
      </w:r>
      <w:r>
        <w:rPr>
          <w:noProof/>
        </w:rPr>
        <w:tab/>
        <w:t>Industry codes and industry standards</w:t>
      </w:r>
      <w:r w:rsidRPr="00293BBF">
        <w:rPr>
          <w:noProof/>
        </w:rPr>
        <w:tab/>
      </w:r>
      <w:r w:rsidRPr="00293BBF">
        <w:rPr>
          <w:noProof/>
        </w:rPr>
        <w:fldChar w:fldCharType="begin"/>
      </w:r>
      <w:r w:rsidRPr="00293BBF">
        <w:rPr>
          <w:noProof/>
        </w:rPr>
        <w:instrText xml:space="preserve"> PAGEREF _Toc64297949 \h </w:instrText>
      </w:r>
      <w:r w:rsidRPr="00293BBF">
        <w:rPr>
          <w:noProof/>
        </w:rPr>
      </w:r>
      <w:r w:rsidRPr="00293BBF">
        <w:rPr>
          <w:noProof/>
        </w:rPr>
        <w:fldChar w:fldCharType="separate"/>
      </w:r>
      <w:r w:rsidR="00002EB4">
        <w:rPr>
          <w:noProof/>
        </w:rPr>
        <w:t>29</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57</w:t>
      </w:r>
      <w:r>
        <w:rPr>
          <w:noProof/>
        </w:rPr>
        <w:tab/>
        <w:t>Research authorisations</w:t>
      </w:r>
      <w:r w:rsidRPr="00293BBF">
        <w:rPr>
          <w:noProof/>
        </w:rPr>
        <w:tab/>
      </w:r>
      <w:r w:rsidRPr="00293BBF">
        <w:rPr>
          <w:noProof/>
        </w:rPr>
        <w:fldChar w:fldCharType="begin"/>
      </w:r>
      <w:r w:rsidRPr="00293BBF">
        <w:rPr>
          <w:noProof/>
        </w:rPr>
        <w:instrText xml:space="preserve"> PAGEREF _Toc64297950 \h </w:instrText>
      </w:r>
      <w:r w:rsidRPr="00293BBF">
        <w:rPr>
          <w:noProof/>
        </w:rPr>
      </w:r>
      <w:r w:rsidRPr="00293BBF">
        <w:rPr>
          <w:noProof/>
        </w:rPr>
        <w:fldChar w:fldCharType="separate"/>
      </w:r>
      <w:r w:rsidR="00002EB4">
        <w:rPr>
          <w:noProof/>
        </w:rPr>
        <w:t>30</w:t>
      </w:r>
      <w:r w:rsidRPr="00293BBF">
        <w:rPr>
          <w:noProof/>
        </w:rPr>
        <w:fldChar w:fldCharType="end"/>
      </w:r>
    </w:p>
    <w:p w:rsidR="00293BBF" w:rsidRDefault="00293BBF">
      <w:pPr>
        <w:pStyle w:val="TOC5"/>
        <w:rPr>
          <w:rFonts w:asciiTheme="minorHAnsi" w:eastAsiaTheme="minorEastAsia" w:hAnsiTheme="minorHAnsi" w:cstheme="minorBidi"/>
          <w:noProof/>
          <w:kern w:val="0"/>
          <w:sz w:val="22"/>
          <w:szCs w:val="22"/>
        </w:rPr>
      </w:pPr>
      <w:r>
        <w:rPr>
          <w:noProof/>
        </w:rPr>
        <w:t>58</w:t>
      </w:r>
      <w:r>
        <w:rPr>
          <w:noProof/>
        </w:rPr>
        <w:tab/>
        <w:t>Infringement notices</w:t>
      </w:r>
      <w:r w:rsidRPr="00293BBF">
        <w:rPr>
          <w:noProof/>
        </w:rPr>
        <w:tab/>
      </w:r>
      <w:r w:rsidRPr="00293BBF">
        <w:rPr>
          <w:noProof/>
        </w:rPr>
        <w:fldChar w:fldCharType="begin"/>
      </w:r>
      <w:r w:rsidRPr="00293BBF">
        <w:rPr>
          <w:noProof/>
        </w:rPr>
        <w:instrText xml:space="preserve"> PAGEREF _Toc64297951 \h </w:instrText>
      </w:r>
      <w:r w:rsidRPr="00293BBF">
        <w:rPr>
          <w:noProof/>
        </w:rPr>
      </w:r>
      <w:r w:rsidRPr="00293BBF">
        <w:rPr>
          <w:noProof/>
        </w:rPr>
        <w:fldChar w:fldCharType="separate"/>
      </w:r>
      <w:r w:rsidR="00002EB4">
        <w:rPr>
          <w:noProof/>
        </w:rPr>
        <w:t>31</w:t>
      </w:r>
      <w:r w:rsidRPr="00293BBF">
        <w:rPr>
          <w:noProof/>
        </w:rPr>
        <w:fldChar w:fldCharType="end"/>
      </w:r>
    </w:p>
    <w:p w:rsidR="00293BBF" w:rsidRDefault="00293BBF">
      <w:pPr>
        <w:pStyle w:val="TOC6"/>
        <w:rPr>
          <w:rFonts w:asciiTheme="minorHAnsi" w:eastAsiaTheme="minorEastAsia" w:hAnsiTheme="minorHAnsi" w:cstheme="minorBidi"/>
          <w:b w:val="0"/>
          <w:noProof/>
          <w:kern w:val="0"/>
          <w:sz w:val="22"/>
          <w:szCs w:val="22"/>
        </w:rPr>
      </w:pPr>
      <w:r>
        <w:rPr>
          <w:noProof/>
        </w:rPr>
        <w:t>Schedule 1—Repeals</w:t>
      </w:r>
      <w:r w:rsidRPr="00293BBF">
        <w:rPr>
          <w:b w:val="0"/>
          <w:noProof/>
          <w:sz w:val="18"/>
        </w:rPr>
        <w:tab/>
      </w:r>
      <w:r w:rsidRPr="00293BBF">
        <w:rPr>
          <w:b w:val="0"/>
          <w:noProof/>
          <w:sz w:val="18"/>
        </w:rPr>
        <w:fldChar w:fldCharType="begin"/>
      </w:r>
      <w:r w:rsidRPr="00293BBF">
        <w:rPr>
          <w:b w:val="0"/>
          <w:noProof/>
          <w:sz w:val="18"/>
        </w:rPr>
        <w:instrText xml:space="preserve"> PAGEREF _Toc64297952 \h </w:instrText>
      </w:r>
      <w:r w:rsidRPr="00293BBF">
        <w:rPr>
          <w:b w:val="0"/>
          <w:noProof/>
          <w:sz w:val="18"/>
        </w:rPr>
      </w:r>
      <w:r w:rsidRPr="00293BBF">
        <w:rPr>
          <w:b w:val="0"/>
          <w:noProof/>
          <w:sz w:val="18"/>
        </w:rPr>
        <w:fldChar w:fldCharType="separate"/>
      </w:r>
      <w:r w:rsidR="00002EB4">
        <w:rPr>
          <w:b w:val="0"/>
          <w:noProof/>
          <w:sz w:val="18"/>
        </w:rPr>
        <w:t>32</w:t>
      </w:r>
      <w:r w:rsidRPr="00293BBF">
        <w:rPr>
          <w:b w:val="0"/>
          <w:noProof/>
          <w:sz w:val="18"/>
        </w:rPr>
        <w:fldChar w:fldCharType="end"/>
      </w:r>
    </w:p>
    <w:p w:rsidR="00293BBF" w:rsidRDefault="00293BBF">
      <w:pPr>
        <w:pStyle w:val="TOC9"/>
        <w:rPr>
          <w:rFonts w:asciiTheme="minorHAnsi" w:eastAsiaTheme="minorEastAsia" w:hAnsiTheme="minorHAnsi" w:cstheme="minorBidi"/>
          <w:i w:val="0"/>
          <w:noProof/>
          <w:kern w:val="0"/>
          <w:sz w:val="22"/>
          <w:szCs w:val="22"/>
        </w:rPr>
      </w:pPr>
      <w:r>
        <w:rPr>
          <w:noProof/>
        </w:rPr>
        <w:t>Telecommunications Regulations 2001</w:t>
      </w:r>
      <w:r w:rsidRPr="00293BBF">
        <w:rPr>
          <w:i w:val="0"/>
          <w:noProof/>
          <w:sz w:val="18"/>
        </w:rPr>
        <w:tab/>
      </w:r>
      <w:r w:rsidRPr="00293BBF">
        <w:rPr>
          <w:i w:val="0"/>
          <w:noProof/>
          <w:sz w:val="18"/>
        </w:rPr>
        <w:fldChar w:fldCharType="begin"/>
      </w:r>
      <w:r w:rsidRPr="00293BBF">
        <w:rPr>
          <w:i w:val="0"/>
          <w:noProof/>
          <w:sz w:val="18"/>
        </w:rPr>
        <w:instrText xml:space="preserve"> PAGEREF _Toc64297953 \h </w:instrText>
      </w:r>
      <w:r w:rsidRPr="00293BBF">
        <w:rPr>
          <w:i w:val="0"/>
          <w:noProof/>
          <w:sz w:val="18"/>
        </w:rPr>
      </w:r>
      <w:r w:rsidRPr="00293BBF">
        <w:rPr>
          <w:i w:val="0"/>
          <w:noProof/>
          <w:sz w:val="18"/>
        </w:rPr>
        <w:fldChar w:fldCharType="separate"/>
      </w:r>
      <w:r w:rsidR="00002EB4">
        <w:rPr>
          <w:i w:val="0"/>
          <w:noProof/>
          <w:sz w:val="18"/>
        </w:rPr>
        <w:t>32</w:t>
      </w:r>
      <w:r w:rsidRPr="00293BBF">
        <w:rPr>
          <w:i w:val="0"/>
          <w:noProof/>
          <w:sz w:val="18"/>
        </w:rPr>
        <w:fldChar w:fldCharType="end"/>
      </w:r>
    </w:p>
    <w:p w:rsidR="00670EA1" w:rsidRPr="004303AB" w:rsidRDefault="00293BBF" w:rsidP="00715914">
      <w:r>
        <w:fldChar w:fldCharType="end"/>
      </w:r>
    </w:p>
    <w:p w:rsidR="00670EA1" w:rsidRPr="004303AB" w:rsidRDefault="00670EA1" w:rsidP="00715914">
      <w:pPr>
        <w:sectPr w:rsidR="00670EA1" w:rsidRPr="004303AB" w:rsidSect="00040820">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rsidR="003925AB" w:rsidRPr="004303AB" w:rsidRDefault="003925AB" w:rsidP="003925AB">
      <w:pPr>
        <w:pStyle w:val="ActHead2"/>
      </w:pPr>
      <w:bookmarkStart w:id="2" w:name="_Toc64297877"/>
      <w:r w:rsidRPr="00E34AC3">
        <w:rPr>
          <w:rStyle w:val="CharPartNo"/>
        </w:rPr>
        <w:lastRenderedPageBreak/>
        <w:t>Part 1</w:t>
      </w:r>
      <w:r w:rsidRPr="004303AB">
        <w:t>—</w:t>
      </w:r>
      <w:r w:rsidRPr="00E34AC3">
        <w:rPr>
          <w:rStyle w:val="CharPartText"/>
        </w:rPr>
        <w:t>Preliminary</w:t>
      </w:r>
      <w:bookmarkEnd w:id="2"/>
    </w:p>
    <w:p w:rsidR="003925AB" w:rsidRPr="00E34AC3" w:rsidRDefault="003925AB" w:rsidP="003925AB">
      <w:pPr>
        <w:pStyle w:val="Header"/>
      </w:pPr>
      <w:r w:rsidRPr="00E34AC3">
        <w:rPr>
          <w:rStyle w:val="CharDivNo"/>
        </w:rPr>
        <w:t xml:space="preserve"> </w:t>
      </w:r>
      <w:r w:rsidRPr="00E34AC3">
        <w:rPr>
          <w:rStyle w:val="CharDivText"/>
        </w:rPr>
        <w:t xml:space="preserve"> </w:t>
      </w:r>
    </w:p>
    <w:p w:rsidR="003925AB" w:rsidRPr="004303AB" w:rsidRDefault="008D786C" w:rsidP="003925AB">
      <w:pPr>
        <w:pStyle w:val="ActHead5"/>
      </w:pPr>
      <w:bookmarkStart w:id="3" w:name="_Toc64297878"/>
      <w:r w:rsidRPr="00E34AC3">
        <w:rPr>
          <w:rStyle w:val="CharSectno"/>
        </w:rPr>
        <w:t>1</w:t>
      </w:r>
      <w:r w:rsidR="003925AB" w:rsidRPr="004303AB">
        <w:t xml:space="preserve">  Name</w:t>
      </w:r>
      <w:bookmarkEnd w:id="3"/>
    </w:p>
    <w:p w:rsidR="003925AB" w:rsidRPr="004303AB" w:rsidRDefault="003925AB" w:rsidP="003925AB">
      <w:pPr>
        <w:pStyle w:val="subsection"/>
      </w:pPr>
      <w:r w:rsidRPr="004303AB">
        <w:tab/>
      </w:r>
      <w:r w:rsidRPr="004303AB">
        <w:tab/>
        <w:t xml:space="preserve">This instrument is the </w:t>
      </w:r>
      <w:bookmarkStart w:id="4" w:name="BKCheck15B_3"/>
      <w:bookmarkEnd w:id="4"/>
      <w:r w:rsidRPr="004303AB">
        <w:rPr>
          <w:i/>
        </w:rPr>
        <w:fldChar w:fldCharType="begin"/>
      </w:r>
      <w:r w:rsidRPr="004303AB">
        <w:rPr>
          <w:i/>
        </w:rPr>
        <w:instrText xml:space="preserve"> STYLEREF  ShortT </w:instrText>
      </w:r>
      <w:r w:rsidRPr="004303AB">
        <w:rPr>
          <w:i/>
        </w:rPr>
        <w:fldChar w:fldCharType="separate"/>
      </w:r>
      <w:r w:rsidR="00002EB4">
        <w:rPr>
          <w:i/>
          <w:noProof/>
        </w:rPr>
        <w:t>Telecommunications Regulations 2021</w:t>
      </w:r>
      <w:r w:rsidRPr="004303AB">
        <w:rPr>
          <w:i/>
        </w:rPr>
        <w:fldChar w:fldCharType="end"/>
      </w:r>
      <w:r w:rsidRPr="004303AB">
        <w:t>.</w:t>
      </w:r>
    </w:p>
    <w:p w:rsidR="003925AB" w:rsidRPr="004303AB" w:rsidRDefault="008D786C" w:rsidP="003925AB">
      <w:pPr>
        <w:pStyle w:val="ActHead5"/>
      </w:pPr>
      <w:bookmarkStart w:id="5" w:name="_Toc64297879"/>
      <w:r w:rsidRPr="00E34AC3">
        <w:rPr>
          <w:rStyle w:val="CharSectno"/>
        </w:rPr>
        <w:t>2</w:t>
      </w:r>
      <w:r w:rsidR="003925AB" w:rsidRPr="004303AB">
        <w:t xml:space="preserve">  Commencement</w:t>
      </w:r>
      <w:bookmarkEnd w:id="5"/>
    </w:p>
    <w:p w:rsidR="003925AB" w:rsidRPr="004303AB" w:rsidRDefault="003925AB" w:rsidP="003925AB">
      <w:pPr>
        <w:pStyle w:val="subsection"/>
      </w:pPr>
      <w:bookmarkStart w:id="6" w:name="_GoBack"/>
      <w:r w:rsidRPr="004303AB">
        <w:tab/>
        <w:t>(1)</w:t>
      </w:r>
      <w:r w:rsidRPr="004303AB">
        <w:tab/>
        <w:t>Each provision of this instrument specified in column 1 of the table commences, or is taken to have commenced, in accordance with column 2 of the table. Any other statement in column 2 has effect according to its terms.</w:t>
      </w:r>
      <w:bookmarkEnd w:id="6"/>
    </w:p>
    <w:p w:rsidR="003925AB" w:rsidRPr="004303AB" w:rsidRDefault="003925AB" w:rsidP="003925AB">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3925AB" w:rsidRPr="004303AB" w:rsidTr="0046619B">
        <w:trPr>
          <w:tblHeader/>
        </w:trPr>
        <w:tc>
          <w:tcPr>
            <w:tcW w:w="5000" w:type="pct"/>
            <w:gridSpan w:val="3"/>
            <w:tcBorders>
              <w:top w:val="single" w:sz="12" w:space="0" w:color="auto"/>
              <w:bottom w:val="single" w:sz="6" w:space="0" w:color="auto"/>
            </w:tcBorders>
            <w:shd w:val="clear" w:color="auto" w:fill="auto"/>
            <w:hideMark/>
          </w:tcPr>
          <w:p w:rsidR="003925AB" w:rsidRPr="004303AB" w:rsidRDefault="003925AB" w:rsidP="0046619B">
            <w:pPr>
              <w:pStyle w:val="TableHeading"/>
            </w:pPr>
            <w:r w:rsidRPr="004303AB">
              <w:t>Commencement information</w:t>
            </w:r>
          </w:p>
        </w:tc>
      </w:tr>
      <w:tr w:rsidR="003925AB" w:rsidRPr="004303AB" w:rsidTr="0046619B">
        <w:trPr>
          <w:tblHeader/>
        </w:trPr>
        <w:tc>
          <w:tcPr>
            <w:tcW w:w="1272" w:type="pct"/>
            <w:tcBorders>
              <w:top w:val="single" w:sz="6" w:space="0" w:color="auto"/>
              <w:bottom w:val="single" w:sz="6" w:space="0" w:color="auto"/>
            </w:tcBorders>
            <w:shd w:val="clear" w:color="auto" w:fill="auto"/>
            <w:hideMark/>
          </w:tcPr>
          <w:p w:rsidR="003925AB" w:rsidRPr="004303AB" w:rsidRDefault="003925AB" w:rsidP="0046619B">
            <w:pPr>
              <w:pStyle w:val="TableHeading"/>
            </w:pPr>
            <w:r w:rsidRPr="004303AB">
              <w:t>Column 1</w:t>
            </w:r>
          </w:p>
        </w:tc>
        <w:tc>
          <w:tcPr>
            <w:tcW w:w="2627" w:type="pct"/>
            <w:tcBorders>
              <w:top w:val="single" w:sz="6" w:space="0" w:color="auto"/>
              <w:bottom w:val="single" w:sz="6" w:space="0" w:color="auto"/>
            </w:tcBorders>
            <w:shd w:val="clear" w:color="auto" w:fill="auto"/>
            <w:hideMark/>
          </w:tcPr>
          <w:p w:rsidR="003925AB" w:rsidRPr="004303AB" w:rsidRDefault="003925AB" w:rsidP="0046619B">
            <w:pPr>
              <w:pStyle w:val="TableHeading"/>
            </w:pPr>
            <w:r w:rsidRPr="004303AB">
              <w:t>Column 2</w:t>
            </w:r>
          </w:p>
        </w:tc>
        <w:tc>
          <w:tcPr>
            <w:tcW w:w="1102" w:type="pct"/>
            <w:tcBorders>
              <w:top w:val="single" w:sz="6" w:space="0" w:color="auto"/>
              <w:bottom w:val="single" w:sz="6" w:space="0" w:color="auto"/>
            </w:tcBorders>
            <w:shd w:val="clear" w:color="auto" w:fill="auto"/>
            <w:hideMark/>
          </w:tcPr>
          <w:p w:rsidR="003925AB" w:rsidRPr="004303AB" w:rsidRDefault="003925AB" w:rsidP="0046619B">
            <w:pPr>
              <w:pStyle w:val="TableHeading"/>
            </w:pPr>
            <w:r w:rsidRPr="004303AB">
              <w:t>Column 3</w:t>
            </w:r>
          </w:p>
        </w:tc>
      </w:tr>
      <w:tr w:rsidR="003925AB" w:rsidRPr="004303AB" w:rsidTr="0046619B">
        <w:trPr>
          <w:tblHeader/>
        </w:trPr>
        <w:tc>
          <w:tcPr>
            <w:tcW w:w="1272" w:type="pct"/>
            <w:tcBorders>
              <w:top w:val="single" w:sz="6" w:space="0" w:color="auto"/>
              <w:bottom w:val="single" w:sz="12" w:space="0" w:color="auto"/>
            </w:tcBorders>
            <w:shd w:val="clear" w:color="auto" w:fill="auto"/>
            <w:hideMark/>
          </w:tcPr>
          <w:p w:rsidR="003925AB" w:rsidRPr="004303AB" w:rsidRDefault="003925AB" w:rsidP="0046619B">
            <w:pPr>
              <w:pStyle w:val="TableHeading"/>
            </w:pPr>
            <w:r w:rsidRPr="004303AB">
              <w:t>Provisions</w:t>
            </w:r>
          </w:p>
        </w:tc>
        <w:tc>
          <w:tcPr>
            <w:tcW w:w="2627" w:type="pct"/>
            <w:tcBorders>
              <w:top w:val="single" w:sz="6" w:space="0" w:color="auto"/>
              <w:bottom w:val="single" w:sz="12" w:space="0" w:color="auto"/>
            </w:tcBorders>
            <w:shd w:val="clear" w:color="auto" w:fill="auto"/>
            <w:hideMark/>
          </w:tcPr>
          <w:p w:rsidR="003925AB" w:rsidRPr="004303AB" w:rsidRDefault="003925AB" w:rsidP="0046619B">
            <w:pPr>
              <w:pStyle w:val="TableHeading"/>
            </w:pPr>
            <w:r w:rsidRPr="004303AB">
              <w:t>Commencement</w:t>
            </w:r>
          </w:p>
        </w:tc>
        <w:tc>
          <w:tcPr>
            <w:tcW w:w="1102" w:type="pct"/>
            <w:tcBorders>
              <w:top w:val="single" w:sz="6" w:space="0" w:color="auto"/>
              <w:bottom w:val="single" w:sz="12" w:space="0" w:color="auto"/>
            </w:tcBorders>
            <w:shd w:val="clear" w:color="auto" w:fill="auto"/>
            <w:hideMark/>
          </w:tcPr>
          <w:p w:rsidR="003925AB" w:rsidRPr="004303AB" w:rsidRDefault="003925AB" w:rsidP="0046619B">
            <w:pPr>
              <w:pStyle w:val="TableHeading"/>
            </w:pPr>
            <w:r w:rsidRPr="004303AB">
              <w:t>Date/Details</w:t>
            </w:r>
          </w:p>
        </w:tc>
      </w:tr>
      <w:tr w:rsidR="003925AB" w:rsidRPr="004303AB" w:rsidTr="0046619B">
        <w:tc>
          <w:tcPr>
            <w:tcW w:w="1272" w:type="pct"/>
            <w:tcBorders>
              <w:top w:val="single" w:sz="12" w:space="0" w:color="auto"/>
              <w:bottom w:val="single" w:sz="12" w:space="0" w:color="auto"/>
            </w:tcBorders>
            <w:shd w:val="clear" w:color="auto" w:fill="auto"/>
            <w:hideMark/>
          </w:tcPr>
          <w:p w:rsidR="003925AB" w:rsidRPr="004303AB" w:rsidRDefault="003925AB" w:rsidP="0046619B">
            <w:pPr>
              <w:pStyle w:val="Tabletext"/>
            </w:pPr>
            <w:r w:rsidRPr="004303AB">
              <w:t>1.  The whole of this instrument</w:t>
            </w:r>
          </w:p>
        </w:tc>
        <w:tc>
          <w:tcPr>
            <w:tcW w:w="2627" w:type="pct"/>
            <w:tcBorders>
              <w:top w:val="single" w:sz="12" w:space="0" w:color="auto"/>
              <w:bottom w:val="single" w:sz="12" w:space="0" w:color="auto"/>
            </w:tcBorders>
            <w:shd w:val="clear" w:color="auto" w:fill="auto"/>
            <w:hideMark/>
          </w:tcPr>
          <w:p w:rsidR="003925AB" w:rsidRPr="004303AB" w:rsidRDefault="00426B90" w:rsidP="0046619B">
            <w:pPr>
              <w:pStyle w:val="Tabletext"/>
            </w:pPr>
            <w:r w:rsidRPr="004303AB">
              <w:t>1 April</w:t>
            </w:r>
            <w:r w:rsidR="0046619B" w:rsidRPr="004303AB">
              <w:t xml:space="preserve"> 2021.</w:t>
            </w:r>
          </w:p>
        </w:tc>
        <w:tc>
          <w:tcPr>
            <w:tcW w:w="1102" w:type="pct"/>
            <w:tcBorders>
              <w:top w:val="single" w:sz="12" w:space="0" w:color="auto"/>
              <w:bottom w:val="single" w:sz="12" w:space="0" w:color="auto"/>
            </w:tcBorders>
            <w:shd w:val="clear" w:color="auto" w:fill="auto"/>
          </w:tcPr>
          <w:p w:rsidR="003925AB" w:rsidRPr="004303AB" w:rsidRDefault="00426B90" w:rsidP="0046619B">
            <w:pPr>
              <w:pStyle w:val="Tabletext"/>
            </w:pPr>
            <w:r w:rsidRPr="004303AB">
              <w:t>1 April</w:t>
            </w:r>
            <w:r w:rsidR="00FE0E4B" w:rsidRPr="004303AB">
              <w:t xml:space="preserve"> 2021</w:t>
            </w:r>
          </w:p>
        </w:tc>
      </w:tr>
    </w:tbl>
    <w:p w:rsidR="003925AB" w:rsidRPr="004303AB" w:rsidRDefault="003925AB" w:rsidP="003925AB">
      <w:pPr>
        <w:pStyle w:val="notetext"/>
      </w:pPr>
      <w:r w:rsidRPr="004303AB">
        <w:rPr>
          <w:snapToGrid w:val="0"/>
          <w:lang w:eastAsia="en-US"/>
        </w:rPr>
        <w:t>Note:</w:t>
      </w:r>
      <w:r w:rsidRPr="004303AB">
        <w:rPr>
          <w:snapToGrid w:val="0"/>
          <w:lang w:eastAsia="en-US"/>
        </w:rPr>
        <w:tab/>
        <w:t>This table relates only to the provisions of this instrument</w:t>
      </w:r>
      <w:r w:rsidRPr="004303AB">
        <w:t xml:space="preserve"> </w:t>
      </w:r>
      <w:r w:rsidRPr="004303AB">
        <w:rPr>
          <w:snapToGrid w:val="0"/>
          <w:lang w:eastAsia="en-US"/>
        </w:rPr>
        <w:t>as originally made. It will not be amended to deal with any later amendments of this instrument.</w:t>
      </w:r>
    </w:p>
    <w:p w:rsidR="003925AB" w:rsidRPr="004303AB" w:rsidRDefault="003925AB" w:rsidP="003925AB">
      <w:pPr>
        <w:pStyle w:val="subsection"/>
      </w:pPr>
      <w:r w:rsidRPr="004303AB">
        <w:tab/>
        <w:t>(2)</w:t>
      </w:r>
      <w:r w:rsidRPr="004303AB">
        <w:tab/>
        <w:t>Any information in column 3 of the table is not part of this instrument. Information may be inserted in this column, or information in it may be edited, in any published version of this instrument.</w:t>
      </w:r>
    </w:p>
    <w:p w:rsidR="003925AB" w:rsidRPr="004303AB" w:rsidRDefault="008D786C" w:rsidP="003925AB">
      <w:pPr>
        <w:pStyle w:val="ActHead5"/>
      </w:pPr>
      <w:bookmarkStart w:id="7" w:name="_Toc64297880"/>
      <w:r w:rsidRPr="00E34AC3">
        <w:rPr>
          <w:rStyle w:val="CharSectno"/>
        </w:rPr>
        <w:t>3</w:t>
      </w:r>
      <w:r w:rsidR="003925AB" w:rsidRPr="004303AB">
        <w:t xml:space="preserve">  Authority</w:t>
      </w:r>
      <w:bookmarkEnd w:id="7"/>
    </w:p>
    <w:p w:rsidR="003925AB" w:rsidRPr="004303AB" w:rsidRDefault="003925AB" w:rsidP="003925AB">
      <w:pPr>
        <w:pStyle w:val="subsection"/>
      </w:pPr>
      <w:r w:rsidRPr="004303AB">
        <w:tab/>
      </w:r>
      <w:r w:rsidRPr="004303AB">
        <w:tab/>
        <w:t xml:space="preserve">This instrument is made under the </w:t>
      </w:r>
      <w:r w:rsidRPr="004303AB">
        <w:rPr>
          <w:i/>
        </w:rPr>
        <w:t>Telecommunications Act 1997</w:t>
      </w:r>
      <w:r w:rsidRPr="004303AB">
        <w:t>.</w:t>
      </w:r>
    </w:p>
    <w:p w:rsidR="0046619B" w:rsidRPr="004303AB" w:rsidRDefault="008D786C" w:rsidP="0046619B">
      <w:pPr>
        <w:pStyle w:val="ActHead5"/>
      </w:pPr>
      <w:bookmarkStart w:id="8" w:name="_Toc64297881"/>
      <w:r w:rsidRPr="00E34AC3">
        <w:rPr>
          <w:rStyle w:val="CharSectno"/>
        </w:rPr>
        <w:t>4</w:t>
      </w:r>
      <w:r w:rsidR="0046619B" w:rsidRPr="004303AB">
        <w:t xml:space="preserve">  Schedules</w:t>
      </w:r>
      <w:bookmarkEnd w:id="8"/>
    </w:p>
    <w:p w:rsidR="0046619B" w:rsidRPr="004303AB" w:rsidRDefault="0046619B" w:rsidP="0046619B">
      <w:pPr>
        <w:pStyle w:val="subsection"/>
      </w:pPr>
      <w:r w:rsidRPr="004303AB">
        <w:tab/>
      </w:r>
      <w:r w:rsidRPr="004303AB">
        <w:tab/>
        <w:t>Each instrument that is specified in a Schedule to this instrument is amended or repealed as set out in the applicable items in the Schedule concerned, and any other item in a Schedule to this instrument has effect according to its terms.</w:t>
      </w:r>
    </w:p>
    <w:p w:rsidR="003925AB" w:rsidRPr="004303AB" w:rsidRDefault="008D786C" w:rsidP="003925AB">
      <w:pPr>
        <w:pStyle w:val="ActHead5"/>
      </w:pPr>
      <w:bookmarkStart w:id="9" w:name="_Toc64297882"/>
      <w:r w:rsidRPr="00E34AC3">
        <w:rPr>
          <w:rStyle w:val="CharSectno"/>
        </w:rPr>
        <w:t>5</w:t>
      </w:r>
      <w:r w:rsidR="003925AB" w:rsidRPr="004303AB">
        <w:t xml:space="preserve">  Definitions</w:t>
      </w:r>
      <w:bookmarkEnd w:id="9"/>
    </w:p>
    <w:p w:rsidR="003925AB" w:rsidRPr="004303AB" w:rsidRDefault="003925AB" w:rsidP="003925AB">
      <w:pPr>
        <w:pStyle w:val="subsection"/>
      </w:pPr>
      <w:r w:rsidRPr="004303AB">
        <w:tab/>
      </w:r>
      <w:r w:rsidRPr="004303AB">
        <w:tab/>
        <w:t>In this instrument:</w:t>
      </w:r>
    </w:p>
    <w:p w:rsidR="003925AB" w:rsidRPr="004303AB" w:rsidRDefault="003925AB" w:rsidP="003925AB">
      <w:pPr>
        <w:pStyle w:val="Definition"/>
      </w:pPr>
      <w:r w:rsidRPr="004303AB">
        <w:rPr>
          <w:b/>
          <w:i/>
        </w:rPr>
        <w:t>Act</w:t>
      </w:r>
      <w:r w:rsidRPr="004303AB">
        <w:t xml:space="preserve"> means the </w:t>
      </w:r>
      <w:r w:rsidRPr="004303AB">
        <w:rPr>
          <w:i/>
        </w:rPr>
        <w:t>Telecommunications Act 1997</w:t>
      </w:r>
      <w:r w:rsidRPr="004303AB">
        <w:t>.</w:t>
      </w:r>
    </w:p>
    <w:p w:rsidR="003925AB" w:rsidRPr="004303AB" w:rsidRDefault="003925AB" w:rsidP="003925AB">
      <w:pPr>
        <w:pStyle w:val="Definition"/>
      </w:pPr>
      <w:r w:rsidRPr="004303AB">
        <w:rPr>
          <w:b/>
          <w:i/>
        </w:rPr>
        <w:t>Australian Parliament</w:t>
      </w:r>
      <w:r w:rsidRPr="004303AB">
        <w:t xml:space="preserve"> means the Parliament of the Commonwealth, a Parliament of a State or a Legislative Assembly of a Territory.</w:t>
      </w:r>
    </w:p>
    <w:p w:rsidR="003925AB" w:rsidRPr="004303AB" w:rsidRDefault="003925AB" w:rsidP="003925AB">
      <w:pPr>
        <w:pStyle w:val="Definition"/>
      </w:pPr>
      <w:r w:rsidRPr="004303AB">
        <w:rPr>
          <w:b/>
          <w:i/>
        </w:rPr>
        <w:t>authorised law enforcement officer</w:t>
      </w:r>
      <w:r w:rsidRPr="004303AB">
        <w:t xml:space="preserve"> means an authorised officer </w:t>
      </w:r>
      <w:r w:rsidR="00651819" w:rsidRPr="004303AB">
        <w:t>(within the meaning of the</w:t>
      </w:r>
      <w:r w:rsidR="00651819" w:rsidRPr="004303AB">
        <w:rPr>
          <w:i/>
        </w:rPr>
        <w:t xml:space="preserve"> Telecommunications (Interception and Access) Act 1979</w:t>
      </w:r>
      <w:r w:rsidR="00651819" w:rsidRPr="004303AB">
        <w:t xml:space="preserve">) </w:t>
      </w:r>
      <w:r w:rsidRPr="004303AB">
        <w:t xml:space="preserve">of a </w:t>
      </w:r>
      <w:r w:rsidRPr="004303AB">
        <w:rPr>
          <w:bCs/>
          <w:iCs/>
        </w:rPr>
        <w:t>criminal law</w:t>
      </w:r>
      <w:r w:rsidR="004303AB">
        <w:rPr>
          <w:bCs/>
          <w:iCs/>
        </w:rPr>
        <w:noBreakHyphen/>
      </w:r>
      <w:r w:rsidRPr="004303AB">
        <w:rPr>
          <w:bCs/>
          <w:iCs/>
        </w:rPr>
        <w:t xml:space="preserve">enforcement agency </w:t>
      </w:r>
      <w:r w:rsidR="00651819" w:rsidRPr="004303AB">
        <w:rPr>
          <w:bCs/>
          <w:iCs/>
        </w:rPr>
        <w:t>(within the meaning of that Act)</w:t>
      </w:r>
      <w:r w:rsidRPr="004303AB">
        <w:t>.</w:t>
      </w:r>
    </w:p>
    <w:p w:rsidR="003925AB" w:rsidRPr="004303AB" w:rsidRDefault="003925AB" w:rsidP="003925AB">
      <w:pPr>
        <w:pStyle w:val="Definition"/>
      </w:pPr>
      <w:r w:rsidRPr="004303AB">
        <w:rPr>
          <w:b/>
          <w:i/>
        </w:rPr>
        <w:lastRenderedPageBreak/>
        <w:t>authorised research</w:t>
      </w:r>
      <w:r w:rsidRPr="004303AB">
        <w:t xml:space="preserve">, under a research authorisation, means a kind or kinds of permitted research to which the authorisation applies (see paragraph </w:t>
      </w:r>
      <w:r w:rsidR="008D786C" w:rsidRPr="004303AB">
        <w:t>22</w:t>
      </w:r>
      <w:r w:rsidRPr="004303AB">
        <w:t>(2)(b)).</w:t>
      </w:r>
    </w:p>
    <w:p w:rsidR="003925AB" w:rsidRPr="004303AB" w:rsidRDefault="003925AB" w:rsidP="003925AB">
      <w:pPr>
        <w:pStyle w:val="Definition"/>
      </w:pPr>
      <w:r w:rsidRPr="004303AB">
        <w:rPr>
          <w:b/>
          <w:i/>
        </w:rPr>
        <w:t>authorised research entity</w:t>
      </w:r>
      <w:r w:rsidRPr="004303AB">
        <w:t xml:space="preserve">: </w:t>
      </w:r>
      <w:bookmarkStart w:id="10" w:name="BK_S3P2L3C29"/>
      <w:bookmarkEnd w:id="10"/>
      <w:r w:rsidRPr="004303AB">
        <w:t xml:space="preserve">see paragraph </w:t>
      </w:r>
      <w:r w:rsidR="008D786C" w:rsidRPr="004303AB">
        <w:t>22</w:t>
      </w:r>
      <w:r w:rsidRPr="004303AB">
        <w:t>(2)(a).</w:t>
      </w:r>
    </w:p>
    <w:p w:rsidR="003925AB" w:rsidRPr="004303AB" w:rsidRDefault="003925AB" w:rsidP="003925AB">
      <w:pPr>
        <w:pStyle w:val="Definition"/>
      </w:pPr>
      <w:r w:rsidRPr="004303AB">
        <w:rPr>
          <w:b/>
          <w:i/>
        </w:rPr>
        <w:t>authorised unlisted mobile number information</w:t>
      </w:r>
      <w:r w:rsidRPr="004303AB">
        <w:t>, in relation to</w:t>
      </w:r>
      <w:bookmarkStart w:id="11" w:name="BK_S3P2L4C62"/>
      <w:bookmarkEnd w:id="11"/>
      <w:r w:rsidRPr="004303AB">
        <w:t xml:space="preserve"> an authorised research entity, means unlisted mobile number information to which the research authorisation covering the entity applies.</w:t>
      </w:r>
    </w:p>
    <w:p w:rsidR="003925AB" w:rsidRPr="004303AB" w:rsidRDefault="003925AB" w:rsidP="003925AB">
      <w:pPr>
        <w:pStyle w:val="Definition"/>
      </w:pPr>
      <w:r w:rsidRPr="004303AB">
        <w:rPr>
          <w:b/>
          <w:i/>
        </w:rPr>
        <w:t>breach</w:t>
      </w:r>
      <w:r w:rsidRPr="004303AB">
        <w:t>:</w:t>
      </w:r>
    </w:p>
    <w:p w:rsidR="003925AB" w:rsidRPr="004303AB" w:rsidRDefault="003925AB" w:rsidP="003925AB">
      <w:pPr>
        <w:pStyle w:val="paragraph"/>
      </w:pPr>
      <w:r w:rsidRPr="004303AB">
        <w:tab/>
        <w:t>(a)</w:t>
      </w:r>
      <w:r w:rsidRPr="004303AB">
        <w:tab/>
        <w:t xml:space="preserve">in relation to an Australian Privacy Principle, has the meaning given by section 6A of the </w:t>
      </w:r>
      <w:r w:rsidRPr="004303AB">
        <w:rPr>
          <w:i/>
        </w:rPr>
        <w:t>Privacy Act 1988</w:t>
      </w:r>
      <w:r w:rsidRPr="004303AB">
        <w:t>; and</w:t>
      </w:r>
    </w:p>
    <w:p w:rsidR="003925AB" w:rsidRPr="004303AB" w:rsidRDefault="003925AB" w:rsidP="003925AB">
      <w:pPr>
        <w:pStyle w:val="paragraph"/>
      </w:pPr>
      <w:r w:rsidRPr="004303AB">
        <w:tab/>
        <w:t>(b)</w:t>
      </w:r>
      <w:r w:rsidRPr="004303AB">
        <w:tab/>
        <w:t>in relation to a registered APP code, has the meaning given by section 6B of that Act.</w:t>
      </w:r>
    </w:p>
    <w:p w:rsidR="003925AB" w:rsidRPr="004303AB" w:rsidRDefault="003925AB" w:rsidP="003925AB">
      <w:pPr>
        <w:pStyle w:val="Definition"/>
      </w:pPr>
      <w:r w:rsidRPr="004303AB">
        <w:rPr>
          <w:b/>
          <w:i/>
        </w:rPr>
        <w:t>Commonwealth entity</w:t>
      </w:r>
      <w:r w:rsidRPr="004303AB">
        <w:t xml:space="preserve"> has the same meaning as in the </w:t>
      </w:r>
      <w:r w:rsidRPr="004303AB">
        <w:rPr>
          <w:i/>
        </w:rPr>
        <w:t>Public Governance, Performance and Accountability Act 2013</w:t>
      </w:r>
      <w:r w:rsidRPr="004303AB">
        <w:t>.</w:t>
      </w:r>
    </w:p>
    <w:p w:rsidR="003925AB" w:rsidRPr="004303AB" w:rsidRDefault="003925AB" w:rsidP="003925AB">
      <w:pPr>
        <w:pStyle w:val="Definition"/>
      </w:pPr>
      <w:r w:rsidRPr="004303AB">
        <w:rPr>
          <w:b/>
          <w:i/>
        </w:rPr>
        <w:t>contacted person</w:t>
      </w:r>
      <w:r w:rsidRPr="004303AB">
        <w:t xml:space="preserve">: </w:t>
      </w:r>
      <w:bookmarkStart w:id="12" w:name="BK_S3P2L14C19"/>
      <w:bookmarkEnd w:id="12"/>
      <w:r w:rsidRPr="004303AB">
        <w:t xml:space="preserve">see subsection </w:t>
      </w:r>
      <w:r w:rsidR="008D786C" w:rsidRPr="004303AB">
        <w:t>30</w:t>
      </w:r>
      <w:r w:rsidRPr="004303AB">
        <w:t>(2).</w:t>
      </w:r>
    </w:p>
    <w:p w:rsidR="003925AB" w:rsidRPr="004303AB" w:rsidRDefault="003925AB" w:rsidP="003925AB">
      <w:pPr>
        <w:pStyle w:val="Definition"/>
      </w:pPr>
      <w:r w:rsidRPr="004303AB">
        <w:rPr>
          <w:b/>
          <w:i/>
        </w:rPr>
        <w:t>covered by the Privacy Act</w:t>
      </w:r>
      <w:r w:rsidRPr="004303AB">
        <w:t xml:space="preserve">: </w:t>
      </w:r>
      <w:bookmarkStart w:id="13" w:name="BK_S3P2L15C29"/>
      <w:bookmarkEnd w:id="13"/>
      <w:r w:rsidRPr="004303AB">
        <w:t xml:space="preserve">the following are </w:t>
      </w:r>
      <w:r w:rsidRPr="004303AB">
        <w:rPr>
          <w:b/>
          <w:i/>
        </w:rPr>
        <w:t>covered by the Privacy Act</w:t>
      </w:r>
      <w:r w:rsidRPr="004303AB">
        <w:t>:</w:t>
      </w:r>
    </w:p>
    <w:p w:rsidR="003925AB" w:rsidRPr="004303AB" w:rsidRDefault="003925AB" w:rsidP="003925AB">
      <w:pPr>
        <w:pStyle w:val="paragraph"/>
      </w:pPr>
      <w:r w:rsidRPr="004303AB">
        <w:tab/>
        <w:t>(a)</w:t>
      </w:r>
      <w:r w:rsidRPr="004303AB">
        <w:tab/>
        <w:t xml:space="preserve">an organisation within the meaning of the </w:t>
      </w:r>
      <w:r w:rsidRPr="004303AB">
        <w:rPr>
          <w:i/>
        </w:rPr>
        <w:t>Privacy Act 1988</w:t>
      </w:r>
      <w:r w:rsidRPr="004303AB">
        <w:t>;</w:t>
      </w:r>
    </w:p>
    <w:p w:rsidR="003925AB" w:rsidRPr="004303AB" w:rsidRDefault="003925AB" w:rsidP="003925AB">
      <w:pPr>
        <w:pStyle w:val="paragraph"/>
      </w:pPr>
      <w:r w:rsidRPr="004303AB">
        <w:tab/>
        <w:t>(b)</w:t>
      </w:r>
      <w:r w:rsidRPr="004303AB">
        <w:tab/>
        <w:t>a small business operator (within the meaning of that Act) that has chosen to be treated as an organisation under section 6EA of that Act.</w:t>
      </w:r>
    </w:p>
    <w:p w:rsidR="003925AB" w:rsidRPr="004303AB" w:rsidRDefault="003925AB" w:rsidP="003925AB">
      <w:pPr>
        <w:pStyle w:val="Definition"/>
      </w:pPr>
      <w:r w:rsidRPr="004303AB">
        <w:rPr>
          <w:b/>
          <w:i/>
        </w:rPr>
        <w:t>de</w:t>
      </w:r>
      <w:r w:rsidR="004303AB">
        <w:rPr>
          <w:b/>
          <w:i/>
        </w:rPr>
        <w:noBreakHyphen/>
      </w:r>
      <w:r w:rsidRPr="004303AB">
        <w:rPr>
          <w:b/>
          <w:i/>
        </w:rPr>
        <w:t>identified</w:t>
      </w:r>
      <w:r w:rsidRPr="004303AB">
        <w:t xml:space="preserve">: </w:t>
      </w:r>
      <w:bookmarkStart w:id="14" w:name="BK_S3P2L19C16"/>
      <w:bookmarkEnd w:id="14"/>
      <w:r w:rsidRPr="004303AB">
        <w:t>research information in relation to</w:t>
      </w:r>
      <w:bookmarkStart w:id="15" w:name="BK_S3P2L19C51"/>
      <w:bookmarkEnd w:id="15"/>
      <w:r w:rsidRPr="004303AB">
        <w:t xml:space="preserve"> a contacted person is </w:t>
      </w:r>
      <w:r w:rsidRPr="004303AB">
        <w:rPr>
          <w:b/>
          <w:i/>
        </w:rPr>
        <w:t>de</w:t>
      </w:r>
      <w:r w:rsidR="004303AB">
        <w:rPr>
          <w:b/>
          <w:i/>
        </w:rPr>
        <w:noBreakHyphen/>
      </w:r>
      <w:r w:rsidRPr="004303AB">
        <w:rPr>
          <w:b/>
          <w:i/>
        </w:rPr>
        <w:t>identified</w:t>
      </w:r>
      <w:r w:rsidRPr="004303AB">
        <w:t xml:space="preserve"> if the information:</w:t>
      </w:r>
    </w:p>
    <w:p w:rsidR="003925AB" w:rsidRPr="004303AB" w:rsidRDefault="003925AB" w:rsidP="003925AB">
      <w:pPr>
        <w:pStyle w:val="paragraph"/>
      </w:pPr>
      <w:r w:rsidRPr="004303AB">
        <w:tab/>
        <w:t>(a)</w:t>
      </w:r>
      <w:r w:rsidRPr="004303AB">
        <w:tab/>
        <w:t>does not identify, or no longer identifies, the contacted person; and</w:t>
      </w:r>
    </w:p>
    <w:p w:rsidR="003925AB" w:rsidRPr="004303AB" w:rsidRDefault="003925AB" w:rsidP="003925AB">
      <w:pPr>
        <w:pStyle w:val="paragraph"/>
      </w:pPr>
      <w:r w:rsidRPr="004303AB">
        <w:tab/>
        <w:t>(b)</w:t>
      </w:r>
      <w:r w:rsidRPr="004303AB">
        <w:tab/>
        <w:t>is not reasonably capable, or is no longer reasonably capable, of being used to identify the contacted person.</w:t>
      </w:r>
    </w:p>
    <w:p w:rsidR="003925AB" w:rsidRPr="004303AB" w:rsidRDefault="003925AB" w:rsidP="003925AB">
      <w:pPr>
        <w:pStyle w:val="Definition"/>
      </w:pPr>
      <w:r w:rsidRPr="004303AB">
        <w:rPr>
          <w:b/>
          <w:i/>
        </w:rPr>
        <w:t>electoral matter</w:t>
      </w:r>
      <w:r w:rsidRPr="004303AB">
        <w:t xml:space="preserve"> means a matter which is intended or likely to affect voting in:</w:t>
      </w:r>
    </w:p>
    <w:p w:rsidR="003925AB" w:rsidRPr="004303AB" w:rsidRDefault="003925AB" w:rsidP="003925AB">
      <w:pPr>
        <w:pStyle w:val="paragraph"/>
      </w:pPr>
      <w:r w:rsidRPr="004303AB">
        <w:tab/>
        <w:t>(a)</w:t>
      </w:r>
      <w:r w:rsidRPr="004303AB">
        <w:tab/>
        <w:t>an election to an Australian Parliament or to a local government authority; or</w:t>
      </w:r>
    </w:p>
    <w:p w:rsidR="003925AB" w:rsidRPr="004303AB" w:rsidRDefault="003925AB" w:rsidP="003925AB">
      <w:pPr>
        <w:pStyle w:val="paragraph"/>
      </w:pPr>
      <w:r w:rsidRPr="004303AB">
        <w:tab/>
        <w:t>(b)</w:t>
      </w:r>
      <w:r w:rsidRPr="004303AB">
        <w:tab/>
        <w:t>a referendum under a law of the Commonwealth or a law of a State or Territory.</w:t>
      </w:r>
    </w:p>
    <w:p w:rsidR="003925AB" w:rsidRPr="004303AB" w:rsidRDefault="003925AB" w:rsidP="003925AB">
      <w:pPr>
        <w:pStyle w:val="Definition"/>
      </w:pPr>
      <w:r w:rsidRPr="004303AB">
        <w:rPr>
          <w:b/>
          <w:i/>
        </w:rPr>
        <w:t>former authorised research entity</w:t>
      </w:r>
      <w:r w:rsidRPr="004303AB">
        <w:t xml:space="preserve">: </w:t>
      </w:r>
      <w:bookmarkStart w:id="16" w:name="BK_S3P2L29C36"/>
      <w:bookmarkEnd w:id="16"/>
      <w:r w:rsidRPr="004303AB">
        <w:t xml:space="preserve">see paragraph </w:t>
      </w:r>
      <w:r w:rsidR="008D786C" w:rsidRPr="004303AB">
        <w:t>40</w:t>
      </w:r>
      <w:r w:rsidRPr="004303AB">
        <w:t>(2)(a).</w:t>
      </w:r>
    </w:p>
    <w:p w:rsidR="003925AB" w:rsidRPr="004303AB" w:rsidRDefault="003925AB" w:rsidP="003925AB">
      <w:pPr>
        <w:pStyle w:val="Definition"/>
      </w:pPr>
      <w:r w:rsidRPr="004303AB">
        <w:rPr>
          <w:b/>
          <w:i/>
        </w:rPr>
        <w:t>identifying number of a government document</w:t>
      </w:r>
      <w:r w:rsidRPr="004303AB">
        <w:t>:</w:t>
      </w:r>
    </w:p>
    <w:p w:rsidR="003925AB" w:rsidRPr="004303AB" w:rsidRDefault="003925AB" w:rsidP="003925AB">
      <w:pPr>
        <w:pStyle w:val="paragraph"/>
      </w:pPr>
      <w:r w:rsidRPr="004303AB">
        <w:tab/>
        <w:t>(a)</w:t>
      </w:r>
      <w:r w:rsidRPr="004303AB">
        <w:tab/>
        <w:t>means the unique identifying number of a document that is issued by the Commonwealth or a State or Territory (such as a driver licence, Medicare card or passport); but</w:t>
      </w:r>
    </w:p>
    <w:p w:rsidR="003925AB" w:rsidRPr="004303AB" w:rsidRDefault="003925AB" w:rsidP="003925AB">
      <w:pPr>
        <w:pStyle w:val="paragraph"/>
      </w:pPr>
      <w:r w:rsidRPr="004303AB">
        <w:tab/>
        <w:t>(b)</w:t>
      </w:r>
      <w:r w:rsidRPr="004303AB">
        <w:tab/>
        <w:t>does not include:</w:t>
      </w:r>
    </w:p>
    <w:p w:rsidR="003925AB" w:rsidRPr="004303AB" w:rsidRDefault="003925AB" w:rsidP="003925AB">
      <w:pPr>
        <w:pStyle w:val="paragraphsub"/>
      </w:pPr>
      <w:r w:rsidRPr="004303AB">
        <w:tab/>
        <w:t>(i)</w:t>
      </w:r>
      <w:r w:rsidRPr="004303AB">
        <w:tab/>
        <w:t>a receipt number or transaction number (such as a transaction number issued by the national Document Verification Service); or</w:t>
      </w:r>
    </w:p>
    <w:p w:rsidR="003925AB" w:rsidRPr="004303AB" w:rsidRDefault="003925AB" w:rsidP="003925AB">
      <w:pPr>
        <w:pStyle w:val="paragraphsub"/>
      </w:pPr>
      <w:r w:rsidRPr="004303AB">
        <w:tab/>
        <w:t>(ii)</w:t>
      </w:r>
      <w:r w:rsidRPr="004303AB">
        <w:tab/>
        <w:t>an Australian Business Number, Australian Company Number or Australian Registered Body Number.</w:t>
      </w:r>
    </w:p>
    <w:p w:rsidR="003925AB" w:rsidRPr="004303AB" w:rsidRDefault="003925AB" w:rsidP="003925AB">
      <w:pPr>
        <w:pStyle w:val="Definition"/>
      </w:pPr>
      <w:r w:rsidRPr="004303AB">
        <w:rPr>
          <w:b/>
          <w:i/>
        </w:rPr>
        <w:t>integrated public number database</w:t>
      </w:r>
      <w:r w:rsidRPr="004303AB">
        <w:t xml:space="preserve"> means the database maintained by Telstra as mentioned in </w:t>
      </w:r>
      <w:r w:rsidR="00426B90" w:rsidRPr="004303AB">
        <w:t>Part 4</w:t>
      </w:r>
      <w:r w:rsidRPr="004303AB">
        <w:t xml:space="preserve"> of Schedule 2 to the Act.</w:t>
      </w:r>
    </w:p>
    <w:p w:rsidR="003925AB" w:rsidRPr="004303AB" w:rsidRDefault="003925AB" w:rsidP="003925AB">
      <w:pPr>
        <w:pStyle w:val="Definition"/>
      </w:pPr>
      <w:r w:rsidRPr="004303AB">
        <w:rPr>
          <w:b/>
          <w:i/>
        </w:rPr>
        <w:t>IPND Scheme authorisation</w:t>
      </w:r>
      <w:r w:rsidRPr="004303AB">
        <w:t xml:space="preserve"> means an authorisation granted under the integrated public number database scheme.</w:t>
      </w:r>
    </w:p>
    <w:p w:rsidR="003925AB" w:rsidRPr="004303AB" w:rsidRDefault="003925AB" w:rsidP="003925AB">
      <w:pPr>
        <w:pStyle w:val="Definition"/>
      </w:pPr>
      <w:r w:rsidRPr="004303AB">
        <w:rPr>
          <w:b/>
          <w:i/>
        </w:rPr>
        <w:t>legacy service</w:t>
      </w:r>
      <w:r w:rsidRPr="004303AB">
        <w:t xml:space="preserve">: </w:t>
      </w:r>
      <w:bookmarkStart w:id="17" w:name="BK_S3P3L3C17"/>
      <w:bookmarkEnd w:id="17"/>
      <w:r w:rsidRPr="004303AB">
        <w:t xml:space="preserve">see subsection </w:t>
      </w:r>
      <w:r w:rsidR="008D786C" w:rsidRPr="004303AB">
        <w:t>13</w:t>
      </w:r>
      <w:r w:rsidRPr="004303AB">
        <w:t>(3).</w:t>
      </w:r>
    </w:p>
    <w:p w:rsidR="003925AB" w:rsidRPr="004303AB" w:rsidRDefault="003925AB" w:rsidP="003925AB">
      <w:pPr>
        <w:pStyle w:val="Definition"/>
      </w:pPr>
      <w:r w:rsidRPr="004303AB">
        <w:rPr>
          <w:b/>
          <w:bCs/>
          <w:i/>
          <w:iCs/>
        </w:rPr>
        <w:t>local government authority</w:t>
      </w:r>
      <w:r w:rsidRPr="004303AB">
        <w:t xml:space="preserve"> means a body established for the purposes of local government by or under a law of a State or a Territory.</w:t>
      </w:r>
    </w:p>
    <w:p w:rsidR="000D6F9F" w:rsidRPr="004303AB" w:rsidRDefault="000D6F9F" w:rsidP="000D6F9F">
      <w:pPr>
        <w:pStyle w:val="Definition"/>
      </w:pPr>
      <w:r w:rsidRPr="004303AB">
        <w:rPr>
          <w:b/>
          <w:i/>
        </w:rPr>
        <w:t>mobile carriage service provider</w:t>
      </w:r>
      <w:r w:rsidRPr="004303AB">
        <w:t xml:space="preserve"> means:</w:t>
      </w:r>
    </w:p>
    <w:p w:rsidR="000D6F9F" w:rsidRPr="004303AB" w:rsidRDefault="000D6F9F" w:rsidP="000D6F9F">
      <w:pPr>
        <w:pStyle w:val="paragraph"/>
      </w:pPr>
      <w:r w:rsidRPr="004303AB">
        <w:tab/>
        <w:t>(a)</w:t>
      </w:r>
      <w:r w:rsidRPr="004303AB">
        <w:tab/>
        <w:t>a carriage service provider who supplies a customer with a public mobile telecommunications service; or</w:t>
      </w:r>
    </w:p>
    <w:p w:rsidR="000D6F9F" w:rsidRPr="004303AB" w:rsidRDefault="000D6F9F" w:rsidP="000D6F9F">
      <w:pPr>
        <w:pStyle w:val="paragraph"/>
      </w:pPr>
      <w:r w:rsidRPr="004303AB">
        <w:tab/>
        <w:t>(b)</w:t>
      </w:r>
      <w:r w:rsidRPr="004303AB">
        <w:tab/>
        <w:t>a carriage service intermediary who arranges for the supply by a carriage service provider to a customer of a public mobile telecommunications service.</w:t>
      </w:r>
    </w:p>
    <w:p w:rsidR="003925AB" w:rsidRPr="004303AB" w:rsidRDefault="003925AB" w:rsidP="003925AB">
      <w:pPr>
        <w:pStyle w:val="Definition"/>
      </w:pPr>
      <w:r w:rsidRPr="004303AB">
        <w:rPr>
          <w:b/>
          <w:i/>
        </w:rPr>
        <w:t>National Relay Service</w:t>
      </w:r>
      <w:r w:rsidRPr="004303AB">
        <w:t xml:space="preserve"> has the same meaning as in the </w:t>
      </w:r>
      <w:r w:rsidRPr="004303AB">
        <w:rPr>
          <w:i/>
        </w:rPr>
        <w:t>Telecommunications (Consumer Protection and Service Standards) Act 1999</w:t>
      </w:r>
      <w:r w:rsidRPr="004303AB">
        <w:t>.</w:t>
      </w:r>
    </w:p>
    <w:p w:rsidR="003925AB" w:rsidRPr="004303AB" w:rsidRDefault="003925AB" w:rsidP="003925AB">
      <w:pPr>
        <w:pStyle w:val="Definition"/>
      </w:pPr>
      <w:r w:rsidRPr="004303AB">
        <w:rPr>
          <w:b/>
          <w:i/>
        </w:rPr>
        <w:t>next</w:t>
      </w:r>
      <w:r w:rsidR="004303AB">
        <w:rPr>
          <w:b/>
          <w:i/>
        </w:rPr>
        <w:noBreakHyphen/>
      </w:r>
      <w:r w:rsidRPr="004303AB">
        <w:rPr>
          <w:b/>
          <w:i/>
        </w:rPr>
        <w:t>generation broadband service</w:t>
      </w:r>
      <w:r w:rsidRPr="004303AB">
        <w:t xml:space="preserve">: </w:t>
      </w:r>
      <w:bookmarkStart w:id="18" w:name="BK_S3P3L14C36"/>
      <w:bookmarkEnd w:id="18"/>
      <w:r w:rsidRPr="004303AB">
        <w:t xml:space="preserve">see subsection </w:t>
      </w:r>
      <w:r w:rsidR="008D786C" w:rsidRPr="004303AB">
        <w:t>13</w:t>
      </w:r>
      <w:r w:rsidRPr="004303AB">
        <w:t>(2).</w:t>
      </w:r>
    </w:p>
    <w:p w:rsidR="003925AB" w:rsidRPr="004303AB" w:rsidRDefault="003925AB" w:rsidP="003925AB">
      <w:pPr>
        <w:pStyle w:val="Definition"/>
      </w:pPr>
      <w:r w:rsidRPr="004303AB">
        <w:rPr>
          <w:b/>
          <w:i/>
        </w:rPr>
        <w:t>permitted research</w:t>
      </w:r>
      <w:r w:rsidRPr="004303AB">
        <w:t xml:space="preserve">: </w:t>
      </w:r>
      <w:bookmarkStart w:id="19" w:name="BK_S3P3L15C21"/>
      <w:bookmarkEnd w:id="19"/>
      <w:r w:rsidRPr="004303AB">
        <w:t xml:space="preserve">see section </w:t>
      </w:r>
      <w:r w:rsidR="008D786C" w:rsidRPr="004303AB">
        <w:t>6</w:t>
      </w:r>
      <w:r w:rsidRPr="004303AB">
        <w:t>.</w:t>
      </w:r>
    </w:p>
    <w:p w:rsidR="003925AB" w:rsidRPr="004303AB" w:rsidRDefault="003925AB" w:rsidP="003925AB">
      <w:pPr>
        <w:pStyle w:val="Definition"/>
      </w:pPr>
      <w:r w:rsidRPr="004303AB">
        <w:rPr>
          <w:b/>
          <w:i/>
        </w:rPr>
        <w:t>personal information</w:t>
      </w:r>
      <w:bookmarkStart w:id="20" w:name="BK_S3P3L16C21"/>
      <w:bookmarkEnd w:id="20"/>
      <w:r w:rsidRPr="004303AB">
        <w:t xml:space="preserve"> has the same meaning as in the </w:t>
      </w:r>
      <w:r w:rsidRPr="004303AB">
        <w:rPr>
          <w:i/>
        </w:rPr>
        <w:t>Privacy Act 1988</w:t>
      </w:r>
      <w:r w:rsidRPr="004303AB">
        <w:t>.</w:t>
      </w:r>
    </w:p>
    <w:p w:rsidR="003925AB" w:rsidRPr="004303AB" w:rsidRDefault="003925AB" w:rsidP="003925AB">
      <w:pPr>
        <w:pStyle w:val="Definition"/>
      </w:pPr>
      <w:r w:rsidRPr="004303AB">
        <w:rPr>
          <w:b/>
          <w:i/>
        </w:rPr>
        <w:t>political representative</w:t>
      </w:r>
      <w:r w:rsidRPr="004303AB">
        <w:t xml:space="preserve"> means:</w:t>
      </w:r>
    </w:p>
    <w:p w:rsidR="003925AB" w:rsidRPr="004303AB" w:rsidRDefault="003925AB" w:rsidP="003925AB">
      <w:pPr>
        <w:pStyle w:val="paragraph"/>
      </w:pPr>
      <w:r w:rsidRPr="004303AB">
        <w:tab/>
        <w:t>(a)</w:t>
      </w:r>
      <w:r w:rsidRPr="004303AB">
        <w:tab/>
        <w:t>a member of an Australian Parliament; or</w:t>
      </w:r>
    </w:p>
    <w:p w:rsidR="003925AB" w:rsidRPr="004303AB" w:rsidRDefault="003925AB" w:rsidP="003925AB">
      <w:pPr>
        <w:pStyle w:val="paragraph"/>
      </w:pPr>
      <w:r w:rsidRPr="004303AB">
        <w:tab/>
        <w:t>(b)</w:t>
      </w:r>
      <w:r w:rsidRPr="004303AB">
        <w:tab/>
        <w:t>a councillor (however described) of a local government authority.</w:t>
      </w:r>
    </w:p>
    <w:p w:rsidR="006D430E" w:rsidRPr="004303AB" w:rsidRDefault="006D430E" w:rsidP="006D430E">
      <w:pPr>
        <w:pStyle w:val="Definition"/>
      </w:pPr>
      <w:r w:rsidRPr="004303AB">
        <w:rPr>
          <w:b/>
          <w:i/>
        </w:rPr>
        <w:t>post</w:t>
      </w:r>
      <w:r w:rsidR="004303AB">
        <w:rPr>
          <w:b/>
          <w:i/>
        </w:rPr>
        <w:noBreakHyphen/>
      </w:r>
      <w:r w:rsidRPr="004303AB">
        <w:rPr>
          <w:b/>
          <w:i/>
        </w:rPr>
        <w:t>paid carriage service</w:t>
      </w:r>
      <w:r w:rsidRPr="004303AB">
        <w:t xml:space="preserve">: </w:t>
      </w:r>
      <w:bookmarkStart w:id="21" w:name="BK_S3P3L20C29"/>
      <w:bookmarkEnd w:id="21"/>
      <w:r w:rsidRPr="004303AB">
        <w:t xml:space="preserve">see subsection </w:t>
      </w:r>
      <w:r w:rsidR="008D786C" w:rsidRPr="004303AB">
        <w:t>8</w:t>
      </w:r>
      <w:r w:rsidRPr="004303AB">
        <w:t>(3).</w:t>
      </w:r>
    </w:p>
    <w:p w:rsidR="000D6F9F" w:rsidRPr="004303AB" w:rsidRDefault="000D6F9F" w:rsidP="000D6F9F">
      <w:pPr>
        <w:pStyle w:val="Definition"/>
      </w:pPr>
      <w:r w:rsidRPr="004303AB">
        <w:rPr>
          <w:b/>
          <w:i/>
        </w:rPr>
        <w:t>premium content service</w:t>
      </w:r>
      <w:r w:rsidR="00670238" w:rsidRPr="004303AB">
        <w:t>:</w:t>
      </w:r>
      <w:r w:rsidRPr="004303AB">
        <w:t xml:space="preserve"> </w:t>
      </w:r>
      <w:bookmarkStart w:id="22" w:name="BK_S3P3L21C26"/>
      <w:bookmarkEnd w:id="22"/>
      <w:r w:rsidRPr="004303AB">
        <w:t>a content service</w:t>
      </w:r>
      <w:r w:rsidR="00EF72B6" w:rsidRPr="004303AB">
        <w:t xml:space="preserve"> </w:t>
      </w:r>
      <w:r w:rsidR="00670238" w:rsidRPr="004303AB">
        <w:t xml:space="preserve">is a </w:t>
      </w:r>
      <w:r w:rsidR="00670238" w:rsidRPr="004303AB">
        <w:rPr>
          <w:b/>
          <w:i/>
        </w:rPr>
        <w:t>premium content service</w:t>
      </w:r>
      <w:r w:rsidR="00670238" w:rsidRPr="004303AB">
        <w:t xml:space="preserve"> if a </w:t>
      </w:r>
      <w:r w:rsidRPr="004303AB">
        <w:t xml:space="preserve">charge for </w:t>
      </w:r>
      <w:r w:rsidR="00670238" w:rsidRPr="004303AB">
        <w:t xml:space="preserve">the </w:t>
      </w:r>
      <w:r w:rsidR="00EF72B6" w:rsidRPr="004303AB">
        <w:t>supply</w:t>
      </w:r>
      <w:r w:rsidR="00670238" w:rsidRPr="004303AB">
        <w:t xml:space="preserve"> of the service is</w:t>
      </w:r>
      <w:r w:rsidRPr="004303AB">
        <w:t>:</w:t>
      </w:r>
    </w:p>
    <w:p w:rsidR="000D6F9F" w:rsidRPr="004303AB" w:rsidRDefault="000D6F9F" w:rsidP="000D6F9F">
      <w:pPr>
        <w:pStyle w:val="paragraph"/>
      </w:pPr>
      <w:r w:rsidRPr="004303AB">
        <w:tab/>
        <w:t>(a)</w:t>
      </w:r>
      <w:r w:rsidRPr="004303AB">
        <w:tab/>
        <w:t>expected to be included in a bill sent to a customer of a mobile carriage service provider by or on behalf of that provider; or</w:t>
      </w:r>
    </w:p>
    <w:p w:rsidR="000D6F9F" w:rsidRPr="004303AB" w:rsidRDefault="000D6F9F" w:rsidP="000D6F9F">
      <w:pPr>
        <w:pStyle w:val="paragraph"/>
      </w:pPr>
      <w:r w:rsidRPr="004303AB">
        <w:tab/>
        <w:t>(b)</w:t>
      </w:r>
      <w:r w:rsidRPr="004303AB">
        <w:tab/>
        <w:t xml:space="preserve">payable by a customer of a mobile carriage service </w:t>
      </w:r>
      <w:r w:rsidR="00DF1E5D" w:rsidRPr="004303AB">
        <w:t xml:space="preserve">provider </w:t>
      </w:r>
      <w:r w:rsidRPr="004303AB">
        <w:t xml:space="preserve">to </w:t>
      </w:r>
      <w:r w:rsidR="00DF1E5D" w:rsidRPr="004303AB">
        <w:t xml:space="preserve">that </w:t>
      </w:r>
      <w:r w:rsidRPr="004303AB">
        <w:t>provider or any person acting on behalf of that provider:</w:t>
      </w:r>
    </w:p>
    <w:p w:rsidR="000D6F9F" w:rsidRPr="004303AB" w:rsidRDefault="000D6F9F" w:rsidP="000D6F9F">
      <w:pPr>
        <w:pStyle w:val="paragraphsub"/>
      </w:pPr>
      <w:r w:rsidRPr="004303AB">
        <w:tab/>
        <w:t>(i)</w:t>
      </w:r>
      <w:r w:rsidRPr="004303AB">
        <w:tab/>
        <w:t>in advance; or</w:t>
      </w:r>
    </w:p>
    <w:p w:rsidR="000D6F9F" w:rsidRPr="004303AB" w:rsidRDefault="000D6F9F" w:rsidP="000D6F9F">
      <w:pPr>
        <w:pStyle w:val="paragraphsub"/>
      </w:pPr>
      <w:r w:rsidRPr="004303AB">
        <w:tab/>
        <w:t>(ii)</w:t>
      </w:r>
      <w:r w:rsidRPr="004303AB">
        <w:tab/>
        <w:t>in any other manner.</w:t>
      </w:r>
    </w:p>
    <w:p w:rsidR="003925AB" w:rsidRPr="004303AB" w:rsidRDefault="003925AB" w:rsidP="003925AB">
      <w:pPr>
        <w:pStyle w:val="Definition"/>
      </w:pPr>
      <w:r w:rsidRPr="004303AB">
        <w:rPr>
          <w:b/>
          <w:i/>
        </w:rPr>
        <w:t>premium service</w:t>
      </w:r>
      <w:r w:rsidRPr="004303AB">
        <w:t xml:space="preserve">: </w:t>
      </w:r>
      <w:bookmarkStart w:id="23" w:name="BK_S3P3L29C18"/>
      <w:bookmarkEnd w:id="23"/>
      <w:r w:rsidRPr="004303AB">
        <w:t xml:space="preserve">see subsection </w:t>
      </w:r>
      <w:r w:rsidR="008D786C" w:rsidRPr="004303AB">
        <w:t>9</w:t>
      </w:r>
      <w:r w:rsidRPr="004303AB">
        <w:t>(2).</w:t>
      </w:r>
    </w:p>
    <w:p w:rsidR="00FF7A14" w:rsidRPr="004303AB" w:rsidRDefault="00FF7A14" w:rsidP="003925AB">
      <w:pPr>
        <w:pStyle w:val="Definition"/>
      </w:pPr>
      <w:r w:rsidRPr="004303AB">
        <w:rPr>
          <w:b/>
          <w:i/>
        </w:rPr>
        <w:t>prepaid mobile carriage service</w:t>
      </w:r>
      <w:r w:rsidRPr="004303AB">
        <w:t xml:space="preserve">: </w:t>
      </w:r>
      <w:bookmarkStart w:id="24" w:name="BK_S3P3L30C34"/>
      <w:bookmarkEnd w:id="24"/>
      <w:r w:rsidRPr="004303AB">
        <w:t xml:space="preserve">see subsection </w:t>
      </w:r>
      <w:r w:rsidR="008D786C" w:rsidRPr="004303AB">
        <w:t>8</w:t>
      </w:r>
      <w:r w:rsidRPr="004303AB">
        <w:t>(2).</w:t>
      </w:r>
    </w:p>
    <w:p w:rsidR="000D6F9F" w:rsidRPr="004303AB" w:rsidRDefault="000D6F9F" w:rsidP="000D6F9F">
      <w:pPr>
        <w:pStyle w:val="Definition"/>
      </w:pPr>
      <w:r w:rsidRPr="004303AB">
        <w:rPr>
          <w:b/>
          <w:i/>
        </w:rPr>
        <w:t>proprietary network</w:t>
      </w:r>
      <w:r w:rsidRPr="004303AB">
        <w:t xml:space="preserve"> means a telecommunications network used by a mobile carriage service provider that enables </w:t>
      </w:r>
      <w:r w:rsidR="00FE7E46" w:rsidRPr="004303AB">
        <w:t>end</w:t>
      </w:r>
      <w:r w:rsidR="004303AB">
        <w:noBreakHyphen/>
      </w:r>
      <w:r w:rsidR="00FE7E46" w:rsidRPr="004303AB">
        <w:t>user</w:t>
      </w:r>
      <w:r w:rsidRPr="004303AB">
        <w:t>s to access a premium content service by way of a mobile device where the service is not otherwise generally available.</w:t>
      </w:r>
    </w:p>
    <w:p w:rsidR="003925AB" w:rsidRPr="004303AB" w:rsidRDefault="003925AB" w:rsidP="003925AB">
      <w:pPr>
        <w:pStyle w:val="Definition"/>
      </w:pPr>
      <w:r w:rsidRPr="004303AB">
        <w:rPr>
          <w:b/>
          <w:i/>
        </w:rPr>
        <w:t>public number</w:t>
      </w:r>
      <w:r w:rsidRPr="004303AB">
        <w:rPr>
          <w:i/>
        </w:rPr>
        <w:t xml:space="preserve"> </w:t>
      </w:r>
      <w:r w:rsidRPr="004303AB">
        <w:t>has the same meaning as in section 472 of the Act.</w:t>
      </w:r>
    </w:p>
    <w:p w:rsidR="003925AB" w:rsidRPr="004303AB" w:rsidRDefault="003925AB" w:rsidP="003925AB">
      <w:pPr>
        <w:pStyle w:val="Definition"/>
      </w:pPr>
      <w:r w:rsidRPr="004303AB">
        <w:rPr>
          <w:b/>
          <w:i/>
        </w:rPr>
        <w:t xml:space="preserve">registered APP code </w:t>
      </w:r>
      <w:r w:rsidRPr="004303AB">
        <w:t xml:space="preserve">has the same meaning as in the </w:t>
      </w:r>
      <w:r w:rsidRPr="004303AB">
        <w:rPr>
          <w:i/>
        </w:rPr>
        <w:t>Privacy Act 1988</w:t>
      </w:r>
      <w:r w:rsidRPr="004303AB">
        <w:t>.</w:t>
      </w:r>
    </w:p>
    <w:p w:rsidR="003925AB" w:rsidRPr="004303AB" w:rsidRDefault="003925AB" w:rsidP="003925AB">
      <w:pPr>
        <w:pStyle w:val="Definition"/>
      </w:pPr>
      <w:r w:rsidRPr="004303AB">
        <w:rPr>
          <w:b/>
          <w:i/>
        </w:rPr>
        <w:t>registered political party</w:t>
      </w:r>
      <w:r w:rsidRPr="004303AB">
        <w:t xml:space="preserve"> has the same meaning as in the </w:t>
      </w:r>
      <w:r w:rsidRPr="004303AB">
        <w:rPr>
          <w:i/>
        </w:rPr>
        <w:t>Commonwealth Electoral Act 1918</w:t>
      </w:r>
      <w:r w:rsidRPr="004303AB">
        <w:t>.</w:t>
      </w:r>
    </w:p>
    <w:p w:rsidR="003925AB" w:rsidRPr="004303AB" w:rsidRDefault="003925AB" w:rsidP="003925AB">
      <w:pPr>
        <w:pStyle w:val="Definition"/>
      </w:pPr>
      <w:r w:rsidRPr="004303AB">
        <w:rPr>
          <w:b/>
          <w:i/>
        </w:rPr>
        <w:t>research authorisation</w:t>
      </w:r>
      <w:r w:rsidRPr="004303AB">
        <w:t xml:space="preserve"> means an authorisation granted under subsection </w:t>
      </w:r>
      <w:r w:rsidR="008D786C" w:rsidRPr="004303AB">
        <w:t>21</w:t>
      </w:r>
      <w:r w:rsidRPr="004303AB">
        <w:t>(1).</w:t>
      </w:r>
    </w:p>
    <w:p w:rsidR="003925AB" w:rsidRPr="004303AB" w:rsidRDefault="003925AB" w:rsidP="003925AB">
      <w:pPr>
        <w:pStyle w:val="Definition"/>
      </w:pPr>
      <w:r w:rsidRPr="004303AB">
        <w:rPr>
          <w:b/>
          <w:i/>
        </w:rPr>
        <w:t>research employee</w:t>
      </w:r>
      <w:r w:rsidRPr="004303AB">
        <w:t>, in relation to</w:t>
      </w:r>
      <w:bookmarkStart w:id="25" w:name="BK_S3P4L2C34"/>
      <w:bookmarkEnd w:id="25"/>
      <w:r w:rsidRPr="004303AB">
        <w:t xml:space="preserve"> an authorised research entity, means an individual employed or engaged by the entity to conduct authorised research</w:t>
      </w:r>
      <w:r w:rsidR="001D4BA9" w:rsidRPr="004303AB">
        <w:t xml:space="preserve"> under a research authorisation</w:t>
      </w:r>
      <w:r w:rsidRPr="004303AB">
        <w:t>.</w:t>
      </w:r>
    </w:p>
    <w:p w:rsidR="003925AB" w:rsidRPr="004303AB" w:rsidRDefault="003925AB" w:rsidP="003925AB">
      <w:pPr>
        <w:pStyle w:val="Definition"/>
      </w:pPr>
      <w:r w:rsidRPr="004303AB">
        <w:rPr>
          <w:b/>
          <w:i/>
        </w:rPr>
        <w:t>research entity</w:t>
      </w:r>
      <w:r w:rsidRPr="004303AB">
        <w:t xml:space="preserve">: </w:t>
      </w:r>
      <w:bookmarkStart w:id="26" w:name="BK_S3P4L5C18"/>
      <w:bookmarkEnd w:id="26"/>
      <w:r w:rsidRPr="004303AB">
        <w:t xml:space="preserve">see subsection </w:t>
      </w:r>
      <w:r w:rsidR="008D786C" w:rsidRPr="004303AB">
        <w:t>18</w:t>
      </w:r>
      <w:r w:rsidRPr="004303AB">
        <w:t>(2).</w:t>
      </w:r>
    </w:p>
    <w:p w:rsidR="003925AB" w:rsidRPr="004303AB" w:rsidRDefault="003925AB" w:rsidP="003925AB">
      <w:pPr>
        <w:pStyle w:val="Definition"/>
      </w:pPr>
      <w:r w:rsidRPr="004303AB">
        <w:rPr>
          <w:b/>
          <w:i/>
        </w:rPr>
        <w:t>research information</w:t>
      </w:r>
      <w:r w:rsidRPr="004303AB">
        <w:t>, in relation to</w:t>
      </w:r>
      <w:bookmarkStart w:id="27" w:name="BK_S3P4L6C37"/>
      <w:bookmarkEnd w:id="27"/>
      <w:r w:rsidRPr="004303AB">
        <w:t xml:space="preserve"> a contacted person, means any information obtained from the person when the person is contacted by an authorised research entity for the purposes of authorised research</w:t>
      </w:r>
      <w:r w:rsidR="001D4BA9" w:rsidRPr="004303AB">
        <w:t xml:space="preserve"> under a research authorisation</w:t>
      </w:r>
      <w:r w:rsidRPr="004303AB">
        <w:t>.</w:t>
      </w:r>
    </w:p>
    <w:p w:rsidR="003925AB" w:rsidRPr="004303AB" w:rsidRDefault="003925AB" w:rsidP="003925AB">
      <w:pPr>
        <w:pStyle w:val="Definition"/>
      </w:pPr>
      <w:r w:rsidRPr="004303AB">
        <w:rPr>
          <w:b/>
          <w:i/>
        </w:rPr>
        <w:t>service provider determination</w:t>
      </w:r>
      <w:r w:rsidRPr="004303AB">
        <w:t xml:space="preserve"> has the same meaning as in </w:t>
      </w:r>
      <w:r w:rsidR="00426B90" w:rsidRPr="004303AB">
        <w:t>section 9</w:t>
      </w:r>
      <w:r w:rsidRPr="004303AB">
        <w:t>9 of the Act.</w:t>
      </w:r>
    </w:p>
    <w:p w:rsidR="003925AB" w:rsidRPr="004303AB" w:rsidRDefault="003925AB" w:rsidP="003925AB">
      <w:pPr>
        <w:pStyle w:val="Definition"/>
      </w:pPr>
      <w:r w:rsidRPr="004303AB">
        <w:rPr>
          <w:b/>
          <w:i/>
        </w:rPr>
        <w:t>unconditioned local loop service</w:t>
      </w:r>
      <w:r w:rsidRPr="004303AB">
        <w:t xml:space="preserve">: </w:t>
      </w:r>
      <w:bookmarkStart w:id="28" w:name="BK_S3P4L10C35"/>
      <w:bookmarkEnd w:id="28"/>
      <w:r w:rsidRPr="004303AB">
        <w:t xml:space="preserve">see subsection </w:t>
      </w:r>
      <w:r w:rsidR="008D786C" w:rsidRPr="004303AB">
        <w:t>12</w:t>
      </w:r>
      <w:r w:rsidRPr="004303AB">
        <w:t>(2).</w:t>
      </w:r>
    </w:p>
    <w:p w:rsidR="003925AB" w:rsidRPr="004303AB" w:rsidRDefault="003925AB" w:rsidP="003925AB">
      <w:pPr>
        <w:pStyle w:val="Definition"/>
      </w:pPr>
      <w:r w:rsidRPr="004303AB">
        <w:rPr>
          <w:b/>
          <w:i/>
        </w:rPr>
        <w:t>unlisted mobile number information</w:t>
      </w:r>
      <w:r w:rsidRPr="004303AB">
        <w:t xml:space="preserve">: </w:t>
      </w:r>
      <w:bookmarkStart w:id="29" w:name="BK_S3P4L11C37"/>
      <w:bookmarkEnd w:id="29"/>
      <w:r w:rsidRPr="004303AB">
        <w:t xml:space="preserve">information is </w:t>
      </w:r>
      <w:r w:rsidRPr="004303AB">
        <w:rPr>
          <w:b/>
          <w:i/>
        </w:rPr>
        <w:t xml:space="preserve">unlisted mobile number information </w:t>
      </w:r>
      <w:r w:rsidRPr="004303AB">
        <w:t>if:</w:t>
      </w:r>
    </w:p>
    <w:p w:rsidR="003925AB" w:rsidRPr="004303AB" w:rsidRDefault="003925AB" w:rsidP="003925AB">
      <w:pPr>
        <w:pStyle w:val="paragraph"/>
      </w:pPr>
      <w:r w:rsidRPr="004303AB">
        <w:tab/>
        <w:t>(a)</w:t>
      </w:r>
      <w:r w:rsidRPr="004303AB">
        <w:tab/>
        <w:t>the information is contained in the integrated public number database; and</w:t>
      </w:r>
    </w:p>
    <w:p w:rsidR="003925AB" w:rsidRPr="004303AB" w:rsidRDefault="003925AB" w:rsidP="003925AB">
      <w:pPr>
        <w:pStyle w:val="paragraph"/>
      </w:pPr>
      <w:r w:rsidRPr="004303AB">
        <w:tab/>
        <w:t>(b)</w:t>
      </w:r>
      <w:r w:rsidRPr="004303AB">
        <w:tab/>
        <w:t>the information relates to a person’s mobile number that:</w:t>
      </w:r>
    </w:p>
    <w:p w:rsidR="003925AB" w:rsidRPr="004303AB" w:rsidRDefault="003925AB" w:rsidP="003925AB">
      <w:pPr>
        <w:pStyle w:val="paragraphsub"/>
      </w:pPr>
      <w:r w:rsidRPr="004303AB">
        <w:tab/>
        <w:t>(i)</w:t>
      </w:r>
      <w:r w:rsidRPr="004303AB">
        <w:tab/>
        <w:t>is unlisted; and</w:t>
      </w:r>
    </w:p>
    <w:p w:rsidR="003925AB" w:rsidRPr="004303AB" w:rsidRDefault="003925AB" w:rsidP="003925AB">
      <w:pPr>
        <w:pStyle w:val="paragraphsub"/>
      </w:pPr>
      <w:r w:rsidRPr="004303AB">
        <w:tab/>
        <w:t>(ii)</w:t>
      </w:r>
      <w:r w:rsidRPr="004303AB">
        <w:tab/>
        <w:t>the database indicates is not used for government, business or charitable purposes; and</w:t>
      </w:r>
    </w:p>
    <w:p w:rsidR="003925AB" w:rsidRPr="004303AB" w:rsidRDefault="003925AB" w:rsidP="003925AB">
      <w:pPr>
        <w:pStyle w:val="paragraph"/>
      </w:pPr>
      <w:r w:rsidRPr="004303AB">
        <w:tab/>
        <w:t>(c)</w:t>
      </w:r>
      <w:r w:rsidRPr="004303AB">
        <w:tab/>
        <w:t>the information consists only of either or both of the following:</w:t>
      </w:r>
    </w:p>
    <w:p w:rsidR="003925AB" w:rsidRPr="004303AB" w:rsidRDefault="003925AB" w:rsidP="003925AB">
      <w:pPr>
        <w:pStyle w:val="paragraphsub"/>
      </w:pPr>
      <w:r w:rsidRPr="004303AB">
        <w:tab/>
        <w:t>(i)</w:t>
      </w:r>
      <w:r w:rsidRPr="004303AB">
        <w:tab/>
        <w:t>the number;</w:t>
      </w:r>
    </w:p>
    <w:p w:rsidR="003925AB" w:rsidRPr="004303AB" w:rsidRDefault="003925AB" w:rsidP="003925AB">
      <w:pPr>
        <w:pStyle w:val="paragraphsub"/>
      </w:pPr>
      <w:r w:rsidRPr="004303AB">
        <w:tab/>
        <w:t>(ii)</w:t>
      </w:r>
      <w:r w:rsidRPr="004303AB">
        <w:tab/>
        <w:t>the postcode of the person’s address.</w:t>
      </w:r>
    </w:p>
    <w:p w:rsidR="003925AB" w:rsidRPr="004303AB" w:rsidRDefault="008D786C" w:rsidP="003925AB">
      <w:pPr>
        <w:pStyle w:val="ActHead5"/>
      </w:pPr>
      <w:bookmarkStart w:id="30" w:name="_Toc64297883"/>
      <w:r w:rsidRPr="00E34AC3">
        <w:rPr>
          <w:rStyle w:val="CharSectno"/>
        </w:rPr>
        <w:t>6</w:t>
      </w:r>
      <w:r w:rsidR="003925AB" w:rsidRPr="004303AB">
        <w:t xml:space="preserve">  Meaning of </w:t>
      </w:r>
      <w:r w:rsidR="003925AB" w:rsidRPr="004303AB">
        <w:rPr>
          <w:i/>
        </w:rPr>
        <w:t>permitted research</w:t>
      </w:r>
      <w:bookmarkEnd w:id="30"/>
    </w:p>
    <w:p w:rsidR="003925AB" w:rsidRPr="004303AB" w:rsidRDefault="003925AB" w:rsidP="003925AB">
      <w:pPr>
        <w:pStyle w:val="subsection"/>
      </w:pPr>
      <w:r w:rsidRPr="004303AB">
        <w:tab/>
        <w:t>(1)</w:t>
      </w:r>
      <w:r w:rsidRPr="004303AB">
        <w:tab/>
        <w:t xml:space="preserve">Research is </w:t>
      </w:r>
      <w:r w:rsidRPr="004303AB">
        <w:rPr>
          <w:b/>
          <w:i/>
        </w:rPr>
        <w:t>permitted research</w:t>
      </w:r>
      <w:r w:rsidRPr="004303AB">
        <w:t xml:space="preserve"> if one or more of the following apply:</w:t>
      </w:r>
    </w:p>
    <w:p w:rsidR="003925AB" w:rsidRPr="004303AB" w:rsidRDefault="003925AB" w:rsidP="003925AB">
      <w:pPr>
        <w:pStyle w:val="paragraph"/>
      </w:pPr>
      <w:r w:rsidRPr="004303AB">
        <w:tab/>
        <w:t>(a)</w:t>
      </w:r>
      <w:r w:rsidRPr="004303AB">
        <w:tab/>
        <w:t>the research is relevant to public health, including epidemiological research;</w:t>
      </w:r>
    </w:p>
    <w:p w:rsidR="003925AB" w:rsidRPr="004303AB" w:rsidRDefault="003925AB" w:rsidP="003925AB">
      <w:pPr>
        <w:pStyle w:val="paragraph"/>
      </w:pPr>
      <w:r w:rsidRPr="004303AB">
        <w:tab/>
        <w:t>(b)</w:t>
      </w:r>
      <w:r w:rsidRPr="004303AB">
        <w:tab/>
        <w:t>the research relates to an electoral matter and is conducted by or for:</w:t>
      </w:r>
    </w:p>
    <w:p w:rsidR="003925AB" w:rsidRPr="004303AB" w:rsidRDefault="003925AB" w:rsidP="003925AB">
      <w:pPr>
        <w:pStyle w:val="paragraphsub"/>
      </w:pPr>
      <w:r w:rsidRPr="004303AB">
        <w:tab/>
        <w:t>(i)</w:t>
      </w:r>
      <w:r w:rsidRPr="004303AB">
        <w:tab/>
        <w:t>a registered political party; or</w:t>
      </w:r>
    </w:p>
    <w:p w:rsidR="003925AB" w:rsidRPr="004303AB" w:rsidRDefault="003925AB" w:rsidP="003925AB">
      <w:pPr>
        <w:pStyle w:val="paragraphsub"/>
      </w:pPr>
      <w:r w:rsidRPr="004303AB">
        <w:tab/>
        <w:t>(ii)</w:t>
      </w:r>
      <w:r w:rsidRPr="004303AB">
        <w:tab/>
        <w:t>a political representative; or</w:t>
      </w:r>
    </w:p>
    <w:p w:rsidR="003925AB" w:rsidRPr="004303AB" w:rsidRDefault="003925AB" w:rsidP="003925AB">
      <w:pPr>
        <w:pStyle w:val="paragraphsub"/>
      </w:pPr>
      <w:r w:rsidRPr="004303AB">
        <w:tab/>
        <w:t>(iii)</w:t>
      </w:r>
      <w:r w:rsidRPr="004303AB">
        <w:tab/>
        <w:t>a candidate in an election for an Australian Parliament or a local government authority;</w:t>
      </w:r>
    </w:p>
    <w:p w:rsidR="003925AB" w:rsidRPr="004303AB" w:rsidRDefault="003925AB" w:rsidP="003925AB">
      <w:pPr>
        <w:pStyle w:val="paragraph"/>
      </w:pPr>
      <w:r w:rsidRPr="004303AB">
        <w:tab/>
        <w:t>(c)</w:t>
      </w:r>
      <w:r w:rsidRPr="004303AB">
        <w:tab/>
        <w:t>the research will contribute to the development of public policy and is conducted by or for the Commonwealth or a Commonwealth entity.</w:t>
      </w:r>
    </w:p>
    <w:p w:rsidR="003925AB" w:rsidRPr="004303AB" w:rsidRDefault="003925AB" w:rsidP="003925AB">
      <w:pPr>
        <w:pStyle w:val="subsection"/>
      </w:pPr>
      <w:r w:rsidRPr="004303AB">
        <w:tab/>
        <w:t>(2)</w:t>
      </w:r>
      <w:r w:rsidRPr="004303AB">
        <w:tab/>
        <w:t xml:space="preserve">Despite </w:t>
      </w:r>
      <w:r w:rsidR="00426B90" w:rsidRPr="004303AB">
        <w:t>subsection (</w:t>
      </w:r>
      <w:r w:rsidRPr="004303AB">
        <w:t xml:space="preserve">1), research is not </w:t>
      </w:r>
      <w:r w:rsidRPr="004303AB">
        <w:rPr>
          <w:b/>
          <w:i/>
        </w:rPr>
        <w:t>permitted research</w:t>
      </w:r>
      <w:r w:rsidRPr="004303AB">
        <w:t xml:space="preserve"> if:</w:t>
      </w:r>
    </w:p>
    <w:p w:rsidR="003925AB" w:rsidRPr="004303AB" w:rsidRDefault="003925AB" w:rsidP="003925AB">
      <w:pPr>
        <w:pStyle w:val="paragraph"/>
      </w:pPr>
      <w:r w:rsidRPr="004303AB">
        <w:tab/>
        <w:t>(a)</w:t>
      </w:r>
      <w:r w:rsidRPr="004303AB">
        <w:tab/>
        <w:t>in the case of a research entity conducting research on its own behalf—the research is conducted for a primarily commercial purpose; or</w:t>
      </w:r>
    </w:p>
    <w:p w:rsidR="003925AB" w:rsidRPr="004303AB" w:rsidRDefault="003925AB" w:rsidP="003925AB">
      <w:pPr>
        <w:pStyle w:val="paragraph"/>
      </w:pPr>
      <w:r w:rsidRPr="004303AB">
        <w:tab/>
        <w:t>(b)</w:t>
      </w:r>
      <w:r w:rsidRPr="004303AB">
        <w:tab/>
        <w:t>in the case of a research entity conducting research for another person or body—the research entity is conducting the research for a primarily commercial purpose of the other person or body.</w:t>
      </w:r>
    </w:p>
    <w:p w:rsidR="003925AB" w:rsidRPr="004303AB" w:rsidRDefault="00426B90" w:rsidP="003925AB">
      <w:pPr>
        <w:pStyle w:val="ActHead2"/>
        <w:pageBreakBefore/>
      </w:pPr>
      <w:bookmarkStart w:id="31" w:name="_Toc64297884"/>
      <w:r w:rsidRPr="00E34AC3">
        <w:rPr>
          <w:rStyle w:val="CharPartNo"/>
        </w:rPr>
        <w:t>Part 2</w:t>
      </w:r>
      <w:r w:rsidR="003925AB" w:rsidRPr="004303AB">
        <w:t>—</w:t>
      </w:r>
      <w:r w:rsidR="003925AB" w:rsidRPr="00E34AC3">
        <w:rPr>
          <w:rStyle w:val="CharPartText"/>
        </w:rPr>
        <w:t>Service provider determinations</w:t>
      </w:r>
      <w:bookmarkEnd w:id="31"/>
    </w:p>
    <w:p w:rsidR="003925AB" w:rsidRPr="00E34AC3" w:rsidRDefault="003925AB" w:rsidP="003925AB">
      <w:pPr>
        <w:pStyle w:val="Header"/>
      </w:pPr>
      <w:r w:rsidRPr="00E34AC3">
        <w:rPr>
          <w:rStyle w:val="CharDivNo"/>
        </w:rPr>
        <w:t xml:space="preserve"> </w:t>
      </w:r>
      <w:r w:rsidRPr="00E34AC3">
        <w:rPr>
          <w:rStyle w:val="CharDivText"/>
        </w:rPr>
        <w:t xml:space="preserve"> </w:t>
      </w:r>
    </w:p>
    <w:p w:rsidR="003925AB" w:rsidRPr="004303AB" w:rsidRDefault="008D786C" w:rsidP="003925AB">
      <w:pPr>
        <w:pStyle w:val="ActHead5"/>
      </w:pPr>
      <w:bookmarkStart w:id="32" w:name="_Toc64297885"/>
      <w:r w:rsidRPr="00E34AC3">
        <w:rPr>
          <w:rStyle w:val="CharSectno"/>
        </w:rPr>
        <w:t>7</w:t>
      </w:r>
      <w:r w:rsidR="003925AB" w:rsidRPr="004303AB">
        <w:t xml:space="preserve">  Purpose of this Part</w:t>
      </w:r>
      <w:bookmarkEnd w:id="32"/>
    </w:p>
    <w:p w:rsidR="003925AB" w:rsidRPr="004303AB" w:rsidRDefault="003925AB" w:rsidP="003925AB">
      <w:pPr>
        <w:pStyle w:val="subsection"/>
      </w:pPr>
      <w:r w:rsidRPr="004303AB">
        <w:tab/>
      </w:r>
      <w:r w:rsidRPr="004303AB">
        <w:tab/>
        <w:t xml:space="preserve">For the purposes of </w:t>
      </w:r>
      <w:r w:rsidR="00426B90" w:rsidRPr="004303AB">
        <w:t>subsection 9</w:t>
      </w:r>
      <w:r w:rsidRPr="004303AB">
        <w:t xml:space="preserve">9(3) of the Act, this Part specifies matters </w:t>
      </w:r>
      <w:r w:rsidR="00EF72B6" w:rsidRPr="004303AB">
        <w:t xml:space="preserve">in relation </w:t>
      </w:r>
      <w:r w:rsidRPr="004303AB">
        <w:t xml:space="preserve">to which </w:t>
      </w:r>
      <w:r w:rsidR="00EF72B6" w:rsidRPr="004303AB">
        <w:t xml:space="preserve">the ACMA may make </w:t>
      </w:r>
      <w:r w:rsidRPr="004303AB">
        <w:t>a service provider determination.</w:t>
      </w:r>
    </w:p>
    <w:p w:rsidR="003925AB" w:rsidRPr="004303AB" w:rsidRDefault="008D786C" w:rsidP="003925AB">
      <w:pPr>
        <w:pStyle w:val="ActHead5"/>
      </w:pPr>
      <w:bookmarkStart w:id="33" w:name="_Toc64297886"/>
      <w:r w:rsidRPr="00E34AC3">
        <w:rPr>
          <w:rStyle w:val="CharSectno"/>
        </w:rPr>
        <w:t>8</w:t>
      </w:r>
      <w:r w:rsidR="003925AB" w:rsidRPr="004303AB">
        <w:t xml:space="preserve">  Prepaid mobile carriage services</w:t>
      </w:r>
      <w:bookmarkEnd w:id="33"/>
    </w:p>
    <w:p w:rsidR="003925AB" w:rsidRPr="004303AB" w:rsidRDefault="003925AB" w:rsidP="003925AB">
      <w:pPr>
        <w:pStyle w:val="subsection"/>
      </w:pPr>
      <w:r w:rsidRPr="004303AB">
        <w:tab/>
      </w:r>
      <w:r w:rsidR="00FF7A14" w:rsidRPr="004303AB">
        <w:t>(1)</w:t>
      </w:r>
      <w:r w:rsidRPr="004303AB">
        <w:tab/>
        <w:t>A service provider determination in relation to the supply of prepaid mobile carriage services may relate to the following matters:</w:t>
      </w:r>
    </w:p>
    <w:p w:rsidR="003925AB" w:rsidRPr="004303AB" w:rsidRDefault="003925AB" w:rsidP="003925AB">
      <w:pPr>
        <w:pStyle w:val="paragraph"/>
      </w:pPr>
      <w:r w:rsidRPr="004303AB">
        <w:tab/>
        <w:t>(a)</w:t>
      </w:r>
      <w:r w:rsidRPr="004303AB">
        <w:tab/>
        <w:t>verifying the identity of a customer who a carriage service provider supplies with a prepaid mobile carriage service, including by doing any of the following:</w:t>
      </w:r>
    </w:p>
    <w:p w:rsidR="003925AB" w:rsidRPr="004303AB" w:rsidRDefault="003925AB" w:rsidP="003925AB">
      <w:pPr>
        <w:pStyle w:val="paragraphsub"/>
      </w:pPr>
      <w:r w:rsidRPr="004303AB">
        <w:tab/>
        <w:t>(i)</w:t>
      </w:r>
      <w:r w:rsidRPr="004303AB">
        <w:tab/>
        <w:t>obtaining from the customer the minimum amount of information that is reasonably necessary to identify the customer;</w:t>
      </w:r>
    </w:p>
    <w:p w:rsidR="003925AB" w:rsidRPr="004303AB" w:rsidRDefault="003925AB" w:rsidP="003925AB">
      <w:pPr>
        <w:pStyle w:val="paragraphsub"/>
      </w:pPr>
      <w:r w:rsidRPr="004303AB">
        <w:tab/>
        <w:t>(ii)</w:t>
      </w:r>
      <w:r w:rsidRPr="004303AB">
        <w:tab/>
        <w:t>using the national Document Verification Service, or a similar service, to check whether a document produced by the customer as evidence of identity is authentic, accurate and up</w:t>
      </w:r>
      <w:r w:rsidR="004303AB">
        <w:noBreakHyphen/>
      </w:r>
      <w:r w:rsidRPr="004303AB">
        <w:t>to</w:t>
      </w:r>
      <w:r w:rsidR="004303AB">
        <w:noBreakHyphen/>
      </w:r>
      <w:r w:rsidRPr="004303AB">
        <w:t>date;</w:t>
      </w:r>
    </w:p>
    <w:p w:rsidR="003925AB" w:rsidRPr="004303AB" w:rsidRDefault="003925AB" w:rsidP="003925AB">
      <w:pPr>
        <w:pStyle w:val="paragraphsub"/>
      </w:pPr>
      <w:r w:rsidRPr="004303AB">
        <w:tab/>
        <w:t>(iii)</w:t>
      </w:r>
      <w:r w:rsidRPr="004303AB">
        <w:tab/>
        <w:t>finding out what other carriage services (if any) are supplied to the customer;</w:t>
      </w:r>
    </w:p>
    <w:p w:rsidR="003925AB" w:rsidRPr="004303AB" w:rsidRDefault="003925AB" w:rsidP="003925AB">
      <w:pPr>
        <w:pStyle w:val="paragraph"/>
      </w:pPr>
      <w:r w:rsidRPr="004303AB">
        <w:tab/>
        <w:t>(b)</w:t>
      </w:r>
      <w:r w:rsidRPr="004303AB">
        <w:tab/>
        <w:t>obtaining from the customer information about what the customer proposes to use the prepaid mobile carriage service for (such as residential, business, government or charitable use);</w:t>
      </w:r>
    </w:p>
    <w:p w:rsidR="003925AB" w:rsidRPr="004303AB" w:rsidRDefault="003925AB" w:rsidP="003925AB">
      <w:pPr>
        <w:pStyle w:val="paragraph"/>
      </w:pPr>
      <w:r w:rsidRPr="004303AB">
        <w:tab/>
        <w:t>(c)</w:t>
      </w:r>
      <w:r w:rsidRPr="004303AB">
        <w:tab/>
        <w:t>recording and keeping:</w:t>
      </w:r>
    </w:p>
    <w:p w:rsidR="003925AB" w:rsidRPr="004303AB" w:rsidRDefault="003925AB" w:rsidP="003925AB">
      <w:pPr>
        <w:pStyle w:val="paragraphsub"/>
      </w:pPr>
      <w:r w:rsidRPr="004303AB">
        <w:tab/>
        <w:t>(i)</w:t>
      </w:r>
      <w:r w:rsidRPr="004303AB">
        <w:tab/>
        <w:t xml:space="preserve">information that is obtained under </w:t>
      </w:r>
      <w:r w:rsidR="00426B90" w:rsidRPr="004303AB">
        <w:t>paragraph (</w:t>
      </w:r>
      <w:r w:rsidRPr="004303AB">
        <w:t>a), including the type of document produced as evidence of identity, but not including the identifying number of a government document; and</w:t>
      </w:r>
    </w:p>
    <w:p w:rsidR="003925AB" w:rsidRPr="004303AB" w:rsidRDefault="003925AB" w:rsidP="003925AB">
      <w:pPr>
        <w:pStyle w:val="paragraphsub"/>
      </w:pPr>
      <w:r w:rsidRPr="004303AB">
        <w:tab/>
        <w:t>(ii)</w:t>
      </w:r>
      <w:r w:rsidRPr="004303AB">
        <w:tab/>
        <w:t xml:space="preserve">information that is obtained under </w:t>
      </w:r>
      <w:r w:rsidR="00426B90" w:rsidRPr="004303AB">
        <w:t>paragraph (</w:t>
      </w:r>
      <w:r w:rsidRPr="004303AB">
        <w:t>b); and</w:t>
      </w:r>
    </w:p>
    <w:p w:rsidR="003925AB" w:rsidRPr="004303AB" w:rsidRDefault="003925AB" w:rsidP="003925AB">
      <w:pPr>
        <w:pStyle w:val="paragraphsub"/>
      </w:pPr>
      <w:r w:rsidRPr="004303AB">
        <w:tab/>
        <w:t>(iii)</w:t>
      </w:r>
      <w:r w:rsidRPr="004303AB">
        <w:tab/>
        <w:t>information that the carriage service provider possesses about the supply of the prepaid mobile carriage service to the customer (such as any public number issued in connection with the carriage service and the name of the carriage service provider);</w:t>
      </w:r>
    </w:p>
    <w:p w:rsidR="003925AB" w:rsidRPr="004303AB" w:rsidRDefault="003925AB" w:rsidP="003925AB">
      <w:pPr>
        <w:pStyle w:val="paragraph"/>
      </w:pPr>
      <w:r w:rsidRPr="004303AB">
        <w:tab/>
        <w:t>(d)</w:t>
      </w:r>
      <w:r w:rsidRPr="004303AB">
        <w:tab/>
        <w:t xml:space="preserve">destroying information that is recorded under </w:t>
      </w:r>
      <w:r w:rsidR="00426B90" w:rsidRPr="004303AB">
        <w:t>paragraph (</w:t>
      </w:r>
      <w:r w:rsidRPr="004303AB">
        <w:t>c) if the destruction is reasonable, including destruction when the information is no longer required by the carriage service provider;</w:t>
      </w:r>
    </w:p>
    <w:p w:rsidR="003925AB" w:rsidRPr="004303AB" w:rsidRDefault="003925AB" w:rsidP="003925AB">
      <w:pPr>
        <w:pStyle w:val="paragraph"/>
      </w:pPr>
      <w:r w:rsidRPr="004303AB">
        <w:tab/>
        <w:t>(e)</w:t>
      </w:r>
      <w:r w:rsidRPr="004303AB">
        <w:tab/>
        <w:t>preventing the use of a prepaid mobile carriage service if:</w:t>
      </w:r>
    </w:p>
    <w:p w:rsidR="003925AB" w:rsidRPr="004303AB" w:rsidRDefault="003925AB" w:rsidP="003925AB">
      <w:pPr>
        <w:pStyle w:val="paragraphsub"/>
      </w:pPr>
      <w:r w:rsidRPr="004303AB">
        <w:tab/>
        <w:t>(i)</w:t>
      </w:r>
      <w:r w:rsidRPr="004303AB">
        <w:tab/>
        <w:t>a customer fails to verify the customer’s identity, including by giving false or misleading information; or</w:t>
      </w:r>
    </w:p>
    <w:p w:rsidR="003925AB" w:rsidRPr="004303AB" w:rsidRDefault="003925AB" w:rsidP="003925AB">
      <w:pPr>
        <w:pStyle w:val="paragraphsub"/>
      </w:pPr>
      <w:r w:rsidRPr="004303AB">
        <w:tab/>
        <w:t>(ii)</w:t>
      </w:r>
      <w:r w:rsidRPr="004303AB">
        <w:tab/>
        <w:t>an authorised law enforcement officer gives the carriage service provider a written request to prevent a person using a prepaid mobile carriage service that states that action is necessary for a purpose mentioned in sub</w:t>
      </w:r>
      <w:r w:rsidR="009E0A0D" w:rsidRPr="004303AB">
        <w:t>section 3</w:t>
      </w:r>
      <w:r w:rsidRPr="004303AB">
        <w:t>13(3) or (4) of the Act;</w:t>
      </w:r>
    </w:p>
    <w:p w:rsidR="003925AB" w:rsidRPr="004303AB" w:rsidRDefault="003925AB" w:rsidP="003925AB">
      <w:pPr>
        <w:pStyle w:val="paragraph"/>
      </w:pPr>
      <w:r w:rsidRPr="004303AB">
        <w:tab/>
        <w:t>(f)</w:t>
      </w:r>
      <w:r w:rsidRPr="004303AB">
        <w:tab/>
        <w:t>advising customers of the effect of the service provider determination.</w:t>
      </w:r>
    </w:p>
    <w:p w:rsidR="001A4AC5" w:rsidRPr="004303AB" w:rsidRDefault="001A4AC5" w:rsidP="001A4AC5">
      <w:pPr>
        <w:pStyle w:val="notetext"/>
      </w:pPr>
      <w:r w:rsidRPr="004303AB">
        <w:t>Note:</w:t>
      </w:r>
      <w:r w:rsidRPr="004303AB">
        <w:tab/>
        <w:t xml:space="preserve">A service provider determination may limit the circumstances in which rules set out in the determination apply to service providers: </w:t>
      </w:r>
      <w:bookmarkStart w:id="34" w:name="BK_S3P5L43C47"/>
      <w:bookmarkEnd w:id="34"/>
      <w:r w:rsidRPr="004303AB">
        <w:t xml:space="preserve">see </w:t>
      </w:r>
      <w:r w:rsidR="00426B90" w:rsidRPr="004303AB">
        <w:t>subsection 9</w:t>
      </w:r>
      <w:r w:rsidRPr="004303AB">
        <w:t>9(1) of the Act.</w:t>
      </w:r>
    </w:p>
    <w:p w:rsidR="00FF7A14" w:rsidRPr="004303AB" w:rsidRDefault="00FF7A14" w:rsidP="00FF7A14">
      <w:pPr>
        <w:pStyle w:val="subsection"/>
      </w:pPr>
      <w:r w:rsidRPr="004303AB">
        <w:tab/>
        <w:t>(2)</w:t>
      </w:r>
      <w:r w:rsidRPr="004303AB">
        <w:tab/>
        <w:t>A</w:t>
      </w:r>
      <w:r w:rsidR="00EF72B6" w:rsidRPr="004303AB">
        <w:t xml:space="preserve"> carriage service is a</w:t>
      </w:r>
      <w:r w:rsidRPr="004303AB">
        <w:t xml:space="preserve"> </w:t>
      </w:r>
      <w:r w:rsidRPr="004303AB">
        <w:rPr>
          <w:b/>
          <w:i/>
        </w:rPr>
        <w:t>prepaid mobile carriage service</w:t>
      </w:r>
      <w:r w:rsidRPr="004303AB">
        <w:t xml:space="preserve"> </w:t>
      </w:r>
      <w:r w:rsidR="00EF72B6" w:rsidRPr="004303AB">
        <w:t>if</w:t>
      </w:r>
      <w:r w:rsidRPr="004303AB">
        <w:t>:</w:t>
      </w:r>
    </w:p>
    <w:p w:rsidR="00FF7A14" w:rsidRPr="004303AB" w:rsidRDefault="00FF7A14" w:rsidP="00FF7A14">
      <w:pPr>
        <w:pStyle w:val="paragraph"/>
      </w:pPr>
      <w:r w:rsidRPr="004303AB">
        <w:tab/>
        <w:t>(a)</w:t>
      </w:r>
      <w:r w:rsidRPr="004303AB">
        <w:tab/>
        <w:t>it is a public mobile telecommunications service used in connection with a number specified in the numbering plan for use in connection with the supply of carriage services to the public in Australia;</w:t>
      </w:r>
      <w:r w:rsidR="00EF72B6" w:rsidRPr="004303AB">
        <w:t xml:space="preserve"> and</w:t>
      </w:r>
    </w:p>
    <w:p w:rsidR="00FF7A14" w:rsidRPr="004303AB" w:rsidRDefault="00FF7A14" w:rsidP="00FF7A14">
      <w:pPr>
        <w:pStyle w:val="paragraph"/>
      </w:pPr>
      <w:r w:rsidRPr="004303AB">
        <w:tab/>
        <w:t>(b)</w:t>
      </w:r>
      <w:r w:rsidRPr="004303AB">
        <w:tab/>
        <w:t>payment for the supply of the service must be made before the service is used, unless the supplier of the service does not require payment for the initial supply of the service;</w:t>
      </w:r>
      <w:r w:rsidR="00EF72B6" w:rsidRPr="004303AB">
        <w:t xml:space="preserve"> and</w:t>
      </w:r>
    </w:p>
    <w:p w:rsidR="00FF7A14" w:rsidRPr="004303AB" w:rsidRDefault="00FF7A14" w:rsidP="00FF7A14">
      <w:pPr>
        <w:pStyle w:val="paragraph"/>
      </w:pPr>
      <w:r w:rsidRPr="004303AB">
        <w:tab/>
        <w:t>(c)</w:t>
      </w:r>
      <w:r w:rsidRPr="004303AB">
        <w:tab/>
        <w:t>it is not a post</w:t>
      </w:r>
      <w:r w:rsidR="004303AB">
        <w:noBreakHyphen/>
      </w:r>
      <w:r w:rsidRPr="004303AB">
        <w:t>paid carriage service.</w:t>
      </w:r>
    </w:p>
    <w:p w:rsidR="00FF7A14" w:rsidRPr="004303AB" w:rsidRDefault="00FF7A14" w:rsidP="00FF7A14">
      <w:pPr>
        <w:pStyle w:val="subsection"/>
      </w:pPr>
      <w:r w:rsidRPr="004303AB">
        <w:tab/>
        <w:t>(3)</w:t>
      </w:r>
      <w:r w:rsidRPr="004303AB">
        <w:tab/>
        <w:t xml:space="preserve">A </w:t>
      </w:r>
      <w:r w:rsidR="00EF72B6" w:rsidRPr="004303AB">
        <w:t xml:space="preserve">carriage service supplied by a carriage service provider is a </w:t>
      </w:r>
      <w:r w:rsidRPr="004303AB">
        <w:rPr>
          <w:b/>
          <w:i/>
        </w:rPr>
        <w:t>post</w:t>
      </w:r>
      <w:r w:rsidR="004303AB">
        <w:rPr>
          <w:b/>
          <w:i/>
        </w:rPr>
        <w:noBreakHyphen/>
      </w:r>
      <w:r w:rsidRPr="004303AB">
        <w:rPr>
          <w:b/>
          <w:i/>
        </w:rPr>
        <w:t>paid carriage service</w:t>
      </w:r>
      <w:r w:rsidRPr="004303AB">
        <w:t xml:space="preserve"> </w:t>
      </w:r>
      <w:r w:rsidR="00EF72B6" w:rsidRPr="004303AB">
        <w:t>if</w:t>
      </w:r>
      <w:r w:rsidRPr="004303AB">
        <w:t>:</w:t>
      </w:r>
    </w:p>
    <w:p w:rsidR="00FF7A14" w:rsidRPr="004303AB" w:rsidRDefault="00FF7A14" w:rsidP="00FF7A14">
      <w:pPr>
        <w:pStyle w:val="paragraph"/>
      </w:pPr>
      <w:r w:rsidRPr="004303AB">
        <w:tab/>
        <w:t>(a)</w:t>
      </w:r>
      <w:r w:rsidRPr="004303AB">
        <w:tab/>
        <w:t>the service may be used fully or in part before payment for the supply of the service is made; and</w:t>
      </w:r>
    </w:p>
    <w:p w:rsidR="00FF7A14" w:rsidRPr="004303AB" w:rsidRDefault="00FF7A14" w:rsidP="00FF7A14">
      <w:pPr>
        <w:pStyle w:val="paragraph"/>
      </w:pPr>
      <w:r w:rsidRPr="004303AB">
        <w:tab/>
        <w:t>(b)</w:t>
      </w:r>
      <w:r w:rsidRPr="004303AB">
        <w:tab/>
        <w:t xml:space="preserve">the person </w:t>
      </w:r>
      <w:r w:rsidR="00670238" w:rsidRPr="004303AB">
        <w:t xml:space="preserve">to whom the service is supplied </w:t>
      </w:r>
      <w:r w:rsidRPr="004303AB">
        <w:t>has arranged with the carriage service provider to pay an amount notified in an invoice issued by the carriage service provider, or instalments of fixed amounts at regular intervals, for the supply of the service.</w:t>
      </w:r>
    </w:p>
    <w:p w:rsidR="003925AB" w:rsidRPr="004303AB" w:rsidRDefault="008D786C" w:rsidP="003925AB">
      <w:pPr>
        <w:pStyle w:val="ActHead5"/>
      </w:pPr>
      <w:bookmarkStart w:id="35" w:name="_Toc64297887"/>
      <w:r w:rsidRPr="00E34AC3">
        <w:rPr>
          <w:rStyle w:val="CharSectno"/>
        </w:rPr>
        <w:t>9</w:t>
      </w:r>
      <w:r w:rsidR="003925AB" w:rsidRPr="004303AB">
        <w:t xml:space="preserve">  Premium services</w:t>
      </w:r>
      <w:bookmarkEnd w:id="35"/>
    </w:p>
    <w:p w:rsidR="003925AB" w:rsidRPr="004303AB" w:rsidRDefault="003925AB" w:rsidP="003925AB">
      <w:pPr>
        <w:pStyle w:val="subsection"/>
      </w:pPr>
      <w:r w:rsidRPr="004303AB">
        <w:tab/>
        <w:t>(1)</w:t>
      </w:r>
      <w:r w:rsidRPr="004303AB">
        <w:tab/>
        <w:t>A service provider determination in relation to the supply of premium services may relate to any of the following matters:</w:t>
      </w:r>
    </w:p>
    <w:p w:rsidR="003925AB" w:rsidRPr="004303AB" w:rsidRDefault="003925AB" w:rsidP="003925AB">
      <w:pPr>
        <w:pStyle w:val="paragraph"/>
      </w:pPr>
      <w:r w:rsidRPr="004303AB">
        <w:tab/>
        <w:t>(a)</w:t>
      </w:r>
      <w:r w:rsidRPr="004303AB">
        <w:tab/>
        <w:t>the terms and conditions on which premium services are offered or supplied;</w:t>
      </w:r>
    </w:p>
    <w:p w:rsidR="003925AB" w:rsidRPr="004303AB" w:rsidRDefault="003925AB" w:rsidP="003925AB">
      <w:pPr>
        <w:pStyle w:val="paragraph"/>
      </w:pPr>
      <w:r w:rsidRPr="004303AB">
        <w:tab/>
        <w:t>(b)</w:t>
      </w:r>
      <w:r w:rsidRPr="004303AB">
        <w:tab/>
        <w:t>the liability of a customer in respect of the supply of premium services;</w:t>
      </w:r>
    </w:p>
    <w:p w:rsidR="003925AB" w:rsidRPr="004303AB" w:rsidRDefault="003925AB" w:rsidP="003925AB">
      <w:pPr>
        <w:pStyle w:val="paragraph"/>
      </w:pPr>
      <w:r w:rsidRPr="004303AB">
        <w:tab/>
        <w:t>(c)</w:t>
      </w:r>
      <w:r w:rsidRPr="004303AB">
        <w:tab/>
        <w:t>the limitation of the liability of a customer in respect of the supply of premium services;</w:t>
      </w:r>
    </w:p>
    <w:p w:rsidR="003925AB" w:rsidRPr="004303AB" w:rsidRDefault="003925AB" w:rsidP="003925AB">
      <w:pPr>
        <w:pStyle w:val="paragraph"/>
      </w:pPr>
      <w:r w:rsidRPr="004303AB">
        <w:tab/>
        <w:t>(d)</w:t>
      </w:r>
      <w:r w:rsidRPr="004303AB">
        <w:tab/>
        <w:t>the obligation of a service provider to notify customers about matters relating to premium services;</w:t>
      </w:r>
    </w:p>
    <w:p w:rsidR="003925AB" w:rsidRPr="004303AB" w:rsidRDefault="003925AB" w:rsidP="003925AB">
      <w:pPr>
        <w:pStyle w:val="paragraph"/>
      </w:pPr>
      <w:r w:rsidRPr="004303AB">
        <w:tab/>
        <w:t>(e)</w:t>
      </w:r>
      <w:r w:rsidRPr="004303AB">
        <w:tab/>
        <w:t>the advertising of premium services;</w:t>
      </w:r>
    </w:p>
    <w:p w:rsidR="003925AB" w:rsidRPr="004303AB" w:rsidRDefault="003925AB" w:rsidP="003925AB">
      <w:pPr>
        <w:pStyle w:val="paragraph"/>
      </w:pPr>
      <w:r w:rsidRPr="004303AB">
        <w:tab/>
        <w:t>(f)</w:t>
      </w:r>
      <w:r w:rsidRPr="004303AB">
        <w:tab/>
        <w:t xml:space="preserve">restrictions on access to premium services, or on access to a particular number used in the supply of premium services supplied using </w:t>
      </w:r>
      <w:r w:rsidR="006D430E" w:rsidRPr="004303AB">
        <w:t xml:space="preserve">a </w:t>
      </w:r>
      <w:r w:rsidRPr="004303AB">
        <w:t>carriage s</w:t>
      </w:r>
      <w:r w:rsidR="006D430E" w:rsidRPr="004303AB">
        <w:t>ervice provider’s service</w:t>
      </w:r>
      <w:r w:rsidRPr="004303AB">
        <w:t>;</w:t>
      </w:r>
    </w:p>
    <w:p w:rsidR="003925AB" w:rsidRPr="004303AB" w:rsidRDefault="003925AB" w:rsidP="003925AB">
      <w:pPr>
        <w:pStyle w:val="paragraph"/>
      </w:pPr>
      <w:r w:rsidRPr="004303AB">
        <w:tab/>
        <w:t>(g)</w:t>
      </w:r>
      <w:r w:rsidRPr="004303AB">
        <w:tab/>
        <w:t xml:space="preserve">the barring of calls to premium services, or of calls to a particular number used in the supply of premium services supplied using </w:t>
      </w:r>
      <w:r w:rsidR="006D430E" w:rsidRPr="004303AB">
        <w:t xml:space="preserve">a </w:t>
      </w:r>
      <w:r w:rsidRPr="004303AB">
        <w:t>carr</w:t>
      </w:r>
      <w:r w:rsidR="006D430E" w:rsidRPr="004303AB">
        <w:t>iage service provider’s service</w:t>
      </w:r>
      <w:r w:rsidRPr="004303AB">
        <w:t>;</w:t>
      </w:r>
    </w:p>
    <w:p w:rsidR="003925AB" w:rsidRPr="004303AB" w:rsidRDefault="003925AB" w:rsidP="003925AB">
      <w:pPr>
        <w:pStyle w:val="paragraph"/>
      </w:pPr>
      <w:r w:rsidRPr="004303AB">
        <w:tab/>
        <w:t>(h)</w:t>
      </w:r>
      <w:r w:rsidRPr="004303AB">
        <w:tab/>
        <w:t>the establishment of a registration scheme for service providers that are involved in the supply of premium services;</w:t>
      </w:r>
    </w:p>
    <w:p w:rsidR="003925AB" w:rsidRPr="004303AB" w:rsidRDefault="003925AB" w:rsidP="003925AB">
      <w:pPr>
        <w:pStyle w:val="paragraph"/>
      </w:pPr>
      <w:r w:rsidRPr="004303AB">
        <w:tab/>
        <w:t>(i)</w:t>
      </w:r>
      <w:r w:rsidRPr="004303AB">
        <w:tab/>
        <w:t>the obligations of a carriage service provider in respect of premium services supplied using the carr</w:t>
      </w:r>
      <w:r w:rsidR="006D430E" w:rsidRPr="004303AB">
        <w:t>iage service provider’s service</w:t>
      </w:r>
      <w:r w:rsidRPr="004303AB">
        <w:t>;</w:t>
      </w:r>
    </w:p>
    <w:p w:rsidR="003925AB" w:rsidRPr="004303AB" w:rsidRDefault="003925AB" w:rsidP="003925AB">
      <w:pPr>
        <w:pStyle w:val="paragraph"/>
      </w:pPr>
      <w:r w:rsidRPr="004303AB">
        <w:tab/>
        <w:t>(j)</w:t>
      </w:r>
      <w:r w:rsidRPr="004303AB">
        <w:tab/>
        <w:t>the prohibition or restriction of the imposition or collection of charges relating to the supply of carriage services or other services used in the supply of premium services;</w:t>
      </w:r>
    </w:p>
    <w:p w:rsidR="003925AB" w:rsidRPr="004303AB" w:rsidRDefault="003925AB" w:rsidP="003925AB">
      <w:pPr>
        <w:pStyle w:val="paragraph"/>
      </w:pPr>
      <w:r w:rsidRPr="004303AB">
        <w:tab/>
        <w:t>(k)</w:t>
      </w:r>
      <w:r w:rsidRPr="004303AB">
        <w:tab/>
        <w:t>the issue of bills or accounts relating to the supply of carriage services or other services used in the supply of premium services;</w:t>
      </w:r>
    </w:p>
    <w:p w:rsidR="003925AB" w:rsidRPr="004303AB" w:rsidRDefault="003925AB" w:rsidP="003925AB">
      <w:pPr>
        <w:pStyle w:val="paragraph"/>
      </w:pPr>
      <w:r w:rsidRPr="004303AB">
        <w:tab/>
        <w:t>(l)</w:t>
      </w:r>
      <w:r w:rsidRPr="004303AB">
        <w:tab/>
        <w:t>a matter relating to the supply of premium services use</w:t>
      </w:r>
      <w:r w:rsidR="00FE7E46" w:rsidRPr="004303AB">
        <w:t>d to access an internet service.</w:t>
      </w:r>
    </w:p>
    <w:p w:rsidR="001A4AC5" w:rsidRPr="004303AB" w:rsidRDefault="001A4AC5" w:rsidP="001A4AC5">
      <w:pPr>
        <w:pStyle w:val="notetext"/>
      </w:pPr>
      <w:r w:rsidRPr="004303AB">
        <w:t>Note:</w:t>
      </w:r>
      <w:r w:rsidRPr="004303AB">
        <w:tab/>
        <w:t xml:space="preserve">A service provider determination may limit the circumstances in which rules set out in the determination apply to service providers: </w:t>
      </w:r>
      <w:bookmarkStart w:id="36" w:name="BK_S3P7L2C47"/>
      <w:bookmarkEnd w:id="36"/>
      <w:r w:rsidRPr="004303AB">
        <w:t xml:space="preserve">see </w:t>
      </w:r>
      <w:r w:rsidR="00426B90" w:rsidRPr="004303AB">
        <w:t>subsection 9</w:t>
      </w:r>
      <w:r w:rsidRPr="004303AB">
        <w:t>9(1) of the Act.</w:t>
      </w:r>
    </w:p>
    <w:p w:rsidR="003925AB" w:rsidRPr="004303AB" w:rsidRDefault="003925AB" w:rsidP="003925AB">
      <w:pPr>
        <w:pStyle w:val="subsection"/>
      </w:pPr>
      <w:r w:rsidRPr="004303AB">
        <w:tab/>
        <w:t>(2)</w:t>
      </w:r>
      <w:r w:rsidRPr="004303AB">
        <w:tab/>
        <w:t xml:space="preserve">A </w:t>
      </w:r>
      <w:r w:rsidRPr="004303AB">
        <w:rPr>
          <w:b/>
          <w:i/>
        </w:rPr>
        <w:t>premium service</w:t>
      </w:r>
      <w:r w:rsidRPr="004303AB">
        <w:t xml:space="preserve"> is any of the following services:</w:t>
      </w:r>
    </w:p>
    <w:p w:rsidR="003925AB" w:rsidRPr="004303AB" w:rsidRDefault="003925AB" w:rsidP="003925AB">
      <w:pPr>
        <w:pStyle w:val="paragraph"/>
      </w:pPr>
      <w:r w:rsidRPr="004303AB">
        <w:tab/>
        <w:t>(a)</w:t>
      </w:r>
      <w:r w:rsidRPr="004303AB">
        <w:tab/>
        <w:t>a carriage service or content service using a number with a prefix starting with 190</w:t>
      </w:r>
      <w:r w:rsidR="00110936" w:rsidRPr="004303AB">
        <w:t>, 191, 193, 194, 195, 196, 197 or 199</w:t>
      </w:r>
      <w:r w:rsidRPr="004303AB">
        <w:t>;</w:t>
      </w:r>
    </w:p>
    <w:p w:rsidR="003925AB" w:rsidRPr="004303AB" w:rsidRDefault="003925AB" w:rsidP="003925AB">
      <w:pPr>
        <w:pStyle w:val="paragraph"/>
      </w:pPr>
      <w:r w:rsidRPr="004303AB">
        <w:tab/>
        <w:t>(b)</w:t>
      </w:r>
      <w:r w:rsidRPr="004303AB">
        <w:tab/>
        <w:t>a carriage service used to supply:</w:t>
      </w:r>
    </w:p>
    <w:p w:rsidR="003925AB" w:rsidRPr="004303AB" w:rsidRDefault="003925AB" w:rsidP="003925AB">
      <w:pPr>
        <w:pStyle w:val="paragraphsub"/>
      </w:pPr>
      <w:r w:rsidRPr="004303AB">
        <w:tab/>
        <w:t>(i)</w:t>
      </w:r>
      <w:r w:rsidRPr="004303AB">
        <w:tab/>
        <w:t>a content service; or</w:t>
      </w:r>
    </w:p>
    <w:p w:rsidR="003925AB" w:rsidRPr="004303AB" w:rsidRDefault="003925AB" w:rsidP="003925AB">
      <w:pPr>
        <w:pStyle w:val="paragraphsub"/>
      </w:pPr>
      <w:r w:rsidRPr="004303AB">
        <w:tab/>
        <w:t>(ii)</w:t>
      </w:r>
      <w:r w:rsidRPr="004303AB">
        <w:tab/>
        <w:t>another service by way of a voice call (including a call that involves a recorded or synthetic voice);</w:t>
      </w:r>
    </w:p>
    <w:p w:rsidR="003925AB" w:rsidRPr="004303AB" w:rsidRDefault="003925AB" w:rsidP="003925AB">
      <w:pPr>
        <w:pStyle w:val="paragraph"/>
      </w:pPr>
      <w:r w:rsidRPr="004303AB">
        <w:tab/>
      </w:r>
      <w:r w:rsidRPr="004303AB">
        <w:tab/>
        <w:t xml:space="preserve">using a number that includes an </w:t>
      </w:r>
      <w:r w:rsidR="007B0FAE" w:rsidRPr="004303AB">
        <w:t xml:space="preserve">access code </w:t>
      </w:r>
      <w:r w:rsidR="00444FA7" w:rsidRPr="004303AB">
        <w:t xml:space="preserve">that is, in the numbering plan, </w:t>
      </w:r>
      <w:r w:rsidR="007B0FAE" w:rsidRPr="004303AB">
        <w:t>specified for use with an international service</w:t>
      </w:r>
      <w:r w:rsidR="002D6604" w:rsidRPr="004303AB">
        <w:t>, international direct dial service or international ring back price service</w:t>
      </w:r>
      <w:r w:rsidRPr="004303AB">
        <w:t>;</w:t>
      </w:r>
    </w:p>
    <w:p w:rsidR="00110936" w:rsidRPr="004303AB" w:rsidRDefault="00110936" w:rsidP="00110936">
      <w:pPr>
        <w:pStyle w:val="paragraph"/>
      </w:pPr>
      <w:r w:rsidRPr="004303AB">
        <w:tab/>
        <w:t>(c)</w:t>
      </w:r>
      <w:r w:rsidRPr="004303AB">
        <w:tab/>
        <w:t>a public mobile telecommunications service that enables an end</w:t>
      </w:r>
      <w:r w:rsidR="004303AB">
        <w:noBreakHyphen/>
      </w:r>
      <w:r w:rsidRPr="004303AB">
        <w:t xml:space="preserve">user to access a </w:t>
      </w:r>
      <w:r w:rsidR="00FB3F66" w:rsidRPr="004303AB">
        <w:t>proprietary network</w:t>
      </w:r>
      <w:r w:rsidR="00FE7E46" w:rsidRPr="004303AB">
        <w:t>.</w:t>
      </w:r>
    </w:p>
    <w:p w:rsidR="003925AB" w:rsidRPr="004303AB" w:rsidRDefault="008D786C" w:rsidP="003925AB">
      <w:pPr>
        <w:pStyle w:val="ActHead5"/>
      </w:pPr>
      <w:bookmarkStart w:id="37" w:name="_Toc64297888"/>
      <w:r w:rsidRPr="00E34AC3">
        <w:rPr>
          <w:rStyle w:val="CharSectno"/>
        </w:rPr>
        <w:t>10</w:t>
      </w:r>
      <w:r w:rsidR="003925AB" w:rsidRPr="004303AB">
        <w:t xml:space="preserve">  Fixed or mobile voice or data carriage services</w:t>
      </w:r>
      <w:bookmarkEnd w:id="37"/>
    </w:p>
    <w:p w:rsidR="003925AB" w:rsidRPr="004303AB" w:rsidRDefault="003925AB" w:rsidP="003925AB">
      <w:pPr>
        <w:pStyle w:val="subsection"/>
      </w:pPr>
      <w:r w:rsidRPr="004303AB">
        <w:tab/>
        <w:t>(1)</w:t>
      </w:r>
      <w:r w:rsidRPr="004303AB">
        <w:tab/>
        <w:t>A service provider determination may relate to the interests that customers (including prospective customers) of service providers have in relation to the supply of any of the following carriage services:</w:t>
      </w:r>
    </w:p>
    <w:p w:rsidR="003925AB" w:rsidRPr="004303AB" w:rsidRDefault="003925AB" w:rsidP="003925AB">
      <w:pPr>
        <w:pStyle w:val="paragraph"/>
      </w:pPr>
      <w:r w:rsidRPr="004303AB">
        <w:tab/>
        <w:t>(a)</w:t>
      </w:r>
      <w:r w:rsidRPr="004303AB">
        <w:tab/>
        <w:t>a standard telephone service;</w:t>
      </w:r>
    </w:p>
    <w:p w:rsidR="003925AB" w:rsidRPr="004303AB" w:rsidRDefault="003925AB" w:rsidP="003925AB">
      <w:pPr>
        <w:pStyle w:val="paragraph"/>
      </w:pPr>
      <w:r w:rsidRPr="004303AB">
        <w:tab/>
        <w:t>(b)</w:t>
      </w:r>
      <w:r w:rsidRPr="004303AB">
        <w:tab/>
        <w:t>a public mobile telecommunications service;</w:t>
      </w:r>
    </w:p>
    <w:p w:rsidR="003925AB" w:rsidRPr="004303AB" w:rsidRDefault="003925AB" w:rsidP="003925AB">
      <w:pPr>
        <w:pStyle w:val="paragraph"/>
      </w:pPr>
      <w:r w:rsidRPr="004303AB">
        <w:tab/>
        <w:t>(c)</w:t>
      </w:r>
      <w:r w:rsidRPr="004303AB">
        <w:tab/>
        <w:t>a carriage service that enables customers to access the internet.</w:t>
      </w:r>
    </w:p>
    <w:p w:rsidR="001A4AC5" w:rsidRPr="004303AB" w:rsidRDefault="001A4AC5" w:rsidP="001A4AC5">
      <w:pPr>
        <w:pStyle w:val="notetext"/>
      </w:pPr>
      <w:r w:rsidRPr="004303AB">
        <w:t>Note:</w:t>
      </w:r>
      <w:r w:rsidRPr="004303AB">
        <w:tab/>
        <w:t xml:space="preserve">A service provider determination may limit the circumstances in which rules set out in the determination apply to service providers: </w:t>
      </w:r>
      <w:bookmarkStart w:id="38" w:name="BK_S3P7L23C47"/>
      <w:bookmarkEnd w:id="38"/>
      <w:r w:rsidRPr="004303AB">
        <w:t xml:space="preserve">see </w:t>
      </w:r>
      <w:r w:rsidR="00426B90" w:rsidRPr="004303AB">
        <w:t>subsection 9</w:t>
      </w:r>
      <w:r w:rsidRPr="004303AB">
        <w:t>9(1) of the Act.</w:t>
      </w:r>
    </w:p>
    <w:p w:rsidR="003925AB" w:rsidRPr="004303AB" w:rsidRDefault="003925AB" w:rsidP="003925AB">
      <w:pPr>
        <w:pStyle w:val="subsection"/>
      </w:pPr>
      <w:r w:rsidRPr="004303AB">
        <w:tab/>
        <w:t>(2)</w:t>
      </w:r>
      <w:r w:rsidRPr="004303AB">
        <w:tab/>
        <w:t xml:space="preserve">Without limiting </w:t>
      </w:r>
      <w:r w:rsidR="00426B90" w:rsidRPr="004303AB">
        <w:t>subsection (</w:t>
      </w:r>
      <w:r w:rsidRPr="004303AB">
        <w:t>1), a service provider determination made in relation to the matters specified in that subsection may include rules about the following:</w:t>
      </w:r>
    </w:p>
    <w:p w:rsidR="003925AB" w:rsidRPr="004303AB" w:rsidRDefault="003925AB" w:rsidP="003925AB">
      <w:pPr>
        <w:pStyle w:val="paragraph"/>
      </w:pPr>
      <w:r w:rsidRPr="004303AB">
        <w:tab/>
        <w:t>(a)</w:t>
      </w:r>
      <w:r w:rsidRPr="004303AB">
        <w:tab/>
        <w:t>advertising, marketing or promoting services to customers;</w:t>
      </w:r>
    </w:p>
    <w:p w:rsidR="003925AB" w:rsidRPr="004303AB" w:rsidRDefault="003925AB" w:rsidP="003925AB">
      <w:pPr>
        <w:pStyle w:val="paragraph"/>
      </w:pPr>
      <w:r w:rsidRPr="004303AB">
        <w:tab/>
        <w:t>(b)</w:t>
      </w:r>
      <w:r w:rsidRPr="004303AB">
        <w:tab/>
        <w:t>notifying potential or existing customers about:</w:t>
      </w:r>
    </w:p>
    <w:p w:rsidR="003925AB" w:rsidRPr="004303AB" w:rsidRDefault="003925AB" w:rsidP="003925AB">
      <w:pPr>
        <w:pStyle w:val="paragraphsub"/>
      </w:pPr>
      <w:r w:rsidRPr="004303AB">
        <w:tab/>
        <w:t>(i)</w:t>
      </w:r>
      <w:r w:rsidRPr="004303AB">
        <w:tab/>
        <w:t>the types of services that are available; or</w:t>
      </w:r>
    </w:p>
    <w:p w:rsidR="003925AB" w:rsidRPr="004303AB" w:rsidRDefault="003925AB" w:rsidP="003925AB">
      <w:pPr>
        <w:pStyle w:val="paragraphsub"/>
      </w:pPr>
      <w:r w:rsidRPr="004303AB">
        <w:tab/>
        <w:t>(ii)</w:t>
      </w:r>
      <w:r w:rsidRPr="004303AB">
        <w:tab/>
        <w:t>the terms on which the services are available, including the price of the services;</w:t>
      </w:r>
    </w:p>
    <w:p w:rsidR="003925AB" w:rsidRPr="004303AB" w:rsidRDefault="003925AB" w:rsidP="003925AB">
      <w:pPr>
        <w:pStyle w:val="paragraph"/>
      </w:pPr>
      <w:r w:rsidRPr="004303AB">
        <w:tab/>
        <w:t>(c)</w:t>
      </w:r>
      <w:r w:rsidRPr="004303AB">
        <w:tab/>
        <w:t>enabling a customer to monitor the amount of charges that the customer is accumulating for the services provided;</w:t>
      </w:r>
    </w:p>
    <w:p w:rsidR="003925AB" w:rsidRPr="004303AB" w:rsidRDefault="003925AB" w:rsidP="003925AB">
      <w:pPr>
        <w:pStyle w:val="paragraph"/>
      </w:pPr>
      <w:r w:rsidRPr="004303AB">
        <w:tab/>
        <w:t>(d)</w:t>
      </w:r>
      <w:r w:rsidRPr="004303AB">
        <w:tab/>
        <w:t>disconnecting a customer’s services;</w:t>
      </w:r>
    </w:p>
    <w:p w:rsidR="003925AB" w:rsidRPr="004303AB" w:rsidRDefault="003925AB" w:rsidP="003925AB">
      <w:pPr>
        <w:pStyle w:val="paragraph"/>
      </w:pPr>
      <w:r w:rsidRPr="004303AB">
        <w:tab/>
        <w:t>(e)</w:t>
      </w:r>
      <w:r w:rsidRPr="004303AB">
        <w:tab/>
        <w:t>dealing with a customer’s complaint about services.</w:t>
      </w:r>
    </w:p>
    <w:p w:rsidR="003925AB" w:rsidRPr="004303AB" w:rsidRDefault="008D786C" w:rsidP="003925AB">
      <w:pPr>
        <w:pStyle w:val="ActHead5"/>
      </w:pPr>
      <w:bookmarkStart w:id="39" w:name="_Toc64297889"/>
      <w:r w:rsidRPr="00E34AC3">
        <w:rPr>
          <w:rStyle w:val="CharSectno"/>
        </w:rPr>
        <w:t>11</w:t>
      </w:r>
      <w:r w:rsidR="003925AB" w:rsidRPr="004303AB">
        <w:t xml:space="preserve">  Information relating to the telecommunications industry</w:t>
      </w:r>
      <w:bookmarkEnd w:id="39"/>
    </w:p>
    <w:p w:rsidR="003925AB" w:rsidRPr="004303AB" w:rsidRDefault="003925AB" w:rsidP="003925AB">
      <w:pPr>
        <w:pStyle w:val="subsection"/>
      </w:pPr>
      <w:r w:rsidRPr="004303AB">
        <w:tab/>
      </w:r>
      <w:r w:rsidRPr="004303AB">
        <w:tab/>
        <w:t>A service provider determination may relate to the following matters:</w:t>
      </w:r>
    </w:p>
    <w:p w:rsidR="003925AB" w:rsidRPr="004303AB" w:rsidRDefault="003925AB" w:rsidP="003925AB">
      <w:pPr>
        <w:pStyle w:val="paragraph"/>
      </w:pPr>
      <w:r w:rsidRPr="004303AB">
        <w:tab/>
        <w:t>(a)</w:t>
      </w:r>
      <w:r w:rsidRPr="004303AB">
        <w:tab/>
        <w:t>information relating to the telecommunications industry that a carriage service provider must publish or distribute;</w:t>
      </w:r>
    </w:p>
    <w:p w:rsidR="003925AB" w:rsidRPr="004303AB" w:rsidRDefault="003925AB" w:rsidP="003925AB">
      <w:pPr>
        <w:pStyle w:val="paragraph"/>
      </w:pPr>
      <w:r w:rsidRPr="004303AB">
        <w:tab/>
        <w:t>(b)</w:t>
      </w:r>
      <w:r w:rsidRPr="004303AB">
        <w:tab/>
        <w:t>the way in which a carriage service provider must publish or distribute such information.</w:t>
      </w:r>
    </w:p>
    <w:p w:rsidR="001A4AC5" w:rsidRPr="004303AB" w:rsidRDefault="001A4AC5" w:rsidP="001A4AC5">
      <w:pPr>
        <w:pStyle w:val="notetext"/>
      </w:pPr>
      <w:r w:rsidRPr="004303AB">
        <w:t>Note:</w:t>
      </w:r>
      <w:r w:rsidRPr="004303AB">
        <w:tab/>
        <w:t xml:space="preserve">A service provider determination may limit the circumstances in which rules set out in the determination apply to service providers: </w:t>
      </w:r>
      <w:bookmarkStart w:id="40" w:name="BK_S3P8L2C47"/>
      <w:bookmarkEnd w:id="40"/>
      <w:r w:rsidRPr="004303AB">
        <w:t xml:space="preserve">see </w:t>
      </w:r>
      <w:r w:rsidR="00426B90" w:rsidRPr="004303AB">
        <w:t>subsection 9</w:t>
      </w:r>
      <w:r w:rsidRPr="004303AB">
        <w:t>9(1) of the Act.</w:t>
      </w:r>
    </w:p>
    <w:p w:rsidR="003925AB" w:rsidRPr="004303AB" w:rsidRDefault="008836D6" w:rsidP="003925AB">
      <w:pPr>
        <w:pStyle w:val="ActHead2"/>
        <w:pageBreakBefore/>
      </w:pPr>
      <w:bookmarkStart w:id="41" w:name="_Toc64297890"/>
      <w:r w:rsidRPr="00E34AC3">
        <w:rPr>
          <w:rStyle w:val="CharPartNo"/>
        </w:rPr>
        <w:t>Part 3</w:t>
      </w:r>
      <w:r w:rsidR="003925AB" w:rsidRPr="004303AB">
        <w:t>—</w:t>
      </w:r>
      <w:r w:rsidR="003925AB" w:rsidRPr="00E34AC3">
        <w:rPr>
          <w:rStyle w:val="CharPartText"/>
        </w:rPr>
        <w:t>Industry codes and industry standards</w:t>
      </w:r>
      <w:bookmarkEnd w:id="41"/>
    </w:p>
    <w:p w:rsidR="003925AB" w:rsidRPr="00E34AC3" w:rsidRDefault="003925AB" w:rsidP="003925AB">
      <w:pPr>
        <w:pStyle w:val="Header"/>
      </w:pPr>
      <w:r w:rsidRPr="00E34AC3">
        <w:rPr>
          <w:rStyle w:val="CharDivNo"/>
        </w:rPr>
        <w:t xml:space="preserve"> </w:t>
      </w:r>
      <w:r w:rsidRPr="00E34AC3">
        <w:rPr>
          <w:rStyle w:val="CharDivText"/>
        </w:rPr>
        <w:t xml:space="preserve"> </w:t>
      </w:r>
    </w:p>
    <w:p w:rsidR="003925AB" w:rsidRPr="004303AB" w:rsidRDefault="008D786C" w:rsidP="003925AB">
      <w:pPr>
        <w:pStyle w:val="ActHead5"/>
      </w:pPr>
      <w:bookmarkStart w:id="42" w:name="_Toc64297891"/>
      <w:r w:rsidRPr="00E34AC3">
        <w:rPr>
          <w:rStyle w:val="CharSectno"/>
        </w:rPr>
        <w:t>12</w:t>
      </w:r>
      <w:r w:rsidR="003925AB" w:rsidRPr="004303AB">
        <w:t xml:space="preserve">  Industry codes and industry standards not to deal with certain design features and performance requirements—exception relating to the unconditioned local loop service</w:t>
      </w:r>
      <w:bookmarkEnd w:id="42"/>
    </w:p>
    <w:p w:rsidR="003925AB" w:rsidRPr="004303AB" w:rsidRDefault="003925AB" w:rsidP="003925AB">
      <w:pPr>
        <w:pStyle w:val="subsection"/>
      </w:pPr>
      <w:r w:rsidRPr="004303AB">
        <w:tab/>
        <w:t>(1)</w:t>
      </w:r>
      <w:r w:rsidRPr="004303AB">
        <w:tab/>
        <w:t>For the purposes of subparagraphs 115(2)(a)(iii) and (b)(iii) of the Act, the following matters are specified:</w:t>
      </w:r>
    </w:p>
    <w:p w:rsidR="003925AB" w:rsidRPr="004303AB" w:rsidRDefault="003925AB" w:rsidP="003925AB">
      <w:pPr>
        <w:pStyle w:val="paragraph"/>
      </w:pPr>
      <w:r w:rsidRPr="004303AB">
        <w:tab/>
        <w:t>(a)</w:t>
      </w:r>
      <w:r w:rsidRPr="004303AB">
        <w:tab/>
        <w:t>interference between telecommunications systems that are operated using the unconditioned local loop service;</w:t>
      </w:r>
    </w:p>
    <w:p w:rsidR="003925AB" w:rsidRPr="004303AB" w:rsidRDefault="003925AB" w:rsidP="003925AB">
      <w:pPr>
        <w:pStyle w:val="paragraph"/>
      </w:pPr>
      <w:r w:rsidRPr="004303AB">
        <w:tab/>
        <w:t>(b)</w:t>
      </w:r>
      <w:r w:rsidRPr="004303AB">
        <w:tab/>
        <w:t>the health and safety of a person operating or working on a telecommunications network or a facility that incorporates, or is used with, the unconditioned local loop service;</w:t>
      </w:r>
    </w:p>
    <w:p w:rsidR="003925AB" w:rsidRPr="004303AB" w:rsidRDefault="003925AB" w:rsidP="003925AB">
      <w:pPr>
        <w:pStyle w:val="paragraph"/>
      </w:pPr>
      <w:r w:rsidRPr="004303AB">
        <w:tab/>
        <w:t>(c)</w:t>
      </w:r>
      <w:r w:rsidRPr="004303AB">
        <w:tab/>
        <w:t>the integrity of a telecommunications network or a facility that incorporates, or is used with, the unconditioned local loop service.</w:t>
      </w:r>
    </w:p>
    <w:p w:rsidR="003925AB" w:rsidRPr="004303AB" w:rsidRDefault="003925AB" w:rsidP="003925AB">
      <w:pPr>
        <w:pStyle w:val="subsection"/>
      </w:pPr>
      <w:r w:rsidRPr="004303AB">
        <w:tab/>
        <w:t>(2)</w:t>
      </w:r>
      <w:r w:rsidRPr="004303AB">
        <w:tab/>
        <w:t xml:space="preserve">The </w:t>
      </w:r>
      <w:r w:rsidRPr="004303AB">
        <w:rPr>
          <w:b/>
          <w:i/>
        </w:rPr>
        <w:t>unconditioned local loop service</w:t>
      </w:r>
      <w:r w:rsidRPr="004303AB">
        <w:t xml:space="preserve"> is the service of that name declared by the ACCC under subsection 152AL(3) of the </w:t>
      </w:r>
      <w:r w:rsidRPr="004303AB">
        <w:rPr>
          <w:i/>
        </w:rPr>
        <w:t>Competition and Consumer Act 2010</w:t>
      </w:r>
      <w:r w:rsidRPr="004303AB">
        <w:t xml:space="preserve"> to be a declared service.</w:t>
      </w:r>
    </w:p>
    <w:p w:rsidR="003925AB" w:rsidRPr="004303AB" w:rsidRDefault="008D786C" w:rsidP="003925AB">
      <w:pPr>
        <w:pStyle w:val="ActHead5"/>
      </w:pPr>
      <w:bookmarkStart w:id="43" w:name="_Toc64297892"/>
      <w:r w:rsidRPr="00E34AC3">
        <w:rPr>
          <w:rStyle w:val="CharSectno"/>
        </w:rPr>
        <w:t>13</w:t>
      </w:r>
      <w:r w:rsidR="003925AB" w:rsidRPr="004303AB">
        <w:t xml:space="preserve">  Industry codes and industry standards not to deal with certain design features and performance requirements—exception relating to next</w:t>
      </w:r>
      <w:r w:rsidR="004303AB">
        <w:noBreakHyphen/>
      </w:r>
      <w:r w:rsidR="003925AB" w:rsidRPr="004303AB">
        <w:t>generation broadband services</w:t>
      </w:r>
      <w:bookmarkEnd w:id="43"/>
    </w:p>
    <w:p w:rsidR="003925AB" w:rsidRPr="004303AB" w:rsidRDefault="003925AB" w:rsidP="003925AB">
      <w:pPr>
        <w:pStyle w:val="subsection"/>
      </w:pPr>
      <w:r w:rsidRPr="004303AB">
        <w:tab/>
        <w:t>(1)</w:t>
      </w:r>
      <w:r w:rsidRPr="004303AB">
        <w:tab/>
        <w:t>For the purposes of subparagraphs 115(2)(a)(iii) and (b)(iii) of the Act, the following matters are specified:</w:t>
      </w:r>
    </w:p>
    <w:p w:rsidR="003925AB" w:rsidRPr="004303AB" w:rsidRDefault="003925AB" w:rsidP="003925AB">
      <w:pPr>
        <w:pStyle w:val="paragraph"/>
      </w:pPr>
      <w:r w:rsidRPr="004303AB">
        <w:tab/>
        <w:t>(a)</w:t>
      </w:r>
      <w:r w:rsidRPr="004303AB">
        <w:tab/>
        <w:t>interference between telecommunications systems being operated to supply any of the following:</w:t>
      </w:r>
    </w:p>
    <w:p w:rsidR="003925AB" w:rsidRPr="004303AB" w:rsidRDefault="003925AB" w:rsidP="003925AB">
      <w:pPr>
        <w:pStyle w:val="paragraphsub"/>
      </w:pPr>
      <w:r w:rsidRPr="004303AB">
        <w:tab/>
        <w:t>(i)</w:t>
      </w:r>
      <w:r w:rsidRPr="004303AB">
        <w:tab/>
        <w:t>next</w:t>
      </w:r>
      <w:r w:rsidR="004303AB">
        <w:noBreakHyphen/>
      </w:r>
      <w:r w:rsidRPr="004303AB">
        <w:t>generation broadband services;</w:t>
      </w:r>
    </w:p>
    <w:p w:rsidR="003925AB" w:rsidRPr="004303AB" w:rsidRDefault="003925AB" w:rsidP="003925AB">
      <w:pPr>
        <w:pStyle w:val="paragraphsub"/>
      </w:pPr>
      <w:r w:rsidRPr="004303AB">
        <w:tab/>
        <w:t>(ii)</w:t>
      </w:r>
      <w:r w:rsidRPr="004303AB">
        <w:tab/>
        <w:t>legacy services;</w:t>
      </w:r>
    </w:p>
    <w:p w:rsidR="003925AB" w:rsidRPr="004303AB" w:rsidRDefault="003925AB" w:rsidP="003925AB">
      <w:pPr>
        <w:pStyle w:val="paragraphsub"/>
      </w:pPr>
      <w:r w:rsidRPr="004303AB">
        <w:tab/>
        <w:t>(iii)</w:t>
      </w:r>
      <w:r w:rsidRPr="004303AB">
        <w:tab/>
        <w:t>any other carriage services supplied over twisted pair cables;</w:t>
      </w:r>
    </w:p>
    <w:p w:rsidR="003925AB" w:rsidRPr="004303AB" w:rsidRDefault="003925AB" w:rsidP="003925AB">
      <w:pPr>
        <w:pStyle w:val="paragraph"/>
      </w:pPr>
      <w:r w:rsidRPr="004303AB">
        <w:tab/>
        <w:t>(b)</w:t>
      </w:r>
      <w:r w:rsidRPr="004303AB">
        <w:tab/>
        <w:t>the health and safety of a person operating or working on customer equipment, customer cabling, a telecommunications network or a facility that incorporates, or is used with, a next</w:t>
      </w:r>
      <w:r w:rsidR="004303AB">
        <w:noBreakHyphen/>
      </w:r>
      <w:r w:rsidRPr="004303AB">
        <w:t>generation broadband service;</w:t>
      </w:r>
    </w:p>
    <w:p w:rsidR="003925AB" w:rsidRPr="004303AB" w:rsidRDefault="003925AB" w:rsidP="003925AB">
      <w:pPr>
        <w:pStyle w:val="paragraph"/>
      </w:pPr>
      <w:r w:rsidRPr="004303AB">
        <w:tab/>
        <w:t>(c)</w:t>
      </w:r>
      <w:r w:rsidRPr="004303AB">
        <w:tab/>
        <w:t>the integrity of customer equipment, customer cabling, a telecommunications network or a facility that incorporates, or is used with, a next</w:t>
      </w:r>
      <w:r w:rsidR="004303AB">
        <w:noBreakHyphen/>
      </w:r>
      <w:r w:rsidRPr="004303AB">
        <w:t>generation broadband service.</w:t>
      </w:r>
    </w:p>
    <w:p w:rsidR="003925AB" w:rsidRPr="004303AB" w:rsidRDefault="003925AB" w:rsidP="003925AB">
      <w:pPr>
        <w:pStyle w:val="subsection"/>
      </w:pPr>
      <w:r w:rsidRPr="004303AB">
        <w:tab/>
        <w:t>(2)</w:t>
      </w:r>
      <w:r w:rsidRPr="004303AB">
        <w:tab/>
        <w:t xml:space="preserve">A </w:t>
      </w:r>
      <w:r w:rsidRPr="004303AB">
        <w:rPr>
          <w:b/>
          <w:i/>
        </w:rPr>
        <w:t>next</w:t>
      </w:r>
      <w:r w:rsidR="004303AB">
        <w:rPr>
          <w:b/>
          <w:i/>
        </w:rPr>
        <w:noBreakHyphen/>
      </w:r>
      <w:r w:rsidRPr="004303AB">
        <w:rPr>
          <w:b/>
          <w:i/>
        </w:rPr>
        <w:t>generation broadband service</w:t>
      </w:r>
      <w:r w:rsidRPr="004303AB">
        <w:t xml:space="preserve"> is any of the following services:</w:t>
      </w:r>
    </w:p>
    <w:p w:rsidR="003925AB" w:rsidRPr="004303AB" w:rsidRDefault="003925AB" w:rsidP="003925AB">
      <w:pPr>
        <w:pStyle w:val="paragraph"/>
      </w:pPr>
      <w:r w:rsidRPr="004303AB">
        <w:tab/>
        <w:t>(a)</w:t>
      </w:r>
      <w:r w:rsidRPr="004303AB">
        <w:tab/>
        <w:t>VDSL (very high</w:t>
      </w:r>
      <w:r w:rsidR="004303AB">
        <w:noBreakHyphen/>
      </w:r>
      <w:r w:rsidRPr="004303AB">
        <w:t>speed digital subscriber line);</w:t>
      </w:r>
    </w:p>
    <w:p w:rsidR="003925AB" w:rsidRPr="004303AB" w:rsidRDefault="003925AB" w:rsidP="003925AB">
      <w:pPr>
        <w:pStyle w:val="paragraph"/>
      </w:pPr>
      <w:r w:rsidRPr="004303AB">
        <w:tab/>
        <w:t>(b)</w:t>
      </w:r>
      <w:r w:rsidRPr="004303AB">
        <w:tab/>
        <w:t>VDSL2;</w:t>
      </w:r>
    </w:p>
    <w:p w:rsidR="003925AB" w:rsidRPr="004303AB" w:rsidRDefault="003925AB" w:rsidP="003925AB">
      <w:pPr>
        <w:pStyle w:val="paragraph"/>
      </w:pPr>
      <w:r w:rsidRPr="004303AB">
        <w:tab/>
        <w:t>(c)</w:t>
      </w:r>
      <w:r w:rsidRPr="004303AB">
        <w:tab/>
        <w:t>VDSL2 with vectoring;</w:t>
      </w:r>
    </w:p>
    <w:p w:rsidR="003925AB" w:rsidRPr="004303AB" w:rsidRDefault="003925AB" w:rsidP="003925AB">
      <w:pPr>
        <w:pStyle w:val="paragraph"/>
      </w:pPr>
      <w:r w:rsidRPr="004303AB">
        <w:tab/>
        <w:t>(d)</w:t>
      </w:r>
      <w:r w:rsidRPr="004303AB">
        <w:tab/>
        <w:t>G.fast;</w:t>
      </w:r>
    </w:p>
    <w:p w:rsidR="003925AB" w:rsidRPr="004303AB" w:rsidRDefault="003925AB" w:rsidP="003925AB">
      <w:pPr>
        <w:pStyle w:val="paragraph"/>
      </w:pPr>
      <w:r w:rsidRPr="004303AB">
        <w:tab/>
        <w:t>(e)</w:t>
      </w:r>
      <w:r w:rsidRPr="004303AB">
        <w:tab/>
        <w:t>a service that uses a successor technology to any other next</w:t>
      </w:r>
      <w:r w:rsidR="004303AB">
        <w:noBreakHyphen/>
      </w:r>
      <w:r w:rsidRPr="004303AB">
        <w:t>generation broadband service.</w:t>
      </w:r>
    </w:p>
    <w:p w:rsidR="003925AB" w:rsidRPr="004303AB" w:rsidRDefault="003925AB" w:rsidP="003925AB">
      <w:pPr>
        <w:pStyle w:val="subsection"/>
      </w:pPr>
      <w:r w:rsidRPr="004303AB">
        <w:tab/>
        <w:t>(3)</w:t>
      </w:r>
      <w:r w:rsidRPr="004303AB">
        <w:tab/>
        <w:t xml:space="preserve">A </w:t>
      </w:r>
      <w:r w:rsidRPr="004303AB">
        <w:rPr>
          <w:b/>
          <w:i/>
        </w:rPr>
        <w:t>legacy service</w:t>
      </w:r>
      <w:r w:rsidRPr="004303AB">
        <w:t xml:space="preserve"> is any of the following services:</w:t>
      </w:r>
    </w:p>
    <w:p w:rsidR="003925AB" w:rsidRPr="004303AB" w:rsidRDefault="003925AB" w:rsidP="003925AB">
      <w:pPr>
        <w:pStyle w:val="paragraph"/>
      </w:pPr>
      <w:r w:rsidRPr="004303AB">
        <w:tab/>
        <w:t>(a)</w:t>
      </w:r>
      <w:r w:rsidRPr="004303AB">
        <w:tab/>
        <w:t>PSTN (public switched telephone network);</w:t>
      </w:r>
    </w:p>
    <w:p w:rsidR="003925AB" w:rsidRPr="004303AB" w:rsidRDefault="003925AB" w:rsidP="003925AB">
      <w:pPr>
        <w:pStyle w:val="paragraph"/>
      </w:pPr>
      <w:r w:rsidRPr="004303AB">
        <w:tab/>
        <w:t>(b)</w:t>
      </w:r>
      <w:r w:rsidRPr="004303AB">
        <w:tab/>
        <w:t>ADSL (asymmetric digital subscriber line);</w:t>
      </w:r>
    </w:p>
    <w:p w:rsidR="003925AB" w:rsidRPr="004303AB" w:rsidRDefault="003925AB" w:rsidP="003925AB">
      <w:pPr>
        <w:pStyle w:val="paragraph"/>
      </w:pPr>
      <w:r w:rsidRPr="004303AB">
        <w:tab/>
        <w:t>(c)</w:t>
      </w:r>
      <w:r w:rsidRPr="004303AB">
        <w:tab/>
        <w:t>ADSL2;</w:t>
      </w:r>
    </w:p>
    <w:p w:rsidR="003925AB" w:rsidRPr="004303AB" w:rsidRDefault="003925AB" w:rsidP="003925AB">
      <w:pPr>
        <w:pStyle w:val="paragraph"/>
      </w:pPr>
      <w:r w:rsidRPr="004303AB">
        <w:tab/>
        <w:t>(d)</w:t>
      </w:r>
      <w:r w:rsidRPr="004303AB">
        <w:tab/>
        <w:t>ADSL2+;</w:t>
      </w:r>
    </w:p>
    <w:p w:rsidR="003925AB" w:rsidRPr="004303AB" w:rsidRDefault="003925AB" w:rsidP="003925AB">
      <w:pPr>
        <w:pStyle w:val="paragraph"/>
      </w:pPr>
      <w:r w:rsidRPr="004303AB">
        <w:tab/>
        <w:t>(e)</w:t>
      </w:r>
      <w:r w:rsidRPr="004303AB">
        <w:tab/>
        <w:t>SHDSL (single pair high</w:t>
      </w:r>
      <w:r w:rsidR="004303AB">
        <w:noBreakHyphen/>
      </w:r>
      <w:r w:rsidRPr="004303AB">
        <w:t>speed digital subscriber line);</w:t>
      </w:r>
    </w:p>
    <w:p w:rsidR="003925AB" w:rsidRPr="004303AB" w:rsidRDefault="003925AB" w:rsidP="003925AB">
      <w:pPr>
        <w:pStyle w:val="paragraph"/>
      </w:pPr>
      <w:r w:rsidRPr="004303AB">
        <w:tab/>
        <w:t>(f)</w:t>
      </w:r>
      <w:r w:rsidRPr="004303AB">
        <w:tab/>
        <w:t>ISDN (integrated services digital network);</w:t>
      </w:r>
    </w:p>
    <w:p w:rsidR="003925AB" w:rsidRPr="004303AB" w:rsidRDefault="003925AB" w:rsidP="003925AB">
      <w:pPr>
        <w:pStyle w:val="paragraph"/>
      </w:pPr>
      <w:r w:rsidRPr="004303AB">
        <w:tab/>
        <w:t>(g)</w:t>
      </w:r>
      <w:r w:rsidRPr="004303AB">
        <w:tab/>
        <w:t>another service (other than VDSL) covered by the Communications Alliance Industry Code C559:2012 “Unconditioned Local Loop Service (ULLS) Network Deployment”, as registered by the ACMA on 16 May 2012 under section 117 of the Act.</w:t>
      </w:r>
    </w:p>
    <w:p w:rsidR="003925AB" w:rsidRPr="004303AB" w:rsidRDefault="00426B90" w:rsidP="003925AB">
      <w:pPr>
        <w:pStyle w:val="ActHead2"/>
        <w:pageBreakBefore/>
      </w:pPr>
      <w:bookmarkStart w:id="44" w:name="_Toc64297893"/>
      <w:r w:rsidRPr="00E34AC3">
        <w:rPr>
          <w:rStyle w:val="CharPartNo"/>
        </w:rPr>
        <w:t>Part 4</w:t>
      </w:r>
      <w:r w:rsidR="003925AB" w:rsidRPr="004303AB">
        <w:t>—</w:t>
      </w:r>
      <w:r w:rsidR="003925AB" w:rsidRPr="00E34AC3">
        <w:rPr>
          <w:rStyle w:val="CharPartText"/>
        </w:rPr>
        <w:t>Protection of communications</w:t>
      </w:r>
      <w:bookmarkEnd w:id="44"/>
    </w:p>
    <w:p w:rsidR="003925AB" w:rsidRPr="004303AB" w:rsidRDefault="003925AB" w:rsidP="003925AB">
      <w:pPr>
        <w:pStyle w:val="ActHead3"/>
      </w:pPr>
      <w:bookmarkStart w:id="45" w:name="_Toc64297894"/>
      <w:r w:rsidRPr="00E34AC3">
        <w:rPr>
          <w:rStyle w:val="CharDivNo"/>
        </w:rPr>
        <w:t>Division 1</w:t>
      </w:r>
      <w:r w:rsidRPr="004303AB">
        <w:t>—</w:t>
      </w:r>
      <w:r w:rsidRPr="00E34AC3">
        <w:rPr>
          <w:rStyle w:val="CharDivText"/>
        </w:rPr>
        <w:t>Exceptions to primary disclosure/use offences</w:t>
      </w:r>
      <w:bookmarkEnd w:id="45"/>
    </w:p>
    <w:p w:rsidR="003925AB" w:rsidRPr="004303AB" w:rsidRDefault="008D786C" w:rsidP="003925AB">
      <w:pPr>
        <w:pStyle w:val="ActHead5"/>
      </w:pPr>
      <w:bookmarkStart w:id="46" w:name="_Toc64297895"/>
      <w:r w:rsidRPr="00E34AC3">
        <w:rPr>
          <w:rStyle w:val="CharSectno"/>
        </w:rPr>
        <w:t>14</w:t>
      </w:r>
      <w:r w:rsidR="003925AB" w:rsidRPr="004303AB">
        <w:t xml:space="preserve">  Disclosures to a National Relay Service provider</w:t>
      </w:r>
      <w:bookmarkEnd w:id="46"/>
    </w:p>
    <w:p w:rsidR="003925AB" w:rsidRPr="004303AB" w:rsidRDefault="003925AB" w:rsidP="003925AB">
      <w:pPr>
        <w:pStyle w:val="subsection"/>
      </w:pPr>
      <w:r w:rsidRPr="004303AB">
        <w:tab/>
        <w:t>(1)</w:t>
      </w:r>
      <w:r w:rsidRPr="004303AB">
        <w:tab/>
        <w:t xml:space="preserve">For the purposes of </w:t>
      </w:r>
      <w:r w:rsidR="002F008E" w:rsidRPr="004303AB">
        <w:t>subsection 2</w:t>
      </w:r>
      <w:r w:rsidRPr="004303AB">
        <w:t xml:space="preserve">92(1) of the Act, this section specifies circumstances in which </w:t>
      </w:r>
      <w:r w:rsidR="002F008E" w:rsidRPr="004303AB">
        <w:t>section 2</w:t>
      </w:r>
      <w:r w:rsidRPr="004303AB">
        <w:t xml:space="preserve">76 of the Act does not prohibit a disclosure </w:t>
      </w:r>
      <w:r w:rsidR="00036410" w:rsidRPr="004303AB">
        <w:t xml:space="preserve">or use </w:t>
      </w:r>
      <w:r w:rsidRPr="004303AB">
        <w:t>of information or a document.</w:t>
      </w:r>
    </w:p>
    <w:p w:rsidR="003925AB" w:rsidRPr="004303AB" w:rsidRDefault="003925AB" w:rsidP="003925AB">
      <w:pPr>
        <w:pStyle w:val="subsection"/>
      </w:pPr>
      <w:r w:rsidRPr="004303AB">
        <w:tab/>
        <w:t>(2)</w:t>
      </w:r>
      <w:r w:rsidRPr="004303AB">
        <w:tab/>
        <w:t>Section 276 of the Act does not prohibit the disclosure</w:t>
      </w:r>
      <w:r w:rsidR="00BE1826" w:rsidRPr="004303AB">
        <w:t xml:space="preserve"> </w:t>
      </w:r>
      <w:r w:rsidR="00036410" w:rsidRPr="004303AB">
        <w:t xml:space="preserve">or use </w:t>
      </w:r>
      <w:r w:rsidRPr="004303AB">
        <w:t>of information or a document if:</w:t>
      </w:r>
    </w:p>
    <w:p w:rsidR="003925AB" w:rsidRPr="004303AB" w:rsidRDefault="003925AB" w:rsidP="003925AB">
      <w:pPr>
        <w:pStyle w:val="paragraph"/>
      </w:pPr>
      <w:r w:rsidRPr="004303AB">
        <w:tab/>
        <w:t>(a)</w:t>
      </w:r>
      <w:r w:rsidRPr="004303AB">
        <w:tab/>
        <w:t>the</w:t>
      </w:r>
      <w:r w:rsidR="00BE1826" w:rsidRPr="004303AB">
        <w:t xml:space="preserve"> </w:t>
      </w:r>
      <w:r w:rsidR="00036410" w:rsidRPr="004303AB">
        <w:t xml:space="preserve">information or document is disclosed </w:t>
      </w:r>
      <w:r w:rsidRPr="004303AB">
        <w:t>by or on behalf of a carrier or carriage service provider; and</w:t>
      </w:r>
    </w:p>
    <w:p w:rsidR="003925AB" w:rsidRPr="004303AB" w:rsidRDefault="003925AB" w:rsidP="003925AB">
      <w:pPr>
        <w:pStyle w:val="paragraph"/>
      </w:pPr>
      <w:r w:rsidRPr="004303AB">
        <w:tab/>
        <w:t>(b)</w:t>
      </w:r>
      <w:r w:rsidRPr="004303AB">
        <w:tab/>
        <w:t xml:space="preserve">the </w:t>
      </w:r>
      <w:r w:rsidR="00036410" w:rsidRPr="004303AB">
        <w:t xml:space="preserve">information or document is disclosed </w:t>
      </w:r>
      <w:r w:rsidRPr="004303AB">
        <w:t xml:space="preserve">to a person (the </w:t>
      </w:r>
      <w:r w:rsidRPr="004303AB">
        <w:rPr>
          <w:b/>
          <w:i/>
        </w:rPr>
        <w:t>NRS provider</w:t>
      </w:r>
      <w:r w:rsidRPr="004303AB">
        <w:t>) who provides the whole, or a part of, the National Relay Service; and</w:t>
      </w:r>
    </w:p>
    <w:p w:rsidR="003925AB" w:rsidRPr="004303AB" w:rsidRDefault="003925AB" w:rsidP="003925AB">
      <w:pPr>
        <w:pStyle w:val="paragraph"/>
      </w:pPr>
      <w:r w:rsidRPr="004303AB">
        <w:tab/>
        <w:t>(c)</w:t>
      </w:r>
      <w:r w:rsidRPr="004303AB">
        <w:tab/>
        <w:t>the information or document relates to the use of the National Relay Service by another person; and</w:t>
      </w:r>
    </w:p>
    <w:p w:rsidR="003925AB" w:rsidRPr="004303AB" w:rsidRDefault="003925AB" w:rsidP="003925AB">
      <w:pPr>
        <w:pStyle w:val="paragraph"/>
      </w:pPr>
      <w:r w:rsidRPr="004303AB">
        <w:tab/>
        <w:t>(d)</w:t>
      </w:r>
      <w:r w:rsidRPr="004303AB">
        <w:tab/>
        <w:t>the disclosure</w:t>
      </w:r>
      <w:r w:rsidR="00036410" w:rsidRPr="004303AB">
        <w:t xml:space="preserve"> or use of the information or document </w:t>
      </w:r>
      <w:r w:rsidRPr="004303AB">
        <w:t>is for the purpose of, or connected with, the supply, or proposed supply, of the National Relay Service to that other person by the NRS provider.</w:t>
      </w:r>
    </w:p>
    <w:p w:rsidR="003925AB" w:rsidRPr="004303AB" w:rsidRDefault="008D786C" w:rsidP="003925AB">
      <w:pPr>
        <w:pStyle w:val="ActHead5"/>
      </w:pPr>
      <w:bookmarkStart w:id="47" w:name="_Toc64297896"/>
      <w:r w:rsidRPr="00E34AC3">
        <w:rPr>
          <w:rStyle w:val="CharSectno"/>
        </w:rPr>
        <w:t>15</w:t>
      </w:r>
      <w:r w:rsidR="003925AB" w:rsidRPr="004303AB">
        <w:t xml:space="preserve">  Disclosures of unlisted mobile number information to authorised research entity</w:t>
      </w:r>
      <w:bookmarkEnd w:id="47"/>
    </w:p>
    <w:p w:rsidR="003925AB" w:rsidRPr="004303AB" w:rsidRDefault="003925AB" w:rsidP="003925AB">
      <w:pPr>
        <w:pStyle w:val="subsection"/>
      </w:pPr>
      <w:r w:rsidRPr="004303AB">
        <w:tab/>
        <w:t>(1)</w:t>
      </w:r>
      <w:r w:rsidRPr="004303AB">
        <w:tab/>
        <w:t xml:space="preserve">For the purposes of </w:t>
      </w:r>
      <w:r w:rsidR="002F008E" w:rsidRPr="004303AB">
        <w:t>subsection 2</w:t>
      </w:r>
      <w:r w:rsidRPr="004303AB">
        <w:t xml:space="preserve">92(1) of the Act, this section specifies circumstances in which </w:t>
      </w:r>
      <w:r w:rsidR="002F008E" w:rsidRPr="004303AB">
        <w:t>section 2</w:t>
      </w:r>
      <w:r w:rsidRPr="004303AB">
        <w:t xml:space="preserve">76 of the Act does not prohibit a disclosure </w:t>
      </w:r>
      <w:r w:rsidR="00232F96" w:rsidRPr="004303AB">
        <w:t xml:space="preserve">or use </w:t>
      </w:r>
      <w:r w:rsidRPr="004303AB">
        <w:t>of information or a document.</w:t>
      </w:r>
    </w:p>
    <w:p w:rsidR="003925AB" w:rsidRPr="004303AB" w:rsidRDefault="003925AB" w:rsidP="003925AB">
      <w:pPr>
        <w:pStyle w:val="subsection"/>
      </w:pPr>
      <w:r w:rsidRPr="004303AB">
        <w:tab/>
        <w:t>(2)</w:t>
      </w:r>
      <w:r w:rsidRPr="004303AB">
        <w:tab/>
        <w:t xml:space="preserve">Section 276 of the Act does not prohibit the disclosure </w:t>
      </w:r>
      <w:r w:rsidR="00232F96" w:rsidRPr="004303AB">
        <w:t xml:space="preserve">or use </w:t>
      </w:r>
      <w:r w:rsidRPr="004303AB">
        <w:t>of information or a document if:</w:t>
      </w:r>
    </w:p>
    <w:p w:rsidR="003925AB" w:rsidRPr="004303AB" w:rsidRDefault="003925AB" w:rsidP="003925AB">
      <w:pPr>
        <w:pStyle w:val="paragraph"/>
      </w:pPr>
      <w:r w:rsidRPr="004303AB">
        <w:tab/>
        <w:t>(a)</w:t>
      </w:r>
      <w:r w:rsidRPr="004303AB">
        <w:tab/>
        <w:t xml:space="preserve">the </w:t>
      </w:r>
      <w:r w:rsidR="00232F96" w:rsidRPr="004303AB">
        <w:t xml:space="preserve">information or document is disclosed </w:t>
      </w:r>
      <w:r w:rsidRPr="004303AB">
        <w:t>by Telstra to an authorised research entity; and</w:t>
      </w:r>
    </w:p>
    <w:p w:rsidR="003925AB" w:rsidRPr="004303AB" w:rsidRDefault="003925AB" w:rsidP="003925AB">
      <w:pPr>
        <w:pStyle w:val="paragraph"/>
      </w:pPr>
      <w:r w:rsidRPr="004303AB">
        <w:tab/>
        <w:t>(b)</w:t>
      </w:r>
      <w:r w:rsidRPr="004303AB">
        <w:tab/>
        <w:t>the information is, or the document consists of, authorised unlisted mobile number information.</w:t>
      </w:r>
    </w:p>
    <w:p w:rsidR="003925AB" w:rsidRPr="004303AB" w:rsidRDefault="008D786C" w:rsidP="003925AB">
      <w:pPr>
        <w:pStyle w:val="ActHead5"/>
      </w:pPr>
      <w:bookmarkStart w:id="48" w:name="_Toc64297897"/>
      <w:r w:rsidRPr="00E34AC3">
        <w:rPr>
          <w:rStyle w:val="CharSectno"/>
        </w:rPr>
        <w:t>16</w:t>
      </w:r>
      <w:r w:rsidR="003925AB" w:rsidRPr="004303AB">
        <w:t xml:space="preserve">  Disclosures by emergency call persons—research about emergency service numbers</w:t>
      </w:r>
      <w:bookmarkEnd w:id="48"/>
    </w:p>
    <w:p w:rsidR="003925AB" w:rsidRPr="004303AB" w:rsidRDefault="003925AB" w:rsidP="003925AB">
      <w:pPr>
        <w:pStyle w:val="subsection"/>
      </w:pPr>
      <w:r w:rsidRPr="004303AB">
        <w:tab/>
        <w:t>(1)</w:t>
      </w:r>
      <w:r w:rsidRPr="004303AB">
        <w:tab/>
        <w:t xml:space="preserve">For the purposes of </w:t>
      </w:r>
      <w:r w:rsidR="002F008E" w:rsidRPr="004303AB">
        <w:t>subsection 2</w:t>
      </w:r>
      <w:r w:rsidRPr="004303AB">
        <w:t xml:space="preserve">92(3) of the Act, this section specifies circumstances in which </w:t>
      </w:r>
      <w:r w:rsidR="002F008E" w:rsidRPr="004303AB">
        <w:t>section 2</w:t>
      </w:r>
      <w:r w:rsidRPr="004303AB">
        <w:t xml:space="preserve">78 of the Act does not prohibit a disclosure </w:t>
      </w:r>
      <w:r w:rsidR="00232F96" w:rsidRPr="004303AB">
        <w:t xml:space="preserve">or use </w:t>
      </w:r>
      <w:r w:rsidRPr="004303AB">
        <w:t>of information or a document.</w:t>
      </w:r>
    </w:p>
    <w:p w:rsidR="003925AB" w:rsidRPr="004303AB" w:rsidRDefault="003925AB" w:rsidP="003925AB">
      <w:pPr>
        <w:pStyle w:val="subsection"/>
      </w:pPr>
      <w:r w:rsidRPr="004303AB">
        <w:tab/>
        <w:t>(2)</w:t>
      </w:r>
      <w:r w:rsidRPr="004303AB">
        <w:tab/>
        <w:t xml:space="preserve">Section 278 of the Act does not prohibit the disclosure </w:t>
      </w:r>
      <w:r w:rsidR="00232F96" w:rsidRPr="004303AB">
        <w:t xml:space="preserve">or use </w:t>
      </w:r>
      <w:r w:rsidRPr="004303AB">
        <w:t>of information or a document if:</w:t>
      </w:r>
    </w:p>
    <w:p w:rsidR="003925AB" w:rsidRPr="004303AB" w:rsidRDefault="003925AB" w:rsidP="003925AB">
      <w:pPr>
        <w:pStyle w:val="paragraph"/>
      </w:pPr>
      <w:r w:rsidRPr="004303AB">
        <w:tab/>
        <w:t>(a)</w:t>
      </w:r>
      <w:r w:rsidRPr="004303AB">
        <w:tab/>
        <w:t xml:space="preserve">the </w:t>
      </w:r>
      <w:r w:rsidR="00232F96" w:rsidRPr="004303AB">
        <w:t xml:space="preserve">information or document is disclosed </w:t>
      </w:r>
      <w:r w:rsidRPr="004303AB">
        <w:t>by an emergency call person; and</w:t>
      </w:r>
    </w:p>
    <w:p w:rsidR="003925AB" w:rsidRPr="004303AB" w:rsidRDefault="003925AB" w:rsidP="003925AB">
      <w:pPr>
        <w:pStyle w:val="paragraph"/>
      </w:pPr>
      <w:r w:rsidRPr="004303AB">
        <w:tab/>
        <w:t>(b)</w:t>
      </w:r>
      <w:r w:rsidRPr="004303AB">
        <w:tab/>
      </w:r>
      <w:r w:rsidR="00232F96" w:rsidRPr="004303AB">
        <w:t xml:space="preserve">the information or document is disclosed </w:t>
      </w:r>
      <w:r w:rsidRPr="004303AB">
        <w:t xml:space="preserve">to a person (the </w:t>
      </w:r>
      <w:r w:rsidRPr="004303AB">
        <w:rPr>
          <w:b/>
          <w:i/>
        </w:rPr>
        <w:t>researcher</w:t>
      </w:r>
      <w:r w:rsidRPr="004303AB">
        <w:t>) who is engaged by the ACMA to conduct research, of a kind specified by the ACMA, into the way in which emergency service numbers are dialled or used; and</w:t>
      </w:r>
    </w:p>
    <w:p w:rsidR="003925AB" w:rsidRPr="004303AB" w:rsidRDefault="003925AB" w:rsidP="003925AB">
      <w:pPr>
        <w:pStyle w:val="paragraph"/>
      </w:pPr>
      <w:r w:rsidRPr="004303AB">
        <w:tab/>
        <w:t>(c)</w:t>
      </w:r>
      <w:r w:rsidRPr="004303AB">
        <w:tab/>
        <w:t xml:space="preserve">the </w:t>
      </w:r>
      <w:r w:rsidR="00C528A5" w:rsidRPr="004303AB">
        <w:t xml:space="preserve">information or document is disclosed </w:t>
      </w:r>
      <w:r w:rsidRPr="004303AB">
        <w:t>solely for the purpose of allowing the researcher to conduct the research; and</w:t>
      </w:r>
    </w:p>
    <w:p w:rsidR="003925AB" w:rsidRPr="004303AB" w:rsidRDefault="003925AB" w:rsidP="003925AB">
      <w:pPr>
        <w:pStyle w:val="paragraph"/>
      </w:pPr>
      <w:r w:rsidRPr="004303AB">
        <w:tab/>
        <w:t>(d)</w:t>
      </w:r>
      <w:r w:rsidRPr="004303AB">
        <w:tab/>
        <w:t>the ACMA and the researcher have agreed</w:t>
      </w:r>
      <w:r w:rsidR="00804BC8" w:rsidRPr="004303AB">
        <w:t xml:space="preserve"> in writing</w:t>
      </w:r>
      <w:r w:rsidRPr="004303AB">
        <w:t xml:space="preserve"> that:</w:t>
      </w:r>
    </w:p>
    <w:p w:rsidR="003925AB" w:rsidRPr="004303AB" w:rsidRDefault="003925AB" w:rsidP="003925AB">
      <w:pPr>
        <w:pStyle w:val="paragraphsub"/>
      </w:pPr>
      <w:r w:rsidRPr="004303AB">
        <w:tab/>
        <w:t>(i)</w:t>
      </w:r>
      <w:r w:rsidRPr="004303AB">
        <w:tab/>
        <w:t>the research for which the researcher is engaged is to be finished not later than 12 months after the researcher starts the research; and</w:t>
      </w:r>
    </w:p>
    <w:p w:rsidR="003925AB" w:rsidRPr="004303AB" w:rsidRDefault="003925AB" w:rsidP="003925AB">
      <w:pPr>
        <w:pStyle w:val="paragraphsub"/>
      </w:pPr>
      <w:r w:rsidRPr="004303AB">
        <w:tab/>
        <w:t>(ii)</w:t>
      </w:r>
      <w:r w:rsidRPr="004303AB">
        <w:tab/>
        <w:t>the researcher will not disclose or use any information or document that is disclosed to the researcher under this subsection except for the purpose of conducting the research.</w:t>
      </w:r>
    </w:p>
    <w:p w:rsidR="003925AB" w:rsidRPr="004303AB" w:rsidRDefault="003925AB" w:rsidP="003925AB">
      <w:pPr>
        <w:pStyle w:val="subsection"/>
      </w:pPr>
      <w:r w:rsidRPr="004303AB">
        <w:tab/>
        <w:t>(3)</w:t>
      </w:r>
      <w:r w:rsidRPr="004303AB">
        <w:tab/>
      </w:r>
      <w:r w:rsidR="00426B90" w:rsidRPr="004303AB">
        <w:t>Subsection (</w:t>
      </w:r>
      <w:r w:rsidRPr="004303AB">
        <w:t>2) does not authorise the disclosure or use of information or a document more than 12 months after the researcher starts the research.</w:t>
      </w:r>
    </w:p>
    <w:p w:rsidR="003925AB" w:rsidRPr="004303AB" w:rsidRDefault="00426B90" w:rsidP="003925AB">
      <w:pPr>
        <w:pStyle w:val="ActHead3"/>
        <w:pageBreakBefore/>
      </w:pPr>
      <w:bookmarkStart w:id="49" w:name="_Toc64297898"/>
      <w:r w:rsidRPr="00E34AC3">
        <w:rPr>
          <w:rStyle w:val="CharDivNo"/>
        </w:rPr>
        <w:t>Division 2</w:t>
      </w:r>
      <w:r w:rsidR="003925AB" w:rsidRPr="004303AB">
        <w:t>—</w:t>
      </w:r>
      <w:r w:rsidR="003925AB" w:rsidRPr="00E34AC3">
        <w:rPr>
          <w:rStyle w:val="CharDivText"/>
        </w:rPr>
        <w:t>Research authorisations</w:t>
      </w:r>
      <w:bookmarkEnd w:id="49"/>
    </w:p>
    <w:p w:rsidR="003925AB" w:rsidRPr="004303AB" w:rsidRDefault="003925AB" w:rsidP="003925AB">
      <w:pPr>
        <w:pStyle w:val="ActHead4"/>
      </w:pPr>
      <w:bookmarkStart w:id="50" w:name="_Toc64297899"/>
      <w:r w:rsidRPr="00E34AC3">
        <w:rPr>
          <w:rStyle w:val="CharSubdNo"/>
        </w:rPr>
        <w:t>Subdivision A</w:t>
      </w:r>
      <w:r w:rsidRPr="004303AB">
        <w:t>—</w:t>
      </w:r>
      <w:r w:rsidRPr="00E34AC3">
        <w:rPr>
          <w:rStyle w:val="CharSubdText"/>
        </w:rPr>
        <w:t>Introduction</w:t>
      </w:r>
      <w:bookmarkEnd w:id="50"/>
    </w:p>
    <w:p w:rsidR="003925AB" w:rsidRPr="004303AB" w:rsidRDefault="008D786C" w:rsidP="003925AB">
      <w:pPr>
        <w:pStyle w:val="ActHead5"/>
      </w:pPr>
      <w:bookmarkStart w:id="51" w:name="_Toc64297900"/>
      <w:r w:rsidRPr="00E34AC3">
        <w:rPr>
          <w:rStyle w:val="CharSectno"/>
        </w:rPr>
        <w:t>17</w:t>
      </w:r>
      <w:r w:rsidR="003925AB" w:rsidRPr="004303AB">
        <w:t xml:space="preserve">  Simplified outline of this Division</w:t>
      </w:r>
      <w:bookmarkEnd w:id="51"/>
    </w:p>
    <w:p w:rsidR="003925AB" w:rsidRPr="004303AB" w:rsidRDefault="003925AB" w:rsidP="003925AB">
      <w:pPr>
        <w:pStyle w:val="SOText"/>
      </w:pPr>
      <w:r w:rsidRPr="004303AB">
        <w:t xml:space="preserve">Telstra can disclose unlisted mobile number information to an authorised research entity (section </w:t>
      </w:r>
      <w:r w:rsidR="008D786C" w:rsidRPr="004303AB">
        <w:t>15</w:t>
      </w:r>
      <w:r w:rsidRPr="004303AB">
        <w:t>).</w:t>
      </w:r>
    </w:p>
    <w:p w:rsidR="003925AB" w:rsidRPr="004303AB" w:rsidRDefault="003925AB" w:rsidP="003925AB">
      <w:pPr>
        <w:pStyle w:val="SOText"/>
      </w:pPr>
      <w:r w:rsidRPr="004303AB">
        <w:t>An authorised research entity is a person covered by a research authorisation granted by the ACMA under this Division. A research authorisation may cover more than one authorised research entity.</w:t>
      </w:r>
    </w:p>
    <w:p w:rsidR="003925AB" w:rsidRPr="004303AB" w:rsidRDefault="003925AB" w:rsidP="003925AB">
      <w:pPr>
        <w:pStyle w:val="SOText"/>
      </w:pPr>
      <w:r w:rsidRPr="004303AB">
        <w:t>Before the research authorisation is granted, the ACMA must be satisfied, among other things, that each research entity sought to be authorised will use the unlisted mobile number information for certain kinds of research. The research authorisation starts on the first day Telstra provides unlisted mobile number information to an authorised research entity and ends at the end of the period specified in the authorisation (which can be no longer than 12 months).</w:t>
      </w:r>
    </w:p>
    <w:p w:rsidR="003925AB" w:rsidRPr="004303AB" w:rsidRDefault="003925AB" w:rsidP="003925AB">
      <w:pPr>
        <w:pStyle w:val="SOText"/>
      </w:pPr>
      <w:r w:rsidRPr="004303AB">
        <w:t xml:space="preserve">An authorised research entity must comply with the conditions set out in Subdivision C and any further conditions specified by the ACMA. Failure to comply with these conditions may lead to the authorised research entity being removed from the authorisation by the ACMA and will be considered by the ACMA if the entity is specified in an application for another research authorisation. A contravention of a condition is an offence (see section </w:t>
      </w:r>
      <w:r w:rsidR="008D786C" w:rsidRPr="004303AB">
        <w:t>46</w:t>
      </w:r>
      <w:r w:rsidRPr="004303AB">
        <w:t>).</w:t>
      </w:r>
    </w:p>
    <w:p w:rsidR="003925AB" w:rsidRPr="004303AB" w:rsidRDefault="003925AB" w:rsidP="003925AB">
      <w:pPr>
        <w:pStyle w:val="SOText"/>
      </w:pPr>
      <w:r w:rsidRPr="004303AB">
        <w:t xml:space="preserve">After a research authorisation comes to an end, or if a research entity is removed from an authorisation, an authorised research entity must comply with the requirements of sections </w:t>
      </w:r>
      <w:r w:rsidR="008D786C" w:rsidRPr="004303AB">
        <w:t>40</w:t>
      </w:r>
      <w:r w:rsidRPr="004303AB">
        <w:t xml:space="preserve"> and </w:t>
      </w:r>
      <w:r w:rsidR="008D786C" w:rsidRPr="004303AB">
        <w:t>41</w:t>
      </w:r>
      <w:r w:rsidRPr="004303AB">
        <w:t xml:space="preserve"> in relation to the unlisted mobile number information and research information the entity has received. Failure to comply with those sections will be considered by the ACMA if the entity is specified in an application for another research authorisation. A contravention of section </w:t>
      </w:r>
      <w:r w:rsidR="008D786C" w:rsidRPr="004303AB">
        <w:t>40</w:t>
      </w:r>
      <w:r w:rsidRPr="004303AB">
        <w:t xml:space="preserve"> or </w:t>
      </w:r>
      <w:r w:rsidR="008D786C" w:rsidRPr="004303AB">
        <w:t>41</w:t>
      </w:r>
      <w:r w:rsidRPr="004303AB">
        <w:t xml:space="preserve"> is an offence (see section </w:t>
      </w:r>
      <w:r w:rsidR="008D786C" w:rsidRPr="004303AB">
        <w:t>46</w:t>
      </w:r>
      <w:r w:rsidRPr="004303AB">
        <w:t>).</w:t>
      </w:r>
    </w:p>
    <w:p w:rsidR="003925AB" w:rsidRPr="004303AB" w:rsidRDefault="003925AB" w:rsidP="003925AB">
      <w:pPr>
        <w:pStyle w:val="ActHead4"/>
      </w:pPr>
      <w:bookmarkStart w:id="52" w:name="_Toc64297901"/>
      <w:r w:rsidRPr="00E34AC3">
        <w:rPr>
          <w:rStyle w:val="CharSubdNo"/>
        </w:rPr>
        <w:t>Subdivision</w:t>
      </w:r>
      <w:bookmarkStart w:id="53" w:name="opcRefBookmark"/>
      <w:r w:rsidRPr="00E34AC3">
        <w:rPr>
          <w:rStyle w:val="CharSubdNo"/>
        </w:rPr>
        <w:t xml:space="preserve"> B</w:t>
      </w:r>
      <w:bookmarkEnd w:id="53"/>
      <w:r w:rsidRPr="004303AB">
        <w:t>—</w:t>
      </w:r>
      <w:r w:rsidRPr="00E34AC3">
        <w:rPr>
          <w:rStyle w:val="CharSubdText"/>
        </w:rPr>
        <w:t>Application for, and grant of, research authorisations</w:t>
      </w:r>
      <w:bookmarkEnd w:id="52"/>
    </w:p>
    <w:p w:rsidR="003925AB" w:rsidRPr="004303AB" w:rsidRDefault="008D786C" w:rsidP="003925AB">
      <w:pPr>
        <w:pStyle w:val="ActHead5"/>
      </w:pPr>
      <w:bookmarkStart w:id="54" w:name="_Toc64297902"/>
      <w:r w:rsidRPr="00E34AC3">
        <w:rPr>
          <w:rStyle w:val="CharSectno"/>
        </w:rPr>
        <w:t>18</w:t>
      </w:r>
      <w:r w:rsidR="003925AB" w:rsidRPr="004303AB">
        <w:t xml:space="preserve">  Applying for research authorisations</w:t>
      </w:r>
      <w:bookmarkEnd w:id="54"/>
    </w:p>
    <w:p w:rsidR="003925AB" w:rsidRPr="004303AB" w:rsidRDefault="003925AB" w:rsidP="003925AB">
      <w:pPr>
        <w:pStyle w:val="subsection"/>
      </w:pPr>
      <w:r w:rsidRPr="004303AB">
        <w:tab/>
        <w:t>(1)</w:t>
      </w:r>
      <w:r w:rsidRPr="004303AB">
        <w:tab/>
        <w:t>A person may apply to the ACMA for a research authorisation to cover that person and any other persons specified in the application.</w:t>
      </w:r>
    </w:p>
    <w:p w:rsidR="003925AB" w:rsidRPr="004303AB" w:rsidRDefault="003925AB" w:rsidP="003925AB">
      <w:pPr>
        <w:pStyle w:val="subsection"/>
      </w:pPr>
      <w:r w:rsidRPr="004303AB">
        <w:tab/>
        <w:t>(2)</w:t>
      </w:r>
      <w:r w:rsidRPr="004303AB">
        <w:tab/>
        <w:t xml:space="preserve">The applicant for the authorisation, and each other person to be covered by the authorisation, is a </w:t>
      </w:r>
      <w:r w:rsidRPr="004303AB">
        <w:rPr>
          <w:b/>
          <w:i/>
        </w:rPr>
        <w:t>research entity</w:t>
      </w:r>
      <w:r w:rsidRPr="004303AB">
        <w:t>.</w:t>
      </w:r>
    </w:p>
    <w:p w:rsidR="003925AB" w:rsidRPr="004303AB" w:rsidRDefault="003925AB" w:rsidP="003925AB">
      <w:pPr>
        <w:pStyle w:val="subsection"/>
      </w:pPr>
      <w:r w:rsidRPr="004303AB">
        <w:tab/>
        <w:t>(3)</w:t>
      </w:r>
      <w:r w:rsidRPr="004303AB">
        <w:tab/>
        <w:t>The application must:</w:t>
      </w:r>
    </w:p>
    <w:p w:rsidR="003925AB" w:rsidRPr="004303AB" w:rsidRDefault="003925AB" w:rsidP="003925AB">
      <w:pPr>
        <w:pStyle w:val="paragraph"/>
      </w:pPr>
      <w:r w:rsidRPr="004303AB">
        <w:tab/>
        <w:t>(a)</w:t>
      </w:r>
      <w:r w:rsidRPr="004303AB">
        <w:tab/>
        <w:t>be in writing; and</w:t>
      </w:r>
    </w:p>
    <w:p w:rsidR="003925AB" w:rsidRPr="004303AB" w:rsidRDefault="003925AB" w:rsidP="003925AB">
      <w:pPr>
        <w:pStyle w:val="paragraph"/>
      </w:pPr>
      <w:r w:rsidRPr="004303AB">
        <w:tab/>
        <w:t>(</w:t>
      </w:r>
      <w:r w:rsidR="00EA5EBA" w:rsidRPr="004303AB">
        <w:t>b</w:t>
      </w:r>
      <w:r w:rsidRPr="004303AB">
        <w:t>)</w:t>
      </w:r>
      <w:r w:rsidRPr="004303AB">
        <w:tab/>
        <w:t>specify:</w:t>
      </w:r>
    </w:p>
    <w:p w:rsidR="003925AB" w:rsidRPr="004303AB" w:rsidRDefault="003925AB" w:rsidP="003925AB">
      <w:pPr>
        <w:pStyle w:val="paragraphsub"/>
      </w:pPr>
      <w:r w:rsidRPr="004303AB">
        <w:tab/>
        <w:t>(i)</w:t>
      </w:r>
      <w:r w:rsidRPr="004303AB">
        <w:tab/>
        <w:t>each research entity to be covered by the authorisation; and</w:t>
      </w:r>
    </w:p>
    <w:p w:rsidR="003925AB" w:rsidRPr="004303AB" w:rsidRDefault="003925AB" w:rsidP="003925AB">
      <w:pPr>
        <w:pStyle w:val="paragraphsub"/>
      </w:pPr>
      <w:r w:rsidRPr="004303AB">
        <w:tab/>
        <w:t>(ii)</w:t>
      </w:r>
      <w:r w:rsidRPr="004303AB">
        <w:tab/>
        <w:t>the kind or kinds of unlisted mobile number information being sought; and</w:t>
      </w:r>
    </w:p>
    <w:p w:rsidR="003925AB" w:rsidRPr="004303AB" w:rsidRDefault="003925AB" w:rsidP="003925AB">
      <w:pPr>
        <w:pStyle w:val="paragraphsub"/>
      </w:pPr>
      <w:r w:rsidRPr="004303AB">
        <w:tab/>
        <w:t>(iii)</w:t>
      </w:r>
      <w:r w:rsidRPr="004303AB">
        <w:tab/>
        <w:t>the kind or kinds of research for which the unlisted mobile number information is sought and the reasons why that information is sought; and</w:t>
      </w:r>
    </w:p>
    <w:p w:rsidR="003925AB" w:rsidRPr="004303AB" w:rsidRDefault="00EA5EBA" w:rsidP="003925AB">
      <w:pPr>
        <w:pStyle w:val="paragraph"/>
      </w:pPr>
      <w:r w:rsidRPr="004303AB">
        <w:tab/>
        <w:t>(c</w:t>
      </w:r>
      <w:r w:rsidR="003925AB" w:rsidRPr="004303AB">
        <w:t>)</w:t>
      </w:r>
      <w:r w:rsidR="003925AB" w:rsidRPr="004303AB">
        <w:tab/>
        <w:t>be accompanied by:</w:t>
      </w:r>
    </w:p>
    <w:p w:rsidR="003925AB" w:rsidRPr="004303AB" w:rsidRDefault="003925AB" w:rsidP="003925AB">
      <w:pPr>
        <w:pStyle w:val="paragraphsub"/>
      </w:pPr>
      <w:r w:rsidRPr="004303AB">
        <w:tab/>
        <w:t>(i)</w:t>
      </w:r>
      <w:r w:rsidRPr="004303AB">
        <w:tab/>
        <w:t xml:space="preserve">the charge (if any) for the application fixed by a determination under section 60 of the </w:t>
      </w:r>
      <w:r w:rsidRPr="004303AB">
        <w:rPr>
          <w:i/>
        </w:rPr>
        <w:t>Australian Communications and Media Authority Act 2005</w:t>
      </w:r>
      <w:r w:rsidRPr="004303AB">
        <w:t>; and</w:t>
      </w:r>
    </w:p>
    <w:p w:rsidR="003925AB" w:rsidRPr="004303AB" w:rsidRDefault="003925AB" w:rsidP="003925AB">
      <w:pPr>
        <w:pStyle w:val="paragraphsub"/>
      </w:pPr>
      <w:r w:rsidRPr="004303AB">
        <w:tab/>
        <w:t>(ii)</w:t>
      </w:r>
      <w:r w:rsidRPr="004303AB">
        <w:tab/>
        <w:t>a completed privacy impact assessment.</w:t>
      </w:r>
    </w:p>
    <w:p w:rsidR="003925AB" w:rsidRPr="004303AB" w:rsidRDefault="008D786C" w:rsidP="003925AB">
      <w:pPr>
        <w:pStyle w:val="ActHead5"/>
      </w:pPr>
      <w:bookmarkStart w:id="55" w:name="_Toc64297903"/>
      <w:r w:rsidRPr="00E34AC3">
        <w:rPr>
          <w:rStyle w:val="CharSectno"/>
        </w:rPr>
        <w:t>19</w:t>
      </w:r>
      <w:r w:rsidR="003925AB" w:rsidRPr="004303AB">
        <w:t xml:space="preserve">  ACMA may request further information</w:t>
      </w:r>
      <w:bookmarkEnd w:id="55"/>
    </w:p>
    <w:p w:rsidR="003925AB" w:rsidRPr="004303AB" w:rsidRDefault="003925AB" w:rsidP="003925AB">
      <w:pPr>
        <w:pStyle w:val="subsection"/>
      </w:pPr>
      <w:r w:rsidRPr="004303AB">
        <w:tab/>
        <w:t>(1)</w:t>
      </w:r>
      <w:r w:rsidRPr="004303AB">
        <w:tab/>
        <w:t xml:space="preserve">The ACMA may, in writing, request a research entity specified in an application for a research authorisation to give </w:t>
      </w:r>
      <w:r w:rsidR="00CB504F" w:rsidRPr="004303AB">
        <w:t>the ACMA</w:t>
      </w:r>
      <w:r w:rsidRPr="004303AB">
        <w:t xml:space="preserve"> further information within 90 days after the request is made.</w:t>
      </w:r>
    </w:p>
    <w:p w:rsidR="003925AB" w:rsidRPr="004303AB" w:rsidRDefault="003925AB" w:rsidP="003925AB">
      <w:pPr>
        <w:pStyle w:val="subsection"/>
      </w:pPr>
      <w:r w:rsidRPr="004303AB">
        <w:tab/>
        <w:t>(2)</w:t>
      </w:r>
      <w:r w:rsidRPr="004303AB">
        <w:tab/>
        <w:t xml:space="preserve">The request must state the effect of </w:t>
      </w:r>
      <w:r w:rsidR="00426B90" w:rsidRPr="004303AB">
        <w:t>subsection (</w:t>
      </w:r>
      <w:r w:rsidRPr="004303AB">
        <w:t>3).</w:t>
      </w:r>
    </w:p>
    <w:p w:rsidR="003925AB" w:rsidRPr="004303AB" w:rsidRDefault="003925AB" w:rsidP="003925AB">
      <w:pPr>
        <w:pStyle w:val="subsection"/>
      </w:pPr>
      <w:r w:rsidRPr="004303AB">
        <w:tab/>
        <w:t>(3)</w:t>
      </w:r>
      <w:r w:rsidRPr="004303AB">
        <w:tab/>
        <w:t>If the entity does not provide the information within 90 days, the ACMA may treat the application as if it did not specify the entity.</w:t>
      </w:r>
    </w:p>
    <w:p w:rsidR="003925AB" w:rsidRPr="004303AB" w:rsidRDefault="008D786C" w:rsidP="003925AB">
      <w:pPr>
        <w:pStyle w:val="ActHead5"/>
      </w:pPr>
      <w:bookmarkStart w:id="56" w:name="_Toc64297904"/>
      <w:r w:rsidRPr="00E34AC3">
        <w:rPr>
          <w:rStyle w:val="CharSectno"/>
        </w:rPr>
        <w:t>20</w:t>
      </w:r>
      <w:r w:rsidR="003925AB" w:rsidRPr="004303AB">
        <w:t xml:space="preserve">  ACMA may consult</w:t>
      </w:r>
      <w:bookmarkEnd w:id="56"/>
    </w:p>
    <w:p w:rsidR="003925AB" w:rsidRPr="004303AB" w:rsidRDefault="003925AB" w:rsidP="003925AB">
      <w:pPr>
        <w:pStyle w:val="subsection"/>
      </w:pPr>
      <w:r w:rsidRPr="004303AB">
        <w:tab/>
      </w:r>
      <w:r w:rsidRPr="004303AB">
        <w:tab/>
        <w:t>Before granting a research authorisation, the ACMA may consult any person or body the ACMA considers appropriate.</w:t>
      </w:r>
    </w:p>
    <w:p w:rsidR="003925AB" w:rsidRPr="004303AB" w:rsidRDefault="008D786C" w:rsidP="003925AB">
      <w:pPr>
        <w:pStyle w:val="ActHead5"/>
      </w:pPr>
      <w:bookmarkStart w:id="57" w:name="_Toc64297905"/>
      <w:r w:rsidRPr="00E34AC3">
        <w:rPr>
          <w:rStyle w:val="CharSectno"/>
        </w:rPr>
        <w:t>21</w:t>
      </w:r>
      <w:r w:rsidR="003925AB" w:rsidRPr="004303AB">
        <w:t xml:space="preserve">  Research authorisations</w:t>
      </w:r>
      <w:bookmarkEnd w:id="57"/>
    </w:p>
    <w:p w:rsidR="003925AB" w:rsidRPr="004303AB" w:rsidRDefault="003925AB" w:rsidP="003925AB">
      <w:pPr>
        <w:pStyle w:val="SubsectionHead"/>
      </w:pPr>
      <w:r w:rsidRPr="004303AB">
        <w:t>Grant of research authorisation</w:t>
      </w:r>
    </w:p>
    <w:p w:rsidR="003925AB" w:rsidRPr="004303AB" w:rsidRDefault="003925AB" w:rsidP="003925AB">
      <w:pPr>
        <w:pStyle w:val="subsection"/>
      </w:pPr>
      <w:r w:rsidRPr="004303AB">
        <w:tab/>
        <w:t>(1)</w:t>
      </w:r>
      <w:r w:rsidRPr="004303AB">
        <w:tab/>
        <w:t xml:space="preserve">On an application for a research authorisation in accordance with section </w:t>
      </w:r>
      <w:r w:rsidR="008D786C" w:rsidRPr="004303AB">
        <w:t>18</w:t>
      </w:r>
      <w:r w:rsidRPr="004303AB">
        <w:t>, the ACMA must grant the authorisation if the ACMA is reasonably satisfied that:</w:t>
      </w:r>
    </w:p>
    <w:p w:rsidR="003925AB" w:rsidRPr="004303AB" w:rsidRDefault="003925AB" w:rsidP="003925AB">
      <w:pPr>
        <w:pStyle w:val="paragraph"/>
      </w:pPr>
      <w:r w:rsidRPr="004303AB">
        <w:tab/>
        <w:t>(a)</w:t>
      </w:r>
      <w:r w:rsidRPr="004303AB">
        <w:tab/>
        <w:t>the kind or kinds of research proposed to be covered by the authorisation is permitted research; and</w:t>
      </w:r>
    </w:p>
    <w:p w:rsidR="003925AB" w:rsidRPr="004303AB" w:rsidRDefault="003925AB" w:rsidP="003925AB">
      <w:pPr>
        <w:pStyle w:val="paragraph"/>
      </w:pPr>
      <w:r w:rsidRPr="004303AB">
        <w:tab/>
        <w:t>(b)</w:t>
      </w:r>
      <w:r w:rsidRPr="004303AB">
        <w:tab/>
        <w:t xml:space="preserve">each research entity will comply with the conditions of the authorisation (including any additional conditions specified by the ACMA under subsection </w:t>
      </w:r>
      <w:r w:rsidR="008D786C" w:rsidRPr="004303AB">
        <w:t>22</w:t>
      </w:r>
      <w:r w:rsidRPr="004303AB">
        <w:t>(4)); and</w:t>
      </w:r>
    </w:p>
    <w:p w:rsidR="003925AB" w:rsidRPr="004303AB" w:rsidRDefault="003925AB" w:rsidP="003925AB">
      <w:pPr>
        <w:pStyle w:val="paragraph"/>
      </w:pPr>
      <w:r w:rsidRPr="004303AB">
        <w:tab/>
        <w:t>(c)</w:t>
      </w:r>
      <w:r w:rsidRPr="004303AB">
        <w:tab/>
        <w:t xml:space="preserve">sections </w:t>
      </w:r>
      <w:r w:rsidR="008D786C" w:rsidRPr="004303AB">
        <w:t>40</w:t>
      </w:r>
      <w:r w:rsidRPr="004303AB">
        <w:t xml:space="preserve"> and </w:t>
      </w:r>
      <w:r w:rsidR="008D786C" w:rsidRPr="004303AB">
        <w:t>41</w:t>
      </w:r>
      <w:r w:rsidRPr="004303AB">
        <w:t xml:space="preserve"> will be complied with by each research entity if the authorisation ends or the entity is removed from the authorisation.</w:t>
      </w:r>
    </w:p>
    <w:p w:rsidR="003925AB" w:rsidRPr="004303AB" w:rsidRDefault="003925AB" w:rsidP="003925AB">
      <w:pPr>
        <w:pStyle w:val="notetext"/>
      </w:pPr>
      <w:r w:rsidRPr="004303AB">
        <w:t>Note:</w:t>
      </w:r>
      <w:r w:rsidRPr="004303AB">
        <w:tab/>
        <w:t xml:space="preserve">If the ACMA decides not to grant the authorisation, a research entity, or any other person affected by the decision, may request the ACMA to reconsider its decision (see section </w:t>
      </w:r>
      <w:r w:rsidR="008D786C" w:rsidRPr="004303AB">
        <w:t>42</w:t>
      </w:r>
      <w:r w:rsidRPr="004303AB">
        <w:t>).</w:t>
      </w:r>
    </w:p>
    <w:p w:rsidR="003925AB" w:rsidRPr="004303AB" w:rsidRDefault="003925AB" w:rsidP="003925AB">
      <w:pPr>
        <w:pStyle w:val="SubsectionHead"/>
      </w:pPr>
      <w:r w:rsidRPr="004303AB">
        <w:t>Matters to consider in granting research authorisation</w:t>
      </w:r>
    </w:p>
    <w:p w:rsidR="003925AB" w:rsidRPr="004303AB" w:rsidRDefault="003925AB" w:rsidP="003925AB">
      <w:pPr>
        <w:pStyle w:val="subsection"/>
      </w:pPr>
      <w:r w:rsidRPr="004303AB">
        <w:tab/>
        <w:t>(2)</w:t>
      </w:r>
      <w:r w:rsidRPr="004303AB">
        <w:tab/>
        <w:t>In determining whether a research entity will comply with the conditions of the authorisation, the ACMA must have regard to the following:</w:t>
      </w:r>
    </w:p>
    <w:p w:rsidR="003925AB" w:rsidRPr="004303AB" w:rsidRDefault="003925AB" w:rsidP="003925AB">
      <w:pPr>
        <w:pStyle w:val="paragraph"/>
      </w:pPr>
      <w:r w:rsidRPr="004303AB">
        <w:tab/>
        <w:t>(a)</w:t>
      </w:r>
      <w:r w:rsidRPr="004303AB">
        <w:tab/>
        <w:t>the practices, procedures, processes and systems the entity has in place, or intends to put in place, to comply with the conditions of the authorisation;</w:t>
      </w:r>
    </w:p>
    <w:p w:rsidR="003925AB" w:rsidRPr="004303AB" w:rsidRDefault="003925AB" w:rsidP="003925AB">
      <w:pPr>
        <w:pStyle w:val="paragraph"/>
      </w:pPr>
      <w:r w:rsidRPr="004303AB">
        <w:tab/>
        <w:t>(b)</w:t>
      </w:r>
      <w:r w:rsidRPr="004303AB">
        <w:tab/>
        <w:t>if the entity has previously been covered by a research authorisation—the extent to which the entity has complied with, or is complying with, the conditions of that authorisation;</w:t>
      </w:r>
    </w:p>
    <w:p w:rsidR="003925AB" w:rsidRPr="004303AB" w:rsidRDefault="003925AB" w:rsidP="003925AB">
      <w:pPr>
        <w:pStyle w:val="paragraph"/>
      </w:pPr>
      <w:r w:rsidRPr="004303AB">
        <w:tab/>
        <w:t>(c)</w:t>
      </w:r>
      <w:r w:rsidRPr="004303AB">
        <w:tab/>
        <w:t>if the entity has been granted an IPND Scheme authorisation—the extent to which the entity has complied with, or is complying with, the conditions of that authorisation;</w:t>
      </w:r>
    </w:p>
    <w:p w:rsidR="003925AB" w:rsidRPr="004303AB" w:rsidRDefault="003925AB" w:rsidP="003925AB">
      <w:pPr>
        <w:pStyle w:val="paragraph"/>
      </w:pPr>
      <w:r w:rsidRPr="004303AB">
        <w:tab/>
        <w:t>(d)</w:t>
      </w:r>
      <w:r w:rsidRPr="004303AB">
        <w:tab/>
        <w:t>the extent to which the entity’s collection, use and disclosure of personal information</w:t>
      </w:r>
      <w:bookmarkStart w:id="58" w:name="BK_S3P15L10C12"/>
      <w:bookmarkEnd w:id="58"/>
      <w:r w:rsidRPr="004303AB">
        <w:t xml:space="preserve"> has complied with, or is consistent with, the </w:t>
      </w:r>
      <w:r w:rsidRPr="004303AB">
        <w:rPr>
          <w:i/>
        </w:rPr>
        <w:t>Privacy Act 1988</w:t>
      </w:r>
      <w:r w:rsidRPr="004303AB">
        <w:t xml:space="preserve"> (whether or not that Act applies to the entity).</w:t>
      </w:r>
    </w:p>
    <w:p w:rsidR="003925AB" w:rsidRPr="004303AB" w:rsidRDefault="003925AB" w:rsidP="003925AB">
      <w:pPr>
        <w:pStyle w:val="subsection"/>
      </w:pPr>
      <w:r w:rsidRPr="004303AB">
        <w:tab/>
        <w:t>(3)</w:t>
      </w:r>
      <w:r w:rsidRPr="004303AB">
        <w:tab/>
        <w:t xml:space="preserve">In determining whether </w:t>
      </w:r>
      <w:r w:rsidR="00426B90" w:rsidRPr="004303AB">
        <w:t>paragraph (</w:t>
      </w:r>
      <w:r w:rsidRPr="004303AB">
        <w:t xml:space="preserve">1)(c) is satisfied, if the research entity has previously been covered by a research authorisation, the ACMA must have regard to the extent to which the entity complied with section </w:t>
      </w:r>
      <w:r w:rsidR="008D786C" w:rsidRPr="004303AB">
        <w:t>40</w:t>
      </w:r>
      <w:r w:rsidRPr="004303AB">
        <w:t xml:space="preserve"> or </w:t>
      </w:r>
      <w:r w:rsidR="008D786C" w:rsidRPr="004303AB">
        <w:t>41</w:t>
      </w:r>
      <w:r w:rsidRPr="004303AB">
        <w:t xml:space="preserve"> after that authorisation ended or the entity was removed from that authorisation.</w:t>
      </w:r>
    </w:p>
    <w:p w:rsidR="003925AB" w:rsidRPr="004303AB" w:rsidRDefault="003925AB" w:rsidP="003925AB">
      <w:pPr>
        <w:pStyle w:val="subsection"/>
      </w:pPr>
      <w:r w:rsidRPr="004303AB">
        <w:tab/>
        <w:t>(4)</w:t>
      </w:r>
      <w:r w:rsidRPr="004303AB">
        <w:tab/>
        <w:t>Subsections (2) and (3) do not limit the matters that the ACMA may have regard to.</w:t>
      </w:r>
    </w:p>
    <w:p w:rsidR="003925AB" w:rsidRPr="004303AB" w:rsidRDefault="003925AB" w:rsidP="003925AB">
      <w:pPr>
        <w:pStyle w:val="SubsectionHead"/>
      </w:pPr>
      <w:r w:rsidRPr="004303AB">
        <w:t>Deemed refusal to grant research authorisation</w:t>
      </w:r>
    </w:p>
    <w:p w:rsidR="003925AB" w:rsidRPr="004303AB" w:rsidRDefault="003925AB" w:rsidP="003925AB">
      <w:pPr>
        <w:pStyle w:val="subsection"/>
      </w:pPr>
      <w:r w:rsidRPr="004303AB">
        <w:tab/>
        <w:t>(5)</w:t>
      </w:r>
      <w:r w:rsidRPr="004303AB">
        <w:tab/>
        <w:t xml:space="preserve">For the purposes of Subdivision F (review of decisions), if the ACMA does not make a decision on the application under </w:t>
      </w:r>
      <w:r w:rsidR="00426B90" w:rsidRPr="004303AB">
        <w:t>subsection (</w:t>
      </w:r>
      <w:r w:rsidRPr="004303AB">
        <w:t xml:space="preserve">1) within the period covered by </w:t>
      </w:r>
      <w:r w:rsidR="00426B90" w:rsidRPr="004303AB">
        <w:t>subsection (</w:t>
      </w:r>
      <w:r w:rsidRPr="004303AB">
        <w:t>6), the ACMA is taken to have decided not to grant the authorisation.</w:t>
      </w:r>
    </w:p>
    <w:p w:rsidR="003925AB" w:rsidRPr="004303AB" w:rsidRDefault="003925AB" w:rsidP="003925AB">
      <w:pPr>
        <w:pStyle w:val="subsection"/>
      </w:pPr>
      <w:r w:rsidRPr="004303AB">
        <w:tab/>
        <w:t>(6)</w:t>
      </w:r>
      <w:r w:rsidRPr="004303AB">
        <w:tab/>
        <w:t>The period covered by this subsection is the period that ends at the later of:</w:t>
      </w:r>
    </w:p>
    <w:p w:rsidR="003925AB" w:rsidRPr="004303AB" w:rsidRDefault="003925AB" w:rsidP="003925AB">
      <w:pPr>
        <w:pStyle w:val="paragraph"/>
      </w:pPr>
      <w:r w:rsidRPr="004303AB">
        <w:tab/>
        <w:t>(a)</w:t>
      </w:r>
      <w:r w:rsidRPr="004303AB">
        <w:tab/>
        <w:t>90 days after receiving the application; or</w:t>
      </w:r>
    </w:p>
    <w:p w:rsidR="003925AB" w:rsidRPr="004303AB" w:rsidRDefault="003925AB" w:rsidP="003925AB">
      <w:pPr>
        <w:pStyle w:val="paragraph"/>
      </w:pPr>
      <w:r w:rsidRPr="004303AB">
        <w:tab/>
        <w:t>(b)</w:t>
      </w:r>
      <w:r w:rsidRPr="004303AB">
        <w:tab/>
        <w:t xml:space="preserve">if the ACMA has, within those 90 days, given any research entity a written request for further information under subsection </w:t>
      </w:r>
      <w:r w:rsidR="008D786C" w:rsidRPr="004303AB">
        <w:t>19</w:t>
      </w:r>
      <w:r w:rsidRPr="004303AB">
        <w:t>(1)—90 days after the end of the period for compliance with the last request made under that subsection.</w:t>
      </w:r>
    </w:p>
    <w:p w:rsidR="003925AB" w:rsidRPr="004303AB" w:rsidRDefault="008D786C" w:rsidP="003925AB">
      <w:pPr>
        <w:pStyle w:val="ActHead5"/>
      </w:pPr>
      <w:bookmarkStart w:id="59" w:name="_Toc64297906"/>
      <w:r w:rsidRPr="00E34AC3">
        <w:rPr>
          <w:rStyle w:val="CharSectno"/>
        </w:rPr>
        <w:t>22</w:t>
      </w:r>
      <w:r w:rsidR="003925AB" w:rsidRPr="004303AB">
        <w:t xml:space="preserve">  Content of research authorisations</w:t>
      </w:r>
      <w:bookmarkEnd w:id="59"/>
    </w:p>
    <w:p w:rsidR="003925AB" w:rsidRPr="004303AB" w:rsidRDefault="003925AB" w:rsidP="003925AB">
      <w:pPr>
        <w:pStyle w:val="subsection"/>
      </w:pPr>
      <w:r w:rsidRPr="004303AB">
        <w:tab/>
        <w:t>(1)</w:t>
      </w:r>
      <w:r w:rsidRPr="004303AB">
        <w:tab/>
        <w:t>A research authorisation must be granted in writing.</w:t>
      </w:r>
    </w:p>
    <w:p w:rsidR="003925AB" w:rsidRPr="004303AB" w:rsidRDefault="003925AB" w:rsidP="003925AB">
      <w:pPr>
        <w:pStyle w:val="subsection"/>
      </w:pPr>
      <w:r w:rsidRPr="004303AB">
        <w:tab/>
        <w:t>(2)</w:t>
      </w:r>
      <w:r w:rsidRPr="004303AB">
        <w:tab/>
        <w:t>The authorisation must specify the following:</w:t>
      </w:r>
    </w:p>
    <w:p w:rsidR="003925AB" w:rsidRPr="004303AB" w:rsidRDefault="003925AB" w:rsidP="003925AB">
      <w:pPr>
        <w:pStyle w:val="paragraph"/>
      </w:pPr>
      <w:r w:rsidRPr="004303AB">
        <w:tab/>
        <w:t>(a)</w:t>
      </w:r>
      <w:r w:rsidRPr="004303AB">
        <w:tab/>
        <w:t xml:space="preserve">each research entity (an </w:t>
      </w:r>
      <w:r w:rsidRPr="004303AB">
        <w:rPr>
          <w:b/>
          <w:i/>
        </w:rPr>
        <w:t>authorised research entity</w:t>
      </w:r>
      <w:r w:rsidRPr="004303AB">
        <w:t>) covered by the authorisation;</w:t>
      </w:r>
    </w:p>
    <w:p w:rsidR="003925AB" w:rsidRPr="004303AB" w:rsidRDefault="003925AB" w:rsidP="003925AB">
      <w:pPr>
        <w:pStyle w:val="paragraph"/>
      </w:pPr>
      <w:r w:rsidRPr="004303AB">
        <w:tab/>
        <w:t>(b)</w:t>
      </w:r>
      <w:r w:rsidRPr="004303AB">
        <w:tab/>
        <w:t>the kind or kinds of permitted research to which the authorisation applies;</w:t>
      </w:r>
    </w:p>
    <w:p w:rsidR="003925AB" w:rsidRPr="004303AB" w:rsidRDefault="003925AB" w:rsidP="003925AB">
      <w:pPr>
        <w:pStyle w:val="paragraph"/>
      </w:pPr>
      <w:r w:rsidRPr="004303AB">
        <w:tab/>
        <w:t>(c)</w:t>
      </w:r>
      <w:r w:rsidRPr="004303AB">
        <w:tab/>
        <w:t>the kind or kinds of unlisted mobile number information that may be disclosed to an authorised research entity.</w:t>
      </w:r>
    </w:p>
    <w:p w:rsidR="003925AB" w:rsidRPr="004303AB" w:rsidRDefault="003925AB" w:rsidP="003925AB">
      <w:pPr>
        <w:pStyle w:val="subsection"/>
      </w:pPr>
      <w:r w:rsidRPr="004303AB">
        <w:tab/>
        <w:t>(3)</w:t>
      </w:r>
      <w:r w:rsidRPr="004303AB">
        <w:tab/>
        <w:t>The authorisation must specify a period that the authorisation is in effect which:</w:t>
      </w:r>
    </w:p>
    <w:p w:rsidR="003925AB" w:rsidRPr="004303AB" w:rsidRDefault="003925AB" w:rsidP="003925AB">
      <w:pPr>
        <w:pStyle w:val="paragraph"/>
      </w:pPr>
      <w:r w:rsidRPr="004303AB">
        <w:tab/>
        <w:t>(a)</w:t>
      </w:r>
      <w:r w:rsidRPr="004303AB">
        <w:tab/>
        <w:t>starts on the day Telstra first discloses authorised unlisted mobile number information to an authorised research entity covered by the authorisation; and</w:t>
      </w:r>
    </w:p>
    <w:p w:rsidR="003925AB" w:rsidRPr="004303AB" w:rsidRDefault="003925AB" w:rsidP="003925AB">
      <w:pPr>
        <w:pStyle w:val="paragraph"/>
      </w:pPr>
      <w:r w:rsidRPr="004303AB">
        <w:tab/>
        <w:t>(b)</w:t>
      </w:r>
      <w:r w:rsidRPr="004303AB">
        <w:tab/>
        <w:t>ends no later than 12 months afterwards.</w:t>
      </w:r>
    </w:p>
    <w:p w:rsidR="003925AB" w:rsidRPr="004303AB" w:rsidRDefault="003925AB" w:rsidP="003925AB">
      <w:pPr>
        <w:pStyle w:val="subsection"/>
      </w:pPr>
      <w:r w:rsidRPr="004303AB">
        <w:tab/>
        <w:t>(4)</w:t>
      </w:r>
      <w:r w:rsidRPr="004303AB">
        <w:tab/>
        <w:t>The authorisation may specify conditions additional to those specified in Subdivision C to which the authorisation is subject.</w:t>
      </w:r>
    </w:p>
    <w:p w:rsidR="003925AB" w:rsidRPr="004303AB" w:rsidRDefault="003925AB" w:rsidP="003925AB">
      <w:pPr>
        <w:pStyle w:val="notetext"/>
      </w:pPr>
      <w:r w:rsidRPr="004303AB">
        <w:t>Note 1:</w:t>
      </w:r>
      <w:r w:rsidRPr="004303AB">
        <w:tab/>
        <w:t xml:space="preserve">If the ACMA specifies an additional condition under this subsection, an authorised research entity, and any other person affected by the decision, may request the ACMA to reconsider its decision (see section </w:t>
      </w:r>
      <w:r w:rsidR="008D786C" w:rsidRPr="004303AB">
        <w:t>42</w:t>
      </w:r>
      <w:r w:rsidRPr="004303AB">
        <w:t>).</w:t>
      </w:r>
    </w:p>
    <w:p w:rsidR="003925AB" w:rsidRPr="004303AB" w:rsidRDefault="003925AB" w:rsidP="003925AB">
      <w:pPr>
        <w:pStyle w:val="notetext"/>
      </w:pPr>
      <w:r w:rsidRPr="004303AB">
        <w:t>Note 2:</w:t>
      </w:r>
      <w:r w:rsidRPr="004303AB">
        <w:tab/>
        <w:t xml:space="preserve">Before granting a research authorisation, the ACMA may consult any person or body about any additional conditions to be specified under </w:t>
      </w:r>
      <w:r w:rsidR="00426B90" w:rsidRPr="004303AB">
        <w:t>subsection (</w:t>
      </w:r>
      <w:r w:rsidRPr="004303AB">
        <w:t xml:space="preserve">4) (see section </w:t>
      </w:r>
      <w:r w:rsidR="008D786C" w:rsidRPr="004303AB">
        <w:t>20</w:t>
      </w:r>
      <w:r w:rsidRPr="004303AB">
        <w:t>).</w:t>
      </w:r>
    </w:p>
    <w:p w:rsidR="003925AB" w:rsidRPr="004303AB" w:rsidRDefault="008D786C" w:rsidP="003925AB">
      <w:pPr>
        <w:pStyle w:val="ActHead5"/>
      </w:pPr>
      <w:bookmarkStart w:id="60" w:name="_Toc64297907"/>
      <w:r w:rsidRPr="00E34AC3">
        <w:rPr>
          <w:rStyle w:val="CharSectno"/>
        </w:rPr>
        <w:t>23</w:t>
      </w:r>
      <w:r w:rsidR="003925AB" w:rsidRPr="004303AB">
        <w:t xml:space="preserve">  Notice relating to research authorisations</w:t>
      </w:r>
      <w:bookmarkEnd w:id="60"/>
    </w:p>
    <w:p w:rsidR="003925AB" w:rsidRPr="004303AB" w:rsidRDefault="003925AB" w:rsidP="003925AB">
      <w:pPr>
        <w:pStyle w:val="subsection"/>
      </w:pPr>
      <w:r w:rsidRPr="004303AB">
        <w:tab/>
        <w:t>(1)</w:t>
      </w:r>
      <w:r w:rsidRPr="004303AB">
        <w:tab/>
        <w:t>If the ACMA grants a research authorisation, the ACMA must, as soon as is reasonably practicable, give each authorised research entity, and Telstra, a copy of the authorisation.</w:t>
      </w:r>
    </w:p>
    <w:p w:rsidR="003925AB" w:rsidRPr="004303AB" w:rsidRDefault="003925AB" w:rsidP="003925AB">
      <w:pPr>
        <w:pStyle w:val="subsection"/>
      </w:pPr>
      <w:r w:rsidRPr="004303AB">
        <w:tab/>
        <w:t>(2)</w:t>
      </w:r>
      <w:r w:rsidRPr="004303AB">
        <w:tab/>
        <w:t>If:</w:t>
      </w:r>
    </w:p>
    <w:p w:rsidR="003925AB" w:rsidRPr="004303AB" w:rsidRDefault="003925AB" w:rsidP="003925AB">
      <w:pPr>
        <w:pStyle w:val="paragraph"/>
      </w:pPr>
      <w:r w:rsidRPr="004303AB">
        <w:tab/>
        <w:t>(a)</w:t>
      </w:r>
      <w:r w:rsidRPr="004303AB">
        <w:tab/>
        <w:t>the ACMA grants a research authorisation; and</w:t>
      </w:r>
    </w:p>
    <w:p w:rsidR="003925AB" w:rsidRPr="004303AB" w:rsidRDefault="003925AB" w:rsidP="003925AB">
      <w:pPr>
        <w:pStyle w:val="paragraph"/>
      </w:pPr>
      <w:r w:rsidRPr="004303AB">
        <w:tab/>
        <w:t>(b)</w:t>
      </w:r>
      <w:r w:rsidRPr="004303AB">
        <w:tab/>
        <w:t>the authorisation specifies an additional condition to which the authorisation is subject;</w:t>
      </w:r>
    </w:p>
    <w:p w:rsidR="003925AB" w:rsidRPr="004303AB" w:rsidRDefault="003925AB" w:rsidP="003925AB">
      <w:pPr>
        <w:pStyle w:val="subsection2"/>
      </w:pPr>
      <w:r w:rsidRPr="004303AB">
        <w:t xml:space="preserve">the ACMA must, as soon as is reasonably practicable, give written notice to each authorised research entity stating that the entity, and any other person affected by the decision, may request the ACMA to reconsider the decision under section </w:t>
      </w:r>
      <w:r w:rsidR="008D786C" w:rsidRPr="004303AB">
        <w:t>42</w:t>
      </w:r>
      <w:r w:rsidRPr="004303AB">
        <w:t>.</w:t>
      </w:r>
    </w:p>
    <w:p w:rsidR="003925AB" w:rsidRPr="004303AB" w:rsidRDefault="003925AB" w:rsidP="003925AB">
      <w:pPr>
        <w:pStyle w:val="subsection"/>
      </w:pPr>
      <w:r w:rsidRPr="004303AB">
        <w:tab/>
        <w:t>(3)</w:t>
      </w:r>
      <w:r w:rsidRPr="004303AB">
        <w:tab/>
        <w:t>As soon as reasonably practicable after the ACMA decides not to grant a research authorisation, the ACMA must give written notice to each research entity specified in the application for the authorisation stating:</w:t>
      </w:r>
    </w:p>
    <w:p w:rsidR="003925AB" w:rsidRPr="004303AB" w:rsidRDefault="003925AB" w:rsidP="003925AB">
      <w:pPr>
        <w:pStyle w:val="paragraph"/>
      </w:pPr>
      <w:r w:rsidRPr="004303AB">
        <w:tab/>
        <w:t>(a)</w:t>
      </w:r>
      <w:r w:rsidRPr="004303AB">
        <w:tab/>
        <w:t>that the authorisation has not been granted; and</w:t>
      </w:r>
    </w:p>
    <w:p w:rsidR="003925AB" w:rsidRPr="004303AB" w:rsidRDefault="003925AB" w:rsidP="003925AB">
      <w:pPr>
        <w:pStyle w:val="paragraph"/>
      </w:pPr>
      <w:r w:rsidRPr="004303AB">
        <w:tab/>
        <w:t>(b)</w:t>
      </w:r>
      <w:r w:rsidRPr="004303AB">
        <w:tab/>
        <w:t>the reasons for not granting the authorisation; and</w:t>
      </w:r>
    </w:p>
    <w:p w:rsidR="003925AB" w:rsidRPr="004303AB" w:rsidRDefault="003925AB" w:rsidP="003925AB">
      <w:pPr>
        <w:pStyle w:val="paragraph"/>
      </w:pPr>
      <w:r w:rsidRPr="004303AB">
        <w:tab/>
        <w:t>(c)</w:t>
      </w:r>
      <w:r w:rsidRPr="004303AB">
        <w:tab/>
        <w:t xml:space="preserve">that the entity, and any other person affected by the decision, may request the ACMA to reconsider the decision under section </w:t>
      </w:r>
      <w:r w:rsidR="008D786C" w:rsidRPr="004303AB">
        <w:t>42</w:t>
      </w:r>
      <w:r w:rsidRPr="004303AB">
        <w:t>.</w:t>
      </w:r>
    </w:p>
    <w:p w:rsidR="003925AB" w:rsidRPr="004303AB" w:rsidRDefault="00EA5EBA" w:rsidP="003925AB">
      <w:pPr>
        <w:pStyle w:val="notetext"/>
      </w:pPr>
      <w:r w:rsidRPr="004303AB">
        <w:t>Note</w:t>
      </w:r>
      <w:r w:rsidR="003925AB" w:rsidRPr="004303AB">
        <w:t>:</w:t>
      </w:r>
      <w:r w:rsidR="003925AB" w:rsidRPr="004303AB">
        <w:tab/>
        <w:t xml:space="preserve">A research entity </w:t>
      </w:r>
      <w:r w:rsidR="00BE5AFE" w:rsidRPr="004303AB">
        <w:t xml:space="preserve">may be treated as not being </w:t>
      </w:r>
      <w:r w:rsidR="003925AB" w:rsidRPr="004303AB">
        <w:t xml:space="preserve">specified in an application if the entity does not provide the ACMA with further information within 90 days after the ACMA requests that information: </w:t>
      </w:r>
      <w:bookmarkStart w:id="61" w:name="BK_S3P16L29C28"/>
      <w:bookmarkEnd w:id="61"/>
      <w:r w:rsidR="003925AB" w:rsidRPr="004303AB">
        <w:t xml:space="preserve">see section </w:t>
      </w:r>
      <w:r w:rsidR="008D786C" w:rsidRPr="004303AB">
        <w:t>19</w:t>
      </w:r>
      <w:r w:rsidR="003925AB" w:rsidRPr="004303AB">
        <w:t>.</w:t>
      </w:r>
    </w:p>
    <w:p w:rsidR="003925AB" w:rsidRPr="004303AB" w:rsidRDefault="008D786C" w:rsidP="003925AB">
      <w:pPr>
        <w:pStyle w:val="ActHead5"/>
      </w:pPr>
      <w:bookmarkStart w:id="62" w:name="_Toc64297908"/>
      <w:r w:rsidRPr="00E34AC3">
        <w:rPr>
          <w:rStyle w:val="CharSectno"/>
        </w:rPr>
        <w:t>24</w:t>
      </w:r>
      <w:r w:rsidR="003925AB" w:rsidRPr="004303AB">
        <w:t xml:space="preserve">  Period of research authorisations</w:t>
      </w:r>
      <w:bookmarkEnd w:id="62"/>
    </w:p>
    <w:p w:rsidR="003925AB" w:rsidRPr="004303AB" w:rsidRDefault="003925AB" w:rsidP="003925AB">
      <w:pPr>
        <w:pStyle w:val="subsection"/>
      </w:pPr>
      <w:r w:rsidRPr="004303AB">
        <w:tab/>
      </w:r>
      <w:r w:rsidRPr="004303AB">
        <w:tab/>
        <w:t>A research authorisation has effect during the period specified in the authorisation, subject otherwise to this instrument.</w:t>
      </w:r>
    </w:p>
    <w:p w:rsidR="003925AB" w:rsidRPr="004303AB" w:rsidRDefault="003925AB" w:rsidP="003925AB">
      <w:pPr>
        <w:pStyle w:val="ActHead4"/>
      </w:pPr>
      <w:bookmarkStart w:id="63" w:name="_Toc64297909"/>
      <w:r w:rsidRPr="00E34AC3">
        <w:rPr>
          <w:rStyle w:val="CharSubdNo"/>
        </w:rPr>
        <w:t>Subdivision C</w:t>
      </w:r>
      <w:r w:rsidRPr="004303AB">
        <w:t>—</w:t>
      </w:r>
      <w:r w:rsidRPr="00E34AC3">
        <w:rPr>
          <w:rStyle w:val="CharSubdText"/>
        </w:rPr>
        <w:t>Authorisation conditions</w:t>
      </w:r>
      <w:bookmarkEnd w:id="63"/>
    </w:p>
    <w:p w:rsidR="003925AB" w:rsidRPr="004303AB" w:rsidRDefault="008D786C" w:rsidP="003925AB">
      <w:pPr>
        <w:pStyle w:val="ActHead5"/>
      </w:pPr>
      <w:bookmarkStart w:id="64" w:name="_Toc64297910"/>
      <w:r w:rsidRPr="00E34AC3">
        <w:rPr>
          <w:rStyle w:val="CharSectno"/>
        </w:rPr>
        <w:t>25</w:t>
      </w:r>
      <w:r w:rsidR="003925AB" w:rsidRPr="004303AB">
        <w:t xml:space="preserve">  Authorisation conditions</w:t>
      </w:r>
      <w:bookmarkEnd w:id="64"/>
    </w:p>
    <w:p w:rsidR="003925AB" w:rsidRPr="004303AB" w:rsidRDefault="003925AB" w:rsidP="003925AB">
      <w:pPr>
        <w:pStyle w:val="subsection"/>
      </w:pPr>
      <w:r w:rsidRPr="004303AB">
        <w:tab/>
      </w:r>
      <w:r w:rsidRPr="004303AB">
        <w:tab/>
        <w:t>A research authorisation is subject to:</w:t>
      </w:r>
    </w:p>
    <w:p w:rsidR="003925AB" w:rsidRPr="004303AB" w:rsidRDefault="003925AB" w:rsidP="003925AB">
      <w:pPr>
        <w:pStyle w:val="paragraph"/>
      </w:pPr>
      <w:r w:rsidRPr="004303AB">
        <w:tab/>
        <w:t>(a)</w:t>
      </w:r>
      <w:r w:rsidRPr="004303AB">
        <w:tab/>
        <w:t>the conditions specified in this Subdivision; and</w:t>
      </w:r>
    </w:p>
    <w:p w:rsidR="003925AB" w:rsidRPr="004303AB" w:rsidRDefault="003925AB" w:rsidP="003925AB">
      <w:pPr>
        <w:pStyle w:val="paragraph"/>
      </w:pPr>
      <w:r w:rsidRPr="004303AB">
        <w:tab/>
        <w:t>(b)</w:t>
      </w:r>
      <w:r w:rsidRPr="004303AB">
        <w:tab/>
        <w:t xml:space="preserve">any additional conditions specified by the ACMA under subsection </w:t>
      </w:r>
      <w:r w:rsidR="008D786C" w:rsidRPr="004303AB">
        <w:t>22</w:t>
      </w:r>
      <w:r w:rsidRPr="004303AB">
        <w:t xml:space="preserve">(4) or section </w:t>
      </w:r>
      <w:r w:rsidR="008D786C" w:rsidRPr="004303AB">
        <w:t>36</w:t>
      </w:r>
      <w:r w:rsidRPr="004303AB">
        <w:t>.</w:t>
      </w:r>
    </w:p>
    <w:p w:rsidR="003925AB" w:rsidRPr="004303AB" w:rsidRDefault="008D786C" w:rsidP="003925AB">
      <w:pPr>
        <w:pStyle w:val="ActHead5"/>
      </w:pPr>
      <w:bookmarkStart w:id="65" w:name="_Toc64297911"/>
      <w:r w:rsidRPr="00E34AC3">
        <w:rPr>
          <w:rStyle w:val="CharSectno"/>
        </w:rPr>
        <w:t>26</w:t>
      </w:r>
      <w:r w:rsidR="003925AB" w:rsidRPr="004303AB">
        <w:t xml:space="preserve">  Receipt of authorised unlisted mobile number information</w:t>
      </w:r>
      <w:bookmarkEnd w:id="65"/>
    </w:p>
    <w:p w:rsidR="003925AB" w:rsidRPr="004303AB" w:rsidRDefault="003925AB" w:rsidP="003925AB">
      <w:pPr>
        <w:pStyle w:val="subsection"/>
      </w:pPr>
      <w:r w:rsidRPr="004303AB">
        <w:tab/>
        <w:t>(1)</w:t>
      </w:r>
      <w:r w:rsidRPr="004303AB">
        <w:tab/>
        <w:t>If an authorised research entity covered by the authorisation receives authorised unlisted mobile number information from Telstra, the entity must give written notice to the following within 10 business days after receiving the information:</w:t>
      </w:r>
    </w:p>
    <w:p w:rsidR="003925AB" w:rsidRPr="004303AB" w:rsidRDefault="003925AB" w:rsidP="003925AB">
      <w:pPr>
        <w:pStyle w:val="paragraph"/>
      </w:pPr>
      <w:r w:rsidRPr="004303AB">
        <w:tab/>
        <w:t>(a)</w:t>
      </w:r>
      <w:r w:rsidRPr="004303AB">
        <w:tab/>
        <w:t>the ACMA;</w:t>
      </w:r>
    </w:p>
    <w:p w:rsidR="003925AB" w:rsidRPr="004303AB" w:rsidRDefault="003925AB" w:rsidP="003925AB">
      <w:pPr>
        <w:pStyle w:val="paragraph"/>
      </w:pPr>
      <w:r w:rsidRPr="004303AB">
        <w:tab/>
        <w:t>(b)</w:t>
      </w:r>
      <w:r w:rsidRPr="004303AB">
        <w:tab/>
        <w:t>each other authorised research entity covered by the authorisation.</w:t>
      </w:r>
    </w:p>
    <w:p w:rsidR="003925AB" w:rsidRPr="004303AB" w:rsidRDefault="003925AB" w:rsidP="003925AB">
      <w:pPr>
        <w:pStyle w:val="subsection"/>
      </w:pPr>
      <w:r w:rsidRPr="004303AB">
        <w:tab/>
        <w:t>(2)</w:t>
      </w:r>
      <w:r w:rsidRPr="004303AB">
        <w:tab/>
      </w:r>
      <w:r w:rsidR="00426B90" w:rsidRPr="004303AB">
        <w:t>Subsection (</w:t>
      </w:r>
      <w:r w:rsidRPr="004303AB">
        <w:t>1) does not apply if the entity has previously received a notice in relation to that information under that subsection from another authorised research entity covered by the authorisation.</w:t>
      </w:r>
    </w:p>
    <w:p w:rsidR="003925AB" w:rsidRPr="004303AB" w:rsidRDefault="008D786C" w:rsidP="003925AB">
      <w:pPr>
        <w:pStyle w:val="ActHead5"/>
      </w:pPr>
      <w:bookmarkStart w:id="66" w:name="_Toc64297912"/>
      <w:r w:rsidRPr="00E34AC3">
        <w:rPr>
          <w:rStyle w:val="CharSectno"/>
        </w:rPr>
        <w:t>27</w:t>
      </w:r>
      <w:r w:rsidR="003925AB" w:rsidRPr="004303AB">
        <w:t xml:space="preserve">  Use and disclosure of authorised unlisted mobile number information</w:t>
      </w:r>
      <w:bookmarkEnd w:id="66"/>
    </w:p>
    <w:p w:rsidR="003925AB" w:rsidRPr="004303AB" w:rsidRDefault="003925AB" w:rsidP="003925AB">
      <w:pPr>
        <w:pStyle w:val="subsection"/>
      </w:pPr>
      <w:r w:rsidRPr="004303AB">
        <w:tab/>
        <w:t>(1)</w:t>
      </w:r>
      <w:r w:rsidRPr="004303AB">
        <w:tab/>
        <w:t>An authorised research entity must not make a record of, or use, authorised unlisted mobile number information unless it is for the purposes of authorised research under the authorisation.</w:t>
      </w:r>
    </w:p>
    <w:p w:rsidR="003925AB" w:rsidRPr="004303AB" w:rsidRDefault="003925AB" w:rsidP="003925AB">
      <w:pPr>
        <w:pStyle w:val="subsection"/>
      </w:pPr>
      <w:r w:rsidRPr="004303AB">
        <w:tab/>
        <w:t>(2)</w:t>
      </w:r>
      <w:r w:rsidRPr="004303AB">
        <w:tab/>
        <w:t>An authorised research entity must not disclose authorised unlisted mobile number information unless authorised, or required to do so, by or under:</w:t>
      </w:r>
    </w:p>
    <w:p w:rsidR="003925AB" w:rsidRPr="004303AB" w:rsidRDefault="003925AB" w:rsidP="003925AB">
      <w:pPr>
        <w:pStyle w:val="paragraph"/>
      </w:pPr>
      <w:r w:rsidRPr="004303AB">
        <w:tab/>
        <w:t>(a)</w:t>
      </w:r>
      <w:r w:rsidRPr="004303AB">
        <w:tab/>
      </w:r>
      <w:r w:rsidR="00426B90" w:rsidRPr="004303AB">
        <w:t>subsection (</w:t>
      </w:r>
      <w:r w:rsidRPr="004303AB">
        <w:t>3) or (4); or</w:t>
      </w:r>
    </w:p>
    <w:p w:rsidR="003925AB" w:rsidRPr="004303AB" w:rsidRDefault="003925AB" w:rsidP="003925AB">
      <w:pPr>
        <w:pStyle w:val="paragraph"/>
      </w:pPr>
      <w:r w:rsidRPr="004303AB">
        <w:tab/>
        <w:t>(b)</w:t>
      </w:r>
      <w:r w:rsidRPr="004303AB">
        <w:tab/>
        <w:t>any other law that applies to the entity.</w:t>
      </w:r>
    </w:p>
    <w:p w:rsidR="003925AB" w:rsidRPr="004303AB" w:rsidRDefault="003925AB" w:rsidP="003925AB">
      <w:pPr>
        <w:pStyle w:val="subsection"/>
      </w:pPr>
      <w:r w:rsidRPr="004303AB">
        <w:tab/>
        <w:t>(3)</w:t>
      </w:r>
      <w:r w:rsidRPr="004303AB">
        <w:tab/>
        <w:t>The entity may disclose, for the purposes of authorised research under the authorisation, authorised unlisted mobile number information to:</w:t>
      </w:r>
    </w:p>
    <w:p w:rsidR="003925AB" w:rsidRPr="004303AB" w:rsidRDefault="003925AB" w:rsidP="003925AB">
      <w:pPr>
        <w:pStyle w:val="paragraph"/>
      </w:pPr>
      <w:r w:rsidRPr="004303AB">
        <w:tab/>
        <w:t>(a)</w:t>
      </w:r>
      <w:r w:rsidRPr="004303AB">
        <w:tab/>
        <w:t>the entity’s research employees; or</w:t>
      </w:r>
    </w:p>
    <w:p w:rsidR="003925AB" w:rsidRPr="004303AB" w:rsidRDefault="003925AB" w:rsidP="003925AB">
      <w:pPr>
        <w:pStyle w:val="paragraph"/>
      </w:pPr>
      <w:r w:rsidRPr="004303AB">
        <w:tab/>
        <w:t>(b)</w:t>
      </w:r>
      <w:r w:rsidRPr="004303AB">
        <w:tab/>
        <w:t>any other authorised research entities covered by the authorisation.</w:t>
      </w:r>
    </w:p>
    <w:p w:rsidR="003925AB" w:rsidRPr="004303AB" w:rsidRDefault="003925AB" w:rsidP="003925AB">
      <w:pPr>
        <w:pStyle w:val="subsection"/>
      </w:pPr>
      <w:r w:rsidRPr="004303AB">
        <w:tab/>
        <w:t>(4)</w:t>
      </w:r>
      <w:r w:rsidRPr="004303AB">
        <w:tab/>
        <w:t>The entity must disclose authorised unlisted mobile number information to the ACMA if the ACMA requests the information.</w:t>
      </w:r>
    </w:p>
    <w:p w:rsidR="003925AB" w:rsidRPr="004303AB" w:rsidRDefault="008D786C" w:rsidP="003925AB">
      <w:pPr>
        <w:pStyle w:val="ActHead5"/>
      </w:pPr>
      <w:bookmarkStart w:id="67" w:name="_Toc64297913"/>
      <w:r w:rsidRPr="00E34AC3">
        <w:rPr>
          <w:rStyle w:val="CharSectno"/>
        </w:rPr>
        <w:t>28</w:t>
      </w:r>
      <w:r w:rsidR="003925AB" w:rsidRPr="004303AB">
        <w:t xml:space="preserve">  Covered by the Privacy Act</w:t>
      </w:r>
      <w:bookmarkEnd w:id="67"/>
    </w:p>
    <w:p w:rsidR="003925AB" w:rsidRPr="004303AB" w:rsidRDefault="003925AB" w:rsidP="003925AB">
      <w:pPr>
        <w:pStyle w:val="subsection"/>
      </w:pPr>
      <w:r w:rsidRPr="004303AB">
        <w:tab/>
        <w:t>(1)</w:t>
      </w:r>
      <w:r w:rsidRPr="004303AB">
        <w:tab/>
        <w:t>An authorised research entity must be covered by the Privacy Act while the authorisation covers the entity.</w:t>
      </w:r>
    </w:p>
    <w:p w:rsidR="003925AB" w:rsidRPr="004303AB" w:rsidRDefault="003925AB" w:rsidP="003925AB">
      <w:pPr>
        <w:pStyle w:val="notetext"/>
      </w:pPr>
      <w:r w:rsidRPr="004303AB">
        <w:t>Note:</w:t>
      </w:r>
      <w:r w:rsidRPr="004303AB">
        <w:tab/>
        <w:t xml:space="preserve">For the meaning of </w:t>
      </w:r>
      <w:r w:rsidRPr="004303AB">
        <w:rPr>
          <w:b/>
          <w:i/>
        </w:rPr>
        <w:t>covered by the Privacy Act</w:t>
      </w:r>
      <w:r w:rsidRPr="004303AB">
        <w:t xml:space="preserve">, see section </w:t>
      </w:r>
      <w:r w:rsidR="008D786C" w:rsidRPr="004303AB">
        <w:t>5</w:t>
      </w:r>
      <w:r w:rsidRPr="004303AB">
        <w:t>.</w:t>
      </w:r>
    </w:p>
    <w:p w:rsidR="003925AB" w:rsidRPr="004303AB" w:rsidRDefault="003925AB" w:rsidP="003925AB">
      <w:pPr>
        <w:pStyle w:val="subsection"/>
      </w:pPr>
      <w:r w:rsidRPr="004303AB">
        <w:tab/>
        <w:t>(2)</w:t>
      </w:r>
      <w:r w:rsidRPr="004303AB">
        <w:tab/>
      </w:r>
      <w:r w:rsidR="00426B90" w:rsidRPr="004303AB">
        <w:t>Subsection (</w:t>
      </w:r>
      <w:r w:rsidRPr="004303AB">
        <w:t>1) does not apply if the entity is a registered political party.</w:t>
      </w:r>
    </w:p>
    <w:p w:rsidR="003925AB" w:rsidRPr="004303AB" w:rsidRDefault="008D786C" w:rsidP="003925AB">
      <w:pPr>
        <w:pStyle w:val="ActHead5"/>
      </w:pPr>
      <w:bookmarkStart w:id="68" w:name="_Toc64297914"/>
      <w:r w:rsidRPr="00E34AC3">
        <w:rPr>
          <w:rStyle w:val="CharSectno"/>
        </w:rPr>
        <w:t>29</w:t>
      </w:r>
      <w:r w:rsidR="003925AB" w:rsidRPr="004303AB">
        <w:t xml:space="preserve">  Compliance with the Privacy Act</w:t>
      </w:r>
      <w:bookmarkEnd w:id="68"/>
    </w:p>
    <w:p w:rsidR="003925AB" w:rsidRPr="004303AB" w:rsidRDefault="003925AB" w:rsidP="003925AB">
      <w:pPr>
        <w:pStyle w:val="subsection"/>
      </w:pPr>
      <w:r w:rsidRPr="004303AB">
        <w:tab/>
        <w:t>(1)</w:t>
      </w:r>
      <w:r w:rsidRPr="004303AB">
        <w:tab/>
        <w:t>If an authorised research entity collects, uses or discloses personal information</w:t>
      </w:r>
      <w:bookmarkStart w:id="69" w:name="BK_S3P17L30C87"/>
      <w:bookmarkEnd w:id="69"/>
      <w:r w:rsidRPr="004303AB">
        <w:t xml:space="preserve"> about an individual for the purposes of authorised research under the authorisation, the entity must not do an act, or engage in a practice, that breaches:</w:t>
      </w:r>
    </w:p>
    <w:p w:rsidR="003925AB" w:rsidRPr="004303AB" w:rsidRDefault="003925AB" w:rsidP="003925AB">
      <w:pPr>
        <w:pStyle w:val="paragraph"/>
      </w:pPr>
      <w:r w:rsidRPr="004303AB">
        <w:tab/>
        <w:t>(a)</w:t>
      </w:r>
      <w:r w:rsidRPr="004303AB">
        <w:tab/>
        <w:t>an Australian Privacy Principle in relation to personal information</w:t>
      </w:r>
      <w:bookmarkStart w:id="70" w:name="BK_S3P17L33C73"/>
      <w:bookmarkEnd w:id="70"/>
      <w:r w:rsidRPr="004303AB">
        <w:t xml:space="preserve"> about the individual; or</w:t>
      </w:r>
    </w:p>
    <w:p w:rsidR="003925AB" w:rsidRPr="004303AB" w:rsidRDefault="003925AB" w:rsidP="003925AB">
      <w:pPr>
        <w:pStyle w:val="paragraph"/>
      </w:pPr>
      <w:r w:rsidRPr="004303AB">
        <w:tab/>
        <w:t>(b)</w:t>
      </w:r>
      <w:r w:rsidRPr="004303AB">
        <w:tab/>
        <w:t>a registered APP code that binds the entity in relation to personal information</w:t>
      </w:r>
      <w:bookmarkStart w:id="71" w:name="BK_S3P17L36C85"/>
      <w:bookmarkEnd w:id="71"/>
      <w:r w:rsidRPr="004303AB">
        <w:t xml:space="preserve"> about the individual.</w:t>
      </w:r>
    </w:p>
    <w:p w:rsidR="003925AB" w:rsidRPr="004303AB" w:rsidRDefault="003925AB" w:rsidP="003925AB">
      <w:pPr>
        <w:pStyle w:val="subsection"/>
      </w:pPr>
      <w:r w:rsidRPr="004303AB">
        <w:tab/>
        <w:t>(2)</w:t>
      </w:r>
      <w:r w:rsidRPr="004303AB">
        <w:tab/>
      </w:r>
      <w:r w:rsidR="00426B90" w:rsidRPr="004303AB">
        <w:t>Subsection (</w:t>
      </w:r>
      <w:r w:rsidRPr="004303AB">
        <w:t>1) applies regardless of whether:</w:t>
      </w:r>
    </w:p>
    <w:p w:rsidR="003925AB" w:rsidRPr="004303AB" w:rsidRDefault="003925AB" w:rsidP="003925AB">
      <w:pPr>
        <w:pStyle w:val="paragraph"/>
      </w:pPr>
      <w:r w:rsidRPr="004303AB">
        <w:tab/>
        <w:t>(a)</w:t>
      </w:r>
      <w:r w:rsidRPr="004303AB">
        <w:tab/>
        <w:t>the entity is a registered political party; or</w:t>
      </w:r>
    </w:p>
    <w:p w:rsidR="003925AB" w:rsidRPr="004303AB" w:rsidRDefault="003925AB" w:rsidP="003925AB">
      <w:pPr>
        <w:pStyle w:val="paragraph"/>
      </w:pPr>
      <w:r w:rsidRPr="004303AB">
        <w:tab/>
        <w:t>(b)</w:t>
      </w:r>
      <w:r w:rsidRPr="004303AB">
        <w:tab/>
        <w:t xml:space="preserve">the act or practice of the entity is exempt under </w:t>
      </w:r>
      <w:r w:rsidR="00426B90" w:rsidRPr="004303AB">
        <w:t>section 7</w:t>
      </w:r>
      <w:r w:rsidRPr="004303AB">
        <w:t xml:space="preserve">C of the </w:t>
      </w:r>
      <w:r w:rsidRPr="004303AB">
        <w:rPr>
          <w:i/>
        </w:rPr>
        <w:t>Privacy Act 1988</w:t>
      </w:r>
      <w:r w:rsidRPr="004303AB">
        <w:t xml:space="preserve"> (which provides that certain political acts and practices are exempt).</w:t>
      </w:r>
    </w:p>
    <w:p w:rsidR="003925AB" w:rsidRPr="004303AB" w:rsidRDefault="008D786C" w:rsidP="003925AB">
      <w:pPr>
        <w:pStyle w:val="ActHead5"/>
      </w:pPr>
      <w:bookmarkStart w:id="72" w:name="_Toc64297915"/>
      <w:r w:rsidRPr="00E34AC3">
        <w:rPr>
          <w:rStyle w:val="CharSectno"/>
        </w:rPr>
        <w:t>30</w:t>
      </w:r>
      <w:r w:rsidR="003925AB" w:rsidRPr="004303AB">
        <w:t xml:space="preserve">  Contacting persons for authorised research</w:t>
      </w:r>
      <w:bookmarkEnd w:id="72"/>
    </w:p>
    <w:p w:rsidR="003925AB" w:rsidRPr="004303AB" w:rsidRDefault="003925AB" w:rsidP="003925AB">
      <w:pPr>
        <w:pStyle w:val="SubsectionHead"/>
      </w:pPr>
      <w:r w:rsidRPr="004303AB">
        <w:t>Making contact</w:t>
      </w:r>
    </w:p>
    <w:p w:rsidR="003925AB" w:rsidRPr="004303AB" w:rsidRDefault="003925AB" w:rsidP="003925AB">
      <w:pPr>
        <w:pStyle w:val="subsection"/>
      </w:pPr>
      <w:r w:rsidRPr="004303AB">
        <w:tab/>
        <w:t>(1)</w:t>
      </w:r>
      <w:r w:rsidRPr="004303AB">
        <w:tab/>
        <w:t>An authorised research entity may contact a person, using authorised unlisted mobile number information, only by calling the person.</w:t>
      </w:r>
    </w:p>
    <w:p w:rsidR="003925AB" w:rsidRPr="004303AB" w:rsidRDefault="003925AB" w:rsidP="003925AB">
      <w:pPr>
        <w:pStyle w:val="notetext"/>
      </w:pPr>
      <w:r w:rsidRPr="004303AB">
        <w:t>Example:</w:t>
      </w:r>
      <w:r w:rsidRPr="004303AB">
        <w:tab/>
        <w:t>The authorised research entity must not contact the person by text message.</w:t>
      </w:r>
    </w:p>
    <w:p w:rsidR="003925AB" w:rsidRPr="004303AB" w:rsidRDefault="003925AB" w:rsidP="003925AB">
      <w:pPr>
        <w:pStyle w:val="subsection"/>
      </w:pPr>
      <w:r w:rsidRPr="004303AB">
        <w:tab/>
        <w:t>(2)</w:t>
      </w:r>
      <w:r w:rsidRPr="004303AB">
        <w:tab/>
        <w:t xml:space="preserve">If an authorised research entity uses authorised unlisted mobile number information to call a person (the </w:t>
      </w:r>
      <w:r w:rsidRPr="004303AB">
        <w:rPr>
          <w:b/>
          <w:i/>
        </w:rPr>
        <w:t>contacted person</w:t>
      </w:r>
      <w:r w:rsidRPr="004303AB">
        <w:t>) for the purposes of authorised research under the authorisation, the entity must, during the call:</w:t>
      </w:r>
    </w:p>
    <w:p w:rsidR="003925AB" w:rsidRPr="004303AB" w:rsidRDefault="003925AB" w:rsidP="003925AB">
      <w:pPr>
        <w:pStyle w:val="paragraph"/>
      </w:pPr>
      <w:r w:rsidRPr="004303AB">
        <w:tab/>
        <w:t>(a)</w:t>
      </w:r>
      <w:r w:rsidRPr="004303AB">
        <w:tab/>
        <w:t>tell the person:</w:t>
      </w:r>
    </w:p>
    <w:p w:rsidR="003925AB" w:rsidRPr="004303AB" w:rsidRDefault="003925AB" w:rsidP="003925AB">
      <w:pPr>
        <w:pStyle w:val="paragraphsub"/>
      </w:pPr>
      <w:r w:rsidRPr="004303AB">
        <w:tab/>
        <w:t>(i)</w:t>
      </w:r>
      <w:r w:rsidRPr="004303AB">
        <w:tab/>
        <w:t>the entity’s name; and</w:t>
      </w:r>
    </w:p>
    <w:p w:rsidR="003925AB" w:rsidRPr="004303AB" w:rsidRDefault="003925AB" w:rsidP="003925AB">
      <w:pPr>
        <w:pStyle w:val="paragraphsub"/>
      </w:pPr>
      <w:r w:rsidRPr="004303AB">
        <w:tab/>
        <w:t>(ii)</w:t>
      </w:r>
      <w:r w:rsidRPr="004303AB">
        <w:tab/>
        <w:t>the purpose of the research; and</w:t>
      </w:r>
    </w:p>
    <w:p w:rsidR="003925AB" w:rsidRPr="004303AB" w:rsidRDefault="003925AB" w:rsidP="003925AB">
      <w:pPr>
        <w:pStyle w:val="paragraphsub"/>
      </w:pPr>
      <w:r w:rsidRPr="004303AB">
        <w:tab/>
        <w:t>(iii)</w:t>
      </w:r>
      <w:r w:rsidRPr="004303AB">
        <w:tab/>
        <w:t>how the entity obtained the mobile number used to call the person; and</w:t>
      </w:r>
    </w:p>
    <w:p w:rsidR="003925AB" w:rsidRPr="004303AB" w:rsidRDefault="003925AB" w:rsidP="003925AB">
      <w:pPr>
        <w:pStyle w:val="paragraphsub"/>
      </w:pPr>
      <w:r w:rsidRPr="004303AB">
        <w:tab/>
        <w:t>(iv)</w:t>
      </w:r>
      <w:r w:rsidRPr="004303AB">
        <w:tab/>
        <w:t>how the entity proposes to use research information relating to the person; and</w:t>
      </w:r>
    </w:p>
    <w:p w:rsidR="003925AB" w:rsidRPr="004303AB" w:rsidRDefault="003925AB" w:rsidP="003925AB">
      <w:pPr>
        <w:pStyle w:val="paragraphsub"/>
      </w:pPr>
      <w:r w:rsidRPr="004303AB">
        <w:tab/>
        <w:t>(v)</w:t>
      </w:r>
      <w:r w:rsidRPr="004303AB">
        <w:tab/>
        <w:t>that the use of the number by the entity is authorised by the ACMA for the purposes of the research; and</w:t>
      </w:r>
    </w:p>
    <w:p w:rsidR="003925AB" w:rsidRPr="004303AB" w:rsidRDefault="003925AB" w:rsidP="003925AB">
      <w:pPr>
        <w:pStyle w:val="paragraphsub"/>
      </w:pPr>
      <w:r w:rsidRPr="004303AB">
        <w:tab/>
        <w:t>(vi)</w:t>
      </w:r>
      <w:r w:rsidRPr="004303AB">
        <w:tab/>
        <w:t>if asked by the person—how the person can access any personal information</w:t>
      </w:r>
      <w:bookmarkStart w:id="73" w:name="BK_S3P18L22C12"/>
      <w:bookmarkEnd w:id="73"/>
      <w:r w:rsidRPr="004303AB">
        <w:t xml:space="preserve"> about the person held by the entity; and</w:t>
      </w:r>
    </w:p>
    <w:p w:rsidR="003925AB" w:rsidRPr="004303AB" w:rsidRDefault="003925AB" w:rsidP="003925AB">
      <w:pPr>
        <w:pStyle w:val="paragraph"/>
      </w:pPr>
      <w:r w:rsidRPr="004303AB">
        <w:tab/>
        <w:t>(b)</w:t>
      </w:r>
      <w:r w:rsidRPr="004303AB">
        <w:tab/>
        <w:t>ask the person whether the person gives consent for the use and disclosure of the research information relating to the person in the research; and</w:t>
      </w:r>
    </w:p>
    <w:p w:rsidR="003925AB" w:rsidRPr="004303AB" w:rsidRDefault="003925AB" w:rsidP="003925AB">
      <w:pPr>
        <w:pStyle w:val="paragraph"/>
      </w:pPr>
      <w:r w:rsidRPr="004303AB">
        <w:tab/>
        <w:t>(c)</w:t>
      </w:r>
      <w:r w:rsidRPr="004303AB">
        <w:tab/>
        <w:t>tell the person that the person may withdraw any consent so given at any time during the call; and</w:t>
      </w:r>
    </w:p>
    <w:p w:rsidR="003925AB" w:rsidRPr="004303AB" w:rsidRDefault="003925AB" w:rsidP="003925AB">
      <w:pPr>
        <w:pStyle w:val="paragraph"/>
      </w:pPr>
      <w:r w:rsidRPr="004303AB">
        <w:tab/>
        <w:t>(d)</w:t>
      </w:r>
      <w:r w:rsidRPr="004303AB">
        <w:tab/>
        <w:t xml:space="preserve">give the person any other information that is required by law (for example, under the </w:t>
      </w:r>
      <w:r w:rsidRPr="004303AB">
        <w:rPr>
          <w:i/>
        </w:rPr>
        <w:t>Privacy Act 1988</w:t>
      </w:r>
      <w:r w:rsidRPr="004303AB">
        <w:t>); and</w:t>
      </w:r>
    </w:p>
    <w:p w:rsidR="003925AB" w:rsidRPr="004303AB" w:rsidRDefault="003925AB" w:rsidP="003925AB">
      <w:pPr>
        <w:pStyle w:val="paragraph"/>
      </w:pPr>
      <w:r w:rsidRPr="004303AB">
        <w:tab/>
        <w:t>(e)</w:t>
      </w:r>
      <w:r w:rsidRPr="004303AB">
        <w:tab/>
        <w:t>comply with all applicable laws relating to unsolicited contact with another person.</w:t>
      </w:r>
    </w:p>
    <w:p w:rsidR="003925AB" w:rsidRPr="004303AB" w:rsidRDefault="003925AB" w:rsidP="003925AB">
      <w:pPr>
        <w:pStyle w:val="notetext"/>
      </w:pPr>
      <w:r w:rsidRPr="004303AB">
        <w:t>Note:</w:t>
      </w:r>
      <w:r w:rsidRPr="004303AB">
        <w:tab/>
        <w:t xml:space="preserve">For the purposes of </w:t>
      </w:r>
      <w:r w:rsidR="00426B90" w:rsidRPr="004303AB">
        <w:t>paragraph (</w:t>
      </w:r>
      <w:r w:rsidRPr="004303AB">
        <w:t>e), applicable laws relating to unsolicited contact with another person include the following:</w:t>
      </w:r>
    </w:p>
    <w:p w:rsidR="00FE0E4B" w:rsidRPr="004303AB" w:rsidRDefault="00FE0E4B" w:rsidP="00FE0E4B">
      <w:pPr>
        <w:pStyle w:val="notepara"/>
        <w:rPr>
          <w:szCs w:val="18"/>
        </w:rPr>
      </w:pPr>
      <w:r w:rsidRPr="004303AB">
        <w:rPr>
          <w:szCs w:val="18"/>
        </w:rPr>
        <w:t>(a)</w:t>
      </w:r>
      <w:r w:rsidRPr="004303AB">
        <w:rPr>
          <w:szCs w:val="18"/>
        </w:rPr>
        <w:tab/>
        <w:t xml:space="preserve">the </w:t>
      </w:r>
      <w:r w:rsidRPr="004303AB">
        <w:rPr>
          <w:i/>
          <w:szCs w:val="18"/>
        </w:rPr>
        <w:t>Do Not Call Register Act 2006</w:t>
      </w:r>
      <w:r w:rsidRPr="004303AB">
        <w:rPr>
          <w:szCs w:val="18"/>
        </w:rPr>
        <w:t>;</w:t>
      </w:r>
    </w:p>
    <w:p w:rsidR="003925AB" w:rsidRPr="004303AB" w:rsidRDefault="00421C5B" w:rsidP="003925AB">
      <w:pPr>
        <w:pStyle w:val="notepara"/>
      </w:pPr>
      <w:r w:rsidRPr="004303AB">
        <w:t>(b</w:t>
      </w:r>
      <w:r w:rsidR="003925AB" w:rsidRPr="004303AB">
        <w:t>)</w:t>
      </w:r>
      <w:r w:rsidR="003925AB" w:rsidRPr="004303AB">
        <w:tab/>
        <w:t xml:space="preserve">the </w:t>
      </w:r>
      <w:r w:rsidR="003925AB" w:rsidRPr="004303AB">
        <w:rPr>
          <w:i/>
        </w:rPr>
        <w:t>Privacy Act 1988</w:t>
      </w:r>
      <w:r w:rsidR="003925AB" w:rsidRPr="004303AB">
        <w:t>;</w:t>
      </w:r>
    </w:p>
    <w:p w:rsidR="003925AB" w:rsidRPr="004303AB" w:rsidRDefault="00FE0E4B" w:rsidP="003925AB">
      <w:pPr>
        <w:pStyle w:val="notepara"/>
        <w:rPr>
          <w:szCs w:val="18"/>
        </w:rPr>
      </w:pPr>
      <w:r w:rsidRPr="004303AB">
        <w:t>(c</w:t>
      </w:r>
      <w:r w:rsidR="003925AB" w:rsidRPr="004303AB">
        <w:t>)</w:t>
      </w:r>
      <w:r w:rsidR="003925AB" w:rsidRPr="004303AB">
        <w:tab/>
      </w:r>
      <w:r w:rsidR="003925AB" w:rsidRPr="004303AB">
        <w:rPr>
          <w:szCs w:val="18"/>
        </w:rPr>
        <w:t xml:space="preserve">the </w:t>
      </w:r>
      <w:r w:rsidR="003925AB" w:rsidRPr="004303AB">
        <w:rPr>
          <w:i/>
          <w:szCs w:val="18"/>
        </w:rPr>
        <w:t>Spam Act 2003</w:t>
      </w:r>
      <w:r w:rsidRPr="004303AB">
        <w:rPr>
          <w:szCs w:val="18"/>
        </w:rPr>
        <w:t>.</w:t>
      </w:r>
    </w:p>
    <w:p w:rsidR="003925AB" w:rsidRPr="004303AB" w:rsidRDefault="003925AB" w:rsidP="003925AB">
      <w:pPr>
        <w:pStyle w:val="SubsectionHead"/>
      </w:pPr>
      <w:r w:rsidRPr="004303AB">
        <w:t>Contacted person does not consent to use and disclosure of research information</w:t>
      </w:r>
    </w:p>
    <w:p w:rsidR="003925AB" w:rsidRPr="004303AB" w:rsidRDefault="003925AB" w:rsidP="003925AB">
      <w:pPr>
        <w:pStyle w:val="subsection"/>
      </w:pPr>
      <w:r w:rsidRPr="004303AB">
        <w:tab/>
        <w:t>(3)</w:t>
      </w:r>
      <w:r w:rsidRPr="004303AB">
        <w:tab/>
        <w:t>If the contacted person informs the authorised research entity during the call that the person does not consent, or withdraws consent, to the use and disclosure of research information relating to the person, the entity:</w:t>
      </w:r>
    </w:p>
    <w:p w:rsidR="003925AB" w:rsidRPr="004303AB" w:rsidRDefault="003925AB" w:rsidP="003925AB">
      <w:pPr>
        <w:pStyle w:val="paragraph"/>
      </w:pPr>
      <w:r w:rsidRPr="004303AB">
        <w:tab/>
        <w:t>(a)</w:t>
      </w:r>
      <w:r w:rsidRPr="004303AB">
        <w:tab/>
        <w:t>must not make a record of, use, or disclose any research information the entity has relating to the person; and</w:t>
      </w:r>
    </w:p>
    <w:p w:rsidR="003925AB" w:rsidRPr="004303AB" w:rsidRDefault="003925AB" w:rsidP="003925AB">
      <w:pPr>
        <w:pStyle w:val="paragraph"/>
      </w:pPr>
      <w:r w:rsidRPr="004303AB">
        <w:tab/>
        <w:t>(b)</w:t>
      </w:r>
      <w:r w:rsidRPr="004303AB">
        <w:tab/>
        <w:t>must not use the authorised unlisted mobile number information relating to the person; and</w:t>
      </w:r>
    </w:p>
    <w:p w:rsidR="003925AB" w:rsidRPr="004303AB" w:rsidRDefault="003925AB" w:rsidP="003925AB">
      <w:pPr>
        <w:pStyle w:val="paragraph"/>
      </w:pPr>
      <w:r w:rsidRPr="004303AB">
        <w:tab/>
        <w:t>(c)</w:t>
      </w:r>
      <w:r w:rsidRPr="004303AB">
        <w:tab/>
        <w:t>as soon as reasonably practicable:</w:t>
      </w:r>
    </w:p>
    <w:p w:rsidR="003925AB" w:rsidRPr="004303AB" w:rsidRDefault="003925AB" w:rsidP="003925AB">
      <w:pPr>
        <w:pStyle w:val="paragraphsub"/>
      </w:pPr>
      <w:r w:rsidRPr="004303AB">
        <w:tab/>
        <w:t>(i)</w:t>
      </w:r>
      <w:r w:rsidRPr="004303AB">
        <w:tab/>
        <w:t>must take all reasonable steps to destroy any research information the entity has relating to the person within 10 business days after the person informs the entity that the person does not consent, or has withdrawn consent; and</w:t>
      </w:r>
    </w:p>
    <w:p w:rsidR="003925AB" w:rsidRPr="004303AB" w:rsidRDefault="003925AB" w:rsidP="003925AB">
      <w:pPr>
        <w:pStyle w:val="paragraphsub"/>
      </w:pPr>
      <w:r w:rsidRPr="004303AB">
        <w:tab/>
        <w:t>(ii)</w:t>
      </w:r>
      <w:r w:rsidRPr="004303AB">
        <w:tab/>
        <w:t>must give written notice to any other authorised research entity covered by the same authorisation that authorised unlisted mobile number information relating to the contacted person must not be used.</w:t>
      </w:r>
    </w:p>
    <w:p w:rsidR="003925AB" w:rsidRPr="004303AB" w:rsidRDefault="003925AB" w:rsidP="003925AB">
      <w:pPr>
        <w:pStyle w:val="subsection"/>
      </w:pPr>
      <w:r w:rsidRPr="004303AB">
        <w:tab/>
        <w:t>(4)</w:t>
      </w:r>
      <w:r w:rsidRPr="004303AB">
        <w:tab/>
        <w:t>If an authorised research entity is notified that authorised unlisted mobile number information in relation to the contacted person must not be used, the entity must not use the authorised unlisted mobile number information.</w:t>
      </w:r>
    </w:p>
    <w:p w:rsidR="003925AB" w:rsidRPr="004303AB" w:rsidRDefault="003925AB" w:rsidP="003925AB">
      <w:pPr>
        <w:pStyle w:val="SubsectionHead"/>
      </w:pPr>
      <w:r w:rsidRPr="004303AB">
        <w:t>Internal dispute procedures</w:t>
      </w:r>
    </w:p>
    <w:p w:rsidR="003925AB" w:rsidRPr="004303AB" w:rsidRDefault="003925AB" w:rsidP="003925AB">
      <w:pPr>
        <w:pStyle w:val="subsection"/>
      </w:pPr>
      <w:r w:rsidRPr="004303AB">
        <w:rPr>
          <w:szCs w:val="22"/>
        </w:rPr>
        <w:tab/>
        <w:t>(5)</w:t>
      </w:r>
      <w:r w:rsidRPr="004303AB">
        <w:rPr>
          <w:szCs w:val="22"/>
        </w:rPr>
        <w:tab/>
      </w:r>
      <w:r w:rsidRPr="004303AB">
        <w:t>The entity must have internal dispute resolution</w:t>
      </w:r>
      <w:bookmarkStart w:id="74" w:name="BK_S3P19L13C54"/>
      <w:bookmarkEnd w:id="74"/>
      <w:r w:rsidRPr="004303AB">
        <w:t xml:space="preserve"> procedures enabling it to deal with inquiries or complaints from a contacted person about its use or disclosure of any research information relating to the person.</w:t>
      </w:r>
    </w:p>
    <w:p w:rsidR="003925AB" w:rsidRPr="004303AB" w:rsidRDefault="003925AB" w:rsidP="003925AB">
      <w:pPr>
        <w:pStyle w:val="subsection"/>
      </w:pPr>
      <w:r w:rsidRPr="004303AB">
        <w:tab/>
        <w:t>(6)</w:t>
      </w:r>
      <w:r w:rsidRPr="004303AB">
        <w:tab/>
        <w:t>If a contacted person makes a complaint to the entity about the use or disclosure of any research information relating to the person, the entity must:</w:t>
      </w:r>
    </w:p>
    <w:p w:rsidR="003925AB" w:rsidRPr="004303AB" w:rsidRDefault="003925AB" w:rsidP="003925AB">
      <w:pPr>
        <w:pStyle w:val="paragraph"/>
      </w:pPr>
      <w:r w:rsidRPr="004303AB">
        <w:tab/>
        <w:t>(a)</w:t>
      </w:r>
      <w:r w:rsidRPr="004303AB">
        <w:tab/>
        <w:t>inform the contacted person that if the person is dissatisfied with the way in which the complaint is handled, the person may make a complaint to the ACMA; and</w:t>
      </w:r>
    </w:p>
    <w:p w:rsidR="003925AB" w:rsidRPr="004303AB" w:rsidRDefault="003925AB" w:rsidP="003925AB">
      <w:pPr>
        <w:pStyle w:val="paragraph"/>
      </w:pPr>
      <w:r w:rsidRPr="004303AB">
        <w:tab/>
        <w:t>(b)</w:t>
      </w:r>
      <w:r w:rsidRPr="004303AB">
        <w:tab/>
        <w:t>give the contacted person information about how to contact the ACMA; and</w:t>
      </w:r>
    </w:p>
    <w:p w:rsidR="003925AB" w:rsidRPr="004303AB" w:rsidRDefault="003925AB" w:rsidP="003925AB">
      <w:pPr>
        <w:pStyle w:val="paragraph"/>
      </w:pPr>
      <w:r w:rsidRPr="004303AB">
        <w:tab/>
        <w:t>(c)</w:t>
      </w:r>
      <w:r w:rsidRPr="004303AB">
        <w:tab/>
        <w:t>provide reasonable assistance to the ACMA in relation to any such complaint if requested by the ACMA to do so.</w:t>
      </w:r>
    </w:p>
    <w:p w:rsidR="003925AB" w:rsidRPr="004303AB" w:rsidRDefault="008D786C" w:rsidP="003925AB">
      <w:pPr>
        <w:pStyle w:val="ActHead5"/>
      </w:pPr>
      <w:bookmarkStart w:id="75" w:name="_Toc64297916"/>
      <w:r w:rsidRPr="00E34AC3">
        <w:rPr>
          <w:rStyle w:val="CharSectno"/>
        </w:rPr>
        <w:t>31</w:t>
      </w:r>
      <w:r w:rsidR="003925AB" w:rsidRPr="004303AB">
        <w:t xml:space="preserve">  Disclosure of research information</w:t>
      </w:r>
      <w:bookmarkEnd w:id="75"/>
    </w:p>
    <w:p w:rsidR="003925AB" w:rsidRPr="004303AB" w:rsidRDefault="003925AB" w:rsidP="003925AB">
      <w:pPr>
        <w:pStyle w:val="subsection"/>
      </w:pPr>
      <w:r w:rsidRPr="004303AB">
        <w:tab/>
        <w:t>(1)</w:t>
      </w:r>
      <w:r w:rsidRPr="004303AB">
        <w:tab/>
        <w:t>An authorised research entity must not disclose research information relating to a contacted person unless authorised, or required to do so, by or under:</w:t>
      </w:r>
    </w:p>
    <w:p w:rsidR="003925AB" w:rsidRPr="004303AB" w:rsidRDefault="003925AB" w:rsidP="003925AB">
      <w:pPr>
        <w:pStyle w:val="paragraph"/>
      </w:pPr>
      <w:r w:rsidRPr="004303AB">
        <w:tab/>
        <w:t>(a)</w:t>
      </w:r>
      <w:r w:rsidRPr="004303AB">
        <w:tab/>
      </w:r>
      <w:r w:rsidR="00426B90" w:rsidRPr="004303AB">
        <w:t>subsection (</w:t>
      </w:r>
      <w:r w:rsidRPr="004303AB">
        <w:t>2) or (3); or</w:t>
      </w:r>
    </w:p>
    <w:p w:rsidR="003925AB" w:rsidRPr="004303AB" w:rsidRDefault="003925AB" w:rsidP="003925AB">
      <w:pPr>
        <w:pStyle w:val="paragraph"/>
      </w:pPr>
      <w:r w:rsidRPr="004303AB">
        <w:tab/>
        <w:t>(b)</w:t>
      </w:r>
      <w:r w:rsidRPr="004303AB">
        <w:tab/>
        <w:t>any other law that applies to the entity.</w:t>
      </w:r>
    </w:p>
    <w:p w:rsidR="003925AB" w:rsidRPr="004303AB" w:rsidRDefault="003925AB" w:rsidP="003925AB">
      <w:pPr>
        <w:pStyle w:val="notetext"/>
      </w:pPr>
      <w:r w:rsidRPr="004303AB">
        <w:t>Note:</w:t>
      </w:r>
      <w:r w:rsidRPr="004303AB">
        <w:tab/>
        <w:t xml:space="preserve">See section </w:t>
      </w:r>
      <w:r w:rsidR="008D786C" w:rsidRPr="004303AB">
        <w:t>41</w:t>
      </w:r>
      <w:r w:rsidRPr="004303AB">
        <w:t xml:space="preserve"> in relation to the recording, use or disclosure of research information after the authorisation ends or the entity is removed from the authorisation.</w:t>
      </w:r>
    </w:p>
    <w:p w:rsidR="003925AB" w:rsidRPr="004303AB" w:rsidRDefault="003925AB" w:rsidP="003925AB">
      <w:pPr>
        <w:pStyle w:val="subsection"/>
      </w:pPr>
      <w:r w:rsidRPr="004303AB">
        <w:tab/>
        <w:t>(2)</w:t>
      </w:r>
      <w:r w:rsidRPr="004303AB">
        <w:tab/>
        <w:t>The entity may disclose research information relating to a contacted person to the entity’s research employees.</w:t>
      </w:r>
    </w:p>
    <w:p w:rsidR="003925AB" w:rsidRPr="004303AB" w:rsidRDefault="003925AB" w:rsidP="003925AB">
      <w:pPr>
        <w:pStyle w:val="subsection"/>
      </w:pPr>
      <w:r w:rsidRPr="004303AB">
        <w:tab/>
        <w:t>(3)</w:t>
      </w:r>
      <w:r w:rsidRPr="004303AB">
        <w:tab/>
        <w:t>The entity may disclose research information relating to a contacted person if:</w:t>
      </w:r>
    </w:p>
    <w:p w:rsidR="003925AB" w:rsidRPr="004303AB" w:rsidRDefault="003925AB" w:rsidP="003925AB">
      <w:pPr>
        <w:pStyle w:val="paragraph"/>
      </w:pPr>
      <w:r w:rsidRPr="004303AB">
        <w:tab/>
        <w:t>(a)</w:t>
      </w:r>
      <w:r w:rsidRPr="004303AB">
        <w:tab/>
        <w:t>the information is de</w:t>
      </w:r>
      <w:r w:rsidR="004303AB">
        <w:noBreakHyphen/>
      </w:r>
      <w:r w:rsidRPr="004303AB">
        <w:t>identified; and</w:t>
      </w:r>
    </w:p>
    <w:p w:rsidR="003925AB" w:rsidRPr="004303AB" w:rsidRDefault="003925AB" w:rsidP="003925AB">
      <w:pPr>
        <w:pStyle w:val="paragraph"/>
      </w:pPr>
      <w:r w:rsidRPr="004303AB">
        <w:tab/>
        <w:t>(b)</w:t>
      </w:r>
      <w:r w:rsidRPr="004303AB">
        <w:tab/>
        <w:t>the information does not include the person’s public number.</w:t>
      </w:r>
    </w:p>
    <w:p w:rsidR="003925AB" w:rsidRPr="004303AB" w:rsidRDefault="003925AB" w:rsidP="003925AB">
      <w:pPr>
        <w:pStyle w:val="subsection"/>
      </w:pPr>
      <w:r w:rsidRPr="004303AB">
        <w:tab/>
        <w:t>(4)</w:t>
      </w:r>
      <w:r w:rsidRPr="004303AB">
        <w:tab/>
        <w:t xml:space="preserve">This section is subject to subsection </w:t>
      </w:r>
      <w:r w:rsidR="008D786C" w:rsidRPr="004303AB">
        <w:t>30</w:t>
      </w:r>
      <w:r w:rsidRPr="004303AB">
        <w:t>(3).</w:t>
      </w:r>
    </w:p>
    <w:p w:rsidR="003925AB" w:rsidRPr="004303AB" w:rsidRDefault="003925AB" w:rsidP="003925AB">
      <w:pPr>
        <w:pStyle w:val="notetext"/>
      </w:pPr>
      <w:r w:rsidRPr="004303AB">
        <w:t>Note:</w:t>
      </w:r>
      <w:r w:rsidRPr="004303AB">
        <w:tab/>
        <w:t xml:space="preserve">Subsection </w:t>
      </w:r>
      <w:r w:rsidR="008D786C" w:rsidRPr="004303AB">
        <w:t>30</w:t>
      </w:r>
      <w:r w:rsidRPr="004303AB">
        <w:t>(3) provides that an authorised research entity must not record, use or disclose research information relating to a contacted person if the person does not consent, or withdraws consent, to the use and disclosure of that information.</w:t>
      </w:r>
    </w:p>
    <w:p w:rsidR="003925AB" w:rsidRPr="004303AB" w:rsidRDefault="008D786C" w:rsidP="003925AB">
      <w:pPr>
        <w:pStyle w:val="ActHead5"/>
      </w:pPr>
      <w:bookmarkStart w:id="76" w:name="_Toc64297917"/>
      <w:r w:rsidRPr="00E34AC3">
        <w:rPr>
          <w:rStyle w:val="CharSectno"/>
        </w:rPr>
        <w:t>32</w:t>
      </w:r>
      <w:r w:rsidR="003925AB" w:rsidRPr="004303AB">
        <w:t xml:space="preserve">  Technical system for receiving authorised unlisted mobile number information</w:t>
      </w:r>
      <w:bookmarkEnd w:id="76"/>
    </w:p>
    <w:p w:rsidR="003925AB" w:rsidRPr="004303AB" w:rsidRDefault="003925AB" w:rsidP="003925AB">
      <w:pPr>
        <w:pStyle w:val="subsection"/>
      </w:pPr>
      <w:r w:rsidRPr="004303AB">
        <w:tab/>
      </w:r>
      <w:r w:rsidRPr="004303AB">
        <w:tab/>
        <w:t>An authorised research entity must have technical systems to receive authorised unlisted mobile number information in accordance with any technical method specified by Telstra.</w:t>
      </w:r>
    </w:p>
    <w:p w:rsidR="003925AB" w:rsidRPr="004303AB" w:rsidRDefault="008D786C" w:rsidP="003925AB">
      <w:pPr>
        <w:pStyle w:val="ActHead5"/>
      </w:pPr>
      <w:bookmarkStart w:id="77" w:name="_Toc64297918"/>
      <w:r w:rsidRPr="00E34AC3">
        <w:rPr>
          <w:rStyle w:val="CharSectno"/>
        </w:rPr>
        <w:t>33</w:t>
      </w:r>
      <w:r w:rsidR="003925AB" w:rsidRPr="004303AB">
        <w:t xml:space="preserve">  Compliance with the Act</w:t>
      </w:r>
      <w:bookmarkEnd w:id="77"/>
    </w:p>
    <w:p w:rsidR="003925AB" w:rsidRPr="004303AB" w:rsidRDefault="003925AB" w:rsidP="003925AB">
      <w:pPr>
        <w:pStyle w:val="subsection"/>
      </w:pPr>
      <w:r w:rsidRPr="004303AB">
        <w:tab/>
      </w:r>
      <w:r w:rsidRPr="004303AB">
        <w:tab/>
        <w:t>An authorised research entity must comply with any requirements imposed on the entity by the Act and any legislative instrument made under the Act.</w:t>
      </w:r>
    </w:p>
    <w:p w:rsidR="003925AB" w:rsidRPr="004303AB" w:rsidRDefault="008D786C" w:rsidP="003925AB">
      <w:pPr>
        <w:pStyle w:val="ActHead5"/>
      </w:pPr>
      <w:bookmarkStart w:id="78" w:name="_Toc64297919"/>
      <w:r w:rsidRPr="00E34AC3">
        <w:rPr>
          <w:rStyle w:val="CharSectno"/>
        </w:rPr>
        <w:t>34</w:t>
      </w:r>
      <w:r w:rsidR="003925AB" w:rsidRPr="004303AB">
        <w:t xml:space="preserve">  Employees of the authorised research entity</w:t>
      </w:r>
      <w:bookmarkEnd w:id="78"/>
    </w:p>
    <w:p w:rsidR="003925AB" w:rsidRPr="004303AB" w:rsidRDefault="003925AB" w:rsidP="003925AB">
      <w:pPr>
        <w:pStyle w:val="subsection"/>
      </w:pPr>
      <w:r w:rsidRPr="004303AB">
        <w:tab/>
      </w:r>
      <w:r w:rsidRPr="004303AB">
        <w:tab/>
        <w:t>An authorised research entity must take all reasonable steps to ensure that each research employee of the entity:</w:t>
      </w:r>
    </w:p>
    <w:p w:rsidR="003925AB" w:rsidRPr="004303AB" w:rsidRDefault="003925AB" w:rsidP="003925AB">
      <w:pPr>
        <w:pStyle w:val="paragraph"/>
      </w:pPr>
      <w:r w:rsidRPr="004303AB">
        <w:tab/>
        <w:t>(a)</w:t>
      </w:r>
      <w:r w:rsidRPr="004303AB">
        <w:tab/>
        <w:t xml:space="preserve">is made aware of the conditions of the authorisation (including any additional conditions specified by the ACMA under subsection </w:t>
      </w:r>
      <w:r w:rsidR="008D786C" w:rsidRPr="004303AB">
        <w:t>22</w:t>
      </w:r>
      <w:r w:rsidRPr="004303AB">
        <w:t xml:space="preserve">(4) or section </w:t>
      </w:r>
      <w:r w:rsidR="008D786C" w:rsidRPr="004303AB">
        <w:t>36</w:t>
      </w:r>
      <w:r w:rsidRPr="004303AB">
        <w:t>); and</w:t>
      </w:r>
    </w:p>
    <w:p w:rsidR="003925AB" w:rsidRPr="004303AB" w:rsidRDefault="003925AB" w:rsidP="003925AB">
      <w:pPr>
        <w:pStyle w:val="paragraph"/>
      </w:pPr>
      <w:r w:rsidRPr="004303AB">
        <w:tab/>
        <w:t>(b)</w:t>
      </w:r>
      <w:r w:rsidRPr="004303AB">
        <w:tab/>
        <w:t>cooperates with the entity in complying with those conditions; and</w:t>
      </w:r>
    </w:p>
    <w:p w:rsidR="003925AB" w:rsidRPr="004303AB" w:rsidRDefault="003925AB" w:rsidP="003925AB">
      <w:pPr>
        <w:pStyle w:val="paragraph"/>
      </w:pPr>
      <w:r w:rsidRPr="004303AB">
        <w:tab/>
        <w:t>(c)</w:t>
      </w:r>
      <w:r w:rsidRPr="004303AB">
        <w:tab/>
        <w:t>notifies the entity in writing as soon as reasonably practicable after the research employee becomes aware of an act or omission that would result in a contravention of a condition.</w:t>
      </w:r>
    </w:p>
    <w:p w:rsidR="003925AB" w:rsidRPr="004303AB" w:rsidRDefault="008D786C" w:rsidP="003925AB">
      <w:pPr>
        <w:pStyle w:val="ActHead5"/>
      </w:pPr>
      <w:bookmarkStart w:id="79" w:name="_Toc64297920"/>
      <w:r w:rsidRPr="00E34AC3">
        <w:rPr>
          <w:rStyle w:val="CharSectno"/>
        </w:rPr>
        <w:t>35</w:t>
      </w:r>
      <w:r w:rsidR="003925AB" w:rsidRPr="004303AB">
        <w:t xml:space="preserve">  Contravention of authorisation conditions</w:t>
      </w:r>
      <w:bookmarkEnd w:id="79"/>
    </w:p>
    <w:p w:rsidR="003925AB" w:rsidRPr="004303AB" w:rsidRDefault="003925AB" w:rsidP="003925AB">
      <w:pPr>
        <w:pStyle w:val="subsection"/>
      </w:pPr>
      <w:r w:rsidRPr="004303AB">
        <w:tab/>
        <w:t>(1)</w:t>
      </w:r>
      <w:r w:rsidRPr="004303AB">
        <w:tab/>
        <w:t xml:space="preserve">An authorised research entity must give written notice to the ACMA as soon as reasonably practicable after it becomes aware of a contravention of a condition of the authorisation (including any additional condition specified by the ACMA under subsection </w:t>
      </w:r>
      <w:r w:rsidR="008D786C" w:rsidRPr="004303AB">
        <w:t>22</w:t>
      </w:r>
      <w:r w:rsidRPr="004303AB">
        <w:t xml:space="preserve">(4) or section </w:t>
      </w:r>
      <w:r w:rsidR="008D786C" w:rsidRPr="004303AB">
        <w:t>36</w:t>
      </w:r>
      <w:r w:rsidRPr="004303AB">
        <w:t>) by:</w:t>
      </w:r>
    </w:p>
    <w:p w:rsidR="003925AB" w:rsidRPr="004303AB" w:rsidRDefault="003925AB" w:rsidP="003925AB">
      <w:pPr>
        <w:pStyle w:val="paragraph"/>
      </w:pPr>
      <w:r w:rsidRPr="004303AB">
        <w:tab/>
        <w:t>(a)</w:t>
      </w:r>
      <w:r w:rsidRPr="004303AB">
        <w:tab/>
        <w:t>the entity; or</w:t>
      </w:r>
    </w:p>
    <w:p w:rsidR="003925AB" w:rsidRPr="004303AB" w:rsidRDefault="003925AB" w:rsidP="003925AB">
      <w:pPr>
        <w:pStyle w:val="paragraph"/>
      </w:pPr>
      <w:r w:rsidRPr="004303AB">
        <w:tab/>
        <w:t>(b)</w:t>
      </w:r>
      <w:r w:rsidRPr="004303AB">
        <w:tab/>
        <w:t>any other authorised research entity covered by the same authorisation.</w:t>
      </w:r>
    </w:p>
    <w:p w:rsidR="003925AB" w:rsidRPr="004303AB" w:rsidRDefault="003925AB" w:rsidP="003925AB">
      <w:pPr>
        <w:pStyle w:val="subsection"/>
      </w:pPr>
      <w:r w:rsidRPr="004303AB">
        <w:tab/>
        <w:t>(2)</w:t>
      </w:r>
      <w:r w:rsidRPr="004303AB">
        <w:tab/>
        <w:t>An authorised research entity must, as soon as reasonably practicable after it becomes aware of a contravention of a condition of the authorisation, take reasonable steps to minimise the effects of the contravention.</w:t>
      </w:r>
    </w:p>
    <w:p w:rsidR="003925AB" w:rsidRPr="004303AB" w:rsidRDefault="003925AB" w:rsidP="003925AB">
      <w:pPr>
        <w:pStyle w:val="subsection"/>
      </w:pPr>
      <w:r w:rsidRPr="004303AB">
        <w:tab/>
        <w:t>(3)</w:t>
      </w:r>
      <w:r w:rsidRPr="004303AB">
        <w:tab/>
        <w:t>To avoid doubt, this section is a condition of the authorisation.</w:t>
      </w:r>
    </w:p>
    <w:p w:rsidR="003925AB" w:rsidRPr="004303AB" w:rsidRDefault="003925AB" w:rsidP="003925AB">
      <w:pPr>
        <w:pStyle w:val="ActHead4"/>
      </w:pPr>
      <w:bookmarkStart w:id="80" w:name="_Toc64297921"/>
      <w:r w:rsidRPr="00E34AC3">
        <w:rPr>
          <w:rStyle w:val="CharSubdNo"/>
        </w:rPr>
        <w:t>Subdivision D</w:t>
      </w:r>
      <w:r w:rsidRPr="004303AB">
        <w:t>—</w:t>
      </w:r>
      <w:r w:rsidRPr="00E34AC3">
        <w:rPr>
          <w:rStyle w:val="CharSubdText"/>
        </w:rPr>
        <w:t>Changes to authorisations</w:t>
      </w:r>
      <w:bookmarkEnd w:id="80"/>
    </w:p>
    <w:p w:rsidR="003925AB" w:rsidRPr="004303AB" w:rsidRDefault="008D786C" w:rsidP="003925AB">
      <w:pPr>
        <w:pStyle w:val="ActHead5"/>
      </w:pPr>
      <w:bookmarkStart w:id="81" w:name="_Toc64297922"/>
      <w:r w:rsidRPr="00E34AC3">
        <w:rPr>
          <w:rStyle w:val="CharSectno"/>
        </w:rPr>
        <w:t>36</w:t>
      </w:r>
      <w:r w:rsidR="003925AB" w:rsidRPr="004303AB">
        <w:t xml:space="preserve">  Changes made by the ACMA</w:t>
      </w:r>
      <w:bookmarkEnd w:id="81"/>
    </w:p>
    <w:p w:rsidR="003925AB" w:rsidRPr="004303AB" w:rsidRDefault="003925AB" w:rsidP="003925AB">
      <w:pPr>
        <w:pStyle w:val="subsection"/>
      </w:pPr>
      <w:r w:rsidRPr="004303AB">
        <w:tab/>
        <w:t>(1)</w:t>
      </w:r>
      <w:r w:rsidRPr="004303AB">
        <w:tab/>
        <w:t>After a research authorisation is granted, the ACMA may, in writing, with effect from a specified date:</w:t>
      </w:r>
    </w:p>
    <w:p w:rsidR="003925AB" w:rsidRPr="004303AB" w:rsidRDefault="003925AB" w:rsidP="003925AB">
      <w:pPr>
        <w:pStyle w:val="paragraph"/>
      </w:pPr>
      <w:r w:rsidRPr="004303AB">
        <w:tab/>
        <w:t>(a)</w:t>
      </w:r>
      <w:r w:rsidRPr="004303AB">
        <w:tab/>
        <w:t>specify additional conditions to which the authorisation is subject; or</w:t>
      </w:r>
    </w:p>
    <w:p w:rsidR="003925AB" w:rsidRPr="004303AB" w:rsidRDefault="003925AB" w:rsidP="003925AB">
      <w:pPr>
        <w:pStyle w:val="paragraph"/>
      </w:pPr>
      <w:r w:rsidRPr="004303AB">
        <w:tab/>
        <w:t>(b)</w:t>
      </w:r>
      <w:r w:rsidRPr="004303AB">
        <w:tab/>
        <w:t>vary or revoke any condition other than a condition specified in Subdivision C.</w:t>
      </w:r>
    </w:p>
    <w:p w:rsidR="00F30E64" w:rsidRPr="004303AB" w:rsidRDefault="00F30E64" w:rsidP="00F30E64">
      <w:pPr>
        <w:pStyle w:val="notetext"/>
      </w:pPr>
      <w:r w:rsidRPr="004303AB">
        <w:t>Note:</w:t>
      </w:r>
      <w:r w:rsidRPr="004303AB">
        <w:tab/>
        <w:t>If the ACMA decides to specify or vary a condition, a</w:t>
      </w:r>
      <w:r w:rsidR="00E02182" w:rsidRPr="004303AB">
        <w:t>n authorised</w:t>
      </w:r>
      <w:r w:rsidRPr="004303AB">
        <w:t xml:space="preserve"> research entity, or any other person affected by the decision, may request the ACMA to reconsider its decision (see section </w:t>
      </w:r>
      <w:r w:rsidR="008D786C" w:rsidRPr="004303AB">
        <w:t>42</w:t>
      </w:r>
      <w:r w:rsidRPr="004303AB">
        <w:t>).</w:t>
      </w:r>
    </w:p>
    <w:p w:rsidR="003925AB" w:rsidRPr="004303AB" w:rsidRDefault="003925AB" w:rsidP="003925AB">
      <w:pPr>
        <w:pStyle w:val="SubsectionHead"/>
      </w:pPr>
      <w:r w:rsidRPr="004303AB">
        <w:t>Consultation</w:t>
      </w:r>
    </w:p>
    <w:p w:rsidR="003925AB" w:rsidRPr="004303AB" w:rsidRDefault="003925AB" w:rsidP="003925AB">
      <w:pPr>
        <w:pStyle w:val="subsection"/>
      </w:pPr>
      <w:r w:rsidRPr="004303AB">
        <w:tab/>
        <w:t>(2)</w:t>
      </w:r>
      <w:r w:rsidRPr="004303AB">
        <w:tab/>
        <w:t xml:space="preserve">Before taking an action under </w:t>
      </w:r>
      <w:r w:rsidR="00426B90" w:rsidRPr="004303AB">
        <w:t>subsection (</w:t>
      </w:r>
      <w:r w:rsidRPr="004303AB">
        <w:t>1), the ACMA may consult any person or body the ACMA considers appropriate.</w:t>
      </w:r>
    </w:p>
    <w:p w:rsidR="003925AB" w:rsidRPr="004303AB" w:rsidRDefault="003925AB" w:rsidP="003925AB">
      <w:pPr>
        <w:pStyle w:val="SubsectionHead"/>
      </w:pPr>
      <w:r w:rsidRPr="004303AB">
        <w:t>Notice to the research entity of changes to authorisation</w:t>
      </w:r>
    </w:p>
    <w:p w:rsidR="003925AB" w:rsidRPr="004303AB" w:rsidRDefault="003925AB" w:rsidP="003925AB">
      <w:pPr>
        <w:pStyle w:val="subsection"/>
      </w:pPr>
      <w:r w:rsidRPr="004303AB">
        <w:tab/>
        <w:t>(3)</w:t>
      </w:r>
      <w:r w:rsidRPr="004303AB">
        <w:tab/>
        <w:t xml:space="preserve">As soon as reasonably practicable after the ACMA takes an action under </w:t>
      </w:r>
      <w:r w:rsidR="00426B90" w:rsidRPr="004303AB">
        <w:t>subsection (</w:t>
      </w:r>
      <w:r w:rsidRPr="004303AB">
        <w:t>1), the ACMA must give written notice to each authorised research entity covered by the authorisation stating:</w:t>
      </w:r>
    </w:p>
    <w:p w:rsidR="003925AB" w:rsidRPr="004303AB" w:rsidRDefault="003925AB" w:rsidP="003925AB">
      <w:pPr>
        <w:pStyle w:val="paragraph"/>
      </w:pPr>
      <w:r w:rsidRPr="004303AB">
        <w:tab/>
        <w:t>(a)</w:t>
      </w:r>
      <w:r w:rsidRPr="004303AB">
        <w:tab/>
        <w:t>the action taken; and</w:t>
      </w:r>
    </w:p>
    <w:p w:rsidR="003925AB" w:rsidRPr="004303AB" w:rsidRDefault="003925AB" w:rsidP="003925AB">
      <w:pPr>
        <w:pStyle w:val="paragraph"/>
      </w:pPr>
      <w:r w:rsidRPr="004303AB">
        <w:tab/>
        <w:t>(b)</w:t>
      </w:r>
      <w:r w:rsidRPr="004303AB">
        <w:tab/>
        <w:t>the reasons for taking the action; and</w:t>
      </w:r>
    </w:p>
    <w:p w:rsidR="003925AB" w:rsidRPr="004303AB" w:rsidRDefault="003925AB" w:rsidP="003925AB">
      <w:pPr>
        <w:pStyle w:val="paragraph"/>
      </w:pPr>
      <w:r w:rsidRPr="004303AB">
        <w:tab/>
        <w:t>(c)</w:t>
      </w:r>
      <w:r w:rsidRPr="004303AB">
        <w:tab/>
        <w:t xml:space="preserve">that the entity, and any other person affected by the action, may request the ACMA to reconsider the action taken under section </w:t>
      </w:r>
      <w:r w:rsidR="008D786C" w:rsidRPr="004303AB">
        <w:t>42</w:t>
      </w:r>
      <w:r w:rsidRPr="004303AB">
        <w:t xml:space="preserve"> (except if the action is to revoke a condition).</w:t>
      </w:r>
    </w:p>
    <w:p w:rsidR="003925AB" w:rsidRPr="004303AB" w:rsidRDefault="003925AB" w:rsidP="003925AB">
      <w:pPr>
        <w:pStyle w:val="subsection"/>
      </w:pPr>
      <w:r w:rsidRPr="004303AB">
        <w:tab/>
        <w:t>(4)</w:t>
      </w:r>
      <w:r w:rsidRPr="004303AB">
        <w:tab/>
        <w:t>The notice must be given:</w:t>
      </w:r>
    </w:p>
    <w:p w:rsidR="003925AB" w:rsidRPr="004303AB" w:rsidRDefault="003925AB" w:rsidP="003925AB">
      <w:pPr>
        <w:pStyle w:val="paragraph"/>
      </w:pPr>
      <w:r w:rsidRPr="004303AB">
        <w:tab/>
        <w:t>(a)</w:t>
      </w:r>
      <w:r w:rsidRPr="004303AB">
        <w:tab/>
        <w:t xml:space="preserve">as soon as reasonably practicable after the action is taken under </w:t>
      </w:r>
      <w:r w:rsidR="00426B90" w:rsidRPr="004303AB">
        <w:t>subsection (</w:t>
      </w:r>
      <w:r w:rsidRPr="004303AB">
        <w:t>1); and</w:t>
      </w:r>
    </w:p>
    <w:p w:rsidR="003925AB" w:rsidRPr="004303AB" w:rsidRDefault="003925AB" w:rsidP="003925AB">
      <w:pPr>
        <w:pStyle w:val="paragraph"/>
      </w:pPr>
      <w:r w:rsidRPr="004303AB">
        <w:tab/>
        <w:t>(b)</w:t>
      </w:r>
      <w:r w:rsidRPr="004303AB">
        <w:tab/>
        <w:t>before the action is expressed to take effect.</w:t>
      </w:r>
    </w:p>
    <w:p w:rsidR="003925AB" w:rsidRPr="004303AB" w:rsidRDefault="003925AB" w:rsidP="003925AB">
      <w:pPr>
        <w:pStyle w:val="SubsectionHead"/>
      </w:pPr>
      <w:r w:rsidRPr="004303AB">
        <w:t>Notice to Telstra of changes to authorisation</w:t>
      </w:r>
    </w:p>
    <w:p w:rsidR="003925AB" w:rsidRPr="004303AB" w:rsidRDefault="003925AB" w:rsidP="003925AB">
      <w:pPr>
        <w:pStyle w:val="subsection"/>
      </w:pPr>
      <w:r w:rsidRPr="004303AB">
        <w:tab/>
        <w:t>(5)</w:t>
      </w:r>
      <w:r w:rsidRPr="004303AB">
        <w:tab/>
        <w:t xml:space="preserve">The ACMA must, as soon as reasonably practicable, give written notice to Telstra of the action taken under </w:t>
      </w:r>
      <w:r w:rsidR="00426B90" w:rsidRPr="004303AB">
        <w:t>subsection (</w:t>
      </w:r>
      <w:r w:rsidRPr="004303AB">
        <w:t>1).</w:t>
      </w:r>
    </w:p>
    <w:p w:rsidR="003925AB" w:rsidRPr="004303AB" w:rsidRDefault="003925AB" w:rsidP="003925AB">
      <w:pPr>
        <w:pStyle w:val="ActHead4"/>
      </w:pPr>
      <w:bookmarkStart w:id="82" w:name="_Toc64297923"/>
      <w:r w:rsidRPr="00E34AC3">
        <w:rPr>
          <w:rStyle w:val="CharSubdNo"/>
        </w:rPr>
        <w:t>Subdivision E</w:t>
      </w:r>
      <w:r w:rsidRPr="004303AB">
        <w:t>—</w:t>
      </w:r>
      <w:r w:rsidRPr="00E34AC3">
        <w:rPr>
          <w:rStyle w:val="CharSubdText"/>
        </w:rPr>
        <w:t>Removal of authorised research entities</w:t>
      </w:r>
      <w:bookmarkEnd w:id="82"/>
    </w:p>
    <w:p w:rsidR="003925AB" w:rsidRPr="004303AB" w:rsidRDefault="008D786C" w:rsidP="003925AB">
      <w:pPr>
        <w:pStyle w:val="ActHead5"/>
      </w:pPr>
      <w:bookmarkStart w:id="83" w:name="_Toc64297924"/>
      <w:r w:rsidRPr="00E34AC3">
        <w:rPr>
          <w:rStyle w:val="CharSectno"/>
        </w:rPr>
        <w:t>37</w:t>
      </w:r>
      <w:r w:rsidR="003925AB" w:rsidRPr="004303AB">
        <w:t xml:space="preserve">  Effect of removal</w:t>
      </w:r>
      <w:bookmarkEnd w:id="83"/>
    </w:p>
    <w:p w:rsidR="003925AB" w:rsidRPr="004303AB" w:rsidRDefault="003925AB" w:rsidP="003925AB">
      <w:pPr>
        <w:pStyle w:val="subsection"/>
      </w:pPr>
      <w:r w:rsidRPr="004303AB">
        <w:tab/>
      </w:r>
      <w:r w:rsidRPr="004303AB">
        <w:tab/>
        <w:t>An authorised research entity stops being covered by a research authorisation if the entity is removed from the authorisation under this Subdivision.</w:t>
      </w:r>
    </w:p>
    <w:p w:rsidR="003925AB" w:rsidRPr="004303AB" w:rsidRDefault="008D786C" w:rsidP="003925AB">
      <w:pPr>
        <w:pStyle w:val="ActHead5"/>
      </w:pPr>
      <w:bookmarkStart w:id="84" w:name="_Toc64297925"/>
      <w:r w:rsidRPr="00E34AC3">
        <w:rPr>
          <w:rStyle w:val="CharSectno"/>
        </w:rPr>
        <w:t>38</w:t>
      </w:r>
      <w:r w:rsidR="003925AB" w:rsidRPr="004303AB">
        <w:t xml:space="preserve">  Removal of authorised research entities—contravention of research authorisation</w:t>
      </w:r>
      <w:bookmarkEnd w:id="84"/>
    </w:p>
    <w:p w:rsidR="003925AB" w:rsidRPr="004303AB" w:rsidRDefault="003925AB" w:rsidP="003925AB">
      <w:pPr>
        <w:pStyle w:val="subsection"/>
      </w:pPr>
      <w:r w:rsidRPr="004303AB">
        <w:tab/>
        <w:t>(1)</w:t>
      </w:r>
      <w:r w:rsidRPr="004303AB">
        <w:tab/>
        <w:t>The ACMA may, in accordance with this section, remove an authorised research entity from a research authorisation if the ACMA is satisfied that a condition of any research authorisation that covers the entity has been contravened.</w:t>
      </w:r>
    </w:p>
    <w:p w:rsidR="003925AB" w:rsidRPr="004303AB" w:rsidRDefault="003925AB" w:rsidP="003925AB">
      <w:pPr>
        <w:pStyle w:val="notetext"/>
      </w:pPr>
      <w:r w:rsidRPr="004303AB">
        <w:t>Note:</w:t>
      </w:r>
      <w:r w:rsidRPr="004303AB">
        <w:tab/>
        <w:t xml:space="preserve">The entity removed, or any </w:t>
      </w:r>
      <w:r w:rsidR="00E41E03" w:rsidRPr="004303AB">
        <w:t xml:space="preserve">other </w:t>
      </w:r>
      <w:r w:rsidRPr="004303AB">
        <w:t xml:space="preserve">person who is affected by </w:t>
      </w:r>
      <w:r w:rsidR="00F30E64" w:rsidRPr="004303AB">
        <w:t>the</w:t>
      </w:r>
      <w:r w:rsidRPr="004303AB">
        <w:t xml:space="preserve"> decision, may request the ACMA to reconsider its decision (see section </w:t>
      </w:r>
      <w:r w:rsidR="008D786C" w:rsidRPr="004303AB">
        <w:t>42</w:t>
      </w:r>
      <w:r w:rsidRPr="004303AB">
        <w:t>).</w:t>
      </w:r>
    </w:p>
    <w:p w:rsidR="003925AB" w:rsidRPr="004303AB" w:rsidRDefault="003925AB" w:rsidP="003925AB">
      <w:pPr>
        <w:pStyle w:val="SubsectionHead"/>
      </w:pPr>
      <w:r w:rsidRPr="004303AB">
        <w:t>Consultation</w:t>
      </w:r>
    </w:p>
    <w:p w:rsidR="003925AB" w:rsidRPr="004303AB" w:rsidRDefault="003925AB" w:rsidP="003925AB">
      <w:pPr>
        <w:pStyle w:val="subsection"/>
      </w:pPr>
      <w:r w:rsidRPr="004303AB">
        <w:tab/>
        <w:t>(2)</w:t>
      </w:r>
      <w:r w:rsidRPr="004303AB">
        <w:tab/>
        <w:t>Before removing the entity, the ACMA may consult any person or body the ACMA considers appropriate.</w:t>
      </w:r>
    </w:p>
    <w:p w:rsidR="003925AB" w:rsidRPr="004303AB" w:rsidRDefault="003925AB" w:rsidP="003925AB">
      <w:pPr>
        <w:pStyle w:val="SubsectionHead"/>
      </w:pPr>
      <w:r w:rsidRPr="004303AB">
        <w:t>Notice to entity of removal</w:t>
      </w:r>
    </w:p>
    <w:p w:rsidR="003925AB" w:rsidRPr="004303AB" w:rsidRDefault="003925AB" w:rsidP="003925AB">
      <w:pPr>
        <w:pStyle w:val="subsection"/>
      </w:pPr>
      <w:r w:rsidRPr="004303AB">
        <w:tab/>
        <w:t>(3)</w:t>
      </w:r>
      <w:r w:rsidRPr="004303AB">
        <w:tab/>
        <w:t>Before removing the entity, the ACMA must:</w:t>
      </w:r>
    </w:p>
    <w:p w:rsidR="003925AB" w:rsidRPr="004303AB" w:rsidRDefault="003925AB" w:rsidP="003925AB">
      <w:pPr>
        <w:pStyle w:val="paragraph"/>
      </w:pPr>
      <w:r w:rsidRPr="004303AB">
        <w:tab/>
        <w:t>(a)</w:t>
      </w:r>
      <w:r w:rsidRPr="004303AB">
        <w:tab/>
        <w:t>give written notice to the entity:</w:t>
      </w:r>
    </w:p>
    <w:p w:rsidR="003925AB" w:rsidRPr="004303AB" w:rsidRDefault="003925AB" w:rsidP="003925AB">
      <w:pPr>
        <w:pStyle w:val="paragraphsub"/>
      </w:pPr>
      <w:r w:rsidRPr="004303AB">
        <w:tab/>
        <w:t>(i)</w:t>
      </w:r>
      <w:r w:rsidRPr="004303AB">
        <w:tab/>
        <w:t>stating that the ACMA proposes to remove the entity from the authorisation; and</w:t>
      </w:r>
    </w:p>
    <w:p w:rsidR="003925AB" w:rsidRPr="004303AB" w:rsidRDefault="003925AB" w:rsidP="003925AB">
      <w:pPr>
        <w:pStyle w:val="paragraphsub"/>
      </w:pPr>
      <w:r w:rsidRPr="004303AB">
        <w:tab/>
        <w:t>(ii)</w:t>
      </w:r>
      <w:r w:rsidRPr="004303AB">
        <w:tab/>
        <w:t>inviting the entity to make a submission to the ACMA about the removal within a period specified in the notice; and</w:t>
      </w:r>
    </w:p>
    <w:p w:rsidR="003925AB" w:rsidRPr="004303AB" w:rsidRDefault="003925AB" w:rsidP="003925AB">
      <w:pPr>
        <w:pStyle w:val="paragraph"/>
      </w:pPr>
      <w:r w:rsidRPr="004303AB">
        <w:tab/>
        <w:t>(b)</w:t>
      </w:r>
      <w:r w:rsidRPr="004303AB">
        <w:tab/>
        <w:t>consider any submission received within the specified period.</w:t>
      </w:r>
    </w:p>
    <w:p w:rsidR="003925AB" w:rsidRPr="004303AB" w:rsidRDefault="003925AB" w:rsidP="003925AB">
      <w:pPr>
        <w:pStyle w:val="subsection"/>
      </w:pPr>
      <w:r w:rsidRPr="004303AB">
        <w:tab/>
        <w:t>(4)</w:t>
      </w:r>
      <w:r w:rsidRPr="004303AB">
        <w:tab/>
        <w:t>The specified period must not be shorter than 30 days after the notice is given.</w:t>
      </w:r>
    </w:p>
    <w:p w:rsidR="003925AB" w:rsidRPr="004303AB" w:rsidRDefault="003925AB" w:rsidP="003925AB">
      <w:pPr>
        <w:pStyle w:val="SubsectionHead"/>
      </w:pPr>
      <w:r w:rsidRPr="004303AB">
        <w:t>Notice of removal</w:t>
      </w:r>
    </w:p>
    <w:p w:rsidR="003925AB" w:rsidRPr="004303AB" w:rsidRDefault="003925AB" w:rsidP="003925AB">
      <w:pPr>
        <w:pStyle w:val="subsection"/>
      </w:pPr>
      <w:r w:rsidRPr="004303AB">
        <w:tab/>
        <w:t>(5)</w:t>
      </w:r>
      <w:r w:rsidRPr="004303AB">
        <w:tab/>
        <w:t>As soon as reasonably practicable after the ACMA removes the entity, the ACMA must give written notice to the entity stating:</w:t>
      </w:r>
    </w:p>
    <w:p w:rsidR="003925AB" w:rsidRPr="004303AB" w:rsidRDefault="003925AB" w:rsidP="003925AB">
      <w:pPr>
        <w:pStyle w:val="paragraph"/>
      </w:pPr>
      <w:r w:rsidRPr="004303AB">
        <w:tab/>
        <w:t>(a)</w:t>
      </w:r>
      <w:r w:rsidRPr="004303AB">
        <w:tab/>
        <w:t>that the entity has been removed from the authorisation; and</w:t>
      </w:r>
    </w:p>
    <w:p w:rsidR="003925AB" w:rsidRPr="004303AB" w:rsidRDefault="003925AB" w:rsidP="003925AB">
      <w:pPr>
        <w:pStyle w:val="paragraph"/>
      </w:pPr>
      <w:r w:rsidRPr="004303AB">
        <w:tab/>
        <w:t>(b)</w:t>
      </w:r>
      <w:r w:rsidRPr="004303AB">
        <w:tab/>
        <w:t>the reasons for the entity’s removal; and</w:t>
      </w:r>
    </w:p>
    <w:p w:rsidR="003925AB" w:rsidRPr="004303AB" w:rsidRDefault="003925AB" w:rsidP="003925AB">
      <w:pPr>
        <w:pStyle w:val="paragraph"/>
      </w:pPr>
      <w:r w:rsidRPr="004303AB">
        <w:tab/>
        <w:t>(c)</w:t>
      </w:r>
      <w:r w:rsidRPr="004303AB">
        <w:tab/>
        <w:t xml:space="preserve">that the entity, and any other person affected by the decision, may request the ACMA to reconsider the decision under section </w:t>
      </w:r>
      <w:r w:rsidR="008D786C" w:rsidRPr="004303AB">
        <w:t>42</w:t>
      </w:r>
      <w:r w:rsidRPr="004303AB">
        <w:t>.</w:t>
      </w:r>
    </w:p>
    <w:p w:rsidR="003925AB" w:rsidRPr="004303AB" w:rsidRDefault="003925AB" w:rsidP="003925AB">
      <w:pPr>
        <w:pStyle w:val="subsection"/>
      </w:pPr>
      <w:r w:rsidRPr="004303AB">
        <w:tab/>
        <w:t>(6)</w:t>
      </w:r>
      <w:r w:rsidRPr="004303AB">
        <w:tab/>
        <w:t>As soon as reasonably practicable after the ACMA removes the entity, the ACMA must give written notice of the removal to:</w:t>
      </w:r>
    </w:p>
    <w:p w:rsidR="003925AB" w:rsidRPr="004303AB" w:rsidRDefault="003925AB" w:rsidP="003925AB">
      <w:pPr>
        <w:pStyle w:val="paragraph"/>
      </w:pPr>
      <w:r w:rsidRPr="004303AB">
        <w:tab/>
        <w:t>(a)</w:t>
      </w:r>
      <w:r w:rsidRPr="004303AB">
        <w:tab/>
        <w:t>any other authorised research entity covered by the authorisation; and</w:t>
      </w:r>
    </w:p>
    <w:p w:rsidR="003925AB" w:rsidRPr="004303AB" w:rsidRDefault="003925AB" w:rsidP="003925AB">
      <w:pPr>
        <w:pStyle w:val="paragraph"/>
      </w:pPr>
      <w:r w:rsidRPr="004303AB">
        <w:tab/>
        <w:t>(b)</w:t>
      </w:r>
      <w:r w:rsidRPr="004303AB">
        <w:tab/>
        <w:t>Telstra.</w:t>
      </w:r>
    </w:p>
    <w:p w:rsidR="003925AB" w:rsidRPr="004303AB" w:rsidRDefault="003925AB" w:rsidP="003925AB">
      <w:pPr>
        <w:pStyle w:val="SubsectionHead"/>
      </w:pPr>
      <w:r w:rsidRPr="004303AB">
        <w:t>Further application for authorisation after removal</w:t>
      </w:r>
    </w:p>
    <w:p w:rsidR="003925AB" w:rsidRPr="004303AB" w:rsidRDefault="003925AB" w:rsidP="003925AB">
      <w:pPr>
        <w:pStyle w:val="subsection"/>
      </w:pPr>
      <w:r w:rsidRPr="004303AB">
        <w:tab/>
        <w:t>(7)</w:t>
      </w:r>
      <w:r w:rsidRPr="004303AB">
        <w:tab/>
        <w:t>If the ACMA removes an authorised research entity from a research authorisation, an application for a further research authorisation covering the entity cannot be made until after the end of the first</w:t>
      </w:r>
      <w:r w:rsidR="004303AB">
        <w:noBreakHyphen/>
      </w:r>
      <w:r w:rsidRPr="004303AB">
        <w:t>mentioned research authorisation.</w:t>
      </w:r>
    </w:p>
    <w:p w:rsidR="003925AB" w:rsidRPr="004303AB" w:rsidRDefault="008D786C" w:rsidP="003925AB">
      <w:pPr>
        <w:pStyle w:val="ActHead5"/>
      </w:pPr>
      <w:bookmarkStart w:id="85" w:name="_Toc64297926"/>
      <w:r w:rsidRPr="00E34AC3">
        <w:rPr>
          <w:rStyle w:val="CharSectno"/>
        </w:rPr>
        <w:t>39</w:t>
      </w:r>
      <w:r w:rsidR="003925AB" w:rsidRPr="004303AB">
        <w:t xml:space="preserve">  Voluntary removal of authorised research entities</w:t>
      </w:r>
      <w:bookmarkEnd w:id="85"/>
    </w:p>
    <w:p w:rsidR="003925AB" w:rsidRPr="004303AB" w:rsidRDefault="003925AB" w:rsidP="003925AB">
      <w:pPr>
        <w:pStyle w:val="subsection"/>
      </w:pPr>
      <w:r w:rsidRPr="004303AB">
        <w:tab/>
        <w:t>(1)</w:t>
      </w:r>
      <w:r w:rsidRPr="004303AB">
        <w:tab/>
        <w:t>If an authorised research entity requests the ACMA in writing to remove the entity from a research authorisation, the ACMA may remove the entity from the authorisation.</w:t>
      </w:r>
    </w:p>
    <w:p w:rsidR="00F30E64" w:rsidRPr="004303AB" w:rsidRDefault="00F30E64" w:rsidP="00F30E64">
      <w:pPr>
        <w:pStyle w:val="notetext"/>
      </w:pPr>
      <w:r w:rsidRPr="004303AB">
        <w:t>Note:</w:t>
      </w:r>
      <w:r w:rsidRPr="004303AB">
        <w:tab/>
        <w:t xml:space="preserve">If the ACMA decides not to remove the entity, the entity, or any other person affected by the decision, may request the ACMA to reconsider its decision (see section </w:t>
      </w:r>
      <w:r w:rsidR="008D786C" w:rsidRPr="004303AB">
        <w:t>42</w:t>
      </w:r>
      <w:r w:rsidRPr="004303AB">
        <w:t>).</w:t>
      </w:r>
    </w:p>
    <w:p w:rsidR="003925AB" w:rsidRPr="004303AB" w:rsidRDefault="003925AB" w:rsidP="003925AB">
      <w:pPr>
        <w:pStyle w:val="subsection"/>
      </w:pPr>
      <w:r w:rsidRPr="004303AB">
        <w:tab/>
        <w:t>(2)</w:t>
      </w:r>
      <w:r w:rsidRPr="004303AB">
        <w:tab/>
        <w:t xml:space="preserve">Without limiting the matters the ACMA may have regard to in deciding whether to remove the entity, the ACMA may have regard to whether the entity has received a notice under subsection </w:t>
      </w:r>
      <w:r w:rsidR="008D786C" w:rsidRPr="004303AB">
        <w:t>38</w:t>
      </w:r>
      <w:r w:rsidRPr="004303AB">
        <w:t>(3) while the authorisation has been in effect.</w:t>
      </w:r>
    </w:p>
    <w:p w:rsidR="003925AB" w:rsidRPr="004303AB" w:rsidRDefault="003925AB" w:rsidP="003925AB">
      <w:pPr>
        <w:pStyle w:val="subsection"/>
      </w:pPr>
      <w:r w:rsidRPr="004303AB">
        <w:tab/>
        <w:t>(3)</w:t>
      </w:r>
      <w:r w:rsidRPr="004303AB">
        <w:tab/>
        <w:t>If the ACMA removes the entity, the ACMA must, as soon as reasonably practicable, give written notice of the removal to the following:</w:t>
      </w:r>
    </w:p>
    <w:p w:rsidR="003925AB" w:rsidRPr="004303AB" w:rsidRDefault="003925AB" w:rsidP="003925AB">
      <w:pPr>
        <w:pStyle w:val="paragraph"/>
      </w:pPr>
      <w:r w:rsidRPr="004303AB">
        <w:tab/>
        <w:t>(a)</w:t>
      </w:r>
      <w:r w:rsidRPr="004303AB">
        <w:tab/>
        <w:t>the entity;</w:t>
      </w:r>
    </w:p>
    <w:p w:rsidR="003925AB" w:rsidRPr="004303AB" w:rsidRDefault="003925AB" w:rsidP="003925AB">
      <w:pPr>
        <w:pStyle w:val="paragraph"/>
      </w:pPr>
      <w:r w:rsidRPr="004303AB">
        <w:tab/>
        <w:t>(b)</w:t>
      </w:r>
      <w:r w:rsidRPr="004303AB">
        <w:tab/>
        <w:t>any other authorised research entity covered by the authorisation;</w:t>
      </w:r>
    </w:p>
    <w:p w:rsidR="003925AB" w:rsidRPr="004303AB" w:rsidRDefault="003925AB" w:rsidP="003925AB">
      <w:pPr>
        <w:pStyle w:val="paragraph"/>
      </w:pPr>
      <w:r w:rsidRPr="004303AB">
        <w:tab/>
        <w:t>(c)</w:t>
      </w:r>
      <w:r w:rsidRPr="004303AB">
        <w:tab/>
        <w:t>Telstra.</w:t>
      </w:r>
    </w:p>
    <w:p w:rsidR="003925AB" w:rsidRPr="004303AB" w:rsidRDefault="003925AB" w:rsidP="003925AB">
      <w:pPr>
        <w:pStyle w:val="subsection"/>
      </w:pPr>
      <w:r w:rsidRPr="004303AB">
        <w:tab/>
        <w:t>(4)</w:t>
      </w:r>
      <w:r w:rsidRPr="004303AB">
        <w:tab/>
        <w:t>If the ACMA does not remove the entity, the ACMA must, as soon as reasonably practicable, give written notice to the entity stating:</w:t>
      </w:r>
    </w:p>
    <w:p w:rsidR="003925AB" w:rsidRPr="004303AB" w:rsidRDefault="003925AB" w:rsidP="003925AB">
      <w:pPr>
        <w:pStyle w:val="paragraph"/>
      </w:pPr>
      <w:r w:rsidRPr="004303AB">
        <w:tab/>
        <w:t>(a)</w:t>
      </w:r>
      <w:r w:rsidRPr="004303AB">
        <w:tab/>
        <w:t>that the entity has not been removed from the authorisation; and</w:t>
      </w:r>
    </w:p>
    <w:p w:rsidR="003925AB" w:rsidRPr="004303AB" w:rsidRDefault="003925AB" w:rsidP="003925AB">
      <w:pPr>
        <w:pStyle w:val="paragraph"/>
      </w:pPr>
      <w:r w:rsidRPr="004303AB">
        <w:tab/>
        <w:t>(b)</w:t>
      </w:r>
      <w:r w:rsidRPr="004303AB">
        <w:tab/>
        <w:t>the reasons for not removing the entity; and</w:t>
      </w:r>
    </w:p>
    <w:p w:rsidR="003925AB" w:rsidRPr="004303AB" w:rsidRDefault="003925AB" w:rsidP="003925AB">
      <w:pPr>
        <w:pStyle w:val="paragraph"/>
      </w:pPr>
      <w:r w:rsidRPr="004303AB">
        <w:tab/>
        <w:t>(c)</w:t>
      </w:r>
      <w:r w:rsidRPr="004303AB">
        <w:tab/>
        <w:t xml:space="preserve">that the entity, and any other person affected by the decision, may request the ACMA to reconsider the decision under section </w:t>
      </w:r>
      <w:r w:rsidR="008D786C" w:rsidRPr="004303AB">
        <w:t>42</w:t>
      </w:r>
      <w:r w:rsidRPr="004303AB">
        <w:t>.</w:t>
      </w:r>
    </w:p>
    <w:p w:rsidR="003925AB" w:rsidRPr="004303AB" w:rsidRDefault="008D786C" w:rsidP="003925AB">
      <w:pPr>
        <w:pStyle w:val="ActHead5"/>
      </w:pPr>
      <w:bookmarkStart w:id="86" w:name="_Toc64297927"/>
      <w:r w:rsidRPr="00E34AC3">
        <w:rPr>
          <w:rStyle w:val="CharSectno"/>
        </w:rPr>
        <w:t>40</w:t>
      </w:r>
      <w:r w:rsidR="003925AB" w:rsidRPr="004303AB">
        <w:t xml:space="preserve">  No use or disclosure of authorised unlisted mobile number information by former authorised research entities</w:t>
      </w:r>
      <w:bookmarkEnd w:id="86"/>
    </w:p>
    <w:p w:rsidR="003925AB" w:rsidRPr="004303AB" w:rsidRDefault="003925AB" w:rsidP="003925AB">
      <w:pPr>
        <w:pStyle w:val="SubsectionHead"/>
      </w:pPr>
      <w:r w:rsidRPr="004303AB">
        <w:t>Purpose of this section</w:t>
      </w:r>
    </w:p>
    <w:p w:rsidR="003925AB" w:rsidRPr="004303AB" w:rsidRDefault="003925AB" w:rsidP="003925AB">
      <w:pPr>
        <w:pStyle w:val="subsection"/>
      </w:pPr>
      <w:r w:rsidRPr="004303AB">
        <w:tab/>
        <w:t>(1)</w:t>
      </w:r>
      <w:r w:rsidRPr="004303AB">
        <w:tab/>
        <w:t xml:space="preserve">This section is made for the purposes of paragraph </w:t>
      </w:r>
      <w:r w:rsidR="008D786C" w:rsidRPr="004303AB">
        <w:t>21</w:t>
      </w:r>
      <w:r w:rsidRPr="004303AB">
        <w:t>(1)(c).</w:t>
      </w:r>
    </w:p>
    <w:p w:rsidR="003925AB" w:rsidRPr="004303AB" w:rsidRDefault="003925AB" w:rsidP="003925AB">
      <w:pPr>
        <w:pStyle w:val="notetext"/>
      </w:pPr>
      <w:r w:rsidRPr="004303AB">
        <w:t>Note:</w:t>
      </w:r>
      <w:r w:rsidRPr="004303AB">
        <w:tab/>
        <w:t xml:space="preserve">The ACMA must grant a research authorisation if it is satisfied of the matters set out in subsection </w:t>
      </w:r>
      <w:r w:rsidR="008D786C" w:rsidRPr="004303AB">
        <w:t>21</w:t>
      </w:r>
      <w:r w:rsidRPr="004303AB">
        <w:t>(1).</w:t>
      </w:r>
    </w:p>
    <w:p w:rsidR="003925AB" w:rsidRPr="004303AB" w:rsidRDefault="003925AB" w:rsidP="003925AB">
      <w:pPr>
        <w:pStyle w:val="SubsectionHead"/>
      </w:pPr>
      <w:r w:rsidRPr="004303AB">
        <w:t>Scope of this section</w:t>
      </w:r>
    </w:p>
    <w:p w:rsidR="003925AB" w:rsidRPr="004303AB" w:rsidRDefault="003925AB" w:rsidP="003925AB">
      <w:pPr>
        <w:pStyle w:val="subsection"/>
      </w:pPr>
      <w:r w:rsidRPr="004303AB">
        <w:tab/>
        <w:t>(2)</w:t>
      </w:r>
      <w:r w:rsidRPr="004303AB">
        <w:tab/>
        <w:t>This section applies if:</w:t>
      </w:r>
    </w:p>
    <w:p w:rsidR="003925AB" w:rsidRPr="004303AB" w:rsidRDefault="003925AB" w:rsidP="003925AB">
      <w:pPr>
        <w:pStyle w:val="paragraph"/>
      </w:pPr>
      <w:r w:rsidRPr="004303AB">
        <w:tab/>
        <w:t>(a)</w:t>
      </w:r>
      <w:r w:rsidRPr="004303AB">
        <w:tab/>
        <w:t xml:space="preserve">an authorised research entity (the </w:t>
      </w:r>
      <w:r w:rsidRPr="004303AB">
        <w:rPr>
          <w:b/>
          <w:i/>
        </w:rPr>
        <w:t>former authorised research entity</w:t>
      </w:r>
      <w:r w:rsidRPr="004303AB">
        <w:t>) has received authorised unlisted mobile number information under a research authorisation; and</w:t>
      </w:r>
    </w:p>
    <w:p w:rsidR="003925AB" w:rsidRPr="004303AB" w:rsidRDefault="003925AB" w:rsidP="003925AB">
      <w:pPr>
        <w:pStyle w:val="paragraph"/>
      </w:pPr>
      <w:r w:rsidRPr="004303AB">
        <w:tab/>
        <w:t>(b)</w:t>
      </w:r>
      <w:r w:rsidRPr="004303AB">
        <w:tab/>
        <w:t>the authorisation ends, or the former authorised research entity is removed from the authorisation.</w:t>
      </w:r>
    </w:p>
    <w:p w:rsidR="003925AB" w:rsidRPr="004303AB" w:rsidRDefault="003925AB" w:rsidP="003925AB">
      <w:pPr>
        <w:pStyle w:val="SubsectionHead"/>
      </w:pPr>
      <w:r w:rsidRPr="004303AB">
        <w:t>Former authorised research entity must not use information</w:t>
      </w:r>
    </w:p>
    <w:p w:rsidR="003925AB" w:rsidRPr="004303AB" w:rsidRDefault="003925AB" w:rsidP="003925AB">
      <w:pPr>
        <w:pStyle w:val="subsection"/>
      </w:pPr>
      <w:r w:rsidRPr="004303AB">
        <w:tab/>
        <w:t>(3)</w:t>
      </w:r>
      <w:r w:rsidRPr="004303AB">
        <w:tab/>
        <w:t>The former authorised research entity:</w:t>
      </w:r>
    </w:p>
    <w:p w:rsidR="003925AB" w:rsidRPr="004303AB" w:rsidRDefault="003925AB" w:rsidP="003925AB">
      <w:pPr>
        <w:pStyle w:val="paragraph"/>
      </w:pPr>
      <w:r w:rsidRPr="004303AB">
        <w:tab/>
        <w:t>(a)</w:t>
      </w:r>
      <w:r w:rsidRPr="004303AB">
        <w:tab/>
        <w:t>must not make a record of, or use, the information; and</w:t>
      </w:r>
    </w:p>
    <w:p w:rsidR="003925AB" w:rsidRPr="004303AB" w:rsidRDefault="003925AB" w:rsidP="003925AB">
      <w:pPr>
        <w:pStyle w:val="paragraph"/>
      </w:pPr>
      <w:r w:rsidRPr="004303AB">
        <w:tab/>
        <w:t>(b)</w:t>
      </w:r>
      <w:r w:rsidRPr="004303AB">
        <w:tab/>
        <w:t>must not disclose the information unless authorised, or required to do so, by or under:</w:t>
      </w:r>
    </w:p>
    <w:p w:rsidR="003925AB" w:rsidRPr="004303AB" w:rsidRDefault="003925AB" w:rsidP="003925AB">
      <w:pPr>
        <w:pStyle w:val="paragraphsub"/>
      </w:pPr>
      <w:r w:rsidRPr="004303AB">
        <w:tab/>
        <w:t>(i)</w:t>
      </w:r>
      <w:r w:rsidRPr="004303AB">
        <w:tab/>
      </w:r>
      <w:r w:rsidR="00426B90" w:rsidRPr="004303AB">
        <w:t>subsection (</w:t>
      </w:r>
      <w:r w:rsidRPr="004303AB">
        <w:t>4); or</w:t>
      </w:r>
    </w:p>
    <w:p w:rsidR="003925AB" w:rsidRPr="004303AB" w:rsidRDefault="003925AB" w:rsidP="003925AB">
      <w:pPr>
        <w:pStyle w:val="paragraphsub"/>
      </w:pPr>
      <w:r w:rsidRPr="004303AB">
        <w:tab/>
        <w:t>(ii)</w:t>
      </w:r>
      <w:r w:rsidRPr="004303AB">
        <w:tab/>
        <w:t>any other law that applies to the former authorised research entity; and</w:t>
      </w:r>
    </w:p>
    <w:p w:rsidR="003925AB" w:rsidRPr="004303AB" w:rsidRDefault="003925AB" w:rsidP="003925AB">
      <w:pPr>
        <w:pStyle w:val="paragraph"/>
      </w:pPr>
      <w:r w:rsidRPr="004303AB">
        <w:tab/>
        <w:t>(c)</w:t>
      </w:r>
      <w:r w:rsidRPr="004303AB">
        <w:tab/>
        <w:t>must take all reasonable steps to destroy the information within 10 business days after the authorisation ends or the former authorised research entity is removed from the authorisation (as the case requires).</w:t>
      </w:r>
    </w:p>
    <w:p w:rsidR="003925AB" w:rsidRPr="004303AB" w:rsidRDefault="003925AB" w:rsidP="003925AB">
      <w:pPr>
        <w:pStyle w:val="SubsectionHead"/>
      </w:pPr>
      <w:r w:rsidRPr="004303AB">
        <w:t>Disclosure to the ACMA</w:t>
      </w:r>
    </w:p>
    <w:p w:rsidR="003925AB" w:rsidRPr="004303AB" w:rsidRDefault="003925AB" w:rsidP="003925AB">
      <w:pPr>
        <w:pStyle w:val="subsection"/>
      </w:pPr>
      <w:r w:rsidRPr="004303AB">
        <w:tab/>
        <w:t>(4)</w:t>
      </w:r>
      <w:r w:rsidRPr="004303AB">
        <w:tab/>
        <w:t>The former authorised research entity must disclose the information to the ACMA if the ACMA requests the information.</w:t>
      </w:r>
    </w:p>
    <w:p w:rsidR="003925AB" w:rsidRPr="004303AB" w:rsidRDefault="008D786C" w:rsidP="003925AB">
      <w:pPr>
        <w:pStyle w:val="ActHead5"/>
      </w:pPr>
      <w:bookmarkStart w:id="87" w:name="_Toc64297928"/>
      <w:r w:rsidRPr="00E34AC3">
        <w:rPr>
          <w:rStyle w:val="CharSectno"/>
        </w:rPr>
        <w:t>41</w:t>
      </w:r>
      <w:r w:rsidR="003925AB" w:rsidRPr="004303AB">
        <w:t xml:space="preserve">  Use or disclosure of research information after end of research authorisation etc.</w:t>
      </w:r>
      <w:bookmarkEnd w:id="87"/>
    </w:p>
    <w:p w:rsidR="003925AB" w:rsidRPr="004303AB" w:rsidRDefault="003925AB" w:rsidP="003925AB">
      <w:pPr>
        <w:pStyle w:val="SubsectionHead"/>
      </w:pPr>
      <w:r w:rsidRPr="004303AB">
        <w:t>Purpose of this section</w:t>
      </w:r>
    </w:p>
    <w:p w:rsidR="003925AB" w:rsidRPr="004303AB" w:rsidRDefault="003925AB" w:rsidP="003925AB">
      <w:pPr>
        <w:pStyle w:val="subsection"/>
      </w:pPr>
      <w:r w:rsidRPr="004303AB">
        <w:tab/>
        <w:t>(1)</w:t>
      </w:r>
      <w:r w:rsidRPr="004303AB">
        <w:tab/>
        <w:t xml:space="preserve">This section is made for the purposes of paragraph </w:t>
      </w:r>
      <w:r w:rsidR="008D786C" w:rsidRPr="004303AB">
        <w:t>21</w:t>
      </w:r>
      <w:r w:rsidRPr="004303AB">
        <w:t>(1)(c).</w:t>
      </w:r>
    </w:p>
    <w:p w:rsidR="003925AB" w:rsidRPr="004303AB" w:rsidRDefault="003925AB" w:rsidP="003925AB">
      <w:pPr>
        <w:pStyle w:val="notetext"/>
      </w:pPr>
      <w:r w:rsidRPr="004303AB">
        <w:t>Note:</w:t>
      </w:r>
      <w:r w:rsidRPr="004303AB">
        <w:tab/>
        <w:t xml:space="preserve">The ACMA must grant a research authorisation if it is satisfied of the matters set out in subsection </w:t>
      </w:r>
      <w:r w:rsidR="008D786C" w:rsidRPr="004303AB">
        <w:t>21</w:t>
      </w:r>
      <w:r w:rsidRPr="004303AB">
        <w:t>(1).</w:t>
      </w:r>
    </w:p>
    <w:p w:rsidR="003925AB" w:rsidRPr="004303AB" w:rsidRDefault="003925AB" w:rsidP="003925AB">
      <w:pPr>
        <w:pStyle w:val="SubsectionHead"/>
      </w:pPr>
      <w:r w:rsidRPr="004303AB">
        <w:t>Research authorisation ends etc.</w:t>
      </w:r>
    </w:p>
    <w:p w:rsidR="003925AB" w:rsidRPr="004303AB" w:rsidRDefault="003925AB" w:rsidP="003925AB">
      <w:pPr>
        <w:pStyle w:val="subsection"/>
      </w:pPr>
      <w:r w:rsidRPr="004303AB">
        <w:tab/>
        <w:t>(2)</w:t>
      </w:r>
      <w:r w:rsidRPr="004303AB">
        <w:tab/>
        <w:t xml:space="preserve">If an authorised research entity has research information relating to a contacted person and the authorisation that covers the entity ends, or the entity is removed under section </w:t>
      </w:r>
      <w:r w:rsidR="008D786C" w:rsidRPr="004303AB">
        <w:t>39</w:t>
      </w:r>
      <w:r w:rsidRPr="004303AB">
        <w:t xml:space="preserve"> from the research authorisation covering the entity, the entity must not:</w:t>
      </w:r>
    </w:p>
    <w:p w:rsidR="003925AB" w:rsidRPr="004303AB" w:rsidRDefault="003925AB" w:rsidP="003925AB">
      <w:pPr>
        <w:pStyle w:val="paragraph"/>
      </w:pPr>
      <w:r w:rsidRPr="004303AB">
        <w:tab/>
        <w:t>(a)</w:t>
      </w:r>
      <w:r w:rsidRPr="004303AB">
        <w:tab/>
        <w:t>make a record of, or use, the information; or</w:t>
      </w:r>
    </w:p>
    <w:p w:rsidR="003925AB" w:rsidRPr="004303AB" w:rsidRDefault="003925AB" w:rsidP="003925AB">
      <w:pPr>
        <w:pStyle w:val="paragraph"/>
      </w:pPr>
      <w:r w:rsidRPr="004303AB">
        <w:tab/>
        <w:t>(b)</w:t>
      </w:r>
      <w:r w:rsidRPr="004303AB">
        <w:tab/>
        <w:t>disclose the information;</w:t>
      </w:r>
    </w:p>
    <w:p w:rsidR="003925AB" w:rsidRPr="004303AB" w:rsidRDefault="003925AB" w:rsidP="003925AB">
      <w:pPr>
        <w:pStyle w:val="subsection2"/>
      </w:pPr>
      <w:r w:rsidRPr="004303AB">
        <w:t>unless the information is de</w:t>
      </w:r>
      <w:r w:rsidR="004303AB">
        <w:noBreakHyphen/>
      </w:r>
      <w:r w:rsidRPr="004303AB">
        <w:t>identified and does not include the person’s public number.</w:t>
      </w:r>
    </w:p>
    <w:p w:rsidR="003925AB" w:rsidRPr="004303AB" w:rsidRDefault="003925AB" w:rsidP="003925AB">
      <w:pPr>
        <w:pStyle w:val="SubsectionHead"/>
      </w:pPr>
      <w:r w:rsidRPr="004303AB">
        <w:t>Authorised research entity is involuntarily removed from research authorisation</w:t>
      </w:r>
    </w:p>
    <w:p w:rsidR="003925AB" w:rsidRPr="004303AB" w:rsidRDefault="003925AB" w:rsidP="003925AB">
      <w:pPr>
        <w:pStyle w:val="subsection"/>
      </w:pPr>
      <w:r w:rsidRPr="004303AB">
        <w:tab/>
        <w:t>(3)</w:t>
      </w:r>
      <w:r w:rsidRPr="004303AB">
        <w:tab/>
        <w:t xml:space="preserve">If an authorised research entity has research information relating to a contacted person and the entity is removed under section </w:t>
      </w:r>
      <w:r w:rsidR="008D786C" w:rsidRPr="004303AB">
        <w:t>38</w:t>
      </w:r>
      <w:r w:rsidRPr="004303AB">
        <w:t xml:space="preserve"> from the research authorisation covering the entity, the entity:</w:t>
      </w:r>
    </w:p>
    <w:p w:rsidR="003925AB" w:rsidRPr="004303AB" w:rsidRDefault="003925AB" w:rsidP="003925AB">
      <w:pPr>
        <w:pStyle w:val="paragraph"/>
      </w:pPr>
      <w:r w:rsidRPr="004303AB">
        <w:tab/>
        <w:t>(a)</w:t>
      </w:r>
      <w:r w:rsidRPr="004303AB">
        <w:tab/>
        <w:t>must not make a record of, or use, the information; and</w:t>
      </w:r>
    </w:p>
    <w:p w:rsidR="003925AB" w:rsidRPr="004303AB" w:rsidRDefault="003925AB" w:rsidP="003925AB">
      <w:pPr>
        <w:pStyle w:val="paragraph"/>
      </w:pPr>
      <w:r w:rsidRPr="004303AB">
        <w:tab/>
        <w:t>(b)</w:t>
      </w:r>
      <w:r w:rsidRPr="004303AB">
        <w:tab/>
        <w:t>must not disclose the information unless authorised, or required to do so, by or under any law that applies to the entity; and</w:t>
      </w:r>
    </w:p>
    <w:p w:rsidR="003925AB" w:rsidRPr="004303AB" w:rsidRDefault="003925AB" w:rsidP="003925AB">
      <w:pPr>
        <w:pStyle w:val="paragraph"/>
      </w:pPr>
      <w:r w:rsidRPr="004303AB">
        <w:tab/>
        <w:t>(c)</w:t>
      </w:r>
      <w:r w:rsidRPr="004303AB">
        <w:tab/>
        <w:t>must take all reasonable steps to destroy the information within 10 business days after the entity is removed from the authorisation.</w:t>
      </w:r>
    </w:p>
    <w:p w:rsidR="003925AB" w:rsidRPr="004303AB" w:rsidRDefault="003925AB" w:rsidP="003925AB">
      <w:pPr>
        <w:pStyle w:val="ActHead4"/>
      </w:pPr>
      <w:bookmarkStart w:id="88" w:name="_Toc64297929"/>
      <w:r w:rsidRPr="00E34AC3">
        <w:rPr>
          <w:rStyle w:val="CharSubdNo"/>
        </w:rPr>
        <w:t>Subdivision F</w:t>
      </w:r>
      <w:r w:rsidRPr="004303AB">
        <w:t>—</w:t>
      </w:r>
      <w:r w:rsidRPr="00E34AC3">
        <w:rPr>
          <w:rStyle w:val="CharSubdText"/>
        </w:rPr>
        <w:t>Review of decisions</w:t>
      </w:r>
      <w:bookmarkEnd w:id="88"/>
    </w:p>
    <w:p w:rsidR="003925AB" w:rsidRPr="004303AB" w:rsidRDefault="008D786C" w:rsidP="003925AB">
      <w:pPr>
        <w:pStyle w:val="ActHead5"/>
      </w:pPr>
      <w:bookmarkStart w:id="89" w:name="_Toc64297930"/>
      <w:r w:rsidRPr="00E34AC3">
        <w:rPr>
          <w:rStyle w:val="CharSectno"/>
        </w:rPr>
        <w:t>42</w:t>
      </w:r>
      <w:r w:rsidR="003925AB" w:rsidRPr="004303AB">
        <w:t xml:space="preserve">  Decisions that may be subject to reconsideration by the ACMA</w:t>
      </w:r>
      <w:bookmarkEnd w:id="89"/>
    </w:p>
    <w:p w:rsidR="003925AB" w:rsidRPr="004303AB" w:rsidRDefault="003925AB" w:rsidP="003925AB">
      <w:pPr>
        <w:pStyle w:val="subsection"/>
      </w:pPr>
      <w:r w:rsidRPr="004303AB">
        <w:tab/>
        <w:t>(1)</w:t>
      </w:r>
      <w:r w:rsidRPr="004303AB">
        <w:tab/>
        <w:t>A person affected by one of the following decisions, who is dissatisfied with the decision, may request the ACMA to reconsider the decision:</w:t>
      </w:r>
    </w:p>
    <w:p w:rsidR="003925AB" w:rsidRPr="004303AB" w:rsidRDefault="003925AB" w:rsidP="003925AB">
      <w:pPr>
        <w:pStyle w:val="paragraph"/>
      </w:pPr>
      <w:r w:rsidRPr="004303AB">
        <w:tab/>
        <w:t>(a)</w:t>
      </w:r>
      <w:r w:rsidRPr="004303AB">
        <w:tab/>
        <w:t xml:space="preserve">a decision not to grant a research authorisation (section </w:t>
      </w:r>
      <w:r w:rsidR="008D786C" w:rsidRPr="004303AB">
        <w:t>21</w:t>
      </w:r>
      <w:r w:rsidRPr="004303AB">
        <w:t>);</w:t>
      </w:r>
    </w:p>
    <w:p w:rsidR="003925AB" w:rsidRPr="004303AB" w:rsidRDefault="003925AB" w:rsidP="003925AB">
      <w:pPr>
        <w:pStyle w:val="paragraph"/>
      </w:pPr>
      <w:r w:rsidRPr="004303AB">
        <w:tab/>
        <w:t>(b)</w:t>
      </w:r>
      <w:r w:rsidRPr="004303AB">
        <w:tab/>
        <w:t xml:space="preserve">a decision to grant a research authorisation subject to additional conditions (subsection </w:t>
      </w:r>
      <w:r w:rsidR="008D786C" w:rsidRPr="004303AB">
        <w:t>22</w:t>
      </w:r>
      <w:r w:rsidRPr="004303AB">
        <w:t>(4));</w:t>
      </w:r>
    </w:p>
    <w:p w:rsidR="003925AB" w:rsidRPr="004303AB" w:rsidRDefault="003925AB" w:rsidP="003925AB">
      <w:pPr>
        <w:pStyle w:val="paragraph"/>
      </w:pPr>
      <w:r w:rsidRPr="004303AB">
        <w:tab/>
        <w:t>(c)</w:t>
      </w:r>
      <w:r w:rsidRPr="004303AB">
        <w:tab/>
        <w:t xml:space="preserve">a decision to specify an additional condition after a research authorisation has been granted (subsection </w:t>
      </w:r>
      <w:r w:rsidR="008D786C" w:rsidRPr="004303AB">
        <w:t>36</w:t>
      </w:r>
      <w:r w:rsidRPr="004303AB">
        <w:t>(1));</w:t>
      </w:r>
    </w:p>
    <w:p w:rsidR="003925AB" w:rsidRPr="004303AB" w:rsidRDefault="003925AB" w:rsidP="003925AB">
      <w:pPr>
        <w:pStyle w:val="paragraph"/>
      </w:pPr>
      <w:r w:rsidRPr="004303AB">
        <w:tab/>
        <w:t>(d)</w:t>
      </w:r>
      <w:r w:rsidRPr="004303AB">
        <w:tab/>
        <w:t>a decision to va</w:t>
      </w:r>
      <w:r w:rsidR="00CB504F" w:rsidRPr="004303AB">
        <w:t>ry an additional condition of a research</w:t>
      </w:r>
      <w:r w:rsidRPr="004303AB">
        <w:t xml:space="preserve"> authorisation (subsection </w:t>
      </w:r>
      <w:r w:rsidR="008D786C" w:rsidRPr="004303AB">
        <w:t>36</w:t>
      </w:r>
      <w:r w:rsidRPr="004303AB">
        <w:t>(1));</w:t>
      </w:r>
    </w:p>
    <w:p w:rsidR="003925AB" w:rsidRPr="004303AB" w:rsidRDefault="003925AB" w:rsidP="003925AB">
      <w:pPr>
        <w:pStyle w:val="paragraph"/>
      </w:pPr>
      <w:r w:rsidRPr="004303AB">
        <w:tab/>
        <w:t>(e)</w:t>
      </w:r>
      <w:r w:rsidRPr="004303AB">
        <w:tab/>
        <w:t xml:space="preserve">a decision to remove an authorised research entity from a research authorisation (section </w:t>
      </w:r>
      <w:r w:rsidR="008D786C" w:rsidRPr="004303AB">
        <w:t>38</w:t>
      </w:r>
      <w:r w:rsidRPr="004303AB">
        <w:t>);</w:t>
      </w:r>
    </w:p>
    <w:p w:rsidR="003925AB" w:rsidRPr="004303AB" w:rsidRDefault="003925AB" w:rsidP="003925AB">
      <w:pPr>
        <w:pStyle w:val="paragraph"/>
      </w:pPr>
      <w:r w:rsidRPr="004303AB">
        <w:tab/>
        <w:t>(f)</w:t>
      </w:r>
      <w:r w:rsidRPr="004303AB">
        <w:tab/>
        <w:t xml:space="preserve">a decision not to remove an authorised research entity from a research authorisation after receiving a request from the entity to be removed (section </w:t>
      </w:r>
      <w:r w:rsidR="008D786C" w:rsidRPr="004303AB">
        <w:t>39</w:t>
      </w:r>
      <w:r w:rsidRPr="004303AB">
        <w:t>).</w:t>
      </w:r>
    </w:p>
    <w:p w:rsidR="003925AB" w:rsidRPr="004303AB" w:rsidRDefault="003925AB" w:rsidP="003925AB">
      <w:pPr>
        <w:pStyle w:val="subsection"/>
      </w:pPr>
      <w:r w:rsidRPr="004303AB">
        <w:tab/>
        <w:t>(2)</w:t>
      </w:r>
      <w:r w:rsidRPr="004303AB">
        <w:tab/>
        <w:t>The request:</w:t>
      </w:r>
    </w:p>
    <w:p w:rsidR="003925AB" w:rsidRPr="004303AB" w:rsidRDefault="003925AB" w:rsidP="003925AB">
      <w:pPr>
        <w:pStyle w:val="paragraph"/>
      </w:pPr>
      <w:r w:rsidRPr="004303AB">
        <w:tab/>
        <w:t>(a)</w:t>
      </w:r>
      <w:r w:rsidRPr="004303AB">
        <w:tab/>
        <w:t>must be in writing; and</w:t>
      </w:r>
    </w:p>
    <w:p w:rsidR="003925AB" w:rsidRPr="004303AB" w:rsidRDefault="003925AB" w:rsidP="003925AB">
      <w:pPr>
        <w:pStyle w:val="paragraph"/>
      </w:pPr>
      <w:r w:rsidRPr="004303AB">
        <w:tab/>
        <w:t>(</w:t>
      </w:r>
      <w:r w:rsidR="00EA5EBA" w:rsidRPr="004303AB">
        <w:t>b</w:t>
      </w:r>
      <w:r w:rsidRPr="004303AB">
        <w:t>)</w:t>
      </w:r>
      <w:r w:rsidRPr="004303AB">
        <w:tab/>
        <w:t>must set out the reasons for the request.</w:t>
      </w:r>
    </w:p>
    <w:p w:rsidR="003925AB" w:rsidRPr="004303AB" w:rsidRDefault="003925AB" w:rsidP="003925AB">
      <w:pPr>
        <w:pStyle w:val="subsection"/>
      </w:pPr>
      <w:r w:rsidRPr="004303AB">
        <w:tab/>
        <w:t>(3)</w:t>
      </w:r>
      <w:r w:rsidRPr="004303AB">
        <w:tab/>
        <w:t>The request must be made within 28 days after the decision, or within such longer period as the ACMA allows.</w:t>
      </w:r>
    </w:p>
    <w:p w:rsidR="003925AB" w:rsidRPr="004303AB" w:rsidRDefault="008D786C" w:rsidP="003925AB">
      <w:pPr>
        <w:pStyle w:val="ActHead5"/>
      </w:pPr>
      <w:bookmarkStart w:id="90" w:name="_Toc64297931"/>
      <w:r w:rsidRPr="00E34AC3">
        <w:rPr>
          <w:rStyle w:val="CharSectno"/>
        </w:rPr>
        <w:t>43</w:t>
      </w:r>
      <w:r w:rsidR="003925AB" w:rsidRPr="004303AB">
        <w:t xml:space="preserve">  Reconsideration by the ACMA</w:t>
      </w:r>
      <w:bookmarkEnd w:id="90"/>
    </w:p>
    <w:p w:rsidR="003925AB" w:rsidRPr="004303AB" w:rsidRDefault="003925AB" w:rsidP="003925AB">
      <w:pPr>
        <w:pStyle w:val="subsection"/>
      </w:pPr>
      <w:r w:rsidRPr="004303AB">
        <w:tab/>
        <w:t>(1)</w:t>
      </w:r>
      <w:r w:rsidRPr="004303AB">
        <w:tab/>
        <w:t xml:space="preserve">Upon receiving a request under section </w:t>
      </w:r>
      <w:r w:rsidR="008D786C" w:rsidRPr="004303AB">
        <w:t>42</w:t>
      </w:r>
      <w:r w:rsidRPr="004303AB">
        <w:t xml:space="preserve"> to reconsider a decision, the ACMA must:</w:t>
      </w:r>
    </w:p>
    <w:p w:rsidR="003925AB" w:rsidRPr="004303AB" w:rsidRDefault="003925AB" w:rsidP="003925AB">
      <w:pPr>
        <w:pStyle w:val="paragraph"/>
      </w:pPr>
      <w:r w:rsidRPr="004303AB">
        <w:tab/>
        <w:t>(a)</w:t>
      </w:r>
      <w:r w:rsidRPr="004303AB">
        <w:tab/>
        <w:t>reconsider the decision; and</w:t>
      </w:r>
    </w:p>
    <w:p w:rsidR="003925AB" w:rsidRPr="004303AB" w:rsidRDefault="003925AB" w:rsidP="003925AB">
      <w:pPr>
        <w:pStyle w:val="paragraph"/>
      </w:pPr>
      <w:r w:rsidRPr="004303AB">
        <w:tab/>
        <w:t>(b)</w:t>
      </w:r>
      <w:r w:rsidRPr="004303AB">
        <w:tab/>
        <w:t>affirm, vary or revoke the decision.</w:t>
      </w:r>
    </w:p>
    <w:p w:rsidR="003925AB" w:rsidRPr="004303AB" w:rsidRDefault="003925AB" w:rsidP="003925AB">
      <w:pPr>
        <w:pStyle w:val="subsection"/>
      </w:pPr>
      <w:r w:rsidRPr="004303AB">
        <w:tab/>
        <w:t>(2)</w:t>
      </w:r>
      <w:r w:rsidRPr="004303AB">
        <w:tab/>
        <w:t>Before making a decision on the reconsideration of the decision, the ACMA may consult any person or body the ACMA considers appropriate.</w:t>
      </w:r>
    </w:p>
    <w:p w:rsidR="003925AB" w:rsidRPr="004303AB" w:rsidRDefault="003925AB" w:rsidP="003925AB">
      <w:pPr>
        <w:pStyle w:val="subsection"/>
      </w:pPr>
      <w:r w:rsidRPr="004303AB">
        <w:tab/>
        <w:t>(3)</w:t>
      </w:r>
      <w:r w:rsidRPr="004303AB">
        <w:tab/>
        <w:t>The ACMA’s decision on the reconsideration of a decision has effect as if it had been made under the provision under which the original decision was made.</w:t>
      </w:r>
    </w:p>
    <w:p w:rsidR="003925AB" w:rsidRPr="004303AB" w:rsidRDefault="003925AB" w:rsidP="003925AB">
      <w:pPr>
        <w:pStyle w:val="subsection"/>
      </w:pPr>
      <w:r w:rsidRPr="004303AB">
        <w:tab/>
        <w:t>(4)</w:t>
      </w:r>
      <w:r w:rsidRPr="004303AB">
        <w:tab/>
        <w:t>The ACMA must give written notice to the person making the request of its decision on the reconsideration, including the reasons for the decision.</w:t>
      </w:r>
    </w:p>
    <w:p w:rsidR="003925AB" w:rsidRPr="004303AB" w:rsidRDefault="003925AB" w:rsidP="003925AB">
      <w:pPr>
        <w:pStyle w:val="notetext"/>
      </w:pPr>
      <w:r w:rsidRPr="004303AB">
        <w:t>Note:</w:t>
      </w:r>
      <w:r w:rsidRPr="004303AB">
        <w:tab/>
        <w:t xml:space="preserve">Section 27A of the </w:t>
      </w:r>
      <w:r w:rsidRPr="004303AB">
        <w:rPr>
          <w:i/>
        </w:rPr>
        <w:t>Administrative Appeals Tribunal Act 1975</w:t>
      </w:r>
      <w:r w:rsidRPr="004303AB">
        <w:t xml:space="preserve"> requires the person to be notified of the person’s review rights.</w:t>
      </w:r>
    </w:p>
    <w:p w:rsidR="003925AB" w:rsidRPr="004303AB" w:rsidRDefault="008D786C" w:rsidP="003925AB">
      <w:pPr>
        <w:pStyle w:val="ActHead5"/>
      </w:pPr>
      <w:bookmarkStart w:id="91" w:name="_Toc64297932"/>
      <w:r w:rsidRPr="00E34AC3">
        <w:rPr>
          <w:rStyle w:val="CharSectno"/>
        </w:rPr>
        <w:t>44</w:t>
      </w:r>
      <w:r w:rsidR="003925AB" w:rsidRPr="004303AB">
        <w:t xml:space="preserve">  Deadlines for reconsiderations</w:t>
      </w:r>
      <w:bookmarkEnd w:id="91"/>
    </w:p>
    <w:p w:rsidR="003925AB" w:rsidRPr="004303AB" w:rsidRDefault="003925AB" w:rsidP="003925AB">
      <w:pPr>
        <w:pStyle w:val="subsection"/>
      </w:pPr>
      <w:r w:rsidRPr="004303AB">
        <w:tab/>
      </w:r>
      <w:r w:rsidRPr="004303AB">
        <w:tab/>
        <w:t xml:space="preserve">After receiving a request under section </w:t>
      </w:r>
      <w:r w:rsidR="008D786C" w:rsidRPr="004303AB">
        <w:t>42</w:t>
      </w:r>
      <w:r w:rsidRPr="004303AB">
        <w:t xml:space="preserve"> for the reconsideration of a decision, the ACMA is taken to affirm</w:t>
      </w:r>
      <w:r w:rsidR="00C15522" w:rsidRPr="004303AB">
        <w:t xml:space="preserve"> under </w:t>
      </w:r>
      <w:r w:rsidR="00B31E32" w:rsidRPr="004303AB">
        <w:t>sub</w:t>
      </w:r>
      <w:r w:rsidR="00C15522" w:rsidRPr="004303AB">
        <w:t xml:space="preserve">section </w:t>
      </w:r>
      <w:r w:rsidR="008D786C" w:rsidRPr="004303AB">
        <w:t>43</w:t>
      </w:r>
      <w:r w:rsidR="00C15522" w:rsidRPr="004303AB">
        <w:t>(1)</w:t>
      </w:r>
      <w:r w:rsidRPr="004303AB">
        <w:t xml:space="preserve"> the original decision 90 days after receiving the request if it does not make a decision </w:t>
      </w:r>
      <w:r w:rsidR="000F3765" w:rsidRPr="004303AB">
        <w:t xml:space="preserve">under subsection 43(1) </w:t>
      </w:r>
      <w:r w:rsidRPr="004303AB">
        <w:t>on the request before then.</w:t>
      </w:r>
    </w:p>
    <w:p w:rsidR="003925AB" w:rsidRPr="004303AB" w:rsidRDefault="008D786C" w:rsidP="003925AB">
      <w:pPr>
        <w:pStyle w:val="ActHead5"/>
      </w:pPr>
      <w:bookmarkStart w:id="92" w:name="_Toc64297933"/>
      <w:r w:rsidRPr="00E34AC3">
        <w:rPr>
          <w:rStyle w:val="CharSectno"/>
        </w:rPr>
        <w:t>45</w:t>
      </w:r>
      <w:r w:rsidR="003925AB" w:rsidRPr="004303AB">
        <w:t xml:space="preserve">  Review by the Administrative Appeals Tribunal</w:t>
      </w:r>
      <w:bookmarkEnd w:id="92"/>
    </w:p>
    <w:p w:rsidR="003925AB" w:rsidRPr="004303AB" w:rsidRDefault="003925AB" w:rsidP="003925AB">
      <w:pPr>
        <w:pStyle w:val="subsection"/>
      </w:pPr>
      <w:r w:rsidRPr="004303AB">
        <w:tab/>
      </w:r>
      <w:r w:rsidRPr="004303AB">
        <w:tab/>
        <w:t>Applications may be made to the Administrative Appeals Tribunal for review of decision</w:t>
      </w:r>
      <w:r w:rsidR="00E170DC" w:rsidRPr="004303AB">
        <w:t>s</w:t>
      </w:r>
      <w:r w:rsidRPr="004303AB">
        <w:t xml:space="preserve"> </w:t>
      </w:r>
      <w:r w:rsidR="00E170DC" w:rsidRPr="004303AB">
        <w:t xml:space="preserve">of the ACMA under section </w:t>
      </w:r>
      <w:r w:rsidR="008D786C" w:rsidRPr="004303AB">
        <w:t>43</w:t>
      </w:r>
      <w:r w:rsidR="00E170DC" w:rsidRPr="004303AB">
        <w:t xml:space="preserve"> to affirm or vary a decision mentioned in subsection </w:t>
      </w:r>
      <w:r w:rsidR="008D786C" w:rsidRPr="004303AB">
        <w:t>42</w:t>
      </w:r>
      <w:r w:rsidR="00E170DC" w:rsidRPr="004303AB">
        <w:t>(1)</w:t>
      </w:r>
      <w:r w:rsidRPr="004303AB">
        <w:t>.</w:t>
      </w:r>
    </w:p>
    <w:p w:rsidR="003925AB" w:rsidRPr="004303AB" w:rsidRDefault="003925AB" w:rsidP="003925AB">
      <w:pPr>
        <w:pStyle w:val="ActHead4"/>
      </w:pPr>
      <w:bookmarkStart w:id="93" w:name="_Toc64297934"/>
      <w:r w:rsidRPr="00E34AC3">
        <w:rPr>
          <w:rStyle w:val="CharSubdNo"/>
        </w:rPr>
        <w:t>Subdivision G</w:t>
      </w:r>
      <w:r w:rsidRPr="004303AB">
        <w:t>—</w:t>
      </w:r>
      <w:r w:rsidRPr="00E34AC3">
        <w:rPr>
          <w:rStyle w:val="CharSubdText"/>
        </w:rPr>
        <w:t>Offences</w:t>
      </w:r>
      <w:bookmarkEnd w:id="93"/>
    </w:p>
    <w:p w:rsidR="003925AB" w:rsidRPr="004303AB" w:rsidRDefault="008D786C" w:rsidP="003925AB">
      <w:pPr>
        <w:pStyle w:val="ActHead5"/>
      </w:pPr>
      <w:bookmarkStart w:id="94" w:name="_Toc64297935"/>
      <w:r w:rsidRPr="00E34AC3">
        <w:rPr>
          <w:rStyle w:val="CharSectno"/>
        </w:rPr>
        <w:t>46</w:t>
      </w:r>
      <w:r w:rsidR="003925AB" w:rsidRPr="004303AB">
        <w:t xml:space="preserve">  Offence of contravening a condition etc.</w:t>
      </w:r>
      <w:bookmarkEnd w:id="94"/>
    </w:p>
    <w:p w:rsidR="003925AB" w:rsidRPr="004303AB" w:rsidRDefault="003925AB" w:rsidP="003925AB">
      <w:pPr>
        <w:pStyle w:val="subsection"/>
      </w:pPr>
      <w:r w:rsidRPr="004303AB">
        <w:tab/>
        <w:t>(1)</w:t>
      </w:r>
      <w:r w:rsidRPr="004303AB">
        <w:tab/>
        <w:t>An authorised research entity covered by a research authorisation commits</w:t>
      </w:r>
      <w:bookmarkStart w:id="95" w:name="BK_S3P25L25C79"/>
      <w:bookmarkEnd w:id="95"/>
      <w:r w:rsidRPr="004303AB">
        <w:t xml:space="preserve"> an offence of strict liability</w:t>
      </w:r>
      <w:bookmarkStart w:id="96" w:name="BK_S3P25L26C17"/>
      <w:bookmarkEnd w:id="96"/>
      <w:r w:rsidRPr="004303AB">
        <w:t xml:space="preserve"> if:</w:t>
      </w:r>
    </w:p>
    <w:p w:rsidR="003925AB" w:rsidRPr="004303AB" w:rsidRDefault="003925AB" w:rsidP="003925AB">
      <w:pPr>
        <w:pStyle w:val="paragraph"/>
      </w:pPr>
      <w:r w:rsidRPr="004303AB">
        <w:tab/>
        <w:t>(a)</w:t>
      </w:r>
      <w:r w:rsidRPr="004303AB">
        <w:tab/>
        <w:t>the entity contravenes a condition of the authorisation; and</w:t>
      </w:r>
    </w:p>
    <w:p w:rsidR="003925AB" w:rsidRPr="004303AB" w:rsidRDefault="003925AB" w:rsidP="003925AB">
      <w:pPr>
        <w:pStyle w:val="paragraph"/>
      </w:pPr>
      <w:r w:rsidRPr="004303AB">
        <w:tab/>
        <w:t>(b)</w:t>
      </w:r>
      <w:r w:rsidRPr="004303AB">
        <w:tab/>
        <w:t xml:space="preserve">the condition is not section </w:t>
      </w:r>
      <w:r w:rsidR="008D786C" w:rsidRPr="004303AB">
        <w:t>29</w:t>
      </w:r>
      <w:r w:rsidRPr="004303AB">
        <w:t>.</w:t>
      </w:r>
    </w:p>
    <w:p w:rsidR="003925AB" w:rsidRPr="004303AB" w:rsidRDefault="003925AB" w:rsidP="003925AB">
      <w:pPr>
        <w:pStyle w:val="Penalty"/>
      </w:pPr>
      <w:r w:rsidRPr="004303AB">
        <w:t>Penalty:</w:t>
      </w:r>
      <w:bookmarkStart w:id="97" w:name="BK_S3P25L29C9"/>
      <w:bookmarkEnd w:id="97"/>
      <w:r w:rsidRPr="004303AB">
        <w:tab/>
        <w:t>10 penalty unit</w:t>
      </w:r>
      <w:bookmarkStart w:id="98" w:name="BK_S3P25L29C25"/>
      <w:bookmarkEnd w:id="98"/>
      <w:r w:rsidRPr="004303AB">
        <w:t>s.</w:t>
      </w:r>
    </w:p>
    <w:p w:rsidR="003925AB" w:rsidRPr="004303AB" w:rsidRDefault="003925AB" w:rsidP="003925AB">
      <w:pPr>
        <w:pStyle w:val="subsection"/>
      </w:pPr>
      <w:r w:rsidRPr="004303AB">
        <w:tab/>
        <w:t>(2)</w:t>
      </w:r>
      <w:r w:rsidRPr="004303AB">
        <w:tab/>
        <w:t>An authorised research entity commits an offence of strict liability</w:t>
      </w:r>
      <w:bookmarkStart w:id="99" w:name="BK_S3P25L30C74"/>
      <w:bookmarkEnd w:id="99"/>
      <w:r w:rsidRPr="004303AB">
        <w:t xml:space="preserve"> if:</w:t>
      </w:r>
    </w:p>
    <w:p w:rsidR="003925AB" w:rsidRPr="004303AB" w:rsidRDefault="003925AB" w:rsidP="003925AB">
      <w:pPr>
        <w:pStyle w:val="paragraph"/>
      </w:pPr>
      <w:r w:rsidRPr="004303AB">
        <w:tab/>
        <w:t>(a)</w:t>
      </w:r>
      <w:r w:rsidRPr="004303AB">
        <w:tab/>
        <w:t xml:space="preserve">the entity does an act, or engages in a practice, that contravenes section </w:t>
      </w:r>
      <w:r w:rsidR="008D786C" w:rsidRPr="004303AB">
        <w:t>29</w:t>
      </w:r>
      <w:r w:rsidRPr="004303AB">
        <w:t>; and</w:t>
      </w:r>
    </w:p>
    <w:p w:rsidR="003925AB" w:rsidRPr="004303AB" w:rsidRDefault="003925AB" w:rsidP="003925AB">
      <w:pPr>
        <w:pStyle w:val="paragraph"/>
      </w:pPr>
      <w:r w:rsidRPr="004303AB">
        <w:tab/>
        <w:t>(b)</w:t>
      </w:r>
      <w:r w:rsidRPr="004303AB">
        <w:tab/>
        <w:t>either:</w:t>
      </w:r>
    </w:p>
    <w:p w:rsidR="003925AB" w:rsidRPr="004303AB" w:rsidRDefault="003925AB" w:rsidP="003925AB">
      <w:pPr>
        <w:pStyle w:val="paragraphsub"/>
      </w:pPr>
      <w:r w:rsidRPr="004303AB">
        <w:tab/>
        <w:t>(i)</w:t>
      </w:r>
      <w:r w:rsidRPr="004303AB">
        <w:tab/>
        <w:t>the entity is a registered political party; or</w:t>
      </w:r>
    </w:p>
    <w:p w:rsidR="003925AB" w:rsidRPr="004303AB" w:rsidRDefault="003925AB" w:rsidP="003925AB">
      <w:pPr>
        <w:pStyle w:val="paragraphsub"/>
      </w:pPr>
      <w:r w:rsidRPr="004303AB">
        <w:tab/>
        <w:t>(ii)</w:t>
      </w:r>
      <w:r w:rsidRPr="004303AB">
        <w:tab/>
        <w:t xml:space="preserve">the act or practice is exempt under </w:t>
      </w:r>
      <w:r w:rsidR="00426B90" w:rsidRPr="004303AB">
        <w:t>section 7</w:t>
      </w:r>
      <w:r w:rsidRPr="004303AB">
        <w:t xml:space="preserve">C of the </w:t>
      </w:r>
      <w:r w:rsidRPr="004303AB">
        <w:rPr>
          <w:i/>
        </w:rPr>
        <w:t xml:space="preserve">Privacy Act 1988 </w:t>
      </w:r>
      <w:r w:rsidRPr="004303AB">
        <w:t>(which provides that certain political acts and practices are exempt).</w:t>
      </w:r>
    </w:p>
    <w:p w:rsidR="003925AB" w:rsidRPr="004303AB" w:rsidRDefault="003925AB" w:rsidP="003925AB">
      <w:pPr>
        <w:pStyle w:val="Penalty"/>
      </w:pPr>
      <w:r w:rsidRPr="004303AB">
        <w:t>Penalty:</w:t>
      </w:r>
      <w:r w:rsidRPr="004303AB">
        <w:tab/>
        <w:t>10 penalty units.</w:t>
      </w:r>
    </w:p>
    <w:p w:rsidR="003925AB" w:rsidRPr="004303AB" w:rsidRDefault="003925AB" w:rsidP="003925AB">
      <w:pPr>
        <w:pStyle w:val="subsection"/>
      </w:pPr>
      <w:r w:rsidRPr="004303AB">
        <w:tab/>
        <w:t>(3)</w:t>
      </w:r>
      <w:r w:rsidRPr="004303AB">
        <w:tab/>
        <w:t>A former authorised research entity commits an offence of strict liability</w:t>
      </w:r>
      <w:bookmarkStart w:id="100" w:name="BK_S3P26L1C80"/>
      <w:bookmarkEnd w:id="100"/>
      <w:r w:rsidRPr="004303AB">
        <w:t xml:space="preserve"> if the entity contravenes subsection </w:t>
      </w:r>
      <w:r w:rsidR="008D786C" w:rsidRPr="004303AB">
        <w:t>40</w:t>
      </w:r>
      <w:r w:rsidRPr="004303AB">
        <w:t>(3) or (4).</w:t>
      </w:r>
    </w:p>
    <w:p w:rsidR="003925AB" w:rsidRPr="004303AB" w:rsidRDefault="003925AB" w:rsidP="003925AB">
      <w:pPr>
        <w:pStyle w:val="Penalty"/>
      </w:pPr>
      <w:r w:rsidRPr="004303AB">
        <w:t>Penalty:</w:t>
      </w:r>
      <w:r w:rsidRPr="004303AB">
        <w:tab/>
        <w:t>10 penalty units.</w:t>
      </w:r>
    </w:p>
    <w:p w:rsidR="003925AB" w:rsidRPr="004303AB" w:rsidRDefault="003925AB" w:rsidP="003925AB">
      <w:pPr>
        <w:pStyle w:val="subsection"/>
      </w:pPr>
      <w:r w:rsidRPr="004303AB">
        <w:tab/>
        <w:t>(4)</w:t>
      </w:r>
      <w:r w:rsidRPr="004303AB">
        <w:tab/>
        <w:t>A person commits an offence of strict liability</w:t>
      </w:r>
      <w:bookmarkStart w:id="101" w:name="BK_S3P26L4C53"/>
      <w:bookmarkEnd w:id="101"/>
      <w:r w:rsidRPr="004303AB">
        <w:t xml:space="preserve"> if the person contravenes subsection </w:t>
      </w:r>
      <w:r w:rsidR="008D786C" w:rsidRPr="004303AB">
        <w:t>41</w:t>
      </w:r>
      <w:r w:rsidRPr="004303AB">
        <w:t>(2) or (3).</w:t>
      </w:r>
    </w:p>
    <w:p w:rsidR="003925AB" w:rsidRPr="004303AB" w:rsidRDefault="003925AB" w:rsidP="003925AB">
      <w:pPr>
        <w:pStyle w:val="Penalty"/>
      </w:pPr>
      <w:r w:rsidRPr="004303AB">
        <w:t>Penalty:</w:t>
      </w:r>
      <w:r w:rsidRPr="004303AB">
        <w:tab/>
        <w:t>10 penalty units.</w:t>
      </w:r>
    </w:p>
    <w:p w:rsidR="003925AB" w:rsidRPr="004303AB" w:rsidRDefault="003925AB" w:rsidP="003925AB">
      <w:pPr>
        <w:pStyle w:val="ActHead2"/>
        <w:pageBreakBefore/>
      </w:pPr>
      <w:bookmarkStart w:id="102" w:name="_Toc64297936"/>
      <w:r w:rsidRPr="00E34AC3">
        <w:rPr>
          <w:rStyle w:val="CharPartNo"/>
        </w:rPr>
        <w:t>Part </w:t>
      </w:r>
      <w:r w:rsidR="00A26EBF" w:rsidRPr="00E34AC3">
        <w:rPr>
          <w:rStyle w:val="CharPartNo"/>
        </w:rPr>
        <w:t>5</w:t>
      </w:r>
      <w:r w:rsidRPr="004303AB">
        <w:t>—</w:t>
      </w:r>
      <w:r w:rsidRPr="00E34AC3">
        <w:rPr>
          <w:rStyle w:val="CharPartText"/>
        </w:rPr>
        <w:t>Standard agreements for the supply of carriage services</w:t>
      </w:r>
      <w:bookmarkEnd w:id="102"/>
    </w:p>
    <w:p w:rsidR="003925AB" w:rsidRPr="00E34AC3" w:rsidRDefault="003925AB" w:rsidP="003925AB">
      <w:pPr>
        <w:pStyle w:val="Header"/>
      </w:pPr>
      <w:r w:rsidRPr="00E34AC3">
        <w:rPr>
          <w:rStyle w:val="CharDivNo"/>
        </w:rPr>
        <w:t xml:space="preserve"> </w:t>
      </w:r>
      <w:r w:rsidRPr="00E34AC3">
        <w:rPr>
          <w:rStyle w:val="CharDivText"/>
        </w:rPr>
        <w:t xml:space="preserve"> </w:t>
      </w:r>
    </w:p>
    <w:p w:rsidR="003925AB" w:rsidRPr="004303AB" w:rsidRDefault="008D786C" w:rsidP="003925AB">
      <w:pPr>
        <w:pStyle w:val="ActHead5"/>
      </w:pPr>
      <w:bookmarkStart w:id="103" w:name="_Toc64297937"/>
      <w:r w:rsidRPr="00E34AC3">
        <w:rPr>
          <w:rStyle w:val="CharSectno"/>
        </w:rPr>
        <w:t>47</w:t>
      </w:r>
      <w:r w:rsidR="003925AB" w:rsidRPr="004303AB">
        <w:t xml:space="preserve">  Supply of specified kinds of carriage services</w:t>
      </w:r>
      <w:bookmarkEnd w:id="103"/>
    </w:p>
    <w:p w:rsidR="003925AB" w:rsidRPr="004303AB" w:rsidRDefault="003925AB" w:rsidP="003925AB">
      <w:pPr>
        <w:pStyle w:val="subsection"/>
      </w:pPr>
      <w:r w:rsidRPr="004303AB">
        <w:tab/>
      </w:r>
      <w:r w:rsidRPr="004303AB">
        <w:tab/>
        <w:t>For the purposes of paragraph 479(1)(b) of the Act, the following kinds of carriage services are specified:</w:t>
      </w:r>
    </w:p>
    <w:p w:rsidR="003925AB" w:rsidRPr="004303AB" w:rsidRDefault="003925AB" w:rsidP="003925AB">
      <w:pPr>
        <w:pStyle w:val="paragraph"/>
      </w:pPr>
      <w:r w:rsidRPr="004303AB">
        <w:tab/>
        <w:t>(a)</w:t>
      </w:r>
      <w:r w:rsidRPr="004303AB">
        <w:tab/>
        <w:t>a carriage service for voice telephony;</w:t>
      </w:r>
    </w:p>
    <w:p w:rsidR="003925AB" w:rsidRPr="004303AB" w:rsidRDefault="003925AB" w:rsidP="003925AB">
      <w:pPr>
        <w:pStyle w:val="paragraph"/>
      </w:pPr>
      <w:r w:rsidRPr="004303AB">
        <w:tab/>
        <w:t>(b)</w:t>
      </w:r>
      <w:r w:rsidRPr="004303AB">
        <w:tab/>
        <w:t>a carriage service for data transmission;</w:t>
      </w:r>
    </w:p>
    <w:p w:rsidR="003925AB" w:rsidRPr="004303AB" w:rsidRDefault="003925AB" w:rsidP="003925AB">
      <w:pPr>
        <w:pStyle w:val="paragraph"/>
      </w:pPr>
      <w:r w:rsidRPr="004303AB">
        <w:tab/>
        <w:t>(c)</w:t>
      </w:r>
      <w:r w:rsidRPr="004303AB">
        <w:tab/>
        <w:t>a carriage service for tone signalling;</w:t>
      </w:r>
    </w:p>
    <w:p w:rsidR="003925AB" w:rsidRPr="004303AB" w:rsidRDefault="003925AB" w:rsidP="003925AB">
      <w:pPr>
        <w:pStyle w:val="paragraph"/>
      </w:pPr>
      <w:r w:rsidRPr="004303AB">
        <w:tab/>
        <w:t>(d)</w:t>
      </w:r>
      <w:r w:rsidRPr="004303AB">
        <w:tab/>
        <w:t>a carriage service for a live or recorded information service.</w:t>
      </w:r>
    </w:p>
    <w:p w:rsidR="003925AB" w:rsidRPr="004303AB" w:rsidRDefault="008D786C" w:rsidP="003925AB">
      <w:pPr>
        <w:pStyle w:val="ActHead5"/>
      </w:pPr>
      <w:bookmarkStart w:id="104" w:name="_Toc64297938"/>
      <w:r w:rsidRPr="00E34AC3">
        <w:rPr>
          <w:rStyle w:val="CharSectno"/>
        </w:rPr>
        <w:t>48</w:t>
      </w:r>
      <w:r w:rsidR="003925AB" w:rsidRPr="004303AB">
        <w:t xml:space="preserve">  Supply of specified kinds of ancillary goods</w:t>
      </w:r>
      <w:bookmarkEnd w:id="104"/>
    </w:p>
    <w:p w:rsidR="003925AB" w:rsidRPr="004303AB" w:rsidRDefault="003925AB" w:rsidP="003925AB">
      <w:pPr>
        <w:pStyle w:val="subsection"/>
      </w:pPr>
      <w:r w:rsidRPr="004303AB">
        <w:tab/>
      </w:r>
      <w:r w:rsidRPr="004303AB">
        <w:tab/>
        <w:t>For the purposes of paragraph 479(1)(c) of the Act, the following kinds of ancillary goods are specified:</w:t>
      </w:r>
    </w:p>
    <w:p w:rsidR="003925AB" w:rsidRPr="004303AB" w:rsidRDefault="003925AB" w:rsidP="003925AB">
      <w:pPr>
        <w:pStyle w:val="paragraph"/>
      </w:pPr>
      <w:r w:rsidRPr="004303AB">
        <w:tab/>
        <w:t>(a)</w:t>
      </w:r>
      <w:r w:rsidRPr="004303AB">
        <w:tab/>
        <w:t>goods for use in connection with a standard telephone service;</w:t>
      </w:r>
    </w:p>
    <w:p w:rsidR="003925AB" w:rsidRPr="004303AB" w:rsidRDefault="003925AB" w:rsidP="003925AB">
      <w:pPr>
        <w:pStyle w:val="paragraph"/>
      </w:pPr>
      <w:r w:rsidRPr="004303AB">
        <w:tab/>
        <w:t>(b)</w:t>
      </w:r>
      <w:r w:rsidRPr="004303AB">
        <w:tab/>
        <w:t xml:space="preserve">goods for use in connection with a carriage service of a kind specified in section </w:t>
      </w:r>
      <w:r w:rsidR="008D786C" w:rsidRPr="004303AB">
        <w:t>47</w:t>
      </w:r>
      <w:r w:rsidRPr="004303AB">
        <w:t xml:space="preserve"> of this instrument.</w:t>
      </w:r>
    </w:p>
    <w:p w:rsidR="003925AB" w:rsidRPr="004303AB" w:rsidRDefault="008D786C" w:rsidP="003925AB">
      <w:pPr>
        <w:pStyle w:val="ActHead5"/>
      </w:pPr>
      <w:bookmarkStart w:id="105" w:name="_Toc64297939"/>
      <w:r w:rsidRPr="00E34AC3">
        <w:rPr>
          <w:rStyle w:val="CharSectno"/>
        </w:rPr>
        <w:t>49</w:t>
      </w:r>
      <w:r w:rsidR="003925AB" w:rsidRPr="004303AB">
        <w:t xml:space="preserve">  Supply of specified kinds of ancillary services</w:t>
      </w:r>
      <w:bookmarkEnd w:id="105"/>
    </w:p>
    <w:p w:rsidR="003925AB" w:rsidRPr="004303AB" w:rsidRDefault="003925AB" w:rsidP="003925AB">
      <w:pPr>
        <w:pStyle w:val="subsection"/>
      </w:pPr>
      <w:r w:rsidRPr="004303AB">
        <w:tab/>
      </w:r>
      <w:r w:rsidRPr="004303AB">
        <w:tab/>
        <w:t>For the purposes of paragraph 479(1)(d) of the Act, the following kinds of ancillary services are specified:</w:t>
      </w:r>
    </w:p>
    <w:p w:rsidR="003925AB" w:rsidRPr="004303AB" w:rsidRDefault="003925AB" w:rsidP="003925AB">
      <w:pPr>
        <w:pStyle w:val="paragraph"/>
      </w:pPr>
      <w:r w:rsidRPr="004303AB">
        <w:tab/>
        <w:t>(a)</w:t>
      </w:r>
      <w:r w:rsidRPr="004303AB">
        <w:tab/>
        <w:t>a service for use in connection with a standard telephone service;</w:t>
      </w:r>
    </w:p>
    <w:p w:rsidR="003925AB" w:rsidRPr="004303AB" w:rsidRDefault="003925AB" w:rsidP="003925AB">
      <w:pPr>
        <w:pStyle w:val="paragraph"/>
      </w:pPr>
      <w:r w:rsidRPr="004303AB">
        <w:tab/>
        <w:t>(b)</w:t>
      </w:r>
      <w:r w:rsidRPr="004303AB">
        <w:tab/>
        <w:t xml:space="preserve">a service for use in connection with a carriage service of a kind specified in section </w:t>
      </w:r>
      <w:r w:rsidR="008D786C" w:rsidRPr="004303AB">
        <w:t>47</w:t>
      </w:r>
      <w:r w:rsidRPr="004303AB">
        <w:t xml:space="preserve"> of this instrument.</w:t>
      </w:r>
    </w:p>
    <w:p w:rsidR="003925AB" w:rsidRPr="004303AB" w:rsidRDefault="008836D6" w:rsidP="003925AB">
      <w:pPr>
        <w:pStyle w:val="ActHead2"/>
        <w:pageBreakBefore/>
      </w:pPr>
      <w:bookmarkStart w:id="106" w:name="_Toc64297940"/>
      <w:r w:rsidRPr="00E34AC3">
        <w:rPr>
          <w:rStyle w:val="CharPartNo"/>
        </w:rPr>
        <w:t>Part 6</w:t>
      </w:r>
      <w:r w:rsidR="003925AB" w:rsidRPr="004303AB">
        <w:t>—</w:t>
      </w:r>
      <w:r w:rsidR="003925AB" w:rsidRPr="00E34AC3">
        <w:rPr>
          <w:rStyle w:val="CharPartText"/>
        </w:rPr>
        <w:t>Carriers’ powers and immunities</w:t>
      </w:r>
      <w:bookmarkEnd w:id="106"/>
    </w:p>
    <w:p w:rsidR="003925AB" w:rsidRPr="00E34AC3" w:rsidRDefault="003925AB" w:rsidP="003925AB">
      <w:pPr>
        <w:pStyle w:val="Header"/>
      </w:pPr>
      <w:r w:rsidRPr="00E34AC3">
        <w:rPr>
          <w:rStyle w:val="CharDivNo"/>
        </w:rPr>
        <w:t xml:space="preserve"> </w:t>
      </w:r>
      <w:r w:rsidRPr="00E34AC3">
        <w:rPr>
          <w:rStyle w:val="CharDivText"/>
        </w:rPr>
        <w:t xml:space="preserve"> </w:t>
      </w:r>
    </w:p>
    <w:p w:rsidR="003925AB" w:rsidRPr="004303AB" w:rsidRDefault="008D786C" w:rsidP="003925AB">
      <w:pPr>
        <w:pStyle w:val="ActHead5"/>
      </w:pPr>
      <w:bookmarkStart w:id="107" w:name="_Toc64297941"/>
      <w:r w:rsidRPr="00E34AC3">
        <w:rPr>
          <w:rStyle w:val="CharSectno"/>
        </w:rPr>
        <w:t>50</w:t>
      </w:r>
      <w:r w:rsidR="003925AB" w:rsidRPr="004303AB">
        <w:t xml:space="preserve">  Listed international agreements</w:t>
      </w:r>
      <w:bookmarkEnd w:id="107"/>
    </w:p>
    <w:p w:rsidR="003925AB" w:rsidRPr="004303AB" w:rsidRDefault="003925AB" w:rsidP="003925AB">
      <w:pPr>
        <w:pStyle w:val="subsection"/>
      </w:pPr>
      <w:r w:rsidRPr="004303AB">
        <w:tab/>
      </w:r>
      <w:r w:rsidRPr="004303AB">
        <w:tab/>
        <w:t xml:space="preserve">For the purposes of the definition of </w:t>
      </w:r>
      <w:r w:rsidRPr="004303AB">
        <w:rPr>
          <w:b/>
          <w:i/>
        </w:rPr>
        <w:t>listed international agreement</w:t>
      </w:r>
      <w:r w:rsidRPr="004303AB">
        <w:t xml:space="preserve"> in clause 2 of Schedule 3 to the Act, the international agreements set out in the following table, as those agreements are in force for Australia at the commencement of this instrument</w:t>
      </w:r>
      <w:r w:rsidR="004D5BAC" w:rsidRPr="004303AB">
        <w:t xml:space="preserve">, </w:t>
      </w:r>
      <w:r w:rsidRPr="004303AB">
        <w:t>are specified:</w:t>
      </w:r>
    </w:p>
    <w:p w:rsidR="003925AB" w:rsidRPr="004303AB" w:rsidRDefault="003925AB" w:rsidP="003925AB">
      <w:pPr>
        <w:pStyle w:val="Tabletext"/>
      </w:pPr>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4394"/>
        <w:gridCol w:w="3261"/>
      </w:tblGrid>
      <w:tr w:rsidR="00FE0E4B" w:rsidRPr="004303AB" w:rsidTr="00FE0E4B">
        <w:trPr>
          <w:tblHeader/>
        </w:trPr>
        <w:tc>
          <w:tcPr>
            <w:tcW w:w="8364" w:type="dxa"/>
            <w:gridSpan w:val="3"/>
            <w:tcBorders>
              <w:top w:val="single" w:sz="12" w:space="0" w:color="auto"/>
              <w:bottom w:val="single" w:sz="6" w:space="0" w:color="auto"/>
            </w:tcBorders>
            <w:shd w:val="clear" w:color="auto" w:fill="auto"/>
          </w:tcPr>
          <w:p w:rsidR="00FE0E4B" w:rsidRPr="004303AB" w:rsidRDefault="00FE0E4B" w:rsidP="00285157">
            <w:pPr>
              <w:pStyle w:val="TableHeading"/>
            </w:pPr>
            <w:r w:rsidRPr="004303AB">
              <w:t>Listed international agreements</w:t>
            </w:r>
          </w:p>
        </w:tc>
      </w:tr>
      <w:tr w:rsidR="00FE0E4B" w:rsidRPr="004303AB" w:rsidTr="00FE0E4B">
        <w:trPr>
          <w:tblHeader/>
        </w:trPr>
        <w:tc>
          <w:tcPr>
            <w:tcW w:w="709" w:type="dxa"/>
            <w:tcBorders>
              <w:top w:val="single" w:sz="6" w:space="0" w:color="auto"/>
              <w:bottom w:val="single" w:sz="12" w:space="0" w:color="auto"/>
            </w:tcBorders>
            <w:shd w:val="clear" w:color="auto" w:fill="auto"/>
          </w:tcPr>
          <w:p w:rsidR="00FE0E4B" w:rsidRPr="004303AB" w:rsidRDefault="00FE0E4B" w:rsidP="00285157">
            <w:pPr>
              <w:pStyle w:val="TableHeading"/>
            </w:pPr>
            <w:r w:rsidRPr="004303AB">
              <w:t>Item</w:t>
            </w:r>
          </w:p>
        </w:tc>
        <w:tc>
          <w:tcPr>
            <w:tcW w:w="4394" w:type="dxa"/>
            <w:tcBorders>
              <w:top w:val="single" w:sz="6" w:space="0" w:color="auto"/>
              <w:bottom w:val="single" w:sz="12" w:space="0" w:color="auto"/>
            </w:tcBorders>
            <w:shd w:val="clear" w:color="auto" w:fill="auto"/>
          </w:tcPr>
          <w:p w:rsidR="00FE0E4B" w:rsidRPr="004303AB" w:rsidRDefault="00FE0E4B" w:rsidP="00285157">
            <w:pPr>
              <w:pStyle w:val="TableHeading"/>
            </w:pPr>
            <w:r w:rsidRPr="004303AB">
              <w:t>International agreement</w:t>
            </w:r>
          </w:p>
        </w:tc>
        <w:tc>
          <w:tcPr>
            <w:tcW w:w="3261" w:type="dxa"/>
            <w:tcBorders>
              <w:top w:val="single" w:sz="6" w:space="0" w:color="auto"/>
              <w:bottom w:val="single" w:sz="12" w:space="0" w:color="auto"/>
            </w:tcBorders>
            <w:shd w:val="clear" w:color="auto" w:fill="auto"/>
          </w:tcPr>
          <w:p w:rsidR="00FE0E4B" w:rsidRPr="004303AB" w:rsidRDefault="00FE0E4B" w:rsidP="00285157">
            <w:pPr>
              <w:pStyle w:val="TableHeading"/>
            </w:pPr>
            <w:r w:rsidRPr="004303AB">
              <w:t>Citation</w:t>
            </w:r>
          </w:p>
        </w:tc>
      </w:tr>
      <w:tr w:rsidR="00FE0E4B" w:rsidRPr="004303AB" w:rsidTr="00FE0E4B">
        <w:tc>
          <w:tcPr>
            <w:tcW w:w="709" w:type="dxa"/>
            <w:tcBorders>
              <w:top w:val="single" w:sz="12" w:space="0" w:color="auto"/>
            </w:tcBorders>
            <w:shd w:val="clear" w:color="auto" w:fill="auto"/>
          </w:tcPr>
          <w:p w:rsidR="00FE0E4B" w:rsidRPr="004303AB" w:rsidRDefault="00BA236B" w:rsidP="0046619B">
            <w:pPr>
              <w:pStyle w:val="Tabletext"/>
            </w:pPr>
            <w:r w:rsidRPr="004303AB">
              <w:t>1</w:t>
            </w:r>
          </w:p>
        </w:tc>
        <w:tc>
          <w:tcPr>
            <w:tcW w:w="4394" w:type="dxa"/>
            <w:tcBorders>
              <w:top w:val="single" w:sz="12" w:space="0" w:color="auto"/>
            </w:tcBorders>
            <w:shd w:val="clear" w:color="auto" w:fill="auto"/>
          </w:tcPr>
          <w:p w:rsidR="00FE0E4B" w:rsidRPr="004303AB" w:rsidRDefault="00FE0E4B" w:rsidP="0046619B">
            <w:pPr>
              <w:pStyle w:val="Tabletext"/>
            </w:pPr>
            <w:r w:rsidRPr="004303AB">
              <w:t>Plant Protection Agreement for the Asia and Pacific Region, done at Rome on 27 February 1956</w:t>
            </w:r>
          </w:p>
        </w:tc>
        <w:tc>
          <w:tcPr>
            <w:tcW w:w="3261" w:type="dxa"/>
            <w:tcBorders>
              <w:top w:val="single" w:sz="12" w:space="0" w:color="auto"/>
            </w:tcBorders>
            <w:shd w:val="clear" w:color="auto" w:fill="auto"/>
          </w:tcPr>
          <w:p w:rsidR="00FE0E4B" w:rsidRPr="004303AB" w:rsidRDefault="00FE0E4B" w:rsidP="0046619B">
            <w:pPr>
              <w:pStyle w:val="Tabletext"/>
            </w:pPr>
            <w:r w:rsidRPr="004303AB">
              <w:t>Australian Treaty Series</w:t>
            </w:r>
            <w:bookmarkStart w:id="108" w:name="BK_S3P28L11C25"/>
            <w:bookmarkEnd w:id="108"/>
            <w:r w:rsidRPr="004303AB">
              <w:t xml:space="preserve"> 1956 No. 11 ([1956] ATS 11)</w:t>
            </w:r>
          </w:p>
        </w:tc>
      </w:tr>
      <w:tr w:rsidR="00FE0E4B" w:rsidRPr="004303AB" w:rsidTr="00FE0E4B">
        <w:tc>
          <w:tcPr>
            <w:tcW w:w="709" w:type="dxa"/>
            <w:shd w:val="clear" w:color="auto" w:fill="auto"/>
          </w:tcPr>
          <w:p w:rsidR="00FE0E4B" w:rsidRPr="004303AB" w:rsidRDefault="00BA236B" w:rsidP="0046619B">
            <w:pPr>
              <w:pStyle w:val="Tabletext"/>
            </w:pPr>
            <w:r w:rsidRPr="004303AB">
              <w:t>2</w:t>
            </w:r>
          </w:p>
        </w:tc>
        <w:tc>
          <w:tcPr>
            <w:tcW w:w="4394" w:type="dxa"/>
            <w:shd w:val="clear" w:color="auto" w:fill="auto"/>
          </w:tcPr>
          <w:p w:rsidR="00FE0E4B" w:rsidRPr="004303AB" w:rsidRDefault="00FE0E4B" w:rsidP="0046619B">
            <w:pPr>
              <w:pStyle w:val="Tabletext"/>
            </w:pPr>
            <w:r w:rsidRPr="004303AB">
              <w:t>Convention</w:t>
            </w:r>
            <w:bookmarkStart w:id="109" w:name="BK_S3P28L13C11"/>
            <w:bookmarkEnd w:id="109"/>
            <w:r w:rsidRPr="004303AB">
              <w:t xml:space="preserve"> on Wetlands of International Importance especially as Waterfowl Habitat, done at Ramsar on 2 February 1971</w:t>
            </w:r>
          </w:p>
        </w:tc>
        <w:tc>
          <w:tcPr>
            <w:tcW w:w="3261" w:type="dxa"/>
            <w:shd w:val="clear" w:color="auto" w:fill="auto"/>
          </w:tcPr>
          <w:p w:rsidR="00FE0E4B" w:rsidRPr="004303AB" w:rsidRDefault="00FE0E4B" w:rsidP="0046619B">
            <w:pPr>
              <w:pStyle w:val="Tabletext"/>
            </w:pPr>
            <w:r w:rsidRPr="004303AB">
              <w:t>Australian Treaty Series 1975 No. 48 ([1975] ATS 48)</w:t>
            </w:r>
          </w:p>
        </w:tc>
      </w:tr>
      <w:tr w:rsidR="00FE0E4B" w:rsidRPr="004303AB" w:rsidTr="00FE0E4B">
        <w:tc>
          <w:tcPr>
            <w:tcW w:w="709" w:type="dxa"/>
            <w:shd w:val="clear" w:color="auto" w:fill="auto"/>
          </w:tcPr>
          <w:p w:rsidR="00FE0E4B" w:rsidRPr="004303AB" w:rsidRDefault="00BA236B" w:rsidP="0046619B">
            <w:pPr>
              <w:pStyle w:val="Tabletext"/>
            </w:pPr>
            <w:r w:rsidRPr="004303AB">
              <w:t>3</w:t>
            </w:r>
          </w:p>
        </w:tc>
        <w:tc>
          <w:tcPr>
            <w:tcW w:w="4394" w:type="dxa"/>
            <w:shd w:val="clear" w:color="auto" w:fill="auto"/>
          </w:tcPr>
          <w:p w:rsidR="00FE0E4B" w:rsidRPr="004303AB" w:rsidRDefault="00FE0E4B" w:rsidP="0046619B">
            <w:pPr>
              <w:pStyle w:val="Tabletext"/>
            </w:pPr>
            <w:r w:rsidRPr="004303AB">
              <w:t>Convention for the Protection of the World Cultural and Natural Heritage, done at Paris on 23 November 1972</w:t>
            </w:r>
          </w:p>
        </w:tc>
        <w:tc>
          <w:tcPr>
            <w:tcW w:w="3261" w:type="dxa"/>
            <w:shd w:val="clear" w:color="auto" w:fill="auto"/>
          </w:tcPr>
          <w:p w:rsidR="00FE0E4B" w:rsidRPr="004303AB" w:rsidRDefault="00FE0E4B" w:rsidP="0046619B">
            <w:pPr>
              <w:pStyle w:val="Tabletext"/>
            </w:pPr>
            <w:r w:rsidRPr="004303AB">
              <w:t xml:space="preserve"> Australian Treaty Series 1975 No. 47 ([1975] ATS 47)</w:t>
            </w:r>
          </w:p>
        </w:tc>
      </w:tr>
      <w:tr w:rsidR="00FE0E4B" w:rsidRPr="004303AB" w:rsidTr="00FE0E4B">
        <w:tc>
          <w:tcPr>
            <w:tcW w:w="709" w:type="dxa"/>
            <w:shd w:val="clear" w:color="auto" w:fill="auto"/>
          </w:tcPr>
          <w:p w:rsidR="00FE0E4B" w:rsidRPr="004303AB" w:rsidRDefault="00BA236B" w:rsidP="0046619B">
            <w:pPr>
              <w:pStyle w:val="Tabletext"/>
            </w:pPr>
            <w:r w:rsidRPr="004303AB">
              <w:t>4</w:t>
            </w:r>
          </w:p>
        </w:tc>
        <w:tc>
          <w:tcPr>
            <w:tcW w:w="4394" w:type="dxa"/>
            <w:shd w:val="clear" w:color="auto" w:fill="auto"/>
          </w:tcPr>
          <w:p w:rsidR="00FE0E4B" w:rsidRPr="004303AB" w:rsidRDefault="00FE0E4B" w:rsidP="0046619B">
            <w:pPr>
              <w:pStyle w:val="Tabletext"/>
            </w:pPr>
            <w:r w:rsidRPr="004303AB">
              <w:t>International Convention on the Prevention of Marine Pollution by Dumping of Wastes and Other Matter, done at London, Mexico City, Moscow and Washington on 29 December 1972</w:t>
            </w:r>
          </w:p>
        </w:tc>
        <w:tc>
          <w:tcPr>
            <w:tcW w:w="3261" w:type="dxa"/>
            <w:shd w:val="clear" w:color="auto" w:fill="auto"/>
          </w:tcPr>
          <w:p w:rsidR="00FE0E4B" w:rsidRPr="004303AB" w:rsidRDefault="00FE0E4B" w:rsidP="0046619B">
            <w:pPr>
              <w:pStyle w:val="Tabletext"/>
            </w:pPr>
            <w:r w:rsidRPr="004303AB">
              <w:t>Australian Treaty Series 1985 No. 16 ([1985] ATS 16)</w:t>
            </w:r>
          </w:p>
        </w:tc>
      </w:tr>
      <w:tr w:rsidR="00FE0E4B" w:rsidRPr="004303AB" w:rsidTr="00FE0E4B">
        <w:tc>
          <w:tcPr>
            <w:tcW w:w="709" w:type="dxa"/>
            <w:shd w:val="clear" w:color="auto" w:fill="auto"/>
          </w:tcPr>
          <w:p w:rsidR="00FE0E4B" w:rsidRPr="004303AB" w:rsidRDefault="00BA236B" w:rsidP="0046619B">
            <w:pPr>
              <w:pStyle w:val="Tabletext"/>
            </w:pPr>
            <w:r w:rsidRPr="004303AB">
              <w:t>5</w:t>
            </w:r>
          </w:p>
        </w:tc>
        <w:tc>
          <w:tcPr>
            <w:tcW w:w="4394" w:type="dxa"/>
            <w:shd w:val="clear" w:color="auto" w:fill="auto"/>
          </w:tcPr>
          <w:p w:rsidR="00FE0E4B" w:rsidRPr="004303AB" w:rsidRDefault="00FE0E4B" w:rsidP="0046619B">
            <w:pPr>
              <w:pStyle w:val="Tabletext"/>
            </w:pPr>
            <w:r w:rsidRPr="004303AB">
              <w:t>Convention on International Trade in Endangered Species of Wild Fauna and Flora, done at Washington on 3 March 1973</w:t>
            </w:r>
          </w:p>
        </w:tc>
        <w:tc>
          <w:tcPr>
            <w:tcW w:w="3261" w:type="dxa"/>
            <w:shd w:val="clear" w:color="auto" w:fill="auto"/>
          </w:tcPr>
          <w:p w:rsidR="00FE0E4B" w:rsidRPr="004303AB" w:rsidRDefault="00FE0E4B" w:rsidP="0046619B">
            <w:pPr>
              <w:pStyle w:val="Tabletext"/>
            </w:pPr>
            <w:r w:rsidRPr="004303AB">
              <w:t>Australian Treaty Series 1976 No. 29 ([1976] ATS 29)</w:t>
            </w:r>
          </w:p>
        </w:tc>
      </w:tr>
      <w:tr w:rsidR="00FE0E4B" w:rsidRPr="004303AB" w:rsidTr="00FE0E4B">
        <w:tc>
          <w:tcPr>
            <w:tcW w:w="709" w:type="dxa"/>
            <w:shd w:val="clear" w:color="auto" w:fill="auto"/>
          </w:tcPr>
          <w:p w:rsidR="00FE0E4B" w:rsidRPr="004303AB" w:rsidRDefault="00BA236B" w:rsidP="0046619B">
            <w:pPr>
              <w:pStyle w:val="Tabletext"/>
            </w:pPr>
            <w:r w:rsidRPr="004303AB">
              <w:t>6</w:t>
            </w:r>
          </w:p>
        </w:tc>
        <w:tc>
          <w:tcPr>
            <w:tcW w:w="4394" w:type="dxa"/>
            <w:shd w:val="clear" w:color="auto" w:fill="auto"/>
          </w:tcPr>
          <w:p w:rsidR="00FE0E4B" w:rsidRPr="004303AB" w:rsidRDefault="00FE0E4B" w:rsidP="0046619B">
            <w:pPr>
              <w:pStyle w:val="Tabletext"/>
            </w:pPr>
            <w:r w:rsidRPr="004303AB">
              <w:t>Agreement between the Government of Australia and the Government of Japan for the Protection of Migratory Birds in Danger of Extinction and their Environment, done at Tokyo on 6 February 1974</w:t>
            </w:r>
          </w:p>
        </w:tc>
        <w:tc>
          <w:tcPr>
            <w:tcW w:w="3261" w:type="dxa"/>
            <w:shd w:val="clear" w:color="auto" w:fill="auto"/>
          </w:tcPr>
          <w:p w:rsidR="00FE0E4B" w:rsidRPr="004303AB" w:rsidRDefault="00FE0E4B" w:rsidP="0046619B">
            <w:pPr>
              <w:pStyle w:val="Tabletext"/>
            </w:pPr>
            <w:r w:rsidRPr="004303AB">
              <w:t>Australian Treaty Series 1981 No. 6 ([1981] ATS 6)</w:t>
            </w:r>
          </w:p>
        </w:tc>
      </w:tr>
      <w:tr w:rsidR="00FE0E4B" w:rsidRPr="004303AB" w:rsidTr="00FE0E4B">
        <w:tc>
          <w:tcPr>
            <w:tcW w:w="709" w:type="dxa"/>
            <w:shd w:val="clear" w:color="auto" w:fill="auto"/>
          </w:tcPr>
          <w:p w:rsidR="00FE0E4B" w:rsidRPr="004303AB" w:rsidRDefault="00BA236B" w:rsidP="0046619B">
            <w:pPr>
              <w:pStyle w:val="Tabletext"/>
            </w:pPr>
            <w:r w:rsidRPr="004303AB">
              <w:t>7</w:t>
            </w:r>
          </w:p>
        </w:tc>
        <w:tc>
          <w:tcPr>
            <w:tcW w:w="4394" w:type="dxa"/>
            <w:shd w:val="clear" w:color="auto" w:fill="auto"/>
          </w:tcPr>
          <w:p w:rsidR="00FE0E4B" w:rsidRPr="004303AB" w:rsidRDefault="00FE0E4B" w:rsidP="0046619B">
            <w:pPr>
              <w:pStyle w:val="Tabletext"/>
            </w:pPr>
            <w:r w:rsidRPr="004303AB">
              <w:t>Convention on Conservation of Nature in the South Pacific, done at Apia on 12 June 1976</w:t>
            </w:r>
          </w:p>
        </w:tc>
        <w:tc>
          <w:tcPr>
            <w:tcW w:w="3261" w:type="dxa"/>
            <w:shd w:val="clear" w:color="auto" w:fill="auto"/>
          </w:tcPr>
          <w:p w:rsidR="00FE0E4B" w:rsidRPr="004303AB" w:rsidRDefault="00FE0E4B" w:rsidP="0046619B">
            <w:pPr>
              <w:pStyle w:val="Tabletext"/>
            </w:pPr>
            <w:r w:rsidRPr="004303AB">
              <w:t>Australian Treaty Series 1990 No. 41 ([1990] ATS 41)</w:t>
            </w:r>
          </w:p>
        </w:tc>
      </w:tr>
      <w:tr w:rsidR="00FE0E4B" w:rsidRPr="004303AB" w:rsidTr="00FE0E4B">
        <w:tc>
          <w:tcPr>
            <w:tcW w:w="709" w:type="dxa"/>
            <w:shd w:val="clear" w:color="auto" w:fill="auto"/>
          </w:tcPr>
          <w:p w:rsidR="00FE0E4B" w:rsidRPr="004303AB" w:rsidRDefault="00BA236B" w:rsidP="0046619B">
            <w:pPr>
              <w:pStyle w:val="Tabletext"/>
            </w:pPr>
            <w:r w:rsidRPr="004303AB">
              <w:t>8</w:t>
            </w:r>
          </w:p>
        </w:tc>
        <w:tc>
          <w:tcPr>
            <w:tcW w:w="4394" w:type="dxa"/>
            <w:shd w:val="clear" w:color="auto" w:fill="auto"/>
          </w:tcPr>
          <w:p w:rsidR="00FE0E4B" w:rsidRPr="004303AB" w:rsidRDefault="00FE0E4B" w:rsidP="0046619B">
            <w:pPr>
              <w:pStyle w:val="Tabletext"/>
            </w:pPr>
            <w:r w:rsidRPr="004303AB">
              <w:t>Convention on the Conservation of Migratory Species of Wild Animals, done at Bonn on 23 June 1979</w:t>
            </w:r>
          </w:p>
        </w:tc>
        <w:tc>
          <w:tcPr>
            <w:tcW w:w="3261" w:type="dxa"/>
            <w:shd w:val="clear" w:color="auto" w:fill="auto"/>
          </w:tcPr>
          <w:p w:rsidR="00FE0E4B" w:rsidRPr="004303AB" w:rsidRDefault="00FE0E4B" w:rsidP="0046619B">
            <w:pPr>
              <w:pStyle w:val="Tabletext"/>
            </w:pPr>
            <w:r w:rsidRPr="004303AB">
              <w:t>Australian Treaty Series 1991 No. 32 ([1991] ATS 32)</w:t>
            </w:r>
          </w:p>
        </w:tc>
      </w:tr>
      <w:tr w:rsidR="00FE0E4B" w:rsidRPr="004303AB" w:rsidTr="00FE0E4B">
        <w:tc>
          <w:tcPr>
            <w:tcW w:w="709" w:type="dxa"/>
            <w:shd w:val="clear" w:color="auto" w:fill="auto"/>
          </w:tcPr>
          <w:p w:rsidR="00FE0E4B" w:rsidRPr="004303AB" w:rsidRDefault="00BA236B" w:rsidP="0046619B">
            <w:pPr>
              <w:pStyle w:val="Tabletext"/>
            </w:pPr>
            <w:r w:rsidRPr="004303AB">
              <w:t>9</w:t>
            </w:r>
          </w:p>
        </w:tc>
        <w:tc>
          <w:tcPr>
            <w:tcW w:w="4394" w:type="dxa"/>
            <w:shd w:val="clear" w:color="auto" w:fill="auto"/>
          </w:tcPr>
          <w:p w:rsidR="00FE0E4B" w:rsidRPr="004303AB" w:rsidRDefault="00FE0E4B" w:rsidP="0046619B">
            <w:pPr>
              <w:pStyle w:val="Tabletext"/>
            </w:pPr>
            <w:r w:rsidRPr="004303AB">
              <w:t>Treaty</w:t>
            </w:r>
            <w:bookmarkStart w:id="110" w:name="BK_S3P28L35C7"/>
            <w:bookmarkEnd w:id="110"/>
            <w:r w:rsidRPr="004303AB">
              <w:t xml:space="preserve"> between Australia and the Independent State of Papua New Guinea concerning Sovereignty and Maritime Boundaries in the area between the two </w:t>
            </w:r>
            <w:bookmarkStart w:id="111" w:name="BK_S3P28L38C1"/>
            <w:bookmarkEnd w:id="111"/>
            <w:r w:rsidRPr="004303AB">
              <w:t>Countries, including the area known as Torres Strait, and Related Matters, done at Sydney on 18 December 1978</w:t>
            </w:r>
          </w:p>
        </w:tc>
        <w:tc>
          <w:tcPr>
            <w:tcW w:w="3261" w:type="dxa"/>
            <w:shd w:val="clear" w:color="auto" w:fill="auto"/>
          </w:tcPr>
          <w:p w:rsidR="00FE0E4B" w:rsidRPr="004303AB" w:rsidRDefault="00FE0E4B" w:rsidP="0046619B">
            <w:pPr>
              <w:pStyle w:val="Tabletext"/>
            </w:pPr>
            <w:r w:rsidRPr="004303AB">
              <w:t>Australian Treaty Series 1985 No. 4 ([1985] ATS 4)</w:t>
            </w:r>
          </w:p>
        </w:tc>
      </w:tr>
      <w:tr w:rsidR="00FE0E4B" w:rsidRPr="004303AB" w:rsidTr="00FE0E4B">
        <w:tc>
          <w:tcPr>
            <w:tcW w:w="709" w:type="dxa"/>
            <w:shd w:val="clear" w:color="auto" w:fill="auto"/>
          </w:tcPr>
          <w:p w:rsidR="00FE0E4B" w:rsidRPr="004303AB" w:rsidRDefault="00BA236B" w:rsidP="0046619B">
            <w:pPr>
              <w:pStyle w:val="Tabletext"/>
            </w:pPr>
            <w:r w:rsidRPr="004303AB">
              <w:t>10</w:t>
            </w:r>
          </w:p>
        </w:tc>
        <w:tc>
          <w:tcPr>
            <w:tcW w:w="4394" w:type="dxa"/>
            <w:shd w:val="clear" w:color="auto" w:fill="auto"/>
          </w:tcPr>
          <w:p w:rsidR="00FE0E4B" w:rsidRPr="004303AB" w:rsidRDefault="00FE0E4B" w:rsidP="0046619B">
            <w:pPr>
              <w:pStyle w:val="Tabletext"/>
            </w:pPr>
            <w:r w:rsidRPr="004303AB">
              <w:t>International Plant Protection Convention, done at Rome on 6 December 1951</w:t>
            </w:r>
          </w:p>
        </w:tc>
        <w:tc>
          <w:tcPr>
            <w:tcW w:w="3261" w:type="dxa"/>
            <w:shd w:val="clear" w:color="auto" w:fill="auto"/>
          </w:tcPr>
          <w:p w:rsidR="00FE0E4B" w:rsidRPr="004303AB" w:rsidRDefault="00FE0E4B" w:rsidP="0046619B">
            <w:pPr>
              <w:pStyle w:val="Tabletext"/>
            </w:pPr>
            <w:r w:rsidRPr="004303AB">
              <w:t>Australian Treaty Series 1952 No. 5 ([1952] ATS 5)</w:t>
            </w:r>
          </w:p>
        </w:tc>
      </w:tr>
      <w:tr w:rsidR="00FE0E4B" w:rsidRPr="004303AB" w:rsidTr="00FE0E4B">
        <w:tc>
          <w:tcPr>
            <w:tcW w:w="709" w:type="dxa"/>
            <w:shd w:val="clear" w:color="auto" w:fill="auto"/>
          </w:tcPr>
          <w:p w:rsidR="00FE0E4B" w:rsidRPr="004303AB" w:rsidRDefault="00BA236B" w:rsidP="0046619B">
            <w:pPr>
              <w:pStyle w:val="Tabletext"/>
            </w:pPr>
            <w:r w:rsidRPr="004303AB">
              <w:t>11</w:t>
            </w:r>
          </w:p>
        </w:tc>
        <w:tc>
          <w:tcPr>
            <w:tcW w:w="4394" w:type="dxa"/>
            <w:shd w:val="clear" w:color="auto" w:fill="auto"/>
          </w:tcPr>
          <w:p w:rsidR="00FE0E4B" w:rsidRPr="004303AB" w:rsidRDefault="00FE0E4B" w:rsidP="0046619B">
            <w:pPr>
              <w:pStyle w:val="Tabletext"/>
            </w:pPr>
            <w:r w:rsidRPr="004303AB">
              <w:t>United Nations Convention on the Law of the Sea, done at Montego Bay on 10 December 1982</w:t>
            </w:r>
          </w:p>
        </w:tc>
        <w:tc>
          <w:tcPr>
            <w:tcW w:w="3261" w:type="dxa"/>
            <w:shd w:val="clear" w:color="auto" w:fill="auto"/>
          </w:tcPr>
          <w:p w:rsidR="00FE0E4B" w:rsidRPr="004303AB" w:rsidRDefault="00FE0E4B" w:rsidP="0046619B">
            <w:pPr>
              <w:pStyle w:val="Tabletext"/>
            </w:pPr>
            <w:r w:rsidRPr="004303AB">
              <w:t>Australian Treaty Series 1994 No. 31 ([1994] ATS 31)</w:t>
            </w:r>
          </w:p>
        </w:tc>
      </w:tr>
      <w:tr w:rsidR="00FE0E4B" w:rsidRPr="004303AB" w:rsidTr="00FE0E4B">
        <w:tc>
          <w:tcPr>
            <w:tcW w:w="709" w:type="dxa"/>
            <w:shd w:val="clear" w:color="auto" w:fill="auto"/>
          </w:tcPr>
          <w:p w:rsidR="00FE0E4B" w:rsidRPr="004303AB" w:rsidRDefault="00BA236B" w:rsidP="0046619B">
            <w:pPr>
              <w:pStyle w:val="Tabletext"/>
            </w:pPr>
            <w:r w:rsidRPr="004303AB">
              <w:t>12</w:t>
            </w:r>
          </w:p>
        </w:tc>
        <w:tc>
          <w:tcPr>
            <w:tcW w:w="4394" w:type="dxa"/>
            <w:shd w:val="clear" w:color="auto" w:fill="auto"/>
          </w:tcPr>
          <w:p w:rsidR="00FE0E4B" w:rsidRPr="004303AB" w:rsidRDefault="00FE0E4B" w:rsidP="0046619B">
            <w:pPr>
              <w:pStyle w:val="Tabletext"/>
            </w:pPr>
            <w:r w:rsidRPr="004303AB">
              <w:t xml:space="preserve">Vienna Convention for the Protection of the Ozone Layer, done at </w:t>
            </w:r>
            <w:r w:rsidRPr="004303AB">
              <w:rPr>
                <w:bCs/>
              </w:rPr>
              <w:t>Vienna on 22 March 1985</w:t>
            </w:r>
          </w:p>
        </w:tc>
        <w:tc>
          <w:tcPr>
            <w:tcW w:w="3261" w:type="dxa"/>
            <w:shd w:val="clear" w:color="auto" w:fill="auto"/>
          </w:tcPr>
          <w:p w:rsidR="00FE0E4B" w:rsidRPr="004303AB" w:rsidRDefault="00FE0E4B" w:rsidP="0046619B">
            <w:pPr>
              <w:pStyle w:val="Tabletext"/>
            </w:pPr>
            <w:r w:rsidRPr="004303AB">
              <w:t>Australian Treaty Series 1988 No. 26 ([1988] ATS 26)</w:t>
            </w:r>
          </w:p>
        </w:tc>
      </w:tr>
      <w:tr w:rsidR="00FE0E4B" w:rsidRPr="004303AB" w:rsidTr="00FE0E4B">
        <w:tc>
          <w:tcPr>
            <w:tcW w:w="709" w:type="dxa"/>
            <w:shd w:val="clear" w:color="auto" w:fill="auto"/>
          </w:tcPr>
          <w:p w:rsidR="00FE0E4B" w:rsidRPr="004303AB" w:rsidRDefault="00BA236B" w:rsidP="0046619B">
            <w:pPr>
              <w:pStyle w:val="Tabletext"/>
            </w:pPr>
            <w:r w:rsidRPr="004303AB">
              <w:t>13</w:t>
            </w:r>
          </w:p>
        </w:tc>
        <w:tc>
          <w:tcPr>
            <w:tcW w:w="4394" w:type="dxa"/>
            <w:shd w:val="clear" w:color="auto" w:fill="auto"/>
          </w:tcPr>
          <w:p w:rsidR="00FE0E4B" w:rsidRPr="004303AB" w:rsidRDefault="00FE0E4B" w:rsidP="0046619B">
            <w:pPr>
              <w:pStyle w:val="Tabletext"/>
            </w:pPr>
            <w:r w:rsidRPr="004303AB">
              <w:t>Agreement between the Government of Australia and the Government of the People’s Republic of China for the Protection of Migratory Birds and their Environment, done at Canberra on 20 October 1986</w:t>
            </w:r>
          </w:p>
        </w:tc>
        <w:tc>
          <w:tcPr>
            <w:tcW w:w="3261" w:type="dxa"/>
            <w:shd w:val="clear" w:color="auto" w:fill="auto"/>
          </w:tcPr>
          <w:p w:rsidR="00FE0E4B" w:rsidRPr="004303AB" w:rsidRDefault="00FE0E4B" w:rsidP="0046619B">
            <w:pPr>
              <w:pStyle w:val="Tabletext"/>
            </w:pPr>
            <w:r w:rsidRPr="004303AB">
              <w:t>Australian Treaty Series 1988 No. 22 ([1988] ATS 22)</w:t>
            </w:r>
          </w:p>
        </w:tc>
      </w:tr>
      <w:tr w:rsidR="00FE0E4B" w:rsidRPr="004303AB" w:rsidTr="00FE0E4B">
        <w:tc>
          <w:tcPr>
            <w:tcW w:w="709" w:type="dxa"/>
            <w:shd w:val="clear" w:color="auto" w:fill="auto"/>
          </w:tcPr>
          <w:p w:rsidR="00FE0E4B" w:rsidRPr="004303AB" w:rsidRDefault="00BA236B" w:rsidP="0046619B">
            <w:pPr>
              <w:pStyle w:val="Tabletext"/>
            </w:pPr>
            <w:r w:rsidRPr="004303AB">
              <w:t>14</w:t>
            </w:r>
          </w:p>
        </w:tc>
        <w:tc>
          <w:tcPr>
            <w:tcW w:w="4394" w:type="dxa"/>
            <w:shd w:val="clear" w:color="auto" w:fill="auto"/>
          </w:tcPr>
          <w:p w:rsidR="00FE0E4B" w:rsidRPr="004303AB" w:rsidRDefault="00FE0E4B" w:rsidP="0046619B">
            <w:pPr>
              <w:pStyle w:val="Tabletext"/>
            </w:pPr>
            <w:r w:rsidRPr="004303AB">
              <w:t>Convention for the Protection of the Natural Resources and Environment of the South Pacific Region, done at Noumea on 24 November 1986</w:t>
            </w:r>
          </w:p>
        </w:tc>
        <w:tc>
          <w:tcPr>
            <w:tcW w:w="3261" w:type="dxa"/>
            <w:shd w:val="clear" w:color="auto" w:fill="auto"/>
          </w:tcPr>
          <w:p w:rsidR="00FE0E4B" w:rsidRPr="004303AB" w:rsidRDefault="00FE0E4B" w:rsidP="0046619B">
            <w:pPr>
              <w:pStyle w:val="Tabletext"/>
            </w:pPr>
            <w:r w:rsidRPr="004303AB">
              <w:t>Australian Treaty Series 1990 No. 31 ([1990] ATS 31)</w:t>
            </w:r>
          </w:p>
        </w:tc>
      </w:tr>
      <w:tr w:rsidR="00FE0E4B" w:rsidRPr="004303AB" w:rsidTr="00FE0E4B">
        <w:tc>
          <w:tcPr>
            <w:tcW w:w="709" w:type="dxa"/>
            <w:shd w:val="clear" w:color="auto" w:fill="auto"/>
          </w:tcPr>
          <w:p w:rsidR="00FE0E4B" w:rsidRPr="004303AB" w:rsidRDefault="00BA236B" w:rsidP="0046619B">
            <w:pPr>
              <w:pStyle w:val="Tabletext"/>
            </w:pPr>
            <w:r w:rsidRPr="004303AB">
              <w:t>15</w:t>
            </w:r>
          </w:p>
        </w:tc>
        <w:tc>
          <w:tcPr>
            <w:tcW w:w="4394" w:type="dxa"/>
            <w:shd w:val="clear" w:color="auto" w:fill="auto"/>
          </w:tcPr>
          <w:p w:rsidR="00FE0E4B" w:rsidRPr="004303AB" w:rsidRDefault="00FE0E4B" w:rsidP="0046619B">
            <w:pPr>
              <w:pStyle w:val="Tabletext"/>
            </w:pPr>
            <w:r w:rsidRPr="004303AB">
              <w:t>Montreal Protocol on Substances that Deplete the Ozone Layer, done at Montreal on 16 September 1987</w:t>
            </w:r>
          </w:p>
        </w:tc>
        <w:tc>
          <w:tcPr>
            <w:tcW w:w="3261" w:type="dxa"/>
            <w:shd w:val="clear" w:color="auto" w:fill="auto"/>
          </w:tcPr>
          <w:p w:rsidR="00FE0E4B" w:rsidRPr="004303AB" w:rsidRDefault="00FE0E4B" w:rsidP="0046619B">
            <w:pPr>
              <w:pStyle w:val="Tabletext"/>
            </w:pPr>
            <w:r w:rsidRPr="004303AB">
              <w:t>Australian Treaty Series 1989 No. 18 ([1989] ATS 18)</w:t>
            </w:r>
          </w:p>
        </w:tc>
      </w:tr>
      <w:tr w:rsidR="00FE0E4B" w:rsidRPr="004303AB" w:rsidTr="00FE0E4B">
        <w:tc>
          <w:tcPr>
            <w:tcW w:w="709" w:type="dxa"/>
            <w:shd w:val="clear" w:color="auto" w:fill="auto"/>
          </w:tcPr>
          <w:p w:rsidR="00FE0E4B" w:rsidRPr="004303AB" w:rsidRDefault="00BA236B" w:rsidP="0046619B">
            <w:pPr>
              <w:pStyle w:val="Tabletext"/>
            </w:pPr>
            <w:r w:rsidRPr="004303AB">
              <w:t>16</w:t>
            </w:r>
          </w:p>
        </w:tc>
        <w:tc>
          <w:tcPr>
            <w:tcW w:w="4394" w:type="dxa"/>
            <w:shd w:val="clear" w:color="auto" w:fill="auto"/>
          </w:tcPr>
          <w:p w:rsidR="00FE0E4B" w:rsidRPr="004303AB" w:rsidRDefault="00FE0E4B" w:rsidP="0046619B">
            <w:pPr>
              <w:pStyle w:val="Tabletext"/>
            </w:pPr>
            <w:r w:rsidRPr="004303AB">
              <w:t xml:space="preserve">Basel Convention on the Control of Transboundary Movements of Hazardous Wastes and their Disposal, done at </w:t>
            </w:r>
            <w:r w:rsidRPr="004303AB">
              <w:rPr>
                <w:bCs/>
              </w:rPr>
              <w:t>Basel on 22 March 1989</w:t>
            </w:r>
          </w:p>
        </w:tc>
        <w:tc>
          <w:tcPr>
            <w:tcW w:w="3261" w:type="dxa"/>
            <w:shd w:val="clear" w:color="auto" w:fill="auto"/>
          </w:tcPr>
          <w:p w:rsidR="00FE0E4B" w:rsidRPr="004303AB" w:rsidRDefault="00FE0E4B" w:rsidP="0046619B">
            <w:pPr>
              <w:pStyle w:val="Tabletext"/>
            </w:pPr>
            <w:r w:rsidRPr="004303AB">
              <w:t>Australian Treaty Series 1992 No. 7 ([1992] ATS 7)</w:t>
            </w:r>
          </w:p>
        </w:tc>
      </w:tr>
      <w:tr w:rsidR="00FE0E4B" w:rsidRPr="004303AB" w:rsidTr="00FE0E4B">
        <w:tc>
          <w:tcPr>
            <w:tcW w:w="709" w:type="dxa"/>
            <w:shd w:val="clear" w:color="auto" w:fill="auto"/>
          </w:tcPr>
          <w:p w:rsidR="00FE0E4B" w:rsidRPr="004303AB" w:rsidRDefault="00BA236B" w:rsidP="0046619B">
            <w:pPr>
              <w:pStyle w:val="Tabletext"/>
            </w:pPr>
            <w:r w:rsidRPr="004303AB">
              <w:t>17</w:t>
            </w:r>
          </w:p>
        </w:tc>
        <w:tc>
          <w:tcPr>
            <w:tcW w:w="4394" w:type="dxa"/>
            <w:shd w:val="clear" w:color="auto" w:fill="auto"/>
          </w:tcPr>
          <w:p w:rsidR="00FE0E4B" w:rsidRPr="004303AB" w:rsidRDefault="00FE0E4B" w:rsidP="0046619B">
            <w:pPr>
              <w:pStyle w:val="Tabletext"/>
            </w:pPr>
            <w:r w:rsidRPr="004303AB">
              <w:t>Agreement between the Government of Australia and the Government of the Union of Soviet Socialist Republics on Cooperation in the Field of Protection and Enhancement of the Environment, done at Canberra on 15 February 1990</w:t>
            </w:r>
          </w:p>
        </w:tc>
        <w:tc>
          <w:tcPr>
            <w:tcW w:w="3261" w:type="dxa"/>
            <w:shd w:val="clear" w:color="auto" w:fill="auto"/>
          </w:tcPr>
          <w:p w:rsidR="00FE0E4B" w:rsidRPr="004303AB" w:rsidRDefault="00FE0E4B" w:rsidP="0046619B">
            <w:pPr>
              <w:pStyle w:val="Tabletext"/>
            </w:pPr>
            <w:r w:rsidRPr="004303AB">
              <w:t>Australian Treaty Series 1990 No. 10 ([1990] ATS 10)</w:t>
            </w:r>
          </w:p>
        </w:tc>
      </w:tr>
      <w:tr w:rsidR="00FE0E4B" w:rsidRPr="004303AB" w:rsidTr="00FE0E4B">
        <w:tc>
          <w:tcPr>
            <w:tcW w:w="709" w:type="dxa"/>
            <w:shd w:val="clear" w:color="auto" w:fill="auto"/>
          </w:tcPr>
          <w:p w:rsidR="00FE0E4B" w:rsidRPr="004303AB" w:rsidRDefault="00BA236B" w:rsidP="0046619B">
            <w:pPr>
              <w:pStyle w:val="Tabletext"/>
            </w:pPr>
            <w:r w:rsidRPr="004303AB">
              <w:t>18</w:t>
            </w:r>
          </w:p>
        </w:tc>
        <w:tc>
          <w:tcPr>
            <w:tcW w:w="4394" w:type="dxa"/>
            <w:shd w:val="clear" w:color="auto" w:fill="auto"/>
          </w:tcPr>
          <w:p w:rsidR="00FE0E4B" w:rsidRPr="004303AB" w:rsidRDefault="00FE0E4B" w:rsidP="0046619B">
            <w:pPr>
              <w:pStyle w:val="Tabletext"/>
            </w:pPr>
            <w:r w:rsidRPr="004303AB">
              <w:t xml:space="preserve">United Nations Framework Convention on Climate Change, done at </w:t>
            </w:r>
            <w:r w:rsidRPr="004303AB">
              <w:rPr>
                <w:bCs/>
              </w:rPr>
              <w:t>New York on 9 May 1992</w:t>
            </w:r>
          </w:p>
        </w:tc>
        <w:tc>
          <w:tcPr>
            <w:tcW w:w="3261" w:type="dxa"/>
            <w:shd w:val="clear" w:color="auto" w:fill="auto"/>
          </w:tcPr>
          <w:p w:rsidR="00FE0E4B" w:rsidRPr="004303AB" w:rsidRDefault="00FE0E4B" w:rsidP="0046619B">
            <w:pPr>
              <w:pStyle w:val="Tabletext"/>
            </w:pPr>
            <w:r w:rsidRPr="004303AB">
              <w:t>Australian Treaty Series 1994 No. 2 ([1994] ATS 2)</w:t>
            </w:r>
          </w:p>
        </w:tc>
      </w:tr>
      <w:tr w:rsidR="00FE0E4B" w:rsidRPr="004303AB" w:rsidTr="00FE0E4B">
        <w:tc>
          <w:tcPr>
            <w:tcW w:w="709" w:type="dxa"/>
            <w:shd w:val="clear" w:color="auto" w:fill="auto"/>
          </w:tcPr>
          <w:p w:rsidR="00FE0E4B" w:rsidRPr="004303AB" w:rsidRDefault="00BA236B" w:rsidP="0046619B">
            <w:pPr>
              <w:pStyle w:val="Tabletext"/>
            </w:pPr>
            <w:r w:rsidRPr="004303AB">
              <w:t>19</w:t>
            </w:r>
          </w:p>
        </w:tc>
        <w:tc>
          <w:tcPr>
            <w:tcW w:w="4394" w:type="dxa"/>
            <w:shd w:val="clear" w:color="auto" w:fill="auto"/>
          </w:tcPr>
          <w:p w:rsidR="00FE0E4B" w:rsidRPr="004303AB" w:rsidRDefault="00FE0E4B" w:rsidP="0046619B">
            <w:pPr>
              <w:pStyle w:val="Tabletext"/>
            </w:pPr>
            <w:r w:rsidRPr="004303AB">
              <w:t>Convention on Biological Diversity, done at Rio de Janeiro on 5 June 1992</w:t>
            </w:r>
          </w:p>
        </w:tc>
        <w:tc>
          <w:tcPr>
            <w:tcW w:w="3261" w:type="dxa"/>
            <w:shd w:val="clear" w:color="auto" w:fill="auto"/>
          </w:tcPr>
          <w:p w:rsidR="00FE0E4B" w:rsidRPr="004303AB" w:rsidRDefault="00FE0E4B" w:rsidP="0046619B">
            <w:pPr>
              <w:pStyle w:val="Tabletext"/>
            </w:pPr>
            <w:r w:rsidRPr="004303AB">
              <w:t>Australian Treaty Series 1993 No. 32 ([1993] ATS 32)</w:t>
            </w:r>
          </w:p>
        </w:tc>
      </w:tr>
      <w:tr w:rsidR="00FE0E4B" w:rsidRPr="004303AB" w:rsidTr="00FE0E4B">
        <w:tc>
          <w:tcPr>
            <w:tcW w:w="709" w:type="dxa"/>
            <w:tcBorders>
              <w:bottom w:val="single" w:sz="2" w:space="0" w:color="auto"/>
            </w:tcBorders>
            <w:shd w:val="clear" w:color="auto" w:fill="auto"/>
          </w:tcPr>
          <w:p w:rsidR="00FE0E4B" w:rsidRPr="004303AB" w:rsidRDefault="00BA236B" w:rsidP="0046619B">
            <w:pPr>
              <w:pStyle w:val="Tabletext"/>
            </w:pPr>
            <w:r w:rsidRPr="004303AB">
              <w:t>20</w:t>
            </w:r>
          </w:p>
        </w:tc>
        <w:tc>
          <w:tcPr>
            <w:tcW w:w="4394" w:type="dxa"/>
            <w:tcBorders>
              <w:bottom w:val="single" w:sz="2" w:space="0" w:color="auto"/>
            </w:tcBorders>
            <w:shd w:val="clear" w:color="auto" w:fill="auto"/>
          </w:tcPr>
          <w:p w:rsidR="00FE0E4B" w:rsidRPr="004303AB" w:rsidRDefault="00FE0E4B" w:rsidP="0046619B">
            <w:pPr>
              <w:pStyle w:val="Tabletext"/>
            </w:pPr>
            <w:r w:rsidRPr="004303AB">
              <w:t xml:space="preserve">Agreement relating to the Implementation of Part XI of the United Nations Convention on the Law of the Sea of 10 December 1982, done at </w:t>
            </w:r>
            <w:r w:rsidRPr="004303AB">
              <w:rPr>
                <w:bCs/>
              </w:rPr>
              <w:t>New York on 28 July 1994</w:t>
            </w:r>
          </w:p>
        </w:tc>
        <w:tc>
          <w:tcPr>
            <w:tcW w:w="3261" w:type="dxa"/>
            <w:tcBorders>
              <w:bottom w:val="single" w:sz="2" w:space="0" w:color="auto"/>
            </w:tcBorders>
            <w:shd w:val="clear" w:color="auto" w:fill="auto"/>
          </w:tcPr>
          <w:p w:rsidR="00FE0E4B" w:rsidRPr="004303AB" w:rsidRDefault="00FE0E4B" w:rsidP="0046619B">
            <w:pPr>
              <w:pStyle w:val="Tabletext"/>
            </w:pPr>
            <w:r w:rsidRPr="004303AB">
              <w:t>Australian Treaty Series 1994 No. 32 ([1994] ATS 32)</w:t>
            </w:r>
          </w:p>
        </w:tc>
      </w:tr>
      <w:tr w:rsidR="00FE0E4B" w:rsidRPr="004303AB" w:rsidTr="00FE0E4B">
        <w:tc>
          <w:tcPr>
            <w:tcW w:w="709" w:type="dxa"/>
            <w:tcBorders>
              <w:top w:val="single" w:sz="2" w:space="0" w:color="auto"/>
              <w:bottom w:val="single" w:sz="12" w:space="0" w:color="auto"/>
            </w:tcBorders>
            <w:shd w:val="clear" w:color="auto" w:fill="auto"/>
          </w:tcPr>
          <w:p w:rsidR="00FE0E4B" w:rsidRPr="004303AB" w:rsidRDefault="00BA236B" w:rsidP="0046619B">
            <w:pPr>
              <w:pStyle w:val="Tabletext"/>
            </w:pPr>
            <w:r w:rsidRPr="004303AB">
              <w:t>21</w:t>
            </w:r>
          </w:p>
        </w:tc>
        <w:tc>
          <w:tcPr>
            <w:tcW w:w="4394" w:type="dxa"/>
            <w:tcBorders>
              <w:top w:val="single" w:sz="2" w:space="0" w:color="auto"/>
              <w:bottom w:val="single" w:sz="12" w:space="0" w:color="auto"/>
            </w:tcBorders>
            <w:shd w:val="clear" w:color="auto" w:fill="auto"/>
          </w:tcPr>
          <w:p w:rsidR="00FE0E4B" w:rsidRPr="004303AB" w:rsidRDefault="00FE0E4B" w:rsidP="009B0C39">
            <w:pPr>
              <w:pStyle w:val="Tabletext"/>
            </w:pPr>
            <w:r w:rsidRPr="004303AB">
              <w:t>Treaty between Australia and the Democratic Republic of Timor</w:t>
            </w:r>
            <w:r w:rsidR="004303AB">
              <w:noBreakHyphen/>
            </w:r>
            <w:r w:rsidRPr="004303AB">
              <w:t xml:space="preserve">Leste Establishing </w:t>
            </w:r>
            <w:r w:rsidR="009B0C39" w:rsidRPr="004303AB">
              <w:t>T</w:t>
            </w:r>
            <w:r w:rsidRPr="004303AB">
              <w:t>heir Maritime Boundaries in the Timor Sea, done at New York on 6 March 2018</w:t>
            </w:r>
          </w:p>
        </w:tc>
        <w:tc>
          <w:tcPr>
            <w:tcW w:w="3261" w:type="dxa"/>
            <w:tcBorders>
              <w:top w:val="single" w:sz="2" w:space="0" w:color="auto"/>
              <w:bottom w:val="single" w:sz="12" w:space="0" w:color="auto"/>
            </w:tcBorders>
            <w:shd w:val="clear" w:color="auto" w:fill="auto"/>
          </w:tcPr>
          <w:p w:rsidR="00FE0E4B" w:rsidRPr="004303AB" w:rsidRDefault="00FE0E4B" w:rsidP="009B01E4">
            <w:pPr>
              <w:pStyle w:val="Tabletext"/>
            </w:pPr>
            <w:r w:rsidRPr="004303AB">
              <w:t>Australian Treaty Series 2019 No. 16 ([2019] ATS 16)</w:t>
            </w:r>
          </w:p>
        </w:tc>
      </w:tr>
    </w:tbl>
    <w:p w:rsidR="003925AB" w:rsidRPr="004303AB" w:rsidRDefault="003925AB" w:rsidP="003925AB">
      <w:pPr>
        <w:pStyle w:val="Tabletext"/>
      </w:pPr>
    </w:p>
    <w:p w:rsidR="003925AB" w:rsidRPr="004303AB" w:rsidRDefault="003925AB" w:rsidP="003925AB">
      <w:pPr>
        <w:pStyle w:val="notetext"/>
      </w:pPr>
      <w:r w:rsidRPr="004303AB">
        <w:t>Note</w:t>
      </w:r>
      <w:r w:rsidR="00E07A27" w:rsidRPr="004303AB">
        <w:t xml:space="preserve"> 1</w:t>
      </w:r>
      <w:r w:rsidRPr="004303AB">
        <w:t>:</w:t>
      </w:r>
      <w:r w:rsidRPr="004303AB">
        <w:tab/>
        <w:t xml:space="preserve">The international agreements specified in the table could in </w:t>
      </w:r>
      <w:r w:rsidR="009B01E4" w:rsidRPr="004303AB">
        <w:t>2021</w:t>
      </w:r>
      <w:r w:rsidRPr="004303AB">
        <w:t xml:space="preserve"> be viewed in the Australian Treaties Library on the AustLII website (http://www.austlii.edu.au).</w:t>
      </w:r>
    </w:p>
    <w:p w:rsidR="00E07A27" w:rsidRPr="004303AB" w:rsidRDefault="00E07A27" w:rsidP="003925AB">
      <w:pPr>
        <w:pStyle w:val="notetext"/>
      </w:pPr>
      <w:r w:rsidRPr="004303AB">
        <w:t>Note 2:</w:t>
      </w:r>
      <w:r w:rsidRPr="004303AB">
        <w:tab/>
        <w:t xml:space="preserve">The international agreement specified in </w:t>
      </w:r>
      <w:r w:rsidR="00426B90" w:rsidRPr="004303AB">
        <w:t>item 1</w:t>
      </w:r>
      <w:r w:rsidRPr="004303AB">
        <w:t xml:space="preserve"> </w:t>
      </w:r>
      <w:r w:rsidR="002D2B39" w:rsidRPr="004303AB">
        <w:t>of the table has been amended by the</w:t>
      </w:r>
      <w:r w:rsidRPr="004303AB">
        <w:t xml:space="preserve"> Amendments to the Plant Protection Agreement for the South East Asia and Pacific Region of 27 February 1956, done at Rome on 22 June 1979</w:t>
      </w:r>
      <w:r w:rsidR="002D2B39" w:rsidRPr="004303AB">
        <w:t>.</w:t>
      </w:r>
      <w:r w:rsidR="00E80178" w:rsidRPr="004303AB">
        <w:t xml:space="preserve"> The Amendments are in Australian Treaty Series 1983 No. 32 ([1983] ATS 32) and could in 2021 be viewed in the Australian Treaties Library on the AustLII website (http://www.austlii.edu.au).</w:t>
      </w:r>
    </w:p>
    <w:p w:rsidR="00E80178" w:rsidRPr="004303AB" w:rsidRDefault="002D2B39" w:rsidP="003925AB">
      <w:pPr>
        <w:pStyle w:val="notetext"/>
      </w:pPr>
      <w:r w:rsidRPr="004303AB">
        <w:t>Note 3:</w:t>
      </w:r>
      <w:r w:rsidRPr="004303AB">
        <w:tab/>
        <w:t xml:space="preserve">The international agreement specified in </w:t>
      </w:r>
      <w:r w:rsidR="00426B90" w:rsidRPr="004303AB">
        <w:t>item 1</w:t>
      </w:r>
      <w:r w:rsidRPr="004303AB">
        <w:t xml:space="preserve">0 of the table has been amended by the </w:t>
      </w:r>
      <w:r w:rsidR="00E80178" w:rsidRPr="004303AB">
        <w:t>following:</w:t>
      </w:r>
    </w:p>
    <w:p w:rsidR="00E80178" w:rsidRPr="004303AB" w:rsidRDefault="00E80178" w:rsidP="00E80178">
      <w:pPr>
        <w:pStyle w:val="notepara"/>
      </w:pPr>
      <w:r w:rsidRPr="004303AB">
        <w:t>(a)</w:t>
      </w:r>
      <w:r w:rsidRPr="004303AB">
        <w:tab/>
      </w:r>
      <w:r w:rsidR="00E02182" w:rsidRPr="004303AB">
        <w:t xml:space="preserve">the </w:t>
      </w:r>
      <w:r w:rsidR="002D2B39" w:rsidRPr="004303AB">
        <w:t>Revised Text of the International Plant Protection Convention of 6 December 1951, done at Rome on 28 November 1979</w:t>
      </w:r>
      <w:r w:rsidR="005A2F66" w:rsidRPr="004303AB">
        <w:t>;</w:t>
      </w:r>
    </w:p>
    <w:p w:rsidR="00E80178" w:rsidRPr="004303AB" w:rsidRDefault="00E80178" w:rsidP="00E80178">
      <w:pPr>
        <w:pStyle w:val="notepara"/>
      </w:pPr>
      <w:r w:rsidRPr="004303AB">
        <w:t>(b)</w:t>
      </w:r>
      <w:r w:rsidRPr="004303AB">
        <w:tab/>
      </w:r>
      <w:r w:rsidR="00E02182" w:rsidRPr="004303AB">
        <w:t xml:space="preserve">the </w:t>
      </w:r>
      <w:r w:rsidR="002D2B39" w:rsidRPr="004303AB">
        <w:t>New [Second] R</w:t>
      </w:r>
      <w:r w:rsidRPr="004303AB">
        <w:t>evised T</w:t>
      </w:r>
      <w:r w:rsidR="002D2B39" w:rsidRPr="004303AB">
        <w:t>ext of the International Plant Protection Convention of 6 December 1951, as revised 28 November 1979, done at Rome on 17 November 1997</w:t>
      </w:r>
      <w:r w:rsidRPr="004303AB">
        <w:t>.</w:t>
      </w:r>
    </w:p>
    <w:p w:rsidR="00E80178" w:rsidRPr="004303AB" w:rsidRDefault="00E80178" w:rsidP="00E80178">
      <w:pPr>
        <w:pStyle w:val="notetext"/>
      </w:pPr>
      <w:r w:rsidRPr="004303AB">
        <w:tab/>
        <w:t>The Revised Text is in Australian Treaty Series 1991 No. 50 ([1991] ATS 50). The New [Second] Revised Text is in Australian Treaty Series 2005 No. 23 ([2005] ATS 23). They could in 2021 be viewed in the Australian Treaties Library on the AustLII website (http://www.austlii.edu.au).</w:t>
      </w:r>
    </w:p>
    <w:p w:rsidR="003925AB" w:rsidRPr="004303AB" w:rsidRDefault="008D786C" w:rsidP="003925AB">
      <w:pPr>
        <w:pStyle w:val="ActHead5"/>
      </w:pPr>
      <w:bookmarkStart w:id="112" w:name="_Toc64297942"/>
      <w:r w:rsidRPr="00E34AC3">
        <w:rPr>
          <w:rStyle w:val="CharSectno"/>
        </w:rPr>
        <w:t>51</w:t>
      </w:r>
      <w:r w:rsidR="003925AB" w:rsidRPr="004303AB">
        <w:t xml:space="preserve">  Designated overhead line</w:t>
      </w:r>
      <w:bookmarkEnd w:id="112"/>
    </w:p>
    <w:p w:rsidR="003925AB" w:rsidRPr="004303AB" w:rsidRDefault="003925AB" w:rsidP="003925AB">
      <w:pPr>
        <w:pStyle w:val="subsection"/>
      </w:pPr>
      <w:r w:rsidRPr="004303AB">
        <w:tab/>
      </w:r>
      <w:r w:rsidRPr="004303AB">
        <w:tab/>
        <w:t>For the purposes of sub</w:t>
      </w:r>
      <w:r w:rsidR="00426B90" w:rsidRPr="004303AB">
        <w:t>paragraph 3</w:t>
      </w:r>
      <w:r w:rsidRPr="004303AB">
        <w:t>(b)(ii) of Schedule 3 to the Act, the distance of 48 mm is specified.</w:t>
      </w:r>
    </w:p>
    <w:p w:rsidR="003925AB" w:rsidRPr="004303AB" w:rsidRDefault="003925AB" w:rsidP="003925AB">
      <w:pPr>
        <w:pStyle w:val="ActHead2"/>
        <w:pageBreakBefore/>
      </w:pPr>
      <w:bookmarkStart w:id="113" w:name="_Toc64297943"/>
      <w:r w:rsidRPr="00E34AC3">
        <w:rPr>
          <w:rStyle w:val="CharPartNo"/>
        </w:rPr>
        <w:t>Part </w:t>
      </w:r>
      <w:r w:rsidR="00A26EBF" w:rsidRPr="00E34AC3">
        <w:rPr>
          <w:rStyle w:val="CharPartNo"/>
        </w:rPr>
        <w:t>7</w:t>
      </w:r>
      <w:r w:rsidRPr="004303AB">
        <w:t>—</w:t>
      </w:r>
      <w:r w:rsidRPr="00E34AC3">
        <w:rPr>
          <w:rStyle w:val="CharPartText"/>
        </w:rPr>
        <w:t>Application, saving and transitional provisions</w:t>
      </w:r>
      <w:bookmarkEnd w:id="113"/>
    </w:p>
    <w:p w:rsidR="003925AB" w:rsidRPr="004303AB" w:rsidRDefault="003925AB" w:rsidP="003925AB">
      <w:pPr>
        <w:pStyle w:val="ActHead3"/>
      </w:pPr>
      <w:bookmarkStart w:id="114" w:name="_Toc64297944"/>
      <w:r w:rsidRPr="00E34AC3">
        <w:rPr>
          <w:rStyle w:val="CharDivNo"/>
        </w:rPr>
        <w:t>Division 1</w:t>
      </w:r>
      <w:r w:rsidRPr="004303AB">
        <w:t>—</w:t>
      </w:r>
      <w:r w:rsidRPr="00E34AC3">
        <w:rPr>
          <w:rStyle w:val="CharDivText"/>
        </w:rPr>
        <w:t>Provisions for this instrument as originally made</w:t>
      </w:r>
      <w:bookmarkEnd w:id="114"/>
    </w:p>
    <w:p w:rsidR="0056048E" w:rsidRPr="004303AB" w:rsidRDefault="008D786C" w:rsidP="003925AB">
      <w:pPr>
        <w:pStyle w:val="ActHead5"/>
      </w:pPr>
      <w:bookmarkStart w:id="115" w:name="_Toc64297945"/>
      <w:r w:rsidRPr="00E34AC3">
        <w:rPr>
          <w:rStyle w:val="CharSectno"/>
        </w:rPr>
        <w:t>52</w:t>
      </w:r>
      <w:r w:rsidR="0056048E" w:rsidRPr="004303AB">
        <w:t xml:space="preserve">  Definitions</w:t>
      </w:r>
      <w:bookmarkEnd w:id="115"/>
    </w:p>
    <w:p w:rsidR="0056048E" w:rsidRPr="004303AB" w:rsidRDefault="0056048E" w:rsidP="0056048E">
      <w:pPr>
        <w:pStyle w:val="subsection"/>
      </w:pPr>
      <w:r w:rsidRPr="004303AB">
        <w:tab/>
      </w:r>
      <w:r w:rsidRPr="004303AB">
        <w:tab/>
        <w:t>In this Division:</w:t>
      </w:r>
    </w:p>
    <w:p w:rsidR="0056048E" w:rsidRPr="004303AB" w:rsidRDefault="0056048E" w:rsidP="0056048E">
      <w:pPr>
        <w:pStyle w:val="Definition"/>
      </w:pPr>
      <w:r w:rsidRPr="004303AB">
        <w:rPr>
          <w:b/>
          <w:i/>
        </w:rPr>
        <w:t>commencement time</w:t>
      </w:r>
      <w:r w:rsidRPr="004303AB">
        <w:t xml:space="preserve"> means the time this section commences.</w:t>
      </w:r>
    </w:p>
    <w:p w:rsidR="0056048E" w:rsidRPr="004303AB" w:rsidRDefault="0056048E" w:rsidP="0056048E">
      <w:pPr>
        <w:pStyle w:val="Definition"/>
      </w:pPr>
      <w:r w:rsidRPr="004303AB">
        <w:rPr>
          <w:b/>
          <w:i/>
        </w:rPr>
        <w:t>old regulations</w:t>
      </w:r>
      <w:r w:rsidRPr="004303AB">
        <w:t xml:space="preserve"> means the </w:t>
      </w:r>
      <w:r w:rsidRPr="004303AB">
        <w:rPr>
          <w:i/>
        </w:rPr>
        <w:t xml:space="preserve">Telecommunications </w:t>
      </w:r>
      <w:r w:rsidR="00A671FC" w:rsidRPr="004303AB">
        <w:rPr>
          <w:i/>
        </w:rPr>
        <w:t>Regulations 2</w:t>
      </w:r>
      <w:r w:rsidRPr="004303AB">
        <w:rPr>
          <w:i/>
        </w:rPr>
        <w:t>001</w:t>
      </w:r>
      <w:r w:rsidRPr="004303AB">
        <w:t>.</w:t>
      </w:r>
    </w:p>
    <w:p w:rsidR="003925AB" w:rsidRPr="004303AB" w:rsidRDefault="008D786C" w:rsidP="003925AB">
      <w:pPr>
        <w:pStyle w:val="ActHead5"/>
      </w:pPr>
      <w:bookmarkStart w:id="116" w:name="_Toc64297946"/>
      <w:r w:rsidRPr="00E34AC3">
        <w:rPr>
          <w:rStyle w:val="CharSectno"/>
        </w:rPr>
        <w:t>53</w:t>
      </w:r>
      <w:r w:rsidR="003925AB" w:rsidRPr="004303AB">
        <w:t xml:space="preserve">  Things done under the </w:t>
      </w:r>
      <w:r w:rsidR="0056048E" w:rsidRPr="004303AB">
        <w:t>old regulations</w:t>
      </w:r>
      <w:bookmarkEnd w:id="116"/>
    </w:p>
    <w:p w:rsidR="003925AB" w:rsidRPr="004303AB" w:rsidRDefault="003925AB" w:rsidP="003925AB">
      <w:pPr>
        <w:pStyle w:val="subsection"/>
      </w:pPr>
      <w:r w:rsidRPr="004303AB">
        <w:tab/>
        <w:t>(1)</w:t>
      </w:r>
      <w:r w:rsidRPr="004303AB">
        <w:tab/>
        <w:t>If:</w:t>
      </w:r>
    </w:p>
    <w:p w:rsidR="003925AB" w:rsidRPr="004303AB" w:rsidRDefault="003925AB" w:rsidP="003925AB">
      <w:pPr>
        <w:pStyle w:val="paragraph"/>
      </w:pPr>
      <w:r w:rsidRPr="004303AB">
        <w:tab/>
        <w:t>(a)</w:t>
      </w:r>
      <w:r w:rsidRPr="004303AB">
        <w:tab/>
        <w:t xml:space="preserve">a thing was done for a particular purpose under the </w:t>
      </w:r>
      <w:r w:rsidR="0056048E" w:rsidRPr="004303AB">
        <w:t>old regulations</w:t>
      </w:r>
      <w:r w:rsidRPr="004303AB">
        <w:t xml:space="preserve"> </w:t>
      </w:r>
      <w:r w:rsidR="00C44760" w:rsidRPr="004303AB">
        <w:t>before the commencement time</w:t>
      </w:r>
      <w:r w:rsidRPr="004303AB">
        <w:t>; and</w:t>
      </w:r>
    </w:p>
    <w:p w:rsidR="003925AB" w:rsidRPr="004303AB" w:rsidRDefault="003925AB" w:rsidP="003925AB">
      <w:pPr>
        <w:pStyle w:val="paragraph"/>
      </w:pPr>
      <w:r w:rsidRPr="004303AB">
        <w:tab/>
        <w:t>(b)</w:t>
      </w:r>
      <w:r w:rsidRPr="004303AB">
        <w:tab/>
        <w:t>the thing could be done for that purpose under this instrument;</w:t>
      </w:r>
    </w:p>
    <w:p w:rsidR="003925AB" w:rsidRPr="004303AB" w:rsidRDefault="003925AB" w:rsidP="003925AB">
      <w:pPr>
        <w:pStyle w:val="subsection2"/>
      </w:pPr>
      <w:r w:rsidRPr="004303AB">
        <w:t>the thing has effect for the purposes of this instrument as if it had been done for that purpose under this instrument.</w:t>
      </w:r>
    </w:p>
    <w:p w:rsidR="003925AB" w:rsidRPr="004303AB" w:rsidRDefault="003925AB" w:rsidP="003925AB">
      <w:pPr>
        <w:pStyle w:val="subsection"/>
      </w:pPr>
      <w:r w:rsidRPr="004303AB">
        <w:tab/>
        <w:t>(2)</w:t>
      </w:r>
      <w:r w:rsidRPr="004303AB">
        <w:tab/>
        <w:t xml:space="preserve">Without limiting </w:t>
      </w:r>
      <w:r w:rsidR="00426B90" w:rsidRPr="004303AB">
        <w:t>subsection (</w:t>
      </w:r>
      <w:r w:rsidRPr="004303AB">
        <w:t>1), a reference in that subsection to a thing being done includes a reference to a notice, application or other instrument being given or made.</w:t>
      </w:r>
    </w:p>
    <w:p w:rsidR="00D43E5D" w:rsidRPr="004303AB" w:rsidRDefault="008D786C" w:rsidP="00D43E5D">
      <w:pPr>
        <w:pStyle w:val="ActHead5"/>
      </w:pPr>
      <w:bookmarkStart w:id="117" w:name="_Toc64297947"/>
      <w:r w:rsidRPr="00E34AC3">
        <w:rPr>
          <w:rStyle w:val="CharSectno"/>
        </w:rPr>
        <w:t>54</w:t>
      </w:r>
      <w:r w:rsidR="00D43E5D" w:rsidRPr="004303AB">
        <w:t xml:space="preserve">  Conduct, event, circumstances occurring before commencement</w:t>
      </w:r>
      <w:bookmarkEnd w:id="117"/>
    </w:p>
    <w:p w:rsidR="00D43E5D" w:rsidRPr="004303AB" w:rsidRDefault="00D43E5D" w:rsidP="00D43E5D">
      <w:pPr>
        <w:pStyle w:val="subsection"/>
      </w:pPr>
      <w:r w:rsidRPr="004303AB">
        <w:tab/>
        <w:t>(1)</w:t>
      </w:r>
      <w:r w:rsidRPr="004303AB">
        <w:tab/>
        <w:t xml:space="preserve">To avoid doubt, a function or duty may be performed, or a power exercised, under this instrument in relation to conduct engaged in, an event that occurred, or a circumstance that arose, before </w:t>
      </w:r>
      <w:r w:rsidR="00C44760" w:rsidRPr="004303AB">
        <w:t>the commencement time</w:t>
      </w:r>
      <w:r w:rsidRPr="004303AB">
        <w:t>.</w:t>
      </w:r>
    </w:p>
    <w:p w:rsidR="00D43E5D" w:rsidRPr="004303AB" w:rsidRDefault="00D43E5D" w:rsidP="00D43E5D">
      <w:pPr>
        <w:pStyle w:val="subsection"/>
      </w:pPr>
      <w:r w:rsidRPr="004303AB">
        <w:tab/>
        <w:t>(2)</w:t>
      </w:r>
      <w:r w:rsidRPr="004303AB">
        <w:tab/>
        <w:t xml:space="preserve">This section does not limit this Division or </w:t>
      </w:r>
      <w:r w:rsidR="00426B90" w:rsidRPr="004303AB">
        <w:t>section 7</w:t>
      </w:r>
      <w:r w:rsidRPr="004303AB">
        <w:t xml:space="preserve"> of the </w:t>
      </w:r>
      <w:r w:rsidRPr="004303AB">
        <w:rPr>
          <w:i/>
        </w:rPr>
        <w:t>Acts Interpretation Act 1901</w:t>
      </w:r>
      <w:r w:rsidRPr="004303AB">
        <w:t xml:space="preserve"> (as that Act applies in relation to this instrument because of </w:t>
      </w:r>
      <w:r w:rsidR="00426B90" w:rsidRPr="004303AB">
        <w:t>paragraph 1</w:t>
      </w:r>
      <w:r w:rsidRPr="004303AB">
        <w:t xml:space="preserve">3(1)(a) of the </w:t>
      </w:r>
      <w:r w:rsidRPr="004303AB">
        <w:rPr>
          <w:i/>
        </w:rPr>
        <w:t>Legislation Act 2003</w:t>
      </w:r>
      <w:r w:rsidRPr="004303AB">
        <w:t>).</w:t>
      </w:r>
    </w:p>
    <w:p w:rsidR="006D0CE6" w:rsidRPr="004303AB" w:rsidRDefault="008D786C" w:rsidP="006D707E">
      <w:pPr>
        <w:pStyle w:val="ActHead5"/>
      </w:pPr>
      <w:bookmarkStart w:id="118" w:name="_Toc64297948"/>
      <w:r w:rsidRPr="00E34AC3">
        <w:rPr>
          <w:rStyle w:val="CharSectno"/>
        </w:rPr>
        <w:t>55</w:t>
      </w:r>
      <w:r w:rsidR="006D0CE6" w:rsidRPr="004303AB">
        <w:t xml:space="preserve">  Service provider determinations</w:t>
      </w:r>
      <w:bookmarkEnd w:id="118"/>
    </w:p>
    <w:p w:rsidR="006D0CE6" w:rsidRPr="004303AB" w:rsidRDefault="006D0CE6" w:rsidP="006D0CE6">
      <w:pPr>
        <w:tabs>
          <w:tab w:val="right" w:pos="1021"/>
        </w:tabs>
        <w:spacing w:before="180" w:line="240" w:lineRule="auto"/>
        <w:ind w:left="1134" w:hanging="1134"/>
        <w:rPr>
          <w:rFonts w:eastAsia="Times New Roman" w:cs="Times New Roman"/>
          <w:lang w:eastAsia="en-AU"/>
        </w:rPr>
      </w:pPr>
      <w:r w:rsidRPr="004303AB">
        <w:rPr>
          <w:rFonts w:eastAsia="Times New Roman" w:cs="Times New Roman"/>
          <w:lang w:eastAsia="en-AU"/>
        </w:rPr>
        <w:tab/>
      </w:r>
      <w:r w:rsidRPr="004303AB">
        <w:rPr>
          <w:rFonts w:eastAsia="Times New Roman" w:cs="Times New Roman"/>
          <w:lang w:eastAsia="en-AU"/>
        </w:rPr>
        <w:tab/>
      </w:r>
      <w:r w:rsidR="00426B90" w:rsidRPr="004303AB">
        <w:rPr>
          <w:rFonts w:eastAsia="Times New Roman" w:cs="Times New Roman"/>
          <w:lang w:eastAsia="en-AU"/>
        </w:rPr>
        <w:t>Part 2</w:t>
      </w:r>
      <w:r w:rsidRPr="004303AB">
        <w:rPr>
          <w:rFonts w:eastAsia="Times New Roman" w:cs="Times New Roman"/>
          <w:lang w:eastAsia="en-AU"/>
        </w:rPr>
        <w:t xml:space="preserve"> applies in relation to any service provider determination made after the commencement time.</w:t>
      </w:r>
    </w:p>
    <w:p w:rsidR="00496686" w:rsidRPr="004303AB" w:rsidRDefault="008D786C" w:rsidP="006D707E">
      <w:pPr>
        <w:pStyle w:val="ActHead5"/>
      </w:pPr>
      <w:bookmarkStart w:id="119" w:name="_Toc64297949"/>
      <w:r w:rsidRPr="00E34AC3">
        <w:rPr>
          <w:rStyle w:val="CharSectno"/>
        </w:rPr>
        <w:t>56</w:t>
      </w:r>
      <w:r w:rsidR="00496686" w:rsidRPr="004303AB">
        <w:t xml:space="preserve">  Industry codes and industry standards</w:t>
      </w:r>
      <w:bookmarkEnd w:id="119"/>
    </w:p>
    <w:p w:rsidR="00496686" w:rsidRPr="004303AB" w:rsidRDefault="00496686" w:rsidP="00496686">
      <w:pPr>
        <w:pStyle w:val="subsection"/>
      </w:pPr>
      <w:r w:rsidRPr="004303AB">
        <w:tab/>
      </w:r>
      <w:r w:rsidRPr="004303AB">
        <w:tab/>
      </w:r>
      <w:r w:rsidR="008836D6" w:rsidRPr="004303AB">
        <w:t>Part 3</w:t>
      </w:r>
      <w:r w:rsidRPr="004303AB">
        <w:t xml:space="preserve"> applies in relation to</w:t>
      </w:r>
      <w:r w:rsidR="00C12B82" w:rsidRPr="004303AB">
        <w:t xml:space="preserve"> the following</w:t>
      </w:r>
      <w:r w:rsidRPr="004303AB">
        <w:t>:</w:t>
      </w:r>
    </w:p>
    <w:p w:rsidR="00496686" w:rsidRPr="004303AB" w:rsidRDefault="00496686" w:rsidP="00496686">
      <w:pPr>
        <w:pStyle w:val="paragraph"/>
      </w:pPr>
      <w:r w:rsidRPr="004303AB">
        <w:tab/>
        <w:t>(a)</w:t>
      </w:r>
      <w:r w:rsidRPr="004303AB">
        <w:tab/>
        <w:t xml:space="preserve">any industry code, whether registered before </w:t>
      </w:r>
      <w:r w:rsidR="00C12B82" w:rsidRPr="004303AB">
        <w:t>or after the commencement time;</w:t>
      </w:r>
    </w:p>
    <w:p w:rsidR="00496686" w:rsidRPr="004303AB" w:rsidRDefault="00496686" w:rsidP="00496686">
      <w:pPr>
        <w:pStyle w:val="paragraph"/>
      </w:pPr>
      <w:r w:rsidRPr="004303AB">
        <w:tab/>
        <w:t>(b)</w:t>
      </w:r>
      <w:r w:rsidRPr="004303AB">
        <w:tab/>
        <w:t>any industry standard, whether determined before or after the commencement time.</w:t>
      </w:r>
    </w:p>
    <w:p w:rsidR="006D707E" w:rsidRPr="004303AB" w:rsidRDefault="008D786C" w:rsidP="006D707E">
      <w:pPr>
        <w:pStyle w:val="ActHead5"/>
      </w:pPr>
      <w:bookmarkStart w:id="120" w:name="_Toc64297950"/>
      <w:r w:rsidRPr="00E34AC3">
        <w:rPr>
          <w:rStyle w:val="CharSectno"/>
        </w:rPr>
        <w:t>57</w:t>
      </w:r>
      <w:r w:rsidR="006D707E" w:rsidRPr="004303AB">
        <w:t xml:space="preserve">  Research authorisations</w:t>
      </w:r>
      <w:bookmarkEnd w:id="120"/>
    </w:p>
    <w:p w:rsidR="009909EB" w:rsidRPr="004303AB" w:rsidRDefault="009909EB" w:rsidP="009909EB">
      <w:pPr>
        <w:pStyle w:val="SubsectionHead"/>
      </w:pPr>
      <w:r w:rsidRPr="004303AB">
        <w:t xml:space="preserve">Research authorisations under the old regulations </w:t>
      </w:r>
      <w:r w:rsidR="00C44760" w:rsidRPr="004303AB">
        <w:t>continue</w:t>
      </w:r>
    </w:p>
    <w:p w:rsidR="006D707E" w:rsidRPr="004303AB" w:rsidRDefault="006D707E" w:rsidP="006D707E">
      <w:pPr>
        <w:pStyle w:val="subsection"/>
      </w:pPr>
      <w:r w:rsidRPr="004303AB">
        <w:tab/>
        <w:t>(1)</w:t>
      </w:r>
      <w:r w:rsidRPr="004303AB">
        <w:tab/>
      </w:r>
      <w:r w:rsidR="00426B90" w:rsidRPr="004303AB">
        <w:t>Subsection (</w:t>
      </w:r>
      <w:r w:rsidR="006C487B" w:rsidRPr="004303AB">
        <w:t xml:space="preserve">2) </w:t>
      </w:r>
      <w:r w:rsidRPr="004303AB">
        <w:t xml:space="preserve">applies in relation to a research authorisation </w:t>
      </w:r>
      <w:r w:rsidR="0098034D" w:rsidRPr="004303AB">
        <w:t xml:space="preserve">granted under </w:t>
      </w:r>
      <w:r w:rsidR="00426B90" w:rsidRPr="004303AB">
        <w:t>subregulation 5</w:t>
      </w:r>
      <w:r w:rsidR="0098034D" w:rsidRPr="004303AB">
        <w:t xml:space="preserve">.11(1) of the </w:t>
      </w:r>
      <w:r w:rsidR="0056048E" w:rsidRPr="004303AB">
        <w:t>old regulations</w:t>
      </w:r>
      <w:r w:rsidR="0098034D" w:rsidRPr="004303AB">
        <w:t xml:space="preserve"> </w:t>
      </w:r>
      <w:r w:rsidRPr="004303AB">
        <w:t xml:space="preserve">that was in effect immediately before the commencement </w:t>
      </w:r>
      <w:r w:rsidR="0056048E" w:rsidRPr="004303AB">
        <w:t>time</w:t>
      </w:r>
      <w:r w:rsidRPr="004303AB">
        <w:t>.</w:t>
      </w:r>
    </w:p>
    <w:p w:rsidR="0056048E" w:rsidRPr="004303AB" w:rsidRDefault="006D707E" w:rsidP="006D707E">
      <w:pPr>
        <w:pStyle w:val="subsection"/>
      </w:pPr>
      <w:r w:rsidRPr="004303AB">
        <w:tab/>
        <w:t>(2)</w:t>
      </w:r>
      <w:r w:rsidRPr="004303AB">
        <w:tab/>
      </w:r>
      <w:r w:rsidR="00E9217F" w:rsidRPr="004303AB">
        <w:t xml:space="preserve">Without limiting section </w:t>
      </w:r>
      <w:r w:rsidR="008D786C" w:rsidRPr="004303AB">
        <w:t>53</w:t>
      </w:r>
      <w:r w:rsidR="00B643F2" w:rsidRPr="004303AB">
        <w:t xml:space="preserve"> or </w:t>
      </w:r>
      <w:r w:rsidR="008D786C" w:rsidRPr="004303AB">
        <w:t>54</w:t>
      </w:r>
      <w:r w:rsidR="00E9217F" w:rsidRPr="004303AB">
        <w:t xml:space="preserve">, the authorisation has effect </w:t>
      </w:r>
      <w:r w:rsidR="0056048E" w:rsidRPr="004303AB">
        <w:t xml:space="preserve">after the commencement time </w:t>
      </w:r>
      <w:r w:rsidRPr="004303AB">
        <w:t>as if</w:t>
      </w:r>
      <w:r w:rsidR="0056048E" w:rsidRPr="004303AB">
        <w:t>:</w:t>
      </w:r>
    </w:p>
    <w:p w:rsidR="0056048E" w:rsidRPr="004303AB" w:rsidRDefault="0056048E" w:rsidP="0056048E">
      <w:pPr>
        <w:pStyle w:val="paragraph"/>
      </w:pPr>
      <w:r w:rsidRPr="004303AB">
        <w:tab/>
        <w:t>(a)</w:t>
      </w:r>
      <w:r w:rsidRPr="004303AB">
        <w:tab/>
        <w:t xml:space="preserve">the authorisation </w:t>
      </w:r>
      <w:r w:rsidR="006D707E" w:rsidRPr="004303AB">
        <w:t xml:space="preserve">had been </w:t>
      </w:r>
      <w:r w:rsidR="0098034D" w:rsidRPr="004303AB">
        <w:t xml:space="preserve">granted </w:t>
      </w:r>
      <w:r w:rsidR="006D707E" w:rsidRPr="004303AB">
        <w:t xml:space="preserve">under </w:t>
      </w:r>
      <w:r w:rsidR="00EA1333" w:rsidRPr="004303AB">
        <w:t>sub</w:t>
      </w:r>
      <w:r w:rsidR="006D707E" w:rsidRPr="004303AB">
        <w:t>section</w:t>
      </w:r>
      <w:r w:rsidR="0098034D" w:rsidRPr="004303AB">
        <w:t xml:space="preserve"> </w:t>
      </w:r>
      <w:r w:rsidR="008D786C" w:rsidRPr="004303AB">
        <w:t>21</w:t>
      </w:r>
      <w:r w:rsidR="00EA1333" w:rsidRPr="004303AB">
        <w:t>(1)</w:t>
      </w:r>
      <w:r w:rsidR="006D707E" w:rsidRPr="004303AB">
        <w:t xml:space="preserve"> of this instrument</w:t>
      </w:r>
      <w:r w:rsidRPr="004303AB">
        <w:t>; and</w:t>
      </w:r>
    </w:p>
    <w:p w:rsidR="0056048E" w:rsidRPr="004303AB" w:rsidRDefault="0056048E" w:rsidP="0056048E">
      <w:pPr>
        <w:pStyle w:val="paragraph"/>
      </w:pPr>
      <w:r w:rsidRPr="004303AB">
        <w:tab/>
        <w:t>(b)</w:t>
      </w:r>
      <w:r w:rsidRPr="004303AB">
        <w:tab/>
        <w:t xml:space="preserve">any conditions on the authorisation immediately before the commencement time that were specified under </w:t>
      </w:r>
      <w:r w:rsidR="00426B90" w:rsidRPr="004303AB">
        <w:t>subregulation 5</w:t>
      </w:r>
      <w:r w:rsidRPr="004303AB">
        <w:t xml:space="preserve">.12(4) of the old regulations had been specified under </w:t>
      </w:r>
      <w:r w:rsidR="002F008E" w:rsidRPr="004303AB">
        <w:t>subsection </w:t>
      </w:r>
      <w:r w:rsidR="008D786C" w:rsidRPr="004303AB">
        <w:t>22</w:t>
      </w:r>
      <w:r w:rsidRPr="004303AB">
        <w:t>(4) of this instrument; and</w:t>
      </w:r>
    </w:p>
    <w:p w:rsidR="00A819F6" w:rsidRPr="004303AB" w:rsidRDefault="0056048E" w:rsidP="0056048E">
      <w:pPr>
        <w:pStyle w:val="paragraph"/>
      </w:pPr>
      <w:r w:rsidRPr="004303AB">
        <w:tab/>
        <w:t>(c)</w:t>
      </w:r>
      <w:r w:rsidRPr="004303AB">
        <w:tab/>
        <w:t xml:space="preserve">any conditions on the authorisation immediately before the commencement time that were specified under </w:t>
      </w:r>
      <w:r w:rsidR="00426B90" w:rsidRPr="004303AB">
        <w:t>regulation 5</w:t>
      </w:r>
      <w:r w:rsidRPr="004303AB">
        <w:t xml:space="preserve">.26 of the old regulations had been specified under section </w:t>
      </w:r>
      <w:r w:rsidR="008D786C" w:rsidRPr="004303AB">
        <w:t>36</w:t>
      </w:r>
      <w:r w:rsidRPr="004303AB">
        <w:t xml:space="preserve"> of this instrument</w:t>
      </w:r>
      <w:r w:rsidR="00A819F6" w:rsidRPr="004303AB">
        <w:t>; and</w:t>
      </w:r>
    </w:p>
    <w:p w:rsidR="008E4106" w:rsidRPr="004303AB" w:rsidRDefault="00A819F6" w:rsidP="0056048E">
      <w:pPr>
        <w:pStyle w:val="paragraph"/>
      </w:pPr>
      <w:r w:rsidRPr="004303AB">
        <w:tab/>
        <w:t>(d)</w:t>
      </w:r>
      <w:r w:rsidRPr="004303AB">
        <w:tab/>
        <w:t xml:space="preserve">any research entity removed from the authorisation under </w:t>
      </w:r>
      <w:r w:rsidR="00426B90" w:rsidRPr="004303AB">
        <w:t>regulation 5</w:t>
      </w:r>
      <w:r w:rsidR="008E4106" w:rsidRPr="004303AB">
        <w:t xml:space="preserve">.28 </w:t>
      </w:r>
      <w:r w:rsidRPr="004303AB">
        <w:t xml:space="preserve">of the old regulations had been removed from the authorisation under </w:t>
      </w:r>
      <w:r w:rsidR="008E4106" w:rsidRPr="004303AB">
        <w:t xml:space="preserve">section </w:t>
      </w:r>
      <w:r w:rsidR="008D786C" w:rsidRPr="004303AB">
        <w:t>38</w:t>
      </w:r>
      <w:r w:rsidR="008E4106" w:rsidRPr="004303AB">
        <w:t>; and</w:t>
      </w:r>
    </w:p>
    <w:p w:rsidR="006D707E" w:rsidRPr="004303AB" w:rsidRDefault="008E4106" w:rsidP="0056048E">
      <w:pPr>
        <w:pStyle w:val="paragraph"/>
      </w:pPr>
      <w:r w:rsidRPr="004303AB">
        <w:tab/>
        <w:t>(e)</w:t>
      </w:r>
      <w:r w:rsidRPr="004303AB">
        <w:tab/>
        <w:t xml:space="preserve">any research entity removed from the authorisation under </w:t>
      </w:r>
      <w:r w:rsidR="00426B90" w:rsidRPr="004303AB">
        <w:t>regulation 5</w:t>
      </w:r>
      <w:r w:rsidRPr="004303AB">
        <w:t xml:space="preserve">.29 of the old regulations had been removed from the authorisation under section </w:t>
      </w:r>
      <w:r w:rsidR="008D786C" w:rsidRPr="004303AB">
        <w:t>39</w:t>
      </w:r>
      <w:r w:rsidR="006D707E" w:rsidRPr="004303AB">
        <w:t>.</w:t>
      </w:r>
    </w:p>
    <w:p w:rsidR="009909EB" w:rsidRPr="004303AB" w:rsidRDefault="009909EB" w:rsidP="009909EB">
      <w:pPr>
        <w:pStyle w:val="SubsectionHead"/>
      </w:pPr>
      <w:r w:rsidRPr="004303AB">
        <w:t>Old regulations in relation to former authorised research entities continue to apply</w:t>
      </w:r>
    </w:p>
    <w:p w:rsidR="006C487B" w:rsidRPr="004303AB" w:rsidRDefault="006C487B" w:rsidP="006C487B">
      <w:pPr>
        <w:pStyle w:val="subsection"/>
      </w:pPr>
      <w:r w:rsidRPr="004303AB">
        <w:tab/>
        <w:t>(3)</w:t>
      </w:r>
      <w:r w:rsidRPr="004303AB">
        <w:tab/>
        <w:t xml:space="preserve">Despite the repeal of the old regulations by this instrument, </w:t>
      </w:r>
      <w:r w:rsidR="002F008E" w:rsidRPr="004303AB">
        <w:t>regulations 5</w:t>
      </w:r>
      <w:r w:rsidRPr="004303AB">
        <w:t xml:space="preserve">.30 and 5.31 and </w:t>
      </w:r>
      <w:r w:rsidR="002F008E" w:rsidRPr="004303AB">
        <w:t>subregulations 5</w:t>
      </w:r>
      <w:r w:rsidRPr="004303AB">
        <w:t>.36(3) and (4) of the old regulations continue to apply, as if the repeal had not happened, in relation to:</w:t>
      </w:r>
    </w:p>
    <w:p w:rsidR="006C487B" w:rsidRPr="004303AB" w:rsidRDefault="006C487B" w:rsidP="006C487B">
      <w:pPr>
        <w:pStyle w:val="paragraph"/>
      </w:pPr>
      <w:r w:rsidRPr="004303AB">
        <w:tab/>
        <w:t>(a)</w:t>
      </w:r>
      <w:r w:rsidRPr="004303AB">
        <w:tab/>
        <w:t>research authorisations (within the meaning of the old regulations) that ended before the commencement time; and</w:t>
      </w:r>
    </w:p>
    <w:p w:rsidR="006C487B" w:rsidRPr="004303AB" w:rsidRDefault="006C487B" w:rsidP="006C487B">
      <w:pPr>
        <w:pStyle w:val="paragraph"/>
      </w:pPr>
      <w:r w:rsidRPr="004303AB">
        <w:tab/>
        <w:t>(b)</w:t>
      </w:r>
      <w:r w:rsidRPr="004303AB">
        <w:tab/>
        <w:t>authorised research entities (within the meaning of the old regulations) that were removed from a research authorisation (within the meaning of the old regulations) before the commencement time.</w:t>
      </w:r>
    </w:p>
    <w:p w:rsidR="009261FF" w:rsidRPr="004303AB" w:rsidRDefault="009261FF" w:rsidP="009261FF">
      <w:pPr>
        <w:pStyle w:val="SubsectionHead"/>
      </w:pPr>
      <w:r w:rsidRPr="004303AB">
        <w:t>Decisions made under the old regulations can be reviewed under this instrument</w:t>
      </w:r>
    </w:p>
    <w:p w:rsidR="009261FF" w:rsidRPr="004303AB" w:rsidRDefault="00B94983" w:rsidP="009261FF">
      <w:pPr>
        <w:pStyle w:val="subsection"/>
      </w:pPr>
      <w:r w:rsidRPr="004303AB">
        <w:tab/>
      </w:r>
      <w:r w:rsidR="009261FF" w:rsidRPr="004303AB">
        <w:t>(4)</w:t>
      </w:r>
      <w:r w:rsidRPr="004303AB">
        <w:tab/>
      </w:r>
      <w:r w:rsidR="009261FF" w:rsidRPr="004303AB">
        <w:t>If:</w:t>
      </w:r>
    </w:p>
    <w:p w:rsidR="009261FF" w:rsidRPr="004303AB" w:rsidRDefault="000448D6" w:rsidP="009261FF">
      <w:pPr>
        <w:pStyle w:val="paragraph"/>
      </w:pPr>
      <w:r w:rsidRPr="004303AB">
        <w:tab/>
      </w:r>
      <w:r w:rsidR="009261FF" w:rsidRPr="004303AB">
        <w:t>(a)</w:t>
      </w:r>
      <w:r w:rsidRPr="004303AB">
        <w:tab/>
      </w:r>
      <w:r w:rsidR="009261FF" w:rsidRPr="004303AB">
        <w:t xml:space="preserve">a decision mentioned in </w:t>
      </w:r>
      <w:r w:rsidR="00426B90" w:rsidRPr="004303AB">
        <w:t>subregulation 5</w:t>
      </w:r>
      <w:r w:rsidR="009261FF" w:rsidRPr="004303AB">
        <w:t xml:space="preserve">.32(1) of the old regulations was made </w:t>
      </w:r>
      <w:r w:rsidR="00CA4A80" w:rsidRPr="004303AB">
        <w:t xml:space="preserve">(or </w:t>
      </w:r>
      <w:r w:rsidR="00C44760" w:rsidRPr="004303AB">
        <w:t xml:space="preserve">was </w:t>
      </w:r>
      <w:r w:rsidR="00CA4A80" w:rsidRPr="004303AB">
        <w:t xml:space="preserve">taken to have been made) </w:t>
      </w:r>
      <w:r w:rsidR="009261FF" w:rsidRPr="004303AB">
        <w:t>under a provision of the old regulations before the commencement time; and</w:t>
      </w:r>
    </w:p>
    <w:p w:rsidR="000448D6" w:rsidRPr="004303AB" w:rsidRDefault="000448D6" w:rsidP="000448D6">
      <w:pPr>
        <w:pStyle w:val="paragraph"/>
      </w:pPr>
      <w:r w:rsidRPr="004303AB">
        <w:tab/>
      </w:r>
      <w:r w:rsidR="00AA56D2" w:rsidRPr="004303AB">
        <w:t>(b</w:t>
      </w:r>
      <w:r w:rsidR="009261FF" w:rsidRPr="004303AB">
        <w:t>)</w:t>
      </w:r>
      <w:r w:rsidRPr="004303AB">
        <w:tab/>
      </w:r>
      <w:r w:rsidR="009261FF" w:rsidRPr="004303AB">
        <w:t xml:space="preserve">a decision of the same type could be made under </w:t>
      </w:r>
      <w:r w:rsidRPr="004303AB">
        <w:t>a provision of this instrument</w:t>
      </w:r>
      <w:r w:rsidR="00CA4A80" w:rsidRPr="004303AB">
        <w:t xml:space="preserve"> (the </w:t>
      </w:r>
      <w:r w:rsidR="00CA4A80" w:rsidRPr="004303AB">
        <w:rPr>
          <w:b/>
          <w:i/>
        </w:rPr>
        <w:t>equivalent provision</w:t>
      </w:r>
      <w:r w:rsidR="00CA4A80" w:rsidRPr="004303AB">
        <w:t>)</w:t>
      </w:r>
      <w:r w:rsidRPr="004303AB">
        <w:t>;</w:t>
      </w:r>
    </w:p>
    <w:p w:rsidR="009261FF" w:rsidRPr="004303AB" w:rsidRDefault="009261FF" w:rsidP="000448D6">
      <w:pPr>
        <w:pStyle w:val="subsection2"/>
      </w:pPr>
      <w:r w:rsidRPr="004303AB">
        <w:t xml:space="preserve">Subdivision F of </w:t>
      </w:r>
      <w:r w:rsidR="00426B90" w:rsidRPr="004303AB">
        <w:t>Division 2</w:t>
      </w:r>
      <w:r w:rsidRPr="004303AB">
        <w:t xml:space="preserve"> of </w:t>
      </w:r>
      <w:r w:rsidR="00426B90" w:rsidRPr="004303AB">
        <w:t>Part 4</w:t>
      </w:r>
      <w:r w:rsidRPr="004303AB">
        <w:t xml:space="preserve"> </w:t>
      </w:r>
      <w:r w:rsidR="00CA4A80" w:rsidRPr="004303AB">
        <w:t xml:space="preserve">of this instrument </w:t>
      </w:r>
      <w:r w:rsidRPr="004303AB">
        <w:t xml:space="preserve">applies as if the decision had been made under </w:t>
      </w:r>
      <w:r w:rsidR="00CA4A80" w:rsidRPr="004303AB">
        <w:t>the equivalent provision</w:t>
      </w:r>
      <w:r w:rsidRPr="004303AB">
        <w:t>.</w:t>
      </w:r>
    </w:p>
    <w:p w:rsidR="009261FF" w:rsidRPr="004303AB" w:rsidRDefault="009261FF" w:rsidP="009261FF">
      <w:pPr>
        <w:pStyle w:val="subsection"/>
      </w:pPr>
      <w:r w:rsidRPr="004303AB">
        <w:tab/>
        <w:t>(5)</w:t>
      </w:r>
      <w:r w:rsidRPr="004303AB">
        <w:tab/>
        <w:t>If</w:t>
      </w:r>
      <w:r w:rsidR="00C44760" w:rsidRPr="004303AB">
        <w:t>, before the commencement time</w:t>
      </w:r>
      <w:r w:rsidRPr="004303AB">
        <w:t>:</w:t>
      </w:r>
    </w:p>
    <w:p w:rsidR="009261FF" w:rsidRPr="004303AB" w:rsidRDefault="009261FF" w:rsidP="009261FF">
      <w:pPr>
        <w:pStyle w:val="paragraph"/>
      </w:pPr>
      <w:r w:rsidRPr="004303AB">
        <w:tab/>
        <w:t>(a)</w:t>
      </w:r>
      <w:r w:rsidRPr="004303AB">
        <w:tab/>
        <w:t>a</w:t>
      </w:r>
      <w:r w:rsidR="00C44760" w:rsidRPr="004303AB">
        <w:t xml:space="preserve"> request </w:t>
      </w:r>
      <w:r w:rsidR="00EA39FD" w:rsidRPr="004303AB">
        <w:t xml:space="preserve">to </w:t>
      </w:r>
      <w:r w:rsidR="00C44760" w:rsidRPr="004303AB">
        <w:t>reconsider a decision</w:t>
      </w:r>
      <w:r w:rsidR="00EA39FD" w:rsidRPr="004303AB">
        <w:t xml:space="preserve"> is</w:t>
      </w:r>
      <w:r w:rsidR="00C44760" w:rsidRPr="004303AB">
        <w:t xml:space="preserve"> </w:t>
      </w:r>
      <w:r w:rsidRPr="004303AB">
        <w:t xml:space="preserve">made under </w:t>
      </w:r>
      <w:r w:rsidR="00426B90" w:rsidRPr="004303AB">
        <w:t>regulation 5</w:t>
      </w:r>
      <w:r w:rsidRPr="004303AB">
        <w:t>.32 of the old regulations; and</w:t>
      </w:r>
    </w:p>
    <w:p w:rsidR="00C44760" w:rsidRPr="004303AB" w:rsidRDefault="009261FF" w:rsidP="009261FF">
      <w:pPr>
        <w:pStyle w:val="paragraph"/>
      </w:pPr>
      <w:r w:rsidRPr="004303AB">
        <w:tab/>
        <w:t>(b)</w:t>
      </w:r>
      <w:r w:rsidRPr="004303AB">
        <w:tab/>
      </w:r>
      <w:r w:rsidR="00AA56D2" w:rsidRPr="004303AB">
        <w:t xml:space="preserve">the ACMA </w:t>
      </w:r>
      <w:r w:rsidR="00C44760" w:rsidRPr="004303AB">
        <w:t xml:space="preserve">has </w:t>
      </w:r>
      <w:r w:rsidR="00AA56D2" w:rsidRPr="004303AB">
        <w:t xml:space="preserve">not made a decision </w:t>
      </w:r>
      <w:r w:rsidR="00C44760" w:rsidRPr="004303AB">
        <w:t>on the reconsideration; and</w:t>
      </w:r>
    </w:p>
    <w:p w:rsidR="009261FF" w:rsidRPr="004303AB" w:rsidRDefault="00C44760" w:rsidP="009261FF">
      <w:pPr>
        <w:pStyle w:val="paragraph"/>
      </w:pPr>
      <w:r w:rsidRPr="004303AB">
        <w:tab/>
        <w:t>(c)</w:t>
      </w:r>
      <w:r w:rsidRPr="004303AB">
        <w:tab/>
        <w:t>the ACMA has not been taken to have affirmed the decision</w:t>
      </w:r>
      <w:r w:rsidR="009261FF" w:rsidRPr="004303AB">
        <w:t>;</w:t>
      </w:r>
    </w:p>
    <w:p w:rsidR="009261FF" w:rsidRPr="004303AB" w:rsidRDefault="009261FF" w:rsidP="009261FF">
      <w:pPr>
        <w:pStyle w:val="subsection2"/>
      </w:pPr>
      <w:r w:rsidRPr="004303AB">
        <w:t xml:space="preserve">Subdivision F of </w:t>
      </w:r>
      <w:r w:rsidR="00426B90" w:rsidRPr="004303AB">
        <w:t>Division 2</w:t>
      </w:r>
      <w:r w:rsidRPr="004303AB">
        <w:t xml:space="preserve"> of </w:t>
      </w:r>
      <w:r w:rsidR="00426B90" w:rsidRPr="004303AB">
        <w:t>Part 4</w:t>
      </w:r>
      <w:r w:rsidRPr="004303AB">
        <w:t xml:space="preserve"> </w:t>
      </w:r>
      <w:r w:rsidR="00CA4A80" w:rsidRPr="004303AB">
        <w:t xml:space="preserve">of this instrument </w:t>
      </w:r>
      <w:r w:rsidRPr="004303AB">
        <w:t xml:space="preserve">applies as if the </w:t>
      </w:r>
      <w:r w:rsidR="00EA39FD" w:rsidRPr="004303AB">
        <w:t xml:space="preserve">request </w:t>
      </w:r>
      <w:r w:rsidRPr="004303AB">
        <w:t xml:space="preserve">had been made under section </w:t>
      </w:r>
      <w:r w:rsidR="008D786C" w:rsidRPr="004303AB">
        <w:t>42</w:t>
      </w:r>
      <w:r w:rsidR="00CA4A80" w:rsidRPr="004303AB">
        <w:t xml:space="preserve"> of this instrument</w:t>
      </w:r>
      <w:r w:rsidRPr="004303AB">
        <w:t>.</w:t>
      </w:r>
    </w:p>
    <w:p w:rsidR="002D7574" w:rsidRPr="004303AB" w:rsidRDefault="008D786C" w:rsidP="002D7574">
      <w:pPr>
        <w:pStyle w:val="ActHead5"/>
      </w:pPr>
      <w:bookmarkStart w:id="121" w:name="_Toc64297951"/>
      <w:r w:rsidRPr="00E34AC3">
        <w:rPr>
          <w:rStyle w:val="CharSectno"/>
        </w:rPr>
        <w:t>58</w:t>
      </w:r>
      <w:r w:rsidR="002D7574" w:rsidRPr="004303AB">
        <w:t xml:space="preserve">  Infringement notice</w:t>
      </w:r>
      <w:bookmarkStart w:id="122" w:name="BK_S3P33L7C25"/>
      <w:bookmarkEnd w:id="122"/>
      <w:r w:rsidR="002D7574" w:rsidRPr="004303AB">
        <w:t>s</w:t>
      </w:r>
      <w:bookmarkEnd w:id="121"/>
    </w:p>
    <w:p w:rsidR="002D7574" w:rsidRPr="004303AB" w:rsidRDefault="002D7574" w:rsidP="002D7574">
      <w:pPr>
        <w:pStyle w:val="subsection"/>
      </w:pPr>
      <w:r w:rsidRPr="004303AB">
        <w:tab/>
      </w:r>
      <w:r w:rsidRPr="004303AB">
        <w:tab/>
        <w:t xml:space="preserve">Despite the repeal of the old regulations by this instrument, </w:t>
      </w:r>
      <w:r w:rsidR="008836D6" w:rsidRPr="004303AB">
        <w:t>Part 6</w:t>
      </w:r>
      <w:r w:rsidRPr="004303AB">
        <w:t xml:space="preserve"> of the old regulations continues to apply in relation to infringement notice</w:t>
      </w:r>
      <w:bookmarkStart w:id="123" w:name="BK_S3P33L9C54"/>
      <w:bookmarkEnd w:id="123"/>
      <w:r w:rsidRPr="004303AB">
        <w:t>s issued before the commencement time as if the repeal had not happened.</w:t>
      </w:r>
    </w:p>
    <w:p w:rsidR="0046619B" w:rsidRPr="004303AB" w:rsidRDefault="0046619B">
      <w:pPr>
        <w:sectPr w:rsidR="0046619B" w:rsidRPr="004303AB" w:rsidSect="00040820">
          <w:headerReference w:type="even" r:id="rId20"/>
          <w:headerReference w:type="default" r:id="rId21"/>
          <w:footerReference w:type="even" r:id="rId22"/>
          <w:footerReference w:type="default" r:id="rId23"/>
          <w:footerReference w:type="first" r:id="rId24"/>
          <w:pgSz w:w="11907" w:h="16839" w:code="9"/>
          <w:pgMar w:top="2233" w:right="1797" w:bottom="1440" w:left="1797" w:header="720" w:footer="709" w:gutter="0"/>
          <w:pgNumType w:start="1"/>
          <w:cols w:space="720"/>
          <w:docGrid w:linePitch="299"/>
        </w:sectPr>
      </w:pPr>
    </w:p>
    <w:p w:rsidR="0046619B" w:rsidRPr="004303AB" w:rsidRDefault="00F661B8" w:rsidP="0046619B">
      <w:pPr>
        <w:pStyle w:val="ActHead6"/>
      </w:pPr>
      <w:bookmarkStart w:id="124" w:name="BK_S4P34L1C1"/>
      <w:bookmarkStart w:id="125" w:name="_Toc64297952"/>
      <w:bookmarkStart w:id="126" w:name="opcAmSched"/>
      <w:bookmarkStart w:id="127" w:name="opcCurrentFind"/>
      <w:bookmarkEnd w:id="124"/>
      <w:r w:rsidRPr="00E34AC3">
        <w:rPr>
          <w:rStyle w:val="CharAmSchNo"/>
        </w:rPr>
        <w:t>Schedule</w:t>
      </w:r>
      <w:bookmarkStart w:id="128" w:name="BK_S4P34L1C9"/>
      <w:bookmarkEnd w:id="128"/>
      <w:r w:rsidRPr="00E34AC3">
        <w:rPr>
          <w:rStyle w:val="CharAmSchNo"/>
        </w:rPr>
        <w:t> 1</w:t>
      </w:r>
      <w:r w:rsidR="0046619B" w:rsidRPr="004303AB">
        <w:t>—</w:t>
      </w:r>
      <w:r w:rsidR="0046619B" w:rsidRPr="00E34AC3">
        <w:rPr>
          <w:rStyle w:val="CharAmSchText"/>
        </w:rPr>
        <w:t>Repeals</w:t>
      </w:r>
      <w:bookmarkEnd w:id="125"/>
    </w:p>
    <w:bookmarkEnd w:id="126"/>
    <w:bookmarkEnd w:id="127"/>
    <w:p w:rsidR="0046619B" w:rsidRPr="00E34AC3" w:rsidRDefault="0046619B">
      <w:pPr>
        <w:pStyle w:val="Header"/>
      </w:pPr>
      <w:r w:rsidRPr="00E34AC3">
        <w:rPr>
          <w:rStyle w:val="CharAmPartNo"/>
        </w:rPr>
        <w:t xml:space="preserve"> </w:t>
      </w:r>
      <w:r w:rsidRPr="00E34AC3">
        <w:rPr>
          <w:rStyle w:val="CharAmPartText"/>
        </w:rPr>
        <w:t xml:space="preserve"> </w:t>
      </w:r>
    </w:p>
    <w:p w:rsidR="0046619B" w:rsidRPr="004303AB" w:rsidRDefault="0046619B" w:rsidP="0046619B">
      <w:pPr>
        <w:pStyle w:val="ActHead9"/>
      </w:pPr>
      <w:bookmarkStart w:id="129" w:name="_Toc64297953"/>
      <w:r w:rsidRPr="004303AB">
        <w:t xml:space="preserve">Telecommunications </w:t>
      </w:r>
      <w:r w:rsidR="00A671FC" w:rsidRPr="004303AB">
        <w:t>Regulations 2</w:t>
      </w:r>
      <w:r w:rsidRPr="004303AB">
        <w:t>00</w:t>
      </w:r>
      <w:bookmarkStart w:id="130" w:name="BK_S4P34L3C35"/>
      <w:bookmarkEnd w:id="130"/>
      <w:r w:rsidRPr="004303AB">
        <w:t>1</w:t>
      </w:r>
      <w:bookmarkEnd w:id="129"/>
    </w:p>
    <w:p w:rsidR="0046619B" w:rsidRPr="004303AB" w:rsidRDefault="0046619B" w:rsidP="0046619B">
      <w:pPr>
        <w:pStyle w:val="ItemHead"/>
      </w:pPr>
      <w:r w:rsidRPr="004303AB">
        <w:t>1  The whole of the instrument</w:t>
      </w:r>
    </w:p>
    <w:p w:rsidR="0046619B" w:rsidRPr="004303AB" w:rsidRDefault="0046619B" w:rsidP="0046619B">
      <w:pPr>
        <w:pStyle w:val="Item"/>
      </w:pPr>
      <w:r w:rsidRPr="004303AB">
        <w:t>Repeal the instrument.</w:t>
      </w:r>
    </w:p>
    <w:p w:rsidR="0046619B" w:rsidRPr="004303AB" w:rsidRDefault="0046619B">
      <w:pPr>
        <w:sectPr w:rsidR="0046619B" w:rsidRPr="004303AB" w:rsidSect="00040820">
          <w:headerReference w:type="even" r:id="rId25"/>
          <w:headerReference w:type="default" r:id="rId26"/>
          <w:footerReference w:type="even" r:id="rId27"/>
          <w:footerReference w:type="default" r:id="rId28"/>
          <w:headerReference w:type="first" r:id="rId29"/>
          <w:footerReference w:type="first" r:id="rId30"/>
          <w:pgSz w:w="11907" w:h="16839" w:code="9"/>
          <w:pgMar w:top="2233" w:right="1797" w:bottom="1440" w:left="1797" w:header="720" w:footer="709" w:gutter="0"/>
          <w:cols w:space="720"/>
          <w:docGrid w:linePitch="299"/>
        </w:sectPr>
      </w:pPr>
    </w:p>
    <w:p w:rsidR="0046619B" w:rsidRPr="004303AB" w:rsidRDefault="0046619B" w:rsidP="000F3765">
      <w:pPr>
        <w:rPr>
          <w:b/>
          <w:i/>
        </w:rPr>
      </w:pPr>
    </w:p>
    <w:sectPr w:rsidR="0046619B" w:rsidRPr="004303AB" w:rsidSect="00040820">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333" w:rsidRDefault="00EA1333" w:rsidP="00715914">
      <w:pPr>
        <w:spacing w:line="240" w:lineRule="auto"/>
      </w:pPr>
      <w:r>
        <w:separator/>
      </w:r>
    </w:p>
  </w:endnote>
  <w:endnote w:type="continuationSeparator" w:id="0">
    <w:p w:rsidR="00EA1333" w:rsidRDefault="00EA133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20" w:rsidRPr="00040820" w:rsidRDefault="00040820" w:rsidP="00040820">
    <w:pPr>
      <w:pStyle w:val="Footer"/>
      <w:rPr>
        <w:i/>
        <w:sz w:val="18"/>
      </w:rPr>
    </w:pPr>
    <w:r w:rsidRPr="00040820">
      <w:rPr>
        <w:i/>
        <w:sz w:val="18"/>
      </w:rPr>
      <w:t>OPC64913 - 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D90ABA" w:rsidRDefault="00EA1333" w:rsidP="0046619B">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EA1333" w:rsidTr="0046619B">
      <w:tc>
        <w:tcPr>
          <w:tcW w:w="942" w:type="pct"/>
        </w:tcPr>
        <w:p w:rsidR="00EA1333" w:rsidRDefault="00EA1333" w:rsidP="0046619B">
          <w:pPr>
            <w:spacing w:line="0" w:lineRule="atLeast"/>
            <w:rPr>
              <w:sz w:val="18"/>
            </w:rPr>
          </w:pPr>
        </w:p>
      </w:tc>
      <w:tc>
        <w:tcPr>
          <w:tcW w:w="3671" w:type="pct"/>
        </w:tcPr>
        <w:p w:rsidR="00EA1333" w:rsidRDefault="00EA1333" w:rsidP="004661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2EB4">
            <w:rPr>
              <w:i/>
              <w:sz w:val="18"/>
            </w:rPr>
            <w:t>Telecommunications Regulations 2021</w:t>
          </w:r>
          <w:r w:rsidRPr="007A1328">
            <w:rPr>
              <w:i/>
              <w:sz w:val="18"/>
            </w:rPr>
            <w:fldChar w:fldCharType="end"/>
          </w:r>
        </w:p>
      </w:tc>
      <w:tc>
        <w:tcPr>
          <w:tcW w:w="387" w:type="pct"/>
        </w:tcPr>
        <w:p w:rsidR="00EA1333" w:rsidRDefault="00EA1333" w:rsidP="0046619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161D1">
            <w:rPr>
              <w:i/>
              <w:noProof/>
              <w:sz w:val="18"/>
            </w:rPr>
            <w:t>32</w:t>
          </w:r>
          <w:r w:rsidRPr="00ED79B6">
            <w:rPr>
              <w:i/>
              <w:sz w:val="18"/>
            </w:rPr>
            <w:fldChar w:fldCharType="end"/>
          </w:r>
        </w:p>
      </w:tc>
    </w:tr>
  </w:tbl>
  <w:p w:rsidR="00EA1333" w:rsidRPr="00040820" w:rsidRDefault="00040820" w:rsidP="00040820">
    <w:pPr>
      <w:rPr>
        <w:rFonts w:cs="Times New Roman"/>
        <w:i/>
        <w:sz w:val="18"/>
      </w:rPr>
    </w:pPr>
    <w:r w:rsidRPr="00040820">
      <w:rPr>
        <w:rFonts w:cs="Times New Roman"/>
        <w:i/>
        <w:sz w:val="18"/>
      </w:rPr>
      <w:t>OPC64913 - 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Default="00EA1333">
    <w:pPr>
      <w:pBdr>
        <w:top w:val="single" w:sz="6" w:space="1" w:color="auto"/>
      </w:pBdr>
      <w:rPr>
        <w:sz w:val="18"/>
      </w:rPr>
    </w:pPr>
  </w:p>
  <w:p w:rsidR="00EA1333" w:rsidRDefault="00EA1333">
    <w:pPr>
      <w:jc w:val="right"/>
      <w:rPr>
        <w:i/>
        <w:sz w:val="18"/>
      </w:rPr>
    </w:pPr>
    <w:r>
      <w:rPr>
        <w:i/>
        <w:sz w:val="18"/>
      </w:rPr>
      <w:fldChar w:fldCharType="begin"/>
    </w:r>
    <w:r>
      <w:rPr>
        <w:i/>
        <w:sz w:val="18"/>
      </w:rPr>
      <w:instrText xml:space="preserve"> STYLEREF ShortT </w:instrText>
    </w:r>
    <w:r>
      <w:rPr>
        <w:i/>
        <w:sz w:val="18"/>
      </w:rPr>
      <w:fldChar w:fldCharType="separate"/>
    </w:r>
    <w:r w:rsidR="00002EB4">
      <w:rPr>
        <w:i/>
        <w:noProof/>
        <w:sz w:val="18"/>
      </w:rPr>
      <w:t>Telecommunications Regulations 2021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02EB4">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D161D1">
      <w:rPr>
        <w:i/>
        <w:noProof/>
        <w:sz w:val="18"/>
      </w:rPr>
      <w:t>32</w:t>
    </w:r>
    <w:r>
      <w:rPr>
        <w:i/>
        <w:sz w:val="18"/>
      </w:rPr>
      <w:fldChar w:fldCharType="end"/>
    </w:r>
  </w:p>
  <w:p w:rsidR="00EA1333" w:rsidRPr="00040820" w:rsidRDefault="00040820" w:rsidP="00040820">
    <w:pPr>
      <w:rPr>
        <w:rFonts w:cs="Times New Roman"/>
        <w:i/>
        <w:sz w:val="18"/>
      </w:rPr>
    </w:pPr>
    <w:r w:rsidRPr="00040820">
      <w:rPr>
        <w:rFonts w:cs="Times New Roman"/>
        <w:i/>
        <w:sz w:val="18"/>
      </w:rPr>
      <w:t>OPC64913 - 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E33C1C" w:rsidRDefault="00EA1333" w:rsidP="0046619B">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EA1333" w:rsidTr="0046619B">
      <w:tc>
        <w:tcPr>
          <w:tcW w:w="418" w:type="pct"/>
          <w:tcBorders>
            <w:top w:val="nil"/>
            <w:left w:val="nil"/>
            <w:bottom w:val="nil"/>
            <w:right w:val="nil"/>
          </w:tcBorders>
        </w:tcPr>
        <w:p w:rsidR="00EA1333" w:rsidRDefault="00EA1333" w:rsidP="0046619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161D1">
            <w:rPr>
              <w:i/>
              <w:noProof/>
              <w:sz w:val="18"/>
            </w:rPr>
            <w:t>32</w:t>
          </w:r>
          <w:r w:rsidRPr="00ED79B6">
            <w:rPr>
              <w:i/>
              <w:sz w:val="18"/>
            </w:rPr>
            <w:fldChar w:fldCharType="end"/>
          </w:r>
        </w:p>
      </w:tc>
      <w:tc>
        <w:tcPr>
          <w:tcW w:w="3765" w:type="pct"/>
          <w:tcBorders>
            <w:top w:val="nil"/>
            <w:left w:val="nil"/>
            <w:bottom w:val="nil"/>
            <w:right w:val="nil"/>
          </w:tcBorders>
        </w:tcPr>
        <w:p w:rsidR="00EA1333" w:rsidRDefault="00EA1333" w:rsidP="004661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2EB4">
            <w:rPr>
              <w:i/>
              <w:sz w:val="18"/>
            </w:rPr>
            <w:t>Telecommunications Regulations 2021</w:t>
          </w:r>
          <w:r w:rsidRPr="007A1328">
            <w:rPr>
              <w:i/>
              <w:sz w:val="18"/>
            </w:rPr>
            <w:fldChar w:fldCharType="end"/>
          </w:r>
        </w:p>
      </w:tc>
      <w:tc>
        <w:tcPr>
          <w:tcW w:w="817" w:type="pct"/>
          <w:tcBorders>
            <w:top w:val="nil"/>
            <w:left w:val="nil"/>
            <w:bottom w:val="nil"/>
            <w:right w:val="nil"/>
          </w:tcBorders>
        </w:tcPr>
        <w:p w:rsidR="00EA1333" w:rsidRDefault="00EA1333" w:rsidP="0046619B">
          <w:pPr>
            <w:spacing w:line="0" w:lineRule="atLeast"/>
            <w:jc w:val="right"/>
            <w:rPr>
              <w:sz w:val="18"/>
            </w:rPr>
          </w:pPr>
        </w:p>
      </w:tc>
    </w:tr>
  </w:tbl>
  <w:p w:rsidR="00EA1333" w:rsidRPr="00040820" w:rsidRDefault="00040820" w:rsidP="00040820">
    <w:pPr>
      <w:rPr>
        <w:rFonts w:cs="Times New Roman"/>
        <w:i/>
        <w:sz w:val="18"/>
      </w:rPr>
    </w:pPr>
    <w:r w:rsidRPr="00040820">
      <w:rPr>
        <w:rFonts w:cs="Times New Roman"/>
        <w:i/>
        <w:sz w:val="18"/>
      </w:rPr>
      <w:t>OPC64913 - A</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E33C1C" w:rsidRDefault="00EA1333" w:rsidP="0046619B">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EA1333" w:rsidTr="0046619B">
      <w:tc>
        <w:tcPr>
          <w:tcW w:w="817" w:type="pct"/>
          <w:tcBorders>
            <w:top w:val="nil"/>
            <w:left w:val="nil"/>
            <w:bottom w:val="nil"/>
            <w:right w:val="nil"/>
          </w:tcBorders>
        </w:tcPr>
        <w:p w:rsidR="00EA1333" w:rsidRDefault="00EA1333" w:rsidP="0046619B">
          <w:pPr>
            <w:spacing w:line="0" w:lineRule="atLeast"/>
            <w:rPr>
              <w:sz w:val="18"/>
            </w:rPr>
          </w:pPr>
        </w:p>
      </w:tc>
      <w:tc>
        <w:tcPr>
          <w:tcW w:w="3765" w:type="pct"/>
          <w:tcBorders>
            <w:top w:val="nil"/>
            <w:left w:val="nil"/>
            <w:bottom w:val="nil"/>
            <w:right w:val="nil"/>
          </w:tcBorders>
        </w:tcPr>
        <w:p w:rsidR="00EA1333" w:rsidRDefault="00EA1333" w:rsidP="004661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2EB4">
            <w:rPr>
              <w:i/>
              <w:sz w:val="18"/>
            </w:rPr>
            <w:t>Telecommunications Regulations 2021</w:t>
          </w:r>
          <w:r w:rsidRPr="007A1328">
            <w:rPr>
              <w:i/>
              <w:sz w:val="18"/>
            </w:rPr>
            <w:fldChar w:fldCharType="end"/>
          </w:r>
        </w:p>
      </w:tc>
      <w:tc>
        <w:tcPr>
          <w:tcW w:w="418" w:type="pct"/>
          <w:tcBorders>
            <w:top w:val="nil"/>
            <w:left w:val="nil"/>
            <w:bottom w:val="nil"/>
            <w:right w:val="nil"/>
          </w:tcBorders>
        </w:tcPr>
        <w:p w:rsidR="00EA1333" w:rsidRDefault="00EA1333" w:rsidP="0046619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161D1">
            <w:rPr>
              <w:i/>
              <w:noProof/>
              <w:sz w:val="18"/>
            </w:rPr>
            <w:t>32</w:t>
          </w:r>
          <w:r w:rsidRPr="00ED79B6">
            <w:rPr>
              <w:i/>
              <w:sz w:val="18"/>
            </w:rPr>
            <w:fldChar w:fldCharType="end"/>
          </w:r>
        </w:p>
      </w:tc>
    </w:tr>
  </w:tbl>
  <w:p w:rsidR="00EA1333" w:rsidRPr="00040820" w:rsidRDefault="00040820" w:rsidP="00040820">
    <w:pPr>
      <w:rPr>
        <w:rFonts w:cs="Times New Roman"/>
        <w:i/>
        <w:sz w:val="18"/>
      </w:rPr>
    </w:pPr>
    <w:r w:rsidRPr="00040820">
      <w:rPr>
        <w:rFonts w:cs="Times New Roman"/>
        <w:i/>
        <w:sz w:val="18"/>
      </w:rPr>
      <w:t>OPC64913 - 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E33C1C" w:rsidRDefault="00EA1333"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EA1333" w:rsidTr="0046619B">
      <w:tc>
        <w:tcPr>
          <w:tcW w:w="817" w:type="pct"/>
          <w:tcBorders>
            <w:top w:val="nil"/>
            <w:left w:val="nil"/>
            <w:bottom w:val="nil"/>
            <w:right w:val="nil"/>
          </w:tcBorders>
        </w:tcPr>
        <w:p w:rsidR="00EA1333" w:rsidRDefault="00EA1333" w:rsidP="0046619B">
          <w:pPr>
            <w:spacing w:line="0" w:lineRule="atLeast"/>
            <w:rPr>
              <w:sz w:val="18"/>
            </w:rPr>
          </w:pPr>
        </w:p>
      </w:tc>
      <w:tc>
        <w:tcPr>
          <w:tcW w:w="3765" w:type="pct"/>
          <w:tcBorders>
            <w:top w:val="nil"/>
            <w:left w:val="nil"/>
            <w:bottom w:val="nil"/>
            <w:right w:val="nil"/>
          </w:tcBorders>
        </w:tcPr>
        <w:p w:rsidR="00EA1333" w:rsidRDefault="00EA1333" w:rsidP="004661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2EB4">
            <w:rPr>
              <w:i/>
              <w:sz w:val="18"/>
            </w:rPr>
            <w:t>Telecommunications Regulations 2021</w:t>
          </w:r>
          <w:r w:rsidRPr="007A1328">
            <w:rPr>
              <w:i/>
              <w:sz w:val="18"/>
            </w:rPr>
            <w:fldChar w:fldCharType="end"/>
          </w:r>
        </w:p>
      </w:tc>
      <w:tc>
        <w:tcPr>
          <w:tcW w:w="418" w:type="pct"/>
          <w:tcBorders>
            <w:top w:val="nil"/>
            <w:left w:val="nil"/>
            <w:bottom w:val="nil"/>
            <w:right w:val="nil"/>
          </w:tcBorders>
        </w:tcPr>
        <w:p w:rsidR="00EA1333" w:rsidRDefault="00EA1333" w:rsidP="0046619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161D1">
            <w:rPr>
              <w:i/>
              <w:noProof/>
              <w:sz w:val="18"/>
            </w:rPr>
            <w:t>32</w:t>
          </w:r>
          <w:r w:rsidRPr="00ED79B6">
            <w:rPr>
              <w:i/>
              <w:sz w:val="18"/>
            </w:rPr>
            <w:fldChar w:fldCharType="end"/>
          </w:r>
        </w:p>
      </w:tc>
    </w:tr>
  </w:tbl>
  <w:p w:rsidR="00EA1333" w:rsidRPr="00040820" w:rsidRDefault="00040820" w:rsidP="00040820">
    <w:pPr>
      <w:rPr>
        <w:rFonts w:cs="Times New Roman"/>
        <w:i/>
        <w:sz w:val="18"/>
      </w:rPr>
    </w:pPr>
    <w:r w:rsidRPr="00040820">
      <w:rPr>
        <w:rFonts w:cs="Times New Roman"/>
        <w:i/>
        <w:sz w:val="18"/>
      </w:rPr>
      <w:t>OPC64913 -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Default="00EA1333" w:rsidP="0046619B">
    <w:pPr>
      <w:pStyle w:val="Footer"/>
      <w:spacing w:before="120"/>
    </w:pPr>
  </w:p>
  <w:p w:rsidR="00EA1333" w:rsidRPr="00040820" w:rsidRDefault="00040820" w:rsidP="00040820">
    <w:pPr>
      <w:pStyle w:val="Footer"/>
      <w:rPr>
        <w:i/>
        <w:sz w:val="18"/>
      </w:rPr>
    </w:pPr>
    <w:r w:rsidRPr="00040820">
      <w:rPr>
        <w:i/>
        <w:sz w:val="18"/>
      </w:rPr>
      <w:t>OPC64913 -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040820" w:rsidRDefault="00040820" w:rsidP="00040820">
    <w:pPr>
      <w:pStyle w:val="Footer"/>
      <w:tabs>
        <w:tab w:val="clear" w:pos="4153"/>
        <w:tab w:val="clear" w:pos="8306"/>
        <w:tab w:val="center" w:pos="4150"/>
        <w:tab w:val="right" w:pos="8307"/>
      </w:tabs>
      <w:spacing w:before="120"/>
      <w:rPr>
        <w:i/>
        <w:sz w:val="18"/>
      </w:rPr>
    </w:pPr>
    <w:r w:rsidRPr="00040820">
      <w:rPr>
        <w:i/>
        <w:sz w:val="18"/>
      </w:rPr>
      <w:t>OPC64913 -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E33C1C" w:rsidRDefault="00EA1333" w:rsidP="0046619B">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EA1333" w:rsidTr="0046619B">
      <w:tc>
        <w:tcPr>
          <w:tcW w:w="418" w:type="pct"/>
          <w:tcBorders>
            <w:top w:val="nil"/>
            <w:left w:val="nil"/>
            <w:bottom w:val="nil"/>
            <w:right w:val="nil"/>
          </w:tcBorders>
        </w:tcPr>
        <w:p w:rsidR="00EA1333" w:rsidRDefault="00EA1333" w:rsidP="0046619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161D1">
            <w:rPr>
              <w:i/>
              <w:noProof/>
              <w:sz w:val="18"/>
            </w:rPr>
            <w:t>ii</w:t>
          </w:r>
          <w:r w:rsidRPr="00ED79B6">
            <w:rPr>
              <w:i/>
              <w:sz w:val="18"/>
            </w:rPr>
            <w:fldChar w:fldCharType="end"/>
          </w:r>
        </w:p>
      </w:tc>
      <w:tc>
        <w:tcPr>
          <w:tcW w:w="3765" w:type="pct"/>
          <w:tcBorders>
            <w:top w:val="nil"/>
            <w:left w:val="nil"/>
            <w:bottom w:val="nil"/>
            <w:right w:val="nil"/>
          </w:tcBorders>
        </w:tcPr>
        <w:p w:rsidR="00EA1333" w:rsidRDefault="00EA1333" w:rsidP="004661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2EB4">
            <w:rPr>
              <w:i/>
              <w:sz w:val="18"/>
            </w:rPr>
            <w:t>Telecommunications Regulations 2021</w:t>
          </w:r>
          <w:r w:rsidRPr="007A1328">
            <w:rPr>
              <w:i/>
              <w:sz w:val="18"/>
            </w:rPr>
            <w:fldChar w:fldCharType="end"/>
          </w:r>
        </w:p>
      </w:tc>
      <w:tc>
        <w:tcPr>
          <w:tcW w:w="817" w:type="pct"/>
          <w:tcBorders>
            <w:top w:val="nil"/>
            <w:left w:val="nil"/>
            <w:bottom w:val="nil"/>
            <w:right w:val="nil"/>
          </w:tcBorders>
        </w:tcPr>
        <w:p w:rsidR="00EA1333" w:rsidRDefault="00EA1333" w:rsidP="0046619B">
          <w:pPr>
            <w:spacing w:line="0" w:lineRule="atLeast"/>
            <w:jc w:val="right"/>
            <w:rPr>
              <w:sz w:val="18"/>
            </w:rPr>
          </w:pPr>
        </w:p>
      </w:tc>
    </w:tr>
  </w:tbl>
  <w:p w:rsidR="00EA1333" w:rsidRPr="00040820" w:rsidRDefault="00040820" w:rsidP="00040820">
    <w:pPr>
      <w:rPr>
        <w:rFonts w:cs="Times New Roman"/>
        <w:i/>
        <w:sz w:val="18"/>
      </w:rPr>
    </w:pPr>
    <w:r w:rsidRPr="00040820">
      <w:rPr>
        <w:rFonts w:cs="Times New Roman"/>
        <w:i/>
        <w:sz w:val="18"/>
      </w:rPr>
      <w:t>OPC64913 -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E33C1C" w:rsidRDefault="00EA1333" w:rsidP="0046619B">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2"/>
      <w:gridCol w:w="6422"/>
      <w:gridCol w:w="715"/>
    </w:tblGrid>
    <w:tr w:rsidR="00EA1333" w:rsidTr="00E34AC3">
      <w:tc>
        <w:tcPr>
          <w:tcW w:w="816" w:type="pct"/>
          <w:tcBorders>
            <w:top w:val="nil"/>
            <w:left w:val="nil"/>
            <w:bottom w:val="nil"/>
            <w:right w:val="nil"/>
          </w:tcBorders>
        </w:tcPr>
        <w:p w:rsidR="00EA1333" w:rsidRDefault="00EA1333" w:rsidP="0046619B">
          <w:pPr>
            <w:spacing w:line="0" w:lineRule="atLeast"/>
            <w:rPr>
              <w:sz w:val="18"/>
            </w:rPr>
          </w:pPr>
        </w:p>
      </w:tc>
      <w:tc>
        <w:tcPr>
          <w:tcW w:w="3765" w:type="pct"/>
          <w:tcBorders>
            <w:top w:val="nil"/>
            <w:left w:val="nil"/>
            <w:bottom w:val="nil"/>
            <w:right w:val="nil"/>
          </w:tcBorders>
        </w:tcPr>
        <w:p w:rsidR="00EA1333" w:rsidRDefault="00EA1333" w:rsidP="004661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2EB4">
            <w:rPr>
              <w:i/>
              <w:sz w:val="18"/>
            </w:rPr>
            <w:t>Telecommunications Regulations 2021</w:t>
          </w:r>
          <w:r w:rsidRPr="007A1328">
            <w:rPr>
              <w:i/>
              <w:sz w:val="18"/>
            </w:rPr>
            <w:fldChar w:fldCharType="end"/>
          </w:r>
        </w:p>
      </w:tc>
      <w:tc>
        <w:tcPr>
          <w:tcW w:w="419" w:type="pct"/>
          <w:tcBorders>
            <w:top w:val="nil"/>
            <w:left w:val="nil"/>
            <w:bottom w:val="nil"/>
            <w:right w:val="nil"/>
          </w:tcBorders>
        </w:tcPr>
        <w:p w:rsidR="00EA1333" w:rsidRDefault="00EA1333" w:rsidP="0046619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161D1">
            <w:rPr>
              <w:i/>
              <w:noProof/>
              <w:sz w:val="18"/>
            </w:rPr>
            <w:t>i</w:t>
          </w:r>
          <w:r w:rsidRPr="00ED79B6">
            <w:rPr>
              <w:i/>
              <w:sz w:val="18"/>
            </w:rPr>
            <w:fldChar w:fldCharType="end"/>
          </w:r>
        </w:p>
      </w:tc>
    </w:tr>
  </w:tbl>
  <w:p w:rsidR="00EA1333" w:rsidRPr="00040820" w:rsidRDefault="00040820" w:rsidP="00040820">
    <w:pPr>
      <w:rPr>
        <w:rFonts w:cs="Times New Roman"/>
        <w:i/>
        <w:sz w:val="18"/>
      </w:rPr>
    </w:pPr>
    <w:r w:rsidRPr="00040820">
      <w:rPr>
        <w:rFonts w:cs="Times New Roman"/>
        <w:i/>
        <w:sz w:val="18"/>
      </w:rPr>
      <w:t>OPC64913 -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D90ABA" w:rsidRDefault="00EA1333" w:rsidP="0046619B">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EA1333" w:rsidTr="0046619B">
      <w:tc>
        <w:tcPr>
          <w:tcW w:w="365" w:type="pct"/>
        </w:tcPr>
        <w:p w:rsidR="00EA1333" w:rsidRDefault="00EA1333" w:rsidP="0046619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161D1">
            <w:rPr>
              <w:i/>
              <w:noProof/>
              <w:sz w:val="18"/>
            </w:rPr>
            <w:t>30</w:t>
          </w:r>
          <w:r w:rsidRPr="00ED79B6">
            <w:rPr>
              <w:i/>
              <w:sz w:val="18"/>
            </w:rPr>
            <w:fldChar w:fldCharType="end"/>
          </w:r>
        </w:p>
      </w:tc>
      <w:tc>
        <w:tcPr>
          <w:tcW w:w="3688" w:type="pct"/>
        </w:tcPr>
        <w:p w:rsidR="00EA1333" w:rsidRDefault="00EA1333" w:rsidP="004661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2EB4">
            <w:rPr>
              <w:i/>
              <w:sz w:val="18"/>
            </w:rPr>
            <w:t>Telecommunications Regulations 2021</w:t>
          </w:r>
          <w:r w:rsidRPr="007A1328">
            <w:rPr>
              <w:i/>
              <w:sz w:val="18"/>
            </w:rPr>
            <w:fldChar w:fldCharType="end"/>
          </w:r>
        </w:p>
      </w:tc>
      <w:tc>
        <w:tcPr>
          <w:tcW w:w="947" w:type="pct"/>
        </w:tcPr>
        <w:p w:rsidR="00EA1333" w:rsidRDefault="00EA1333" w:rsidP="0046619B">
          <w:pPr>
            <w:spacing w:line="0" w:lineRule="atLeast"/>
            <w:jc w:val="right"/>
            <w:rPr>
              <w:sz w:val="18"/>
            </w:rPr>
          </w:pPr>
        </w:p>
      </w:tc>
    </w:tr>
  </w:tbl>
  <w:p w:rsidR="00EA1333" w:rsidRPr="00040820" w:rsidRDefault="00040820" w:rsidP="00040820">
    <w:pPr>
      <w:rPr>
        <w:rFonts w:cs="Times New Roman"/>
        <w:i/>
        <w:sz w:val="18"/>
      </w:rPr>
    </w:pPr>
    <w:r w:rsidRPr="00040820">
      <w:rPr>
        <w:rFonts w:cs="Times New Roman"/>
        <w:i/>
        <w:sz w:val="18"/>
      </w:rPr>
      <w:t>OPC64913 -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D90ABA" w:rsidRDefault="00EA1333" w:rsidP="0046619B">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A1333" w:rsidTr="0046619B">
      <w:tc>
        <w:tcPr>
          <w:tcW w:w="947" w:type="pct"/>
        </w:tcPr>
        <w:p w:rsidR="00EA1333" w:rsidRDefault="00EA1333" w:rsidP="0046619B">
          <w:pPr>
            <w:spacing w:line="0" w:lineRule="atLeast"/>
            <w:rPr>
              <w:sz w:val="18"/>
            </w:rPr>
          </w:pPr>
        </w:p>
      </w:tc>
      <w:tc>
        <w:tcPr>
          <w:tcW w:w="3688" w:type="pct"/>
        </w:tcPr>
        <w:p w:rsidR="00EA1333" w:rsidRDefault="00EA1333" w:rsidP="004661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2EB4">
            <w:rPr>
              <w:i/>
              <w:sz w:val="18"/>
            </w:rPr>
            <w:t>Telecommunications Regulations 2021</w:t>
          </w:r>
          <w:r w:rsidRPr="007A1328">
            <w:rPr>
              <w:i/>
              <w:sz w:val="18"/>
            </w:rPr>
            <w:fldChar w:fldCharType="end"/>
          </w:r>
        </w:p>
      </w:tc>
      <w:tc>
        <w:tcPr>
          <w:tcW w:w="365" w:type="pct"/>
        </w:tcPr>
        <w:p w:rsidR="00EA1333" w:rsidRDefault="00EA1333" w:rsidP="0046619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161D1">
            <w:rPr>
              <w:i/>
              <w:noProof/>
              <w:sz w:val="18"/>
            </w:rPr>
            <w:t>31</w:t>
          </w:r>
          <w:r w:rsidRPr="00ED79B6">
            <w:rPr>
              <w:i/>
              <w:sz w:val="18"/>
            </w:rPr>
            <w:fldChar w:fldCharType="end"/>
          </w:r>
        </w:p>
      </w:tc>
    </w:tr>
  </w:tbl>
  <w:p w:rsidR="00EA1333" w:rsidRPr="00040820" w:rsidRDefault="00040820" w:rsidP="00040820">
    <w:pPr>
      <w:rPr>
        <w:rFonts w:cs="Times New Roman"/>
        <w:i/>
        <w:sz w:val="18"/>
      </w:rPr>
    </w:pPr>
    <w:r w:rsidRPr="00040820">
      <w:rPr>
        <w:rFonts w:cs="Times New Roman"/>
        <w:i/>
        <w:sz w:val="18"/>
      </w:rPr>
      <w:t>OPC64913 -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E33C1C" w:rsidRDefault="00EA1333" w:rsidP="0046619B">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EA1333" w:rsidTr="0046619B">
      <w:tc>
        <w:tcPr>
          <w:tcW w:w="817" w:type="pct"/>
          <w:tcBorders>
            <w:top w:val="nil"/>
            <w:left w:val="nil"/>
            <w:bottom w:val="nil"/>
            <w:right w:val="nil"/>
          </w:tcBorders>
        </w:tcPr>
        <w:p w:rsidR="00EA1333" w:rsidRDefault="00EA1333" w:rsidP="0046619B">
          <w:pPr>
            <w:spacing w:line="0" w:lineRule="atLeast"/>
            <w:rPr>
              <w:sz w:val="18"/>
            </w:rPr>
          </w:pPr>
        </w:p>
      </w:tc>
      <w:tc>
        <w:tcPr>
          <w:tcW w:w="3765" w:type="pct"/>
          <w:tcBorders>
            <w:top w:val="nil"/>
            <w:left w:val="nil"/>
            <w:bottom w:val="nil"/>
            <w:right w:val="nil"/>
          </w:tcBorders>
        </w:tcPr>
        <w:p w:rsidR="00EA1333" w:rsidRDefault="00EA1333" w:rsidP="004661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2EB4">
            <w:rPr>
              <w:i/>
              <w:sz w:val="18"/>
            </w:rPr>
            <w:t>Telecommunications Regulations 2021</w:t>
          </w:r>
          <w:r w:rsidRPr="007A1328">
            <w:rPr>
              <w:i/>
              <w:sz w:val="18"/>
            </w:rPr>
            <w:fldChar w:fldCharType="end"/>
          </w:r>
        </w:p>
      </w:tc>
      <w:tc>
        <w:tcPr>
          <w:tcW w:w="418" w:type="pct"/>
          <w:tcBorders>
            <w:top w:val="nil"/>
            <w:left w:val="nil"/>
            <w:bottom w:val="nil"/>
            <w:right w:val="nil"/>
          </w:tcBorders>
        </w:tcPr>
        <w:p w:rsidR="00EA1333" w:rsidRDefault="00EA1333" w:rsidP="0046619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161D1">
            <w:rPr>
              <w:i/>
              <w:noProof/>
              <w:sz w:val="18"/>
            </w:rPr>
            <w:t>32</w:t>
          </w:r>
          <w:r w:rsidRPr="00ED79B6">
            <w:rPr>
              <w:i/>
              <w:sz w:val="18"/>
            </w:rPr>
            <w:fldChar w:fldCharType="end"/>
          </w:r>
        </w:p>
      </w:tc>
    </w:tr>
  </w:tbl>
  <w:p w:rsidR="00EA1333" w:rsidRPr="00ED79B6" w:rsidRDefault="00EA1333" w:rsidP="0046619B">
    <w:pPr>
      <w:rPr>
        <w:i/>
        <w:sz w:val="18"/>
      </w:rPr>
    </w:pPr>
  </w:p>
  <w:p w:rsidR="00EA1333" w:rsidRPr="00040820" w:rsidRDefault="00040820" w:rsidP="00040820">
    <w:pPr>
      <w:pStyle w:val="Footer"/>
      <w:rPr>
        <w:i/>
        <w:sz w:val="18"/>
      </w:rPr>
    </w:pPr>
    <w:r w:rsidRPr="00040820">
      <w:rPr>
        <w:i/>
        <w:sz w:val="18"/>
      </w:rPr>
      <w:t>OPC64913 - 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D90ABA" w:rsidRDefault="00EA1333" w:rsidP="0046619B">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EA1333" w:rsidTr="0046619B">
      <w:tc>
        <w:tcPr>
          <w:tcW w:w="365" w:type="pct"/>
        </w:tcPr>
        <w:p w:rsidR="00EA1333" w:rsidRDefault="00EA1333" w:rsidP="0046619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161D1">
            <w:rPr>
              <w:i/>
              <w:noProof/>
              <w:sz w:val="18"/>
            </w:rPr>
            <w:t>32</w:t>
          </w:r>
          <w:r w:rsidRPr="00ED79B6">
            <w:rPr>
              <w:i/>
              <w:sz w:val="18"/>
            </w:rPr>
            <w:fldChar w:fldCharType="end"/>
          </w:r>
        </w:p>
      </w:tc>
      <w:tc>
        <w:tcPr>
          <w:tcW w:w="3688" w:type="pct"/>
        </w:tcPr>
        <w:p w:rsidR="00EA1333" w:rsidRDefault="00EA1333" w:rsidP="004661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2EB4">
            <w:rPr>
              <w:i/>
              <w:sz w:val="18"/>
            </w:rPr>
            <w:t>Telecommunications Regulations 2021</w:t>
          </w:r>
          <w:r w:rsidRPr="007A1328">
            <w:rPr>
              <w:i/>
              <w:sz w:val="18"/>
            </w:rPr>
            <w:fldChar w:fldCharType="end"/>
          </w:r>
        </w:p>
      </w:tc>
      <w:tc>
        <w:tcPr>
          <w:tcW w:w="947" w:type="pct"/>
        </w:tcPr>
        <w:p w:rsidR="00EA1333" w:rsidRDefault="00EA1333" w:rsidP="0046619B">
          <w:pPr>
            <w:spacing w:line="0" w:lineRule="atLeast"/>
            <w:jc w:val="right"/>
            <w:rPr>
              <w:sz w:val="18"/>
            </w:rPr>
          </w:pPr>
        </w:p>
      </w:tc>
    </w:tr>
  </w:tbl>
  <w:p w:rsidR="00EA1333" w:rsidRPr="00040820" w:rsidRDefault="00040820" w:rsidP="00040820">
    <w:pPr>
      <w:rPr>
        <w:rFonts w:cs="Times New Roman"/>
        <w:i/>
        <w:sz w:val="18"/>
      </w:rPr>
    </w:pPr>
    <w:r w:rsidRPr="00040820">
      <w:rPr>
        <w:rFonts w:cs="Times New Roman"/>
        <w:i/>
        <w:sz w:val="18"/>
      </w:rPr>
      <w:t>OPC64913 -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333" w:rsidRDefault="00EA1333" w:rsidP="00715914">
      <w:pPr>
        <w:spacing w:line="240" w:lineRule="auto"/>
      </w:pPr>
      <w:r>
        <w:separator/>
      </w:r>
    </w:p>
  </w:footnote>
  <w:footnote w:type="continuationSeparator" w:id="0">
    <w:p w:rsidR="00EA1333" w:rsidRDefault="00EA1333"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5F1388" w:rsidRDefault="00EA1333"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Default="00EA1333">
    <w:pPr>
      <w:jc w:val="right"/>
      <w:rPr>
        <w:sz w:val="20"/>
      </w:rPr>
    </w:pPr>
    <w:r>
      <w:rPr>
        <w:sz w:val="20"/>
      </w:rPr>
      <w:fldChar w:fldCharType="begin"/>
    </w:r>
    <w:r>
      <w:rPr>
        <w:sz w:val="20"/>
      </w:rPr>
      <w:instrText xml:space="preserve"> STYLEREF CharAmSchText </w:instrText>
    </w:r>
    <w:r>
      <w:rPr>
        <w:sz w:val="20"/>
      </w:rPr>
      <w:fldChar w:fldCharType="separate"/>
    </w:r>
    <w:r w:rsidR="00002EB4">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002EB4">
      <w:rPr>
        <w:b/>
        <w:noProof/>
        <w:sz w:val="20"/>
      </w:rPr>
      <w:t>Schedule 1</w:t>
    </w:r>
    <w:r>
      <w:rPr>
        <w:b/>
        <w:sz w:val="20"/>
      </w:rPr>
      <w:fldChar w:fldCharType="end"/>
    </w:r>
  </w:p>
  <w:p w:rsidR="00EA1333" w:rsidRDefault="00EA1333">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EA1333" w:rsidRDefault="00EA1333" w:rsidP="0046619B">
    <w:pPr>
      <w:pBdr>
        <w:bottom w:val="single" w:sz="6" w:space="1" w:color="auto"/>
      </w:pBdr>
      <w:spacing w:after="12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Default="00EA133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Default="00EA1333"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A1333" w:rsidRDefault="00EA1333"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02EB4">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02EB4">
      <w:rPr>
        <w:noProof/>
        <w:sz w:val="20"/>
      </w:rPr>
      <w:t>Application, saving and transitional provisions</w:t>
    </w:r>
    <w:r>
      <w:rPr>
        <w:sz w:val="20"/>
      </w:rPr>
      <w:fldChar w:fldCharType="end"/>
    </w:r>
  </w:p>
  <w:p w:rsidR="00EA1333" w:rsidRPr="007A1328" w:rsidRDefault="00EA1333" w:rsidP="00715914">
    <w:pPr>
      <w:rPr>
        <w:sz w:val="20"/>
      </w:rPr>
    </w:pPr>
    <w:r>
      <w:rPr>
        <w:b/>
        <w:sz w:val="20"/>
      </w:rPr>
      <w:fldChar w:fldCharType="begin"/>
    </w:r>
    <w:r>
      <w:rPr>
        <w:b/>
        <w:sz w:val="20"/>
      </w:rPr>
      <w:instrText xml:space="preserve"> STYLEREF CharDivNo </w:instrText>
    </w:r>
    <w:r>
      <w:rPr>
        <w:b/>
        <w:sz w:val="20"/>
      </w:rPr>
      <w:fldChar w:fldCharType="separate"/>
    </w:r>
    <w:r w:rsidR="00002EB4">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002EB4">
      <w:rPr>
        <w:noProof/>
        <w:sz w:val="20"/>
      </w:rPr>
      <w:t>Provisions for this instrument as originally made</w:t>
    </w:r>
    <w:r>
      <w:rPr>
        <w:sz w:val="20"/>
      </w:rPr>
      <w:fldChar w:fldCharType="end"/>
    </w:r>
  </w:p>
  <w:p w:rsidR="00EA1333" w:rsidRPr="007A1328" w:rsidRDefault="00EA1333" w:rsidP="00715914">
    <w:pPr>
      <w:rPr>
        <w:b/>
        <w:sz w:val="24"/>
      </w:rPr>
    </w:pPr>
  </w:p>
  <w:p w:rsidR="00EA1333" w:rsidRPr="007A1328" w:rsidRDefault="00EA1333" w:rsidP="0046619B">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002EB4">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02EB4">
      <w:rPr>
        <w:noProof/>
        <w:sz w:val="24"/>
      </w:rPr>
      <w:t>58</w:t>
    </w:r>
    <w:r w:rsidRPr="007A1328">
      <w:rPr>
        <w:sz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7A1328" w:rsidRDefault="00EA1333"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A1333" w:rsidRPr="007A1328" w:rsidRDefault="00EA1333"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02EB4">
      <w:rPr>
        <w:noProof/>
        <w:sz w:val="20"/>
      </w:rPr>
      <w:t>Application, saving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02EB4">
      <w:rPr>
        <w:b/>
        <w:noProof/>
        <w:sz w:val="20"/>
      </w:rPr>
      <w:t>Part 7</w:t>
    </w:r>
    <w:r>
      <w:rPr>
        <w:b/>
        <w:sz w:val="20"/>
      </w:rPr>
      <w:fldChar w:fldCharType="end"/>
    </w:r>
  </w:p>
  <w:p w:rsidR="00EA1333" w:rsidRPr="007A1328" w:rsidRDefault="00EA1333"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002EB4">
      <w:rPr>
        <w:noProof/>
        <w:sz w:val="20"/>
      </w:rPr>
      <w:t>Provisions for this instrument as originally made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002EB4">
      <w:rPr>
        <w:b/>
        <w:noProof/>
        <w:sz w:val="20"/>
      </w:rPr>
      <w:t>Division 1</w:t>
    </w:r>
    <w:r>
      <w:rPr>
        <w:b/>
        <w:sz w:val="20"/>
      </w:rPr>
      <w:fldChar w:fldCharType="end"/>
    </w:r>
  </w:p>
  <w:p w:rsidR="00EA1333" w:rsidRPr="007A1328" w:rsidRDefault="00EA1333" w:rsidP="00715914">
    <w:pPr>
      <w:jc w:val="right"/>
      <w:rPr>
        <w:b/>
        <w:sz w:val="24"/>
      </w:rPr>
    </w:pPr>
  </w:p>
  <w:p w:rsidR="00EA1333" w:rsidRPr="007A1328" w:rsidRDefault="00EA1333" w:rsidP="0046619B">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02EB4">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02EB4">
      <w:rPr>
        <w:noProof/>
        <w:sz w:val="24"/>
      </w:rPr>
      <w:t>58</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7A1328" w:rsidRDefault="00EA1333"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5F1388" w:rsidRDefault="00EA1333"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5F1388" w:rsidRDefault="00EA1333"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ED79B6" w:rsidRDefault="00EA1333"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ED79B6" w:rsidRDefault="00EA1333"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Pr="00ED79B6" w:rsidRDefault="00EA1333"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Default="00EA1333">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EA1333" w:rsidRDefault="00EA1333">
    <w:pPr>
      <w:rPr>
        <w:b/>
        <w:sz w:val="20"/>
      </w:rPr>
    </w:pPr>
    <w:r>
      <w:rPr>
        <w:b/>
        <w:sz w:val="20"/>
      </w:rPr>
      <w:fldChar w:fldCharType="begin"/>
    </w:r>
    <w:r>
      <w:rPr>
        <w:b/>
        <w:sz w:val="20"/>
      </w:rPr>
      <w:instrText xml:space="preserve"> STYLEREF CharPartNo </w:instrText>
    </w:r>
    <w:r w:rsidR="00F014C1">
      <w:rPr>
        <w:b/>
        <w:sz w:val="20"/>
      </w:rPr>
      <w:fldChar w:fldCharType="separate"/>
    </w:r>
    <w:r w:rsidR="00F014C1">
      <w:rPr>
        <w:b/>
        <w:noProof/>
        <w:sz w:val="20"/>
      </w:rPr>
      <w:t>Part 7</w:t>
    </w:r>
    <w:r>
      <w:rPr>
        <w:b/>
        <w:sz w:val="20"/>
      </w:rPr>
      <w:fldChar w:fldCharType="end"/>
    </w:r>
    <w:r>
      <w:rPr>
        <w:b/>
        <w:sz w:val="20"/>
      </w:rPr>
      <w:t xml:space="preserve">  </w:t>
    </w:r>
    <w:r>
      <w:rPr>
        <w:sz w:val="20"/>
      </w:rPr>
      <w:fldChar w:fldCharType="begin"/>
    </w:r>
    <w:r>
      <w:rPr>
        <w:sz w:val="20"/>
      </w:rPr>
      <w:instrText xml:space="preserve"> STYLEREF CharPartText </w:instrText>
    </w:r>
    <w:r w:rsidR="00F014C1">
      <w:rPr>
        <w:sz w:val="20"/>
      </w:rPr>
      <w:fldChar w:fldCharType="separate"/>
    </w:r>
    <w:r w:rsidR="00F014C1">
      <w:rPr>
        <w:noProof/>
        <w:sz w:val="20"/>
      </w:rPr>
      <w:t>Application, saving and transitional provisions</w:t>
    </w:r>
    <w:r>
      <w:rPr>
        <w:sz w:val="20"/>
      </w:rPr>
      <w:fldChar w:fldCharType="end"/>
    </w:r>
  </w:p>
  <w:p w:rsidR="00EA1333" w:rsidRDefault="00EA1333">
    <w:pPr>
      <w:rPr>
        <w:sz w:val="20"/>
      </w:rPr>
    </w:pPr>
    <w:r>
      <w:rPr>
        <w:b/>
        <w:sz w:val="20"/>
      </w:rPr>
      <w:fldChar w:fldCharType="begin"/>
    </w:r>
    <w:r>
      <w:rPr>
        <w:b/>
        <w:sz w:val="20"/>
      </w:rPr>
      <w:instrText xml:space="preserve"> STYLEREF CharDivNo </w:instrText>
    </w:r>
    <w:r w:rsidR="00F014C1">
      <w:rPr>
        <w:b/>
        <w:sz w:val="20"/>
      </w:rPr>
      <w:fldChar w:fldCharType="separate"/>
    </w:r>
    <w:r w:rsidR="00F014C1">
      <w:rPr>
        <w:b/>
        <w:noProof/>
        <w:sz w:val="20"/>
      </w:rPr>
      <w:t>Division 1</w:t>
    </w:r>
    <w:r>
      <w:rPr>
        <w:b/>
        <w:sz w:val="20"/>
      </w:rPr>
      <w:fldChar w:fldCharType="end"/>
    </w:r>
    <w:r>
      <w:rPr>
        <w:b/>
        <w:sz w:val="20"/>
      </w:rPr>
      <w:t xml:space="preserve">  </w:t>
    </w:r>
    <w:r>
      <w:rPr>
        <w:sz w:val="20"/>
      </w:rPr>
      <w:fldChar w:fldCharType="begin"/>
    </w:r>
    <w:r>
      <w:rPr>
        <w:sz w:val="20"/>
      </w:rPr>
      <w:instrText xml:space="preserve"> STYLEREF CharDivText </w:instrText>
    </w:r>
    <w:r w:rsidR="00F014C1">
      <w:rPr>
        <w:sz w:val="20"/>
      </w:rPr>
      <w:fldChar w:fldCharType="separate"/>
    </w:r>
    <w:r w:rsidR="00F014C1">
      <w:rPr>
        <w:noProof/>
        <w:sz w:val="20"/>
      </w:rPr>
      <w:t>Provisions for this instrument as originally made</w:t>
    </w:r>
    <w:r>
      <w:rPr>
        <w:sz w:val="20"/>
      </w:rPr>
      <w:fldChar w:fldCharType="end"/>
    </w:r>
  </w:p>
  <w:p w:rsidR="00EA1333" w:rsidRDefault="00EA1333">
    <w:pPr>
      <w:rPr>
        <w:b/>
        <w:sz w:val="24"/>
      </w:rPr>
    </w:pPr>
  </w:p>
  <w:p w:rsidR="00EA1333" w:rsidRDefault="00EA1333" w:rsidP="0046619B">
    <w:pPr>
      <w:pBdr>
        <w:bottom w:val="single" w:sz="6" w:space="1" w:color="auto"/>
      </w:pBdr>
      <w:spacing w:after="120"/>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F014C1">
      <w:rPr>
        <w:noProof/>
        <w:sz w:val="24"/>
      </w:rPr>
      <w:t>57</w:t>
    </w:r>
    <w:r>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Default="00EA1333">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EA1333" w:rsidRDefault="00EA1333">
    <w:pPr>
      <w:jc w:val="right"/>
      <w:rPr>
        <w:b/>
        <w:sz w:val="20"/>
      </w:rPr>
    </w:pPr>
    <w:r>
      <w:rPr>
        <w:sz w:val="20"/>
      </w:rPr>
      <w:fldChar w:fldCharType="begin"/>
    </w:r>
    <w:r>
      <w:rPr>
        <w:sz w:val="20"/>
      </w:rPr>
      <w:instrText xml:space="preserve"> STYLEREF CharPartText </w:instrText>
    </w:r>
    <w:r w:rsidR="00F014C1">
      <w:rPr>
        <w:sz w:val="20"/>
      </w:rPr>
      <w:fldChar w:fldCharType="separate"/>
    </w:r>
    <w:r w:rsidR="006A54C2">
      <w:rPr>
        <w:noProof/>
        <w:sz w:val="20"/>
      </w:rPr>
      <w:t>Preliminary</w:t>
    </w:r>
    <w:r>
      <w:rPr>
        <w:sz w:val="20"/>
      </w:rPr>
      <w:fldChar w:fldCharType="end"/>
    </w:r>
    <w:r>
      <w:rPr>
        <w:sz w:val="20"/>
      </w:rPr>
      <w:t xml:space="preserve">  </w:t>
    </w:r>
    <w:r>
      <w:rPr>
        <w:b/>
        <w:sz w:val="20"/>
      </w:rPr>
      <w:fldChar w:fldCharType="begin"/>
    </w:r>
    <w:r>
      <w:rPr>
        <w:b/>
        <w:sz w:val="20"/>
      </w:rPr>
      <w:instrText xml:space="preserve"> STYLEREF CharPartNo </w:instrText>
    </w:r>
    <w:r w:rsidR="00F014C1">
      <w:rPr>
        <w:b/>
        <w:sz w:val="20"/>
      </w:rPr>
      <w:fldChar w:fldCharType="separate"/>
    </w:r>
    <w:r w:rsidR="006A54C2">
      <w:rPr>
        <w:b/>
        <w:noProof/>
        <w:sz w:val="20"/>
      </w:rPr>
      <w:t>Part 1</w:t>
    </w:r>
    <w:r>
      <w:rPr>
        <w:b/>
        <w:sz w:val="20"/>
      </w:rPr>
      <w:fldChar w:fldCharType="end"/>
    </w:r>
  </w:p>
  <w:p w:rsidR="00EA1333" w:rsidRDefault="00EA1333">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EA1333" w:rsidRDefault="00EA1333">
    <w:pPr>
      <w:jc w:val="right"/>
      <w:rPr>
        <w:b/>
        <w:sz w:val="24"/>
      </w:rPr>
    </w:pPr>
  </w:p>
  <w:p w:rsidR="00EA1333" w:rsidRDefault="00EA1333" w:rsidP="0046619B">
    <w:pPr>
      <w:pBdr>
        <w:bottom w:val="single" w:sz="6" w:space="1" w:color="auto"/>
      </w:pBdr>
      <w:spacing w:after="120"/>
      <w:jc w:val="right"/>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6A54C2">
      <w:rPr>
        <w:noProof/>
        <w:sz w:val="24"/>
      </w:rPr>
      <w:t>1</w:t>
    </w:r>
    <w:r>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33" w:rsidRDefault="00EA1333">
    <w:pPr>
      <w:rPr>
        <w:sz w:val="20"/>
      </w:rPr>
    </w:pPr>
    <w:r>
      <w:rPr>
        <w:b/>
        <w:sz w:val="20"/>
      </w:rPr>
      <w:fldChar w:fldCharType="begin"/>
    </w:r>
    <w:r>
      <w:rPr>
        <w:b/>
        <w:sz w:val="20"/>
      </w:rPr>
      <w:instrText xml:space="preserve"> STYLEREF CharAmSchNo </w:instrText>
    </w:r>
    <w:r>
      <w:rPr>
        <w:b/>
        <w:sz w:val="20"/>
      </w:rPr>
      <w:fldChar w:fldCharType="separate"/>
    </w:r>
    <w:r w:rsidR="00F014C1">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F014C1">
      <w:rPr>
        <w:noProof/>
        <w:sz w:val="20"/>
      </w:rPr>
      <w:t>Repeals</w:t>
    </w:r>
    <w:r>
      <w:rPr>
        <w:sz w:val="20"/>
      </w:rPr>
      <w:fldChar w:fldCharType="end"/>
    </w:r>
  </w:p>
  <w:p w:rsidR="00EA1333" w:rsidRDefault="00EA1333">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EA1333" w:rsidRDefault="00EA1333" w:rsidP="0046619B">
    <w:pPr>
      <w:pBdr>
        <w:bottom w:val="single" w:sz="6" w:space="1" w:color="auto"/>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B611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47257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4164B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176AC"/>
    <w:multiLevelType w:val="hybridMultilevel"/>
    <w:tmpl w:val="19BA552A"/>
    <w:lvl w:ilvl="0" w:tplc="7DC8D5B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F61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0A64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C4321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D20531"/>
    <w:multiLevelType w:val="hybridMultilevel"/>
    <w:tmpl w:val="8F0C3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4C1C05A9"/>
    <w:multiLevelType w:val="hybridMultilevel"/>
    <w:tmpl w:val="C1C2E1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320E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E153D9"/>
    <w:multiLevelType w:val="hybridMultilevel"/>
    <w:tmpl w:val="EE9EC1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623F5D"/>
    <w:multiLevelType w:val="hybridMultilevel"/>
    <w:tmpl w:val="21D8A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14"/>
  </w:num>
  <w:num w:numId="14">
    <w:abstractNumId w:val="20"/>
  </w:num>
  <w:num w:numId="15">
    <w:abstractNumId w:val="17"/>
  </w:num>
  <w:num w:numId="16">
    <w:abstractNumId w:val="11"/>
  </w:num>
  <w:num w:numId="17">
    <w:abstractNumId w:val="27"/>
  </w:num>
  <w:num w:numId="18">
    <w:abstractNumId w:val="26"/>
  </w:num>
  <w:num w:numId="19">
    <w:abstractNumId w:val="23"/>
  </w:num>
  <w:num w:numId="20">
    <w:abstractNumId w:val="31"/>
  </w:num>
  <w:num w:numId="21">
    <w:abstractNumId w:val="24"/>
  </w:num>
  <w:num w:numId="22">
    <w:abstractNumId w:val="16"/>
  </w:num>
  <w:num w:numId="23">
    <w:abstractNumId w:val="29"/>
  </w:num>
  <w:num w:numId="24">
    <w:abstractNumId w:val="21"/>
  </w:num>
  <w:num w:numId="25">
    <w:abstractNumId w:val="13"/>
  </w:num>
  <w:num w:numId="26">
    <w:abstractNumId w:val="15"/>
  </w:num>
  <w:num w:numId="27">
    <w:abstractNumId w:val="22"/>
  </w:num>
  <w:num w:numId="28">
    <w:abstractNumId w:val="35"/>
  </w:num>
  <w:num w:numId="29">
    <w:abstractNumId w:val="10"/>
  </w:num>
  <w:num w:numId="30">
    <w:abstractNumId w:val="32"/>
  </w:num>
  <w:num w:numId="31">
    <w:abstractNumId w:val="19"/>
  </w:num>
  <w:num w:numId="32">
    <w:abstractNumId w:val="28"/>
  </w:num>
  <w:num w:numId="33">
    <w:abstractNumId w:val="18"/>
  </w:num>
  <w:num w:numId="34">
    <w:abstractNumId w:val="34"/>
  </w:num>
  <w:num w:numId="35">
    <w:abstractNumId w:val="25"/>
  </w:num>
  <w:num w:numId="36">
    <w:abstractNumId w:val="3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B68"/>
    <w:rsid w:val="00002EB4"/>
    <w:rsid w:val="00004470"/>
    <w:rsid w:val="000136AF"/>
    <w:rsid w:val="000219B7"/>
    <w:rsid w:val="00036410"/>
    <w:rsid w:val="00040820"/>
    <w:rsid w:val="00040BAD"/>
    <w:rsid w:val="000437C1"/>
    <w:rsid w:val="000448D6"/>
    <w:rsid w:val="00050432"/>
    <w:rsid w:val="000520A2"/>
    <w:rsid w:val="0005365D"/>
    <w:rsid w:val="000614BF"/>
    <w:rsid w:val="00080B60"/>
    <w:rsid w:val="00081EED"/>
    <w:rsid w:val="000834CB"/>
    <w:rsid w:val="00087603"/>
    <w:rsid w:val="000B04CA"/>
    <w:rsid w:val="000B58FA"/>
    <w:rsid w:val="000B7E30"/>
    <w:rsid w:val="000C1A08"/>
    <w:rsid w:val="000D05EF"/>
    <w:rsid w:val="000D1932"/>
    <w:rsid w:val="000D48BC"/>
    <w:rsid w:val="000D6F9F"/>
    <w:rsid w:val="000D77CC"/>
    <w:rsid w:val="000E2261"/>
    <w:rsid w:val="000E3EF4"/>
    <w:rsid w:val="000F21C1"/>
    <w:rsid w:val="000F3765"/>
    <w:rsid w:val="00102607"/>
    <w:rsid w:val="0010263C"/>
    <w:rsid w:val="0010745C"/>
    <w:rsid w:val="00110936"/>
    <w:rsid w:val="001143F3"/>
    <w:rsid w:val="00117886"/>
    <w:rsid w:val="00124BB0"/>
    <w:rsid w:val="00132CEB"/>
    <w:rsid w:val="0014231B"/>
    <w:rsid w:val="00142B62"/>
    <w:rsid w:val="00145238"/>
    <w:rsid w:val="0014539C"/>
    <w:rsid w:val="00151B80"/>
    <w:rsid w:val="00153893"/>
    <w:rsid w:val="00157B8B"/>
    <w:rsid w:val="00162EFA"/>
    <w:rsid w:val="00164AA5"/>
    <w:rsid w:val="00165218"/>
    <w:rsid w:val="00165E2F"/>
    <w:rsid w:val="00166A73"/>
    <w:rsid w:val="00166C2F"/>
    <w:rsid w:val="001721AC"/>
    <w:rsid w:val="001807E3"/>
    <w:rsid w:val="001809D7"/>
    <w:rsid w:val="001939E1"/>
    <w:rsid w:val="00194C3E"/>
    <w:rsid w:val="00195382"/>
    <w:rsid w:val="00196E8A"/>
    <w:rsid w:val="001A31BB"/>
    <w:rsid w:val="001A4AC5"/>
    <w:rsid w:val="001A6041"/>
    <w:rsid w:val="001A62EC"/>
    <w:rsid w:val="001C067A"/>
    <w:rsid w:val="001C61C5"/>
    <w:rsid w:val="001C69C4"/>
    <w:rsid w:val="001D094B"/>
    <w:rsid w:val="001D37EF"/>
    <w:rsid w:val="001D4BA9"/>
    <w:rsid w:val="001E3590"/>
    <w:rsid w:val="001E6134"/>
    <w:rsid w:val="001E7407"/>
    <w:rsid w:val="001F1722"/>
    <w:rsid w:val="001F18EE"/>
    <w:rsid w:val="001F5D5E"/>
    <w:rsid w:val="001F6219"/>
    <w:rsid w:val="001F6CD4"/>
    <w:rsid w:val="00206C4D"/>
    <w:rsid w:val="0021053C"/>
    <w:rsid w:val="00213D4B"/>
    <w:rsid w:val="002150FD"/>
    <w:rsid w:val="0021528F"/>
    <w:rsid w:val="00215AF1"/>
    <w:rsid w:val="002244C4"/>
    <w:rsid w:val="00226562"/>
    <w:rsid w:val="002321E8"/>
    <w:rsid w:val="00232F96"/>
    <w:rsid w:val="00236EEC"/>
    <w:rsid w:val="0024010F"/>
    <w:rsid w:val="00240749"/>
    <w:rsid w:val="00242AAA"/>
    <w:rsid w:val="00243018"/>
    <w:rsid w:val="002564A4"/>
    <w:rsid w:val="002635D0"/>
    <w:rsid w:val="0026736C"/>
    <w:rsid w:val="00267977"/>
    <w:rsid w:val="002761DD"/>
    <w:rsid w:val="00281308"/>
    <w:rsid w:val="002823E1"/>
    <w:rsid w:val="00284719"/>
    <w:rsid w:val="00285157"/>
    <w:rsid w:val="00293BBF"/>
    <w:rsid w:val="00295DAE"/>
    <w:rsid w:val="00297ECB"/>
    <w:rsid w:val="002A7BCF"/>
    <w:rsid w:val="002B2A16"/>
    <w:rsid w:val="002C4A40"/>
    <w:rsid w:val="002C4EF5"/>
    <w:rsid w:val="002D043A"/>
    <w:rsid w:val="002D2B39"/>
    <w:rsid w:val="002D6224"/>
    <w:rsid w:val="002D6604"/>
    <w:rsid w:val="002D7574"/>
    <w:rsid w:val="002E3F4B"/>
    <w:rsid w:val="002F008E"/>
    <w:rsid w:val="003049D8"/>
    <w:rsid w:val="00304F8B"/>
    <w:rsid w:val="003137C1"/>
    <w:rsid w:val="00333F28"/>
    <w:rsid w:val="003354D2"/>
    <w:rsid w:val="00335BC6"/>
    <w:rsid w:val="003402A4"/>
    <w:rsid w:val="003414D9"/>
    <w:rsid w:val="003415D3"/>
    <w:rsid w:val="00341BCF"/>
    <w:rsid w:val="00343465"/>
    <w:rsid w:val="00344701"/>
    <w:rsid w:val="00346351"/>
    <w:rsid w:val="00352B0F"/>
    <w:rsid w:val="00356690"/>
    <w:rsid w:val="00360459"/>
    <w:rsid w:val="003665EE"/>
    <w:rsid w:val="003741E6"/>
    <w:rsid w:val="0038085A"/>
    <w:rsid w:val="003840DB"/>
    <w:rsid w:val="003925AB"/>
    <w:rsid w:val="003B77A7"/>
    <w:rsid w:val="003C6231"/>
    <w:rsid w:val="003D0BFE"/>
    <w:rsid w:val="003D2B95"/>
    <w:rsid w:val="003D5700"/>
    <w:rsid w:val="003D5C71"/>
    <w:rsid w:val="003E31FA"/>
    <w:rsid w:val="003E341B"/>
    <w:rsid w:val="003F0C9A"/>
    <w:rsid w:val="004116CD"/>
    <w:rsid w:val="004140A4"/>
    <w:rsid w:val="004144EC"/>
    <w:rsid w:val="00417CFC"/>
    <w:rsid w:val="00417EB9"/>
    <w:rsid w:val="004208AD"/>
    <w:rsid w:val="00421C5B"/>
    <w:rsid w:val="00422617"/>
    <w:rsid w:val="00424CA9"/>
    <w:rsid w:val="00426B90"/>
    <w:rsid w:val="004303AB"/>
    <w:rsid w:val="00431E9B"/>
    <w:rsid w:val="00433A5B"/>
    <w:rsid w:val="004379E3"/>
    <w:rsid w:val="00437E5C"/>
    <w:rsid w:val="0044015E"/>
    <w:rsid w:val="0044291A"/>
    <w:rsid w:val="00443B00"/>
    <w:rsid w:val="00444ABD"/>
    <w:rsid w:val="00444FA7"/>
    <w:rsid w:val="0046122C"/>
    <w:rsid w:val="00461B3A"/>
    <w:rsid w:val="00461C81"/>
    <w:rsid w:val="00463ACC"/>
    <w:rsid w:val="0046619B"/>
    <w:rsid w:val="00467661"/>
    <w:rsid w:val="004705B7"/>
    <w:rsid w:val="00472DBE"/>
    <w:rsid w:val="00474A19"/>
    <w:rsid w:val="00491144"/>
    <w:rsid w:val="00496640"/>
    <w:rsid w:val="00496686"/>
    <w:rsid w:val="00496F97"/>
    <w:rsid w:val="004A3341"/>
    <w:rsid w:val="004A4B5F"/>
    <w:rsid w:val="004C6AE8"/>
    <w:rsid w:val="004D23EC"/>
    <w:rsid w:val="004D3593"/>
    <w:rsid w:val="004D5BAC"/>
    <w:rsid w:val="004E063A"/>
    <w:rsid w:val="004E4562"/>
    <w:rsid w:val="004E7BEC"/>
    <w:rsid w:val="004F20DE"/>
    <w:rsid w:val="004F4BD3"/>
    <w:rsid w:val="004F53FA"/>
    <w:rsid w:val="0050192A"/>
    <w:rsid w:val="0050354D"/>
    <w:rsid w:val="00505D3D"/>
    <w:rsid w:val="00506AF6"/>
    <w:rsid w:val="00516B8D"/>
    <w:rsid w:val="005265D2"/>
    <w:rsid w:val="00537FBC"/>
    <w:rsid w:val="00554954"/>
    <w:rsid w:val="005574D1"/>
    <w:rsid w:val="0056048E"/>
    <w:rsid w:val="005658DC"/>
    <w:rsid w:val="00571B63"/>
    <w:rsid w:val="00575BD3"/>
    <w:rsid w:val="00584811"/>
    <w:rsid w:val="00585784"/>
    <w:rsid w:val="0059240C"/>
    <w:rsid w:val="00593AA6"/>
    <w:rsid w:val="00594161"/>
    <w:rsid w:val="00594749"/>
    <w:rsid w:val="005A07FE"/>
    <w:rsid w:val="005A2F66"/>
    <w:rsid w:val="005A45ED"/>
    <w:rsid w:val="005B0BA4"/>
    <w:rsid w:val="005B4067"/>
    <w:rsid w:val="005B5FAB"/>
    <w:rsid w:val="005C3F41"/>
    <w:rsid w:val="005C7D31"/>
    <w:rsid w:val="005D2D09"/>
    <w:rsid w:val="005E24F4"/>
    <w:rsid w:val="00600219"/>
    <w:rsid w:val="00601D36"/>
    <w:rsid w:val="00603DC4"/>
    <w:rsid w:val="0061586C"/>
    <w:rsid w:val="00620076"/>
    <w:rsid w:val="006202FE"/>
    <w:rsid w:val="00633D5F"/>
    <w:rsid w:val="00634AB6"/>
    <w:rsid w:val="0063642C"/>
    <w:rsid w:val="00651819"/>
    <w:rsid w:val="00670238"/>
    <w:rsid w:val="00670EA1"/>
    <w:rsid w:val="00675327"/>
    <w:rsid w:val="00677CC2"/>
    <w:rsid w:val="00680F1A"/>
    <w:rsid w:val="00683D79"/>
    <w:rsid w:val="006848DA"/>
    <w:rsid w:val="006905DE"/>
    <w:rsid w:val="00690C90"/>
    <w:rsid w:val="0069207B"/>
    <w:rsid w:val="006944A8"/>
    <w:rsid w:val="006A54C2"/>
    <w:rsid w:val="006A659C"/>
    <w:rsid w:val="006B2274"/>
    <w:rsid w:val="006B5789"/>
    <w:rsid w:val="006C30C5"/>
    <w:rsid w:val="006C487B"/>
    <w:rsid w:val="006C7F8C"/>
    <w:rsid w:val="006D0CE6"/>
    <w:rsid w:val="006D430E"/>
    <w:rsid w:val="006D43F4"/>
    <w:rsid w:val="006D5099"/>
    <w:rsid w:val="006D707E"/>
    <w:rsid w:val="006E1698"/>
    <w:rsid w:val="006E2308"/>
    <w:rsid w:val="006E6246"/>
    <w:rsid w:val="006F318F"/>
    <w:rsid w:val="006F4226"/>
    <w:rsid w:val="0070017E"/>
    <w:rsid w:val="00700B2C"/>
    <w:rsid w:val="007050A2"/>
    <w:rsid w:val="00713084"/>
    <w:rsid w:val="00714F20"/>
    <w:rsid w:val="0071590F"/>
    <w:rsid w:val="00715914"/>
    <w:rsid w:val="00720148"/>
    <w:rsid w:val="007207D9"/>
    <w:rsid w:val="00731E00"/>
    <w:rsid w:val="00733ED6"/>
    <w:rsid w:val="007440B7"/>
    <w:rsid w:val="0074766F"/>
    <w:rsid w:val="007500C8"/>
    <w:rsid w:val="00751A34"/>
    <w:rsid w:val="00754AFC"/>
    <w:rsid w:val="00756272"/>
    <w:rsid w:val="0076681A"/>
    <w:rsid w:val="007715C9"/>
    <w:rsid w:val="00771613"/>
    <w:rsid w:val="00774E0E"/>
    <w:rsid w:val="00774EDD"/>
    <w:rsid w:val="007757EC"/>
    <w:rsid w:val="00777ACD"/>
    <w:rsid w:val="00783E89"/>
    <w:rsid w:val="00793139"/>
    <w:rsid w:val="00793915"/>
    <w:rsid w:val="007B0FAE"/>
    <w:rsid w:val="007B404A"/>
    <w:rsid w:val="007C1C3A"/>
    <w:rsid w:val="007C2253"/>
    <w:rsid w:val="007D5A63"/>
    <w:rsid w:val="007D78C1"/>
    <w:rsid w:val="007D7B81"/>
    <w:rsid w:val="007E07A0"/>
    <w:rsid w:val="007E163D"/>
    <w:rsid w:val="007E667A"/>
    <w:rsid w:val="007E79E6"/>
    <w:rsid w:val="007F004E"/>
    <w:rsid w:val="007F28C9"/>
    <w:rsid w:val="00803587"/>
    <w:rsid w:val="00804BC8"/>
    <w:rsid w:val="00807626"/>
    <w:rsid w:val="008117E9"/>
    <w:rsid w:val="00824498"/>
    <w:rsid w:val="00841B49"/>
    <w:rsid w:val="00856A31"/>
    <w:rsid w:val="00864B24"/>
    <w:rsid w:val="00867B37"/>
    <w:rsid w:val="008739E1"/>
    <w:rsid w:val="008754D0"/>
    <w:rsid w:val="008836D6"/>
    <w:rsid w:val="008855C9"/>
    <w:rsid w:val="008863F6"/>
    <w:rsid w:val="00886456"/>
    <w:rsid w:val="008938EE"/>
    <w:rsid w:val="00896E28"/>
    <w:rsid w:val="00897DD0"/>
    <w:rsid w:val="008A2720"/>
    <w:rsid w:val="008A4035"/>
    <w:rsid w:val="008A46E1"/>
    <w:rsid w:val="008A4F43"/>
    <w:rsid w:val="008A61DB"/>
    <w:rsid w:val="008B2706"/>
    <w:rsid w:val="008C361B"/>
    <w:rsid w:val="008D0EE0"/>
    <w:rsid w:val="008D21B5"/>
    <w:rsid w:val="008D786C"/>
    <w:rsid w:val="008E2D9F"/>
    <w:rsid w:val="008E4106"/>
    <w:rsid w:val="008E6067"/>
    <w:rsid w:val="008F319D"/>
    <w:rsid w:val="008F54E7"/>
    <w:rsid w:val="00903422"/>
    <w:rsid w:val="00915DF9"/>
    <w:rsid w:val="009254C3"/>
    <w:rsid w:val="009261FF"/>
    <w:rsid w:val="0093097D"/>
    <w:rsid w:val="00932377"/>
    <w:rsid w:val="00935B8A"/>
    <w:rsid w:val="009445EB"/>
    <w:rsid w:val="00947D5A"/>
    <w:rsid w:val="009532A5"/>
    <w:rsid w:val="00960096"/>
    <w:rsid w:val="0098034D"/>
    <w:rsid w:val="00982242"/>
    <w:rsid w:val="009868E9"/>
    <w:rsid w:val="009909EB"/>
    <w:rsid w:val="009A1B68"/>
    <w:rsid w:val="009A2BB7"/>
    <w:rsid w:val="009B01E4"/>
    <w:rsid w:val="009B0C39"/>
    <w:rsid w:val="009B1431"/>
    <w:rsid w:val="009B5AB3"/>
    <w:rsid w:val="009E0A0D"/>
    <w:rsid w:val="009E5CFC"/>
    <w:rsid w:val="009F2E57"/>
    <w:rsid w:val="00A079CB"/>
    <w:rsid w:val="00A12128"/>
    <w:rsid w:val="00A22C98"/>
    <w:rsid w:val="00A231E2"/>
    <w:rsid w:val="00A26EBF"/>
    <w:rsid w:val="00A454AE"/>
    <w:rsid w:val="00A5105B"/>
    <w:rsid w:val="00A56272"/>
    <w:rsid w:val="00A64912"/>
    <w:rsid w:val="00A671FC"/>
    <w:rsid w:val="00A70A74"/>
    <w:rsid w:val="00A744F8"/>
    <w:rsid w:val="00A819F6"/>
    <w:rsid w:val="00AA56D2"/>
    <w:rsid w:val="00AB1CD9"/>
    <w:rsid w:val="00AB5E13"/>
    <w:rsid w:val="00AD5641"/>
    <w:rsid w:val="00AD7889"/>
    <w:rsid w:val="00AE3652"/>
    <w:rsid w:val="00AF021B"/>
    <w:rsid w:val="00AF06CF"/>
    <w:rsid w:val="00B02DA3"/>
    <w:rsid w:val="00B05CF4"/>
    <w:rsid w:val="00B07CDB"/>
    <w:rsid w:val="00B11A65"/>
    <w:rsid w:val="00B16A31"/>
    <w:rsid w:val="00B17DFD"/>
    <w:rsid w:val="00B308FE"/>
    <w:rsid w:val="00B31E32"/>
    <w:rsid w:val="00B33709"/>
    <w:rsid w:val="00B33B3C"/>
    <w:rsid w:val="00B47F4D"/>
    <w:rsid w:val="00B50ADC"/>
    <w:rsid w:val="00B51033"/>
    <w:rsid w:val="00B553ED"/>
    <w:rsid w:val="00B566B1"/>
    <w:rsid w:val="00B63834"/>
    <w:rsid w:val="00B643F2"/>
    <w:rsid w:val="00B64EC0"/>
    <w:rsid w:val="00B65F8A"/>
    <w:rsid w:val="00B72734"/>
    <w:rsid w:val="00B80199"/>
    <w:rsid w:val="00B83204"/>
    <w:rsid w:val="00B94983"/>
    <w:rsid w:val="00B963B0"/>
    <w:rsid w:val="00BA0C87"/>
    <w:rsid w:val="00BA220B"/>
    <w:rsid w:val="00BA236B"/>
    <w:rsid w:val="00BA3A57"/>
    <w:rsid w:val="00BA691F"/>
    <w:rsid w:val="00BB4E1A"/>
    <w:rsid w:val="00BC015E"/>
    <w:rsid w:val="00BC76AC"/>
    <w:rsid w:val="00BD0ECB"/>
    <w:rsid w:val="00BE1826"/>
    <w:rsid w:val="00BE2155"/>
    <w:rsid w:val="00BE2213"/>
    <w:rsid w:val="00BE5AFE"/>
    <w:rsid w:val="00BE719A"/>
    <w:rsid w:val="00BE720A"/>
    <w:rsid w:val="00BF0D73"/>
    <w:rsid w:val="00BF2465"/>
    <w:rsid w:val="00C12B82"/>
    <w:rsid w:val="00C15522"/>
    <w:rsid w:val="00C25E7F"/>
    <w:rsid w:val="00C2746F"/>
    <w:rsid w:val="00C324A0"/>
    <w:rsid w:val="00C3300F"/>
    <w:rsid w:val="00C34BFC"/>
    <w:rsid w:val="00C42BF8"/>
    <w:rsid w:val="00C44760"/>
    <w:rsid w:val="00C50043"/>
    <w:rsid w:val="00C528A5"/>
    <w:rsid w:val="00C55821"/>
    <w:rsid w:val="00C705D6"/>
    <w:rsid w:val="00C7573B"/>
    <w:rsid w:val="00C90C69"/>
    <w:rsid w:val="00C93876"/>
    <w:rsid w:val="00C93C03"/>
    <w:rsid w:val="00C941D7"/>
    <w:rsid w:val="00CA4A80"/>
    <w:rsid w:val="00CB2C8E"/>
    <w:rsid w:val="00CB504F"/>
    <w:rsid w:val="00CB602E"/>
    <w:rsid w:val="00CC4BCD"/>
    <w:rsid w:val="00CE051D"/>
    <w:rsid w:val="00CE1335"/>
    <w:rsid w:val="00CE493D"/>
    <w:rsid w:val="00CF07FA"/>
    <w:rsid w:val="00CF0BB2"/>
    <w:rsid w:val="00CF3EE8"/>
    <w:rsid w:val="00D01CD3"/>
    <w:rsid w:val="00D04A9E"/>
    <w:rsid w:val="00D050E6"/>
    <w:rsid w:val="00D06101"/>
    <w:rsid w:val="00D10EED"/>
    <w:rsid w:val="00D13441"/>
    <w:rsid w:val="00D150E7"/>
    <w:rsid w:val="00D161D1"/>
    <w:rsid w:val="00D32F65"/>
    <w:rsid w:val="00D34BDA"/>
    <w:rsid w:val="00D35C8F"/>
    <w:rsid w:val="00D43E5D"/>
    <w:rsid w:val="00D52DC2"/>
    <w:rsid w:val="00D53BCC"/>
    <w:rsid w:val="00D61572"/>
    <w:rsid w:val="00D67E8A"/>
    <w:rsid w:val="00D70DFB"/>
    <w:rsid w:val="00D766DF"/>
    <w:rsid w:val="00D77C9D"/>
    <w:rsid w:val="00D86E1F"/>
    <w:rsid w:val="00D96474"/>
    <w:rsid w:val="00DA186E"/>
    <w:rsid w:val="00DA1B84"/>
    <w:rsid w:val="00DA3D60"/>
    <w:rsid w:val="00DA4116"/>
    <w:rsid w:val="00DB1E23"/>
    <w:rsid w:val="00DB251C"/>
    <w:rsid w:val="00DB2E3B"/>
    <w:rsid w:val="00DB32AD"/>
    <w:rsid w:val="00DB4630"/>
    <w:rsid w:val="00DB5DA9"/>
    <w:rsid w:val="00DC0CCB"/>
    <w:rsid w:val="00DC4F88"/>
    <w:rsid w:val="00DC6021"/>
    <w:rsid w:val="00DF1E5D"/>
    <w:rsid w:val="00DF31D0"/>
    <w:rsid w:val="00DF7102"/>
    <w:rsid w:val="00E01649"/>
    <w:rsid w:val="00E02182"/>
    <w:rsid w:val="00E05704"/>
    <w:rsid w:val="00E07A27"/>
    <w:rsid w:val="00E11E44"/>
    <w:rsid w:val="00E15B58"/>
    <w:rsid w:val="00E170DC"/>
    <w:rsid w:val="00E25617"/>
    <w:rsid w:val="00E25FCD"/>
    <w:rsid w:val="00E3270E"/>
    <w:rsid w:val="00E338EF"/>
    <w:rsid w:val="00E34AC3"/>
    <w:rsid w:val="00E41E03"/>
    <w:rsid w:val="00E544BB"/>
    <w:rsid w:val="00E552E1"/>
    <w:rsid w:val="00E61B0E"/>
    <w:rsid w:val="00E661F9"/>
    <w:rsid w:val="00E662CB"/>
    <w:rsid w:val="00E74DC7"/>
    <w:rsid w:val="00E76806"/>
    <w:rsid w:val="00E80178"/>
    <w:rsid w:val="00E8075A"/>
    <w:rsid w:val="00E9217F"/>
    <w:rsid w:val="00E94D5E"/>
    <w:rsid w:val="00EA1333"/>
    <w:rsid w:val="00EA39FD"/>
    <w:rsid w:val="00EA5EBA"/>
    <w:rsid w:val="00EA7100"/>
    <w:rsid w:val="00EA7F9F"/>
    <w:rsid w:val="00EB1274"/>
    <w:rsid w:val="00EB6AD0"/>
    <w:rsid w:val="00EC7F9C"/>
    <w:rsid w:val="00ED2BB6"/>
    <w:rsid w:val="00ED34E1"/>
    <w:rsid w:val="00ED3B8D"/>
    <w:rsid w:val="00ED659C"/>
    <w:rsid w:val="00EE45B0"/>
    <w:rsid w:val="00EF2E3A"/>
    <w:rsid w:val="00EF72B6"/>
    <w:rsid w:val="00F014C1"/>
    <w:rsid w:val="00F02BD8"/>
    <w:rsid w:val="00F04EE0"/>
    <w:rsid w:val="00F072A7"/>
    <w:rsid w:val="00F074A4"/>
    <w:rsid w:val="00F078DC"/>
    <w:rsid w:val="00F17E39"/>
    <w:rsid w:val="00F2131D"/>
    <w:rsid w:val="00F30E64"/>
    <w:rsid w:val="00F32BA8"/>
    <w:rsid w:val="00F349F1"/>
    <w:rsid w:val="00F4350D"/>
    <w:rsid w:val="00F567F7"/>
    <w:rsid w:val="00F62036"/>
    <w:rsid w:val="00F65B52"/>
    <w:rsid w:val="00F661B8"/>
    <w:rsid w:val="00F67BCA"/>
    <w:rsid w:val="00F73BD6"/>
    <w:rsid w:val="00F83989"/>
    <w:rsid w:val="00F85099"/>
    <w:rsid w:val="00F9379C"/>
    <w:rsid w:val="00F9632C"/>
    <w:rsid w:val="00FA0112"/>
    <w:rsid w:val="00FA1E52"/>
    <w:rsid w:val="00FB1409"/>
    <w:rsid w:val="00FB3F66"/>
    <w:rsid w:val="00FB7B4E"/>
    <w:rsid w:val="00FC11FD"/>
    <w:rsid w:val="00FC3072"/>
    <w:rsid w:val="00FC752F"/>
    <w:rsid w:val="00FE0E4B"/>
    <w:rsid w:val="00FE2EAA"/>
    <w:rsid w:val="00FE4688"/>
    <w:rsid w:val="00FE7E46"/>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671FC"/>
    <w:pPr>
      <w:spacing w:line="260" w:lineRule="atLeast"/>
    </w:pPr>
    <w:rPr>
      <w:sz w:val="22"/>
    </w:rPr>
  </w:style>
  <w:style w:type="paragraph" w:styleId="Heading1">
    <w:name w:val="heading 1"/>
    <w:basedOn w:val="Normal"/>
    <w:next w:val="Normal"/>
    <w:link w:val="Heading1Char"/>
    <w:uiPriority w:val="9"/>
    <w:qFormat/>
    <w:rsid w:val="00A671F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1F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71F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71F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671F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671F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671F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671F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671F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671FC"/>
  </w:style>
  <w:style w:type="paragraph" w:customStyle="1" w:styleId="OPCParaBase">
    <w:name w:val="OPCParaBase"/>
    <w:qFormat/>
    <w:rsid w:val="00A671FC"/>
    <w:pPr>
      <w:spacing w:line="260" w:lineRule="atLeast"/>
    </w:pPr>
    <w:rPr>
      <w:rFonts w:eastAsia="Times New Roman" w:cs="Times New Roman"/>
      <w:sz w:val="22"/>
      <w:lang w:eastAsia="en-AU"/>
    </w:rPr>
  </w:style>
  <w:style w:type="paragraph" w:customStyle="1" w:styleId="ShortT">
    <w:name w:val="ShortT"/>
    <w:basedOn w:val="OPCParaBase"/>
    <w:next w:val="Normal"/>
    <w:qFormat/>
    <w:rsid w:val="00A671FC"/>
    <w:pPr>
      <w:spacing w:line="240" w:lineRule="auto"/>
    </w:pPr>
    <w:rPr>
      <w:b/>
      <w:sz w:val="40"/>
    </w:rPr>
  </w:style>
  <w:style w:type="paragraph" w:customStyle="1" w:styleId="ActHead1">
    <w:name w:val="ActHead 1"/>
    <w:aliases w:val="c"/>
    <w:basedOn w:val="OPCParaBase"/>
    <w:next w:val="Normal"/>
    <w:qFormat/>
    <w:rsid w:val="00A671F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671F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671F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671F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671F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671F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671F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671F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671F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671FC"/>
  </w:style>
  <w:style w:type="paragraph" w:customStyle="1" w:styleId="Blocks">
    <w:name w:val="Blocks"/>
    <w:aliases w:val="bb"/>
    <w:basedOn w:val="OPCParaBase"/>
    <w:qFormat/>
    <w:rsid w:val="00A671FC"/>
    <w:pPr>
      <w:spacing w:line="240" w:lineRule="auto"/>
    </w:pPr>
    <w:rPr>
      <w:sz w:val="24"/>
    </w:rPr>
  </w:style>
  <w:style w:type="paragraph" w:customStyle="1" w:styleId="BoxText">
    <w:name w:val="BoxText"/>
    <w:aliases w:val="bt"/>
    <w:basedOn w:val="OPCParaBase"/>
    <w:qFormat/>
    <w:rsid w:val="00A671F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671FC"/>
    <w:rPr>
      <w:b/>
    </w:rPr>
  </w:style>
  <w:style w:type="paragraph" w:customStyle="1" w:styleId="BoxHeadItalic">
    <w:name w:val="BoxHeadItalic"/>
    <w:aliases w:val="bhi"/>
    <w:basedOn w:val="BoxText"/>
    <w:next w:val="BoxStep"/>
    <w:qFormat/>
    <w:rsid w:val="00A671FC"/>
    <w:rPr>
      <w:i/>
    </w:rPr>
  </w:style>
  <w:style w:type="paragraph" w:customStyle="1" w:styleId="BoxList">
    <w:name w:val="BoxList"/>
    <w:aliases w:val="bl"/>
    <w:basedOn w:val="BoxText"/>
    <w:qFormat/>
    <w:rsid w:val="00A671FC"/>
    <w:pPr>
      <w:ind w:left="1559" w:hanging="425"/>
    </w:pPr>
  </w:style>
  <w:style w:type="paragraph" w:customStyle="1" w:styleId="BoxNote">
    <w:name w:val="BoxNote"/>
    <w:aliases w:val="bn"/>
    <w:basedOn w:val="BoxText"/>
    <w:qFormat/>
    <w:rsid w:val="00A671FC"/>
    <w:pPr>
      <w:tabs>
        <w:tab w:val="left" w:pos="1985"/>
      </w:tabs>
      <w:spacing w:before="122" w:line="198" w:lineRule="exact"/>
      <w:ind w:left="2948" w:hanging="1814"/>
    </w:pPr>
    <w:rPr>
      <w:sz w:val="18"/>
    </w:rPr>
  </w:style>
  <w:style w:type="paragraph" w:customStyle="1" w:styleId="BoxPara">
    <w:name w:val="BoxPara"/>
    <w:aliases w:val="bp"/>
    <w:basedOn w:val="BoxText"/>
    <w:qFormat/>
    <w:rsid w:val="00A671FC"/>
    <w:pPr>
      <w:tabs>
        <w:tab w:val="right" w:pos="2268"/>
      </w:tabs>
      <w:ind w:left="2552" w:hanging="1418"/>
    </w:pPr>
  </w:style>
  <w:style w:type="paragraph" w:customStyle="1" w:styleId="BoxStep">
    <w:name w:val="BoxStep"/>
    <w:aliases w:val="bs"/>
    <w:basedOn w:val="BoxText"/>
    <w:qFormat/>
    <w:rsid w:val="00A671FC"/>
    <w:pPr>
      <w:ind w:left="1985" w:hanging="851"/>
    </w:pPr>
  </w:style>
  <w:style w:type="character" w:customStyle="1" w:styleId="CharAmPartNo">
    <w:name w:val="CharAmPartNo"/>
    <w:basedOn w:val="OPCCharBase"/>
    <w:qFormat/>
    <w:rsid w:val="00A671FC"/>
  </w:style>
  <w:style w:type="character" w:customStyle="1" w:styleId="CharAmPartText">
    <w:name w:val="CharAmPartText"/>
    <w:basedOn w:val="OPCCharBase"/>
    <w:qFormat/>
    <w:rsid w:val="00A671FC"/>
  </w:style>
  <w:style w:type="character" w:customStyle="1" w:styleId="CharAmSchNo">
    <w:name w:val="CharAmSchNo"/>
    <w:basedOn w:val="OPCCharBase"/>
    <w:qFormat/>
    <w:rsid w:val="00A671FC"/>
  </w:style>
  <w:style w:type="character" w:customStyle="1" w:styleId="CharAmSchText">
    <w:name w:val="CharAmSchText"/>
    <w:basedOn w:val="OPCCharBase"/>
    <w:qFormat/>
    <w:rsid w:val="00A671FC"/>
  </w:style>
  <w:style w:type="character" w:customStyle="1" w:styleId="CharBoldItalic">
    <w:name w:val="CharBoldItalic"/>
    <w:basedOn w:val="OPCCharBase"/>
    <w:uiPriority w:val="1"/>
    <w:qFormat/>
    <w:rsid w:val="00A671FC"/>
    <w:rPr>
      <w:b/>
      <w:i/>
    </w:rPr>
  </w:style>
  <w:style w:type="character" w:customStyle="1" w:styleId="CharChapNo">
    <w:name w:val="CharChapNo"/>
    <w:basedOn w:val="OPCCharBase"/>
    <w:uiPriority w:val="1"/>
    <w:qFormat/>
    <w:rsid w:val="00A671FC"/>
  </w:style>
  <w:style w:type="character" w:customStyle="1" w:styleId="CharChapText">
    <w:name w:val="CharChapText"/>
    <w:basedOn w:val="OPCCharBase"/>
    <w:uiPriority w:val="1"/>
    <w:qFormat/>
    <w:rsid w:val="00A671FC"/>
  </w:style>
  <w:style w:type="character" w:customStyle="1" w:styleId="CharDivNo">
    <w:name w:val="CharDivNo"/>
    <w:basedOn w:val="OPCCharBase"/>
    <w:uiPriority w:val="1"/>
    <w:qFormat/>
    <w:rsid w:val="00A671FC"/>
  </w:style>
  <w:style w:type="character" w:customStyle="1" w:styleId="CharDivText">
    <w:name w:val="CharDivText"/>
    <w:basedOn w:val="OPCCharBase"/>
    <w:uiPriority w:val="1"/>
    <w:qFormat/>
    <w:rsid w:val="00A671FC"/>
  </w:style>
  <w:style w:type="character" w:customStyle="1" w:styleId="CharItalic">
    <w:name w:val="CharItalic"/>
    <w:basedOn w:val="OPCCharBase"/>
    <w:uiPriority w:val="1"/>
    <w:qFormat/>
    <w:rsid w:val="00A671FC"/>
    <w:rPr>
      <w:i/>
    </w:rPr>
  </w:style>
  <w:style w:type="character" w:customStyle="1" w:styleId="CharPartNo">
    <w:name w:val="CharPartNo"/>
    <w:basedOn w:val="OPCCharBase"/>
    <w:uiPriority w:val="1"/>
    <w:qFormat/>
    <w:rsid w:val="00A671FC"/>
  </w:style>
  <w:style w:type="character" w:customStyle="1" w:styleId="CharPartText">
    <w:name w:val="CharPartText"/>
    <w:basedOn w:val="OPCCharBase"/>
    <w:uiPriority w:val="1"/>
    <w:qFormat/>
    <w:rsid w:val="00A671FC"/>
  </w:style>
  <w:style w:type="character" w:customStyle="1" w:styleId="CharSectno">
    <w:name w:val="CharSectno"/>
    <w:basedOn w:val="OPCCharBase"/>
    <w:qFormat/>
    <w:rsid w:val="00A671FC"/>
  </w:style>
  <w:style w:type="character" w:customStyle="1" w:styleId="CharSubdNo">
    <w:name w:val="CharSubdNo"/>
    <w:basedOn w:val="OPCCharBase"/>
    <w:uiPriority w:val="1"/>
    <w:qFormat/>
    <w:rsid w:val="00A671FC"/>
  </w:style>
  <w:style w:type="character" w:customStyle="1" w:styleId="CharSubdText">
    <w:name w:val="CharSubdText"/>
    <w:basedOn w:val="OPCCharBase"/>
    <w:uiPriority w:val="1"/>
    <w:qFormat/>
    <w:rsid w:val="00A671FC"/>
  </w:style>
  <w:style w:type="paragraph" w:customStyle="1" w:styleId="CTA--">
    <w:name w:val="CTA --"/>
    <w:basedOn w:val="OPCParaBase"/>
    <w:next w:val="Normal"/>
    <w:rsid w:val="00A671FC"/>
    <w:pPr>
      <w:spacing w:before="60" w:line="240" w:lineRule="atLeast"/>
      <w:ind w:left="142" w:hanging="142"/>
    </w:pPr>
    <w:rPr>
      <w:sz w:val="20"/>
    </w:rPr>
  </w:style>
  <w:style w:type="paragraph" w:customStyle="1" w:styleId="CTA-">
    <w:name w:val="CTA -"/>
    <w:basedOn w:val="OPCParaBase"/>
    <w:rsid w:val="00A671FC"/>
    <w:pPr>
      <w:spacing w:before="60" w:line="240" w:lineRule="atLeast"/>
      <w:ind w:left="85" w:hanging="85"/>
    </w:pPr>
    <w:rPr>
      <w:sz w:val="20"/>
    </w:rPr>
  </w:style>
  <w:style w:type="paragraph" w:customStyle="1" w:styleId="CTA---">
    <w:name w:val="CTA ---"/>
    <w:basedOn w:val="OPCParaBase"/>
    <w:next w:val="Normal"/>
    <w:rsid w:val="00A671FC"/>
    <w:pPr>
      <w:spacing w:before="60" w:line="240" w:lineRule="atLeast"/>
      <w:ind w:left="198" w:hanging="198"/>
    </w:pPr>
    <w:rPr>
      <w:sz w:val="20"/>
    </w:rPr>
  </w:style>
  <w:style w:type="paragraph" w:customStyle="1" w:styleId="CTA----">
    <w:name w:val="CTA ----"/>
    <w:basedOn w:val="OPCParaBase"/>
    <w:next w:val="Normal"/>
    <w:rsid w:val="00A671FC"/>
    <w:pPr>
      <w:spacing w:before="60" w:line="240" w:lineRule="atLeast"/>
      <w:ind w:left="255" w:hanging="255"/>
    </w:pPr>
    <w:rPr>
      <w:sz w:val="20"/>
    </w:rPr>
  </w:style>
  <w:style w:type="paragraph" w:customStyle="1" w:styleId="CTA1a">
    <w:name w:val="CTA 1(a)"/>
    <w:basedOn w:val="OPCParaBase"/>
    <w:rsid w:val="00A671FC"/>
    <w:pPr>
      <w:tabs>
        <w:tab w:val="right" w:pos="414"/>
      </w:tabs>
      <w:spacing w:before="40" w:line="240" w:lineRule="atLeast"/>
      <w:ind w:left="675" w:hanging="675"/>
    </w:pPr>
    <w:rPr>
      <w:sz w:val="20"/>
    </w:rPr>
  </w:style>
  <w:style w:type="paragraph" w:customStyle="1" w:styleId="CTA1ai">
    <w:name w:val="CTA 1(a)(i)"/>
    <w:basedOn w:val="OPCParaBase"/>
    <w:rsid w:val="00A671FC"/>
    <w:pPr>
      <w:tabs>
        <w:tab w:val="right" w:pos="1004"/>
      </w:tabs>
      <w:spacing w:before="40" w:line="240" w:lineRule="atLeast"/>
      <w:ind w:left="1253" w:hanging="1253"/>
    </w:pPr>
    <w:rPr>
      <w:sz w:val="20"/>
    </w:rPr>
  </w:style>
  <w:style w:type="paragraph" w:customStyle="1" w:styleId="CTA2a">
    <w:name w:val="CTA 2(a)"/>
    <w:basedOn w:val="OPCParaBase"/>
    <w:rsid w:val="00A671FC"/>
    <w:pPr>
      <w:tabs>
        <w:tab w:val="right" w:pos="482"/>
      </w:tabs>
      <w:spacing w:before="40" w:line="240" w:lineRule="atLeast"/>
      <w:ind w:left="748" w:hanging="748"/>
    </w:pPr>
    <w:rPr>
      <w:sz w:val="20"/>
    </w:rPr>
  </w:style>
  <w:style w:type="paragraph" w:customStyle="1" w:styleId="CTA2ai">
    <w:name w:val="CTA 2(a)(i)"/>
    <w:basedOn w:val="OPCParaBase"/>
    <w:rsid w:val="00A671FC"/>
    <w:pPr>
      <w:tabs>
        <w:tab w:val="right" w:pos="1089"/>
      </w:tabs>
      <w:spacing w:before="40" w:line="240" w:lineRule="atLeast"/>
      <w:ind w:left="1327" w:hanging="1327"/>
    </w:pPr>
    <w:rPr>
      <w:sz w:val="20"/>
    </w:rPr>
  </w:style>
  <w:style w:type="paragraph" w:customStyle="1" w:styleId="CTA3a">
    <w:name w:val="CTA 3(a)"/>
    <w:basedOn w:val="OPCParaBase"/>
    <w:rsid w:val="00A671FC"/>
    <w:pPr>
      <w:tabs>
        <w:tab w:val="right" w:pos="556"/>
      </w:tabs>
      <w:spacing w:before="40" w:line="240" w:lineRule="atLeast"/>
      <w:ind w:left="805" w:hanging="805"/>
    </w:pPr>
    <w:rPr>
      <w:sz w:val="20"/>
    </w:rPr>
  </w:style>
  <w:style w:type="paragraph" w:customStyle="1" w:styleId="CTA3ai">
    <w:name w:val="CTA 3(a)(i)"/>
    <w:basedOn w:val="OPCParaBase"/>
    <w:rsid w:val="00A671FC"/>
    <w:pPr>
      <w:tabs>
        <w:tab w:val="right" w:pos="1140"/>
      </w:tabs>
      <w:spacing w:before="40" w:line="240" w:lineRule="atLeast"/>
      <w:ind w:left="1361" w:hanging="1361"/>
    </w:pPr>
    <w:rPr>
      <w:sz w:val="20"/>
    </w:rPr>
  </w:style>
  <w:style w:type="paragraph" w:customStyle="1" w:styleId="CTA4a">
    <w:name w:val="CTA 4(a)"/>
    <w:basedOn w:val="OPCParaBase"/>
    <w:rsid w:val="00A671FC"/>
    <w:pPr>
      <w:tabs>
        <w:tab w:val="right" w:pos="624"/>
      </w:tabs>
      <w:spacing w:before="40" w:line="240" w:lineRule="atLeast"/>
      <w:ind w:left="873" w:hanging="873"/>
    </w:pPr>
    <w:rPr>
      <w:sz w:val="20"/>
    </w:rPr>
  </w:style>
  <w:style w:type="paragraph" w:customStyle="1" w:styleId="CTA4ai">
    <w:name w:val="CTA 4(a)(i)"/>
    <w:basedOn w:val="OPCParaBase"/>
    <w:rsid w:val="00A671FC"/>
    <w:pPr>
      <w:tabs>
        <w:tab w:val="right" w:pos="1213"/>
      </w:tabs>
      <w:spacing w:before="40" w:line="240" w:lineRule="atLeast"/>
      <w:ind w:left="1452" w:hanging="1452"/>
    </w:pPr>
    <w:rPr>
      <w:sz w:val="20"/>
    </w:rPr>
  </w:style>
  <w:style w:type="paragraph" w:customStyle="1" w:styleId="CTACAPS">
    <w:name w:val="CTA CAPS"/>
    <w:basedOn w:val="OPCParaBase"/>
    <w:rsid w:val="00A671FC"/>
    <w:pPr>
      <w:spacing w:before="60" w:line="240" w:lineRule="atLeast"/>
    </w:pPr>
    <w:rPr>
      <w:sz w:val="20"/>
    </w:rPr>
  </w:style>
  <w:style w:type="paragraph" w:customStyle="1" w:styleId="CTAright">
    <w:name w:val="CTA right"/>
    <w:basedOn w:val="OPCParaBase"/>
    <w:rsid w:val="00A671FC"/>
    <w:pPr>
      <w:spacing w:before="60" w:line="240" w:lineRule="auto"/>
      <w:jc w:val="right"/>
    </w:pPr>
    <w:rPr>
      <w:sz w:val="20"/>
    </w:rPr>
  </w:style>
  <w:style w:type="paragraph" w:customStyle="1" w:styleId="subsection">
    <w:name w:val="subsection"/>
    <w:aliases w:val="ss"/>
    <w:basedOn w:val="OPCParaBase"/>
    <w:link w:val="subsectionChar"/>
    <w:rsid w:val="00A671FC"/>
    <w:pPr>
      <w:tabs>
        <w:tab w:val="right" w:pos="1021"/>
      </w:tabs>
      <w:spacing w:before="180" w:line="240" w:lineRule="auto"/>
      <w:ind w:left="1134" w:hanging="1134"/>
    </w:pPr>
  </w:style>
  <w:style w:type="paragraph" w:customStyle="1" w:styleId="Definition">
    <w:name w:val="Definition"/>
    <w:aliases w:val="dd"/>
    <w:basedOn w:val="OPCParaBase"/>
    <w:rsid w:val="00A671FC"/>
    <w:pPr>
      <w:spacing w:before="180" w:line="240" w:lineRule="auto"/>
      <w:ind w:left="1134"/>
    </w:pPr>
  </w:style>
  <w:style w:type="paragraph" w:customStyle="1" w:styleId="EndNotespara">
    <w:name w:val="EndNotes(para)"/>
    <w:aliases w:val="eta"/>
    <w:basedOn w:val="OPCParaBase"/>
    <w:next w:val="EndNotessubpara"/>
    <w:rsid w:val="00A671F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671F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671F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671FC"/>
    <w:pPr>
      <w:tabs>
        <w:tab w:val="right" w:pos="1412"/>
      </w:tabs>
      <w:spacing w:before="60" w:line="240" w:lineRule="auto"/>
      <w:ind w:left="1525" w:hanging="1525"/>
    </w:pPr>
    <w:rPr>
      <w:sz w:val="20"/>
    </w:rPr>
  </w:style>
  <w:style w:type="paragraph" w:customStyle="1" w:styleId="Formula">
    <w:name w:val="Formula"/>
    <w:basedOn w:val="OPCParaBase"/>
    <w:rsid w:val="00A671FC"/>
    <w:pPr>
      <w:spacing w:line="240" w:lineRule="auto"/>
      <w:ind w:left="1134"/>
    </w:pPr>
    <w:rPr>
      <w:sz w:val="20"/>
    </w:rPr>
  </w:style>
  <w:style w:type="paragraph" w:styleId="Header">
    <w:name w:val="header"/>
    <w:basedOn w:val="OPCParaBase"/>
    <w:link w:val="HeaderChar"/>
    <w:unhideWhenUsed/>
    <w:rsid w:val="00A671F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671FC"/>
    <w:rPr>
      <w:rFonts w:eastAsia="Times New Roman" w:cs="Times New Roman"/>
      <w:sz w:val="16"/>
      <w:lang w:eastAsia="en-AU"/>
    </w:rPr>
  </w:style>
  <w:style w:type="paragraph" w:customStyle="1" w:styleId="House">
    <w:name w:val="House"/>
    <w:basedOn w:val="OPCParaBase"/>
    <w:rsid w:val="00A671FC"/>
    <w:pPr>
      <w:spacing w:line="240" w:lineRule="auto"/>
    </w:pPr>
    <w:rPr>
      <w:sz w:val="28"/>
    </w:rPr>
  </w:style>
  <w:style w:type="paragraph" w:customStyle="1" w:styleId="Item">
    <w:name w:val="Item"/>
    <w:aliases w:val="i"/>
    <w:basedOn w:val="OPCParaBase"/>
    <w:next w:val="ItemHead"/>
    <w:rsid w:val="00A671FC"/>
    <w:pPr>
      <w:keepLines/>
      <w:spacing w:before="80" w:line="240" w:lineRule="auto"/>
      <w:ind w:left="709"/>
    </w:pPr>
  </w:style>
  <w:style w:type="paragraph" w:customStyle="1" w:styleId="ItemHead">
    <w:name w:val="ItemHead"/>
    <w:aliases w:val="ih"/>
    <w:basedOn w:val="OPCParaBase"/>
    <w:next w:val="Item"/>
    <w:rsid w:val="00A671F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671FC"/>
    <w:pPr>
      <w:spacing w:line="240" w:lineRule="auto"/>
    </w:pPr>
    <w:rPr>
      <w:b/>
      <w:sz w:val="32"/>
    </w:rPr>
  </w:style>
  <w:style w:type="paragraph" w:customStyle="1" w:styleId="notedraft">
    <w:name w:val="note(draft)"/>
    <w:aliases w:val="nd"/>
    <w:basedOn w:val="OPCParaBase"/>
    <w:rsid w:val="00A671FC"/>
    <w:pPr>
      <w:spacing w:before="240" w:line="240" w:lineRule="auto"/>
      <w:ind w:left="284" w:hanging="284"/>
    </w:pPr>
    <w:rPr>
      <w:i/>
      <w:sz w:val="24"/>
    </w:rPr>
  </w:style>
  <w:style w:type="paragraph" w:customStyle="1" w:styleId="notemargin">
    <w:name w:val="note(margin)"/>
    <w:aliases w:val="nm"/>
    <w:basedOn w:val="OPCParaBase"/>
    <w:rsid w:val="00A671FC"/>
    <w:pPr>
      <w:tabs>
        <w:tab w:val="left" w:pos="709"/>
      </w:tabs>
      <w:spacing w:before="122" w:line="198" w:lineRule="exact"/>
      <w:ind w:left="709" w:hanging="709"/>
    </w:pPr>
    <w:rPr>
      <w:sz w:val="18"/>
    </w:rPr>
  </w:style>
  <w:style w:type="paragraph" w:customStyle="1" w:styleId="noteToPara">
    <w:name w:val="noteToPara"/>
    <w:aliases w:val="ntp"/>
    <w:basedOn w:val="OPCParaBase"/>
    <w:rsid w:val="00A671FC"/>
    <w:pPr>
      <w:spacing w:before="122" w:line="198" w:lineRule="exact"/>
      <w:ind w:left="2353" w:hanging="709"/>
    </w:pPr>
    <w:rPr>
      <w:sz w:val="18"/>
    </w:rPr>
  </w:style>
  <w:style w:type="paragraph" w:customStyle="1" w:styleId="noteParlAmend">
    <w:name w:val="note(ParlAmend)"/>
    <w:aliases w:val="npp"/>
    <w:basedOn w:val="OPCParaBase"/>
    <w:next w:val="ParlAmend"/>
    <w:rsid w:val="00A671FC"/>
    <w:pPr>
      <w:spacing w:line="240" w:lineRule="auto"/>
      <w:jc w:val="right"/>
    </w:pPr>
    <w:rPr>
      <w:rFonts w:ascii="Arial" w:hAnsi="Arial"/>
      <w:b/>
      <w:i/>
    </w:rPr>
  </w:style>
  <w:style w:type="paragraph" w:customStyle="1" w:styleId="Page1">
    <w:name w:val="Page1"/>
    <w:basedOn w:val="OPCParaBase"/>
    <w:rsid w:val="00A671FC"/>
    <w:pPr>
      <w:spacing w:before="5600" w:line="240" w:lineRule="auto"/>
    </w:pPr>
    <w:rPr>
      <w:b/>
      <w:sz w:val="32"/>
    </w:rPr>
  </w:style>
  <w:style w:type="paragraph" w:customStyle="1" w:styleId="PageBreak">
    <w:name w:val="PageBreak"/>
    <w:aliases w:val="pb"/>
    <w:basedOn w:val="OPCParaBase"/>
    <w:rsid w:val="00A671FC"/>
    <w:pPr>
      <w:spacing w:line="240" w:lineRule="auto"/>
    </w:pPr>
    <w:rPr>
      <w:sz w:val="20"/>
    </w:rPr>
  </w:style>
  <w:style w:type="paragraph" w:customStyle="1" w:styleId="paragraphsub">
    <w:name w:val="paragraph(sub)"/>
    <w:aliases w:val="aa"/>
    <w:basedOn w:val="OPCParaBase"/>
    <w:rsid w:val="00A671FC"/>
    <w:pPr>
      <w:tabs>
        <w:tab w:val="right" w:pos="1985"/>
      </w:tabs>
      <w:spacing w:before="40" w:line="240" w:lineRule="auto"/>
      <w:ind w:left="2098" w:hanging="2098"/>
    </w:pPr>
  </w:style>
  <w:style w:type="paragraph" w:customStyle="1" w:styleId="paragraphsub-sub">
    <w:name w:val="paragraph(sub-sub)"/>
    <w:aliases w:val="aaa"/>
    <w:basedOn w:val="OPCParaBase"/>
    <w:rsid w:val="00A671FC"/>
    <w:pPr>
      <w:tabs>
        <w:tab w:val="right" w:pos="2722"/>
      </w:tabs>
      <w:spacing w:before="40" w:line="240" w:lineRule="auto"/>
      <w:ind w:left="2835" w:hanging="2835"/>
    </w:pPr>
  </w:style>
  <w:style w:type="paragraph" w:customStyle="1" w:styleId="paragraph">
    <w:name w:val="paragraph"/>
    <w:aliases w:val="a"/>
    <w:basedOn w:val="OPCParaBase"/>
    <w:link w:val="paragraphChar"/>
    <w:rsid w:val="00A671FC"/>
    <w:pPr>
      <w:tabs>
        <w:tab w:val="right" w:pos="1531"/>
      </w:tabs>
      <w:spacing w:before="40" w:line="240" w:lineRule="auto"/>
      <w:ind w:left="1644" w:hanging="1644"/>
    </w:pPr>
  </w:style>
  <w:style w:type="paragraph" w:customStyle="1" w:styleId="ParlAmend">
    <w:name w:val="ParlAmend"/>
    <w:aliases w:val="pp"/>
    <w:basedOn w:val="OPCParaBase"/>
    <w:rsid w:val="00A671FC"/>
    <w:pPr>
      <w:spacing w:before="240" w:line="240" w:lineRule="atLeast"/>
      <w:ind w:hanging="567"/>
    </w:pPr>
    <w:rPr>
      <w:sz w:val="24"/>
    </w:rPr>
  </w:style>
  <w:style w:type="paragraph" w:customStyle="1" w:styleId="Penalty">
    <w:name w:val="Penalty"/>
    <w:basedOn w:val="OPCParaBase"/>
    <w:rsid w:val="00A671FC"/>
    <w:pPr>
      <w:tabs>
        <w:tab w:val="left" w:pos="2977"/>
      </w:tabs>
      <w:spacing w:before="180" w:line="240" w:lineRule="auto"/>
      <w:ind w:left="1985" w:hanging="851"/>
    </w:pPr>
  </w:style>
  <w:style w:type="paragraph" w:customStyle="1" w:styleId="Portfolio">
    <w:name w:val="Portfolio"/>
    <w:basedOn w:val="OPCParaBase"/>
    <w:rsid w:val="00A671FC"/>
    <w:pPr>
      <w:spacing w:line="240" w:lineRule="auto"/>
    </w:pPr>
    <w:rPr>
      <w:i/>
      <w:sz w:val="20"/>
    </w:rPr>
  </w:style>
  <w:style w:type="paragraph" w:customStyle="1" w:styleId="Preamble">
    <w:name w:val="Preamble"/>
    <w:basedOn w:val="OPCParaBase"/>
    <w:next w:val="Normal"/>
    <w:rsid w:val="00A671F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671FC"/>
    <w:pPr>
      <w:spacing w:line="240" w:lineRule="auto"/>
    </w:pPr>
    <w:rPr>
      <w:i/>
      <w:sz w:val="20"/>
    </w:rPr>
  </w:style>
  <w:style w:type="paragraph" w:customStyle="1" w:styleId="Session">
    <w:name w:val="Session"/>
    <w:basedOn w:val="OPCParaBase"/>
    <w:rsid w:val="00A671FC"/>
    <w:pPr>
      <w:spacing w:line="240" w:lineRule="auto"/>
    </w:pPr>
    <w:rPr>
      <w:sz w:val="28"/>
    </w:rPr>
  </w:style>
  <w:style w:type="paragraph" w:customStyle="1" w:styleId="Sponsor">
    <w:name w:val="Sponsor"/>
    <w:basedOn w:val="OPCParaBase"/>
    <w:rsid w:val="00A671FC"/>
    <w:pPr>
      <w:spacing w:line="240" w:lineRule="auto"/>
    </w:pPr>
    <w:rPr>
      <w:i/>
    </w:rPr>
  </w:style>
  <w:style w:type="paragraph" w:customStyle="1" w:styleId="Subitem">
    <w:name w:val="Subitem"/>
    <w:aliases w:val="iss"/>
    <w:basedOn w:val="OPCParaBase"/>
    <w:rsid w:val="00A671FC"/>
    <w:pPr>
      <w:spacing w:before="180" w:line="240" w:lineRule="auto"/>
      <w:ind w:left="709" w:hanging="709"/>
    </w:pPr>
  </w:style>
  <w:style w:type="paragraph" w:customStyle="1" w:styleId="SubitemHead">
    <w:name w:val="SubitemHead"/>
    <w:aliases w:val="issh"/>
    <w:basedOn w:val="OPCParaBase"/>
    <w:rsid w:val="00A671F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671FC"/>
    <w:pPr>
      <w:spacing w:before="40" w:line="240" w:lineRule="auto"/>
      <w:ind w:left="1134"/>
    </w:pPr>
  </w:style>
  <w:style w:type="paragraph" w:customStyle="1" w:styleId="SubsectionHead">
    <w:name w:val="SubsectionHead"/>
    <w:aliases w:val="ssh"/>
    <w:basedOn w:val="OPCParaBase"/>
    <w:next w:val="subsection"/>
    <w:rsid w:val="00A671FC"/>
    <w:pPr>
      <w:keepNext/>
      <w:keepLines/>
      <w:spacing w:before="240" w:line="240" w:lineRule="auto"/>
      <w:ind w:left="1134"/>
    </w:pPr>
    <w:rPr>
      <w:i/>
    </w:rPr>
  </w:style>
  <w:style w:type="paragraph" w:customStyle="1" w:styleId="Tablea">
    <w:name w:val="Table(a)"/>
    <w:aliases w:val="ta"/>
    <w:basedOn w:val="OPCParaBase"/>
    <w:rsid w:val="00A671FC"/>
    <w:pPr>
      <w:spacing w:before="60" w:line="240" w:lineRule="auto"/>
      <w:ind w:left="284" w:hanging="284"/>
    </w:pPr>
    <w:rPr>
      <w:sz w:val="20"/>
    </w:rPr>
  </w:style>
  <w:style w:type="paragraph" w:customStyle="1" w:styleId="TableAA">
    <w:name w:val="Table(AA)"/>
    <w:aliases w:val="taaa"/>
    <w:basedOn w:val="OPCParaBase"/>
    <w:rsid w:val="00A671F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671F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671FC"/>
    <w:pPr>
      <w:spacing w:before="60" w:line="240" w:lineRule="atLeast"/>
    </w:pPr>
    <w:rPr>
      <w:sz w:val="20"/>
    </w:rPr>
  </w:style>
  <w:style w:type="paragraph" w:customStyle="1" w:styleId="TLPBoxTextnote">
    <w:name w:val="TLPBoxText(note"/>
    <w:aliases w:val="right)"/>
    <w:basedOn w:val="OPCParaBase"/>
    <w:rsid w:val="00A671F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671F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671FC"/>
    <w:pPr>
      <w:spacing w:before="122" w:line="198" w:lineRule="exact"/>
      <w:ind w:left="1985" w:hanging="851"/>
      <w:jc w:val="right"/>
    </w:pPr>
    <w:rPr>
      <w:sz w:val="18"/>
    </w:rPr>
  </w:style>
  <w:style w:type="paragraph" w:customStyle="1" w:styleId="TLPTableBullet">
    <w:name w:val="TLPTableBullet"/>
    <w:aliases w:val="ttb"/>
    <w:basedOn w:val="OPCParaBase"/>
    <w:rsid w:val="00A671FC"/>
    <w:pPr>
      <w:spacing w:line="240" w:lineRule="exact"/>
      <w:ind w:left="284" w:hanging="284"/>
    </w:pPr>
    <w:rPr>
      <w:sz w:val="20"/>
    </w:rPr>
  </w:style>
  <w:style w:type="paragraph" w:styleId="TOC1">
    <w:name w:val="toc 1"/>
    <w:basedOn w:val="Normal"/>
    <w:next w:val="Normal"/>
    <w:uiPriority w:val="39"/>
    <w:unhideWhenUsed/>
    <w:rsid w:val="00A671F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A671F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A671F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A671F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A671F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A671F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A671F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A671F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A671F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A671FC"/>
    <w:pPr>
      <w:keepLines/>
      <w:spacing w:before="240" w:after="120" w:line="240" w:lineRule="auto"/>
      <w:ind w:left="794"/>
    </w:pPr>
    <w:rPr>
      <w:b/>
      <w:kern w:val="28"/>
      <w:sz w:val="20"/>
    </w:rPr>
  </w:style>
  <w:style w:type="paragraph" w:customStyle="1" w:styleId="TofSectsHeading">
    <w:name w:val="TofSects(Heading)"/>
    <w:basedOn w:val="OPCParaBase"/>
    <w:rsid w:val="00A671FC"/>
    <w:pPr>
      <w:spacing w:before="240" w:after="120" w:line="240" w:lineRule="auto"/>
    </w:pPr>
    <w:rPr>
      <w:b/>
      <w:sz w:val="24"/>
    </w:rPr>
  </w:style>
  <w:style w:type="paragraph" w:customStyle="1" w:styleId="TofSectsSection">
    <w:name w:val="TofSects(Section)"/>
    <w:basedOn w:val="OPCParaBase"/>
    <w:rsid w:val="00A671FC"/>
    <w:pPr>
      <w:keepLines/>
      <w:spacing w:before="40" w:line="240" w:lineRule="auto"/>
      <w:ind w:left="1588" w:hanging="794"/>
    </w:pPr>
    <w:rPr>
      <w:kern w:val="28"/>
      <w:sz w:val="18"/>
    </w:rPr>
  </w:style>
  <w:style w:type="paragraph" w:customStyle="1" w:styleId="TofSectsSubdiv">
    <w:name w:val="TofSects(Subdiv)"/>
    <w:basedOn w:val="OPCParaBase"/>
    <w:rsid w:val="00A671FC"/>
    <w:pPr>
      <w:keepLines/>
      <w:spacing w:before="80" w:line="240" w:lineRule="auto"/>
      <w:ind w:left="1588" w:hanging="794"/>
    </w:pPr>
    <w:rPr>
      <w:kern w:val="28"/>
    </w:rPr>
  </w:style>
  <w:style w:type="paragraph" w:customStyle="1" w:styleId="WRStyle">
    <w:name w:val="WR Style"/>
    <w:aliases w:val="WR"/>
    <w:basedOn w:val="OPCParaBase"/>
    <w:rsid w:val="00A671FC"/>
    <w:pPr>
      <w:spacing w:before="240" w:line="240" w:lineRule="auto"/>
      <w:ind w:left="284" w:hanging="284"/>
    </w:pPr>
    <w:rPr>
      <w:b/>
      <w:i/>
      <w:kern w:val="28"/>
      <w:sz w:val="24"/>
    </w:rPr>
  </w:style>
  <w:style w:type="paragraph" w:customStyle="1" w:styleId="notepara">
    <w:name w:val="note(para)"/>
    <w:aliases w:val="na"/>
    <w:basedOn w:val="OPCParaBase"/>
    <w:rsid w:val="00A671FC"/>
    <w:pPr>
      <w:spacing w:before="40" w:line="198" w:lineRule="exact"/>
      <w:ind w:left="2354" w:hanging="369"/>
    </w:pPr>
    <w:rPr>
      <w:sz w:val="18"/>
    </w:rPr>
  </w:style>
  <w:style w:type="paragraph" w:styleId="Footer">
    <w:name w:val="footer"/>
    <w:link w:val="FooterChar"/>
    <w:rsid w:val="00A671F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671FC"/>
    <w:rPr>
      <w:rFonts w:eastAsia="Times New Roman" w:cs="Times New Roman"/>
      <w:sz w:val="22"/>
      <w:szCs w:val="24"/>
      <w:lang w:eastAsia="en-AU"/>
    </w:rPr>
  </w:style>
  <w:style w:type="character" w:styleId="LineNumber">
    <w:name w:val="line number"/>
    <w:basedOn w:val="OPCCharBase"/>
    <w:uiPriority w:val="99"/>
    <w:unhideWhenUsed/>
    <w:rsid w:val="00A671FC"/>
    <w:rPr>
      <w:sz w:val="16"/>
    </w:rPr>
  </w:style>
  <w:style w:type="table" w:customStyle="1" w:styleId="CFlag">
    <w:name w:val="CFlag"/>
    <w:basedOn w:val="TableNormal"/>
    <w:uiPriority w:val="99"/>
    <w:rsid w:val="00A671FC"/>
    <w:rPr>
      <w:rFonts w:eastAsia="Times New Roman" w:cs="Times New Roman"/>
      <w:lang w:eastAsia="en-AU"/>
    </w:rPr>
    <w:tblPr/>
  </w:style>
  <w:style w:type="paragraph" w:styleId="BalloonText">
    <w:name w:val="Balloon Text"/>
    <w:basedOn w:val="Normal"/>
    <w:link w:val="BalloonTextChar"/>
    <w:uiPriority w:val="99"/>
    <w:unhideWhenUsed/>
    <w:rsid w:val="00A671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671FC"/>
    <w:rPr>
      <w:rFonts w:ascii="Tahoma" w:hAnsi="Tahoma" w:cs="Tahoma"/>
      <w:sz w:val="16"/>
      <w:szCs w:val="16"/>
    </w:rPr>
  </w:style>
  <w:style w:type="table" w:styleId="TableGrid">
    <w:name w:val="Table Grid"/>
    <w:basedOn w:val="TableNormal"/>
    <w:uiPriority w:val="59"/>
    <w:rsid w:val="00A6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671FC"/>
    <w:rPr>
      <w:b/>
      <w:sz w:val="28"/>
      <w:szCs w:val="32"/>
    </w:rPr>
  </w:style>
  <w:style w:type="paragraph" w:customStyle="1" w:styleId="LegislationMadeUnder">
    <w:name w:val="LegislationMadeUnder"/>
    <w:basedOn w:val="OPCParaBase"/>
    <w:next w:val="Normal"/>
    <w:rsid w:val="00A671FC"/>
    <w:rPr>
      <w:i/>
      <w:sz w:val="32"/>
      <w:szCs w:val="32"/>
    </w:rPr>
  </w:style>
  <w:style w:type="paragraph" w:customStyle="1" w:styleId="SignCoverPageEnd">
    <w:name w:val="SignCoverPageEnd"/>
    <w:basedOn w:val="OPCParaBase"/>
    <w:next w:val="Normal"/>
    <w:rsid w:val="00A671F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671FC"/>
    <w:pPr>
      <w:pBdr>
        <w:top w:val="single" w:sz="4" w:space="1" w:color="auto"/>
      </w:pBdr>
      <w:spacing w:before="360"/>
      <w:ind w:right="397"/>
      <w:jc w:val="both"/>
    </w:pPr>
  </w:style>
  <w:style w:type="paragraph" w:customStyle="1" w:styleId="NotesHeading1">
    <w:name w:val="NotesHeading 1"/>
    <w:basedOn w:val="OPCParaBase"/>
    <w:next w:val="Normal"/>
    <w:rsid w:val="00A671FC"/>
    <w:rPr>
      <w:b/>
      <w:sz w:val="28"/>
      <w:szCs w:val="28"/>
    </w:rPr>
  </w:style>
  <w:style w:type="paragraph" w:customStyle="1" w:styleId="NotesHeading2">
    <w:name w:val="NotesHeading 2"/>
    <w:basedOn w:val="OPCParaBase"/>
    <w:next w:val="Normal"/>
    <w:rsid w:val="00A671FC"/>
    <w:rPr>
      <w:b/>
      <w:sz w:val="28"/>
      <w:szCs w:val="28"/>
    </w:rPr>
  </w:style>
  <w:style w:type="paragraph" w:customStyle="1" w:styleId="CompiledActNo">
    <w:name w:val="CompiledActNo"/>
    <w:basedOn w:val="OPCParaBase"/>
    <w:next w:val="Normal"/>
    <w:rsid w:val="00A671FC"/>
    <w:rPr>
      <w:b/>
      <w:sz w:val="24"/>
      <w:szCs w:val="24"/>
    </w:rPr>
  </w:style>
  <w:style w:type="paragraph" w:customStyle="1" w:styleId="ENotesText">
    <w:name w:val="ENotesText"/>
    <w:aliases w:val="Ent"/>
    <w:basedOn w:val="OPCParaBase"/>
    <w:next w:val="Normal"/>
    <w:rsid w:val="00A671FC"/>
    <w:pPr>
      <w:spacing w:before="120"/>
    </w:pPr>
  </w:style>
  <w:style w:type="paragraph" w:customStyle="1" w:styleId="CompiledMadeUnder">
    <w:name w:val="CompiledMadeUnder"/>
    <w:basedOn w:val="OPCParaBase"/>
    <w:next w:val="Normal"/>
    <w:rsid w:val="00A671FC"/>
    <w:rPr>
      <w:i/>
      <w:sz w:val="24"/>
      <w:szCs w:val="24"/>
    </w:rPr>
  </w:style>
  <w:style w:type="paragraph" w:customStyle="1" w:styleId="Paragraphsub-sub-sub">
    <w:name w:val="Paragraph(sub-sub-sub)"/>
    <w:aliases w:val="aaaa"/>
    <w:basedOn w:val="OPCParaBase"/>
    <w:rsid w:val="00A671FC"/>
    <w:pPr>
      <w:tabs>
        <w:tab w:val="right" w:pos="3402"/>
      </w:tabs>
      <w:spacing w:before="40" w:line="240" w:lineRule="auto"/>
      <w:ind w:left="3402" w:hanging="3402"/>
    </w:pPr>
  </w:style>
  <w:style w:type="paragraph" w:customStyle="1" w:styleId="TableTextEndNotes">
    <w:name w:val="TableTextEndNotes"/>
    <w:aliases w:val="Tten"/>
    <w:basedOn w:val="Normal"/>
    <w:rsid w:val="00A671FC"/>
    <w:pPr>
      <w:spacing w:before="60" w:line="240" w:lineRule="auto"/>
    </w:pPr>
    <w:rPr>
      <w:rFonts w:cs="Arial"/>
      <w:sz w:val="20"/>
      <w:szCs w:val="22"/>
    </w:rPr>
  </w:style>
  <w:style w:type="paragraph" w:customStyle="1" w:styleId="NoteToSubpara">
    <w:name w:val="NoteToSubpara"/>
    <w:aliases w:val="nts"/>
    <w:basedOn w:val="OPCParaBase"/>
    <w:rsid w:val="00A671FC"/>
    <w:pPr>
      <w:spacing w:before="40" w:line="198" w:lineRule="exact"/>
      <w:ind w:left="2835" w:hanging="709"/>
    </w:pPr>
    <w:rPr>
      <w:sz w:val="18"/>
    </w:rPr>
  </w:style>
  <w:style w:type="paragraph" w:customStyle="1" w:styleId="ENoteTableHeading">
    <w:name w:val="ENoteTableHeading"/>
    <w:aliases w:val="enth"/>
    <w:basedOn w:val="OPCParaBase"/>
    <w:rsid w:val="00A671FC"/>
    <w:pPr>
      <w:keepNext/>
      <w:spacing w:before="60" w:line="240" w:lineRule="atLeast"/>
    </w:pPr>
    <w:rPr>
      <w:rFonts w:ascii="Arial" w:hAnsi="Arial"/>
      <w:b/>
      <w:sz w:val="16"/>
    </w:rPr>
  </w:style>
  <w:style w:type="paragraph" w:customStyle="1" w:styleId="ENoteTTi">
    <w:name w:val="ENoteTTi"/>
    <w:aliases w:val="entti"/>
    <w:basedOn w:val="OPCParaBase"/>
    <w:rsid w:val="00A671FC"/>
    <w:pPr>
      <w:keepNext/>
      <w:spacing w:before="60" w:line="240" w:lineRule="atLeast"/>
      <w:ind w:left="170"/>
    </w:pPr>
    <w:rPr>
      <w:sz w:val="16"/>
    </w:rPr>
  </w:style>
  <w:style w:type="paragraph" w:customStyle="1" w:styleId="ENotesHeading1">
    <w:name w:val="ENotesHeading 1"/>
    <w:aliases w:val="Enh1"/>
    <w:basedOn w:val="OPCParaBase"/>
    <w:next w:val="Normal"/>
    <w:rsid w:val="00A671FC"/>
    <w:pPr>
      <w:spacing w:before="120"/>
      <w:outlineLvl w:val="1"/>
    </w:pPr>
    <w:rPr>
      <w:b/>
      <w:sz w:val="28"/>
      <w:szCs w:val="28"/>
    </w:rPr>
  </w:style>
  <w:style w:type="paragraph" w:customStyle="1" w:styleId="ENotesHeading2">
    <w:name w:val="ENotesHeading 2"/>
    <w:aliases w:val="Enh2"/>
    <w:basedOn w:val="OPCParaBase"/>
    <w:next w:val="Normal"/>
    <w:rsid w:val="00A671FC"/>
    <w:pPr>
      <w:spacing w:before="120" w:after="120"/>
      <w:outlineLvl w:val="2"/>
    </w:pPr>
    <w:rPr>
      <w:b/>
      <w:sz w:val="24"/>
      <w:szCs w:val="28"/>
    </w:rPr>
  </w:style>
  <w:style w:type="paragraph" w:customStyle="1" w:styleId="ENoteTTIndentHeading">
    <w:name w:val="ENoteTTIndentHeading"/>
    <w:aliases w:val="enTTHi"/>
    <w:basedOn w:val="OPCParaBase"/>
    <w:rsid w:val="00A671F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671FC"/>
    <w:pPr>
      <w:spacing w:before="60" w:line="240" w:lineRule="atLeast"/>
    </w:pPr>
    <w:rPr>
      <w:sz w:val="16"/>
    </w:rPr>
  </w:style>
  <w:style w:type="paragraph" w:customStyle="1" w:styleId="MadeunderText">
    <w:name w:val="MadeunderText"/>
    <w:basedOn w:val="OPCParaBase"/>
    <w:next w:val="Normal"/>
    <w:rsid w:val="00A671FC"/>
    <w:pPr>
      <w:spacing w:before="240"/>
    </w:pPr>
    <w:rPr>
      <w:sz w:val="24"/>
      <w:szCs w:val="24"/>
    </w:rPr>
  </w:style>
  <w:style w:type="paragraph" w:customStyle="1" w:styleId="ENotesHeading3">
    <w:name w:val="ENotesHeading 3"/>
    <w:aliases w:val="Enh3"/>
    <w:basedOn w:val="OPCParaBase"/>
    <w:next w:val="Normal"/>
    <w:rsid w:val="00A671FC"/>
    <w:pPr>
      <w:keepNext/>
      <w:spacing w:before="120" w:line="240" w:lineRule="auto"/>
      <w:outlineLvl w:val="4"/>
    </w:pPr>
    <w:rPr>
      <w:b/>
      <w:szCs w:val="24"/>
    </w:rPr>
  </w:style>
  <w:style w:type="character" w:customStyle="1" w:styleId="CharSubPartTextCASA">
    <w:name w:val="CharSubPartText(CASA)"/>
    <w:basedOn w:val="OPCCharBase"/>
    <w:uiPriority w:val="1"/>
    <w:rsid w:val="00A671FC"/>
  </w:style>
  <w:style w:type="character" w:customStyle="1" w:styleId="CharSubPartNoCASA">
    <w:name w:val="CharSubPartNo(CASA)"/>
    <w:basedOn w:val="OPCCharBase"/>
    <w:uiPriority w:val="1"/>
    <w:rsid w:val="00A671FC"/>
  </w:style>
  <w:style w:type="paragraph" w:customStyle="1" w:styleId="ENoteTTIndentHeadingSub">
    <w:name w:val="ENoteTTIndentHeadingSub"/>
    <w:aliases w:val="enTTHis"/>
    <w:basedOn w:val="OPCParaBase"/>
    <w:rsid w:val="00A671FC"/>
    <w:pPr>
      <w:keepNext/>
      <w:spacing w:before="60" w:line="240" w:lineRule="atLeast"/>
      <w:ind w:left="340"/>
    </w:pPr>
    <w:rPr>
      <w:b/>
      <w:sz w:val="16"/>
    </w:rPr>
  </w:style>
  <w:style w:type="paragraph" w:customStyle="1" w:styleId="ENoteTTiSub">
    <w:name w:val="ENoteTTiSub"/>
    <w:aliases w:val="enttis"/>
    <w:basedOn w:val="OPCParaBase"/>
    <w:rsid w:val="00A671FC"/>
    <w:pPr>
      <w:keepNext/>
      <w:spacing w:before="60" w:line="240" w:lineRule="atLeast"/>
      <w:ind w:left="340"/>
    </w:pPr>
    <w:rPr>
      <w:sz w:val="16"/>
    </w:rPr>
  </w:style>
  <w:style w:type="paragraph" w:customStyle="1" w:styleId="SubDivisionMigration">
    <w:name w:val="SubDivisionMigration"/>
    <w:aliases w:val="sdm"/>
    <w:basedOn w:val="OPCParaBase"/>
    <w:rsid w:val="00A671F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671F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671FC"/>
    <w:pPr>
      <w:spacing w:before="122" w:line="240" w:lineRule="auto"/>
      <w:ind w:left="1985" w:hanging="851"/>
    </w:pPr>
    <w:rPr>
      <w:sz w:val="18"/>
    </w:rPr>
  </w:style>
  <w:style w:type="paragraph" w:customStyle="1" w:styleId="FreeForm">
    <w:name w:val="FreeForm"/>
    <w:rsid w:val="00A671FC"/>
    <w:rPr>
      <w:rFonts w:ascii="Arial" w:hAnsi="Arial"/>
      <w:sz w:val="22"/>
    </w:rPr>
  </w:style>
  <w:style w:type="paragraph" w:customStyle="1" w:styleId="SOText">
    <w:name w:val="SO Text"/>
    <w:aliases w:val="sot"/>
    <w:link w:val="SOTextChar"/>
    <w:rsid w:val="00A671F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671FC"/>
    <w:rPr>
      <w:sz w:val="22"/>
    </w:rPr>
  </w:style>
  <w:style w:type="paragraph" w:customStyle="1" w:styleId="SOTextNote">
    <w:name w:val="SO TextNote"/>
    <w:aliases w:val="sont"/>
    <w:basedOn w:val="SOText"/>
    <w:qFormat/>
    <w:rsid w:val="00A671FC"/>
    <w:pPr>
      <w:spacing w:before="122" w:line="198" w:lineRule="exact"/>
      <w:ind w:left="1843" w:hanging="709"/>
    </w:pPr>
    <w:rPr>
      <w:sz w:val="18"/>
    </w:rPr>
  </w:style>
  <w:style w:type="paragraph" w:customStyle="1" w:styleId="SOPara">
    <w:name w:val="SO Para"/>
    <w:aliases w:val="soa"/>
    <w:basedOn w:val="SOText"/>
    <w:link w:val="SOParaChar"/>
    <w:qFormat/>
    <w:rsid w:val="00A671FC"/>
    <w:pPr>
      <w:tabs>
        <w:tab w:val="right" w:pos="1786"/>
      </w:tabs>
      <w:spacing w:before="40"/>
      <w:ind w:left="2070" w:hanging="936"/>
    </w:pPr>
  </w:style>
  <w:style w:type="character" w:customStyle="1" w:styleId="SOParaChar">
    <w:name w:val="SO Para Char"/>
    <w:aliases w:val="soa Char"/>
    <w:basedOn w:val="DefaultParagraphFont"/>
    <w:link w:val="SOPara"/>
    <w:rsid w:val="00A671FC"/>
    <w:rPr>
      <w:sz w:val="22"/>
    </w:rPr>
  </w:style>
  <w:style w:type="paragraph" w:customStyle="1" w:styleId="FileName">
    <w:name w:val="FileName"/>
    <w:basedOn w:val="Normal"/>
    <w:rsid w:val="00A671FC"/>
  </w:style>
  <w:style w:type="paragraph" w:customStyle="1" w:styleId="TableHeading">
    <w:name w:val="TableHeading"/>
    <w:aliases w:val="th"/>
    <w:basedOn w:val="OPCParaBase"/>
    <w:next w:val="Tabletext"/>
    <w:rsid w:val="00A671FC"/>
    <w:pPr>
      <w:keepNext/>
      <w:spacing w:before="60" w:line="240" w:lineRule="atLeast"/>
    </w:pPr>
    <w:rPr>
      <w:b/>
      <w:sz w:val="20"/>
    </w:rPr>
  </w:style>
  <w:style w:type="paragraph" w:customStyle="1" w:styleId="SOHeadBold">
    <w:name w:val="SO HeadBold"/>
    <w:aliases w:val="sohb"/>
    <w:basedOn w:val="SOText"/>
    <w:next w:val="SOText"/>
    <w:link w:val="SOHeadBoldChar"/>
    <w:qFormat/>
    <w:rsid w:val="00A671FC"/>
    <w:rPr>
      <w:b/>
    </w:rPr>
  </w:style>
  <w:style w:type="character" w:customStyle="1" w:styleId="SOHeadBoldChar">
    <w:name w:val="SO HeadBold Char"/>
    <w:aliases w:val="sohb Char"/>
    <w:basedOn w:val="DefaultParagraphFont"/>
    <w:link w:val="SOHeadBold"/>
    <w:rsid w:val="00A671FC"/>
    <w:rPr>
      <w:b/>
      <w:sz w:val="22"/>
    </w:rPr>
  </w:style>
  <w:style w:type="paragraph" w:customStyle="1" w:styleId="SOHeadItalic">
    <w:name w:val="SO HeadItalic"/>
    <w:aliases w:val="sohi"/>
    <w:basedOn w:val="SOText"/>
    <w:next w:val="SOText"/>
    <w:link w:val="SOHeadItalicChar"/>
    <w:qFormat/>
    <w:rsid w:val="00A671FC"/>
    <w:rPr>
      <w:i/>
    </w:rPr>
  </w:style>
  <w:style w:type="character" w:customStyle="1" w:styleId="SOHeadItalicChar">
    <w:name w:val="SO HeadItalic Char"/>
    <w:aliases w:val="sohi Char"/>
    <w:basedOn w:val="DefaultParagraphFont"/>
    <w:link w:val="SOHeadItalic"/>
    <w:rsid w:val="00A671FC"/>
    <w:rPr>
      <w:i/>
      <w:sz w:val="22"/>
    </w:rPr>
  </w:style>
  <w:style w:type="paragraph" w:customStyle="1" w:styleId="SOBullet">
    <w:name w:val="SO Bullet"/>
    <w:aliases w:val="sotb"/>
    <w:basedOn w:val="SOText"/>
    <w:link w:val="SOBulletChar"/>
    <w:qFormat/>
    <w:rsid w:val="00A671FC"/>
    <w:pPr>
      <w:ind w:left="1559" w:hanging="425"/>
    </w:pPr>
  </w:style>
  <w:style w:type="character" w:customStyle="1" w:styleId="SOBulletChar">
    <w:name w:val="SO Bullet Char"/>
    <w:aliases w:val="sotb Char"/>
    <w:basedOn w:val="DefaultParagraphFont"/>
    <w:link w:val="SOBullet"/>
    <w:rsid w:val="00A671FC"/>
    <w:rPr>
      <w:sz w:val="22"/>
    </w:rPr>
  </w:style>
  <w:style w:type="paragraph" w:customStyle="1" w:styleId="SOBulletNote">
    <w:name w:val="SO BulletNote"/>
    <w:aliases w:val="sonb"/>
    <w:basedOn w:val="SOTextNote"/>
    <w:link w:val="SOBulletNoteChar"/>
    <w:qFormat/>
    <w:rsid w:val="00A671FC"/>
    <w:pPr>
      <w:tabs>
        <w:tab w:val="left" w:pos="1560"/>
      </w:tabs>
      <w:ind w:left="2268" w:hanging="1134"/>
    </w:pPr>
  </w:style>
  <w:style w:type="character" w:customStyle="1" w:styleId="SOBulletNoteChar">
    <w:name w:val="SO BulletNote Char"/>
    <w:aliases w:val="sonb Char"/>
    <w:basedOn w:val="DefaultParagraphFont"/>
    <w:link w:val="SOBulletNote"/>
    <w:rsid w:val="00A671FC"/>
    <w:rPr>
      <w:sz w:val="18"/>
    </w:rPr>
  </w:style>
  <w:style w:type="paragraph" w:customStyle="1" w:styleId="SOText2">
    <w:name w:val="SO Text2"/>
    <w:aliases w:val="sot2"/>
    <w:basedOn w:val="Normal"/>
    <w:next w:val="SOText"/>
    <w:link w:val="SOText2Char"/>
    <w:rsid w:val="00A671F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671FC"/>
    <w:rPr>
      <w:sz w:val="22"/>
    </w:rPr>
  </w:style>
  <w:style w:type="paragraph" w:customStyle="1" w:styleId="SubPartCASA">
    <w:name w:val="SubPart(CASA)"/>
    <w:aliases w:val="csp"/>
    <w:basedOn w:val="OPCParaBase"/>
    <w:next w:val="ActHead3"/>
    <w:rsid w:val="00A671F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A671FC"/>
    <w:rPr>
      <w:rFonts w:eastAsia="Times New Roman" w:cs="Times New Roman"/>
      <w:sz w:val="22"/>
      <w:lang w:eastAsia="en-AU"/>
    </w:rPr>
  </w:style>
  <w:style w:type="character" w:customStyle="1" w:styleId="notetextChar">
    <w:name w:val="note(text) Char"/>
    <w:aliases w:val="n Char"/>
    <w:basedOn w:val="DefaultParagraphFont"/>
    <w:link w:val="notetext"/>
    <w:rsid w:val="00A671FC"/>
    <w:rPr>
      <w:rFonts w:eastAsia="Times New Roman" w:cs="Times New Roman"/>
      <w:sz w:val="18"/>
      <w:lang w:eastAsia="en-AU"/>
    </w:rPr>
  </w:style>
  <w:style w:type="character" w:customStyle="1" w:styleId="Heading1Char">
    <w:name w:val="Heading 1 Char"/>
    <w:basedOn w:val="DefaultParagraphFont"/>
    <w:link w:val="Heading1"/>
    <w:uiPriority w:val="9"/>
    <w:rsid w:val="00A67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7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71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671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A671F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A671F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A671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A671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671FC"/>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A671FC"/>
    <w:rPr>
      <w:rFonts w:ascii="Arial" w:hAnsi="Arial" w:cs="Arial" w:hint="default"/>
      <w:b/>
      <w:bCs/>
      <w:sz w:val="28"/>
      <w:szCs w:val="28"/>
    </w:rPr>
  </w:style>
  <w:style w:type="paragraph" w:styleId="Index1">
    <w:name w:val="index 1"/>
    <w:basedOn w:val="Normal"/>
    <w:next w:val="Normal"/>
    <w:autoRedefine/>
    <w:rsid w:val="00A671FC"/>
    <w:pPr>
      <w:ind w:left="240" w:hanging="240"/>
    </w:pPr>
  </w:style>
  <w:style w:type="paragraph" w:styleId="Index2">
    <w:name w:val="index 2"/>
    <w:basedOn w:val="Normal"/>
    <w:next w:val="Normal"/>
    <w:autoRedefine/>
    <w:rsid w:val="00A671FC"/>
    <w:pPr>
      <w:ind w:left="480" w:hanging="240"/>
    </w:pPr>
  </w:style>
  <w:style w:type="paragraph" w:styleId="Index3">
    <w:name w:val="index 3"/>
    <w:basedOn w:val="Normal"/>
    <w:next w:val="Normal"/>
    <w:autoRedefine/>
    <w:rsid w:val="00A671FC"/>
    <w:pPr>
      <w:ind w:left="720" w:hanging="240"/>
    </w:pPr>
  </w:style>
  <w:style w:type="paragraph" w:styleId="Index4">
    <w:name w:val="index 4"/>
    <w:basedOn w:val="Normal"/>
    <w:next w:val="Normal"/>
    <w:autoRedefine/>
    <w:rsid w:val="00A671FC"/>
    <w:pPr>
      <w:ind w:left="960" w:hanging="240"/>
    </w:pPr>
  </w:style>
  <w:style w:type="paragraph" w:styleId="Index5">
    <w:name w:val="index 5"/>
    <w:basedOn w:val="Normal"/>
    <w:next w:val="Normal"/>
    <w:autoRedefine/>
    <w:rsid w:val="00A671FC"/>
    <w:pPr>
      <w:ind w:left="1200" w:hanging="240"/>
    </w:pPr>
  </w:style>
  <w:style w:type="paragraph" w:styleId="Index6">
    <w:name w:val="index 6"/>
    <w:basedOn w:val="Normal"/>
    <w:next w:val="Normal"/>
    <w:autoRedefine/>
    <w:rsid w:val="00A671FC"/>
    <w:pPr>
      <w:ind w:left="1440" w:hanging="240"/>
    </w:pPr>
  </w:style>
  <w:style w:type="paragraph" w:styleId="Index7">
    <w:name w:val="index 7"/>
    <w:basedOn w:val="Normal"/>
    <w:next w:val="Normal"/>
    <w:autoRedefine/>
    <w:rsid w:val="00A671FC"/>
    <w:pPr>
      <w:ind w:left="1680" w:hanging="240"/>
    </w:pPr>
  </w:style>
  <w:style w:type="paragraph" w:styleId="Index8">
    <w:name w:val="index 8"/>
    <w:basedOn w:val="Normal"/>
    <w:next w:val="Normal"/>
    <w:autoRedefine/>
    <w:rsid w:val="00A671FC"/>
    <w:pPr>
      <w:ind w:left="1920" w:hanging="240"/>
    </w:pPr>
  </w:style>
  <w:style w:type="paragraph" w:styleId="Index9">
    <w:name w:val="index 9"/>
    <w:basedOn w:val="Normal"/>
    <w:next w:val="Normal"/>
    <w:autoRedefine/>
    <w:rsid w:val="00A671FC"/>
    <w:pPr>
      <w:ind w:left="2160" w:hanging="240"/>
    </w:pPr>
  </w:style>
  <w:style w:type="paragraph" w:styleId="NormalIndent">
    <w:name w:val="Normal Indent"/>
    <w:basedOn w:val="Normal"/>
    <w:rsid w:val="00A671FC"/>
    <w:pPr>
      <w:ind w:left="720"/>
    </w:pPr>
  </w:style>
  <w:style w:type="paragraph" w:styleId="FootnoteText">
    <w:name w:val="footnote text"/>
    <w:basedOn w:val="Normal"/>
    <w:link w:val="FootnoteTextChar"/>
    <w:rsid w:val="00A671FC"/>
    <w:rPr>
      <w:sz w:val="20"/>
    </w:rPr>
  </w:style>
  <w:style w:type="character" w:customStyle="1" w:styleId="FootnoteTextChar">
    <w:name w:val="Footnote Text Char"/>
    <w:basedOn w:val="DefaultParagraphFont"/>
    <w:link w:val="FootnoteText"/>
    <w:rsid w:val="00A671FC"/>
  </w:style>
  <w:style w:type="paragraph" w:styleId="CommentText">
    <w:name w:val="annotation text"/>
    <w:basedOn w:val="Normal"/>
    <w:link w:val="CommentTextChar"/>
    <w:rsid w:val="00A671FC"/>
    <w:rPr>
      <w:sz w:val="20"/>
    </w:rPr>
  </w:style>
  <w:style w:type="character" w:customStyle="1" w:styleId="CommentTextChar">
    <w:name w:val="Comment Text Char"/>
    <w:basedOn w:val="DefaultParagraphFont"/>
    <w:link w:val="CommentText"/>
    <w:rsid w:val="00A671FC"/>
  </w:style>
  <w:style w:type="paragraph" w:styleId="IndexHeading">
    <w:name w:val="index heading"/>
    <w:basedOn w:val="Normal"/>
    <w:next w:val="Index1"/>
    <w:rsid w:val="00A671FC"/>
    <w:rPr>
      <w:rFonts w:ascii="Arial" w:hAnsi="Arial" w:cs="Arial"/>
      <w:b/>
      <w:bCs/>
    </w:rPr>
  </w:style>
  <w:style w:type="paragraph" w:styleId="Caption">
    <w:name w:val="caption"/>
    <w:basedOn w:val="Normal"/>
    <w:next w:val="Normal"/>
    <w:qFormat/>
    <w:rsid w:val="00A671FC"/>
    <w:pPr>
      <w:spacing w:before="120" w:after="120"/>
    </w:pPr>
    <w:rPr>
      <w:b/>
      <w:bCs/>
      <w:sz w:val="20"/>
    </w:rPr>
  </w:style>
  <w:style w:type="paragraph" w:styleId="TableofFigures">
    <w:name w:val="table of figures"/>
    <w:basedOn w:val="Normal"/>
    <w:next w:val="Normal"/>
    <w:rsid w:val="00A671FC"/>
    <w:pPr>
      <w:ind w:left="480" w:hanging="480"/>
    </w:pPr>
  </w:style>
  <w:style w:type="paragraph" w:styleId="EnvelopeAddress">
    <w:name w:val="envelope address"/>
    <w:basedOn w:val="Normal"/>
    <w:rsid w:val="00A671F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671FC"/>
    <w:rPr>
      <w:rFonts w:ascii="Arial" w:hAnsi="Arial" w:cs="Arial"/>
      <w:sz w:val="20"/>
    </w:rPr>
  </w:style>
  <w:style w:type="character" w:styleId="FootnoteReference">
    <w:name w:val="footnote reference"/>
    <w:basedOn w:val="DefaultParagraphFont"/>
    <w:rsid w:val="00A671FC"/>
    <w:rPr>
      <w:rFonts w:ascii="Times New Roman" w:hAnsi="Times New Roman"/>
      <w:sz w:val="20"/>
      <w:vertAlign w:val="superscript"/>
    </w:rPr>
  </w:style>
  <w:style w:type="character" w:styleId="CommentReference">
    <w:name w:val="annotation reference"/>
    <w:basedOn w:val="DefaultParagraphFont"/>
    <w:rsid w:val="00A671FC"/>
    <w:rPr>
      <w:sz w:val="16"/>
      <w:szCs w:val="16"/>
    </w:rPr>
  </w:style>
  <w:style w:type="character" w:styleId="PageNumber">
    <w:name w:val="page number"/>
    <w:basedOn w:val="DefaultParagraphFont"/>
    <w:rsid w:val="00A671FC"/>
  </w:style>
  <w:style w:type="character" w:styleId="EndnoteReference">
    <w:name w:val="endnote reference"/>
    <w:basedOn w:val="DefaultParagraphFont"/>
    <w:rsid w:val="00A671FC"/>
    <w:rPr>
      <w:vertAlign w:val="superscript"/>
    </w:rPr>
  </w:style>
  <w:style w:type="paragraph" w:styleId="EndnoteText">
    <w:name w:val="endnote text"/>
    <w:basedOn w:val="Normal"/>
    <w:link w:val="EndnoteTextChar"/>
    <w:rsid w:val="00A671FC"/>
    <w:rPr>
      <w:sz w:val="20"/>
    </w:rPr>
  </w:style>
  <w:style w:type="character" w:customStyle="1" w:styleId="EndnoteTextChar">
    <w:name w:val="Endnote Text Char"/>
    <w:basedOn w:val="DefaultParagraphFont"/>
    <w:link w:val="EndnoteText"/>
    <w:rsid w:val="00A671FC"/>
  </w:style>
  <w:style w:type="paragraph" w:styleId="TableofAuthorities">
    <w:name w:val="table of authorities"/>
    <w:basedOn w:val="Normal"/>
    <w:next w:val="Normal"/>
    <w:rsid w:val="00A671FC"/>
    <w:pPr>
      <w:ind w:left="240" w:hanging="240"/>
    </w:pPr>
  </w:style>
  <w:style w:type="paragraph" w:styleId="MacroText">
    <w:name w:val="macro"/>
    <w:link w:val="MacroTextChar"/>
    <w:rsid w:val="00A671F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A671FC"/>
    <w:rPr>
      <w:rFonts w:ascii="Courier New" w:eastAsia="Times New Roman" w:hAnsi="Courier New" w:cs="Courier New"/>
      <w:lang w:eastAsia="en-AU"/>
    </w:rPr>
  </w:style>
  <w:style w:type="paragraph" w:styleId="TOAHeading">
    <w:name w:val="toa heading"/>
    <w:basedOn w:val="Normal"/>
    <w:next w:val="Normal"/>
    <w:rsid w:val="00A671FC"/>
    <w:pPr>
      <w:spacing w:before="120"/>
    </w:pPr>
    <w:rPr>
      <w:rFonts w:ascii="Arial" w:hAnsi="Arial" w:cs="Arial"/>
      <w:b/>
      <w:bCs/>
    </w:rPr>
  </w:style>
  <w:style w:type="paragraph" w:styleId="List">
    <w:name w:val="List"/>
    <w:basedOn w:val="Normal"/>
    <w:rsid w:val="00A671FC"/>
    <w:pPr>
      <w:ind w:left="283" w:hanging="283"/>
    </w:pPr>
  </w:style>
  <w:style w:type="paragraph" w:styleId="ListBullet">
    <w:name w:val="List Bullet"/>
    <w:basedOn w:val="Normal"/>
    <w:autoRedefine/>
    <w:rsid w:val="00A671FC"/>
    <w:pPr>
      <w:tabs>
        <w:tab w:val="num" w:pos="360"/>
      </w:tabs>
      <w:ind w:left="360" w:hanging="360"/>
    </w:pPr>
  </w:style>
  <w:style w:type="paragraph" w:styleId="ListNumber">
    <w:name w:val="List Number"/>
    <w:basedOn w:val="Normal"/>
    <w:rsid w:val="00A671FC"/>
    <w:pPr>
      <w:tabs>
        <w:tab w:val="num" w:pos="360"/>
      </w:tabs>
      <w:ind w:left="360" w:hanging="360"/>
    </w:pPr>
  </w:style>
  <w:style w:type="paragraph" w:styleId="List2">
    <w:name w:val="List 2"/>
    <w:basedOn w:val="Normal"/>
    <w:rsid w:val="00A671FC"/>
    <w:pPr>
      <w:ind w:left="566" w:hanging="283"/>
    </w:pPr>
  </w:style>
  <w:style w:type="paragraph" w:styleId="List3">
    <w:name w:val="List 3"/>
    <w:basedOn w:val="Normal"/>
    <w:rsid w:val="00A671FC"/>
    <w:pPr>
      <w:ind w:left="849" w:hanging="283"/>
    </w:pPr>
  </w:style>
  <w:style w:type="paragraph" w:styleId="List4">
    <w:name w:val="List 4"/>
    <w:basedOn w:val="Normal"/>
    <w:rsid w:val="00A671FC"/>
    <w:pPr>
      <w:ind w:left="1132" w:hanging="283"/>
    </w:pPr>
  </w:style>
  <w:style w:type="paragraph" w:styleId="List5">
    <w:name w:val="List 5"/>
    <w:basedOn w:val="Normal"/>
    <w:rsid w:val="00A671FC"/>
    <w:pPr>
      <w:ind w:left="1415" w:hanging="283"/>
    </w:pPr>
  </w:style>
  <w:style w:type="paragraph" w:styleId="ListBullet2">
    <w:name w:val="List Bullet 2"/>
    <w:basedOn w:val="Normal"/>
    <w:autoRedefine/>
    <w:rsid w:val="00A671FC"/>
    <w:pPr>
      <w:tabs>
        <w:tab w:val="num" w:pos="360"/>
      </w:tabs>
    </w:pPr>
  </w:style>
  <w:style w:type="paragraph" w:styleId="ListBullet3">
    <w:name w:val="List Bullet 3"/>
    <w:basedOn w:val="Normal"/>
    <w:autoRedefine/>
    <w:rsid w:val="00A671FC"/>
    <w:pPr>
      <w:tabs>
        <w:tab w:val="num" w:pos="926"/>
      </w:tabs>
      <w:ind w:left="926" w:hanging="360"/>
    </w:pPr>
  </w:style>
  <w:style w:type="paragraph" w:styleId="ListBullet4">
    <w:name w:val="List Bullet 4"/>
    <w:basedOn w:val="Normal"/>
    <w:autoRedefine/>
    <w:rsid w:val="00A671FC"/>
    <w:pPr>
      <w:tabs>
        <w:tab w:val="num" w:pos="1209"/>
      </w:tabs>
      <w:ind w:left="1209" w:hanging="360"/>
    </w:pPr>
  </w:style>
  <w:style w:type="paragraph" w:styleId="ListBullet5">
    <w:name w:val="List Bullet 5"/>
    <w:basedOn w:val="Normal"/>
    <w:autoRedefine/>
    <w:rsid w:val="00A671FC"/>
    <w:pPr>
      <w:tabs>
        <w:tab w:val="num" w:pos="1492"/>
      </w:tabs>
      <w:ind w:left="1492" w:hanging="360"/>
    </w:pPr>
  </w:style>
  <w:style w:type="paragraph" w:styleId="ListNumber2">
    <w:name w:val="List Number 2"/>
    <w:basedOn w:val="Normal"/>
    <w:rsid w:val="00A671FC"/>
    <w:pPr>
      <w:tabs>
        <w:tab w:val="num" w:pos="643"/>
      </w:tabs>
      <w:ind w:left="643" w:hanging="360"/>
    </w:pPr>
  </w:style>
  <w:style w:type="paragraph" w:styleId="ListNumber3">
    <w:name w:val="List Number 3"/>
    <w:basedOn w:val="Normal"/>
    <w:rsid w:val="00A671FC"/>
    <w:pPr>
      <w:tabs>
        <w:tab w:val="num" w:pos="926"/>
      </w:tabs>
      <w:ind w:left="926" w:hanging="360"/>
    </w:pPr>
  </w:style>
  <w:style w:type="paragraph" w:styleId="ListNumber4">
    <w:name w:val="List Number 4"/>
    <w:basedOn w:val="Normal"/>
    <w:rsid w:val="00A671FC"/>
    <w:pPr>
      <w:tabs>
        <w:tab w:val="num" w:pos="1209"/>
      </w:tabs>
      <w:ind w:left="1209" w:hanging="360"/>
    </w:pPr>
  </w:style>
  <w:style w:type="paragraph" w:styleId="ListNumber5">
    <w:name w:val="List Number 5"/>
    <w:basedOn w:val="Normal"/>
    <w:rsid w:val="00A671FC"/>
    <w:pPr>
      <w:tabs>
        <w:tab w:val="num" w:pos="1492"/>
      </w:tabs>
      <w:ind w:left="1492" w:hanging="360"/>
    </w:pPr>
  </w:style>
  <w:style w:type="paragraph" w:styleId="Title">
    <w:name w:val="Title"/>
    <w:basedOn w:val="Normal"/>
    <w:link w:val="TitleChar"/>
    <w:qFormat/>
    <w:rsid w:val="00A671FC"/>
    <w:pPr>
      <w:spacing w:before="240" w:after="60"/>
    </w:pPr>
    <w:rPr>
      <w:rFonts w:ascii="Arial" w:hAnsi="Arial" w:cs="Arial"/>
      <w:b/>
      <w:bCs/>
      <w:sz w:val="40"/>
      <w:szCs w:val="40"/>
    </w:rPr>
  </w:style>
  <w:style w:type="character" w:customStyle="1" w:styleId="TitleChar">
    <w:name w:val="Title Char"/>
    <w:basedOn w:val="DefaultParagraphFont"/>
    <w:link w:val="Title"/>
    <w:rsid w:val="00A671FC"/>
    <w:rPr>
      <w:rFonts w:ascii="Arial" w:hAnsi="Arial" w:cs="Arial"/>
      <w:b/>
      <w:bCs/>
      <w:sz w:val="40"/>
      <w:szCs w:val="40"/>
    </w:rPr>
  </w:style>
  <w:style w:type="paragraph" w:styleId="Closing">
    <w:name w:val="Closing"/>
    <w:basedOn w:val="Normal"/>
    <w:link w:val="ClosingChar"/>
    <w:rsid w:val="00A671FC"/>
    <w:pPr>
      <w:ind w:left="4252"/>
    </w:pPr>
  </w:style>
  <w:style w:type="character" w:customStyle="1" w:styleId="ClosingChar">
    <w:name w:val="Closing Char"/>
    <w:basedOn w:val="DefaultParagraphFont"/>
    <w:link w:val="Closing"/>
    <w:rsid w:val="00A671FC"/>
    <w:rPr>
      <w:sz w:val="22"/>
    </w:rPr>
  </w:style>
  <w:style w:type="paragraph" w:styleId="Signature">
    <w:name w:val="Signature"/>
    <w:basedOn w:val="Normal"/>
    <w:link w:val="SignatureChar"/>
    <w:rsid w:val="00A671FC"/>
    <w:pPr>
      <w:ind w:left="4252"/>
    </w:pPr>
  </w:style>
  <w:style w:type="character" w:customStyle="1" w:styleId="SignatureChar">
    <w:name w:val="Signature Char"/>
    <w:basedOn w:val="DefaultParagraphFont"/>
    <w:link w:val="Signature"/>
    <w:rsid w:val="00A671FC"/>
    <w:rPr>
      <w:sz w:val="22"/>
    </w:rPr>
  </w:style>
  <w:style w:type="paragraph" w:styleId="BodyText">
    <w:name w:val="Body Text"/>
    <w:basedOn w:val="Normal"/>
    <w:link w:val="BodyTextChar"/>
    <w:rsid w:val="00A671FC"/>
    <w:pPr>
      <w:spacing w:after="120"/>
    </w:pPr>
  </w:style>
  <w:style w:type="character" w:customStyle="1" w:styleId="BodyTextChar">
    <w:name w:val="Body Text Char"/>
    <w:basedOn w:val="DefaultParagraphFont"/>
    <w:link w:val="BodyText"/>
    <w:rsid w:val="00A671FC"/>
    <w:rPr>
      <w:sz w:val="22"/>
    </w:rPr>
  </w:style>
  <w:style w:type="paragraph" w:styleId="BodyTextIndent">
    <w:name w:val="Body Text Indent"/>
    <w:basedOn w:val="Normal"/>
    <w:link w:val="BodyTextIndentChar"/>
    <w:rsid w:val="00A671FC"/>
    <w:pPr>
      <w:spacing w:after="120"/>
      <w:ind w:left="283"/>
    </w:pPr>
  </w:style>
  <w:style w:type="character" w:customStyle="1" w:styleId="BodyTextIndentChar">
    <w:name w:val="Body Text Indent Char"/>
    <w:basedOn w:val="DefaultParagraphFont"/>
    <w:link w:val="BodyTextIndent"/>
    <w:rsid w:val="00A671FC"/>
    <w:rPr>
      <w:sz w:val="22"/>
    </w:rPr>
  </w:style>
  <w:style w:type="paragraph" w:styleId="ListContinue">
    <w:name w:val="List Continue"/>
    <w:basedOn w:val="Normal"/>
    <w:rsid w:val="00A671FC"/>
    <w:pPr>
      <w:spacing w:after="120"/>
      <w:ind w:left="283"/>
    </w:pPr>
  </w:style>
  <w:style w:type="paragraph" w:styleId="ListContinue2">
    <w:name w:val="List Continue 2"/>
    <w:basedOn w:val="Normal"/>
    <w:rsid w:val="00A671FC"/>
    <w:pPr>
      <w:spacing w:after="120"/>
      <w:ind w:left="566"/>
    </w:pPr>
  </w:style>
  <w:style w:type="paragraph" w:styleId="ListContinue3">
    <w:name w:val="List Continue 3"/>
    <w:basedOn w:val="Normal"/>
    <w:rsid w:val="00A671FC"/>
    <w:pPr>
      <w:spacing w:after="120"/>
      <w:ind w:left="849"/>
    </w:pPr>
  </w:style>
  <w:style w:type="paragraph" w:styleId="ListContinue4">
    <w:name w:val="List Continue 4"/>
    <w:basedOn w:val="Normal"/>
    <w:rsid w:val="00A671FC"/>
    <w:pPr>
      <w:spacing w:after="120"/>
      <w:ind w:left="1132"/>
    </w:pPr>
  </w:style>
  <w:style w:type="paragraph" w:styleId="ListContinue5">
    <w:name w:val="List Continue 5"/>
    <w:basedOn w:val="Normal"/>
    <w:rsid w:val="00A671FC"/>
    <w:pPr>
      <w:spacing w:after="120"/>
      <w:ind w:left="1415"/>
    </w:pPr>
  </w:style>
  <w:style w:type="paragraph" w:styleId="MessageHeader">
    <w:name w:val="Message Header"/>
    <w:basedOn w:val="Normal"/>
    <w:link w:val="MessageHeaderChar"/>
    <w:rsid w:val="00A671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671FC"/>
    <w:rPr>
      <w:rFonts w:ascii="Arial" w:hAnsi="Arial" w:cs="Arial"/>
      <w:sz w:val="22"/>
      <w:shd w:val="pct20" w:color="auto" w:fill="auto"/>
    </w:rPr>
  </w:style>
  <w:style w:type="paragraph" w:styleId="Subtitle">
    <w:name w:val="Subtitle"/>
    <w:basedOn w:val="Normal"/>
    <w:link w:val="SubtitleChar"/>
    <w:qFormat/>
    <w:rsid w:val="00A671FC"/>
    <w:pPr>
      <w:spacing w:after="60"/>
      <w:jc w:val="center"/>
      <w:outlineLvl w:val="1"/>
    </w:pPr>
    <w:rPr>
      <w:rFonts w:ascii="Arial" w:hAnsi="Arial" w:cs="Arial"/>
    </w:rPr>
  </w:style>
  <w:style w:type="character" w:customStyle="1" w:styleId="SubtitleChar">
    <w:name w:val="Subtitle Char"/>
    <w:basedOn w:val="DefaultParagraphFont"/>
    <w:link w:val="Subtitle"/>
    <w:rsid w:val="00A671FC"/>
    <w:rPr>
      <w:rFonts w:ascii="Arial" w:hAnsi="Arial" w:cs="Arial"/>
      <w:sz w:val="22"/>
    </w:rPr>
  </w:style>
  <w:style w:type="paragraph" w:styleId="Salutation">
    <w:name w:val="Salutation"/>
    <w:basedOn w:val="Normal"/>
    <w:next w:val="Normal"/>
    <w:link w:val="SalutationChar"/>
    <w:rsid w:val="00A671FC"/>
  </w:style>
  <w:style w:type="character" w:customStyle="1" w:styleId="SalutationChar">
    <w:name w:val="Salutation Char"/>
    <w:basedOn w:val="DefaultParagraphFont"/>
    <w:link w:val="Salutation"/>
    <w:rsid w:val="00A671FC"/>
    <w:rPr>
      <w:sz w:val="22"/>
    </w:rPr>
  </w:style>
  <w:style w:type="paragraph" w:styleId="Date">
    <w:name w:val="Date"/>
    <w:basedOn w:val="Normal"/>
    <w:next w:val="Normal"/>
    <w:link w:val="DateChar"/>
    <w:rsid w:val="00A671FC"/>
  </w:style>
  <w:style w:type="character" w:customStyle="1" w:styleId="DateChar">
    <w:name w:val="Date Char"/>
    <w:basedOn w:val="DefaultParagraphFont"/>
    <w:link w:val="Date"/>
    <w:rsid w:val="00A671FC"/>
    <w:rPr>
      <w:sz w:val="22"/>
    </w:rPr>
  </w:style>
  <w:style w:type="paragraph" w:styleId="BodyTextFirstIndent">
    <w:name w:val="Body Text First Indent"/>
    <w:basedOn w:val="BodyText"/>
    <w:link w:val="BodyTextFirstIndentChar"/>
    <w:rsid w:val="00A671FC"/>
    <w:pPr>
      <w:ind w:firstLine="210"/>
    </w:pPr>
  </w:style>
  <w:style w:type="character" w:customStyle="1" w:styleId="BodyTextFirstIndentChar">
    <w:name w:val="Body Text First Indent Char"/>
    <w:basedOn w:val="BodyTextChar"/>
    <w:link w:val="BodyTextFirstIndent"/>
    <w:rsid w:val="00A671FC"/>
    <w:rPr>
      <w:sz w:val="22"/>
    </w:rPr>
  </w:style>
  <w:style w:type="paragraph" w:styleId="BodyTextFirstIndent2">
    <w:name w:val="Body Text First Indent 2"/>
    <w:basedOn w:val="BodyTextIndent"/>
    <w:link w:val="BodyTextFirstIndent2Char"/>
    <w:rsid w:val="00A671FC"/>
    <w:pPr>
      <w:ind w:firstLine="210"/>
    </w:pPr>
  </w:style>
  <w:style w:type="character" w:customStyle="1" w:styleId="BodyTextFirstIndent2Char">
    <w:name w:val="Body Text First Indent 2 Char"/>
    <w:basedOn w:val="BodyTextIndentChar"/>
    <w:link w:val="BodyTextFirstIndent2"/>
    <w:rsid w:val="00A671FC"/>
    <w:rPr>
      <w:sz w:val="22"/>
    </w:rPr>
  </w:style>
  <w:style w:type="paragraph" w:styleId="BodyText2">
    <w:name w:val="Body Text 2"/>
    <w:basedOn w:val="Normal"/>
    <w:link w:val="BodyText2Char"/>
    <w:rsid w:val="00A671FC"/>
    <w:pPr>
      <w:spacing w:after="120" w:line="480" w:lineRule="auto"/>
    </w:pPr>
  </w:style>
  <w:style w:type="character" w:customStyle="1" w:styleId="BodyText2Char">
    <w:name w:val="Body Text 2 Char"/>
    <w:basedOn w:val="DefaultParagraphFont"/>
    <w:link w:val="BodyText2"/>
    <w:rsid w:val="00A671FC"/>
    <w:rPr>
      <w:sz w:val="22"/>
    </w:rPr>
  </w:style>
  <w:style w:type="paragraph" w:styleId="BodyText3">
    <w:name w:val="Body Text 3"/>
    <w:basedOn w:val="Normal"/>
    <w:link w:val="BodyText3Char"/>
    <w:rsid w:val="00A671FC"/>
    <w:pPr>
      <w:spacing w:after="120"/>
    </w:pPr>
    <w:rPr>
      <w:sz w:val="16"/>
      <w:szCs w:val="16"/>
    </w:rPr>
  </w:style>
  <w:style w:type="character" w:customStyle="1" w:styleId="BodyText3Char">
    <w:name w:val="Body Text 3 Char"/>
    <w:basedOn w:val="DefaultParagraphFont"/>
    <w:link w:val="BodyText3"/>
    <w:rsid w:val="00A671FC"/>
    <w:rPr>
      <w:sz w:val="16"/>
      <w:szCs w:val="16"/>
    </w:rPr>
  </w:style>
  <w:style w:type="paragraph" w:styleId="BodyTextIndent2">
    <w:name w:val="Body Text Indent 2"/>
    <w:basedOn w:val="Normal"/>
    <w:link w:val="BodyTextIndent2Char"/>
    <w:rsid w:val="00A671FC"/>
    <w:pPr>
      <w:spacing w:after="120" w:line="480" w:lineRule="auto"/>
      <w:ind w:left="283"/>
    </w:pPr>
  </w:style>
  <w:style w:type="character" w:customStyle="1" w:styleId="BodyTextIndent2Char">
    <w:name w:val="Body Text Indent 2 Char"/>
    <w:basedOn w:val="DefaultParagraphFont"/>
    <w:link w:val="BodyTextIndent2"/>
    <w:rsid w:val="00A671FC"/>
    <w:rPr>
      <w:sz w:val="22"/>
    </w:rPr>
  </w:style>
  <w:style w:type="paragraph" w:styleId="BodyTextIndent3">
    <w:name w:val="Body Text Indent 3"/>
    <w:basedOn w:val="Normal"/>
    <w:link w:val="BodyTextIndent3Char"/>
    <w:rsid w:val="00A671FC"/>
    <w:pPr>
      <w:spacing w:after="120"/>
      <w:ind w:left="283"/>
    </w:pPr>
    <w:rPr>
      <w:sz w:val="16"/>
      <w:szCs w:val="16"/>
    </w:rPr>
  </w:style>
  <w:style w:type="character" w:customStyle="1" w:styleId="BodyTextIndent3Char">
    <w:name w:val="Body Text Indent 3 Char"/>
    <w:basedOn w:val="DefaultParagraphFont"/>
    <w:link w:val="BodyTextIndent3"/>
    <w:rsid w:val="00A671FC"/>
    <w:rPr>
      <w:sz w:val="16"/>
      <w:szCs w:val="16"/>
    </w:rPr>
  </w:style>
  <w:style w:type="paragraph" w:styleId="BlockText">
    <w:name w:val="Block Text"/>
    <w:basedOn w:val="Normal"/>
    <w:rsid w:val="00A671FC"/>
    <w:pPr>
      <w:spacing w:after="120"/>
      <w:ind w:left="1440" w:right="1440"/>
    </w:pPr>
  </w:style>
  <w:style w:type="character" w:styleId="Hyperlink">
    <w:name w:val="Hyperlink"/>
    <w:basedOn w:val="DefaultParagraphFont"/>
    <w:rsid w:val="00A671FC"/>
    <w:rPr>
      <w:color w:val="0000FF"/>
      <w:u w:val="single"/>
    </w:rPr>
  </w:style>
  <w:style w:type="character" w:styleId="FollowedHyperlink">
    <w:name w:val="FollowedHyperlink"/>
    <w:basedOn w:val="DefaultParagraphFont"/>
    <w:rsid w:val="00A671FC"/>
    <w:rPr>
      <w:color w:val="800080"/>
      <w:u w:val="single"/>
    </w:rPr>
  </w:style>
  <w:style w:type="character" w:styleId="Strong">
    <w:name w:val="Strong"/>
    <w:basedOn w:val="DefaultParagraphFont"/>
    <w:qFormat/>
    <w:rsid w:val="00A671FC"/>
    <w:rPr>
      <w:b/>
      <w:bCs/>
    </w:rPr>
  </w:style>
  <w:style w:type="character" w:styleId="Emphasis">
    <w:name w:val="Emphasis"/>
    <w:basedOn w:val="DefaultParagraphFont"/>
    <w:qFormat/>
    <w:rsid w:val="00A671FC"/>
    <w:rPr>
      <w:i/>
      <w:iCs/>
    </w:rPr>
  </w:style>
  <w:style w:type="paragraph" w:styleId="DocumentMap">
    <w:name w:val="Document Map"/>
    <w:basedOn w:val="Normal"/>
    <w:link w:val="DocumentMapChar"/>
    <w:rsid w:val="00A671FC"/>
    <w:pPr>
      <w:shd w:val="clear" w:color="auto" w:fill="000080"/>
    </w:pPr>
    <w:rPr>
      <w:rFonts w:ascii="Tahoma" w:hAnsi="Tahoma" w:cs="Tahoma"/>
    </w:rPr>
  </w:style>
  <w:style w:type="character" w:customStyle="1" w:styleId="DocumentMapChar">
    <w:name w:val="Document Map Char"/>
    <w:basedOn w:val="DefaultParagraphFont"/>
    <w:link w:val="DocumentMap"/>
    <w:rsid w:val="00A671FC"/>
    <w:rPr>
      <w:rFonts w:ascii="Tahoma" w:hAnsi="Tahoma" w:cs="Tahoma"/>
      <w:sz w:val="22"/>
      <w:shd w:val="clear" w:color="auto" w:fill="000080"/>
    </w:rPr>
  </w:style>
  <w:style w:type="paragraph" w:styleId="PlainText">
    <w:name w:val="Plain Text"/>
    <w:basedOn w:val="Normal"/>
    <w:link w:val="PlainTextChar"/>
    <w:rsid w:val="00A671FC"/>
    <w:rPr>
      <w:rFonts w:ascii="Courier New" w:hAnsi="Courier New" w:cs="Courier New"/>
      <w:sz w:val="20"/>
    </w:rPr>
  </w:style>
  <w:style w:type="character" w:customStyle="1" w:styleId="PlainTextChar">
    <w:name w:val="Plain Text Char"/>
    <w:basedOn w:val="DefaultParagraphFont"/>
    <w:link w:val="PlainText"/>
    <w:rsid w:val="00A671FC"/>
    <w:rPr>
      <w:rFonts w:ascii="Courier New" w:hAnsi="Courier New" w:cs="Courier New"/>
    </w:rPr>
  </w:style>
  <w:style w:type="paragraph" w:styleId="E-mailSignature">
    <w:name w:val="E-mail Signature"/>
    <w:basedOn w:val="Normal"/>
    <w:link w:val="E-mailSignatureChar"/>
    <w:rsid w:val="00A671FC"/>
  </w:style>
  <w:style w:type="character" w:customStyle="1" w:styleId="E-mailSignatureChar">
    <w:name w:val="E-mail Signature Char"/>
    <w:basedOn w:val="DefaultParagraphFont"/>
    <w:link w:val="E-mailSignature"/>
    <w:rsid w:val="00A671FC"/>
    <w:rPr>
      <w:sz w:val="22"/>
    </w:rPr>
  </w:style>
  <w:style w:type="paragraph" w:styleId="NormalWeb">
    <w:name w:val="Normal (Web)"/>
    <w:basedOn w:val="Normal"/>
    <w:rsid w:val="00A671FC"/>
  </w:style>
  <w:style w:type="character" w:styleId="HTMLAcronym">
    <w:name w:val="HTML Acronym"/>
    <w:basedOn w:val="DefaultParagraphFont"/>
    <w:rsid w:val="00A671FC"/>
  </w:style>
  <w:style w:type="paragraph" w:styleId="HTMLAddress">
    <w:name w:val="HTML Address"/>
    <w:basedOn w:val="Normal"/>
    <w:link w:val="HTMLAddressChar"/>
    <w:rsid w:val="00A671FC"/>
    <w:rPr>
      <w:i/>
      <w:iCs/>
    </w:rPr>
  </w:style>
  <w:style w:type="character" w:customStyle="1" w:styleId="HTMLAddressChar">
    <w:name w:val="HTML Address Char"/>
    <w:basedOn w:val="DefaultParagraphFont"/>
    <w:link w:val="HTMLAddress"/>
    <w:rsid w:val="00A671FC"/>
    <w:rPr>
      <w:i/>
      <w:iCs/>
      <w:sz w:val="22"/>
    </w:rPr>
  </w:style>
  <w:style w:type="character" w:styleId="HTMLCite">
    <w:name w:val="HTML Cite"/>
    <w:basedOn w:val="DefaultParagraphFont"/>
    <w:rsid w:val="00A671FC"/>
    <w:rPr>
      <w:i/>
      <w:iCs/>
    </w:rPr>
  </w:style>
  <w:style w:type="character" w:styleId="HTMLCode">
    <w:name w:val="HTML Code"/>
    <w:basedOn w:val="DefaultParagraphFont"/>
    <w:rsid w:val="00A671FC"/>
    <w:rPr>
      <w:rFonts w:ascii="Courier New" w:hAnsi="Courier New" w:cs="Courier New"/>
      <w:sz w:val="20"/>
      <w:szCs w:val="20"/>
    </w:rPr>
  </w:style>
  <w:style w:type="character" w:styleId="HTMLDefinition">
    <w:name w:val="HTML Definition"/>
    <w:basedOn w:val="DefaultParagraphFont"/>
    <w:rsid w:val="00A671FC"/>
    <w:rPr>
      <w:i/>
      <w:iCs/>
    </w:rPr>
  </w:style>
  <w:style w:type="character" w:styleId="HTMLKeyboard">
    <w:name w:val="HTML Keyboard"/>
    <w:basedOn w:val="DefaultParagraphFont"/>
    <w:rsid w:val="00A671FC"/>
    <w:rPr>
      <w:rFonts w:ascii="Courier New" w:hAnsi="Courier New" w:cs="Courier New"/>
      <w:sz w:val="20"/>
      <w:szCs w:val="20"/>
    </w:rPr>
  </w:style>
  <w:style w:type="paragraph" w:styleId="HTMLPreformatted">
    <w:name w:val="HTML Preformatted"/>
    <w:basedOn w:val="Normal"/>
    <w:link w:val="HTMLPreformattedChar"/>
    <w:rsid w:val="00A671FC"/>
    <w:rPr>
      <w:rFonts w:ascii="Courier New" w:hAnsi="Courier New" w:cs="Courier New"/>
      <w:sz w:val="20"/>
    </w:rPr>
  </w:style>
  <w:style w:type="character" w:customStyle="1" w:styleId="HTMLPreformattedChar">
    <w:name w:val="HTML Preformatted Char"/>
    <w:basedOn w:val="DefaultParagraphFont"/>
    <w:link w:val="HTMLPreformatted"/>
    <w:rsid w:val="00A671FC"/>
    <w:rPr>
      <w:rFonts w:ascii="Courier New" w:hAnsi="Courier New" w:cs="Courier New"/>
    </w:rPr>
  </w:style>
  <w:style w:type="character" w:styleId="HTMLSample">
    <w:name w:val="HTML Sample"/>
    <w:basedOn w:val="DefaultParagraphFont"/>
    <w:rsid w:val="00A671FC"/>
    <w:rPr>
      <w:rFonts w:ascii="Courier New" w:hAnsi="Courier New" w:cs="Courier New"/>
    </w:rPr>
  </w:style>
  <w:style w:type="character" w:styleId="HTMLTypewriter">
    <w:name w:val="HTML Typewriter"/>
    <w:basedOn w:val="DefaultParagraphFont"/>
    <w:rsid w:val="00A671FC"/>
    <w:rPr>
      <w:rFonts w:ascii="Courier New" w:hAnsi="Courier New" w:cs="Courier New"/>
      <w:sz w:val="20"/>
      <w:szCs w:val="20"/>
    </w:rPr>
  </w:style>
  <w:style w:type="character" w:styleId="HTMLVariable">
    <w:name w:val="HTML Variable"/>
    <w:basedOn w:val="DefaultParagraphFont"/>
    <w:rsid w:val="00A671FC"/>
    <w:rPr>
      <w:i/>
      <w:iCs/>
    </w:rPr>
  </w:style>
  <w:style w:type="paragraph" w:styleId="CommentSubject">
    <w:name w:val="annotation subject"/>
    <w:basedOn w:val="CommentText"/>
    <w:next w:val="CommentText"/>
    <w:link w:val="CommentSubjectChar"/>
    <w:rsid w:val="00A671FC"/>
    <w:rPr>
      <w:b/>
      <w:bCs/>
    </w:rPr>
  </w:style>
  <w:style w:type="character" w:customStyle="1" w:styleId="CommentSubjectChar">
    <w:name w:val="Comment Subject Char"/>
    <w:basedOn w:val="CommentTextChar"/>
    <w:link w:val="CommentSubject"/>
    <w:rsid w:val="00A671FC"/>
    <w:rPr>
      <w:b/>
      <w:bCs/>
    </w:rPr>
  </w:style>
  <w:style w:type="numbering" w:styleId="1ai">
    <w:name w:val="Outline List 1"/>
    <w:basedOn w:val="NoList"/>
    <w:rsid w:val="00A671FC"/>
    <w:pPr>
      <w:numPr>
        <w:numId w:val="14"/>
      </w:numPr>
    </w:pPr>
  </w:style>
  <w:style w:type="numbering" w:styleId="111111">
    <w:name w:val="Outline List 2"/>
    <w:basedOn w:val="NoList"/>
    <w:rsid w:val="00A671FC"/>
    <w:pPr>
      <w:numPr>
        <w:numId w:val="15"/>
      </w:numPr>
    </w:pPr>
  </w:style>
  <w:style w:type="numbering" w:styleId="ArticleSection">
    <w:name w:val="Outline List 3"/>
    <w:basedOn w:val="NoList"/>
    <w:rsid w:val="00A671FC"/>
    <w:pPr>
      <w:numPr>
        <w:numId w:val="17"/>
      </w:numPr>
    </w:pPr>
  </w:style>
  <w:style w:type="table" w:styleId="TableSimple1">
    <w:name w:val="Table Simple 1"/>
    <w:basedOn w:val="TableNormal"/>
    <w:rsid w:val="00A671F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671F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671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671F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671F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671F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671F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671F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671F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671F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671F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671F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671F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671F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671F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671F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671F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671F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671F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671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671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671F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671F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671F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671F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671F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671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671F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671F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671F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671F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671F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671F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671F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671F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671F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671F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671F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671F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671F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671F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671F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671F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A671FC"/>
    <w:rPr>
      <w:rFonts w:eastAsia="Times New Roman" w:cs="Times New Roman"/>
      <w:b/>
      <w:kern w:val="28"/>
      <w:sz w:val="24"/>
      <w:lang w:eastAsia="en-AU"/>
    </w:rPr>
  </w:style>
  <w:style w:type="paragraph" w:customStyle="1" w:styleId="ETAsubitem">
    <w:name w:val="ETA(subitem)"/>
    <w:basedOn w:val="OPCParaBase"/>
    <w:rsid w:val="00A671FC"/>
    <w:pPr>
      <w:tabs>
        <w:tab w:val="right" w:pos="340"/>
      </w:tabs>
      <w:spacing w:before="60" w:line="240" w:lineRule="auto"/>
      <w:ind w:left="454" w:hanging="454"/>
    </w:pPr>
    <w:rPr>
      <w:sz w:val="20"/>
    </w:rPr>
  </w:style>
  <w:style w:type="paragraph" w:customStyle="1" w:styleId="ETApara">
    <w:name w:val="ETA(para)"/>
    <w:basedOn w:val="OPCParaBase"/>
    <w:rsid w:val="00A671FC"/>
    <w:pPr>
      <w:tabs>
        <w:tab w:val="right" w:pos="754"/>
      </w:tabs>
      <w:spacing w:before="60" w:line="240" w:lineRule="auto"/>
      <w:ind w:left="828" w:hanging="828"/>
    </w:pPr>
    <w:rPr>
      <w:sz w:val="20"/>
    </w:rPr>
  </w:style>
  <w:style w:type="paragraph" w:customStyle="1" w:styleId="ETAsubpara">
    <w:name w:val="ETA(subpara)"/>
    <w:basedOn w:val="OPCParaBase"/>
    <w:rsid w:val="00A671FC"/>
    <w:pPr>
      <w:tabs>
        <w:tab w:val="right" w:pos="1083"/>
      </w:tabs>
      <w:spacing w:before="60" w:line="240" w:lineRule="auto"/>
      <w:ind w:left="1191" w:hanging="1191"/>
    </w:pPr>
    <w:rPr>
      <w:sz w:val="20"/>
    </w:rPr>
  </w:style>
  <w:style w:type="paragraph" w:customStyle="1" w:styleId="ETAsub-subpara">
    <w:name w:val="ETA(sub-subpara)"/>
    <w:basedOn w:val="OPCParaBase"/>
    <w:rsid w:val="00A671FC"/>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A671FC"/>
  </w:style>
  <w:style w:type="paragraph" w:styleId="Revision">
    <w:name w:val="Revision"/>
    <w:hidden/>
    <w:uiPriority w:val="99"/>
    <w:semiHidden/>
    <w:rsid w:val="00571B63"/>
    <w:rPr>
      <w:rFonts w:eastAsia="Calibri" w:cs="Times New Roman"/>
      <w:sz w:val="22"/>
    </w:rPr>
  </w:style>
  <w:style w:type="numbering" w:customStyle="1" w:styleId="OPCBodyList">
    <w:name w:val="OPCBodyList"/>
    <w:uiPriority w:val="99"/>
    <w:rsid w:val="00571B63"/>
    <w:pPr>
      <w:numPr>
        <w:numId w:val="31"/>
      </w:numPr>
    </w:pPr>
  </w:style>
  <w:style w:type="character" w:customStyle="1" w:styleId="paragraphChar">
    <w:name w:val="paragraph Char"/>
    <w:aliases w:val="a Char"/>
    <w:link w:val="paragraph"/>
    <w:rsid w:val="00571B63"/>
    <w:rPr>
      <w:rFonts w:eastAsia="Times New Roman" w:cs="Times New Roman"/>
      <w:sz w:val="22"/>
      <w:lang w:eastAsia="en-AU"/>
    </w:rPr>
  </w:style>
  <w:style w:type="paragraph" w:styleId="ListParagraph">
    <w:name w:val="List Paragraph"/>
    <w:basedOn w:val="Normal"/>
    <w:uiPriority w:val="34"/>
    <w:qFormat/>
    <w:rsid w:val="00571B63"/>
    <w:pPr>
      <w:spacing w:after="160" w:line="259" w:lineRule="auto"/>
      <w:ind w:left="720"/>
      <w:contextualSpacing/>
    </w:pPr>
    <w:rPr>
      <w:rFonts w:ascii="Calibri" w:eastAsia="Calibri" w:hAnsi="Calibri" w:cs="Times New Roman"/>
      <w:szCs w:val="22"/>
    </w:rPr>
  </w:style>
  <w:style w:type="character" w:styleId="PlaceholderText">
    <w:name w:val="Placeholder Text"/>
    <w:uiPriority w:val="99"/>
    <w:semiHidden/>
    <w:rsid w:val="00571B63"/>
    <w:rPr>
      <w:color w:val="808080"/>
    </w:rPr>
  </w:style>
  <w:style w:type="paragraph" w:customStyle="1" w:styleId="Body">
    <w:name w:val="Body"/>
    <w:aliases w:val="b"/>
    <w:basedOn w:val="OPCParaBase"/>
    <w:rsid w:val="0074766F"/>
    <w:pPr>
      <w:spacing w:before="240" w:line="240" w:lineRule="auto"/>
    </w:pPr>
    <w:rPr>
      <w:sz w:val="24"/>
    </w:rPr>
  </w:style>
  <w:style w:type="paragraph" w:customStyle="1" w:styleId="BodyNum">
    <w:name w:val="BodyNum"/>
    <w:aliases w:val="b1"/>
    <w:basedOn w:val="OPCParaBase"/>
    <w:rsid w:val="0074766F"/>
    <w:pPr>
      <w:tabs>
        <w:tab w:val="num" w:pos="720"/>
      </w:tabs>
      <w:spacing w:before="240" w:line="240" w:lineRule="auto"/>
    </w:pPr>
    <w:rPr>
      <w:sz w:val="24"/>
    </w:rPr>
  </w:style>
  <w:style w:type="paragraph" w:customStyle="1" w:styleId="BodyPara">
    <w:name w:val="BodyPara"/>
    <w:aliases w:val="ba"/>
    <w:basedOn w:val="OPCParaBase"/>
    <w:rsid w:val="0074766F"/>
    <w:pPr>
      <w:tabs>
        <w:tab w:val="num" w:pos="1440"/>
      </w:tabs>
      <w:spacing w:before="240" w:line="240" w:lineRule="auto"/>
      <w:ind w:left="1440" w:hanging="720"/>
    </w:pPr>
    <w:rPr>
      <w:sz w:val="24"/>
    </w:rPr>
  </w:style>
  <w:style w:type="paragraph" w:customStyle="1" w:styleId="BodyParaBullet">
    <w:name w:val="BodyParaBullet"/>
    <w:aliases w:val="bpb"/>
    <w:basedOn w:val="OPCParaBase"/>
    <w:rsid w:val="0074766F"/>
    <w:pPr>
      <w:tabs>
        <w:tab w:val="num" w:pos="1440"/>
        <w:tab w:val="left" w:pos="2160"/>
      </w:tabs>
      <w:spacing w:before="240" w:line="240" w:lineRule="auto"/>
      <w:ind w:left="1440" w:hanging="720"/>
    </w:pPr>
    <w:rPr>
      <w:sz w:val="24"/>
    </w:rPr>
  </w:style>
  <w:style w:type="paragraph" w:customStyle="1" w:styleId="BodySubPara">
    <w:name w:val="BodySubPara"/>
    <w:aliases w:val="bi"/>
    <w:basedOn w:val="OPCParaBase"/>
    <w:rsid w:val="0074766F"/>
    <w:pPr>
      <w:tabs>
        <w:tab w:val="num" w:pos="2160"/>
      </w:tabs>
      <w:spacing w:before="240" w:line="240" w:lineRule="auto"/>
      <w:ind w:left="2160" w:hanging="720"/>
    </w:pPr>
    <w:rPr>
      <w:sz w:val="24"/>
    </w:rPr>
  </w:style>
  <w:style w:type="paragraph" w:customStyle="1" w:styleId="Head1">
    <w:name w:val="Head 1"/>
    <w:aliases w:val="1"/>
    <w:basedOn w:val="OPCParaBase"/>
    <w:next w:val="BodyNum"/>
    <w:rsid w:val="0074766F"/>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74766F"/>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74766F"/>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74766F"/>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74766F"/>
    <w:pPr>
      <w:keepNext/>
      <w:spacing w:before="240" w:after="60" w:line="240" w:lineRule="auto"/>
      <w:outlineLvl w:val="4"/>
    </w:pPr>
    <w:rPr>
      <w:rFonts w:ascii="Arial" w:hAnsi="Arial"/>
      <w:b/>
      <w:i/>
      <w:kern w:val="28"/>
    </w:rPr>
  </w:style>
  <w:style w:type="paragraph" w:customStyle="1" w:styleId="2ndRd">
    <w:name w:val="2ndRd"/>
    <w:basedOn w:val="OPCParaBase"/>
    <w:rsid w:val="0074766F"/>
    <w:pPr>
      <w:spacing w:line="240" w:lineRule="auto"/>
    </w:pPr>
    <w:rPr>
      <w:sz w:val="20"/>
    </w:rPr>
  </w:style>
  <w:style w:type="paragraph" w:customStyle="1" w:styleId="ActNoP1">
    <w:name w:val="ActNoP1"/>
    <w:basedOn w:val="OPCParaBase"/>
    <w:rsid w:val="0074766F"/>
    <w:pPr>
      <w:spacing w:before="800" w:line="240" w:lineRule="auto"/>
    </w:pPr>
    <w:rPr>
      <w:b/>
      <w:sz w:val="28"/>
    </w:rPr>
  </w:style>
  <w:style w:type="paragraph" w:customStyle="1" w:styleId="AssentBk">
    <w:name w:val="AssentBk"/>
    <w:basedOn w:val="OPCParaBase"/>
    <w:rsid w:val="0074766F"/>
    <w:pPr>
      <w:spacing w:line="240" w:lineRule="auto"/>
    </w:pPr>
    <w:rPr>
      <w:sz w:val="20"/>
    </w:rPr>
  </w:style>
  <w:style w:type="paragraph" w:customStyle="1" w:styleId="AssentDt">
    <w:name w:val="AssentDt"/>
    <w:basedOn w:val="OPCParaBase"/>
    <w:rsid w:val="0074766F"/>
    <w:pPr>
      <w:spacing w:line="240" w:lineRule="auto"/>
    </w:pPr>
    <w:rPr>
      <w:sz w:val="20"/>
    </w:rPr>
  </w:style>
  <w:style w:type="paragraph" w:customStyle="1" w:styleId="p1LinesAfter">
    <w:name w:val="p1LinesAfter"/>
    <w:basedOn w:val="OPCParaBase"/>
    <w:rsid w:val="0074766F"/>
    <w:pPr>
      <w:pBdr>
        <w:top w:val="single" w:sz="12" w:space="0" w:color="auto"/>
      </w:pBdr>
      <w:spacing w:line="240" w:lineRule="auto"/>
    </w:pPr>
    <w:rPr>
      <w:b/>
      <w:sz w:val="28"/>
    </w:rPr>
  </w:style>
  <w:style w:type="paragraph" w:customStyle="1" w:styleId="p1LinesBef">
    <w:name w:val="p1LinesBef"/>
    <w:basedOn w:val="OPCParaBase"/>
    <w:rsid w:val="0074766F"/>
    <w:pPr>
      <w:pBdr>
        <w:bottom w:val="single" w:sz="6" w:space="0" w:color="auto"/>
      </w:pBdr>
      <w:spacing w:before="400" w:line="240" w:lineRule="auto"/>
    </w:pPr>
    <w:rPr>
      <w:b/>
      <w:sz w:val="28"/>
    </w:rPr>
  </w:style>
  <w:style w:type="paragraph" w:customStyle="1" w:styleId="UpdateDate">
    <w:name w:val="UpdateDate"/>
    <w:basedOn w:val="OPCParaBase"/>
    <w:rsid w:val="0074766F"/>
    <w:pPr>
      <w:spacing w:before="240"/>
    </w:pPr>
    <w:rPr>
      <w:sz w:val="24"/>
    </w:rPr>
  </w:style>
  <w:style w:type="paragraph" w:customStyle="1" w:styleId="Autotext">
    <w:name w:val="Autotext"/>
    <w:basedOn w:val="OPCParaBase"/>
    <w:rsid w:val="0074766F"/>
    <w:pPr>
      <w:spacing w:line="240" w:lineRule="auto"/>
      <w:outlineLvl w:val="0"/>
    </w:pPr>
    <w:rPr>
      <w:color w:val="FF0000"/>
      <w:position w:val="6"/>
      <w:sz w:val="16"/>
    </w:rPr>
  </w:style>
  <w:style w:type="paragraph" w:customStyle="1" w:styleId="ClerkBlock">
    <w:name w:val="ClerkBlock"/>
    <w:basedOn w:val="OPCParaBase"/>
    <w:rsid w:val="0074766F"/>
    <w:pPr>
      <w:spacing w:line="200" w:lineRule="atLeast"/>
      <w:ind w:right="3827"/>
    </w:pPr>
    <w:rPr>
      <w:sz w:val="20"/>
    </w:rPr>
  </w:style>
  <w:style w:type="paragraph" w:customStyle="1" w:styleId="ScalePlusRef">
    <w:name w:val="ScalePlusRef"/>
    <w:basedOn w:val="OPCParaBase"/>
    <w:rsid w:val="0074766F"/>
    <w:pPr>
      <w:spacing w:line="240" w:lineRule="auto"/>
    </w:pPr>
    <w:rPr>
      <w:sz w:val="18"/>
    </w:rPr>
  </w:style>
  <w:style w:type="paragraph" w:customStyle="1" w:styleId="MessageNotice">
    <w:name w:val="MessageNotice"/>
    <w:aliases w:val="mn"/>
    <w:basedOn w:val="OPCParaBase"/>
    <w:rsid w:val="0074766F"/>
    <w:pPr>
      <w:tabs>
        <w:tab w:val="left" w:pos="0"/>
      </w:tabs>
      <w:suppressAutoHyphens/>
      <w:jc w:val="both"/>
    </w:pPr>
    <w:rPr>
      <w:spacing w:val="-3"/>
      <w:sz w:val="28"/>
    </w:rPr>
  </w:style>
  <w:style w:type="paragraph" w:customStyle="1" w:styleId="Page1Pam">
    <w:name w:val="Page1Pam"/>
    <w:basedOn w:val="OPCParaBase"/>
    <w:next w:val="ShortT"/>
    <w:rsid w:val="0074766F"/>
    <w:pPr>
      <w:spacing w:before="16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006">
      <w:bodyDiv w:val="1"/>
      <w:marLeft w:val="0"/>
      <w:marRight w:val="0"/>
      <w:marTop w:val="0"/>
      <w:marBottom w:val="0"/>
      <w:divBdr>
        <w:top w:val="none" w:sz="0" w:space="0" w:color="auto"/>
        <w:left w:val="none" w:sz="0" w:space="0" w:color="auto"/>
        <w:bottom w:val="none" w:sz="0" w:space="0" w:color="auto"/>
        <w:right w:val="none" w:sz="0" w:space="0" w:color="auto"/>
      </w:divBdr>
    </w:div>
    <w:div w:id="272979860">
      <w:bodyDiv w:val="1"/>
      <w:marLeft w:val="0"/>
      <w:marRight w:val="0"/>
      <w:marTop w:val="0"/>
      <w:marBottom w:val="0"/>
      <w:divBdr>
        <w:top w:val="none" w:sz="0" w:space="0" w:color="auto"/>
        <w:left w:val="none" w:sz="0" w:space="0" w:color="auto"/>
        <w:bottom w:val="none" w:sz="0" w:space="0" w:color="auto"/>
        <w:right w:val="none" w:sz="0" w:space="0" w:color="auto"/>
      </w:divBdr>
    </w:div>
    <w:div w:id="873692260">
      <w:bodyDiv w:val="1"/>
      <w:marLeft w:val="0"/>
      <w:marRight w:val="0"/>
      <w:marTop w:val="0"/>
      <w:marBottom w:val="0"/>
      <w:divBdr>
        <w:top w:val="none" w:sz="0" w:space="0" w:color="auto"/>
        <w:left w:val="none" w:sz="0" w:space="0" w:color="auto"/>
        <w:bottom w:val="none" w:sz="0" w:space="0" w:color="auto"/>
        <w:right w:val="none" w:sz="0" w:space="0" w:color="auto"/>
      </w:divBdr>
    </w:div>
    <w:div w:id="887107089">
      <w:bodyDiv w:val="1"/>
      <w:marLeft w:val="0"/>
      <w:marRight w:val="0"/>
      <w:marTop w:val="0"/>
      <w:marBottom w:val="0"/>
      <w:divBdr>
        <w:top w:val="none" w:sz="0" w:space="0" w:color="auto"/>
        <w:left w:val="none" w:sz="0" w:space="0" w:color="auto"/>
        <w:bottom w:val="none" w:sz="0" w:space="0" w:color="auto"/>
        <w:right w:val="none" w:sz="0" w:space="0" w:color="auto"/>
      </w:divBdr>
    </w:div>
    <w:div w:id="1057626312">
      <w:bodyDiv w:val="1"/>
      <w:marLeft w:val="0"/>
      <w:marRight w:val="0"/>
      <w:marTop w:val="0"/>
      <w:marBottom w:val="0"/>
      <w:divBdr>
        <w:top w:val="none" w:sz="0" w:space="0" w:color="auto"/>
        <w:left w:val="none" w:sz="0" w:space="0" w:color="auto"/>
        <w:bottom w:val="none" w:sz="0" w:space="0" w:color="auto"/>
        <w:right w:val="none" w:sz="0" w:space="0" w:color="auto"/>
      </w:divBdr>
    </w:div>
    <w:div w:id="1059595823">
      <w:bodyDiv w:val="1"/>
      <w:marLeft w:val="0"/>
      <w:marRight w:val="0"/>
      <w:marTop w:val="0"/>
      <w:marBottom w:val="0"/>
      <w:divBdr>
        <w:top w:val="none" w:sz="0" w:space="0" w:color="auto"/>
        <w:left w:val="none" w:sz="0" w:space="0" w:color="auto"/>
        <w:bottom w:val="none" w:sz="0" w:space="0" w:color="auto"/>
        <w:right w:val="none" w:sz="0" w:space="0" w:color="auto"/>
      </w:divBdr>
    </w:div>
    <w:div w:id="1224216653">
      <w:bodyDiv w:val="1"/>
      <w:marLeft w:val="0"/>
      <w:marRight w:val="0"/>
      <w:marTop w:val="0"/>
      <w:marBottom w:val="0"/>
      <w:divBdr>
        <w:top w:val="none" w:sz="0" w:space="0" w:color="auto"/>
        <w:left w:val="none" w:sz="0" w:space="0" w:color="auto"/>
        <w:bottom w:val="none" w:sz="0" w:space="0" w:color="auto"/>
        <w:right w:val="none" w:sz="0" w:space="0" w:color="auto"/>
      </w:divBdr>
    </w:div>
    <w:div w:id="1371612651">
      <w:bodyDiv w:val="1"/>
      <w:marLeft w:val="0"/>
      <w:marRight w:val="0"/>
      <w:marTop w:val="0"/>
      <w:marBottom w:val="0"/>
      <w:divBdr>
        <w:top w:val="none" w:sz="0" w:space="0" w:color="auto"/>
        <w:left w:val="none" w:sz="0" w:space="0" w:color="auto"/>
        <w:bottom w:val="none" w:sz="0" w:space="0" w:color="auto"/>
        <w:right w:val="none" w:sz="0" w:space="0" w:color="auto"/>
      </w:divBdr>
    </w:div>
    <w:div w:id="1384787198">
      <w:bodyDiv w:val="1"/>
      <w:marLeft w:val="0"/>
      <w:marRight w:val="0"/>
      <w:marTop w:val="0"/>
      <w:marBottom w:val="0"/>
      <w:divBdr>
        <w:top w:val="none" w:sz="0" w:space="0" w:color="auto"/>
        <w:left w:val="none" w:sz="0" w:space="0" w:color="auto"/>
        <w:bottom w:val="none" w:sz="0" w:space="0" w:color="auto"/>
        <w:right w:val="none" w:sz="0" w:space="0" w:color="auto"/>
      </w:divBdr>
    </w:div>
    <w:div w:id="1477600906">
      <w:bodyDiv w:val="1"/>
      <w:marLeft w:val="0"/>
      <w:marRight w:val="0"/>
      <w:marTop w:val="0"/>
      <w:marBottom w:val="0"/>
      <w:divBdr>
        <w:top w:val="none" w:sz="0" w:space="0" w:color="auto"/>
        <w:left w:val="none" w:sz="0" w:space="0" w:color="auto"/>
        <w:bottom w:val="none" w:sz="0" w:space="0" w:color="auto"/>
        <w:right w:val="none" w:sz="0" w:space="0" w:color="auto"/>
      </w:divBdr>
    </w:div>
    <w:div w:id="1594360821">
      <w:bodyDiv w:val="1"/>
      <w:marLeft w:val="0"/>
      <w:marRight w:val="0"/>
      <w:marTop w:val="0"/>
      <w:marBottom w:val="0"/>
      <w:divBdr>
        <w:top w:val="none" w:sz="0" w:space="0" w:color="auto"/>
        <w:left w:val="none" w:sz="0" w:space="0" w:color="auto"/>
        <w:bottom w:val="none" w:sz="0" w:space="0" w:color="auto"/>
        <w:right w:val="none" w:sz="0" w:space="0" w:color="auto"/>
      </w:divBdr>
    </w:div>
    <w:div w:id="1749112892">
      <w:bodyDiv w:val="1"/>
      <w:marLeft w:val="0"/>
      <w:marRight w:val="0"/>
      <w:marTop w:val="0"/>
      <w:marBottom w:val="0"/>
      <w:divBdr>
        <w:top w:val="none" w:sz="0" w:space="0" w:color="auto"/>
        <w:left w:val="none" w:sz="0" w:space="0" w:color="auto"/>
        <w:bottom w:val="none" w:sz="0" w:space="0" w:color="auto"/>
        <w:right w:val="none" w:sz="0" w:space="0" w:color="auto"/>
      </w:divBdr>
    </w:div>
    <w:div w:id="2070955509">
      <w:bodyDiv w:val="1"/>
      <w:marLeft w:val="0"/>
      <w:marRight w:val="0"/>
      <w:marTop w:val="0"/>
      <w:marBottom w:val="0"/>
      <w:divBdr>
        <w:top w:val="none" w:sz="0" w:space="0" w:color="auto"/>
        <w:left w:val="none" w:sz="0" w:space="0" w:color="auto"/>
        <w:bottom w:val="none" w:sz="0" w:space="0" w:color="auto"/>
        <w:right w:val="none" w:sz="0" w:space="0" w:color="auto"/>
      </w:divBdr>
    </w:div>
    <w:div w:id="2076661175">
      <w:bodyDiv w:val="1"/>
      <w:marLeft w:val="0"/>
      <w:marRight w:val="0"/>
      <w:marTop w:val="0"/>
      <w:marBottom w:val="0"/>
      <w:divBdr>
        <w:top w:val="none" w:sz="0" w:space="0" w:color="auto"/>
        <w:left w:val="none" w:sz="0" w:space="0" w:color="auto"/>
        <w:bottom w:val="none" w:sz="0" w:space="0" w:color="auto"/>
        <w:right w:val="none" w:sz="0" w:space="0" w:color="auto"/>
      </w:divBdr>
    </w:div>
    <w:div w:id="20902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D3A2-06BA-4AED-8606-F96DE3E0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36</Pages>
  <Words>10993</Words>
  <Characters>57824</Characters>
  <Application>Microsoft Office Word</Application>
  <DocSecurity>0</DocSecurity>
  <PresentationFormat/>
  <Lines>1344</Lines>
  <Paragraphs>905</Paragraphs>
  <ScaleCrop>false</ScaleCrop>
  <HeadingPairs>
    <vt:vector size="2" baseType="variant">
      <vt:variant>
        <vt:lpstr>Title</vt:lpstr>
      </vt:variant>
      <vt:variant>
        <vt:i4>1</vt:i4>
      </vt:variant>
    </vt:vector>
  </HeadingPairs>
  <TitlesOfParts>
    <vt:vector size="1" baseType="lpstr">
      <vt:lpstr>Telecommunications Regulations 2021</vt:lpstr>
    </vt:vector>
  </TitlesOfParts>
  <Manager/>
  <Company/>
  <LinksUpToDate>false</LinksUpToDate>
  <CharactersWithSpaces>67912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2021-01-18T04:51:00Z</cp:lastPrinted>
  <dcterms:created xsi:type="dcterms:W3CDTF">2021-03-12T01:45:00Z</dcterms:created>
  <dcterms:modified xsi:type="dcterms:W3CDTF">2021-03-12T01:45:00Z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2021</vt:lpwstr>
  </property>
  <property fmtid="{D5CDD505-2E9C-101B-9397-08002B2CF9AE}" pid="3" name="ShortT">
    <vt:lpwstr>Telecommunications Regulations 2021</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18 March 2021</vt:lpwstr>
  </property>
  <property fmtid="{D5CDD505-2E9C-101B-9397-08002B2CF9AE}" pid="10" name="Authority">
    <vt:lpwstr>Unk</vt:lpwstr>
  </property>
  <property fmtid="{D5CDD505-2E9C-101B-9397-08002B2CF9AE}" pid="11" name="ID">
    <vt:lpwstr>OPC64913</vt:lpwstr>
  </property>
  <property fmtid="{D5CDD505-2E9C-101B-9397-08002B2CF9AE}" pid="12" name="DLM">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ExcoDate">
    <vt:lpwstr>18 March 2021</vt:lpwstr>
  </property>
</Properties>
</file>