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175" w:rsidRDefault="00955175" w:rsidP="00E2168B">
      <w:pPr>
        <w:spacing w:before="280" w:after="240"/>
        <w:rPr>
          <w:b/>
          <w:sz w:val="32"/>
          <w:szCs w:val="32"/>
        </w:rPr>
      </w:pPr>
    </w:p>
    <w:p w:rsidR="00955175" w:rsidRPr="00826A42" w:rsidRDefault="003F02D8" w:rsidP="00E2168B">
      <w:pPr>
        <w:spacing w:before="280" w:after="240"/>
        <w:rPr>
          <w:b/>
          <w:sz w:val="32"/>
          <w:szCs w:val="32"/>
        </w:rPr>
      </w:pPr>
      <w:bookmarkStart w:id="0" w:name="_GoBack"/>
      <w:bookmarkEnd w:id="0"/>
      <w:r w:rsidRPr="00826A42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542030" cy="746760"/>
            <wp:effectExtent l="0" t="0" r="0" b="0"/>
            <wp:wrapSquare wrapText="bothSides"/>
            <wp:docPr id="3" name="Picture 3" descr="Australian Securities and Investments Com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stralian Securities and Investments Commission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175" w:rsidRPr="00826A42" w:rsidRDefault="00955175" w:rsidP="00955175">
      <w:pPr>
        <w:pStyle w:val="LI-Title"/>
        <w:pBdr>
          <w:top w:val="none" w:sz="0" w:space="0" w:color="auto"/>
        </w:pBdr>
        <w:jc w:val="center"/>
      </w:pPr>
    </w:p>
    <w:p w:rsidR="00955175" w:rsidRPr="00826A42" w:rsidRDefault="00955175" w:rsidP="00955175">
      <w:pPr>
        <w:pStyle w:val="LI-Title"/>
        <w:pBdr>
          <w:top w:val="none" w:sz="0" w:space="0" w:color="auto"/>
        </w:pBdr>
        <w:jc w:val="center"/>
      </w:pPr>
      <w:r w:rsidRPr="00826A42">
        <w:t>Explanatory Statement</w:t>
      </w:r>
    </w:p>
    <w:p w:rsidR="00955175" w:rsidRPr="00826A42" w:rsidRDefault="00955175" w:rsidP="00955175">
      <w:pPr>
        <w:rPr>
          <w:lang w:eastAsia="en-AU"/>
        </w:rPr>
      </w:pPr>
    </w:p>
    <w:p w:rsidR="00C4170B" w:rsidRPr="00C4170B" w:rsidRDefault="009F5D5C" w:rsidP="00C4170B">
      <w:pPr>
        <w:jc w:val="center"/>
        <w:rPr>
          <w:b/>
          <w:i/>
          <w:sz w:val="28"/>
          <w:szCs w:val="28"/>
          <w:lang w:eastAsia="en-AU"/>
        </w:rPr>
      </w:pPr>
      <w:r w:rsidRPr="00826A42">
        <w:rPr>
          <w:b/>
          <w:i/>
          <w:sz w:val="28"/>
          <w:szCs w:val="28"/>
          <w:lang w:eastAsia="en-AU"/>
        </w:rPr>
        <w:t xml:space="preserve">ASIC </w:t>
      </w:r>
      <w:r w:rsidR="00A90F21" w:rsidRPr="00826A42">
        <w:rPr>
          <w:b/>
          <w:i/>
          <w:sz w:val="28"/>
          <w:szCs w:val="28"/>
          <w:lang w:eastAsia="en-AU"/>
        </w:rPr>
        <w:t>Corporations</w:t>
      </w:r>
      <w:r w:rsidR="005A5971" w:rsidRPr="00826A42">
        <w:rPr>
          <w:b/>
          <w:i/>
          <w:sz w:val="28"/>
          <w:szCs w:val="28"/>
          <w:lang w:eastAsia="en-AU"/>
        </w:rPr>
        <w:t xml:space="preserve"> (Disclosure of Lack of Independence) Instrument</w:t>
      </w:r>
      <w:r w:rsidR="0009054F" w:rsidRPr="00826A42">
        <w:rPr>
          <w:b/>
          <w:i/>
          <w:sz w:val="28"/>
          <w:szCs w:val="28"/>
          <w:lang w:eastAsia="en-AU"/>
        </w:rPr>
        <w:t> </w:t>
      </w:r>
      <w:r w:rsidR="005A5971" w:rsidRPr="00826A42">
        <w:rPr>
          <w:b/>
          <w:i/>
          <w:sz w:val="28"/>
          <w:szCs w:val="28"/>
          <w:lang w:eastAsia="en-AU"/>
        </w:rPr>
        <w:t>202</w:t>
      </w:r>
      <w:r w:rsidR="00622B6F" w:rsidRPr="00826A42">
        <w:rPr>
          <w:b/>
          <w:i/>
          <w:sz w:val="28"/>
          <w:szCs w:val="28"/>
          <w:lang w:eastAsia="en-AU"/>
        </w:rPr>
        <w:t>1</w:t>
      </w:r>
      <w:r w:rsidR="005A5971" w:rsidRPr="00826A42">
        <w:rPr>
          <w:b/>
          <w:i/>
          <w:sz w:val="28"/>
          <w:szCs w:val="28"/>
          <w:lang w:eastAsia="en-AU"/>
        </w:rPr>
        <w:t>/</w:t>
      </w:r>
      <w:r w:rsidR="0009054F" w:rsidRPr="00826A42">
        <w:rPr>
          <w:b/>
          <w:i/>
          <w:sz w:val="28"/>
          <w:szCs w:val="28"/>
          <w:lang w:eastAsia="en-AU"/>
        </w:rPr>
        <w:t>125</w:t>
      </w:r>
    </w:p>
    <w:p w:rsidR="00863657" w:rsidRDefault="00F800C9" w:rsidP="00F800C9">
      <w:pPr>
        <w:pStyle w:val="LI-BodyTextParaa"/>
        <w:ind w:left="0" w:firstLine="0"/>
      </w:pPr>
      <w:bookmarkStart w:id="1" w:name="BK_S3P1L1C1"/>
      <w:bookmarkEnd w:id="1"/>
      <w:r>
        <w:t xml:space="preserve">This is the Explanatory Statement for </w:t>
      </w:r>
      <w:r w:rsidR="005A5971">
        <w:t>ASIC Corporations (Disclosure of Lack of Independence) Instrument 202</w:t>
      </w:r>
      <w:r w:rsidR="00622B6F">
        <w:t>1</w:t>
      </w:r>
      <w:r w:rsidR="005A5971">
        <w:t>/</w:t>
      </w:r>
      <w:r w:rsidR="0009054F">
        <w:t>125</w:t>
      </w:r>
      <w:r w:rsidR="002728F7">
        <w:t xml:space="preserve"> (</w:t>
      </w:r>
      <w:r w:rsidR="0009054F">
        <w:t xml:space="preserve">the </w:t>
      </w:r>
      <w:r w:rsidR="002728F7">
        <w:rPr>
          <w:b/>
          <w:bCs/>
        </w:rPr>
        <w:t>Instrument</w:t>
      </w:r>
      <w:r w:rsidR="002728F7">
        <w:t>)</w:t>
      </w:r>
      <w:r>
        <w:t>.</w:t>
      </w:r>
    </w:p>
    <w:p w:rsidR="00F800C9" w:rsidRPr="00C4170B" w:rsidRDefault="00863657" w:rsidP="00F800C9">
      <w:pPr>
        <w:pStyle w:val="LI-BodyTextParaa"/>
        <w:ind w:left="0" w:firstLine="0"/>
      </w:pPr>
      <w:r>
        <w:t>Th</w:t>
      </w:r>
      <w:r w:rsidR="00F800C9" w:rsidRPr="00F800C9">
        <w:t>e</w:t>
      </w:r>
      <w:r>
        <w:t xml:space="preserve"> </w:t>
      </w:r>
      <w:r w:rsidR="00F800C9">
        <w:t xml:space="preserve">Explanatory Statement is approved by </w:t>
      </w:r>
      <w:r w:rsidR="00F800C9" w:rsidRPr="00C4170B">
        <w:t>the Australian Securities and Investments</w:t>
      </w:r>
      <w:r w:rsidR="00F800C9">
        <w:t> </w:t>
      </w:r>
      <w:r w:rsidR="00F800C9" w:rsidRPr="00C4170B">
        <w:t>Commission</w:t>
      </w:r>
      <w:r w:rsidR="00F800C9">
        <w:t xml:space="preserve"> (</w:t>
      </w:r>
      <w:r w:rsidR="00F800C9" w:rsidRPr="002728F7">
        <w:rPr>
          <w:b/>
          <w:iCs/>
        </w:rPr>
        <w:t>ASIC</w:t>
      </w:r>
      <w:r w:rsidR="00F800C9">
        <w:t>).</w:t>
      </w:r>
    </w:p>
    <w:p w:rsidR="00F800C9" w:rsidRPr="0018659E" w:rsidRDefault="005D1FEA" w:rsidP="00F800C9">
      <w:pPr>
        <w:pStyle w:val="LI-BodyTextNumbered"/>
        <w:ind w:left="0" w:firstLine="0"/>
        <w:rPr>
          <w:b/>
        </w:rPr>
      </w:pPr>
      <w:r>
        <w:rPr>
          <w:b/>
        </w:rPr>
        <w:t>Summary</w:t>
      </w:r>
    </w:p>
    <w:p w:rsidR="00CF3798" w:rsidRDefault="00EE6B03" w:rsidP="00EE6B03">
      <w:pPr>
        <w:pStyle w:val="LI-BodyTextParaa"/>
        <w:ind w:left="567"/>
      </w:pPr>
      <w:r>
        <w:t>1.</w:t>
      </w:r>
      <w:r>
        <w:tab/>
      </w:r>
      <w:r w:rsidR="00CF3798">
        <w:t>Where a providing entity would contravene s</w:t>
      </w:r>
      <w:r w:rsidR="00EB4493">
        <w:t xml:space="preserve">ubsection </w:t>
      </w:r>
      <w:r w:rsidR="00CF3798">
        <w:t xml:space="preserve">923A(1) of the </w:t>
      </w:r>
      <w:r w:rsidR="00CF3798">
        <w:rPr>
          <w:i/>
          <w:iCs/>
        </w:rPr>
        <w:t xml:space="preserve">Corporations Act 2001 </w:t>
      </w:r>
      <w:r w:rsidR="00CF3798">
        <w:t>(</w:t>
      </w:r>
      <w:r w:rsidR="00CF3798" w:rsidRPr="00CF3798">
        <w:t>the</w:t>
      </w:r>
      <w:r w:rsidR="00CF3798" w:rsidRPr="00CF3798">
        <w:rPr>
          <w:b/>
          <w:bCs/>
        </w:rPr>
        <w:t xml:space="preserve"> Act</w:t>
      </w:r>
      <w:r w:rsidR="00CF3798">
        <w:t xml:space="preserve">) </w:t>
      </w:r>
      <w:r w:rsidR="00CF3798" w:rsidRPr="00CF3798">
        <w:t>by</w:t>
      </w:r>
      <w:r w:rsidR="00CF3798">
        <w:t xml:space="preserve"> assuming or using the terms ‘independent’, ‘impartial’ or ‘unbiased’</w:t>
      </w:r>
      <w:r w:rsidR="00C032E3">
        <w:t>, or any other word or expression of like import,</w:t>
      </w:r>
      <w:r w:rsidR="00CF3798">
        <w:t xml:space="preserve"> in relation to personal advice, they must include a statement in the</w:t>
      </w:r>
      <w:r w:rsidR="00336BCE">
        <w:t>ir</w:t>
      </w:r>
      <w:r w:rsidR="00CF3798">
        <w:t xml:space="preserve"> Financial Services Guide (</w:t>
      </w:r>
      <w:proofErr w:type="spellStart"/>
      <w:r w:rsidR="00CF3798" w:rsidRPr="00CF3798">
        <w:rPr>
          <w:b/>
          <w:bCs/>
        </w:rPr>
        <w:t>FSG</w:t>
      </w:r>
      <w:proofErr w:type="spellEnd"/>
      <w:r w:rsidR="00CF3798">
        <w:t>) that sets out that the providing entity is not independent, impartial or unbiased, and explain the reasons why (</w:t>
      </w:r>
      <w:r w:rsidR="00CF3798" w:rsidRPr="00CF3798">
        <w:rPr>
          <w:b/>
          <w:bCs/>
        </w:rPr>
        <w:t>Lack of Independence Disclosure</w:t>
      </w:r>
      <w:r w:rsidR="00CF3798">
        <w:t>)</w:t>
      </w:r>
      <w:r w:rsidR="00336BCE">
        <w:t xml:space="preserve"> (</w:t>
      </w:r>
      <w:r w:rsidR="00EB4493">
        <w:t xml:space="preserve">paragraphs </w:t>
      </w:r>
      <w:r w:rsidR="00CF3798">
        <w:t>942B(2)(f</w:t>
      </w:r>
      <w:r w:rsidR="0009054F">
        <w:t>a</w:t>
      </w:r>
      <w:r w:rsidR="00CF3798">
        <w:t>) and 942C(2)(</w:t>
      </w:r>
      <w:proofErr w:type="spellStart"/>
      <w:r w:rsidR="00CF3798">
        <w:t>g</w:t>
      </w:r>
      <w:r w:rsidR="0009054F">
        <w:t>a</w:t>
      </w:r>
      <w:proofErr w:type="spellEnd"/>
      <w:r w:rsidR="00CF3798">
        <w:t>) of the Act</w:t>
      </w:r>
      <w:r w:rsidR="00336BCE">
        <w:t>)</w:t>
      </w:r>
      <w:r w:rsidR="00CF3798">
        <w:t>.</w:t>
      </w:r>
    </w:p>
    <w:p w:rsidR="002728F7" w:rsidRDefault="00EE6B03" w:rsidP="00EE6B03">
      <w:pPr>
        <w:pStyle w:val="LI-BodyTextParaa"/>
        <w:ind w:left="567"/>
      </w:pPr>
      <w:r>
        <w:t>2.</w:t>
      </w:r>
      <w:r>
        <w:tab/>
      </w:r>
      <w:r w:rsidR="002728F7">
        <w:t>S</w:t>
      </w:r>
      <w:r w:rsidR="009022E6">
        <w:t>ubs</w:t>
      </w:r>
      <w:r w:rsidR="002728F7">
        <w:t xml:space="preserve">ections 942B(7A) and 942C(7A) </w:t>
      </w:r>
      <w:r w:rsidR="00336BCE">
        <w:t xml:space="preserve">of the Act </w:t>
      </w:r>
      <w:r w:rsidR="002728F7">
        <w:t xml:space="preserve">provides ASIC with the power to determine the requirements for the Lack of Independence Disclosure. </w:t>
      </w:r>
    </w:p>
    <w:p w:rsidR="007E28C4" w:rsidRPr="002728F7" w:rsidRDefault="00EE6B03" w:rsidP="00EE6B03">
      <w:pPr>
        <w:pStyle w:val="LI-BodyTextParaa"/>
        <w:ind w:left="567"/>
        <w:rPr>
          <w:color w:val="FF0000"/>
        </w:rPr>
      </w:pPr>
      <w:r>
        <w:t>3.</w:t>
      </w:r>
      <w:r>
        <w:tab/>
      </w:r>
      <w:r w:rsidR="002728F7">
        <w:t>Th</w:t>
      </w:r>
      <w:r w:rsidR="0009054F">
        <w:t>e</w:t>
      </w:r>
      <w:r w:rsidR="002728F7">
        <w:t xml:space="preserve"> </w:t>
      </w:r>
      <w:r w:rsidR="00481317">
        <w:t>I</w:t>
      </w:r>
      <w:r w:rsidR="002728F7">
        <w:t xml:space="preserve">nstrument prescribes the requirements for the Lack of Independence Disclosure that must be included in an </w:t>
      </w:r>
      <w:proofErr w:type="spellStart"/>
      <w:r w:rsidR="002728F7">
        <w:t>FSG</w:t>
      </w:r>
      <w:proofErr w:type="spellEnd"/>
      <w:r w:rsidR="002728F7">
        <w:t xml:space="preserve"> by providing entities</w:t>
      </w:r>
      <w:r w:rsidR="00336BCE">
        <w:t>.</w:t>
      </w:r>
    </w:p>
    <w:p w:rsidR="002728F7" w:rsidRPr="002728F7" w:rsidRDefault="002728F7" w:rsidP="002728F7">
      <w:pPr>
        <w:pStyle w:val="LI-BodyTextNumbered"/>
        <w:ind w:left="0" w:firstLine="0"/>
        <w:rPr>
          <w:b/>
        </w:rPr>
      </w:pPr>
      <w:r>
        <w:rPr>
          <w:b/>
        </w:rPr>
        <w:t>Purpose of the instrument</w:t>
      </w:r>
    </w:p>
    <w:p w:rsidR="002728F7" w:rsidRDefault="00EE6B03" w:rsidP="00EE6B03">
      <w:pPr>
        <w:pStyle w:val="LI-BodyTextParaa"/>
        <w:ind w:left="567"/>
      </w:pPr>
      <w:r>
        <w:t>4.</w:t>
      </w:r>
      <w:r>
        <w:tab/>
      </w:r>
      <w:r w:rsidR="002728F7" w:rsidRPr="002728F7">
        <w:t xml:space="preserve">The </w:t>
      </w:r>
      <w:bookmarkStart w:id="2" w:name="_Hlk64629395"/>
      <w:r w:rsidR="002728F7" w:rsidRPr="002728F7">
        <w:t xml:space="preserve">Royal Commission into Misconduct in the Banking, Superannuation and Financial Services Industry </w:t>
      </w:r>
      <w:bookmarkEnd w:id="2"/>
      <w:r w:rsidR="002728F7" w:rsidRPr="002728F7">
        <w:t>(</w:t>
      </w:r>
      <w:r w:rsidR="002728F7" w:rsidRPr="002728F7">
        <w:rPr>
          <w:b/>
          <w:bCs/>
        </w:rPr>
        <w:t>Royal Commission</w:t>
      </w:r>
      <w:r w:rsidR="002728F7" w:rsidRPr="002728F7">
        <w:t xml:space="preserve">) </w:t>
      </w:r>
      <w:r w:rsidR="00F824FB">
        <w:t>identified</w:t>
      </w:r>
      <w:r w:rsidR="00F824FB" w:rsidRPr="00F824FB">
        <w:t xml:space="preserve"> that there </w:t>
      </w:r>
      <w:r w:rsidR="00F824FB">
        <w:t>were</w:t>
      </w:r>
      <w:r w:rsidR="00F824FB" w:rsidRPr="00F824FB">
        <w:t xml:space="preserve"> no requirement</w:t>
      </w:r>
      <w:r w:rsidR="00F824FB">
        <w:t>s</w:t>
      </w:r>
      <w:r w:rsidR="00F824FB" w:rsidRPr="00F824FB">
        <w:t xml:space="preserve"> for financial advisers</w:t>
      </w:r>
      <w:r w:rsidR="00F824FB">
        <w:t xml:space="preserve"> that are not ‘independent’ to </w:t>
      </w:r>
      <w:r w:rsidR="00F824FB" w:rsidRPr="00F824FB">
        <w:t>explai</w:t>
      </w:r>
      <w:r w:rsidR="00F824FB">
        <w:t>n this to clients</w:t>
      </w:r>
      <w:r w:rsidR="00F824FB" w:rsidRPr="00F824FB">
        <w:t>.</w:t>
      </w:r>
      <w:r w:rsidR="00F824FB">
        <w:t xml:space="preserve"> Commissioner Hayne considered that </w:t>
      </w:r>
      <w:r w:rsidR="00F824FB" w:rsidRPr="00F824FB">
        <w:t xml:space="preserve">this </w:t>
      </w:r>
      <w:r w:rsidR="00F824FB">
        <w:t>was</w:t>
      </w:r>
      <w:r w:rsidR="00F824FB" w:rsidRPr="00F824FB">
        <w:t xml:space="preserve"> not </w:t>
      </w:r>
      <w:r w:rsidR="00174BD8">
        <w:t>satisfactory</w:t>
      </w:r>
      <w:r w:rsidR="00F824FB" w:rsidRPr="00F824FB">
        <w:t xml:space="preserve">, and that </w:t>
      </w:r>
      <w:r w:rsidR="00F824FB">
        <w:t>an</w:t>
      </w:r>
      <w:r w:rsidR="00F824FB" w:rsidRPr="00F824FB">
        <w:t xml:space="preserve"> adviser’s lack of independence should be brought to the client’s attention in a prominent, clear and concise manner.</w:t>
      </w:r>
    </w:p>
    <w:p w:rsidR="002728F7" w:rsidRPr="002728F7" w:rsidRDefault="00EE6B03" w:rsidP="00EE6B03">
      <w:pPr>
        <w:pStyle w:val="LI-BodyTextParaa"/>
        <w:ind w:left="567"/>
      </w:pPr>
      <w:r>
        <w:t>5.</w:t>
      </w:r>
      <w:r>
        <w:tab/>
      </w:r>
      <w:r w:rsidR="002728F7" w:rsidRPr="002728F7">
        <w:t xml:space="preserve">In light of </w:t>
      </w:r>
      <w:r w:rsidR="00F824FB">
        <w:t>this</w:t>
      </w:r>
      <w:r w:rsidR="002728F7" w:rsidRPr="002728F7">
        <w:t>, the Royal Commission made the following recommendation</w:t>
      </w:r>
      <w:r w:rsidR="00257A5F">
        <w:t xml:space="preserve"> to ensure it is clear to clients whether their financial adviser is independent</w:t>
      </w:r>
      <w:r w:rsidR="00336BCE">
        <w:t xml:space="preserve"> (Recommendation 2.2)</w:t>
      </w:r>
      <w:r w:rsidR="00257A5F">
        <w:t>:</w:t>
      </w:r>
      <w:r w:rsidR="002728F7" w:rsidRPr="002728F7">
        <w:t xml:space="preserve"> </w:t>
      </w:r>
    </w:p>
    <w:p w:rsidR="002728F7" w:rsidRPr="00916D9D" w:rsidRDefault="00916D9D" w:rsidP="00916D9D">
      <w:pPr>
        <w:pStyle w:val="LI-BodyTextParaa"/>
        <w:ind w:left="720" w:firstLine="0"/>
        <w:rPr>
          <w:i/>
          <w:iCs/>
        </w:rPr>
      </w:pPr>
      <w:r w:rsidRPr="00916D9D">
        <w:rPr>
          <w:i/>
          <w:iCs/>
        </w:rPr>
        <w:t xml:space="preserve">The law should be amended to require that a financial adviser who would  contravene section 923A of the Corporations Act by assuming or using any of the restricted words or expressions identified in section 923A(5) (including </w:t>
      </w:r>
      <w:r w:rsidRPr="00916D9D">
        <w:rPr>
          <w:i/>
          <w:iCs/>
        </w:rPr>
        <w:lastRenderedPageBreak/>
        <w:t>‘independent’, ‘impartial’ and ‘unbiased’) must, before providing personal advice to a retail client, give to the client a written statement (in or to the effect of a form to be prescribed) explaining simply and concisely why the adviser is not independent, impartial and unbiased.</w:t>
      </w:r>
    </w:p>
    <w:p w:rsidR="00B00D8E" w:rsidRDefault="0022180F" w:rsidP="0022180F">
      <w:pPr>
        <w:pStyle w:val="LI-BodyTextParaa"/>
        <w:ind w:left="567"/>
      </w:pPr>
      <w:r>
        <w:t>6.</w:t>
      </w:r>
      <w:r>
        <w:tab/>
      </w:r>
      <w:r w:rsidR="002728F7" w:rsidRPr="002728F7">
        <w:t xml:space="preserve">The </w:t>
      </w:r>
      <w:r w:rsidR="002728F7">
        <w:t>Act</w:t>
      </w:r>
      <w:r w:rsidR="002728F7" w:rsidRPr="002728F7">
        <w:t xml:space="preserve"> was amended by </w:t>
      </w:r>
      <w:r w:rsidR="002728F7" w:rsidRPr="00EF21B3">
        <w:t xml:space="preserve">the </w:t>
      </w:r>
      <w:r w:rsidR="002728F7" w:rsidRPr="00B00D8E">
        <w:rPr>
          <w:i/>
          <w:iCs/>
        </w:rPr>
        <w:t xml:space="preserve">Financial Sector Reform (Hayne Royal Commission Response </w:t>
      </w:r>
      <w:r w:rsidR="00BC3F41">
        <w:rPr>
          <w:i/>
          <w:iCs/>
        </w:rPr>
        <w:t>No. 2)</w:t>
      </w:r>
      <w:r w:rsidR="002728F7" w:rsidRPr="00B00D8E">
        <w:rPr>
          <w:i/>
          <w:iCs/>
        </w:rPr>
        <w:t xml:space="preserve"> Act 202</w:t>
      </w:r>
      <w:r w:rsidR="00253DA5">
        <w:rPr>
          <w:i/>
          <w:iCs/>
        </w:rPr>
        <w:t>1</w:t>
      </w:r>
      <w:r w:rsidR="002728F7" w:rsidRPr="002728F7">
        <w:t xml:space="preserve"> to implement </w:t>
      </w:r>
      <w:r w:rsidR="00481317">
        <w:t xml:space="preserve">Recommendation 2.2 </w:t>
      </w:r>
      <w:r w:rsidR="0009054F">
        <w:t xml:space="preserve">of </w:t>
      </w:r>
      <w:r w:rsidR="002728F7" w:rsidRPr="002728F7">
        <w:t>the Royal Commission</w:t>
      </w:r>
      <w:r w:rsidR="00336BCE">
        <w:t xml:space="preserve"> by requiring a Lack of Independence Disclosure in an </w:t>
      </w:r>
      <w:proofErr w:type="spellStart"/>
      <w:r w:rsidR="00336BCE">
        <w:t>FSG</w:t>
      </w:r>
      <w:proofErr w:type="spellEnd"/>
      <w:r w:rsidR="00336BCE">
        <w:t>, where applicable</w:t>
      </w:r>
      <w:r w:rsidR="000D0C16">
        <w:t xml:space="preserve">. </w:t>
      </w:r>
    </w:p>
    <w:p w:rsidR="00B00D8E" w:rsidRDefault="0022180F" w:rsidP="0022180F">
      <w:pPr>
        <w:pStyle w:val="LI-BodyTextParaa"/>
        <w:ind w:left="567"/>
      </w:pPr>
      <w:r>
        <w:t>7.</w:t>
      </w:r>
      <w:r>
        <w:tab/>
      </w:r>
      <w:r w:rsidR="00481317">
        <w:t xml:space="preserve">Section </w:t>
      </w:r>
      <w:r w:rsidR="00FA56EB">
        <w:t xml:space="preserve">923A </w:t>
      </w:r>
      <w:r w:rsidR="00FF3C58">
        <w:t xml:space="preserve">of the Act </w:t>
      </w:r>
      <w:r w:rsidR="00FA56EB">
        <w:t>prohibits a person from using certain restricted words and expression</w:t>
      </w:r>
      <w:r w:rsidR="00FF3C58">
        <w:t xml:space="preserve">s (including ‘independent’, ‘impartial’, and ‘unbiased’, or any other words </w:t>
      </w:r>
      <w:r w:rsidR="00506E15">
        <w:t xml:space="preserve">or expressions </w:t>
      </w:r>
      <w:r w:rsidR="00FF3C58">
        <w:t>of like import)</w:t>
      </w:r>
      <w:r w:rsidR="00FA56EB">
        <w:t xml:space="preserve"> in relation to a financial services business or the provision of a financial service unless</w:t>
      </w:r>
      <w:r w:rsidR="00481317">
        <w:t xml:space="preserve"> certain conditions are met in relation to remuneration and conflicts of interests. </w:t>
      </w:r>
      <w:r w:rsidR="00B00D8E">
        <w:t xml:space="preserve"> </w:t>
      </w:r>
    </w:p>
    <w:p w:rsidR="00B00D8E" w:rsidRDefault="0022180F" w:rsidP="0022180F">
      <w:pPr>
        <w:pStyle w:val="LI-BodyTextParaa"/>
        <w:ind w:left="567"/>
      </w:pPr>
      <w:r>
        <w:t>8.</w:t>
      </w:r>
      <w:r>
        <w:tab/>
      </w:r>
      <w:r w:rsidR="00481317">
        <w:t xml:space="preserve">An </w:t>
      </w:r>
      <w:proofErr w:type="spellStart"/>
      <w:r w:rsidR="00481317">
        <w:t>FSG</w:t>
      </w:r>
      <w:proofErr w:type="spellEnd"/>
      <w:r w:rsidR="00481317">
        <w:t xml:space="preserve"> </w:t>
      </w:r>
      <w:r w:rsidR="005F546B">
        <w:t xml:space="preserve">is designed to give retail clients sufficient information to enable them to decide whether to obtain financial services from </w:t>
      </w:r>
      <w:r w:rsidR="00FA3C5C">
        <w:t>a</w:t>
      </w:r>
      <w:r w:rsidR="005F546B">
        <w:t xml:space="preserve"> providing entity. </w:t>
      </w:r>
      <w:r w:rsidR="000D0C16" w:rsidRPr="000D0C16">
        <w:t xml:space="preserve">A ‘providing entity’ is an </w:t>
      </w:r>
      <w:r w:rsidR="000D0C16">
        <w:t>Australian financial services (AFS)</w:t>
      </w:r>
      <w:r w:rsidR="000D0C16" w:rsidRPr="000D0C16">
        <w:t xml:space="preserve"> licensee or an authorised representative of an AFS licensee, that provides </w:t>
      </w:r>
      <w:r w:rsidR="000D0C16">
        <w:t>financial services</w:t>
      </w:r>
      <w:r w:rsidR="000D0C16" w:rsidRPr="000D0C16">
        <w:t xml:space="preserve"> to a retail client.</w:t>
      </w:r>
      <w:r w:rsidR="003F004A">
        <w:t xml:space="preserve"> </w:t>
      </w:r>
    </w:p>
    <w:p w:rsidR="00B00D8E" w:rsidRDefault="0022180F" w:rsidP="0022180F">
      <w:pPr>
        <w:pStyle w:val="LI-BodyTextParaa"/>
        <w:ind w:left="567"/>
      </w:pPr>
      <w:r>
        <w:t>9.</w:t>
      </w:r>
      <w:r>
        <w:tab/>
      </w:r>
      <w:r w:rsidR="00B00D8E" w:rsidRPr="00B00D8E">
        <w:t>The Lack of Independence Disclosure must</w:t>
      </w:r>
      <w:r w:rsidR="00B00D8E">
        <w:t xml:space="preserve"> </w:t>
      </w:r>
      <w:r w:rsidR="00B00D8E" w:rsidRPr="00B00D8E">
        <w:t>meet the requirements (if any) determined by ASIC in a legislative instrument (</w:t>
      </w:r>
      <w:r w:rsidR="00EB4493">
        <w:t xml:space="preserve">paragraphs </w:t>
      </w:r>
      <w:r w:rsidR="00B00D8E" w:rsidRPr="00B00D8E">
        <w:t>942B(2)(f</w:t>
      </w:r>
      <w:r w:rsidR="0009054F">
        <w:t>a</w:t>
      </w:r>
      <w:r w:rsidR="00B00D8E" w:rsidRPr="00B00D8E">
        <w:t>) and 942C(2)(</w:t>
      </w:r>
      <w:proofErr w:type="spellStart"/>
      <w:r w:rsidR="00B00D8E" w:rsidRPr="00B00D8E">
        <w:t>g</w:t>
      </w:r>
      <w:r w:rsidR="0009054F">
        <w:t>a</w:t>
      </w:r>
      <w:proofErr w:type="spellEnd"/>
      <w:r w:rsidR="00B00D8E" w:rsidRPr="00B00D8E">
        <w:t>) of the Act).</w:t>
      </w:r>
      <w:r w:rsidR="00B00D8E">
        <w:t xml:space="preserve"> This Instrument prescribes those requirements. </w:t>
      </w:r>
    </w:p>
    <w:p w:rsidR="00721729" w:rsidRDefault="0022180F" w:rsidP="0022180F">
      <w:pPr>
        <w:pStyle w:val="LI-BodyTextParaa"/>
        <w:ind w:left="567"/>
      </w:pPr>
      <w:r>
        <w:t>10.</w:t>
      </w:r>
      <w:r>
        <w:tab/>
      </w:r>
      <w:r w:rsidR="002241DE">
        <w:t xml:space="preserve">The intent of Recommendation 2.2 is to improve the disclosure of conflicts of interest and ensure that a </w:t>
      </w:r>
      <w:r w:rsidR="00B00D8E">
        <w:t>providing entity’s</w:t>
      </w:r>
      <w:r w:rsidR="002241DE">
        <w:t xml:space="preserve"> lack of independence is brought to the client’s attention through prominent, clear and concise disclosure.</w:t>
      </w:r>
      <w:r w:rsidR="00B00D8E">
        <w:t xml:space="preserve"> </w:t>
      </w:r>
      <w:r w:rsidR="0021511C">
        <w:t xml:space="preserve">The </w:t>
      </w:r>
      <w:r w:rsidR="00B00D8E">
        <w:t>requirements</w:t>
      </w:r>
      <w:r w:rsidR="0021511C">
        <w:t xml:space="preserve"> prescribed in t</w:t>
      </w:r>
      <w:r w:rsidR="00B00D8E">
        <w:t>h</w:t>
      </w:r>
      <w:r w:rsidR="00EE6B03">
        <w:t>e</w:t>
      </w:r>
      <w:r w:rsidR="00B00D8E">
        <w:t xml:space="preserve"> I</w:t>
      </w:r>
      <w:r w:rsidR="0021511C">
        <w:t xml:space="preserve">nstrument </w:t>
      </w:r>
      <w:r w:rsidR="00B00D8E">
        <w:t>are aimed at ensuring</w:t>
      </w:r>
      <w:r w:rsidR="003F004A">
        <w:t xml:space="preserve"> </w:t>
      </w:r>
      <w:r w:rsidR="0021511C">
        <w:t>that a providing entity’s lack of independence is explained prominently, clearly and concisely to clients</w:t>
      </w:r>
      <w:r w:rsidR="00336BCE">
        <w:t xml:space="preserve"> and removing the risk that providing entities will ‘bury’ the disclosure among other content in the </w:t>
      </w:r>
      <w:proofErr w:type="spellStart"/>
      <w:r w:rsidR="00336BCE">
        <w:t>FSG</w:t>
      </w:r>
      <w:proofErr w:type="spellEnd"/>
      <w:r w:rsidR="0021511C">
        <w:t>.</w:t>
      </w:r>
      <w:r w:rsidR="000D0C16">
        <w:t xml:space="preserve"> </w:t>
      </w:r>
    </w:p>
    <w:p w:rsidR="00721729" w:rsidRPr="00721729" w:rsidRDefault="00721729" w:rsidP="00721729">
      <w:pPr>
        <w:pStyle w:val="LI-BodyTextNumbered"/>
        <w:ind w:left="0" w:firstLine="0"/>
        <w:rPr>
          <w:b/>
        </w:rPr>
      </w:pPr>
      <w:r>
        <w:rPr>
          <w:b/>
        </w:rPr>
        <w:t>Consultation</w:t>
      </w:r>
    </w:p>
    <w:p w:rsidR="00721729" w:rsidRDefault="0022180F" w:rsidP="0022180F">
      <w:pPr>
        <w:pStyle w:val="LI-BodyTextParaa"/>
        <w:ind w:left="567"/>
      </w:pPr>
      <w:r>
        <w:t>11.</w:t>
      </w:r>
      <w:r>
        <w:tab/>
      </w:r>
      <w:r w:rsidR="00721729">
        <w:t xml:space="preserve">ASIC released Consultation Paper 329 </w:t>
      </w:r>
      <w:r w:rsidR="00721729" w:rsidRPr="00721729">
        <w:rPr>
          <w:i/>
          <w:iCs/>
        </w:rPr>
        <w:t>Implementing the Royal Commission recommendations: Advice fee consents and independence disclosure</w:t>
      </w:r>
      <w:r w:rsidR="00721729">
        <w:t xml:space="preserve"> (CP 329) on 10 March 2020, seeking feedback on ASIC’s proposed approach to implementing aspects of law reform arising from Royal Commission Recommendations 2.1, 2.2 and 3.3 relating to advice fee consents and independence</w:t>
      </w:r>
      <w:r w:rsidR="005A6757">
        <w:t xml:space="preserve"> disclosure</w:t>
      </w:r>
      <w:r w:rsidR="00721729">
        <w:t xml:space="preserve">. </w:t>
      </w:r>
      <w:bookmarkStart w:id="3" w:name="_Hlk53485185"/>
      <w:r w:rsidR="00721729">
        <w:t>CP 329</w:t>
      </w:r>
      <w:r w:rsidR="00174BD8">
        <w:t xml:space="preserve"> was open for submissions</w:t>
      </w:r>
      <w:r w:rsidR="00721729">
        <w:t xml:space="preserve"> for a period of four weeks.</w:t>
      </w:r>
      <w:r w:rsidR="00336BCE">
        <w:t xml:space="preserve"> Submissions were also accepted after this time due </w:t>
      </w:r>
      <w:r w:rsidR="00C21B14">
        <w:t xml:space="preserve">to </w:t>
      </w:r>
      <w:r w:rsidR="00336BCE">
        <w:t>the impacts of the COVID</w:t>
      </w:r>
      <w:r w:rsidR="00336BCE">
        <w:noBreakHyphen/>
        <w:t>19 pandemic.</w:t>
      </w:r>
      <w:r w:rsidR="00721729">
        <w:t xml:space="preserve"> </w:t>
      </w:r>
      <w:bookmarkEnd w:id="3"/>
    </w:p>
    <w:p w:rsidR="00721729" w:rsidRDefault="0022180F" w:rsidP="0022180F">
      <w:pPr>
        <w:pStyle w:val="LI-BodyTextParaa"/>
        <w:ind w:left="567"/>
      </w:pPr>
      <w:r>
        <w:t>12.</w:t>
      </w:r>
      <w:r>
        <w:tab/>
      </w:r>
      <w:r w:rsidR="00721729">
        <w:t xml:space="preserve">Report </w:t>
      </w:r>
      <w:r w:rsidR="007D2EBA">
        <w:t xml:space="preserve">687 </w:t>
      </w:r>
      <w:r w:rsidR="00721729">
        <w:t>Response to submissions on CP 329</w:t>
      </w:r>
      <w:r w:rsidR="00114FEF">
        <w:rPr>
          <w:i/>
          <w:iCs/>
        </w:rPr>
        <w:t xml:space="preserve"> on a</w:t>
      </w:r>
      <w:r w:rsidR="00721729" w:rsidRPr="00336BCE">
        <w:rPr>
          <w:i/>
          <w:iCs/>
        </w:rPr>
        <w:t>dvice fee consents and independence disclosure</w:t>
      </w:r>
      <w:r w:rsidR="00721729">
        <w:t xml:space="preserve"> (</w:t>
      </w:r>
      <w:r w:rsidR="005A6757">
        <w:t xml:space="preserve">REP </w:t>
      </w:r>
      <w:r w:rsidR="007D2EBA">
        <w:t>687</w:t>
      </w:r>
      <w:r w:rsidR="00721729">
        <w:t xml:space="preserve">) sets out the key issues that arose out of the submissions received on CP 329 and ASIC’s response to those issues. </w:t>
      </w:r>
    </w:p>
    <w:p w:rsidR="004A4C53" w:rsidRDefault="0022180F" w:rsidP="0022180F">
      <w:pPr>
        <w:pStyle w:val="LI-BodyTextParaa"/>
        <w:ind w:left="567"/>
        <w:rPr>
          <w:i/>
          <w:iCs/>
          <w:color w:val="FF0000"/>
        </w:rPr>
      </w:pPr>
      <w:bookmarkStart w:id="4" w:name="_Hlk534291624"/>
      <w:r>
        <w:t>13.</w:t>
      </w:r>
      <w:r>
        <w:tab/>
      </w:r>
      <w:r w:rsidR="00336BCE" w:rsidRPr="00336BCE">
        <w:t>The Office of Best Practice Regulation has confirmed that the Government has undertaken a process equivalent to a Regulation Impact Statement (</w:t>
      </w:r>
      <w:proofErr w:type="spellStart"/>
      <w:r w:rsidR="00336BCE" w:rsidRPr="00336BCE">
        <w:t>RIS</w:t>
      </w:r>
      <w:proofErr w:type="spellEnd"/>
      <w:r w:rsidR="00336BCE" w:rsidRPr="00336BCE">
        <w:t xml:space="preserve">) in </w:t>
      </w:r>
      <w:r w:rsidR="00336BCE" w:rsidRPr="00336BCE">
        <w:lastRenderedPageBreak/>
        <w:t xml:space="preserve">relation to implementation of the Royal Commission recommendations, which also covers implementation by ASIC of </w:t>
      </w:r>
      <w:r w:rsidR="00EF21B3">
        <w:t>R</w:t>
      </w:r>
      <w:r w:rsidR="00EF21B3" w:rsidRPr="00336BCE">
        <w:t xml:space="preserve">ecommendation </w:t>
      </w:r>
      <w:r w:rsidR="00336BCE" w:rsidRPr="00336BCE">
        <w:t>2.</w:t>
      </w:r>
      <w:r w:rsidR="00EF21B3">
        <w:t>2</w:t>
      </w:r>
      <w:r w:rsidR="00336BCE" w:rsidRPr="00336BCE">
        <w:t xml:space="preserve"> in th</w:t>
      </w:r>
      <w:r w:rsidR="00EE6B03">
        <w:t>e</w:t>
      </w:r>
      <w:r w:rsidR="00336BCE" w:rsidRPr="00336BCE">
        <w:t xml:space="preserve"> Instrument.</w:t>
      </w:r>
      <w:r w:rsidR="00336BCE" w:rsidRPr="00AA2644">
        <w:rPr>
          <w:i/>
          <w:iCs/>
          <w:color w:val="FF0000"/>
        </w:rPr>
        <w:t xml:space="preserve">  </w:t>
      </w:r>
    </w:p>
    <w:p w:rsidR="0028655A" w:rsidRDefault="0028655A" w:rsidP="0028655A">
      <w:pPr>
        <w:pStyle w:val="LI-BodyTextNumbered"/>
        <w:ind w:left="0" w:firstLine="0"/>
        <w:rPr>
          <w:b/>
        </w:rPr>
      </w:pPr>
      <w:r>
        <w:rPr>
          <w:b/>
        </w:rPr>
        <w:t>Operation of the instrument</w:t>
      </w:r>
    </w:p>
    <w:p w:rsidR="0028655A" w:rsidRDefault="0022180F" w:rsidP="0022180F">
      <w:pPr>
        <w:pStyle w:val="LI-BodyTextParaa"/>
        <w:ind w:left="567"/>
      </w:pPr>
      <w:r>
        <w:t>14.</w:t>
      </w:r>
      <w:r>
        <w:tab/>
      </w:r>
      <w:r w:rsidR="0028655A">
        <w:t xml:space="preserve">Failure to provide the Lack of Independence Disclosure in an </w:t>
      </w:r>
      <w:proofErr w:type="spellStart"/>
      <w:r w:rsidR="0028655A">
        <w:t>FSG</w:t>
      </w:r>
      <w:proofErr w:type="spellEnd"/>
      <w:r w:rsidR="0028655A">
        <w:t>, where applicable, is an offence (</w:t>
      </w:r>
      <w:r w:rsidR="009022E6">
        <w:t>sub</w:t>
      </w:r>
      <w:r w:rsidR="0028655A">
        <w:t>s</w:t>
      </w:r>
      <w:r w:rsidR="00D41D6E">
        <w:t xml:space="preserve">ection </w:t>
      </w:r>
      <w:r w:rsidR="0028655A">
        <w:t xml:space="preserve">1311(1) of the Act). The </w:t>
      </w:r>
      <w:r w:rsidR="00AB7CA5">
        <w:t>d</w:t>
      </w:r>
      <w:r w:rsidR="0028655A">
        <w:t xml:space="preserve">isclosure must comply with any requirements set by ASIC in </w:t>
      </w:r>
      <w:r w:rsidR="00174BD8">
        <w:t>the</w:t>
      </w:r>
      <w:r w:rsidR="0028655A">
        <w:t xml:space="preserve"> </w:t>
      </w:r>
      <w:r w:rsidR="00174BD8">
        <w:t>I</w:t>
      </w:r>
      <w:r w:rsidR="0028655A">
        <w:t>nstrument.</w:t>
      </w:r>
    </w:p>
    <w:p w:rsidR="0028655A" w:rsidRPr="0028655A" w:rsidRDefault="0028655A" w:rsidP="0028655A">
      <w:pPr>
        <w:pStyle w:val="LI-BodyTextNumbered"/>
        <w:ind w:left="0" w:firstLine="0"/>
        <w:rPr>
          <w:b/>
        </w:rPr>
      </w:pPr>
      <w:r>
        <w:rPr>
          <w:b/>
          <w:bCs/>
          <w:u w:val="single"/>
        </w:rPr>
        <w:t>Part 1 - Preliminary</w:t>
      </w:r>
    </w:p>
    <w:p w:rsidR="0028655A" w:rsidRDefault="001C5C09" w:rsidP="0022180F">
      <w:pPr>
        <w:pStyle w:val="LI-BodyTextParaa"/>
        <w:ind w:left="567"/>
      </w:pPr>
      <w:r>
        <w:t>1</w:t>
      </w:r>
      <w:r w:rsidR="00914BA5">
        <w:t>5</w:t>
      </w:r>
      <w:r w:rsidR="0022180F">
        <w:t>.</w:t>
      </w:r>
      <w:r w:rsidR="0022180F">
        <w:tab/>
      </w:r>
      <w:r w:rsidR="00273FC8">
        <w:t xml:space="preserve">Section 2 provides that the </w:t>
      </w:r>
      <w:r w:rsidR="004E6A00">
        <w:t>I</w:t>
      </w:r>
      <w:r w:rsidR="00273FC8">
        <w:t xml:space="preserve">nstrument commences on the </w:t>
      </w:r>
      <w:r w:rsidR="00EE6B03">
        <w:t xml:space="preserve">later of 1 July 2021 and </w:t>
      </w:r>
      <w:r w:rsidR="00273FC8">
        <w:t xml:space="preserve">day after it is registered on the Federal Register of Legislation. </w:t>
      </w:r>
      <w:r w:rsidR="0028655A">
        <w:t xml:space="preserve"> </w:t>
      </w:r>
    </w:p>
    <w:p w:rsidR="00273FC8" w:rsidRDefault="001C5C09" w:rsidP="0022180F">
      <w:pPr>
        <w:pStyle w:val="LI-BodyTextParaa"/>
        <w:ind w:left="567"/>
      </w:pPr>
      <w:r>
        <w:t>1</w:t>
      </w:r>
      <w:r w:rsidR="00914BA5">
        <w:t>6</w:t>
      </w:r>
      <w:r w:rsidR="0022180F">
        <w:t>.</w:t>
      </w:r>
      <w:r w:rsidR="0022180F">
        <w:tab/>
      </w:r>
      <w:r w:rsidR="00273FC8">
        <w:t xml:space="preserve">Section 3 provides that the </w:t>
      </w:r>
      <w:r w:rsidR="004E6A00">
        <w:t>I</w:t>
      </w:r>
      <w:r w:rsidR="00273FC8">
        <w:t>nstrument is made under subsections 942B(7A) and 942C(7A) of the Act.</w:t>
      </w:r>
      <w:r w:rsidR="00B30595" w:rsidRPr="00B30595">
        <w:rPr>
          <w:bCs/>
        </w:rPr>
        <w:t xml:space="preserve"> </w:t>
      </w:r>
      <w:r w:rsidR="00B30595">
        <w:rPr>
          <w:bCs/>
        </w:rPr>
        <w:t xml:space="preserve">These subsections have been enacted </w:t>
      </w:r>
      <w:r w:rsidR="00B30595" w:rsidRPr="00827310">
        <w:rPr>
          <w:bCs/>
        </w:rPr>
        <w:t>and will come into operation on 1 July 2021. Even though the subsection</w:t>
      </w:r>
      <w:r w:rsidR="00B30595">
        <w:rPr>
          <w:bCs/>
        </w:rPr>
        <w:t>s</w:t>
      </w:r>
      <w:r w:rsidR="00B30595" w:rsidRPr="00827310">
        <w:rPr>
          <w:bCs/>
        </w:rPr>
        <w:t xml:space="preserve"> that confer power on ASIC to make the Instrument </w:t>
      </w:r>
      <w:r w:rsidR="00174BD8">
        <w:rPr>
          <w:bCs/>
        </w:rPr>
        <w:t xml:space="preserve">have </w:t>
      </w:r>
      <w:r w:rsidR="00B30595" w:rsidRPr="00827310">
        <w:rPr>
          <w:bCs/>
        </w:rPr>
        <w:t>not yet come into operation, ASIC can make the instrument as if it had come into operation in reliance on subsection 4(</w:t>
      </w:r>
      <w:r w:rsidR="00B30595">
        <w:rPr>
          <w:bCs/>
        </w:rPr>
        <w:t>1</w:t>
      </w:r>
      <w:r w:rsidR="00B30595" w:rsidRPr="00827310">
        <w:rPr>
          <w:bCs/>
        </w:rPr>
        <w:t xml:space="preserve">) of the </w:t>
      </w:r>
      <w:r w:rsidR="00B30595" w:rsidRPr="00827310">
        <w:rPr>
          <w:bCs/>
          <w:i/>
          <w:iCs/>
        </w:rPr>
        <w:t>Acts Interpretation Act 190</w:t>
      </w:r>
      <w:r w:rsidR="00B30595">
        <w:rPr>
          <w:bCs/>
          <w:i/>
          <w:iCs/>
        </w:rPr>
        <w:t xml:space="preserve">1 </w:t>
      </w:r>
      <w:r w:rsidR="00B30595" w:rsidRPr="004B48DE">
        <w:rPr>
          <w:bCs/>
        </w:rPr>
        <w:t>(as in force on 1 January 2005)</w:t>
      </w:r>
      <w:r w:rsidR="00B30595" w:rsidRPr="00827310">
        <w:rPr>
          <w:bCs/>
        </w:rPr>
        <w:t>.</w:t>
      </w:r>
    </w:p>
    <w:p w:rsidR="0022180F" w:rsidRDefault="001C5C09" w:rsidP="00F52D34">
      <w:pPr>
        <w:pStyle w:val="LI-BodyTextParaa"/>
        <w:ind w:left="567"/>
      </w:pPr>
      <w:r>
        <w:t>1</w:t>
      </w:r>
      <w:r w:rsidR="00914BA5">
        <w:t>7</w:t>
      </w:r>
      <w:r w:rsidR="0022180F">
        <w:t>.</w:t>
      </w:r>
      <w:r w:rsidR="0022180F">
        <w:tab/>
        <w:t>Section 4 sets out a definition</w:t>
      </w:r>
      <w:r>
        <w:t xml:space="preserve"> and contains an interpretation provision</w:t>
      </w:r>
      <w:r w:rsidR="00336411">
        <w:t>. The</w:t>
      </w:r>
      <w:r>
        <w:t xml:space="preserve"> interpretation provision clarifies that a reference in the Instrument to an </w:t>
      </w:r>
      <w:proofErr w:type="spellStart"/>
      <w:r>
        <w:t>FSG</w:t>
      </w:r>
      <w:proofErr w:type="spellEnd"/>
      <w:r>
        <w:t xml:space="preserve"> includes a reference to a Supplementary Financial Services Guide (</w:t>
      </w:r>
      <w:proofErr w:type="spellStart"/>
      <w:r>
        <w:t>SFSG</w:t>
      </w:r>
      <w:proofErr w:type="spellEnd"/>
      <w:r>
        <w:t>). The clarification is made so as to remove any doubt about the</w:t>
      </w:r>
      <w:r w:rsidR="00244D36">
        <w:t xml:space="preserve"> interaction between the Instrument and the </w:t>
      </w:r>
      <w:r>
        <w:t>ordinary operation of s</w:t>
      </w:r>
      <w:r w:rsidR="00EB4493">
        <w:t xml:space="preserve">ection </w:t>
      </w:r>
      <w:r>
        <w:t>943D of the Act (effect of giving a person a</w:t>
      </w:r>
      <w:r w:rsidR="00244D36">
        <w:t>n</w:t>
      </w:r>
      <w:r>
        <w:t xml:space="preserve"> </w:t>
      </w:r>
      <w:proofErr w:type="spellStart"/>
      <w:r>
        <w:t>SFSG</w:t>
      </w:r>
      <w:proofErr w:type="spellEnd"/>
      <w:r w:rsidR="00244D36">
        <w:t>).</w:t>
      </w:r>
      <w:r>
        <w:t xml:space="preserve"> </w:t>
      </w:r>
      <w:r w:rsidR="0022180F">
        <w:t xml:space="preserve">  </w:t>
      </w:r>
    </w:p>
    <w:p w:rsidR="0028655A" w:rsidRDefault="0028655A" w:rsidP="0028655A">
      <w:pPr>
        <w:pStyle w:val="LI-BodyTextParaa"/>
        <w:ind w:left="0" w:firstLine="0"/>
      </w:pPr>
      <w:r>
        <w:rPr>
          <w:b/>
          <w:bCs/>
          <w:u w:val="single"/>
        </w:rPr>
        <w:t>Part 2 – Determination</w:t>
      </w:r>
    </w:p>
    <w:p w:rsidR="0028655A" w:rsidRDefault="0022180F" w:rsidP="0022180F">
      <w:pPr>
        <w:pStyle w:val="LI-BodyTextParaa"/>
        <w:ind w:left="567" w:hanging="570"/>
      </w:pPr>
      <w:r>
        <w:t>1</w:t>
      </w:r>
      <w:r w:rsidR="00914BA5">
        <w:t>8</w:t>
      </w:r>
      <w:r>
        <w:t>.</w:t>
      </w:r>
      <w:r>
        <w:tab/>
      </w:r>
      <w:r w:rsidR="00273FC8">
        <w:t xml:space="preserve">Section 5 sets out the requirements for the </w:t>
      </w:r>
      <w:r w:rsidR="0028655A">
        <w:t>Lack of Independence Disclosure</w:t>
      </w:r>
      <w:r w:rsidR="00273FC8">
        <w:t xml:space="preserve">. </w:t>
      </w:r>
      <w:r w:rsidR="00CA1ED4">
        <w:t>These</w:t>
      </w:r>
      <w:r w:rsidR="00FA3C5C">
        <w:t xml:space="preserve"> requirements</w:t>
      </w:r>
      <w:r w:rsidR="00CA1ED4">
        <w:t xml:space="preserve"> include that the </w:t>
      </w:r>
      <w:r w:rsidR="00D7112D">
        <w:t>disclosure</w:t>
      </w:r>
      <w:r w:rsidR="00CA1ED4">
        <w:t>:</w:t>
      </w:r>
    </w:p>
    <w:p w:rsidR="0028655A" w:rsidRDefault="00EE6B03" w:rsidP="00EE6B03">
      <w:pPr>
        <w:pStyle w:val="LI-BodyTextParaa"/>
        <w:spacing w:before="120"/>
        <w:ind w:left="1134"/>
      </w:pPr>
      <w:r>
        <w:t>(a)</w:t>
      </w:r>
      <w:r>
        <w:tab/>
      </w:r>
      <w:r w:rsidR="0028655A">
        <w:t xml:space="preserve">must appear on the first substantive page of the </w:t>
      </w:r>
      <w:proofErr w:type="spellStart"/>
      <w:r w:rsidR="00244D36">
        <w:t>FSG</w:t>
      </w:r>
      <w:proofErr w:type="spellEnd"/>
      <w:r w:rsidR="0028655A">
        <w:t xml:space="preserve">; </w:t>
      </w:r>
    </w:p>
    <w:p w:rsidR="0028655A" w:rsidRDefault="00EE6B03" w:rsidP="00EE6B03">
      <w:pPr>
        <w:pStyle w:val="LI-BodyTextParaa"/>
        <w:spacing w:before="120"/>
        <w:ind w:left="1134"/>
      </w:pPr>
      <w:r>
        <w:t>(b)</w:t>
      </w:r>
      <w:r>
        <w:tab/>
      </w:r>
      <w:r w:rsidR="00CA1ED4">
        <w:t xml:space="preserve">must appear within a box under </w:t>
      </w:r>
      <w:r w:rsidR="005919ED">
        <w:t xml:space="preserve">a </w:t>
      </w:r>
      <w:r w:rsidR="00CA1ED4">
        <w:t>bold heading</w:t>
      </w:r>
      <w:r w:rsidR="005919ED">
        <w:t xml:space="preserve"> </w:t>
      </w:r>
      <w:r w:rsidR="00E67715">
        <w:t xml:space="preserve">that includes the </w:t>
      </w:r>
      <w:r w:rsidR="003F004A">
        <w:t>phrase</w:t>
      </w:r>
      <w:r w:rsidR="00CA1ED4">
        <w:t xml:space="preserve"> “</w:t>
      </w:r>
      <w:r w:rsidR="00CA1ED4" w:rsidRPr="0028655A">
        <w:rPr>
          <w:b/>
          <w:bCs/>
        </w:rPr>
        <w:t>Not Independent</w:t>
      </w:r>
      <w:r w:rsidR="00CA1ED4">
        <w:t>”</w:t>
      </w:r>
      <w:r w:rsidR="00E67715">
        <w:t>, “</w:t>
      </w:r>
      <w:r w:rsidR="00E67715" w:rsidRPr="00F8741B">
        <w:rPr>
          <w:b/>
        </w:rPr>
        <w:t>Lack of Independence</w:t>
      </w:r>
      <w:r w:rsidR="00E67715">
        <w:t>”, or another phrase of like import</w:t>
      </w:r>
      <w:r w:rsidR="00CA1ED4">
        <w:t>;</w:t>
      </w:r>
      <w:r w:rsidR="0028655A">
        <w:t xml:space="preserve"> </w:t>
      </w:r>
    </w:p>
    <w:p w:rsidR="0028655A" w:rsidRDefault="00EE6B03" w:rsidP="00EE6B03">
      <w:pPr>
        <w:pStyle w:val="LI-BodyTextParaa"/>
        <w:spacing w:before="120"/>
        <w:ind w:left="1134"/>
      </w:pPr>
      <w:r>
        <w:t>(c)</w:t>
      </w:r>
      <w:r>
        <w:tab/>
      </w:r>
      <w:r w:rsidR="00CA1ED4">
        <w:t xml:space="preserve">must be in a font size that is at least the same font size as that </w:t>
      </w:r>
      <w:r w:rsidR="0028655A">
        <w:t>p</w:t>
      </w:r>
      <w:r w:rsidR="00CA1ED4">
        <w:t xml:space="preserve">redominantly used for other text (if any) in the </w:t>
      </w:r>
      <w:proofErr w:type="spellStart"/>
      <w:r w:rsidR="00244D36">
        <w:t>FSG</w:t>
      </w:r>
      <w:proofErr w:type="spellEnd"/>
      <w:r w:rsidR="00CA1ED4">
        <w:t xml:space="preserve">; and </w:t>
      </w:r>
    </w:p>
    <w:p w:rsidR="00CA1ED4" w:rsidRDefault="00EE6B03" w:rsidP="00EE6B03">
      <w:pPr>
        <w:pStyle w:val="LI-BodyTextParaa"/>
        <w:spacing w:before="120"/>
        <w:ind w:left="1134"/>
      </w:pPr>
      <w:r>
        <w:t>(d)</w:t>
      </w:r>
      <w:r>
        <w:tab/>
      </w:r>
      <w:r w:rsidR="00CA1ED4">
        <w:t xml:space="preserve">must not appear in a footnote. </w:t>
      </w:r>
    </w:p>
    <w:p w:rsidR="002269FB" w:rsidRDefault="0022180F" w:rsidP="0022180F">
      <w:pPr>
        <w:pStyle w:val="LI-BodyTextParaa"/>
        <w:ind w:left="567"/>
        <w:rPr>
          <w:bCs/>
        </w:rPr>
      </w:pPr>
      <w:r>
        <w:rPr>
          <w:bCs/>
        </w:rPr>
        <w:t>1</w:t>
      </w:r>
      <w:r w:rsidR="00914BA5">
        <w:rPr>
          <w:bCs/>
        </w:rPr>
        <w:t>9</w:t>
      </w:r>
      <w:r>
        <w:rPr>
          <w:bCs/>
        </w:rPr>
        <w:t>.</w:t>
      </w:r>
      <w:r>
        <w:rPr>
          <w:bCs/>
        </w:rPr>
        <w:tab/>
      </w:r>
      <w:r w:rsidR="00F73761" w:rsidRPr="00721729">
        <w:rPr>
          <w:bCs/>
        </w:rPr>
        <w:t xml:space="preserve">This </w:t>
      </w:r>
      <w:r w:rsidR="00721729">
        <w:rPr>
          <w:bCs/>
        </w:rPr>
        <w:t>Instrument</w:t>
      </w:r>
      <w:r w:rsidR="00F73761" w:rsidRPr="00721729">
        <w:rPr>
          <w:bCs/>
        </w:rPr>
        <w:t xml:space="preserve"> requires</w:t>
      </w:r>
      <w:r w:rsidR="004E169F" w:rsidRPr="00721729">
        <w:rPr>
          <w:bCs/>
        </w:rPr>
        <w:t xml:space="preserve"> that</w:t>
      </w:r>
      <w:r w:rsidR="00F73761" w:rsidRPr="00721729">
        <w:rPr>
          <w:bCs/>
        </w:rPr>
        <w:t xml:space="preserve"> </w:t>
      </w:r>
      <w:r w:rsidR="005919ED">
        <w:rPr>
          <w:bCs/>
        </w:rPr>
        <w:t>a bol</w:t>
      </w:r>
      <w:r w:rsidR="00E67715">
        <w:rPr>
          <w:bCs/>
        </w:rPr>
        <w:t>d</w:t>
      </w:r>
      <w:r w:rsidR="00F71ABA" w:rsidRPr="00721729">
        <w:rPr>
          <w:bCs/>
        </w:rPr>
        <w:t xml:space="preserve"> heading</w:t>
      </w:r>
      <w:r w:rsidR="00E67715">
        <w:rPr>
          <w:bCs/>
        </w:rPr>
        <w:t xml:space="preserve"> that includes the</w:t>
      </w:r>
      <w:r w:rsidR="00F8741B">
        <w:rPr>
          <w:bCs/>
        </w:rPr>
        <w:t xml:space="preserve"> </w:t>
      </w:r>
      <w:r w:rsidR="00694191">
        <w:rPr>
          <w:bCs/>
        </w:rPr>
        <w:t>phrase</w:t>
      </w:r>
      <w:r w:rsidR="00F71ABA" w:rsidRPr="00721729">
        <w:rPr>
          <w:bCs/>
        </w:rPr>
        <w:t xml:space="preserve"> </w:t>
      </w:r>
      <w:r w:rsidR="00F73761" w:rsidRPr="00721729">
        <w:rPr>
          <w:bCs/>
        </w:rPr>
        <w:t>“</w:t>
      </w:r>
      <w:r w:rsidR="00F73761" w:rsidRPr="00721729">
        <w:rPr>
          <w:b/>
        </w:rPr>
        <w:t>Not Independent</w:t>
      </w:r>
      <w:r w:rsidR="00F73761" w:rsidRPr="00721729">
        <w:rPr>
          <w:bCs/>
        </w:rPr>
        <w:t>”</w:t>
      </w:r>
      <w:r w:rsidR="00E67715">
        <w:rPr>
          <w:bCs/>
        </w:rPr>
        <w:t>, “</w:t>
      </w:r>
      <w:r w:rsidR="00E67715">
        <w:rPr>
          <w:b/>
        </w:rPr>
        <w:t>Lack of Independence</w:t>
      </w:r>
      <w:r w:rsidR="00E67715">
        <w:rPr>
          <w:bCs/>
        </w:rPr>
        <w:t>”, or another phrase of like import</w:t>
      </w:r>
      <w:r w:rsidR="00F73761" w:rsidRPr="00721729">
        <w:rPr>
          <w:bCs/>
        </w:rPr>
        <w:t xml:space="preserve"> be used</w:t>
      </w:r>
      <w:r w:rsidR="004E169F" w:rsidRPr="00721729">
        <w:rPr>
          <w:bCs/>
        </w:rPr>
        <w:t xml:space="preserve"> for </w:t>
      </w:r>
      <w:r w:rsidR="00FA3C5C" w:rsidRPr="00721729">
        <w:rPr>
          <w:bCs/>
        </w:rPr>
        <w:t>the disclosure</w:t>
      </w:r>
      <w:r w:rsidR="00F73761" w:rsidRPr="00721729">
        <w:rPr>
          <w:bCs/>
        </w:rPr>
        <w:t>.</w:t>
      </w:r>
    </w:p>
    <w:p w:rsidR="0028655A" w:rsidRDefault="00914BA5" w:rsidP="0022180F">
      <w:pPr>
        <w:pStyle w:val="LI-BodyTextParaa"/>
        <w:ind w:left="567"/>
        <w:rPr>
          <w:bCs/>
        </w:rPr>
      </w:pPr>
      <w:r>
        <w:rPr>
          <w:bCs/>
        </w:rPr>
        <w:t>20</w:t>
      </w:r>
      <w:r w:rsidR="0022180F">
        <w:rPr>
          <w:bCs/>
        </w:rPr>
        <w:t>.</w:t>
      </w:r>
      <w:r w:rsidR="0022180F">
        <w:rPr>
          <w:bCs/>
        </w:rPr>
        <w:tab/>
      </w:r>
      <w:r w:rsidR="00160A27">
        <w:rPr>
          <w:bCs/>
        </w:rPr>
        <w:t>H</w:t>
      </w:r>
      <w:r w:rsidR="00E71AFB">
        <w:rPr>
          <w:bCs/>
        </w:rPr>
        <w:t>eadings such as “Statement on the independence of our firm”</w:t>
      </w:r>
      <w:r w:rsidR="002269FB">
        <w:rPr>
          <w:bCs/>
        </w:rPr>
        <w:t>, “Statement of Independence</w:t>
      </w:r>
      <w:r w:rsidR="00F52D34" w:rsidRPr="002D30BF">
        <w:rPr>
          <w:bCs/>
        </w:rPr>
        <w:t>”</w:t>
      </w:r>
      <w:r w:rsidR="002269FB">
        <w:rPr>
          <w:bCs/>
        </w:rPr>
        <w:t xml:space="preserve"> or “Independence”</w:t>
      </w:r>
      <w:r w:rsidR="00E71AFB">
        <w:rPr>
          <w:bCs/>
        </w:rPr>
        <w:t xml:space="preserve"> would be considered </w:t>
      </w:r>
      <w:r w:rsidR="004671CB">
        <w:rPr>
          <w:bCs/>
        </w:rPr>
        <w:t xml:space="preserve">neither </w:t>
      </w:r>
      <w:r w:rsidR="00E71AFB">
        <w:rPr>
          <w:bCs/>
        </w:rPr>
        <w:t xml:space="preserve">of like import </w:t>
      </w:r>
      <w:r w:rsidR="009A528F">
        <w:rPr>
          <w:bCs/>
        </w:rPr>
        <w:t>nor in</w:t>
      </w:r>
      <w:r w:rsidR="0035312F">
        <w:rPr>
          <w:bCs/>
        </w:rPr>
        <w:t xml:space="preserve"> the</w:t>
      </w:r>
      <w:r w:rsidR="00E71AFB">
        <w:rPr>
          <w:bCs/>
        </w:rPr>
        <w:t xml:space="preserve"> spirit of the Royal Commission recommendation</w:t>
      </w:r>
      <w:r w:rsidR="005367F1">
        <w:rPr>
          <w:bCs/>
        </w:rPr>
        <w:t xml:space="preserve"> because they</w:t>
      </w:r>
      <w:r w:rsidR="00E71AFB">
        <w:rPr>
          <w:bCs/>
        </w:rPr>
        <w:t xml:space="preserve"> imply </w:t>
      </w:r>
      <w:r w:rsidR="009C0192">
        <w:rPr>
          <w:bCs/>
        </w:rPr>
        <w:t>that the firm is</w:t>
      </w:r>
      <w:r w:rsidR="00F52D34">
        <w:rPr>
          <w:bCs/>
        </w:rPr>
        <w:t>,</w:t>
      </w:r>
      <w:r w:rsidR="009C0192">
        <w:rPr>
          <w:bCs/>
        </w:rPr>
        <w:t xml:space="preserve"> </w:t>
      </w:r>
      <w:r w:rsidR="004671CB">
        <w:rPr>
          <w:bCs/>
        </w:rPr>
        <w:t>in fact</w:t>
      </w:r>
      <w:r w:rsidR="00F52D34">
        <w:rPr>
          <w:bCs/>
        </w:rPr>
        <w:t>,</w:t>
      </w:r>
      <w:r w:rsidR="004671CB">
        <w:rPr>
          <w:bCs/>
        </w:rPr>
        <w:t xml:space="preserve"> </w:t>
      </w:r>
      <w:r w:rsidR="009C0192">
        <w:rPr>
          <w:bCs/>
        </w:rPr>
        <w:t>independent.</w:t>
      </w:r>
      <w:r w:rsidR="00E71AFB">
        <w:rPr>
          <w:bCs/>
        </w:rPr>
        <w:t xml:space="preserve"> </w:t>
      </w:r>
    </w:p>
    <w:p w:rsidR="0028655A" w:rsidRDefault="0022180F" w:rsidP="0022180F">
      <w:pPr>
        <w:pStyle w:val="LI-BodyTextParaa"/>
        <w:ind w:left="567"/>
        <w:rPr>
          <w:bCs/>
        </w:rPr>
      </w:pPr>
      <w:r>
        <w:rPr>
          <w:bCs/>
        </w:rPr>
        <w:lastRenderedPageBreak/>
        <w:t>2</w:t>
      </w:r>
      <w:r w:rsidR="00914BA5">
        <w:rPr>
          <w:bCs/>
        </w:rPr>
        <w:t>1</w:t>
      </w:r>
      <w:r>
        <w:rPr>
          <w:bCs/>
        </w:rPr>
        <w:t>.</w:t>
      </w:r>
      <w:r>
        <w:rPr>
          <w:bCs/>
        </w:rPr>
        <w:tab/>
      </w:r>
      <w:r w:rsidR="00916D9D" w:rsidRPr="0028655A">
        <w:rPr>
          <w:bCs/>
        </w:rPr>
        <w:t>ASIC has</w:t>
      </w:r>
      <w:r w:rsidR="00285E6E">
        <w:rPr>
          <w:bCs/>
        </w:rPr>
        <w:t xml:space="preserve"> also</w:t>
      </w:r>
      <w:r w:rsidR="00916D9D" w:rsidRPr="0028655A">
        <w:rPr>
          <w:bCs/>
        </w:rPr>
        <w:t xml:space="preserve"> not prescribed the detail that must be included in the Lack of Independence Disclosure. The reasons why a providing entity is not independent, impartial or unbiased will depend </w:t>
      </w:r>
      <w:r w:rsidR="00F12CF5" w:rsidRPr="0028655A">
        <w:rPr>
          <w:bCs/>
        </w:rPr>
        <w:t>on</w:t>
      </w:r>
      <w:r w:rsidR="00916D9D" w:rsidRPr="0028655A">
        <w:rPr>
          <w:bCs/>
        </w:rPr>
        <w:t xml:space="preserve"> the nature of the </w:t>
      </w:r>
      <w:r w:rsidR="00F12CF5" w:rsidRPr="0028655A">
        <w:rPr>
          <w:bCs/>
        </w:rPr>
        <w:t xml:space="preserve">remuneration being received by the entity and </w:t>
      </w:r>
      <w:r w:rsidR="00916D9D" w:rsidRPr="0028655A">
        <w:rPr>
          <w:bCs/>
        </w:rPr>
        <w:t xml:space="preserve">relationships </w:t>
      </w:r>
      <w:r w:rsidR="00F12CF5" w:rsidRPr="0028655A">
        <w:rPr>
          <w:bCs/>
        </w:rPr>
        <w:t>in place.</w:t>
      </w:r>
      <w:r w:rsidR="005A4C6A">
        <w:rPr>
          <w:bCs/>
        </w:rPr>
        <w:t xml:space="preserve"> </w:t>
      </w:r>
      <w:r w:rsidR="00F12CF5" w:rsidRPr="0028655A">
        <w:rPr>
          <w:bCs/>
        </w:rPr>
        <w:t xml:space="preserve">Examples </w:t>
      </w:r>
      <w:r w:rsidR="005A4C6A">
        <w:rPr>
          <w:bCs/>
        </w:rPr>
        <w:t>of why a providing entity is not able to use the words ‘independent’, ‘impartial’ or ‘unbiased’ under s</w:t>
      </w:r>
      <w:r w:rsidR="00EB4493">
        <w:rPr>
          <w:bCs/>
        </w:rPr>
        <w:t xml:space="preserve">ection </w:t>
      </w:r>
      <w:r w:rsidR="005A4C6A">
        <w:rPr>
          <w:bCs/>
        </w:rPr>
        <w:t>923A include the following</w:t>
      </w:r>
      <w:r w:rsidR="00F12CF5" w:rsidRPr="0028655A">
        <w:rPr>
          <w:bCs/>
        </w:rPr>
        <w:t>:</w:t>
      </w:r>
    </w:p>
    <w:p w:rsidR="0028655A" w:rsidRDefault="0022180F" w:rsidP="0022180F">
      <w:pPr>
        <w:pStyle w:val="LI-BodyTextParaa"/>
        <w:spacing w:before="120"/>
        <w:ind w:left="1077" w:hanging="510"/>
        <w:rPr>
          <w:bCs/>
        </w:rPr>
      </w:pPr>
      <w:r>
        <w:rPr>
          <w:bCs/>
        </w:rPr>
        <w:t>(a)</w:t>
      </w:r>
      <w:r>
        <w:rPr>
          <w:bCs/>
        </w:rPr>
        <w:tab/>
      </w:r>
      <w:r w:rsidR="00EF21B3">
        <w:rPr>
          <w:bCs/>
        </w:rPr>
        <w:t>t</w:t>
      </w:r>
      <w:r w:rsidR="00F12CF5" w:rsidRPr="0028655A">
        <w:rPr>
          <w:bCs/>
        </w:rPr>
        <w:t>he providing</w:t>
      </w:r>
      <w:r w:rsidR="000D288C">
        <w:rPr>
          <w:bCs/>
        </w:rPr>
        <w:t xml:space="preserve"> entity</w:t>
      </w:r>
      <w:r w:rsidR="00F12CF5" w:rsidRPr="0028655A">
        <w:rPr>
          <w:bCs/>
        </w:rPr>
        <w:t xml:space="preserve"> is receiving commissions in relation to the sale of life risk insurance products</w:t>
      </w:r>
      <w:r w:rsidR="005A4C6A">
        <w:rPr>
          <w:bCs/>
        </w:rPr>
        <w:t xml:space="preserve"> </w:t>
      </w:r>
      <w:r w:rsidR="001736D5">
        <w:rPr>
          <w:bCs/>
        </w:rPr>
        <w:t>that are not rebated in full to clients</w:t>
      </w:r>
      <w:r w:rsidR="000D288C">
        <w:rPr>
          <w:bCs/>
        </w:rPr>
        <w:t>;</w:t>
      </w:r>
    </w:p>
    <w:p w:rsidR="001736D5" w:rsidRDefault="0022180F" w:rsidP="0022180F">
      <w:pPr>
        <w:pStyle w:val="LI-BodyTextParaa"/>
        <w:spacing w:before="120"/>
        <w:ind w:left="1077" w:hanging="510"/>
        <w:rPr>
          <w:bCs/>
        </w:rPr>
      </w:pPr>
      <w:r>
        <w:rPr>
          <w:bCs/>
        </w:rPr>
        <w:t>(b)</w:t>
      </w:r>
      <w:r>
        <w:rPr>
          <w:bCs/>
        </w:rPr>
        <w:tab/>
      </w:r>
      <w:r w:rsidR="00EF21B3">
        <w:rPr>
          <w:bCs/>
        </w:rPr>
        <w:t>t</w:t>
      </w:r>
      <w:r w:rsidR="0020460B">
        <w:rPr>
          <w:bCs/>
        </w:rPr>
        <w:t>he providing entity is wholly owned by an issuer of financial products that the providing entity gives personal advice on to retail clients</w:t>
      </w:r>
      <w:r w:rsidR="001736D5">
        <w:rPr>
          <w:bCs/>
        </w:rPr>
        <w:t>; or</w:t>
      </w:r>
    </w:p>
    <w:p w:rsidR="00D7112D" w:rsidRDefault="0022180F" w:rsidP="0022180F">
      <w:pPr>
        <w:pStyle w:val="LI-BodyTextParaa"/>
        <w:spacing w:before="120"/>
        <w:ind w:left="1077" w:hanging="510"/>
        <w:rPr>
          <w:bCs/>
        </w:rPr>
      </w:pPr>
      <w:r>
        <w:rPr>
          <w:bCs/>
        </w:rPr>
        <w:t>(c)</w:t>
      </w:r>
      <w:r>
        <w:rPr>
          <w:bCs/>
        </w:rPr>
        <w:tab/>
      </w:r>
      <w:r w:rsidR="00EF21B3">
        <w:rPr>
          <w:bCs/>
        </w:rPr>
        <w:t>t</w:t>
      </w:r>
      <w:r w:rsidR="001736D5">
        <w:rPr>
          <w:bCs/>
        </w:rPr>
        <w:t xml:space="preserve">he providing entity’s AFS licensee or another authorised representative that is authorised by the same AFS licensee, receives </w:t>
      </w:r>
      <w:r w:rsidR="001736D5" w:rsidRPr="001736D5">
        <w:rPr>
          <w:bCs/>
        </w:rPr>
        <w:t>commissions, volume-based payments or other gifts or benefits</w:t>
      </w:r>
      <w:r w:rsidR="001736D5">
        <w:rPr>
          <w:bCs/>
        </w:rPr>
        <w:t>.</w:t>
      </w:r>
    </w:p>
    <w:p w:rsidR="00F8741B" w:rsidRDefault="0022180F" w:rsidP="0022180F">
      <w:pPr>
        <w:pStyle w:val="LI-BodyTextParaa"/>
        <w:ind w:left="567"/>
        <w:rPr>
          <w:bCs/>
        </w:rPr>
      </w:pPr>
      <w:r>
        <w:rPr>
          <w:bCs/>
        </w:rPr>
        <w:t>2</w:t>
      </w:r>
      <w:r w:rsidR="00914BA5">
        <w:rPr>
          <w:bCs/>
        </w:rPr>
        <w:t>2</w:t>
      </w:r>
      <w:r>
        <w:rPr>
          <w:bCs/>
        </w:rPr>
        <w:t>.</w:t>
      </w:r>
      <w:r>
        <w:rPr>
          <w:bCs/>
        </w:rPr>
        <w:tab/>
      </w:r>
      <w:r w:rsidR="00F12CF5" w:rsidRPr="00D7112D">
        <w:rPr>
          <w:bCs/>
        </w:rPr>
        <w:t>Financial advice businesses</w:t>
      </w:r>
      <w:r w:rsidR="00916D9D" w:rsidRPr="00D7112D">
        <w:rPr>
          <w:bCs/>
        </w:rPr>
        <w:t xml:space="preserve"> should conduct their own consumer testing to ensure they develop a statement that </w:t>
      </w:r>
      <w:r w:rsidR="00155803">
        <w:rPr>
          <w:bCs/>
        </w:rPr>
        <w:t xml:space="preserve">accurately reflects their circumstances </w:t>
      </w:r>
      <w:r w:rsidR="00983F11">
        <w:rPr>
          <w:bCs/>
        </w:rPr>
        <w:t>and</w:t>
      </w:r>
      <w:r w:rsidR="00155803">
        <w:rPr>
          <w:bCs/>
        </w:rPr>
        <w:t xml:space="preserve"> will be easily understood by their clients</w:t>
      </w:r>
      <w:r w:rsidR="00F12CF5" w:rsidRPr="00D7112D">
        <w:rPr>
          <w:bCs/>
        </w:rPr>
        <w:t>.</w:t>
      </w:r>
      <w:bookmarkEnd w:id="4"/>
    </w:p>
    <w:p w:rsidR="00F03BB5" w:rsidRDefault="00474B52" w:rsidP="009A3F74">
      <w:pPr>
        <w:pStyle w:val="LI-BodyTextParaa"/>
        <w:ind w:left="0" w:firstLine="0"/>
        <w:rPr>
          <w:b/>
        </w:rPr>
      </w:pPr>
      <w:r>
        <w:rPr>
          <w:b/>
        </w:rPr>
        <w:t>Legislative authority</w:t>
      </w:r>
    </w:p>
    <w:p w:rsidR="00435EEF" w:rsidRDefault="0022180F" w:rsidP="0022180F">
      <w:pPr>
        <w:pStyle w:val="LI-BodyTextParaa"/>
        <w:spacing w:before="120"/>
        <w:ind w:left="567"/>
      </w:pPr>
      <w:r>
        <w:t>2</w:t>
      </w:r>
      <w:r w:rsidR="00914BA5">
        <w:t>3</w:t>
      </w:r>
      <w:r>
        <w:t>.</w:t>
      </w:r>
      <w:r>
        <w:tab/>
      </w:r>
      <w:r w:rsidR="0089102C">
        <w:t>This instrument is made under subsections 942B(7A) and 942C(7A) of the Act</w:t>
      </w:r>
      <w:r w:rsidR="00D7112D">
        <w:t xml:space="preserve"> and is a </w:t>
      </w:r>
      <w:r w:rsidR="00D7112D" w:rsidRPr="00D7112D">
        <w:rPr>
          <w:bCs/>
        </w:rPr>
        <w:t>disallowable</w:t>
      </w:r>
      <w:r w:rsidR="00D7112D">
        <w:t xml:space="preserve"> legislative instrument</w:t>
      </w:r>
      <w:r w:rsidR="0089102C">
        <w:t>.</w:t>
      </w:r>
    </w:p>
    <w:p w:rsidR="000E362E" w:rsidRPr="00D20A4B" w:rsidRDefault="000E362E" w:rsidP="000E362E">
      <w:pPr>
        <w:pStyle w:val="LI-BodyTextNumbered"/>
        <w:ind w:left="0" w:firstLine="0"/>
        <w:rPr>
          <w:u w:val="single"/>
        </w:rPr>
      </w:pPr>
      <w:r w:rsidRPr="00D20A4B">
        <w:rPr>
          <w:u w:val="single"/>
        </w:rPr>
        <w:t>Incorporation by reference</w:t>
      </w:r>
    </w:p>
    <w:p w:rsidR="000E362E" w:rsidRPr="00FE2FB8" w:rsidRDefault="0022180F" w:rsidP="0022180F">
      <w:pPr>
        <w:pStyle w:val="LI-BodyTextParaa"/>
        <w:ind w:left="567"/>
        <w:rPr>
          <w:bCs/>
        </w:rPr>
      </w:pPr>
      <w:r>
        <w:t>2</w:t>
      </w:r>
      <w:r w:rsidR="00914BA5">
        <w:t>4</w:t>
      </w:r>
      <w:r>
        <w:t>.</w:t>
      </w:r>
      <w:r>
        <w:tab/>
      </w:r>
      <w:r w:rsidR="000E362E" w:rsidRPr="00CA482C">
        <w:t xml:space="preserve">The </w:t>
      </w:r>
      <w:r w:rsidR="000E362E">
        <w:t xml:space="preserve">Instrument </w:t>
      </w:r>
      <w:r w:rsidR="000E362E" w:rsidRPr="00CA482C">
        <w:t>do</w:t>
      </w:r>
      <w:r w:rsidR="000E362E">
        <w:t>es</w:t>
      </w:r>
      <w:r w:rsidR="000E362E" w:rsidRPr="00CA482C">
        <w:t xml:space="preserve"> not incorporate any matter by reference for the purposes of section 14 of the </w:t>
      </w:r>
      <w:r w:rsidR="000E362E" w:rsidRPr="00C311F0">
        <w:rPr>
          <w:i/>
          <w:iCs/>
        </w:rPr>
        <w:t>Legislation Act 2003</w:t>
      </w:r>
      <w:r w:rsidR="000E362E" w:rsidRPr="00CA482C">
        <w:t>.</w:t>
      </w:r>
    </w:p>
    <w:p w:rsidR="00EA17A6" w:rsidRPr="00EA17A6" w:rsidRDefault="00EA17A6" w:rsidP="00435EEF">
      <w:pPr>
        <w:pStyle w:val="LI-BodyTextParaa"/>
        <w:ind w:left="567"/>
        <w:rPr>
          <w:b/>
        </w:rPr>
      </w:pPr>
      <w:r w:rsidRPr="00EA17A6">
        <w:rPr>
          <w:b/>
        </w:rPr>
        <w:t xml:space="preserve">Statement of Compatibility with Human Rights  </w:t>
      </w:r>
    </w:p>
    <w:p w:rsidR="00223DCF" w:rsidRPr="00EA17A6" w:rsidRDefault="0022180F" w:rsidP="0022180F">
      <w:pPr>
        <w:pStyle w:val="LI-BodyTextParaa"/>
        <w:spacing w:before="120"/>
        <w:ind w:left="567"/>
      </w:pPr>
      <w:r>
        <w:t>2</w:t>
      </w:r>
      <w:r w:rsidR="00914BA5">
        <w:t>5</w:t>
      </w:r>
      <w:r>
        <w:t>.</w:t>
      </w:r>
      <w:r>
        <w:tab/>
      </w:r>
      <w:r w:rsidR="00223DCF" w:rsidRPr="00EA17A6">
        <w:t xml:space="preserve">The Explanatory Statement for a disallowable legislative instrument must contain a Statement of Compatibility with Human Rights under subsection 9(1) of the </w:t>
      </w:r>
      <w:r w:rsidR="00223DCF" w:rsidRPr="00EA17A6">
        <w:rPr>
          <w:i/>
          <w:iCs/>
        </w:rPr>
        <w:t>Human Rights (Parliamentary Scrutiny) Act 2011.</w:t>
      </w:r>
      <w:r w:rsidR="00223DCF" w:rsidRPr="00EA17A6">
        <w:rPr>
          <w:iCs/>
        </w:rPr>
        <w:t xml:space="preserve"> </w:t>
      </w:r>
      <w:r w:rsidR="00223DCF" w:rsidRPr="00EA17A6">
        <w:t xml:space="preserve">A Statement of Compatibility with Human Rights is in the </w:t>
      </w:r>
      <w:r w:rsidR="00223DCF" w:rsidRPr="00EA17A6">
        <w:rPr>
          <w:u w:val="single"/>
        </w:rPr>
        <w:t>Attachment</w:t>
      </w:r>
      <w:r w:rsidR="00223DCF" w:rsidRPr="00EA17A6">
        <w:t xml:space="preserve">. </w:t>
      </w:r>
    </w:p>
    <w:p w:rsidR="00223DCF" w:rsidRPr="00EA17A6" w:rsidRDefault="00223DCF" w:rsidP="00223DCF">
      <w:pPr>
        <w:pStyle w:val="LI-BodyTextParaa"/>
        <w:ind w:left="567"/>
        <w:jc w:val="right"/>
        <w:rPr>
          <w:u w:val="single"/>
        </w:rPr>
      </w:pPr>
      <w:r>
        <w:rPr>
          <w:color w:val="FF0000"/>
        </w:rPr>
        <w:br w:type="page"/>
      </w:r>
      <w:r w:rsidRPr="00EA17A6">
        <w:rPr>
          <w:u w:val="single"/>
        </w:rPr>
        <w:lastRenderedPageBreak/>
        <w:t xml:space="preserve">Attachment </w:t>
      </w:r>
    </w:p>
    <w:p w:rsidR="00A15512" w:rsidRPr="00EA17A6" w:rsidRDefault="001E77ED" w:rsidP="00223DCF">
      <w:pPr>
        <w:pStyle w:val="LI-BodyTextParaa"/>
        <w:ind w:left="567"/>
        <w:jc w:val="center"/>
        <w:rPr>
          <w:b/>
          <w:sz w:val="28"/>
          <w:szCs w:val="28"/>
        </w:rPr>
      </w:pPr>
      <w:r w:rsidRPr="00EA17A6">
        <w:rPr>
          <w:b/>
          <w:sz w:val="28"/>
          <w:szCs w:val="28"/>
        </w:rPr>
        <w:t xml:space="preserve">Statement of </w:t>
      </w:r>
      <w:r w:rsidR="00223DCF" w:rsidRPr="00EA17A6">
        <w:rPr>
          <w:b/>
          <w:sz w:val="28"/>
          <w:szCs w:val="28"/>
        </w:rPr>
        <w:t>C</w:t>
      </w:r>
      <w:r w:rsidRPr="00EA17A6">
        <w:rPr>
          <w:b/>
          <w:sz w:val="28"/>
          <w:szCs w:val="28"/>
        </w:rPr>
        <w:t xml:space="preserve">ompatibility with </w:t>
      </w:r>
      <w:r w:rsidR="00223DCF" w:rsidRPr="00EA17A6">
        <w:rPr>
          <w:b/>
          <w:sz w:val="28"/>
          <w:szCs w:val="28"/>
        </w:rPr>
        <w:t>H</w:t>
      </w:r>
      <w:r w:rsidRPr="00EA17A6">
        <w:rPr>
          <w:b/>
          <w:sz w:val="28"/>
          <w:szCs w:val="28"/>
        </w:rPr>
        <w:t xml:space="preserve">uman </w:t>
      </w:r>
      <w:r w:rsidR="00223DCF" w:rsidRPr="00EA17A6">
        <w:rPr>
          <w:b/>
          <w:sz w:val="28"/>
          <w:szCs w:val="28"/>
        </w:rPr>
        <w:t>R</w:t>
      </w:r>
      <w:r w:rsidRPr="00EA17A6">
        <w:rPr>
          <w:b/>
          <w:sz w:val="28"/>
          <w:szCs w:val="28"/>
        </w:rPr>
        <w:t>ights</w:t>
      </w:r>
    </w:p>
    <w:p w:rsidR="00AE787B" w:rsidRPr="00EA17A6" w:rsidRDefault="00AE787B" w:rsidP="00223DCF">
      <w:pPr>
        <w:pStyle w:val="LI-BodyTextNumbered"/>
        <w:ind w:left="0" w:firstLine="0"/>
        <w:rPr>
          <w:iCs/>
        </w:rPr>
      </w:pPr>
      <w:bookmarkStart w:id="5" w:name="_Hlk534286677"/>
    </w:p>
    <w:p w:rsidR="00223DCF" w:rsidRPr="00EA17A6" w:rsidRDefault="00223DCF" w:rsidP="00223DCF">
      <w:pPr>
        <w:pStyle w:val="LI-BodyTextNumbered"/>
        <w:ind w:left="0" w:firstLine="0"/>
        <w:rPr>
          <w:iCs/>
        </w:rPr>
      </w:pPr>
      <w:r w:rsidRPr="00EA17A6">
        <w:rPr>
          <w:iCs/>
        </w:rPr>
        <w:t xml:space="preserve">This Statement of Compatibility with Human Rights is prepared in accordance with Part 3 of </w:t>
      </w:r>
      <w:bookmarkStart w:id="6" w:name="_Hlk4054932"/>
      <w:r w:rsidRPr="00EA17A6">
        <w:rPr>
          <w:iCs/>
        </w:rPr>
        <w:t xml:space="preserve">the </w:t>
      </w:r>
      <w:r w:rsidRPr="00EA17A6">
        <w:rPr>
          <w:i/>
          <w:iCs/>
        </w:rPr>
        <w:t>Human Rights (Parliamentary Scrutiny) Act 2011</w:t>
      </w:r>
      <w:bookmarkEnd w:id="6"/>
      <w:r w:rsidRPr="00EA17A6">
        <w:rPr>
          <w:iCs/>
        </w:rPr>
        <w:t xml:space="preserve">.   </w:t>
      </w:r>
    </w:p>
    <w:p w:rsidR="00223DCF" w:rsidRPr="00AF3EE8" w:rsidRDefault="0089102C" w:rsidP="00223DCF">
      <w:pPr>
        <w:pStyle w:val="LI-BodyTextNumbered"/>
        <w:ind w:left="0" w:firstLine="0"/>
        <w:rPr>
          <w:b/>
          <w:bCs/>
          <w:i/>
        </w:rPr>
      </w:pPr>
      <w:r w:rsidRPr="00AF3EE8">
        <w:rPr>
          <w:b/>
          <w:bCs/>
          <w:i/>
          <w:iCs/>
        </w:rPr>
        <w:t>ASIC Corporations (Disclosure of Lack of Independence) Instrument 202</w:t>
      </w:r>
      <w:r w:rsidR="00622B6F">
        <w:rPr>
          <w:b/>
          <w:bCs/>
          <w:i/>
          <w:iCs/>
        </w:rPr>
        <w:t>1</w:t>
      </w:r>
      <w:r w:rsidRPr="00AF3EE8">
        <w:rPr>
          <w:b/>
          <w:bCs/>
          <w:i/>
          <w:iCs/>
        </w:rPr>
        <w:t>/</w:t>
      </w:r>
      <w:r w:rsidR="00B30595">
        <w:rPr>
          <w:b/>
          <w:bCs/>
          <w:i/>
          <w:iCs/>
        </w:rPr>
        <w:t>125</w:t>
      </w:r>
      <w:r w:rsidRPr="00680EAB" w:rsidDel="0089102C">
        <w:rPr>
          <w:b/>
          <w:bCs/>
          <w:i/>
        </w:rPr>
        <w:t xml:space="preserve"> </w:t>
      </w:r>
    </w:p>
    <w:p w:rsidR="00223DCF" w:rsidRPr="00EA17A6" w:rsidRDefault="00223DCF" w:rsidP="001872DC">
      <w:pPr>
        <w:pStyle w:val="LI-BodyTextNumbered"/>
        <w:ind w:left="567"/>
        <w:rPr>
          <w:u w:val="single"/>
        </w:rPr>
      </w:pPr>
      <w:r w:rsidRPr="00EA17A6">
        <w:rPr>
          <w:u w:val="single"/>
        </w:rPr>
        <w:t>Overview</w:t>
      </w:r>
    </w:p>
    <w:p w:rsidR="00F2022A" w:rsidRDefault="00CB2D96" w:rsidP="00CB2D96">
      <w:pPr>
        <w:spacing w:before="240" w:line="240" w:lineRule="auto"/>
        <w:ind w:left="567" w:hanging="567"/>
        <w:rPr>
          <w:sz w:val="24"/>
          <w:szCs w:val="24"/>
        </w:rPr>
      </w:pPr>
      <w:r w:rsidRPr="00EA17A6">
        <w:rPr>
          <w:rFonts w:eastAsia="Times New Roman"/>
          <w:sz w:val="24"/>
          <w:szCs w:val="24"/>
          <w:lang w:eastAsia="en-AU"/>
        </w:rPr>
        <w:t>1.</w:t>
      </w:r>
      <w:r w:rsidRPr="00EA17A6">
        <w:rPr>
          <w:rFonts w:eastAsia="Times New Roman"/>
          <w:sz w:val="24"/>
          <w:szCs w:val="24"/>
          <w:lang w:eastAsia="en-AU"/>
        </w:rPr>
        <w:tab/>
      </w:r>
      <w:r w:rsidR="0089102C" w:rsidRPr="00AF3EE8">
        <w:rPr>
          <w:rFonts w:eastAsia="Times New Roman"/>
          <w:sz w:val="24"/>
          <w:szCs w:val="24"/>
          <w:lang w:eastAsia="en-AU"/>
        </w:rPr>
        <w:t xml:space="preserve">The </w:t>
      </w:r>
      <w:r w:rsidR="0089102C" w:rsidRPr="00AF3EE8">
        <w:rPr>
          <w:i/>
          <w:iCs/>
          <w:sz w:val="24"/>
          <w:szCs w:val="24"/>
        </w:rPr>
        <w:t>ASIC Corporations (Disclosure of Lack of Independence) Instrument 202</w:t>
      </w:r>
      <w:r w:rsidR="00622B6F">
        <w:rPr>
          <w:i/>
          <w:iCs/>
          <w:sz w:val="24"/>
          <w:szCs w:val="24"/>
        </w:rPr>
        <w:t>1</w:t>
      </w:r>
      <w:r w:rsidR="0089102C" w:rsidRPr="00AF3EE8">
        <w:rPr>
          <w:i/>
          <w:iCs/>
          <w:sz w:val="24"/>
          <w:szCs w:val="24"/>
        </w:rPr>
        <w:t>/</w:t>
      </w:r>
      <w:r w:rsidR="00B30595">
        <w:rPr>
          <w:i/>
          <w:iCs/>
          <w:sz w:val="24"/>
          <w:szCs w:val="24"/>
        </w:rPr>
        <w:t>125</w:t>
      </w:r>
      <w:r w:rsidR="0089102C" w:rsidRPr="00AF3EE8">
        <w:rPr>
          <w:i/>
          <w:iCs/>
          <w:sz w:val="24"/>
          <w:szCs w:val="24"/>
        </w:rPr>
        <w:t xml:space="preserve"> </w:t>
      </w:r>
      <w:r w:rsidR="00B30595">
        <w:rPr>
          <w:sz w:val="24"/>
          <w:szCs w:val="24"/>
        </w:rPr>
        <w:t>is made</w:t>
      </w:r>
      <w:r w:rsidR="0089102C" w:rsidRPr="00AF3EE8">
        <w:rPr>
          <w:sz w:val="24"/>
          <w:szCs w:val="24"/>
        </w:rPr>
        <w:t xml:space="preserve"> to enable the implementation of Recommendation 2.2</w:t>
      </w:r>
      <w:r w:rsidR="00B30595">
        <w:rPr>
          <w:sz w:val="24"/>
          <w:szCs w:val="24"/>
        </w:rPr>
        <w:t xml:space="preserve"> of </w:t>
      </w:r>
      <w:r w:rsidR="00F2022A">
        <w:rPr>
          <w:sz w:val="24"/>
          <w:szCs w:val="24"/>
        </w:rPr>
        <w:t xml:space="preserve">the </w:t>
      </w:r>
      <w:r w:rsidR="00F2022A" w:rsidRPr="00F2022A">
        <w:rPr>
          <w:sz w:val="24"/>
          <w:szCs w:val="24"/>
        </w:rPr>
        <w:t>Royal Commission into Misconduct in the Banking, Superannuation and Financial Services Industry</w:t>
      </w:r>
      <w:r w:rsidR="0089102C" w:rsidRPr="00AF3EE8">
        <w:rPr>
          <w:sz w:val="24"/>
          <w:szCs w:val="24"/>
        </w:rPr>
        <w:t xml:space="preserve">. </w:t>
      </w:r>
    </w:p>
    <w:p w:rsidR="00CB2D96" w:rsidRPr="00680EAB" w:rsidRDefault="00F2022A" w:rsidP="00CB2D96">
      <w:pPr>
        <w:spacing w:before="240" w:line="240" w:lineRule="auto"/>
        <w:ind w:left="567" w:hanging="567"/>
        <w:rPr>
          <w:rFonts w:eastAsia="Times New Roman"/>
          <w:sz w:val="24"/>
          <w:szCs w:val="24"/>
          <w:lang w:eastAsia="en-AU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89102C" w:rsidRPr="00AF3EE8">
        <w:rPr>
          <w:sz w:val="24"/>
          <w:szCs w:val="24"/>
        </w:rPr>
        <w:t>The intent of Recommendation 2.2 is to improve the disclosure of conflicts of interest and ensure that a financial adviser’s lack of independence is brought to the client’s attention through prominent, clear and concise disclosure.</w:t>
      </w:r>
    </w:p>
    <w:p w:rsidR="001872DC" w:rsidRPr="00EA17A6" w:rsidRDefault="001872DC" w:rsidP="001872DC">
      <w:pPr>
        <w:pStyle w:val="LI-BodyTextNumbered"/>
        <w:ind w:left="567"/>
        <w:rPr>
          <w:u w:val="single"/>
        </w:rPr>
      </w:pPr>
      <w:bookmarkStart w:id="7" w:name="_Hlk534286807"/>
      <w:bookmarkEnd w:id="5"/>
      <w:r w:rsidRPr="00EA17A6">
        <w:rPr>
          <w:u w:val="single"/>
        </w:rPr>
        <w:t>Assessment of human rights implications</w:t>
      </w:r>
    </w:p>
    <w:p w:rsidR="00F2022A" w:rsidRDefault="00F2022A" w:rsidP="00D306F8">
      <w:pPr>
        <w:pStyle w:val="LI-BodyTextNumbered"/>
        <w:ind w:left="567"/>
      </w:pPr>
      <w:r>
        <w:t>3</w:t>
      </w:r>
      <w:r w:rsidR="001872DC" w:rsidRPr="00EA17A6">
        <w:t>.</w:t>
      </w:r>
      <w:r w:rsidR="001872DC" w:rsidRPr="00EA17A6">
        <w:tab/>
      </w:r>
      <w:bookmarkEnd w:id="7"/>
      <w:r w:rsidR="001872DC" w:rsidRPr="00EA17A6">
        <w:t xml:space="preserve">This instrument </w:t>
      </w:r>
      <w:r w:rsidR="00D306F8" w:rsidRPr="00EA17A6">
        <w:t>does not engage any of the applicable rights or freedoms</w:t>
      </w:r>
      <w:r w:rsidR="0089102C">
        <w:t>.</w:t>
      </w:r>
      <w:r w:rsidR="00435EEF" w:rsidRPr="00EA17A6">
        <w:t xml:space="preserve"> </w:t>
      </w:r>
    </w:p>
    <w:p w:rsidR="00CB2D96" w:rsidRPr="00EA17A6" w:rsidRDefault="00CB2D96" w:rsidP="00D306F8">
      <w:pPr>
        <w:pStyle w:val="LI-BodyTextNumbered"/>
        <w:ind w:left="567"/>
        <w:rPr>
          <w:u w:val="single"/>
        </w:rPr>
      </w:pPr>
      <w:r w:rsidRPr="00EA17A6">
        <w:rPr>
          <w:u w:val="single"/>
        </w:rPr>
        <w:t>Conclusion</w:t>
      </w:r>
    </w:p>
    <w:p w:rsidR="00CB2D96" w:rsidRPr="00EA17A6" w:rsidRDefault="00F2022A" w:rsidP="00CB2D96">
      <w:pPr>
        <w:pStyle w:val="LI-BodyTextNumbered"/>
        <w:ind w:left="567"/>
      </w:pPr>
      <w:r>
        <w:t>4</w:t>
      </w:r>
      <w:r w:rsidR="00CB2D96" w:rsidRPr="00EA17A6">
        <w:t>.</w:t>
      </w:r>
      <w:r w:rsidR="00CB2D96" w:rsidRPr="00EA17A6">
        <w:tab/>
        <w:t xml:space="preserve">This instrument is compatible with the human rights and freedoms recognised or declared in the international instruments listed in section 3 of </w:t>
      </w:r>
      <w:r w:rsidR="00CB2D96" w:rsidRPr="00EA17A6">
        <w:rPr>
          <w:iCs/>
        </w:rPr>
        <w:t xml:space="preserve">the </w:t>
      </w:r>
      <w:r w:rsidR="00CB2D96" w:rsidRPr="00EA17A6">
        <w:rPr>
          <w:i/>
          <w:iCs/>
        </w:rPr>
        <w:t>Human Rights (Parliamentary Scrutiny) Act 2011</w:t>
      </w:r>
      <w:r w:rsidR="00CB2D96" w:rsidRPr="00EA17A6">
        <w:t>.</w:t>
      </w:r>
    </w:p>
    <w:p w:rsidR="00CB2D96" w:rsidRPr="00EA17A6" w:rsidRDefault="00CB2D96" w:rsidP="00D306F8">
      <w:pPr>
        <w:pStyle w:val="LI-BodyTextNumbered"/>
        <w:ind w:left="567"/>
      </w:pPr>
    </w:p>
    <w:sectPr w:rsidR="00CB2D96" w:rsidRPr="00EA17A6" w:rsidSect="00863657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9" w:code="9"/>
      <w:pgMar w:top="1537" w:right="1797" w:bottom="1440" w:left="1797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4D2" w:rsidRDefault="001264D2" w:rsidP="00715914">
      <w:pPr>
        <w:spacing w:line="240" w:lineRule="auto"/>
      </w:pPr>
      <w:r>
        <w:separator/>
      </w:r>
    </w:p>
  </w:endnote>
  <w:endnote w:type="continuationSeparator" w:id="0">
    <w:p w:rsidR="001264D2" w:rsidRDefault="001264D2" w:rsidP="00715914">
      <w:pPr>
        <w:spacing w:line="240" w:lineRule="auto"/>
      </w:pPr>
      <w:r>
        <w:continuationSeparator/>
      </w:r>
    </w:p>
  </w:endnote>
  <w:endnote w:type="continuationNotice" w:id="1">
    <w:p w:rsidR="001264D2" w:rsidRDefault="001264D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-Bold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6DF" w:rsidRDefault="00CF36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6DF" w:rsidRDefault="00CF36D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F36DF" w:rsidRDefault="00CF36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6DF" w:rsidRDefault="00CF36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4D2" w:rsidRDefault="001264D2" w:rsidP="00715914">
      <w:pPr>
        <w:spacing w:line="240" w:lineRule="auto"/>
      </w:pPr>
      <w:r>
        <w:separator/>
      </w:r>
    </w:p>
  </w:footnote>
  <w:footnote w:type="continuationSeparator" w:id="0">
    <w:p w:rsidR="001264D2" w:rsidRDefault="001264D2" w:rsidP="00715914">
      <w:pPr>
        <w:spacing w:line="240" w:lineRule="auto"/>
      </w:pPr>
      <w:r>
        <w:continuationSeparator/>
      </w:r>
    </w:p>
  </w:footnote>
  <w:footnote w:type="continuationNotice" w:id="1">
    <w:p w:rsidR="001264D2" w:rsidRDefault="001264D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6DF" w:rsidRPr="00243EC0" w:rsidRDefault="00CF36DF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4060"/>
    </w:tblGrid>
    <w:tr w:rsidR="00CF36DF" w:rsidRPr="00E40FF8" w:rsidTr="001E77ED">
      <w:tc>
        <w:tcPr>
          <w:tcW w:w="4253" w:type="dxa"/>
          <w:shd w:val="clear" w:color="auto" w:fill="auto"/>
        </w:tcPr>
        <w:p w:rsidR="00CF36DF" w:rsidRDefault="00CF36DF" w:rsidP="00E40FF8">
          <w:pPr>
            <w:pStyle w:val="LI-Header"/>
            <w:pBdr>
              <w:bottom w:val="none" w:sz="0" w:space="0" w:color="auto"/>
            </w:pBdr>
            <w:jc w:val="left"/>
          </w:pPr>
        </w:p>
      </w:tc>
      <w:tc>
        <w:tcPr>
          <w:tcW w:w="4060" w:type="dxa"/>
          <w:shd w:val="clear" w:color="auto" w:fill="auto"/>
        </w:tcPr>
        <w:p w:rsidR="00CF36DF" w:rsidRDefault="00CF36DF" w:rsidP="00F03BB5">
          <w:pPr>
            <w:pStyle w:val="LI-BodyTextNumbered"/>
          </w:pPr>
        </w:p>
      </w:tc>
    </w:tr>
  </w:tbl>
  <w:p w:rsidR="00CF36DF" w:rsidRPr="00F4215A" w:rsidRDefault="00CF36DF" w:rsidP="00F421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6DF" w:rsidRDefault="00CF36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C323B"/>
    <w:multiLevelType w:val="hybridMultilevel"/>
    <w:tmpl w:val="688C346C"/>
    <w:lvl w:ilvl="0" w:tplc="86D4D3A0">
      <w:start w:val="1"/>
      <w:numFmt w:val="lowerLetter"/>
      <w:lvlText w:val="(%1)"/>
      <w:lvlJc w:val="left"/>
      <w:pPr>
        <w:ind w:left="1290" w:hanging="360"/>
      </w:pPr>
      <w:rPr>
        <w:rFonts w:ascii="Times New Roman" w:eastAsia="Times New Roman" w:hAnsi="Times New Roman" w:cs="Times New Roman"/>
      </w:rPr>
    </w:lvl>
    <w:lvl w:ilvl="1" w:tplc="0C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D5F15"/>
    <w:multiLevelType w:val="hybridMultilevel"/>
    <w:tmpl w:val="CE902184"/>
    <w:lvl w:ilvl="0" w:tplc="FB52276C">
      <w:start w:val="1"/>
      <w:numFmt w:val="lowerLetter"/>
      <w:lvlText w:val="(%1)"/>
      <w:lvlJc w:val="left"/>
      <w:pPr>
        <w:ind w:left="11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3" w:hanging="360"/>
      </w:pPr>
    </w:lvl>
    <w:lvl w:ilvl="2" w:tplc="0C09001B" w:tentative="1">
      <w:start w:val="1"/>
      <w:numFmt w:val="lowerRoman"/>
      <w:lvlText w:val="%3."/>
      <w:lvlJc w:val="right"/>
      <w:pPr>
        <w:ind w:left="2583" w:hanging="180"/>
      </w:pPr>
    </w:lvl>
    <w:lvl w:ilvl="3" w:tplc="0C09000F" w:tentative="1">
      <w:start w:val="1"/>
      <w:numFmt w:val="decimal"/>
      <w:lvlText w:val="%4."/>
      <w:lvlJc w:val="left"/>
      <w:pPr>
        <w:ind w:left="3303" w:hanging="360"/>
      </w:pPr>
    </w:lvl>
    <w:lvl w:ilvl="4" w:tplc="0C090019" w:tentative="1">
      <w:start w:val="1"/>
      <w:numFmt w:val="lowerLetter"/>
      <w:lvlText w:val="%5."/>
      <w:lvlJc w:val="left"/>
      <w:pPr>
        <w:ind w:left="4023" w:hanging="360"/>
      </w:pPr>
    </w:lvl>
    <w:lvl w:ilvl="5" w:tplc="0C09001B" w:tentative="1">
      <w:start w:val="1"/>
      <w:numFmt w:val="lowerRoman"/>
      <w:lvlText w:val="%6."/>
      <w:lvlJc w:val="right"/>
      <w:pPr>
        <w:ind w:left="4743" w:hanging="180"/>
      </w:pPr>
    </w:lvl>
    <w:lvl w:ilvl="6" w:tplc="0C09000F" w:tentative="1">
      <w:start w:val="1"/>
      <w:numFmt w:val="decimal"/>
      <w:lvlText w:val="%7."/>
      <w:lvlJc w:val="left"/>
      <w:pPr>
        <w:ind w:left="5463" w:hanging="360"/>
      </w:pPr>
    </w:lvl>
    <w:lvl w:ilvl="7" w:tplc="0C090019" w:tentative="1">
      <w:start w:val="1"/>
      <w:numFmt w:val="lowerLetter"/>
      <w:lvlText w:val="%8."/>
      <w:lvlJc w:val="left"/>
      <w:pPr>
        <w:ind w:left="6183" w:hanging="360"/>
      </w:pPr>
    </w:lvl>
    <w:lvl w:ilvl="8" w:tplc="0C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4" w15:restartNumberingAfterBreak="0">
    <w:nsid w:val="1D73776E"/>
    <w:multiLevelType w:val="hybridMultilevel"/>
    <w:tmpl w:val="1FE04CA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AB92AAB"/>
    <w:multiLevelType w:val="hybridMultilevel"/>
    <w:tmpl w:val="018E271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195DD9"/>
    <w:multiLevelType w:val="hybridMultilevel"/>
    <w:tmpl w:val="8C10E7C0"/>
    <w:lvl w:ilvl="0" w:tplc="5656A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42C8D"/>
    <w:multiLevelType w:val="hybridMultilevel"/>
    <w:tmpl w:val="5EFA028E"/>
    <w:lvl w:ilvl="0" w:tplc="CB0AECB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306EC"/>
    <w:multiLevelType w:val="hybridMultilevel"/>
    <w:tmpl w:val="CD3279B0"/>
    <w:lvl w:ilvl="0" w:tplc="78D02F7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644A7D"/>
    <w:multiLevelType w:val="hybridMultilevel"/>
    <w:tmpl w:val="348EB8D6"/>
    <w:lvl w:ilvl="0" w:tplc="6802A26A">
      <w:start w:val="1"/>
      <w:numFmt w:val="decimal"/>
      <w:lvlText w:val="%1."/>
      <w:lvlJc w:val="left"/>
      <w:pPr>
        <w:ind w:left="570" w:hanging="570"/>
      </w:pPr>
      <w:rPr>
        <w:rFonts w:hint="default"/>
        <w:b w:val="0"/>
        <w:i w:val="0"/>
        <w:iCs w:val="0"/>
        <w:color w:val="auto"/>
        <w:sz w:val="24"/>
        <w:szCs w:val="24"/>
      </w:rPr>
    </w:lvl>
    <w:lvl w:ilvl="1" w:tplc="92C4DDC6">
      <w:start w:val="1"/>
      <w:numFmt w:val="lowerLetter"/>
      <w:lvlText w:val="(%2)"/>
      <w:lvlJc w:val="left"/>
      <w:pPr>
        <w:ind w:left="1440" w:hanging="360"/>
      </w:pPr>
      <w:rPr>
        <w:rFonts w:hint="default"/>
        <w:color w:val="auto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F57A3"/>
    <w:multiLevelType w:val="hybridMultilevel"/>
    <w:tmpl w:val="95A8EF88"/>
    <w:lvl w:ilvl="0" w:tplc="F1BA076E">
      <w:start w:val="1"/>
      <w:numFmt w:val="lowerLetter"/>
      <w:lvlText w:val="(%1)"/>
      <w:lvlJc w:val="left"/>
      <w:pPr>
        <w:ind w:left="1290" w:hanging="360"/>
      </w:pPr>
      <w:rPr>
        <w:rFonts w:ascii="Times New Roman" w:eastAsia="Times New Roman" w:hAnsi="Times New Roman" w:cs="Times New Roman"/>
      </w:rPr>
    </w:lvl>
    <w:lvl w:ilvl="1" w:tplc="0C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3" w15:restartNumberingAfterBreak="0">
    <w:nsid w:val="79F75E01"/>
    <w:multiLevelType w:val="hybridMultilevel"/>
    <w:tmpl w:val="43240DC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2"/>
  </w:num>
  <w:num w:numId="14">
    <w:abstractNumId w:val="19"/>
  </w:num>
  <w:num w:numId="15">
    <w:abstractNumId w:val="23"/>
  </w:num>
  <w:num w:numId="16">
    <w:abstractNumId w:val="10"/>
  </w:num>
  <w:num w:numId="17">
    <w:abstractNumId w:val="22"/>
  </w:num>
  <w:num w:numId="18">
    <w:abstractNumId w:val="14"/>
  </w:num>
  <w:num w:numId="19">
    <w:abstractNumId w:val="20"/>
  </w:num>
  <w:num w:numId="20">
    <w:abstractNumId w:val="13"/>
  </w:num>
  <w:num w:numId="21">
    <w:abstractNumId w:val="21"/>
  </w:num>
  <w:num w:numId="22">
    <w:abstractNumId w:val="15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136AF"/>
    <w:rsid w:val="00013B8D"/>
    <w:rsid w:val="00015719"/>
    <w:rsid w:val="00016B7C"/>
    <w:rsid w:val="00021491"/>
    <w:rsid w:val="00023D53"/>
    <w:rsid w:val="000437C1"/>
    <w:rsid w:val="0005365D"/>
    <w:rsid w:val="00056F38"/>
    <w:rsid w:val="000614BF"/>
    <w:rsid w:val="0006250C"/>
    <w:rsid w:val="00081794"/>
    <w:rsid w:val="00084FF4"/>
    <w:rsid w:val="0009054F"/>
    <w:rsid w:val="000A142F"/>
    <w:rsid w:val="000A1E06"/>
    <w:rsid w:val="000A61AA"/>
    <w:rsid w:val="000A6C39"/>
    <w:rsid w:val="000B58FA"/>
    <w:rsid w:val="000C335A"/>
    <w:rsid w:val="000C55A0"/>
    <w:rsid w:val="000C7746"/>
    <w:rsid w:val="000D041F"/>
    <w:rsid w:val="000D05EF"/>
    <w:rsid w:val="000D0C16"/>
    <w:rsid w:val="000D288C"/>
    <w:rsid w:val="000E2261"/>
    <w:rsid w:val="000E362E"/>
    <w:rsid w:val="000E3C2E"/>
    <w:rsid w:val="000F04D8"/>
    <w:rsid w:val="000F21C1"/>
    <w:rsid w:val="000F66DC"/>
    <w:rsid w:val="00102CA6"/>
    <w:rsid w:val="0010745C"/>
    <w:rsid w:val="00114FEF"/>
    <w:rsid w:val="00122887"/>
    <w:rsid w:val="00125141"/>
    <w:rsid w:val="001264D2"/>
    <w:rsid w:val="001277F7"/>
    <w:rsid w:val="001302BE"/>
    <w:rsid w:val="00132CEB"/>
    <w:rsid w:val="00142B62"/>
    <w:rsid w:val="00153B32"/>
    <w:rsid w:val="00153FC6"/>
    <w:rsid w:val="0015415E"/>
    <w:rsid w:val="00155803"/>
    <w:rsid w:val="00157B8B"/>
    <w:rsid w:val="00160A27"/>
    <w:rsid w:val="001624E1"/>
    <w:rsid w:val="00166C2F"/>
    <w:rsid w:val="00171A6E"/>
    <w:rsid w:val="001736D5"/>
    <w:rsid w:val="00174BD8"/>
    <w:rsid w:val="001809D7"/>
    <w:rsid w:val="0018659E"/>
    <w:rsid w:val="001872DC"/>
    <w:rsid w:val="001939E1"/>
    <w:rsid w:val="00194C3E"/>
    <w:rsid w:val="00195382"/>
    <w:rsid w:val="00195BD4"/>
    <w:rsid w:val="00196402"/>
    <w:rsid w:val="001B27BD"/>
    <w:rsid w:val="001C5C09"/>
    <w:rsid w:val="001C61C5"/>
    <w:rsid w:val="001C69C4"/>
    <w:rsid w:val="001C76EA"/>
    <w:rsid w:val="001D37EF"/>
    <w:rsid w:val="001E3590"/>
    <w:rsid w:val="001E3C82"/>
    <w:rsid w:val="001E7115"/>
    <w:rsid w:val="001E7407"/>
    <w:rsid w:val="001E77ED"/>
    <w:rsid w:val="001E7E2B"/>
    <w:rsid w:val="001F02B1"/>
    <w:rsid w:val="001F5D5E"/>
    <w:rsid w:val="001F6219"/>
    <w:rsid w:val="001F6CD4"/>
    <w:rsid w:val="0020460B"/>
    <w:rsid w:val="00206C4D"/>
    <w:rsid w:val="0021053C"/>
    <w:rsid w:val="0021511C"/>
    <w:rsid w:val="00215AF1"/>
    <w:rsid w:val="00220A36"/>
    <w:rsid w:val="0022180F"/>
    <w:rsid w:val="00223DCF"/>
    <w:rsid w:val="002241DE"/>
    <w:rsid w:val="002269FB"/>
    <w:rsid w:val="002319A9"/>
    <w:rsid w:val="002321E8"/>
    <w:rsid w:val="00236EEC"/>
    <w:rsid w:val="0024010F"/>
    <w:rsid w:val="00240749"/>
    <w:rsid w:val="00243018"/>
    <w:rsid w:val="00243EC0"/>
    <w:rsid w:val="00244742"/>
    <w:rsid w:val="00244D36"/>
    <w:rsid w:val="00245A80"/>
    <w:rsid w:val="00253DA5"/>
    <w:rsid w:val="002564A4"/>
    <w:rsid w:val="00257A5F"/>
    <w:rsid w:val="0026736C"/>
    <w:rsid w:val="002728F7"/>
    <w:rsid w:val="00273FC8"/>
    <w:rsid w:val="00281308"/>
    <w:rsid w:val="00281813"/>
    <w:rsid w:val="00284719"/>
    <w:rsid w:val="00285E6E"/>
    <w:rsid w:val="0028655A"/>
    <w:rsid w:val="00297ECB"/>
    <w:rsid w:val="002A0AFC"/>
    <w:rsid w:val="002A11F3"/>
    <w:rsid w:val="002A39DB"/>
    <w:rsid w:val="002A7328"/>
    <w:rsid w:val="002A7BCF"/>
    <w:rsid w:val="002B19F3"/>
    <w:rsid w:val="002B4A0D"/>
    <w:rsid w:val="002C7B6F"/>
    <w:rsid w:val="002D043A"/>
    <w:rsid w:val="002D30BF"/>
    <w:rsid w:val="002D6224"/>
    <w:rsid w:val="002D6B00"/>
    <w:rsid w:val="002E3F4B"/>
    <w:rsid w:val="002E582B"/>
    <w:rsid w:val="002F5B34"/>
    <w:rsid w:val="0030018D"/>
    <w:rsid w:val="00304F8B"/>
    <w:rsid w:val="00327DDF"/>
    <w:rsid w:val="0033496D"/>
    <w:rsid w:val="003354D2"/>
    <w:rsid w:val="00335BC6"/>
    <w:rsid w:val="00336411"/>
    <w:rsid w:val="00336BCE"/>
    <w:rsid w:val="003415D3"/>
    <w:rsid w:val="00341707"/>
    <w:rsid w:val="00344701"/>
    <w:rsid w:val="003528DA"/>
    <w:rsid w:val="00352B0F"/>
    <w:rsid w:val="0035312F"/>
    <w:rsid w:val="00356690"/>
    <w:rsid w:val="00357DD0"/>
    <w:rsid w:val="00360459"/>
    <w:rsid w:val="00365497"/>
    <w:rsid w:val="00366B73"/>
    <w:rsid w:val="003672DF"/>
    <w:rsid w:val="00386EA2"/>
    <w:rsid w:val="00387A96"/>
    <w:rsid w:val="003A2A48"/>
    <w:rsid w:val="003B28C3"/>
    <w:rsid w:val="003B732F"/>
    <w:rsid w:val="003C5B2E"/>
    <w:rsid w:val="003C6231"/>
    <w:rsid w:val="003D0BFE"/>
    <w:rsid w:val="003D2B69"/>
    <w:rsid w:val="003D5700"/>
    <w:rsid w:val="003E0F99"/>
    <w:rsid w:val="003E341B"/>
    <w:rsid w:val="003E4789"/>
    <w:rsid w:val="003E72A2"/>
    <w:rsid w:val="003F004A"/>
    <w:rsid w:val="003F02D8"/>
    <w:rsid w:val="003F3EFD"/>
    <w:rsid w:val="003F6A78"/>
    <w:rsid w:val="0040053F"/>
    <w:rsid w:val="00403BF5"/>
    <w:rsid w:val="004116CD"/>
    <w:rsid w:val="004144EC"/>
    <w:rsid w:val="00417EB9"/>
    <w:rsid w:val="00424CA9"/>
    <w:rsid w:val="00431E9B"/>
    <w:rsid w:val="00435EEF"/>
    <w:rsid w:val="004379E3"/>
    <w:rsid w:val="0044015E"/>
    <w:rsid w:val="0044291A"/>
    <w:rsid w:val="00444ABD"/>
    <w:rsid w:val="00447DB4"/>
    <w:rsid w:val="00460F1D"/>
    <w:rsid w:val="004621C9"/>
    <w:rsid w:val="00465DC1"/>
    <w:rsid w:val="004671CB"/>
    <w:rsid w:val="00467661"/>
    <w:rsid w:val="004705B7"/>
    <w:rsid w:val="00472DBE"/>
    <w:rsid w:val="00473F26"/>
    <w:rsid w:val="00474A19"/>
    <w:rsid w:val="00474B52"/>
    <w:rsid w:val="00481317"/>
    <w:rsid w:val="00481C24"/>
    <w:rsid w:val="004823C0"/>
    <w:rsid w:val="0048276B"/>
    <w:rsid w:val="00496B5F"/>
    <w:rsid w:val="00496F97"/>
    <w:rsid w:val="004A2E96"/>
    <w:rsid w:val="004A3EBF"/>
    <w:rsid w:val="004A44FC"/>
    <w:rsid w:val="004A4C53"/>
    <w:rsid w:val="004B48DE"/>
    <w:rsid w:val="004B5B44"/>
    <w:rsid w:val="004B5B88"/>
    <w:rsid w:val="004B7046"/>
    <w:rsid w:val="004C1CB1"/>
    <w:rsid w:val="004D7E7F"/>
    <w:rsid w:val="004E063A"/>
    <w:rsid w:val="004E169F"/>
    <w:rsid w:val="004E6A00"/>
    <w:rsid w:val="004E7BEC"/>
    <w:rsid w:val="004E7F83"/>
    <w:rsid w:val="0050044F"/>
    <w:rsid w:val="00505D3D"/>
    <w:rsid w:val="00506AF6"/>
    <w:rsid w:val="00506E15"/>
    <w:rsid w:val="00507335"/>
    <w:rsid w:val="00516B8D"/>
    <w:rsid w:val="00517E56"/>
    <w:rsid w:val="00525285"/>
    <w:rsid w:val="005300BA"/>
    <w:rsid w:val="00532049"/>
    <w:rsid w:val="005356A7"/>
    <w:rsid w:val="00536184"/>
    <w:rsid w:val="00536188"/>
    <w:rsid w:val="005367F1"/>
    <w:rsid w:val="00537FBC"/>
    <w:rsid w:val="0054104A"/>
    <w:rsid w:val="005574D1"/>
    <w:rsid w:val="00561ABB"/>
    <w:rsid w:val="005657FE"/>
    <w:rsid w:val="005709C6"/>
    <w:rsid w:val="00572BB1"/>
    <w:rsid w:val="0057670F"/>
    <w:rsid w:val="00584811"/>
    <w:rsid w:val="00585784"/>
    <w:rsid w:val="005919ED"/>
    <w:rsid w:val="00593AA6"/>
    <w:rsid w:val="00594161"/>
    <w:rsid w:val="00594749"/>
    <w:rsid w:val="005A4C6A"/>
    <w:rsid w:val="005A5971"/>
    <w:rsid w:val="005A6757"/>
    <w:rsid w:val="005B4067"/>
    <w:rsid w:val="005B7600"/>
    <w:rsid w:val="005B780C"/>
    <w:rsid w:val="005B7E57"/>
    <w:rsid w:val="005C3F41"/>
    <w:rsid w:val="005D0489"/>
    <w:rsid w:val="005D1FEA"/>
    <w:rsid w:val="005D2D09"/>
    <w:rsid w:val="005D3D41"/>
    <w:rsid w:val="005E1357"/>
    <w:rsid w:val="005E3077"/>
    <w:rsid w:val="005E3FC7"/>
    <w:rsid w:val="005E4810"/>
    <w:rsid w:val="005E6044"/>
    <w:rsid w:val="005F3BCB"/>
    <w:rsid w:val="005F4140"/>
    <w:rsid w:val="005F546B"/>
    <w:rsid w:val="005F65CD"/>
    <w:rsid w:val="00600219"/>
    <w:rsid w:val="00603DC4"/>
    <w:rsid w:val="0060715D"/>
    <w:rsid w:val="00607A71"/>
    <w:rsid w:val="00607F34"/>
    <w:rsid w:val="00610519"/>
    <w:rsid w:val="00610709"/>
    <w:rsid w:val="006117CB"/>
    <w:rsid w:val="00620076"/>
    <w:rsid w:val="00622B6F"/>
    <w:rsid w:val="00624D35"/>
    <w:rsid w:val="00634044"/>
    <w:rsid w:val="00640161"/>
    <w:rsid w:val="00652769"/>
    <w:rsid w:val="0065542F"/>
    <w:rsid w:val="006554FF"/>
    <w:rsid w:val="00665095"/>
    <w:rsid w:val="0066780D"/>
    <w:rsid w:val="00670EA1"/>
    <w:rsid w:val="00676F74"/>
    <w:rsid w:val="00677CC2"/>
    <w:rsid w:val="00680EAB"/>
    <w:rsid w:val="006905DE"/>
    <w:rsid w:val="0069207B"/>
    <w:rsid w:val="00693F29"/>
    <w:rsid w:val="00694191"/>
    <w:rsid w:val="006B5789"/>
    <w:rsid w:val="006C30C5"/>
    <w:rsid w:val="006C3C81"/>
    <w:rsid w:val="006C48FA"/>
    <w:rsid w:val="006C54B4"/>
    <w:rsid w:val="006C7F8C"/>
    <w:rsid w:val="006E5320"/>
    <w:rsid w:val="006E6246"/>
    <w:rsid w:val="006F318F"/>
    <w:rsid w:val="006F4226"/>
    <w:rsid w:val="006F5449"/>
    <w:rsid w:val="006F6EB0"/>
    <w:rsid w:val="0070017E"/>
    <w:rsid w:val="00700B2C"/>
    <w:rsid w:val="00702EFD"/>
    <w:rsid w:val="00704D8F"/>
    <w:rsid w:val="007050A2"/>
    <w:rsid w:val="00713084"/>
    <w:rsid w:val="0071399B"/>
    <w:rsid w:val="00714F20"/>
    <w:rsid w:val="0071590F"/>
    <w:rsid w:val="00715914"/>
    <w:rsid w:val="00721729"/>
    <w:rsid w:val="00731E00"/>
    <w:rsid w:val="00741EE8"/>
    <w:rsid w:val="007440B7"/>
    <w:rsid w:val="007500C8"/>
    <w:rsid w:val="00756272"/>
    <w:rsid w:val="00760B00"/>
    <w:rsid w:val="00761C2C"/>
    <w:rsid w:val="007662B5"/>
    <w:rsid w:val="0076681A"/>
    <w:rsid w:val="007715C9"/>
    <w:rsid w:val="00771613"/>
    <w:rsid w:val="00774670"/>
    <w:rsid w:val="00774EDD"/>
    <w:rsid w:val="0077506D"/>
    <w:rsid w:val="00775774"/>
    <w:rsid w:val="007757EC"/>
    <w:rsid w:val="00775A3D"/>
    <w:rsid w:val="00783E89"/>
    <w:rsid w:val="007842CE"/>
    <w:rsid w:val="00785A9E"/>
    <w:rsid w:val="0079220C"/>
    <w:rsid w:val="00793915"/>
    <w:rsid w:val="007B4C4F"/>
    <w:rsid w:val="007C2253"/>
    <w:rsid w:val="007C58E0"/>
    <w:rsid w:val="007D230B"/>
    <w:rsid w:val="007D2EBA"/>
    <w:rsid w:val="007E163D"/>
    <w:rsid w:val="007E28C4"/>
    <w:rsid w:val="007E667A"/>
    <w:rsid w:val="007F28C9"/>
    <w:rsid w:val="0080312D"/>
    <w:rsid w:val="00803587"/>
    <w:rsid w:val="008117E9"/>
    <w:rsid w:val="00824498"/>
    <w:rsid w:val="00826A42"/>
    <w:rsid w:val="00835179"/>
    <w:rsid w:val="00840442"/>
    <w:rsid w:val="00840B3E"/>
    <w:rsid w:val="008527C0"/>
    <w:rsid w:val="00856A31"/>
    <w:rsid w:val="00860B58"/>
    <w:rsid w:val="00863657"/>
    <w:rsid w:val="00867B37"/>
    <w:rsid w:val="008718DD"/>
    <w:rsid w:val="008754D0"/>
    <w:rsid w:val="008811EA"/>
    <w:rsid w:val="008855C9"/>
    <w:rsid w:val="00886456"/>
    <w:rsid w:val="0089102C"/>
    <w:rsid w:val="008945E0"/>
    <w:rsid w:val="00894841"/>
    <w:rsid w:val="0089527F"/>
    <w:rsid w:val="008A362B"/>
    <w:rsid w:val="008A46E1"/>
    <w:rsid w:val="008A4F43"/>
    <w:rsid w:val="008B2706"/>
    <w:rsid w:val="008C0F29"/>
    <w:rsid w:val="008D0EE0"/>
    <w:rsid w:val="008D3422"/>
    <w:rsid w:val="008E6067"/>
    <w:rsid w:val="008F54E7"/>
    <w:rsid w:val="009016BE"/>
    <w:rsid w:val="009022E6"/>
    <w:rsid w:val="00903422"/>
    <w:rsid w:val="00912A58"/>
    <w:rsid w:val="00913034"/>
    <w:rsid w:val="00914BA5"/>
    <w:rsid w:val="009157B9"/>
    <w:rsid w:val="00915DF9"/>
    <w:rsid w:val="00916D9D"/>
    <w:rsid w:val="009254C3"/>
    <w:rsid w:val="00926940"/>
    <w:rsid w:val="00930A0A"/>
    <w:rsid w:val="00932377"/>
    <w:rsid w:val="00933B17"/>
    <w:rsid w:val="009460DC"/>
    <w:rsid w:val="00946759"/>
    <w:rsid w:val="00947D5A"/>
    <w:rsid w:val="009532A5"/>
    <w:rsid w:val="00955175"/>
    <w:rsid w:val="0095528E"/>
    <w:rsid w:val="0096753E"/>
    <w:rsid w:val="00982242"/>
    <w:rsid w:val="00983F11"/>
    <w:rsid w:val="00985A5A"/>
    <w:rsid w:val="009868E9"/>
    <w:rsid w:val="00990658"/>
    <w:rsid w:val="009944E6"/>
    <w:rsid w:val="009A3A6F"/>
    <w:rsid w:val="009A3F74"/>
    <w:rsid w:val="009A49C9"/>
    <w:rsid w:val="009A528F"/>
    <w:rsid w:val="009C0192"/>
    <w:rsid w:val="009D1818"/>
    <w:rsid w:val="009D195A"/>
    <w:rsid w:val="009D447C"/>
    <w:rsid w:val="009D7993"/>
    <w:rsid w:val="009E5CFC"/>
    <w:rsid w:val="009E75A7"/>
    <w:rsid w:val="009F5D5C"/>
    <w:rsid w:val="009F5D8F"/>
    <w:rsid w:val="009F690F"/>
    <w:rsid w:val="00A03AF1"/>
    <w:rsid w:val="00A079CB"/>
    <w:rsid w:val="00A12128"/>
    <w:rsid w:val="00A12F48"/>
    <w:rsid w:val="00A14F6A"/>
    <w:rsid w:val="00A15512"/>
    <w:rsid w:val="00A21268"/>
    <w:rsid w:val="00A22C98"/>
    <w:rsid w:val="00A231E2"/>
    <w:rsid w:val="00A2637D"/>
    <w:rsid w:val="00A33428"/>
    <w:rsid w:val="00A33D55"/>
    <w:rsid w:val="00A34412"/>
    <w:rsid w:val="00A37CC4"/>
    <w:rsid w:val="00A40424"/>
    <w:rsid w:val="00A40933"/>
    <w:rsid w:val="00A44C99"/>
    <w:rsid w:val="00A456FC"/>
    <w:rsid w:val="00A52B0F"/>
    <w:rsid w:val="00A553E0"/>
    <w:rsid w:val="00A5632E"/>
    <w:rsid w:val="00A64912"/>
    <w:rsid w:val="00A70A74"/>
    <w:rsid w:val="00A74DBD"/>
    <w:rsid w:val="00A90F21"/>
    <w:rsid w:val="00A91966"/>
    <w:rsid w:val="00A94E09"/>
    <w:rsid w:val="00AA66AC"/>
    <w:rsid w:val="00AB1DE8"/>
    <w:rsid w:val="00AB69D9"/>
    <w:rsid w:val="00AB7CA5"/>
    <w:rsid w:val="00AC0886"/>
    <w:rsid w:val="00AD02B8"/>
    <w:rsid w:val="00AD1F73"/>
    <w:rsid w:val="00AD5315"/>
    <w:rsid w:val="00AD5641"/>
    <w:rsid w:val="00AD7889"/>
    <w:rsid w:val="00AE0560"/>
    <w:rsid w:val="00AE0DA0"/>
    <w:rsid w:val="00AE787B"/>
    <w:rsid w:val="00AF021B"/>
    <w:rsid w:val="00AF06CF"/>
    <w:rsid w:val="00AF34D9"/>
    <w:rsid w:val="00AF367B"/>
    <w:rsid w:val="00AF3EE8"/>
    <w:rsid w:val="00B00D8E"/>
    <w:rsid w:val="00B04305"/>
    <w:rsid w:val="00B07CDB"/>
    <w:rsid w:val="00B16A31"/>
    <w:rsid w:val="00B17DFD"/>
    <w:rsid w:val="00B2799D"/>
    <w:rsid w:val="00B30595"/>
    <w:rsid w:val="00B308FE"/>
    <w:rsid w:val="00B33709"/>
    <w:rsid w:val="00B33B3C"/>
    <w:rsid w:val="00B33BD1"/>
    <w:rsid w:val="00B50ADC"/>
    <w:rsid w:val="00B514C2"/>
    <w:rsid w:val="00B516E6"/>
    <w:rsid w:val="00B566B1"/>
    <w:rsid w:val="00B577C8"/>
    <w:rsid w:val="00B63834"/>
    <w:rsid w:val="00B7007C"/>
    <w:rsid w:val="00B72734"/>
    <w:rsid w:val="00B80199"/>
    <w:rsid w:val="00B82D81"/>
    <w:rsid w:val="00B83204"/>
    <w:rsid w:val="00B9126E"/>
    <w:rsid w:val="00BA1001"/>
    <w:rsid w:val="00BA220B"/>
    <w:rsid w:val="00BA3269"/>
    <w:rsid w:val="00BA3A57"/>
    <w:rsid w:val="00BB4104"/>
    <w:rsid w:val="00BB4E1A"/>
    <w:rsid w:val="00BB5C17"/>
    <w:rsid w:val="00BC015E"/>
    <w:rsid w:val="00BC3461"/>
    <w:rsid w:val="00BC3F41"/>
    <w:rsid w:val="00BC7183"/>
    <w:rsid w:val="00BC76AC"/>
    <w:rsid w:val="00BD0ECB"/>
    <w:rsid w:val="00BD5A75"/>
    <w:rsid w:val="00BE2155"/>
    <w:rsid w:val="00BE2213"/>
    <w:rsid w:val="00BE6EF9"/>
    <w:rsid w:val="00BE719A"/>
    <w:rsid w:val="00BE720A"/>
    <w:rsid w:val="00BF0D73"/>
    <w:rsid w:val="00BF2465"/>
    <w:rsid w:val="00BF75C9"/>
    <w:rsid w:val="00C032E3"/>
    <w:rsid w:val="00C03493"/>
    <w:rsid w:val="00C0544A"/>
    <w:rsid w:val="00C11452"/>
    <w:rsid w:val="00C17457"/>
    <w:rsid w:val="00C20859"/>
    <w:rsid w:val="00C21B14"/>
    <w:rsid w:val="00C25E7F"/>
    <w:rsid w:val="00C2746F"/>
    <w:rsid w:val="00C324A0"/>
    <w:rsid w:val="00C3300F"/>
    <w:rsid w:val="00C34E77"/>
    <w:rsid w:val="00C35875"/>
    <w:rsid w:val="00C35DAF"/>
    <w:rsid w:val="00C4170B"/>
    <w:rsid w:val="00C42BF8"/>
    <w:rsid w:val="00C45171"/>
    <w:rsid w:val="00C50043"/>
    <w:rsid w:val="00C50B97"/>
    <w:rsid w:val="00C52E7C"/>
    <w:rsid w:val="00C6434E"/>
    <w:rsid w:val="00C70CA8"/>
    <w:rsid w:val="00C7573B"/>
    <w:rsid w:val="00C7761F"/>
    <w:rsid w:val="00C86B32"/>
    <w:rsid w:val="00C93C03"/>
    <w:rsid w:val="00CA1ED4"/>
    <w:rsid w:val="00CA66DC"/>
    <w:rsid w:val="00CB2C8E"/>
    <w:rsid w:val="00CB2D96"/>
    <w:rsid w:val="00CB602E"/>
    <w:rsid w:val="00CD2447"/>
    <w:rsid w:val="00CD2E90"/>
    <w:rsid w:val="00CD5064"/>
    <w:rsid w:val="00CE0149"/>
    <w:rsid w:val="00CE051D"/>
    <w:rsid w:val="00CE1335"/>
    <w:rsid w:val="00CE3D2A"/>
    <w:rsid w:val="00CE493D"/>
    <w:rsid w:val="00CE541A"/>
    <w:rsid w:val="00CE6D42"/>
    <w:rsid w:val="00CF07FA"/>
    <w:rsid w:val="00CF0BB2"/>
    <w:rsid w:val="00CF36DF"/>
    <w:rsid w:val="00CF3798"/>
    <w:rsid w:val="00CF3EE8"/>
    <w:rsid w:val="00CF5313"/>
    <w:rsid w:val="00D050E6"/>
    <w:rsid w:val="00D1054E"/>
    <w:rsid w:val="00D13441"/>
    <w:rsid w:val="00D150E7"/>
    <w:rsid w:val="00D17469"/>
    <w:rsid w:val="00D20A4B"/>
    <w:rsid w:val="00D306F8"/>
    <w:rsid w:val="00D32F65"/>
    <w:rsid w:val="00D341C4"/>
    <w:rsid w:val="00D41D6E"/>
    <w:rsid w:val="00D460DD"/>
    <w:rsid w:val="00D52DC2"/>
    <w:rsid w:val="00D53BCC"/>
    <w:rsid w:val="00D648BB"/>
    <w:rsid w:val="00D702DE"/>
    <w:rsid w:val="00D70DFB"/>
    <w:rsid w:val="00D7112D"/>
    <w:rsid w:val="00D7253E"/>
    <w:rsid w:val="00D72D0E"/>
    <w:rsid w:val="00D732EC"/>
    <w:rsid w:val="00D73C22"/>
    <w:rsid w:val="00D766DF"/>
    <w:rsid w:val="00D92901"/>
    <w:rsid w:val="00DA186E"/>
    <w:rsid w:val="00DA4116"/>
    <w:rsid w:val="00DB251C"/>
    <w:rsid w:val="00DB38AD"/>
    <w:rsid w:val="00DB4630"/>
    <w:rsid w:val="00DC4445"/>
    <w:rsid w:val="00DC4F88"/>
    <w:rsid w:val="00DE0A85"/>
    <w:rsid w:val="00DE6B6E"/>
    <w:rsid w:val="00DE79F9"/>
    <w:rsid w:val="00DF5B9E"/>
    <w:rsid w:val="00E0320C"/>
    <w:rsid w:val="00E05704"/>
    <w:rsid w:val="00E06CC3"/>
    <w:rsid w:val="00E11E44"/>
    <w:rsid w:val="00E13AFA"/>
    <w:rsid w:val="00E161CF"/>
    <w:rsid w:val="00E20856"/>
    <w:rsid w:val="00E2168B"/>
    <w:rsid w:val="00E21F03"/>
    <w:rsid w:val="00E23031"/>
    <w:rsid w:val="00E2438D"/>
    <w:rsid w:val="00E338EF"/>
    <w:rsid w:val="00E364A5"/>
    <w:rsid w:val="00E40FF8"/>
    <w:rsid w:val="00E50A7E"/>
    <w:rsid w:val="00E528BA"/>
    <w:rsid w:val="00E544BB"/>
    <w:rsid w:val="00E578EC"/>
    <w:rsid w:val="00E60423"/>
    <w:rsid w:val="00E63C93"/>
    <w:rsid w:val="00E649D7"/>
    <w:rsid w:val="00E662CB"/>
    <w:rsid w:val="00E67715"/>
    <w:rsid w:val="00E71AFB"/>
    <w:rsid w:val="00E735F6"/>
    <w:rsid w:val="00E74DC7"/>
    <w:rsid w:val="00E8075A"/>
    <w:rsid w:val="00E818A6"/>
    <w:rsid w:val="00E8266A"/>
    <w:rsid w:val="00E85A91"/>
    <w:rsid w:val="00E87718"/>
    <w:rsid w:val="00E94D5E"/>
    <w:rsid w:val="00EA0BF6"/>
    <w:rsid w:val="00EA17A6"/>
    <w:rsid w:val="00EA7100"/>
    <w:rsid w:val="00EA7F9F"/>
    <w:rsid w:val="00EB0E70"/>
    <w:rsid w:val="00EB1274"/>
    <w:rsid w:val="00EB4493"/>
    <w:rsid w:val="00EC4757"/>
    <w:rsid w:val="00EC7EDB"/>
    <w:rsid w:val="00ED0E79"/>
    <w:rsid w:val="00ED14FB"/>
    <w:rsid w:val="00ED2BB6"/>
    <w:rsid w:val="00ED34E1"/>
    <w:rsid w:val="00ED3B8D"/>
    <w:rsid w:val="00ED796D"/>
    <w:rsid w:val="00EE22DC"/>
    <w:rsid w:val="00EE3F01"/>
    <w:rsid w:val="00EE6B03"/>
    <w:rsid w:val="00EF15D3"/>
    <w:rsid w:val="00EF21B3"/>
    <w:rsid w:val="00EF2E3A"/>
    <w:rsid w:val="00F02EF9"/>
    <w:rsid w:val="00F03BB5"/>
    <w:rsid w:val="00F047D8"/>
    <w:rsid w:val="00F072A7"/>
    <w:rsid w:val="00F078DC"/>
    <w:rsid w:val="00F12CF5"/>
    <w:rsid w:val="00F14593"/>
    <w:rsid w:val="00F171A1"/>
    <w:rsid w:val="00F2022A"/>
    <w:rsid w:val="00F24B2F"/>
    <w:rsid w:val="00F32BA8"/>
    <w:rsid w:val="00F349F1"/>
    <w:rsid w:val="00F4215A"/>
    <w:rsid w:val="00F4350D"/>
    <w:rsid w:val="00F50532"/>
    <w:rsid w:val="00F52D34"/>
    <w:rsid w:val="00F567F7"/>
    <w:rsid w:val="00F61B09"/>
    <w:rsid w:val="00F62036"/>
    <w:rsid w:val="00F65B52"/>
    <w:rsid w:val="00F67BCA"/>
    <w:rsid w:val="00F71ABA"/>
    <w:rsid w:val="00F73761"/>
    <w:rsid w:val="00F73BD6"/>
    <w:rsid w:val="00F800C9"/>
    <w:rsid w:val="00F821FF"/>
    <w:rsid w:val="00F824FB"/>
    <w:rsid w:val="00F83989"/>
    <w:rsid w:val="00F85099"/>
    <w:rsid w:val="00F8741B"/>
    <w:rsid w:val="00F9379C"/>
    <w:rsid w:val="00F9632C"/>
    <w:rsid w:val="00FA1E52"/>
    <w:rsid w:val="00FA31DE"/>
    <w:rsid w:val="00FA3C5C"/>
    <w:rsid w:val="00FA56EB"/>
    <w:rsid w:val="00FA6130"/>
    <w:rsid w:val="00FA7D17"/>
    <w:rsid w:val="00FC3EB8"/>
    <w:rsid w:val="00FC7D25"/>
    <w:rsid w:val="00FD13CC"/>
    <w:rsid w:val="00FE2FB8"/>
    <w:rsid w:val="00FE4688"/>
    <w:rsid w:val="00FE72D6"/>
    <w:rsid w:val="00FE79D0"/>
    <w:rsid w:val="00F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6C40EA0F-13FA-46D7-A916-D26514D6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uiPriority w:val="99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65095"/>
    <w:pPr>
      <w:numPr>
        <w:numId w:val="23"/>
      </w:numPr>
      <w:tabs>
        <w:tab w:val="num" w:pos="926"/>
      </w:tabs>
      <w:autoSpaceDE w:val="0"/>
      <w:autoSpaceDN w:val="0"/>
      <w:adjustRightInd w:val="0"/>
      <w:spacing w:before="120" w:after="120" w:line="280" w:lineRule="atLeast"/>
      <w:ind w:left="926"/>
    </w:pPr>
    <w:rPr>
      <w:rFonts w:ascii="Century Gothic" w:hAnsi="Century Gothic" w:cs="Verdana-BoldItalic"/>
      <w:bCs/>
      <w:iCs/>
      <w:sz w:val="21"/>
      <w:szCs w:val="18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Responsetext">
    <w:name w:val="Response text"/>
    <w:basedOn w:val="Normal"/>
    <w:qFormat/>
    <w:rsid w:val="006F6EB0"/>
    <w:pPr>
      <w:pBdr>
        <w:left w:val="single" w:sz="6" w:space="2" w:color="0072CE"/>
      </w:pBdr>
      <w:spacing w:before="100"/>
      <w:ind w:left="3232"/>
    </w:pPr>
    <w:rPr>
      <w:rFonts w:ascii="Arial" w:eastAsia="Times New Roman" w:hAnsi="Arial" w:cs="Arial"/>
      <w:sz w:val="20"/>
      <w:lang w:eastAsia="en-AU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styleId="Revision">
    <w:name w:val="Revision"/>
    <w:hidden/>
    <w:uiPriority w:val="99"/>
    <w:semiHidden/>
    <w:rsid w:val="00F8741B"/>
    <w:rPr>
      <w:sz w:val="22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settings" Target="setting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image" Target="media/image1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styles" Target="styles.xm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endnotes" Target="endnotes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footnotes" Target="footnotes.xml"/><Relationship Id="rId28" Type="http://schemas.openxmlformats.org/officeDocument/2006/relationships/footer" Target="footer1.xml"/><Relationship Id="rId10" Type="http://schemas.openxmlformats.org/officeDocument/2006/relationships/customXml" Target="../customXml/item10.xml"/><Relationship Id="rId19" Type="http://schemas.openxmlformats.org/officeDocument/2006/relationships/numbering" Target="numbering.xm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webSettings" Target="webSettings.xm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0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1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3.xml><?xml version="1.0" encoding="utf-8"?>
<LongProperties xmlns="http://schemas.microsoft.com/office/2006/metadata/longProperties"/>
</file>

<file path=customXml/item1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5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7C235F87492C5146AF2A78F5EA3786F3" ma:contentTypeVersion="29" ma:contentTypeDescription="" ma:contentTypeScope="" ma:versionID="5db9ceac725d8ede087e342e0a795b67">
  <xsd:schema xmlns:xsd="http://www.w3.org/2001/XMLSchema" xmlns:xs="http://www.w3.org/2001/XMLSchema" xmlns:p="http://schemas.microsoft.com/office/2006/metadata/properties" xmlns:ns2="da7a9ac0-bc47-4684-84e6-3a8e9ac80c12" xmlns:ns3="c34c7f6c-aaaf-45a3-a9eb-afe48db4d66e" xmlns:ns4="17f478ab-373e-4295-9ff0-9b833ad01319" targetNamespace="http://schemas.microsoft.com/office/2006/metadata/properties" ma:root="true" ma:fieldsID="b3466ccdab2265d24e19b848e9f973ff" ns2:_="" ns3:_="" ns4:_="">
    <xsd:import namespace="da7a9ac0-bc47-4684-84e6-3a8e9ac80c12"/>
    <xsd:import namespace="c34c7f6c-aaaf-45a3-a9eb-afe48db4d66e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2:NotesLinks" minOccurs="0"/>
                <xsd:element ref="ns3:d60934758bd44d46b350733ac9e6adc4" minOccurs="0"/>
                <xsd:element ref="ns4:Reviewers" minOccurs="0"/>
                <xsd:element ref="ns4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 ma:readOnly="false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 ma:readOnly="false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 ma:readOnly="false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 ma:readOnly="false">
      <xsd:simpleType>
        <xsd:restriction base="dms:Boolean"/>
      </xsd:simpleType>
    </xsd:element>
    <xsd:element name="SignificantReason" ma:index="6" nillable="true" ma:displayName="Significant Reason" ma:hidden="true" ma:internalName="SignificantReason" ma:readOnly="false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17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c7f6c-aaaf-45a3-a9eb-afe48db4d66e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54e46640-b2c8-4f13-91a4-f61af8f8ea7f}" ma:internalName="TaxCatchAll" ma:showField="CatchAllData" ma:web="c34c7f6c-aaaf-45a3-a9eb-afe48db4d6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54e46640-b2c8-4f13-91a4-f61af8f8ea7f}" ma:internalName="TaxCatchAllLabel" ma:readOnly="true" ma:showField="CatchAllDataLabel" ma:web="c34c7f6c-aaaf-45a3-a9eb-afe48db4d6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60934758bd44d46b350733ac9e6adc4" ma:index="18" ma:taxonomy="true" ma:internalName="d60934758bd44d46b350733ac9e6adc4" ma:taxonomyFieldName="SecurityClassification" ma:displayName="Security Classification" ma:readOnly="false" ma:default="-1;#OFFICIAL - Sensitive|6eccc17f-024b-41b0-b6b1-faf98d2aff85" ma:fieldId="{d6093475-8bd4-4d46-b350-733ac9e6adc4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19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0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6.xml><?xml version="1.0" encoding="utf-8"?>
<LongProperties xmlns="http://schemas.microsoft.com/office/2006/metadata/longProperties"/>
</file>

<file path=customXml/item17.xml><?xml version="1.0" encoding="utf-8"?>
<LongProperties xmlns="http://schemas.microsoft.com/office/2006/metadata/longProperties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7C235F87492C5146AF2A78F5EA3786F3" ma:contentTypeVersion="29" ma:contentTypeDescription="" ma:contentTypeScope="" ma:versionID="5db9ceac725d8ede087e342e0a795b67">
  <xsd:schema xmlns:xsd="http://www.w3.org/2001/XMLSchema" xmlns:xs="http://www.w3.org/2001/XMLSchema" xmlns:p="http://schemas.microsoft.com/office/2006/metadata/properties" xmlns:ns2="da7a9ac0-bc47-4684-84e6-3a8e9ac80c12" xmlns:ns3="c34c7f6c-aaaf-45a3-a9eb-afe48db4d66e" xmlns:ns4="17f478ab-373e-4295-9ff0-9b833ad01319" targetNamespace="http://schemas.microsoft.com/office/2006/metadata/properties" ma:root="true" ma:fieldsID="b3466ccdab2265d24e19b848e9f973ff" ns2:_="" ns3:_="" ns4:_="">
    <xsd:import namespace="da7a9ac0-bc47-4684-84e6-3a8e9ac80c12"/>
    <xsd:import namespace="c34c7f6c-aaaf-45a3-a9eb-afe48db4d66e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2:NotesLinks" minOccurs="0"/>
                <xsd:element ref="ns3:d60934758bd44d46b350733ac9e6adc4" minOccurs="0"/>
                <xsd:element ref="ns4:Reviewers" minOccurs="0"/>
                <xsd:element ref="ns4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 ma:readOnly="false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 ma:readOnly="false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 ma:readOnly="false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 ma:readOnly="false">
      <xsd:simpleType>
        <xsd:restriction base="dms:Boolean"/>
      </xsd:simpleType>
    </xsd:element>
    <xsd:element name="SignificantReason" ma:index="6" nillable="true" ma:displayName="Significant Reason" ma:hidden="true" ma:internalName="SignificantReason" ma:readOnly="false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17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c7f6c-aaaf-45a3-a9eb-afe48db4d66e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54e46640-b2c8-4f13-91a4-f61af8f8ea7f}" ma:internalName="TaxCatchAll" ma:showField="CatchAllData" ma:web="c34c7f6c-aaaf-45a3-a9eb-afe48db4d6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54e46640-b2c8-4f13-91a4-f61af8f8ea7f}" ma:internalName="TaxCatchAllLabel" ma:readOnly="true" ma:showField="CatchAllDataLabel" ma:web="c34c7f6c-aaaf-45a3-a9eb-afe48db4d6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60934758bd44d46b350733ac9e6adc4" ma:index="18" ma:taxonomy="true" ma:internalName="d60934758bd44d46b350733ac9e6adc4" ma:taxonomyFieldName="SecurityClassification" ma:displayName="Security Classification" ma:readOnly="false" ma:default="-1;#OFFICIAL - Sensitive|6eccc17f-024b-41b0-b6b1-faf98d2aff85" ma:fieldId="{d6093475-8bd4-4d46-b350-733ac9e6adc4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19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0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7C235F87492C5146AF2A78F5EA3786F3" ma:contentTypeVersion="29" ma:contentTypeDescription="" ma:contentTypeScope="" ma:versionID="5db9ceac725d8ede087e342e0a795b67">
  <xsd:schema xmlns:xsd="http://www.w3.org/2001/XMLSchema" xmlns:xs="http://www.w3.org/2001/XMLSchema" xmlns:p="http://schemas.microsoft.com/office/2006/metadata/properties" xmlns:ns2="da7a9ac0-bc47-4684-84e6-3a8e9ac80c12" xmlns:ns3="c34c7f6c-aaaf-45a3-a9eb-afe48db4d66e" xmlns:ns4="17f478ab-373e-4295-9ff0-9b833ad01319" targetNamespace="http://schemas.microsoft.com/office/2006/metadata/properties" ma:root="true" ma:fieldsID="b3466ccdab2265d24e19b848e9f973ff" ns2:_="" ns3:_="" ns4:_="">
    <xsd:import namespace="da7a9ac0-bc47-4684-84e6-3a8e9ac80c12"/>
    <xsd:import namespace="c34c7f6c-aaaf-45a3-a9eb-afe48db4d66e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2:NotesLinks" minOccurs="0"/>
                <xsd:element ref="ns3:d60934758bd44d46b350733ac9e6adc4" minOccurs="0"/>
                <xsd:element ref="ns4:Reviewers" minOccurs="0"/>
                <xsd:element ref="ns4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 ma:readOnly="false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 ma:readOnly="false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 ma:readOnly="false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 ma:readOnly="false">
      <xsd:simpleType>
        <xsd:restriction base="dms:Boolean"/>
      </xsd:simpleType>
    </xsd:element>
    <xsd:element name="SignificantReason" ma:index="6" nillable="true" ma:displayName="Significant Reason" ma:hidden="true" ma:internalName="SignificantReason" ma:readOnly="false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17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c7f6c-aaaf-45a3-a9eb-afe48db4d66e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54e46640-b2c8-4f13-91a4-f61af8f8ea7f}" ma:internalName="TaxCatchAll" ma:showField="CatchAllData" ma:web="c34c7f6c-aaaf-45a3-a9eb-afe48db4d6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54e46640-b2c8-4f13-91a4-f61af8f8ea7f}" ma:internalName="TaxCatchAllLabel" ma:readOnly="true" ma:showField="CatchAllDataLabel" ma:web="c34c7f6c-aaaf-45a3-a9eb-afe48db4d6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60934758bd44d46b350733ac9e6adc4" ma:index="18" ma:taxonomy="true" ma:internalName="d60934758bd44d46b350733ac9e6adc4" ma:taxonomyFieldName="SecurityClassification" ma:displayName="Security Classification" ma:readOnly="false" ma:default="-1;#OFFICIAL - Sensitive|6eccc17f-024b-41b0-b6b1-faf98d2aff85" ma:fieldId="{d6093475-8bd4-4d46-b350-733ac9e6adc4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19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0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R20210000177648</RecordNumber>
    <ObjectiveID xmlns="da7a9ac0-bc47-4684-84e6-3a8e9ac80c12" xsi:nil="true"/>
    <TaxCatchAll xmlns="c34c7f6c-aaaf-45a3-a9eb-afe48db4d66e">
      <Value>6</Value>
    </TaxCatchAll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d60934758bd44d46b350733ac9e6adc4 xmlns="c34c7f6c-aaaf-45a3-a9eb-afe48db4d6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d60934758bd44d46b350733ac9e6adc4>
    <NotesLinks xmlns="da7a9ac0-bc47-4684-84e6-3a8e9ac80c12" xsi:nil="true"/>
  </documentManagement>
</p:properties>
</file>

<file path=customXml/item7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8.xml><?xml version="1.0" encoding="utf-8"?>
<LongProperties xmlns="http://schemas.microsoft.com/office/2006/metadata/longProperties"/>
</file>

<file path=customXml/item9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7C235F87492C5146AF2A78F5EA3786F3" ma:contentTypeVersion="29" ma:contentTypeDescription="" ma:contentTypeScope="" ma:versionID="5db9ceac725d8ede087e342e0a795b67">
  <xsd:schema xmlns:xsd="http://www.w3.org/2001/XMLSchema" xmlns:xs="http://www.w3.org/2001/XMLSchema" xmlns:p="http://schemas.microsoft.com/office/2006/metadata/properties" xmlns:ns2="da7a9ac0-bc47-4684-84e6-3a8e9ac80c12" xmlns:ns3="c34c7f6c-aaaf-45a3-a9eb-afe48db4d66e" xmlns:ns4="17f478ab-373e-4295-9ff0-9b833ad01319" targetNamespace="http://schemas.microsoft.com/office/2006/metadata/properties" ma:root="true" ma:fieldsID="b3466ccdab2265d24e19b848e9f973ff" ns2:_="" ns3:_="" ns4:_="">
    <xsd:import namespace="da7a9ac0-bc47-4684-84e6-3a8e9ac80c12"/>
    <xsd:import namespace="c34c7f6c-aaaf-45a3-a9eb-afe48db4d66e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2:NotesLinks" minOccurs="0"/>
                <xsd:element ref="ns3:d60934758bd44d46b350733ac9e6adc4" minOccurs="0"/>
                <xsd:element ref="ns4:Reviewers" minOccurs="0"/>
                <xsd:element ref="ns4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 ma:readOnly="false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 ma:readOnly="false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 ma:readOnly="false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 ma:readOnly="false">
      <xsd:simpleType>
        <xsd:restriction base="dms:Boolean"/>
      </xsd:simpleType>
    </xsd:element>
    <xsd:element name="SignificantReason" ma:index="6" nillable="true" ma:displayName="Significant Reason" ma:hidden="true" ma:internalName="SignificantReason" ma:readOnly="false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17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c7f6c-aaaf-45a3-a9eb-afe48db4d66e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54e46640-b2c8-4f13-91a4-f61af8f8ea7f}" ma:internalName="TaxCatchAll" ma:showField="CatchAllData" ma:web="c34c7f6c-aaaf-45a3-a9eb-afe48db4d6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54e46640-b2c8-4f13-91a4-f61af8f8ea7f}" ma:internalName="TaxCatchAllLabel" ma:readOnly="true" ma:showField="CatchAllDataLabel" ma:web="c34c7f6c-aaaf-45a3-a9eb-afe48db4d6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60934758bd44d46b350733ac9e6adc4" ma:index="18" ma:taxonomy="true" ma:internalName="d60934758bd44d46b350733ac9e6adc4" ma:taxonomyFieldName="SecurityClassification" ma:displayName="Security Classification" ma:readOnly="false" ma:default="-1;#OFFICIAL - Sensitive|6eccc17f-024b-41b0-b6b1-faf98d2aff85" ma:fieldId="{d6093475-8bd4-4d46-b350-733ac9e6adc4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19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0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B0FDCA-FA23-48B9-8462-1A7F8ADA586E}">
  <ds:schemaRefs>
    <ds:schemaRef ds:uri="http://schemas.microsoft.com/sharepoint/v3/contenttype/forms"/>
  </ds:schemaRefs>
</ds:datastoreItem>
</file>

<file path=customXml/itemProps10.xml><?xml version="1.0" encoding="utf-8"?>
<ds:datastoreItem xmlns:ds="http://schemas.openxmlformats.org/officeDocument/2006/customXml" ds:itemID="{5228C792-E4F8-445F-B705-28BDD2A46A59}">
  <ds:schemaRefs>
    <ds:schemaRef ds:uri="http://schemas.microsoft.com/sharepoint/v3/contenttype/forms"/>
  </ds:schemaRefs>
</ds:datastoreItem>
</file>

<file path=customXml/itemProps11.xml><?xml version="1.0" encoding="utf-8"?>
<ds:datastoreItem xmlns:ds="http://schemas.openxmlformats.org/officeDocument/2006/customXml" ds:itemID="{C4EFACDA-B3EF-47D2-B154-682DC4E1454E}">
  <ds:schemaRefs>
    <ds:schemaRef ds:uri="http://schemas.microsoft.com/sharepoint/events"/>
  </ds:schemaRefs>
</ds:datastoreItem>
</file>

<file path=customXml/itemProps12.xml><?xml version="1.0" encoding="utf-8"?>
<ds:datastoreItem xmlns:ds="http://schemas.openxmlformats.org/officeDocument/2006/customXml" ds:itemID="{E5359053-D5CB-46AC-B08E-0BB1F5A2BBA0}">
  <ds:schemaRefs>
    <ds:schemaRef ds:uri="http://schemas.microsoft.com/sharepoint/v3/contenttype/forms"/>
  </ds:schemaRefs>
</ds:datastoreItem>
</file>

<file path=customXml/itemProps13.xml><?xml version="1.0" encoding="utf-8"?>
<ds:datastoreItem xmlns:ds="http://schemas.openxmlformats.org/officeDocument/2006/customXml" ds:itemID="{D2AE53F3-2154-4924-A787-B5263CAFA992}">
  <ds:schemaRefs>
    <ds:schemaRef ds:uri="http://schemas.microsoft.com/office/2006/metadata/longProperties"/>
  </ds:schemaRefs>
</ds:datastoreItem>
</file>

<file path=customXml/itemProps14.xml><?xml version="1.0" encoding="utf-8"?>
<ds:datastoreItem xmlns:ds="http://schemas.openxmlformats.org/officeDocument/2006/customXml" ds:itemID="{847ACFD9-3447-4C82-B05D-0F21FEAC9686}">
  <ds:schemaRefs>
    <ds:schemaRef ds:uri="http://schemas.microsoft.com/sharepoint/v3/contenttype/forms"/>
  </ds:schemaRefs>
</ds:datastoreItem>
</file>

<file path=customXml/itemProps15.xml><?xml version="1.0" encoding="utf-8"?>
<ds:datastoreItem xmlns:ds="http://schemas.openxmlformats.org/officeDocument/2006/customXml" ds:itemID="{57D6FE39-31C1-4776-BD4B-13A73AEF0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c34c7f6c-aaaf-45a3-a9eb-afe48db4d66e"/>
    <ds:schemaRef ds:uri="17f478ab-373e-4295-9ff0-9b833ad01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16.xml><?xml version="1.0" encoding="utf-8"?>
<ds:datastoreItem xmlns:ds="http://schemas.openxmlformats.org/officeDocument/2006/customXml" ds:itemID="{ADC854CF-1EC4-4B61-9DEF-15A6ADD8A260}">
  <ds:schemaRefs>
    <ds:schemaRef ds:uri="http://schemas.microsoft.com/office/2006/metadata/longProperties"/>
  </ds:schemaRefs>
</ds:datastoreItem>
</file>

<file path=customXml/itemProps17.xml><?xml version="1.0" encoding="utf-8"?>
<ds:datastoreItem xmlns:ds="http://schemas.openxmlformats.org/officeDocument/2006/customXml" ds:itemID="{43ABC3EE-593A-4962-88F6-D8463798B958}">
  <ds:schemaRefs>
    <ds:schemaRef ds:uri="http://schemas.microsoft.com/office/2006/metadata/longProperties"/>
  </ds:schemaRefs>
</ds:datastoreItem>
</file>

<file path=customXml/itemProps18.xml><?xml version="1.0" encoding="utf-8"?>
<ds:datastoreItem xmlns:ds="http://schemas.openxmlformats.org/officeDocument/2006/customXml" ds:itemID="{09936934-9F19-4D4B-8463-CE096E2956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9D53E8-336D-497C-9E82-52FCE35DEDF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F61E012-AD37-4DB5-8F56-CEC29F46C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c34c7f6c-aaaf-45a3-a9eb-afe48db4d66e"/>
    <ds:schemaRef ds:uri="17f478ab-373e-4295-9ff0-9b833ad01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BFE3A4-A137-4ED9-9E9F-E7BC76F2D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c34c7f6c-aaaf-45a3-a9eb-afe48db4d66e"/>
    <ds:schemaRef ds:uri="17f478ab-373e-4295-9ff0-9b833ad01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D926CDD-D2D7-4D63-92AC-A5E1C98F3A4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109A874-82EF-4B3C-BD08-70874318F8AC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17f478ab-373e-4295-9ff0-9b833ad01319"/>
    <ds:schemaRef ds:uri="c34c7f6c-aaaf-45a3-a9eb-afe48db4d66e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da7a9ac0-bc47-4684-84e6-3a8e9ac80c12"/>
    <ds:schemaRef ds:uri="http://purl.org/dc/elements/1.1/"/>
  </ds:schemaRefs>
</ds:datastoreItem>
</file>

<file path=customXml/itemProps7.xml><?xml version="1.0" encoding="utf-8"?>
<ds:datastoreItem xmlns:ds="http://schemas.openxmlformats.org/officeDocument/2006/customXml" ds:itemID="{6D85D411-9CE7-4642-8CF8-B66DEEEB6A31}">
  <ds:schemaRefs>
    <ds:schemaRef ds:uri="http://schemas.microsoft.com/sharepoint/events"/>
  </ds:schemaRefs>
</ds:datastoreItem>
</file>

<file path=customXml/itemProps8.xml><?xml version="1.0" encoding="utf-8"?>
<ds:datastoreItem xmlns:ds="http://schemas.openxmlformats.org/officeDocument/2006/customXml" ds:itemID="{DCA7B0FC-A6DD-480A-B2E1-B313455257E0}">
  <ds:schemaRefs>
    <ds:schemaRef ds:uri="http://schemas.microsoft.com/office/2006/metadata/longProperties"/>
  </ds:schemaRefs>
</ds:datastoreItem>
</file>

<file path=customXml/itemProps9.xml><?xml version="1.0" encoding="utf-8"?>
<ds:datastoreItem xmlns:ds="http://schemas.openxmlformats.org/officeDocument/2006/customXml" ds:itemID="{27B5CE00-8306-4B11-A6D6-9781BB9AB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c34c7f6c-aaaf-45a3-a9eb-afe48db4d66e"/>
    <ds:schemaRef ds:uri="17f478ab-373e-4295-9ff0-9b833ad01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</TotalTime>
  <Pages>5</Pages>
  <Words>1521</Words>
  <Characters>8673</Characters>
  <Application>Microsoft Office Word</Application>
  <DocSecurity>0</DocSecurity>
  <PresentationFormat/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Template (Explanatory Statement - Jan 2019).docx</vt:lpstr>
    </vt:vector>
  </TitlesOfParts>
  <Company>ASIC</Company>
  <LinksUpToDate>false</LinksUpToDate>
  <CharactersWithSpaces>10174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Template (Explanatory Statement - Jan 2019).docx</dc:title>
  <dc:subject/>
  <dc:creator>Chris Flanagan</dc:creator>
  <cp:keywords/>
  <cp:lastModifiedBy>Narelle Kane</cp:lastModifiedBy>
  <cp:revision>3</cp:revision>
  <cp:lastPrinted>2019-01-03T02:56:00Z</cp:lastPrinted>
  <dcterms:created xsi:type="dcterms:W3CDTF">2021-03-24T02:50:00Z</dcterms:created>
  <dcterms:modified xsi:type="dcterms:W3CDTF">2021-03-24T02:52:00Z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RecordPoint_WorkflowType">
    <vt:lpwstr>ActiveSubmitStub</vt:lpwstr>
  </property>
  <property fmtid="{D5CDD505-2E9C-101B-9397-08002B2CF9AE}" pid="40" name="RecordPoint_ActiveItemSiteId">
    <vt:lpwstr>{970ad2fa-f22f-46d1-9c2d-779d215cedf1}</vt:lpwstr>
  </property>
  <property fmtid="{D5CDD505-2E9C-101B-9397-08002B2CF9AE}" pid="41" name="RecordPoint_ActiveItemListId">
    <vt:lpwstr>{973aa0ce-f35d-47c5-8e2b-fd84519936d9}</vt:lpwstr>
  </property>
  <property fmtid="{D5CDD505-2E9C-101B-9397-08002B2CF9AE}" pid="42" name="RecordPoint_ActiveItemUniqueId">
    <vt:lpwstr>{e51a206a-3f17-463b-8280-d2bdd5e4705a}</vt:lpwstr>
  </property>
  <property fmtid="{D5CDD505-2E9C-101B-9397-08002B2CF9AE}" pid="43" name="RecordPoint_ActiveItemWebId">
    <vt:lpwstr>{c34c7f6c-aaaf-45a3-a9eb-afe48db4d66e}</vt:lpwstr>
  </property>
  <property fmtid="{D5CDD505-2E9C-101B-9397-08002B2CF9AE}" pid="44" name="IconOverlay">
    <vt:lpwstr/>
  </property>
  <property fmtid="{D5CDD505-2E9C-101B-9397-08002B2CF9AE}" pid="45" name="RecordPoint_SubmissionCompleted">
    <vt:lpwstr>2021-03-24T09:42:44.7105502+11:00</vt:lpwstr>
  </property>
  <property fmtid="{D5CDD505-2E9C-101B-9397-08002B2CF9AE}" pid="46" name="RecordPoint_RecordNumberSubmitted">
    <vt:lpwstr>R20210000177648</vt:lpwstr>
  </property>
  <property fmtid="{D5CDD505-2E9C-101B-9397-08002B2CF9AE}" pid="47" name="SecurityClassification">
    <vt:lpwstr>6;#Sensitive|19fd2cb8-3e97-4464-ae71-8c2c2095d028</vt:lpwstr>
  </property>
  <property fmtid="{D5CDD505-2E9C-101B-9397-08002B2CF9AE}" pid="48" name="Order">
    <vt:lpwstr>71900.0000000000</vt:lpwstr>
  </property>
  <property fmtid="{D5CDD505-2E9C-101B-9397-08002B2CF9AE}" pid="49" name="RecordPoint_SubmissionDate">
    <vt:lpwstr/>
  </property>
  <property fmtid="{D5CDD505-2E9C-101B-9397-08002B2CF9AE}" pid="50" name="RecordPoint_RecordFormat">
    <vt:lpwstr/>
  </property>
  <property fmtid="{D5CDD505-2E9C-101B-9397-08002B2CF9AE}" pid="51" name="ContentTypeId">
    <vt:lpwstr>0x010100B5F685A1365F544391EF8C813B164F3A00B58FBD548D6A2C4CB0057CE0D7E2D708</vt:lpwstr>
  </property>
  <property fmtid="{D5CDD505-2E9C-101B-9397-08002B2CF9AE}" pid="52" name="f947e1037e3e49619e55f8843e0f11fe">
    <vt:lpwstr>Sensitive|19fd2cb8-3e97-4464-ae71-8c2c2095d028</vt:lpwstr>
  </property>
</Properties>
</file>