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7EA28B64">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108C0CA7" w:rsidR="00D00EFA" w:rsidRDefault="00610F7F" w:rsidP="00D00EFA">
      <w:pPr>
        <w:pStyle w:val="ShortT"/>
      </w:pPr>
      <w:r>
        <w:t>Radiocommunications (Unacceptable Levels of Interference – 2.3 GHz Band) Amendment Determination 2021 (No. 1)</w:t>
      </w:r>
    </w:p>
    <w:p w14:paraId="030DF66D" w14:textId="77777777" w:rsidR="00D00EFA" w:rsidRDefault="00D00EFA" w:rsidP="00D00EFA">
      <w:pPr>
        <w:pStyle w:val="SignCoverPageStart"/>
        <w:spacing w:before="0" w:line="240" w:lineRule="auto"/>
        <w:rPr>
          <w:szCs w:val="22"/>
        </w:rPr>
      </w:pPr>
    </w:p>
    <w:p w14:paraId="49B35910" w14:textId="5DBBFA98" w:rsidR="00D00EFA" w:rsidRDefault="00D00EFA" w:rsidP="00D00EFA">
      <w:pPr>
        <w:pStyle w:val="SignCoverPageStart"/>
        <w:spacing w:before="0" w:line="240" w:lineRule="auto"/>
        <w:rPr>
          <w:szCs w:val="22"/>
        </w:rPr>
      </w:pPr>
      <w:r>
        <w:rPr>
          <w:szCs w:val="22"/>
        </w:rPr>
        <w:t xml:space="preserve">The Australian Communications and Media Authority makes the following determination under </w:t>
      </w:r>
      <w:r w:rsidR="002C4DC2">
        <w:t>subsection 145(4)</w:t>
      </w:r>
      <w:r>
        <w:t xml:space="preserve"> of the </w:t>
      </w:r>
      <w:r w:rsidR="002C4DC2">
        <w:rPr>
          <w:i/>
        </w:rPr>
        <w:t>Radiocommunications Act 1992</w:t>
      </w:r>
      <w:r>
        <w:t>.</w:t>
      </w:r>
    </w:p>
    <w:p w14:paraId="006C8DC4" w14:textId="3D40BD91"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D23FC7">
        <w:rPr>
          <w:rFonts w:ascii="Times New Roman" w:hAnsi="Times New Roman" w:cs="Times New Roman"/>
        </w:rPr>
        <w:t xml:space="preserve"> 22 March 2021</w:t>
      </w:r>
    </w:p>
    <w:p w14:paraId="7D7354BA" w14:textId="710F92FD" w:rsidR="00D23FC7" w:rsidRDefault="00526E5C" w:rsidP="00D23FC7">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5ADC729B" w14:textId="6815262F" w:rsidR="00D23FC7" w:rsidRDefault="00526E5C" w:rsidP="00D23FC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873F3D" w14:textId="0E66C772" w:rsidR="00D00EFA" w:rsidRDefault="00D00EFA" w:rsidP="00D23FC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17FE293F" w14:textId="20530C01" w:rsidR="00526E5C" w:rsidRDefault="00526E5C" w:rsidP="00D23FC7">
      <w:pPr>
        <w:tabs>
          <w:tab w:val="left" w:pos="3119"/>
        </w:tabs>
        <w:spacing w:after="0" w:line="300" w:lineRule="atLeast"/>
        <w:ind w:right="375"/>
        <w:jc w:val="right"/>
        <w:rPr>
          <w:rFonts w:ascii="Times New Roman" w:hAnsi="Times New Roman" w:cs="Times New Roman"/>
        </w:rPr>
      </w:pPr>
    </w:p>
    <w:p w14:paraId="2D004B6B" w14:textId="4DC62C0D" w:rsidR="00526E5C" w:rsidRDefault="00526E5C" w:rsidP="00D23FC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Brendan Byrne</w:t>
      </w:r>
    </w:p>
    <w:p w14:paraId="367EEE5E" w14:textId="5580FBAD" w:rsidR="00526E5C" w:rsidRDefault="00526E5C" w:rsidP="00D23FC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291F95A" w14:textId="77777777" w:rsidR="00D00EFA" w:rsidRDefault="00D00EFA" w:rsidP="00D23FC7">
      <w:pPr>
        <w:tabs>
          <w:tab w:val="left" w:pos="3119"/>
        </w:tabs>
        <w:spacing w:after="0" w:line="300" w:lineRule="atLeast"/>
        <w:ind w:right="375"/>
        <w:jc w:val="right"/>
        <w:rPr>
          <w:rFonts w:ascii="Times New Roman" w:hAnsi="Times New Roman" w:cs="Times New Roman"/>
        </w:rPr>
      </w:pPr>
      <w:r w:rsidRPr="00526E5C">
        <w:rPr>
          <w:rFonts w:ascii="Times New Roman" w:hAnsi="Times New Roman" w:cs="Times New Roman"/>
          <w:strike/>
        </w:rPr>
        <w:t>Member</w:t>
      </w:r>
      <w:r>
        <w:rPr>
          <w:rFonts w:ascii="Times New Roman" w:hAnsi="Times New Roman" w:cs="Times New Roman"/>
        </w:rPr>
        <w:t>/General Manager</w:t>
      </w:r>
      <w:bookmarkEnd w:id="1"/>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2" w:name="_Toc444596031"/>
      <w:proofErr w:type="gramStart"/>
      <w:r>
        <w:rPr>
          <w:rStyle w:val="CharSectno"/>
        </w:rPr>
        <w:lastRenderedPageBreak/>
        <w:t>1</w:t>
      </w:r>
      <w:r>
        <w:t xml:space="preserve">  Name</w:t>
      </w:r>
      <w:proofErr w:type="gramEnd"/>
    </w:p>
    <w:p w14:paraId="6D729A26" w14:textId="34F52008" w:rsidR="00D00EFA" w:rsidRDefault="00D00EFA" w:rsidP="00D00EFA">
      <w:pPr>
        <w:pStyle w:val="subsection"/>
      </w:pPr>
      <w:r>
        <w:tab/>
      </w:r>
      <w:r>
        <w:tab/>
        <w:t>This is the</w:t>
      </w:r>
      <w:r w:rsidR="00CA30DE">
        <w:rPr>
          <w:i/>
          <w:iCs/>
        </w:rPr>
        <w:t xml:space="preserve"> Radiocommunications (Unacceptable Levels of Interference) Amendment Determination 2021 (No. 1)</w:t>
      </w:r>
      <w:r>
        <w:t>.</w:t>
      </w:r>
    </w:p>
    <w:p w14:paraId="60908A15" w14:textId="77777777" w:rsidR="00D00EFA" w:rsidRDefault="00D00EFA" w:rsidP="00D00EFA">
      <w:pPr>
        <w:pStyle w:val="ActHead5"/>
      </w:pPr>
      <w:bookmarkStart w:id="3" w:name="_Toc444596032"/>
      <w:proofErr w:type="gramStart"/>
      <w:r>
        <w:rPr>
          <w:rStyle w:val="CharSectno"/>
        </w:rPr>
        <w:t>2</w:t>
      </w:r>
      <w:r>
        <w:t xml:space="preserve">  Commencement</w:t>
      </w:r>
      <w:bookmarkEnd w:id="3"/>
      <w:proofErr w:type="gramEnd"/>
    </w:p>
    <w:p w14:paraId="240E1F39" w14:textId="77777777" w:rsidR="00D00EFA" w:rsidRDefault="00D00EFA" w:rsidP="00D00EFA">
      <w:pPr>
        <w:pStyle w:val="subsection"/>
      </w:pPr>
      <w:r>
        <w:tab/>
      </w:r>
      <w:r>
        <w:tab/>
        <w:t xml:space="preserve">This instrument commences at the start of the day after the day it is registered on the Federal Register of Legislation.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77EA035F" w14:textId="77777777" w:rsidR="00D00EFA" w:rsidRDefault="00D00EFA" w:rsidP="00D00EFA">
      <w:pPr>
        <w:pStyle w:val="ActHead5"/>
      </w:pPr>
      <w:bookmarkStart w:id="4" w:name="_Toc444596033"/>
      <w:proofErr w:type="gramStart"/>
      <w:r>
        <w:rPr>
          <w:rStyle w:val="CharSectno"/>
        </w:rPr>
        <w:t>3</w:t>
      </w:r>
      <w:r>
        <w:t xml:space="preserve">  Authority</w:t>
      </w:r>
      <w:bookmarkEnd w:id="4"/>
      <w:proofErr w:type="gramEnd"/>
    </w:p>
    <w:p w14:paraId="67903CDC" w14:textId="51F70F05" w:rsidR="00D00EFA" w:rsidRDefault="00D00EFA" w:rsidP="00D00EFA">
      <w:pPr>
        <w:pStyle w:val="subsection"/>
      </w:pPr>
      <w:r>
        <w:tab/>
      </w:r>
      <w:r>
        <w:tab/>
        <w:t xml:space="preserve">This instrument is made under </w:t>
      </w:r>
      <w:r w:rsidR="00E758CF">
        <w:t>subsection 145(4)</w:t>
      </w:r>
      <w:r>
        <w:t xml:space="preserve"> of the </w:t>
      </w:r>
      <w:r w:rsidR="00E758CF">
        <w:rPr>
          <w:i/>
        </w:rPr>
        <w:t>Radiocommunications Act 1992</w:t>
      </w:r>
      <w:r>
        <w:t>.</w:t>
      </w:r>
    </w:p>
    <w:p w14:paraId="237BACC0" w14:textId="77777777" w:rsidR="00D00EFA" w:rsidRDefault="00D00EFA" w:rsidP="00D00EFA">
      <w:pPr>
        <w:pStyle w:val="ActHead5"/>
      </w:pPr>
      <w:bookmarkStart w:id="5" w:name="_Toc444596034"/>
      <w:proofErr w:type="gramStart"/>
      <w:r>
        <w:t>4  Amendments</w:t>
      </w:r>
      <w:proofErr w:type="gramEnd"/>
    </w:p>
    <w:p w14:paraId="5A9EF9A5" w14:textId="77777777"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5"/>
    <w:p w14:paraId="1FDC1C1D" w14:textId="77777777" w:rsidR="00D00EFA" w:rsidRDefault="00D00EFA" w:rsidP="00D00EFA">
      <w:pPr>
        <w:pStyle w:val="notetext"/>
      </w:pPr>
      <w:r>
        <w:t xml:space="preserve"> </w:t>
      </w:r>
    </w:p>
    <w:bookmarkEnd w:id="2"/>
    <w:p w14:paraId="52C445BC" w14:textId="77777777" w:rsidR="00D00EFA" w:rsidRDefault="00D00EFA" w:rsidP="00D00EFA">
      <w:pPr>
        <w:spacing w:after="0"/>
        <w:rPr>
          <w:rFonts w:ascii="Times New Roman" w:hAnsi="Times New Roman" w:cs="Times New Roman"/>
          <w:b/>
          <w:sz w:val="24"/>
          <w:szCs w:val="24"/>
        </w:rPr>
      </w:pPr>
    </w:p>
    <w:p w14:paraId="19C8CD25" w14:textId="77777777" w:rsidR="00713DAD" w:rsidRPr="00713DAD" w:rsidRDefault="00713DAD" w:rsidP="00713DAD">
      <w:pPr>
        <w:rPr>
          <w:rFonts w:ascii="Times New Roman" w:hAnsi="Times New Roman" w:cs="Times New Roman"/>
          <w:sz w:val="24"/>
          <w:szCs w:val="24"/>
        </w:rPr>
      </w:pPr>
    </w:p>
    <w:p w14:paraId="1A705CBB" w14:textId="77777777" w:rsidR="00713DAD" w:rsidRPr="00713DAD" w:rsidRDefault="00713DAD" w:rsidP="00713DAD">
      <w:pPr>
        <w:rPr>
          <w:rFonts w:ascii="Times New Roman" w:hAnsi="Times New Roman" w:cs="Times New Roman"/>
          <w:sz w:val="24"/>
          <w:szCs w:val="24"/>
        </w:rPr>
      </w:pPr>
    </w:p>
    <w:p w14:paraId="606AA8D4" w14:textId="77777777" w:rsidR="00713DAD" w:rsidRPr="00713DAD" w:rsidRDefault="00713DAD" w:rsidP="00713DAD">
      <w:pPr>
        <w:rPr>
          <w:rFonts w:ascii="Times New Roman" w:hAnsi="Times New Roman" w:cs="Times New Roman"/>
          <w:sz w:val="24"/>
          <w:szCs w:val="24"/>
        </w:rPr>
      </w:pPr>
    </w:p>
    <w:p w14:paraId="67CA411E" w14:textId="77777777" w:rsidR="00713DAD" w:rsidRPr="00713DAD" w:rsidRDefault="00713DAD" w:rsidP="00713DAD">
      <w:pPr>
        <w:rPr>
          <w:rFonts w:ascii="Times New Roman" w:hAnsi="Times New Roman" w:cs="Times New Roman"/>
          <w:sz w:val="24"/>
          <w:szCs w:val="24"/>
        </w:rPr>
      </w:pPr>
    </w:p>
    <w:p w14:paraId="583DE10C" w14:textId="77777777" w:rsidR="00713DAD" w:rsidRPr="00713DAD" w:rsidRDefault="00713DAD" w:rsidP="00713DAD">
      <w:pPr>
        <w:rPr>
          <w:rFonts w:ascii="Times New Roman" w:hAnsi="Times New Roman" w:cs="Times New Roman"/>
          <w:sz w:val="24"/>
          <w:szCs w:val="24"/>
        </w:rPr>
      </w:pPr>
    </w:p>
    <w:p w14:paraId="744A1B59" w14:textId="5DB3481D" w:rsidR="00713DAD" w:rsidRPr="00713DAD" w:rsidRDefault="00713DAD" w:rsidP="001F6896">
      <w:pPr>
        <w:rPr>
          <w:rFonts w:ascii="Times New Roman" w:hAnsi="Times New Roman" w:cs="Times New Roman"/>
          <w:sz w:val="24"/>
          <w:szCs w:val="24"/>
        </w:rPr>
      </w:pPr>
    </w:p>
    <w:p w14:paraId="06863FA8" w14:textId="77777777" w:rsidR="00713DAD" w:rsidRPr="00713DAD" w:rsidRDefault="00713DAD" w:rsidP="00713DAD">
      <w:pPr>
        <w:rPr>
          <w:rFonts w:ascii="Times New Roman" w:hAnsi="Times New Roman" w:cs="Times New Roman"/>
          <w:sz w:val="24"/>
          <w:szCs w:val="24"/>
        </w:rPr>
      </w:pPr>
    </w:p>
    <w:p w14:paraId="11EA0658" w14:textId="594279F3" w:rsidR="00713DAD" w:rsidRDefault="00713DAD" w:rsidP="00713DAD">
      <w:pPr>
        <w:tabs>
          <w:tab w:val="left" w:pos="2085"/>
        </w:tabs>
        <w:rPr>
          <w:rFonts w:ascii="Times New Roman" w:hAnsi="Times New Roman" w:cs="Times New Roman"/>
          <w:b/>
          <w:sz w:val="24"/>
          <w:szCs w:val="24"/>
        </w:rPr>
      </w:pPr>
      <w:r>
        <w:rPr>
          <w:rFonts w:ascii="Times New Roman" w:hAnsi="Times New Roman" w:cs="Times New Roman"/>
          <w:b/>
          <w:sz w:val="24"/>
          <w:szCs w:val="24"/>
        </w:rPr>
        <w:tab/>
      </w:r>
    </w:p>
    <w:p w14:paraId="5A2F50F6" w14:textId="0347CBFE" w:rsidR="00713DAD" w:rsidRPr="00713DAD" w:rsidRDefault="00713DAD" w:rsidP="00713DAD">
      <w:pPr>
        <w:tabs>
          <w:tab w:val="left" w:pos="2085"/>
        </w:tabs>
        <w:rPr>
          <w:rFonts w:ascii="Times New Roman" w:hAnsi="Times New Roman" w:cs="Times New Roman"/>
          <w:sz w:val="24"/>
          <w:szCs w:val="24"/>
        </w:rPr>
        <w:sectPr w:rsidR="00713DAD" w:rsidRPr="00713DAD">
          <w:headerReference w:type="even" r:id="rId14"/>
          <w:headerReference w:type="default" r:id="rId15"/>
          <w:footerReference w:type="default" r:id="rId16"/>
          <w:headerReference w:type="first" r:id="rId17"/>
          <w:pgSz w:w="11906" w:h="16838"/>
          <w:pgMar w:top="1440" w:right="1440" w:bottom="1440" w:left="1440" w:header="708" w:footer="708" w:gutter="0"/>
          <w:pgNumType w:start="1"/>
          <w:cols w:space="720"/>
        </w:sectPr>
      </w:pPr>
      <w:r>
        <w:rPr>
          <w:rFonts w:ascii="Times New Roman" w:hAnsi="Times New Roman" w:cs="Times New Roman"/>
          <w:sz w:val="24"/>
          <w:szCs w:val="24"/>
        </w:rPr>
        <w:tab/>
      </w:r>
    </w:p>
    <w:p w14:paraId="4C167BD2" w14:textId="77777777"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1598FF2F" w14:textId="4BCEC342" w:rsidR="00D00EFA" w:rsidRPr="00E758CF" w:rsidRDefault="00E758CF" w:rsidP="00D00EFA">
      <w:pPr>
        <w:pStyle w:val="ActHead9"/>
        <w:ind w:left="0" w:firstLine="0"/>
      </w:pPr>
      <w:bookmarkStart w:id="6" w:name="_Toc444596036"/>
      <w:r>
        <w:t>Radiocommunications (Unacceptable Levels of Interference – 2.3 GHz Band) Determination 2013</w:t>
      </w:r>
      <w:r w:rsidR="00D00EFA" w:rsidRPr="00E758CF">
        <w:rPr>
          <w:szCs w:val="28"/>
        </w:rPr>
        <w:t xml:space="preserve"> (F201</w:t>
      </w:r>
      <w:r>
        <w:rPr>
          <w:szCs w:val="28"/>
        </w:rPr>
        <w:t>3</w:t>
      </w:r>
      <w:r w:rsidR="00D00EFA" w:rsidRPr="00E758CF">
        <w:rPr>
          <w:szCs w:val="28"/>
        </w:rPr>
        <w:t>L</w:t>
      </w:r>
      <w:r>
        <w:rPr>
          <w:szCs w:val="28"/>
        </w:rPr>
        <w:t>02155</w:t>
      </w:r>
      <w:r w:rsidR="00D00EFA" w:rsidRPr="00E758CF">
        <w:rPr>
          <w:szCs w:val="28"/>
        </w:rPr>
        <w:t>)</w:t>
      </w:r>
    </w:p>
    <w:p w14:paraId="29826406" w14:textId="00316CAF" w:rsidR="00D00EFA" w:rsidRPr="00E758CF" w:rsidRDefault="00D00EFA" w:rsidP="00D00EFA">
      <w:pPr>
        <w:pStyle w:val="ItemHead"/>
      </w:pPr>
      <w:proofErr w:type="gramStart"/>
      <w:r w:rsidRPr="00E758CF">
        <w:t xml:space="preserve">1  </w:t>
      </w:r>
      <w:r w:rsidR="008575A8">
        <w:t>Subsection</w:t>
      </w:r>
      <w:proofErr w:type="gramEnd"/>
      <w:r w:rsidR="008575A8">
        <w:t xml:space="preserve"> 5(1)</w:t>
      </w:r>
    </w:p>
    <w:p w14:paraId="0A440BA1" w14:textId="499425A8" w:rsidR="00D00EFA" w:rsidRDefault="008575A8" w:rsidP="00D00EFA">
      <w:pPr>
        <w:pStyle w:val="Item"/>
      </w:pPr>
      <w:r>
        <w:t>Insert:</w:t>
      </w:r>
    </w:p>
    <w:p w14:paraId="7ED912CE" w14:textId="43681DED" w:rsidR="00BA0633" w:rsidRDefault="003175E5" w:rsidP="00E54B76">
      <w:pPr>
        <w:pStyle w:val="Definition"/>
        <w:rPr>
          <w:bCs/>
          <w:iCs/>
        </w:rPr>
      </w:pPr>
      <w:r>
        <w:rPr>
          <w:b/>
          <w:i/>
        </w:rPr>
        <w:t>active antenna system</w:t>
      </w:r>
      <w:r w:rsidRPr="001064DD">
        <w:rPr>
          <w:bCs/>
          <w:iCs/>
        </w:rPr>
        <w:t xml:space="preserve"> or</w:t>
      </w:r>
      <w:r>
        <w:rPr>
          <w:b/>
          <w:i/>
        </w:rPr>
        <w:t xml:space="preserve"> AAS </w:t>
      </w:r>
      <w:r>
        <w:rPr>
          <w:bCs/>
          <w:iCs/>
        </w:rPr>
        <w:t>means a base station antenna system where the amplitude and/or phase between antenna elements is continually adjusted, resulting in an antenna pattern that varies in response to short term changes in the radio environment.</w:t>
      </w:r>
    </w:p>
    <w:p w14:paraId="04F6B390" w14:textId="705E7BDD" w:rsidR="00A5497D" w:rsidRPr="00B068AD" w:rsidRDefault="00A5497D" w:rsidP="00A5497D">
      <w:pPr>
        <w:pStyle w:val="Definition"/>
        <w:rPr>
          <w:bCs/>
          <w:iCs/>
        </w:rPr>
      </w:pPr>
      <w:r>
        <w:rPr>
          <w:b/>
          <w:i/>
        </w:rPr>
        <w:t>Australian territorial sea baseline</w:t>
      </w:r>
      <w:r>
        <w:rPr>
          <w:bCs/>
          <w:iCs/>
        </w:rPr>
        <w:t xml:space="preserve"> means the baseline from which the breadth of the territorial sea, or any part of the territorial sea, is to be measured under section 7 of the </w:t>
      </w:r>
      <w:r>
        <w:rPr>
          <w:bCs/>
          <w:i/>
        </w:rPr>
        <w:t>Seas and Submerged Lands Act 1973</w:t>
      </w:r>
      <w:r>
        <w:rPr>
          <w:bCs/>
          <w:iCs/>
        </w:rPr>
        <w:t>.</w:t>
      </w:r>
    </w:p>
    <w:p w14:paraId="6F7EE3F8" w14:textId="0C9EFB26" w:rsidR="00D00EFA" w:rsidRPr="00451EA7" w:rsidRDefault="00D00EFA" w:rsidP="00D00EFA">
      <w:pPr>
        <w:pStyle w:val="ItemHead"/>
        <w:rPr>
          <w:i/>
          <w:iCs/>
        </w:rPr>
      </w:pPr>
      <w:proofErr w:type="gramStart"/>
      <w:r w:rsidRPr="00E758CF">
        <w:t xml:space="preserve">2  </w:t>
      </w:r>
      <w:r w:rsidR="009B114C">
        <w:t>Subsection</w:t>
      </w:r>
      <w:proofErr w:type="gramEnd"/>
      <w:r w:rsidR="009B114C">
        <w:t xml:space="preserve"> 5(1), definition</w:t>
      </w:r>
      <w:r w:rsidR="00451EA7">
        <w:t>s</w:t>
      </w:r>
      <w:r w:rsidR="009B114C">
        <w:t xml:space="preserve"> of </w:t>
      </w:r>
      <w:r w:rsidR="009B114C">
        <w:rPr>
          <w:i/>
          <w:iCs/>
        </w:rPr>
        <w:t>DEM-9S</w:t>
      </w:r>
      <w:r w:rsidR="00451EA7">
        <w:rPr>
          <w:b w:val="0"/>
          <w:bCs/>
        </w:rPr>
        <w:t xml:space="preserve"> and </w:t>
      </w:r>
      <w:r w:rsidR="00451EA7">
        <w:rPr>
          <w:i/>
          <w:iCs/>
        </w:rPr>
        <w:t>DEM-9S cell</w:t>
      </w:r>
    </w:p>
    <w:p w14:paraId="71FCA20B" w14:textId="5D9C98B2" w:rsidR="00D00EFA" w:rsidRDefault="009B114C" w:rsidP="00D00EFA">
      <w:pPr>
        <w:pStyle w:val="Item"/>
      </w:pPr>
      <w:r>
        <w:t>Repeal the definition</w:t>
      </w:r>
      <w:r w:rsidR="00451EA7">
        <w:t>s</w:t>
      </w:r>
      <w:r>
        <w:t>, substitute:</w:t>
      </w:r>
    </w:p>
    <w:p w14:paraId="2C9B626E" w14:textId="77777777" w:rsidR="00451EA7" w:rsidRDefault="00451EA7" w:rsidP="00451EA7">
      <w:pPr>
        <w:pStyle w:val="Definition"/>
        <w:rPr>
          <w:iCs/>
        </w:rPr>
      </w:pPr>
      <w:r>
        <w:rPr>
          <w:b/>
          <w:bCs/>
          <w:i/>
        </w:rPr>
        <w:t xml:space="preserve">DEM-3S </w:t>
      </w:r>
      <w:r>
        <w:rPr>
          <w:iCs/>
        </w:rPr>
        <w:t>means the dataset:</w:t>
      </w:r>
    </w:p>
    <w:p w14:paraId="601BE023" w14:textId="77777777" w:rsidR="00451EA7" w:rsidRDefault="00451EA7" w:rsidP="00451EA7">
      <w:pPr>
        <w:pStyle w:val="paragraph"/>
        <w:tabs>
          <w:tab w:val="left" w:pos="720"/>
        </w:tabs>
        <w:ind w:hanging="510"/>
        <w:rPr>
          <w:iCs/>
        </w:rPr>
      </w:pPr>
      <w:r>
        <w:rPr>
          <w:iCs/>
        </w:rPr>
        <w:tab/>
        <w:t>(a)</w:t>
      </w:r>
      <w:r>
        <w:rPr>
          <w:iCs/>
        </w:rPr>
        <w:tab/>
        <w:t xml:space="preserve">with </w:t>
      </w:r>
      <w:r>
        <w:t>the</w:t>
      </w:r>
      <w:r>
        <w:rPr>
          <w:iCs/>
        </w:rPr>
        <w:t xml:space="preserve"> citation “Gallant, J., Wilson, N., Tickle, P.K., Dowling, T., Read A. 2009. 3 Second SRTM Derived Digital Elevation Model (DEM) Version 1.0. Record 1.0. Geoscience Australia, Canberra”; and</w:t>
      </w:r>
    </w:p>
    <w:p w14:paraId="2872982D" w14:textId="6838E98E" w:rsidR="00451EA7" w:rsidRDefault="00451EA7" w:rsidP="00451EA7">
      <w:pPr>
        <w:pStyle w:val="paragraph"/>
        <w:tabs>
          <w:tab w:val="left" w:pos="720"/>
        </w:tabs>
        <w:ind w:hanging="510"/>
        <w:rPr>
          <w:iCs/>
        </w:rPr>
      </w:pPr>
      <w:bookmarkStart w:id="7" w:name="_Hlk55981225"/>
      <w:r>
        <w:rPr>
          <w:iCs/>
        </w:rPr>
        <w:tab/>
        <w:t>(b)</w:t>
      </w:r>
      <w:r>
        <w:rPr>
          <w:iCs/>
        </w:rPr>
        <w:tab/>
        <w:t>given the persistent identifier</w:t>
      </w:r>
      <w:r w:rsidR="008A3860">
        <w:rPr>
          <w:iCs/>
        </w:rPr>
        <w:t xml:space="preserve"> </w:t>
      </w:r>
      <w:hyperlink r:id="rId18" w:history="1">
        <w:r w:rsidR="003A590D" w:rsidRPr="00082509">
          <w:rPr>
            <w:rStyle w:val="Hyperlink"/>
            <w:iCs/>
          </w:rPr>
          <w:t>http://pid.geoscience.gov.au/dataset/ga/69888</w:t>
        </w:r>
      </w:hyperlink>
      <w:r w:rsidR="00BE300E">
        <w:rPr>
          <w:iCs/>
        </w:rPr>
        <w:t>;</w:t>
      </w:r>
      <w:bookmarkEnd w:id="7"/>
    </w:p>
    <w:p w14:paraId="036EBBF2" w14:textId="77777777" w:rsidR="00451EA7" w:rsidRDefault="00451EA7" w:rsidP="00451EA7">
      <w:pPr>
        <w:pStyle w:val="Definition"/>
        <w:keepNext/>
        <w:spacing w:before="120"/>
        <w:rPr>
          <w:iCs/>
        </w:rPr>
      </w:pPr>
      <w:r>
        <w:rPr>
          <w:iCs/>
        </w:rPr>
        <w:t>containing modelled terrain height information for Australia, published by Geoscience Australia.</w:t>
      </w:r>
    </w:p>
    <w:p w14:paraId="4A2CE258" w14:textId="553EC8D6" w:rsidR="00451EA7" w:rsidRDefault="00451EA7" w:rsidP="00451EA7">
      <w:pPr>
        <w:pStyle w:val="notetext"/>
        <w:rPr>
          <w:iCs/>
        </w:rPr>
      </w:pPr>
      <w:r w:rsidRPr="00717618">
        <w:rPr>
          <w:i/>
        </w:rPr>
        <w:t>Note</w:t>
      </w:r>
      <w:r>
        <w:rPr>
          <w:iCs/>
        </w:rPr>
        <w:t>:</w:t>
      </w:r>
      <w:r>
        <w:rPr>
          <w:iCs/>
        </w:rPr>
        <w:tab/>
        <w:t xml:space="preserve">Copies of DEM-3S can be obtained, free of charge, </w:t>
      </w:r>
      <w:r w:rsidR="009A4AA5">
        <w:rPr>
          <w:iCs/>
        </w:rPr>
        <w:t xml:space="preserve">using the persistent identifier. More information about DEM-3S can be obtained </w:t>
      </w:r>
      <w:r>
        <w:rPr>
          <w:iCs/>
        </w:rPr>
        <w:t xml:space="preserve">from the Geoscience Australia website: </w:t>
      </w:r>
      <w:hyperlink r:id="rId19" w:history="1">
        <w:r>
          <w:rPr>
            <w:rStyle w:val="Hyperlink"/>
            <w:iCs/>
          </w:rPr>
          <w:t>www.ga.gov.au</w:t>
        </w:r>
      </w:hyperlink>
      <w:r>
        <w:rPr>
          <w:iCs/>
        </w:rPr>
        <w:t xml:space="preserve">. </w:t>
      </w:r>
    </w:p>
    <w:p w14:paraId="19B81DC9" w14:textId="77777777" w:rsidR="001707AD" w:rsidRDefault="001707AD" w:rsidP="001707AD">
      <w:pPr>
        <w:pStyle w:val="Definition"/>
        <w:rPr>
          <w:bCs/>
          <w:iCs/>
        </w:rPr>
      </w:pPr>
      <w:r>
        <w:rPr>
          <w:b/>
          <w:i/>
        </w:rPr>
        <w:t xml:space="preserve">DEM-3S cell </w:t>
      </w:r>
      <w:r>
        <w:rPr>
          <w:bCs/>
          <w:iCs/>
        </w:rPr>
        <w:t>means an individual height element of the DEM-3S.</w:t>
      </w:r>
    </w:p>
    <w:p w14:paraId="4B3BC6E6" w14:textId="366AD4BA" w:rsidR="00271F90" w:rsidRPr="00980C2B" w:rsidRDefault="00573F09" w:rsidP="00271F90">
      <w:pPr>
        <w:pStyle w:val="ItemHead"/>
      </w:pPr>
      <w:proofErr w:type="gramStart"/>
      <w:r>
        <w:t>3</w:t>
      </w:r>
      <w:r w:rsidR="00271F90" w:rsidRPr="00E758CF">
        <w:t xml:space="preserve">  </w:t>
      </w:r>
      <w:r w:rsidR="00271F90">
        <w:t>Subsection</w:t>
      </w:r>
      <w:proofErr w:type="gramEnd"/>
      <w:r w:rsidR="00271F90">
        <w:t xml:space="preserve"> 5(1)</w:t>
      </w:r>
    </w:p>
    <w:p w14:paraId="4F4A39EC" w14:textId="77777777" w:rsidR="00271F90" w:rsidRDefault="00271F90" w:rsidP="00271F90">
      <w:pPr>
        <w:pStyle w:val="Item"/>
      </w:pPr>
      <w:r>
        <w:t>Insert:</w:t>
      </w:r>
    </w:p>
    <w:p w14:paraId="24B1E966" w14:textId="6A3F848F" w:rsidR="00A86D52" w:rsidRDefault="00A86D52" w:rsidP="00A86D52">
      <w:pPr>
        <w:pStyle w:val="Definition"/>
        <w:rPr>
          <w:bCs/>
          <w:iCs/>
        </w:rPr>
      </w:pPr>
      <w:r>
        <w:rPr>
          <w:b/>
          <w:i/>
        </w:rPr>
        <w:t xml:space="preserve">group of radiocommunications receivers </w:t>
      </w:r>
      <w:r>
        <w:rPr>
          <w:bCs/>
          <w:iCs/>
        </w:rPr>
        <w:t>has the meaning given by section 8.</w:t>
      </w:r>
    </w:p>
    <w:p w14:paraId="5853AA5F" w14:textId="76960609" w:rsidR="00A86D52" w:rsidRDefault="00A86D52" w:rsidP="00A86D52">
      <w:pPr>
        <w:pStyle w:val="Definition"/>
        <w:rPr>
          <w:bCs/>
          <w:iCs/>
        </w:rPr>
      </w:pPr>
      <w:r>
        <w:rPr>
          <w:b/>
          <w:i/>
        </w:rPr>
        <w:t xml:space="preserve">group of radiocommunications transmitters </w:t>
      </w:r>
      <w:r>
        <w:rPr>
          <w:bCs/>
          <w:iCs/>
        </w:rPr>
        <w:t>has the meaning given by section 7.</w:t>
      </w:r>
    </w:p>
    <w:p w14:paraId="6D4DFF42" w14:textId="229731F4" w:rsidR="003E41BB" w:rsidRPr="004D52BB" w:rsidRDefault="003E41BB" w:rsidP="003E41BB">
      <w:pPr>
        <w:pStyle w:val="Definition"/>
        <w:rPr>
          <w:bCs/>
          <w:iCs/>
        </w:rPr>
      </w:pPr>
      <w:r>
        <w:rPr>
          <w:b/>
          <w:i/>
        </w:rPr>
        <w:t>HCIS identifier</w:t>
      </w:r>
      <w:r>
        <w:rPr>
          <w:bCs/>
          <w:iCs/>
        </w:rPr>
        <w:t xml:space="preserve"> means an identifier used to describe a geographic area in the HCIS.</w:t>
      </w:r>
    </w:p>
    <w:p w14:paraId="14D97FDB" w14:textId="3A83E75C" w:rsidR="009108F8" w:rsidRPr="00E20FD8" w:rsidRDefault="00564AF6" w:rsidP="00980C2B">
      <w:pPr>
        <w:pStyle w:val="Definition"/>
        <w:rPr>
          <w:iCs/>
          <w:szCs w:val="22"/>
        </w:rPr>
      </w:pPr>
      <w:r>
        <w:rPr>
          <w:b/>
          <w:i/>
        </w:rPr>
        <w:t>h</w:t>
      </w:r>
      <w:r w:rsidR="003E41BB">
        <w:rPr>
          <w:b/>
          <w:i/>
        </w:rPr>
        <w:t>ierarchical cell identification scheme</w:t>
      </w:r>
      <w:r w:rsidR="003E41BB" w:rsidRPr="004D52BB">
        <w:rPr>
          <w:bCs/>
          <w:iCs/>
        </w:rPr>
        <w:t xml:space="preserve"> or </w:t>
      </w:r>
      <w:r w:rsidR="003E41BB">
        <w:rPr>
          <w:b/>
          <w:i/>
        </w:rPr>
        <w:t xml:space="preserve">HCIS </w:t>
      </w:r>
      <w:r w:rsidR="003E41BB">
        <w:rPr>
          <w:bCs/>
          <w:iCs/>
        </w:rPr>
        <w:t>means the cell grouping hierarchy scheme used to describe areas in the Australian Spectrum Map Grid.</w:t>
      </w:r>
    </w:p>
    <w:p w14:paraId="4A5A656A" w14:textId="77777777" w:rsidR="0065457B" w:rsidRDefault="0065457B" w:rsidP="0065457B">
      <w:pPr>
        <w:pStyle w:val="Definition"/>
      </w:pPr>
      <w:r>
        <w:rPr>
          <w:b/>
          <w:bCs/>
          <w:i/>
          <w:iCs/>
        </w:rPr>
        <w:t xml:space="preserve">Recommendation ITU-R P.525-4 </w:t>
      </w:r>
      <w:r>
        <w:t>means the ITU-R Recommendation “P.525-4 Calculation of free-space attenuation” published by the ITU.</w:t>
      </w:r>
    </w:p>
    <w:p w14:paraId="08F16BDA" w14:textId="77777777" w:rsidR="0065457B" w:rsidRDefault="0065457B" w:rsidP="0065457B">
      <w:pPr>
        <w:pStyle w:val="notetext"/>
      </w:pPr>
      <w:r w:rsidRPr="00717618">
        <w:rPr>
          <w:i/>
          <w:iCs/>
        </w:rPr>
        <w:t>Note</w:t>
      </w:r>
      <w:r>
        <w:t>:</w:t>
      </w:r>
      <w:r>
        <w:tab/>
        <w:t xml:space="preserve">Copies of Recommendation ITU-R P.525-4 can be obtained, free of charge, from the ITU website: </w:t>
      </w:r>
      <w:hyperlink r:id="rId20" w:history="1">
        <w:r>
          <w:rPr>
            <w:rStyle w:val="Hyperlink"/>
          </w:rPr>
          <w:t>www.itu.int</w:t>
        </w:r>
      </w:hyperlink>
      <w:r>
        <w:t>.</w:t>
      </w:r>
    </w:p>
    <w:p w14:paraId="30C0DC23" w14:textId="504704D1" w:rsidR="00087A0E" w:rsidRPr="001707AD" w:rsidRDefault="00573F09" w:rsidP="00105C8B">
      <w:pPr>
        <w:pStyle w:val="ItemHead"/>
        <w:rPr>
          <w:i/>
          <w:iCs/>
        </w:rPr>
      </w:pPr>
      <w:proofErr w:type="gramStart"/>
      <w:r>
        <w:lastRenderedPageBreak/>
        <w:t>4</w:t>
      </w:r>
      <w:r w:rsidR="00087A0E" w:rsidRPr="00E758CF">
        <w:t xml:space="preserve">  </w:t>
      </w:r>
      <w:r w:rsidR="00087A0E">
        <w:t>Subsection</w:t>
      </w:r>
      <w:proofErr w:type="gramEnd"/>
      <w:r w:rsidR="00087A0E">
        <w:t xml:space="preserve"> 5(1), definition of </w:t>
      </w:r>
      <w:r w:rsidR="0065457B">
        <w:rPr>
          <w:i/>
          <w:iCs/>
        </w:rPr>
        <w:t>Recommendation ITU-R P.526-12</w:t>
      </w:r>
    </w:p>
    <w:p w14:paraId="71C9E5AE" w14:textId="77777777" w:rsidR="00087A0E" w:rsidRDefault="00087A0E" w:rsidP="00717618">
      <w:pPr>
        <w:pStyle w:val="Item"/>
        <w:keepNext/>
      </w:pPr>
      <w:r>
        <w:t>Repeal the definition, substitute:</w:t>
      </w:r>
    </w:p>
    <w:p w14:paraId="401D34A6" w14:textId="77777777" w:rsidR="00B9083A" w:rsidRDefault="00B9083A" w:rsidP="00B9083A">
      <w:pPr>
        <w:pStyle w:val="Definition"/>
      </w:pPr>
      <w:r>
        <w:rPr>
          <w:b/>
          <w:bCs/>
          <w:i/>
          <w:iCs/>
        </w:rPr>
        <w:t xml:space="preserve">Recommendation ITU-R P.526-15 </w:t>
      </w:r>
      <w:r>
        <w:t>means the ITU-R Recommendation “P.526-15 Propagation by diffraction” published by the ITU.</w:t>
      </w:r>
    </w:p>
    <w:p w14:paraId="3B7993CE" w14:textId="77777777" w:rsidR="00B9083A" w:rsidRDefault="00B9083A" w:rsidP="00B9083A">
      <w:pPr>
        <w:pStyle w:val="notetext"/>
      </w:pPr>
      <w:r>
        <w:t>Note:</w:t>
      </w:r>
      <w:r>
        <w:tab/>
        <w:t xml:space="preserve">Copies of Recommendation ITU-R P.526-15 can be obtained, free of charge, from the ITU website: </w:t>
      </w:r>
      <w:hyperlink r:id="rId21" w:history="1">
        <w:r>
          <w:rPr>
            <w:rStyle w:val="Hyperlink"/>
          </w:rPr>
          <w:t>www.itu.int</w:t>
        </w:r>
      </w:hyperlink>
      <w:r>
        <w:t>.</w:t>
      </w:r>
    </w:p>
    <w:p w14:paraId="2932C7EB" w14:textId="4F909E31" w:rsidR="00B9083A" w:rsidRPr="00B23F0E" w:rsidRDefault="00573F09" w:rsidP="00B9083A">
      <w:pPr>
        <w:pStyle w:val="ItemHead"/>
      </w:pPr>
      <w:proofErr w:type="gramStart"/>
      <w:r>
        <w:t>5</w:t>
      </w:r>
      <w:r w:rsidR="00B9083A" w:rsidRPr="00E758CF">
        <w:t xml:space="preserve">  </w:t>
      </w:r>
      <w:r w:rsidR="00B9083A">
        <w:t>Subsection</w:t>
      </w:r>
      <w:proofErr w:type="gramEnd"/>
      <w:r w:rsidR="00B9083A">
        <w:t xml:space="preserve"> 5(1)</w:t>
      </w:r>
    </w:p>
    <w:p w14:paraId="1C2C41FD" w14:textId="77777777" w:rsidR="00B9083A" w:rsidRDefault="00B9083A" w:rsidP="00B9083A">
      <w:pPr>
        <w:pStyle w:val="Item"/>
      </w:pPr>
      <w:r>
        <w:t>Insert:</w:t>
      </w:r>
    </w:p>
    <w:p w14:paraId="2D7B9A87" w14:textId="77777777" w:rsidR="00AC7B62" w:rsidRDefault="00AC7B62" w:rsidP="00AC7B62">
      <w:pPr>
        <w:pStyle w:val="Definition"/>
      </w:pPr>
      <w:r>
        <w:rPr>
          <w:b/>
          <w:bCs/>
          <w:i/>
          <w:iCs/>
        </w:rPr>
        <w:t xml:space="preserve">Recommendation ITU-R P.2108-0 </w:t>
      </w:r>
      <w:r>
        <w:t>means the ITU-R Recommendation “P.2108-0 Prediction of clutter loss” published by the ITU.</w:t>
      </w:r>
    </w:p>
    <w:p w14:paraId="79E3F0B3" w14:textId="77777777" w:rsidR="00AC7B62" w:rsidRDefault="00AC7B62" w:rsidP="00AC7B62">
      <w:pPr>
        <w:pStyle w:val="notetext"/>
      </w:pPr>
      <w:r w:rsidRPr="00717618">
        <w:rPr>
          <w:i/>
          <w:iCs/>
        </w:rPr>
        <w:t>Note</w:t>
      </w:r>
      <w:r>
        <w:t>:</w:t>
      </w:r>
      <w:r>
        <w:tab/>
        <w:t xml:space="preserve">Copies of Recommendation ITU-R P.2108-0 can be obtained, free of charge, from the ITU website: </w:t>
      </w:r>
      <w:hyperlink r:id="rId22" w:history="1">
        <w:r>
          <w:rPr>
            <w:rStyle w:val="Hyperlink"/>
          </w:rPr>
          <w:t>www.itu.int</w:t>
        </w:r>
      </w:hyperlink>
      <w:r>
        <w:t>.</w:t>
      </w:r>
    </w:p>
    <w:p w14:paraId="46B9E6B5" w14:textId="77777777" w:rsidR="001F2522" w:rsidRPr="00C623EC" w:rsidRDefault="001F2522" w:rsidP="001F2522">
      <w:pPr>
        <w:pStyle w:val="Definition"/>
        <w:rPr>
          <w:iCs/>
        </w:rPr>
      </w:pPr>
      <w:r>
        <w:rPr>
          <w:b/>
          <w:bCs/>
          <w:i/>
        </w:rPr>
        <w:t>t</w:t>
      </w:r>
      <w:r w:rsidRPr="00C623EC">
        <w:rPr>
          <w:b/>
          <w:bCs/>
          <w:i/>
        </w:rPr>
        <w:t>otal radiated power</w:t>
      </w:r>
      <w:r>
        <w:rPr>
          <w:iCs/>
        </w:rPr>
        <w:t>, in relation to a radiocommunications transmitter, means the integral of the power transmitted in different directions over the entire radiation sphere. It is measured considering the combination of all radiating elements on an antenna panel or individual device.</w:t>
      </w:r>
    </w:p>
    <w:p w14:paraId="32E0ACA4" w14:textId="0B2A2E19" w:rsidR="002A2685" w:rsidRPr="00E758CF" w:rsidRDefault="00573F09" w:rsidP="002A2685">
      <w:pPr>
        <w:pStyle w:val="ItemHead"/>
      </w:pPr>
      <w:proofErr w:type="gramStart"/>
      <w:r>
        <w:t>6</w:t>
      </w:r>
      <w:r w:rsidR="002A2685" w:rsidRPr="00E758CF">
        <w:t xml:space="preserve">  </w:t>
      </w:r>
      <w:r w:rsidR="002A2685">
        <w:t>After</w:t>
      </w:r>
      <w:proofErr w:type="gramEnd"/>
      <w:r w:rsidR="002A2685">
        <w:t xml:space="preserve"> section 5</w:t>
      </w:r>
    </w:p>
    <w:p w14:paraId="704BE7EA" w14:textId="77777777" w:rsidR="002A2685" w:rsidRDefault="002A2685" w:rsidP="002A2685">
      <w:pPr>
        <w:pStyle w:val="Item"/>
      </w:pPr>
      <w:r>
        <w:t>Insert:</w:t>
      </w:r>
    </w:p>
    <w:p w14:paraId="58D66C91" w14:textId="229F2F04" w:rsidR="00DA2C7C" w:rsidRDefault="00DA2C7C" w:rsidP="00DA2C7C">
      <w:pPr>
        <w:pStyle w:val="ActHead5"/>
      </w:pPr>
      <w:r>
        <w:rPr>
          <w:rStyle w:val="CharSectno"/>
        </w:rPr>
        <w:t>5</w:t>
      </w:r>
      <w:proofErr w:type="gramStart"/>
      <w:r>
        <w:rPr>
          <w:rStyle w:val="CharSectno"/>
        </w:rPr>
        <w:t>A</w:t>
      </w:r>
      <w:r>
        <w:t xml:space="preserve">  References</w:t>
      </w:r>
      <w:proofErr w:type="gramEnd"/>
      <w:r>
        <w:t xml:space="preserve"> to other instruments</w:t>
      </w:r>
    </w:p>
    <w:p w14:paraId="350FCE7E" w14:textId="19D550F5" w:rsidR="00DA2C7C" w:rsidRDefault="00DA2C7C" w:rsidP="00DA2C7C">
      <w:pPr>
        <w:pStyle w:val="subsection"/>
      </w:pPr>
      <w:r>
        <w:tab/>
      </w:r>
      <w:r>
        <w:tab/>
        <w:t xml:space="preserve">In this </w:t>
      </w:r>
      <w:r w:rsidR="00242BF2">
        <w:t>Determination</w:t>
      </w:r>
      <w:r>
        <w:t>, unless the contrary intention appears:</w:t>
      </w:r>
    </w:p>
    <w:p w14:paraId="3A718D1E" w14:textId="77777777" w:rsidR="00DA2C7C" w:rsidRDefault="00DA2C7C" w:rsidP="00DA2C7C">
      <w:pPr>
        <w:pStyle w:val="paragraph"/>
      </w:pPr>
      <w:r>
        <w:tab/>
        <w:t>(a)</w:t>
      </w:r>
      <w:r>
        <w:tab/>
        <w:t>a reference to any other legislative instrument is a reference to that other legislative instrument as in force from time to time; and</w:t>
      </w:r>
    </w:p>
    <w:p w14:paraId="313F8D78" w14:textId="77777777" w:rsidR="00DA2C7C" w:rsidRDefault="00DA2C7C" w:rsidP="00DA2C7C">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in existence from time to time.</w:t>
      </w:r>
    </w:p>
    <w:p w14:paraId="6E22F8B3" w14:textId="77777777" w:rsidR="00DA2C7C" w:rsidRDefault="00DA2C7C" w:rsidP="00DA2C7C">
      <w:pPr>
        <w:pStyle w:val="notetext"/>
      </w:pPr>
      <w:r w:rsidRPr="00717618">
        <w:rPr>
          <w:i/>
          <w:iCs/>
        </w:rPr>
        <w:t>Note 1</w:t>
      </w:r>
      <w:r>
        <w:t>:</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EABEF80" w14:textId="77777777" w:rsidR="00DA2C7C" w:rsidRDefault="00DA2C7C" w:rsidP="00DA2C7C">
      <w:pPr>
        <w:pStyle w:val="notetext"/>
      </w:pPr>
      <w:r w:rsidRPr="00717618">
        <w:rPr>
          <w:i/>
          <w:iCs/>
        </w:rPr>
        <w:t>Note 2</w:t>
      </w:r>
      <w:r>
        <w:t>:</w:t>
      </w:r>
      <w:r>
        <w:tab/>
        <w:t xml:space="preserve">All Commonwealth Acts and legislative instruments are registered on the Federal Register of Legislation. </w:t>
      </w:r>
    </w:p>
    <w:p w14:paraId="350FE0BC" w14:textId="77777777" w:rsidR="00DA2C7C" w:rsidRDefault="00DA2C7C" w:rsidP="00DA2C7C">
      <w:pPr>
        <w:pStyle w:val="notetext"/>
      </w:pPr>
      <w:r w:rsidRPr="00717618">
        <w:rPr>
          <w:i/>
          <w:iCs/>
        </w:rPr>
        <w:t>Note 3</w:t>
      </w:r>
      <w:r>
        <w:t>:</w:t>
      </w:r>
      <w:r>
        <w:tab/>
        <w:t>See section 314A of the Act.</w:t>
      </w:r>
    </w:p>
    <w:p w14:paraId="5BDEEED0" w14:textId="6C37331F" w:rsidR="004769B7" w:rsidRDefault="00573F09" w:rsidP="00C10744">
      <w:pPr>
        <w:pStyle w:val="ItemHead"/>
      </w:pPr>
      <w:proofErr w:type="gramStart"/>
      <w:r>
        <w:t>7</w:t>
      </w:r>
      <w:r w:rsidR="00C10744" w:rsidRPr="00E758CF">
        <w:t xml:space="preserve">  </w:t>
      </w:r>
      <w:r w:rsidR="004769B7">
        <w:t>Paragraph</w:t>
      </w:r>
      <w:proofErr w:type="gramEnd"/>
      <w:r w:rsidR="004769B7">
        <w:t xml:space="preserve"> 9(1)(b) </w:t>
      </w:r>
    </w:p>
    <w:p w14:paraId="4BD658C1" w14:textId="48BAB7AE" w:rsidR="004769B7" w:rsidRDefault="004769B7" w:rsidP="004769B7">
      <w:pPr>
        <w:pStyle w:val="Item"/>
      </w:pPr>
      <w:r>
        <w:t>Repeal the paragraph, substitute:</w:t>
      </w:r>
    </w:p>
    <w:p w14:paraId="3E2576F6" w14:textId="3DA8A0E5" w:rsidR="004769B7" w:rsidRPr="00E20FD8" w:rsidRDefault="004769B7" w:rsidP="00B23F0E">
      <w:pPr>
        <w:pStyle w:val="paragraph"/>
      </w:pPr>
      <w:r>
        <w:tab/>
        <w:t>(b)</w:t>
      </w:r>
      <w:r>
        <w:tab/>
      </w:r>
      <w:r w:rsidR="003E42D0">
        <w:t xml:space="preserve">subject to subsection (2) and (3) – any part of the device boundary of the transmitter lies outside of the geographic area of the licence; or </w:t>
      </w:r>
    </w:p>
    <w:p w14:paraId="59E060F8" w14:textId="70F445DD" w:rsidR="004862E0" w:rsidRDefault="004862E0" w:rsidP="00C10744">
      <w:pPr>
        <w:pStyle w:val="ItemHead"/>
      </w:pPr>
      <w:proofErr w:type="gramStart"/>
      <w:r>
        <w:t xml:space="preserve">8  </w:t>
      </w:r>
      <w:r w:rsidR="00FB7F95">
        <w:t>Subsection</w:t>
      </w:r>
      <w:proofErr w:type="gramEnd"/>
      <w:r w:rsidR="00FB7F95">
        <w:t xml:space="preserve"> 9(2)</w:t>
      </w:r>
    </w:p>
    <w:p w14:paraId="28DEC465" w14:textId="7649F87F" w:rsidR="00FB7F95" w:rsidRDefault="007F7F32" w:rsidP="00FB7F95">
      <w:pPr>
        <w:pStyle w:val="Item"/>
      </w:pPr>
      <w:r>
        <w:t>Repeal the subsection,</w:t>
      </w:r>
      <w:r w:rsidR="00470730">
        <w:t xml:space="preserve"> including the note,</w:t>
      </w:r>
      <w:r>
        <w:t xml:space="preserve"> substitute:</w:t>
      </w:r>
    </w:p>
    <w:p w14:paraId="53D026BA" w14:textId="57B46602" w:rsidR="007F7F32" w:rsidRPr="00855A8A" w:rsidRDefault="007F7F32" w:rsidP="007F7F32">
      <w:pPr>
        <w:pStyle w:val="subsection"/>
      </w:pPr>
      <w:r>
        <w:tab/>
        <w:t>(2)</w:t>
      </w:r>
      <w:r>
        <w:tab/>
        <w:t xml:space="preserve">Paragraph (1)(b) does not apply </w:t>
      </w:r>
      <w:r w:rsidRPr="00855A8A">
        <w:t>in relation to a part of the device boundary that:</w:t>
      </w:r>
    </w:p>
    <w:p w14:paraId="550BAF70" w14:textId="2C121D26" w:rsidR="007F7F32" w:rsidRPr="00855A8A" w:rsidRDefault="007F7F32" w:rsidP="007F7F32">
      <w:pPr>
        <w:pStyle w:val="paragraph"/>
      </w:pPr>
      <w:r w:rsidRPr="00855A8A">
        <w:tab/>
        <w:t>(a)</w:t>
      </w:r>
      <w:r w:rsidRPr="00855A8A">
        <w:tab/>
        <w:t xml:space="preserve">lies outside the </w:t>
      </w:r>
      <w:r>
        <w:t>boundary of the ASMG; and</w:t>
      </w:r>
    </w:p>
    <w:p w14:paraId="3C563FDE" w14:textId="5191CC2A" w:rsidR="007F7F32" w:rsidRDefault="007F7F32" w:rsidP="007F7F32">
      <w:pPr>
        <w:pStyle w:val="paragraph"/>
      </w:pPr>
      <w:r w:rsidRPr="00855A8A">
        <w:tab/>
        <w:t>(b)</w:t>
      </w:r>
      <w:r w:rsidRPr="00855A8A">
        <w:tab/>
        <w:t>is connected to a radial that:</w:t>
      </w:r>
    </w:p>
    <w:p w14:paraId="0919437D" w14:textId="77777777" w:rsidR="00945E6A" w:rsidRPr="00855A8A" w:rsidRDefault="00945E6A" w:rsidP="00945E6A">
      <w:pPr>
        <w:pStyle w:val="paragraphsub"/>
      </w:pPr>
      <w:r w:rsidRPr="00855A8A">
        <w:tab/>
        <w:t>(i)</w:t>
      </w:r>
      <w:r w:rsidRPr="00855A8A">
        <w:tab/>
        <w:t>is mentioned in Part 1 of Schedule 2; and</w:t>
      </w:r>
    </w:p>
    <w:p w14:paraId="293ECD61" w14:textId="478E6751" w:rsidR="00945E6A" w:rsidRDefault="00945E6A" w:rsidP="00945E6A">
      <w:pPr>
        <w:pStyle w:val="paragraphsub"/>
      </w:pPr>
      <w:r w:rsidRPr="00855A8A">
        <w:lastRenderedPageBreak/>
        <w:tab/>
        <w:t>(ii)</w:t>
      </w:r>
      <w:r w:rsidRPr="00855A8A">
        <w:tab/>
        <w:t xml:space="preserve">does not cross over </w:t>
      </w:r>
      <w:r>
        <w:t>the geographic area of another spectrum licence in the 2.3 GHz band</w:t>
      </w:r>
      <w:r w:rsidR="00142DF4">
        <w:t>.</w:t>
      </w:r>
    </w:p>
    <w:p w14:paraId="4A1C67F4" w14:textId="496E2EEB" w:rsidR="00855A8A" w:rsidRPr="00855A8A" w:rsidRDefault="006A1338" w:rsidP="00855A8A">
      <w:pPr>
        <w:pStyle w:val="subsection"/>
      </w:pPr>
      <w:r>
        <w:tab/>
      </w:r>
      <w:r w:rsidR="00855A8A">
        <w:t>(3)</w:t>
      </w:r>
      <w:r w:rsidR="00855A8A">
        <w:tab/>
      </w:r>
      <w:r w:rsidR="00F64336">
        <w:t xml:space="preserve">Paragraph (1)(b) does not apply </w:t>
      </w:r>
      <w:r w:rsidR="00855A8A" w:rsidRPr="00855A8A">
        <w:t>in relation to a part of the device boundary that:</w:t>
      </w:r>
    </w:p>
    <w:p w14:paraId="3ECCC61F" w14:textId="77777777" w:rsidR="00855A8A" w:rsidRPr="00855A8A" w:rsidRDefault="00855A8A" w:rsidP="00855A8A">
      <w:pPr>
        <w:pStyle w:val="paragraph"/>
      </w:pPr>
      <w:r w:rsidRPr="00855A8A">
        <w:tab/>
        <w:t>(a)</w:t>
      </w:r>
      <w:r w:rsidRPr="00855A8A">
        <w:tab/>
        <w:t>lies outside the geographic area of the licence; and</w:t>
      </w:r>
    </w:p>
    <w:p w14:paraId="50D95BDE" w14:textId="77777777" w:rsidR="00855A8A" w:rsidRPr="00855A8A" w:rsidRDefault="00855A8A" w:rsidP="00855A8A">
      <w:pPr>
        <w:pStyle w:val="paragraph"/>
      </w:pPr>
      <w:r w:rsidRPr="00855A8A">
        <w:tab/>
        <w:t>(b)</w:t>
      </w:r>
      <w:r w:rsidRPr="00855A8A">
        <w:tab/>
        <w:t>is connected to a radial that:</w:t>
      </w:r>
    </w:p>
    <w:p w14:paraId="3DA62DDD" w14:textId="77777777" w:rsidR="00855A8A" w:rsidRPr="00855A8A" w:rsidRDefault="00855A8A" w:rsidP="00855A8A">
      <w:pPr>
        <w:pStyle w:val="paragraphsub"/>
      </w:pPr>
      <w:r w:rsidRPr="00855A8A">
        <w:tab/>
        <w:t>(i)</w:t>
      </w:r>
      <w:r w:rsidRPr="00855A8A">
        <w:tab/>
        <w:t>is mentioned in Part 1 of Schedule 2; and</w:t>
      </w:r>
    </w:p>
    <w:p w14:paraId="2B3A4570" w14:textId="77777777" w:rsidR="00855A8A" w:rsidRPr="00855A8A" w:rsidRDefault="00855A8A" w:rsidP="00855A8A">
      <w:pPr>
        <w:pStyle w:val="paragraphsub"/>
      </w:pPr>
      <w:r w:rsidRPr="00855A8A">
        <w:tab/>
        <w:t>(ii)</w:t>
      </w:r>
      <w:r w:rsidRPr="00855A8A">
        <w:tab/>
        <w:t>does not cross over the land outside the geographic area of the licence that is permanently above the Australian territorial sea baseline; and</w:t>
      </w:r>
    </w:p>
    <w:p w14:paraId="75869E78" w14:textId="77777777" w:rsidR="00855A8A" w:rsidRPr="00855A8A" w:rsidRDefault="00855A8A" w:rsidP="00855A8A">
      <w:pPr>
        <w:pStyle w:val="paragraphsub"/>
        <w:keepNext/>
      </w:pPr>
      <w:r w:rsidRPr="00855A8A">
        <w:tab/>
        <w:t>(iii)</w:t>
      </w:r>
      <w:r w:rsidRPr="00855A8A">
        <w:tab/>
        <w:t>does not cross over an area within any of the following HCIS identifiers: IW3E, IW3I, IW3M, IW6A, IW6E, KX9, LX7, LX8, LX9.</w:t>
      </w:r>
    </w:p>
    <w:p w14:paraId="487A580E" w14:textId="33F0C656" w:rsidR="00855A8A" w:rsidRDefault="00855A8A" w:rsidP="00855A8A">
      <w:pPr>
        <w:pStyle w:val="notetext"/>
      </w:pPr>
      <w:r w:rsidRPr="00717618">
        <w:rPr>
          <w:i/>
          <w:iCs/>
        </w:rPr>
        <w:t>Note</w:t>
      </w:r>
      <w:r w:rsidRPr="00855A8A">
        <w:t>:</w:t>
      </w:r>
      <w:r w:rsidRPr="00855A8A">
        <w:tab/>
        <w:t>In subparagraph (3)(b)(iii), the HCIS identifiers</w:t>
      </w:r>
      <w:r>
        <w:t xml:space="preserve"> beginning with IW cover an area near Adelaide, </w:t>
      </w:r>
      <w:r w:rsidR="000A51BB">
        <w:t xml:space="preserve">and </w:t>
      </w:r>
      <w:r>
        <w:t>the HCIS identifiers beginning with KX and LX cover an area in Bass Strait.</w:t>
      </w:r>
    </w:p>
    <w:p w14:paraId="1890F1AC" w14:textId="1C696617" w:rsidR="00855A8A" w:rsidRDefault="00855A8A" w:rsidP="00855A8A">
      <w:pPr>
        <w:pStyle w:val="subsection"/>
      </w:pPr>
      <w:r>
        <w:tab/>
        <w:t>(4)</w:t>
      </w:r>
      <w:r>
        <w:tab/>
        <w:t>This section does not apply in relation to a radiocommunications transmitter to which section 11 applies.</w:t>
      </w:r>
    </w:p>
    <w:p w14:paraId="21C64E34" w14:textId="587306CB" w:rsidR="00DF4317" w:rsidRDefault="00DF4317" w:rsidP="00DF4317">
      <w:pPr>
        <w:pStyle w:val="notetext"/>
      </w:pPr>
      <w:r w:rsidRPr="00717618">
        <w:rPr>
          <w:i/>
          <w:iCs/>
        </w:rPr>
        <w:t>Note</w:t>
      </w:r>
      <w:r>
        <w:t>:</w:t>
      </w:r>
      <w:r>
        <w:tab/>
        <w:t xml:space="preserve">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w:t>
      </w:r>
      <w:r w:rsidR="00242BF2">
        <w:t>a</w:t>
      </w:r>
      <w:r>
        <w:t xml:space="preserve"> </w:t>
      </w:r>
      <w:r w:rsidR="00242BF2">
        <w:t>2.3</w:t>
      </w:r>
      <w:r>
        <w:t xml:space="preserve"> GHz band spectrum licence – see subsection 69(2) of the Act. Accordingly, these transmitters are not required to meet the device boundary criteria specified in this </w:t>
      </w:r>
      <w:r w:rsidR="00242BF2">
        <w:t>Determination</w:t>
      </w:r>
      <w:r>
        <w:t>.</w:t>
      </w:r>
    </w:p>
    <w:p w14:paraId="5BED59D1" w14:textId="737D9347" w:rsidR="006D0DA9" w:rsidRPr="00E758CF" w:rsidRDefault="00573F09" w:rsidP="006D0DA9">
      <w:pPr>
        <w:pStyle w:val="ItemHead"/>
      </w:pPr>
      <w:proofErr w:type="gramStart"/>
      <w:r>
        <w:t>9</w:t>
      </w:r>
      <w:r w:rsidR="006D0DA9" w:rsidRPr="00E758CF">
        <w:t xml:space="preserve">  </w:t>
      </w:r>
      <w:r w:rsidR="006D0DA9">
        <w:t>After</w:t>
      </w:r>
      <w:proofErr w:type="gramEnd"/>
      <w:r w:rsidR="006D0DA9">
        <w:t xml:space="preserve"> section 10</w:t>
      </w:r>
    </w:p>
    <w:p w14:paraId="3B9B8EA1" w14:textId="72E41D2C" w:rsidR="006D0DA9" w:rsidRDefault="006D0DA9" w:rsidP="006D0DA9">
      <w:pPr>
        <w:pStyle w:val="Item"/>
      </w:pPr>
      <w:r>
        <w:t>Insert</w:t>
      </w:r>
      <w:r w:rsidR="00F115E1">
        <w:t>:</w:t>
      </w:r>
    </w:p>
    <w:p w14:paraId="2813B8B1" w14:textId="7C8DD94D" w:rsidR="00286587" w:rsidRDefault="00286587" w:rsidP="00286587">
      <w:pPr>
        <w:pStyle w:val="ActHead5"/>
      </w:pPr>
      <w:proofErr w:type="gramStart"/>
      <w:r>
        <w:rPr>
          <w:rStyle w:val="CharSectno"/>
        </w:rPr>
        <w:t>11</w:t>
      </w:r>
      <w:r>
        <w:t xml:space="preserve">  Transition</w:t>
      </w:r>
      <w:proofErr w:type="gramEnd"/>
      <w:r>
        <w:t xml:space="preserve"> – radiocommunications transmitter registered before commencement of </w:t>
      </w:r>
      <w:r w:rsidR="00801EA7">
        <w:t>this section</w:t>
      </w:r>
    </w:p>
    <w:p w14:paraId="17A1372B" w14:textId="4A07DC12" w:rsidR="00286587" w:rsidRDefault="00286587" w:rsidP="00286587">
      <w:pPr>
        <w:pStyle w:val="subsection"/>
      </w:pPr>
      <w:r>
        <w:tab/>
        <w:t>(1)</w:t>
      </w:r>
      <w:r>
        <w:tab/>
        <w:t xml:space="preserve">If a radiocommunications transmitter was included </w:t>
      </w:r>
      <w:r w:rsidR="000A51BB">
        <w:t>i</w:t>
      </w:r>
      <w:r>
        <w:t>n the Register in relation to a spectrum licence in the 2.3 GHz band before the commencement of this section (</w:t>
      </w:r>
      <w:r>
        <w:rPr>
          <w:b/>
          <w:bCs/>
          <w:i/>
          <w:iCs/>
        </w:rPr>
        <w:t>relevant transmitter</w:t>
      </w:r>
      <w:r>
        <w:t>), this section applies in relation to that transmitter.</w:t>
      </w:r>
    </w:p>
    <w:p w14:paraId="1ECE306F" w14:textId="2A9286C4" w:rsidR="00286587" w:rsidRPr="00555B5B" w:rsidRDefault="00286587" w:rsidP="00286587">
      <w:pPr>
        <w:pStyle w:val="subsection"/>
      </w:pPr>
      <w:r>
        <w:tab/>
        <w:t>(2)</w:t>
      </w:r>
      <w:r>
        <w:tab/>
        <w:t>For the purposes of subsection 145(4) of the Act, a level of interference caused by a relevant transmitter is unacceptable if it would have been unacceptable under th</w:t>
      </w:r>
      <w:r w:rsidR="0050628C">
        <w:t>i</w:t>
      </w:r>
      <w:r w:rsidR="00082269">
        <w:t xml:space="preserve">s Determination </w:t>
      </w:r>
      <w:r>
        <w:t xml:space="preserve">as in force at the time the relevant transmitter was included </w:t>
      </w:r>
      <w:r w:rsidR="00BF5375">
        <w:t>i</w:t>
      </w:r>
      <w:r>
        <w:t>n the Register.</w:t>
      </w:r>
    </w:p>
    <w:p w14:paraId="6724D48F" w14:textId="69D0E201" w:rsidR="00286587" w:rsidRDefault="00286587" w:rsidP="00286587">
      <w:pPr>
        <w:pStyle w:val="notetext"/>
        <w:rPr>
          <w:iCs/>
        </w:rPr>
      </w:pPr>
      <w:r w:rsidRPr="00717618">
        <w:rPr>
          <w:i/>
        </w:rPr>
        <w:t>Note</w:t>
      </w:r>
      <w:r>
        <w:rPr>
          <w:iCs/>
        </w:rPr>
        <w:t>:</w:t>
      </w:r>
      <w:r>
        <w:rPr>
          <w:iCs/>
        </w:rPr>
        <w:tab/>
        <w:t>Th</w:t>
      </w:r>
      <w:r w:rsidR="00082269">
        <w:rPr>
          <w:iCs/>
        </w:rPr>
        <w:t>is Determination</w:t>
      </w:r>
      <w:r>
        <w:rPr>
          <w:i/>
        </w:rPr>
        <w:t xml:space="preserve"> </w:t>
      </w:r>
      <w:r>
        <w:rPr>
          <w:iCs/>
        </w:rPr>
        <w:t xml:space="preserve">is available, free of charge, from the Federal Register of Legislation: </w:t>
      </w:r>
      <w:hyperlink r:id="rId23" w:history="1">
        <w:r w:rsidRPr="0066541F">
          <w:rPr>
            <w:rStyle w:val="Hyperlink"/>
            <w:iCs/>
          </w:rPr>
          <w:t>www.legislation.gov.au</w:t>
        </w:r>
      </w:hyperlink>
      <w:r>
        <w:rPr>
          <w:iCs/>
        </w:rPr>
        <w:t>.</w:t>
      </w:r>
    </w:p>
    <w:bookmarkEnd w:id="6"/>
    <w:p w14:paraId="46CE0741" w14:textId="3FAAA6D8" w:rsidR="00775E23" w:rsidRPr="00E758CF" w:rsidRDefault="00573F09" w:rsidP="005A7E31">
      <w:pPr>
        <w:pStyle w:val="ItemHead"/>
      </w:pPr>
      <w:proofErr w:type="gramStart"/>
      <w:r>
        <w:t>10</w:t>
      </w:r>
      <w:r w:rsidR="00775E23" w:rsidRPr="00E758CF">
        <w:t xml:space="preserve">  </w:t>
      </w:r>
      <w:r w:rsidR="00775E23">
        <w:t>Schedule</w:t>
      </w:r>
      <w:proofErr w:type="gramEnd"/>
      <w:r w:rsidR="00775E23">
        <w:t xml:space="preserve"> 2, </w:t>
      </w:r>
      <w:r w:rsidR="0008192C">
        <w:t xml:space="preserve">Part 1, </w:t>
      </w:r>
      <w:r w:rsidR="00775E23">
        <w:t>item 1, Step 1</w:t>
      </w:r>
    </w:p>
    <w:p w14:paraId="68F92E10" w14:textId="761C7EEB" w:rsidR="00775E23" w:rsidRDefault="00775E23" w:rsidP="00775E23">
      <w:pPr>
        <w:pStyle w:val="Item"/>
      </w:pPr>
      <w:r>
        <w:t xml:space="preserve">Omit “500 metre”, substitute “100 </w:t>
      </w:r>
      <w:proofErr w:type="gramStart"/>
      <w:r>
        <w:t>metre”</w:t>
      </w:r>
      <w:proofErr w:type="gramEnd"/>
    </w:p>
    <w:p w14:paraId="3E3DFFC0" w14:textId="5C70860D" w:rsidR="005A7E31" w:rsidRDefault="005A7E31" w:rsidP="005A7E31">
      <w:pPr>
        <w:pStyle w:val="ItemHead"/>
      </w:pPr>
      <w:r>
        <w:t>10A</w:t>
      </w:r>
      <w:r w:rsidRPr="00E758CF">
        <w:t xml:space="preserve"> </w:t>
      </w:r>
      <w:r>
        <w:t xml:space="preserve">Schedule 2, </w:t>
      </w:r>
      <w:proofErr w:type="gramStart"/>
      <w:r>
        <w:t>heading</w:t>
      </w:r>
      <w:proofErr w:type="gramEnd"/>
      <w:r>
        <w:t xml:space="preserve"> </w:t>
      </w:r>
    </w:p>
    <w:p w14:paraId="63D3995B" w14:textId="4020CD57" w:rsidR="005A7E31" w:rsidRPr="005A7E31" w:rsidRDefault="005A7E31" w:rsidP="005A7E31">
      <w:pPr>
        <w:pStyle w:val="Item"/>
      </w:pPr>
      <w:r>
        <w:t xml:space="preserve">Omit </w:t>
      </w:r>
      <w:r w:rsidR="008C3B06">
        <w:t>“</w:t>
      </w:r>
      <w:r w:rsidR="00114B0B" w:rsidRPr="00114B0B">
        <w:t>(subsections 5 (1), 9 (1) and (2) and section 10)</w:t>
      </w:r>
      <w:r w:rsidR="00114B0B">
        <w:t>”, substitute “</w:t>
      </w:r>
      <w:r w:rsidR="00114B0B" w:rsidRPr="00114B0B">
        <w:t>(subsections 5(1), 9(1)</w:t>
      </w:r>
      <w:r w:rsidR="00114B0B">
        <w:t>, 9(2)</w:t>
      </w:r>
      <w:r w:rsidR="00E613B9">
        <w:t xml:space="preserve"> </w:t>
      </w:r>
      <w:r w:rsidR="00114B0B" w:rsidRPr="00114B0B">
        <w:t xml:space="preserve">and </w:t>
      </w:r>
      <w:r w:rsidR="00E613B9">
        <w:t>9</w:t>
      </w:r>
      <w:r w:rsidR="00114B0B" w:rsidRPr="00114B0B">
        <w:t>(</w:t>
      </w:r>
      <w:r w:rsidR="00E613B9">
        <w:t>3</w:t>
      </w:r>
      <w:r w:rsidR="00114B0B" w:rsidRPr="00114B0B">
        <w:t>) and section 10)</w:t>
      </w:r>
      <w:r w:rsidR="00E613B9">
        <w:t>”</w:t>
      </w:r>
    </w:p>
    <w:p w14:paraId="60FF5219" w14:textId="02DBC441" w:rsidR="00775E23" w:rsidRPr="00E758CF" w:rsidRDefault="00573F09" w:rsidP="00775E23">
      <w:pPr>
        <w:pStyle w:val="ItemHead"/>
      </w:pPr>
      <w:proofErr w:type="gramStart"/>
      <w:r>
        <w:t>11</w:t>
      </w:r>
      <w:r w:rsidR="00775E23" w:rsidRPr="00E758CF">
        <w:t xml:space="preserve">  </w:t>
      </w:r>
      <w:r w:rsidR="00775E23">
        <w:t>Schedule</w:t>
      </w:r>
      <w:proofErr w:type="gramEnd"/>
      <w:r w:rsidR="00775E23">
        <w:t xml:space="preserve"> 2, </w:t>
      </w:r>
      <w:r w:rsidR="0008192C">
        <w:t xml:space="preserve">Part 1, </w:t>
      </w:r>
      <w:r w:rsidR="00775E23">
        <w:t>item 1, Step 1, paragraph (a)</w:t>
      </w:r>
    </w:p>
    <w:p w14:paraId="3DFD7042" w14:textId="79205942" w:rsidR="00775E23" w:rsidRDefault="00775E23" w:rsidP="00775E23">
      <w:pPr>
        <w:pStyle w:val="Item"/>
      </w:pPr>
      <w:r>
        <w:t>Omit “202”, substitute “</w:t>
      </w:r>
      <w:proofErr w:type="gramStart"/>
      <w:r>
        <w:t>1010”</w:t>
      </w:r>
      <w:proofErr w:type="gramEnd"/>
    </w:p>
    <w:p w14:paraId="621EDD4C" w14:textId="440497D4" w:rsidR="004C3261" w:rsidRPr="00E758CF" w:rsidRDefault="00573F09" w:rsidP="004C3261">
      <w:pPr>
        <w:pStyle w:val="ItemHead"/>
      </w:pPr>
      <w:proofErr w:type="gramStart"/>
      <w:r>
        <w:t>12</w:t>
      </w:r>
      <w:r w:rsidR="004C3261" w:rsidRPr="00E758CF">
        <w:t xml:space="preserve">  </w:t>
      </w:r>
      <w:r w:rsidR="004C3261">
        <w:t>Schedule</w:t>
      </w:r>
      <w:proofErr w:type="gramEnd"/>
      <w:r w:rsidR="004C3261">
        <w:t xml:space="preserve"> 2, </w:t>
      </w:r>
      <w:r w:rsidR="0008192C">
        <w:t xml:space="preserve">Part 1, </w:t>
      </w:r>
      <w:r w:rsidR="004C3261">
        <w:t>item 1, Step 2, paragraph (b)</w:t>
      </w:r>
    </w:p>
    <w:p w14:paraId="551C95CF" w14:textId="77777777" w:rsidR="004C3261" w:rsidRDefault="004C3261" w:rsidP="004C3261">
      <w:pPr>
        <w:pStyle w:val="Item"/>
      </w:pPr>
      <w:r>
        <w:t>Omit “202”, substitute “</w:t>
      </w:r>
      <w:proofErr w:type="gramStart"/>
      <w:r>
        <w:t>1010”</w:t>
      </w:r>
      <w:proofErr w:type="gramEnd"/>
    </w:p>
    <w:p w14:paraId="1C14004A" w14:textId="7F416BEB" w:rsidR="004C3261" w:rsidRPr="00E758CF" w:rsidRDefault="00573F09" w:rsidP="004C3261">
      <w:pPr>
        <w:pStyle w:val="ItemHead"/>
      </w:pPr>
      <w:proofErr w:type="gramStart"/>
      <w:r>
        <w:lastRenderedPageBreak/>
        <w:t>13</w:t>
      </w:r>
      <w:r w:rsidR="004C3261" w:rsidRPr="00E758CF">
        <w:t xml:space="preserve">  </w:t>
      </w:r>
      <w:r w:rsidR="004C3261">
        <w:t>Schedule</w:t>
      </w:r>
      <w:proofErr w:type="gramEnd"/>
      <w:r w:rsidR="004C3261">
        <w:t xml:space="preserve"> 2, </w:t>
      </w:r>
      <w:r w:rsidR="00D578EF">
        <w:t>P</w:t>
      </w:r>
      <w:r w:rsidR="0008192C">
        <w:t>art 1</w:t>
      </w:r>
      <w:r w:rsidR="00D578EF">
        <w:t>,</w:t>
      </w:r>
      <w:r w:rsidR="0008192C">
        <w:t xml:space="preserve"> </w:t>
      </w:r>
      <w:r w:rsidR="004C3261">
        <w:t>at the end of item 2</w:t>
      </w:r>
    </w:p>
    <w:p w14:paraId="445096AE" w14:textId="3416A995" w:rsidR="00665187" w:rsidRDefault="00483C5F" w:rsidP="00483C5F">
      <w:pPr>
        <w:pStyle w:val="Item"/>
        <w:rPr>
          <w:szCs w:val="18"/>
        </w:rPr>
      </w:pPr>
      <w:r>
        <w:rPr>
          <w:szCs w:val="18"/>
        </w:rPr>
        <w:t>Add:</w:t>
      </w:r>
    </w:p>
    <w:p w14:paraId="38DCF6A8" w14:textId="6EF190E5" w:rsidR="00E914A5" w:rsidRDefault="00E914A5" w:rsidP="00E914A5">
      <w:pPr>
        <w:pStyle w:val="notetext"/>
        <w:ind w:left="1276" w:hanging="850"/>
        <w:rPr>
          <w:szCs w:val="22"/>
        </w:rPr>
      </w:pPr>
      <w:r>
        <w:rPr>
          <w:szCs w:val="18"/>
        </w:rPr>
        <w:t>Note:</w:t>
      </w:r>
      <w:r>
        <w:rPr>
          <w:szCs w:val="18"/>
        </w:rPr>
        <w:tab/>
      </w:r>
      <w:r>
        <w:rPr>
          <w:szCs w:val="18"/>
        </w:rPr>
        <w:sym w:font="Symbol" w:char="F073"/>
      </w:r>
      <w:r>
        <w:rPr>
          <w:i/>
          <w:iCs/>
          <w:szCs w:val="18"/>
          <w:vertAlign w:val="subscript"/>
        </w:rPr>
        <w:t>n</w:t>
      </w:r>
      <w:r>
        <w:rPr>
          <w:szCs w:val="18"/>
        </w:rPr>
        <w:t xml:space="preserve"> is the bearing of the </w:t>
      </w:r>
      <w:r>
        <w:rPr>
          <w:i/>
          <w:iCs/>
          <w:szCs w:val="18"/>
        </w:rPr>
        <w:t>n</w:t>
      </w:r>
      <w:r>
        <w:rPr>
          <w:i/>
          <w:iCs/>
          <w:szCs w:val="18"/>
          <w:vertAlign w:val="superscript"/>
        </w:rPr>
        <w:t>th</w:t>
      </w:r>
      <w:r>
        <w:rPr>
          <w:szCs w:val="18"/>
        </w:rPr>
        <w:t>-degree radial for the group of radiocommunications transmitters.</w:t>
      </w:r>
    </w:p>
    <w:p w14:paraId="04AE822E" w14:textId="0BD6074B" w:rsidR="0008192C" w:rsidRPr="00E758CF" w:rsidRDefault="006073AD" w:rsidP="0008192C">
      <w:pPr>
        <w:pStyle w:val="ItemHead"/>
      </w:pPr>
      <w:proofErr w:type="gramStart"/>
      <w:r>
        <w:t>14</w:t>
      </w:r>
      <w:r w:rsidR="0008192C" w:rsidRPr="00E758CF">
        <w:t xml:space="preserve">  </w:t>
      </w:r>
      <w:r w:rsidR="0008192C">
        <w:t>Schedule</w:t>
      </w:r>
      <w:proofErr w:type="gramEnd"/>
      <w:r w:rsidR="0008192C">
        <w:t xml:space="preserve"> 2, </w:t>
      </w:r>
      <w:r w:rsidR="00D578EF">
        <w:t xml:space="preserve">Part 2, </w:t>
      </w:r>
      <w:r w:rsidR="0008192C">
        <w:t xml:space="preserve">item 1, </w:t>
      </w:r>
      <w:r w:rsidR="00D578EF">
        <w:t>after the definition of RP</w:t>
      </w:r>
    </w:p>
    <w:p w14:paraId="35C4C8BF" w14:textId="41AA2805" w:rsidR="0008192C" w:rsidRDefault="00C94C8C" w:rsidP="0008192C">
      <w:pPr>
        <w:pStyle w:val="Item"/>
      </w:pPr>
      <w:r>
        <w:t>Insert:</w:t>
      </w:r>
    </w:p>
    <w:tbl>
      <w:tblPr>
        <w:tblW w:w="7320" w:type="dxa"/>
        <w:tblInd w:w="720" w:type="dxa"/>
        <w:tblLayout w:type="fixed"/>
        <w:tblLook w:val="04A0" w:firstRow="1" w:lastRow="0" w:firstColumn="1" w:lastColumn="0" w:noHBand="0" w:noVBand="1"/>
      </w:tblPr>
      <w:tblGrid>
        <w:gridCol w:w="2365"/>
        <w:gridCol w:w="473"/>
        <w:gridCol w:w="4482"/>
      </w:tblGrid>
      <w:tr w:rsidR="00C94C8C" w14:paraId="241FA981" w14:textId="77777777" w:rsidTr="00380BC3">
        <w:tc>
          <w:tcPr>
            <w:tcW w:w="2365" w:type="dxa"/>
            <w:hideMark/>
          </w:tcPr>
          <w:p w14:paraId="77365AFF" w14:textId="77777777" w:rsidR="00C94C8C" w:rsidRDefault="00C94C8C" w:rsidP="00380BC3">
            <w:pPr>
              <w:ind w:left="993"/>
              <w:rPr>
                <w:rFonts w:ascii="Times New Roman" w:hAnsi="Times New Roman" w:cs="Times New Roman"/>
                <w:sz w:val="18"/>
                <w:szCs w:val="18"/>
              </w:rPr>
            </w:pPr>
            <w:r>
              <w:rPr>
                <w:rFonts w:ascii="Times New Roman" w:hAnsi="Times New Roman" w:cs="Times New Roman"/>
                <w:sz w:val="18"/>
                <w:szCs w:val="18"/>
              </w:rPr>
              <w:t>Note:</w:t>
            </w:r>
          </w:p>
        </w:tc>
        <w:tc>
          <w:tcPr>
            <w:tcW w:w="473" w:type="dxa"/>
          </w:tcPr>
          <w:p w14:paraId="7B4DE83C" w14:textId="77777777" w:rsidR="00C94C8C" w:rsidRDefault="00C94C8C" w:rsidP="00380BC3">
            <w:pPr>
              <w:ind w:left="993"/>
              <w:rPr>
                <w:rFonts w:ascii="Times New Roman" w:hAnsi="Times New Roman" w:cs="Times New Roman"/>
                <w:sz w:val="18"/>
                <w:szCs w:val="18"/>
              </w:rPr>
            </w:pPr>
          </w:p>
        </w:tc>
        <w:tc>
          <w:tcPr>
            <w:tcW w:w="4482" w:type="dxa"/>
            <w:hideMark/>
          </w:tcPr>
          <w:p w14:paraId="76D352E2" w14:textId="77777777" w:rsidR="00C94C8C" w:rsidRDefault="00C94C8C" w:rsidP="00380BC3">
            <w:pPr>
              <w:spacing w:after="200"/>
              <w:ind w:left="34"/>
              <w:rPr>
                <w:rFonts w:ascii="Times New Roman" w:hAnsi="Times New Roman" w:cs="Times New Roman"/>
                <w:sz w:val="18"/>
                <w:szCs w:val="18"/>
              </w:rPr>
            </w:pPr>
            <w:r>
              <w:rPr>
                <w:rFonts w:ascii="Times New Roman" w:hAnsi="Times New Roman" w:cs="Times New Roman"/>
                <w:sz w:val="18"/>
                <w:szCs w:val="18"/>
              </w:rPr>
              <w:t xml:space="preserve">For a device with an active antenna system, the RP at bearing </w:t>
            </w:r>
            <w:proofErr w:type="spellStart"/>
            <w:r>
              <w:rPr>
                <w:rFonts w:ascii="Times New Roman" w:hAnsi="Times New Roman" w:cs="Times New Roman"/>
                <w:sz w:val="18"/>
                <w:szCs w:val="18"/>
              </w:rPr>
              <w:t>σ</w:t>
            </w:r>
            <w:r>
              <w:rPr>
                <w:rFonts w:ascii="Times New Roman" w:hAnsi="Times New Roman" w:cs="Times New Roman"/>
                <w:sz w:val="18"/>
                <w:szCs w:val="18"/>
                <w:vertAlign w:val="subscript"/>
              </w:rPr>
              <w:t>n</w:t>
            </w:r>
            <w:proofErr w:type="spellEnd"/>
            <w:r>
              <w:rPr>
                <w:rFonts w:ascii="Times New Roman" w:hAnsi="Times New Roman" w:cs="Times New Roman"/>
                <w:sz w:val="18"/>
                <w:szCs w:val="18"/>
              </w:rPr>
              <w:t xml:space="preserve"> is defined as the sum of the gain of the antenna towards the horizontal plane and towards azimuth </w:t>
            </w:r>
            <w:proofErr w:type="spellStart"/>
            <w:r>
              <w:rPr>
                <w:rFonts w:ascii="Times New Roman" w:hAnsi="Times New Roman" w:cs="Times New Roman"/>
                <w:sz w:val="18"/>
                <w:szCs w:val="18"/>
              </w:rPr>
              <w:t>σ</w:t>
            </w:r>
            <w:r>
              <w:rPr>
                <w:rFonts w:ascii="Times New Roman" w:hAnsi="Times New Roman" w:cs="Times New Roman"/>
                <w:sz w:val="18"/>
                <w:szCs w:val="18"/>
                <w:vertAlign w:val="subscript"/>
              </w:rPr>
              <w:t>n</w:t>
            </w:r>
            <w:proofErr w:type="spellEnd"/>
            <w:r>
              <w:rPr>
                <w:rFonts w:ascii="Times New Roman" w:hAnsi="Times New Roman" w:cs="Times New Roman"/>
                <w:sz w:val="18"/>
                <w:szCs w:val="18"/>
              </w:rPr>
              <w:t xml:space="preserve"> (dB) and the total radiated power (dBm). This allowance </w:t>
            </w:r>
            <w:proofErr w:type="gramStart"/>
            <w:r>
              <w:rPr>
                <w:rFonts w:ascii="Times New Roman" w:hAnsi="Times New Roman" w:cs="Times New Roman"/>
                <w:sz w:val="18"/>
                <w:szCs w:val="18"/>
              </w:rPr>
              <w:t>is based on the assumption</w:t>
            </w:r>
            <w:proofErr w:type="gramEnd"/>
            <w:r>
              <w:rPr>
                <w:rFonts w:ascii="Times New Roman" w:hAnsi="Times New Roman" w:cs="Times New Roman"/>
                <w:sz w:val="18"/>
                <w:szCs w:val="18"/>
              </w:rPr>
              <w:t xml:space="preserve"> that beam pointing angles and/or power can be controlled dynamically to ensure RP is not exceeded.</w:t>
            </w:r>
          </w:p>
        </w:tc>
      </w:tr>
    </w:tbl>
    <w:p w14:paraId="2BB23F28" w14:textId="2CE27188" w:rsidR="00105DF7" w:rsidRPr="00E758CF" w:rsidRDefault="006073AD" w:rsidP="00105DF7">
      <w:pPr>
        <w:pStyle w:val="ItemHead"/>
      </w:pPr>
      <w:proofErr w:type="gramStart"/>
      <w:r>
        <w:t>15</w:t>
      </w:r>
      <w:r w:rsidR="00105DF7" w:rsidRPr="00E758CF">
        <w:t xml:space="preserve">  </w:t>
      </w:r>
      <w:r w:rsidR="00105DF7">
        <w:t>Schedule</w:t>
      </w:r>
      <w:proofErr w:type="gramEnd"/>
      <w:r w:rsidR="00105DF7">
        <w:t xml:space="preserve"> 2, Part 2, item 1, definition of </w:t>
      </w:r>
      <w:r w:rsidR="000B08F2" w:rsidRPr="000B08F2">
        <w:rPr>
          <w:i/>
          <w:iCs/>
        </w:rPr>
        <w:t>LOP</w:t>
      </w:r>
    </w:p>
    <w:p w14:paraId="702D996D" w14:textId="190FCE92" w:rsidR="00105DF7" w:rsidRDefault="000B08F2" w:rsidP="00105DF7">
      <w:pPr>
        <w:pStyle w:val="Item"/>
      </w:pPr>
      <w:r>
        <w:t>Repeal the definition</w:t>
      </w:r>
      <w:r w:rsidR="00C46D63">
        <w:t>, substitute</w:t>
      </w:r>
      <w:r w:rsidR="00105DF7">
        <w:t>:</w:t>
      </w:r>
    </w:p>
    <w:tbl>
      <w:tblPr>
        <w:tblW w:w="7320" w:type="dxa"/>
        <w:tblInd w:w="720" w:type="dxa"/>
        <w:tblLayout w:type="fixed"/>
        <w:tblLook w:val="04A0" w:firstRow="1" w:lastRow="0" w:firstColumn="1" w:lastColumn="0" w:noHBand="0" w:noVBand="1"/>
      </w:tblPr>
      <w:tblGrid>
        <w:gridCol w:w="2365"/>
        <w:gridCol w:w="473"/>
        <w:gridCol w:w="4482"/>
      </w:tblGrid>
      <w:tr w:rsidR="00D329F6" w14:paraId="5181A0B8" w14:textId="77777777" w:rsidTr="00380BC3">
        <w:tc>
          <w:tcPr>
            <w:tcW w:w="2365" w:type="dxa"/>
            <w:hideMark/>
          </w:tcPr>
          <w:p w14:paraId="7B4F4DE9" w14:textId="77777777" w:rsidR="00D329F6" w:rsidRPr="00D329F6" w:rsidRDefault="00D329F6" w:rsidP="00380BC3">
            <w:pPr>
              <w:keepLines/>
              <w:ind w:left="993"/>
              <w:rPr>
                <w:rFonts w:ascii="Times New Roman" w:hAnsi="Times New Roman" w:cs="Times New Roman"/>
                <w:i/>
              </w:rPr>
            </w:pPr>
            <w:r w:rsidRPr="00D329F6">
              <w:rPr>
                <w:rFonts w:ascii="Times New Roman" w:hAnsi="Times New Roman" w:cs="Times New Roman"/>
                <w:i/>
              </w:rPr>
              <w:t>LOP</w:t>
            </w:r>
          </w:p>
        </w:tc>
        <w:tc>
          <w:tcPr>
            <w:tcW w:w="473" w:type="dxa"/>
            <w:hideMark/>
          </w:tcPr>
          <w:p w14:paraId="2C6CE57F" w14:textId="77777777" w:rsidR="00D329F6" w:rsidRDefault="00D329F6" w:rsidP="00380BC3">
            <w:pPr>
              <w:keepLines/>
              <w:ind w:left="993"/>
              <w:rPr>
                <w:rFonts w:ascii="Times New Roman" w:hAnsi="Times New Roman" w:cs="Times New Roman"/>
              </w:rPr>
            </w:pPr>
            <w:r>
              <w:rPr>
                <w:rFonts w:ascii="Times New Roman" w:hAnsi="Times New Roman" w:cs="Times New Roman"/>
              </w:rPr>
              <w:t>:</w:t>
            </w:r>
          </w:p>
        </w:tc>
        <w:tc>
          <w:tcPr>
            <w:tcW w:w="4482" w:type="dxa"/>
            <w:hideMark/>
          </w:tcPr>
          <w:p w14:paraId="68AD0ABB" w14:textId="77777777" w:rsidR="00D329F6" w:rsidRDefault="00D329F6" w:rsidP="00380BC3">
            <w:pPr>
              <w:keepLines/>
              <w:spacing w:after="200"/>
              <w:ind w:left="34"/>
              <w:rPr>
                <w:rFonts w:ascii="Times New Roman" w:hAnsi="Times New Roman" w:cs="Times New Roman"/>
              </w:rPr>
            </w:pPr>
            <w:r>
              <w:rPr>
                <w:rFonts w:ascii="Times New Roman" w:hAnsi="Times New Roman" w:cs="Times New Roman"/>
              </w:rPr>
              <w:t xml:space="preserve">is the level of protection. For radiocommunications transmitters that incorporate an active antenna system, the </w:t>
            </w:r>
            <w:r w:rsidRPr="00D329F6">
              <w:rPr>
                <w:rFonts w:ascii="Times New Roman" w:hAnsi="Times New Roman" w:cs="Times New Roman"/>
                <w:i/>
                <w:iCs/>
              </w:rPr>
              <w:t>LOP</w:t>
            </w:r>
            <w:r>
              <w:rPr>
                <w:rFonts w:ascii="Times New Roman" w:hAnsi="Times New Roman" w:cs="Times New Roman"/>
              </w:rPr>
              <w:t xml:space="preserve"> is -91.5 dBm per 5 </w:t>
            </w:r>
            <w:proofErr w:type="spellStart"/>
            <w:r>
              <w:rPr>
                <w:rFonts w:ascii="Times New Roman" w:hAnsi="Times New Roman" w:cs="Times New Roman"/>
              </w:rPr>
              <w:t>MHz.</w:t>
            </w:r>
            <w:proofErr w:type="spellEnd"/>
            <w:r>
              <w:rPr>
                <w:rFonts w:ascii="Times New Roman" w:hAnsi="Times New Roman" w:cs="Times New Roman"/>
              </w:rPr>
              <w:t xml:space="preserve"> For radiocommunications transmitters without AAS, </w:t>
            </w:r>
            <w:r w:rsidRPr="00D329F6">
              <w:rPr>
                <w:rFonts w:ascii="Times New Roman" w:hAnsi="Times New Roman" w:cs="Times New Roman"/>
              </w:rPr>
              <w:t xml:space="preserve">the </w:t>
            </w:r>
            <w:r w:rsidRPr="00D329F6">
              <w:rPr>
                <w:rFonts w:ascii="Times New Roman" w:hAnsi="Times New Roman" w:cs="Times New Roman"/>
                <w:i/>
                <w:iCs/>
              </w:rPr>
              <w:t>LOP</w:t>
            </w:r>
            <w:r>
              <w:rPr>
                <w:rFonts w:ascii="Times New Roman" w:hAnsi="Times New Roman" w:cs="Times New Roman"/>
              </w:rPr>
              <w:t xml:space="preserve"> is –99.5 dBm per 5 MHz;</w:t>
            </w:r>
          </w:p>
        </w:tc>
      </w:tr>
    </w:tbl>
    <w:p w14:paraId="0B3DB24D" w14:textId="062A4B79" w:rsidR="00967F37" w:rsidRPr="00E758CF" w:rsidRDefault="006073AD" w:rsidP="00967F37">
      <w:pPr>
        <w:pStyle w:val="ItemHead"/>
      </w:pPr>
      <w:proofErr w:type="gramStart"/>
      <w:r>
        <w:t>16</w:t>
      </w:r>
      <w:r w:rsidR="00967F37" w:rsidRPr="00E758CF">
        <w:t xml:space="preserve">  </w:t>
      </w:r>
      <w:r w:rsidR="00967F37">
        <w:t>Schedule</w:t>
      </w:r>
      <w:proofErr w:type="gramEnd"/>
      <w:r w:rsidR="00967F37">
        <w:t xml:space="preserve"> 2, Part 3, item 1</w:t>
      </w:r>
    </w:p>
    <w:p w14:paraId="58EDEC8B" w14:textId="19A8F9B2" w:rsidR="00967F37" w:rsidRDefault="00967F37" w:rsidP="00967F37">
      <w:pPr>
        <w:pStyle w:val="Item"/>
      </w:pPr>
      <w:r>
        <w:t>Repeal the item, substitute:</w:t>
      </w:r>
    </w:p>
    <w:p w14:paraId="07D14C53" w14:textId="77777777" w:rsidR="00233230" w:rsidRDefault="00233230" w:rsidP="00233230">
      <w:pPr>
        <w:pStyle w:val="Schedulepara"/>
        <w:tabs>
          <w:tab w:val="clear" w:pos="567"/>
          <w:tab w:val="right" w:pos="709"/>
        </w:tabs>
        <w:spacing w:line="240" w:lineRule="auto"/>
        <w:ind w:left="426" w:hanging="426"/>
        <w:jc w:val="left"/>
        <w:rPr>
          <w:sz w:val="22"/>
          <w:szCs w:val="22"/>
        </w:rPr>
      </w:pPr>
      <w:r>
        <w:rPr>
          <w:sz w:val="22"/>
          <w:szCs w:val="22"/>
        </w:rPr>
        <w:t>1.</w:t>
      </w:r>
      <w:r>
        <w:rPr>
          <w:sz w:val="22"/>
          <w:szCs w:val="22"/>
        </w:rPr>
        <w:tab/>
        <w:t xml:space="preserve">Subject to this Part 3, the </w:t>
      </w:r>
      <w:r>
        <w:rPr>
          <w:b/>
          <w:bCs/>
          <w:i/>
          <w:iCs/>
          <w:sz w:val="22"/>
          <w:szCs w:val="22"/>
        </w:rPr>
        <w:t>propagation loss</w:t>
      </w:r>
      <w:r>
        <w:rPr>
          <w:sz w:val="22"/>
          <w:szCs w:val="22"/>
        </w:rPr>
        <w:t xml:space="preserve"> (or </w:t>
      </w:r>
      <w:r>
        <w:rPr>
          <w:b/>
          <w:bCs/>
          <w:i/>
          <w:iCs/>
          <w:sz w:val="22"/>
          <w:szCs w:val="22"/>
        </w:rPr>
        <w:t>PL(l</w:t>
      </w:r>
      <w:r>
        <w:rPr>
          <w:b/>
          <w:bCs/>
          <w:i/>
          <w:iCs/>
          <w:sz w:val="22"/>
          <w:szCs w:val="22"/>
          <w:vertAlign w:val="subscript"/>
        </w:rPr>
        <w:t>mn</w:t>
      </w:r>
      <w:r>
        <w:rPr>
          <w:b/>
          <w:bCs/>
          <w:i/>
          <w:iCs/>
          <w:sz w:val="22"/>
          <w:szCs w:val="22"/>
        </w:rPr>
        <w:t>,L</w:t>
      </w:r>
      <w:r>
        <w:rPr>
          <w:b/>
          <w:bCs/>
          <w:i/>
          <w:iCs/>
          <w:sz w:val="22"/>
          <w:szCs w:val="22"/>
          <w:vertAlign w:val="subscript"/>
        </w:rPr>
        <w:t>mn</w:t>
      </w:r>
      <w:r>
        <w:rPr>
          <w:b/>
          <w:bCs/>
          <w:i/>
          <w:iCs/>
          <w:sz w:val="22"/>
          <w:szCs w:val="22"/>
        </w:rPr>
        <w:t>)</w:t>
      </w:r>
      <w:r>
        <w:rPr>
          <w:sz w:val="22"/>
          <w:szCs w:val="22"/>
        </w:rPr>
        <w:t xml:space="preserve">), for a radiocommunications transmitter, of the </w:t>
      </w:r>
      <w:r w:rsidRPr="00675AA6">
        <w:rPr>
          <w:sz w:val="22"/>
          <w:szCs w:val="22"/>
        </w:rPr>
        <w:t>m</w:t>
      </w:r>
      <w:r w:rsidRPr="00675AA6">
        <w:rPr>
          <w:sz w:val="22"/>
          <w:szCs w:val="22"/>
          <w:vertAlign w:val="superscript"/>
        </w:rPr>
        <w:t>th</w:t>
      </w:r>
      <w:r>
        <w:rPr>
          <w:sz w:val="22"/>
          <w:szCs w:val="22"/>
        </w:rPr>
        <w:t xml:space="preserve"> increment on the </w:t>
      </w:r>
      <w:r w:rsidRPr="00675AA6">
        <w:rPr>
          <w:sz w:val="22"/>
          <w:szCs w:val="22"/>
        </w:rPr>
        <w:t>n</w:t>
      </w:r>
      <w:r w:rsidRPr="00675AA6">
        <w:rPr>
          <w:sz w:val="22"/>
          <w:szCs w:val="22"/>
          <w:vertAlign w:val="superscript"/>
        </w:rPr>
        <w:t>th</w:t>
      </w:r>
      <w:r>
        <w:rPr>
          <w:sz w:val="22"/>
          <w:szCs w:val="22"/>
        </w:rPr>
        <w:t xml:space="preserve"> radial is calculated using:</w:t>
      </w:r>
    </w:p>
    <w:p w14:paraId="0369B54B" w14:textId="77777777" w:rsidR="00233230" w:rsidRDefault="00233230" w:rsidP="00233230">
      <w:pPr>
        <w:pStyle w:val="paragraph"/>
        <w:tabs>
          <w:tab w:val="left" w:pos="720"/>
        </w:tabs>
        <w:ind w:left="1418" w:hanging="567"/>
        <w:rPr>
          <w:szCs w:val="22"/>
        </w:rPr>
      </w:pPr>
      <w:r>
        <w:rPr>
          <w:szCs w:val="22"/>
        </w:rPr>
        <w:t>(a)</w:t>
      </w:r>
      <w:r>
        <w:rPr>
          <w:szCs w:val="22"/>
        </w:rPr>
        <w:tab/>
        <w:t>for a transmitter connected to an antenna which is located greater than 6 metres above ground level – the method and parameters defined in section 2.2 of Recommendation ITU-R P.525-4 and in section 4.5.2 of Recommendation ITU-R P.526-</w:t>
      </w:r>
      <w:proofErr w:type="gramStart"/>
      <w:r>
        <w:rPr>
          <w:szCs w:val="22"/>
        </w:rPr>
        <w:t>15;</w:t>
      </w:r>
      <w:proofErr w:type="gramEnd"/>
    </w:p>
    <w:p w14:paraId="095CA703" w14:textId="77777777" w:rsidR="00233230" w:rsidRDefault="00233230" w:rsidP="00233230">
      <w:pPr>
        <w:pStyle w:val="paragraph"/>
        <w:tabs>
          <w:tab w:val="left" w:pos="720"/>
        </w:tabs>
        <w:ind w:left="1418" w:hanging="567"/>
        <w:rPr>
          <w:szCs w:val="22"/>
        </w:rPr>
      </w:pPr>
      <w:r>
        <w:rPr>
          <w:szCs w:val="22"/>
        </w:rPr>
        <w:t>(b)</w:t>
      </w:r>
      <w:r>
        <w:rPr>
          <w:szCs w:val="22"/>
        </w:rPr>
        <w:tab/>
        <w:t>for a transmitter connected to an antenna which is located at or below 6 metres above ground level – the method and parameters defined in section 2.2 of Recommendation ITU-R P.525-4, in section 4.5.2 of Recommendation ITU-R P.526-15 and in section 3.2 of Recommendation ITU-R P.2108-0.</w:t>
      </w:r>
    </w:p>
    <w:p w14:paraId="1FDA418A" w14:textId="1F9E0500" w:rsidR="00675AA6" w:rsidRPr="00E758CF" w:rsidRDefault="006073AD" w:rsidP="00675AA6">
      <w:pPr>
        <w:pStyle w:val="ItemHead"/>
      </w:pPr>
      <w:proofErr w:type="gramStart"/>
      <w:r>
        <w:t>17</w:t>
      </w:r>
      <w:r w:rsidR="00675AA6" w:rsidRPr="00E758CF">
        <w:t xml:space="preserve">  </w:t>
      </w:r>
      <w:r w:rsidR="00675AA6">
        <w:t>Schedule</w:t>
      </w:r>
      <w:proofErr w:type="gramEnd"/>
      <w:r w:rsidR="00675AA6">
        <w:t xml:space="preserve"> 2, Part 3, item 2</w:t>
      </w:r>
    </w:p>
    <w:p w14:paraId="1311201B" w14:textId="01A8BD75" w:rsidR="00675AA6" w:rsidRDefault="00675AA6" w:rsidP="00675AA6">
      <w:pPr>
        <w:pStyle w:val="Item"/>
      </w:pPr>
      <w:r>
        <w:t>Omit “Recommendation ITU-R P.526-12”, substitute “Recommendation ITU-R P.</w:t>
      </w:r>
      <w:proofErr w:type="gramStart"/>
      <w:r>
        <w:t>526.15”</w:t>
      </w:r>
      <w:proofErr w:type="gramEnd"/>
    </w:p>
    <w:p w14:paraId="54EDCAC1" w14:textId="0C3292A4" w:rsidR="00675AA6" w:rsidRPr="00E758CF" w:rsidRDefault="006073AD" w:rsidP="00675AA6">
      <w:pPr>
        <w:pStyle w:val="ItemHead"/>
      </w:pPr>
      <w:proofErr w:type="gramStart"/>
      <w:r>
        <w:t>18</w:t>
      </w:r>
      <w:r w:rsidR="00675AA6" w:rsidRPr="00E758CF">
        <w:t xml:space="preserve">  </w:t>
      </w:r>
      <w:r w:rsidR="00675AA6">
        <w:t>Schedule</w:t>
      </w:r>
      <w:proofErr w:type="gramEnd"/>
      <w:r w:rsidR="00675AA6">
        <w:t xml:space="preserve"> 2, Part 3, item 3</w:t>
      </w:r>
    </w:p>
    <w:p w14:paraId="418820E9" w14:textId="7E5A4C28" w:rsidR="00675AA6" w:rsidRDefault="00675AA6" w:rsidP="00675AA6">
      <w:pPr>
        <w:pStyle w:val="Item"/>
      </w:pPr>
      <w:r>
        <w:t>Omit “Recommendation ITU-R P.526-12”, substitute “Recommendation ITU-R P.</w:t>
      </w:r>
      <w:proofErr w:type="gramStart"/>
      <w:r>
        <w:t>526.15”</w:t>
      </w:r>
      <w:proofErr w:type="gramEnd"/>
    </w:p>
    <w:p w14:paraId="5286357E" w14:textId="0B30558E" w:rsidR="00DB3B63" w:rsidRPr="00E758CF" w:rsidRDefault="006073AD" w:rsidP="00DB3B63">
      <w:pPr>
        <w:pStyle w:val="ItemHead"/>
      </w:pPr>
      <w:proofErr w:type="gramStart"/>
      <w:r>
        <w:t>19</w:t>
      </w:r>
      <w:r w:rsidR="00DB3B63" w:rsidRPr="00E758CF">
        <w:t xml:space="preserve">  </w:t>
      </w:r>
      <w:r w:rsidR="00DB3B63">
        <w:t>Schedule</w:t>
      </w:r>
      <w:proofErr w:type="gramEnd"/>
      <w:r w:rsidR="00DB3B63">
        <w:t xml:space="preserve"> 2, Part 3, item </w:t>
      </w:r>
      <w:r w:rsidR="00DF5A92">
        <w:t>3</w:t>
      </w:r>
    </w:p>
    <w:p w14:paraId="01BF0BD4" w14:textId="5DB056E0" w:rsidR="00DB3B63" w:rsidRDefault="00DB3B63" w:rsidP="00DB3B63">
      <w:pPr>
        <w:pStyle w:val="Item"/>
      </w:pPr>
      <w:r>
        <w:t xml:space="preserve">Omit “the DEM-9S at 500 metre increments”, substitute “the DEM-3S at 100 metre </w:t>
      </w:r>
      <w:proofErr w:type="gramStart"/>
      <w:r>
        <w:t>increments”</w:t>
      </w:r>
      <w:proofErr w:type="gramEnd"/>
    </w:p>
    <w:p w14:paraId="012325B8" w14:textId="584ECFFF" w:rsidR="00DF5A92" w:rsidRPr="00E758CF" w:rsidRDefault="006073AD" w:rsidP="00DF5A92">
      <w:pPr>
        <w:pStyle w:val="ItemHead"/>
      </w:pPr>
      <w:proofErr w:type="gramStart"/>
      <w:r>
        <w:t>20</w:t>
      </w:r>
      <w:r w:rsidR="00DF5A92" w:rsidRPr="00E758CF">
        <w:t xml:space="preserve">  </w:t>
      </w:r>
      <w:r w:rsidR="00DF5A92">
        <w:t>Schedule</w:t>
      </w:r>
      <w:proofErr w:type="gramEnd"/>
      <w:r w:rsidR="00DF5A92">
        <w:t xml:space="preserve"> 2, Part 3, item 4</w:t>
      </w:r>
    </w:p>
    <w:p w14:paraId="3C6ABA64" w14:textId="77777777" w:rsidR="00DF5A92" w:rsidRDefault="00DF5A92" w:rsidP="00DF5A92">
      <w:pPr>
        <w:pStyle w:val="Item"/>
      </w:pPr>
      <w:r>
        <w:t>Repeal the item, substitute:</w:t>
      </w:r>
    </w:p>
    <w:p w14:paraId="33D530DC" w14:textId="77777777" w:rsidR="00111E04" w:rsidRDefault="00111E04" w:rsidP="00111E04">
      <w:pPr>
        <w:pStyle w:val="Schedulepara"/>
        <w:tabs>
          <w:tab w:val="clear" w:pos="567"/>
          <w:tab w:val="right" w:pos="709"/>
        </w:tabs>
        <w:spacing w:line="240" w:lineRule="auto"/>
        <w:ind w:left="426" w:hanging="426"/>
        <w:jc w:val="left"/>
        <w:rPr>
          <w:sz w:val="22"/>
          <w:szCs w:val="22"/>
        </w:rPr>
      </w:pPr>
      <w:r>
        <w:rPr>
          <w:sz w:val="22"/>
          <w:szCs w:val="22"/>
        </w:rPr>
        <w:t>4.</w:t>
      </w:r>
      <w:r>
        <w:rPr>
          <w:sz w:val="22"/>
          <w:szCs w:val="22"/>
        </w:rPr>
        <w:tab/>
        <w:t>In implementing the method in section 3.2 of Recommendation ITU-R P.2108-0:</w:t>
      </w:r>
    </w:p>
    <w:p w14:paraId="14C02E0F" w14:textId="77777777" w:rsidR="00111E04" w:rsidRDefault="00111E04" w:rsidP="00111E04">
      <w:pPr>
        <w:pStyle w:val="paragraph"/>
        <w:tabs>
          <w:tab w:val="left" w:pos="720"/>
        </w:tabs>
        <w:ind w:left="1418" w:hanging="567"/>
        <w:rPr>
          <w:szCs w:val="22"/>
        </w:rPr>
      </w:pPr>
      <w:r>
        <w:rPr>
          <w:szCs w:val="22"/>
        </w:rPr>
        <w:lastRenderedPageBreak/>
        <w:t>(a)</w:t>
      </w:r>
      <w:r>
        <w:rPr>
          <w:szCs w:val="22"/>
        </w:rPr>
        <w:tab/>
        <w:t xml:space="preserve">the percentage of locations is set at 0.08% and the correction is applied at only one end of the </w:t>
      </w:r>
      <w:proofErr w:type="gramStart"/>
      <w:r>
        <w:rPr>
          <w:szCs w:val="22"/>
        </w:rPr>
        <w:t>path;</w:t>
      </w:r>
      <w:proofErr w:type="gramEnd"/>
    </w:p>
    <w:p w14:paraId="2BB3A987" w14:textId="77777777" w:rsidR="00111E04" w:rsidRDefault="00111E04" w:rsidP="00111E04">
      <w:pPr>
        <w:pStyle w:val="paragraph"/>
        <w:tabs>
          <w:tab w:val="left" w:pos="720"/>
        </w:tabs>
        <w:ind w:left="1418" w:hanging="567"/>
      </w:pPr>
      <w:r>
        <w:t>(b)</w:t>
      </w:r>
      <w:r>
        <w:tab/>
        <w:t xml:space="preserve">if the loss calculated using the method in section 3.2 of Recommendation ITU-R P.2108-0 is less </w:t>
      </w:r>
      <w:r w:rsidRPr="00447479">
        <w:rPr>
          <w:szCs w:val="22"/>
        </w:rPr>
        <w:t>than</w:t>
      </w:r>
      <w:r>
        <w:t xml:space="preserve"> 0 dB, the calculated loss value is replaced with 0 dB; and</w:t>
      </w:r>
    </w:p>
    <w:p w14:paraId="267B5CBD" w14:textId="77777777" w:rsidR="00111E04" w:rsidRPr="006615EF" w:rsidRDefault="00111E04" w:rsidP="00111E04">
      <w:pPr>
        <w:pStyle w:val="paragraph"/>
        <w:tabs>
          <w:tab w:val="left" w:pos="720"/>
        </w:tabs>
        <w:ind w:left="1418" w:hanging="567"/>
      </w:pPr>
      <w:r>
        <w:t>(c)</w:t>
      </w:r>
      <w:r>
        <w:tab/>
        <w:t xml:space="preserve">if the loss calculated using the method in section 3.2 of Recommendation ITU-R P.2108-0 is greater than 8 dB, the calculated loss value is replaced with 8 </w:t>
      </w:r>
      <w:proofErr w:type="spellStart"/>
      <w:r>
        <w:t>dB.</w:t>
      </w:r>
      <w:proofErr w:type="spellEnd"/>
    </w:p>
    <w:p w14:paraId="78A187AF" w14:textId="628E584E" w:rsidR="005E50C3" w:rsidRPr="00E758CF" w:rsidRDefault="006073AD" w:rsidP="005E50C3">
      <w:pPr>
        <w:pStyle w:val="ItemHead"/>
      </w:pPr>
      <w:proofErr w:type="gramStart"/>
      <w:r>
        <w:t>21</w:t>
      </w:r>
      <w:r w:rsidR="005E50C3" w:rsidRPr="00E758CF">
        <w:t xml:space="preserve">  </w:t>
      </w:r>
      <w:r w:rsidR="005E50C3">
        <w:t>Schedule</w:t>
      </w:r>
      <w:proofErr w:type="gramEnd"/>
      <w:r w:rsidR="005E50C3">
        <w:t xml:space="preserve"> 3, Part 2, item </w:t>
      </w:r>
      <w:r w:rsidR="00ED0397">
        <w:t>1, Step 2</w:t>
      </w:r>
    </w:p>
    <w:p w14:paraId="67DF2D2C" w14:textId="26D2AAAE" w:rsidR="005E50C3" w:rsidRDefault="00ED0397" w:rsidP="005E50C3">
      <w:pPr>
        <w:pStyle w:val="Item"/>
      </w:pPr>
      <w:r>
        <w:t>Omit “DEM-9S”, substitute “DEM-</w:t>
      </w:r>
      <w:proofErr w:type="gramStart"/>
      <w:r>
        <w:t>3S”</w:t>
      </w:r>
      <w:proofErr w:type="gramEnd"/>
    </w:p>
    <w:p w14:paraId="1C9FE1BB" w14:textId="09DE8D0B" w:rsidR="00ED0397" w:rsidRPr="00E758CF" w:rsidRDefault="006073AD" w:rsidP="00ED0397">
      <w:pPr>
        <w:pStyle w:val="ItemHead"/>
      </w:pPr>
      <w:proofErr w:type="gramStart"/>
      <w:r>
        <w:t>22</w:t>
      </w:r>
      <w:r w:rsidR="00ED0397" w:rsidRPr="00E758CF">
        <w:t xml:space="preserve">  </w:t>
      </w:r>
      <w:r w:rsidR="00ED0397">
        <w:t>Schedule</w:t>
      </w:r>
      <w:proofErr w:type="gramEnd"/>
      <w:r w:rsidR="00ED0397">
        <w:t xml:space="preserve"> 3, Part 2, item 1, Step 3</w:t>
      </w:r>
    </w:p>
    <w:p w14:paraId="3CA37B21" w14:textId="6B246F9A" w:rsidR="00ED0397" w:rsidRDefault="00ED0397" w:rsidP="00ED0397">
      <w:pPr>
        <w:pStyle w:val="Item"/>
      </w:pPr>
      <w:r>
        <w:t>Omit “DEM-9S”, substitute “DEM-3S” (</w:t>
      </w:r>
      <w:r w:rsidR="00CF6867">
        <w:t>all</w:t>
      </w:r>
      <w:r>
        <w:t xml:space="preserve"> occurrences)</w:t>
      </w:r>
    </w:p>
    <w:p w14:paraId="3FE83694" w14:textId="39D59745" w:rsidR="00CF6867" w:rsidRPr="00E758CF" w:rsidRDefault="006073AD" w:rsidP="00CF6867">
      <w:pPr>
        <w:pStyle w:val="ItemHead"/>
      </w:pPr>
      <w:proofErr w:type="gramStart"/>
      <w:r>
        <w:t>23</w:t>
      </w:r>
      <w:r w:rsidR="00CF6867" w:rsidRPr="00E758CF">
        <w:t xml:space="preserve">  </w:t>
      </w:r>
      <w:r w:rsidR="00CF6867">
        <w:t>Schedule</w:t>
      </w:r>
      <w:proofErr w:type="gramEnd"/>
      <w:r w:rsidR="00CF6867">
        <w:t xml:space="preserve"> 3, Part 2, item 2</w:t>
      </w:r>
    </w:p>
    <w:p w14:paraId="0086BC41" w14:textId="7FF3559A" w:rsidR="00F873C4" w:rsidRDefault="00F873C4" w:rsidP="00F873C4">
      <w:pPr>
        <w:pStyle w:val="Item"/>
      </w:pPr>
      <w:r>
        <w:t>Repeal the item, substitute:</w:t>
      </w:r>
    </w:p>
    <w:p w14:paraId="1B849A4D" w14:textId="6E156BFA" w:rsidR="00F873C4" w:rsidRDefault="00F873C4" w:rsidP="00F873C4">
      <w:pPr>
        <w:pStyle w:val="Item"/>
      </w:pPr>
      <w:r w:rsidRPr="004D3C43">
        <w:t>If the seconds component of (</w:t>
      </w:r>
      <w:proofErr w:type="spellStart"/>
      <w:r w:rsidRPr="00F13D51">
        <w:rPr>
          <w:i/>
          <w:iCs/>
        </w:rPr>
        <w:t>lmn</w:t>
      </w:r>
      <w:proofErr w:type="spellEnd"/>
      <w:r w:rsidRPr="00F13D51">
        <w:rPr>
          <w:i/>
          <w:iCs/>
        </w:rPr>
        <w:t xml:space="preserve">, </w:t>
      </w:r>
      <w:proofErr w:type="spellStart"/>
      <w:r w:rsidRPr="00F13D51">
        <w:rPr>
          <w:i/>
          <w:iCs/>
        </w:rPr>
        <w:t>Lmn</w:t>
      </w:r>
      <w:proofErr w:type="spellEnd"/>
      <w:r w:rsidRPr="004D3C43">
        <w:t>), plus 1.5</w:t>
      </w:r>
      <w:proofErr w:type="gramStart"/>
      <w:r w:rsidRPr="004D3C43">
        <w:t>,  has</w:t>
      </w:r>
      <w:proofErr w:type="gramEnd"/>
      <w:r w:rsidRPr="004D3C43">
        <w:t xml:space="preserve"> a modulus of zero when divided by 3, then the corresponding DEM-3S cell, for the purposes Step 2 in item 1, is the adjacent DEM-3S cell with the minimum height.</w:t>
      </w:r>
    </w:p>
    <w:p w14:paraId="31FA8195" w14:textId="0554BBE7" w:rsidR="004E304E" w:rsidRPr="00E758CF" w:rsidRDefault="006073AD" w:rsidP="004E304E">
      <w:pPr>
        <w:pStyle w:val="ItemHead"/>
      </w:pPr>
      <w:proofErr w:type="gramStart"/>
      <w:r>
        <w:t>2</w:t>
      </w:r>
      <w:r w:rsidR="00F873C4">
        <w:t>4</w:t>
      </w:r>
      <w:r w:rsidR="004E304E" w:rsidRPr="00E758CF">
        <w:t xml:space="preserve">  </w:t>
      </w:r>
      <w:r w:rsidR="004E304E">
        <w:t>Schedule</w:t>
      </w:r>
      <w:proofErr w:type="gramEnd"/>
      <w:r w:rsidR="004E304E">
        <w:t xml:space="preserve"> 3, Part 2, item 2, note to the item</w:t>
      </w:r>
    </w:p>
    <w:p w14:paraId="41A9BDB3" w14:textId="3FF3BF8E" w:rsidR="00F873C4" w:rsidRPr="00F873C4" w:rsidRDefault="00F873C4" w:rsidP="00F873C4">
      <w:pPr>
        <w:pStyle w:val="Item"/>
      </w:pPr>
      <w:r>
        <w:t xml:space="preserve">Repeal the note, substitute: </w:t>
      </w:r>
    </w:p>
    <w:p w14:paraId="66BA1FA8" w14:textId="77777777" w:rsidR="00F873C4" w:rsidRDefault="00F873C4" w:rsidP="00F873C4">
      <w:pPr>
        <w:pStyle w:val="Note"/>
        <w:spacing w:before="0" w:line="240" w:lineRule="auto"/>
        <w:ind w:left="993"/>
        <w:rPr>
          <w:b/>
        </w:rPr>
      </w:pPr>
      <w:r w:rsidRPr="00902216">
        <w:rPr>
          <w:i/>
        </w:rPr>
        <w:t>Note</w:t>
      </w:r>
      <w:r>
        <w:tab/>
        <w:t xml:space="preserve">Additional information for the </w:t>
      </w:r>
      <w:r w:rsidRPr="00C8182E">
        <w:t>case where (</w:t>
      </w:r>
      <w:r w:rsidRPr="00F13D51">
        <w:rPr>
          <w:i/>
          <w:iCs/>
        </w:rPr>
        <w:t>lmn, Lmn</w:t>
      </w:r>
      <w:r w:rsidRPr="00C8182E">
        <w:t xml:space="preserve">) </w:t>
      </w:r>
      <w:r>
        <w:t>corresponds to a DEM-3S cell boundary is provided in the document titled ‘</w:t>
      </w:r>
      <w:r>
        <w:rPr>
          <w:i/>
        </w:rPr>
        <w:t xml:space="preserve">Digital Elevation Model </w:t>
      </w:r>
      <w:r w:rsidRPr="0048400D">
        <w:rPr>
          <w:i/>
        </w:rPr>
        <w:t>Interpretation</w:t>
      </w:r>
      <w:r>
        <w:t>’ available for free on t</w:t>
      </w:r>
      <w:r w:rsidRPr="0048400D">
        <w:t>he</w:t>
      </w:r>
      <w:r>
        <w:t xml:space="preserve"> ACMA website: </w:t>
      </w:r>
      <w:r w:rsidRPr="00DC1B8C">
        <w:rPr>
          <w:u w:val="single"/>
        </w:rPr>
        <w:t>www.acma.gov.au.</w:t>
      </w:r>
    </w:p>
    <w:p w14:paraId="6B265C9B" w14:textId="45F07CF5" w:rsidR="00037D1F" w:rsidRPr="00E758CF" w:rsidRDefault="006073AD" w:rsidP="00037D1F">
      <w:pPr>
        <w:pStyle w:val="ItemHead"/>
      </w:pPr>
      <w:proofErr w:type="gramStart"/>
      <w:r>
        <w:t>2</w:t>
      </w:r>
      <w:r w:rsidR="00F873C4">
        <w:t>5</w:t>
      </w:r>
      <w:r w:rsidR="00037D1F" w:rsidRPr="00E758CF">
        <w:t xml:space="preserve">  </w:t>
      </w:r>
      <w:r w:rsidR="00037D1F">
        <w:t>Schedule</w:t>
      </w:r>
      <w:proofErr w:type="gramEnd"/>
      <w:r w:rsidR="00037D1F">
        <w:t xml:space="preserve"> 3, Part 2, item 2, Diagram 1</w:t>
      </w:r>
    </w:p>
    <w:p w14:paraId="39BBA17E" w14:textId="707D209A" w:rsidR="00037D1F" w:rsidRDefault="00037D1F" w:rsidP="00037D1F">
      <w:pPr>
        <w:pStyle w:val="Item"/>
      </w:pPr>
      <w:r>
        <w:t>Omit “m=1000 m”, substitute “m=200 m”</w:t>
      </w:r>
    </w:p>
    <w:p w14:paraId="1EF663B8" w14:textId="4E4E1A46" w:rsidR="00037D1F" w:rsidRPr="00E758CF" w:rsidRDefault="006073AD" w:rsidP="00037D1F">
      <w:pPr>
        <w:pStyle w:val="ItemHead"/>
      </w:pPr>
      <w:proofErr w:type="gramStart"/>
      <w:r>
        <w:t>2</w:t>
      </w:r>
      <w:r w:rsidR="00F873C4">
        <w:t>6</w:t>
      </w:r>
      <w:r w:rsidR="00037D1F" w:rsidRPr="00E758CF">
        <w:t xml:space="preserve">  </w:t>
      </w:r>
      <w:r w:rsidR="00037D1F">
        <w:t>Schedule</w:t>
      </w:r>
      <w:proofErr w:type="gramEnd"/>
      <w:r w:rsidR="00037D1F">
        <w:t xml:space="preserve"> 3, Part 2, item 2, Diagram 1</w:t>
      </w:r>
    </w:p>
    <w:p w14:paraId="6D5C3B72" w14:textId="62FB5007" w:rsidR="00037D1F" w:rsidRDefault="00037D1F" w:rsidP="00037D1F">
      <w:pPr>
        <w:pStyle w:val="Item"/>
      </w:pPr>
      <w:r>
        <w:t>Omit “m=500 m”, substitute “m=100 m”</w:t>
      </w:r>
    </w:p>
    <w:p w14:paraId="2D5D63BE" w14:textId="741A0C92" w:rsidR="0033205F" w:rsidRPr="0033205F" w:rsidRDefault="006073AD" w:rsidP="0033205F">
      <w:pPr>
        <w:pStyle w:val="ItemHead"/>
        <w:rPr>
          <w:i/>
          <w:iCs/>
        </w:rPr>
      </w:pPr>
      <w:proofErr w:type="gramStart"/>
      <w:r>
        <w:t>2</w:t>
      </w:r>
      <w:r w:rsidR="00F873C4">
        <w:t>7</w:t>
      </w:r>
      <w:r w:rsidR="0033205F" w:rsidRPr="00E758CF">
        <w:t xml:space="preserve">  </w:t>
      </w:r>
      <w:r w:rsidR="0033205F">
        <w:t>Schedule</w:t>
      </w:r>
      <w:proofErr w:type="gramEnd"/>
      <w:r w:rsidR="0033205F">
        <w:t xml:space="preserve"> 3, Part 3, item 1, definition of </w:t>
      </w:r>
      <w:r w:rsidR="0033205F">
        <w:rPr>
          <w:i/>
          <w:iCs/>
        </w:rPr>
        <w:t>d</w:t>
      </w:r>
    </w:p>
    <w:p w14:paraId="72C83721" w14:textId="38EFD7C2" w:rsidR="0033205F" w:rsidRDefault="0033205F" w:rsidP="0033205F">
      <w:pPr>
        <w:pStyle w:val="Item"/>
      </w:pPr>
      <w:r>
        <w:t>Omit “</w:t>
      </w:r>
      <w:r w:rsidR="00645A0D">
        <w:t>(</w:t>
      </w:r>
      <w:r>
        <w:t>m</w:t>
      </w:r>
      <w:r w:rsidR="006E66D3">
        <w:rPr>
          <w:rFonts w:eastAsiaTheme="minorHAnsi"/>
          <w:szCs w:val="22"/>
        </w:rPr>
        <w:t>×500 metres</w:t>
      </w:r>
      <w:r w:rsidR="00645A0D">
        <w:rPr>
          <w:rFonts w:eastAsiaTheme="minorHAnsi"/>
          <w:szCs w:val="22"/>
        </w:rPr>
        <w:t>)</w:t>
      </w:r>
      <w:r>
        <w:t>”, substitute “</w:t>
      </w:r>
      <w:r w:rsidR="00645A0D">
        <w:t>(</w:t>
      </w:r>
      <w:r w:rsidR="006E66D3">
        <w:t>m</w:t>
      </w:r>
      <w:r w:rsidR="006E66D3">
        <w:rPr>
          <w:rFonts w:eastAsiaTheme="minorHAnsi"/>
          <w:szCs w:val="22"/>
        </w:rPr>
        <w:t>×100 metres</w:t>
      </w:r>
      <w:r w:rsidR="00645A0D">
        <w:rPr>
          <w:rFonts w:eastAsiaTheme="minorHAnsi"/>
          <w:szCs w:val="22"/>
        </w:rPr>
        <w:t>)</w:t>
      </w:r>
      <w:r>
        <w:t>”</w:t>
      </w:r>
    </w:p>
    <w:p w14:paraId="37CE0F86" w14:textId="77777777" w:rsidR="00C94C8C" w:rsidRPr="00C94C8C" w:rsidRDefault="00C94C8C" w:rsidP="00C94C8C">
      <w:pPr>
        <w:pStyle w:val="ItemHead"/>
      </w:pPr>
    </w:p>
    <w:sectPr w:rsidR="00C94C8C" w:rsidRPr="00C94C8C" w:rsidSect="00957210">
      <w:headerReference w:type="even" r:id="rId24"/>
      <w:headerReference w:type="default" r:id="rId25"/>
      <w:foot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91584" w14:textId="77777777" w:rsidR="00532C15" w:rsidRDefault="00532C15" w:rsidP="0017734A">
      <w:pPr>
        <w:spacing w:after="0" w:line="240" w:lineRule="auto"/>
      </w:pPr>
      <w:r>
        <w:separator/>
      </w:r>
    </w:p>
  </w:endnote>
  <w:endnote w:type="continuationSeparator" w:id="0">
    <w:p w14:paraId="7CB73CC7" w14:textId="77777777" w:rsidR="00532C15" w:rsidRDefault="00532C15"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565A" w14:textId="77777777" w:rsidR="00E758CF" w:rsidRDefault="00E758CF" w:rsidP="005214C6">
    <w:pPr>
      <w:pStyle w:val="Footer"/>
      <w:pBdr>
        <w:top w:val="single" w:sz="4" w:space="1" w:color="auto"/>
      </w:pBdr>
      <w:jc w:val="center"/>
      <w:rPr>
        <w:rFonts w:ascii="Arial" w:hAnsi="Arial" w:cs="Arial"/>
        <w:i/>
        <w:iCs/>
      </w:rPr>
    </w:pPr>
    <w:r>
      <w:rPr>
        <w:rFonts w:ascii="Arial" w:hAnsi="Arial" w:cs="Arial"/>
        <w:i/>
        <w:iCs/>
      </w:rPr>
      <w:t>Radiocommunications (Unacceptable Levels of Interference – 2.3 GHz Band) Amendment Determination 2021 (No. 1)</w:t>
    </w:r>
  </w:p>
  <w:p w14:paraId="70E95DFC" w14:textId="77777777" w:rsidR="00E758CF" w:rsidRDefault="00E758CF" w:rsidP="005214C6">
    <w:pPr>
      <w:pStyle w:val="Footer"/>
      <w:pBdr>
        <w:top w:val="single" w:sz="4" w:space="1" w:color="auto"/>
      </w:pBdr>
      <w:jc w:val="right"/>
      <w:rPr>
        <w:rFonts w:ascii="Arial" w:hAnsi="Arial" w:cs="Arial"/>
      </w:rPr>
    </w:pP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rPr>
      <w:t>2</w:t>
    </w:r>
    <w:r>
      <w:rPr>
        <w:rFonts w:ascii="Arial" w:hAnsi="Arial" w:cs="Arial"/>
      </w:rPr>
      <w:fldChar w:fldCharType="end"/>
    </w:r>
  </w:p>
  <w:p w14:paraId="56DD3130" w14:textId="77777777" w:rsidR="00E758CF" w:rsidRDefault="00E75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1A75" w14:textId="77777777" w:rsidR="004E73D0" w:rsidRDefault="004E73D0" w:rsidP="005214C6">
    <w:pPr>
      <w:pStyle w:val="Footer"/>
      <w:pBdr>
        <w:top w:val="single" w:sz="4" w:space="1" w:color="auto"/>
      </w:pBdr>
      <w:jc w:val="center"/>
      <w:rPr>
        <w:rFonts w:ascii="Arial" w:hAnsi="Arial" w:cs="Arial"/>
        <w:i/>
        <w:iCs/>
      </w:rPr>
    </w:pPr>
    <w:r>
      <w:rPr>
        <w:rFonts w:ascii="Arial" w:hAnsi="Arial" w:cs="Arial"/>
        <w:i/>
        <w:iCs/>
      </w:rPr>
      <w:t>Radiocommunications (Unacceptable Levels of Interference – 2.3 GHz Band) Amendment Determination 2021 (No. 1)</w:t>
    </w:r>
  </w:p>
  <w:p w14:paraId="1126F876" w14:textId="77777777" w:rsidR="004E73D0" w:rsidRDefault="004E73D0" w:rsidP="005214C6">
    <w:pPr>
      <w:pStyle w:val="Footer"/>
      <w:pBdr>
        <w:top w:val="single" w:sz="4" w:space="1" w:color="auto"/>
      </w:pBdr>
      <w:jc w:val="right"/>
      <w:rPr>
        <w:rFonts w:ascii="Arial" w:hAnsi="Arial" w:cs="Arial"/>
      </w:rPr>
    </w:pP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rPr>
      <w:t>2</w:t>
    </w:r>
    <w:r>
      <w:rPr>
        <w:rFonts w:ascii="Arial" w:hAnsi="Arial" w:cs="Arial"/>
      </w:rPr>
      <w:fldChar w:fldCharType="end"/>
    </w:r>
  </w:p>
  <w:p w14:paraId="3E547D23" w14:textId="77777777" w:rsidR="004E73D0" w:rsidRDefault="004E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5455F" w14:textId="77777777" w:rsidR="00532C15" w:rsidRDefault="00532C15" w:rsidP="0017734A">
      <w:pPr>
        <w:spacing w:after="0" w:line="240" w:lineRule="auto"/>
      </w:pPr>
      <w:r>
        <w:separator/>
      </w:r>
    </w:p>
  </w:footnote>
  <w:footnote w:type="continuationSeparator" w:id="0">
    <w:p w14:paraId="28574BCA" w14:textId="77777777" w:rsidR="00532C15" w:rsidRDefault="00532C15"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FF9E" w14:textId="77777777" w:rsidR="00713DAD" w:rsidRDefault="00713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9524" w14:textId="081EA46D" w:rsidR="00E758CF" w:rsidRDefault="00E758CF" w:rsidP="009328AC">
    <w:pPr>
      <w:pStyle w:val="Header"/>
      <w:pBdr>
        <w:bottom w:val="single" w:sz="4" w:space="1" w:color="auto"/>
      </w:pBdr>
    </w:pPr>
    <w:r w:rsidRPr="000B2668">
      <w:rPr>
        <w:rFonts w:ascii="Times New Roman" w:hAnsi="Times New Roman" w:cs="Times New Roman"/>
      </w:rPr>
      <w:t xml:space="preserve">Section </w:t>
    </w:r>
    <w:r w:rsidRPr="000B2668">
      <w:rPr>
        <w:rFonts w:ascii="Times New Roman" w:hAnsi="Times New Roman" w:cs="Times New Roman"/>
      </w:rPr>
      <w:fldChar w:fldCharType="begin"/>
    </w:r>
    <w:r w:rsidRPr="000B2668">
      <w:rPr>
        <w:rFonts w:ascii="Times New Roman" w:hAnsi="Times New Roman" w:cs="Times New Roman"/>
      </w:rPr>
      <w:instrText xml:space="preserve"> STYLEREF  CharSectno  \* MERGEFORMAT </w:instrText>
    </w:r>
    <w:r w:rsidRPr="000B2668">
      <w:rPr>
        <w:rFonts w:ascii="Times New Roman" w:hAnsi="Times New Roman" w:cs="Times New Roman"/>
      </w:rPr>
      <w:fldChar w:fldCharType="separate"/>
    </w:r>
    <w:r w:rsidR="00D23FC7">
      <w:rPr>
        <w:rFonts w:ascii="Times New Roman" w:hAnsi="Times New Roman" w:cs="Times New Roman"/>
        <w:noProof/>
      </w:rPr>
      <w:t>1</w:t>
    </w:r>
    <w:r w:rsidRPr="000B2668">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3FCB" w14:textId="77777777" w:rsidR="00713DAD" w:rsidRDefault="00713D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7FB7" w14:textId="77777777" w:rsidR="00713DAD" w:rsidRDefault="00713D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85EA" w14:textId="2C177B77" w:rsidR="00097890" w:rsidRPr="00CC64DD" w:rsidRDefault="0054503E"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B225" w14:textId="77777777" w:rsidR="00713DAD" w:rsidRDefault="00713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3E03"/>
    <w:rsid w:val="00006492"/>
    <w:rsid w:val="00010EAB"/>
    <w:rsid w:val="000340E0"/>
    <w:rsid w:val="00037D1F"/>
    <w:rsid w:val="00041E64"/>
    <w:rsid w:val="00063CF9"/>
    <w:rsid w:val="0008192C"/>
    <w:rsid w:val="00082269"/>
    <w:rsid w:val="00085A15"/>
    <w:rsid w:val="00087A0E"/>
    <w:rsid w:val="00097890"/>
    <w:rsid w:val="000A430B"/>
    <w:rsid w:val="000A51BB"/>
    <w:rsid w:val="000A570B"/>
    <w:rsid w:val="000B08F2"/>
    <w:rsid w:val="000B4E1A"/>
    <w:rsid w:val="000C5A8B"/>
    <w:rsid w:val="00105899"/>
    <w:rsid w:val="00105C8B"/>
    <w:rsid w:val="00105DF7"/>
    <w:rsid w:val="00111E04"/>
    <w:rsid w:val="00114B0B"/>
    <w:rsid w:val="00121BB9"/>
    <w:rsid w:val="00130C48"/>
    <w:rsid w:val="00131228"/>
    <w:rsid w:val="00142DF4"/>
    <w:rsid w:val="001521A3"/>
    <w:rsid w:val="00155BD3"/>
    <w:rsid w:val="001707AD"/>
    <w:rsid w:val="001736D1"/>
    <w:rsid w:val="0017734A"/>
    <w:rsid w:val="0019440A"/>
    <w:rsid w:val="001A7988"/>
    <w:rsid w:val="001C12ED"/>
    <w:rsid w:val="001C1DAB"/>
    <w:rsid w:val="001F2522"/>
    <w:rsid w:val="001F6896"/>
    <w:rsid w:val="0020657F"/>
    <w:rsid w:val="0023229F"/>
    <w:rsid w:val="00233230"/>
    <w:rsid w:val="00242BF2"/>
    <w:rsid w:val="00245D34"/>
    <w:rsid w:val="00250A7F"/>
    <w:rsid w:val="00265688"/>
    <w:rsid w:val="00271F90"/>
    <w:rsid w:val="00286587"/>
    <w:rsid w:val="002A2685"/>
    <w:rsid w:val="002B5793"/>
    <w:rsid w:val="002B73D8"/>
    <w:rsid w:val="002C4DC2"/>
    <w:rsid w:val="002D4B2B"/>
    <w:rsid w:val="002F0E3F"/>
    <w:rsid w:val="002F2B06"/>
    <w:rsid w:val="002F75C6"/>
    <w:rsid w:val="00315858"/>
    <w:rsid w:val="003175E5"/>
    <w:rsid w:val="0033205F"/>
    <w:rsid w:val="0035001B"/>
    <w:rsid w:val="00350B04"/>
    <w:rsid w:val="0038003F"/>
    <w:rsid w:val="003974E2"/>
    <w:rsid w:val="003A590D"/>
    <w:rsid w:val="003C44A9"/>
    <w:rsid w:val="003E41BB"/>
    <w:rsid w:val="003E42D0"/>
    <w:rsid w:val="0040389B"/>
    <w:rsid w:val="004309EA"/>
    <w:rsid w:val="004361D9"/>
    <w:rsid w:val="00451EA7"/>
    <w:rsid w:val="00455EA1"/>
    <w:rsid w:val="00456EC4"/>
    <w:rsid w:val="00460FD9"/>
    <w:rsid w:val="00470730"/>
    <w:rsid w:val="004769B7"/>
    <w:rsid w:val="00483C5F"/>
    <w:rsid w:val="004862E0"/>
    <w:rsid w:val="004C3261"/>
    <w:rsid w:val="004D6B79"/>
    <w:rsid w:val="004E304E"/>
    <w:rsid w:val="004E73D0"/>
    <w:rsid w:val="004F5A6F"/>
    <w:rsid w:val="004F5D89"/>
    <w:rsid w:val="004F6EAB"/>
    <w:rsid w:val="0050628C"/>
    <w:rsid w:val="0050746B"/>
    <w:rsid w:val="005214C6"/>
    <w:rsid w:val="00526E5C"/>
    <w:rsid w:val="00531B38"/>
    <w:rsid w:val="00532C15"/>
    <w:rsid w:val="0054503E"/>
    <w:rsid w:val="00563F70"/>
    <w:rsid w:val="00564AF6"/>
    <w:rsid w:val="00573F09"/>
    <w:rsid w:val="005957A6"/>
    <w:rsid w:val="00595DEE"/>
    <w:rsid w:val="005A7E31"/>
    <w:rsid w:val="005E50C3"/>
    <w:rsid w:val="006073AD"/>
    <w:rsid w:val="00610F7F"/>
    <w:rsid w:val="0063495C"/>
    <w:rsid w:val="006450D3"/>
    <w:rsid w:val="00645A0D"/>
    <w:rsid w:val="0065457B"/>
    <w:rsid w:val="00665187"/>
    <w:rsid w:val="00675AA6"/>
    <w:rsid w:val="006A1338"/>
    <w:rsid w:val="006B0532"/>
    <w:rsid w:val="006C0251"/>
    <w:rsid w:val="006D0DA9"/>
    <w:rsid w:val="006E66D3"/>
    <w:rsid w:val="006F5CF2"/>
    <w:rsid w:val="00703828"/>
    <w:rsid w:val="007055D1"/>
    <w:rsid w:val="00712019"/>
    <w:rsid w:val="00713DAD"/>
    <w:rsid w:val="00716ACE"/>
    <w:rsid w:val="00717618"/>
    <w:rsid w:val="00721966"/>
    <w:rsid w:val="00733FB0"/>
    <w:rsid w:val="00742F7F"/>
    <w:rsid w:val="007504E8"/>
    <w:rsid w:val="00763A81"/>
    <w:rsid w:val="00775E23"/>
    <w:rsid w:val="00787B2C"/>
    <w:rsid w:val="00787E18"/>
    <w:rsid w:val="007C04B1"/>
    <w:rsid w:val="007C636F"/>
    <w:rsid w:val="007E3DD2"/>
    <w:rsid w:val="007F7F32"/>
    <w:rsid w:val="00800926"/>
    <w:rsid w:val="00801EA7"/>
    <w:rsid w:val="00804168"/>
    <w:rsid w:val="00825206"/>
    <w:rsid w:val="0083081F"/>
    <w:rsid w:val="008331B0"/>
    <w:rsid w:val="00855A8A"/>
    <w:rsid w:val="008575A8"/>
    <w:rsid w:val="00877B4A"/>
    <w:rsid w:val="0088445B"/>
    <w:rsid w:val="008900FF"/>
    <w:rsid w:val="00892659"/>
    <w:rsid w:val="00896A23"/>
    <w:rsid w:val="00897161"/>
    <w:rsid w:val="008A3860"/>
    <w:rsid w:val="008C3B06"/>
    <w:rsid w:val="008C5A03"/>
    <w:rsid w:val="008D642E"/>
    <w:rsid w:val="008D70EF"/>
    <w:rsid w:val="009004F9"/>
    <w:rsid w:val="009108F8"/>
    <w:rsid w:val="0091792E"/>
    <w:rsid w:val="00917F16"/>
    <w:rsid w:val="009328AC"/>
    <w:rsid w:val="00935767"/>
    <w:rsid w:val="009406AB"/>
    <w:rsid w:val="00945E6A"/>
    <w:rsid w:val="00957210"/>
    <w:rsid w:val="00967F37"/>
    <w:rsid w:val="00980C2B"/>
    <w:rsid w:val="00987A5F"/>
    <w:rsid w:val="009959E9"/>
    <w:rsid w:val="009A4AA5"/>
    <w:rsid w:val="009A5267"/>
    <w:rsid w:val="009B114C"/>
    <w:rsid w:val="009C23A8"/>
    <w:rsid w:val="009D224F"/>
    <w:rsid w:val="009D742C"/>
    <w:rsid w:val="009E1C9F"/>
    <w:rsid w:val="009F134F"/>
    <w:rsid w:val="009F2F7B"/>
    <w:rsid w:val="009F34A0"/>
    <w:rsid w:val="00A02AAF"/>
    <w:rsid w:val="00A04A88"/>
    <w:rsid w:val="00A17FF9"/>
    <w:rsid w:val="00A4363F"/>
    <w:rsid w:val="00A43A14"/>
    <w:rsid w:val="00A533E4"/>
    <w:rsid w:val="00A536B2"/>
    <w:rsid w:val="00A5497D"/>
    <w:rsid w:val="00A56166"/>
    <w:rsid w:val="00A80F4D"/>
    <w:rsid w:val="00A86D52"/>
    <w:rsid w:val="00A90472"/>
    <w:rsid w:val="00A95E77"/>
    <w:rsid w:val="00A965A3"/>
    <w:rsid w:val="00AA45E1"/>
    <w:rsid w:val="00AB663C"/>
    <w:rsid w:val="00AC1169"/>
    <w:rsid w:val="00AC38D4"/>
    <w:rsid w:val="00AC7B62"/>
    <w:rsid w:val="00AD14AA"/>
    <w:rsid w:val="00AD1EEA"/>
    <w:rsid w:val="00AD7974"/>
    <w:rsid w:val="00AE50D5"/>
    <w:rsid w:val="00B16318"/>
    <w:rsid w:val="00B22FA4"/>
    <w:rsid w:val="00B23F0E"/>
    <w:rsid w:val="00B3360A"/>
    <w:rsid w:val="00B54EF5"/>
    <w:rsid w:val="00B57307"/>
    <w:rsid w:val="00B65C29"/>
    <w:rsid w:val="00B660AF"/>
    <w:rsid w:val="00B706E0"/>
    <w:rsid w:val="00B7359B"/>
    <w:rsid w:val="00B74120"/>
    <w:rsid w:val="00B9083A"/>
    <w:rsid w:val="00B90F17"/>
    <w:rsid w:val="00BA0633"/>
    <w:rsid w:val="00BA34C5"/>
    <w:rsid w:val="00BD117E"/>
    <w:rsid w:val="00BD77C9"/>
    <w:rsid w:val="00BE300E"/>
    <w:rsid w:val="00BF5375"/>
    <w:rsid w:val="00C10744"/>
    <w:rsid w:val="00C32F3A"/>
    <w:rsid w:val="00C4249D"/>
    <w:rsid w:val="00C43723"/>
    <w:rsid w:val="00C46D63"/>
    <w:rsid w:val="00C5294E"/>
    <w:rsid w:val="00C55C41"/>
    <w:rsid w:val="00C94C8C"/>
    <w:rsid w:val="00CA30DE"/>
    <w:rsid w:val="00CC2CF3"/>
    <w:rsid w:val="00CC64DD"/>
    <w:rsid w:val="00CF6867"/>
    <w:rsid w:val="00D00EFA"/>
    <w:rsid w:val="00D07F2E"/>
    <w:rsid w:val="00D144E2"/>
    <w:rsid w:val="00D23FC7"/>
    <w:rsid w:val="00D329F6"/>
    <w:rsid w:val="00D55DB0"/>
    <w:rsid w:val="00D578EF"/>
    <w:rsid w:val="00D60D9C"/>
    <w:rsid w:val="00D96B37"/>
    <w:rsid w:val="00D971B5"/>
    <w:rsid w:val="00DA2C7C"/>
    <w:rsid w:val="00DB3B63"/>
    <w:rsid w:val="00DB3C67"/>
    <w:rsid w:val="00DB6C59"/>
    <w:rsid w:val="00DE4BB7"/>
    <w:rsid w:val="00DF4317"/>
    <w:rsid w:val="00DF5A92"/>
    <w:rsid w:val="00E1191F"/>
    <w:rsid w:val="00E16C80"/>
    <w:rsid w:val="00E20FD8"/>
    <w:rsid w:val="00E318F7"/>
    <w:rsid w:val="00E54B76"/>
    <w:rsid w:val="00E613B9"/>
    <w:rsid w:val="00E62B65"/>
    <w:rsid w:val="00E71C31"/>
    <w:rsid w:val="00E7332E"/>
    <w:rsid w:val="00E758CF"/>
    <w:rsid w:val="00E7730F"/>
    <w:rsid w:val="00E914A5"/>
    <w:rsid w:val="00E9552E"/>
    <w:rsid w:val="00E969C9"/>
    <w:rsid w:val="00EB10A9"/>
    <w:rsid w:val="00EC1544"/>
    <w:rsid w:val="00EC54C3"/>
    <w:rsid w:val="00ED0397"/>
    <w:rsid w:val="00EE0BB3"/>
    <w:rsid w:val="00EF6088"/>
    <w:rsid w:val="00F115E1"/>
    <w:rsid w:val="00F26DEC"/>
    <w:rsid w:val="00F31EC9"/>
    <w:rsid w:val="00F42EA3"/>
    <w:rsid w:val="00F64336"/>
    <w:rsid w:val="00F77DB5"/>
    <w:rsid w:val="00F856A6"/>
    <w:rsid w:val="00F85E6E"/>
    <w:rsid w:val="00F85ED9"/>
    <w:rsid w:val="00F873C4"/>
    <w:rsid w:val="00F90642"/>
    <w:rsid w:val="00FB13D6"/>
    <w:rsid w:val="00FB1C69"/>
    <w:rsid w:val="00FB59C1"/>
    <w:rsid w:val="00FB7F95"/>
    <w:rsid w:val="00FC3348"/>
    <w:rsid w:val="00FD0314"/>
    <w:rsid w:val="00FF1B83"/>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5497D"/>
    <w:rPr>
      <w:color w:val="605E5C"/>
      <w:shd w:val="clear" w:color="auto" w:fill="E1DFDD"/>
    </w:rPr>
  </w:style>
  <w:style w:type="paragraph" w:customStyle="1" w:styleId="Schedulepara">
    <w:name w:val="Schedule para"/>
    <w:basedOn w:val="Normal"/>
    <w:rsid w:val="00233230"/>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Note">
    <w:name w:val="Note"/>
    <w:basedOn w:val="Normal"/>
    <w:rsid w:val="00F873C4"/>
    <w:pPr>
      <w:spacing w:before="120" w:after="0" w:line="220" w:lineRule="exact"/>
      <w:ind w:left="964"/>
      <w:jc w:val="both"/>
    </w:pPr>
    <w:rPr>
      <w:rFonts w:ascii="Times New Roman" w:eastAsia="Times New Roman" w:hAnsi="Times New Roman" w:cs="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035938">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pid.geoscience.gov.au/dataset/ga/6988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legislation.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itu.int"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3NE2HDV7HD6D-128-5072</_dlc_DocId>
    <_dlc_DocIdUrl xmlns="1d983eb4-33f7-44b0-aea1-cbdcf0c55136">
      <Url>http://collaboration/organisation/cid/speb/sp/_layouts/15/DocIdRedir.aspx?ID=3NE2HDV7HD6D-128-5072</Url>
      <Description>3NE2HDV7HD6D-128-5072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439D74-91F7-459E-80DA-59FF0DFFD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3.xml><?xml version="1.0" encoding="utf-8"?>
<ds:datastoreItem xmlns:ds="http://schemas.openxmlformats.org/officeDocument/2006/customXml" ds:itemID="{1BD0F330-63F8-40A8-B672-3BCB205DBCFA}">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AE38A143-E6E3-44FA-8C38-0F77CDF8DF45}">
  <ds:schemaRefs>
    <ds:schemaRef ds:uri="http://schemas.microsoft.com/sharepoint/v3/contenttype/forms"/>
  </ds:schemaRefs>
</ds:datastoreItem>
</file>

<file path=customXml/itemProps5.xml><?xml version="1.0" encoding="utf-8"?>
<ds:datastoreItem xmlns:ds="http://schemas.openxmlformats.org/officeDocument/2006/customXml" ds:itemID="{ABF258F0-ECF3-4AEE-853B-7063E1B0A2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2021-03-18T03:05:00Z</dcterms:created>
  <dcterms:modified xsi:type="dcterms:W3CDTF">2021-03-23T00:31:00Z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e638cc36-bf97-40c4-bf0a-ae01cabc51b2</vt:lpwstr>
  </property>
</Properties>
</file>