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36E25" w14:textId="4728BCDC" w:rsidR="00426736" w:rsidRPr="001F7C05" w:rsidRDefault="00426736" w:rsidP="001F7C05">
      <w:pPr>
        <w:pStyle w:val="Title"/>
      </w:pPr>
      <w:r w:rsidRPr="001F7C05">
        <w:t>AIRWORTHINESS DIRECTIVE</w:t>
      </w:r>
    </w:p>
    <w:p w14:paraId="5E956A0A" w14:textId="03F3B821" w:rsidR="00F11A06" w:rsidRPr="001F7C05" w:rsidRDefault="00F11A06" w:rsidP="00F11A06">
      <w:pPr>
        <w:pStyle w:val="Preamble"/>
        <w:rPr>
          <w:sz w:val="18"/>
          <w:szCs w:val="18"/>
        </w:rPr>
      </w:pPr>
      <w:r w:rsidRPr="001F7C05">
        <w:rPr>
          <w:sz w:val="18"/>
          <w:szCs w:val="18"/>
        </w:rPr>
        <w:t xml:space="preserve">On the </w:t>
      </w:r>
      <w:r w:rsidR="00F13CBC" w:rsidRPr="001F7C05">
        <w:rPr>
          <w:sz w:val="18"/>
          <w:szCs w:val="18"/>
        </w:rPr>
        <w:t>commencement</w:t>
      </w:r>
      <w:r w:rsidRPr="001F7C05">
        <w:rPr>
          <w:sz w:val="18"/>
          <w:szCs w:val="18"/>
        </w:rPr>
        <w:t xml:space="preserve"> date specified below, and for the reasons set out in the background section, the CASA delegate whose signature appears below repeals Airworthiness Directive </w:t>
      </w:r>
      <w:r w:rsidR="00CC5506" w:rsidRPr="006A160A">
        <w:rPr>
          <w:bCs/>
          <w:sz w:val="18"/>
          <w:szCs w:val="18"/>
        </w:rPr>
        <w:t xml:space="preserve">AD/A320/199 </w:t>
      </w:r>
      <w:proofErr w:type="spellStart"/>
      <w:r w:rsidR="00CC5506" w:rsidRPr="006A160A">
        <w:rPr>
          <w:bCs/>
          <w:sz w:val="18"/>
          <w:szCs w:val="18"/>
        </w:rPr>
        <w:t>Amdt</w:t>
      </w:r>
      <w:proofErr w:type="spellEnd"/>
      <w:r w:rsidR="00CC5506" w:rsidRPr="006A160A">
        <w:rPr>
          <w:bCs/>
          <w:sz w:val="18"/>
          <w:szCs w:val="18"/>
        </w:rPr>
        <w:t xml:space="preserve"> 1</w:t>
      </w:r>
      <w:r w:rsidRPr="001F7C05">
        <w:rPr>
          <w:sz w:val="18"/>
          <w:szCs w:val="18"/>
        </w:rPr>
        <w:t xml:space="preserve"> and issues the following AD under subregulation 39.001</w:t>
      </w:r>
      <w:r w:rsidR="00757783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>(1) of CASR and subsection 33</w:t>
      </w:r>
      <w:r w:rsidR="009B01D8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 xml:space="preserve">(3) of the </w:t>
      </w:r>
      <w:r w:rsidRPr="001F7C05">
        <w:rPr>
          <w:i/>
          <w:sz w:val="18"/>
          <w:szCs w:val="18"/>
        </w:rPr>
        <w:t>Acts Interpretation Act 1901</w:t>
      </w:r>
      <w:r w:rsidRPr="001F7C05">
        <w:rPr>
          <w:sz w:val="18"/>
          <w:szCs w:val="18"/>
        </w:rPr>
        <w:t xml:space="preserve">. The AD requires that the action set out in the requirement section (being action that the delegate considers necessary to correct </w:t>
      </w:r>
      <w:r w:rsidR="001C1971" w:rsidRPr="001F7C05">
        <w:rPr>
          <w:sz w:val="18"/>
          <w:szCs w:val="18"/>
        </w:rPr>
        <w:t xml:space="preserve">an </w:t>
      </w:r>
      <w:r w:rsidRPr="001F7C05">
        <w:rPr>
          <w:sz w:val="18"/>
          <w:szCs w:val="18"/>
        </w:rPr>
        <w:t>unsafe condition) be taken in relation to the aircraft or aeronautical product mentioned in the applicability section: (a) in the circumstances mentioned in the requirement section; and (b) in accordance with the instructions set out in the requirement section; and (c) at the time mentioned in the compliance section.</w:t>
      </w:r>
    </w:p>
    <w:p w14:paraId="2511F15A" w14:textId="41FB8BA8" w:rsidR="00426736" w:rsidRPr="00EA3D13" w:rsidRDefault="00EA3D13" w:rsidP="006A160A">
      <w:pPr>
        <w:pStyle w:val="Heading1"/>
        <w:rPr>
          <w:rFonts w:cs="Arial"/>
          <w:b w:val="0"/>
          <w:bCs/>
          <w:szCs w:val="24"/>
        </w:rPr>
      </w:pPr>
      <w:r w:rsidRPr="006A160A">
        <w:t>Airbus</w:t>
      </w:r>
      <w:r>
        <w:rPr>
          <w:rFonts w:cs="Arial"/>
          <w:bCs/>
          <w:szCs w:val="24"/>
        </w:rPr>
        <w:t xml:space="preserve"> A319, A320 and A321 Series Aeroplanes</w:t>
      </w:r>
    </w:p>
    <w:tbl>
      <w:tblPr>
        <w:tblW w:w="0" w:type="auto"/>
        <w:tblLayout w:type="fixed"/>
        <w:tblLook w:val="0000" w:firstRow="0" w:lastRow="0" w:firstColumn="0" w:lastColumn="0" w:noHBand="0" w:noVBand="0"/>
        <w:tblDescription w:val="Amended airworthiness directive"/>
      </w:tblPr>
      <w:tblGrid>
        <w:gridCol w:w="1809"/>
        <w:gridCol w:w="6663"/>
        <w:gridCol w:w="1723"/>
      </w:tblGrid>
      <w:tr w:rsidR="00426736" w14:paraId="264BD33B" w14:textId="77777777" w:rsidTr="00E137FC">
        <w:tc>
          <w:tcPr>
            <w:tcW w:w="1809" w:type="dxa"/>
          </w:tcPr>
          <w:p w14:paraId="3C64DCDE" w14:textId="420A96F0" w:rsidR="00426736" w:rsidRDefault="00426736" w:rsidP="00EA3D13">
            <w:pPr>
              <w:pStyle w:val="Heading2"/>
              <w:ind w:right="-111"/>
            </w:pPr>
            <w:r>
              <w:t>AD</w:t>
            </w:r>
            <w:r w:rsidR="000E7214">
              <w:t>/</w:t>
            </w:r>
            <w:r w:rsidR="00EA3D13">
              <w:t>A320</w:t>
            </w:r>
            <w:r w:rsidR="000E7214">
              <w:t>/</w:t>
            </w:r>
            <w:r w:rsidR="00EA3D13">
              <w:t>199</w:t>
            </w:r>
            <w:r w:rsidR="001C1971">
              <w:t xml:space="preserve"> </w:t>
            </w:r>
            <w:proofErr w:type="spellStart"/>
            <w:r w:rsidR="001C1971">
              <w:t>Amdt</w:t>
            </w:r>
            <w:proofErr w:type="spellEnd"/>
            <w:r w:rsidR="00510BFA">
              <w:t xml:space="preserve"> </w:t>
            </w:r>
            <w:r w:rsidR="00EA3D13">
              <w:t>2</w:t>
            </w:r>
          </w:p>
        </w:tc>
        <w:tc>
          <w:tcPr>
            <w:tcW w:w="6663" w:type="dxa"/>
          </w:tcPr>
          <w:p w14:paraId="0479FBF5" w14:textId="519E8183" w:rsidR="00426736" w:rsidRDefault="00EA3D13">
            <w:pPr>
              <w:pStyle w:val="Heading2"/>
              <w:jc w:val="center"/>
            </w:pPr>
            <w:bookmarkStart w:id="0" w:name="_Hlk66881512"/>
            <w:r w:rsidRPr="00EA3D13">
              <w:t>State of Design Airworthiness Directiv</w:t>
            </w:r>
            <w:r>
              <w:t>es</w:t>
            </w:r>
            <w:bookmarkEnd w:id="0"/>
          </w:p>
        </w:tc>
        <w:tc>
          <w:tcPr>
            <w:tcW w:w="1723" w:type="dxa"/>
          </w:tcPr>
          <w:p w14:paraId="56C3882C" w14:textId="12E6F0C8" w:rsidR="00426736" w:rsidRDefault="000C11BF" w:rsidP="00ED7A98">
            <w:pPr>
              <w:pStyle w:val="Heading2"/>
              <w:jc w:val="center"/>
            </w:pPr>
            <w:r w:rsidRPr="000C11BF">
              <w:t>6</w:t>
            </w:r>
            <w:r w:rsidR="00EA3D13" w:rsidRPr="000C11BF">
              <w:t>/2021</w:t>
            </w:r>
          </w:p>
        </w:tc>
      </w:tr>
    </w:tbl>
    <w:p w14:paraId="45F350B4" w14:textId="43811933" w:rsidR="00426736" w:rsidRDefault="00426736">
      <w:pPr>
        <w:pStyle w:val="Style1"/>
      </w:pPr>
    </w:p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Description w:val="Amended airworthiness directive"/>
      </w:tblPr>
      <w:tblGrid>
        <w:gridCol w:w="1701"/>
        <w:gridCol w:w="8505"/>
      </w:tblGrid>
      <w:tr w:rsidR="00426736" w14:paraId="0D7B007E" w14:textId="77777777" w:rsidTr="00165F85">
        <w:tc>
          <w:tcPr>
            <w:tcW w:w="1701" w:type="dxa"/>
          </w:tcPr>
          <w:p w14:paraId="226BF42A" w14:textId="7DB3C481" w:rsidR="00426736" w:rsidRDefault="00426736" w:rsidP="00165F85">
            <w:r>
              <w:t>Applicability:</w:t>
            </w:r>
          </w:p>
        </w:tc>
        <w:tc>
          <w:tcPr>
            <w:tcW w:w="8505" w:type="dxa"/>
          </w:tcPr>
          <w:p w14:paraId="2282C2E1" w14:textId="34FBF893" w:rsidR="00426736" w:rsidRDefault="00EA3D13" w:rsidP="00165F85">
            <w:r w:rsidRPr="00EA3D13">
              <w:t>A319, A320 and A321 series aeroplanes manufactured prior to 1 January 2002.</w:t>
            </w:r>
          </w:p>
        </w:tc>
      </w:tr>
      <w:tr w:rsidR="00426736" w14:paraId="6AF4CBEA" w14:textId="77777777" w:rsidTr="00165F85">
        <w:tc>
          <w:tcPr>
            <w:tcW w:w="1701" w:type="dxa"/>
          </w:tcPr>
          <w:p w14:paraId="42CE9194" w14:textId="6A79649C" w:rsidR="00426736" w:rsidRDefault="00426736" w:rsidP="00165F85">
            <w:r>
              <w:t>Requirement:</w:t>
            </w:r>
          </w:p>
        </w:tc>
        <w:tc>
          <w:tcPr>
            <w:tcW w:w="8505" w:type="dxa"/>
          </w:tcPr>
          <w:p w14:paraId="5A310F8C" w14:textId="27D1245A" w:rsidR="003B21B9" w:rsidRDefault="00EA3D13" w:rsidP="00165F85">
            <w:pPr>
              <w:pStyle w:val="ListParagraph"/>
              <w:numPr>
                <w:ilvl w:val="0"/>
                <w:numId w:val="1"/>
              </w:numPr>
              <w:spacing w:after="0"/>
              <w:ind w:left="568" w:hanging="567"/>
              <w:rPr>
                <w:szCs w:val="24"/>
              </w:rPr>
            </w:pPr>
            <w:r w:rsidRPr="00EA3D13">
              <w:rPr>
                <w:szCs w:val="24"/>
              </w:rPr>
              <w:t xml:space="preserve">Determine the applicability of </w:t>
            </w:r>
            <w:r w:rsidR="003E2747">
              <w:rPr>
                <w:szCs w:val="24"/>
              </w:rPr>
              <w:t xml:space="preserve">the </w:t>
            </w:r>
            <w:r w:rsidR="003E2747" w:rsidRPr="003E2747">
              <w:rPr>
                <w:szCs w:val="24"/>
              </w:rPr>
              <w:t xml:space="preserve">French Directorate General for Civil Aviation </w:t>
            </w:r>
            <w:r w:rsidR="003E2747" w:rsidRPr="0036447F">
              <w:rPr>
                <w:b/>
                <w:bCs/>
                <w:szCs w:val="24"/>
              </w:rPr>
              <w:t>(</w:t>
            </w:r>
            <w:r w:rsidR="003E2747" w:rsidRPr="0036447F">
              <w:rPr>
                <w:b/>
                <w:bCs/>
                <w:i/>
                <w:iCs/>
                <w:szCs w:val="24"/>
              </w:rPr>
              <w:t>DGAC</w:t>
            </w:r>
            <w:r w:rsidR="003E2747" w:rsidRPr="0036447F">
              <w:rPr>
                <w:b/>
                <w:bCs/>
                <w:szCs w:val="24"/>
              </w:rPr>
              <w:t>)</w:t>
            </w:r>
            <w:r w:rsidR="003E2747" w:rsidRPr="003E2747">
              <w:rPr>
                <w:szCs w:val="24"/>
              </w:rPr>
              <w:t xml:space="preserve"> and United States of America Federal Aviation Administration </w:t>
            </w:r>
            <w:r w:rsidR="003E2747" w:rsidRPr="0036447F">
              <w:rPr>
                <w:b/>
                <w:bCs/>
                <w:szCs w:val="24"/>
              </w:rPr>
              <w:t>(</w:t>
            </w:r>
            <w:r w:rsidR="003E2747" w:rsidRPr="0036447F">
              <w:rPr>
                <w:b/>
                <w:bCs/>
                <w:i/>
                <w:iCs/>
                <w:szCs w:val="24"/>
              </w:rPr>
              <w:t>FAA</w:t>
            </w:r>
            <w:r w:rsidR="003E2747" w:rsidRPr="0036447F">
              <w:rPr>
                <w:b/>
                <w:bCs/>
                <w:szCs w:val="24"/>
              </w:rPr>
              <w:t>)</w:t>
            </w:r>
            <w:r w:rsidR="003E2747">
              <w:rPr>
                <w:szCs w:val="24"/>
              </w:rPr>
              <w:t xml:space="preserve"> </w:t>
            </w:r>
            <w:r w:rsidRPr="00EA3D13">
              <w:rPr>
                <w:szCs w:val="24"/>
              </w:rPr>
              <w:t>Airworthiness Directives (AD) listed in Table 1</w:t>
            </w:r>
            <w:r w:rsidR="003B21B9">
              <w:rPr>
                <w:szCs w:val="24"/>
              </w:rPr>
              <w:t>, as in force from time to time</w:t>
            </w:r>
            <w:r w:rsidRPr="00EA3D13">
              <w:rPr>
                <w:szCs w:val="24"/>
              </w:rPr>
              <w:t>.</w:t>
            </w:r>
          </w:p>
          <w:p w14:paraId="1D6C636B" w14:textId="7739E7DB" w:rsidR="003B21B9" w:rsidRPr="0036447F" w:rsidRDefault="003B21B9" w:rsidP="00165F85">
            <w:pPr>
              <w:rPr>
                <w:i/>
                <w:iCs/>
              </w:rPr>
            </w:pPr>
            <w:r w:rsidRPr="0036447F">
              <w:rPr>
                <w:i/>
                <w:iCs/>
              </w:rPr>
              <w:t>Note 1:  The words “as in force from time to time” require compliance with the most</w:t>
            </w:r>
            <w:r>
              <w:rPr>
                <w:i/>
                <w:iCs/>
              </w:rPr>
              <w:t xml:space="preserve"> </w:t>
            </w:r>
            <w:r w:rsidRPr="0036447F">
              <w:rPr>
                <w:i/>
                <w:iCs/>
              </w:rPr>
              <w:t>recent version of the referenced document.</w:t>
            </w:r>
          </w:p>
          <w:p w14:paraId="11E7CB0D" w14:textId="08DA9AAA" w:rsidR="00E33971" w:rsidRPr="00E33971" w:rsidRDefault="00EA3D13" w:rsidP="00165F85">
            <w:pPr>
              <w:pStyle w:val="ListParagraph"/>
              <w:numPr>
                <w:ilvl w:val="0"/>
                <w:numId w:val="1"/>
              </w:numPr>
              <w:spacing w:after="0"/>
              <w:ind w:left="568" w:hanging="577"/>
              <w:rPr>
                <w:szCs w:val="24"/>
              </w:rPr>
            </w:pPr>
            <w:r w:rsidRPr="00EA3D13">
              <w:rPr>
                <w:szCs w:val="24"/>
              </w:rPr>
              <w:t>If it is determined that a</w:t>
            </w:r>
            <w:r>
              <w:rPr>
                <w:szCs w:val="24"/>
              </w:rPr>
              <w:t xml:space="preserve">n </w:t>
            </w:r>
            <w:r w:rsidRPr="00EA3D13">
              <w:rPr>
                <w:szCs w:val="24"/>
              </w:rPr>
              <w:t>AD</w:t>
            </w:r>
            <w:r>
              <w:rPr>
                <w:szCs w:val="24"/>
              </w:rPr>
              <w:t xml:space="preserve"> </w:t>
            </w:r>
            <w:r w:rsidRPr="00EA3D13">
              <w:rPr>
                <w:szCs w:val="24"/>
              </w:rPr>
              <w:t>listed in Table 1 is applicable and has not</w:t>
            </w:r>
            <w:r>
              <w:rPr>
                <w:szCs w:val="24"/>
              </w:rPr>
              <w:t xml:space="preserve"> </w:t>
            </w:r>
            <w:r w:rsidRPr="00EA3D13">
              <w:rPr>
                <w:szCs w:val="24"/>
              </w:rPr>
              <w:t>been previously accomplished, perform the actions required by that AD.</w:t>
            </w:r>
          </w:p>
          <w:p w14:paraId="411925F3" w14:textId="04656B0C" w:rsidR="00E33971" w:rsidRDefault="00EA3D13" w:rsidP="00165F8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Table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8"/>
              <w:gridCol w:w="2759"/>
              <w:gridCol w:w="2759"/>
            </w:tblGrid>
            <w:tr w:rsidR="00EA3D13" w14:paraId="1D36DA65" w14:textId="77777777" w:rsidTr="00EA3D13">
              <w:tc>
                <w:tcPr>
                  <w:tcW w:w="2758" w:type="dxa"/>
                </w:tcPr>
                <w:p w14:paraId="7FA80DE5" w14:textId="25E3A5F5" w:rsidR="00EA3D13" w:rsidRPr="00EA3D13" w:rsidRDefault="00EA3D13" w:rsidP="00165F85">
                  <w:pPr>
                    <w:pStyle w:val="Note"/>
                    <w:jc w:val="center"/>
                    <w:rPr>
                      <w:b/>
                      <w:bCs/>
                      <w:i w:val="0"/>
                    </w:rPr>
                  </w:pPr>
                  <w:r w:rsidRPr="00EA3D13">
                    <w:rPr>
                      <w:b/>
                      <w:bCs/>
                      <w:i w:val="0"/>
                    </w:rPr>
                    <w:t>AD Number</w:t>
                  </w:r>
                </w:p>
              </w:tc>
              <w:tc>
                <w:tcPr>
                  <w:tcW w:w="2759" w:type="dxa"/>
                </w:tcPr>
                <w:p w14:paraId="6D29F4F6" w14:textId="72F7045B" w:rsidR="00EA3D13" w:rsidRPr="00EA3D13" w:rsidRDefault="00EA3D13" w:rsidP="00165F85">
                  <w:pPr>
                    <w:pStyle w:val="Note"/>
                    <w:jc w:val="center"/>
                    <w:rPr>
                      <w:b/>
                      <w:bCs/>
                      <w:i w:val="0"/>
                    </w:rPr>
                  </w:pPr>
                  <w:r w:rsidRPr="00EA3D13">
                    <w:rPr>
                      <w:b/>
                      <w:bCs/>
                      <w:i w:val="0"/>
                    </w:rPr>
                    <w:t>Effective Date</w:t>
                  </w:r>
                </w:p>
              </w:tc>
              <w:tc>
                <w:tcPr>
                  <w:tcW w:w="2759" w:type="dxa"/>
                </w:tcPr>
                <w:p w14:paraId="7DA77B6C" w14:textId="6DDA64C5" w:rsidR="00EA3D13" w:rsidRDefault="00EA3D13" w:rsidP="00165F85">
                  <w:pPr>
                    <w:pStyle w:val="Note"/>
                    <w:jc w:val="center"/>
                    <w:rPr>
                      <w:i w:val="0"/>
                    </w:rPr>
                  </w:pPr>
                  <w:r w:rsidRPr="00EA3D13">
                    <w:rPr>
                      <w:b/>
                      <w:bCs/>
                      <w:i w:val="0"/>
                    </w:rPr>
                    <w:t>Title</w:t>
                  </w:r>
                </w:p>
              </w:tc>
            </w:tr>
            <w:tr w:rsidR="00EA3D13" w14:paraId="30FDDA6A" w14:textId="77777777" w:rsidTr="00EA3D13">
              <w:tc>
                <w:tcPr>
                  <w:tcW w:w="2758" w:type="dxa"/>
                </w:tcPr>
                <w:p w14:paraId="5C65076B" w14:textId="138BF594" w:rsidR="00EA3D13" w:rsidRDefault="00EA3D13" w:rsidP="00165F85">
                  <w:pPr>
                    <w:pStyle w:val="Note"/>
                    <w:rPr>
                      <w:i w:val="0"/>
                    </w:rPr>
                  </w:pPr>
                  <w:r w:rsidRPr="00EA3D13">
                    <w:rPr>
                      <w:i w:val="0"/>
                    </w:rPr>
                    <w:t>1992-164-026(B)</w:t>
                  </w:r>
                </w:p>
              </w:tc>
              <w:tc>
                <w:tcPr>
                  <w:tcW w:w="2759" w:type="dxa"/>
                </w:tcPr>
                <w:p w14:paraId="2ADA6C96" w14:textId="1596E264" w:rsidR="00EA3D13" w:rsidRDefault="00EC7855" w:rsidP="00165F85">
                  <w:pPr>
                    <w:pStyle w:val="Note"/>
                    <w:rPr>
                      <w:i w:val="0"/>
                    </w:rPr>
                  </w:pPr>
                  <w:r w:rsidRPr="00EC7855">
                    <w:rPr>
                      <w:i w:val="0"/>
                    </w:rPr>
                    <w:t>29 August 1992</w:t>
                  </w:r>
                </w:p>
              </w:tc>
              <w:tc>
                <w:tcPr>
                  <w:tcW w:w="2759" w:type="dxa"/>
                </w:tcPr>
                <w:p w14:paraId="188492BB" w14:textId="2D3DCC1B" w:rsidR="00EA3D13" w:rsidRPr="003C24DD" w:rsidRDefault="00EC7855" w:rsidP="00165F85">
                  <w:pPr>
                    <w:pStyle w:val="Note"/>
                    <w:rPr>
                      <w:i w:val="0"/>
                    </w:rPr>
                  </w:pPr>
                  <w:r w:rsidRPr="00EC7855">
                    <w:rPr>
                      <w:i w:val="0"/>
                    </w:rPr>
                    <w:t>Reinforcement of nose landing gear wheels</w:t>
                  </w:r>
                </w:p>
              </w:tc>
            </w:tr>
            <w:tr w:rsidR="00EA3D13" w14:paraId="25A25CB4" w14:textId="77777777" w:rsidTr="00EA3D13">
              <w:tc>
                <w:tcPr>
                  <w:tcW w:w="2758" w:type="dxa"/>
                </w:tcPr>
                <w:p w14:paraId="15B0DD1E" w14:textId="7E0F6CBE" w:rsidR="00EA3D13" w:rsidRPr="00EC7855" w:rsidRDefault="002B0CD0" w:rsidP="00165F85">
                  <w:pPr>
                    <w:pStyle w:val="Note"/>
                    <w:rPr>
                      <w:i w:val="0"/>
                    </w:rPr>
                  </w:pPr>
                  <w:r>
                    <w:rPr>
                      <w:i w:val="0"/>
                    </w:rPr>
                    <w:t>1</w:t>
                  </w:r>
                  <w:r w:rsidR="00EA3D13" w:rsidRPr="00EC7855">
                    <w:rPr>
                      <w:i w:val="0"/>
                    </w:rPr>
                    <w:t>992-211-036(B) R1</w:t>
                  </w:r>
                </w:p>
              </w:tc>
              <w:tc>
                <w:tcPr>
                  <w:tcW w:w="2759" w:type="dxa"/>
                </w:tcPr>
                <w:p w14:paraId="3D1F7BC0" w14:textId="044CBA7F" w:rsidR="00EA3D13" w:rsidRPr="00EC7855" w:rsidRDefault="00EC7855" w:rsidP="00165F85">
                  <w:pPr>
                    <w:pStyle w:val="Note"/>
                    <w:rPr>
                      <w:i w:val="0"/>
                    </w:rPr>
                  </w:pPr>
                  <w:r w:rsidRPr="003C24DD">
                    <w:rPr>
                      <w:i w:val="0"/>
                    </w:rPr>
                    <w:t>9 May 1993</w:t>
                  </w:r>
                </w:p>
              </w:tc>
              <w:tc>
                <w:tcPr>
                  <w:tcW w:w="2759" w:type="dxa"/>
                </w:tcPr>
                <w:p w14:paraId="7BDB42E6" w14:textId="5B42B157" w:rsidR="00EA3D13" w:rsidRDefault="00EC7855" w:rsidP="00165F85">
                  <w:pPr>
                    <w:pStyle w:val="Note"/>
                    <w:rPr>
                      <w:i w:val="0"/>
                    </w:rPr>
                  </w:pPr>
                  <w:r w:rsidRPr="00EC7855">
                    <w:rPr>
                      <w:i w:val="0"/>
                    </w:rPr>
                    <w:t>Trimmable horizontal stabilizer</w:t>
                  </w:r>
                </w:p>
              </w:tc>
            </w:tr>
            <w:tr w:rsidR="00EA3D13" w14:paraId="3F0475E0" w14:textId="77777777" w:rsidTr="00EA3D13">
              <w:tc>
                <w:tcPr>
                  <w:tcW w:w="2758" w:type="dxa"/>
                </w:tcPr>
                <w:p w14:paraId="60CB35A3" w14:textId="13307598" w:rsidR="00EA3D13" w:rsidRDefault="004D5F81" w:rsidP="00165F85">
                  <w:pPr>
                    <w:pStyle w:val="Note"/>
                    <w:rPr>
                      <w:i w:val="0"/>
                    </w:rPr>
                  </w:pPr>
                  <w:r w:rsidRPr="004D5F81">
                    <w:rPr>
                      <w:i w:val="0"/>
                    </w:rPr>
                    <w:t>1992-271-039(B) R3</w:t>
                  </w:r>
                </w:p>
              </w:tc>
              <w:tc>
                <w:tcPr>
                  <w:tcW w:w="2759" w:type="dxa"/>
                </w:tcPr>
                <w:p w14:paraId="6ED59CA8" w14:textId="3BCC080B" w:rsidR="00EA3D13" w:rsidRDefault="004D5F81" w:rsidP="00165F85">
                  <w:pPr>
                    <w:pStyle w:val="Note"/>
                    <w:rPr>
                      <w:i w:val="0"/>
                    </w:rPr>
                  </w:pPr>
                  <w:r w:rsidRPr="004D5F81">
                    <w:rPr>
                      <w:i w:val="0"/>
                    </w:rPr>
                    <w:t>23 March 1996</w:t>
                  </w:r>
                </w:p>
              </w:tc>
              <w:tc>
                <w:tcPr>
                  <w:tcW w:w="2759" w:type="dxa"/>
                </w:tcPr>
                <w:p w14:paraId="13E7CF32" w14:textId="20429319" w:rsidR="00EA3D13" w:rsidRDefault="004D5F81" w:rsidP="00165F85">
                  <w:pPr>
                    <w:pStyle w:val="Note"/>
                    <w:rPr>
                      <w:i w:val="0"/>
                    </w:rPr>
                  </w:pPr>
                  <w:r w:rsidRPr="004D5F81">
                    <w:rPr>
                      <w:i w:val="0"/>
                    </w:rPr>
                    <w:t>Electric terminal blocks</w:t>
                  </w:r>
                </w:p>
              </w:tc>
            </w:tr>
            <w:tr w:rsidR="00EA3D13" w14:paraId="1269F39C" w14:textId="77777777" w:rsidTr="00EA3D13">
              <w:tc>
                <w:tcPr>
                  <w:tcW w:w="2758" w:type="dxa"/>
                </w:tcPr>
                <w:p w14:paraId="513F5F70" w14:textId="5F9BF5ED" w:rsidR="00A652EB" w:rsidRPr="00A652EB" w:rsidRDefault="00A652EB" w:rsidP="00165F85">
                  <w:pPr>
                    <w:pStyle w:val="Note"/>
                    <w:rPr>
                      <w:i w:val="0"/>
                    </w:rPr>
                  </w:pPr>
                  <w:r w:rsidRPr="00A652EB">
                    <w:rPr>
                      <w:i w:val="0"/>
                    </w:rPr>
                    <w:t xml:space="preserve">1994-030-050(B) </w:t>
                  </w:r>
                </w:p>
                <w:p w14:paraId="292ADB82" w14:textId="77777777" w:rsidR="00EA3D13" w:rsidRDefault="00EA3D13" w:rsidP="00165F85">
                  <w:pPr>
                    <w:pStyle w:val="Note"/>
                    <w:rPr>
                      <w:i w:val="0"/>
                    </w:rPr>
                  </w:pPr>
                </w:p>
              </w:tc>
              <w:tc>
                <w:tcPr>
                  <w:tcW w:w="2759" w:type="dxa"/>
                </w:tcPr>
                <w:p w14:paraId="6C33C87D" w14:textId="4A82467C" w:rsidR="00EA3D13" w:rsidRDefault="00A652EB" w:rsidP="00165F85">
                  <w:pPr>
                    <w:pStyle w:val="Note"/>
                    <w:rPr>
                      <w:i w:val="0"/>
                    </w:rPr>
                  </w:pPr>
                  <w:r w:rsidRPr="00A652EB">
                    <w:rPr>
                      <w:i w:val="0"/>
                    </w:rPr>
                    <w:t>12 February1994</w:t>
                  </w:r>
                </w:p>
              </w:tc>
              <w:tc>
                <w:tcPr>
                  <w:tcW w:w="2759" w:type="dxa"/>
                </w:tcPr>
                <w:p w14:paraId="199F6171" w14:textId="3521C1AE" w:rsidR="00EA3D13" w:rsidRDefault="00A652EB" w:rsidP="00165F85">
                  <w:pPr>
                    <w:pStyle w:val="Note"/>
                    <w:rPr>
                      <w:i w:val="0"/>
                    </w:rPr>
                  </w:pPr>
                  <w:r w:rsidRPr="00A652EB">
                    <w:rPr>
                      <w:i w:val="0"/>
                    </w:rPr>
                    <w:t>Junction box and electrical harness</w:t>
                  </w:r>
                  <w:r w:rsidR="003C24DD" w:rsidRPr="003C24DD">
                    <w:rPr>
                      <w:i w:val="0"/>
                    </w:rPr>
                    <w:t xml:space="preserve"> on CFM 56-5A</w:t>
                  </w:r>
                </w:p>
              </w:tc>
            </w:tr>
            <w:tr w:rsidR="00EA3D13" w14:paraId="0E7493CF" w14:textId="77777777" w:rsidTr="00EA3D13">
              <w:tc>
                <w:tcPr>
                  <w:tcW w:w="2758" w:type="dxa"/>
                </w:tcPr>
                <w:p w14:paraId="05B36D0F" w14:textId="2D06EAC7" w:rsidR="00EA3D13" w:rsidRDefault="003C24DD" w:rsidP="00165F85">
                  <w:pPr>
                    <w:pStyle w:val="Note"/>
                    <w:rPr>
                      <w:i w:val="0"/>
                    </w:rPr>
                  </w:pPr>
                  <w:r w:rsidRPr="003C24DD">
                    <w:rPr>
                      <w:i w:val="0"/>
                    </w:rPr>
                    <w:t>1994-058-053(B) R1</w:t>
                  </w:r>
                </w:p>
              </w:tc>
              <w:tc>
                <w:tcPr>
                  <w:tcW w:w="2759" w:type="dxa"/>
                </w:tcPr>
                <w:p w14:paraId="4F6B9391" w14:textId="22F06D1D" w:rsidR="00EA3D13" w:rsidRDefault="003C24DD" w:rsidP="00165F85">
                  <w:pPr>
                    <w:pStyle w:val="Note"/>
                    <w:rPr>
                      <w:i w:val="0"/>
                    </w:rPr>
                  </w:pPr>
                  <w:r w:rsidRPr="003C24DD">
                    <w:rPr>
                      <w:i w:val="0"/>
                    </w:rPr>
                    <w:t>16 July 1994</w:t>
                  </w:r>
                </w:p>
              </w:tc>
              <w:tc>
                <w:tcPr>
                  <w:tcW w:w="2759" w:type="dxa"/>
                </w:tcPr>
                <w:p w14:paraId="6D090793" w14:textId="7B9DA447" w:rsidR="00EA3D13" w:rsidRPr="003C24DD" w:rsidRDefault="003C24DD" w:rsidP="00165F85">
                  <w:pPr>
                    <w:pStyle w:val="Note"/>
                    <w:rPr>
                      <w:i w:val="0"/>
                    </w:rPr>
                  </w:pPr>
                  <w:r w:rsidRPr="003C24DD">
                    <w:rPr>
                      <w:i w:val="0"/>
                    </w:rPr>
                    <w:t>IAE V2500-A1 engine fire extinguisher distribution pipe</w:t>
                  </w:r>
                </w:p>
              </w:tc>
            </w:tr>
            <w:tr w:rsidR="00EA3D13" w14:paraId="6AB62258" w14:textId="77777777" w:rsidTr="00EA3D13">
              <w:tc>
                <w:tcPr>
                  <w:tcW w:w="2758" w:type="dxa"/>
                </w:tcPr>
                <w:p w14:paraId="295713FD" w14:textId="5A66DEBB" w:rsidR="00EA3D13" w:rsidRPr="008D0244" w:rsidRDefault="008D0244" w:rsidP="00165F85">
                  <w:pPr>
                    <w:pStyle w:val="Note"/>
                    <w:rPr>
                      <w:i w:val="0"/>
                    </w:rPr>
                  </w:pPr>
                  <w:r w:rsidRPr="008D0244">
                    <w:rPr>
                      <w:i w:val="0"/>
                    </w:rPr>
                    <w:t>1994-167-057(B)</w:t>
                  </w:r>
                </w:p>
              </w:tc>
              <w:tc>
                <w:tcPr>
                  <w:tcW w:w="2759" w:type="dxa"/>
                </w:tcPr>
                <w:p w14:paraId="0CA695B3" w14:textId="09F45A0A" w:rsidR="00EA3D13" w:rsidRPr="008D0244" w:rsidRDefault="008D0244" w:rsidP="00165F85">
                  <w:pPr>
                    <w:pStyle w:val="Note"/>
                    <w:rPr>
                      <w:i w:val="0"/>
                    </w:rPr>
                  </w:pPr>
                  <w:r w:rsidRPr="008D0244">
                    <w:rPr>
                      <w:i w:val="0"/>
                      <w:szCs w:val="24"/>
                    </w:rPr>
                    <w:t>30 July 1994</w:t>
                  </w:r>
                </w:p>
              </w:tc>
              <w:tc>
                <w:tcPr>
                  <w:tcW w:w="2759" w:type="dxa"/>
                </w:tcPr>
                <w:p w14:paraId="6DC99DC3" w14:textId="6B493BD8" w:rsidR="00EA3D13" w:rsidRDefault="008D0244" w:rsidP="00165F85">
                  <w:pPr>
                    <w:pStyle w:val="Note"/>
                    <w:rPr>
                      <w:i w:val="0"/>
                    </w:rPr>
                  </w:pPr>
                  <w:r w:rsidRPr="008D0244">
                    <w:rPr>
                      <w:i w:val="0"/>
                    </w:rPr>
                    <w:t>IAE V2500-A1 sealing of fire wall</w:t>
                  </w:r>
                </w:p>
              </w:tc>
            </w:tr>
            <w:tr w:rsidR="00EA3D13" w14:paraId="6ECEC9AA" w14:textId="77777777" w:rsidTr="00EA3D13">
              <w:tc>
                <w:tcPr>
                  <w:tcW w:w="2758" w:type="dxa"/>
                </w:tcPr>
                <w:p w14:paraId="6850885F" w14:textId="1849544B" w:rsidR="00EA3D13" w:rsidRPr="008D0244" w:rsidRDefault="008D0244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>
                    <w:rPr>
                      <w:i w:val="0"/>
                      <w:szCs w:val="24"/>
                    </w:rPr>
                    <w:t>1</w:t>
                  </w:r>
                  <w:r w:rsidRPr="008D0244">
                    <w:rPr>
                      <w:i w:val="0"/>
                      <w:szCs w:val="24"/>
                    </w:rPr>
                    <w:t xml:space="preserve">995-016-063(B) </w:t>
                  </w:r>
                </w:p>
              </w:tc>
              <w:tc>
                <w:tcPr>
                  <w:tcW w:w="2759" w:type="dxa"/>
                </w:tcPr>
                <w:p w14:paraId="748C8EC2" w14:textId="42816844" w:rsidR="00EA3D13" w:rsidRPr="008D0244" w:rsidRDefault="008D0244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8D0244">
                    <w:rPr>
                      <w:i w:val="0"/>
                      <w:szCs w:val="24"/>
                    </w:rPr>
                    <w:t>28 January 1995</w:t>
                  </w:r>
                </w:p>
              </w:tc>
              <w:tc>
                <w:tcPr>
                  <w:tcW w:w="2759" w:type="dxa"/>
                </w:tcPr>
                <w:p w14:paraId="4F4D980B" w14:textId="5858EF3A" w:rsidR="00EA3D13" w:rsidRPr="008D0244" w:rsidRDefault="008D0244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8D0244">
                    <w:rPr>
                      <w:i w:val="0"/>
                      <w:szCs w:val="24"/>
                    </w:rPr>
                    <w:t>Main landing gear shock absorber upper bearing dowel retention</w:t>
                  </w:r>
                </w:p>
              </w:tc>
            </w:tr>
            <w:tr w:rsidR="00EA3D13" w14:paraId="35330FA9" w14:textId="77777777" w:rsidTr="00EA3D13">
              <w:tc>
                <w:tcPr>
                  <w:tcW w:w="2758" w:type="dxa"/>
                </w:tcPr>
                <w:p w14:paraId="6257B83A" w14:textId="2905F326" w:rsidR="00EA3D13" w:rsidRPr="008D0244" w:rsidRDefault="008D0244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8D0244">
                    <w:rPr>
                      <w:i w:val="0"/>
                      <w:szCs w:val="24"/>
                    </w:rPr>
                    <w:t xml:space="preserve">1996-170-082(B) </w:t>
                  </w:r>
                </w:p>
              </w:tc>
              <w:tc>
                <w:tcPr>
                  <w:tcW w:w="2759" w:type="dxa"/>
                </w:tcPr>
                <w:p w14:paraId="5A4381DA" w14:textId="500869D3" w:rsidR="00EA3D13" w:rsidRPr="008D0244" w:rsidRDefault="008D0244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8D0244">
                    <w:rPr>
                      <w:i w:val="0"/>
                      <w:szCs w:val="24"/>
                    </w:rPr>
                    <w:t>7 September 1996</w:t>
                  </w:r>
                </w:p>
              </w:tc>
              <w:tc>
                <w:tcPr>
                  <w:tcW w:w="2759" w:type="dxa"/>
                </w:tcPr>
                <w:p w14:paraId="6AD980E7" w14:textId="487503A8" w:rsidR="00EA3D13" w:rsidRPr="008D0244" w:rsidRDefault="008D0244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8D0244">
                    <w:rPr>
                      <w:i w:val="0"/>
                      <w:szCs w:val="24"/>
                    </w:rPr>
                    <w:t>Fuel pump strainer</w:t>
                  </w:r>
                </w:p>
              </w:tc>
            </w:tr>
            <w:tr w:rsidR="00EA3D13" w14:paraId="460FF163" w14:textId="77777777" w:rsidTr="00EA3D13">
              <w:tc>
                <w:tcPr>
                  <w:tcW w:w="2758" w:type="dxa"/>
                </w:tcPr>
                <w:p w14:paraId="62E4B832" w14:textId="4496DBC1" w:rsidR="00EA3D13" w:rsidRPr="002177A1" w:rsidRDefault="008F321D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2177A1">
                    <w:rPr>
                      <w:i w:val="0"/>
                      <w:szCs w:val="24"/>
                    </w:rPr>
                    <w:lastRenderedPageBreak/>
                    <w:t xml:space="preserve">FAA AD 97-03-06 </w:t>
                  </w:r>
                </w:p>
              </w:tc>
              <w:tc>
                <w:tcPr>
                  <w:tcW w:w="2759" w:type="dxa"/>
                </w:tcPr>
                <w:p w14:paraId="7B7B51DE" w14:textId="6ED03820" w:rsidR="00EA3D13" w:rsidRPr="002177A1" w:rsidRDefault="002177A1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2177A1">
                    <w:rPr>
                      <w:i w:val="0"/>
                      <w:szCs w:val="24"/>
                    </w:rPr>
                    <w:t>6 March 1997</w:t>
                  </w:r>
                </w:p>
              </w:tc>
              <w:tc>
                <w:tcPr>
                  <w:tcW w:w="2759" w:type="dxa"/>
                </w:tcPr>
                <w:p w14:paraId="4500AD94" w14:textId="6AE722A8" w:rsidR="00EA3D13" w:rsidRDefault="002177A1" w:rsidP="00165F85">
                  <w:pPr>
                    <w:pStyle w:val="Note"/>
                    <w:rPr>
                      <w:i w:val="0"/>
                    </w:rPr>
                  </w:pPr>
                  <w:r w:rsidRPr="002177A1">
                    <w:rPr>
                      <w:i w:val="0"/>
                    </w:rPr>
                    <w:t>Auxiliary Power International Corporation (APIC) Model APS3200 Auxiliary Power Units</w:t>
                  </w:r>
                </w:p>
              </w:tc>
            </w:tr>
            <w:tr w:rsidR="00EA3D13" w14:paraId="54687522" w14:textId="77777777" w:rsidTr="00EA3D13">
              <w:tc>
                <w:tcPr>
                  <w:tcW w:w="2758" w:type="dxa"/>
                </w:tcPr>
                <w:p w14:paraId="45774F5E" w14:textId="645FE9B0" w:rsidR="002177A1" w:rsidRPr="002177A1" w:rsidRDefault="002177A1" w:rsidP="00165F8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1997-203-102(B)R1 </w:t>
                  </w:r>
                </w:p>
                <w:p w14:paraId="6C485CC4" w14:textId="77777777" w:rsidR="00EA3D13" w:rsidRPr="002177A1" w:rsidRDefault="00EA3D13" w:rsidP="00165F85">
                  <w:pPr>
                    <w:pStyle w:val="Note"/>
                    <w:rPr>
                      <w:i w:val="0"/>
                      <w:szCs w:val="24"/>
                    </w:rPr>
                  </w:pPr>
                </w:p>
              </w:tc>
              <w:tc>
                <w:tcPr>
                  <w:tcW w:w="2759" w:type="dxa"/>
                </w:tcPr>
                <w:p w14:paraId="2F1BAD6F" w14:textId="45DDC6DC" w:rsidR="00EA3D13" w:rsidRPr="002177A1" w:rsidRDefault="002177A1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2177A1">
                    <w:rPr>
                      <w:i w:val="0"/>
                      <w:szCs w:val="24"/>
                    </w:rPr>
                    <w:t>18 April 1998</w:t>
                  </w:r>
                </w:p>
              </w:tc>
              <w:tc>
                <w:tcPr>
                  <w:tcW w:w="2759" w:type="dxa"/>
                </w:tcPr>
                <w:p w14:paraId="53D95A42" w14:textId="2DDE5420" w:rsidR="00EA3D13" w:rsidRDefault="002177A1" w:rsidP="00165F85">
                  <w:pPr>
                    <w:pStyle w:val="Note"/>
                    <w:rPr>
                      <w:i w:val="0"/>
                    </w:rPr>
                  </w:pPr>
                  <w:r w:rsidRPr="002177A1">
                    <w:rPr>
                      <w:i w:val="0"/>
                    </w:rPr>
                    <w:t>Probe Heater Computer</w:t>
                  </w:r>
                </w:p>
              </w:tc>
            </w:tr>
            <w:tr w:rsidR="00EA3D13" w14:paraId="1068A1E0" w14:textId="77777777" w:rsidTr="00EA3D13">
              <w:tc>
                <w:tcPr>
                  <w:tcW w:w="2758" w:type="dxa"/>
                </w:tcPr>
                <w:p w14:paraId="5FD06A86" w14:textId="31CB05F7" w:rsidR="00EA3D13" w:rsidRPr="002B0CD0" w:rsidRDefault="002B0CD0" w:rsidP="00165F85">
                  <w:pPr>
                    <w:rPr>
                      <w:szCs w:val="24"/>
                    </w:rPr>
                  </w:pPr>
                  <w:r w:rsidRPr="002B0CD0">
                    <w:rPr>
                      <w:szCs w:val="24"/>
                    </w:rPr>
                    <w:t>1998-152-114(B)</w:t>
                  </w:r>
                </w:p>
              </w:tc>
              <w:tc>
                <w:tcPr>
                  <w:tcW w:w="2759" w:type="dxa"/>
                </w:tcPr>
                <w:p w14:paraId="59938400" w14:textId="2F3A5456" w:rsidR="00EA3D13" w:rsidRPr="002B0CD0" w:rsidRDefault="002B0CD0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2B0CD0">
                    <w:rPr>
                      <w:i w:val="0"/>
                      <w:szCs w:val="24"/>
                    </w:rPr>
                    <w:t>18 April 1998</w:t>
                  </w:r>
                </w:p>
              </w:tc>
              <w:tc>
                <w:tcPr>
                  <w:tcW w:w="2759" w:type="dxa"/>
                </w:tcPr>
                <w:p w14:paraId="73C31D09" w14:textId="2049CD1C" w:rsidR="002B0CD0" w:rsidRPr="002B0CD0" w:rsidRDefault="002B0CD0" w:rsidP="00165F85">
                  <w:pPr>
                    <w:rPr>
                      <w:szCs w:val="24"/>
                    </w:rPr>
                  </w:pPr>
                  <w:r w:rsidRPr="002B0CD0">
                    <w:rPr>
                      <w:szCs w:val="24"/>
                    </w:rPr>
                    <w:t>Probe Heater Computer (ATA 30)</w:t>
                  </w:r>
                </w:p>
                <w:p w14:paraId="0B3BCE5E" w14:textId="2403C739" w:rsidR="00EA3D13" w:rsidRPr="002B0CD0" w:rsidRDefault="002B0CD0" w:rsidP="00165F85">
                  <w:pPr>
                    <w:rPr>
                      <w:szCs w:val="24"/>
                    </w:rPr>
                  </w:pPr>
                  <w:r w:rsidRPr="002B0CD0">
                    <w:rPr>
                      <w:szCs w:val="24"/>
                    </w:rPr>
                    <w:t>Test Procedures</w:t>
                  </w:r>
                </w:p>
              </w:tc>
            </w:tr>
            <w:tr w:rsidR="002B0CD0" w14:paraId="78344326" w14:textId="77777777" w:rsidTr="00EA3D13">
              <w:tc>
                <w:tcPr>
                  <w:tcW w:w="2758" w:type="dxa"/>
                </w:tcPr>
                <w:p w14:paraId="7811DB5B" w14:textId="1904CEC8" w:rsidR="002B0CD0" w:rsidRDefault="002B0CD0" w:rsidP="00165F85">
                  <w:pPr>
                    <w:rPr>
                      <w:szCs w:val="24"/>
                    </w:rPr>
                  </w:pPr>
                  <w:r w:rsidRPr="002B0CD0">
                    <w:rPr>
                      <w:szCs w:val="24"/>
                    </w:rPr>
                    <w:t xml:space="preserve">1998-451-121(B) </w:t>
                  </w:r>
                </w:p>
              </w:tc>
              <w:tc>
                <w:tcPr>
                  <w:tcW w:w="2759" w:type="dxa"/>
                </w:tcPr>
                <w:p w14:paraId="60191BC8" w14:textId="23259752" w:rsidR="002B0CD0" w:rsidRPr="002B0CD0" w:rsidRDefault="002B0CD0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2B0CD0">
                    <w:rPr>
                      <w:i w:val="0"/>
                      <w:szCs w:val="24"/>
                    </w:rPr>
                    <w:t>28 November 1998</w:t>
                  </w:r>
                </w:p>
              </w:tc>
              <w:tc>
                <w:tcPr>
                  <w:tcW w:w="2759" w:type="dxa"/>
                </w:tcPr>
                <w:p w14:paraId="3E4BACE3" w14:textId="3BC1A0B5" w:rsidR="002B0CD0" w:rsidRPr="002B0CD0" w:rsidRDefault="002B0CD0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2B0CD0">
                    <w:rPr>
                      <w:i w:val="0"/>
                      <w:szCs w:val="24"/>
                    </w:rPr>
                    <w:t>ILS Receiver (ATA 34)</w:t>
                  </w:r>
                </w:p>
              </w:tc>
            </w:tr>
            <w:tr w:rsidR="002B0CD0" w14:paraId="3194487A" w14:textId="77777777" w:rsidTr="00EA3D13">
              <w:tc>
                <w:tcPr>
                  <w:tcW w:w="2758" w:type="dxa"/>
                </w:tcPr>
                <w:p w14:paraId="0249DF41" w14:textId="1AC688A3" w:rsidR="002B0CD0" w:rsidRDefault="002B0CD0" w:rsidP="00165F85">
                  <w:pPr>
                    <w:rPr>
                      <w:szCs w:val="24"/>
                    </w:rPr>
                  </w:pPr>
                  <w:r w:rsidRPr="002B0CD0">
                    <w:rPr>
                      <w:szCs w:val="24"/>
                    </w:rPr>
                    <w:t xml:space="preserve">1999-361-138(B) </w:t>
                  </w:r>
                </w:p>
              </w:tc>
              <w:tc>
                <w:tcPr>
                  <w:tcW w:w="2759" w:type="dxa"/>
                </w:tcPr>
                <w:p w14:paraId="67066553" w14:textId="030B3B87" w:rsidR="002B0CD0" w:rsidRPr="002B0CD0" w:rsidRDefault="002B0CD0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2B0CD0">
                    <w:rPr>
                      <w:i w:val="0"/>
                      <w:szCs w:val="24"/>
                    </w:rPr>
                    <w:t>18 September 1999</w:t>
                  </w:r>
                </w:p>
              </w:tc>
              <w:tc>
                <w:tcPr>
                  <w:tcW w:w="2759" w:type="dxa"/>
                </w:tcPr>
                <w:p w14:paraId="7B6A2181" w14:textId="4D7488FD" w:rsidR="002B0CD0" w:rsidRPr="002B0CD0" w:rsidRDefault="002B0CD0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2B0CD0">
                    <w:rPr>
                      <w:i w:val="0"/>
                      <w:szCs w:val="24"/>
                    </w:rPr>
                    <w:t>Litton GPSSU (ATA 34)</w:t>
                  </w:r>
                </w:p>
              </w:tc>
            </w:tr>
            <w:tr w:rsidR="002B0CD0" w14:paraId="652C71CC" w14:textId="77777777" w:rsidTr="00EA3D13">
              <w:tc>
                <w:tcPr>
                  <w:tcW w:w="2758" w:type="dxa"/>
                </w:tcPr>
                <w:p w14:paraId="5CF0C68C" w14:textId="66D09550" w:rsidR="002B0CD0" w:rsidRDefault="002B0CD0" w:rsidP="00165F85">
                  <w:pPr>
                    <w:rPr>
                      <w:szCs w:val="24"/>
                    </w:rPr>
                  </w:pPr>
                  <w:r w:rsidRPr="002B0CD0">
                    <w:rPr>
                      <w:szCs w:val="24"/>
                    </w:rPr>
                    <w:t>2000-004-142(B)</w:t>
                  </w:r>
                </w:p>
              </w:tc>
              <w:tc>
                <w:tcPr>
                  <w:tcW w:w="2759" w:type="dxa"/>
                </w:tcPr>
                <w:p w14:paraId="1BFDCE17" w14:textId="5128DB9D" w:rsidR="002B0CD0" w:rsidRPr="002B0CD0" w:rsidRDefault="002B0CD0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2B0CD0">
                    <w:rPr>
                      <w:i w:val="0"/>
                      <w:szCs w:val="24"/>
                    </w:rPr>
                    <w:t>22 January 2000</w:t>
                  </w:r>
                </w:p>
              </w:tc>
              <w:tc>
                <w:tcPr>
                  <w:tcW w:w="2759" w:type="dxa"/>
                </w:tcPr>
                <w:p w14:paraId="72D80B0A" w14:textId="00F4C456" w:rsidR="002B0CD0" w:rsidRPr="002B0CD0" w:rsidRDefault="002B0CD0" w:rsidP="00165F85">
                  <w:pPr>
                    <w:rPr>
                      <w:szCs w:val="24"/>
                    </w:rPr>
                  </w:pPr>
                  <w:r w:rsidRPr="002B0CD0">
                    <w:rPr>
                      <w:szCs w:val="24"/>
                    </w:rPr>
                    <w:t>Rockwell Collins Radio Altimeter</w:t>
                  </w:r>
                  <w:r>
                    <w:rPr>
                      <w:szCs w:val="24"/>
                    </w:rPr>
                    <w:t xml:space="preserve"> </w:t>
                  </w:r>
                  <w:r w:rsidRPr="002B0CD0">
                    <w:rPr>
                      <w:szCs w:val="24"/>
                    </w:rPr>
                    <w:t>Software Anomalies (ATA 34)</w:t>
                  </w:r>
                </w:p>
              </w:tc>
            </w:tr>
            <w:tr w:rsidR="002B0CD0" w14:paraId="0C79E671" w14:textId="77777777" w:rsidTr="00EA3D13">
              <w:tc>
                <w:tcPr>
                  <w:tcW w:w="2758" w:type="dxa"/>
                </w:tcPr>
                <w:p w14:paraId="7869E37A" w14:textId="0C0EE813" w:rsidR="002B0CD0" w:rsidRDefault="003400C5" w:rsidP="00165F85">
                  <w:pPr>
                    <w:rPr>
                      <w:szCs w:val="24"/>
                    </w:rPr>
                  </w:pPr>
                  <w:r w:rsidRPr="003400C5">
                    <w:rPr>
                      <w:szCs w:val="24"/>
                    </w:rPr>
                    <w:t xml:space="preserve">2001-271(B) </w:t>
                  </w:r>
                </w:p>
              </w:tc>
              <w:tc>
                <w:tcPr>
                  <w:tcW w:w="2759" w:type="dxa"/>
                </w:tcPr>
                <w:p w14:paraId="1148C6A5" w14:textId="6E01FCD0" w:rsidR="002B0CD0" w:rsidRPr="002B0CD0" w:rsidRDefault="003400C5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3400C5">
                    <w:rPr>
                      <w:i w:val="0"/>
                      <w:szCs w:val="24"/>
                    </w:rPr>
                    <w:t>7 July 2001</w:t>
                  </w:r>
                </w:p>
              </w:tc>
              <w:tc>
                <w:tcPr>
                  <w:tcW w:w="2759" w:type="dxa"/>
                </w:tcPr>
                <w:p w14:paraId="2FF95D37" w14:textId="468B67CF" w:rsidR="002B0CD0" w:rsidRPr="003400C5" w:rsidRDefault="003400C5" w:rsidP="00165F85">
                  <w:pPr>
                    <w:rPr>
                      <w:szCs w:val="24"/>
                    </w:rPr>
                  </w:pPr>
                  <w:r w:rsidRPr="003400C5">
                    <w:rPr>
                      <w:szCs w:val="24"/>
                    </w:rPr>
                    <w:t>Loss of Fuel Quantity Indication</w:t>
                  </w:r>
                  <w:r>
                    <w:rPr>
                      <w:szCs w:val="24"/>
                    </w:rPr>
                    <w:t xml:space="preserve"> </w:t>
                  </w:r>
                  <w:r w:rsidRPr="003400C5">
                    <w:rPr>
                      <w:szCs w:val="24"/>
                    </w:rPr>
                    <w:t>on Centr</w:t>
                  </w:r>
                  <w:r>
                    <w:rPr>
                      <w:szCs w:val="24"/>
                    </w:rPr>
                    <w:t>e</w:t>
                  </w:r>
                  <w:r w:rsidRPr="003400C5">
                    <w:rPr>
                      <w:szCs w:val="24"/>
                    </w:rPr>
                    <w:t xml:space="preserve"> Tank (ATA 28)</w:t>
                  </w:r>
                </w:p>
              </w:tc>
            </w:tr>
            <w:tr w:rsidR="002B0CD0" w14:paraId="04EAF5BD" w14:textId="77777777" w:rsidTr="00EA3D13">
              <w:tc>
                <w:tcPr>
                  <w:tcW w:w="2758" w:type="dxa"/>
                </w:tcPr>
                <w:p w14:paraId="6D742A04" w14:textId="34596D2A" w:rsidR="003400C5" w:rsidRDefault="003400C5" w:rsidP="00165F85">
                  <w:pPr>
                    <w:rPr>
                      <w:szCs w:val="24"/>
                    </w:rPr>
                  </w:pPr>
                  <w:r w:rsidRPr="003400C5">
                    <w:rPr>
                      <w:szCs w:val="24"/>
                    </w:rPr>
                    <w:t xml:space="preserve">2001-363(B) </w:t>
                  </w:r>
                </w:p>
                <w:p w14:paraId="7DA870D0" w14:textId="5BA41104" w:rsidR="002B0CD0" w:rsidRDefault="002B0CD0" w:rsidP="00165F85">
                  <w:pPr>
                    <w:rPr>
                      <w:szCs w:val="24"/>
                    </w:rPr>
                  </w:pPr>
                </w:p>
              </w:tc>
              <w:tc>
                <w:tcPr>
                  <w:tcW w:w="2759" w:type="dxa"/>
                </w:tcPr>
                <w:p w14:paraId="41FCE967" w14:textId="3265E225" w:rsidR="002B0CD0" w:rsidRPr="002B0CD0" w:rsidRDefault="003400C5" w:rsidP="00165F85">
                  <w:pPr>
                    <w:pStyle w:val="Note"/>
                    <w:rPr>
                      <w:i w:val="0"/>
                      <w:szCs w:val="24"/>
                    </w:rPr>
                  </w:pPr>
                  <w:r w:rsidRPr="003400C5">
                    <w:rPr>
                      <w:i w:val="0"/>
                      <w:szCs w:val="24"/>
                    </w:rPr>
                    <w:t>18 August 2001</w:t>
                  </w:r>
                </w:p>
              </w:tc>
              <w:tc>
                <w:tcPr>
                  <w:tcW w:w="2759" w:type="dxa"/>
                </w:tcPr>
                <w:p w14:paraId="1E92E86A" w14:textId="06909D0C" w:rsidR="002B0CD0" w:rsidRPr="003400C5" w:rsidRDefault="003400C5" w:rsidP="00165F85">
                  <w:pPr>
                    <w:rPr>
                      <w:szCs w:val="24"/>
                    </w:rPr>
                  </w:pPr>
                  <w:r w:rsidRPr="003400C5">
                    <w:rPr>
                      <w:szCs w:val="24"/>
                    </w:rPr>
                    <w:t>Oxygen Systems - Inspection of</w:t>
                  </w:r>
                  <w:r>
                    <w:rPr>
                      <w:szCs w:val="24"/>
                    </w:rPr>
                    <w:t xml:space="preserve"> </w:t>
                  </w:r>
                  <w:r w:rsidRPr="003400C5">
                    <w:rPr>
                      <w:szCs w:val="24"/>
                    </w:rPr>
                    <w:t>Oxygen Passenger Containers -</w:t>
                  </w:r>
                  <w:r w:rsidRPr="003400C5">
                    <w:rPr>
                      <w:i/>
                      <w:szCs w:val="24"/>
                    </w:rPr>
                    <w:t>(</w:t>
                  </w:r>
                  <w:proofErr w:type="spellStart"/>
                  <w:r w:rsidRPr="003400C5">
                    <w:rPr>
                      <w:i/>
                      <w:szCs w:val="24"/>
                    </w:rPr>
                    <w:t>Dräeger</w:t>
                  </w:r>
                  <w:proofErr w:type="spellEnd"/>
                  <w:r w:rsidRPr="003400C5">
                    <w:rPr>
                      <w:i/>
                      <w:szCs w:val="24"/>
                    </w:rPr>
                    <w:t xml:space="preserve"> Type I and II) (ATA 35)</w:t>
                  </w:r>
                </w:p>
              </w:tc>
            </w:tr>
          </w:tbl>
          <w:p w14:paraId="4D7DB77B" w14:textId="5433D0AB" w:rsidR="00426736" w:rsidRPr="0055568F" w:rsidRDefault="00426736" w:rsidP="00165F85">
            <w:pPr>
              <w:pStyle w:val="Note"/>
              <w:rPr>
                <w:i w:val="0"/>
              </w:rPr>
            </w:pPr>
          </w:p>
        </w:tc>
      </w:tr>
      <w:tr w:rsidR="00426736" w14:paraId="069093AC" w14:textId="77777777" w:rsidTr="00165F85">
        <w:tc>
          <w:tcPr>
            <w:tcW w:w="1701" w:type="dxa"/>
          </w:tcPr>
          <w:p w14:paraId="4C3FAEDE" w14:textId="1F7E1FCE" w:rsidR="00426736" w:rsidRDefault="00426736" w:rsidP="00165F85">
            <w:r>
              <w:lastRenderedPageBreak/>
              <w:t>Compliance:</w:t>
            </w:r>
          </w:p>
        </w:tc>
        <w:tc>
          <w:tcPr>
            <w:tcW w:w="8505" w:type="dxa"/>
          </w:tcPr>
          <w:p w14:paraId="25A8DAFE" w14:textId="67F5B49E" w:rsidR="003400C5" w:rsidRPr="003400C5" w:rsidRDefault="003400C5" w:rsidP="00165F85">
            <w:r w:rsidRPr="003400C5">
              <w:t>If a certificate of airworthiness has not been issued for the aircraft - before issue of the</w:t>
            </w:r>
            <w:r>
              <w:t xml:space="preserve"> </w:t>
            </w:r>
            <w:r w:rsidRPr="003400C5">
              <w:t>certificate of airworthiness.</w:t>
            </w:r>
          </w:p>
          <w:p w14:paraId="68CC2FFF" w14:textId="5E76D467" w:rsidR="003400C5" w:rsidRDefault="003400C5" w:rsidP="00165F85">
            <w:r w:rsidRPr="003400C5">
              <w:t>If a certificate of airworthiness has been issued for the aircraft - within 30 days after</w:t>
            </w:r>
            <w:r>
              <w:t xml:space="preserve"> </w:t>
            </w:r>
            <w:r w:rsidRPr="003400C5">
              <w:t>the effective date of this Directive.</w:t>
            </w:r>
          </w:p>
          <w:p w14:paraId="0FBF5C2C" w14:textId="64993A29" w:rsidR="00C9460D" w:rsidRPr="00795D36" w:rsidRDefault="00795D36" w:rsidP="00165F85">
            <w:pPr>
              <w:rPr>
                <w:i/>
                <w:iCs/>
              </w:rPr>
            </w:pPr>
            <w:r w:rsidRPr="00120F0A">
              <w:rPr>
                <w:i/>
                <w:iCs/>
                <w:szCs w:val="24"/>
              </w:rPr>
              <w:t xml:space="preserve">Note </w:t>
            </w:r>
            <w:r w:rsidR="003B21B9">
              <w:rPr>
                <w:i/>
                <w:iCs/>
                <w:szCs w:val="24"/>
              </w:rPr>
              <w:t>2</w:t>
            </w:r>
            <w:r w:rsidRPr="00120F0A">
              <w:rPr>
                <w:i/>
                <w:iCs/>
                <w:szCs w:val="24"/>
              </w:rPr>
              <w:t xml:space="preserve">: </w:t>
            </w:r>
            <w:r w:rsidR="003B21B9">
              <w:rPr>
                <w:i/>
                <w:iCs/>
                <w:szCs w:val="24"/>
              </w:rPr>
              <w:t xml:space="preserve"> </w:t>
            </w:r>
            <w:r w:rsidR="00C9460D" w:rsidRPr="00795D36">
              <w:rPr>
                <w:i/>
                <w:iCs/>
              </w:rPr>
              <w:t xml:space="preserve">Previous compliance with the requirements of DGAC AD 1996-293(B)R1 as required by CASA AD/APU/22, AD/A320/199 or AD/A320/199 </w:t>
            </w:r>
            <w:proofErr w:type="spellStart"/>
            <w:r w:rsidR="00C9460D" w:rsidRPr="00795D36">
              <w:rPr>
                <w:i/>
                <w:iCs/>
              </w:rPr>
              <w:t>Amdt</w:t>
            </w:r>
            <w:proofErr w:type="spellEnd"/>
            <w:r w:rsidR="00C9460D" w:rsidRPr="00795D36">
              <w:rPr>
                <w:i/>
                <w:iCs/>
              </w:rPr>
              <w:t xml:space="preserve"> 1, constitutes compliance with</w:t>
            </w:r>
            <w:r w:rsidR="003E2747">
              <w:rPr>
                <w:i/>
                <w:iCs/>
              </w:rPr>
              <w:t xml:space="preserve"> FAA AD 97-03-06 as required</w:t>
            </w:r>
            <w:r w:rsidR="00C9460D" w:rsidRPr="00795D36">
              <w:rPr>
                <w:i/>
                <w:iCs/>
              </w:rPr>
              <w:t xml:space="preserve"> </w:t>
            </w:r>
            <w:r w:rsidR="003B21B9">
              <w:rPr>
                <w:i/>
                <w:iCs/>
              </w:rPr>
              <w:t xml:space="preserve">by </w:t>
            </w:r>
            <w:r w:rsidR="00C9460D" w:rsidRPr="00795D36">
              <w:rPr>
                <w:i/>
                <w:iCs/>
              </w:rPr>
              <w:t>this amendment.</w:t>
            </w:r>
          </w:p>
          <w:p w14:paraId="422452FD" w14:textId="2B4CC78A" w:rsidR="003400C5" w:rsidRDefault="003400C5" w:rsidP="00165F85">
            <w:r w:rsidRPr="003400C5">
              <w:t xml:space="preserve">This </w:t>
            </w:r>
            <w:r w:rsidR="0028207F">
              <w:t>Airworthiness Directive commences</w:t>
            </w:r>
            <w:r w:rsidRPr="000C11BF">
              <w:t xml:space="preserve"> on </w:t>
            </w:r>
            <w:r w:rsidR="000C11BF" w:rsidRPr="000C11BF">
              <w:t>31</w:t>
            </w:r>
            <w:r w:rsidRPr="000C11BF">
              <w:t xml:space="preserve"> March 2</w:t>
            </w:r>
            <w:r w:rsidR="00C9460D" w:rsidRPr="000C11BF">
              <w:t>021</w:t>
            </w:r>
            <w:r w:rsidRPr="000C11BF">
              <w:t>.</w:t>
            </w:r>
          </w:p>
        </w:tc>
      </w:tr>
      <w:tr w:rsidR="00426736" w14:paraId="63442C32" w14:textId="77777777" w:rsidTr="00165F85">
        <w:tc>
          <w:tcPr>
            <w:tcW w:w="1701" w:type="dxa"/>
          </w:tcPr>
          <w:p w14:paraId="4902BE99" w14:textId="422520C3" w:rsidR="00426736" w:rsidRDefault="00426736" w:rsidP="00165F85">
            <w:r>
              <w:t>Background:</w:t>
            </w:r>
          </w:p>
        </w:tc>
        <w:tc>
          <w:tcPr>
            <w:tcW w:w="8505" w:type="dxa"/>
          </w:tcPr>
          <w:p w14:paraId="0956D55E" w14:textId="778695BC" w:rsidR="00D716ED" w:rsidRDefault="003400C5" w:rsidP="00165F85">
            <w:r>
              <w:t xml:space="preserve">The ADs listed in Table </w:t>
            </w:r>
            <w:r w:rsidR="00D716ED">
              <w:t xml:space="preserve">1 </w:t>
            </w:r>
            <w:r>
              <w:t>of this Directive require one</w:t>
            </w:r>
            <w:r w:rsidR="00C9460D">
              <w:t>-</w:t>
            </w:r>
            <w:r>
              <w:t>time actions for which</w:t>
            </w:r>
            <w:r w:rsidR="00D716ED">
              <w:t xml:space="preserve"> </w:t>
            </w:r>
            <w:r>
              <w:t>the compliance date and/or period has passed. CASA has determined that these A</w:t>
            </w:r>
            <w:r w:rsidR="00D716ED">
              <w:t xml:space="preserve">Ds </w:t>
            </w:r>
            <w:r>
              <w:t>may be applicable t</w:t>
            </w:r>
            <w:r w:rsidR="00D716ED">
              <w:t>o</w:t>
            </w:r>
            <w:r>
              <w:t xml:space="preserve"> Australian aircraft. This Directive is issued</w:t>
            </w:r>
            <w:r w:rsidR="00D716ED">
              <w:t xml:space="preserve"> </w:t>
            </w:r>
            <w:r>
              <w:t>to ensure all State of Design ADs are complied with.</w:t>
            </w:r>
          </w:p>
        </w:tc>
      </w:tr>
      <w:tr w:rsidR="000C11BF" w14:paraId="657E5ECE" w14:textId="77777777" w:rsidTr="00007B45">
        <w:tc>
          <w:tcPr>
            <w:tcW w:w="1701" w:type="dxa"/>
          </w:tcPr>
          <w:p w14:paraId="4B217C94" w14:textId="77777777" w:rsidR="000C11BF" w:rsidRDefault="000C11BF" w:rsidP="00007B45"/>
        </w:tc>
        <w:tc>
          <w:tcPr>
            <w:tcW w:w="8505" w:type="dxa"/>
          </w:tcPr>
          <w:p w14:paraId="0B5C31F2" w14:textId="5761EE65" w:rsidR="000C11BF" w:rsidRDefault="006A160A" w:rsidP="00011CB6">
            <w:pPr>
              <w:keepNext/>
              <w:keepLines/>
            </w:pPr>
            <w:r>
              <w:t>CASA appreciates that, due to date of aircraft manufacture or aircraft configuration and modification status, some of the ADs listed in Table 1 will not be applicable to some aeroplanes.</w:t>
            </w:r>
            <w:r w:rsidR="000C11BF">
              <w:t>The original issue of this Directive applied only to A319 aeroplanes and became effective on 15 March 2007.</w:t>
            </w:r>
          </w:p>
          <w:p w14:paraId="6AF4C1C4" w14:textId="77777777" w:rsidR="000C11BF" w:rsidRDefault="000C11BF" w:rsidP="00007B45">
            <w:r>
              <w:t>Amendment 1, extended the applicability to include A320 and A321 aeroplanes, amended the title of the AD, restricted applicability to aeroplanes manufactured prior to 1 January 2002, and incorporated an additional eight State of Design ADs.</w:t>
            </w:r>
          </w:p>
          <w:p w14:paraId="5EB51F4B" w14:textId="6550B69C" w:rsidR="000C11BF" w:rsidRDefault="000C11BF" w:rsidP="00007B45">
            <w:r>
              <w:t xml:space="preserve">Amendment 2 of this Directive removes obsolete website information and replaces </w:t>
            </w:r>
            <w:r w:rsidRPr="00C9460D">
              <w:t>DGAC AD 1996-293(B)R1</w:t>
            </w:r>
            <w:r>
              <w:t xml:space="preserve"> with FAA AD 97-03-06 because the FAA is the </w:t>
            </w:r>
            <w:r w:rsidR="009B6841">
              <w:t>S</w:t>
            </w:r>
            <w:r>
              <w:t xml:space="preserve">tate of </w:t>
            </w:r>
            <w:r w:rsidR="009B6841">
              <w:t>D</w:t>
            </w:r>
            <w:r>
              <w:t>esign for the applicable equipment, and the FAA AD</w:t>
            </w:r>
            <w:r w:rsidRPr="00E33971">
              <w:t xml:space="preserve"> address</w:t>
            </w:r>
            <w:r>
              <w:t>es</w:t>
            </w:r>
            <w:r w:rsidRPr="00E33971">
              <w:t xml:space="preserve"> the same unsafe condition</w:t>
            </w:r>
            <w:r>
              <w:t>.</w:t>
            </w:r>
          </w:p>
        </w:tc>
      </w:tr>
    </w:tbl>
    <w:p w14:paraId="42AC5150" w14:textId="77777777" w:rsidR="006A160A" w:rsidRDefault="006A160A" w:rsidP="006A160A">
      <w:pPr>
        <w:rPr>
          <w:bCs/>
        </w:rPr>
      </w:pPr>
      <w:r>
        <w:rPr>
          <w:bCs/>
          <w:noProof/>
        </w:rPr>
        <w:drawing>
          <wp:inline distT="0" distB="0" distL="0" distR="0" wp14:anchorId="3AD7400F" wp14:editId="6741ED0F">
            <wp:extent cx="2276475" cy="828675"/>
            <wp:effectExtent l="0" t="0" r="9525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06B15" w14:textId="24CF6041" w:rsidR="00426736" w:rsidRPr="000C11BF" w:rsidRDefault="000C11BF" w:rsidP="006A160A">
      <w:pPr>
        <w:rPr>
          <w:bCs/>
        </w:rPr>
      </w:pPr>
      <w:r w:rsidRPr="000C11BF">
        <w:rPr>
          <w:bCs/>
        </w:rPr>
        <w:t>David Punshon</w:t>
      </w:r>
      <w:r w:rsidR="00426736" w:rsidRPr="000C11BF">
        <w:rPr>
          <w:bCs/>
        </w:rPr>
        <w:br/>
        <w:t>Delegate of the Civil Aviation Safety Authority</w:t>
      </w:r>
    </w:p>
    <w:p w14:paraId="12F8D435" w14:textId="5BE2C2C6" w:rsidR="0005393E" w:rsidRPr="000C11BF" w:rsidRDefault="0028207F" w:rsidP="005C4F41">
      <w:pPr>
        <w:tabs>
          <w:tab w:val="left" w:pos="3810"/>
        </w:tabs>
        <w:rPr>
          <w:bCs/>
        </w:rPr>
      </w:pPr>
      <w:r>
        <w:rPr>
          <w:bCs/>
        </w:rPr>
        <w:t>23</w:t>
      </w:r>
      <w:r w:rsidR="000C11BF" w:rsidRPr="000C11BF">
        <w:rPr>
          <w:bCs/>
        </w:rPr>
        <w:t xml:space="preserve"> March 2021</w:t>
      </w:r>
    </w:p>
    <w:sectPr w:rsidR="0005393E" w:rsidRPr="000C11B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701" w:right="964" w:bottom="851" w:left="96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62706" w14:textId="77777777" w:rsidR="007458A4" w:rsidRDefault="007458A4">
      <w:r>
        <w:separator/>
      </w:r>
    </w:p>
  </w:endnote>
  <w:endnote w:type="continuationSeparator" w:id="0">
    <w:p w14:paraId="1D4BF6A5" w14:textId="77777777" w:rsidR="007458A4" w:rsidRDefault="0074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793E" w14:textId="77777777" w:rsidR="009D7AFA" w:rsidRDefault="009D7AFA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10B6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9FCDB" w14:textId="77777777" w:rsidR="009D7AFA" w:rsidRDefault="009D7AFA" w:rsidP="001F7C05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55568F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55568F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DF471" w14:textId="77777777" w:rsidR="007458A4" w:rsidRDefault="007458A4">
      <w:r>
        <w:separator/>
      </w:r>
    </w:p>
  </w:footnote>
  <w:footnote w:type="continuationSeparator" w:id="0">
    <w:p w14:paraId="2A67874D" w14:textId="77777777" w:rsidR="007458A4" w:rsidRDefault="0074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3DECA" w14:textId="59044A3E" w:rsidR="009D7AFA" w:rsidRDefault="009D7AFA" w:rsidP="00510BFA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</w:r>
    <w:r w:rsidRPr="006A160A">
      <w:rPr>
        <w:rFonts w:ascii="Arial" w:hAnsi="Arial"/>
        <w:b/>
        <w:i/>
        <w:iCs/>
        <w:sz w:val="20"/>
      </w:rPr>
      <w:t>Civil Aviation Safety Regulations 1998</w:t>
    </w:r>
  </w:p>
  <w:p w14:paraId="3826D3FC" w14:textId="77777777" w:rsidR="009D7AFA" w:rsidRPr="00D0782E" w:rsidRDefault="009D7AFA" w:rsidP="00510BFA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14:paraId="449F33E7" w14:textId="5C8B9E2D" w:rsidR="009D7AFA" w:rsidRPr="00D42AD3" w:rsidRDefault="00D42AD3" w:rsidP="006A160A">
    <w:pPr>
      <w:pStyle w:val="Heading1"/>
      <w:rPr>
        <w:rFonts w:cs="Arial"/>
        <w:b w:val="0"/>
        <w:bCs/>
        <w:szCs w:val="24"/>
      </w:rPr>
    </w:pPr>
    <w:r>
      <w:rPr>
        <w:rFonts w:cs="Arial"/>
        <w:bCs/>
        <w:szCs w:val="24"/>
      </w:rPr>
      <w:t xml:space="preserve">Airbus A319, A320 and A321 </w:t>
    </w:r>
    <w:r w:rsidRPr="006A160A">
      <w:t>Series</w:t>
    </w:r>
    <w:r>
      <w:rPr>
        <w:rFonts w:cs="Arial"/>
        <w:bCs/>
        <w:szCs w:val="24"/>
      </w:rPr>
      <w:t xml:space="preserve"> Aeroplanes</w:t>
    </w:r>
  </w:p>
  <w:p w14:paraId="2A96F817" w14:textId="1BC03DCA" w:rsidR="009D7AFA" w:rsidRDefault="00D42AD3">
    <w:r w:rsidRPr="00D42AD3">
      <w:t xml:space="preserve">AD/A320/199 Amdt 2 </w:t>
    </w:r>
    <w:r w:rsidR="009D7AFA"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2BB72" w14:textId="77777777" w:rsidR="009D7AFA" w:rsidRDefault="009D7AFA" w:rsidP="001F7C05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</w:r>
    <w:r w:rsidRPr="00532389">
      <w:rPr>
        <w:rFonts w:ascii="Arial" w:hAnsi="Arial"/>
        <w:b/>
        <w:i/>
        <w:sz w:val="20"/>
      </w:rPr>
      <w:t>Civil Aviation Safety Regulations 1998</w:t>
    </w:r>
  </w:p>
  <w:p w14:paraId="4B7DD32A" w14:textId="77777777" w:rsidR="009D7AFA" w:rsidRPr="00D0782E" w:rsidRDefault="009D7AFA" w:rsidP="001F7C05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14:paraId="351AC86D" w14:textId="77777777" w:rsidR="009D7AFA" w:rsidRPr="001F7C05" w:rsidRDefault="009D7AFA" w:rsidP="001F7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A325E"/>
    <w:multiLevelType w:val="hybridMultilevel"/>
    <w:tmpl w:val="04EE6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87"/>
    <w:rsid w:val="000033FD"/>
    <w:rsid w:val="00007B45"/>
    <w:rsid w:val="00011CB6"/>
    <w:rsid w:val="0005249C"/>
    <w:rsid w:val="0005393E"/>
    <w:rsid w:val="00080BA2"/>
    <w:rsid w:val="000958DB"/>
    <w:rsid w:val="000B0960"/>
    <w:rsid w:val="000C11BF"/>
    <w:rsid w:val="000D059C"/>
    <w:rsid w:val="000E7214"/>
    <w:rsid w:val="00104D7E"/>
    <w:rsid w:val="001277B8"/>
    <w:rsid w:val="00165F85"/>
    <w:rsid w:val="001C1971"/>
    <w:rsid w:val="001F7C05"/>
    <w:rsid w:val="002177A1"/>
    <w:rsid w:val="002316E9"/>
    <w:rsid w:val="00275942"/>
    <w:rsid w:val="0028207F"/>
    <w:rsid w:val="002B0A65"/>
    <w:rsid w:val="002B0CD0"/>
    <w:rsid w:val="002C4FA4"/>
    <w:rsid w:val="002E1101"/>
    <w:rsid w:val="002E480D"/>
    <w:rsid w:val="002E5D13"/>
    <w:rsid w:val="003400C5"/>
    <w:rsid w:val="00345CE3"/>
    <w:rsid w:val="0035607A"/>
    <w:rsid w:val="0036447F"/>
    <w:rsid w:val="003957E3"/>
    <w:rsid w:val="003B21B9"/>
    <w:rsid w:val="003C24DD"/>
    <w:rsid w:val="003E2747"/>
    <w:rsid w:val="003F5892"/>
    <w:rsid w:val="00426736"/>
    <w:rsid w:val="00434769"/>
    <w:rsid w:val="00465EA5"/>
    <w:rsid w:val="004876CA"/>
    <w:rsid w:val="004B4BC2"/>
    <w:rsid w:val="004D5F81"/>
    <w:rsid w:val="00510BFA"/>
    <w:rsid w:val="00532389"/>
    <w:rsid w:val="0055568F"/>
    <w:rsid w:val="00577617"/>
    <w:rsid w:val="005C4F41"/>
    <w:rsid w:val="005D7481"/>
    <w:rsid w:val="005E2086"/>
    <w:rsid w:val="006A160A"/>
    <w:rsid w:val="0070545B"/>
    <w:rsid w:val="007221DC"/>
    <w:rsid w:val="00742A13"/>
    <w:rsid w:val="007458A4"/>
    <w:rsid w:val="00757783"/>
    <w:rsid w:val="00795D36"/>
    <w:rsid w:val="007C75DC"/>
    <w:rsid w:val="007D223A"/>
    <w:rsid w:val="007F4546"/>
    <w:rsid w:val="008668A9"/>
    <w:rsid w:val="00883719"/>
    <w:rsid w:val="008D0244"/>
    <w:rsid w:val="008F1292"/>
    <w:rsid w:val="008F321D"/>
    <w:rsid w:val="00962FA6"/>
    <w:rsid w:val="0098743A"/>
    <w:rsid w:val="0099077A"/>
    <w:rsid w:val="009B01D8"/>
    <w:rsid w:val="009B6841"/>
    <w:rsid w:val="009D7AFA"/>
    <w:rsid w:val="00A652EB"/>
    <w:rsid w:val="00A75B93"/>
    <w:rsid w:val="00A8173C"/>
    <w:rsid w:val="00B33FA5"/>
    <w:rsid w:val="00B35E87"/>
    <w:rsid w:val="00B5333B"/>
    <w:rsid w:val="00B542BF"/>
    <w:rsid w:val="00BA7A1B"/>
    <w:rsid w:val="00BF5FE7"/>
    <w:rsid w:val="00C022E8"/>
    <w:rsid w:val="00C707FE"/>
    <w:rsid w:val="00C74B4B"/>
    <w:rsid w:val="00C9460D"/>
    <w:rsid w:val="00CB43DA"/>
    <w:rsid w:val="00CC5506"/>
    <w:rsid w:val="00CD20A2"/>
    <w:rsid w:val="00CE0731"/>
    <w:rsid w:val="00CF4269"/>
    <w:rsid w:val="00D035D9"/>
    <w:rsid w:val="00D0782E"/>
    <w:rsid w:val="00D30C9E"/>
    <w:rsid w:val="00D35A02"/>
    <w:rsid w:val="00D42AD3"/>
    <w:rsid w:val="00D716ED"/>
    <w:rsid w:val="00DC2248"/>
    <w:rsid w:val="00E10B68"/>
    <w:rsid w:val="00E137FC"/>
    <w:rsid w:val="00E33971"/>
    <w:rsid w:val="00E374C4"/>
    <w:rsid w:val="00E468F0"/>
    <w:rsid w:val="00EA3D13"/>
    <w:rsid w:val="00EB7309"/>
    <w:rsid w:val="00EC7855"/>
    <w:rsid w:val="00ED31C1"/>
    <w:rsid w:val="00ED7A98"/>
    <w:rsid w:val="00F11A06"/>
    <w:rsid w:val="00F13CBC"/>
    <w:rsid w:val="00F25547"/>
    <w:rsid w:val="00F626C0"/>
    <w:rsid w:val="00F65147"/>
    <w:rsid w:val="00F96CC6"/>
    <w:rsid w:val="00FA3AF5"/>
    <w:rsid w:val="00FD2833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8FE902"/>
  <w15:docId w15:val="{1B697B58-B0B1-4CB1-B768-A470BC1A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Heading3"/>
    <w:next w:val="Normal"/>
    <w:qFormat/>
    <w:rsid w:val="001F7C05"/>
    <w:pPr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iesName">
    <w:name w:val="Series Name"/>
    <w:basedOn w:val="Normal"/>
    <w:pPr>
      <w:pageBreakBefore/>
      <w:pBdr>
        <w:bottom w:val="single" w:sz="12" w:space="1" w:color="auto"/>
      </w:pBdr>
      <w:tabs>
        <w:tab w:val="right" w:pos="9923"/>
      </w:tabs>
      <w:spacing w:before="240"/>
    </w:pPr>
  </w:style>
  <w:style w:type="paragraph" w:customStyle="1" w:styleId="ADHeader">
    <w:name w:val="AD Header"/>
    <w:basedOn w:val="Normal"/>
    <w:pPr>
      <w:tabs>
        <w:tab w:val="center" w:pos="5670"/>
        <w:tab w:val="right" w:pos="9923"/>
      </w:tabs>
      <w:spacing w:before="280" w:after="160"/>
    </w:pPr>
    <w:rPr>
      <w:rFonts w:ascii="Helvetica" w:hAnsi="Helvetica"/>
      <w:b/>
    </w:rPr>
  </w:style>
  <w:style w:type="paragraph" w:customStyle="1" w:styleId="Note">
    <w:name w:val="Note"/>
    <w:basedOn w:val="Normal"/>
    <w:rPr>
      <w:i/>
    </w:rPr>
  </w:style>
  <w:style w:type="paragraph" w:styleId="Header">
    <w:name w:val="header"/>
    <w:basedOn w:val="Normal"/>
    <w:pPr>
      <w:tabs>
        <w:tab w:val="right" w:pos="9923"/>
      </w:tabs>
      <w:spacing w:before="60" w:after="60"/>
    </w:pPr>
    <w:rPr>
      <w:rFonts w:ascii="Helvetica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9639"/>
      </w:tabs>
      <w:spacing w:before="0" w:after="0"/>
    </w:pPr>
    <w:rPr>
      <w:sz w:val="20"/>
    </w:rPr>
  </w:style>
  <w:style w:type="paragraph" w:customStyle="1" w:styleId="ADName">
    <w:name w:val="AD Name"/>
    <w:basedOn w:val="Normal"/>
    <w:pPr>
      <w:tabs>
        <w:tab w:val="left" w:pos="5103"/>
      </w:tabs>
      <w:spacing w:before="60" w:after="60" w:line="240" w:lineRule="exact"/>
      <w:ind w:left="4650" w:hanging="3232"/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customStyle="1" w:styleId="ALNumber">
    <w:name w:val="AL Number"/>
    <w:basedOn w:val="Normal"/>
    <w:pPr>
      <w:tabs>
        <w:tab w:val="right" w:pos="9923"/>
      </w:tabs>
      <w:spacing w:before="240" w:line="240" w:lineRule="exact"/>
    </w:pPr>
    <w:rPr>
      <w:rFonts w:ascii="Times" w:hAnsi="Times"/>
    </w:rPr>
  </w:style>
  <w:style w:type="paragraph" w:customStyle="1" w:styleId="Justification">
    <w:name w:val="Justification"/>
    <w:basedOn w:val="Normal"/>
    <w:rPr>
      <w:b/>
      <w:sz w:val="20"/>
    </w:rPr>
  </w:style>
  <w:style w:type="paragraph" w:customStyle="1" w:styleId="FooterTable">
    <w:name w:val="Footer Table"/>
    <w:basedOn w:val="FooterTableHead"/>
    <w:rPr>
      <w:b w:val="0"/>
    </w:rPr>
  </w:style>
  <w:style w:type="paragraph" w:customStyle="1" w:styleId="FooterTableHead">
    <w:name w:val="Footer Table Head"/>
    <w:basedOn w:val="Heading5"/>
    <w:pPr>
      <w:keepNext/>
      <w:spacing w:before="60" w:after="0"/>
      <w:outlineLvl w:val="9"/>
    </w:pPr>
    <w:rPr>
      <w:rFonts w:ascii="Times New Roman" w:hAnsi="Times New Roman"/>
      <w:b/>
      <w:sz w:val="20"/>
      <w:lang w:val="en-US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0"/>
      <w:jc w:val="both"/>
    </w:pPr>
    <w:rPr>
      <w:lang w:val="en-US"/>
    </w:rPr>
  </w:style>
  <w:style w:type="paragraph" w:customStyle="1" w:styleId="Style1">
    <w:name w:val="Style1"/>
    <w:basedOn w:val="Normal"/>
    <w:pPr>
      <w:spacing w:before="0" w:after="0"/>
    </w:pPr>
    <w:rPr>
      <w:sz w:val="20"/>
    </w:rPr>
  </w:style>
  <w:style w:type="paragraph" w:customStyle="1" w:styleId="Preamble">
    <w:name w:val="Preamble"/>
    <w:basedOn w:val="Normal"/>
    <w:pPr>
      <w:pBdr>
        <w:bottom w:val="single" w:sz="6" w:space="3" w:color="auto"/>
      </w:pBdr>
      <w:overflowPunct/>
      <w:spacing w:before="0" w:after="0" w:line="180" w:lineRule="exact"/>
      <w:textAlignment w:val="auto"/>
    </w:pPr>
    <w:rPr>
      <w:rFonts w:ascii="Times" w:hAnsi="Times"/>
      <w:sz w:val="15"/>
      <w:lang w:val="en-US"/>
    </w:rPr>
  </w:style>
  <w:style w:type="paragraph" w:styleId="BalloonText">
    <w:name w:val="Balloon Text"/>
    <w:basedOn w:val="Normal"/>
    <w:link w:val="BalloonTextChar"/>
    <w:rsid w:val="001C19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971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STANDARD"/>
    <w:next w:val="Normal"/>
    <w:link w:val="TitleChar"/>
    <w:qFormat/>
    <w:rsid w:val="001F7C05"/>
    <w:pPr>
      <w:pBdr>
        <w:top w:val="single" w:sz="6" w:space="3" w:color="auto"/>
        <w:bottom w:val="single" w:sz="6" w:space="3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left" w:pos="5812"/>
      </w:tabs>
      <w:spacing w:before="120" w:after="6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F7C05"/>
    <w:rPr>
      <w:rFonts w:ascii="Arial" w:hAnsi="Arial"/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EA3D13"/>
    <w:pPr>
      <w:ind w:left="720"/>
      <w:contextualSpacing/>
    </w:pPr>
  </w:style>
  <w:style w:type="table" w:styleId="TableGrid">
    <w:name w:val="Table Grid"/>
    <w:basedOn w:val="TableNormal"/>
    <w:rsid w:val="00EA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684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dc:description/>
  <cp:lastModifiedBy>Spesyvy, Nadia</cp:lastModifiedBy>
  <cp:revision>6</cp:revision>
  <cp:lastPrinted>2021-03-18T22:17:00Z</cp:lastPrinted>
  <dcterms:created xsi:type="dcterms:W3CDTF">2021-03-24T00:11:00Z</dcterms:created>
  <dcterms:modified xsi:type="dcterms:W3CDTF">2021-03-24T00:22:00Z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