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0659" w14:textId="77777777" w:rsidR="00715914" w:rsidRPr="00CB26C4" w:rsidRDefault="00DA186E" w:rsidP="00B05CF4">
      <w:pPr>
        <w:rPr>
          <w:sz w:val="28"/>
        </w:rPr>
      </w:pPr>
      <w:r w:rsidRPr="00CB26C4">
        <w:rPr>
          <w:noProof/>
          <w:lang w:eastAsia="en-AU"/>
        </w:rPr>
        <w:drawing>
          <wp:inline distT="0" distB="0" distL="0" distR="0" wp14:anchorId="185E330E" wp14:editId="70D9605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49B5F85" w14:textId="77777777" w:rsidR="00715914" w:rsidRPr="00CB26C4" w:rsidRDefault="00715914" w:rsidP="00715914">
      <w:pPr>
        <w:rPr>
          <w:sz w:val="19"/>
        </w:rPr>
      </w:pPr>
    </w:p>
    <w:p w14:paraId="17AC4D55" w14:textId="77777777" w:rsidR="00715914" w:rsidRPr="00CB26C4" w:rsidRDefault="005D48F2" w:rsidP="00715914">
      <w:pPr>
        <w:pStyle w:val="ShortT"/>
      </w:pPr>
      <w:r w:rsidRPr="00CB26C4">
        <w:t xml:space="preserve">Export Control (Wood and </w:t>
      </w:r>
      <w:r w:rsidR="00744131" w:rsidRPr="00CB26C4">
        <w:t>Woodchip</w:t>
      </w:r>
      <w:r w:rsidRPr="00CB26C4">
        <w:t xml:space="preserve">s) </w:t>
      </w:r>
      <w:r w:rsidR="00CB26C4">
        <w:t>Rules 2</w:t>
      </w:r>
      <w:r w:rsidR="00FB1F52" w:rsidRPr="00CB26C4">
        <w:t>021</w:t>
      </w:r>
    </w:p>
    <w:p w14:paraId="481F6B74" w14:textId="77777777" w:rsidR="005D48F2" w:rsidRPr="00CB26C4" w:rsidRDefault="005D48F2" w:rsidP="005D48F2">
      <w:pPr>
        <w:pStyle w:val="SignCoverPageStart"/>
        <w:rPr>
          <w:szCs w:val="22"/>
        </w:rPr>
      </w:pPr>
      <w:r w:rsidRPr="00CB26C4">
        <w:rPr>
          <w:szCs w:val="22"/>
        </w:rPr>
        <w:t xml:space="preserve">I, </w:t>
      </w:r>
      <w:r w:rsidR="00E46883" w:rsidRPr="00CB26C4">
        <w:rPr>
          <w:szCs w:val="22"/>
        </w:rPr>
        <w:t xml:space="preserve">Andrew </w:t>
      </w:r>
      <w:r w:rsidR="00E608E7">
        <w:rPr>
          <w:szCs w:val="22"/>
        </w:rPr>
        <w:t xml:space="preserve">Edgar Francis </w:t>
      </w:r>
      <w:r w:rsidR="00E46883" w:rsidRPr="00CB26C4">
        <w:rPr>
          <w:szCs w:val="22"/>
        </w:rPr>
        <w:t>Metcalfe AO</w:t>
      </w:r>
      <w:r w:rsidRPr="00CB26C4">
        <w:rPr>
          <w:szCs w:val="22"/>
        </w:rPr>
        <w:t xml:space="preserve">, Secretary of the Department of Agriculture, </w:t>
      </w:r>
      <w:r w:rsidR="00676CBD" w:rsidRPr="00CB26C4">
        <w:rPr>
          <w:szCs w:val="22"/>
        </w:rPr>
        <w:t xml:space="preserve">Water and the Environment, </w:t>
      </w:r>
      <w:r w:rsidRPr="00CB26C4">
        <w:rPr>
          <w:szCs w:val="22"/>
        </w:rPr>
        <w:t xml:space="preserve">make the following </w:t>
      </w:r>
      <w:r w:rsidR="00676CBD" w:rsidRPr="00CB26C4">
        <w:rPr>
          <w:szCs w:val="22"/>
        </w:rPr>
        <w:t>rules</w:t>
      </w:r>
      <w:r w:rsidRPr="00CB26C4">
        <w:rPr>
          <w:szCs w:val="22"/>
        </w:rPr>
        <w:t>.</w:t>
      </w:r>
    </w:p>
    <w:p w14:paraId="786A161B" w14:textId="70E1F02D" w:rsidR="005D48F2" w:rsidRPr="00CB26C4" w:rsidRDefault="005D48F2" w:rsidP="005D48F2">
      <w:pPr>
        <w:keepNext/>
        <w:spacing w:before="300" w:line="240" w:lineRule="atLeast"/>
        <w:ind w:right="397"/>
        <w:jc w:val="both"/>
        <w:rPr>
          <w:szCs w:val="22"/>
        </w:rPr>
      </w:pPr>
      <w:r w:rsidRPr="00CB26C4">
        <w:rPr>
          <w:szCs w:val="22"/>
        </w:rPr>
        <w:t>Dated</w:t>
      </w:r>
      <w:r w:rsidR="00A4719B">
        <w:rPr>
          <w:szCs w:val="22"/>
        </w:rPr>
        <w:t xml:space="preserve"> 19 March 2021</w:t>
      </w:r>
    </w:p>
    <w:p w14:paraId="18DF0944" w14:textId="77777777" w:rsidR="005D48F2" w:rsidRPr="00CB26C4" w:rsidRDefault="00E46883" w:rsidP="005D48F2">
      <w:pPr>
        <w:keepNext/>
        <w:tabs>
          <w:tab w:val="left" w:pos="3402"/>
        </w:tabs>
        <w:spacing w:before="1440" w:line="300" w:lineRule="atLeast"/>
        <w:ind w:right="397"/>
        <w:rPr>
          <w:szCs w:val="22"/>
        </w:rPr>
      </w:pPr>
      <w:r w:rsidRPr="00CB26C4">
        <w:rPr>
          <w:szCs w:val="22"/>
        </w:rPr>
        <w:t xml:space="preserve">Andrew </w:t>
      </w:r>
      <w:r w:rsidR="00E608E7">
        <w:rPr>
          <w:szCs w:val="22"/>
        </w:rPr>
        <w:t xml:space="preserve">Edgar Francis </w:t>
      </w:r>
      <w:r w:rsidRPr="00CB26C4">
        <w:rPr>
          <w:szCs w:val="22"/>
        </w:rPr>
        <w:t>Metcalfe AO</w:t>
      </w:r>
    </w:p>
    <w:p w14:paraId="3F732821" w14:textId="77777777" w:rsidR="005D48F2" w:rsidRPr="00CB26C4" w:rsidRDefault="005D48F2" w:rsidP="005D48F2">
      <w:pPr>
        <w:pStyle w:val="SignCoverPageEnd"/>
        <w:spacing w:after="0"/>
        <w:rPr>
          <w:szCs w:val="22"/>
        </w:rPr>
      </w:pPr>
      <w:r w:rsidRPr="00CB26C4">
        <w:rPr>
          <w:szCs w:val="22"/>
        </w:rPr>
        <w:t>Secretary of the Department of Agriculture</w:t>
      </w:r>
      <w:r w:rsidR="00676CBD" w:rsidRPr="00CB26C4">
        <w:rPr>
          <w:szCs w:val="22"/>
        </w:rPr>
        <w:t>, Water and the Environment</w:t>
      </w:r>
    </w:p>
    <w:p w14:paraId="3FD75D32" w14:textId="77777777" w:rsidR="005D48F2" w:rsidRPr="00CB26C4" w:rsidRDefault="005D48F2" w:rsidP="005D48F2"/>
    <w:p w14:paraId="441F0D86" w14:textId="77777777" w:rsidR="005D48F2" w:rsidRPr="00CB26C4" w:rsidRDefault="005D48F2" w:rsidP="005D48F2"/>
    <w:p w14:paraId="765696A8" w14:textId="77777777" w:rsidR="00715914" w:rsidRPr="00780841" w:rsidRDefault="00715914" w:rsidP="00715914">
      <w:pPr>
        <w:pStyle w:val="Header"/>
        <w:tabs>
          <w:tab w:val="clear" w:pos="4150"/>
          <w:tab w:val="clear" w:pos="8307"/>
        </w:tabs>
      </w:pPr>
      <w:r w:rsidRPr="00780841">
        <w:rPr>
          <w:rStyle w:val="CharChapNo"/>
        </w:rPr>
        <w:t xml:space="preserve"> </w:t>
      </w:r>
      <w:r w:rsidRPr="00780841">
        <w:rPr>
          <w:rStyle w:val="CharChapText"/>
        </w:rPr>
        <w:t xml:space="preserve"> </w:t>
      </w:r>
    </w:p>
    <w:p w14:paraId="72DEA815" w14:textId="77777777" w:rsidR="00715914" w:rsidRPr="00780841" w:rsidRDefault="00715914" w:rsidP="00715914">
      <w:pPr>
        <w:pStyle w:val="Header"/>
        <w:tabs>
          <w:tab w:val="clear" w:pos="4150"/>
          <w:tab w:val="clear" w:pos="8307"/>
        </w:tabs>
      </w:pPr>
      <w:r w:rsidRPr="00780841">
        <w:rPr>
          <w:rStyle w:val="CharPartNo"/>
        </w:rPr>
        <w:t xml:space="preserve"> </w:t>
      </w:r>
      <w:r w:rsidRPr="00780841">
        <w:rPr>
          <w:rStyle w:val="CharPartText"/>
        </w:rPr>
        <w:t xml:space="preserve"> </w:t>
      </w:r>
    </w:p>
    <w:p w14:paraId="62E333F9" w14:textId="77777777" w:rsidR="00715914" w:rsidRPr="00780841" w:rsidRDefault="00715914" w:rsidP="00715914">
      <w:pPr>
        <w:pStyle w:val="Header"/>
        <w:tabs>
          <w:tab w:val="clear" w:pos="4150"/>
          <w:tab w:val="clear" w:pos="8307"/>
        </w:tabs>
      </w:pPr>
      <w:r w:rsidRPr="00780841">
        <w:rPr>
          <w:rStyle w:val="CharDivNo"/>
        </w:rPr>
        <w:t xml:space="preserve"> </w:t>
      </w:r>
      <w:r w:rsidRPr="00780841">
        <w:rPr>
          <w:rStyle w:val="CharDivText"/>
        </w:rPr>
        <w:t xml:space="preserve"> </w:t>
      </w:r>
    </w:p>
    <w:p w14:paraId="414DCB85" w14:textId="77777777" w:rsidR="00715914" w:rsidRPr="00CB26C4" w:rsidRDefault="00715914" w:rsidP="00715914">
      <w:pPr>
        <w:sectPr w:rsidR="00715914" w:rsidRPr="00CB26C4" w:rsidSect="00D143E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0859504" w14:textId="77777777" w:rsidR="00F67BCA" w:rsidRPr="00CB26C4" w:rsidRDefault="00715914" w:rsidP="00AE3FA9">
      <w:pPr>
        <w:rPr>
          <w:sz w:val="36"/>
        </w:rPr>
      </w:pPr>
      <w:r w:rsidRPr="00CB26C4">
        <w:rPr>
          <w:sz w:val="36"/>
        </w:rPr>
        <w:lastRenderedPageBreak/>
        <w:t>Contents</w:t>
      </w:r>
    </w:p>
    <w:bookmarkStart w:id="0" w:name="BKCheck15B_2"/>
    <w:bookmarkEnd w:id="0"/>
    <w:p w14:paraId="7FB2A346" w14:textId="6D343359" w:rsidR="00CB26C4" w:rsidRDefault="00CB26C4">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CB26C4">
        <w:rPr>
          <w:b w:val="0"/>
          <w:noProof/>
          <w:sz w:val="18"/>
        </w:rPr>
        <w:tab/>
      </w:r>
      <w:r w:rsidRPr="00CB26C4">
        <w:rPr>
          <w:b w:val="0"/>
          <w:noProof/>
          <w:sz w:val="18"/>
        </w:rPr>
        <w:fldChar w:fldCharType="begin"/>
      </w:r>
      <w:r w:rsidRPr="00CB26C4">
        <w:rPr>
          <w:b w:val="0"/>
          <w:noProof/>
          <w:sz w:val="18"/>
        </w:rPr>
        <w:instrText xml:space="preserve"> PAGEREF _Toc66351966 \h </w:instrText>
      </w:r>
      <w:r w:rsidRPr="00CB26C4">
        <w:rPr>
          <w:b w:val="0"/>
          <w:noProof/>
          <w:sz w:val="18"/>
        </w:rPr>
      </w:r>
      <w:r w:rsidRPr="00CB26C4">
        <w:rPr>
          <w:b w:val="0"/>
          <w:noProof/>
          <w:sz w:val="18"/>
        </w:rPr>
        <w:fldChar w:fldCharType="separate"/>
      </w:r>
      <w:r w:rsidR="00A4719B">
        <w:rPr>
          <w:b w:val="0"/>
          <w:noProof/>
          <w:sz w:val="18"/>
        </w:rPr>
        <w:t>1</w:t>
      </w:r>
      <w:r w:rsidRPr="00CB26C4">
        <w:rPr>
          <w:b w:val="0"/>
          <w:noProof/>
          <w:sz w:val="18"/>
        </w:rPr>
        <w:fldChar w:fldCharType="end"/>
      </w:r>
    </w:p>
    <w:p w14:paraId="032EB90F" w14:textId="2D7EEC1B" w:rsidR="00CB26C4" w:rsidRDefault="00CB26C4">
      <w:pPr>
        <w:pStyle w:val="TOC2"/>
        <w:rPr>
          <w:rFonts w:asciiTheme="minorHAnsi" w:eastAsiaTheme="minorEastAsia" w:hAnsiTheme="minorHAnsi" w:cstheme="minorBidi"/>
          <w:b w:val="0"/>
          <w:noProof/>
          <w:kern w:val="0"/>
          <w:sz w:val="22"/>
          <w:szCs w:val="22"/>
        </w:rPr>
      </w:pPr>
      <w:r>
        <w:rPr>
          <w:noProof/>
        </w:rPr>
        <w:t>Part 1—Preliminary</w:t>
      </w:r>
      <w:r w:rsidRPr="00CB26C4">
        <w:rPr>
          <w:b w:val="0"/>
          <w:noProof/>
          <w:sz w:val="18"/>
        </w:rPr>
        <w:tab/>
      </w:r>
      <w:r w:rsidRPr="00CB26C4">
        <w:rPr>
          <w:b w:val="0"/>
          <w:noProof/>
          <w:sz w:val="18"/>
        </w:rPr>
        <w:fldChar w:fldCharType="begin"/>
      </w:r>
      <w:r w:rsidRPr="00CB26C4">
        <w:rPr>
          <w:b w:val="0"/>
          <w:noProof/>
          <w:sz w:val="18"/>
        </w:rPr>
        <w:instrText xml:space="preserve"> PAGEREF _Toc66351967 \h </w:instrText>
      </w:r>
      <w:r w:rsidRPr="00CB26C4">
        <w:rPr>
          <w:b w:val="0"/>
          <w:noProof/>
          <w:sz w:val="18"/>
        </w:rPr>
      </w:r>
      <w:r w:rsidRPr="00CB26C4">
        <w:rPr>
          <w:b w:val="0"/>
          <w:noProof/>
          <w:sz w:val="18"/>
        </w:rPr>
        <w:fldChar w:fldCharType="separate"/>
      </w:r>
      <w:r w:rsidR="00A4719B">
        <w:rPr>
          <w:b w:val="0"/>
          <w:noProof/>
          <w:sz w:val="18"/>
        </w:rPr>
        <w:t>1</w:t>
      </w:r>
      <w:r w:rsidRPr="00CB26C4">
        <w:rPr>
          <w:b w:val="0"/>
          <w:noProof/>
          <w:sz w:val="18"/>
        </w:rPr>
        <w:fldChar w:fldCharType="end"/>
      </w:r>
    </w:p>
    <w:p w14:paraId="327E150B" w14:textId="7235D9F7" w:rsidR="00CB26C4" w:rsidRDefault="00CB26C4">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Name</w:t>
      </w:r>
      <w:r w:rsidRPr="00CB26C4">
        <w:rPr>
          <w:noProof/>
        </w:rPr>
        <w:tab/>
      </w:r>
      <w:r w:rsidRPr="00CB26C4">
        <w:rPr>
          <w:noProof/>
        </w:rPr>
        <w:fldChar w:fldCharType="begin"/>
      </w:r>
      <w:r w:rsidRPr="00CB26C4">
        <w:rPr>
          <w:noProof/>
        </w:rPr>
        <w:instrText xml:space="preserve"> PAGEREF _Toc66351968 \h </w:instrText>
      </w:r>
      <w:r w:rsidRPr="00CB26C4">
        <w:rPr>
          <w:noProof/>
        </w:rPr>
      </w:r>
      <w:r w:rsidRPr="00CB26C4">
        <w:rPr>
          <w:noProof/>
        </w:rPr>
        <w:fldChar w:fldCharType="separate"/>
      </w:r>
      <w:r w:rsidR="00A4719B">
        <w:rPr>
          <w:noProof/>
        </w:rPr>
        <w:t>1</w:t>
      </w:r>
      <w:r w:rsidRPr="00CB26C4">
        <w:rPr>
          <w:noProof/>
        </w:rPr>
        <w:fldChar w:fldCharType="end"/>
      </w:r>
    </w:p>
    <w:p w14:paraId="29FA215D" w14:textId="3DFC528E" w:rsidR="00CB26C4" w:rsidRDefault="00CB26C4">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CB26C4">
        <w:rPr>
          <w:noProof/>
        </w:rPr>
        <w:tab/>
      </w:r>
      <w:r w:rsidRPr="00CB26C4">
        <w:rPr>
          <w:noProof/>
        </w:rPr>
        <w:fldChar w:fldCharType="begin"/>
      </w:r>
      <w:r w:rsidRPr="00CB26C4">
        <w:rPr>
          <w:noProof/>
        </w:rPr>
        <w:instrText xml:space="preserve"> PAGEREF _Toc66351969 \h </w:instrText>
      </w:r>
      <w:r w:rsidRPr="00CB26C4">
        <w:rPr>
          <w:noProof/>
        </w:rPr>
      </w:r>
      <w:r w:rsidRPr="00CB26C4">
        <w:rPr>
          <w:noProof/>
        </w:rPr>
        <w:fldChar w:fldCharType="separate"/>
      </w:r>
      <w:r w:rsidR="00A4719B">
        <w:rPr>
          <w:noProof/>
        </w:rPr>
        <w:t>1</w:t>
      </w:r>
      <w:r w:rsidRPr="00CB26C4">
        <w:rPr>
          <w:noProof/>
        </w:rPr>
        <w:fldChar w:fldCharType="end"/>
      </w:r>
    </w:p>
    <w:p w14:paraId="7BDEB982" w14:textId="263E06BB" w:rsidR="00CB26C4" w:rsidRDefault="00CB26C4">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Authority</w:t>
      </w:r>
      <w:r w:rsidRPr="00CB26C4">
        <w:rPr>
          <w:noProof/>
        </w:rPr>
        <w:tab/>
      </w:r>
      <w:r w:rsidRPr="00CB26C4">
        <w:rPr>
          <w:noProof/>
        </w:rPr>
        <w:fldChar w:fldCharType="begin"/>
      </w:r>
      <w:r w:rsidRPr="00CB26C4">
        <w:rPr>
          <w:noProof/>
        </w:rPr>
        <w:instrText xml:space="preserve"> PAGEREF _Toc66351970 \h </w:instrText>
      </w:r>
      <w:r w:rsidRPr="00CB26C4">
        <w:rPr>
          <w:noProof/>
        </w:rPr>
      </w:r>
      <w:r w:rsidRPr="00CB26C4">
        <w:rPr>
          <w:noProof/>
        </w:rPr>
        <w:fldChar w:fldCharType="separate"/>
      </w:r>
      <w:r w:rsidR="00A4719B">
        <w:rPr>
          <w:noProof/>
        </w:rPr>
        <w:t>1</w:t>
      </w:r>
      <w:r w:rsidRPr="00CB26C4">
        <w:rPr>
          <w:noProof/>
        </w:rPr>
        <w:fldChar w:fldCharType="end"/>
      </w:r>
    </w:p>
    <w:p w14:paraId="2A7FB06E" w14:textId="54F659D5" w:rsidR="00CB26C4" w:rsidRDefault="00CB26C4">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Application of this instrument</w:t>
      </w:r>
      <w:r w:rsidRPr="00CB26C4">
        <w:rPr>
          <w:noProof/>
        </w:rPr>
        <w:tab/>
      </w:r>
      <w:r w:rsidRPr="00CB26C4">
        <w:rPr>
          <w:noProof/>
        </w:rPr>
        <w:fldChar w:fldCharType="begin"/>
      </w:r>
      <w:r w:rsidRPr="00CB26C4">
        <w:rPr>
          <w:noProof/>
        </w:rPr>
        <w:instrText xml:space="preserve"> PAGEREF _Toc66351971 \h </w:instrText>
      </w:r>
      <w:r w:rsidRPr="00CB26C4">
        <w:rPr>
          <w:noProof/>
        </w:rPr>
      </w:r>
      <w:r w:rsidRPr="00CB26C4">
        <w:rPr>
          <w:noProof/>
        </w:rPr>
        <w:fldChar w:fldCharType="separate"/>
      </w:r>
      <w:r w:rsidR="00A4719B">
        <w:rPr>
          <w:noProof/>
        </w:rPr>
        <w:t>1</w:t>
      </w:r>
      <w:r w:rsidRPr="00CB26C4">
        <w:rPr>
          <w:noProof/>
        </w:rPr>
        <w:fldChar w:fldCharType="end"/>
      </w:r>
    </w:p>
    <w:p w14:paraId="7FA03DB4" w14:textId="1F975B67" w:rsidR="00CB26C4" w:rsidRDefault="00CB26C4">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instrument</w:t>
      </w:r>
      <w:r w:rsidRPr="00CB26C4">
        <w:rPr>
          <w:noProof/>
        </w:rPr>
        <w:tab/>
      </w:r>
      <w:r w:rsidRPr="00CB26C4">
        <w:rPr>
          <w:noProof/>
        </w:rPr>
        <w:fldChar w:fldCharType="begin"/>
      </w:r>
      <w:r w:rsidRPr="00CB26C4">
        <w:rPr>
          <w:noProof/>
        </w:rPr>
        <w:instrText xml:space="preserve"> PAGEREF _Toc66351972 \h </w:instrText>
      </w:r>
      <w:r w:rsidRPr="00CB26C4">
        <w:rPr>
          <w:noProof/>
        </w:rPr>
      </w:r>
      <w:r w:rsidRPr="00CB26C4">
        <w:rPr>
          <w:noProof/>
        </w:rPr>
        <w:fldChar w:fldCharType="separate"/>
      </w:r>
      <w:r w:rsidR="00A4719B">
        <w:rPr>
          <w:noProof/>
        </w:rPr>
        <w:t>2</w:t>
      </w:r>
      <w:r w:rsidRPr="00CB26C4">
        <w:rPr>
          <w:noProof/>
        </w:rPr>
        <w:fldChar w:fldCharType="end"/>
      </w:r>
    </w:p>
    <w:p w14:paraId="416C291D" w14:textId="120E94A7" w:rsidR="00CB26C4" w:rsidRDefault="00CB26C4">
      <w:pPr>
        <w:pStyle w:val="TOC2"/>
        <w:rPr>
          <w:rFonts w:asciiTheme="minorHAnsi" w:eastAsiaTheme="minorEastAsia" w:hAnsiTheme="minorHAnsi" w:cstheme="minorBidi"/>
          <w:b w:val="0"/>
          <w:noProof/>
          <w:kern w:val="0"/>
          <w:sz w:val="22"/>
          <w:szCs w:val="22"/>
        </w:rPr>
      </w:pPr>
      <w:r>
        <w:rPr>
          <w:noProof/>
        </w:rPr>
        <w:t>Part 2—Interpretation</w:t>
      </w:r>
      <w:r w:rsidRPr="00CB26C4">
        <w:rPr>
          <w:b w:val="0"/>
          <w:noProof/>
          <w:sz w:val="18"/>
        </w:rPr>
        <w:tab/>
      </w:r>
      <w:r w:rsidRPr="00CB26C4">
        <w:rPr>
          <w:b w:val="0"/>
          <w:noProof/>
          <w:sz w:val="18"/>
        </w:rPr>
        <w:fldChar w:fldCharType="begin"/>
      </w:r>
      <w:r w:rsidRPr="00CB26C4">
        <w:rPr>
          <w:b w:val="0"/>
          <w:noProof/>
          <w:sz w:val="18"/>
        </w:rPr>
        <w:instrText xml:space="preserve"> PAGEREF _Toc66351973 \h </w:instrText>
      </w:r>
      <w:r w:rsidRPr="00CB26C4">
        <w:rPr>
          <w:b w:val="0"/>
          <w:noProof/>
          <w:sz w:val="18"/>
        </w:rPr>
      </w:r>
      <w:r w:rsidRPr="00CB26C4">
        <w:rPr>
          <w:b w:val="0"/>
          <w:noProof/>
          <w:sz w:val="18"/>
        </w:rPr>
        <w:fldChar w:fldCharType="separate"/>
      </w:r>
      <w:r w:rsidR="00A4719B">
        <w:rPr>
          <w:b w:val="0"/>
          <w:noProof/>
          <w:sz w:val="18"/>
        </w:rPr>
        <w:t>3</w:t>
      </w:r>
      <w:r w:rsidRPr="00CB26C4">
        <w:rPr>
          <w:b w:val="0"/>
          <w:noProof/>
          <w:sz w:val="18"/>
        </w:rPr>
        <w:fldChar w:fldCharType="end"/>
      </w:r>
    </w:p>
    <w:p w14:paraId="6D7207C9" w14:textId="6DE28591" w:rsidR="00CB26C4" w:rsidRDefault="00CB26C4">
      <w:pPr>
        <w:pStyle w:val="TOC5"/>
        <w:rPr>
          <w:rFonts w:asciiTheme="minorHAnsi" w:eastAsiaTheme="minorEastAsia" w:hAnsiTheme="minorHAnsi" w:cstheme="minorBidi"/>
          <w:noProof/>
          <w:kern w:val="0"/>
          <w:sz w:val="22"/>
          <w:szCs w:val="22"/>
        </w:rPr>
      </w:pPr>
      <w:r>
        <w:rPr>
          <w:noProof/>
        </w:rPr>
        <w:t>1</w:t>
      </w:r>
      <w:r>
        <w:rPr>
          <w:noProof/>
        </w:rPr>
        <w:noBreakHyphen/>
        <w:t>6</w:t>
      </w:r>
      <w:r>
        <w:rPr>
          <w:noProof/>
        </w:rPr>
        <w:tab/>
        <w:t>Definitions</w:t>
      </w:r>
      <w:r w:rsidRPr="00CB26C4">
        <w:rPr>
          <w:noProof/>
        </w:rPr>
        <w:tab/>
      </w:r>
      <w:r w:rsidRPr="00CB26C4">
        <w:rPr>
          <w:noProof/>
        </w:rPr>
        <w:fldChar w:fldCharType="begin"/>
      </w:r>
      <w:r w:rsidRPr="00CB26C4">
        <w:rPr>
          <w:noProof/>
        </w:rPr>
        <w:instrText xml:space="preserve"> PAGEREF _Toc66351974 \h </w:instrText>
      </w:r>
      <w:r w:rsidRPr="00CB26C4">
        <w:rPr>
          <w:noProof/>
        </w:rPr>
      </w:r>
      <w:r w:rsidRPr="00CB26C4">
        <w:rPr>
          <w:noProof/>
        </w:rPr>
        <w:fldChar w:fldCharType="separate"/>
      </w:r>
      <w:r w:rsidR="00A4719B">
        <w:rPr>
          <w:noProof/>
        </w:rPr>
        <w:t>3</w:t>
      </w:r>
      <w:r w:rsidRPr="00CB26C4">
        <w:rPr>
          <w:noProof/>
        </w:rPr>
        <w:fldChar w:fldCharType="end"/>
      </w:r>
    </w:p>
    <w:p w14:paraId="4AA1AA72" w14:textId="5C9EA69E" w:rsidR="00CB26C4" w:rsidRDefault="00CB26C4">
      <w:pPr>
        <w:pStyle w:val="TOC5"/>
        <w:rPr>
          <w:rFonts w:asciiTheme="minorHAnsi" w:eastAsiaTheme="minorEastAsia" w:hAnsiTheme="minorHAnsi" w:cstheme="minorBidi"/>
          <w:noProof/>
          <w:kern w:val="0"/>
          <w:sz w:val="22"/>
          <w:szCs w:val="22"/>
        </w:rPr>
      </w:pPr>
      <w:r>
        <w:rPr>
          <w:noProof/>
        </w:rPr>
        <w:t>1</w:t>
      </w:r>
      <w:r>
        <w:rPr>
          <w:noProof/>
        </w:rPr>
        <w:noBreakHyphen/>
        <w:t>7</w:t>
      </w:r>
      <w:r>
        <w:rPr>
          <w:noProof/>
        </w:rPr>
        <w:tab/>
        <w:t xml:space="preserve">Meaning of </w:t>
      </w:r>
      <w:r w:rsidRPr="007640B2">
        <w:rPr>
          <w:i/>
          <w:noProof/>
        </w:rPr>
        <w:t>management arrangement</w:t>
      </w:r>
      <w:r w:rsidRPr="00CB26C4">
        <w:rPr>
          <w:noProof/>
        </w:rPr>
        <w:tab/>
      </w:r>
      <w:r w:rsidRPr="00CB26C4">
        <w:rPr>
          <w:noProof/>
        </w:rPr>
        <w:fldChar w:fldCharType="begin"/>
      </w:r>
      <w:r w:rsidRPr="00CB26C4">
        <w:rPr>
          <w:noProof/>
        </w:rPr>
        <w:instrText xml:space="preserve"> PAGEREF _Toc66351975 \h </w:instrText>
      </w:r>
      <w:r w:rsidRPr="00CB26C4">
        <w:rPr>
          <w:noProof/>
        </w:rPr>
      </w:r>
      <w:r w:rsidRPr="00CB26C4">
        <w:rPr>
          <w:noProof/>
        </w:rPr>
        <w:fldChar w:fldCharType="separate"/>
      </w:r>
      <w:r w:rsidR="00A4719B">
        <w:rPr>
          <w:noProof/>
        </w:rPr>
        <w:t>4</w:t>
      </w:r>
      <w:r w:rsidRPr="00CB26C4">
        <w:rPr>
          <w:noProof/>
        </w:rPr>
        <w:fldChar w:fldCharType="end"/>
      </w:r>
    </w:p>
    <w:p w14:paraId="3714BE24" w14:textId="1AC4C5D2" w:rsidR="00CB26C4" w:rsidRDefault="00CB26C4">
      <w:pPr>
        <w:pStyle w:val="TOC1"/>
        <w:rPr>
          <w:rFonts w:asciiTheme="minorHAnsi" w:eastAsiaTheme="minorEastAsia" w:hAnsiTheme="minorHAnsi" w:cstheme="minorBidi"/>
          <w:b w:val="0"/>
          <w:noProof/>
          <w:kern w:val="0"/>
          <w:sz w:val="22"/>
          <w:szCs w:val="22"/>
        </w:rPr>
      </w:pPr>
      <w:r>
        <w:rPr>
          <w:noProof/>
        </w:rPr>
        <w:t>Chapter 2—Exporting goods</w:t>
      </w:r>
      <w:r w:rsidRPr="00CB26C4">
        <w:rPr>
          <w:b w:val="0"/>
          <w:noProof/>
          <w:sz w:val="18"/>
        </w:rPr>
        <w:tab/>
      </w:r>
      <w:r w:rsidRPr="00CB26C4">
        <w:rPr>
          <w:b w:val="0"/>
          <w:noProof/>
          <w:sz w:val="18"/>
        </w:rPr>
        <w:fldChar w:fldCharType="begin"/>
      </w:r>
      <w:r w:rsidRPr="00CB26C4">
        <w:rPr>
          <w:b w:val="0"/>
          <w:noProof/>
          <w:sz w:val="18"/>
        </w:rPr>
        <w:instrText xml:space="preserve"> PAGEREF _Toc66351976 \h </w:instrText>
      </w:r>
      <w:r w:rsidRPr="00CB26C4">
        <w:rPr>
          <w:b w:val="0"/>
          <w:noProof/>
          <w:sz w:val="18"/>
        </w:rPr>
      </w:r>
      <w:r w:rsidRPr="00CB26C4">
        <w:rPr>
          <w:b w:val="0"/>
          <w:noProof/>
          <w:sz w:val="18"/>
        </w:rPr>
        <w:fldChar w:fldCharType="separate"/>
      </w:r>
      <w:r w:rsidR="00A4719B">
        <w:rPr>
          <w:b w:val="0"/>
          <w:noProof/>
          <w:sz w:val="18"/>
        </w:rPr>
        <w:t>6</w:t>
      </w:r>
      <w:r w:rsidRPr="00CB26C4">
        <w:rPr>
          <w:b w:val="0"/>
          <w:noProof/>
          <w:sz w:val="18"/>
        </w:rPr>
        <w:fldChar w:fldCharType="end"/>
      </w:r>
    </w:p>
    <w:p w14:paraId="31CF460B" w14:textId="4F1CCAA4" w:rsidR="00CB26C4" w:rsidRDefault="00CB26C4">
      <w:pPr>
        <w:pStyle w:val="TOC2"/>
        <w:rPr>
          <w:rFonts w:asciiTheme="minorHAnsi" w:eastAsiaTheme="minorEastAsia" w:hAnsiTheme="minorHAnsi" w:cstheme="minorBidi"/>
          <w:b w:val="0"/>
          <w:noProof/>
          <w:kern w:val="0"/>
          <w:sz w:val="22"/>
          <w:szCs w:val="22"/>
        </w:rPr>
      </w:pPr>
      <w:r>
        <w:rPr>
          <w:noProof/>
        </w:rPr>
        <w:t>Part 1—Goods</w:t>
      </w:r>
      <w:r w:rsidRPr="00CB26C4">
        <w:rPr>
          <w:b w:val="0"/>
          <w:noProof/>
          <w:sz w:val="18"/>
        </w:rPr>
        <w:tab/>
      </w:r>
      <w:r w:rsidRPr="00CB26C4">
        <w:rPr>
          <w:b w:val="0"/>
          <w:noProof/>
          <w:sz w:val="18"/>
        </w:rPr>
        <w:fldChar w:fldCharType="begin"/>
      </w:r>
      <w:r w:rsidRPr="00CB26C4">
        <w:rPr>
          <w:b w:val="0"/>
          <w:noProof/>
          <w:sz w:val="18"/>
        </w:rPr>
        <w:instrText xml:space="preserve"> PAGEREF _Toc66351977 \h </w:instrText>
      </w:r>
      <w:r w:rsidRPr="00CB26C4">
        <w:rPr>
          <w:b w:val="0"/>
          <w:noProof/>
          <w:sz w:val="18"/>
        </w:rPr>
      </w:r>
      <w:r w:rsidRPr="00CB26C4">
        <w:rPr>
          <w:b w:val="0"/>
          <w:noProof/>
          <w:sz w:val="18"/>
        </w:rPr>
        <w:fldChar w:fldCharType="separate"/>
      </w:r>
      <w:r w:rsidR="00A4719B">
        <w:rPr>
          <w:b w:val="0"/>
          <w:noProof/>
          <w:sz w:val="18"/>
        </w:rPr>
        <w:t>6</w:t>
      </w:r>
      <w:r w:rsidRPr="00CB26C4">
        <w:rPr>
          <w:b w:val="0"/>
          <w:noProof/>
          <w:sz w:val="18"/>
        </w:rPr>
        <w:fldChar w:fldCharType="end"/>
      </w:r>
    </w:p>
    <w:p w14:paraId="77BEDB1A" w14:textId="19B73805" w:rsidR="00CB26C4" w:rsidRDefault="00CB26C4">
      <w:pPr>
        <w:pStyle w:val="TOC3"/>
        <w:rPr>
          <w:rFonts w:asciiTheme="minorHAnsi" w:eastAsiaTheme="minorEastAsia" w:hAnsiTheme="minorHAnsi" w:cstheme="minorBidi"/>
          <w:b w:val="0"/>
          <w:noProof/>
          <w:kern w:val="0"/>
          <w:szCs w:val="22"/>
        </w:rPr>
      </w:pPr>
      <w:r>
        <w:rPr>
          <w:noProof/>
        </w:rPr>
        <w:t>Division 1—Prescribed goods</w:t>
      </w:r>
      <w:r w:rsidRPr="00CB26C4">
        <w:rPr>
          <w:b w:val="0"/>
          <w:noProof/>
          <w:sz w:val="18"/>
        </w:rPr>
        <w:tab/>
      </w:r>
      <w:r w:rsidRPr="00CB26C4">
        <w:rPr>
          <w:b w:val="0"/>
          <w:noProof/>
          <w:sz w:val="18"/>
        </w:rPr>
        <w:fldChar w:fldCharType="begin"/>
      </w:r>
      <w:r w:rsidRPr="00CB26C4">
        <w:rPr>
          <w:b w:val="0"/>
          <w:noProof/>
          <w:sz w:val="18"/>
        </w:rPr>
        <w:instrText xml:space="preserve"> PAGEREF _Toc66351978 \h </w:instrText>
      </w:r>
      <w:r w:rsidRPr="00CB26C4">
        <w:rPr>
          <w:b w:val="0"/>
          <w:noProof/>
          <w:sz w:val="18"/>
        </w:rPr>
      </w:r>
      <w:r w:rsidRPr="00CB26C4">
        <w:rPr>
          <w:b w:val="0"/>
          <w:noProof/>
          <w:sz w:val="18"/>
        </w:rPr>
        <w:fldChar w:fldCharType="separate"/>
      </w:r>
      <w:r w:rsidR="00A4719B">
        <w:rPr>
          <w:b w:val="0"/>
          <w:noProof/>
          <w:sz w:val="18"/>
        </w:rPr>
        <w:t>6</w:t>
      </w:r>
      <w:r w:rsidRPr="00CB26C4">
        <w:rPr>
          <w:b w:val="0"/>
          <w:noProof/>
          <w:sz w:val="18"/>
        </w:rPr>
        <w:fldChar w:fldCharType="end"/>
      </w:r>
    </w:p>
    <w:p w14:paraId="6FE85CBE" w14:textId="2F368044"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Wood and woodchips that are prescribed goods</w:t>
      </w:r>
      <w:r w:rsidRPr="00CB26C4">
        <w:rPr>
          <w:noProof/>
        </w:rPr>
        <w:tab/>
      </w:r>
      <w:r w:rsidRPr="00CB26C4">
        <w:rPr>
          <w:noProof/>
        </w:rPr>
        <w:fldChar w:fldCharType="begin"/>
      </w:r>
      <w:r w:rsidRPr="00CB26C4">
        <w:rPr>
          <w:noProof/>
        </w:rPr>
        <w:instrText xml:space="preserve"> PAGEREF _Toc66351979 \h </w:instrText>
      </w:r>
      <w:r w:rsidRPr="00CB26C4">
        <w:rPr>
          <w:noProof/>
        </w:rPr>
      </w:r>
      <w:r w:rsidRPr="00CB26C4">
        <w:rPr>
          <w:noProof/>
        </w:rPr>
        <w:fldChar w:fldCharType="separate"/>
      </w:r>
      <w:r w:rsidR="00A4719B">
        <w:rPr>
          <w:noProof/>
        </w:rPr>
        <w:t>6</w:t>
      </w:r>
      <w:r w:rsidRPr="00CB26C4">
        <w:rPr>
          <w:noProof/>
        </w:rPr>
        <w:fldChar w:fldCharType="end"/>
      </w:r>
    </w:p>
    <w:p w14:paraId="403ADF3B" w14:textId="2CAB63A5"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2</w:t>
      </w:r>
      <w:r>
        <w:rPr>
          <w:noProof/>
        </w:rPr>
        <w:tab/>
        <w:t>Wood and woodchips that are taken not to be prescribed goods</w:t>
      </w:r>
      <w:r w:rsidRPr="00CB26C4">
        <w:rPr>
          <w:noProof/>
        </w:rPr>
        <w:tab/>
      </w:r>
      <w:r w:rsidRPr="00CB26C4">
        <w:rPr>
          <w:noProof/>
        </w:rPr>
        <w:fldChar w:fldCharType="begin"/>
      </w:r>
      <w:r w:rsidRPr="00CB26C4">
        <w:rPr>
          <w:noProof/>
        </w:rPr>
        <w:instrText xml:space="preserve"> PAGEREF _Toc66351980 \h </w:instrText>
      </w:r>
      <w:r w:rsidRPr="00CB26C4">
        <w:rPr>
          <w:noProof/>
        </w:rPr>
      </w:r>
      <w:r w:rsidRPr="00CB26C4">
        <w:rPr>
          <w:noProof/>
        </w:rPr>
        <w:fldChar w:fldCharType="separate"/>
      </w:r>
      <w:r w:rsidR="00A4719B">
        <w:rPr>
          <w:noProof/>
        </w:rPr>
        <w:t>6</w:t>
      </w:r>
      <w:r w:rsidRPr="00CB26C4">
        <w:rPr>
          <w:noProof/>
        </w:rPr>
        <w:fldChar w:fldCharType="end"/>
      </w:r>
    </w:p>
    <w:p w14:paraId="2D92BE2A" w14:textId="7EDB7F69" w:rsidR="00CB26C4" w:rsidRDefault="00CB26C4">
      <w:pPr>
        <w:pStyle w:val="TOC3"/>
        <w:rPr>
          <w:rFonts w:asciiTheme="minorHAnsi" w:eastAsiaTheme="minorEastAsia" w:hAnsiTheme="minorHAnsi" w:cstheme="minorBidi"/>
          <w:b w:val="0"/>
          <w:noProof/>
          <w:kern w:val="0"/>
          <w:szCs w:val="22"/>
        </w:rPr>
      </w:pPr>
      <w:r>
        <w:rPr>
          <w:noProof/>
        </w:rPr>
        <w:t>Division 2—Prohibited export and prescribed export conditions</w:t>
      </w:r>
      <w:r w:rsidRPr="00CB26C4">
        <w:rPr>
          <w:b w:val="0"/>
          <w:noProof/>
          <w:sz w:val="18"/>
        </w:rPr>
        <w:tab/>
      </w:r>
      <w:r w:rsidRPr="00CB26C4">
        <w:rPr>
          <w:b w:val="0"/>
          <w:noProof/>
          <w:sz w:val="18"/>
        </w:rPr>
        <w:fldChar w:fldCharType="begin"/>
      </w:r>
      <w:r w:rsidRPr="00CB26C4">
        <w:rPr>
          <w:b w:val="0"/>
          <w:noProof/>
          <w:sz w:val="18"/>
        </w:rPr>
        <w:instrText xml:space="preserve"> PAGEREF _Toc66351981 \h </w:instrText>
      </w:r>
      <w:r w:rsidRPr="00CB26C4">
        <w:rPr>
          <w:b w:val="0"/>
          <w:noProof/>
          <w:sz w:val="18"/>
        </w:rPr>
      </w:r>
      <w:r w:rsidRPr="00CB26C4">
        <w:rPr>
          <w:b w:val="0"/>
          <w:noProof/>
          <w:sz w:val="18"/>
        </w:rPr>
        <w:fldChar w:fldCharType="separate"/>
      </w:r>
      <w:r w:rsidR="00A4719B">
        <w:rPr>
          <w:b w:val="0"/>
          <w:noProof/>
          <w:sz w:val="18"/>
        </w:rPr>
        <w:t>7</w:t>
      </w:r>
      <w:r w:rsidRPr="00CB26C4">
        <w:rPr>
          <w:b w:val="0"/>
          <w:noProof/>
          <w:sz w:val="18"/>
        </w:rPr>
        <w:fldChar w:fldCharType="end"/>
      </w:r>
    </w:p>
    <w:p w14:paraId="71962207" w14:textId="1D367191"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3</w:t>
      </w:r>
      <w:r>
        <w:rPr>
          <w:noProof/>
        </w:rPr>
        <w:tab/>
        <w:t>Purpose and application of this Division</w:t>
      </w:r>
      <w:r w:rsidRPr="00CB26C4">
        <w:rPr>
          <w:noProof/>
        </w:rPr>
        <w:tab/>
      </w:r>
      <w:r w:rsidRPr="00CB26C4">
        <w:rPr>
          <w:noProof/>
        </w:rPr>
        <w:fldChar w:fldCharType="begin"/>
      </w:r>
      <w:r w:rsidRPr="00CB26C4">
        <w:rPr>
          <w:noProof/>
        </w:rPr>
        <w:instrText xml:space="preserve"> PAGEREF _Toc66351982 \h </w:instrText>
      </w:r>
      <w:r w:rsidRPr="00CB26C4">
        <w:rPr>
          <w:noProof/>
        </w:rPr>
      </w:r>
      <w:r w:rsidRPr="00CB26C4">
        <w:rPr>
          <w:noProof/>
        </w:rPr>
        <w:fldChar w:fldCharType="separate"/>
      </w:r>
      <w:r w:rsidR="00A4719B">
        <w:rPr>
          <w:noProof/>
        </w:rPr>
        <w:t>7</w:t>
      </w:r>
      <w:r w:rsidRPr="00CB26C4">
        <w:rPr>
          <w:noProof/>
        </w:rPr>
        <w:fldChar w:fldCharType="end"/>
      </w:r>
    </w:p>
    <w:p w14:paraId="27A45F67" w14:textId="048CE7E7"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4</w:t>
      </w:r>
      <w:r>
        <w:rPr>
          <w:noProof/>
        </w:rPr>
        <w:tab/>
        <w:t>Export of prescribed wood or woodchips is prohibited unless prescribed conditions are complied with</w:t>
      </w:r>
      <w:r w:rsidRPr="00CB26C4">
        <w:rPr>
          <w:noProof/>
        </w:rPr>
        <w:tab/>
      </w:r>
      <w:r w:rsidRPr="00CB26C4">
        <w:rPr>
          <w:noProof/>
        </w:rPr>
        <w:fldChar w:fldCharType="begin"/>
      </w:r>
      <w:r w:rsidRPr="00CB26C4">
        <w:rPr>
          <w:noProof/>
        </w:rPr>
        <w:instrText xml:space="preserve"> PAGEREF _Toc66351983 \h </w:instrText>
      </w:r>
      <w:r w:rsidRPr="00CB26C4">
        <w:rPr>
          <w:noProof/>
        </w:rPr>
      </w:r>
      <w:r w:rsidRPr="00CB26C4">
        <w:rPr>
          <w:noProof/>
        </w:rPr>
        <w:fldChar w:fldCharType="separate"/>
      </w:r>
      <w:r w:rsidR="00A4719B">
        <w:rPr>
          <w:noProof/>
        </w:rPr>
        <w:t>7</w:t>
      </w:r>
      <w:r w:rsidRPr="00CB26C4">
        <w:rPr>
          <w:noProof/>
        </w:rPr>
        <w:fldChar w:fldCharType="end"/>
      </w:r>
    </w:p>
    <w:p w14:paraId="67ECCBCE" w14:textId="730325EC" w:rsidR="00CB26C4" w:rsidRDefault="00CB26C4">
      <w:pPr>
        <w:pStyle w:val="TOC2"/>
        <w:rPr>
          <w:rFonts w:asciiTheme="minorHAnsi" w:eastAsiaTheme="minorEastAsia" w:hAnsiTheme="minorHAnsi" w:cstheme="minorBidi"/>
          <w:b w:val="0"/>
          <w:noProof/>
          <w:kern w:val="0"/>
          <w:sz w:val="22"/>
          <w:szCs w:val="22"/>
        </w:rPr>
      </w:pPr>
      <w:r>
        <w:rPr>
          <w:noProof/>
        </w:rPr>
        <w:t>Part 2—Government certificates</w:t>
      </w:r>
      <w:r w:rsidRPr="00CB26C4">
        <w:rPr>
          <w:b w:val="0"/>
          <w:noProof/>
          <w:sz w:val="18"/>
        </w:rPr>
        <w:tab/>
      </w:r>
      <w:r w:rsidRPr="00CB26C4">
        <w:rPr>
          <w:b w:val="0"/>
          <w:noProof/>
          <w:sz w:val="18"/>
        </w:rPr>
        <w:fldChar w:fldCharType="begin"/>
      </w:r>
      <w:r w:rsidRPr="00CB26C4">
        <w:rPr>
          <w:b w:val="0"/>
          <w:noProof/>
          <w:sz w:val="18"/>
        </w:rPr>
        <w:instrText xml:space="preserve"> PAGEREF _Toc66351984 \h </w:instrText>
      </w:r>
      <w:r w:rsidRPr="00CB26C4">
        <w:rPr>
          <w:b w:val="0"/>
          <w:noProof/>
          <w:sz w:val="18"/>
        </w:rPr>
      </w:r>
      <w:r w:rsidRPr="00CB26C4">
        <w:rPr>
          <w:b w:val="0"/>
          <w:noProof/>
          <w:sz w:val="18"/>
        </w:rPr>
        <w:fldChar w:fldCharType="separate"/>
      </w:r>
      <w:r w:rsidR="00A4719B">
        <w:rPr>
          <w:b w:val="0"/>
          <w:noProof/>
          <w:sz w:val="18"/>
        </w:rPr>
        <w:t>8</w:t>
      </w:r>
      <w:r w:rsidRPr="00CB26C4">
        <w:rPr>
          <w:b w:val="0"/>
          <w:noProof/>
          <w:sz w:val="18"/>
        </w:rPr>
        <w:fldChar w:fldCharType="end"/>
      </w:r>
    </w:p>
    <w:p w14:paraId="0253926E" w14:textId="6217D900"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5</w:t>
      </w:r>
      <w:r>
        <w:rPr>
          <w:noProof/>
          <w:lang w:eastAsia="en-US"/>
        </w:rPr>
        <w:tab/>
        <w:t>G</w:t>
      </w:r>
      <w:r>
        <w:rPr>
          <w:noProof/>
        </w:rPr>
        <w:t>overnment certificate may be issued in relation to wood or woodchips</w:t>
      </w:r>
      <w:r w:rsidRPr="00CB26C4">
        <w:rPr>
          <w:noProof/>
        </w:rPr>
        <w:tab/>
      </w:r>
      <w:r w:rsidRPr="00CB26C4">
        <w:rPr>
          <w:noProof/>
        </w:rPr>
        <w:fldChar w:fldCharType="begin"/>
      </w:r>
      <w:r w:rsidRPr="00CB26C4">
        <w:rPr>
          <w:noProof/>
        </w:rPr>
        <w:instrText xml:space="preserve"> PAGEREF _Toc66351985 \h </w:instrText>
      </w:r>
      <w:r w:rsidRPr="00CB26C4">
        <w:rPr>
          <w:noProof/>
        </w:rPr>
      </w:r>
      <w:r w:rsidRPr="00CB26C4">
        <w:rPr>
          <w:noProof/>
        </w:rPr>
        <w:fldChar w:fldCharType="separate"/>
      </w:r>
      <w:r w:rsidR="00A4719B">
        <w:rPr>
          <w:noProof/>
        </w:rPr>
        <w:t>8</w:t>
      </w:r>
      <w:r w:rsidRPr="00CB26C4">
        <w:rPr>
          <w:noProof/>
        </w:rPr>
        <w:fldChar w:fldCharType="end"/>
      </w:r>
    </w:p>
    <w:p w14:paraId="5B252B59" w14:textId="6368A150" w:rsidR="00CB26C4" w:rsidRDefault="00CB26C4">
      <w:pPr>
        <w:pStyle w:val="TOC2"/>
        <w:rPr>
          <w:rFonts w:asciiTheme="minorHAnsi" w:eastAsiaTheme="minorEastAsia" w:hAnsiTheme="minorHAnsi" w:cstheme="minorBidi"/>
          <w:b w:val="0"/>
          <w:noProof/>
          <w:kern w:val="0"/>
          <w:sz w:val="22"/>
          <w:szCs w:val="22"/>
        </w:rPr>
      </w:pPr>
      <w:r>
        <w:rPr>
          <w:noProof/>
        </w:rPr>
        <w:t>Part 3—State codes of practice</w:t>
      </w:r>
      <w:r w:rsidRPr="00CB26C4">
        <w:rPr>
          <w:b w:val="0"/>
          <w:noProof/>
          <w:sz w:val="18"/>
        </w:rPr>
        <w:tab/>
      </w:r>
      <w:r w:rsidRPr="00CB26C4">
        <w:rPr>
          <w:b w:val="0"/>
          <w:noProof/>
          <w:sz w:val="18"/>
        </w:rPr>
        <w:fldChar w:fldCharType="begin"/>
      </w:r>
      <w:r w:rsidRPr="00CB26C4">
        <w:rPr>
          <w:b w:val="0"/>
          <w:noProof/>
          <w:sz w:val="18"/>
        </w:rPr>
        <w:instrText xml:space="preserve"> PAGEREF _Toc66351986 \h </w:instrText>
      </w:r>
      <w:r w:rsidRPr="00CB26C4">
        <w:rPr>
          <w:b w:val="0"/>
          <w:noProof/>
          <w:sz w:val="18"/>
        </w:rPr>
      </w:r>
      <w:r w:rsidRPr="00CB26C4">
        <w:rPr>
          <w:b w:val="0"/>
          <w:noProof/>
          <w:sz w:val="18"/>
        </w:rPr>
        <w:fldChar w:fldCharType="separate"/>
      </w:r>
      <w:r w:rsidR="00A4719B">
        <w:rPr>
          <w:b w:val="0"/>
          <w:noProof/>
          <w:sz w:val="18"/>
        </w:rPr>
        <w:t>9</w:t>
      </w:r>
      <w:r w:rsidRPr="00CB26C4">
        <w:rPr>
          <w:b w:val="0"/>
          <w:noProof/>
          <w:sz w:val="18"/>
        </w:rPr>
        <w:fldChar w:fldCharType="end"/>
      </w:r>
    </w:p>
    <w:p w14:paraId="3BFCE7AD" w14:textId="0E94EFBD"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6</w:t>
      </w:r>
      <w:r>
        <w:rPr>
          <w:noProof/>
        </w:rPr>
        <w:tab/>
        <w:t>State may request approval of code of practice</w:t>
      </w:r>
      <w:r w:rsidRPr="00CB26C4">
        <w:rPr>
          <w:noProof/>
        </w:rPr>
        <w:tab/>
      </w:r>
      <w:r w:rsidRPr="00CB26C4">
        <w:rPr>
          <w:noProof/>
        </w:rPr>
        <w:fldChar w:fldCharType="begin"/>
      </w:r>
      <w:r w:rsidRPr="00CB26C4">
        <w:rPr>
          <w:noProof/>
        </w:rPr>
        <w:instrText xml:space="preserve"> PAGEREF _Toc66351987 \h </w:instrText>
      </w:r>
      <w:r w:rsidRPr="00CB26C4">
        <w:rPr>
          <w:noProof/>
        </w:rPr>
      </w:r>
      <w:r w:rsidRPr="00CB26C4">
        <w:rPr>
          <w:noProof/>
        </w:rPr>
        <w:fldChar w:fldCharType="separate"/>
      </w:r>
      <w:r w:rsidR="00A4719B">
        <w:rPr>
          <w:noProof/>
        </w:rPr>
        <w:t>9</w:t>
      </w:r>
      <w:r w:rsidRPr="00CB26C4">
        <w:rPr>
          <w:noProof/>
        </w:rPr>
        <w:fldChar w:fldCharType="end"/>
      </w:r>
    </w:p>
    <w:p w14:paraId="7050A95E" w14:textId="49F1F1DC"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7</w:t>
      </w:r>
      <w:r>
        <w:rPr>
          <w:noProof/>
        </w:rPr>
        <w:tab/>
        <w:t>Approval of code of practice</w:t>
      </w:r>
      <w:r w:rsidRPr="00CB26C4">
        <w:rPr>
          <w:noProof/>
        </w:rPr>
        <w:tab/>
      </w:r>
      <w:r w:rsidRPr="00CB26C4">
        <w:rPr>
          <w:noProof/>
        </w:rPr>
        <w:fldChar w:fldCharType="begin"/>
      </w:r>
      <w:r w:rsidRPr="00CB26C4">
        <w:rPr>
          <w:noProof/>
        </w:rPr>
        <w:instrText xml:space="preserve"> PAGEREF _Toc66351988 \h </w:instrText>
      </w:r>
      <w:r w:rsidRPr="00CB26C4">
        <w:rPr>
          <w:noProof/>
        </w:rPr>
      </w:r>
      <w:r w:rsidRPr="00CB26C4">
        <w:rPr>
          <w:noProof/>
        </w:rPr>
        <w:fldChar w:fldCharType="separate"/>
      </w:r>
      <w:r w:rsidR="00A4719B">
        <w:rPr>
          <w:noProof/>
        </w:rPr>
        <w:t>9</w:t>
      </w:r>
      <w:r w:rsidRPr="00CB26C4">
        <w:rPr>
          <w:noProof/>
        </w:rPr>
        <w:fldChar w:fldCharType="end"/>
      </w:r>
    </w:p>
    <w:p w14:paraId="617E6CF6" w14:textId="436236E8"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8</w:t>
      </w:r>
      <w:r>
        <w:rPr>
          <w:noProof/>
        </w:rPr>
        <w:tab/>
        <w:t>Approval must state date of effect</w:t>
      </w:r>
      <w:r w:rsidRPr="00CB26C4">
        <w:rPr>
          <w:noProof/>
        </w:rPr>
        <w:tab/>
      </w:r>
      <w:r w:rsidRPr="00CB26C4">
        <w:rPr>
          <w:noProof/>
        </w:rPr>
        <w:fldChar w:fldCharType="begin"/>
      </w:r>
      <w:r w:rsidRPr="00CB26C4">
        <w:rPr>
          <w:noProof/>
        </w:rPr>
        <w:instrText xml:space="preserve"> PAGEREF _Toc66351989 \h </w:instrText>
      </w:r>
      <w:r w:rsidRPr="00CB26C4">
        <w:rPr>
          <w:noProof/>
        </w:rPr>
      </w:r>
      <w:r w:rsidRPr="00CB26C4">
        <w:rPr>
          <w:noProof/>
        </w:rPr>
        <w:fldChar w:fldCharType="separate"/>
      </w:r>
      <w:r w:rsidR="00A4719B">
        <w:rPr>
          <w:noProof/>
        </w:rPr>
        <w:t>9</w:t>
      </w:r>
      <w:r w:rsidRPr="00CB26C4">
        <w:rPr>
          <w:noProof/>
        </w:rPr>
        <w:fldChar w:fldCharType="end"/>
      </w:r>
    </w:p>
    <w:p w14:paraId="4A271646" w14:textId="3E2021B7"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9</w:t>
      </w:r>
      <w:r>
        <w:rPr>
          <w:noProof/>
        </w:rPr>
        <w:tab/>
        <w:t>Approval of amendments (other than minor amendments) of approved code of practice</w:t>
      </w:r>
      <w:r w:rsidRPr="00CB26C4">
        <w:rPr>
          <w:noProof/>
        </w:rPr>
        <w:tab/>
      </w:r>
      <w:r w:rsidRPr="00CB26C4">
        <w:rPr>
          <w:noProof/>
        </w:rPr>
        <w:fldChar w:fldCharType="begin"/>
      </w:r>
      <w:r w:rsidRPr="00CB26C4">
        <w:rPr>
          <w:noProof/>
        </w:rPr>
        <w:instrText xml:space="preserve"> PAGEREF _Toc66351990 \h </w:instrText>
      </w:r>
      <w:r w:rsidRPr="00CB26C4">
        <w:rPr>
          <w:noProof/>
        </w:rPr>
      </w:r>
      <w:r w:rsidRPr="00CB26C4">
        <w:rPr>
          <w:noProof/>
        </w:rPr>
        <w:fldChar w:fldCharType="separate"/>
      </w:r>
      <w:r w:rsidR="00A4719B">
        <w:rPr>
          <w:noProof/>
        </w:rPr>
        <w:t>9</w:t>
      </w:r>
      <w:r w:rsidRPr="00CB26C4">
        <w:rPr>
          <w:noProof/>
        </w:rPr>
        <w:fldChar w:fldCharType="end"/>
      </w:r>
    </w:p>
    <w:p w14:paraId="588E4D66" w14:textId="0F260FF3"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Minister may require amendment of code of practice</w:t>
      </w:r>
      <w:r w:rsidRPr="00CB26C4">
        <w:rPr>
          <w:noProof/>
        </w:rPr>
        <w:tab/>
      </w:r>
      <w:r w:rsidRPr="00CB26C4">
        <w:rPr>
          <w:noProof/>
        </w:rPr>
        <w:fldChar w:fldCharType="begin"/>
      </w:r>
      <w:r w:rsidRPr="00CB26C4">
        <w:rPr>
          <w:noProof/>
        </w:rPr>
        <w:instrText xml:space="preserve"> PAGEREF _Toc66351991 \h </w:instrText>
      </w:r>
      <w:r w:rsidRPr="00CB26C4">
        <w:rPr>
          <w:noProof/>
        </w:rPr>
      </w:r>
      <w:r w:rsidRPr="00CB26C4">
        <w:rPr>
          <w:noProof/>
        </w:rPr>
        <w:fldChar w:fldCharType="separate"/>
      </w:r>
      <w:r w:rsidR="00A4719B">
        <w:rPr>
          <w:noProof/>
        </w:rPr>
        <w:t>10</w:t>
      </w:r>
      <w:r w:rsidRPr="00CB26C4">
        <w:rPr>
          <w:noProof/>
        </w:rPr>
        <w:fldChar w:fldCharType="end"/>
      </w:r>
    </w:p>
    <w:p w14:paraId="663C3751" w14:textId="780CEDB6"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11</w:t>
      </w:r>
      <w:r>
        <w:rPr>
          <w:noProof/>
        </w:rPr>
        <w:tab/>
        <w:t>State may make minor amendment of approved code of practice</w:t>
      </w:r>
      <w:r w:rsidRPr="00CB26C4">
        <w:rPr>
          <w:noProof/>
        </w:rPr>
        <w:tab/>
      </w:r>
      <w:r w:rsidRPr="00CB26C4">
        <w:rPr>
          <w:noProof/>
        </w:rPr>
        <w:fldChar w:fldCharType="begin"/>
      </w:r>
      <w:r w:rsidRPr="00CB26C4">
        <w:rPr>
          <w:noProof/>
        </w:rPr>
        <w:instrText xml:space="preserve"> PAGEREF _Toc66351992 \h </w:instrText>
      </w:r>
      <w:r w:rsidRPr="00CB26C4">
        <w:rPr>
          <w:noProof/>
        </w:rPr>
      </w:r>
      <w:r w:rsidRPr="00CB26C4">
        <w:rPr>
          <w:noProof/>
        </w:rPr>
        <w:fldChar w:fldCharType="separate"/>
      </w:r>
      <w:r w:rsidR="00A4719B">
        <w:rPr>
          <w:noProof/>
        </w:rPr>
        <w:t>10</w:t>
      </w:r>
      <w:r w:rsidRPr="00CB26C4">
        <w:rPr>
          <w:noProof/>
        </w:rPr>
        <w:fldChar w:fldCharType="end"/>
      </w:r>
    </w:p>
    <w:p w14:paraId="2F230288" w14:textId="0F7D89BC"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12</w:t>
      </w:r>
      <w:r>
        <w:rPr>
          <w:noProof/>
        </w:rPr>
        <w:tab/>
        <w:t>Minister may revoke approval of code of practice</w:t>
      </w:r>
      <w:r w:rsidRPr="00CB26C4">
        <w:rPr>
          <w:noProof/>
        </w:rPr>
        <w:tab/>
      </w:r>
      <w:r w:rsidRPr="00CB26C4">
        <w:rPr>
          <w:noProof/>
        </w:rPr>
        <w:fldChar w:fldCharType="begin"/>
      </w:r>
      <w:r w:rsidRPr="00CB26C4">
        <w:rPr>
          <w:noProof/>
        </w:rPr>
        <w:instrText xml:space="preserve"> PAGEREF _Toc66351993 \h </w:instrText>
      </w:r>
      <w:r w:rsidRPr="00CB26C4">
        <w:rPr>
          <w:noProof/>
        </w:rPr>
      </w:r>
      <w:r w:rsidRPr="00CB26C4">
        <w:rPr>
          <w:noProof/>
        </w:rPr>
        <w:fldChar w:fldCharType="separate"/>
      </w:r>
      <w:r w:rsidR="00A4719B">
        <w:rPr>
          <w:noProof/>
        </w:rPr>
        <w:t>10</w:t>
      </w:r>
      <w:r w:rsidRPr="00CB26C4">
        <w:rPr>
          <w:noProof/>
        </w:rPr>
        <w:fldChar w:fldCharType="end"/>
      </w:r>
    </w:p>
    <w:p w14:paraId="6D24E8A8" w14:textId="191AEE5F" w:rsidR="00CB26C4" w:rsidRDefault="00CB26C4">
      <w:pPr>
        <w:pStyle w:val="TOC5"/>
        <w:rPr>
          <w:rFonts w:asciiTheme="minorHAnsi" w:eastAsiaTheme="minorEastAsia" w:hAnsiTheme="minorHAnsi" w:cstheme="minorBidi"/>
          <w:noProof/>
          <w:kern w:val="0"/>
          <w:sz w:val="22"/>
          <w:szCs w:val="22"/>
        </w:rPr>
      </w:pPr>
      <w:r>
        <w:rPr>
          <w:noProof/>
        </w:rPr>
        <w:t>2</w:t>
      </w:r>
      <w:r>
        <w:rPr>
          <w:noProof/>
        </w:rPr>
        <w:noBreakHyphen/>
        <w:t>13</w:t>
      </w:r>
      <w:r>
        <w:rPr>
          <w:noProof/>
        </w:rPr>
        <w:tab/>
        <w:t>Publication of approved code of practice</w:t>
      </w:r>
      <w:r w:rsidRPr="00CB26C4">
        <w:rPr>
          <w:noProof/>
        </w:rPr>
        <w:tab/>
      </w:r>
      <w:r w:rsidRPr="00CB26C4">
        <w:rPr>
          <w:noProof/>
        </w:rPr>
        <w:fldChar w:fldCharType="begin"/>
      </w:r>
      <w:r w:rsidRPr="00CB26C4">
        <w:rPr>
          <w:noProof/>
        </w:rPr>
        <w:instrText xml:space="preserve"> PAGEREF _Toc66351994 \h </w:instrText>
      </w:r>
      <w:r w:rsidRPr="00CB26C4">
        <w:rPr>
          <w:noProof/>
        </w:rPr>
      </w:r>
      <w:r w:rsidRPr="00CB26C4">
        <w:rPr>
          <w:noProof/>
        </w:rPr>
        <w:fldChar w:fldCharType="separate"/>
      </w:r>
      <w:r w:rsidR="00A4719B">
        <w:rPr>
          <w:noProof/>
        </w:rPr>
        <w:t>11</w:t>
      </w:r>
      <w:r w:rsidRPr="00CB26C4">
        <w:rPr>
          <w:noProof/>
        </w:rPr>
        <w:fldChar w:fldCharType="end"/>
      </w:r>
    </w:p>
    <w:p w14:paraId="3BFE5949" w14:textId="1F0DF88A" w:rsidR="00CB26C4" w:rsidRDefault="00CB26C4">
      <w:pPr>
        <w:pStyle w:val="TOC1"/>
        <w:rPr>
          <w:rFonts w:asciiTheme="minorHAnsi" w:eastAsiaTheme="minorEastAsia" w:hAnsiTheme="minorHAnsi" w:cstheme="minorBidi"/>
          <w:b w:val="0"/>
          <w:noProof/>
          <w:kern w:val="0"/>
          <w:sz w:val="22"/>
          <w:szCs w:val="22"/>
        </w:rPr>
      </w:pPr>
      <w:r>
        <w:rPr>
          <w:noProof/>
        </w:rPr>
        <w:t>Chapter 6—Wood export licences</w:t>
      </w:r>
      <w:r w:rsidRPr="00CB26C4">
        <w:rPr>
          <w:b w:val="0"/>
          <w:noProof/>
          <w:sz w:val="18"/>
        </w:rPr>
        <w:tab/>
      </w:r>
      <w:r w:rsidRPr="00CB26C4">
        <w:rPr>
          <w:b w:val="0"/>
          <w:noProof/>
          <w:sz w:val="18"/>
        </w:rPr>
        <w:fldChar w:fldCharType="begin"/>
      </w:r>
      <w:r w:rsidRPr="00CB26C4">
        <w:rPr>
          <w:b w:val="0"/>
          <w:noProof/>
          <w:sz w:val="18"/>
        </w:rPr>
        <w:instrText xml:space="preserve"> PAGEREF _Toc66351995 \h </w:instrText>
      </w:r>
      <w:r w:rsidRPr="00CB26C4">
        <w:rPr>
          <w:b w:val="0"/>
          <w:noProof/>
          <w:sz w:val="18"/>
        </w:rPr>
      </w:r>
      <w:r w:rsidRPr="00CB26C4">
        <w:rPr>
          <w:b w:val="0"/>
          <w:noProof/>
          <w:sz w:val="18"/>
        </w:rPr>
        <w:fldChar w:fldCharType="separate"/>
      </w:r>
      <w:r w:rsidR="00A4719B">
        <w:rPr>
          <w:b w:val="0"/>
          <w:noProof/>
          <w:sz w:val="18"/>
        </w:rPr>
        <w:t>12</w:t>
      </w:r>
      <w:r w:rsidRPr="00CB26C4">
        <w:rPr>
          <w:b w:val="0"/>
          <w:noProof/>
          <w:sz w:val="18"/>
        </w:rPr>
        <w:fldChar w:fldCharType="end"/>
      </w:r>
    </w:p>
    <w:p w14:paraId="27B420DC" w14:textId="26AB70F9" w:rsidR="00CB26C4" w:rsidRDefault="00CB26C4">
      <w:pPr>
        <w:pStyle w:val="TOC2"/>
        <w:rPr>
          <w:rFonts w:asciiTheme="minorHAnsi" w:eastAsiaTheme="minorEastAsia" w:hAnsiTheme="minorHAnsi" w:cstheme="minorBidi"/>
          <w:b w:val="0"/>
          <w:noProof/>
          <w:kern w:val="0"/>
          <w:sz w:val="22"/>
          <w:szCs w:val="22"/>
        </w:rPr>
      </w:pPr>
      <w:r>
        <w:rPr>
          <w:noProof/>
        </w:rPr>
        <w:t>Part 1—Requirements for grant of wood export licence</w:t>
      </w:r>
      <w:r w:rsidRPr="00CB26C4">
        <w:rPr>
          <w:b w:val="0"/>
          <w:noProof/>
          <w:sz w:val="18"/>
        </w:rPr>
        <w:tab/>
      </w:r>
      <w:r w:rsidRPr="00CB26C4">
        <w:rPr>
          <w:b w:val="0"/>
          <w:noProof/>
          <w:sz w:val="18"/>
        </w:rPr>
        <w:fldChar w:fldCharType="begin"/>
      </w:r>
      <w:r w:rsidRPr="00CB26C4">
        <w:rPr>
          <w:b w:val="0"/>
          <w:noProof/>
          <w:sz w:val="18"/>
        </w:rPr>
        <w:instrText xml:space="preserve"> PAGEREF _Toc66351996 \h </w:instrText>
      </w:r>
      <w:r w:rsidRPr="00CB26C4">
        <w:rPr>
          <w:b w:val="0"/>
          <w:noProof/>
          <w:sz w:val="18"/>
        </w:rPr>
      </w:r>
      <w:r w:rsidRPr="00CB26C4">
        <w:rPr>
          <w:b w:val="0"/>
          <w:noProof/>
          <w:sz w:val="18"/>
        </w:rPr>
        <w:fldChar w:fldCharType="separate"/>
      </w:r>
      <w:r w:rsidR="00A4719B">
        <w:rPr>
          <w:b w:val="0"/>
          <w:noProof/>
          <w:sz w:val="18"/>
        </w:rPr>
        <w:t>12</w:t>
      </w:r>
      <w:r w:rsidRPr="00CB26C4">
        <w:rPr>
          <w:b w:val="0"/>
          <w:noProof/>
          <w:sz w:val="18"/>
        </w:rPr>
        <w:fldChar w:fldCharType="end"/>
      </w:r>
    </w:p>
    <w:p w14:paraId="445D5B82" w14:textId="696E8E98" w:rsidR="00CB26C4" w:rsidRDefault="00CB26C4">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Other requirements for grant of wood export licence</w:t>
      </w:r>
      <w:r w:rsidRPr="00CB26C4">
        <w:rPr>
          <w:noProof/>
        </w:rPr>
        <w:tab/>
      </w:r>
      <w:r w:rsidRPr="00CB26C4">
        <w:rPr>
          <w:noProof/>
        </w:rPr>
        <w:fldChar w:fldCharType="begin"/>
      </w:r>
      <w:r w:rsidRPr="00CB26C4">
        <w:rPr>
          <w:noProof/>
        </w:rPr>
        <w:instrText xml:space="preserve"> PAGEREF _Toc66351997 \h </w:instrText>
      </w:r>
      <w:r w:rsidRPr="00CB26C4">
        <w:rPr>
          <w:noProof/>
        </w:rPr>
      </w:r>
      <w:r w:rsidRPr="00CB26C4">
        <w:rPr>
          <w:noProof/>
        </w:rPr>
        <w:fldChar w:fldCharType="separate"/>
      </w:r>
      <w:r w:rsidR="00A4719B">
        <w:rPr>
          <w:noProof/>
        </w:rPr>
        <w:t>12</w:t>
      </w:r>
      <w:r w:rsidRPr="00CB26C4">
        <w:rPr>
          <w:noProof/>
        </w:rPr>
        <w:fldChar w:fldCharType="end"/>
      </w:r>
    </w:p>
    <w:p w14:paraId="4C8C5DEC" w14:textId="1D3EA172" w:rsidR="00CB26C4" w:rsidRDefault="00CB26C4">
      <w:pPr>
        <w:pStyle w:val="TOC2"/>
        <w:rPr>
          <w:rFonts w:asciiTheme="minorHAnsi" w:eastAsiaTheme="minorEastAsia" w:hAnsiTheme="minorHAnsi" w:cstheme="minorBidi"/>
          <w:b w:val="0"/>
          <w:noProof/>
          <w:kern w:val="0"/>
          <w:sz w:val="22"/>
          <w:szCs w:val="22"/>
        </w:rPr>
      </w:pPr>
      <w:r>
        <w:rPr>
          <w:noProof/>
        </w:rPr>
        <w:t>Part 2—Conditions of wood export licence</w:t>
      </w:r>
      <w:r w:rsidRPr="00CB26C4">
        <w:rPr>
          <w:b w:val="0"/>
          <w:noProof/>
          <w:sz w:val="18"/>
        </w:rPr>
        <w:tab/>
      </w:r>
      <w:r w:rsidRPr="00CB26C4">
        <w:rPr>
          <w:b w:val="0"/>
          <w:noProof/>
          <w:sz w:val="18"/>
        </w:rPr>
        <w:fldChar w:fldCharType="begin"/>
      </w:r>
      <w:r w:rsidRPr="00CB26C4">
        <w:rPr>
          <w:b w:val="0"/>
          <w:noProof/>
          <w:sz w:val="18"/>
        </w:rPr>
        <w:instrText xml:space="preserve"> PAGEREF _Toc66351998 \h </w:instrText>
      </w:r>
      <w:r w:rsidRPr="00CB26C4">
        <w:rPr>
          <w:b w:val="0"/>
          <w:noProof/>
          <w:sz w:val="18"/>
        </w:rPr>
      </w:r>
      <w:r w:rsidRPr="00CB26C4">
        <w:rPr>
          <w:b w:val="0"/>
          <w:noProof/>
          <w:sz w:val="18"/>
        </w:rPr>
        <w:fldChar w:fldCharType="separate"/>
      </w:r>
      <w:r w:rsidR="00A4719B">
        <w:rPr>
          <w:b w:val="0"/>
          <w:noProof/>
          <w:sz w:val="18"/>
        </w:rPr>
        <w:t>14</w:t>
      </w:r>
      <w:r w:rsidRPr="00CB26C4">
        <w:rPr>
          <w:b w:val="0"/>
          <w:noProof/>
          <w:sz w:val="18"/>
        </w:rPr>
        <w:fldChar w:fldCharType="end"/>
      </w:r>
    </w:p>
    <w:p w14:paraId="3FFBFC74" w14:textId="35D369CF" w:rsidR="00CB26C4" w:rsidRDefault="00CB26C4">
      <w:pPr>
        <w:pStyle w:val="TOC5"/>
        <w:rPr>
          <w:rFonts w:asciiTheme="minorHAnsi" w:eastAsiaTheme="minorEastAsia" w:hAnsiTheme="minorHAnsi" w:cstheme="minorBidi"/>
          <w:noProof/>
          <w:kern w:val="0"/>
          <w:sz w:val="22"/>
          <w:szCs w:val="22"/>
        </w:rPr>
      </w:pPr>
      <w:r>
        <w:rPr>
          <w:noProof/>
        </w:rPr>
        <w:t>6</w:t>
      </w:r>
      <w:r>
        <w:rPr>
          <w:noProof/>
        </w:rPr>
        <w:noBreakHyphen/>
        <w:t>2</w:t>
      </w:r>
      <w:r>
        <w:rPr>
          <w:noProof/>
        </w:rPr>
        <w:tab/>
        <w:t>Conditions of wood export licence</w:t>
      </w:r>
      <w:r w:rsidRPr="00CB26C4">
        <w:rPr>
          <w:noProof/>
        </w:rPr>
        <w:tab/>
      </w:r>
      <w:r w:rsidRPr="00CB26C4">
        <w:rPr>
          <w:noProof/>
        </w:rPr>
        <w:fldChar w:fldCharType="begin"/>
      </w:r>
      <w:r w:rsidRPr="00CB26C4">
        <w:rPr>
          <w:noProof/>
        </w:rPr>
        <w:instrText xml:space="preserve"> PAGEREF _Toc66351999 \h </w:instrText>
      </w:r>
      <w:r w:rsidRPr="00CB26C4">
        <w:rPr>
          <w:noProof/>
        </w:rPr>
      </w:r>
      <w:r w:rsidRPr="00CB26C4">
        <w:rPr>
          <w:noProof/>
        </w:rPr>
        <w:fldChar w:fldCharType="separate"/>
      </w:r>
      <w:r w:rsidR="00A4719B">
        <w:rPr>
          <w:noProof/>
        </w:rPr>
        <w:t>14</w:t>
      </w:r>
      <w:r w:rsidRPr="00CB26C4">
        <w:rPr>
          <w:noProof/>
        </w:rPr>
        <w:fldChar w:fldCharType="end"/>
      </w:r>
    </w:p>
    <w:p w14:paraId="4110C030" w14:textId="27CF3105" w:rsidR="00CB26C4" w:rsidRDefault="00CB26C4">
      <w:pPr>
        <w:pStyle w:val="TOC2"/>
        <w:rPr>
          <w:rFonts w:asciiTheme="minorHAnsi" w:eastAsiaTheme="minorEastAsia" w:hAnsiTheme="minorHAnsi" w:cstheme="minorBidi"/>
          <w:b w:val="0"/>
          <w:noProof/>
          <w:kern w:val="0"/>
          <w:sz w:val="22"/>
          <w:szCs w:val="22"/>
        </w:rPr>
      </w:pPr>
      <w:r>
        <w:rPr>
          <w:noProof/>
        </w:rPr>
        <w:t>Part 3—Matters relating to applications</w:t>
      </w:r>
      <w:r w:rsidRPr="00CB26C4">
        <w:rPr>
          <w:b w:val="0"/>
          <w:noProof/>
          <w:sz w:val="18"/>
        </w:rPr>
        <w:tab/>
      </w:r>
      <w:r w:rsidRPr="00CB26C4">
        <w:rPr>
          <w:b w:val="0"/>
          <w:noProof/>
          <w:sz w:val="18"/>
        </w:rPr>
        <w:fldChar w:fldCharType="begin"/>
      </w:r>
      <w:r w:rsidRPr="00CB26C4">
        <w:rPr>
          <w:b w:val="0"/>
          <w:noProof/>
          <w:sz w:val="18"/>
        </w:rPr>
        <w:instrText xml:space="preserve"> PAGEREF _Toc66352000 \h </w:instrText>
      </w:r>
      <w:r w:rsidRPr="00CB26C4">
        <w:rPr>
          <w:b w:val="0"/>
          <w:noProof/>
          <w:sz w:val="18"/>
        </w:rPr>
      </w:r>
      <w:r w:rsidRPr="00CB26C4">
        <w:rPr>
          <w:b w:val="0"/>
          <w:noProof/>
          <w:sz w:val="18"/>
        </w:rPr>
        <w:fldChar w:fldCharType="separate"/>
      </w:r>
      <w:r w:rsidR="00A4719B">
        <w:rPr>
          <w:b w:val="0"/>
          <w:noProof/>
          <w:sz w:val="18"/>
        </w:rPr>
        <w:t>15</w:t>
      </w:r>
      <w:r w:rsidRPr="00CB26C4">
        <w:rPr>
          <w:b w:val="0"/>
          <w:noProof/>
          <w:sz w:val="18"/>
        </w:rPr>
        <w:fldChar w:fldCharType="end"/>
      </w:r>
    </w:p>
    <w:p w14:paraId="3AA9C74E" w14:textId="379C3B43" w:rsidR="00CB26C4" w:rsidRDefault="00CB26C4">
      <w:pPr>
        <w:pStyle w:val="TOC5"/>
        <w:rPr>
          <w:rFonts w:asciiTheme="minorHAnsi" w:eastAsiaTheme="minorEastAsia" w:hAnsiTheme="minorHAnsi" w:cstheme="minorBidi"/>
          <w:noProof/>
          <w:kern w:val="0"/>
          <w:sz w:val="22"/>
          <w:szCs w:val="22"/>
        </w:rPr>
      </w:pPr>
      <w:r>
        <w:rPr>
          <w:noProof/>
        </w:rPr>
        <w:t>6</w:t>
      </w:r>
      <w:r>
        <w:rPr>
          <w:noProof/>
        </w:rPr>
        <w:noBreakHyphen/>
        <w:t>3</w:t>
      </w:r>
      <w:r>
        <w:rPr>
          <w:noProof/>
        </w:rPr>
        <w:tab/>
        <w:t>Application of this Part</w:t>
      </w:r>
      <w:r w:rsidRPr="00CB26C4">
        <w:rPr>
          <w:noProof/>
        </w:rPr>
        <w:tab/>
      </w:r>
      <w:r w:rsidRPr="00CB26C4">
        <w:rPr>
          <w:noProof/>
        </w:rPr>
        <w:fldChar w:fldCharType="begin"/>
      </w:r>
      <w:r w:rsidRPr="00CB26C4">
        <w:rPr>
          <w:noProof/>
        </w:rPr>
        <w:instrText xml:space="preserve"> PAGEREF _Toc66352001 \h </w:instrText>
      </w:r>
      <w:r w:rsidRPr="00CB26C4">
        <w:rPr>
          <w:noProof/>
        </w:rPr>
      </w:r>
      <w:r w:rsidRPr="00CB26C4">
        <w:rPr>
          <w:noProof/>
        </w:rPr>
        <w:fldChar w:fldCharType="separate"/>
      </w:r>
      <w:r w:rsidR="00A4719B">
        <w:rPr>
          <w:noProof/>
        </w:rPr>
        <w:t>15</w:t>
      </w:r>
      <w:r w:rsidRPr="00CB26C4">
        <w:rPr>
          <w:noProof/>
        </w:rPr>
        <w:fldChar w:fldCharType="end"/>
      </w:r>
    </w:p>
    <w:p w14:paraId="1E4FDB52" w14:textId="5C81B3E2" w:rsidR="00CB26C4" w:rsidRDefault="00CB26C4">
      <w:pPr>
        <w:pStyle w:val="TOC5"/>
        <w:rPr>
          <w:rFonts w:asciiTheme="minorHAnsi" w:eastAsiaTheme="minorEastAsia" w:hAnsiTheme="minorHAnsi" w:cstheme="minorBidi"/>
          <w:noProof/>
          <w:kern w:val="0"/>
          <w:sz w:val="22"/>
          <w:szCs w:val="22"/>
        </w:rPr>
      </w:pPr>
      <w:r>
        <w:rPr>
          <w:noProof/>
        </w:rPr>
        <w:t>6</w:t>
      </w:r>
      <w:r>
        <w:rPr>
          <w:noProof/>
        </w:rPr>
        <w:noBreakHyphen/>
        <w:t>4</w:t>
      </w:r>
      <w:r>
        <w:rPr>
          <w:noProof/>
        </w:rPr>
        <w:tab/>
        <w:t>Initial consideration period</w:t>
      </w:r>
      <w:r w:rsidRPr="00CB26C4">
        <w:rPr>
          <w:noProof/>
        </w:rPr>
        <w:tab/>
      </w:r>
      <w:r w:rsidRPr="00CB26C4">
        <w:rPr>
          <w:noProof/>
        </w:rPr>
        <w:fldChar w:fldCharType="begin"/>
      </w:r>
      <w:r w:rsidRPr="00CB26C4">
        <w:rPr>
          <w:noProof/>
        </w:rPr>
        <w:instrText xml:space="preserve"> PAGEREF _Toc66352002 \h </w:instrText>
      </w:r>
      <w:r w:rsidRPr="00CB26C4">
        <w:rPr>
          <w:noProof/>
        </w:rPr>
      </w:r>
      <w:r w:rsidRPr="00CB26C4">
        <w:rPr>
          <w:noProof/>
        </w:rPr>
        <w:fldChar w:fldCharType="separate"/>
      </w:r>
      <w:r w:rsidR="00A4719B">
        <w:rPr>
          <w:noProof/>
        </w:rPr>
        <w:t>15</w:t>
      </w:r>
      <w:r w:rsidRPr="00CB26C4">
        <w:rPr>
          <w:noProof/>
        </w:rPr>
        <w:fldChar w:fldCharType="end"/>
      </w:r>
    </w:p>
    <w:p w14:paraId="789DA669" w14:textId="5E384837" w:rsidR="00CB26C4" w:rsidRDefault="00CB26C4">
      <w:pPr>
        <w:pStyle w:val="TOC5"/>
        <w:rPr>
          <w:rFonts w:asciiTheme="minorHAnsi" w:eastAsiaTheme="minorEastAsia" w:hAnsiTheme="minorHAnsi" w:cstheme="minorBidi"/>
          <w:noProof/>
          <w:kern w:val="0"/>
          <w:sz w:val="22"/>
          <w:szCs w:val="22"/>
        </w:rPr>
      </w:pPr>
      <w:r>
        <w:rPr>
          <w:noProof/>
        </w:rPr>
        <w:t>6</w:t>
      </w:r>
      <w:r>
        <w:rPr>
          <w:noProof/>
        </w:rPr>
        <w:noBreakHyphen/>
        <w:t>5</w:t>
      </w:r>
      <w:r>
        <w:rPr>
          <w:noProof/>
        </w:rPr>
        <w:tab/>
        <w:t>Period within which request relating to application must be complied with</w:t>
      </w:r>
      <w:r w:rsidRPr="00CB26C4">
        <w:rPr>
          <w:noProof/>
        </w:rPr>
        <w:tab/>
      </w:r>
      <w:r w:rsidRPr="00CB26C4">
        <w:rPr>
          <w:noProof/>
        </w:rPr>
        <w:fldChar w:fldCharType="begin"/>
      </w:r>
      <w:r w:rsidRPr="00CB26C4">
        <w:rPr>
          <w:noProof/>
        </w:rPr>
        <w:instrText xml:space="preserve"> PAGEREF _Toc66352003 \h </w:instrText>
      </w:r>
      <w:r w:rsidRPr="00CB26C4">
        <w:rPr>
          <w:noProof/>
        </w:rPr>
      </w:r>
      <w:r w:rsidRPr="00CB26C4">
        <w:rPr>
          <w:noProof/>
        </w:rPr>
        <w:fldChar w:fldCharType="separate"/>
      </w:r>
      <w:r w:rsidR="00A4719B">
        <w:rPr>
          <w:noProof/>
        </w:rPr>
        <w:t>15</w:t>
      </w:r>
      <w:r w:rsidRPr="00CB26C4">
        <w:rPr>
          <w:noProof/>
        </w:rPr>
        <w:fldChar w:fldCharType="end"/>
      </w:r>
    </w:p>
    <w:p w14:paraId="5306113D" w14:textId="5619049C" w:rsidR="00CB26C4" w:rsidRDefault="00CB26C4">
      <w:pPr>
        <w:pStyle w:val="TOC1"/>
        <w:rPr>
          <w:rFonts w:asciiTheme="minorHAnsi" w:eastAsiaTheme="minorEastAsia" w:hAnsiTheme="minorHAnsi" w:cstheme="minorBidi"/>
          <w:b w:val="0"/>
          <w:noProof/>
          <w:kern w:val="0"/>
          <w:sz w:val="22"/>
          <w:szCs w:val="22"/>
        </w:rPr>
      </w:pPr>
      <w:r>
        <w:rPr>
          <w:noProof/>
        </w:rPr>
        <w:t>Chapter 10—Compliance and enforcement</w:t>
      </w:r>
      <w:r w:rsidRPr="00CB26C4">
        <w:rPr>
          <w:b w:val="0"/>
          <w:noProof/>
          <w:sz w:val="18"/>
        </w:rPr>
        <w:tab/>
      </w:r>
      <w:r w:rsidRPr="00CB26C4">
        <w:rPr>
          <w:b w:val="0"/>
          <w:noProof/>
          <w:sz w:val="18"/>
        </w:rPr>
        <w:fldChar w:fldCharType="begin"/>
      </w:r>
      <w:r w:rsidRPr="00CB26C4">
        <w:rPr>
          <w:b w:val="0"/>
          <w:noProof/>
          <w:sz w:val="18"/>
        </w:rPr>
        <w:instrText xml:space="preserve"> PAGEREF _Toc66352004 \h </w:instrText>
      </w:r>
      <w:r w:rsidRPr="00CB26C4">
        <w:rPr>
          <w:b w:val="0"/>
          <w:noProof/>
          <w:sz w:val="18"/>
        </w:rPr>
      </w:r>
      <w:r w:rsidRPr="00CB26C4">
        <w:rPr>
          <w:b w:val="0"/>
          <w:noProof/>
          <w:sz w:val="18"/>
        </w:rPr>
        <w:fldChar w:fldCharType="separate"/>
      </w:r>
      <w:r w:rsidR="00A4719B">
        <w:rPr>
          <w:b w:val="0"/>
          <w:noProof/>
          <w:sz w:val="18"/>
        </w:rPr>
        <w:t>16</w:t>
      </w:r>
      <w:r w:rsidRPr="00CB26C4">
        <w:rPr>
          <w:b w:val="0"/>
          <w:noProof/>
          <w:sz w:val="18"/>
        </w:rPr>
        <w:fldChar w:fldCharType="end"/>
      </w:r>
    </w:p>
    <w:p w14:paraId="2AD03E2F" w14:textId="683549F6" w:rsidR="00CB26C4" w:rsidRDefault="00CB26C4">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Samples taken in exercising monitoring or investigation powers</w:t>
      </w:r>
      <w:r w:rsidRPr="00CB26C4">
        <w:rPr>
          <w:noProof/>
        </w:rPr>
        <w:tab/>
      </w:r>
      <w:r w:rsidRPr="00CB26C4">
        <w:rPr>
          <w:noProof/>
        </w:rPr>
        <w:fldChar w:fldCharType="begin"/>
      </w:r>
      <w:r w:rsidRPr="00CB26C4">
        <w:rPr>
          <w:noProof/>
        </w:rPr>
        <w:instrText xml:space="preserve"> PAGEREF _Toc66352005 \h </w:instrText>
      </w:r>
      <w:r w:rsidRPr="00CB26C4">
        <w:rPr>
          <w:noProof/>
        </w:rPr>
      </w:r>
      <w:r w:rsidRPr="00CB26C4">
        <w:rPr>
          <w:noProof/>
        </w:rPr>
        <w:fldChar w:fldCharType="separate"/>
      </w:r>
      <w:r w:rsidR="00A4719B">
        <w:rPr>
          <w:noProof/>
        </w:rPr>
        <w:t>16</w:t>
      </w:r>
      <w:r w:rsidRPr="00CB26C4">
        <w:rPr>
          <w:noProof/>
        </w:rPr>
        <w:fldChar w:fldCharType="end"/>
      </w:r>
    </w:p>
    <w:p w14:paraId="11EE4F91" w14:textId="02BDCD3B" w:rsidR="00CB26C4" w:rsidRDefault="00CB26C4">
      <w:pPr>
        <w:pStyle w:val="TOC5"/>
        <w:rPr>
          <w:rFonts w:asciiTheme="minorHAnsi" w:eastAsiaTheme="minorEastAsia" w:hAnsiTheme="minorHAnsi" w:cstheme="minorBidi"/>
          <w:noProof/>
          <w:kern w:val="0"/>
          <w:sz w:val="22"/>
          <w:szCs w:val="22"/>
        </w:rPr>
      </w:pPr>
      <w:r>
        <w:rPr>
          <w:noProof/>
        </w:rPr>
        <w:t>10</w:t>
      </w:r>
      <w:r>
        <w:rPr>
          <w:noProof/>
        </w:rPr>
        <w:noBreakHyphen/>
        <w:t>2</w:t>
      </w:r>
      <w:r>
        <w:rPr>
          <w:noProof/>
        </w:rPr>
        <w:tab/>
        <w:t>Dealing with things seized in exercising investigation powers</w:t>
      </w:r>
      <w:r w:rsidRPr="00CB26C4">
        <w:rPr>
          <w:noProof/>
        </w:rPr>
        <w:tab/>
      </w:r>
      <w:r w:rsidRPr="00CB26C4">
        <w:rPr>
          <w:noProof/>
        </w:rPr>
        <w:fldChar w:fldCharType="begin"/>
      </w:r>
      <w:r w:rsidRPr="00CB26C4">
        <w:rPr>
          <w:noProof/>
        </w:rPr>
        <w:instrText xml:space="preserve"> PAGEREF _Toc66352006 \h </w:instrText>
      </w:r>
      <w:r w:rsidRPr="00CB26C4">
        <w:rPr>
          <w:noProof/>
        </w:rPr>
      </w:r>
      <w:r w:rsidRPr="00CB26C4">
        <w:rPr>
          <w:noProof/>
        </w:rPr>
        <w:fldChar w:fldCharType="separate"/>
      </w:r>
      <w:r w:rsidR="00A4719B">
        <w:rPr>
          <w:noProof/>
        </w:rPr>
        <w:t>16</w:t>
      </w:r>
      <w:r w:rsidRPr="00CB26C4">
        <w:rPr>
          <w:noProof/>
        </w:rPr>
        <w:fldChar w:fldCharType="end"/>
      </w:r>
    </w:p>
    <w:p w14:paraId="7E6F33E1" w14:textId="6144F7A4" w:rsidR="00CB26C4" w:rsidRDefault="00CB26C4">
      <w:pPr>
        <w:pStyle w:val="TOC1"/>
        <w:rPr>
          <w:rFonts w:asciiTheme="minorHAnsi" w:eastAsiaTheme="minorEastAsia" w:hAnsiTheme="minorHAnsi" w:cstheme="minorBidi"/>
          <w:b w:val="0"/>
          <w:noProof/>
          <w:kern w:val="0"/>
          <w:sz w:val="22"/>
          <w:szCs w:val="22"/>
        </w:rPr>
      </w:pPr>
      <w:r>
        <w:rPr>
          <w:noProof/>
        </w:rPr>
        <w:lastRenderedPageBreak/>
        <w:t>Chapter 11—Miscellaneous</w:t>
      </w:r>
      <w:r w:rsidRPr="00CB26C4">
        <w:rPr>
          <w:b w:val="0"/>
          <w:noProof/>
          <w:sz w:val="18"/>
        </w:rPr>
        <w:tab/>
      </w:r>
      <w:r w:rsidRPr="00CB26C4">
        <w:rPr>
          <w:b w:val="0"/>
          <w:noProof/>
          <w:sz w:val="18"/>
        </w:rPr>
        <w:fldChar w:fldCharType="begin"/>
      </w:r>
      <w:r w:rsidRPr="00CB26C4">
        <w:rPr>
          <w:b w:val="0"/>
          <w:noProof/>
          <w:sz w:val="18"/>
        </w:rPr>
        <w:instrText xml:space="preserve"> PAGEREF _Toc66352007 \h </w:instrText>
      </w:r>
      <w:r w:rsidRPr="00CB26C4">
        <w:rPr>
          <w:b w:val="0"/>
          <w:noProof/>
          <w:sz w:val="18"/>
        </w:rPr>
      </w:r>
      <w:r w:rsidRPr="00CB26C4">
        <w:rPr>
          <w:b w:val="0"/>
          <w:noProof/>
          <w:sz w:val="18"/>
        </w:rPr>
        <w:fldChar w:fldCharType="separate"/>
      </w:r>
      <w:r w:rsidR="00A4719B">
        <w:rPr>
          <w:b w:val="0"/>
          <w:noProof/>
          <w:sz w:val="18"/>
        </w:rPr>
        <w:t>17</w:t>
      </w:r>
      <w:r w:rsidRPr="00CB26C4">
        <w:rPr>
          <w:b w:val="0"/>
          <w:noProof/>
          <w:sz w:val="18"/>
        </w:rPr>
        <w:fldChar w:fldCharType="end"/>
      </w:r>
    </w:p>
    <w:p w14:paraId="0B264683" w14:textId="1BD6DAD8" w:rsidR="00CB26C4" w:rsidRDefault="00CB26C4">
      <w:pPr>
        <w:pStyle w:val="TOC2"/>
        <w:rPr>
          <w:rFonts w:asciiTheme="minorHAnsi" w:eastAsiaTheme="minorEastAsia" w:hAnsiTheme="minorHAnsi" w:cstheme="minorBidi"/>
          <w:b w:val="0"/>
          <w:noProof/>
          <w:kern w:val="0"/>
          <w:sz w:val="22"/>
          <w:szCs w:val="22"/>
        </w:rPr>
      </w:pPr>
      <w:r>
        <w:rPr>
          <w:noProof/>
        </w:rPr>
        <w:t>Part 1—Records</w:t>
      </w:r>
      <w:r w:rsidRPr="00CB26C4">
        <w:rPr>
          <w:b w:val="0"/>
          <w:noProof/>
          <w:sz w:val="18"/>
        </w:rPr>
        <w:tab/>
      </w:r>
      <w:r w:rsidRPr="00CB26C4">
        <w:rPr>
          <w:b w:val="0"/>
          <w:noProof/>
          <w:sz w:val="18"/>
        </w:rPr>
        <w:fldChar w:fldCharType="begin"/>
      </w:r>
      <w:r w:rsidRPr="00CB26C4">
        <w:rPr>
          <w:b w:val="0"/>
          <w:noProof/>
          <w:sz w:val="18"/>
        </w:rPr>
        <w:instrText xml:space="preserve"> PAGEREF _Toc66352008 \h </w:instrText>
      </w:r>
      <w:r w:rsidRPr="00CB26C4">
        <w:rPr>
          <w:b w:val="0"/>
          <w:noProof/>
          <w:sz w:val="18"/>
        </w:rPr>
      </w:r>
      <w:r w:rsidRPr="00CB26C4">
        <w:rPr>
          <w:b w:val="0"/>
          <w:noProof/>
          <w:sz w:val="18"/>
        </w:rPr>
        <w:fldChar w:fldCharType="separate"/>
      </w:r>
      <w:r w:rsidR="00A4719B">
        <w:rPr>
          <w:b w:val="0"/>
          <w:noProof/>
          <w:sz w:val="18"/>
        </w:rPr>
        <w:t>17</w:t>
      </w:r>
      <w:r w:rsidRPr="00CB26C4">
        <w:rPr>
          <w:b w:val="0"/>
          <w:noProof/>
          <w:sz w:val="18"/>
        </w:rPr>
        <w:fldChar w:fldCharType="end"/>
      </w:r>
    </w:p>
    <w:p w14:paraId="566BC829" w14:textId="4BC7CBF0" w:rsidR="00CB26C4" w:rsidRDefault="00CB26C4">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Purpose of this Part</w:t>
      </w:r>
      <w:r w:rsidRPr="00CB26C4">
        <w:rPr>
          <w:noProof/>
        </w:rPr>
        <w:tab/>
      </w:r>
      <w:r w:rsidRPr="00CB26C4">
        <w:rPr>
          <w:noProof/>
        </w:rPr>
        <w:fldChar w:fldCharType="begin"/>
      </w:r>
      <w:r w:rsidRPr="00CB26C4">
        <w:rPr>
          <w:noProof/>
        </w:rPr>
        <w:instrText xml:space="preserve"> PAGEREF _Toc66352009 \h </w:instrText>
      </w:r>
      <w:r w:rsidRPr="00CB26C4">
        <w:rPr>
          <w:noProof/>
        </w:rPr>
      </w:r>
      <w:r w:rsidRPr="00CB26C4">
        <w:rPr>
          <w:noProof/>
        </w:rPr>
        <w:fldChar w:fldCharType="separate"/>
      </w:r>
      <w:r w:rsidR="00A4719B">
        <w:rPr>
          <w:noProof/>
        </w:rPr>
        <w:t>17</w:t>
      </w:r>
      <w:r w:rsidRPr="00CB26C4">
        <w:rPr>
          <w:noProof/>
        </w:rPr>
        <w:fldChar w:fldCharType="end"/>
      </w:r>
    </w:p>
    <w:p w14:paraId="7FEAAC0D" w14:textId="33253057" w:rsidR="00CB26C4" w:rsidRDefault="00CB26C4">
      <w:pPr>
        <w:pStyle w:val="TOC5"/>
        <w:rPr>
          <w:rFonts w:asciiTheme="minorHAnsi" w:eastAsiaTheme="minorEastAsia" w:hAnsiTheme="minorHAnsi" w:cstheme="minorBidi"/>
          <w:noProof/>
          <w:kern w:val="0"/>
          <w:sz w:val="22"/>
          <w:szCs w:val="22"/>
        </w:rPr>
      </w:pPr>
      <w:r>
        <w:rPr>
          <w:noProof/>
        </w:rPr>
        <w:t>11</w:t>
      </w:r>
      <w:r>
        <w:rPr>
          <w:noProof/>
        </w:rPr>
        <w:noBreakHyphen/>
        <w:t>2</w:t>
      </w:r>
      <w:r>
        <w:rPr>
          <w:noProof/>
        </w:rPr>
        <w:tab/>
        <w:t>General requirements for records</w:t>
      </w:r>
      <w:r w:rsidRPr="00CB26C4">
        <w:rPr>
          <w:noProof/>
        </w:rPr>
        <w:tab/>
      </w:r>
      <w:r w:rsidRPr="00CB26C4">
        <w:rPr>
          <w:noProof/>
        </w:rPr>
        <w:fldChar w:fldCharType="begin"/>
      </w:r>
      <w:r w:rsidRPr="00CB26C4">
        <w:rPr>
          <w:noProof/>
        </w:rPr>
        <w:instrText xml:space="preserve"> PAGEREF _Toc66352010 \h </w:instrText>
      </w:r>
      <w:r w:rsidRPr="00CB26C4">
        <w:rPr>
          <w:noProof/>
        </w:rPr>
      </w:r>
      <w:r w:rsidRPr="00CB26C4">
        <w:rPr>
          <w:noProof/>
        </w:rPr>
        <w:fldChar w:fldCharType="separate"/>
      </w:r>
      <w:r w:rsidR="00A4719B">
        <w:rPr>
          <w:noProof/>
        </w:rPr>
        <w:t>17</w:t>
      </w:r>
      <w:r w:rsidRPr="00CB26C4">
        <w:rPr>
          <w:noProof/>
        </w:rPr>
        <w:fldChar w:fldCharType="end"/>
      </w:r>
    </w:p>
    <w:p w14:paraId="68D762C9" w14:textId="38D9E294" w:rsidR="00CB26C4" w:rsidRDefault="00CB26C4">
      <w:pPr>
        <w:pStyle w:val="TOC5"/>
        <w:rPr>
          <w:rFonts w:asciiTheme="minorHAnsi" w:eastAsiaTheme="minorEastAsia" w:hAnsiTheme="minorHAnsi" w:cstheme="minorBidi"/>
          <w:noProof/>
          <w:kern w:val="0"/>
          <w:sz w:val="22"/>
          <w:szCs w:val="22"/>
        </w:rPr>
      </w:pPr>
      <w:r>
        <w:rPr>
          <w:noProof/>
        </w:rPr>
        <w:t>11</w:t>
      </w:r>
      <w:r>
        <w:rPr>
          <w:noProof/>
        </w:rPr>
        <w:noBreakHyphen/>
        <w:t>3</w:t>
      </w:r>
      <w:r>
        <w:rPr>
          <w:noProof/>
        </w:rPr>
        <w:tab/>
        <w:t>Government certificates must be retained in secure place</w:t>
      </w:r>
      <w:r w:rsidRPr="00CB26C4">
        <w:rPr>
          <w:noProof/>
        </w:rPr>
        <w:tab/>
      </w:r>
      <w:r w:rsidRPr="00CB26C4">
        <w:rPr>
          <w:noProof/>
        </w:rPr>
        <w:fldChar w:fldCharType="begin"/>
      </w:r>
      <w:r w:rsidRPr="00CB26C4">
        <w:rPr>
          <w:noProof/>
        </w:rPr>
        <w:instrText xml:space="preserve"> PAGEREF _Toc66352011 \h </w:instrText>
      </w:r>
      <w:r w:rsidRPr="00CB26C4">
        <w:rPr>
          <w:noProof/>
        </w:rPr>
      </w:r>
      <w:r w:rsidRPr="00CB26C4">
        <w:rPr>
          <w:noProof/>
        </w:rPr>
        <w:fldChar w:fldCharType="separate"/>
      </w:r>
      <w:r w:rsidR="00A4719B">
        <w:rPr>
          <w:noProof/>
        </w:rPr>
        <w:t>17</w:t>
      </w:r>
      <w:r w:rsidRPr="00CB26C4">
        <w:rPr>
          <w:noProof/>
        </w:rPr>
        <w:fldChar w:fldCharType="end"/>
      </w:r>
    </w:p>
    <w:p w14:paraId="29F5A0CC" w14:textId="4389CEDF" w:rsidR="00CB26C4" w:rsidRDefault="00CB26C4">
      <w:pPr>
        <w:pStyle w:val="TOC5"/>
        <w:rPr>
          <w:rFonts w:asciiTheme="minorHAnsi" w:eastAsiaTheme="minorEastAsia" w:hAnsiTheme="minorHAnsi" w:cstheme="minorBidi"/>
          <w:noProof/>
          <w:kern w:val="0"/>
          <w:sz w:val="22"/>
          <w:szCs w:val="22"/>
        </w:rPr>
      </w:pPr>
      <w:r>
        <w:rPr>
          <w:noProof/>
        </w:rPr>
        <w:t>11</w:t>
      </w:r>
      <w:r>
        <w:rPr>
          <w:noProof/>
        </w:rPr>
        <w:noBreakHyphen/>
        <w:t>4</w:t>
      </w:r>
      <w:r>
        <w:rPr>
          <w:noProof/>
        </w:rPr>
        <w:tab/>
        <w:t>Records to be retained by exporter</w:t>
      </w:r>
      <w:r w:rsidRPr="00CB26C4">
        <w:rPr>
          <w:noProof/>
        </w:rPr>
        <w:tab/>
      </w:r>
      <w:r w:rsidRPr="00CB26C4">
        <w:rPr>
          <w:noProof/>
        </w:rPr>
        <w:fldChar w:fldCharType="begin"/>
      </w:r>
      <w:r w:rsidRPr="00CB26C4">
        <w:rPr>
          <w:noProof/>
        </w:rPr>
        <w:instrText xml:space="preserve"> PAGEREF _Toc66352012 \h </w:instrText>
      </w:r>
      <w:r w:rsidRPr="00CB26C4">
        <w:rPr>
          <w:noProof/>
        </w:rPr>
      </w:r>
      <w:r w:rsidRPr="00CB26C4">
        <w:rPr>
          <w:noProof/>
        </w:rPr>
        <w:fldChar w:fldCharType="separate"/>
      </w:r>
      <w:r w:rsidR="00A4719B">
        <w:rPr>
          <w:noProof/>
        </w:rPr>
        <w:t>17</w:t>
      </w:r>
      <w:r w:rsidRPr="00CB26C4">
        <w:rPr>
          <w:noProof/>
        </w:rPr>
        <w:fldChar w:fldCharType="end"/>
      </w:r>
    </w:p>
    <w:p w14:paraId="4F267B8A" w14:textId="52063037" w:rsidR="00CB26C4" w:rsidRDefault="00CB26C4">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Records must not be altered or defaced during retention period</w:t>
      </w:r>
      <w:r w:rsidRPr="00CB26C4">
        <w:rPr>
          <w:noProof/>
        </w:rPr>
        <w:tab/>
      </w:r>
      <w:r w:rsidRPr="00CB26C4">
        <w:rPr>
          <w:noProof/>
        </w:rPr>
        <w:fldChar w:fldCharType="begin"/>
      </w:r>
      <w:r w:rsidRPr="00CB26C4">
        <w:rPr>
          <w:noProof/>
        </w:rPr>
        <w:instrText xml:space="preserve"> PAGEREF _Toc66352013 \h </w:instrText>
      </w:r>
      <w:r w:rsidRPr="00CB26C4">
        <w:rPr>
          <w:noProof/>
        </w:rPr>
      </w:r>
      <w:r w:rsidRPr="00CB26C4">
        <w:rPr>
          <w:noProof/>
        </w:rPr>
        <w:fldChar w:fldCharType="separate"/>
      </w:r>
      <w:r w:rsidR="00A4719B">
        <w:rPr>
          <w:noProof/>
        </w:rPr>
        <w:t>18</w:t>
      </w:r>
      <w:r w:rsidRPr="00CB26C4">
        <w:rPr>
          <w:noProof/>
        </w:rPr>
        <w:fldChar w:fldCharType="end"/>
      </w:r>
    </w:p>
    <w:p w14:paraId="125E3746" w14:textId="5E9651E9" w:rsidR="00CB26C4" w:rsidRDefault="00CB26C4">
      <w:pPr>
        <w:pStyle w:val="TOC2"/>
        <w:rPr>
          <w:rFonts w:asciiTheme="minorHAnsi" w:eastAsiaTheme="minorEastAsia" w:hAnsiTheme="minorHAnsi" w:cstheme="minorBidi"/>
          <w:b w:val="0"/>
          <w:noProof/>
          <w:kern w:val="0"/>
          <w:sz w:val="22"/>
          <w:szCs w:val="22"/>
        </w:rPr>
      </w:pPr>
      <w:r>
        <w:rPr>
          <w:noProof/>
        </w:rPr>
        <w:t>Part 2—Relevant Commonwealth liabilities</w:t>
      </w:r>
      <w:r w:rsidRPr="00CB26C4">
        <w:rPr>
          <w:b w:val="0"/>
          <w:noProof/>
          <w:sz w:val="18"/>
        </w:rPr>
        <w:tab/>
      </w:r>
      <w:r w:rsidRPr="00CB26C4">
        <w:rPr>
          <w:b w:val="0"/>
          <w:noProof/>
          <w:sz w:val="18"/>
        </w:rPr>
        <w:fldChar w:fldCharType="begin"/>
      </w:r>
      <w:r w:rsidRPr="00CB26C4">
        <w:rPr>
          <w:b w:val="0"/>
          <w:noProof/>
          <w:sz w:val="18"/>
        </w:rPr>
        <w:instrText xml:space="preserve"> PAGEREF _Toc66352014 \h </w:instrText>
      </w:r>
      <w:r w:rsidRPr="00CB26C4">
        <w:rPr>
          <w:b w:val="0"/>
          <w:noProof/>
          <w:sz w:val="18"/>
        </w:rPr>
      </w:r>
      <w:r w:rsidRPr="00CB26C4">
        <w:rPr>
          <w:b w:val="0"/>
          <w:noProof/>
          <w:sz w:val="18"/>
        </w:rPr>
        <w:fldChar w:fldCharType="separate"/>
      </w:r>
      <w:r w:rsidR="00A4719B">
        <w:rPr>
          <w:b w:val="0"/>
          <w:noProof/>
          <w:sz w:val="18"/>
        </w:rPr>
        <w:t>19</w:t>
      </w:r>
      <w:r w:rsidRPr="00CB26C4">
        <w:rPr>
          <w:b w:val="0"/>
          <w:noProof/>
          <w:sz w:val="18"/>
        </w:rPr>
        <w:fldChar w:fldCharType="end"/>
      </w:r>
    </w:p>
    <w:p w14:paraId="437B3F9D" w14:textId="446ED9A7" w:rsidR="00CB26C4" w:rsidRDefault="00CB26C4">
      <w:pPr>
        <w:pStyle w:val="TOC5"/>
        <w:rPr>
          <w:rFonts w:asciiTheme="minorHAnsi" w:eastAsiaTheme="minorEastAsia" w:hAnsiTheme="minorHAnsi" w:cstheme="minorBidi"/>
          <w:noProof/>
          <w:kern w:val="0"/>
          <w:sz w:val="22"/>
          <w:szCs w:val="22"/>
        </w:rPr>
      </w:pPr>
      <w:r>
        <w:rPr>
          <w:noProof/>
        </w:rPr>
        <w:t>11</w:t>
      </w:r>
      <w:r>
        <w:rPr>
          <w:noProof/>
        </w:rPr>
        <w:noBreakHyphen/>
        <w:t>6</w:t>
      </w:r>
      <w:r>
        <w:rPr>
          <w:noProof/>
        </w:rPr>
        <w:tab/>
        <w:t>Circumstances in which relevant Commonwealth liability of a person is taken to have been paid</w:t>
      </w:r>
      <w:r w:rsidRPr="00CB26C4">
        <w:rPr>
          <w:noProof/>
        </w:rPr>
        <w:tab/>
      </w:r>
      <w:r w:rsidRPr="00CB26C4">
        <w:rPr>
          <w:noProof/>
        </w:rPr>
        <w:fldChar w:fldCharType="begin"/>
      </w:r>
      <w:r w:rsidRPr="00CB26C4">
        <w:rPr>
          <w:noProof/>
        </w:rPr>
        <w:instrText xml:space="preserve"> PAGEREF _Toc66352015 \h </w:instrText>
      </w:r>
      <w:r w:rsidRPr="00CB26C4">
        <w:rPr>
          <w:noProof/>
        </w:rPr>
      </w:r>
      <w:r w:rsidRPr="00CB26C4">
        <w:rPr>
          <w:noProof/>
        </w:rPr>
        <w:fldChar w:fldCharType="separate"/>
      </w:r>
      <w:r w:rsidR="00A4719B">
        <w:rPr>
          <w:noProof/>
        </w:rPr>
        <w:t>19</w:t>
      </w:r>
      <w:r w:rsidRPr="00CB26C4">
        <w:rPr>
          <w:noProof/>
        </w:rPr>
        <w:fldChar w:fldCharType="end"/>
      </w:r>
    </w:p>
    <w:p w14:paraId="6A4432F0" w14:textId="0DF8BE11" w:rsidR="00CB26C4" w:rsidRDefault="00CB26C4">
      <w:pPr>
        <w:pStyle w:val="TOC1"/>
        <w:rPr>
          <w:rFonts w:asciiTheme="minorHAnsi" w:eastAsiaTheme="minorEastAsia" w:hAnsiTheme="minorHAnsi" w:cstheme="minorBidi"/>
          <w:b w:val="0"/>
          <w:noProof/>
          <w:kern w:val="0"/>
          <w:sz w:val="22"/>
          <w:szCs w:val="22"/>
        </w:rPr>
      </w:pPr>
      <w:r>
        <w:rPr>
          <w:noProof/>
        </w:rPr>
        <w:t>Chapter 12—Transitional provisions</w:t>
      </w:r>
      <w:r w:rsidRPr="00CB26C4">
        <w:rPr>
          <w:b w:val="0"/>
          <w:noProof/>
          <w:sz w:val="18"/>
        </w:rPr>
        <w:tab/>
      </w:r>
      <w:r w:rsidRPr="00CB26C4">
        <w:rPr>
          <w:b w:val="0"/>
          <w:noProof/>
          <w:sz w:val="18"/>
        </w:rPr>
        <w:fldChar w:fldCharType="begin"/>
      </w:r>
      <w:r w:rsidRPr="00CB26C4">
        <w:rPr>
          <w:b w:val="0"/>
          <w:noProof/>
          <w:sz w:val="18"/>
        </w:rPr>
        <w:instrText xml:space="preserve"> PAGEREF _Toc66352016 \h </w:instrText>
      </w:r>
      <w:r w:rsidRPr="00CB26C4">
        <w:rPr>
          <w:b w:val="0"/>
          <w:noProof/>
          <w:sz w:val="18"/>
        </w:rPr>
      </w:r>
      <w:r w:rsidRPr="00CB26C4">
        <w:rPr>
          <w:b w:val="0"/>
          <w:noProof/>
          <w:sz w:val="18"/>
        </w:rPr>
        <w:fldChar w:fldCharType="separate"/>
      </w:r>
      <w:r w:rsidR="00A4719B">
        <w:rPr>
          <w:b w:val="0"/>
          <w:noProof/>
          <w:sz w:val="18"/>
        </w:rPr>
        <w:t>21</w:t>
      </w:r>
      <w:r w:rsidRPr="00CB26C4">
        <w:rPr>
          <w:b w:val="0"/>
          <w:noProof/>
          <w:sz w:val="18"/>
        </w:rPr>
        <w:fldChar w:fldCharType="end"/>
      </w:r>
    </w:p>
    <w:p w14:paraId="55631746" w14:textId="14040DAB" w:rsidR="00CB26C4" w:rsidRDefault="00CB26C4">
      <w:pPr>
        <w:pStyle w:val="TOC5"/>
        <w:rPr>
          <w:rFonts w:asciiTheme="minorHAnsi" w:eastAsiaTheme="minorEastAsia" w:hAnsiTheme="minorHAnsi" w:cstheme="minorBidi"/>
          <w:noProof/>
          <w:kern w:val="0"/>
          <w:sz w:val="22"/>
          <w:szCs w:val="22"/>
        </w:rPr>
      </w:pPr>
      <w:r>
        <w:rPr>
          <w:noProof/>
        </w:rPr>
        <w:t>12</w:t>
      </w:r>
      <w:r>
        <w:rPr>
          <w:noProof/>
        </w:rPr>
        <w:noBreakHyphen/>
        <w:t>1</w:t>
      </w:r>
      <w:r>
        <w:rPr>
          <w:noProof/>
        </w:rPr>
        <w:tab/>
        <w:t>State codes of practice</w:t>
      </w:r>
      <w:r w:rsidRPr="00CB26C4">
        <w:rPr>
          <w:noProof/>
        </w:rPr>
        <w:tab/>
      </w:r>
      <w:r w:rsidRPr="00CB26C4">
        <w:rPr>
          <w:noProof/>
        </w:rPr>
        <w:fldChar w:fldCharType="begin"/>
      </w:r>
      <w:r w:rsidRPr="00CB26C4">
        <w:rPr>
          <w:noProof/>
        </w:rPr>
        <w:instrText xml:space="preserve"> PAGEREF _Toc66352017 \h </w:instrText>
      </w:r>
      <w:r w:rsidRPr="00CB26C4">
        <w:rPr>
          <w:noProof/>
        </w:rPr>
      </w:r>
      <w:r w:rsidRPr="00CB26C4">
        <w:rPr>
          <w:noProof/>
        </w:rPr>
        <w:fldChar w:fldCharType="separate"/>
      </w:r>
      <w:r w:rsidR="00A4719B">
        <w:rPr>
          <w:noProof/>
        </w:rPr>
        <w:t>21</w:t>
      </w:r>
      <w:r w:rsidRPr="00CB26C4">
        <w:rPr>
          <w:noProof/>
        </w:rPr>
        <w:fldChar w:fldCharType="end"/>
      </w:r>
    </w:p>
    <w:p w14:paraId="5580BC75" w14:textId="77777777" w:rsidR="00670EA1" w:rsidRPr="00CB26C4" w:rsidRDefault="00CB26C4" w:rsidP="000B4E67">
      <w:r>
        <w:fldChar w:fldCharType="end"/>
      </w:r>
    </w:p>
    <w:p w14:paraId="46CAC126" w14:textId="77777777" w:rsidR="00670EA1" w:rsidRPr="00CB26C4" w:rsidRDefault="00670EA1" w:rsidP="00715914">
      <w:pPr>
        <w:sectPr w:rsidR="00670EA1" w:rsidRPr="00CB26C4" w:rsidSect="00D143E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B60B72D" w14:textId="77777777" w:rsidR="00A777CA" w:rsidRPr="00CB26C4" w:rsidRDefault="00A777CA" w:rsidP="00A777CA">
      <w:pPr>
        <w:pStyle w:val="ActHead1"/>
        <w:spacing w:before="360"/>
      </w:pPr>
      <w:bookmarkStart w:id="1" w:name="_Toc66351966"/>
      <w:r w:rsidRPr="00780841">
        <w:rPr>
          <w:rStyle w:val="CharChapNo"/>
        </w:rPr>
        <w:lastRenderedPageBreak/>
        <w:t>Chapter</w:t>
      </w:r>
      <w:r w:rsidR="003B0685" w:rsidRPr="00780841">
        <w:rPr>
          <w:rStyle w:val="CharChapNo"/>
        </w:rPr>
        <w:t> </w:t>
      </w:r>
      <w:r w:rsidRPr="00780841">
        <w:rPr>
          <w:rStyle w:val="CharChapNo"/>
        </w:rPr>
        <w:t>1</w:t>
      </w:r>
      <w:r w:rsidRPr="00CB26C4">
        <w:t>—</w:t>
      </w:r>
      <w:r w:rsidRPr="00780841">
        <w:rPr>
          <w:rStyle w:val="CharChapText"/>
        </w:rPr>
        <w:t>Preliminary</w:t>
      </w:r>
      <w:bookmarkEnd w:id="1"/>
    </w:p>
    <w:p w14:paraId="78603A85" w14:textId="77777777" w:rsidR="00715914" w:rsidRPr="00CB26C4" w:rsidRDefault="00CF62CA" w:rsidP="00715914">
      <w:pPr>
        <w:pStyle w:val="ActHead2"/>
      </w:pPr>
      <w:bookmarkStart w:id="2" w:name="_Toc66351967"/>
      <w:r w:rsidRPr="00780841">
        <w:rPr>
          <w:rStyle w:val="CharPartNo"/>
        </w:rPr>
        <w:t>Part 1</w:t>
      </w:r>
      <w:r w:rsidR="00715914" w:rsidRPr="00CB26C4">
        <w:t>—</w:t>
      </w:r>
      <w:r w:rsidR="00715914" w:rsidRPr="00780841">
        <w:rPr>
          <w:rStyle w:val="CharPartText"/>
        </w:rPr>
        <w:t>Preliminary</w:t>
      </w:r>
      <w:bookmarkEnd w:id="2"/>
    </w:p>
    <w:p w14:paraId="1EB20637" w14:textId="77777777" w:rsidR="00715914" w:rsidRPr="00780841" w:rsidRDefault="00715914" w:rsidP="00715914">
      <w:pPr>
        <w:pStyle w:val="Header"/>
      </w:pPr>
      <w:r w:rsidRPr="00780841">
        <w:rPr>
          <w:rStyle w:val="CharDivNo"/>
        </w:rPr>
        <w:t xml:space="preserve"> </w:t>
      </w:r>
      <w:r w:rsidRPr="00780841">
        <w:rPr>
          <w:rStyle w:val="CharDivText"/>
        </w:rPr>
        <w:t xml:space="preserve"> </w:t>
      </w:r>
    </w:p>
    <w:p w14:paraId="2EA5363C" w14:textId="77777777" w:rsidR="00715914" w:rsidRPr="00CB26C4" w:rsidRDefault="00715914" w:rsidP="00715914">
      <w:pPr>
        <w:pStyle w:val="ActHead5"/>
      </w:pPr>
      <w:bookmarkStart w:id="3" w:name="_Toc66351968"/>
      <w:r w:rsidRPr="00780841">
        <w:rPr>
          <w:rStyle w:val="CharSectno"/>
        </w:rPr>
        <w:t>1</w:t>
      </w:r>
      <w:r w:rsidR="00CB26C4" w:rsidRPr="00780841">
        <w:rPr>
          <w:rStyle w:val="CharSectno"/>
        </w:rPr>
        <w:noBreakHyphen/>
      </w:r>
      <w:r w:rsidR="00BE0197" w:rsidRPr="00780841">
        <w:rPr>
          <w:rStyle w:val="CharSectno"/>
        </w:rPr>
        <w:t>1</w:t>
      </w:r>
      <w:r w:rsidRPr="00CB26C4">
        <w:t xml:space="preserve">  </w:t>
      </w:r>
      <w:r w:rsidR="00CE493D" w:rsidRPr="00CB26C4">
        <w:t>Name</w:t>
      </w:r>
      <w:bookmarkEnd w:id="3"/>
    </w:p>
    <w:p w14:paraId="131E75DD" w14:textId="10291B42" w:rsidR="00715914" w:rsidRPr="00CB26C4" w:rsidRDefault="00715914" w:rsidP="00715914">
      <w:pPr>
        <w:pStyle w:val="subsection"/>
      </w:pPr>
      <w:r w:rsidRPr="00CB26C4">
        <w:tab/>
      </w:r>
      <w:r w:rsidRPr="00CB26C4">
        <w:tab/>
      </w:r>
      <w:r w:rsidR="005D48F2" w:rsidRPr="00CB26C4">
        <w:t>This instrument is</w:t>
      </w:r>
      <w:r w:rsidR="00CE493D" w:rsidRPr="00CB26C4">
        <w:t xml:space="preserve"> the </w:t>
      </w:r>
      <w:bookmarkStart w:id="4" w:name="BKCheck15B_3"/>
      <w:bookmarkEnd w:id="4"/>
      <w:r w:rsidR="00BC76AC" w:rsidRPr="00CB26C4">
        <w:rPr>
          <w:i/>
        </w:rPr>
        <w:fldChar w:fldCharType="begin"/>
      </w:r>
      <w:r w:rsidR="00BC76AC" w:rsidRPr="00CB26C4">
        <w:rPr>
          <w:i/>
        </w:rPr>
        <w:instrText xml:space="preserve"> STYLEREF  ShortT </w:instrText>
      </w:r>
      <w:r w:rsidR="00BC76AC" w:rsidRPr="00CB26C4">
        <w:rPr>
          <w:i/>
        </w:rPr>
        <w:fldChar w:fldCharType="separate"/>
      </w:r>
      <w:r w:rsidR="00A4719B">
        <w:rPr>
          <w:i/>
          <w:noProof/>
        </w:rPr>
        <w:t>Export Control (Wood and Woodchips) Rules 2021</w:t>
      </w:r>
      <w:r w:rsidR="00BC76AC" w:rsidRPr="00CB26C4">
        <w:rPr>
          <w:i/>
        </w:rPr>
        <w:fldChar w:fldCharType="end"/>
      </w:r>
      <w:r w:rsidRPr="00CB26C4">
        <w:t>.</w:t>
      </w:r>
    </w:p>
    <w:p w14:paraId="129C5F80" w14:textId="77777777" w:rsidR="00715914" w:rsidRPr="00CB26C4" w:rsidRDefault="00BE0197" w:rsidP="00715914">
      <w:pPr>
        <w:pStyle w:val="ActHead5"/>
      </w:pPr>
      <w:bookmarkStart w:id="5" w:name="_Toc66351969"/>
      <w:r w:rsidRPr="00780841">
        <w:rPr>
          <w:rStyle w:val="CharSectno"/>
        </w:rPr>
        <w:t>1</w:t>
      </w:r>
      <w:r w:rsidR="00CB26C4" w:rsidRPr="00780841">
        <w:rPr>
          <w:rStyle w:val="CharSectno"/>
        </w:rPr>
        <w:noBreakHyphen/>
      </w:r>
      <w:r w:rsidR="00715914" w:rsidRPr="00780841">
        <w:rPr>
          <w:rStyle w:val="CharSectno"/>
        </w:rPr>
        <w:t>2</w:t>
      </w:r>
      <w:r w:rsidR="00715914" w:rsidRPr="00CB26C4">
        <w:t xml:space="preserve">  Commencement</w:t>
      </w:r>
      <w:bookmarkEnd w:id="5"/>
    </w:p>
    <w:p w14:paraId="14087E87" w14:textId="77777777" w:rsidR="00AE3652" w:rsidRPr="00CB26C4" w:rsidRDefault="00807626" w:rsidP="00AE3652">
      <w:pPr>
        <w:pStyle w:val="subsection"/>
      </w:pPr>
      <w:r w:rsidRPr="00CB26C4">
        <w:tab/>
      </w:r>
      <w:r w:rsidR="00AE3652" w:rsidRPr="00CB26C4">
        <w:t>(1)</w:t>
      </w:r>
      <w:r w:rsidR="00AE3652" w:rsidRPr="00CB26C4">
        <w:tab/>
        <w:t xml:space="preserve">Each provision of </w:t>
      </w:r>
      <w:r w:rsidR="005D48F2" w:rsidRPr="00CB26C4">
        <w:t>this instrument</w:t>
      </w:r>
      <w:r w:rsidR="00AE3652" w:rsidRPr="00CB26C4">
        <w:t xml:space="preserve"> specified in column 1 of the table commences, or is taken to have commenced, in accordance with column 2 of the table. Any other statement in column 2 has effect according to its terms.</w:t>
      </w:r>
    </w:p>
    <w:p w14:paraId="24EAD065" w14:textId="77777777" w:rsidR="00AE3652" w:rsidRPr="00CB26C4"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CB26C4" w14:paraId="1FEF59A1" w14:textId="77777777" w:rsidTr="00DF4933">
        <w:trPr>
          <w:tblHeader/>
        </w:trPr>
        <w:tc>
          <w:tcPr>
            <w:tcW w:w="8364" w:type="dxa"/>
            <w:gridSpan w:val="3"/>
            <w:tcBorders>
              <w:top w:val="single" w:sz="12" w:space="0" w:color="auto"/>
              <w:bottom w:val="single" w:sz="6" w:space="0" w:color="auto"/>
            </w:tcBorders>
            <w:shd w:val="clear" w:color="auto" w:fill="auto"/>
            <w:hideMark/>
          </w:tcPr>
          <w:p w14:paraId="5F4973E1" w14:textId="77777777" w:rsidR="00AE3652" w:rsidRPr="00CB26C4" w:rsidRDefault="00AE3652" w:rsidP="00DF4933">
            <w:pPr>
              <w:pStyle w:val="TableHeading"/>
            </w:pPr>
            <w:r w:rsidRPr="00CB26C4">
              <w:t>Commencement information</w:t>
            </w:r>
          </w:p>
        </w:tc>
      </w:tr>
      <w:tr w:rsidR="00AE3652" w:rsidRPr="00CB26C4" w14:paraId="18AAF2B2" w14:textId="77777777" w:rsidTr="00DF4933">
        <w:trPr>
          <w:tblHeader/>
        </w:trPr>
        <w:tc>
          <w:tcPr>
            <w:tcW w:w="2127" w:type="dxa"/>
            <w:tcBorders>
              <w:top w:val="single" w:sz="6" w:space="0" w:color="auto"/>
              <w:bottom w:val="single" w:sz="6" w:space="0" w:color="auto"/>
            </w:tcBorders>
            <w:shd w:val="clear" w:color="auto" w:fill="auto"/>
            <w:hideMark/>
          </w:tcPr>
          <w:p w14:paraId="3C4E35A1" w14:textId="77777777" w:rsidR="00AE3652" w:rsidRPr="00CB26C4" w:rsidRDefault="00AE3652" w:rsidP="00DF4933">
            <w:pPr>
              <w:pStyle w:val="TableHeading"/>
            </w:pPr>
            <w:r w:rsidRPr="00CB26C4">
              <w:t>Column 1</w:t>
            </w:r>
          </w:p>
        </w:tc>
        <w:tc>
          <w:tcPr>
            <w:tcW w:w="4394" w:type="dxa"/>
            <w:tcBorders>
              <w:top w:val="single" w:sz="6" w:space="0" w:color="auto"/>
              <w:bottom w:val="single" w:sz="6" w:space="0" w:color="auto"/>
            </w:tcBorders>
            <w:shd w:val="clear" w:color="auto" w:fill="auto"/>
            <w:hideMark/>
          </w:tcPr>
          <w:p w14:paraId="1F6C278C" w14:textId="77777777" w:rsidR="00AE3652" w:rsidRPr="00CB26C4" w:rsidRDefault="00AE3652" w:rsidP="00DF4933">
            <w:pPr>
              <w:pStyle w:val="TableHeading"/>
            </w:pPr>
            <w:r w:rsidRPr="00CB26C4">
              <w:t>Column 2</w:t>
            </w:r>
          </w:p>
        </w:tc>
        <w:tc>
          <w:tcPr>
            <w:tcW w:w="1843" w:type="dxa"/>
            <w:tcBorders>
              <w:top w:val="single" w:sz="6" w:space="0" w:color="auto"/>
              <w:bottom w:val="single" w:sz="6" w:space="0" w:color="auto"/>
            </w:tcBorders>
            <w:shd w:val="clear" w:color="auto" w:fill="auto"/>
            <w:hideMark/>
          </w:tcPr>
          <w:p w14:paraId="1335F955" w14:textId="77777777" w:rsidR="00AE3652" w:rsidRPr="00CB26C4" w:rsidRDefault="00AE3652" w:rsidP="00DF4933">
            <w:pPr>
              <w:pStyle w:val="TableHeading"/>
            </w:pPr>
            <w:r w:rsidRPr="00CB26C4">
              <w:t>Column 3</w:t>
            </w:r>
          </w:p>
        </w:tc>
      </w:tr>
      <w:tr w:rsidR="00AE3652" w:rsidRPr="00CB26C4" w14:paraId="02D9CA9F" w14:textId="77777777" w:rsidTr="00DF4933">
        <w:trPr>
          <w:tblHeader/>
        </w:trPr>
        <w:tc>
          <w:tcPr>
            <w:tcW w:w="2127" w:type="dxa"/>
            <w:tcBorders>
              <w:top w:val="single" w:sz="6" w:space="0" w:color="auto"/>
              <w:bottom w:val="single" w:sz="12" w:space="0" w:color="auto"/>
            </w:tcBorders>
            <w:shd w:val="clear" w:color="auto" w:fill="auto"/>
            <w:hideMark/>
          </w:tcPr>
          <w:p w14:paraId="712D4EB5" w14:textId="77777777" w:rsidR="00AE3652" w:rsidRPr="00CB26C4" w:rsidRDefault="00AE3652" w:rsidP="00DF4933">
            <w:pPr>
              <w:pStyle w:val="TableHeading"/>
            </w:pPr>
            <w:r w:rsidRPr="00CB26C4">
              <w:t>Provisions</w:t>
            </w:r>
          </w:p>
        </w:tc>
        <w:tc>
          <w:tcPr>
            <w:tcW w:w="4394" w:type="dxa"/>
            <w:tcBorders>
              <w:top w:val="single" w:sz="6" w:space="0" w:color="auto"/>
              <w:bottom w:val="single" w:sz="12" w:space="0" w:color="auto"/>
            </w:tcBorders>
            <w:shd w:val="clear" w:color="auto" w:fill="auto"/>
            <w:hideMark/>
          </w:tcPr>
          <w:p w14:paraId="723170DC" w14:textId="77777777" w:rsidR="00AE3652" w:rsidRPr="00CB26C4" w:rsidRDefault="00AE3652" w:rsidP="00DF4933">
            <w:pPr>
              <w:pStyle w:val="TableHeading"/>
            </w:pPr>
            <w:r w:rsidRPr="00CB26C4">
              <w:t>Commencement</w:t>
            </w:r>
          </w:p>
        </w:tc>
        <w:tc>
          <w:tcPr>
            <w:tcW w:w="1843" w:type="dxa"/>
            <w:tcBorders>
              <w:top w:val="single" w:sz="6" w:space="0" w:color="auto"/>
              <w:bottom w:val="single" w:sz="12" w:space="0" w:color="auto"/>
            </w:tcBorders>
            <w:shd w:val="clear" w:color="auto" w:fill="auto"/>
            <w:hideMark/>
          </w:tcPr>
          <w:p w14:paraId="6DC3928B" w14:textId="77777777" w:rsidR="00AE3652" w:rsidRPr="00CB26C4" w:rsidRDefault="00AE3652" w:rsidP="00DF4933">
            <w:pPr>
              <w:pStyle w:val="TableHeading"/>
            </w:pPr>
            <w:r w:rsidRPr="00CB26C4">
              <w:t>Date/Details</w:t>
            </w:r>
          </w:p>
        </w:tc>
      </w:tr>
      <w:tr w:rsidR="00AE3652" w:rsidRPr="00CB26C4" w14:paraId="2B0D5551" w14:textId="77777777" w:rsidTr="00DF4933">
        <w:tc>
          <w:tcPr>
            <w:tcW w:w="2127" w:type="dxa"/>
            <w:tcBorders>
              <w:top w:val="single" w:sz="12" w:space="0" w:color="auto"/>
              <w:bottom w:val="single" w:sz="12" w:space="0" w:color="auto"/>
            </w:tcBorders>
            <w:shd w:val="clear" w:color="auto" w:fill="auto"/>
            <w:hideMark/>
          </w:tcPr>
          <w:p w14:paraId="783EED6E" w14:textId="77777777" w:rsidR="00AE3652" w:rsidRPr="00CB26C4" w:rsidRDefault="00AE3652" w:rsidP="00DF4933">
            <w:pPr>
              <w:pStyle w:val="Tabletext"/>
            </w:pPr>
            <w:r w:rsidRPr="00CB26C4">
              <w:t xml:space="preserve">1.  The whole of </w:t>
            </w:r>
            <w:r w:rsidR="005D48F2" w:rsidRPr="00CB26C4">
              <w:t>this instrument</w:t>
            </w:r>
          </w:p>
        </w:tc>
        <w:tc>
          <w:tcPr>
            <w:tcW w:w="4394" w:type="dxa"/>
            <w:tcBorders>
              <w:top w:val="single" w:sz="12" w:space="0" w:color="auto"/>
              <w:bottom w:val="single" w:sz="12" w:space="0" w:color="auto"/>
            </w:tcBorders>
            <w:shd w:val="clear" w:color="auto" w:fill="auto"/>
            <w:hideMark/>
          </w:tcPr>
          <w:p w14:paraId="21279398" w14:textId="77777777" w:rsidR="00AE3652" w:rsidRPr="00CB26C4" w:rsidRDefault="005D48F2" w:rsidP="005D48F2">
            <w:pPr>
              <w:pStyle w:val="Tabletext"/>
            </w:pPr>
            <w:r w:rsidRPr="00CB26C4">
              <w:t>At the same time as section</w:t>
            </w:r>
            <w:r w:rsidR="003B0685" w:rsidRPr="00CB26C4">
              <w:t> </w:t>
            </w:r>
            <w:r w:rsidRPr="00CB26C4">
              <w:t xml:space="preserve">3 of the </w:t>
            </w:r>
            <w:r w:rsidRPr="00CB26C4">
              <w:rPr>
                <w:i/>
              </w:rPr>
              <w:t>Export Control Act 20</w:t>
            </w:r>
            <w:r w:rsidR="00676CBD" w:rsidRPr="00CB26C4">
              <w:rPr>
                <w:i/>
              </w:rPr>
              <w:t>20</w:t>
            </w:r>
            <w:r w:rsidRPr="00CB26C4">
              <w:t xml:space="preserve"> commences.</w:t>
            </w:r>
          </w:p>
        </w:tc>
        <w:tc>
          <w:tcPr>
            <w:tcW w:w="1843" w:type="dxa"/>
            <w:tcBorders>
              <w:top w:val="single" w:sz="12" w:space="0" w:color="auto"/>
              <w:bottom w:val="single" w:sz="12" w:space="0" w:color="auto"/>
            </w:tcBorders>
            <w:shd w:val="clear" w:color="auto" w:fill="auto"/>
          </w:tcPr>
          <w:p w14:paraId="0655F7BA" w14:textId="7883FFE4" w:rsidR="00AE3652" w:rsidRPr="00CB26C4" w:rsidRDefault="00111EB0" w:rsidP="00DF4933">
            <w:pPr>
              <w:pStyle w:val="Tabletext"/>
            </w:pPr>
            <w:r>
              <w:t xml:space="preserve">3 am (A.C.T.) </w:t>
            </w:r>
            <w:r w:rsidR="004F77AC">
              <w:t>28</w:t>
            </w:r>
            <w:r>
              <w:t> </w:t>
            </w:r>
            <w:r w:rsidR="004F77AC">
              <w:t>March</w:t>
            </w:r>
            <w:r>
              <w:t> </w:t>
            </w:r>
            <w:bookmarkStart w:id="6" w:name="_GoBack"/>
            <w:bookmarkEnd w:id="6"/>
            <w:r w:rsidR="004F77AC">
              <w:t>2021</w:t>
            </w:r>
          </w:p>
        </w:tc>
      </w:tr>
    </w:tbl>
    <w:p w14:paraId="398EC77D" w14:textId="77777777" w:rsidR="00AE3652" w:rsidRPr="00CB26C4" w:rsidRDefault="00AE3652" w:rsidP="00AE3652">
      <w:pPr>
        <w:pStyle w:val="notetext"/>
      </w:pPr>
      <w:r w:rsidRPr="00CB26C4">
        <w:rPr>
          <w:snapToGrid w:val="0"/>
          <w:lang w:eastAsia="en-US"/>
        </w:rPr>
        <w:t>Note:</w:t>
      </w:r>
      <w:r w:rsidRPr="00CB26C4">
        <w:rPr>
          <w:snapToGrid w:val="0"/>
          <w:lang w:eastAsia="en-US"/>
        </w:rPr>
        <w:tab/>
        <w:t xml:space="preserve">This table relates only to the provisions of </w:t>
      </w:r>
      <w:r w:rsidR="005D48F2" w:rsidRPr="00CB26C4">
        <w:rPr>
          <w:snapToGrid w:val="0"/>
          <w:lang w:eastAsia="en-US"/>
        </w:rPr>
        <w:t>this instrument</w:t>
      </w:r>
      <w:r w:rsidRPr="00CB26C4">
        <w:t xml:space="preserve"> </w:t>
      </w:r>
      <w:r w:rsidRPr="00CB26C4">
        <w:rPr>
          <w:snapToGrid w:val="0"/>
          <w:lang w:eastAsia="en-US"/>
        </w:rPr>
        <w:t xml:space="preserve">as originally made. It will not be amended to deal with any later amendments of </w:t>
      </w:r>
      <w:r w:rsidR="005D48F2" w:rsidRPr="00CB26C4">
        <w:rPr>
          <w:snapToGrid w:val="0"/>
          <w:lang w:eastAsia="en-US"/>
        </w:rPr>
        <w:t>this instrument</w:t>
      </w:r>
      <w:r w:rsidRPr="00CB26C4">
        <w:rPr>
          <w:snapToGrid w:val="0"/>
          <w:lang w:eastAsia="en-US"/>
        </w:rPr>
        <w:t>.</w:t>
      </w:r>
    </w:p>
    <w:p w14:paraId="3587CFB1" w14:textId="77777777" w:rsidR="00807626" w:rsidRPr="00CB26C4" w:rsidRDefault="00AE3652" w:rsidP="00AE3652">
      <w:pPr>
        <w:pStyle w:val="subsection"/>
      </w:pPr>
      <w:r w:rsidRPr="00CB26C4">
        <w:tab/>
        <w:t>(2)</w:t>
      </w:r>
      <w:r w:rsidRPr="00CB26C4">
        <w:tab/>
        <w:t xml:space="preserve">Any information in column 3 of the table is not part of </w:t>
      </w:r>
      <w:r w:rsidR="005D48F2" w:rsidRPr="00CB26C4">
        <w:t>this instrument</w:t>
      </w:r>
      <w:r w:rsidRPr="00CB26C4">
        <w:t xml:space="preserve">. Information may be inserted in this column, or information in it may be edited, in any published version of </w:t>
      </w:r>
      <w:r w:rsidR="005D48F2" w:rsidRPr="00CB26C4">
        <w:t>this instrument</w:t>
      </w:r>
      <w:r w:rsidRPr="00CB26C4">
        <w:t>.</w:t>
      </w:r>
    </w:p>
    <w:p w14:paraId="36378581" w14:textId="77777777" w:rsidR="007500C8" w:rsidRPr="00CB26C4" w:rsidRDefault="00BE0197" w:rsidP="007500C8">
      <w:pPr>
        <w:pStyle w:val="ActHead5"/>
      </w:pPr>
      <w:bookmarkStart w:id="7" w:name="_Toc66351970"/>
      <w:r w:rsidRPr="00780841">
        <w:rPr>
          <w:rStyle w:val="CharSectno"/>
        </w:rPr>
        <w:t>1</w:t>
      </w:r>
      <w:r w:rsidR="00CB26C4" w:rsidRPr="00780841">
        <w:rPr>
          <w:rStyle w:val="CharSectno"/>
        </w:rPr>
        <w:noBreakHyphen/>
      </w:r>
      <w:r w:rsidR="007500C8" w:rsidRPr="00780841">
        <w:rPr>
          <w:rStyle w:val="CharSectno"/>
        </w:rPr>
        <w:t>3</w:t>
      </w:r>
      <w:r w:rsidR="007500C8" w:rsidRPr="00CB26C4">
        <w:t xml:space="preserve">  Authority</w:t>
      </w:r>
      <w:bookmarkEnd w:id="7"/>
    </w:p>
    <w:p w14:paraId="0B09754A" w14:textId="77777777" w:rsidR="00157B8B" w:rsidRPr="00CB26C4" w:rsidRDefault="007500C8" w:rsidP="007E667A">
      <w:pPr>
        <w:pStyle w:val="subsection"/>
      </w:pPr>
      <w:r w:rsidRPr="00CB26C4">
        <w:tab/>
      </w:r>
      <w:r w:rsidRPr="00CB26C4">
        <w:tab/>
      </w:r>
      <w:r w:rsidR="005D48F2" w:rsidRPr="00CB26C4">
        <w:t>This instrument is</w:t>
      </w:r>
      <w:r w:rsidRPr="00CB26C4">
        <w:t xml:space="preserve"> made under the</w:t>
      </w:r>
      <w:r w:rsidR="00676CBD" w:rsidRPr="00CB26C4">
        <w:rPr>
          <w:i/>
        </w:rPr>
        <w:t xml:space="preserve"> Export Control Act 2020</w:t>
      </w:r>
      <w:r w:rsidR="00F4350D" w:rsidRPr="00CB26C4">
        <w:t>.</w:t>
      </w:r>
    </w:p>
    <w:p w14:paraId="04E5600B" w14:textId="77777777" w:rsidR="00BF78C6" w:rsidRPr="00CB26C4" w:rsidRDefault="00BF78C6" w:rsidP="00BF78C6">
      <w:pPr>
        <w:pStyle w:val="ActHead5"/>
      </w:pPr>
      <w:bookmarkStart w:id="8" w:name="_Toc66351971"/>
      <w:r w:rsidRPr="00780841">
        <w:rPr>
          <w:rStyle w:val="CharSectno"/>
        </w:rPr>
        <w:t>1</w:t>
      </w:r>
      <w:r w:rsidR="00CB26C4" w:rsidRPr="00780841">
        <w:rPr>
          <w:rStyle w:val="CharSectno"/>
        </w:rPr>
        <w:noBreakHyphen/>
      </w:r>
      <w:r w:rsidRPr="00780841">
        <w:rPr>
          <w:rStyle w:val="CharSectno"/>
        </w:rPr>
        <w:t>4</w:t>
      </w:r>
      <w:r w:rsidRPr="00CB26C4">
        <w:t xml:space="preserve">  Application of this instrument</w:t>
      </w:r>
      <w:bookmarkEnd w:id="8"/>
    </w:p>
    <w:p w14:paraId="6EA23666" w14:textId="77777777" w:rsidR="00BF78C6" w:rsidRPr="00CB26C4" w:rsidRDefault="00BF78C6" w:rsidP="00BF78C6">
      <w:pPr>
        <w:pStyle w:val="subsection"/>
      </w:pPr>
      <w:r w:rsidRPr="00CB26C4">
        <w:tab/>
      </w:r>
      <w:r w:rsidRPr="00CB26C4">
        <w:tab/>
        <w:t xml:space="preserve">This instrument does not limit the operation of a provision of the </w:t>
      </w:r>
      <w:r w:rsidRPr="00CB26C4">
        <w:rPr>
          <w:i/>
        </w:rPr>
        <w:t xml:space="preserve">Export Control (Plants and Plant Products) </w:t>
      </w:r>
      <w:r w:rsidR="00CB26C4">
        <w:rPr>
          <w:i/>
        </w:rPr>
        <w:t>Rules 2</w:t>
      </w:r>
      <w:r w:rsidR="001611F0" w:rsidRPr="00CB26C4">
        <w:rPr>
          <w:i/>
        </w:rPr>
        <w:t>021</w:t>
      </w:r>
      <w:r w:rsidRPr="00CB26C4">
        <w:t xml:space="preserve"> that applies in relation to goods that are prescribed goods under section 2</w:t>
      </w:r>
      <w:r w:rsidR="00CB26C4">
        <w:noBreakHyphen/>
      </w:r>
      <w:r w:rsidRPr="00CB26C4">
        <w:t>1 of this instrument.</w:t>
      </w:r>
    </w:p>
    <w:p w14:paraId="600DCDEE" w14:textId="77777777" w:rsidR="00BF78C6" w:rsidRPr="00CB26C4" w:rsidRDefault="00BF78C6" w:rsidP="00BF78C6">
      <w:pPr>
        <w:pStyle w:val="notetext"/>
      </w:pPr>
      <w:r w:rsidRPr="00CB26C4">
        <w:t>Note 1:</w:t>
      </w:r>
      <w:r w:rsidRPr="00CB26C4">
        <w:tab/>
        <w:t xml:space="preserve">Prescribed wood or woodchips (for example, wood in the round) may be a prescribed plant product under the </w:t>
      </w:r>
      <w:r w:rsidRPr="00CB26C4">
        <w:rPr>
          <w:i/>
        </w:rPr>
        <w:t xml:space="preserve">Export Control (Plants and Plant Products) </w:t>
      </w:r>
      <w:r w:rsidR="00CB26C4">
        <w:rPr>
          <w:i/>
        </w:rPr>
        <w:t>Rules 2</w:t>
      </w:r>
      <w:r w:rsidR="001611F0" w:rsidRPr="00CB26C4">
        <w:rPr>
          <w:i/>
        </w:rPr>
        <w:t>021</w:t>
      </w:r>
      <w:r w:rsidRPr="00CB26C4">
        <w:t>. The export of the wood would be subject to the prescribed export conditions for that product under that instrument in addition to any requirement for the exporter to hold a wood export licence to export the wood under this instrument.</w:t>
      </w:r>
    </w:p>
    <w:p w14:paraId="0CA20C70" w14:textId="77777777" w:rsidR="00BF78C6" w:rsidRPr="00CB26C4" w:rsidRDefault="00BF78C6" w:rsidP="00BF78C6">
      <w:pPr>
        <w:pStyle w:val="notetext"/>
      </w:pPr>
      <w:r w:rsidRPr="00CB26C4">
        <w:t>Note 2:</w:t>
      </w:r>
      <w:r w:rsidRPr="00CB26C4">
        <w:tab/>
        <w:t>Wood or woodchips that are taken not to be prescribed wood or woodchips under section 2</w:t>
      </w:r>
      <w:r w:rsidR="00CB26C4">
        <w:noBreakHyphen/>
      </w:r>
      <w:r w:rsidRPr="00CB26C4">
        <w:t xml:space="preserve">2 of this instrument may still be a prescribed plant product under the </w:t>
      </w:r>
      <w:r w:rsidRPr="00CB26C4">
        <w:rPr>
          <w:i/>
        </w:rPr>
        <w:t xml:space="preserve">Export Control (Plants and Plant Products) </w:t>
      </w:r>
      <w:r w:rsidR="00CB26C4">
        <w:rPr>
          <w:i/>
        </w:rPr>
        <w:t>Rules 2</w:t>
      </w:r>
      <w:r w:rsidR="001611F0" w:rsidRPr="00CB26C4">
        <w:rPr>
          <w:i/>
        </w:rPr>
        <w:t>021</w:t>
      </w:r>
      <w:r w:rsidRPr="00CB26C4">
        <w:t>. The export of the wood or woodchips would be subject to the prescribed export conditions for that product under that instrument.</w:t>
      </w:r>
    </w:p>
    <w:p w14:paraId="3FC3EA85" w14:textId="77777777" w:rsidR="00BF78C6" w:rsidRPr="00CB26C4" w:rsidRDefault="00BF78C6" w:rsidP="00BF78C6">
      <w:pPr>
        <w:pStyle w:val="ActHead5"/>
      </w:pPr>
      <w:bookmarkStart w:id="9" w:name="_Toc66351972"/>
      <w:r w:rsidRPr="00780841">
        <w:rPr>
          <w:rStyle w:val="CharSectno"/>
        </w:rPr>
        <w:lastRenderedPageBreak/>
        <w:t>1</w:t>
      </w:r>
      <w:r w:rsidR="00CB26C4" w:rsidRPr="00780841">
        <w:rPr>
          <w:rStyle w:val="CharSectno"/>
        </w:rPr>
        <w:noBreakHyphen/>
      </w:r>
      <w:r w:rsidRPr="00780841">
        <w:rPr>
          <w:rStyle w:val="CharSectno"/>
        </w:rPr>
        <w:t>5</w:t>
      </w:r>
      <w:r w:rsidRPr="00CB26C4">
        <w:t xml:space="preserve">  Simplified outline of this instrument</w:t>
      </w:r>
      <w:bookmarkEnd w:id="9"/>
    </w:p>
    <w:p w14:paraId="5A08D53E" w14:textId="77777777" w:rsidR="00BF78C6" w:rsidRPr="00CB26C4" w:rsidRDefault="00BF78C6" w:rsidP="00BF78C6">
      <w:pPr>
        <w:pStyle w:val="SOHeadBold"/>
        <w:keepNext/>
      </w:pPr>
      <w:r w:rsidRPr="00CB26C4">
        <w:t>General</w:t>
      </w:r>
    </w:p>
    <w:p w14:paraId="1FE99F11" w14:textId="77777777" w:rsidR="00BF78C6" w:rsidRPr="00CB26C4" w:rsidRDefault="00BF78C6" w:rsidP="00BF78C6">
      <w:pPr>
        <w:pStyle w:val="SOText"/>
      </w:pPr>
      <w:r w:rsidRPr="00CB26C4">
        <w:t xml:space="preserve">This instrument prescribes matters and makes other provision in relation to certain wood and woodchips (prescribed wood and woodchips) for the purposes of the </w:t>
      </w:r>
      <w:r w:rsidRPr="00CB26C4">
        <w:rPr>
          <w:i/>
        </w:rPr>
        <w:t>Export Control Act 2020</w:t>
      </w:r>
      <w:r w:rsidRPr="00CB26C4">
        <w:t xml:space="preserve"> (the Act).</w:t>
      </w:r>
    </w:p>
    <w:p w14:paraId="60880619" w14:textId="77777777" w:rsidR="00BF78C6" w:rsidRPr="00CB26C4" w:rsidRDefault="00BF78C6" w:rsidP="00BF78C6">
      <w:pPr>
        <w:pStyle w:val="SOText"/>
      </w:pPr>
      <w:r w:rsidRPr="00CB26C4">
        <w:t>Prescribed wood or woodchips must not be exported from Australian territory unless the conditions prescribed by this instrument (prescribed export</w:t>
      </w:r>
      <w:r w:rsidRPr="00CB26C4">
        <w:rPr>
          <w:b/>
          <w:i/>
        </w:rPr>
        <w:t xml:space="preserve"> </w:t>
      </w:r>
      <w:r w:rsidRPr="00CB26C4">
        <w:t>conditions) are complied with. A person may commit an offence or be liable to a civil penalty if prescribed wood or woodchips are exported in contravention of prescribed export conditions (see Division 4 of Part 1 of Chapter 2 of the Act).</w:t>
      </w:r>
    </w:p>
    <w:p w14:paraId="5D5ECC64" w14:textId="77777777" w:rsidR="00BF78C6" w:rsidRPr="00CB26C4" w:rsidRDefault="00BF78C6" w:rsidP="00BF78C6">
      <w:pPr>
        <w:pStyle w:val="SOText"/>
      </w:pPr>
      <w:r w:rsidRPr="00CB26C4">
        <w:t>This instrument prescribes other matters and makes other provision in relation to the export of wood and woodchips, including in relation to the following:</w:t>
      </w:r>
    </w:p>
    <w:p w14:paraId="18D3F3F8" w14:textId="77777777" w:rsidR="00BF78C6" w:rsidRPr="00CB26C4" w:rsidRDefault="00BF78C6" w:rsidP="00ED74BB">
      <w:pPr>
        <w:pStyle w:val="SOPara"/>
      </w:pPr>
      <w:r w:rsidRPr="00CB26C4">
        <w:tab/>
        <w:t>(a)</w:t>
      </w:r>
      <w:r w:rsidRPr="00CB26C4">
        <w:tab/>
        <w:t>government certificates;</w:t>
      </w:r>
    </w:p>
    <w:p w14:paraId="16432A31" w14:textId="77777777" w:rsidR="00BF78C6" w:rsidRPr="00CB26C4" w:rsidRDefault="00BF78C6" w:rsidP="00ED74BB">
      <w:pPr>
        <w:pStyle w:val="SOPara"/>
      </w:pPr>
      <w:r w:rsidRPr="00CB26C4">
        <w:tab/>
        <w:t>(b)</w:t>
      </w:r>
      <w:r w:rsidR="00ED74BB" w:rsidRPr="00CB26C4">
        <w:tab/>
      </w:r>
      <w:r w:rsidRPr="00CB26C4">
        <w:t>State codes of practice;</w:t>
      </w:r>
    </w:p>
    <w:p w14:paraId="29B65D03" w14:textId="77777777" w:rsidR="00BF78C6" w:rsidRPr="00CB26C4" w:rsidRDefault="00BF78C6" w:rsidP="00ED74BB">
      <w:pPr>
        <w:pStyle w:val="SOPara"/>
      </w:pPr>
      <w:r w:rsidRPr="00CB26C4">
        <w:tab/>
        <w:t>(c)</w:t>
      </w:r>
      <w:r w:rsidRPr="00CB26C4">
        <w:tab/>
        <w:t>wood export licences;</w:t>
      </w:r>
    </w:p>
    <w:p w14:paraId="541B134E" w14:textId="77777777" w:rsidR="00BF78C6" w:rsidRPr="00CB26C4" w:rsidRDefault="00BF78C6" w:rsidP="00ED74BB">
      <w:pPr>
        <w:pStyle w:val="SOPara"/>
      </w:pPr>
      <w:r w:rsidRPr="00CB26C4">
        <w:tab/>
        <w:t>(d)</w:t>
      </w:r>
      <w:r w:rsidRPr="00CB26C4">
        <w:tab/>
        <w:t>records.</w:t>
      </w:r>
    </w:p>
    <w:p w14:paraId="2DC081A9" w14:textId="77777777" w:rsidR="00BF78C6" w:rsidRPr="00CB26C4" w:rsidRDefault="00BF78C6" w:rsidP="00BF78C6">
      <w:pPr>
        <w:pStyle w:val="SOHeadBold"/>
        <w:keepNext/>
      </w:pPr>
      <w:r w:rsidRPr="00CB26C4">
        <w:t>Structure of this instrument and Chapter numbering</w:t>
      </w:r>
    </w:p>
    <w:p w14:paraId="4D3B0091" w14:textId="77777777" w:rsidR="00BF78C6" w:rsidRPr="00CB26C4" w:rsidRDefault="00BF78C6" w:rsidP="00BF78C6">
      <w:pPr>
        <w:pStyle w:val="SOText"/>
      </w:pPr>
      <w:r w:rsidRPr="00CB26C4">
        <w:t>This instrument is arranged in Chapters that have the same number and name as the corresponding Chapters in the Act. For example, the provisions of this instrument that are made for the purposes of Chapter 2—Exporting goods of the Act are included in Chapter 2—Exporting goods of this instrument. This means there are gaps in the Chapter numbering because there are no provisions for the purposes of some Chapters of the Act.</w:t>
      </w:r>
    </w:p>
    <w:p w14:paraId="6B91A226" w14:textId="77777777" w:rsidR="00B64EFD" w:rsidRPr="00CB26C4" w:rsidRDefault="00B64EFD" w:rsidP="00B64EFD">
      <w:pPr>
        <w:pStyle w:val="ActHead2"/>
        <w:pageBreakBefore/>
      </w:pPr>
      <w:bookmarkStart w:id="10" w:name="_Toc66351973"/>
      <w:r w:rsidRPr="00780841">
        <w:rPr>
          <w:rStyle w:val="CharPartNo"/>
        </w:rPr>
        <w:lastRenderedPageBreak/>
        <w:t>Part 2</w:t>
      </w:r>
      <w:r w:rsidRPr="00CB26C4">
        <w:t>—</w:t>
      </w:r>
      <w:r w:rsidRPr="00780841">
        <w:rPr>
          <w:rStyle w:val="CharPartText"/>
        </w:rPr>
        <w:t>Interpretation</w:t>
      </w:r>
      <w:bookmarkEnd w:id="10"/>
    </w:p>
    <w:p w14:paraId="4D068616"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0E52E49E" w14:textId="77777777" w:rsidR="00B64EFD" w:rsidRPr="00CB26C4" w:rsidRDefault="00B64EFD" w:rsidP="00B64EFD">
      <w:pPr>
        <w:pStyle w:val="ActHead5"/>
      </w:pPr>
      <w:bookmarkStart w:id="11" w:name="_Toc66351974"/>
      <w:r w:rsidRPr="00780841">
        <w:rPr>
          <w:rStyle w:val="CharSectno"/>
        </w:rPr>
        <w:t>1</w:t>
      </w:r>
      <w:r w:rsidR="00CB26C4" w:rsidRPr="00780841">
        <w:rPr>
          <w:rStyle w:val="CharSectno"/>
        </w:rPr>
        <w:noBreakHyphen/>
      </w:r>
      <w:r w:rsidRPr="00780841">
        <w:rPr>
          <w:rStyle w:val="CharSectno"/>
        </w:rPr>
        <w:t>6</w:t>
      </w:r>
      <w:r w:rsidRPr="00CB26C4">
        <w:t xml:space="preserve">  Definitions</w:t>
      </w:r>
      <w:bookmarkEnd w:id="11"/>
    </w:p>
    <w:p w14:paraId="1D194716" w14:textId="77777777" w:rsidR="00B64EFD" w:rsidRPr="00CB26C4" w:rsidRDefault="00B64EFD" w:rsidP="00B64EFD">
      <w:pPr>
        <w:pStyle w:val="notetext"/>
      </w:pPr>
      <w:r w:rsidRPr="00CB26C4">
        <w:t>Note:</w:t>
      </w:r>
      <w:r w:rsidRPr="00CB26C4">
        <w:tab/>
        <w:t xml:space="preserve">A number of expressions used in this </w:t>
      </w:r>
      <w:bookmarkStart w:id="12" w:name="BK_S3P3L4C44"/>
      <w:bookmarkEnd w:id="12"/>
      <w:r w:rsidRPr="00CB26C4">
        <w:t>instrument are defined in the Act, including the following:</w:t>
      </w:r>
    </w:p>
    <w:p w14:paraId="6DC8C79E" w14:textId="77777777" w:rsidR="00B64EFD" w:rsidRPr="00CB26C4" w:rsidRDefault="00B64EFD" w:rsidP="00B64EFD">
      <w:pPr>
        <w:pStyle w:val="notepara"/>
      </w:pPr>
      <w:r w:rsidRPr="00CB26C4">
        <w:t>(a)</w:t>
      </w:r>
      <w:r w:rsidRPr="00CB26C4">
        <w:tab/>
        <w:t>Australian law;</w:t>
      </w:r>
    </w:p>
    <w:p w14:paraId="4A9EF42E" w14:textId="77777777" w:rsidR="00B64EFD" w:rsidRPr="00CB26C4" w:rsidRDefault="00B64EFD" w:rsidP="00B64EFD">
      <w:pPr>
        <w:pStyle w:val="notepara"/>
      </w:pPr>
      <w:r w:rsidRPr="00CB26C4">
        <w:t>(b)</w:t>
      </w:r>
      <w:r w:rsidRPr="00CB26C4">
        <w:tab/>
        <w:t>Australian territory;</w:t>
      </w:r>
    </w:p>
    <w:p w14:paraId="4F0A653F" w14:textId="77777777" w:rsidR="00B64EFD" w:rsidRPr="00CB26C4" w:rsidRDefault="00B64EFD" w:rsidP="00B64EFD">
      <w:pPr>
        <w:pStyle w:val="notepara"/>
      </w:pPr>
      <w:r w:rsidRPr="00CB26C4">
        <w:t>(c)</w:t>
      </w:r>
      <w:r w:rsidRPr="00CB26C4">
        <w:tab/>
        <w:t>export;</w:t>
      </w:r>
    </w:p>
    <w:p w14:paraId="5CDB083D" w14:textId="77777777" w:rsidR="00B64EFD" w:rsidRPr="00CB26C4" w:rsidRDefault="00B64EFD" w:rsidP="00B64EFD">
      <w:pPr>
        <w:pStyle w:val="notepara"/>
      </w:pPr>
      <w:r w:rsidRPr="00CB26C4">
        <w:t>(d)</w:t>
      </w:r>
      <w:r w:rsidRPr="00CB26C4">
        <w:tab/>
        <w:t>export licence;</w:t>
      </w:r>
    </w:p>
    <w:p w14:paraId="59D7EAA5" w14:textId="77777777" w:rsidR="00B64EFD" w:rsidRPr="00CB26C4" w:rsidRDefault="00B64EFD" w:rsidP="00B64EFD">
      <w:pPr>
        <w:pStyle w:val="notepara"/>
      </w:pPr>
      <w:r w:rsidRPr="00CB26C4">
        <w:t>(e)</w:t>
      </w:r>
      <w:r w:rsidRPr="00CB26C4">
        <w:tab/>
        <w:t>export operations;</w:t>
      </w:r>
    </w:p>
    <w:p w14:paraId="4B5197A7" w14:textId="77777777" w:rsidR="00B64EFD" w:rsidRPr="00CB26C4" w:rsidRDefault="00B64EFD" w:rsidP="00B64EFD">
      <w:pPr>
        <w:pStyle w:val="notepara"/>
      </w:pPr>
      <w:r w:rsidRPr="00CB26C4">
        <w:t>(f)</w:t>
      </w:r>
      <w:r w:rsidRPr="00CB26C4">
        <w:tab/>
        <w:t>Regulatory Powers Act.</w:t>
      </w:r>
    </w:p>
    <w:p w14:paraId="1433C819" w14:textId="77777777" w:rsidR="00B64EFD" w:rsidRPr="00CB26C4" w:rsidRDefault="00B64EFD" w:rsidP="00B64EFD">
      <w:pPr>
        <w:pStyle w:val="subsection"/>
      </w:pPr>
      <w:r w:rsidRPr="00CB26C4">
        <w:tab/>
      </w:r>
      <w:r w:rsidRPr="00CB26C4">
        <w:tab/>
        <w:t>In this instrument:</w:t>
      </w:r>
    </w:p>
    <w:p w14:paraId="2190262D" w14:textId="77777777" w:rsidR="00B64EFD" w:rsidRPr="00CB26C4" w:rsidRDefault="00B64EFD" w:rsidP="00B64EFD">
      <w:pPr>
        <w:pStyle w:val="Definition"/>
      </w:pPr>
      <w:r w:rsidRPr="00CB26C4">
        <w:rPr>
          <w:b/>
          <w:i/>
        </w:rPr>
        <w:t>Act</w:t>
      </w:r>
      <w:r w:rsidRPr="00CB26C4">
        <w:t xml:space="preserve"> means the </w:t>
      </w:r>
      <w:r w:rsidRPr="00CB26C4">
        <w:rPr>
          <w:i/>
        </w:rPr>
        <w:t>Export Control Act 2020</w:t>
      </w:r>
      <w:r w:rsidRPr="00CB26C4">
        <w:t>, and includes:</w:t>
      </w:r>
    </w:p>
    <w:p w14:paraId="32153D94" w14:textId="77777777" w:rsidR="00B64EFD" w:rsidRPr="00CB26C4" w:rsidRDefault="00B64EFD" w:rsidP="00B64EFD">
      <w:pPr>
        <w:pStyle w:val="paragraph"/>
      </w:pPr>
      <w:r w:rsidRPr="00CB26C4">
        <w:tab/>
        <w:t>(a)</w:t>
      </w:r>
      <w:r w:rsidRPr="00CB26C4">
        <w:tab/>
        <w:t xml:space="preserve">legislative instruments made under the </w:t>
      </w:r>
      <w:r w:rsidRPr="00CB26C4">
        <w:rPr>
          <w:i/>
        </w:rPr>
        <w:t>Export Control Act 2020</w:t>
      </w:r>
      <w:r w:rsidRPr="00CB26C4">
        <w:t>; and</w:t>
      </w:r>
    </w:p>
    <w:p w14:paraId="73E81733" w14:textId="77777777" w:rsidR="00B64EFD" w:rsidRPr="00CB26C4" w:rsidRDefault="00B64EFD" w:rsidP="00B64EFD">
      <w:pPr>
        <w:pStyle w:val="paragraph"/>
      </w:pPr>
      <w:r w:rsidRPr="00CB26C4">
        <w:tab/>
        <w:t>(b)</w:t>
      </w:r>
      <w:r w:rsidRPr="00CB26C4">
        <w:tab/>
        <w:t xml:space="preserve">the Regulatory Powers Act as it applies in relation to the </w:t>
      </w:r>
      <w:r w:rsidRPr="00CB26C4">
        <w:rPr>
          <w:i/>
        </w:rPr>
        <w:t>Export Control Act 2020</w:t>
      </w:r>
      <w:r w:rsidRPr="00CB26C4">
        <w:t>.</w:t>
      </w:r>
    </w:p>
    <w:p w14:paraId="29CF07D3" w14:textId="77777777" w:rsidR="00B64EFD" w:rsidRPr="00CB26C4" w:rsidRDefault="00B64EFD" w:rsidP="00B64EFD">
      <w:pPr>
        <w:pStyle w:val="Definition"/>
      </w:pPr>
      <w:r w:rsidRPr="00CB26C4">
        <w:rPr>
          <w:b/>
          <w:i/>
        </w:rPr>
        <w:t>approved code of practice</w:t>
      </w:r>
      <w:r w:rsidRPr="00CB26C4">
        <w:t>, for a State,</w:t>
      </w:r>
      <w:r w:rsidRPr="00CB26C4">
        <w:rPr>
          <w:b/>
          <w:i/>
        </w:rPr>
        <w:t xml:space="preserve"> </w:t>
      </w:r>
      <w:r w:rsidRPr="00CB26C4">
        <w:t>means:</w:t>
      </w:r>
    </w:p>
    <w:p w14:paraId="066BECB8" w14:textId="77777777" w:rsidR="00B64EFD" w:rsidRPr="00CB26C4" w:rsidRDefault="00B64EFD" w:rsidP="00B64EFD">
      <w:pPr>
        <w:pStyle w:val="paragraph"/>
      </w:pPr>
      <w:r w:rsidRPr="00CB26C4">
        <w:tab/>
        <w:t>(a)</w:t>
      </w:r>
      <w:r w:rsidRPr="00CB26C4">
        <w:tab/>
        <w:t>a code of practice approved for that State under subsection 2</w:t>
      </w:r>
      <w:r w:rsidR="00CB26C4">
        <w:noBreakHyphen/>
      </w:r>
      <w:r w:rsidRPr="00CB26C4">
        <w:t>7(1); or</w:t>
      </w:r>
    </w:p>
    <w:p w14:paraId="7564F1C2" w14:textId="77777777" w:rsidR="00B64EFD" w:rsidRPr="00CB26C4" w:rsidRDefault="00B64EFD" w:rsidP="00B64EFD">
      <w:pPr>
        <w:pStyle w:val="paragraph"/>
      </w:pPr>
      <w:r w:rsidRPr="00CB26C4">
        <w:tab/>
        <w:t>(b)</w:t>
      </w:r>
      <w:r w:rsidRPr="00CB26C4">
        <w:tab/>
        <w:t>an amended code of practice for that State approved under subsection 2</w:t>
      </w:r>
      <w:r w:rsidR="00CB26C4">
        <w:noBreakHyphen/>
      </w:r>
      <w:r w:rsidRPr="00CB26C4">
        <w:t>9(2) or 2</w:t>
      </w:r>
      <w:r w:rsidR="00CB26C4">
        <w:noBreakHyphen/>
      </w:r>
      <w:r w:rsidRPr="00CB26C4">
        <w:t>10(2), or taken to be approved under subsection 2</w:t>
      </w:r>
      <w:r w:rsidR="00CB26C4">
        <w:noBreakHyphen/>
      </w:r>
      <w:r w:rsidRPr="00CB26C4">
        <w:t>11(2).</w:t>
      </w:r>
    </w:p>
    <w:p w14:paraId="3C9B920B" w14:textId="77777777" w:rsidR="00B64EFD" w:rsidRPr="00CB26C4" w:rsidRDefault="00B64EFD" w:rsidP="00B64EFD">
      <w:pPr>
        <w:pStyle w:val="Definition"/>
      </w:pPr>
      <w:r w:rsidRPr="00CB26C4">
        <w:rPr>
          <w:b/>
          <w:i/>
        </w:rPr>
        <w:t xml:space="preserve">biodiversity </w:t>
      </w:r>
      <w:r w:rsidRPr="00CB26C4">
        <w:t xml:space="preserve">has the same meaning as in the </w:t>
      </w:r>
      <w:r w:rsidRPr="00CB26C4">
        <w:rPr>
          <w:i/>
        </w:rPr>
        <w:t>Environment Protection and Biodiversity Conservation Act 1999</w:t>
      </w:r>
      <w:r w:rsidRPr="00CB26C4">
        <w:t>.</w:t>
      </w:r>
    </w:p>
    <w:p w14:paraId="373E7F7F" w14:textId="77777777" w:rsidR="00B64EFD" w:rsidRPr="00CB26C4" w:rsidRDefault="00B64EFD" w:rsidP="00B64EFD">
      <w:pPr>
        <w:pStyle w:val="Definition"/>
      </w:pPr>
      <w:r w:rsidRPr="00CB26C4">
        <w:rPr>
          <w:b/>
          <w:i/>
        </w:rPr>
        <w:t>code of practice</w:t>
      </w:r>
      <w:r w:rsidRPr="00CB26C4">
        <w:t>, for a State, means the practices adopted in that State for the establishment, management and harvesting of all plantations in that State, whether or not those practices are contained in a single document.</w:t>
      </w:r>
    </w:p>
    <w:p w14:paraId="73ADFA42" w14:textId="77777777" w:rsidR="00B64EFD" w:rsidRPr="00CB26C4" w:rsidRDefault="00B64EFD" w:rsidP="00B64EFD">
      <w:pPr>
        <w:pStyle w:val="Definition"/>
      </w:pPr>
      <w:r w:rsidRPr="00CB26C4">
        <w:rPr>
          <w:b/>
          <w:i/>
        </w:rPr>
        <w:t xml:space="preserve">Commonwealth Heritage place </w:t>
      </w:r>
      <w:r w:rsidRPr="00CB26C4">
        <w:t xml:space="preserve">has the same meaning as in the </w:t>
      </w:r>
      <w:r w:rsidRPr="00CB26C4">
        <w:rPr>
          <w:i/>
        </w:rPr>
        <w:t>Environment Protection and Biodiversity Conservation Act 1999</w:t>
      </w:r>
      <w:r w:rsidRPr="00CB26C4">
        <w:t>.</w:t>
      </w:r>
    </w:p>
    <w:p w14:paraId="7466AEFC" w14:textId="77777777" w:rsidR="00B64EFD" w:rsidRPr="00CB26C4" w:rsidRDefault="00B64EFD" w:rsidP="00B64EFD">
      <w:pPr>
        <w:pStyle w:val="Definition"/>
      </w:pPr>
      <w:r w:rsidRPr="00CB26C4">
        <w:rPr>
          <w:b/>
          <w:i/>
        </w:rPr>
        <w:t>consignment</w:t>
      </w:r>
      <w:r w:rsidRPr="00CB26C4">
        <w:t>, of wood or woodchips, means a quantity of wood or woodchips assembled at the same place and intended for export at the same time to the same country.</w:t>
      </w:r>
    </w:p>
    <w:p w14:paraId="2253E0E0" w14:textId="77777777" w:rsidR="00B64EFD" w:rsidRPr="00CB26C4" w:rsidRDefault="00B64EFD" w:rsidP="00B64EFD">
      <w:pPr>
        <w:pStyle w:val="Definition"/>
        <w:rPr>
          <w:b/>
        </w:rPr>
      </w:pPr>
      <w:r w:rsidRPr="00CB26C4">
        <w:rPr>
          <w:b/>
          <w:i/>
        </w:rPr>
        <w:t xml:space="preserve">declared Ramsar wetland </w:t>
      </w:r>
      <w:r w:rsidRPr="00CB26C4">
        <w:t xml:space="preserve">has the same meaning as in the </w:t>
      </w:r>
      <w:r w:rsidRPr="00CB26C4">
        <w:rPr>
          <w:i/>
        </w:rPr>
        <w:t>Environment Protection and Biodiversity Conservation Act 1999</w:t>
      </w:r>
      <w:r w:rsidRPr="00CB26C4">
        <w:t>.</w:t>
      </w:r>
    </w:p>
    <w:p w14:paraId="06E6B770" w14:textId="77777777" w:rsidR="00B64EFD" w:rsidRPr="00CB26C4" w:rsidRDefault="00B64EFD" w:rsidP="00B64EFD">
      <w:pPr>
        <w:pStyle w:val="Definition"/>
      </w:pPr>
      <w:r w:rsidRPr="00CB26C4">
        <w:rPr>
          <w:b/>
          <w:i/>
        </w:rPr>
        <w:t xml:space="preserve">declared World Heritage property </w:t>
      </w:r>
      <w:r w:rsidRPr="00CB26C4">
        <w:t xml:space="preserve">has the same meaning as in the </w:t>
      </w:r>
      <w:r w:rsidRPr="00CB26C4">
        <w:rPr>
          <w:i/>
        </w:rPr>
        <w:t>Environment Protection and Biodiversity Conservation Act 1999</w:t>
      </w:r>
      <w:r w:rsidRPr="00CB26C4">
        <w:t>.</w:t>
      </w:r>
    </w:p>
    <w:p w14:paraId="5C17F0CB" w14:textId="77777777" w:rsidR="00B64EFD" w:rsidRPr="00CB26C4" w:rsidRDefault="00B64EFD" w:rsidP="00B64EFD">
      <w:pPr>
        <w:pStyle w:val="Definition"/>
      </w:pPr>
      <w:r w:rsidRPr="00CB26C4">
        <w:rPr>
          <w:b/>
          <w:i/>
        </w:rPr>
        <w:t xml:space="preserve">designated place </w:t>
      </w:r>
      <w:r w:rsidRPr="00CB26C4">
        <w:t>means any of the following:</w:t>
      </w:r>
    </w:p>
    <w:p w14:paraId="1D7D82ED" w14:textId="77777777" w:rsidR="00B64EFD" w:rsidRPr="00CB26C4" w:rsidRDefault="00B64EFD" w:rsidP="00B64EFD">
      <w:pPr>
        <w:pStyle w:val="paragraph"/>
      </w:pPr>
      <w:r w:rsidRPr="00CB26C4">
        <w:tab/>
        <w:t>(a)</w:t>
      </w:r>
      <w:r w:rsidRPr="00CB26C4">
        <w:tab/>
        <w:t>a place with indigenous</w:t>
      </w:r>
      <w:bookmarkStart w:id="13" w:name="BK_S3P3L37C29"/>
      <w:bookmarkEnd w:id="13"/>
      <w:r w:rsidRPr="00CB26C4">
        <w:t xml:space="preserve"> heritage values;</w:t>
      </w:r>
    </w:p>
    <w:p w14:paraId="73147624" w14:textId="77777777" w:rsidR="00B64EFD" w:rsidRPr="00CB26C4" w:rsidRDefault="00B64EFD" w:rsidP="00B64EFD">
      <w:pPr>
        <w:pStyle w:val="paragraph"/>
      </w:pPr>
      <w:r w:rsidRPr="00CB26C4">
        <w:tab/>
        <w:t>(b)</w:t>
      </w:r>
      <w:r w:rsidRPr="00CB26C4">
        <w:tab/>
        <w:t>a declared World Heritage property;</w:t>
      </w:r>
    </w:p>
    <w:p w14:paraId="73053E2F" w14:textId="77777777" w:rsidR="00B64EFD" w:rsidRPr="00CB26C4" w:rsidRDefault="00B64EFD" w:rsidP="00B64EFD">
      <w:pPr>
        <w:pStyle w:val="paragraph"/>
      </w:pPr>
      <w:r w:rsidRPr="00CB26C4">
        <w:tab/>
        <w:t>(c)</w:t>
      </w:r>
      <w:r w:rsidRPr="00CB26C4">
        <w:tab/>
        <w:t>a declared Ramsar wetland;</w:t>
      </w:r>
    </w:p>
    <w:p w14:paraId="2B2F7BB3" w14:textId="77777777" w:rsidR="00B64EFD" w:rsidRPr="00CB26C4" w:rsidRDefault="00B64EFD" w:rsidP="00B64EFD">
      <w:pPr>
        <w:pStyle w:val="paragraph"/>
      </w:pPr>
      <w:r w:rsidRPr="00CB26C4">
        <w:tab/>
        <w:t>(d)</w:t>
      </w:r>
      <w:r w:rsidRPr="00CB26C4">
        <w:tab/>
        <w:t>a National Heritage place;</w:t>
      </w:r>
    </w:p>
    <w:p w14:paraId="57A947C9" w14:textId="77777777" w:rsidR="00B64EFD" w:rsidRPr="00CB26C4" w:rsidRDefault="00B64EFD" w:rsidP="00B64EFD">
      <w:pPr>
        <w:pStyle w:val="paragraph"/>
      </w:pPr>
      <w:r w:rsidRPr="00CB26C4">
        <w:tab/>
        <w:t>(e)</w:t>
      </w:r>
      <w:r w:rsidRPr="00CB26C4">
        <w:tab/>
        <w:t>a Commonwealth Heritage place;</w:t>
      </w:r>
    </w:p>
    <w:p w14:paraId="1433C7FC" w14:textId="77777777" w:rsidR="00B64EFD" w:rsidRPr="00CB26C4" w:rsidRDefault="00B64EFD" w:rsidP="00B64EFD">
      <w:pPr>
        <w:pStyle w:val="paragraph"/>
      </w:pPr>
      <w:r w:rsidRPr="00CB26C4">
        <w:tab/>
        <w:t>(f)</w:t>
      </w:r>
      <w:r w:rsidRPr="00CB26C4">
        <w:tab/>
        <w:t>an area where the biodiversity of a forest is protected by an Australian law.</w:t>
      </w:r>
    </w:p>
    <w:p w14:paraId="218BB97C" w14:textId="77777777" w:rsidR="00B64EFD" w:rsidRPr="00CB26C4" w:rsidRDefault="00B64EFD" w:rsidP="00B64EFD">
      <w:pPr>
        <w:pStyle w:val="Definition"/>
      </w:pPr>
      <w:r w:rsidRPr="00CB26C4">
        <w:rPr>
          <w:b/>
          <w:i/>
        </w:rPr>
        <w:lastRenderedPageBreak/>
        <w:t xml:space="preserve">exporter </w:t>
      </w:r>
      <w:r w:rsidRPr="00CB26C4">
        <w:t>of prescribed wood or woodchips means:</w:t>
      </w:r>
    </w:p>
    <w:p w14:paraId="08578099" w14:textId="77777777" w:rsidR="00B64EFD" w:rsidRPr="00CB26C4" w:rsidRDefault="00B64EFD" w:rsidP="00B64EFD">
      <w:pPr>
        <w:pStyle w:val="paragraph"/>
      </w:pPr>
      <w:r w:rsidRPr="00CB26C4">
        <w:tab/>
        <w:t>(a)</w:t>
      </w:r>
      <w:r w:rsidRPr="00CB26C4">
        <w:tab/>
        <w:t>the applicant for a wood export licence for the wood or woodchips; or</w:t>
      </w:r>
    </w:p>
    <w:p w14:paraId="1FED2A0D" w14:textId="77777777" w:rsidR="00B64EFD" w:rsidRPr="00CB26C4" w:rsidRDefault="00B64EFD" w:rsidP="00B64EFD">
      <w:pPr>
        <w:pStyle w:val="paragraph"/>
      </w:pPr>
      <w:r w:rsidRPr="00CB26C4">
        <w:tab/>
        <w:t>(b)</w:t>
      </w:r>
      <w:r w:rsidRPr="00CB26C4">
        <w:tab/>
        <w:t>if a wood export licence has been issued for the wood or woodchips—the holder of the export licence.</w:t>
      </w:r>
    </w:p>
    <w:p w14:paraId="6872FE9A" w14:textId="77777777" w:rsidR="00B64EFD" w:rsidRPr="00CB26C4" w:rsidRDefault="00B64EFD" w:rsidP="00B64EFD">
      <w:pPr>
        <w:pStyle w:val="Definition"/>
      </w:pPr>
      <w:r w:rsidRPr="00CB26C4">
        <w:rPr>
          <w:b/>
          <w:i/>
        </w:rPr>
        <w:t>indigenous</w:t>
      </w:r>
      <w:bookmarkStart w:id="14" w:name="BK_S3P4L7C11"/>
      <w:bookmarkEnd w:id="14"/>
      <w:r w:rsidRPr="00CB26C4">
        <w:rPr>
          <w:b/>
          <w:i/>
        </w:rPr>
        <w:t xml:space="preserve"> heritage value </w:t>
      </w:r>
      <w:r w:rsidRPr="00CB26C4">
        <w:t xml:space="preserve">of a place has the same meaning as in the </w:t>
      </w:r>
      <w:r w:rsidRPr="00CB26C4">
        <w:rPr>
          <w:i/>
        </w:rPr>
        <w:t>Environment Protection and Biodiversity Conservation Act 1999</w:t>
      </w:r>
      <w:r w:rsidRPr="00CB26C4">
        <w:t>.</w:t>
      </w:r>
    </w:p>
    <w:p w14:paraId="1E9E3788" w14:textId="77777777" w:rsidR="00B64EFD" w:rsidRPr="00CB26C4" w:rsidRDefault="00B64EFD" w:rsidP="00B64EFD">
      <w:pPr>
        <w:pStyle w:val="Definition"/>
      </w:pPr>
      <w:r w:rsidRPr="00CB26C4">
        <w:rPr>
          <w:b/>
          <w:i/>
        </w:rPr>
        <w:t>management arrangement</w:t>
      </w:r>
      <w:r w:rsidRPr="00CB26C4">
        <w:t xml:space="preserve"> has the meaning given by section 1</w:t>
      </w:r>
      <w:r w:rsidR="00CB26C4">
        <w:noBreakHyphen/>
      </w:r>
      <w:r w:rsidRPr="00CB26C4">
        <w:t>7.</w:t>
      </w:r>
    </w:p>
    <w:p w14:paraId="36C5313A" w14:textId="77777777" w:rsidR="00B64EFD" w:rsidRPr="00CB26C4" w:rsidRDefault="00B64EFD" w:rsidP="00B64EFD">
      <w:pPr>
        <w:pStyle w:val="Definition"/>
      </w:pPr>
      <w:r w:rsidRPr="00CB26C4">
        <w:rPr>
          <w:b/>
          <w:i/>
        </w:rPr>
        <w:t xml:space="preserve">National Heritage place </w:t>
      </w:r>
      <w:r w:rsidRPr="00CB26C4">
        <w:t xml:space="preserve">has the same meaning as in the </w:t>
      </w:r>
      <w:r w:rsidRPr="00CB26C4">
        <w:rPr>
          <w:i/>
        </w:rPr>
        <w:t>Environment Protection and Biodiversity Conservation Act 1999</w:t>
      </w:r>
      <w:r w:rsidRPr="00CB26C4">
        <w:t>.</w:t>
      </w:r>
    </w:p>
    <w:p w14:paraId="45FE4939" w14:textId="77777777" w:rsidR="00B64EFD" w:rsidRPr="00CB26C4" w:rsidRDefault="00B64EFD" w:rsidP="00B64EFD">
      <w:pPr>
        <w:pStyle w:val="Definition"/>
      </w:pPr>
      <w:r w:rsidRPr="00CB26C4">
        <w:rPr>
          <w:b/>
          <w:i/>
        </w:rPr>
        <w:t xml:space="preserve">national plantation principles </w:t>
      </w:r>
      <w:r w:rsidRPr="00CB26C4">
        <w:t xml:space="preserve">means the document titled </w:t>
      </w:r>
      <w:r w:rsidRPr="00CB26C4">
        <w:rPr>
          <w:i/>
        </w:rPr>
        <w:t>Forest Practices Related to Wood Production in Plantations: National Principles</w:t>
      </w:r>
      <w:r w:rsidRPr="00CB26C4">
        <w:t>, prepared by the Ministerial Council of Forestry, Fisheries and Aquaculture, published in March 1996, as that document exists at the commencement of this instrument.</w:t>
      </w:r>
    </w:p>
    <w:p w14:paraId="474BF0AA" w14:textId="77777777" w:rsidR="00B64EFD" w:rsidRPr="00CB26C4" w:rsidRDefault="00B64EFD" w:rsidP="00B64EFD">
      <w:pPr>
        <w:pStyle w:val="notetext"/>
      </w:pPr>
      <w:r w:rsidRPr="00CB26C4">
        <w:t>Note:</w:t>
      </w:r>
      <w:r w:rsidRPr="00CB26C4">
        <w:tab/>
        <w:t>The document could in 2021 be viewed on the Department’s website (http://www.awe.gov.au).</w:t>
      </w:r>
    </w:p>
    <w:p w14:paraId="475C853F" w14:textId="77777777" w:rsidR="00B64EFD" w:rsidRPr="00CB26C4" w:rsidRDefault="00B64EFD" w:rsidP="00B64EFD">
      <w:pPr>
        <w:pStyle w:val="Definition"/>
      </w:pPr>
      <w:r w:rsidRPr="00CB26C4">
        <w:rPr>
          <w:b/>
          <w:i/>
        </w:rPr>
        <w:t>non</w:t>
      </w:r>
      <w:r w:rsidR="00CB26C4">
        <w:rPr>
          <w:b/>
          <w:i/>
        </w:rPr>
        <w:noBreakHyphen/>
      </w:r>
      <w:r w:rsidRPr="00CB26C4">
        <w:rPr>
          <w:b/>
          <w:i/>
        </w:rPr>
        <w:t>prescribed wood or woodchips</w:t>
      </w:r>
      <w:r w:rsidRPr="00CB26C4">
        <w:t xml:space="preserve"> means wood or woodchips that are not prescribed goods under Division 1 of Part 1 of Chapter 2.</w:t>
      </w:r>
    </w:p>
    <w:p w14:paraId="43709369" w14:textId="77777777" w:rsidR="00B64EFD" w:rsidRPr="00CB26C4" w:rsidRDefault="00B64EFD" w:rsidP="00B64EFD">
      <w:pPr>
        <w:pStyle w:val="Definition"/>
      </w:pPr>
      <w:r w:rsidRPr="00CB26C4">
        <w:rPr>
          <w:b/>
          <w:i/>
        </w:rPr>
        <w:t xml:space="preserve">plantation </w:t>
      </w:r>
      <w:r w:rsidRPr="00CB26C4">
        <w:t>means an intensively managed stand of trees of either Australian native or exotic species that is created by the regular placement of seedlings or seed.</w:t>
      </w:r>
    </w:p>
    <w:p w14:paraId="50D3EE99" w14:textId="77777777" w:rsidR="00B64EFD" w:rsidRPr="00CB26C4" w:rsidRDefault="00B64EFD" w:rsidP="00B64EFD">
      <w:pPr>
        <w:pStyle w:val="Definition"/>
      </w:pPr>
      <w:r w:rsidRPr="00CB26C4">
        <w:rPr>
          <w:b/>
          <w:i/>
        </w:rPr>
        <w:t>prescribed wood and woodchips</w:t>
      </w:r>
      <w:r w:rsidRPr="00CB26C4">
        <w:t xml:space="preserve"> means wood and woodchips that are prescribed goods under Division 1 of Part 1 of Chapter 2.</w:t>
      </w:r>
    </w:p>
    <w:p w14:paraId="6D753A0C" w14:textId="77777777" w:rsidR="00B64EFD" w:rsidRPr="00CB26C4" w:rsidRDefault="00B64EFD" w:rsidP="00B64EFD">
      <w:pPr>
        <w:pStyle w:val="Definition"/>
      </w:pPr>
      <w:r w:rsidRPr="00CB26C4">
        <w:rPr>
          <w:b/>
          <w:i/>
        </w:rPr>
        <w:t>prescribed wood or woodchips</w:t>
      </w:r>
      <w:r w:rsidRPr="00CB26C4">
        <w:t xml:space="preserve"> means wood or woodchips that are prescribed goods under Division 1 of Part 1 of Chapter 2.</w:t>
      </w:r>
    </w:p>
    <w:p w14:paraId="4540CFBA" w14:textId="77777777" w:rsidR="00B64EFD" w:rsidRPr="00CB26C4" w:rsidRDefault="00B64EFD" w:rsidP="00B64EFD">
      <w:pPr>
        <w:pStyle w:val="Definition"/>
      </w:pPr>
      <w:r w:rsidRPr="00CB26C4">
        <w:rPr>
          <w:b/>
          <w:i/>
        </w:rPr>
        <w:t>State</w:t>
      </w:r>
      <w:r w:rsidRPr="00CB26C4">
        <w:t xml:space="preserve"> includes the Australian Capital Territory and the Northern Territory.</w:t>
      </w:r>
    </w:p>
    <w:p w14:paraId="626DE5AA" w14:textId="77777777" w:rsidR="00B64EFD" w:rsidRPr="00CB26C4" w:rsidRDefault="00B64EFD" w:rsidP="00B64EFD">
      <w:pPr>
        <w:pStyle w:val="Definition"/>
      </w:pPr>
      <w:r w:rsidRPr="00CB26C4">
        <w:rPr>
          <w:b/>
          <w:i/>
        </w:rPr>
        <w:t>wood export licence</w:t>
      </w:r>
      <w:r w:rsidRPr="00CB26C4">
        <w:t xml:space="preserve"> means an export licence granted to a person to carry out export operations in relation to prescribed wood or woodchips.</w:t>
      </w:r>
    </w:p>
    <w:p w14:paraId="2D109575" w14:textId="77777777" w:rsidR="00B64EFD" w:rsidRPr="00CB26C4" w:rsidRDefault="00B64EFD" w:rsidP="00B64EFD">
      <w:pPr>
        <w:pStyle w:val="ActHead5"/>
        <w:rPr>
          <w:i/>
        </w:rPr>
      </w:pPr>
      <w:bookmarkStart w:id="15" w:name="_Toc66351975"/>
      <w:r w:rsidRPr="00780841">
        <w:rPr>
          <w:rStyle w:val="CharSectno"/>
        </w:rPr>
        <w:t>1</w:t>
      </w:r>
      <w:r w:rsidR="00CB26C4" w:rsidRPr="00780841">
        <w:rPr>
          <w:rStyle w:val="CharSectno"/>
        </w:rPr>
        <w:noBreakHyphen/>
      </w:r>
      <w:r w:rsidRPr="00780841">
        <w:rPr>
          <w:rStyle w:val="CharSectno"/>
        </w:rPr>
        <w:t>7</w:t>
      </w:r>
      <w:r w:rsidRPr="00CB26C4">
        <w:t xml:space="preserve">  Meaning of </w:t>
      </w:r>
      <w:r w:rsidRPr="00CB26C4">
        <w:rPr>
          <w:i/>
        </w:rPr>
        <w:t>management arrangement</w:t>
      </w:r>
      <w:bookmarkEnd w:id="15"/>
    </w:p>
    <w:p w14:paraId="70427627" w14:textId="77777777" w:rsidR="00B64EFD" w:rsidRPr="00CB26C4" w:rsidRDefault="00B64EFD" w:rsidP="00B64EFD">
      <w:pPr>
        <w:pStyle w:val="subsection"/>
      </w:pPr>
      <w:r w:rsidRPr="00CB26C4">
        <w:tab/>
        <w:t>(1)</w:t>
      </w:r>
      <w:r w:rsidRPr="00CB26C4">
        <w:tab/>
        <w:t xml:space="preserve">A </w:t>
      </w:r>
      <w:r w:rsidRPr="00CB26C4">
        <w:rPr>
          <w:b/>
          <w:i/>
        </w:rPr>
        <w:t>management arrangement</w:t>
      </w:r>
      <w:r w:rsidRPr="00CB26C4">
        <w:t xml:space="preserve"> is:</w:t>
      </w:r>
    </w:p>
    <w:p w14:paraId="40BBAF67" w14:textId="77777777" w:rsidR="00B64EFD" w:rsidRPr="00CB26C4" w:rsidRDefault="00B64EFD" w:rsidP="00B64EFD">
      <w:pPr>
        <w:pStyle w:val="paragraph"/>
      </w:pPr>
      <w:r w:rsidRPr="00CB26C4">
        <w:tab/>
        <w:t>(a)</w:t>
      </w:r>
      <w:r w:rsidRPr="00CB26C4">
        <w:rPr>
          <w:b/>
          <w:i/>
        </w:rPr>
        <w:tab/>
      </w:r>
      <w:r w:rsidRPr="00CB26C4">
        <w:t>a law of a State; or</w:t>
      </w:r>
    </w:p>
    <w:p w14:paraId="7B44D85C" w14:textId="77777777" w:rsidR="00B64EFD" w:rsidRPr="00CB26C4" w:rsidRDefault="00B64EFD" w:rsidP="00B64EFD">
      <w:pPr>
        <w:pStyle w:val="paragraph"/>
      </w:pPr>
      <w:r w:rsidRPr="00CB26C4">
        <w:tab/>
        <w:t>(b)</w:t>
      </w:r>
      <w:r w:rsidRPr="00CB26C4">
        <w:tab/>
        <w:t>a code of practice, management plan or other instrument that:</w:t>
      </w:r>
    </w:p>
    <w:p w14:paraId="1B2D2860" w14:textId="77777777" w:rsidR="00B64EFD" w:rsidRPr="00CB26C4" w:rsidRDefault="00B64EFD" w:rsidP="00B64EFD">
      <w:pPr>
        <w:pStyle w:val="paragraphsub"/>
      </w:pPr>
      <w:r w:rsidRPr="00CB26C4">
        <w:tab/>
        <w:t>(i)</w:t>
      </w:r>
      <w:r w:rsidRPr="00CB26C4">
        <w:tab/>
        <w:t>is made by a State body; and</w:t>
      </w:r>
    </w:p>
    <w:p w14:paraId="2E72B488" w14:textId="77777777" w:rsidR="00B64EFD" w:rsidRPr="00CB26C4" w:rsidRDefault="00B64EFD" w:rsidP="00B64EFD">
      <w:pPr>
        <w:pStyle w:val="paragraphsub"/>
      </w:pPr>
      <w:r w:rsidRPr="00CB26C4">
        <w:tab/>
        <w:t>(ii)</w:t>
      </w:r>
      <w:r w:rsidRPr="00CB26C4">
        <w:tab/>
        <w:t>regulates forestry operations in that State;</w:t>
      </w:r>
    </w:p>
    <w:p w14:paraId="01848E17" w14:textId="77777777" w:rsidR="00B64EFD" w:rsidRPr="00CB26C4" w:rsidRDefault="00B64EFD" w:rsidP="00B64EFD">
      <w:pPr>
        <w:pStyle w:val="subsection2"/>
      </w:pPr>
      <w:r w:rsidRPr="00CB26C4">
        <w:t>to the extent that the law, code of practice, management plan or other instrument relates to the protection of one or more designated places or the protection of the environment.</w:t>
      </w:r>
    </w:p>
    <w:p w14:paraId="554BC32C" w14:textId="77777777" w:rsidR="00B64EFD" w:rsidRPr="00CB26C4" w:rsidRDefault="00B64EFD" w:rsidP="00B64EFD">
      <w:pPr>
        <w:pStyle w:val="notetext"/>
      </w:pPr>
      <w:r w:rsidRPr="00CB26C4">
        <w:t>Note:</w:t>
      </w:r>
      <w:r w:rsidRPr="00CB26C4">
        <w:tab/>
        <w:t>Examples of protection of the environment are protection of old growth forests, wilderness or endangered species.</w:t>
      </w:r>
    </w:p>
    <w:p w14:paraId="568B5F60" w14:textId="77777777" w:rsidR="00B64EFD" w:rsidRPr="00CB26C4" w:rsidRDefault="00B64EFD" w:rsidP="00B64EFD">
      <w:pPr>
        <w:pStyle w:val="subsection"/>
      </w:pPr>
      <w:r w:rsidRPr="00CB26C4">
        <w:tab/>
        <w:t>(2)</w:t>
      </w:r>
      <w:r w:rsidRPr="00CB26C4">
        <w:tab/>
        <w:t>In this section:</w:t>
      </w:r>
    </w:p>
    <w:p w14:paraId="3BD6DCDD" w14:textId="77777777" w:rsidR="00B64EFD" w:rsidRPr="00CB26C4" w:rsidRDefault="00B64EFD" w:rsidP="00B64EFD">
      <w:pPr>
        <w:pStyle w:val="Definition"/>
      </w:pPr>
      <w:r w:rsidRPr="00CB26C4">
        <w:rPr>
          <w:b/>
          <w:i/>
        </w:rPr>
        <w:lastRenderedPageBreak/>
        <w:t xml:space="preserve">forestry operations </w:t>
      </w:r>
      <w:r w:rsidRPr="00CB26C4">
        <w:t xml:space="preserve">has the meaning given by subsection 40(2) of the </w:t>
      </w:r>
      <w:r w:rsidRPr="00CB26C4">
        <w:rPr>
          <w:i/>
        </w:rPr>
        <w:t>Environment Protection and Biodiversity Conservation Act 1999</w:t>
      </w:r>
      <w:r w:rsidRPr="00CB26C4">
        <w:t>.</w:t>
      </w:r>
    </w:p>
    <w:p w14:paraId="3CE3CED8" w14:textId="77777777" w:rsidR="00B64EFD" w:rsidRPr="00CB26C4" w:rsidRDefault="00B64EFD" w:rsidP="00B64EFD">
      <w:pPr>
        <w:pStyle w:val="ActHead1"/>
        <w:pageBreakBefore/>
      </w:pPr>
      <w:bookmarkStart w:id="16" w:name="_Toc66351976"/>
      <w:r w:rsidRPr="00780841">
        <w:rPr>
          <w:rStyle w:val="CharChapNo"/>
        </w:rPr>
        <w:lastRenderedPageBreak/>
        <w:t>Chapter 2</w:t>
      </w:r>
      <w:r w:rsidRPr="00CB26C4">
        <w:t>—</w:t>
      </w:r>
      <w:r w:rsidRPr="00780841">
        <w:rPr>
          <w:rStyle w:val="CharChapText"/>
        </w:rPr>
        <w:t>Exporting goods</w:t>
      </w:r>
      <w:bookmarkEnd w:id="16"/>
    </w:p>
    <w:p w14:paraId="0A831607" w14:textId="77777777" w:rsidR="00B64EFD" w:rsidRPr="00CB26C4" w:rsidRDefault="00B64EFD" w:rsidP="00B64EFD">
      <w:pPr>
        <w:pStyle w:val="ActHead2"/>
      </w:pPr>
      <w:bookmarkStart w:id="17" w:name="_Toc66351977"/>
      <w:r w:rsidRPr="00780841">
        <w:rPr>
          <w:rStyle w:val="CharPartNo"/>
        </w:rPr>
        <w:t>Part 1</w:t>
      </w:r>
      <w:r w:rsidRPr="00CB26C4">
        <w:t>—</w:t>
      </w:r>
      <w:r w:rsidRPr="00780841">
        <w:rPr>
          <w:rStyle w:val="CharPartText"/>
        </w:rPr>
        <w:t>Goods</w:t>
      </w:r>
      <w:bookmarkEnd w:id="17"/>
    </w:p>
    <w:p w14:paraId="61F0D10C" w14:textId="77777777" w:rsidR="00B64EFD" w:rsidRPr="00CB26C4" w:rsidRDefault="00B64EFD" w:rsidP="00B64EFD">
      <w:pPr>
        <w:pStyle w:val="ActHead3"/>
      </w:pPr>
      <w:bookmarkStart w:id="18" w:name="_Toc66351978"/>
      <w:r w:rsidRPr="00780841">
        <w:rPr>
          <w:rStyle w:val="CharDivNo"/>
        </w:rPr>
        <w:t>Division 1</w:t>
      </w:r>
      <w:r w:rsidRPr="00CB26C4">
        <w:t>—</w:t>
      </w:r>
      <w:r w:rsidRPr="00780841">
        <w:rPr>
          <w:rStyle w:val="CharDivText"/>
        </w:rPr>
        <w:t>Prescribed goods</w:t>
      </w:r>
      <w:bookmarkEnd w:id="18"/>
    </w:p>
    <w:p w14:paraId="6E90B6A3" w14:textId="77777777" w:rsidR="00B64EFD" w:rsidRPr="00CB26C4" w:rsidRDefault="00B64EFD" w:rsidP="00B64EFD">
      <w:pPr>
        <w:pStyle w:val="ActHead5"/>
      </w:pPr>
      <w:bookmarkStart w:id="19" w:name="_Toc66351979"/>
      <w:r w:rsidRPr="00780841">
        <w:rPr>
          <w:rStyle w:val="CharSectno"/>
        </w:rPr>
        <w:t>2</w:t>
      </w:r>
      <w:r w:rsidR="00CB26C4" w:rsidRPr="00780841">
        <w:rPr>
          <w:rStyle w:val="CharSectno"/>
        </w:rPr>
        <w:noBreakHyphen/>
      </w:r>
      <w:r w:rsidRPr="00780841">
        <w:rPr>
          <w:rStyle w:val="CharSectno"/>
        </w:rPr>
        <w:t>1</w:t>
      </w:r>
      <w:r w:rsidRPr="00CB26C4">
        <w:t xml:space="preserve">  Wood and woodchips that are prescribed goods</w:t>
      </w:r>
      <w:bookmarkEnd w:id="19"/>
    </w:p>
    <w:p w14:paraId="40BB8007" w14:textId="77777777" w:rsidR="00B64EFD" w:rsidRPr="00CB26C4" w:rsidRDefault="00B64EFD" w:rsidP="00B64EFD">
      <w:pPr>
        <w:pStyle w:val="subsection"/>
      </w:pPr>
      <w:r w:rsidRPr="00CB26C4">
        <w:tab/>
        <w:t>(1)</w:t>
      </w:r>
      <w:r w:rsidRPr="00CB26C4">
        <w:tab/>
        <w:t xml:space="preserve">For the purposes of subsection 28(1) of the Act and subject to </w:t>
      </w:r>
      <w:r w:rsidR="00C934A5" w:rsidRPr="00CB26C4">
        <w:t>subsection (</w:t>
      </w:r>
      <w:r w:rsidRPr="00CB26C4">
        <w:t>2) of this section, the following goods are prescribed for the purposes of the Act:</w:t>
      </w:r>
    </w:p>
    <w:p w14:paraId="742B6D46" w14:textId="77777777" w:rsidR="00B64EFD" w:rsidRPr="00CB26C4" w:rsidRDefault="00B64EFD" w:rsidP="00B64EFD">
      <w:pPr>
        <w:pStyle w:val="paragraph"/>
      </w:pPr>
      <w:r w:rsidRPr="00CB26C4">
        <w:tab/>
        <w:t>(a)</w:t>
      </w:r>
      <w:r w:rsidRPr="00CB26C4">
        <w:tab/>
        <w:t>woodchips;</w:t>
      </w:r>
    </w:p>
    <w:p w14:paraId="410C0360" w14:textId="77777777" w:rsidR="00B64EFD" w:rsidRPr="00CB26C4" w:rsidRDefault="00B64EFD" w:rsidP="00B64EFD">
      <w:pPr>
        <w:pStyle w:val="paragraph"/>
      </w:pPr>
      <w:r w:rsidRPr="00CB26C4">
        <w:tab/>
        <w:t>(b)</w:t>
      </w:r>
      <w:r w:rsidRPr="00CB26C4">
        <w:tab/>
        <w:t>wood in the round;</w:t>
      </w:r>
    </w:p>
    <w:p w14:paraId="04EA57EA" w14:textId="77777777" w:rsidR="00B64EFD" w:rsidRPr="00CB26C4" w:rsidRDefault="00B64EFD" w:rsidP="00B64EFD">
      <w:pPr>
        <w:pStyle w:val="paragraph"/>
      </w:pPr>
      <w:r w:rsidRPr="00CB26C4">
        <w:tab/>
        <w:t>(c)</w:t>
      </w:r>
      <w:r w:rsidRPr="00CB26C4">
        <w:tab/>
        <w:t>wood with a cross</w:t>
      </w:r>
      <w:r w:rsidR="00CB26C4">
        <w:noBreakHyphen/>
      </w:r>
      <w:r w:rsidRPr="00CB26C4">
        <w:t>sectional area of at least 225 square centimetres.</w:t>
      </w:r>
    </w:p>
    <w:p w14:paraId="2D3B5DE9" w14:textId="77777777" w:rsidR="00B64EFD" w:rsidRPr="00CB26C4" w:rsidRDefault="00B64EFD" w:rsidP="00B64EFD">
      <w:pPr>
        <w:pStyle w:val="subsection"/>
      </w:pPr>
      <w:r w:rsidRPr="00CB26C4">
        <w:tab/>
        <w:t>(2)</w:t>
      </w:r>
      <w:r w:rsidRPr="00CB26C4">
        <w:tab/>
        <w:t>Wood or woodchips are not prescribed for the purposes of subsection 28(1) of the Act if the wood or woodchips are derived from trees sourced from a plantation in a State for which there is an approved code of practice.</w:t>
      </w:r>
    </w:p>
    <w:p w14:paraId="598E8C6F" w14:textId="77777777" w:rsidR="00B64EFD" w:rsidRPr="00CB26C4" w:rsidRDefault="00B64EFD" w:rsidP="00B64EFD">
      <w:pPr>
        <w:pStyle w:val="notetext"/>
      </w:pPr>
      <w:r w:rsidRPr="00CB26C4">
        <w:t>Note:</w:t>
      </w:r>
      <w:r w:rsidRPr="00CB26C4">
        <w:tab/>
        <w:t xml:space="preserve">Processed and unprocessed wood (including woodchips) sourced from a region covered by a Regional Forest Agreement within the meaning of the </w:t>
      </w:r>
      <w:r w:rsidRPr="00CB26C4">
        <w:rPr>
          <w:i/>
        </w:rPr>
        <w:t>Regional Forest Agreements Act 2002</w:t>
      </w:r>
      <w:r w:rsidRPr="00CB26C4">
        <w:t xml:space="preserve"> (not including wood sourced from a plantation in a State unless there is an approved code of practice for that State) is non</w:t>
      </w:r>
      <w:r w:rsidR="00CB26C4">
        <w:noBreakHyphen/>
      </w:r>
      <w:r w:rsidRPr="00CB26C4">
        <w:t xml:space="preserve">prescribed goods (see </w:t>
      </w:r>
      <w:r w:rsidR="00C934A5" w:rsidRPr="00CB26C4">
        <w:t>subsection 6</w:t>
      </w:r>
      <w:r w:rsidRPr="00CB26C4">
        <w:t xml:space="preserve">(1) of the </w:t>
      </w:r>
      <w:r w:rsidRPr="00CB26C4">
        <w:rPr>
          <w:i/>
          <w:iCs/>
        </w:rPr>
        <w:t>Regional Forest Agreements Act 2002</w:t>
      </w:r>
      <w:r w:rsidRPr="00CB26C4">
        <w:rPr>
          <w:iCs/>
        </w:rPr>
        <w:t xml:space="preserve">, </w:t>
      </w:r>
      <w:r w:rsidRPr="00CB26C4">
        <w:t xml:space="preserve">the definition of </w:t>
      </w:r>
      <w:r w:rsidRPr="00CB26C4">
        <w:rPr>
          <w:b/>
          <w:i/>
        </w:rPr>
        <w:t>RFA wood</w:t>
      </w:r>
      <w:r w:rsidRPr="00CB26C4">
        <w:t xml:space="preserve"> in section 4 of that Act and the definition of </w:t>
      </w:r>
      <w:r w:rsidRPr="00CB26C4">
        <w:rPr>
          <w:b/>
          <w:bCs/>
          <w:i/>
          <w:iCs/>
        </w:rPr>
        <w:t>non</w:t>
      </w:r>
      <w:r w:rsidR="00CB26C4">
        <w:rPr>
          <w:b/>
          <w:bCs/>
          <w:i/>
          <w:iCs/>
        </w:rPr>
        <w:noBreakHyphen/>
      </w:r>
      <w:r w:rsidRPr="00CB26C4">
        <w:rPr>
          <w:b/>
          <w:bCs/>
          <w:i/>
          <w:iCs/>
        </w:rPr>
        <w:t>prescribed goods</w:t>
      </w:r>
      <w:r w:rsidRPr="00CB26C4">
        <w:t xml:space="preserve"> in section 12 of the </w:t>
      </w:r>
      <w:r w:rsidRPr="00CB26C4">
        <w:rPr>
          <w:i/>
          <w:iCs/>
        </w:rPr>
        <w:t>Export Control Act 2020</w:t>
      </w:r>
      <w:r w:rsidRPr="00CB26C4">
        <w:t>).</w:t>
      </w:r>
    </w:p>
    <w:p w14:paraId="4CAE6187" w14:textId="77777777" w:rsidR="00B64EFD" w:rsidRPr="00CB26C4" w:rsidRDefault="00B64EFD" w:rsidP="00B64EFD">
      <w:pPr>
        <w:pStyle w:val="ActHead5"/>
      </w:pPr>
      <w:bookmarkStart w:id="20" w:name="_Toc66351980"/>
      <w:r w:rsidRPr="00780841">
        <w:rPr>
          <w:rStyle w:val="CharSectno"/>
        </w:rPr>
        <w:t>2</w:t>
      </w:r>
      <w:r w:rsidR="00CB26C4" w:rsidRPr="00780841">
        <w:rPr>
          <w:rStyle w:val="CharSectno"/>
        </w:rPr>
        <w:noBreakHyphen/>
      </w:r>
      <w:r w:rsidRPr="00780841">
        <w:rPr>
          <w:rStyle w:val="CharSectno"/>
        </w:rPr>
        <w:t>2</w:t>
      </w:r>
      <w:r w:rsidRPr="00CB26C4">
        <w:t xml:space="preserve">  Wood and woodchips that are taken not to be prescribed goods</w:t>
      </w:r>
      <w:bookmarkEnd w:id="20"/>
    </w:p>
    <w:p w14:paraId="58E064C3" w14:textId="77777777" w:rsidR="00B64EFD" w:rsidRPr="00CB26C4" w:rsidRDefault="00B64EFD" w:rsidP="00B64EFD">
      <w:pPr>
        <w:pStyle w:val="subsection"/>
      </w:pPr>
      <w:r w:rsidRPr="00CB26C4">
        <w:tab/>
      </w:r>
      <w:r w:rsidRPr="00CB26C4">
        <w:tab/>
        <w:t>For the purposes of subsection 28(4) of the Act, wood and woodchips covered by subsection 2</w:t>
      </w:r>
      <w:r w:rsidR="00CB26C4">
        <w:noBreakHyphen/>
      </w:r>
      <w:r w:rsidRPr="00CB26C4">
        <w:t>1(1) of this instrument are taken not to be prescribed wood or woodchips if the wood or woodchips are to be exported:</w:t>
      </w:r>
    </w:p>
    <w:p w14:paraId="33867C2F" w14:textId="77777777" w:rsidR="00B64EFD" w:rsidRPr="00CB26C4" w:rsidRDefault="00B64EFD" w:rsidP="00B64EFD">
      <w:pPr>
        <w:pStyle w:val="paragraph"/>
      </w:pPr>
      <w:r w:rsidRPr="00CB26C4">
        <w:tab/>
        <w:t>(a)</w:t>
      </w:r>
      <w:r w:rsidRPr="00CB26C4">
        <w:tab/>
        <w:t>in a consignment of not more than 2 tonnes; or</w:t>
      </w:r>
    </w:p>
    <w:p w14:paraId="4956EDC4" w14:textId="77777777" w:rsidR="00B64EFD" w:rsidRPr="00CB26C4" w:rsidRDefault="00B64EFD" w:rsidP="00B64EFD">
      <w:pPr>
        <w:pStyle w:val="paragraph"/>
      </w:pPr>
      <w:r w:rsidRPr="00CB26C4">
        <w:tab/>
        <w:t>(b)</w:t>
      </w:r>
      <w:r w:rsidRPr="00CB26C4">
        <w:tab/>
        <w:t>in a consignment that includes not more than 2 tonnes of wood or woodchips.</w:t>
      </w:r>
    </w:p>
    <w:p w14:paraId="26EC581D" w14:textId="77777777" w:rsidR="00B64EFD" w:rsidRPr="00CB26C4" w:rsidRDefault="00B64EFD" w:rsidP="00B64EFD">
      <w:pPr>
        <w:pStyle w:val="ActHead3"/>
        <w:pageBreakBefore/>
      </w:pPr>
      <w:bookmarkStart w:id="21" w:name="_Toc66351981"/>
      <w:r w:rsidRPr="00780841">
        <w:rPr>
          <w:rStyle w:val="CharDivNo"/>
        </w:rPr>
        <w:lastRenderedPageBreak/>
        <w:t>Division 2</w:t>
      </w:r>
      <w:r w:rsidRPr="00CB26C4">
        <w:t>—</w:t>
      </w:r>
      <w:r w:rsidRPr="00780841">
        <w:rPr>
          <w:rStyle w:val="CharDivText"/>
        </w:rPr>
        <w:t>Prohibited export and prescribed export conditions</w:t>
      </w:r>
      <w:bookmarkEnd w:id="21"/>
    </w:p>
    <w:p w14:paraId="53FD1731" w14:textId="77777777" w:rsidR="00B64EFD" w:rsidRPr="00CB26C4" w:rsidRDefault="00B64EFD" w:rsidP="00B64EFD">
      <w:pPr>
        <w:pStyle w:val="ActHead5"/>
      </w:pPr>
      <w:bookmarkStart w:id="22" w:name="_Toc66351982"/>
      <w:r w:rsidRPr="00780841">
        <w:rPr>
          <w:rStyle w:val="CharSectno"/>
        </w:rPr>
        <w:t>2</w:t>
      </w:r>
      <w:r w:rsidR="00CB26C4" w:rsidRPr="00780841">
        <w:rPr>
          <w:rStyle w:val="CharSectno"/>
        </w:rPr>
        <w:noBreakHyphen/>
      </w:r>
      <w:r w:rsidRPr="00780841">
        <w:rPr>
          <w:rStyle w:val="CharSectno"/>
        </w:rPr>
        <w:t>3</w:t>
      </w:r>
      <w:r w:rsidRPr="00CB26C4">
        <w:t xml:space="preserve">  Purpose and application of this Division</w:t>
      </w:r>
      <w:bookmarkEnd w:id="22"/>
    </w:p>
    <w:p w14:paraId="2F6F97A8" w14:textId="77777777" w:rsidR="00B64EFD" w:rsidRPr="00CB26C4" w:rsidRDefault="00B64EFD" w:rsidP="00B64EFD">
      <w:pPr>
        <w:pStyle w:val="subsection"/>
      </w:pPr>
      <w:r w:rsidRPr="00CB26C4">
        <w:tab/>
        <w:t>(1)</w:t>
      </w:r>
      <w:r w:rsidRPr="00CB26C4">
        <w:tab/>
        <w:t>This Division is made for the purposes of section 29 of the Act.</w:t>
      </w:r>
    </w:p>
    <w:p w14:paraId="6719CE3D" w14:textId="77777777" w:rsidR="00B64EFD" w:rsidRPr="00CB26C4" w:rsidRDefault="00B64EFD" w:rsidP="00B64EFD">
      <w:pPr>
        <w:pStyle w:val="subsection"/>
      </w:pPr>
      <w:r w:rsidRPr="00CB26C4">
        <w:tab/>
        <w:t>(2)</w:t>
      </w:r>
      <w:r w:rsidRPr="00CB26C4">
        <w:tab/>
        <w:t>This Division applies in relation to prescribed wood and woodchips.</w:t>
      </w:r>
    </w:p>
    <w:p w14:paraId="6409DB91" w14:textId="77777777" w:rsidR="00B64EFD" w:rsidRPr="00CB26C4" w:rsidRDefault="00B64EFD" w:rsidP="00B64EFD">
      <w:pPr>
        <w:pStyle w:val="notetext"/>
      </w:pPr>
      <w:r w:rsidRPr="00CB26C4">
        <w:t>Note 1:</w:t>
      </w:r>
      <w:r w:rsidRPr="00CB26C4">
        <w:tab/>
        <w:t>See Division 1 of this Part in relation to goods that are prescribed wood and woodchips.</w:t>
      </w:r>
    </w:p>
    <w:p w14:paraId="6939289C" w14:textId="77777777" w:rsidR="00B64EFD" w:rsidRPr="00CB26C4" w:rsidRDefault="00B64EFD" w:rsidP="00B64EFD">
      <w:pPr>
        <w:pStyle w:val="notetext"/>
      </w:pPr>
      <w:r w:rsidRPr="00CB26C4">
        <w:t>Note 2:</w:t>
      </w:r>
      <w:r w:rsidRPr="00CB26C4">
        <w:tab/>
        <w:t>Wood and woodchips are taken not to be prescribed wood or woodchips in the circumstances prescribed by section 2</w:t>
      </w:r>
      <w:r w:rsidR="00CB26C4">
        <w:noBreakHyphen/>
      </w:r>
      <w:r w:rsidRPr="00CB26C4">
        <w:t xml:space="preserve">2 of this instrument (see the definition of </w:t>
      </w:r>
      <w:r w:rsidRPr="00CB26C4">
        <w:rPr>
          <w:b/>
          <w:i/>
        </w:rPr>
        <w:t>prescribed goods</w:t>
      </w:r>
      <w:r w:rsidRPr="00CB26C4">
        <w:t xml:space="preserve"> in section 12 of the Act).</w:t>
      </w:r>
    </w:p>
    <w:p w14:paraId="50D7C7D5" w14:textId="77777777" w:rsidR="00B64EFD" w:rsidRPr="00CB26C4" w:rsidRDefault="00B64EFD" w:rsidP="00B64EFD">
      <w:pPr>
        <w:pStyle w:val="ActHead5"/>
      </w:pPr>
      <w:bookmarkStart w:id="23" w:name="_Toc66351983"/>
      <w:r w:rsidRPr="00780841">
        <w:rPr>
          <w:rStyle w:val="CharSectno"/>
        </w:rPr>
        <w:t>2</w:t>
      </w:r>
      <w:r w:rsidR="00CB26C4" w:rsidRPr="00780841">
        <w:rPr>
          <w:rStyle w:val="CharSectno"/>
        </w:rPr>
        <w:noBreakHyphen/>
      </w:r>
      <w:r w:rsidRPr="00780841">
        <w:rPr>
          <w:rStyle w:val="CharSectno"/>
        </w:rPr>
        <w:t>4</w:t>
      </w:r>
      <w:r w:rsidRPr="00CB26C4">
        <w:t xml:space="preserve">  Export of prescribed wood or woodchips is prohibited unless prescribed conditions are complied with</w:t>
      </w:r>
      <w:bookmarkEnd w:id="23"/>
    </w:p>
    <w:p w14:paraId="011A0415" w14:textId="77777777" w:rsidR="00B64EFD" w:rsidRPr="00CB26C4" w:rsidRDefault="00B64EFD" w:rsidP="00B64EFD">
      <w:pPr>
        <w:pStyle w:val="subsection"/>
      </w:pPr>
      <w:r w:rsidRPr="00CB26C4">
        <w:tab/>
      </w:r>
      <w:r w:rsidRPr="00CB26C4">
        <w:tab/>
        <w:t>The export from Australian territory of prescribed wood or woodchips is prohibited unless:</w:t>
      </w:r>
    </w:p>
    <w:p w14:paraId="5E1B5AF7" w14:textId="77777777" w:rsidR="00B64EFD" w:rsidRPr="00CB26C4" w:rsidRDefault="00B64EFD" w:rsidP="00B64EFD">
      <w:pPr>
        <w:pStyle w:val="paragraph"/>
      </w:pPr>
      <w:r w:rsidRPr="00CB26C4">
        <w:tab/>
        <w:t>(a)</w:t>
      </w:r>
      <w:r w:rsidRPr="00CB26C4">
        <w:tab/>
        <w:t>the exporter of the prescribed wood or woodchips holds a wood export licence to carry out operations to export the wood or woodchips; and</w:t>
      </w:r>
    </w:p>
    <w:p w14:paraId="5A7D9E8E" w14:textId="77777777" w:rsidR="00B64EFD" w:rsidRPr="00CB26C4" w:rsidRDefault="00B64EFD" w:rsidP="00B64EFD">
      <w:pPr>
        <w:pStyle w:val="paragraph"/>
      </w:pPr>
      <w:r w:rsidRPr="00CB26C4">
        <w:tab/>
        <w:t>(b)</w:t>
      </w:r>
      <w:r w:rsidRPr="00CB26C4">
        <w:tab/>
        <w:t>the wood export licence is in force and not suspended at the time the wood or woodchips are exported.</w:t>
      </w:r>
    </w:p>
    <w:p w14:paraId="20389750" w14:textId="77777777" w:rsidR="00B64EFD" w:rsidRPr="00CB26C4" w:rsidRDefault="00B64EFD" w:rsidP="00B64EFD">
      <w:pPr>
        <w:pStyle w:val="notetext"/>
      </w:pPr>
      <w:r w:rsidRPr="00CB26C4">
        <w:t>Note 1:</w:t>
      </w:r>
      <w:r w:rsidRPr="00CB26C4">
        <w:tab/>
        <w:t xml:space="preserve">Other conditions will apply in addition to the conditions in this section if the prescribed wood or woodchips are a prescribed plant product under the </w:t>
      </w:r>
      <w:r w:rsidRPr="00CB26C4">
        <w:rPr>
          <w:i/>
        </w:rPr>
        <w:t xml:space="preserve">Export Control (Plants and Plant Products) </w:t>
      </w:r>
      <w:r w:rsidR="00CB26C4">
        <w:rPr>
          <w:i/>
        </w:rPr>
        <w:t>Rules 2</w:t>
      </w:r>
      <w:r w:rsidRPr="00CB26C4">
        <w:rPr>
          <w:i/>
        </w:rPr>
        <w:t>021</w:t>
      </w:r>
      <w:r w:rsidRPr="00CB26C4">
        <w:t>. The export of the wood or woodchips would also be subject to export conditions prescribed by that instrument.</w:t>
      </w:r>
    </w:p>
    <w:p w14:paraId="361196DA" w14:textId="77777777" w:rsidR="00B64EFD" w:rsidRPr="00CB26C4" w:rsidRDefault="00B64EFD" w:rsidP="00B64EFD">
      <w:pPr>
        <w:pStyle w:val="notetext"/>
      </w:pPr>
      <w:r w:rsidRPr="00CB26C4">
        <w:t>Note 2:</w:t>
      </w:r>
      <w:r w:rsidRPr="00CB26C4">
        <w:tab/>
        <w:t>A person may commit an offence or be liable to a civil penalty if prescribed goods are exported in contravention of a prescribed export condition (see Division 4 of Part 1 of Chapter 2 of the Act).</w:t>
      </w:r>
    </w:p>
    <w:p w14:paraId="5BD50B46" w14:textId="77777777" w:rsidR="00B64EFD" w:rsidRPr="00CB26C4" w:rsidRDefault="00B64EFD" w:rsidP="00B64EFD">
      <w:pPr>
        <w:pStyle w:val="notetext"/>
      </w:pPr>
      <w:r w:rsidRPr="00CB26C4">
        <w:t>Note 3:</w:t>
      </w:r>
      <w:r w:rsidRPr="00CB26C4">
        <w:tab/>
        <w:t>A person may commit an offence or be liable to a civil penalty if export operations covered by a wood export licence are carried out after the licence has been revoked (see section 215 of the Act).</w:t>
      </w:r>
    </w:p>
    <w:p w14:paraId="171E73B8" w14:textId="77777777" w:rsidR="00B64EFD" w:rsidRPr="00CB26C4" w:rsidRDefault="00B64EFD" w:rsidP="00B64EFD">
      <w:pPr>
        <w:pStyle w:val="ActHead2"/>
        <w:pageBreakBefore/>
      </w:pPr>
      <w:bookmarkStart w:id="24" w:name="_Toc66351984"/>
      <w:r w:rsidRPr="00780841">
        <w:rPr>
          <w:rStyle w:val="CharPartNo"/>
        </w:rPr>
        <w:lastRenderedPageBreak/>
        <w:t>Part 2</w:t>
      </w:r>
      <w:r w:rsidRPr="00CB26C4">
        <w:t>—</w:t>
      </w:r>
      <w:r w:rsidRPr="00780841">
        <w:rPr>
          <w:rStyle w:val="CharPartText"/>
        </w:rPr>
        <w:t>Government certificates</w:t>
      </w:r>
      <w:bookmarkEnd w:id="24"/>
    </w:p>
    <w:p w14:paraId="064A13EB"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62EAC914" w14:textId="77777777" w:rsidR="00B64EFD" w:rsidRPr="00CB26C4" w:rsidRDefault="00B64EFD" w:rsidP="00B64EFD">
      <w:pPr>
        <w:pStyle w:val="ActHead5"/>
      </w:pPr>
      <w:bookmarkStart w:id="25" w:name="_Toc66351985"/>
      <w:r w:rsidRPr="00780841">
        <w:rPr>
          <w:rStyle w:val="CharSectno"/>
        </w:rPr>
        <w:t>2</w:t>
      </w:r>
      <w:r w:rsidR="00CB26C4" w:rsidRPr="00780841">
        <w:rPr>
          <w:rStyle w:val="CharSectno"/>
        </w:rPr>
        <w:noBreakHyphen/>
      </w:r>
      <w:r w:rsidRPr="00780841">
        <w:rPr>
          <w:rStyle w:val="CharSectno"/>
        </w:rPr>
        <w:t>5</w:t>
      </w:r>
      <w:r w:rsidRPr="00CB26C4">
        <w:rPr>
          <w:lang w:eastAsia="en-US"/>
        </w:rPr>
        <w:t xml:space="preserve">  G</w:t>
      </w:r>
      <w:r w:rsidRPr="00CB26C4">
        <w:t>overnment certificate may be issued in relation to wood or woodchips</w:t>
      </w:r>
      <w:bookmarkEnd w:id="25"/>
    </w:p>
    <w:p w14:paraId="6430F2A2" w14:textId="77777777" w:rsidR="00B64EFD" w:rsidRPr="00CB26C4" w:rsidRDefault="00B64EFD" w:rsidP="00B64EFD">
      <w:pPr>
        <w:pStyle w:val="subsection"/>
      </w:pPr>
      <w:r w:rsidRPr="00CB26C4">
        <w:tab/>
      </w:r>
      <w:r w:rsidRPr="00CB26C4">
        <w:tab/>
        <w:t>For the purposes of subsections 62(1) and (2) of the Act, a government certificate may be issued in relation to wood or woodchips that are to be, or that have been, exported.</w:t>
      </w:r>
    </w:p>
    <w:p w14:paraId="44D9200C" w14:textId="77777777" w:rsidR="00B64EFD" w:rsidRPr="00CB26C4" w:rsidRDefault="00B64EFD" w:rsidP="00B64EFD">
      <w:pPr>
        <w:pStyle w:val="notetext"/>
      </w:pPr>
      <w:r w:rsidRPr="00CB26C4">
        <w:t>Note 1:</w:t>
      </w:r>
      <w:r w:rsidRPr="00CB26C4">
        <w:tab/>
        <w:t>Grounds for the issuing body to refuse to issue a government certificate in relation to wood or woodchips are provided by paragraphs 67(3)(a) to (f) of the Act.</w:t>
      </w:r>
    </w:p>
    <w:p w14:paraId="58AF351D" w14:textId="77777777" w:rsidR="00B64EFD" w:rsidRPr="00CB26C4" w:rsidRDefault="00B64EFD" w:rsidP="00B64EFD">
      <w:pPr>
        <w:pStyle w:val="notetext"/>
      </w:pPr>
      <w:r w:rsidRPr="00CB26C4">
        <w:t>Note 2:</w:t>
      </w:r>
      <w:r w:rsidRPr="00CB26C4">
        <w:tab/>
        <w:t>An exporter who applies for a government certificate in relation to wood or woodchips must retain certain records for at least 5 years (see section 11</w:t>
      </w:r>
      <w:r w:rsidR="00CB26C4">
        <w:noBreakHyphen/>
      </w:r>
      <w:r w:rsidRPr="00CB26C4">
        <w:t>4 of this instrument).</w:t>
      </w:r>
    </w:p>
    <w:p w14:paraId="549581AF" w14:textId="77777777" w:rsidR="00B64EFD" w:rsidRPr="00CB26C4" w:rsidRDefault="00B64EFD" w:rsidP="00B64EFD">
      <w:pPr>
        <w:pStyle w:val="ActHead2"/>
        <w:pageBreakBefore/>
      </w:pPr>
      <w:bookmarkStart w:id="26" w:name="_Toc66351986"/>
      <w:r w:rsidRPr="00780841">
        <w:rPr>
          <w:rStyle w:val="CharPartNo"/>
        </w:rPr>
        <w:lastRenderedPageBreak/>
        <w:t>Part 3</w:t>
      </w:r>
      <w:r w:rsidRPr="00CB26C4">
        <w:t>—</w:t>
      </w:r>
      <w:r w:rsidRPr="00780841">
        <w:rPr>
          <w:rStyle w:val="CharPartText"/>
        </w:rPr>
        <w:t>State codes of practice</w:t>
      </w:r>
      <w:bookmarkEnd w:id="26"/>
    </w:p>
    <w:p w14:paraId="069D02D9"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5083045D" w14:textId="77777777" w:rsidR="00B64EFD" w:rsidRPr="00CB26C4" w:rsidRDefault="00B64EFD" w:rsidP="00B64EFD">
      <w:pPr>
        <w:pStyle w:val="ActHead5"/>
      </w:pPr>
      <w:bookmarkStart w:id="27" w:name="_Toc66351987"/>
      <w:r w:rsidRPr="00780841">
        <w:rPr>
          <w:rStyle w:val="CharSectno"/>
        </w:rPr>
        <w:t>2</w:t>
      </w:r>
      <w:r w:rsidR="00CB26C4" w:rsidRPr="00780841">
        <w:rPr>
          <w:rStyle w:val="CharSectno"/>
        </w:rPr>
        <w:noBreakHyphen/>
      </w:r>
      <w:r w:rsidRPr="00780841">
        <w:rPr>
          <w:rStyle w:val="CharSectno"/>
        </w:rPr>
        <w:t>6</w:t>
      </w:r>
      <w:r w:rsidRPr="00CB26C4">
        <w:t xml:space="preserve">  State may request approval of code of practice</w:t>
      </w:r>
      <w:bookmarkEnd w:id="27"/>
    </w:p>
    <w:p w14:paraId="4D4B5334" w14:textId="77777777" w:rsidR="00B64EFD" w:rsidRPr="00CB26C4" w:rsidRDefault="00B64EFD" w:rsidP="00B64EFD">
      <w:pPr>
        <w:pStyle w:val="subsection"/>
      </w:pPr>
      <w:r w:rsidRPr="00CB26C4">
        <w:tab/>
      </w:r>
      <w:r w:rsidRPr="00CB26C4">
        <w:tab/>
        <w:t>A State may request the Minister, in writing, to approve a code of practice for the State.</w:t>
      </w:r>
    </w:p>
    <w:p w14:paraId="5DC3CF8D" w14:textId="77777777" w:rsidR="00B64EFD" w:rsidRPr="00CB26C4" w:rsidRDefault="00B64EFD" w:rsidP="00B64EFD">
      <w:pPr>
        <w:pStyle w:val="ActHead5"/>
      </w:pPr>
      <w:bookmarkStart w:id="28" w:name="_Toc66351988"/>
      <w:r w:rsidRPr="00780841">
        <w:rPr>
          <w:rStyle w:val="CharSectno"/>
        </w:rPr>
        <w:t>2</w:t>
      </w:r>
      <w:r w:rsidR="00CB26C4" w:rsidRPr="00780841">
        <w:rPr>
          <w:rStyle w:val="CharSectno"/>
        </w:rPr>
        <w:noBreakHyphen/>
      </w:r>
      <w:r w:rsidRPr="00780841">
        <w:rPr>
          <w:rStyle w:val="CharSectno"/>
        </w:rPr>
        <w:t>7</w:t>
      </w:r>
      <w:r w:rsidRPr="00CB26C4">
        <w:t xml:space="preserve">  Approval of code of practice</w:t>
      </w:r>
      <w:bookmarkEnd w:id="28"/>
    </w:p>
    <w:p w14:paraId="3BFE3003" w14:textId="77777777" w:rsidR="00B64EFD" w:rsidRPr="00CB26C4" w:rsidRDefault="00B64EFD" w:rsidP="00B64EFD">
      <w:pPr>
        <w:pStyle w:val="subsection"/>
      </w:pPr>
      <w:r w:rsidRPr="00CB26C4">
        <w:tab/>
        <w:t>(1)</w:t>
      </w:r>
      <w:r w:rsidRPr="00CB26C4">
        <w:tab/>
        <w:t>If the Minister receives a request from a State under section 2</w:t>
      </w:r>
      <w:r w:rsidR="00CB26C4">
        <w:noBreakHyphen/>
      </w:r>
      <w:r w:rsidRPr="00CB26C4">
        <w:t>6, the Minister may, by notifiable instrument, approve the code of practice to which the request relates.</w:t>
      </w:r>
    </w:p>
    <w:p w14:paraId="2184AA20" w14:textId="77777777" w:rsidR="00B64EFD" w:rsidRPr="00CB26C4" w:rsidRDefault="00B64EFD" w:rsidP="00B64EFD">
      <w:pPr>
        <w:pStyle w:val="subsection"/>
      </w:pPr>
      <w:r w:rsidRPr="00CB26C4">
        <w:tab/>
        <w:t>(2)</w:t>
      </w:r>
      <w:r w:rsidRPr="00CB26C4">
        <w:tab/>
        <w:t xml:space="preserve">The Minister may approve a code of practice for a State under </w:t>
      </w:r>
      <w:r w:rsidR="00C934A5" w:rsidRPr="00CB26C4">
        <w:t>subsection (</w:t>
      </w:r>
      <w:r w:rsidRPr="00CB26C4">
        <w:t xml:space="preserve">1) only if </w:t>
      </w:r>
      <w:r w:rsidR="00C934A5" w:rsidRPr="00CB26C4">
        <w:t>subsection (</w:t>
      </w:r>
      <w:r w:rsidRPr="00CB26C4">
        <w:t>3) or (4) applies.</w:t>
      </w:r>
    </w:p>
    <w:p w14:paraId="797F4897" w14:textId="77777777" w:rsidR="00B64EFD" w:rsidRPr="00CB26C4" w:rsidRDefault="00B64EFD" w:rsidP="00B64EFD">
      <w:pPr>
        <w:pStyle w:val="subsection"/>
      </w:pPr>
      <w:r w:rsidRPr="00CB26C4">
        <w:tab/>
        <w:t>(3)</w:t>
      </w:r>
      <w:r w:rsidRPr="00CB26C4">
        <w:tab/>
        <w:t>This subsection applies if the Minister is satisfied that the code of practice for the State would satisfactorily protect environmental and heritage values in the State.</w:t>
      </w:r>
    </w:p>
    <w:p w14:paraId="2310C730" w14:textId="77777777" w:rsidR="00B64EFD" w:rsidRPr="00CB26C4" w:rsidRDefault="00B64EFD" w:rsidP="00B64EFD">
      <w:pPr>
        <w:pStyle w:val="subsection"/>
      </w:pPr>
      <w:r w:rsidRPr="00CB26C4">
        <w:tab/>
        <w:t>(4)</w:t>
      </w:r>
      <w:r w:rsidRPr="00CB26C4">
        <w:tab/>
        <w:t>This subsection applies if:</w:t>
      </w:r>
    </w:p>
    <w:p w14:paraId="55B63981" w14:textId="77777777" w:rsidR="00B64EFD" w:rsidRPr="00CB26C4" w:rsidRDefault="00B64EFD" w:rsidP="00B64EFD">
      <w:pPr>
        <w:pStyle w:val="paragraph"/>
      </w:pPr>
      <w:r w:rsidRPr="00CB26C4">
        <w:tab/>
        <w:t>(a)</w:t>
      </w:r>
      <w:r w:rsidRPr="00CB26C4">
        <w:tab/>
        <w:t>the Minister is satisfied that the code of practice for the State would substantially protect environmental and heritage values in the State; and</w:t>
      </w:r>
    </w:p>
    <w:p w14:paraId="4AC8E520" w14:textId="77777777" w:rsidR="00B64EFD" w:rsidRPr="00CB26C4" w:rsidRDefault="00B64EFD" w:rsidP="00B64EFD">
      <w:pPr>
        <w:pStyle w:val="paragraph"/>
      </w:pPr>
      <w:r w:rsidRPr="00CB26C4">
        <w:tab/>
        <w:t>(b)</w:t>
      </w:r>
      <w:r w:rsidRPr="00CB26C4">
        <w:tab/>
        <w:t>the State enters into a written agreement with the Commonwealth to:</w:t>
      </w:r>
    </w:p>
    <w:p w14:paraId="180ADF9C" w14:textId="77777777" w:rsidR="00B64EFD" w:rsidRPr="00CB26C4" w:rsidRDefault="00B64EFD" w:rsidP="00B64EFD">
      <w:pPr>
        <w:pStyle w:val="paragraphsub"/>
      </w:pPr>
      <w:r w:rsidRPr="00CB26C4">
        <w:tab/>
        <w:t>(i)</w:t>
      </w:r>
      <w:r w:rsidRPr="00CB26C4">
        <w:tab/>
        <w:t>by a date specified in the agreement, amend the code of practice to ensure that it would satisfactorily protect those values; and</w:t>
      </w:r>
    </w:p>
    <w:p w14:paraId="7431151F" w14:textId="77777777" w:rsidR="00B64EFD" w:rsidRPr="00CB26C4" w:rsidRDefault="00B64EFD" w:rsidP="00B64EFD">
      <w:pPr>
        <w:pStyle w:val="paragraphsub"/>
      </w:pPr>
      <w:r w:rsidRPr="00CB26C4">
        <w:tab/>
        <w:t>(ii)</w:t>
      </w:r>
      <w:r w:rsidRPr="00CB26C4">
        <w:tab/>
        <w:t>advise the Commonwealth, in writing, when the amendments have been made.</w:t>
      </w:r>
    </w:p>
    <w:p w14:paraId="1A0441F9" w14:textId="77777777" w:rsidR="00B64EFD" w:rsidRPr="00CB26C4" w:rsidRDefault="00B64EFD" w:rsidP="00B64EFD">
      <w:pPr>
        <w:pStyle w:val="subsection"/>
      </w:pPr>
      <w:r w:rsidRPr="00CB26C4">
        <w:tab/>
        <w:t>(5)</w:t>
      </w:r>
      <w:r w:rsidRPr="00CB26C4">
        <w:tab/>
        <w:t xml:space="preserve">For the purposes of </w:t>
      </w:r>
      <w:r w:rsidR="00C934A5" w:rsidRPr="00CB26C4">
        <w:t>subsection (</w:t>
      </w:r>
      <w:r w:rsidRPr="00CB26C4">
        <w:t>3) or (4), in considering whether a code of practice for a State would satisfactorily or substantially protect environmental and heritage values in the State, the Minister must have regard to the findings of a scientific assessment of the code of practice prepared under the direction of the Secretary and based on the national plantation principles.</w:t>
      </w:r>
    </w:p>
    <w:p w14:paraId="30639CBD" w14:textId="77777777" w:rsidR="00B64EFD" w:rsidRPr="00CB26C4" w:rsidRDefault="00B64EFD" w:rsidP="00B64EFD">
      <w:pPr>
        <w:pStyle w:val="notetext"/>
      </w:pPr>
      <w:r w:rsidRPr="00CB26C4">
        <w:t>Note:</w:t>
      </w:r>
      <w:r w:rsidRPr="00CB26C4">
        <w:tab/>
        <w:t>In exercising a power under this Part, preference must not be given to one State, or part of a State, over another State or part of another State (see section 99 of the Constitution).</w:t>
      </w:r>
    </w:p>
    <w:p w14:paraId="7880C9BC" w14:textId="77777777" w:rsidR="00B64EFD" w:rsidRPr="00CB26C4" w:rsidRDefault="00B64EFD" w:rsidP="00B64EFD">
      <w:pPr>
        <w:pStyle w:val="ActHead5"/>
      </w:pPr>
      <w:bookmarkStart w:id="29" w:name="_Toc66351989"/>
      <w:r w:rsidRPr="00780841">
        <w:rPr>
          <w:rStyle w:val="CharSectno"/>
        </w:rPr>
        <w:t>2</w:t>
      </w:r>
      <w:r w:rsidR="00CB26C4" w:rsidRPr="00780841">
        <w:rPr>
          <w:rStyle w:val="CharSectno"/>
        </w:rPr>
        <w:noBreakHyphen/>
      </w:r>
      <w:r w:rsidRPr="00780841">
        <w:rPr>
          <w:rStyle w:val="CharSectno"/>
        </w:rPr>
        <w:t>8</w:t>
      </w:r>
      <w:r w:rsidRPr="00CB26C4">
        <w:t xml:space="preserve">  Approval must state date of effect</w:t>
      </w:r>
      <w:bookmarkEnd w:id="29"/>
    </w:p>
    <w:p w14:paraId="7FC831A5" w14:textId="77777777" w:rsidR="00B64EFD" w:rsidRPr="00CB26C4" w:rsidRDefault="00B64EFD" w:rsidP="00B64EFD">
      <w:pPr>
        <w:pStyle w:val="subsection"/>
      </w:pPr>
      <w:r w:rsidRPr="00CB26C4">
        <w:tab/>
      </w:r>
      <w:r w:rsidRPr="00CB26C4">
        <w:tab/>
        <w:t>The instrument of approval of a code of practice for a State under subsection 2</w:t>
      </w:r>
      <w:r w:rsidR="00CB26C4">
        <w:noBreakHyphen/>
      </w:r>
      <w:r w:rsidRPr="00CB26C4">
        <w:t>7(1) must state the date of commencement of the approval.</w:t>
      </w:r>
    </w:p>
    <w:p w14:paraId="3E258CFD" w14:textId="77777777" w:rsidR="00B64EFD" w:rsidRPr="00CB26C4" w:rsidRDefault="00B64EFD" w:rsidP="00B64EFD">
      <w:pPr>
        <w:pStyle w:val="ActHead5"/>
      </w:pPr>
      <w:bookmarkStart w:id="30" w:name="_Toc66351990"/>
      <w:r w:rsidRPr="00780841">
        <w:rPr>
          <w:rStyle w:val="CharSectno"/>
        </w:rPr>
        <w:t>2</w:t>
      </w:r>
      <w:r w:rsidR="00CB26C4" w:rsidRPr="00780841">
        <w:rPr>
          <w:rStyle w:val="CharSectno"/>
        </w:rPr>
        <w:noBreakHyphen/>
      </w:r>
      <w:r w:rsidRPr="00780841">
        <w:rPr>
          <w:rStyle w:val="CharSectno"/>
        </w:rPr>
        <w:t>9</w:t>
      </w:r>
      <w:r w:rsidRPr="00CB26C4">
        <w:t xml:space="preserve">  Approval of amendments (other than minor amendments) of approved code of practice</w:t>
      </w:r>
      <w:bookmarkEnd w:id="30"/>
    </w:p>
    <w:p w14:paraId="419E9E1A" w14:textId="77777777" w:rsidR="00B64EFD" w:rsidRPr="00CB26C4" w:rsidRDefault="00B64EFD" w:rsidP="00B64EFD">
      <w:pPr>
        <w:pStyle w:val="subsection"/>
      </w:pPr>
      <w:r w:rsidRPr="00CB26C4">
        <w:tab/>
        <w:t>(1)</w:t>
      </w:r>
      <w:r w:rsidRPr="00CB26C4">
        <w:tab/>
        <w:t>If a State wishes to amend an approved code of practice for the State (other than by making minor amendments covered by section 2</w:t>
      </w:r>
      <w:r w:rsidR="00CB26C4">
        <w:noBreakHyphen/>
      </w:r>
      <w:r w:rsidRPr="00CB26C4">
        <w:t>11), the State must request the Minister, in writing, to approve the code of practice as amended.</w:t>
      </w:r>
    </w:p>
    <w:p w14:paraId="7D241D43" w14:textId="77777777" w:rsidR="00B64EFD" w:rsidRPr="00CB26C4" w:rsidRDefault="00B64EFD" w:rsidP="00B64EFD">
      <w:pPr>
        <w:pStyle w:val="subsection"/>
      </w:pPr>
      <w:r w:rsidRPr="00CB26C4">
        <w:lastRenderedPageBreak/>
        <w:tab/>
        <w:t>(2)</w:t>
      </w:r>
      <w:r w:rsidRPr="00CB26C4">
        <w:tab/>
        <w:t>The Minister may, by notifiable instrument, approve the code of practice for the State as amended only if subsection 2</w:t>
      </w:r>
      <w:r w:rsidR="00CB26C4">
        <w:noBreakHyphen/>
      </w:r>
      <w:r w:rsidRPr="00CB26C4">
        <w:t>7(3) or (4) applies to the code of practice as amended.</w:t>
      </w:r>
    </w:p>
    <w:p w14:paraId="6D83A107" w14:textId="77777777" w:rsidR="00B64EFD" w:rsidRPr="00CB26C4" w:rsidRDefault="00B64EFD" w:rsidP="00B64EFD">
      <w:pPr>
        <w:pStyle w:val="ActHead5"/>
      </w:pPr>
      <w:bookmarkStart w:id="31" w:name="_Toc66351991"/>
      <w:r w:rsidRPr="00780841">
        <w:rPr>
          <w:rStyle w:val="CharSectno"/>
        </w:rPr>
        <w:t>2</w:t>
      </w:r>
      <w:r w:rsidR="00CB26C4" w:rsidRPr="00780841">
        <w:rPr>
          <w:rStyle w:val="CharSectno"/>
        </w:rPr>
        <w:noBreakHyphen/>
      </w:r>
      <w:r w:rsidRPr="00780841">
        <w:rPr>
          <w:rStyle w:val="CharSectno"/>
        </w:rPr>
        <w:t>10</w:t>
      </w:r>
      <w:r w:rsidRPr="00CB26C4">
        <w:t xml:space="preserve">  Minister may require amendment of code of practice</w:t>
      </w:r>
      <w:bookmarkEnd w:id="31"/>
    </w:p>
    <w:p w14:paraId="6DC575F6" w14:textId="77777777" w:rsidR="00B64EFD" w:rsidRPr="00CB26C4" w:rsidRDefault="00B64EFD" w:rsidP="00B64EFD">
      <w:pPr>
        <w:pStyle w:val="subsection"/>
      </w:pPr>
      <w:r w:rsidRPr="00CB26C4">
        <w:tab/>
        <w:t>(1)</w:t>
      </w:r>
      <w:r w:rsidRPr="00CB26C4">
        <w:tab/>
        <w:t>The Minister may, by written notice, require a State to amend an approved code of practice for the State.</w:t>
      </w:r>
    </w:p>
    <w:p w14:paraId="4B4B5846" w14:textId="77777777" w:rsidR="00B64EFD" w:rsidRPr="00CB26C4" w:rsidRDefault="00B64EFD" w:rsidP="00B64EFD">
      <w:pPr>
        <w:pStyle w:val="subsection"/>
      </w:pPr>
      <w:r w:rsidRPr="00CB26C4">
        <w:tab/>
        <w:t>(2)</w:t>
      </w:r>
      <w:r w:rsidRPr="00CB26C4">
        <w:tab/>
        <w:t xml:space="preserve">If the Minister is satisfied that the State has amended the code of practice as required under </w:t>
      </w:r>
      <w:r w:rsidR="00C934A5" w:rsidRPr="00CB26C4">
        <w:t>subsection (</w:t>
      </w:r>
      <w:r w:rsidRPr="00CB26C4">
        <w:t>1), the Minister must, by notifiable instrument, approve the code of practice as amended.</w:t>
      </w:r>
    </w:p>
    <w:p w14:paraId="248663A7" w14:textId="77777777" w:rsidR="00B64EFD" w:rsidRPr="00CB26C4" w:rsidRDefault="00B64EFD" w:rsidP="00B64EFD">
      <w:pPr>
        <w:pStyle w:val="ActHead5"/>
      </w:pPr>
      <w:bookmarkStart w:id="32" w:name="_Toc66351992"/>
      <w:r w:rsidRPr="00780841">
        <w:rPr>
          <w:rStyle w:val="CharSectno"/>
        </w:rPr>
        <w:t>2</w:t>
      </w:r>
      <w:r w:rsidR="00CB26C4" w:rsidRPr="00780841">
        <w:rPr>
          <w:rStyle w:val="CharSectno"/>
        </w:rPr>
        <w:noBreakHyphen/>
      </w:r>
      <w:r w:rsidRPr="00780841">
        <w:rPr>
          <w:rStyle w:val="CharSectno"/>
        </w:rPr>
        <w:t>11</w:t>
      </w:r>
      <w:r w:rsidRPr="00CB26C4">
        <w:t xml:space="preserve">  State may make minor amendment of approved code of practice</w:t>
      </w:r>
      <w:bookmarkEnd w:id="32"/>
    </w:p>
    <w:p w14:paraId="52A9B890" w14:textId="77777777" w:rsidR="00B64EFD" w:rsidRPr="00CB26C4" w:rsidRDefault="00B64EFD" w:rsidP="00B64EFD">
      <w:pPr>
        <w:pStyle w:val="subsection"/>
      </w:pPr>
      <w:r w:rsidRPr="00CB26C4">
        <w:tab/>
        <w:t>(1)</w:t>
      </w:r>
      <w:r w:rsidRPr="00CB26C4">
        <w:tab/>
        <w:t>A State may make a minor amendment of an approved code of practice for the State.</w:t>
      </w:r>
    </w:p>
    <w:p w14:paraId="541A3D4F" w14:textId="77777777" w:rsidR="00B64EFD" w:rsidRPr="00CB26C4" w:rsidRDefault="00B64EFD" w:rsidP="00B64EFD">
      <w:pPr>
        <w:pStyle w:val="subsection"/>
      </w:pPr>
      <w:r w:rsidRPr="00CB26C4">
        <w:tab/>
        <w:t>(2)</w:t>
      </w:r>
      <w:r w:rsidRPr="00CB26C4">
        <w:tab/>
        <w:t>If a State makes a minor amendment of an approved code of practice for the State:</w:t>
      </w:r>
    </w:p>
    <w:p w14:paraId="0DAEE71B" w14:textId="77777777" w:rsidR="00B64EFD" w:rsidRPr="00CB26C4" w:rsidRDefault="00B64EFD" w:rsidP="00B64EFD">
      <w:pPr>
        <w:pStyle w:val="paragraph"/>
      </w:pPr>
      <w:r w:rsidRPr="00CB26C4">
        <w:tab/>
        <w:t>(a)</w:t>
      </w:r>
      <w:r w:rsidRPr="00CB26C4">
        <w:tab/>
        <w:t>the State must give a copy of the code of practice as amended to the Secretary; and</w:t>
      </w:r>
    </w:p>
    <w:p w14:paraId="09E49D66" w14:textId="77777777" w:rsidR="00B64EFD" w:rsidRPr="00CB26C4" w:rsidRDefault="00B64EFD" w:rsidP="00B64EFD">
      <w:pPr>
        <w:pStyle w:val="paragraph"/>
      </w:pPr>
      <w:r w:rsidRPr="00CB26C4">
        <w:tab/>
        <w:t>(b)</w:t>
      </w:r>
      <w:r w:rsidRPr="00CB26C4">
        <w:tab/>
        <w:t>the code of practice as amended is taken to be approved by the Minister.</w:t>
      </w:r>
    </w:p>
    <w:p w14:paraId="22771A70" w14:textId="77777777" w:rsidR="00B64EFD" w:rsidRPr="00CB26C4" w:rsidRDefault="00B64EFD" w:rsidP="00B64EFD">
      <w:pPr>
        <w:pStyle w:val="subsection"/>
      </w:pPr>
      <w:r w:rsidRPr="00CB26C4">
        <w:tab/>
        <w:t>(3)</w:t>
      </w:r>
      <w:r w:rsidRPr="00CB26C4">
        <w:tab/>
        <w:t xml:space="preserve">For the purposes of this section, a </w:t>
      </w:r>
      <w:r w:rsidRPr="00CB26C4">
        <w:rPr>
          <w:b/>
          <w:bCs/>
          <w:i/>
          <w:iCs/>
        </w:rPr>
        <w:t>minor amendment</w:t>
      </w:r>
      <w:r w:rsidRPr="00CB26C4">
        <w:t xml:space="preserve"> of an approved code of practice for a State is an amendment that does not change the substance of the code of practice.</w:t>
      </w:r>
    </w:p>
    <w:p w14:paraId="4E3DFFFF" w14:textId="77777777" w:rsidR="00B64EFD" w:rsidRPr="00CB26C4" w:rsidRDefault="00B64EFD" w:rsidP="00B64EFD">
      <w:pPr>
        <w:pStyle w:val="notetext"/>
      </w:pPr>
      <w:r w:rsidRPr="00CB26C4">
        <w:t>Examples:</w:t>
      </w:r>
      <w:r w:rsidRPr="00CB26C4">
        <w:tab/>
        <w:t>Minor corrections to improve technical effectiveness, omission of redundant provisions, corrections of typographical errors, amendments to update references to a law.</w:t>
      </w:r>
    </w:p>
    <w:p w14:paraId="3B92B427" w14:textId="77777777" w:rsidR="00B64EFD" w:rsidRPr="00CB26C4" w:rsidRDefault="00B64EFD" w:rsidP="00B64EFD">
      <w:pPr>
        <w:pStyle w:val="ActHead5"/>
      </w:pPr>
      <w:bookmarkStart w:id="33" w:name="_Toc66351993"/>
      <w:r w:rsidRPr="00780841">
        <w:rPr>
          <w:rStyle w:val="CharSectno"/>
        </w:rPr>
        <w:t>2</w:t>
      </w:r>
      <w:r w:rsidR="00CB26C4" w:rsidRPr="00780841">
        <w:rPr>
          <w:rStyle w:val="CharSectno"/>
        </w:rPr>
        <w:noBreakHyphen/>
      </w:r>
      <w:r w:rsidRPr="00780841">
        <w:rPr>
          <w:rStyle w:val="CharSectno"/>
        </w:rPr>
        <w:t>12</w:t>
      </w:r>
      <w:r w:rsidRPr="00CB26C4">
        <w:t xml:space="preserve">  Minister may revoke approval of code of practice</w:t>
      </w:r>
      <w:bookmarkEnd w:id="33"/>
    </w:p>
    <w:p w14:paraId="0615FFD5" w14:textId="77777777" w:rsidR="00B64EFD" w:rsidRPr="00CB26C4" w:rsidRDefault="00B64EFD" w:rsidP="00B64EFD">
      <w:pPr>
        <w:pStyle w:val="subsection"/>
      </w:pPr>
      <w:r w:rsidRPr="00CB26C4">
        <w:tab/>
        <w:t>(1)</w:t>
      </w:r>
      <w:r w:rsidRPr="00CB26C4">
        <w:tab/>
        <w:t>The Minister may, by notifiable instrument, revoke the approval of a code of practice for a State if the Minister reasonably believes that the code of practice does not, or will not, satisfactorily protect environmental and heritage values in the State.</w:t>
      </w:r>
    </w:p>
    <w:p w14:paraId="150442AF" w14:textId="77777777" w:rsidR="00B64EFD" w:rsidRPr="00CB26C4" w:rsidRDefault="00B64EFD" w:rsidP="00B64EFD">
      <w:pPr>
        <w:pStyle w:val="subsection"/>
      </w:pPr>
      <w:r w:rsidRPr="00CB26C4">
        <w:tab/>
        <w:t>(2)</w:t>
      </w:r>
      <w:r w:rsidRPr="00CB26C4">
        <w:tab/>
        <w:t xml:space="preserve">For the purposes of </w:t>
      </w:r>
      <w:r w:rsidR="00C934A5" w:rsidRPr="00CB26C4">
        <w:t>subsection (</w:t>
      </w:r>
      <w:r w:rsidRPr="00CB26C4">
        <w:t>1), in considering whether a code of practice for a State does not, or will not, satisfactorily protect environmental and heritage values in the State, the Minister must have regard to the findings of a scientific assessment of the code of practice prepared under the direction of the Secretary and based on the national plantation principles.</w:t>
      </w:r>
    </w:p>
    <w:p w14:paraId="5F7EDECE" w14:textId="77777777" w:rsidR="00B64EFD" w:rsidRPr="00CB26C4" w:rsidRDefault="00B64EFD" w:rsidP="00B64EFD">
      <w:pPr>
        <w:pStyle w:val="subsection"/>
      </w:pPr>
      <w:r w:rsidRPr="00CB26C4">
        <w:tab/>
        <w:t>(3)</w:t>
      </w:r>
      <w:r w:rsidRPr="00CB26C4">
        <w:tab/>
        <w:t xml:space="preserve">The Minister must not revoke the approval of a code of practice for a State under </w:t>
      </w:r>
      <w:r w:rsidR="00C934A5" w:rsidRPr="00CB26C4">
        <w:t>subsection (</w:t>
      </w:r>
      <w:r w:rsidRPr="00CB26C4">
        <w:t xml:space="preserve">1) unless the Minister has given a written notice to the State in accordance with </w:t>
      </w:r>
      <w:r w:rsidR="00C934A5" w:rsidRPr="00CB26C4">
        <w:t>subsection (</w:t>
      </w:r>
      <w:r w:rsidRPr="00CB26C4">
        <w:t>4).</w:t>
      </w:r>
    </w:p>
    <w:p w14:paraId="21367D9F" w14:textId="77777777" w:rsidR="00B64EFD" w:rsidRPr="00CB26C4" w:rsidRDefault="00B64EFD" w:rsidP="00B64EFD">
      <w:pPr>
        <w:pStyle w:val="subsection"/>
      </w:pPr>
      <w:r w:rsidRPr="00CB26C4">
        <w:tab/>
        <w:t>(4)</w:t>
      </w:r>
      <w:r w:rsidRPr="00CB26C4">
        <w:tab/>
        <w:t xml:space="preserve">A notice under </w:t>
      </w:r>
      <w:r w:rsidR="00C934A5" w:rsidRPr="00CB26C4">
        <w:t>subsection (</w:t>
      </w:r>
      <w:r w:rsidRPr="00CB26C4">
        <w:t>3) must state that the Minister may revoke the approval of the code of practice on a specified date (which must be within a reasonable period after the notice is given), unless the State, by that date, amends the code of practice to ensure that it satisfactorily protects environmental and heritage values in the State.</w:t>
      </w:r>
    </w:p>
    <w:p w14:paraId="427E0F1C" w14:textId="77777777" w:rsidR="00B64EFD" w:rsidRPr="00CB26C4" w:rsidRDefault="00B64EFD" w:rsidP="00B64EFD">
      <w:pPr>
        <w:pStyle w:val="ActHead5"/>
      </w:pPr>
      <w:bookmarkStart w:id="34" w:name="_Toc66351994"/>
      <w:r w:rsidRPr="00780841">
        <w:rPr>
          <w:rStyle w:val="CharSectno"/>
        </w:rPr>
        <w:lastRenderedPageBreak/>
        <w:t>2</w:t>
      </w:r>
      <w:r w:rsidR="00CB26C4" w:rsidRPr="00780841">
        <w:rPr>
          <w:rStyle w:val="CharSectno"/>
        </w:rPr>
        <w:noBreakHyphen/>
      </w:r>
      <w:r w:rsidRPr="00780841">
        <w:rPr>
          <w:rStyle w:val="CharSectno"/>
        </w:rPr>
        <w:t>13</w:t>
      </w:r>
      <w:r w:rsidRPr="00CB26C4">
        <w:t xml:space="preserve">  Publication of approved code of practice</w:t>
      </w:r>
      <w:bookmarkEnd w:id="34"/>
    </w:p>
    <w:p w14:paraId="7916708C" w14:textId="77777777" w:rsidR="00B64EFD" w:rsidRPr="00CB26C4" w:rsidRDefault="00B64EFD" w:rsidP="00B64EFD">
      <w:pPr>
        <w:pStyle w:val="subsection"/>
      </w:pPr>
      <w:r w:rsidRPr="00CB26C4">
        <w:tab/>
      </w:r>
      <w:r w:rsidRPr="00CB26C4">
        <w:tab/>
        <w:t>The Secretary must ensure that an up</w:t>
      </w:r>
      <w:r w:rsidR="00CB26C4">
        <w:noBreakHyphen/>
      </w:r>
      <w:r w:rsidRPr="00CB26C4">
        <w:t>to</w:t>
      </w:r>
      <w:r w:rsidR="00CB26C4">
        <w:noBreakHyphen/>
      </w:r>
      <w:r w:rsidRPr="00CB26C4">
        <w:t>date copy of an approved code of practice for a State is published on the Department’s website.</w:t>
      </w:r>
    </w:p>
    <w:p w14:paraId="6CE8A0B8" w14:textId="77777777" w:rsidR="00B64EFD" w:rsidRPr="00CB26C4" w:rsidRDefault="00B64EFD" w:rsidP="00B64EFD">
      <w:pPr>
        <w:pStyle w:val="ActHead1"/>
        <w:pageBreakBefore/>
      </w:pPr>
      <w:bookmarkStart w:id="35" w:name="_Toc66351995"/>
      <w:r w:rsidRPr="00780841">
        <w:rPr>
          <w:rStyle w:val="CharChapNo"/>
        </w:rPr>
        <w:lastRenderedPageBreak/>
        <w:t>Chapter 6</w:t>
      </w:r>
      <w:r w:rsidRPr="00CB26C4">
        <w:t>—</w:t>
      </w:r>
      <w:r w:rsidRPr="00780841">
        <w:rPr>
          <w:rStyle w:val="CharChapText"/>
        </w:rPr>
        <w:t>Wood export licences</w:t>
      </w:r>
      <w:bookmarkEnd w:id="35"/>
    </w:p>
    <w:p w14:paraId="336AA868" w14:textId="77777777" w:rsidR="00B64EFD" w:rsidRPr="00CB26C4" w:rsidRDefault="00B64EFD" w:rsidP="00B64EFD">
      <w:pPr>
        <w:pStyle w:val="ActHead2"/>
      </w:pPr>
      <w:bookmarkStart w:id="36" w:name="_Toc66351996"/>
      <w:r w:rsidRPr="00780841">
        <w:rPr>
          <w:rStyle w:val="CharPartNo"/>
        </w:rPr>
        <w:t>Part 1</w:t>
      </w:r>
      <w:r w:rsidRPr="00CB26C4">
        <w:t>—</w:t>
      </w:r>
      <w:r w:rsidRPr="00780841">
        <w:rPr>
          <w:rStyle w:val="CharPartText"/>
        </w:rPr>
        <w:t>Requirements for grant of wood export licence</w:t>
      </w:r>
      <w:bookmarkEnd w:id="36"/>
    </w:p>
    <w:p w14:paraId="1DCB7779"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21B320B2" w14:textId="77777777" w:rsidR="00B64EFD" w:rsidRPr="00CB26C4" w:rsidRDefault="00B64EFD" w:rsidP="00B64EFD">
      <w:pPr>
        <w:pStyle w:val="ActHead5"/>
      </w:pPr>
      <w:bookmarkStart w:id="37" w:name="_Toc66351997"/>
      <w:r w:rsidRPr="00780841">
        <w:rPr>
          <w:rStyle w:val="CharSectno"/>
        </w:rPr>
        <w:t>6</w:t>
      </w:r>
      <w:r w:rsidR="00CB26C4" w:rsidRPr="00780841">
        <w:rPr>
          <w:rStyle w:val="CharSectno"/>
        </w:rPr>
        <w:noBreakHyphen/>
      </w:r>
      <w:r w:rsidRPr="00780841">
        <w:rPr>
          <w:rStyle w:val="CharSectno"/>
        </w:rPr>
        <w:t>1</w:t>
      </w:r>
      <w:r w:rsidRPr="00CB26C4">
        <w:t xml:space="preserve">  Other requirements for grant of wood export licence</w:t>
      </w:r>
      <w:bookmarkEnd w:id="37"/>
    </w:p>
    <w:p w14:paraId="6FFA07EE" w14:textId="77777777" w:rsidR="00B64EFD" w:rsidRPr="00CB26C4" w:rsidRDefault="00B64EFD" w:rsidP="00B64EFD">
      <w:pPr>
        <w:pStyle w:val="subsection"/>
        <w:rPr>
          <w:szCs w:val="22"/>
        </w:rPr>
      </w:pPr>
      <w:r w:rsidRPr="00CB26C4">
        <w:tab/>
        <w:t>(1)</w:t>
      </w:r>
      <w:r w:rsidRPr="00CB26C4">
        <w:tab/>
        <w:t xml:space="preserve">For the purposes of paragraph 191(2)(d) of the Act, </w:t>
      </w:r>
      <w:r w:rsidRPr="00CB26C4">
        <w:rPr>
          <w:szCs w:val="22"/>
        </w:rPr>
        <w:t>this section prescribes other requirements that must be met for the grant of a wood export licence.</w:t>
      </w:r>
    </w:p>
    <w:p w14:paraId="660F294C" w14:textId="77777777" w:rsidR="00B64EFD" w:rsidRPr="00CB26C4" w:rsidRDefault="00B64EFD" w:rsidP="00B64EFD">
      <w:pPr>
        <w:pStyle w:val="notetext"/>
      </w:pPr>
      <w:r w:rsidRPr="00CB26C4">
        <w:t>Note:</w:t>
      </w:r>
      <w:r w:rsidRPr="00CB26C4">
        <w:tab/>
        <w:t>The requirements provided by paragraphs 191(2)(b) and (c) of the Act must also be met.</w:t>
      </w:r>
    </w:p>
    <w:p w14:paraId="6EB041EA" w14:textId="77777777" w:rsidR="00B64EFD" w:rsidRPr="00CB26C4" w:rsidRDefault="00B64EFD" w:rsidP="00B64EFD">
      <w:pPr>
        <w:pStyle w:val="SubsectionHead"/>
      </w:pPr>
      <w:r w:rsidRPr="00CB26C4">
        <w:t>Applicant must make declaration</w:t>
      </w:r>
    </w:p>
    <w:p w14:paraId="7ADDB121" w14:textId="77777777" w:rsidR="00B64EFD" w:rsidRPr="00CB26C4" w:rsidRDefault="00B64EFD" w:rsidP="00B64EFD">
      <w:pPr>
        <w:pStyle w:val="subsection"/>
      </w:pPr>
      <w:r w:rsidRPr="00CB26C4">
        <w:tab/>
        <w:t>(2)</w:t>
      </w:r>
      <w:r w:rsidRPr="00CB26C4">
        <w:tab/>
        <w:t>The applicant must make a declaration:</w:t>
      </w:r>
    </w:p>
    <w:p w14:paraId="25E13A66" w14:textId="77777777" w:rsidR="00B64EFD" w:rsidRPr="00CB26C4" w:rsidRDefault="00B64EFD" w:rsidP="00B64EFD">
      <w:pPr>
        <w:pStyle w:val="paragraph"/>
      </w:pPr>
      <w:r w:rsidRPr="00CB26C4">
        <w:tab/>
        <w:t>(a)</w:t>
      </w:r>
      <w:r w:rsidRPr="00CB26C4">
        <w:tab/>
        <w:t>stating that the applicant has complied, and will continue to comply, with the applicable requirements of the following in relation to the export operations and prescribed wood or woodchips to be covered by the licence:</w:t>
      </w:r>
    </w:p>
    <w:p w14:paraId="4C8A14D3" w14:textId="77777777" w:rsidR="00B64EFD" w:rsidRPr="00CB26C4" w:rsidRDefault="00B64EFD" w:rsidP="00B64EFD">
      <w:pPr>
        <w:pStyle w:val="paragraphsub"/>
      </w:pPr>
      <w:r w:rsidRPr="00CB26C4">
        <w:tab/>
        <w:t>(i)</w:t>
      </w:r>
      <w:r w:rsidRPr="00CB26C4">
        <w:tab/>
        <w:t xml:space="preserve">the </w:t>
      </w:r>
      <w:r w:rsidRPr="00CB26C4">
        <w:rPr>
          <w:i/>
        </w:rPr>
        <w:t>Environment Protection and Biodiversity Conservation Act 1999</w:t>
      </w:r>
      <w:r w:rsidRPr="00CB26C4">
        <w:t>;</w:t>
      </w:r>
    </w:p>
    <w:p w14:paraId="684DBE36" w14:textId="77777777" w:rsidR="00B64EFD" w:rsidRPr="00CB26C4" w:rsidRDefault="00B64EFD" w:rsidP="00B64EFD">
      <w:pPr>
        <w:pStyle w:val="paragraphsub"/>
      </w:pPr>
      <w:r w:rsidRPr="00CB26C4">
        <w:tab/>
        <w:t>(ii)</w:t>
      </w:r>
      <w:r w:rsidRPr="00CB26C4">
        <w:tab/>
        <w:t>each management arrangement (if any) that applies to the export operations and prescribed wood or woodchips to be covered by the licence; and</w:t>
      </w:r>
    </w:p>
    <w:p w14:paraId="09871C79" w14:textId="77777777" w:rsidR="00B64EFD" w:rsidRPr="00CB26C4" w:rsidRDefault="00B64EFD" w:rsidP="00B64EFD">
      <w:pPr>
        <w:pStyle w:val="paragraph"/>
      </w:pPr>
      <w:r w:rsidRPr="00CB26C4">
        <w:tab/>
        <w:t>(b)</w:t>
      </w:r>
      <w:r w:rsidRPr="00CB26C4">
        <w:tab/>
        <w:t>identifying the designated places (if any):</w:t>
      </w:r>
    </w:p>
    <w:p w14:paraId="1F5C154B" w14:textId="77777777" w:rsidR="00B64EFD" w:rsidRPr="00CB26C4" w:rsidRDefault="00B64EFD" w:rsidP="00B64EFD">
      <w:pPr>
        <w:pStyle w:val="paragraphsub"/>
      </w:pPr>
      <w:r w:rsidRPr="00CB26C4">
        <w:tab/>
        <w:t>(i)</w:t>
      </w:r>
      <w:r w:rsidRPr="00CB26C4">
        <w:tab/>
        <w:t>where export operations to be covered by the licence are to be carried out; or</w:t>
      </w:r>
    </w:p>
    <w:p w14:paraId="2AA98EBA" w14:textId="77777777" w:rsidR="00B64EFD" w:rsidRPr="00CB26C4" w:rsidRDefault="00B64EFD" w:rsidP="00B64EFD">
      <w:pPr>
        <w:pStyle w:val="paragraphsub"/>
      </w:pPr>
      <w:r w:rsidRPr="00CB26C4">
        <w:tab/>
        <w:t>(ii)</w:t>
      </w:r>
      <w:r w:rsidRPr="00CB26C4">
        <w:tab/>
        <w:t>that would be adversely affected by those operations; and</w:t>
      </w:r>
    </w:p>
    <w:p w14:paraId="45D53D0D" w14:textId="77777777" w:rsidR="00B64EFD" w:rsidRPr="00CB26C4" w:rsidRDefault="00B64EFD" w:rsidP="00B64EFD">
      <w:pPr>
        <w:pStyle w:val="paragraph"/>
      </w:pPr>
      <w:r w:rsidRPr="00CB26C4">
        <w:tab/>
        <w:t>(c)</w:t>
      </w:r>
      <w:r w:rsidRPr="00CB26C4">
        <w:tab/>
        <w:t xml:space="preserve">if a designated place referred to in </w:t>
      </w:r>
      <w:r w:rsidR="00D8534C" w:rsidRPr="00CB26C4">
        <w:t>paragraph (</w:t>
      </w:r>
      <w:r w:rsidRPr="00CB26C4">
        <w:t xml:space="preserve">b) is identified—setting out the measures </w:t>
      </w:r>
      <w:r w:rsidR="00F27F92" w:rsidRPr="00CB26C4">
        <w:t xml:space="preserve">(if any) </w:t>
      </w:r>
      <w:r w:rsidRPr="00CB26C4">
        <w:t>that the applicant undertakes to take to protect the designated place.</w:t>
      </w:r>
    </w:p>
    <w:p w14:paraId="20940081" w14:textId="77777777" w:rsidR="00B64EFD" w:rsidRPr="00CB26C4" w:rsidRDefault="00B64EFD" w:rsidP="00B64EFD">
      <w:pPr>
        <w:pStyle w:val="SubsectionHead"/>
      </w:pPr>
      <w:r w:rsidRPr="00CB26C4">
        <w:t>Form of declaration etc.</w:t>
      </w:r>
    </w:p>
    <w:p w14:paraId="68E4141A" w14:textId="77777777" w:rsidR="00B64EFD" w:rsidRPr="00CB26C4" w:rsidRDefault="00B64EFD" w:rsidP="00B64EFD">
      <w:pPr>
        <w:pStyle w:val="subsection"/>
      </w:pPr>
      <w:r w:rsidRPr="00CB26C4">
        <w:tab/>
        <w:t>(3)</w:t>
      </w:r>
      <w:r w:rsidRPr="00CB26C4">
        <w:tab/>
        <w:t xml:space="preserve">A declaration under </w:t>
      </w:r>
      <w:r w:rsidR="00C934A5" w:rsidRPr="00CB26C4">
        <w:t>subsection (</w:t>
      </w:r>
      <w:r w:rsidRPr="00CB26C4">
        <w:t>2):</w:t>
      </w:r>
    </w:p>
    <w:p w14:paraId="10E40EFA" w14:textId="77777777" w:rsidR="00B64EFD" w:rsidRPr="00CB26C4" w:rsidRDefault="00B64EFD" w:rsidP="00B64EFD">
      <w:pPr>
        <w:pStyle w:val="paragraph"/>
      </w:pPr>
      <w:r w:rsidRPr="00CB26C4">
        <w:tab/>
        <w:t>(a)</w:t>
      </w:r>
      <w:r w:rsidRPr="00CB26C4">
        <w:tab/>
        <w:t>must be in a form approved by the Secretary; and</w:t>
      </w:r>
    </w:p>
    <w:p w14:paraId="181F4505" w14:textId="77777777" w:rsidR="00B64EFD" w:rsidRPr="00CB26C4" w:rsidRDefault="00B64EFD" w:rsidP="00B64EFD">
      <w:pPr>
        <w:pStyle w:val="paragraph"/>
      </w:pPr>
      <w:r w:rsidRPr="00CB26C4">
        <w:tab/>
        <w:t>(b)</w:t>
      </w:r>
      <w:r w:rsidRPr="00CB26C4">
        <w:tab/>
        <w:t>must be based on the knowledge of the applicant after making reasonable inquiries into the matters declared; and</w:t>
      </w:r>
    </w:p>
    <w:p w14:paraId="02A78D23" w14:textId="77777777" w:rsidR="00B64EFD" w:rsidRPr="00CB26C4" w:rsidRDefault="00B64EFD" w:rsidP="00B64EFD">
      <w:pPr>
        <w:pStyle w:val="paragraph"/>
      </w:pPr>
      <w:r w:rsidRPr="00CB26C4">
        <w:tab/>
        <w:t>(c)</w:t>
      </w:r>
      <w:r w:rsidRPr="00CB26C4">
        <w:tab/>
        <w:t>must not, to the knowledge of the applicant, be false or misleading; and</w:t>
      </w:r>
    </w:p>
    <w:p w14:paraId="70DE33A8" w14:textId="77777777" w:rsidR="00B64EFD" w:rsidRPr="00CB26C4" w:rsidRDefault="00B64EFD" w:rsidP="00B64EFD">
      <w:pPr>
        <w:pStyle w:val="paragraph"/>
      </w:pPr>
      <w:r w:rsidRPr="00CB26C4">
        <w:tab/>
        <w:t>(d)</w:t>
      </w:r>
      <w:r w:rsidRPr="00CB26C4">
        <w:tab/>
        <w:t>must be signed and dated by the applicant.</w:t>
      </w:r>
    </w:p>
    <w:p w14:paraId="177099DD" w14:textId="77777777" w:rsidR="00B64EFD" w:rsidRPr="00CB26C4" w:rsidRDefault="00B64EFD" w:rsidP="00B64EFD">
      <w:pPr>
        <w:pStyle w:val="notetext"/>
      </w:pPr>
      <w:r w:rsidRPr="00CB26C4">
        <w:t>Note:</w:t>
      </w:r>
      <w:r w:rsidRPr="00CB26C4">
        <w:tab/>
        <w:t xml:space="preserve">A person may commit an offence or be liable to a civil penalty if the person provides false or misleading information or documents (see sections 137.1 and 137.2 of the </w:t>
      </w:r>
      <w:r w:rsidRPr="00CB26C4">
        <w:rPr>
          <w:i/>
        </w:rPr>
        <w:t>Criminal Code</w:t>
      </w:r>
      <w:r w:rsidRPr="00CB26C4">
        <w:t xml:space="preserve"> and sections 368 and 369 of the Act).</w:t>
      </w:r>
    </w:p>
    <w:p w14:paraId="55CB77FE" w14:textId="77777777" w:rsidR="00B64EFD" w:rsidRPr="00CB26C4" w:rsidRDefault="00B64EFD" w:rsidP="00B64EFD">
      <w:pPr>
        <w:pStyle w:val="SubsectionHead"/>
      </w:pPr>
      <w:r w:rsidRPr="00CB26C4">
        <w:t>Protection of designated places</w:t>
      </w:r>
    </w:p>
    <w:p w14:paraId="79C73AC3" w14:textId="77777777" w:rsidR="00B64EFD" w:rsidRPr="00CB26C4" w:rsidRDefault="00B64EFD" w:rsidP="00B64EFD">
      <w:pPr>
        <w:pStyle w:val="subsection"/>
      </w:pPr>
      <w:r w:rsidRPr="00CB26C4">
        <w:tab/>
        <w:t>(4)</w:t>
      </w:r>
      <w:r w:rsidRPr="00CB26C4">
        <w:tab/>
        <w:t xml:space="preserve">The requirements of the </w:t>
      </w:r>
      <w:r w:rsidRPr="00CB26C4">
        <w:rPr>
          <w:i/>
        </w:rPr>
        <w:t>Environment Protection and Biodiversity Conservation Act 1999</w:t>
      </w:r>
      <w:r w:rsidRPr="00CB26C4">
        <w:t xml:space="preserve"> that apply to the export operations and prescribed wood or woodchips to be covered by the licence, together with:</w:t>
      </w:r>
    </w:p>
    <w:p w14:paraId="6B2655D4" w14:textId="77777777" w:rsidR="00B64EFD" w:rsidRPr="00CB26C4" w:rsidRDefault="00B64EFD" w:rsidP="00B64EFD">
      <w:pPr>
        <w:pStyle w:val="paragraph"/>
      </w:pPr>
      <w:r w:rsidRPr="00CB26C4">
        <w:tab/>
        <w:t>(a)</w:t>
      </w:r>
      <w:r w:rsidRPr="00CB26C4">
        <w:tab/>
        <w:t>each management arrangement (if any) that applies to the export operations and prescribed wood or woodchips to be covered by the licence; and</w:t>
      </w:r>
    </w:p>
    <w:p w14:paraId="38B7A41F" w14:textId="77777777" w:rsidR="00AD776F" w:rsidRPr="00CB26C4" w:rsidRDefault="00AD776F" w:rsidP="00AD776F">
      <w:pPr>
        <w:pStyle w:val="paragraph"/>
      </w:pPr>
      <w:r w:rsidRPr="00CB26C4">
        <w:lastRenderedPageBreak/>
        <w:tab/>
        <w:t>(b)</w:t>
      </w:r>
      <w:r w:rsidRPr="00CB26C4">
        <w:tab/>
        <w:t xml:space="preserve">if the declaration made by the applicant under </w:t>
      </w:r>
      <w:r w:rsidR="00C934A5" w:rsidRPr="00CB26C4">
        <w:t>subsection (</w:t>
      </w:r>
      <w:r w:rsidRPr="00CB26C4">
        <w:t>2) includes an undertaking to take measures to protect a designated place where export operations to be covered by the licence are to be carried out or that would be adversely affected by those operations—those measures;</w:t>
      </w:r>
    </w:p>
    <w:p w14:paraId="782007B5" w14:textId="77777777" w:rsidR="00AD776F" w:rsidRPr="00CB26C4" w:rsidRDefault="00AD776F" w:rsidP="00AD776F">
      <w:pPr>
        <w:pStyle w:val="subsection2"/>
      </w:pPr>
      <w:r w:rsidRPr="00CB26C4">
        <w:t>must satisfactorily protect the designated place.</w:t>
      </w:r>
    </w:p>
    <w:p w14:paraId="7FD4B1C5" w14:textId="77777777" w:rsidR="00B64EFD" w:rsidRPr="00CB26C4" w:rsidRDefault="00B64EFD" w:rsidP="00B64EFD">
      <w:pPr>
        <w:pStyle w:val="subsection"/>
      </w:pPr>
      <w:r w:rsidRPr="00CB26C4">
        <w:tab/>
        <w:t>(5)</w:t>
      </w:r>
      <w:r w:rsidRPr="00CB26C4">
        <w:tab/>
        <w:t xml:space="preserve">In considering whether the requirement referred to in </w:t>
      </w:r>
      <w:r w:rsidR="00C934A5" w:rsidRPr="00CB26C4">
        <w:t>subsection (</w:t>
      </w:r>
      <w:r w:rsidRPr="00CB26C4">
        <w:t>4) is met, the Secretary must have regard to:</w:t>
      </w:r>
    </w:p>
    <w:p w14:paraId="1DB4DF0F" w14:textId="77777777" w:rsidR="00B64EFD" w:rsidRPr="00CB26C4" w:rsidRDefault="00B64EFD" w:rsidP="00B64EFD">
      <w:pPr>
        <w:pStyle w:val="paragraph"/>
      </w:pPr>
      <w:r w:rsidRPr="00CB26C4">
        <w:tab/>
        <w:t>(a)</w:t>
      </w:r>
      <w:r w:rsidRPr="00CB26C4">
        <w:tab/>
        <w:t xml:space="preserve">the declaration made by the applicant under </w:t>
      </w:r>
      <w:r w:rsidR="00C934A5" w:rsidRPr="00CB26C4">
        <w:t>subsection (</w:t>
      </w:r>
      <w:r w:rsidRPr="00CB26C4">
        <w:t>2); and</w:t>
      </w:r>
    </w:p>
    <w:p w14:paraId="3EDE0C1B" w14:textId="77777777" w:rsidR="00B64EFD" w:rsidRPr="00CB26C4" w:rsidRDefault="00B64EFD" w:rsidP="00B64EFD">
      <w:pPr>
        <w:pStyle w:val="paragraph"/>
      </w:pPr>
      <w:r w:rsidRPr="00CB26C4">
        <w:tab/>
        <w:t>(b)</w:t>
      </w:r>
      <w:r w:rsidRPr="00CB26C4">
        <w:tab/>
        <w:t>any information reasonably available to the Secretary in relation to the following:</w:t>
      </w:r>
    </w:p>
    <w:p w14:paraId="6783307D" w14:textId="77777777" w:rsidR="00B64EFD" w:rsidRPr="00CB26C4" w:rsidRDefault="00B64EFD" w:rsidP="00B64EFD">
      <w:pPr>
        <w:pStyle w:val="paragraphsub"/>
      </w:pPr>
      <w:r w:rsidRPr="00CB26C4">
        <w:tab/>
        <w:t>(i)</w:t>
      </w:r>
      <w:r w:rsidRPr="00CB26C4">
        <w:tab/>
        <w:t xml:space="preserve">the applicant’s history of compliance with the requirements of the </w:t>
      </w:r>
      <w:r w:rsidRPr="00CB26C4">
        <w:rPr>
          <w:i/>
        </w:rPr>
        <w:t>Environment Protection and Biodiversity Conservation Act 1999</w:t>
      </w:r>
      <w:r w:rsidRPr="00CB26C4">
        <w:t>;</w:t>
      </w:r>
    </w:p>
    <w:p w14:paraId="2EE80C98" w14:textId="77777777" w:rsidR="00B64EFD" w:rsidRPr="00CB26C4" w:rsidRDefault="00B64EFD" w:rsidP="00B64EFD">
      <w:pPr>
        <w:pStyle w:val="paragraphsub"/>
      </w:pPr>
      <w:r w:rsidRPr="00CB26C4">
        <w:tab/>
        <w:t>(ii)</w:t>
      </w:r>
      <w:r w:rsidRPr="00CB26C4">
        <w:tab/>
        <w:t>the applicant’s history of compliance with any management arrangement that applies to the export operations and prescribed wood or woodchips to be covered by the licence;</w:t>
      </w:r>
    </w:p>
    <w:p w14:paraId="1737ED40" w14:textId="77777777" w:rsidR="00B64EFD" w:rsidRPr="00CB26C4" w:rsidRDefault="00B64EFD" w:rsidP="00B64EFD">
      <w:pPr>
        <w:pStyle w:val="paragraphsub"/>
      </w:pPr>
      <w:r w:rsidRPr="00CB26C4">
        <w:tab/>
        <w:t>(iii)</w:t>
      </w:r>
      <w:r w:rsidRPr="00CB26C4">
        <w:tab/>
      </w:r>
      <w:r w:rsidR="005779F5" w:rsidRPr="00CB26C4">
        <w:t>each designated place</w:t>
      </w:r>
      <w:r w:rsidRPr="00CB26C4">
        <w:t xml:space="preserve"> (if any) where export operations to be covered by the licence are to be carried out or that would be adversely affected by those export operations;</w:t>
      </w:r>
    </w:p>
    <w:p w14:paraId="57957568" w14:textId="77777777" w:rsidR="00B64EFD" w:rsidRPr="00CB26C4" w:rsidRDefault="00B64EFD" w:rsidP="00B64EFD">
      <w:pPr>
        <w:pStyle w:val="paragraphsub"/>
      </w:pPr>
      <w:r w:rsidRPr="00CB26C4">
        <w:tab/>
        <w:t>(iv)</w:t>
      </w:r>
      <w:r w:rsidRPr="00CB26C4">
        <w:tab/>
        <w:t>the economic benefits arising from the export operations to be covered by the licence;</w:t>
      </w:r>
    </w:p>
    <w:p w14:paraId="1BC609B9" w14:textId="77777777" w:rsidR="00B64EFD" w:rsidRPr="00CB26C4" w:rsidRDefault="00B64EFD" w:rsidP="00B64EFD">
      <w:pPr>
        <w:pStyle w:val="paragraphsub"/>
      </w:pPr>
      <w:r w:rsidRPr="00CB26C4">
        <w:tab/>
        <w:t>(v)</w:t>
      </w:r>
      <w:r w:rsidRPr="00CB26C4">
        <w:tab/>
        <w:t>the impacts, including future impacts, of the export operations to be covered by the licence on local communities.</w:t>
      </w:r>
    </w:p>
    <w:p w14:paraId="176FCA1D" w14:textId="77777777" w:rsidR="00B64EFD" w:rsidRPr="00CB26C4" w:rsidRDefault="00B64EFD" w:rsidP="00B64EFD">
      <w:pPr>
        <w:pStyle w:val="ActHead2"/>
        <w:pageBreakBefore/>
      </w:pPr>
      <w:bookmarkStart w:id="38" w:name="_Toc66351998"/>
      <w:r w:rsidRPr="00780841">
        <w:rPr>
          <w:rStyle w:val="CharPartNo"/>
        </w:rPr>
        <w:lastRenderedPageBreak/>
        <w:t>Part 2</w:t>
      </w:r>
      <w:r w:rsidRPr="00CB26C4">
        <w:t>—</w:t>
      </w:r>
      <w:r w:rsidRPr="00780841">
        <w:rPr>
          <w:rStyle w:val="CharPartText"/>
        </w:rPr>
        <w:t>Conditions of wood export licence</w:t>
      </w:r>
      <w:bookmarkEnd w:id="38"/>
    </w:p>
    <w:p w14:paraId="36A96E16"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1CF11AA3" w14:textId="77777777" w:rsidR="00B64EFD" w:rsidRPr="00CB26C4" w:rsidRDefault="00B64EFD" w:rsidP="00B64EFD">
      <w:pPr>
        <w:pStyle w:val="ActHead5"/>
      </w:pPr>
      <w:bookmarkStart w:id="39" w:name="_Toc66351999"/>
      <w:r w:rsidRPr="00780841">
        <w:rPr>
          <w:rStyle w:val="CharSectno"/>
        </w:rPr>
        <w:t>6</w:t>
      </w:r>
      <w:r w:rsidR="00CB26C4" w:rsidRPr="00780841">
        <w:rPr>
          <w:rStyle w:val="CharSectno"/>
        </w:rPr>
        <w:noBreakHyphen/>
      </w:r>
      <w:r w:rsidRPr="00780841">
        <w:rPr>
          <w:rStyle w:val="CharSectno"/>
        </w:rPr>
        <w:t>2</w:t>
      </w:r>
      <w:r w:rsidRPr="00CB26C4">
        <w:t xml:space="preserve">  Conditions of wood export licence</w:t>
      </w:r>
      <w:bookmarkEnd w:id="39"/>
    </w:p>
    <w:p w14:paraId="68978E1E" w14:textId="77777777" w:rsidR="00AD776F" w:rsidRPr="00CB26C4" w:rsidRDefault="00AD776F" w:rsidP="00AD776F">
      <w:pPr>
        <w:pStyle w:val="subsection"/>
      </w:pPr>
      <w:r w:rsidRPr="00CB26C4">
        <w:tab/>
        <w:t>(1)</w:t>
      </w:r>
      <w:r w:rsidRPr="00CB26C4">
        <w:tab/>
        <w:t xml:space="preserve">For the purposes of paragraph 192(1)(b) of the Act, this section prescribes a condition of a wood export licence if the declaration required under </w:t>
      </w:r>
      <w:r w:rsidR="00C934A5" w:rsidRPr="00CB26C4">
        <w:t>subsection 6</w:t>
      </w:r>
      <w:r w:rsidR="00CB26C4">
        <w:noBreakHyphen/>
      </w:r>
      <w:r w:rsidRPr="00CB26C4">
        <w:t>1(2) of this instrument in relation to the application for the licence included an undertaking to take measures to protect the designated places where export operations covered by the licence are to be carried out or that would be adversely affected by those operations.</w:t>
      </w:r>
    </w:p>
    <w:p w14:paraId="193409DD" w14:textId="77777777" w:rsidR="00B64EFD" w:rsidRPr="00CB26C4" w:rsidRDefault="00B64EFD" w:rsidP="00B64EFD">
      <w:pPr>
        <w:pStyle w:val="subsection"/>
      </w:pPr>
      <w:r w:rsidRPr="00CB26C4">
        <w:tab/>
        <w:t>(2)</w:t>
      </w:r>
      <w:r w:rsidRPr="00CB26C4">
        <w:tab/>
        <w:t>The holder of the wood export licence must comply with the undertaking.</w:t>
      </w:r>
    </w:p>
    <w:p w14:paraId="7C6B2B83" w14:textId="77777777" w:rsidR="00B64EFD" w:rsidRPr="00CB26C4" w:rsidRDefault="00B64EFD" w:rsidP="00B64EFD">
      <w:pPr>
        <w:pStyle w:val="notetext"/>
      </w:pPr>
      <w:r w:rsidRPr="00CB26C4">
        <w:t>Note 1:</w:t>
      </w:r>
      <w:r w:rsidRPr="00CB26C4">
        <w:tab/>
        <w:t>The wood export licence is also subject to:</w:t>
      </w:r>
    </w:p>
    <w:p w14:paraId="367144B0" w14:textId="77777777" w:rsidR="00B64EFD" w:rsidRPr="00CB26C4" w:rsidRDefault="00B64EFD" w:rsidP="00B64EFD">
      <w:pPr>
        <w:pStyle w:val="notepara"/>
      </w:pPr>
      <w:r w:rsidRPr="00CB26C4">
        <w:t>(a)</w:t>
      </w:r>
      <w:r w:rsidRPr="00CB26C4">
        <w:tab/>
        <w:t>the conditions (if any) specified in the licence under paragraph 192(1)(c) of the Act; and</w:t>
      </w:r>
    </w:p>
    <w:p w14:paraId="3264F6C5" w14:textId="77777777" w:rsidR="00B64EFD" w:rsidRPr="00CB26C4" w:rsidRDefault="00B64EFD" w:rsidP="00B64EFD">
      <w:pPr>
        <w:pStyle w:val="notepara"/>
      </w:pPr>
      <w:r w:rsidRPr="00CB26C4">
        <w:t>(b)</w:t>
      </w:r>
      <w:r w:rsidRPr="00CB26C4">
        <w:tab/>
        <w:t>the condition that the holder of the licence must comply with any directions given from time to time to the holder under section 222 of the Act (see subsection 222(4) of the Act).</w:t>
      </w:r>
    </w:p>
    <w:p w14:paraId="665BAD72" w14:textId="77777777" w:rsidR="00B64EFD" w:rsidRPr="00CB26C4" w:rsidRDefault="00B64EFD" w:rsidP="00B64EFD">
      <w:pPr>
        <w:pStyle w:val="notetext"/>
      </w:pPr>
      <w:r w:rsidRPr="00CB26C4">
        <w:t>Note 2:</w:t>
      </w:r>
      <w:r w:rsidRPr="00CB26C4">
        <w:tab/>
        <w:t>The holder of the wood export licence may commit an offence or be liable to a civil penalty if a condition of the licence is contravened (see section 217 of the Act).</w:t>
      </w:r>
    </w:p>
    <w:p w14:paraId="6619CBFF" w14:textId="77777777" w:rsidR="00B64EFD" w:rsidRPr="00CB26C4" w:rsidRDefault="00B64EFD" w:rsidP="00B64EFD">
      <w:pPr>
        <w:pStyle w:val="ActHead2"/>
        <w:pageBreakBefore/>
      </w:pPr>
      <w:bookmarkStart w:id="40" w:name="_Toc66352000"/>
      <w:r w:rsidRPr="00780841">
        <w:rPr>
          <w:rStyle w:val="CharPartNo"/>
        </w:rPr>
        <w:lastRenderedPageBreak/>
        <w:t>Part 3</w:t>
      </w:r>
      <w:r w:rsidRPr="00CB26C4">
        <w:t>—</w:t>
      </w:r>
      <w:r w:rsidRPr="00780841">
        <w:rPr>
          <w:rStyle w:val="CharPartText"/>
        </w:rPr>
        <w:t>Matters relating to applications</w:t>
      </w:r>
      <w:bookmarkEnd w:id="40"/>
    </w:p>
    <w:p w14:paraId="06B3F0D3"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402A7371" w14:textId="77777777" w:rsidR="00B64EFD" w:rsidRPr="00CB26C4" w:rsidRDefault="00B64EFD" w:rsidP="00B64EFD">
      <w:pPr>
        <w:pStyle w:val="ActHead5"/>
      </w:pPr>
      <w:bookmarkStart w:id="41" w:name="_Toc66352001"/>
      <w:r w:rsidRPr="00780841">
        <w:rPr>
          <w:rStyle w:val="CharSectno"/>
        </w:rPr>
        <w:t>6</w:t>
      </w:r>
      <w:r w:rsidR="00CB26C4" w:rsidRPr="00780841">
        <w:rPr>
          <w:rStyle w:val="CharSectno"/>
        </w:rPr>
        <w:noBreakHyphen/>
      </w:r>
      <w:r w:rsidRPr="00780841">
        <w:rPr>
          <w:rStyle w:val="CharSectno"/>
        </w:rPr>
        <w:t>3</w:t>
      </w:r>
      <w:r w:rsidRPr="00CB26C4">
        <w:t xml:space="preserve">  Application of this Part</w:t>
      </w:r>
      <w:bookmarkEnd w:id="41"/>
    </w:p>
    <w:p w14:paraId="379B9702" w14:textId="77777777" w:rsidR="00B64EFD" w:rsidRPr="00CB26C4" w:rsidRDefault="00B64EFD" w:rsidP="00B64EFD">
      <w:pPr>
        <w:pStyle w:val="subsection"/>
      </w:pPr>
      <w:r w:rsidRPr="00CB26C4">
        <w:tab/>
      </w:r>
      <w:r w:rsidRPr="00CB26C4">
        <w:tab/>
        <w:t>This Part applies in relation to the following applications:</w:t>
      </w:r>
    </w:p>
    <w:p w14:paraId="66FD0336" w14:textId="77777777" w:rsidR="00B64EFD" w:rsidRPr="00CB26C4" w:rsidRDefault="00B64EFD" w:rsidP="00B64EFD">
      <w:pPr>
        <w:pStyle w:val="paragraph"/>
      </w:pPr>
      <w:r w:rsidRPr="00CB26C4">
        <w:tab/>
        <w:t>(a)</w:t>
      </w:r>
      <w:r w:rsidRPr="00CB26C4">
        <w:tab/>
        <w:t>an application under section 190 of the Act for a wood export licence;</w:t>
      </w:r>
    </w:p>
    <w:p w14:paraId="13712681" w14:textId="77777777" w:rsidR="00B64EFD" w:rsidRPr="00CB26C4" w:rsidRDefault="00B64EFD" w:rsidP="00B64EFD">
      <w:pPr>
        <w:pStyle w:val="paragraph"/>
      </w:pPr>
      <w:r w:rsidRPr="00CB26C4">
        <w:tab/>
        <w:t>(b)</w:t>
      </w:r>
      <w:r w:rsidRPr="00CB26C4">
        <w:tab/>
        <w:t>an application under section 199 of the Act to vary:</w:t>
      </w:r>
    </w:p>
    <w:p w14:paraId="76DEEE50" w14:textId="77777777" w:rsidR="00B64EFD" w:rsidRPr="00CB26C4" w:rsidRDefault="00B64EFD" w:rsidP="00B64EFD">
      <w:pPr>
        <w:pStyle w:val="paragraphsub"/>
      </w:pPr>
      <w:r w:rsidRPr="00CB26C4">
        <w:tab/>
        <w:t>(i)</w:t>
      </w:r>
      <w:r w:rsidRPr="00CB26C4">
        <w:tab/>
        <w:t>a wood export licence; or</w:t>
      </w:r>
    </w:p>
    <w:p w14:paraId="61696FE4" w14:textId="77777777" w:rsidR="00B64EFD" w:rsidRPr="00CB26C4" w:rsidRDefault="00B64EFD" w:rsidP="00B64EFD">
      <w:pPr>
        <w:pStyle w:val="paragraphsub"/>
      </w:pPr>
      <w:r w:rsidRPr="00CB26C4">
        <w:tab/>
        <w:t>(ii)</w:t>
      </w:r>
      <w:r w:rsidRPr="00CB26C4">
        <w:tab/>
        <w:t>the conditions of a wood export licence.</w:t>
      </w:r>
    </w:p>
    <w:p w14:paraId="24F66F59" w14:textId="77777777" w:rsidR="00B64EFD" w:rsidRPr="00CB26C4" w:rsidRDefault="00B64EFD" w:rsidP="00B64EFD">
      <w:pPr>
        <w:pStyle w:val="ActHead5"/>
      </w:pPr>
      <w:bookmarkStart w:id="42" w:name="_Toc66352002"/>
      <w:r w:rsidRPr="00780841">
        <w:rPr>
          <w:rStyle w:val="CharSectno"/>
        </w:rPr>
        <w:t>6</w:t>
      </w:r>
      <w:r w:rsidR="00CB26C4" w:rsidRPr="00780841">
        <w:rPr>
          <w:rStyle w:val="CharSectno"/>
        </w:rPr>
        <w:noBreakHyphen/>
      </w:r>
      <w:r w:rsidRPr="00780841">
        <w:rPr>
          <w:rStyle w:val="CharSectno"/>
        </w:rPr>
        <w:t>4</w:t>
      </w:r>
      <w:r w:rsidRPr="00CB26C4">
        <w:t xml:space="preserve">  Initial consideration period</w:t>
      </w:r>
      <w:bookmarkEnd w:id="42"/>
    </w:p>
    <w:p w14:paraId="1D1A63EE" w14:textId="77777777" w:rsidR="00B64EFD" w:rsidRPr="00CB26C4" w:rsidRDefault="00B64EFD" w:rsidP="00B64EFD">
      <w:pPr>
        <w:pStyle w:val="subsection"/>
      </w:pPr>
      <w:r w:rsidRPr="00CB26C4">
        <w:tab/>
      </w:r>
      <w:r w:rsidRPr="00CB26C4">
        <w:tab/>
        <w:t>For the purposes of subsection 379(3) of the Act, the initial consideration period for an application is 30 days.</w:t>
      </w:r>
    </w:p>
    <w:p w14:paraId="18785696" w14:textId="77777777" w:rsidR="00B64EFD" w:rsidRPr="00CB26C4" w:rsidRDefault="00B64EFD" w:rsidP="00B64EFD">
      <w:pPr>
        <w:pStyle w:val="notetext"/>
      </w:pPr>
      <w:r w:rsidRPr="00CB26C4">
        <w:t>Note:</w:t>
      </w:r>
      <w:r w:rsidRPr="00CB26C4">
        <w:tab/>
        <w:t>The consideration period for an application starts on the day after the day the Secretary receives the application (see subsection 379(4) of the Act).</w:t>
      </w:r>
    </w:p>
    <w:p w14:paraId="5B9E8A03" w14:textId="77777777" w:rsidR="00B64EFD" w:rsidRPr="00CB26C4" w:rsidRDefault="00B64EFD" w:rsidP="00B64EFD">
      <w:pPr>
        <w:pStyle w:val="ActHead5"/>
      </w:pPr>
      <w:bookmarkStart w:id="43" w:name="_Toc66352003"/>
      <w:r w:rsidRPr="00780841">
        <w:rPr>
          <w:rStyle w:val="CharSectno"/>
        </w:rPr>
        <w:t>6</w:t>
      </w:r>
      <w:r w:rsidR="00CB26C4" w:rsidRPr="00780841">
        <w:rPr>
          <w:rStyle w:val="CharSectno"/>
        </w:rPr>
        <w:noBreakHyphen/>
      </w:r>
      <w:r w:rsidRPr="00780841">
        <w:rPr>
          <w:rStyle w:val="CharSectno"/>
        </w:rPr>
        <w:t>5</w:t>
      </w:r>
      <w:r w:rsidRPr="00CB26C4">
        <w:t xml:space="preserve">  Period within which request relating to application must be complied with</w:t>
      </w:r>
      <w:bookmarkEnd w:id="43"/>
    </w:p>
    <w:p w14:paraId="6C2186E7" w14:textId="77777777" w:rsidR="00B64EFD" w:rsidRPr="00CB26C4" w:rsidRDefault="00B64EFD" w:rsidP="00B64EFD">
      <w:pPr>
        <w:pStyle w:val="subsection"/>
      </w:pPr>
      <w:r w:rsidRPr="00CB26C4">
        <w:tab/>
      </w:r>
      <w:r w:rsidRPr="00CB26C4">
        <w:tab/>
        <w:t>For the purposes of paragraph 379(10)(b) of the Act, the period of 6 months</w:t>
      </w:r>
      <w:r w:rsidRPr="00CB26C4">
        <w:rPr>
          <w:i/>
        </w:rPr>
        <w:t xml:space="preserve"> </w:t>
      </w:r>
      <w:r w:rsidRPr="00CB26C4">
        <w:t>is prescribed.</w:t>
      </w:r>
    </w:p>
    <w:p w14:paraId="5D4148BF" w14:textId="77777777" w:rsidR="00B64EFD" w:rsidRPr="00CB26C4" w:rsidRDefault="00B64EFD" w:rsidP="00B64EFD">
      <w:pPr>
        <w:pStyle w:val="ActHead1"/>
        <w:pageBreakBefore/>
      </w:pPr>
      <w:bookmarkStart w:id="44" w:name="_Toc66352004"/>
      <w:r w:rsidRPr="00780841">
        <w:rPr>
          <w:rStyle w:val="CharChapNo"/>
        </w:rPr>
        <w:lastRenderedPageBreak/>
        <w:t>Chapter 10</w:t>
      </w:r>
      <w:r w:rsidRPr="00CB26C4">
        <w:t>—</w:t>
      </w:r>
      <w:r w:rsidRPr="00780841">
        <w:rPr>
          <w:rStyle w:val="CharChapText"/>
        </w:rPr>
        <w:t>Compliance and enforcement</w:t>
      </w:r>
      <w:bookmarkEnd w:id="44"/>
    </w:p>
    <w:p w14:paraId="2C90B8E8" w14:textId="77777777" w:rsidR="00B64EFD" w:rsidRPr="00780841" w:rsidRDefault="00B64EFD" w:rsidP="00B64EFD">
      <w:pPr>
        <w:pStyle w:val="Header"/>
      </w:pPr>
      <w:r w:rsidRPr="00780841">
        <w:rPr>
          <w:rStyle w:val="CharPartNo"/>
        </w:rPr>
        <w:t xml:space="preserve"> </w:t>
      </w:r>
      <w:r w:rsidRPr="00780841">
        <w:rPr>
          <w:rStyle w:val="CharPartText"/>
        </w:rPr>
        <w:t xml:space="preserve"> </w:t>
      </w:r>
    </w:p>
    <w:p w14:paraId="471256E0"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259BAADD" w14:textId="77777777" w:rsidR="00B64EFD" w:rsidRPr="00CB26C4" w:rsidRDefault="00B64EFD" w:rsidP="00B64EFD">
      <w:pPr>
        <w:pStyle w:val="ActHead5"/>
        <w:ind w:left="0" w:firstLine="0"/>
      </w:pPr>
      <w:bookmarkStart w:id="45" w:name="_Toc66352005"/>
      <w:r w:rsidRPr="00780841">
        <w:rPr>
          <w:rStyle w:val="CharSectno"/>
        </w:rPr>
        <w:t>10</w:t>
      </w:r>
      <w:r w:rsidR="00CB26C4" w:rsidRPr="00780841">
        <w:rPr>
          <w:rStyle w:val="CharSectno"/>
        </w:rPr>
        <w:noBreakHyphen/>
      </w:r>
      <w:r w:rsidRPr="00780841">
        <w:rPr>
          <w:rStyle w:val="CharSectno"/>
        </w:rPr>
        <w:t>1</w:t>
      </w:r>
      <w:r w:rsidRPr="00CB26C4">
        <w:t xml:space="preserve">  Samples taken in exercising monitoring or investigation powers</w:t>
      </w:r>
      <w:bookmarkEnd w:id="45"/>
    </w:p>
    <w:p w14:paraId="5FF6B1CE" w14:textId="77777777" w:rsidR="00B64EFD" w:rsidRPr="00CB26C4" w:rsidRDefault="00B64EFD" w:rsidP="00B64EFD">
      <w:pPr>
        <w:pStyle w:val="subsection"/>
      </w:pPr>
      <w:r w:rsidRPr="00CB26C4">
        <w:tab/>
      </w:r>
      <w:r w:rsidRPr="00CB26C4">
        <w:tab/>
        <w:t>If a sample is taken as permitted by paragraph 327(2)(a) of the Act (additional monitoring power) or subsection 330(2) of the Act (additional investigation power), the sample must be:</w:t>
      </w:r>
    </w:p>
    <w:p w14:paraId="16101DA8" w14:textId="77777777" w:rsidR="00B64EFD" w:rsidRPr="00CB26C4" w:rsidRDefault="00B64EFD" w:rsidP="00B64EFD">
      <w:pPr>
        <w:pStyle w:val="paragraph"/>
      </w:pPr>
      <w:r w:rsidRPr="00CB26C4">
        <w:tab/>
        <w:t>(a)</w:t>
      </w:r>
      <w:r w:rsidRPr="00CB26C4">
        <w:tab/>
        <w:t>identified with a mark or a tag; and</w:t>
      </w:r>
    </w:p>
    <w:p w14:paraId="034E6624" w14:textId="77777777" w:rsidR="00B64EFD" w:rsidRPr="00CB26C4" w:rsidRDefault="00B64EFD" w:rsidP="00B64EFD">
      <w:pPr>
        <w:pStyle w:val="paragraph"/>
      </w:pPr>
      <w:r w:rsidRPr="00CB26C4">
        <w:tab/>
        <w:t>(b)</w:t>
      </w:r>
      <w:r w:rsidRPr="00CB26C4">
        <w:tab/>
        <w:t>kept in the custody or control of an authorised officer until whichever of the following first occurs:</w:t>
      </w:r>
    </w:p>
    <w:p w14:paraId="71B117B7" w14:textId="77777777" w:rsidR="00B64EFD" w:rsidRPr="00CB26C4" w:rsidRDefault="00B64EFD" w:rsidP="00B64EFD">
      <w:pPr>
        <w:pStyle w:val="paragraphsub"/>
      </w:pPr>
      <w:r w:rsidRPr="00CB26C4">
        <w:tab/>
        <w:t>(i)</w:t>
      </w:r>
      <w:r w:rsidRPr="00CB26C4">
        <w:tab/>
        <w:t>the sample is destroyed during testing or analysis in accordance with section 412 of the Act;</w:t>
      </w:r>
    </w:p>
    <w:p w14:paraId="31E7C0DE" w14:textId="77777777" w:rsidR="00B64EFD" w:rsidRPr="00CB26C4" w:rsidRDefault="00B64EFD" w:rsidP="00B64EFD">
      <w:pPr>
        <w:pStyle w:val="paragraphsub"/>
      </w:pPr>
      <w:r w:rsidRPr="00CB26C4">
        <w:tab/>
        <w:t>(ii)</w:t>
      </w:r>
      <w:r w:rsidRPr="00CB26C4">
        <w:tab/>
        <w:t>the sample is given to an analyst appointed under section 413 of the Act;</w:t>
      </w:r>
    </w:p>
    <w:p w14:paraId="22DED918" w14:textId="77777777" w:rsidR="00B64EFD" w:rsidRPr="00CB26C4" w:rsidRDefault="00B64EFD" w:rsidP="00B64EFD">
      <w:pPr>
        <w:pStyle w:val="paragraphsub"/>
      </w:pPr>
      <w:r w:rsidRPr="00CB26C4">
        <w:tab/>
        <w:t>(iii)</w:t>
      </w:r>
      <w:r w:rsidRPr="00CB26C4">
        <w:tab/>
        <w:t>the sample is otherwise disposed of.</w:t>
      </w:r>
    </w:p>
    <w:p w14:paraId="5A3B3C64" w14:textId="77777777" w:rsidR="00B64EFD" w:rsidRPr="00CB26C4" w:rsidRDefault="00B64EFD" w:rsidP="00B64EFD">
      <w:pPr>
        <w:pStyle w:val="ActHead5"/>
      </w:pPr>
      <w:bookmarkStart w:id="46" w:name="_Toc66352006"/>
      <w:r w:rsidRPr="00780841">
        <w:rPr>
          <w:rStyle w:val="CharSectno"/>
        </w:rPr>
        <w:t>10</w:t>
      </w:r>
      <w:r w:rsidR="00CB26C4" w:rsidRPr="00780841">
        <w:rPr>
          <w:rStyle w:val="CharSectno"/>
        </w:rPr>
        <w:noBreakHyphen/>
      </w:r>
      <w:r w:rsidRPr="00780841">
        <w:rPr>
          <w:rStyle w:val="CharSectno"/>
        </w:rPr>
        <w:t>2</w:t>
      </w:r>
      <w:r w:rsidRPr="00CB26C4">
        <w:t xml:space="preserve">  Dealing with things seized in exercising investigation powers</w:t>
      </w:r>
      <w:bookmarkEnd w:id="46"/>
    </w:p>
    <w:p w14:paraId="2D88BDE4" w14:textId="77777777" w:rsidR="00B64EFD" w:rsidRPr="00CB26C4" w:rsidRDefault="00B64EFD" w:rsidP="00B64EFD">
      <w:pPr>
        <w:pStyle w:val="subsection"/>
      </w:pPr>
      <w:r w:rsidRPr="00CB26C4">
        <w:tab/>
        <w:t>(1)</w:t>
      </w:r>
      <w:r w:rsidRPr="00CB26C4">
        <w:tab/>
        <w:t>This section applies if:</w:t>
      </w:r>
    </w:p>
    <w:p w14:paraId="71E9AD71" w14:textId="77777777" w:rsidR="00B64EFD" w:rsidRPr="00CB26C4" w:rsidRDefault="00B64EFD" w:rsidP="00B64EFD">
      <w:pPr>
        <w:pStyle w:val="paragraph"/>
      </w:pPr>
      <w:r w:rsidRPr="00CB26C4">
        <w:tab/>
        <w:t>(a)</w:t>
      </w:r>
      <w:r w:rsidRPr="00CB26C4">
        <w:tab/>
        <w:t>premises where export operations are being, or have been, carried out in relation to prescribed wood or woodchips have been entered under an investigation warrant; and</w:t>
      </w:r>
    </w:p>
    <w:p w14:paraId="2CAFAB2F" w14:textId="77777777" w:rsidR="00B64EFD" w:rsidRPr="00CB26C4" w:rsidRDefault="00B64EFD" w:rsidP="00B64EFD">
      <w:pPr>
        <w:pStyle w:val="paragraph"/>
      </w:pPr>
      <w:r w:rsidRPr="00CB26C4">
        <w:tab/>
        <w:t>(b)</w:t>
      </w:r>
      <w:r w:rsidRPr="00CB26C4">
        <w:tab/>
        <w:t>a thing was seized under the warrant.</w:t>
      </w:r>
    </w:p>
    <w:p w14:paraId="6A46E989" w14:textId="77777777" w:rsidR="00B64EFD" w:rsidRPr="00CB26C4" w:rsidRDefault="00B64EFD" w:rsidP="00B64EFD">
      <w:pPr>
        <w:pStyle w:val="subsection"/>
      </w:pPr>
      <w:r w:rsidRPr="00CB26C4">
        <w:tab/>
        <w:t>(2)</w:t>
      </w:r>
      <w:r w:rsidRPr="00CB26C4">
        <w:tab/>
        <w:t>The thing must be:</w:t>
      </w:r>
    </w:p>
    <w:p w14:paraId="3D7A2734" w14:textId="77777777" w:rsidR="00B64EFD" w:rsidRPr="00CB26C4" w:rsidRDefault="00B64EFD" w:rsidP="00B64EFD">
      <w:pPr>
        <w:pStyle w:val="paragraph"/>
      </w:pPr>
      <w:r w:rsidRPr="00CB26C4">
        <w:tab/>
        <w:t>(a)</w:t>
      </w:r>
      <w:r w:rsidRPr="00CB26C4">
        <w:tab/>
        <w:t>identified with a mark or a tag; and</w:t>
      </w:r>
    </w:p>
    <w:p w14:paraId="123EC817" w14:textId="77777777" w:rsidR="00B64EFD" w:rsidRPr="00CB26C4" w:rsidRDefault="00B64EFD" w:rsidP="00B64EFD">
      <w:pPr>
        <w:pStyle w:val="paragraph"/>
      </w:pPr>
      <w:r w:rsidRPr="00CB26C4">
        <w:tab/>
        <w:t>(b)</w:t>
      </w:r>
      <w:r w:rsidRPr="00CB26C4">
        <w:tab/>
        <w:t>kept in the custody or control of an authorised officer until whichever of the following first occurs:</w:t>
      </w:r>
    </w:p>
    <w:p w14:paraId="0D8ED7CD" w14:textId="77777777" w:rsidR="00B64EFD" w:rsidRPr="00CB26C4" w:rsidRDefault="00B64EFD" w:rsidP="00B64EFD">
      <w:pPr>
        <w:pStyle w:val="paragraphsub"/>
      </w:pPr>
      <w:r w:rsidRPr="00CB26C4">
        <w:tab/>
        <w:t>(i)</w:t>
      </w:r>
      <w:r w:rsidRPr="00CB26C4">
        <w:tab/>
        <w:t>the thing is destroyed or otherwise disposed of in accordance with section 418 of the Act;</w:t>
      </w:r>
    </w:p>
    <w:p w14:paraId="3BF984DA" w14:textId="77777777" w:rsidR="00B64EFD" w:rsidRPr="00CB26C4" w:rsidRDefault="00B64EFD" w:rsidP="00B64EFD">
      <w:pPr>
        <w:pStyle w:val="paragraphsub"/>
      </w:pPr>
      <w:r w:rsidRPr="00CB26C4">
        <w:tab/>
        <w:t>(ii)</w:t>
      </w:r>
      <w:r w:rsidRPr="00CB26C4">
        <w:tab/>
        <w:t xml:space="preserve">the thing is returned in accordance with </w:t>
      </w:r>
      <w:r w:rsidR="00C934A5" w:rsidRPr="00CB26C4">
        <w:t>subsection 6</w:t>
      </w:r>
      <w:r w:rsidRPr="00CB26C4">
        <w:t>6(4) of the Regulatory Powers Act;</w:t>
      </w:r>
    </w:p>
    <w:p w14:paraId="6E6A6D91" w14:textId="77777777" w:rsidR="00B64EFD" w:rsidRPr="00CB26C4" w:rsidRDefault="00B64EFD" w:rsidP="00B64EFD">
      <w:pPr>
        <w:pStyle w:val="paragraphsub"/>
      </w:pPr>
      <w:r w:rsidRPr="00CB26C4">
        <w:tab/>
        <w:t>(iii)</w:t>
      </w:r>
      <w:r w:rsidRPr="00CB26C4">
        <w:tab/>
        <w:t>the thing is disposed of in accordance with section 68 of that Act.</w:t>
      </w:r>
    </w:p>
    <w:p w14:paraId="03FA53BB" w14:textId="77777777" w:rsidR="00B64EFD" w:rsidRPr="00CB26C4" w:rsidRDefault="00B64EFD" w:rsidP="00B64EFD">
      <w:pPr>
        <w:pStyle w:val="ActHead1"/>
        <w:pageBreakBefore/>
      </w:pPr>
      <w:bookmarkStart w:id="47" w:name="_Toc66352007"/>
      <w:r w:rsidRPr="00780841">
        <w:rPr>
          <w:rStyle w:val="CharChapNo"/>
        </w:rPr>
        <w:lastRenderedPageBreak/>
        <w:t>Chapter 11</w:t>
      </w:r>
      <w:r w:rsidRPr="00CB26C4">
        <w:t>—</w:t>
      </w:r>
      <w:r w:rsidRPr="00780841">
        <w:rPr>
          <w:rStyle w:val="CharChapText"/>
        </w:rPr>
        <w:t>Miscellaneous</w:t>
      </w:r>
      <w:bookmarkEnd w:id="47"/>
    </w:p>
    <w:p w14:paraId="356AF0BF" w14:textId="77777777" w:rsidR="00B64EFD" w:rsidRPr="00CB26C4" w:rsidRDefault="00B64EFD" w:rsidP="00B64EFD">
      <w:pPr>
        <w:pStyle w:val="ActHead2"/>
      </w:pPr>
      <w:bookmarkStart w:id="48" w:name="_Toc66352008"/>
      <w:r w:rsidRPr="00780841">
        <w:rPr>
          <w:rStyle w:val="CharPartNo"/>
        </w:rPr>
        <w:t>Part 1</w:t>
      </w:r>
      <w:r w:rsidRPr="00CB26C4">
        <w:t>—</w:t>
      </w:r>
      <w:r w:rsidRPr="00780841">
        <w:rPr>
          <w:rStyle w:val="CharPartText"/>
        </w:rPr>
        <w:t>Records</w:t>
      </w:r>
      <w:bookmarkEnd w:id="48"/>
    </w:p>
    <w:p w14:paraId="62A2919F"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11B9707C" w14:textId="77777777" w:rsidR="00B64EFD" w:rsidRPr="00CB26C4" w:rsidRDefault="00B64EFD" w:rsidP="00B64EFD">
      <w:pPr>
        <w:pStyle w:val="ActHead5"/>
      </w:pPr>
      <w:bookmarkStart w:id="49" w:name="_Toc66352009"/>
      <w:r w:rsidRPr="00780841">
        <w:rPr>
          <w:rStyle w:val="CharSectno"/>
        </w:rPr>
        <w:t>11</w:t>
      </w:r>
      <w:r w:rsidR="00CB26C4" w:rsidRPr="00780841">
        <w:rPr>
          <w:rStyle w:val="CharSectno"/>
        </w:rPr>
        <w:noBreakHyphen/>
      </w:r>
      <w:r w:rsidRPr="00780841">
        <w:rPr>
          <w:rStyle w:val="CharSectno"/>
        </w:rPr>
        <w:t>1</w:t>
      </w:r>
      <w:r w:rsidRPr="00CB26C4">
        <w:t xml:space="preserve">  Purpose of this Part</w:t>
      </w:r>
      <w:bookmarkEnd w:id="49"/>
    </w:p>
    <w:p w14:paraId="121CF1DB" w14:textId="77777777" w:rsidR="00B64EFD" w:rsidRPr="00CB26C4" w:rsidRDefault="00B64EFD" w:rsidP="00B64EFD">
      <w:pPr>
        <w:pStyle w:val="subsection"/>
      </w:pPr>
      <w:r w:rsidRPr="00CB26C4">
        <w:tab/>
      </w:r>
      <w:r w:rsidRPr="00CB26C4">
        <w:tab/>
        <w:t>For the purposes of subsections 408(1) and (2) of the Act, this Part makes provision for and in relation to the retention of records in relation to prescribed wood or woodchips.</w:t>
      </w:r>
    </w:p>
    <w:p w14:paraId="7B7729DC" w14:textId="77777777" w:rsidR="00B64EFD" w:rsidRPr="00CB26C4" w:rsidRDefault="00B64EFD" w:rsidP="00B64EFD">
      <w:pPr>
        <w:pStyle w:val="notetext"/>
      </w:pPr>
      <w:r w:rsidRPr="00CB26C4">
        <w:t>Note:</w:t>
      </w:r>
      <w:r w:rsidRPr="00CB26C4">
        <w:tab/>
        <w:t>A person may commit an offence of strict liability if the person is required to retain a record in accordance with a provision of this Part and the person fails to comply with the requirement (see subsection 408(3) of the Act).</w:t>
      </w:r>
    </w:p>
    <w:p w14:paraId="258DCBD1" w14:textId="77777777" w:rsidR="00B64EFD" w:rsidRPr="00CB26C4" w:rsidRDefault="00B64EFD" w:rsidP="00B64EFD">
      <w:pPr>
        <w:pStyle w:val="ActHead5"/>
      </w:pPr>
      <w:bookmarkStart w:id="50" w:name="_Toc66352010"/>
      <w:r w:rsidRPr="00780841">
        <w:rPr>
          <w:rStyle w:val="CharSectno"/>
        </w:rPr>
        <w:t>11</w:t>
      </w:r>
      <w:r w:rsidR="00CB26C4" w:rsidRPr="00780841">
        <w:rPr>
          <w:rStyle w:val="CharSectno"/>
        </w:rPr>
        <w:noBreakHyphen/>
      </w:r>
      <w:r w:rsidRPr="00780841">
        <w:rPr>
          <w:rStyle w:val="CharSectno"/>
        </w:rPr>
        <w:t>2</w:t>
      </w:r>
      <w:r w:rsidRPr="00CB26C4">
        <w:t xml:space="preserve">  General requirements for records</w:t>
      </w:r>
      <w:bookmarkEnd w:id="50"/>
    </w:p>
    <w:p w14:paraId="4BD0E42C" w14:textId="77777777" w:rsidR="00B64EFD" w:rsidRPr="00CB26C4" w:rsidRDefault="00B64EFD" w:rsidP="00B64EFD">
      <w:pPr>
        <w:pStyle w:val="subsection"/>
      </w:pPr>
      <w:r w:rsidRPr="00CB26C4">
        <w:tab/>
        <w:t>(1)</w:t>
      </w:r>
      <w:r w:rsidRPr="00CB26C4">
        <w:tab/>
        <w:t>A record that is required to be retained under this Part in relation to wood or woodchips must be:</w:t>
      </w:r>
    </w:p>
    <w:p w14:paraId="27CE3E42" w14:textId="77777777" w:rsidR="00B64EFD" w:rsidRPr="00CB26C4" w:rsidRDefault="00B64EFD" w:rsidP="00B64EFD">
      <w:pPr>
        <w:pStyle w:val="paragraph"/>
      </w:pPr>
      <w:r w:rsidRPr="00CB26C4">
        <w:tab/>
        <w:t>(a)</w:t>
      </w:r>
      <w:r w:rsidRPr="00CB26C4">
        <w:tab/>
        <w:t>in English; and</w:t>
      </w:r>
    </w:p>
    <w:p w14:paraId="2E372E63" w14:textId="77777777" w:rsidR="00B64EFD" w:rsidRPr="00CB26C4" w:rsidRDefault="00B64EFD" w:rsidP="00B64EFD">
      <w:pPr>
        <w:pStyle w:val="paragraph"/>
      </w:pPr>
      <w:r w:rsidRPr="00CB26C4">
        <w:tab/>
        <w:t>(b)</w:t>
      </w:r>
      <w:r w:rsidRPr="00CB26C4">
        <w:tab/>
        <w:t>if the record was required to be in another language to meet importing country requirements—in that other language; and</w:t>
      </w:r>
    </w:p>
    <w:p w14:paraId="15FB5F96" w14:textId="77777777" w:rsidR="00B64EFD" w:rsidRPr="00CB26C4" w:rsidRDefault="00B64EFD" w:rsidP="00B64EFD">
      <w:pPr>
        <w:pStyle w:val="paragraph"/>
      </w:pPr>
      <w:r w:rsidRPr="00CB26C4">
        <w:tab/>
        <w:t>(c)</w:t>
      </w:r>
      <w:r w:rsidRPr="00CB26C4">
        <w:tab/>
        <w:t>dated; and</w:t>
      </w:r>
    </w:p>
    <w:p w14:paraId="678ECC3D" w14:textId="77777777" w:rsidR="00B64EFD" w:rsidRPr="00CB26C4" w:rsidRDefault="00B64EFD" w:rsidP="00B64EFD">
      <w:pPr>
        <w:pStyle w:val="paragraph"/>
      </w:pPr>
      <w:r w:rsidRPr="00CB26C4">
        <w:tab/>
        <w:t>(d)</w:t>
      </w:r>
      <w:r w:rsidRPr="00CB26C4">
        <w:tab/>
        <w:t>accurate, legible and able to be audited.</w:t>
      </w:r>
    </w:p>
    <w:p w14:paraId="6C3E3CB0" w14:textId="77777777" w:rsidR="00B64EFD" w:rsidRPr="00CB26C4" w:rsidRDefault="00B64EFD" w:rsidP="00B64EFD">
      <w:pPr>
        <w:pStyle w:val="subsection"/>
      </w:pPr>
      <w:r w:rsidRPr="00CB26C4">
        <w:tab/>
        <w:t>(2)</w:t>
      </w:r>
      <w:r w:rsidRPr="00CB26C4">
        <w:tab/>
        <w:t>If a person is required to retain a document under this Part, the person is taken to have complied with the requirement if:</w:t>
      </w:r>
    </w:p>
    <w:p w14:paraId="2AAB27CC" w14:textId="77777777" w:rsidR="00B64EFD" w:rsidRPr="00CB26C4" w:rsidRDefault="00B64EFD" w:rsidP="00B64EFD">
      <w:pPr>
        <w:pStyle w:val="paragraph"/>
      </w:pPr>
      <w:r w:rsidRPr="00CB26C4">
        <w:tab/>
        <w:t>(a)</w:t>
      </w:r>
      <w:r w:rsidRPr="00CB26C4">
        <w:tab/>
        <w:t>the person is required, under a law of the Commonwealth or a State or in accordance with ordinary commercial practice, to give the document to another person; and</w:t>
      </w:r>
    </w:p>
    <w:p w14:paraId="03227A54" w14:textId="77777777" w:rsidR="00B64EFD" w:rsidRPr="00CB26C4" w:rsidRDefault="00B64EFD" w:rsidP="00B64EFD">
      <w:pPr>
        <w:pStyle w:val="paragraph"/>
      </w:pPr>
      <w:r w:rsidRPr="00CB26C4">
        <w:tab/>
        <w:t>(b)</w:t>
      </w:r>
      <w:r w:rsidRPr="00CB26C4">
        <w:tab/>
        <w:t>the person gives the document to the other person as required; and</w:t>
      </w:r>
    </w:p>
    <w:p w14:paraId="5CBBAB5A" w14:textId="77777777" w:rsidR="00B64EFD" w:rsidRPr="00CB26C4" w:rsidRDefault="00B64EFD" w:rsidP="00B64EFD">
      <w:pPr>
        <w:pStyle w:val="paragraph"/>
      </w:pPr>
      <w:r w:rsidRPr="00CB26C4">
        <w:tab/>
        <w:t>(c)</w:t>
      </w:r>
      <w:r w:rsidRPr="00CB26C4">
        <w:tab/>
        <w:t>the person retains a copy of the document.</w:t>
      </w:r>
    </w:p>
    <w:p w14:paraId="26A97670" w14:textId="77777777" w:rsidR="00B64EFD" w:rsidRPr="00CB26C4" w:rsidRDefault="00B64EFD" w:rsidP="00B64EFD">
      <w:pPr>
        <w:pStyle w:val="ActHead5"/>
      </w:pPr>
      <w:bookmarkStart w:id="51" w:name="_Toc66352011"/>
      <w:r w:rsidRPr="00780841">
        <w:rPr>
          <w:rStyle w:val="CharSectno"/>
        </w:rPr>
        <w:t>11</w:t>
      </w:r>
      <w:r w:rsidR="00CB26C4" w:rsidRPr="00780841">
        <w:rPr>
          <w:rStyle w:val="CharSectno"/>
        </w:rPr>
        <w:noBreakHyphen/>
      </w:r>
      <w:r w:rsidRPr="00780841">
        <w:rPr>
          <w:rStyle w:val="CharSectno"/>
        </w:rPr>
        <w:t>3</w:t>
      </w:r>
      <w:r w:rsidRPr="00CB26C4">
        <w:t xml:space="preserve">  Government certificates must be retained in secure place</w:t>
      </w:r>
      <w:bookmarkEnd w:id="51"/>
    </w:p>
    <w:p w14:paraId="4E316FE4" w14:textId="77777777" w:rsidR="00B64EFD" w:rsidRPr="00CB26C4" w:rsidRDefault="00B64EFD" w:rsidP="00B64EFD">
      <w:pPr>
        <w:pStyle w:val="subsection"/>
      </w:pPr>
      <w:r w:rsidRPr="00CB26C4">
        <w:tab/>
        <w:t>(1)</w:t>
      </w:r>
      <w:r w:rsidRPr="00CB26C4">
        <w:tab/>
        <w:t>A person to whom a government certificate in relation to wood or woodchips is issued under the Act must retain the certificate in a secure place when it is not being used.</w:t>
      </w:r>
    </w:p>
    <w:p w14:paraId="599E696D" w14:textId="77777777" w:rsidR="00B64EFD" w:rsidRPr="00CB26C4" w:rsidRDefault="00B64EFD" w:rsidP="00B64EFD">
      <w:pPr>
        <w:pStyle w:val="subsection"/>
      </w:pPr>
      <w:r w:rsidRPr="00CB26C4">
        <w:tab/>
        <w:t>(2)</w:t>
      </w:r>
      <w:r w:rsidRPr="00CB26C4">
        <w:tab/>
        <w:t>Subsection (1) does not apply in relation to a government certificate that was issued by electronic means.</w:t>
      </w:r>
    </w:p>
    <w:p w14:paraId="2D3F4E25" w14:textId="77777777" w:rsidR="00B64EFD" w:rsidRPr="00CB26C4" w:rsidRDefault="00B64EFD" w:rsidP="00B64EFD">
      <w:pPr>
        <w:pStyle w:val="ActHead5"/>
      </w:pPr>
      <w:bookmarkStart w:id="52" w:name="_Toc66352012"/>
      <w:r w:rsidRPr="00780841">
        <w:rPr>
          <w:rStyle w:val="CharSectno"/>
        </w:rPr>
        <w:t>11</w:t>
      </w:r>
      <w:r w:rsidR="00CB26C4" w:rsidRPr="00780841">
        <w:rPr>
          <w:rStyle w:val="CharSectno"/>
        </w:rPr>
        <w:noBreakHyphen/>
      </w:r>
      <w:r w:rsidRPr="00780841">
        <w:rPr>
          <w:rStyle w:val="CharSectno"/>
        </w:rPr>
        <w:t>4</w:t>
      </w:r>
      <w:r w:rsidRPr="00CB26C4">
        <w:t xml:space="preserve">  Records to be retained by exporter</w:t>
      </w:r>
      <w:bookmarkEnd w:id="52"/>
    </w:p>
    <w:p w14:paraId="70A5A938" w14:textId="77777777" w:rsidR="00B64EFD" w:rsidRPr="00CB26C4" w:rsidRDefault="00B64EFD" w:rsidP="00B64EFD">
      <w:pPr>
        <w:pStyle w:val="subsection"/>
      </w:pPr>
      <w:r w:rsidRPr="00CB26C4">
        <w:tab/>
        <w:t>(1)</w:t>
      </w:r>
      <w:r w:rsidRPr="00CB26C4">
        <w:tab/>
        <w:t>An exporter of prescribed wood or woodchips must retain the following records:</w:t>
      </w:r>
    </w:p>
    <w:p w14:paraId="1E59C9FF" w14:textId="77777777" w:rsidR="00B64EFD" w:rsidRPr="00CB26C4" w:rsidRDefault="00B64EFD" w:rsidP="00B64EFD">
      <w:pPr>
        <w:pStyle w:val="paragraph"/>
      </w:pPr>
      <w:r w:rsidRPr="00CB26C4">
        <w:tab/>
        <w:t>(a)</w:t>
      </w:r>
      <w:r w:rsidRPr="00CB26C4">
        <w:tab/>
        <w:t>each application by the exporter for a government certificate in relation to prescribed wood or woodchips;</w:t>
      </w:r>
    </w:p>
    <w:p w14:paraId="75A710D4" w14:textId="77777777" w:rsidR="00B64EFD" w:rsidRPr="00CB26C4" w:rsidRDefault="00B64EFD" w:rsidP="00B64EFD">
      <w:pPr>
        <w:pStyle w:val="paragraph"/>
      </w:pPr>
      <w:r w:rsidRPr="00CB26C4">
        <w:tab/>
        <w:t>(b)</w:t>
      </w:r>
      <w:r w:rsidRPr="00CB26C4">
        <w:tab/>
        <w:t>each other document:</w:t>
      </w:r>
    </w:p>
    <w:p w14:paraId="253D8303" w14:textId="77777777" w:rsidR="00B64EFD" w:rsidRPr="00CB26C4" w:rsidRDefault="00B64EFD" w:rsidP="00B64EFD">
      <w:pPr>
        <w:pStyle w:val="paragraphsub"/>
      </w:pPr>
      <w:r w:rsidRPr="00CB26C4">
        <w:tab/>
        <w:t>(i)</w:t>
      </w:r>
      <w:r w:rsidRPr="00CB26C4">
        <w:tab/>
        <w:t>that is made by the exporter or that comes into the exporter’s possession; and</w:t>
      </w:r>
    </w:p>
    <w:p w14:paraId="43D7D671" w14:textId="77777777" w:rsidR="00B64EFD" w:rsidRPr="00CB26C4" w:rsidRDefault="00B64EFD" w:rsidP="00B64EFD">
      <w:pPr>
        <w:pStyle w:val="paragraphsub"/>
      </w:pPr>
      <w:r w:rsidRPr="00CB26C4">
        <w:lastRenderedPageBreak/>
        <w:tab/>
        <w:t>(ii)</w:t>
      </w:r>
      <w:r w:rsidRPr="00CB26C4">
        <w:tab/>
        <w:t>that is relevant to showing whether the exporter has complied, or is complying, with the applicable requirements of the Act in relation to the export of prescribed wood or woodchips.</w:t>
      </w:r>
    </w:p>
    <w:p w14:paraId="4A4A8A69" w14:textId="77777777" w:rsidR="00B64EFD" w:rsidRPr="00CB26C4" w:rsidRDefault="00B64EFD" w:rsidP="00B64EFD">
      <w:pPr>
        <w:pStyle w:val="subsection"/>
      </w:pPr>
      <w:r w:rsidRPr="00CB26C4">
        <w:tab/>
        <w:t>(2)</w:t>
      </w:r>
      <w:r w:rsidRPr="00CB26C4">
        <w:tab/>
        <w:t>An exporter to whom a government certificate in relation to non</w:t>
      </w:r>
      <w:r w:rsidR="00CB26C4">
        <w:noBreakHyphen/>
      </w:r>
      <w:r w:rsidRPr="00CB26C4">
        <w:t>prescribed wood or woodchips is issued under the Act must retain the following records:</w:t>
      </w:r>
    </w:p>
    <w:p w14:paraId="28ACC46C" w14:textId="77777777" w:rsidR="00B64EFD" w:rsidRPr="00CB26C4" w:rsidRDefault="00B64EFD" w:rsidP="00B64EFD">
      <w:pPr>
        <w:pStyle w:val="paragraph"/>
      </w:pPr>
      <w:r w:rsidRPr="00CB26C4">
        <w:tab/>
        <w:t>(a)</w:t>
      </w:r>
      <w:r w:rsidRPr="00CB26C4">
        <w:tab/>
        <w:t>the application by the exporter for the government certificate;</w:t>
      </w:r>
    </w:p>
    <w:p w14:paraId="06F83AC1" w14:textId="77777777" w:rsidR="00B64EFD" w:rsidRPr="00CB26C4" w:rsidRDefault="00B64EFD" w:rsidP="00B64EFD">
      <w:pPr>
        <w:pStyle w:val="paragraph"/>
      </w:pPr>
      <w:r w:rsidRPr="00CB26C4">
        <w:tab/>
        <w:t>(b)</w:t>
      </w:r>
      <w:r w:rsidRPr="00CB26C4">
        <w:tab/>
        <w:t>each other document:</w:t>
      </w:r>
    </w:p>
    <w:p w14:paraId="7BF2B794" w14:textId="77777777" w:rsidR="00B64EFD" w:rsidRPr="00CB26C4" w:rsidRDefault="00B64EFD" w:rsidP="00B64EFD">
      <w:pPr>
        <w:pStyle w:val="paragraphsub"/>
      </w:pPr>
      <w:r w:rsidRPr="00CB26C4">
        <w:tab/>
        <w:t>(i)</w:t>
      </w:r>
      <w:r w:rsidRPr="00CB26C4">
        <w:tab/>
        <w:t>that is made by the exporter or that comes into the exporter’s possession; and</w:t>
      </w:r>
    </w:p>
    <w:p w14:paraId="2979B52F" w14:textId="77777777" w:rsidR="00B64EFD" w:rsidRPr="00CB26C4" w:rsidRDefault="00B64EFD" w:rsidP="00B64EFD">
      <w:pPr>
        <w:pStyle w:val="paragraphsub"/>
      </w:pPr>
      <w:r w:rsidRPr="00CB26C4">
        <w:tab/>
        <w:t>(ii)</w:t>
      </w:r>
      <w:r w:rsidRPr="00CB26C4">
        <w:tab/>
        <w:t>that is relevant to showing whether the person has complied, or is complying, with the applicable requirements of the Act in relation to the non</w:t>
      </w:r>
      <w:r w:rsidR="00CB26C4">
        <w:noBreakHyphen/>
      </w:r>
      <w:r w:rsidRPr="00CB26C4">
        <w:t>prescribed wood or woodchips in relation to which the government certificate was issued.</w:t>
      </w:r>
    </w:p>
    <w:p w14:paraId="3D288ED6" w14:textId="77777777" w:rsidR="00B64EFD" w:rsidRPr="00CB26C4" w:rsidRDefault="00B64EFD" w:rsidP="00B64EFD">
      <w:pPr>
        <w:pStyle w:val="subsection"/>
      </w:pPr>
      <w:r w:rsidRPr="00CB26C4">
        <w:tab/>
        <w:t>(3)</w:t>
      </w:r>
      <w:r w:rsidRPr="00CB26C4">
        <w:tab/>
        <w:t xml:space="preserve">An exporter must retain each record referred to in </w:t>
      </w:r>
      <w:r w:rsidR="00C934A5" w:rsidRPr="00CB26C4">
        <w:t>subsection (</w:t>
      </w:r>
      <w:r w:rsidRPr="00CB26C4">
        <w:t>1) or (2) for at least 5 years starting on the day the record is made by the exporter or comes into the exporter’s possession (as the case may be).</w:t>
      </w:r>
    </w:p>
    <w:p w14:paraId="57FC7B83" w14:textId="77777777" w:rsidR="00B64EFD" w:rsidRPr="00CB26C4" w:rsidRDefault="00B64EFD" w:rsidP="00B64EFD">
      <w:pPr>
        <w:pStyle w:val="ActHead5"/>
      </w:pPr>
      <w:bookmarkStart w:id="53" w:name="_Toc66352013"/>
      <w:r w:rsidRPr="00780841">
        <w:rPr>
          <w:rStyle w:val="CharSectno"/>
        </w:rPr>
        <w:t>11</w:t>
      </w:r>
      <w:r w:rsidR="00CB26C4" w:rsidRPr="00780841">
        <w:rPr>
          <w:rStyle w:val="CharSectno"/>
        </w:rPr>
        <w:noBreakHyphen/>
      </w:r>
      <w:r w:rsidRPr="00780841">
        <w:rPr>
          <w:rStyle w:val="CharSectno"/>
        </w:rPr>
        <w:t>5</w:t>
      </w:r>
      <w:r w:rsidRPr="00CB26C4">
        <w:t xml:space="preserve">  Records must not be altered or defaced during retention period</w:t>
      </w:r>
      <w:bookmarkEnd w:id="53"/>
    </w:p>
    <w:p w14:paraId="0C1B2D48" w14:textId="77777777" w:rsidR="00B64EFD" w:rsidRPr="00CB26C4" w:rsidRDefault="00B64EFD" w:rsidP="00B64EFD">
      <w:pPr>
        <w:pStyle w:val="subsection"/>
      </w:pPr>
      <w:r w:rsidRPr="00CB26C4">
        <w:tab/>
        <w:t>(1)</w:t>
      </w:r>
      <w:r w:rsidRPr="00CB26C4">
        <w:tab/>
        <w:t xml:space="preserve">A record that is retained as required under this Part must not be altered or defaced during the period (the </w:t>
      </w:r>
      <w:r w:rsidRPr="00CB26C4">
        <w:rPr>
          <w:b/>
          <w:i/>
        </w:rPr>
        <w:t>retention period</w:t>
      </w:r>
      <w:r w:rsidRPr="00CB26C4">
        <w:t>) in which it is required to be retained.</w:t>
      </w:r>
    </w:p>
    <w:p w14:paraId="09A4CAB9" w14:textId="77777777" w:rsidR="00B64EFD" w:rsidRPr="00CB26C4" w:rsidRDefault="00B64EFD" w:rsidP="00B64EFD">
      <w:pPr>
        <w:pStyle w:val="subsection"/>
      </w:pPr>
      <w:r w:rsidRPr="00CB26C4">
        <w:tab/>
        <w:t>(2)</w:t>
      </w:r>
      <w:r w:rsidRPr="00CB26C4">
        <w:tab/>
        <w:t xml:space="preserve">However, </w:t>
      </w:r>
      <w:r w:rsidR="00C934A5" w:rsidRPr="00CB26C4">
        <w:t>subsection (</w:t>
      </w:r>
      <w:r w:rsidRPr="00CB26C4">
        <w:t>1) does not prevent notations or markings being made on the record in accordance with ordinary practice.</w:t>
      </w:r>
    </w:p>
    <w:p w14:paraId="1201CB17" w14:textId="77777777" w:rsidR="00B64EFD" w:rsidRPr="00CB26C4" w:rsidRDefault="00B64EFD" w:rsidP="00B64EFD">
      <w:pPr>
        <w:pStyle w:val="subsection"/>
      </w:pPr>
      <w:r w:rsidRPr="00CB26C4">
        <w:tab/>
        <w:t>(3)</w:t>
      </w:r>
      <w:r w:rsidRPr="00CB26C4">
        <w:tab/>
        <w:t xml:space="preserve">If the record (the </w:t>
      </w:r>
      <w:r w:rsidRPr="00CB26C4">
        <w:rPr>
          <w:b/>
          <w:i/>
        </w:rPr>
        <w:t>original record</w:t>
      </w:r>
      <w:r w:rsidRPr="00CB26C4">
        <w:t>) is altered or defaced during the retention period, the person who is required to retain the original record must also retain, during the retention period, each document:</w:t>
      </w:r>
    </w:p>
    <w:p w14:paraId="69D8E774" w14:textId="77777777" w:rsidR="00B64EFD" w:rsidRPr="00CB26C4" w:rsidRDefault="00B64EFD" w:rsidP="00B64EFD">
      <w:pPr>
        <w:pStyle w:val="paragraph"/>
      </w:pPr>
      <w:r w:rsidRPr="00CB26C4">
        <w:tab/>
        <w:t>(a)</w:t>
      </w:r>
      <w:r w:rsidRPr="00CB26C4">
        <w:tab/>
        <w:t>that the person creates or that comes into the person’s possession; and</w:t>
      </w:r>
    </w:p>
    <w:p w14:paraId="41342C86" w14:textId="77777777" w:rsidR="00B64EFD" w:rsidRPr="00CB26C4" w:rsidRDefault="00B64EFD" w:rsidP="00B64EFD">
      <w:pPr>
        <w:pStyle w:val="paragraph"/>
      </w:pPr>
      <w:r w:rsidRPr="00CB26C4">
        <w:tab/>
        <w:t>(b)</w:t>
      </w:r>
      <w:r w:rsidRPr="00CB26C4">
        <w:tab/>
        <w:t>that shows how the original record was altered or defaced.</w:t>
      </w:r>
    </w:p>
    <w:p w14:paraId="099CF34A" w14:textId="77777777" w:rsidR="00B64EFD" w:rsidRPr="00CB26C4" w:rsidRDefault="00B64EFD" w:rsidP="00B64EFD">
      <w:pPr>
        <w:pStyle w:val="ActHead2"/>
        <w:pageBreakBefore/>
      </w:pPr>
      <w:bookmarkStart w:id="54" w:name="_Toc66352014"/>
      <w:r w:rsidRPr="00780841">
        <w:rPr>
          <w:rStyle w:val="CharPartNo"/>
        </w:rPr>
        <w:lastRenderedPageBreak/>
        <w:t>Part 2</w:t>
      </w:r>
      <w:r w:rsidRPr="00CB26C4">
        <w:t>—</w:t>
      </w:r>
      <w:r w:rsidRPr="00780841">
        <w:rPr>
          <w:rStyle w:val="CharPartText"/>
        </w:rPr>
        <w:t>Relevant Commonwealth liabilities</w:t>
      </w:r>
      <w:bookmarkEnd w:id="54"/>
    </w:p>
    <w:p w14:paraId="652E12DB"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33964582" w14:textId="77777777" w:rsidR="00B64EFD" w:rsidRPr="00CB26C4" w:rsidRDefault="00B64EFD" w:rsidP="00B64EFD">
      <w:pPr>
        <w:pStyle w:val="ActHead5"/>
      </w:pPr>
      <w:bookmarkStart w:id="55" w:name="_Toc66352015"/>
      <w:r w:rsidRPr="00780841">
        <w:rPr>
          <w:rStyle w:val="CharSectno"/>
        </w:rPr>
        <w:t>11</w:t>
      </w:r>
      <w:r w:rsidR="00CB26C4" w:rsidRPr="00780841">
        <w:rPr>
          <w:rStyle w:val="CharSectno"/>
        </w:rPr>
        <w:noBreakHyphen/>
      </w:r>
      <w:r w:rsidRPr="00780841">
        <w:rPr>
          <w:rStyle w:val="CharSectno"/>
        </w:rPr>
        <w:t>6</w:t>
      </w:r>
      <w:r w:rsidRPr="00CB26C4">
        <w:t xml:space="preserve">  Circumstances in which relevant Commonwealth liability of a person is taken to have been paid</w:t>
      </w:r>
      <w:bookmarkEnd w:id="55"/>
    </w:p>
    <w:p w14:paraId="26F55FEC" w14:textId="77777777" w:rsidR="00B64EFD" w:rsidRPr="00CB26C4" w:rsidRDefault="00B64EFD" w:rsidP="00B64EFD">
      <w:pPr>
        <w:pStyle w:val="SubsectionHead"/>
      </w:pPr>
      <w:r w:rsidRPr="00CB26C4">
        <w:t>Purpose of this section</w:t>
      </w:r>
    </w:p>
    <w:p w14:paraId="2E6DB674" w14:textId="77777777" w:rsidR="00B64EFD" w:rsidRPr="00CB26C4" w:rsidRDefault="00B64EFD" w:rsidP="00B64EFD">
      <w:pPr>
        <w:pStyle w:val="subsection"/>
      </w:pPr>
      <w:r w:rsidRPr="00CB26C4">
        <w:tab/>
        <w:t>(1)</w:t>
      </w:r>
      <w:r w:rsidRPr="00CB26C4">
        <w:tab/>
        <w:t xml:space="preserve">For the purposes of section 431 of the Act, this section prescribes circumstances in which a relevant Commonwealth liability of a person is taken to have been paid for the purposes of either of the following provisions of the Act (a </w:t>
      </w:r>
      <w:r w:rsidRPr="00CB26C4">
        <w:rPr>
          <w:b/>
          <w:i/>
        </w:rPr>
        <w:t>relevant provision</w:t>
      </w:r>
      <w:r w:rsidRPr="00CB26C4">
        <w:t>):</w:t>
      </w:r>
    </w:p>
    <w:p w14:paraId="41FD5230" w14:textId="77777777" w:rsidR="00B64EFD" w:rsidRPr="00CB26C4" w:rsidRDefault="00B64EFD" w:rsidP="00B64EFD">
      <w:pPr>
        <w:pStyle w:val="paragraph"/>
      </w:pPr>
      <w:r w:rsidRPr="00CB26C4">
        <w:tab/>
        <w:t>(a)</w:t>
      </w:r>
      <w:r w:rsidRPr="00CB26C4">
        <w:tab/>
        <w:t>paragraph 191(2)(b) (grant of export licence);</w:t>
      </w:r>
    </w:p>
    <w:p w14:paraId="2E46D14F" w14:textId="77777777" w:rsidR="00B64EFD" w:rsidRPr="00CB26C4" w:rsidRDefault="00B64EFD" w:rsidP="00B64EFD">
      <w:pPr>
        <w:pStyle w:val="paragraph"/>
      </w:pPr>
      <w:r w:rsidRPr="00CB26C4">
        <w:tab/>
        <w:t>(b)</w:t>
      </w:r>
      <w:r w:rsidRPr="00CB26C4">
        <w:tab/>
        <w:t>paragraph 199(3)(a) (variation of export licence).</w:t>
      </w:r>
    </w:p>
    <w:p w14:paraId="6DD87D51" w14:textId="77777777" w:rsidR="00B64EFD" w:rsidRPr="00CB26C4" w:rsidRDefault="00B64EFD" w:rsidP="00B64EFD">
      <w:pPr>
        <w:pStyle w:val="notetext"/>
      </w:pPr>
      <w:r w:rsidRPr="00CB26C4">
        <w:t>Note:</w:t>
      </w:r>
      <w:r w:rsidRPr="00CB26C4">
        <w:tab/>
        <w:t xml:space="preserve">For </w:t>
      </w:r>
      <w:r w:rsidRPr="00CB26C4">
        <w:rPr>
          <w:b/>
          <w:i/>
        </w:rPr>
        <w:t>relevant Commonwealth liability</w:t>
      </w:r>
      <w:r w:rsidRPr="00CB26C4">
        <w:t>, see section 12 of the Act.</w:t>
      </w:r>
    </w:p>
    <w:p w14:paraId="254C806B" w14:textId="77777777" w:rsidR="00B64EFD" w:rsidRPr="00CB26C4" w:rsidRDefault="00B64EFD" w:rsidP="00B64EFD">
      <w:pPr>
        <w:pStyle w:val="SubsectionHead"/>
      </w:pPr>
      <w:r w:rsidRPr="00CB26C4">
        <w:t>Payment undertaking may be given</w:t>
      </w:r>
    </w:p>
    <w:p w14:paraId="02E7433F" w14:textId="77777777" w:rsidR="00B64EFD" w:rsidRPr="00CB26C4" w:rsidRDefault="00B64EFD" w:rsidP="00B64EFD">
      <w:pPr>
        <w:pStyle w:val="subsection"/>
        <w:rPr>
          <w:u w:val="single"/>
        </w:rPr>
      </w:pPr>
      <w:r w:rsidRPr="00CB26C4">
        <w:tab/>
        <w:t>(2)</w:t>
      </w:r>
      <w:r w:rsidRPr="00CB26C4">
        <w:tab/>
        <w:t>A relevant Commonwealth liability of a person is taken to have been paid for the purposes of a relevant provision if:</w:t>
      </w:r>
    </w:p>
    <w:p w14:paraId="7D0B681A" w14:textId="77777777" w:rsidR="00B64EFD" w:rsidRPr="00CB26C4" w:rsidRDefault="00B64EFD" w:rsidP="00B64EFD">
      <w:pPr>
        <w:pStyle w:val="paragraph"/>
      </w:pPr>
      <w:r w:rsidRPr="00CB26C4">
        <w:tab/>
        <w:t>(a)</w:t>
      </w:r>
      <w:r w:rsidRPr="00CB26C4">
        <w:tab/>
        <w:t xml:space="preserve">the person, or another person, has given a written undertaking (a </w:t>
      </w:r>
      <w:r w:rsidRPr="00CB26C4">
        <w:rPr>
          <w:b/>
          <w:i/>
        </w:rPr>
        <w:t>payment undertaking</w:t>
      </w:r>
      <w:r w:rsidRPr="00CB26C4">
        <w:t>) to the Secretary to pay the amount of the relevant Commonwealth liability; and</w:t>
      </w:r>
    </w:p>
    <w:p w14:paraId="39A5B1B2" w14:textId="77777777" w:rsidR="00B64EFD" w:rsidRPr="00CB26C4" w:rsidRDefault="00B64EFD" w:rsidP="00B64EFD">
      <w:pPr>
        <w:pStyle w:val="paragraph"/>
      </w:pPr>
      <w:r w:rsidRPr="00CB26C4">
        <w:tab/>
        <w:t>(b)</w:t>
      </w:r>
      <w:r w:rsidRPr="00CB26C4">
        <w:tab/>
        <w:t>the payment undertaking includes a term that the relevant Commonwealth liability is to be reduced by each amount paid in accordance with the undertaking; and</w:t>
      </w:r>
    </w:p>
    <w:p w14:paraId="249EDAFF" w14:textId="77777777" w:rsidR="00B64EFD" w:rsidRPr="00CB26C4" w:rsidRDefault="00B64EFD" w:rsidP="00B64EFD">
      <w:pPr>
        <w:pStyle w:val="paragraph"/>
      </w:pPr>
      <w:r w:rsidRPr="00CB26C4">
        <w:tab/>
        <w:t>(c)</w:t>
      </w:r>
      <w:r w:rsidRPr="00CB26C4">
        <w:tab/>
        <w:t>the Secretary has accepted the payment undertaking, having considered the following matters:</w:t>
      </w:r>
    </w:p>
    <w:p w14:paraId="7D444099" w14:textId="77777777" w:rsidR="00B64EFD" w:rsidRPr="00CB26C4" w:rsidRDefault="00B64EFD" w:rsidP="00B64EFD">
      <w:pPr>
        <w:pStyle w:val="paragraphsub"/>
      </w:pPr>
      <w:r w:rsidRPr="00CB26C4">
        <w:tab/>
        <w:t>(i)</w:t>
      </w:r>
      <w:r w:rsidRPr="00CB26C4">
        <w:tab/>
        <w:t>the financial position of the person who gave the payment undertaking;</w:t>
      </w:r>
    </w:p>
    <w:p w14:paraId="3E6F373A" w14:textId="77777777" w:rsidR="00B64EFD" w:rsidRPr="00CB26C4" w:rsidRDefault="00B64EFD" w:rsidP="00B64EFD">
      <w:pPr>
        <w:pStyle w:val="paragraphsub"/>
      </w:pPr>
      <w:r w:rsidRPr="00CB26C4">
        <w:tab/>
        <w:t>(ii)</w:t>
      </w:r>
      <w:r w:rsidRPr="00CB26C4">
        <w:tab/>
        <w:t>the nature and likely cost of the export operations to which a decision under the relevant provision relates;</w:t>
      </w:r>
    </w:p>
    <w:p w14:paraId="4BA67979" w14:textId="77777777" w:rsidR="00B64EFD" w:rsidRPr="00CB26C4" w:rsidRDefault="00B64EFD" w:rsidP="00B64EFD">
      <w:pPr>
        <w:pStyle w:val="paragraphsub"/>
      </w:pPr>
      <w:r w:rsidRPr="00CB26C4">
        <w:tab/>
        <w:t>(iii)</w:t>
      </w:r>
      <w:r w:rsidRPr="00CB26C4">
        <w:tab/>
        <w:t>whether the person who gave the payment undertaking will be able to comply with the undertaking and, if applicable, meet the cost of the export operations referred to in sub</w:t>
      </w:r>
      <w:r w:rsidR="00D8534C" w:rsidRPr="00CB26C4">
        <w:t>paragraph (</w:t>
      </w:r>
      <w:r w:rsidRPr="00CB26C4">
        <w:t>ii);</w:t>
      </w:r>
    </w:p>
    <w:p w14:paraId="4C8EE2C9" w14:textId="77777777" w:rsidR="00B64EFD" w:rsidRPr="00CB26C4" w:rsidRDefault="00B64EFD" w:rsidP="00B64EFD">
      <w:pPr>
        <w:pStyle w:val="paragraphsub"/>
      </w:pPr>
      <w:r w:rsidRPr="00CB26C4">
        <w:tab/>
        <w:t>(iv)</w:t>
      </w:r>
      <w:r w:rsidRPr="00CB26C4">
        <w:tab/>
        <w:t>any other relevant considerations.</w:t>
      </w:r>
    </w:p>
    <w:p w14:paraId="209F0BF8" w14:textId="77777777" w:rsidR="00B64EFD" w:rsidRPr="00CB26C4" w:rsidRDefault="00B64EFD" w:rsidP="00B64EFD">
      <w:pPr>
        <w:pStyle w:val="subsection"/>
      </w:pPr>
      <w:r w:rsidRPr="00CB26C4">
        <w:tab/>
        <w:t>(3)</w:t>
      </w:r>
      <w:r w:rsidRPr="00CB26C4">
        <w:tab/>
        <w:t>A payment undertaking may be given by a person in relation to:</w:t>
      </w:r>
    </w:p>
    <w:p w14:paraId="109ADF7F" w14:textId="77777777" w:rsidR="00B64EFD" w:rsidRPr="00CB26C4" w:rsidRDefault="00B64EFD" w:rsidP="00B64EFD">
      <w:pPr>
        <w:pStyle w:val="paragraph"/>
      </w:pPr>
      <w:r w:rsidRPr="00CB26C4">
        <w:tab/>
        <w:t>(a)</w:t>
      </w:r>
      <w:r w:rsidRPr="00CB26C4">
        <w:tab/>
        <w:t>a relevant Commonwealth liability of the person; or</w:t>
      </w:r>
    </w:p>
    <w:p w14:paraId="207CB9AB" w14:textId="77777777" w:rsidR="00B64EFD" w:rsidRPr="00CB26C4" w:rsidRDefault="00B64EFD" w:rsidP="00B64EFD">
      <w:pPr>
        <w:pStyle w:val="paragraph"/>
      </w:pPr>
      <w:r w:rsidRPr="00CB26C4">
        <w:tab/>
        <w:t>(b)</w:t>
      </w:r>
      <w:r w:rsidRPr="00CB26C4">
        <w:tab/>
        <w:t>a relevant Commonwealth liability of another person.</w:t>
      </w:r>
    </w:p>
    <w:p w14:paraId="6BEBA73D" w14:textId="77777777" w:rsidR="00B64EFD" w:rsidRPr="00CB26C4" w:rsidRDefault="00B64EFD" w:rsidP="00B64EFD">
      <w:pPr>
        <w:pStyle w:val="SubsectionHead"/>
      </w:pPr>
      <w:r w:rsidRPr="00CB26C4">
        <w:t>Payment undertaking may relate to 2 or more relevant Commonwealth liabilities</w:t>
      </w:r>
    </w:p>
    <w:p w14:paraId="4A7BD25C" w14:textId="77777777" w:rsidR="00B64EFD" w:rsidRPr="00CB26C4" w:rsidRDefault="00B64EFD" w:rsidP="00B64EFD">
      <w:pPr>
        <w:pStyle w:val="subsection"/>
      </w:pPr>
      <w:r w:rsidRPr="00CB26C4">
        <w:tab/>
        <w:t>(4)</w:t>
      </w:r>
      <w:r w:rsidRPr="00CB26C4">
        <w:tab/>
        <w:t>A single payment undertaking may relate to 2 or more relevant Commonwealth liabilities.</w:t>
      </w:r>
    </w:p>
    <w:p w14:paraId="0B41EF5D" w14:textId="77777777" w:rsidR="00B64EFD" w:rsidRPr="00CB26C4" w:rsidRDefault="00B64EFD" w:rsidP="00B64EFD">
      <w:pPr>
        <w:pStyle w:val="subsection"/>
      </w:pPr>
      <w:r w:rsidRPr="00CB26C4">
        <w:tab/>
        <w:t>(5)</w:t>
      </w:r>
      <w:r w:rsidRPr="00CB26C4">
        <w:tab/>
        <w:t>If:</w:t>
      </w:r>
    </w:p>
    <w:p w14:paraId="7B887163" w14:textId="77777777" w:rsidR="00B64EFD" w:rsidRPr="00CB26C4" w:rsidRDefault="00B64EFD" w:rsidP="00B64EFD">
      <w:pPr>
        <w:pStyle w:val="paragraph"/>
      </w:pPr>
      <w:r w:rsidRPr="00CB26C4">
        <w:tab/>
        <w:t>(a)</w:t>
      </w:r>
      <w:r w:rsidRPr="00CB26C4">
        <w:tab/>
        <w:t>a payment undertaking relates to 2 or more relevant Commonwealth liabilities; or</w:t>
      </w:r>
    </w:p>
    <w:p w14:paraId="3C72E26B" w14:textId="77777777" w:rsidR="00B64EFD" w:rsidRPr="00CB26C4" w:rsidRDefault="00B64EFD" w:rsidP="00B64EFD">
      <w:pPr>
        <w:pStyle w:val="paragraph"/>
      </w:pPr>
      <w:r w:rsidRPr="00CB26C4">
        <w:lastRenderedPageBreak/>
        <w:tab/>
        <w:t>(b)</w:t>
      </w:r>
      <w:r w:rsidRPr="00CB26C4">
        <w:tab/>
        <w:t>a person has given 2 or more payment undertakings in relation to different relevant Commonwealth liabilities of the person or of another person;</w:t>
      </w:r>
    </w:p>
    <w:p w14:paraId="1E64FBAA" w14:textId="77777777" w:rsidR="00B64EFD" w:rsidRPr="00CB26C4" w:rsidRDefault="00B64EFD" w:rsidP="00B64EFD">
      <w:pPr>
        <w:pStyle w:val="subsection2"/>
      </w:pPr>
      <w:r w:rsidRPr="00CB26C4">
        <w:t>the Secretary may determine the order in which payments are to be applied to reduce the outstanding relevant Commonwealth liabilities.</w:t>
      </w:r>
    </w:p>
    <w:p w14:paraId="2317659A" w14:textId="77777777" w:rsidR="00B64EFD" w:rsidRPr="00CB26C4" w:rsidRDefault="00B64EFD" w:rsidP="00B64EFD">
      <w:pPr>
        <w:pStyle w:val="SubsectionHead"/>
      </w:pPr>
      <w:r w:rsidRPr="00CB26C4">
        <w:t>Variation of payment undertaking</w:t>
      </w:r>
    </w:p>
    <w:p w14:paraId="53A18B4D" w14:textId="77777777" w:rsidR="00B64EFD" w:rsidRPr="00CB26C4" w:rsidRDefault="00B64EFD" w:rsidP="00B64EFD">
      <w:pPr>
        <w:pStyle w:val="subsection"/>
      </w:pPr>
      <w:r w:rsidRPr="00CB26C4">
        <w:tab/>
        <w:t>(6)</w:t>
      </w:r>
      <w:r w:rsidRPr="00CB26C4">
        <w:tab/>
        <w:t>A payment undertaking may be varied at any time by agreement between the Secretary and the person who gave the undertaking.</w:t>
      </w:r>
    </w:p>
    <w:p w14:paraId="7769F850" w14:textId="77777777" w:rsidR="00B64EFD" w:rsidRPr="00CB26C4" w:rsidRDefault="00B64EFD" w:rsidP="00B64EFD">
      <w:pPr>
        <w:pStyle w:val="subsection"/>
      </w:pPr>
      <w:r w:rsidRPr="00CB26C4">
        <w:tab/>
        <w:t>(7)</w:t>
      </w:r>
      <w:r w:rsidRPr="00CB26C4">
        <w:tab/>
        <w:t>The Secretary may agree to a variation of a payment undertaking if:</w:t>
      </w:r>
    </w:p>
    <w:p w14:paraId="3768121E" w14:textId="77777777" w:rsidR="00B64EFD" w:rsidRPr="00CB26C4" w:rsidRDefault="00B64EFD" w:rsidP="00B64EFD">
      <w:pPr>
        <w:pStyle w:val="paragraph"/>
      </w:pPr>
      <w:r w:rsidRPr="00CB26C4">
        <w:tab/>
        <w:t>(a)</w:t>
      </w:r>
      <w:r w:rsidRPr="00CB26C4">
        <w:tab/>
        <w:t xml:space="preserve">having considered the matters referred to in </w:t>
      </w:r>
      <w:r w:rsidR="00D8534C" w:rsidRPr="00CB26C4">
        <w:t>paragraph (</w:t>
      </w:r>
      <w:r w:rsidRPr="00CB26C4">
        <w:t>2)(c), the Secretary considers the variation is appropriate; and</w:t>
      </w:r>
    </w:p>
    <w:p w14:paraId="2E8BE8E2" w14:textId="77777777" w:rsidR="00B64EFD" w:rsidRPr="00CB26C4" w:rsidRDefault="00B64EFD" w:rsidP="00B64EFD">
      <w:pPr>
        <w:pStyle w:val="paragraph"/>
      </w:pPr>
      <w:r w:rsidRPr="00CB26C4">
        <w:tab/>
        <w:t>(b)</w:t>
      </w:r>
      <w:r w:rsidRPr="00CB26C4">
        <w:tab/>
        <w:t>the variation does not reduce the amount of any relevant Commonwealth liability covered by the undertaking that has not been paid.</w:t>
      </w:r>
    </w:p>
    <w:p w14:paraId="4871F3BA" w14:textId="77777777" w:rsidR="00B64EFD" w:rsidRPr="00CB26C4" w:rsidRDefault="00B64EFD" w:rsidP="00B64EFD">
      <w:pPr>
        <w:pStyle w:val="ActHead1"/>
        <w:pageBreakBefore/>
      </w:pPr>
      <w:bookmarkStart w:id="56" w:name="_Toc66352016"/>
      <w:r w:rsidRPr="00780841">
        <w:rPr>
          <w:rStyle w:val="CharChapNo"/>
        </w:rPr>
        <w:lastRenderedPageBreak/>
        <w:t>Chapter 12</w:t>
      </w:r>
      <w:r w:rsidRPr="00CB26C4">
        <w:t>—</w:t>
      </w:r>
      <w:r w:rsidRPr="00780841">
        <w:rPr>
          <w:rStyle w:val="CharChapText"/>
        </w:rPr>
        <w:t>Transitional provisions</w:t>
      </w:r>
      <w:bookmarkEnd w:id="56"/>
    </w:p>
    <w:p w14:paraId="56A0074D" w14:textId="77777777" w:rsidR="00B64EFD" w:rsidRPr="00780841" w:rsidRDefault="00B64EFD" w:rsidP="00B64EFD">
      <w:pPr>
        <w:pStyle w:val="Header"/>
      </w:pPr>
      <w:bookmarkStart w:id="57" w:name="f_Check_Lines_below"/>
      <w:bookmarkEnd w:id="57"/>
      <w:r w:rsidRPr="00780841">
        <w:rPr>
          <w:rStyle w:val="CharPartNo"/>
        </w:rPr>
        <w:t xml:space="preserve"> </w:t>
      </w:r>
      <w:r w:rsidRPr="00780841">
        <w:rPr>
          <w:rStyle w:val="CharPartText"/>
        </w:rPr>
        <w:t xml:space="preserve"> </w:t>
      </w:r>
    </w:p>
    <w:p w14:paraId="544501EB" w14:textId="77777777" w:rsidR="00B64EFD" w:rsidRPr="00780841" w:rsidRDefault="00B64EFD" w:rsidP="00B64EFD">
      <w:pPr>
        <w:pStyle w:val="Header"/>
      </w:pPr>
      <w:r w:rsidRPr="00780841">
        <w:rPr>
          <w:rStyle w:val="CharDivNo"/>
        </w:rPr>
        <w:t xml:space="preserve"> </w:t>
      </w:r>
      <w:r w:rsidRPr="00780841">
        <w:rPr>
          <w:rStyle w:val="CharDivText"/>
        </w:rPr>
        <w:t xml:space="preserve"> </w:t>
      </w:r>
    </w:p>
    <w:p w14:paraId="76677241" w14:textId="77777777" w:rsidR="00B64EFD" w:rsidRPr="00CB26C4" w:rsidRDefault="00B64EFD" w:rsidP="00B64EFD">
      <w:pPr>
        <w:pStyle w:val="ActHead5"/>
      </w:pPr>
      <w:bookmarkStart w:id="58" w:name="_Toc66352017"/>
      <w:r w:rsidRPr="00780841">
        <w:rPr>
          <w:rStyle w:val="CharSectno"/>
        </w:rPr>
        <w:t>12</w:t>
      </w:r>
      <w:r w:rsidR="00CB26C4" w:rsidRPr="00780841">
        <w:rPr>
          <w:rStyle w:val="CharSectno"/>
        </w:rPr>
        <w:noBreakHyphen/>
      </w:r>
      <w:r w:rsidRPr="00780841">
        <w:rPr>
          <w:rStyle w:val="CharSectno"/>
        </w:rPr>
        <w:t>1</w:t>
      </w:r>
      <w:r w:rsidRPr="00CB26C4">
        <w:t xml:space="preserve">  State codes of practice</w:t>
      </w:r>
      <w:bookmarkEnd w:id="58"/>
    </w:p>
    <w:p w14:paraId="7997184D" w14:textId="77777777" w:rsidR="00B64EFD" w:rsidRPr="00CB26C4" w:rsidRDefault="00B64EFD" w:rsidP="00B64EFD">
      <w:pPr>
        <w:pStyle w:val="subsection"/>
      </w:pPr>
      <w:r w:rsidRPr="00CB26C4">
        <w:tab/>
        <w:t>(1)</w:t>
      </w:r>
      <w:r w:rsidRPr="00CB26C4">
        <w:tab/>
        <w:t xml:space="preserve">This section applies in relation to a code of practice for a State, within the meaning of the </w:t>
      </w:r>
      <w:r w:rsidRPr="00CB26C4">
        <w:rPr>
          <w:i/>
        </w:rPr>
        <w:t>Export Control (Unprocessed Wood) Regulations</w:t>
      </w:r>
      <w:r w:rsidRPr="00CB26C4">
        <w:t xml:space="preserve"> (as in force immediately before the commencement time), if:</w:t>
      </w:r>
    </w:p>
    <w:p w14:paraId="348C495E" w14:textId="77777777" w:rsidR="00B64EFD" w:rsidRPr="00CB26C4" w:rsidRDefault="00B64EFD" w:rsidP="00B64EFD">
      <w:pPr>
        <w:pStyle w:val="paragraph"/>
      </w:pPr>
      <w:r w:rsidRPr="00CB26C4">
        <w:tab/>
        <w:t>(a)</w:t>
      </w:r>
      <w:r w:rsidRPr="00CB26C4">
        <w:tab/>
        <w:t>the Minister had approved the code of practice under regulation 4B of those Regulations; and</w:t>
      </w:r>
    </w:p>
    <w:p w14:paraId="04E77DAF" w14:textId="77777777" w:rsidR="00B64EFD" w:rsidRPr="00CB26C4" w:rsidRDefault="00B64EFD" w:rsidP="00B64EFD">
      <w:pPr>
        <w:pStyle w:val="paragraph"/>
      </w:pPr>
      <w:r w:rsidRPr="00CB26C4">
        <w:tab/>
        <w:t>(b)</w:t>
      </w:r>
      <w:r w:rsidRPr="00CB26C4">
        <w:tab/>
        <w:t>the approval was in force immediately before the commencement time.</w:t>
      </w:r>
    </w:p>
    <w:p w14:paraId="3FCD5095" w14:textId="77777777" w:rsidR="00B64EFD" w:rsidRPr="00CB26C4" w:rsidRDefault="00B64EFD" w:rsidP="00B64EFD">
      <w:pPr>
        <w:pStyle w:val="subsection"/>
      </w:pPr>
      <w:r w:rsidRPr="00CB26C4">
        <w:tab/>
        <w:t>(2)</w:t>
      </w:r>
      <w:r w:rsidRPr="00CB26C4">
        <w:tab/>
        <w:t>The approval of the code of practice continues in force as if it had been given under subsection 2</w:t>
      </w:r>
      <w:r w:rsidR="00CB26C4">
        <w:noBreakHyphen/>
      </w:r>
      <w:r w:rsidRPr="00CB26C4">
        <w:t>7(1) of this instrument.</w:t>
      </w:r>
    </w:p>
    <w:p w14:paraId="42992BD6" w14:textId="77777777" w:rsidR="00B64EFD" w:rsidRPr="00CB26C4" w:rsidRDefault="00B64EFD" w:rsidP="00B64EFD">
      <w:pPr>
        <w:pStyle w:val="subsection"/>
      </w:pPr>
      <w:r w:rsidRPr="00CB26C4">
        <w:tab/>
        <w:t>(3)</w:t>
      </w:r>
      <w:r w:rsidRPr="00CB26C4">
        <w:tab/>
        <w:t>In this section:</w:t>
      </w:r>
    </w:p>
    <w:p w14:paraId="09338411" w14:textId="77777777" w:rsidR="00B64EFD" w:rsidRPr="00CB26C4" w:rsidRDefault="00B64EFD" w:rsidP="00B64EFD">
      <w:pPr>
        <w:pStyle w:val="Definition"/>
      </w:pPr>
      <w:r w:rsidRPr="00CB26C4">
        <w:rPr>
          <w:b/>
          <w:i/>
        </w:rPr>
        <w:t>commencement time</w:t>
      </w:r>
      <w:r w:rsidRPr="00CB26C4">
        <w:t xml:space="preserve"> means the time when section 3 of the </w:t>
      </w:r>
      <w:r w:rsidRPr="00CB26C4">
        <w:rPr>
          <w:i/>
        </w:rPr>
        <w:t>Export Control Act 2020</w:t>
      </w:r>
      <w:r w:rsidRPr="00CB26C4">
        <w:t xml:space="preserve"> commences.</w:t>
      </w:r>
    </w:p>
    <w:sectPr w:rsidR="00B64EFD" w:rsidRPr="00CB26C4" w:rsidSect="00D143E2">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960BD" w14:textId="77777777" w:rsidR="005779F5" w:rsidRDefault="005779F5" w:rsidP="00715914">
      <w:pPr>
        <w:spacing w:line="240" w:lineRule="auto"/>
      </w:pPr>
      <w:r>
        <w:separator/>
      </w:r>
    </w:p>
  </w:endnote>
  <w:endnote w:type="continuationSeparator" w:id="0">
    <w:p w14:paraId="58D40E68" w14:textId="77777777" w:rsidR="005779F5" w:rsidRDefault="005779F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4988" w14:textId="77777777" w:rsidR="00780841" w:rsidRPr="00D143E2" w:rsidRDefault="00D143E2" w:rsidP="00D143E2">
    <w:pPr>
      <w:pStyle w:val="Footer"/>
      <w:rPr>
        <w:i/>
        <w:sz w:val="18"/>
      </w:rPr>
    </w:pPr>
    <w:r w:rsidRPr="00D143E2">
      <w:rPr>
        <w:i/>
        <w:sz w:val="18"/>
      </w:rPr>
      <w:t>OPC64327 -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F72E" w14:textId="77777777" w:rsidR="005779F5" w:rsidRDefault="005779F5" w:rsidP="002B77F3">
    <w:pPr>
      <w:pStyle w:val="Footer"/>
    </w:pPr>
  </w:p>
  <w:p w14:paraId="4A8467B7" w14:textId="77777777" w:rsidR="005779F5" w:rsidRPr="00D143E2" w:rsidRDefault="00D143E2" w:rsidP="00D143E2">
    <w:pPr>
      <w:pStyle w:val="Footer"/>
      <w:rPr>
        <w:i/>
        <w:sz w:val="18"/>
      </w:rPr>
    </w:pPr>
    <w:r w:rsidRPr="00D143E2">
      <w:rPr>
        <w:i/>
        <w:sz w:val="18"/>
      </w:rPr>
      <w:t>OPC64327 -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0BFD" w14:textId="77777777" w:rsidR="005779F5" w:rsidRPr="00D143E2" w:rsidRDefault="00D143E2" w:rsidP="00D143E2">
    <w:pPr>
      <w:pStyle w:val="Footer"/>
      <w:tabs>
        <w:tab w:val="clear" w:pos="4153"/>
        <w:tab w:val="clear" w:pos="8306"/>
        <w:tab w:val="center" w:pos="4150"/>
        <w:tab w:val="right" w:pos="8307"/>
      </w:tabs>
      <w:spacing w:before="120"/>
      <w:rPr>
        <w:i/>
        <w:sz w:val="18"/>
      </w:rPr>
    </w:pPr>
    <w:r w:rsidRPr="00D143E2">
      <w:rPr>
        <w:i/>
        <w:sz w:val="18"/>
      </w:rPr>
      <w:t>OPC64327 -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1D14" w14:textId="77777777" w:rsidR="005779F5" w:rsidRPr="00E33C1C" w:rsidRDefault="005779F5" w:rsidP="002B77F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779F5" w14:paraId="491C2DE8" w14:textId="77777777" w:rsidTr="00780841">
      <w:tc>
        <w:tcPr>
          <w:tcW w:w="709" w:type="dxa"/>
          <w:tcBorders>
            <w:top w:val="nil"/>
            <w:left w:val="nil"/>
            <w:bottom w:val="nil"/>
            <w:right w:val="nil"/>
          </w:tcBorders>
        </w:tcPr>
        <w:p w14:paraId="1C605C1D" w14:textId="77777777" w:rsidR="005779F5" w:rsidRDefault="005779F5" w:rsidP="005779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776F">
            <w:rPr>
              <w:i/>
              <w:noProof/>
              <w:sz w:val="18"/>
            </w:rPr>
            <w:t>ii</w:t>
          </w:r>
          <w:r w:rsidRPr="00ED79B6">
            <w:rPr>
              <w:i/>
              <w:sz w:val="18"/>
            </w:rPr>
            <w:fldChar w:fldCharType="end"/>
          </w:r>
        </w:p>
      </w:tc>
      <w:tc>
        <w:tcPr>
          <w:tcW w:w="6379" w:type="dxa"/>
          <w:tcBorders>
            <w:top w:val="nil"/>
            <w:left w:val="nil"/>
            <w:bottom w:val="nil"/>
            <w:right w:val="nil"/>
          </w:tcBorders>
        </w:tcPr>
        <w:p w14:paraId="37BA81D4" w14:textId="34CF73A5" w:rsidR="005779F5" w:rsidRDefault="005779F5" w:rsidP="005779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719B">
            <w:rPr>
              <w:i/>
              <w:sz w:val="18"/>
            </w:rPr>
            <w:t>Export Control (Wood and Woodchips) Rules 2021</w:t>
          </w:r>
          <w:r w:rsidRPr="007A1328">
            <w:rPr>
              <w:i/>
              <w:sz w:val="18"/>
            </w:rPr>
            <w:fldChar w:fldCharType="end"/>
          </w:r>
        </w:p>
      </w:tc>
      <w:tc>
        <w:tcPr>
          <w:tcW w:w="1384" w:type="dxa"/>
          <w:tcBorders>
            <w:top w:val="nil"/>
            <w:left w:val="nil"/>
            <w:bottom w:val="nil"/>
            <w:right w:val="nil"/>
          </w:tcBorders>
        </w:tcPr>
        <w:p w14:paraId="09136BD3" w14:textId="77777777" w:rsidR="005779F5" w:rsidRDefault="005779F5" w:rsidP="005779F5">
          <w:pPr>
            <w:spacing w:line="0" w:lineRule="atLeast"/>
            <w:jc w:val="right"/>
            <w:rPr>
              <w:sz w:val="18"/>
            </w:rPr>
          </w:pPr>
        </w:p>
      </w:tc>
    </w:tr>
  </w:tbl>
  <w:p w14:paraId="5919F638" w14:textId="77777777" w:rsidR="005779F5" w:rsidRPr="00D143E2" w:rsidRDefault="00D143E2" w:rsidP="00D143E2">
    <w:pPr>
      <w:rPr>
        <w:rFonts w:cs="Times New Roman"/>
        <w:i/>
        <w:sz w:val="18"/>
      </w:rPr>
    </w:pPr>
    <w:r w:rsidRPr="00D143E2">
      <w:rPr>
        <w:rFonts w:cs="Times New Roman"/>
        <w:i/>
        <w:sz w:val="18"/>
      </w:rPr>
      <w:t>OPC64327 -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8087" w14:textId="77777777" w:rsidR="005779F5" w:rsidRPr="00E33C1C" w:rsidRDefault="005779F5" w:rsidP="002B77F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779F5" w14:paraId="4A47586B" w14:textId="77777777" w:rsidTr="005779F5">
      <w:tc>
        <w:tcPr>
          <w:tcW w:w="1383" w:type="dxa"/>
          <w:tcBorders>
            <w:top w:val="nil"/>
            <w:left w:val="nil"/>
            <w:bottom w:val="nil"/>
            <w:right w:val="nil"/>
          </w:tcBorders>
        </w:tcPr>
        <w:p w14:paraId="57B884C5" w14:textId="77777777" w:rsidR="005779F5" w:rsidRDefault="005779F5" w:rsidP="005779F5">
          <w:pPr>
            <w:spacing w:line="0" w:lineRule="atLeast"/>
            <w:rPr>
              <w:sz w:val="18"/>
            </w:rPr>
          </w:pPr>
        </w:p>
      </w:tc>
      <w:tc>
        <w:tcPr>
          <w:tcW w:w="6380" w:type="dxa"/>
          <w:tcBorders>
            <w:top w:val="nil"/>
            <w:left w:val="nil"/>
            <w:bottom w:val="nil"/>
            <w:right w:val="nil"/>
          </w:tcBorders>
        </w:tcPr>
        <w:p w14:paraId="5CCA6F94" w14:textId="74E4B96C" w:rsidR="005779F5" w:rsidRDefault="005779F5" w:rsidP="005779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719B">
            <w:rPr>
              <w:i/>
              <w:sz w:val="18"/>
            </w:rPr>
            <w:t>Export Control (Wood and Woodchips) Rules 2021</w:t>
          </w:r>
          <w:r w:rsidRPr="007A1328">
            <w:rPr>
              <w:i/>
              <w:sz w:val="18"/>
            </w:rPr>
            <w:fldChar w:fldCharType="end"/>
          </w:r>
        </w:p>
      </w:tc>
      <w:tc>
        <w:tcPr>
          <w:tcW w:w="709" w:type="dxa"/>
          <w:tcBorders>
            <w:top w:val="nil"/>
            <w:left w:val="nil"/>
            <w:bottom w:val="nil"/>
            <w:right w:val="nil"/>
          </w:tcBorders>
        </w:tcPr>
        <w:p w14:paraId="5D275DD3" w14:textId="77777777" w:rsidR="005779F5" w:rsidRDefault="005779F5" w:rsidP="005779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776F">
            <w:rPr>
              <w:i/>
              <w:noProof/>
              <w:sz w:val="18"/>
            </w:rPr>
            <w:t>i</w:t>
          </w:r>
          <w:r w:rsidRPr="00ED79B6">
            <w:rPr>
              <w:i/>
              <w:sz w:val="18"/>
            </w:rPr>
            <w:fldChar w:fldCharType="end"/>
          </w:r>
        </w:p>
      </w:tc>
    </w:tr>
  </w:tbl>
  <w:p w14:paraId="2E17E8DF" w14:textId="77777777" w:rsidR="005779F5" w:rsidRPr="00D143E2" w:rsidRDefault="00D143E2" w:rsidP="00D143E2">
    <w:pPr>
      <w:rPr>
        <w:rFonts w:cs="Times New Roman"/>
        <w:i/>
        <w:sz w:val="18"/>
      </w:rPr>
    </w:pPr>
    <w:r w:rsidRPr="00D143E2">
      <w:rPr>
        <w:rFonts w:cs="Times New Roman"/>
        <w:i/>
        <w:sz w:val="18"/>
      </w:rPr>
      <w:t>OPC64327 -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C41E" w14:textId="77777777" w:rsidR="005779F5" w:rsidRPr="00E33C1C" w:rsidRDefault="005779F5" w:rsidP="002B77F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779F5" w14:paraId="06DB9BFA" w14:textId="77777777" w:rsidTr="00780841">
      <w:tc>
        <w:tcPr>
          <w:tcW w:w="709" w:type="dxa"/>
          <w:tcBorders>
            <w:top w:val="nil"/>
            <w:left w:val="nil"/>
            <w:bottom w:val="nil"/>
            <w:right w:val="nil"/>
          </w:tcBorders>
        </w:tcPr>
        <w:p w14:paraId="4BA5841F" w14:textId="77777777" w:rsidR="005779F5" w:rsidRDefault="005779F5" w:rsidP="005779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776F">
            <w:rPr>
              <w:i/>
              <w:noProof/>
              <w:sz w:val="18"/>
            </w:rPr>
            <w:t>14</w:t>
          </w:r>
          <w:r w:rsidRPr="00ED79B6">
            <w:rPr>
              <w:i/>
              <w:sz w:val="18"/>
            </w:rPr>
            <w:fldChar w:fldCharType="end"/>
          </w:r>
        </w:p>
      </w:tc>
      <w:tc>
        <w:tcPr>
          <w:tcW w:w="6379" w:type="dxa"/>
          <w:tcBorders>
            <w:top w:val="nil"/>
            <w:left w:val="nil"/>
            <w:bottom w:val="nil"/>
            <w:right w:val="nil"/>
          </w:tcBorders>
        </w:tcPr>
        <w:p w14:paraId="27CA6F35" w14:textId="2120AAB9" w:rsidR="005779F5" w:rsidRDefault="005779F5" w:rsidP="005779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719B">
            <w:rPr>
              <w:i/>
              <w:sz w:val="18"/>
            </w:rPr>
            <w:t>Export Control (Wood and Woodchips) Rules 2021</w:t>
          </w:r>
          <w:r w:rsidRPr="007A1328">
            <w:rPr>
              <w:i/>
              <w:sz w:val="18"/>
            </w:rPr>
            <w:fldChar w:fldCharType="end"/>
          </w:r>
        </w:p>
      </w:tc>
      <w:tc>
        <w:tcPr>
          <w:tcW w:w="1384" w:type="dxa"/>
          <w:tcBorders>
            <w:top w:val="nil"/>
            <w:left w:val="nil"/>
            <w:bottom w:val="nil"/>
            <w:right w:val="nil"/>
          </w:tcBorders>
        </w:tcPr>
        <w:p w14:paraId="1C1904D8" w14:textId="77777777" w:rsidR="005779F5" w:rsidRDefault="005779F5" w:rsidP="005779F5">
          <w:pPr>
            <w:spacing w:line="0" w:lineRule="atLeast"/>
            <w:jc w:val="right"/>
            <w:rPr>
              <w:sz w:val="18"/>
            </w:rPr>
          </w:pPr>
        </w:p>
      </w:tc>
    </w:tr>
  </w:tbl>
  <w:p w14:paraId="31FB8091" w14:textId="77777777" w:rsidR="005779F5" w:rsidRPr="00D143E2" w:rsidRDefault="00D143E2" w:rsidP="00D143E2">
    <w:pPr>
      <w:rPr>
        <w:rFonts w:cs="Times New Roman"/>
        <w:i/>
        <w:sz w:val="18"/>
      </w:rPr>
    </w:pPr>
    <w:r w:rsidRPr="00D143E2">
      <w:rPr>
        <w:rFonts w:cs="Times New Roman"/>
        <w:i/>
        <w:sz w:val="18"/>
      </w:rPr>
      <w:t>OPC64327 -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04F2" w14:textId="77777777" w:rsidR="005779F5" w:rsidRPr="00E33C1C" w:rsidRDefault="005779F5" w:rsidP="002B77F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5779F5" w14:paraId="1901ABCD" w14:textId="77777777" w:rsidTr="005779F5">
      <w:tc>
        <w:tcPr>
          <w:tcW w:w="1384" w:type="dxa"/>
          <w:tcBorders>
            <w:top w:val="nil"/>
            <w:left w:val="nil"/>
            <w:bottom w:val="nil"/>
            <w:right w:val="nil"/>
          </w:tcBorders>
        </w:tcPr>
        <w:p w14:paraId="10685DC2" w14:textId="77777777" w:rsidR="005779F5" w:rsidRDefault="005779F5" w:rsidP="005779F5">
          <w:pPr>
            <w:spacing w:line="0" w:lineRule="atLeast"/>
            <w:rPr>
              <w:sz w:val="18"/>
            </w:rPr>
          </w:pPr>
        </w:p>
      </w:tc>
      <w:tc>
        <w:tcPr>
          <w:tcW w:w="6379" w:type="dxa"/>
          <w:tcBorders>
            <w:top w:val="nil"/>
            <w:left w:val="nil"/>
            <w:bottom w:val="nil"/>
            <w:right w:val="nil"/>
          </w:tcBorders>
        </w:tcPr>
        <w:p w14:paraId="0EE1848B" w14:textId="705BD1DB" w:rsidR="005779F5" w:rsidRDefault="005779F5" w:rsidP="005779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719B">
            <w:rPr>
              <w:i/>
              <w:sz w:val="18"/>
            </w:rPr>
            <w:t>Export Control (Wood and Woodchips) Rules 2021</w:t>
          </w:r>
          <w:r w:rsidRPr="007A1328">
            <w:rPr>
              <w:i/>
              <w:sz w:val="18"/>
            </w:rPr>
            <w:fldChar w:fldCharType="end"/>
          </w:r>
        </w:p>
      </w:tc>
      <w:tc>
        <w:tcPr>
          <w:tcW w:w="709" w:type="dxa"/>
          <w:tcBorders>
            <w:top w:val="nil"/>
            <w:left w:val="nil"/>
            <w:bottom w:val="nil"/>
            <w:right w:val="nil"/>
          </w:tcBorders>
        </w:tcPr>
        <w:p w14:paraId="7CA675C9" w14:textId="77777777" w:rsidR="005779F5" w:rsidRDefault="005779F5" w:rsidP="005779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776F">
            <w:rPr>
              <w:i/>
              <w:noProof/>
              <w:sz w:val="18"/>
            </w:rPr>
            <w:t>13</w:t>
          </w:r>
          <w:r w:rsidRPr="00ED79B6">
            <w:rPr>
              <w:i/>
              <w:sz w:val="18"/>
            </w:rPr>
            <w:fldChar w:fldCharType="end"/>
          </w:r>
        </w:p>
      </w:tc>
    </w:tr>
  </w:tbl>
  <w:p w14:paraId="7028986F" w14:textId="77777777" w:rsidR="005779F5" w:rsidRPr="00D143E2" w:rsidRDefault="00D143E2" w:rsidP="00D143E2">
    <w:pPr>
      <w:rPr>
        <w:rFonts w:cs="Times New Roman"/>
        <w:i/>
        <w:sz w:val="18"/>
      </w:rPr>
    </w:pPr>
    <w:r w:rsidRPr="00D143E2">
      <w:rPr>
        <w:rFonts w:cs="Times New Roman"/>
        <w:i/>
        <w:sz w:val="18"/>
      </w:rPr>
      <w:t>OPC64327 -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C649" w14:textId="77777777" w:rsidR="005779F5" w:rsidRPr="00E33C1C" w:rsidRDefault="005779F5" w:rsidP="002B77F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779F5" w14:paraId="03099373" w14:textId="77777777" w:rsidTr="005779F5">
      <w:tc>
        <w:tcPr>
          <w:tcW w:w="1384" w:type="dxa"/>
          <w:tcBorders>
            <w:top w:val="nil"/>
            <w:left w:val="nil"/>
            <w:bottom w:val="nil"/>
            <w:right w:val="nil"/>
          </w:tcBorders>
        </w:tcPr>
        <w:p w14:paraId="0B98B79D" w14:textId="77777777" w:rsidR="005779F5" w:rsidRDefault="005779F5" w:rsidP="005779F5">
          <w:pPr>
            <w:spacing w:line="0" w:lineRule="atLeast"/>
            <w:rPr>
              <w:sz w:val="18"/>
            </w:rPr>
          </w:pPr>
        </w:p>
      </w:tc>
      <w:tc>
        <w:tcPr>
          <w:tcW w:w="6379" w:type="dxa"/>
          <w:tcBorders>
            <w:top w:val="nil"/>
            <w:left w:val="nil"/>
            <w:bottom w:val="nil"/>
            <w:right w:val="nil"/>
          </w:tcBorders>
        </w:tcPr>
        <w:p w14:paraId="7CC8B462" w14:textId="33AA0518" w:rsidR="005779F5" w:rsidRDefault="005779F5" w:rsidP="005779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719B">
            <w:rPr>
              <w:i/>
              <w:sz w:val="18"/>
            </w:rPr>
            <w:t>Export Control (Wood and Woodchips) Rules 2021</w:t>
          </w:r>
          <w:r w:rsidRPr="007A1328">
            <w:rPr>
              <w:i/>
              <w:sz w:val="18"/>
            </w:rPr>
            <w:fldChar w:fldCharType="end"/>
          </w:r>
        </w:p>
      </w:tc>
      <w:tc>
        <w:tcPr>
          <w:tcW w:w="709" w:type="dxa"/>
          <w:tcBorders>
            <w:top w:val="nil"/>
            <w:left w:val="nil"/>
            <w:bottom w:val="nil"/>
            <w:right w:val="nil"/>
          </w:tcBorders>
        </w:tcPr>
        <w:p w14:paraId="3ABD1634" w14:textId="77777777" w:rsidR="005779F5" w:rsidRDefault="005779F5" w:rsidP="005779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16A4BFD" w14:textId="77777777" w:rsidR="005779F5" w:rsidRPr="00D143E2" w:rsidRDefault="00D143E2" w:rsidP="00D143E2">
    <w:pPr>
      <w:rPr>
        <w:rFonts w:cs="Times New Roman"/>
        <w:i/>
        <w:sz w:val="18"/>
      </w:rPr>
    </w:pPr>
    <w:r w:rsidRPr="00D143E2">
      <w:rPr>
        <w:rFonts w:cs="Times New Roman"/>
        <w:i/>
        <w:sz w:val="18"/>
      </w:rPr>
      <w:t>OPC64327 -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1E6E4" w14:textId="77777777" w:rsidR="005779F5" w:rsidRDefault="005779F5" w:rsidP="00715914">
      <w:pPr>
        <w:spacing w:line="240" w:lineRule="auto"/>
      </w:pPr>
      <w:r>
        <w:separator/>
      </w:r>
    </w:p>
  </w:footnote>
  <w:footnote w:type="continuationSeparator" w:id="0">
    <w:p w14:paraId="57BB9BEC" w14:textId="77777777" w:rsidR="005779F5" w:rsidRDefault="005779F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4D82" w14:textId="77777777" w:rsidR="005779F5" w:rsidRPr="005F1388" w:rsidRDefault="005779F5" w:rsidP="002B77F3">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ADDA" w14:textId="77777777" w:rsidR="005779F5" w:rsidRPr="005F1388" w:rsidRDefault="005779F5" w:rsidP="002B77F3">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A39B" w14:textId="77777777" w:rsidR="005779F5" w:rsidRPr="005F1388" w:rsidRDefault="005779F5" w:rsidP="002B77F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D242" w14:textId="77777777" w:rsidR="005779F5" w:rsidRPr="00ED79B6" w:rsidRDefault="005779F5" w:rsidP="002B77F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8A38" w14:textId="77777777" w:rsidR="005779F5" w:rsidRPr="00ED79B6" w:rsidRDefault="005779F5" w:rsidP="002B77F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D11B" w14:textId="77777777" w:rsidR="005779F5" w:rsidRPr="00ED79B6" w:rsidRDefault="005779F5" w:rsidP="002B77F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1807" w14:textId="5AE374DB" w:rsidR="005779F5" w:rsidRDefault="005779F5" w:rsidP="002B77F3">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11EB0">
      <w:rPr>
        <w:b/>
        <w:noProof/>
        <w:sz w:val="20"/>
      </w:rPr>
      <w:t>Chapter 11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11EB0">
      <w:rPr>
        <w:noProof/>
        <w:sz w:val="20"/>
      </w:rPr>
      <w:t>Miscellaneous</w:t>
    </w:r>
    <w:r>
      <w:rPr>
        <w:sz w:val="20"/>
      </w:rPr>
      <w:fldChar w:fldCharType="end"/>
    </w:r>
  </w:p>
  <w:p w14:paraId="5F427CD0" w14:textId="29EA6D50" w:rsidR="005779F5" w:rsidRDefault="005779F5" w:rsidP="002B77F3">
    <w:pPr>
      <w:rPr>
        <w:sz w:val="20"/>
      </w:rPr>
    </w:pPr>
    <w:r w:rsidRPr="007A1328">
      <w:rPr>
        <w:b/>
        <w:sz w:val="20"/>
      </w:rPr>
      <w:fldChar w:fldCharType="begin"/>
    </w:r>
    <w:r w:rsidRPr="007A1328">
      <w:rPr>
        <w:b/>
        <w:sz w:val="20"/>
      </w:rPr>
      <w:instrText xml:space="preserve"> STYLEREF CharPartNo </w:instrText>
    </w:r>
    <w:r w:rsidR="00111EB0">
      <w:rPr>
        <w:b/>
        <w:sz w:val="20"/>
      </w:rPr>
      <w:fldChar w:fldCharType="separate"/>
    </w:r>
    <w:r w:rsidR="00111EB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11EB0">
      <w:rPr>
        <w:sz w:val="20"/>
      </w:rPr>
      <w:fldChar w:fldCharType="separate"/>
    </w:r>
    <w:r w:rsidR="00111EB0">
      <w:rPr>
        <w:noProof/>
        <w:sz w:val="20"/>
      </w:rPr>
      <w:t>Relevant Commonwealth liabilities</w:t>
    </w:r>
    <w:r>
      <w:rPr>
        <w:sz w:val="20"/>
      </w:rPr>
      <w:fldChar w:fldCharType="end"/>
    </w:r>
  </w:p>
  <w:p w14:paraId="14BB2137" w14:textId="586B4ADB" w:rsidR="005779F5" w:rsidRPr="007A1328" w:rsidRDefault="005779F5" w:rsidP="002B77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9F5FE44" w14:textId="77777777" w:rsidR="005779F5" w:rsidRPr="007A1328" w:rsidRDefault="005779F5" w:rsidP="002B77F3">
    <w:pPr>
      <w:rPr>
        <w:b/>
        <w:sz w:val="24"/>
      </w:rPr>
    </w:pPr>
  </w:p>
  <w:p w14:paraId="1D2854E4" w14:textId="18FA3EFB" w:rsidR="005779F5" w:rsidRPr="007A1328" w:rsidRDefault="005779F5" w:rsidP="002B77F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719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11EB0">
      <w:rPr>
        <w:noProof/>
        <w:sz w:val="24"/>
      </w:rPr>
      <w:t>11-6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66AB" w14:textId="37D676D8" w:rsidR="005779F5" w:rsidRPr="007A1328" w:rsidRDefault="005779F5" w:rsidP="002B77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11EB0">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11EB0">
      <w:rPr>
        <w:b/>
        <w:noProof/>
        <w:sz w:val="20"/>
      </w:rPr>
      <w:t>Chapter 1</w:t>
    </w:r>
    <w:r>
      <w:rPr>
        <w:b/>
        <w:sz w:val="20"/>
      </w:rPr>
      <w:fldChar w:fldCharType="end"/>
    </w:r>
  </w:p>
  <w:p w14:paraId="0CBE9214" w14:textId="11EC9E39" w:rsidR="005779F5" w:rsidRPr="007A1328" w:rsidRDefault="005779F5" w:rsidP="002B77F3">
    <w:pPr>
      <w:jc w:val="right"/>
      <w:rPr>
        <w:sz w:val="20"/>
      </w:rPr>
    </w:pPr>
    <w:r w:rsidRPr="007A1328">
      <w:rPr>
        <w:sz w:val="20"/>
      </w:rPr>
      <w:fldChar w:fldCharType="begin"/>
    </w:r>
    <w:r w:rsidRPr="007A1328">
      <w:rPr>
        <w:sz w:val="20"/>
      </w:rPr>
      <w:instrText xml:space="preserve"> STYLEREF CharPartText </w:instrText>
    </w:r>
    <w:r w:rsidR="00111EB0">
      <w:rPr>
        <w:sz w:val="20"/>
      </w:rPr>
      <w:fldChar w:fldCharType="separate"/>
    </w:r>
    <w:r w:rsidR="00111EB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11EB0">
      <w:rPr>
        <w:b/>
        <w:sz w:val="20"/>
      </w:rPr>
      <w:fldChar w:fldCharType="separate"/>
    </w:r>
    <w:r w:rsidR="00111EB0">
      <w:rPr>
        <w:b/>
        <w:noProof/>
        <w:sz w:val="20"/>
      </w:rPr>
      <w:t>Part 1</w:t>
    </w:r>
    <w:r>
      <w:rPr>
        <w:b/>
        <w:sz w:val="20"/>
      </w:rPr>
      <w:fldChar w:fldCharType="end"/>
    </w:r>
  </w:p>
  <w:p w14:paraId="05F6C895" w14:textId="67FB15F4" w:rsidR="005779F5" w:rsidRPr="007A1328" w:rsidRDefault="005779F5" w:rsidP="002B77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779C242" w14:textId="77777777" w:rsidR="005779F5" w:rsidRPr="007A1328" w:rsidRDefault="005779F5" w:rsidP="002B77F3">
    <w:pPr>
      <w:jc w:val="right"/>
      <w:rPr>
        <w:b/>
        <w:sz w:val="24"/>
      </w:rPr>
    </w:pPr>
  </w:p>
  <w:p w14:paraId="451E5EC7" w14:textId="0427A92C" w:rsidR="005779F5" w:rsidRPr="007A1328" w:rsidRDefault="005779F5" w:rsidP="002B77F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19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11EB0">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8123" w14:textId="77777777" w:rsidR="005779F5" w:rsidRPr="007A1328" w:rsidRDefault="005779F5" w:rsidP="002B7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F2"/>
    <w:rsid w:val="00004470"/>
    <w:rsid w:val="00010A75"/>
    <w:rsid w:val="000136AF"/>
    <w:rsid w:val="00024164"/>
    <w:rsid w:val="00041E5C"/>
    <w:rsid w:val="000437C1"/>
    <w:rsid w:val="0005365D"/>
    <w:rsid w:val="000614BF"/>
    <w:rsid w:val="000B1861"/>
    <w:rsid w:val="000B4E67"/>
    <w:rsid w:val="000B58FA"/>
    <w:rsid w:val="000B78F7"/>
    <w:rsid w:val="000B7E30"/>
    <w:rsid w:val="000D05EF"/>
    <w:rsid w:val="000D7A6F"/>
    <w:rsid w:val="000E2261"/>
    <w:rsid w:val="000E49D8"/>
    <w:rsid w:val="000F21C1"/>
    <w:rsid w:val="0010745C"/>
    <w:rsid w:val="00111EB0"/>
    <w:rsid w:val="00112AD3"/>
    <w:rsid w:val="00112B0E"/>
    <w:rsid w:val="00114314"/>
    <w:rsid w:val="001173CE"/>
    <w:rsid w:val="00123417"/>
    <w:rsid w:val="00132CEB"/>
    <w:rsid w:val="00142B62"/>
    <w:rsid w:val="0014539C"/>
    <w:rsid w:val="0014622A"/>
    <w:rsid w:val="00153893"/>
    <w:rsid w:val="00154B73"/>
    <w:rsid w:val="00157B8B"/>
    <w:rsid w:val="001611F0"/>
    <w:rsid w:val="00166C2F"/>
    <w:rsid w:val="00175EA1"/>
    <w:rsid w:val="001809D7"/>
    <w:rsid w:val="001871F6"/>
    <w:rsid w:val="001939E1"/>
    <w:rsid w:val="00194C3E"/>
    <w:rsid w:val="00195382"/>
    <w:rsid w:val="001966ED"/>
    <w:rsid w:val="001973D8"/>
    <w:rsid w:val="001A173B"/>
    <w:rsid w:val="001B7033"/>
    <w:rsid w:val="001C61C5"/>
    <w:rsid w:val="001C69C4"/>
    <w:rsid w:val="001D37EF"/>
    <w:rsid w:val="001E255F"/>
    <w:rsid w:val="001E3590"/>
    <w:rsid w:val="001E7407"/>
    <w:rsid w:val="001F5D5E"/>
    <w:rsid w:val="001F6219"/>
    <w:rsid w:val="001F6CD4"/>
    <w:rsid w:val="001F7C23"/>
    <w:rsid w:val="00206C4D"/>
    <w:rsid w:val="0021053C"/>
    <w:rsid w:val="00210FDA"/>
    <w:rsid w:val="002150FD"/>
    <w:rsid w:val="00215AF1"/>
    <w:rsid w:val="00222766"/>
    <w:rsid w:val="00226562"/>
    <w:rsid w:val="002321E8"/>
    <w:rsid w:val="00236EEC"/>
    <w:rsid w:val="0024010F"/>
    <w:rsid w:val="00240749"/>
    <w:rsid w:val="00243018"/>
    <w:rsid w:val="0024316F"/>
    <w:rsid w:val="002564A4"/>
    <w:rsid w:val="00262388"/>
    <w:rsid w:val="00266BDC"/>
    <w:rsid w:val="0026736C"/>
    <w:rsid w:val="002678DD"/>
    <w:rsid w:val="00281308"/>
    <w:rsid w:val="00282048"/>
    <w:rsid w:val="00284719"/>
    <w:rsid w:val="00286A49"/>
    <w:rsid w:val="0029673B"/>
    <w:rsid w:val="00297ECB"/>
    <w:rsid w:val="002A7BCF"/>
    <w:rsid w:val="002B77F3"/>
    <w:rsid w:val="002C4A40"/>
    <w:rsid w:val="002D043A"/>
    <w:rsid w:val="002D6224"/>
    <w:rsid w:val="002D71D6"/>
    <w:rsid w:val="002E3F4B"/>
    <w:rsid w:val="002E71B0"/>
    <w:rsid w:val="002F57CC"/>
    <w:rsid w:val="00304F8B"/>
    <w:rsid w:val="003078C6"/>
    <w:rsid w:val="00320673"/>
    <w:rsid w:val="003354D2"/>
    <w:rsid w:val="00335BC6"/>
    <w:rsid w:val="003415D3"/>
    <w:rsid w:val="00344701"/>
    <w:rsid w:val="00351085"/>
    <w:rsid w:val="00352B0F"/>
    <w:rsid w:val="00356690"/>
    <w:rsid w:val="00360459"/>
    <w:rsid w:val="00363559"/>
    <w:rsid w:val="003901C4"/>
    <w:rsid w:val="00390299"/>
    <w:rsid w:val="00391C45"/>
    <w:rsid w:val="00392A8B"/>
    <w:rsid w:val="003A5EEC"/>
    <w:rsid w:val="003B0685"/>
    <w:rsid w:val="003B77A7"/>
    <w:rsid w:val="003C1BF2"/>
    <w:rsid w:val="003C5BDE"/>
    <w:rsid w:val="003C6231"/>
    <w:rsid w:val="003D0BFE"/>
    <w:rsid w:val="003D2A10"/>
    <w:rsid w:val="003D5700"/>
    <w:rsid w:val="003E341B"/>
    <w:rsid w:val="003E370B"/>
    <w:rsid w:val="003F0635"/>
    <w:rsid w:val="004060FD"/>
    <w:rsid w:val="004116CD"/>
    <w:rsid w:val="004144EC"/>
    <w:rsid w:val="00417EB9"/>
    <w:rsid w:val="00424CA9"/>
    <w:rsid w:val="00425773"/>
    <w:rsid w:val="00431E9B"/>
    <w:rsid w:val="00432AE4"/>
    <w:rsid w:val="004379E3"/>
    <w:rsid w:val="0044015E"/>
    <w:rsid w:val="0044291A"/>
    <w:rsid w:val="00444ABD"/>
    <w:rsid w:val="00457962"/>
    <w:rsid w:val="0046082A"/>
    <w:rsid w:val="00461C81"/>
    <w:rsid w:val="004623C6"/>
    <w:rsid w:val="0046617F"/>
    <w:rsid w:val="00467661"/>
    <w:rsid w:val="004705B7"/>
    <w:rsid w:val="00472DBE"/>
    <w:rsid w:val="00474067"/>
    <w:rsid w:val="00474A19"/>
    <w:rsid w:val="0048560F"/>
    <w:rsid w:val="00485DA8"/>
    <w:rsid w:val="00493E09"/>
    <w:rsid w:val="00496F97"/>
    <w:rsid w:val="004A2A22"/>
    <w:rsid w:val="004B2012"/>
    <w:rsid w:val="004B2F63"/>
    <w:rsid w:val="004B64E9"/>
    <w:rsid w:val="004C6AE8"/>
    <w:rsid w:val="004C6E43"/>
    <w:rsid w:val="004D3593"/>
    <w:rsid w:val="004E063A"/>
    <w:rsid w:val="004E7BEC"/>
    <w:rsid w:val="004F53FA"/>
    <w:rsid w:val="004F67D1"/>
    <w:rsid w:val="004F77AC"/>
    <w:rsid w:val="0050071B"/>
    <w:rsid w:val="00505D3D"/>
    <w:rsid w:val="00506AF6"/>
    <w:rsid w:val="00516B8D"/>
    <w:rsid w:val="00526214"/>
    <w:rsid w:val="0053173B"/>
    <w:rsid w:val="00532DAD"/>
    <w:rsid w:val="00537FBC"/>
    <w:rsid w:val="0055311A"/>
    <w:rsid w:val="0055431F"/>
    <w:rsid w:val="00554585"/>
    <w:rsid w:val="00554954"/>
    <w:rsid w:val="005574D1"/>
    <w:rsid w:val="00566E75"/>
    <w:rsid w:val="005779F5"/>
    <w:rsid w:val="005846A4"/>
    <w:rsid w:val="00584811"/>
    <w:rsid w:val="00585784"/>
    <w:rsid w:val="00593AA6"/>
    <w:rsid w:val="00594161"/>
    <w:rsid w:val="00594749"/>
    <w:rsid w:val="00594A53"/>
    <w:rsid w:val="00594D7D"/>
    <w:rsid w:val="005B2EA1"/>
    <w:rsid w:val="005B4067"/>
    <w:rsid w:val="005C1DF9"/>
    <w:rsid w:val="005C3F41"/>
    <w:rsid w:val="005C535B"/>
    <w:rsid w:val="005C7884"/>
    <w:rsid w:val="005D2D09"/>
    <w:rsid w:val="005D48F2"/>
    <w:rsid w:val="005F1DB0"/>
    <w:rsid w:val="00600219"/>
    <w:rsid w:val="00603DC4"/>
    <w:rsid w:val="00611641"/>
    <w:rsid w:val="00620076"/>
    <w:rsid w:val="00621442"/>
    <w:rsid w:val="00625AE3"/>
    <w:rsid w:val="00634AA1"/>
    <w:rsid w:val="0064616C"/>
    <w:rsid w:val="0066017D"/>
    <w:rsid w:val="00670EA1"/>
    <w:rsid w:val="00676CBD"/>
    <w:rsid w:val="00677CC2"/>
    <w:rsid w:val="006905DE"/>
    <w:rsid w:val="0069207B"/>
    <w:rsid w:val="006944A8"/>
    <w:rsid w:val="006A3018"/>
    <w:rsid w:val="006B0E5F"/>
    <w:rsid w:val="006B5789"/>
    <w:rsid w:val="006B5C45"/>
    <w:rsid w:val="006C30C5"/>
    <w:rsid w:val="006C7F8C"/>
    <w:rsid w:val="006E6246"/>
    <w:rsid w:val="006F318F"/>
    <w:rsid w:val="006F4226"/>
    <w:rsid w:val="006F7DF4"/>
    <w:rsid w:val="0070017E"/>
    <w:rsid w:val="00700B2C"/>
    <w:rsid w:val="007050A2"/>
    <w:rsid w:val="00713084"/>
    <w:rsid w:val="00714F20"/>
    <w:rsid w:val="0071590F"/>
    <w:rsid w:val="00715914"/>
    <w:rsid w:val="00717A1E"/>
    <w:rsid w:val="00731E00"/>
    <w:rsid w:val="007440B7"/>
    <w:rsid w:val="00744131"/>
    <w:rsid w:val="007475CE"/>
    <w:rsid w:val="007500C8"/>
    <w:rsid w:val="00756272"/>
    <w:rsid w:val="0076681A"/>
    <w:rsid w:val="007715C9"/>
    <w:rsid w:val="00771613"/>
    <w:rsid w:val="00774EDD"/>
    <w:rsid w:val="007757EC"/>
    <w:rsid w:val="00780841"/>
    <w:rsid w:val="00783E89"/>
    <w:rsid w:val="00793915"/>
    <w:rsid w:val="007B53A5"/>
    <w:rsid w:val="007C2104"/>
    <w:rsid w:val="007C2253"/>
    <w:rsid w:val="007C3656"/>
    <w:rsid w:val="007D5A63"/>
    <w:rsid w:val="007D7B81"/>
    <w:rsid w:val="007E163D"/>
    <w:rsid w:val="007E1F61"/>
    <w:rsid w:val="007E667A"/>
    <w:rsid w:val="007F28C9"/>
    <w:rsid w:val="007F5454"/>
    <w:rsid w:val="007F61E3"/>
    <w:rsid w:val="00803587"/>
    <w:rsid w:val="00805A5C"/>
    <w:rsid w:val="00806ACE"/>
    <w:rsid w:val="00806BD0"/>
    <w:rsid w:val="00807626"/>
    <w:rsid w:val="008117E9"/>
    <w:rsid w:val="00824498"/>
    <w:rsid w:val="0082684D"/>
    <w:rsid w:val="00831863"/>
    <w:rsid w:val="0083239E"/>
    <w:rsid w:val="0083465C"/>
    <w:rsid w:val="00842878"/>
    <w:rsid w:val="00856A31"/>
    <w:rsid w:val="00860603"/>
    <w:rsid w:val="00864B24"/>
    <w:rsid w:val="00867B37"/>
    <w:rsid w:val="00871133"/>
    <w:rsid w:val="008754D0"/>
    <w:rsid w:val="008771BC"/>
    <w:rsid w:val="008855C9"/>
    <w:rsid w:val="00886456"/>
    <w:rsid w:val="008970FC"/>
    <w:rsid w:val="008A46E1"/>
    <w:rsid w:val="008A4F43"/>
    <w:rsid w:val="008A7E3F"/>
    <w:rsid w:val="008B2706"/>
    <w:rsid w:val="008D0EE0"/>
    <w:rsid w:val="008D6FB9"/>
    <w:rsid w:val="008E6067"/>
    <w:rsid w:val="008F54E7"/>
    <w:rsid w:val="00903422"/>
    <w:rsid w:val="00915DF9"/>
    <w:rsid w:val="00922282"/>
    <w:rsid w:val="009254C3"/>
    <w:rsid w:val="00931FA5"/>
    <w:rsid w:val="00932377"/>
    <w:rsid w:val="009378A6"/>
    <w:rsid w:val="00943D2D"/>
    <w:rsid w:val="00947D5A"/>
    <w:rsid w:val="009515A1"/>
    <w:rsid w:val="009532A5"/>
    <w:rsid w:val="00954828"/>
    <w:rsid w:val="00982242"/>
    <w:rsid w:val="009847D7"/>
    <w:rsid w:val="009868E9"/>
    <w:rsid w:val="00993C53"/>
    <w:rsid w:val="009A0D81"/>
    <w:rsid w:val="009A2586"/>
    <w:rsid w:val="009C2345"/>
    <w:rsid w:val="009C2AF6"/>
    <w:rsid w:val="009C2D4D"/>
    <w:rsid w:val="009D6462"/>
    <w:rsid w:val="009D7991"/>
    <w:rsid w:val="009E5CFC"/>
    <w:rsid w:val="00A00E05"/>
    <w:rsid w:val="00A079CB"/>
    <w:rsid w:val="00A12128"/>
    <w:rsid w:val="00A1551D"/>
    <w:rsid w:val="00A16C0E"/>
    <w:rsid w:val="00A22C98"/>
    <w:rsid w:val="00A231E2"/>
    <w:rsid w:val="00A32419"/>
    <w:rsid w:val="00A33268"/>
    <w:rsid w:val="00A4719B"/>
    <w:rsid w:val="00A573F9"/>
    <w:rsid w:val="00A64912"/>
    <w:rsid w:val="00A70A74"/>
    <w:rsid w:val="00A736DE"/>
    <w:rsid w:val="00A777CA"/>
    <w:rsid w:val="00A90163"/>
    <w:rsid w:val="00A906B1"/>
    <w:rsid w:val="00AA5AF5"/>
    <w:rsid w:val="00AB3333"/>
    <w:rsid w:val="00AB4206"/>
    <w:rsid w:val="00AB7F43"/>
    <w:rsid w:val="00AD5641"/>
    <w:rsid w:val="00AD776F"/>
    <w:rsid w:val="00AD7889"/>
    <w:rsid w:val="00AE3652"/>
    <w:rsid w:val="00AE3FA9"/>
    <w:rsid w:val="00AE524D"/>
    <w:rsid w:val="00AF021B"/>
    <w:rsid w:val="00AF06CF"/>
    <w:rsid w:val="00AF33D3"/>
    <w:rsid w:val="00AF6A58"/>
    <w:rsid w:val="00B04F15"/>
    <w:rsid w:val="00B05CF4"/>
    <w:rsid w:val="00B07CDB"/>
    <w:rsid w:val="00B15F95"/>
    <w:rsid w:val="00B16A31"/>
    <w:rsid w:val="00B17DFD"/>
    <w:rsid w:val="00B308FE"/>
    <w:rsid w:val="00B33709"/>
    <w:rsid w:val="00B33B3C"/>
    <w:rsid w:val="00B36021"/>
    <w:rsid w:val="00B36521"/>
    <w:rsid w:val="00B50ADC"/>
    <w:rsid w:val="00B566B1"/>
    <w:rsid w:val="00B62E2A"/>
    <w:rsid w:val="00B63834"/>
    <w:rsid w:val="00B64EFD"/>
    <w:rsid w:val="00B65F8A"/>
    <w:rsid w:val="00B72734"/>
    <w:rsid w:val="00B80199"/>
    <w:rsid w:val="00B83204"/>
    <w:rsid w:val="00BA0C87"/>
    <w:rsid w:val="00BA220B"/>
    <w:rsid w:val="00BA3A57"/>
    <w:rsid w:val="00BA691F"/>
    <w:rsid w:val="00BA748D"/>
    <w:rsid w:val="00BB4E1A"/>
    <w:rsid w:val="00BC015E"/>
    <w:rsid w:val="00BC599A"/>
    <w:rsid w:val="00BC76AC"/>
    <w:rsid w:val="00BD0ECB"/>
    <w:rsid w:val="00BD4ACE"/>
    <w:rsid w:val="00BD6F5A"/>
    <w:rsid w:val="00BE0197"/>
    <w:rsid w:val="00BE0FE3"/>
    <w:rsid w:val="00BE2155"/>
    <w:rsid w:val="00BE2213"/>
    <w:rsid w:val="00BE719A"/>
    <w:rsid w:val="00BE720A"/>
    <w:rsid w:val="00BF0D73"/>
    <w:rsid w:val="00BF2465"/>
    <w:rsid w:val="00BF78C6"/>
    <w:rsid w:val="00C25E7F"/>
    <w:rsid w:val="00C2746F"/>
    <w:rsid w:val="00C324A0"/>
    <w:rsid w:val="00C3300F"/>
    <w:rsid w:val="00C42BF8"/>
    <w:rsid w:val="00C50043"/>
    <w:rsid w:val="00C521D4"/>
    <w:rsid w:val="00C63B3A"/>
    <w:rsid w:val="00C7573B"/>
    <w:rsid w:val="00C934A5"/>
    <w:rsid w:val="00C93C03"/>
    <w:rsid w:val="00CB26C4"/>
    <w:rsid w:val="00CB2C8E"/>
    <w:rsid w:val="00CB602E"/>
    <w:rsid w:val="00CB6271"/>
    <w:rsid w:val="00CD52C4"/>
    <w:rsid w:val="00CD64BC"/>
    <w:rsid w:val="00CE051D"/>
    <w:rsid w:val="00CE1335"/>
    <w:rsid w:val="00CE493D"/>
    <w:rsid w:val="00CF07FA"/>
    <w:rsid w:val="00CF0BB2"/>
    <w:rsid w:val="00CF3EE8"/>
    <w:rsid w:val="00CF62CA"/>
    <w:rsid w:val="00CF7273"/>
    <w:rsid w:val="00D050E6"/>
    <w:rsid w:val="00D13441"/>
    <w:rsid w:val="00D143E2"/>
    <w:rsid w:val="00D150E7"/>
    <w:rsid w:val="00D21376"/>
    <w:rsid w:val="00D22CE0"/>
    <w:rsid w:val="00D32F65"/>
    <w:rsid w:val="00D505AD"/>
    <w:rsid w:val="00D52DC2"/>
    <w:rsid w:val="00D53BCC"/>
    <w:rsid w:val="00D66666"/>
    <w:rsid w:val="00D70DFB"/>
    <w:rsid w:val="00D73126"/>
    <w:rsid w:val="00D766DF"/>
    <w:rsid w:val="00D8534C"/>
    <w:rsid w:val="00D87D55"/>
    <w:rsid w:val="00DA186E"/>
    <w:rsid w:val="00DA4116"/>
    <w:rsid w:val="00DB251C"/>
    <w:rsid w:val="00DB2CA4"/>
    <w:rsid w:val="00DB4630"/>
    <w:rsid w:val="00DC4F88"/>
    <w:rsid w:val="00DC7829"/>
    <w:rsid w:val="00DD5F5F"/>
    <w:rsid w:val="00DE152C"/>
    <w:rsid w:val="00DE3BC7"/>
    <w:rsid w:val="00DF2C0B"/>
    <w:rsid w:val="00DF4933"/>
    <w:rsid w:val="00E05704"/>
    <w:rsid w:val="00E11E44"/>
    <w:rsid w:val="00E3270E"/>
    <w:rsid w:val="00E338EF"/>
    <w:rsid w:val="00E4011F"/>
    <w:rsid w:val="00E46883"/>
    <w:rsid w:val="00E544BB"/>
    <w:rsid w:val="00E608E7"/>
    <w:rsid w:val="00E662CB"/>
    <w:rsid w:val="00E708FE"/>
    <w:rsid w:val="00E74DC7"/>
    <w:rsid w:val="00E76806"/>
    <w:rsid w:val="00E8075A"/>
    <w:rsid w:val="00E83E61"/>
    <w:rsid w:val="00E87AAE"/>
    <w:rsid w:val="00E91554"/>
    <w:rsid w:val="00E94D5E"/>
    <w:rsid w:val="00EA7100"/>
    <w:rsid w:val="00EA7F9F"/>
    <w:rsid w:val="00EB1156"/>
    <w:rsid w:val="00EB1274"/>
    <w:rsid w:val="00EB2A37"/>
    <w:rsid w:val="00EB418A"/>
    <w:rsid w:val="00EB6674"/>
    <w:rsid w:val="00EB6AD0"/>
    <w:rsid w:val="00EC687A"/>
    <w:rsid w:val="00ED2BB6"/>
    <w:rsid w:val="00ED34E1"/>
    <w:rsid w:val="00ED3B8D"/>
    <w:rsid w:val="00ED659C"/>
    <w:rsid w:val="00ED74BB"/>
    <w:rsid w:val="00EE1EE8"/>
    <w:rsid w:val="00EF2E3A"/>
    <w:rsid w:val="00F072A7"/>
    <w:rsid w:val="00F078DC"/>
    <w:rsid w:val="00F27F92"/>
    <w:rsid w:val="00F32BA8"/>
    <w:rsid w:val="00F349F1"/>
    <w:rsid w:val="00F429E4"/>
    <w:rsid w:val="00F4350D"/>
    <w:rsid w:val="00F4640F"/>
    <w:rsid w:val="00F567F7"/>
    <w:rsid w:val="00F62036"/>
    <w:rsid w:val="00F65B52"/>
    <w:rsid w:val="00F67BCA"/>
    <w:rsid w:val="00F7054D"/>
    <w:rsid w:val="00F73BD6"/>
    <w:rsid w:val="00F83989"/>
    <w:rsid w:val="00F85099"/>
    <w:rsid w:val="00F85E43"/>
    <w:rsid w:val="00F9379C"/>
    <w:rsid w:val="00F9632C"/>
    <w:rsid w:val="00FA1E52"/>
    <w:rsid w:val="00FB1409"/>
    <w:rsid w:val="00FB1F52"/>
    <w:rsid w:val="00FB3B39"/>
    <w:rsid w:val="00FC3BCC"/>
    <w:rsid w:val="00FE4688"/>
    <w:rsid w:val="00FE5F14"/>
    <w:rsid w:val="00FE67B5"/>
    <w:rsid w:val="00FE6D7D"/>
    <w:rsid w:val="00FF3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1A3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B26C4"/>
    <w:pPr>
      <w:spacing w:line="260" w:lineRule="atLeast"/>
    </w:pPr>
    <w:rPr>
      <w:sz w:val="22"/>
    </w:rPr>
  </w:style>
  <w:style w:type="paragraph" w:styleId="Heading1">
    <w:name w:val="heading 1"/>
    <w:basedOn w:val="Normal"/>
    <w:next w:val="Normal"/>
    <w:link w:val="Heading1Char"/>
    <w:uiPriority w:val="9"/>
    <w:qFormat/>
    <w:rsid w:val="00CB26C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26C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26C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26C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26C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26C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26C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26C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26C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26C4"/>
  </w:style>
  <w:style w:type="paragraph" w:customStyle="1" w:styleId="OPCParaBase">
    <w:name w:val="OPCParaBase"/>
    <w:qFormat/>
    <w:rsid w:val="00CB26C4"/>
    <w:pPr>
      <w:spacing w:line="260" w:lineRule="atLeast"/>
    </w:pPr>
    <w:rPr>
      <w:rFonts w:eastAsia="Times New Roman" w:cs="Times New Roman"/>
      <w:sz w:val="22"/>
      <w:lang w:eastAsia="en-AU"/>
    </w:rPr>
  </w:style>
  <w:style w:type="paragraph" w:customStyle="1" w:styleId="ShortT">
    <w:name w:val="ShortT"/>
    <w:basedOn w:val="OPCParaBase"/>
    <w:next w:val="Normal"/>
    <w:qFormat/>
    <w:rsid w:val="00CB26C4"/>
    <w:pPr>
      <w:spacing w:line="240" w:lineRule="auto"/>
    </w:pPr>
    <w:rPr>
      <w:b/>
      <w:sz w:val="40"/>
    </w:rPr>
  </w:style>
  <w:style w:type="paragraph" w:customStyle="1" w:styleId="ActHead1">
    <w:name w:val="ActHead 1"/>
    <w:aliases w:val="c"/>
    <w:basedOn w:val="OPCParaBase"/>
    <w:next w:val="Normal"/>
    <w:qFormat/>
    <w:rsid w:val="00CB26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26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26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26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26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26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26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26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26C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26C4"/>
  </w:style>
  <w:style w:type="paragraph" w:customStyle="1" w:styleId="Blocks">
    <w:name w:val="Blocks"/>
    <w:aliases w:val="bb"/>
    <w:basedOn w:val="OPCParaBase"/>
    <w:qFormat/>
    <w:rsid w:val="00CB26C4"/>
    <w:pPr>
      <w:spacing w:line="240" w:lineRule="auto"/>
    </w:pPr>
    <w:rPr>
      <w:sz w:val="24"/>
    </w:rPr>
  </w:style>
  <w:style w:type="paragraph" w:customStyle="1" w:styleId="BoxText">
    <w:name w:val="BoxText"/>
    <w:aliases w:val="bt"/>
    <w:basedOn w:val="OPCParaBase"/>
    <w:qFormat/>
    <w:rsid w:val="00CB26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26C4"/>
    <w:rPr>
      <w:b/>
    </w:rPr>
  </w:style>
  <w:style w:type="paragraph" w:customStyle="1" w:styleId="BoxHeadItalic">
    <w:name w:val="BoxHeadItalic"/>
    <w:aliases w:val="bhi"/>
    <w:basedOn w:val="BoxText"/>
    <w:next w:val="BoxStep"/>
    <w:qFormat/>
    <w:rsid w:val="00CB26C4"/>
    <w:rPr>
      <w:i/>
    </w:rPr>
  </w:style>
  <w:style w:type="paragraph" w:customStyle="1" w:styleId="BoxList">
    <w:name w:val="BoxList"/>
    <w:aliases w:val="bl"/>
    <w:basedOn w:val="BoxText"/>
    <w:qFormat/>
    <w:rsid w:val="00CB26C4"/>
    <w:pPr>
      <w:ind w:left="1559" w:hanging="425"/>
    </w:pPr>
  </w:style>
  <w:style w:type="paragraph" w:customStyle="1" w:styleId="BoxNote">
    <w:name w:val="BoxNote"/>
    <w:aliases w:val="bn"/>
    <w:basedOn w:val="BoxText"/>
    <w:qFormat/>
    <w:rsid w:val="00CB26C4"/>
    <w:pPr>
      <w:tabs>
        <w:tab w:val="left" w:pos="1985"/>
      </w:tabs>
      <w:spacing w:before="122" w:line="198" w:lineRule="exact"/>
      <w:ind w:left="2948" w:hanging="1814"/>
    </w:pPr>
    <w:rPr>
      <w:sz w:val="18"/>
    </w:rPr>
  </w:style>
  <w:style w:type="paragraph" w:customStyle="1" w:styleId="BoxPara">
    <w:name w:val="BoxPara"/>
    <w:aliases w:val="bp"/>
    <w:basedOn w:val="BoxText"/>
    <w:qFormat/>
    <w:rsid w:val="00CB26C4"/>
    <w:pPr>
      <w:tabs>
        <w:tab w:val="right" w:pos="2268"/>
      </w:tabs>
      <w:ind w:left="2552" w:hanging="1418"/>
    </w:pPr>
  </w:style>
  <w:style w:type="paragraph" w:customStyle="1" w:styleId="BoxStep">
    <w:name w:val="BoxStep"/>
    <w:aliases w:val="bs"/>
    <w:basedOn w:val="BoxText"/>
    <w:qFormat/>
    <w:rsid w:val="00CB26C4"/>
    <w:pPr>
      <w:ind w:left="1985" w:hanging="851"/>
    </w:pPr>
  </w:style>
  <w:style w:type="character" w:customStyle="1" w:styleId="CharAmPartNo">
    <w:name w:val="CharAmPartNo"/>
    <w:basedOn w:val="OPCCharBase"/>
    <w:qFormat/>
    <w:rsid w:val="00CB26C4"/>
  </w:style>
  <w:style w:type="character" w:customStyle="1" w:styleId="CharAmPartText">
    <w:name w:val="CharAmPartText"/>
    <w:basedOn w:val="OPCCharBase"/>
    <w:qFormat/>
    <w:rsid w:val="00CB26C4"/>
  </w:style>
  <w:style w:type="character" w:customStyle="1" w:styleId="CharAmSchNo">
    <w:name w:val="CharAmSchNo"/>
    <w:basedOn w:val="OPCCharBase"/>
    <w:qFormat/>
    <w:rsid w:val="00CB26C4"/>
  </w:style>
  <w:style w:type="character" w:customStyle="1" w:styleId="CharAmSchText">
    <w:name w:val="CharAmSchText"/>
    <w:basedOn w:val="OPCCharBase"/>
    <w:qFormat/>
    <w:rsid w:val="00CB26C4"/>
  </w:style>
  <w:style w:type="character" w:customStyle="1" w:styleId="CharBoldItalic">
    <w:name w:val="CharBoldItalic"/>
    <w:basedOn w:val="OPCCharBase"/>
    <w:uiPriority w:val="1"/>
    <w:qFormat/>
    <w:rsid w:val="00CB26C4"/>
    <w:rPr>
      <w:b/>
      <w:i/>
    </w:rPr>
  </w:style>
  <w:style w:type="character" w:customStyle="1" w:styleId="CharChapNo">
    <w:name w:val="CharChapNo"/>
    <w:basedOn w:val="OPCCharBase"/>
    <w:uiPriority w:val="1"/>
    <w:qFormat/>
    <w:rsid w:val="00CB26C4"/>
  </w:style>
  <w:style w:type="character" w:customStyle="1" w:styleId="CharChapText">
    <w:name w:val="CharChapText"/>
    <w:basedOn w:val="OPCCharBase"/>
    <w:uiPriority w:val="1"/>
    <w:qFormat/>
    <w:rsid w:val="00CB26C4"/>
  </w:style>
  <w:style w:type="character" w:customStyle="1" w:styleId="CharDivNo">
    <w:name w:val="CharDivNo"/>
    <w:basedOn w:val="OPCCharBase"/>
    <w:uiPriority w:val="1"/>
    <w:qFormat/>
    <w:rsid w:val="00CB26C4"/>
  </w:style>
  <w:style w:type="character" w:customStyle="1" w:styleId="CharDivText">
    <w:name w:val="CharDivText"/>
    <w:basedOn w:val="OPCCharBase"/>
    <w:uiPriority w:val="1"/>
    <w:qFormat/>
    <w:rsid w:val="00CB26C4"/>
  </w:style>
  <w:style w:type="character" w:customStyle="1" w:styleId="CharItalic">
    <w:name w:val="CharItalic"/>
    <w:basedOn w:val="OPCCharBase"/>
    <w:uiPriority w:val="1"/>
    <w:qFormat/>
    <w:rsid w:val="00CB26C4"/>
    <w:rPr>
      <w:i/>
    </w:rPr>
  </w:style>
  <w:style w:type="character" w:customStyle="1" w:styleId="CharPartNo">
    <w:name w:val="CharPartNo"/>
    <w:basedOn w:val="OPCCharBase"/>
    <w:uiPriority w:val="1"/>
    <w:qFormat/>
    <w:rsid w:val="00CB26C4"/>
  </w:style>
  <w:style w:type="character" w:customStyle="1" w:styleId="CharPartText">
    <w:name w:val="CharPartText"/>
    <w:basedOn w:val="OPCCharBase"/>
    <w:uiPriority w:val="1"/>
    <w:qFormat/>
    <w:rsid w:val="00CB26C4"/>
  </w:style>
  <w:style w:type="character" w:customStyle="1" w:styleId="CharSectno">
    <w:name w:val="CharSectno"/>
    <w:basedOn w:val="OPCCharBase"/>
    <w:qFormat/>
    <w:rsid w:val="00CB26C4"/>
  </w:style>
  <w:style w:type="character" w:customStyle="1" w:styleId="CharSubdNo">
    <w:name w:val="CharSubdNo"/>
    <w:basedOn w:val="OPCCharBase"/>
    <w:uiPriority w:val="1"/>
    <w:qFormat/>
    <w:rsid w:val="00CB26C4"/>
  </w:style>
  <w:style w:type="character" w:customStyle="1" w:styleId="CharSubdText">
    <w:name w:val="CharSubdText"/>
    <w:basedOn w:val="OPCCharBase"/>
    <w:uiPriority w:val="1"/>
    <w:qFormat/>
    <w:rsid w:val="00CB26C4"/>
  </w:style>
  <w:style w:type="paragraph" w:customStyle="1" w:styleId="CTA--">
    <w:name w:val="CTA --"/>
    <w:basedOn w:val="OPCParaBase"/>
    <w:next w:val="Normal"/>
    <w:rsid w:val="00CB26C4"/>
    <w:pPr>
      <w:spacing w:before="60" w:line="240" w:lineRule="atLeast"/>
      <w:ind w:left="142" w:hanging="142"/>
    </w:pPr>
    <w:rPr>
      <w:sz w:val="20"/>
    </w:rPr>
  </w:style>
  <w:style w:type="paragraph" w:customStyle="1" w:styleId="CTA-">
    <w:name w:val="CTA -"/>
    <w:basedOn w:val="OPCParaBase"/>
    <w:rsid w:val="00CB26C4"/>
    <w:pPr>
      <w:spacing w:before="60" w:line="240" w:lineRule="atLeast"/>
      <w:ind w:left="85" w:hanging="85"/>
    </w:pPr>
    <w:rPr>
      <w:sz w:val="20"/>
    </w:rPr>
  </w:style>
  <w:style w:type="paragraph" w:customStyle="1" w:styleId="CTA---">
    <w:name w:val="CTA ---"/>
    <w:basedOn w:val="OPCParaBase"/>
    <w:next w:val="Normal"/>
    <w:rsid w:val="00CB26C4"/>
    <w:pPr>
      <w:spacing w:before="60" w:line="240" w:lineRule="atLeast"/>
      <w:ind w:left="198" w:hanging="198"/>
    </w:pPr>
    <w:rPr>
      <w:sz w:val="20"/>
    </w:rPr>
  </w:style>
  <w:style w:type="paragraph" w:customStyle="1" w:styleId="CTA----">
    <w:name w:val="CTA ----"/>
    <w:basedOn w:val="OPCParaBase"/>
    <w:next w:val="Normal"/>
    <w:rsid w:val="00CB26C4"/>
    <w:pPr>
      <w:spacing w:before="60" w:line="240" w:lineRule="atLeast"/>
      <w:ind w:left="255" w:hanging="255"/>
    </w:pPr>
    <w:rPr>
      <w:sz w:val="20"/>
    </w:rPr>
  </w:style>
  <w:style w:type="paragraph" w:customStyle="1" w:styleId="CTA1a">
    <w:name w:val="CTA 1(a)"/>
    <w:basedOn w:val="OPCParaBase"/>
    <w:rsid w:val="00CB26C4"/>
    <w:pPr>
      <w:tabs>
        <w:tab w:val="right" w:pos="414"/>
      </w:tabs>
      <w:spacing w:before="40" w:line="240" w:lineRule="atLeast"/>
      <w:ind w:left="675" w:hanging="675"/>
    </w:pPr>
    <w:rPr>
      <w:sz w:val="20"/>
    </w:rPr>
  </w:style>
  <w:style w:type="paragraph" w:customStyle="1" w:styleId="CTA1ai">
    <w:name w:val="CTA 1(a)(i)"/>
    <w:basedOn w:val="OPCParaBase"/>
    <w:rsid w:val="00CB26C4"/>
    <w:pPr>
      <w:tabs>
        <w:tab w:val="right" w:pos="1004"/>
      </w:tabs>
      <w:spacing w:before="40" w:line="240" w:lineRule="atLeast"/>
      <w:ind w:left="1253" w:hanging="1253"/>
    </w:pPr>
    <w:rPr>
      <w:sz w:val="20"/>
    </w:rPr>
  </w:style>
  <w:style w:type="paragraph" w:customStyle="1" w:styleId="CTA2a">
    <w:name w:val="CTA 2(a)"/>
    <w:basedOn w:val="OPCParaBase"/>
    <w:rsid w:val="00CB26C4"/>
    <w:pPr>
      <w:tabs>
        <w:tab w:val="right" w:pos="482"/>
      </w:tabs>
      <w:spacing w:before="40" w:line="240" w:lineRule="atLeast"/>
      <w:ind w:left="748" w:hanging="748"/>
    </w:pPr>
    <w:rPr>
      <w:sz w:val="20"/>
    </w:rPr>
  </w:style>
  <w:style w:type="paragraph" w:customStyle="1" w:styleId="CTA2ai">
    <w:name w:val="CTA 2(a)(i)"/>
    <w:basedOn w:val="OPCParaBase"/>
    <w:rsid w:val="00CB26C4"/>
    <w:pPr>
      <w:tabs>
        <w:tab w:val="right" w:pos="1089"/>
      </w:tabs>
      <w:spacing w:before="40" w:line="240" w:lineRule="atLeast"/>
      <w:ind w:left="1327" w:hanging="1327"/>
    </w:pPr>
    <w:rPr>
      <w:sz w:val="20"/>
    </w:rPr>
  </w:style>
  <w:style w:type="paragraph" w:customStyle="1" w:styleId="CTA3a">
    <w:name w:val="CTA 3(a)"/>
    <w:basedOn w:val="OPCParaBase"/>
    <w:rsid w:val="00CB26C4"/>
    <w:pPr>
      <w:tabs>
        <w:tab w:val="right" w:pos="556"/>
      </w:tabs>
      <w:spacing w:before="40" w:line="240" w:lineRule="atLeast"/>
      <w:ind w:left="805" w:hanging="805"/>
    </w:pPr>
    <w:rPr>
      <w:sz w:val="20"/>
    </w:rPr>
  </w:style>
  <w:style w:type="paragraph" w:customStyle="1" w:styleId="CTA3ai">
    <w:name w:val="CTA 3(a)(i)"/>
    <w:basedOn w:val="OPCParaBase"/>
    <w:rsid w:val="00CB26C4"/>
    <w:pPr>
      <w:tabs>
        <w:tab w:val="right" w:pos="1140"/>
      </w:tabs>
      <w:spacing w:before="40" w:line="240" w:lineRule="atLeast"/>
      <w:ind w:left="1361" w:hanging="1361"/>
    </w:pPr>
    <w:rPr>
      <w:sz w:val="20"/>
    </w:rPr>
  </w:style>
  <w:style w:type="paragraph" w:customStyle="1" w:styleId="CTA4a">
    <w:name w:val="CTA 4(a)"/>
    <w:basedOn w:val="OPCParaBase"/>
    <w:rsid w:val="00CB26C4"/>
    <w:pPr>
      <w:tabs>
        <w:tab w:val="right" w:pos="624"/>
      </w:tabs>
      <w:spacing w:before="40" w:line="240" w:lineRule="atLeast"/>
      <w:ind w:left="873" w:hanging="873"/>
    </w:pPr>
    <w:rPr>
      <w:sz w:val="20"/>
    </w:rPr>
  </w:style>
  <w:style w:type="paragraph" w:customStyle="1" w:styleId="CTA4ai">
    <w:name w:val="CTA 4(a)(i)"/>
    <w:basedOn w:val="OPCParaBase"/>
    <w:rsid w:val="00CB26C4"/>
    <w:pPr>
      <w:tabs>
        <w:tab w:val="right" w:pos="1213"/>
      </w:tabs>
      <w:spacing w:before="40" w:line="240" w:lineRule="atLeast"/>
      <w:ind w:left="1452" w:hanging="1452"/>
    </w:pPr>
    <w:rPr>
      <w:sz w:val="20"/>
    </w:rPr>
  </w:style>
  <w:style w:type="paragraph" w:customStyle="1" w:styleId="CTACAPS">
    <w:name w:val="CTA CAPS"/>
    <w:basedOn w:val="OPCParaBase"/>
    <w:rsid w:val="00CB26C4"/>
    <w:pPr>
      <w:spacing w:before="60" w:line="240" w:lineRule="atLeast"/>
    </w:pPr>
    <w:rPr>
      <w:sz w:val="20"/>
    </w:rPr>
  </w:style>
  <w:style w:type="paragraph" w:customStyle="1" w:styleId="CTAright">
    <w:name w:val="CTA right"/>
    <w:basedOn w:val="OPCParaBase"/>
    <w:rsid w:val="00CB26C4"/>
    <w:pPr>
      <w:spacing w:before="60" w:line="240" w:lineRule="auto"/>
      <w:jc w:val="right"/>
    </w:pPr>
    <w:rPr>
      <w:sz w:val="20"/>
    </w:rPr>
  </w:style>
  <w:style w:type="paragraph" w:customStyle="1" w:styleId="subsection">
    <w:name w:val="subsection"/>
    <w:aliases w:val="ss"/>
    <w:basedOn w:val="OPCParaBase"/>
    <w:link w:val="subsectionChar"/>
    <w:rsid w:val="00CB26C4"/>
    <w:pPr>
      <w:tabs>
        <w:tab w:val="right" w:pos="1021"/>
      </w:tabs>
      <w:spacing w:before="180" w:line="240" w:lineRule="auto"/>
      <w:ind w:left="1134" w:hanging="1134"/>
    </w:pPr>
  </w:style>
  <w:style w:type="paragraph" w:customStyle="1" w:styleId="Definition">
    <w:name w:val="Definition"/>
    <w:aliases w:val="dd"/>
    <w:basedOn w:val="OPCParaBase"/>
    <w:rsid w:val="00CB26C4"/>
    <w:pPr>
      <w:spacing w:before="180" w:line="240" w:lineRule="auto"/>
      <w:ind w:left="1134"/>
    </w:pPr>
  </w:style>
  <w:style w:type="paragraph" w:customStyle="1" w:styleId="EndNotespara">
    <w:name w:val="EndNotes(para)"/>
    <w:aliases w:val="eta"/>
    <w:basedOn w:val="OPCParaBase"/>
    <w:next w:val="EndNotessubpara"/>
    <w:rsid w:val="00CB26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26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26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26C4"/>
    <w:pPr>
      <w:tabs>
        <w:tab w:val="right" w:pos="1412"/>
      </w:tabs>
      <w:spacing w:before="60" w:line="240" w:lineRule="auto"/>
      <w:ind w:left="1525" w:hanging="1525"/>
    </w:pPr>
    <w:rPr>
      <w:sz w:val="20"/>
    </w:rPr>
  </w:style>
  <w:style w:type="paragraph" w:customStyle="1" w:styleId="Formula">
    <w:name w:val="Formula"/>
    <w:basedOn w:val="OPCParaBase"/>
    <w:rsid w:val="00CB26C4"/>
    <w:pPr>
      <w:spacing w:line="240" w:lineRule="auto"/>
      <w:ind w:left="1134"/>
    </w:pPr>
    <w:rPr>
      <w:sz w:val="20"/>
    </w:rPr>
  </w:style>
  <w:style w:type="paragraph" w:styleId="Header">
    <w:name w:val="header"/>
    <w:basedOn w:val="OPCParaBase"/>
    <w:link w:val="HeaderChar"/>
    <w:unhideWhenUsed/>
    <w:rsid w:val="00CB26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26C4"/>
    <w:rPr>
      <w:rFonts w:eastAsia="Times New Roman" w:cs="Times New Roman"/>
      <w:sz w:val="16"/>
      <w:lang w:eastAsia="en-AU"/>
    </w:rPr>
  </w:style>
  <w:style w:type="paragraph" w:customStyle="1" w:styleId="House">
    <w:name w:val="House"/>
    <w:basedOn w:val="OPCParaBase"/>
    <w:rsid w:val="00CB26C4"/>
    <w:pPr>
      <w:spacing w:line="240" w:lineRule="auto"/>
    </w:pPr>
    <w:rPr>
      <w:sz w:val="28"/>
    </w:rPr>
  </w:style>
  <w:style w:type="paragraph" w:customStyle="1" w:styleId="Item">
    <w:name w:val="Item"/>
    <w:aliases w:val="i"/>
    <w:basedOn w:val="OPCParaBase"/>
    <w:next w:val="ItemHead"/>
    <w:rsid w:val="00CB26C4"/>
    <w:pPr>
      <w:keepLines/>
      <w:spacing w:before="80" w:line="240" w:lineRule="auto"/>
      <w:ind w:left="709"/>
    </w:pPr>
  </w:style>
  <w:style w:type="paragraph" w:customStyle="1" w:styleId="ItemHead">
    <w:name w:val="ItemHead"/>
    <w:aliases w:val="ih"/>
    <w:basedOn w:val="OPCParaBase"/>
    <w:next w:val="Item"/>
    <w:rsid w:val="00CB26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26C4"/>
    <w:pPr>
      <w:spacing w:line="240" w:lineRule="auto"/>
    </w:pPr>
    <w:rPr>
      <w:b/>
      <w:sz w:val="32"/>
    </w:rPr>
  </w:style>
  <w:style w:type="paragraph" w:customStyle="1" w:styleId="notedraft">
    <w:name w:val="note(draft)"/>
    <w:aliases w:val="nd"/>
    <w:basedOn w:val="OPCParaBase"/>
    <w:rsid w:val="00CB26C4"/>
    <w:pPr>
      <w:spacing w:before="240" w:line="240" w:lineRule="auto"/>
      <w:ind w:left="284" w:hanging="284"/>
    </w:pPr>
    <w:rPr>
      <w:i/>
      <w:sz w:val="24"/>
    </w:rPr>
  </w:style>
  <w:style w:type="paragraph" w:customStyle="1" w:styleId="notemargin">
    <w:name w:val="note(margin)"/>
    <w:aliases w:val="nm"/>
    <w:basedOn w:val="OPCParaBase"/>
    <w:rsid w:val="00CB26C4"/>
    <w:pPr>
      <w:tabs>
        <w:tab w:val="left" w:pos="709"/>
      </w:tabs>
      <w:spacing w:before="122" w:line="198" w:lineRule="exact"/>
      <w:ind w:left="709" w:hanging="709"/>
    </w:pPr>
    <w:rPr>
      <w:sz w:val="18"/>
    </w:rPr>
  </w:style>
  <w:style w:type="paragraph" w:customStyle="1" w:styleId="noteToPara">
    <w:name w:val="noteToPara"/>
    <w:aliases w:val="ntp"/>
    <w:basedOn w:val="OPCParaBase"/>
    <w:rsid w:val="00CB26C4"/>
    <w:pPr>
      <w:spacing w:before="122" w:line="198" w:lineRule="exact"/>
      <w:ind w:left="2353" w:hanging="709"/>
    </w:pPr>
    <w:rPr>
      <w:sz w:val="18"/>
    </w:rPr>
  </w:style>
  <w:style w:type="paragraph" w:customStyle="1" w:styleId="noteParlAmend">
    <w:name w:val="note(ParlAmend)"/>
    <w:aliases w:val="npp"/>
    <w:basedOn w:val="OPCParaBase"/>
    <w:next w:val="ParlAmend"/>
    <w:rsid w:val="00CB26C4"/>
    <w:pPr>
      <w:spacing w:line="240" w:lineRule="auto"/>
      <w:jc w:val="right"/>
    </w:pPr>
    <w:rPr>
      <w:rFonts w:ascii="Arial" w:hAnsi="Arial"/>
      <w:b/>
      <w:i/>
    </w:rPr>
  </w:style>
  <w:style w:type="paragraph" w:customStyle="1" w:styleId="Page1">
    <w:name w:val="Page1"/>
    <w:basedOn w:val="OPCParaBase"/>
    <w:rsid w:val="00CB26C4"/>
    <w:pPr>
      <w:spacing w:before="5600" w:line="240" w:lineRule="auto"/>
    </w:pPr>
    <w:rPr>
      <w:b/>
      <w:sz w:val="32"/>
    </w:rPr>
  </w:style>
  <w:style w:type="paragraph" w:customStyle="1" w:styleId="PageBreak">
    <w:name w:val="PageBreak"/>
    <w:aliases w:val="pb"/>
    <w:basedOn w:val="OPCParaBase"/>
    <w:rsid w:val="00CB26C4"/>
    <w:pPr>
      <w:spacing w:line="240" w:lineRule="auto"/>
    </w:pPr>
    <w:rPr>
      <w:sz w:val="20"/>
    </w:rPr>
  </w:style>
  <w:style w:type="paragraph" w:customStyle="1" w:styleId="paragraphsub">
    <w:name w:val="paragraph(sub)"/>
    <w:aliases w:val="aa"/>
    <w:basedOn w:val="OPCParaBase"/>
    <w:rsid w:val="00CB26C4"/>
    <w:pPr>
      <w:tabs>
        <w:tab w:val="right" w:pos="1985"/>
      </w:tabs>
      <w:spacing w:before="40" w:line="240" w:lineRule="auto"/>
      <w:ind w:left="2098" w:hanging="2098"/>
    </w:pPr>
  </w:style>
  <w:style w:type="paragraph" w:customStyle="1" w:styleId="paragraphsub-sub">
    <w:name w:val="paragraph(sub-sub)"/>
    <w:aliases w:val="aaa"/>
    <w:basedOn w:val="OPCParaBase"/>
    <w:rsid w:val="00CB26C4"/>
    <w:pPr>
      <w:tabs>
        <w:tab w:val="right" w:pos="2722"/>
      </w:tabs>
      <w:spacing w:before="40" w:line="240" w:lineRule="auto"/>
      <w:ind w:left="2835" w:hanging="2835"/>
    </w:pPr>
  </w:style>
  <w:style w:type="paragraph" w:customStyle="1" w:styleId="paragraph">
    <w:name w:val="paragraph"/>
    <w:aliases w:val="a"/>
    <w:basedOn w:val="OPCParaBase"/>
    <w:link w:val="paragraphChar"/>
    <w:rsid w:val="00CB26C4"/>
    <w:pPr>
      <w:tabs>
        <w:tab w:val="right" w:pos="1531"/>
      </w:tabs>
      <w:spacing w:before="40" w:line="240" w:lineRule="auto"/>
      <w:ind w:left="1644" w:hanging="1644"/>
    </w:pPr>
  </w:style>
  <w:style w:type="paragraph" w:customStyle="1" w:styleId="ParlAmend">
    <w:name w:val="ParlAmend"/>
    <w:aliases w:val="pp"/>
    <w:basedOn w:val="OPCParaBase"/>
    <w:rsid w:val="00CB26C4"/>
    <w:pPr>
      <w:spacing w:before="240" w:line="240" w:lineRule="atLeast"/>
      <w:ind w:hanging="567"/>
    </w:pPr>
    <w:rPr>
      <w:sz w:val="24"/>
    </w:rPr>
  </w:style>
  <w:style w:type="paragraph" w:customStyle="1" w:styleId="Penalty">
    <w:name w:val="Penalty"/>
    <w:basedOn w:val="OPCParaBase"/>
    <w:rsid w:val="00CB26C4"/>
    <w:pPr>
      <w:tabs>
        <w:tab w:val="left" w:pos="2977"/>
      </w:tabs>
      <w:spacing w:before="180" w:line="240" w:lineRule="auto"/>
      <w:ind w:left="1985" w:hanging="851"/>
    </w:pPr>
  </w:style>
  <w:style w:type="paragraph" w:customStyle="1" w:styleId="Portfolio">
    <w:name w:val="Portfolio"/>
    <w:basedOn w:val="OPCParaBase"/>
    <w:rsid w:val="00CB26C4"/>
    <w:pPr>
      <w:spacing w:line="240" w:lineRule="auto"/>
    </w:pPr>
    <w:rPr>
      <w:i/>
      <w:sz w:val="20"/>
    </w:rPr>
  </w:style>
  <w:style w:type="paragraph" w:customStyle="1" w:styleId="Preamble">
    <w:name w:val="Preamble"/>
    <w:basedOn w:val="OPCParaBase"/>
    <w:next w:val="Normal"/>
    <w:rsid w:val="00CB26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26C4"/>
    <w:pPr>
      <w:spacing w:line="240" w:lineRule="auto"/>
    </w:pPr>
    <w:rPr>
      <w:i/>
      <w:sz w:val="20"/>
    </w:rPr>
  </w:style>
  <w:style w:type="paragraph" w:customStyle="1" w:styleId="Session">
    <w:name w:val="Session"/>
    <w:basedOn w:val="OPCParaBase"/>
    <w:rsid w:val="00CB26C4"/>
    <w:pPr>
      <w:spacing w:line="240" w:lineRule="auto"/>
    </w:pPr>
    <w:rPr>
      <w:sz w:val="28"/>
    </w:rPr>
  </w:style>
  <w:style w:type="paragraph" w:customStyle="1" w:styleId="Sponsor">
    <w:name w:val="Sponsor"/>
    <w:basedOn w:val="OPCParaBase"/>
    <w:rsid w:val="00CB26C4"/>
    <w:pPr>
      <w:spacing w:line="240" w:lineRule="auto"/>
    </w:pPr>
    <w:rPr>
      <w:i/>
    </w:rPr>
  </w:style>
  <w:style w:type="paragraph" w:customStyle="1" w:styleId="Subitem">
    <w:name w:val="Subitem"/>
    <w:aliases w:val="iss"/>
    <w:basedOn w:val="OPCParaBase"/>
    <w:rsid w:val="00CB26C4"/>
    <w:pPr>
      <w:spacing w:before="180" w:line="240" w:lineRule="auto"/>
      <w:ind w:left="709" w:hanging="709"/>
    </w:pPr>
  </w:style>
  <w:style w:type="paragraph" w:customStyle="1" w:styleId="SubitemHead">
    <w:name w:val="SubitemHead"/>
    <w:aliases w:val="issh"/>
    <w:basedOn w:val="OPCParaBase"/>
    <w:rsid w:val="00CB26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26C4"/>
    <w:pPr>
      <w:spacing w:before="40" w:line="240" w:lineRule="auto"/>
      <w:ind w:left="1134"/>
    </w:pPr>
  </w:style>
  <w:style w:type="paragraph" w:customStyle="1" w:styleId="SubsectionHead">
    <w:name w:val="SubsectionHead"/>
    <w:aliases w:val="ssh"/>
    <w:basedOn w:val="OPCParaBase"/>
    <w:next w:val="subsection"/>
    <w:rsid w:val="00CB26C4"/>
    <w:pPr>
      <w:keepNext/>
      <w:keepLines/>
      <w:spacing w:before="240" w:line="240" w:lineRule="auto"/>
      <w:ind w:left="1134"/>
    </w:pPr>
    <w:rPr>
      <w:i/>
    </w:rPr>
  </w:style>
  <w:style w:type="paragraph" w:customStyle="1" w:styleId="Tablea">
    <w:name w:val="Table(a)"/>
    <w:aliases w:val="ta"/>
    <w:basedOn w:val="OPCParaBase"/>
    <w:rsid w:val="00CB26C4"/>
    <w:pPr>
      <w:spacing w:before="60" w:line="240" w:lineRule="auto"/>
      <w:ind w:left="284" w:hanging="284"/>
    </w:pPr>
    <w:rPr>
      <w:sz w:val="20"/>
    </w:rPr>
  </w:style>
  <w:style w:type="paragraph" w:customStyle="1" w:styleId="TableAA">
    <w:name w:val="Table(AA)"/>
    <w:aliases w:val="taaa"/>
    <w:basedOn w:val="OPCParaBase"/>
    <w:rsid w:val="00CB26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26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26C4"/>
    <w:pPr>
      <w:spacing w:before="60" w:line="240" w:lineRule="atLeast"/>
    </w:pPr>
    <w:rPr>
      <w:sz w:val="20"/>
    </w:rPr>
  </w:style>
  <w:style w:type="paragraph" w:customStyle="1" w:styleId="TLPBoxTextnote">
    <w:name w:val="TLPBoxText(note"/>
    <w:aliases w:val="right)"/>
    <w:basedOn w:val="OPCParaBase"/>
    <w:rsid w:val="00CB26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26C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26C4"/>
    <w:pPr>
      <w:spacing w:before="122" w:line="198" w:lineRule="exact"/>
      <w:ind w:left="1985" w:hanging="851"/>
      <w:jc w:val="right"/>
    </w:pPr>
    <w:rPr>
      <w:sz w:val="18"/>
    </w:rPr>
  </w:style>
  <w:style w:type="paragraph" w:customStyle="1" w:styleId="TLPTableBullet">
    <w:name w:val="TLPTableBullet"/>
    <w:aliases w:val="ttb"/>
    <w:basedOn w:val="OPCParaBase"/>
    <w:rsid w:val="00CB26C4"/>
    <w:pPr>
      <w:spacing w:line="240" w:lineRule="exact"/>
      <w:ind w:left="284" w:hanging="284"/>
    </w:pPr>
    <w:rPr>
      <w:sz w:val="20"/>
    </w:rPr>
  </w:style>
  <w:style w:type="paragraph" w:styleId="TOC1">
    <w:name w:val="toc 1"/>
    <w:basedOn w:val="Normal"/>
    <w:next w:val="Normal"/>
    <w:uiPriority w:val="39"/>
    <w:unhideWhenUsed/>
    <w:rsid w:val="00CB26C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26C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26C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26C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B26C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B26C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26C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26C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26C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26C4"/>
    <w:pPr>
      <w:keepLines/>
      <w:spacing w:before="240" w:after="120" w:line="240" w:lineRule="auto"/>
      <w:ind w:left="794"/>
    </w:pPr>
    <w:rPr>
      <w:b/>
      <w:kern w:val="28"/>
      <w:sz w:val="20"/>
    </w:rPr>
  </w:style>
  <w:style w:type="paragraph" w:customStyle="1" w:styleId="TofSectsHeading">
    <w:name w:val="TofSects(Heading)"/>
    <w:basedOn w:val="OPCParaBase"/>
    <w:rsid w:val="00CB26C4"/>
    <w:pPr>
      <w:spacing w:before="240" w:after="120" w:line="240" w:lineRule="auto"/>
    </w:pPr>
    <w:rPr>
      <w:b/>
      <w:sz w:val="24"/>
    </w:rPr>
  </w:style>
  <w:style w:type="paragraph" w:customStyle="1" w:styleId="TofSectsSection">
    <w:name w:val="TofSects(Section)"/>
    <w:basedOn w:val="OPCParaBase"/>
    <w:rsid w:val="00CB26C4"/>
    <w:pPr>
      <w:keepLines/>
      <w:spacing w:before="40" w:line="240" w:lineRule="auto"/>
      <w:ind w:left="1588" w:hanging="794"/>
    </w:pPr>
    <w:rPr>
      <w:kern w:val="28"/>
      <w:sz w:val="18"/>
    </w:rPr>
  </w:style>
  <w:style w:type="paragraph" w:customStyle="1" w:styleId="TofSectsSubdiv">
    <w:name w:val="TofSects(Subdiv)"/>
    <w:basedOn w:val="OPCParaBase"/>
    <w:rsid w:val="00CB26C4"/>
    <w:pPr>
      <w:keepLines/>
      <w:spacing w:before="80" w:line="240" w:lineRule="auto"/>
      <w:ind w:left="1588" w:hanging="794"/>
    </w:pPr>
    <w:rPr>
      <w:kern w:val="28"/>
    </w:rPr>
  </w:style>
  <w:style w:type="paragraph" w:customStyle="1" w:styleId="WRStyle">
    <w:name w:val="WR Style"/>
    <w:aliases w:val="WR"/>
    <w:basedOn w:val="OPCParaBase"/>
    <w:rsid w:val="00CB26C4"/>
    <w:pPr>
      <w:spacing w:before="240" w:line="240" w:lineRule="auto"/>
      <w:ind w:left="284" w:hanging="284"/>
    </w:pPr>
    <w:rPr>
      <w:b/>
      <w:i/>
      <w:kern w:val="28"/>
      <w:sz w:val="24"/>
    </w:rPr>
  </w:style>
  <w:style w:type="paragraph" w:customStyle="1" w:styleId="notepara">
    <w:name w:val="note(para)"/>
    <w:aliases w:val="na"/>
    <w:basedOn w:val="OPCParaBase"/>
    <w:rsid w:val="00CB26C4"/>
    <w:pPr>
      <w:spacing w:before="40" w:line="198" w:lineRule="exact"/>
      <w:ind w:left="2354" w:hanging="369"/>
    </w:pPr>
    <w:rPr>
      <w:sz w:val="18"/>
    </w:rPr>
  </w:style>
  <w:style w:type="paragraph" w:styleId="Footer">
    <w:name w:val="footer"/>
    <w:link w:val="FooterChar"/>
    <w:rsid w:val="00CB26C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26C4"/>
    <w:rPr>
      <w:rFonts w:eastAsia="Times New Roman" w:cs="Times New Roman"/>
      <w:sz w:val="22"/>
      <w:szCs w:val="24"/>
      <w:lang w:eastAsia="en-AU"/>
    </w:rPr>
  </w:style>
  <w:style w:type="character" w:styleId="LineNumber">
    <w:name w:val="line number"/>
    <w:basedOn w:val="OPCCharBase"/>
    <w:uiPriority w:val="99"/>
    <w:unhideWhenUsed/>
    <w:rsid w:val="00CB26C4"/>
    <w:rPr>
      <w:sz w:val="16"/>
    </w:rPr>
  </w:style>
  <w:style w:type="table" w:customStyle="1" w:styleId="CFlag">
    <w:name w:val="CFlag"/>
    <w:basedOn w:val="TableNormal"/>
    <w:uiPriority w:val="99"/>
    <w:rsid w:val="00CB26C4"/>
    <w:rPr>
      <w:rFonts w:eastAsia="Times New Roman" w:cs="Times New Roman"/>
      <w:lang w:eastAsia="en-AU"/>
    </w:rPr>
    <w:tblPr/>
  </w:style>
  <w:style w:type="paragraph" w:styleId="BalloonText">
    <w:name w:val="Balloon Text"/>
    <w:basedOn w:val="Normal"/>
    <w:link w:val="BalloonTextChar"/>
    <w:uiPriority w:val="99"/>
    <w:unhideWhenUsed/>
    <w:rsid w:val="00CB26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26C4"/>
    <w:rPr>
      <w:rFonts w:ascii="Tahoma" w:hAnsi="Tahoma" w:cs="Tahoma"/>
      <w:sz w:val="16"/>
      <w:szCs w:val="16"/>
    </w:rPr>
  </w:style>
  <w:style w:type="table" w:styleId="TableGrid">
    <w:name w:val="Table Grid"/>
    <w:basedOn w:val="TableNormal"/>
    <w:uiPriority w:val="59"/>
    <w:rsid w:val="00CB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26C4"/>
    <w:rPr>
      <w:b/>
      <w:sz w:val="28"/>
      <w:szCs w:val="32"/>
    </w:rPr>
  </w:style>
  <w:style w:type="paragraph" w:customStyle="1" w:styleId="LegislationMadeUnder">
    <w:name w:val="LegislationMadeUnder"/>
    <w:basedOn w:val="OPCParaBase"/>
    <w:next w:val="Normal"/>
    <w:rsid w:val="00CB26C4"/>
    <w:rPr>
      <w:i/>
      <w:sz w:val="32"/>
      <w:szCs w:val="32"/>
    </w:rPr>
  </w:style>
  <w:style w:type="paragraph" w:customStyle="1" w:styleId="SignCoverPageEnd">
    <w:name w:val="SignCoverPageEnd"/>
    <w:basedOn w:val="OPCParaBase"/>
    <w:next w:val="Normal"/>
    <w:rsid w:val="00CB26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26C4"/>
    <w:pPr>
      <w:pBdr>
        <w:top w:val="single" w:sz="4" w:space="1" w:color="auto"/>
      </w:pBdr>
      <w:spacing w:before="360"/>
      <w:ind w:right="397"/>
      <w:jc w:val="both"/>
    </w:pPr>
  </w:style>
  <w:style w:type="paragraph" w:customStyle="1" w:styleId="NotesHeading1">
    <w:name w:val="NotesHeading 1"/>
    <w:basedOn w:val="OPCParaBase"/>
    <w:next w:val="Normal"/>
    <w:rsid w:val="00CB26C4"/>
    <w:rPr>
      <w:b/>
      <w:sz w:val="28"/>
      <w:szCs w:val="28"/>
    </w:rPr>
  </w:style>
  <w:style w:type="paragraph" w:customStyle="1" w:styleId="NotesHeading2">
    <w:name w:val="NotesHeading 2"/>
    <w:basedOn w:val="OPCParaBase"/>
    <w:next w:val="Normal"/>
    <w:rsid w:val="00CB26C4"/>
    <w:rPr>
      <w:b/>
      <w:sz w:val="28"/>
      <w:szCs w:val="28"/>
    </w:rPr>
  </w:style>
  <w:style w:type="paragraph" w:customStyle="1" w:styleId="CompiledActNo">
    <w:name w:val="CompiledActNo"/>
    <w:basedOn w:val="OPCParaBase"/>
    <w:next w:val="Normal"/>
    <w:rsid w:val="00CB26C4"/>
    <w:rPr>
      <w:b/>
      <w:sz w:val="24"/>
      <w:szCs w:val="24"/>
    </w:rPr>
  </w:style>
  <w:style w:type="paragraph" w:customStyle="1" w:styleId="ENotesText">
    <w:name w:val="ENotesText"/>
    <w:aliases w:val="Ent"/>
    <w:basedOn w:val="OPCParaBase"/>
    <w:next w:val="Normal"/>
    <w:rsid w:val="00CB26C4"/>
    <w:pPr>
      <w:spacing w:before="120"/>
    </w:pPr>
  </w:style>
  <w:style w:type="paragraph" w:customStyle="1" w:styleId="CompiledMadeUnder">
    <w:name w:val="CompiledMadeUnder"/>
    <w:basedOn w:val="OPCParaBase"/>
    <w:next w:val="Normal"/>
    <w:rsid w:val="00CB26C4"/>
    <w:rPr>
      <w:i/>
      <w:sz w:val="24"/>
      <w:szCs w:val="24"/>
    </w:rPr>
  </w:style>
  <w:style w:type="paragraph" w:customStyle="1" w:styleId="Paragraphsub-sub-sub">
    <w:name w:val="Paragraph(sub-sub-sub)"/>
    <w:aliases w:val="aaaa"/>
    <w:basedOn w:val="OPCParaBase"/>
    <w:rsid w:val="00CB26C4"/>
    <w:pPr>
      <w:tabs>
        <w:tab w:val="right" w:pos="3402"/>
      </w:tabs>
      <w:spacing w:before="40" w:line="240" w:lineRule="auto"/>
      <w:ind w:left="3402" w:hanging="3402"/>
    </w:pPr>
  </w:style>
  <w:style w:type="paragraph" w:customStyle="1" w:styleId="TableTextEndNotes">
    <w:name w:val="TableTextEndNotes"/>
    <w:aliases w:val="Tten"/>
    <w:basedOn w:val="Normal"/>
    <w:rsid w:val="00CB26C4"/>
    <w:pPr>
      <w:spacing w:before="60" w:line="240" w:lineRule="auto"/>
    </w:pPr>
    <w:rPr>
      <w:rFonts w:cs="Arial"/>
      <w:sz w:val="20"/>
      <w:szCs w:val="22"/>
    </w:rPr>
  </w:style>
  <w:style w:type="paragraph" w:customStyle="1" w:styleId="NoteToSubpara">
    <w:name w:val="NoteToSubpara"/>
    <w:aliases w:val="nts"/>
    <w:basedOn w:val="OPCParaBase"/>
    <w:rsid w:val="00CB26C4"/>
    <w:pPr>
      <w:spacing w:before="40" w:line="198" w:lineRule="exact"/>
      <w:ind w:left="2835" w:hanging="709"/>
    </w:pPr>
    <w:rPr>
      <w:sz w:val="18"/>
    </w:rPr>
  </w:style>
  <w:style w:type="paragraph" w:customStyle="1" w:styleId="ENoteTableHeading">
    <w:name w:val="ENoteTableHeading"/>
    <w:aliases w:val="enth"/>
    <w:basedOn w:val="OPCParaBase"/>
    <w:rsid w:val="00CB26C4"/>
    <w:pPr>
      <w:keepNext/>
      <w:spacing w:before="60" w:line="240" w:lineRule="atLeast"/>
    </w:pPr>
    <w:rPr>
      <w:rFonts w:ascii="Arial" w:hAnsi="Arial"/>
      <w:b/>
      <w:sz w:val="16"/>
    </w:rPr>
  </w:style>
  <w:style w:type="paragraph" w:customStyle="1" w:styleId="ENoteTTi">
    <w:name w:val="ENoteTTi"/>
    <w:aliases w:val="entti"/>
    <w:basedOn w:val="OPCParaBase"/>
    <w:rsid w:val="00CB26C4"/>
    <w:pPr>
      <w:keepNext/>
      <w:spacing w:before="60" w:line="240" w:lineRule="atLeast"/>
      <w:ind w:left="170"/>
    </w:pPr>
    <w:rPr>
      <w:sz w:val="16"/>
    </w:rPr>
  </w:style>
  <w:style w:type="paragraph" w:customStyle="1" w:styleId="ENotesHeading1">
    <w:name w:val="ENotesHeading 1"/>
    <w:aliases w:val="Enh1"/>
    <w:basedOn w:val="OPCParaBase"/>
    <w:next w:val="Normal"/>
    <w:rsid w:val="00CB26C4"/>
    <w:pPr>
      <w:spacing w:before="120"/>
      <w:outlineLvl w:val="1"/>
    </w:pPr>
    <w:rPr>
      <w:b/>
      <w:sz w:val="28"/>
      <w:szCs w:val="28"/>
    </w:rPr>
  </w:style>
  <w:style w:type="paragraph" w:customStyle="1" w:styleId="ENotesHeading2">
    <w:name w:val="ENotesHeading 2"/>
    <w:aliases w:val="Enh2"/>
    <w:basedOn w:val="OPCParaBase"/>
    <w:next w:val="Normal"/>
    <w:rsid w:val="00CB26C4"/>
    <w:pPr>
      <w:spacing w:before="120" w:after="120"/>
      <w:outlineLvl w:val="2"/>
    </w:pPr>
    <w:rPr>
      <w:b/>
      <w:sz w:val="24"/>
      <w:szCs w:val="28"/>
    </w:rPr>
  </w:style>
  <w:style w:type="paragraph" w:customStyle="1" w:styleId="ENoteTTIndentHeading">
    <w:name w:val="ENoteTTIndentHeading"/>
    <w:aliases w:val="enTTHi"/>
    <w:basedOn w:val="OPCParaBase"/>
    <w:rsid w:val="00CB26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26C4"/>
    <w:pPr>
      <w:spacing w:before="60" w:line="240" w:lineRule="atLeast"/>
    </w:pPr>
    <w:rPr>
      <w:sz w:val="16"/>
    </w:rPr>
  </w:style>
  <w:style w:type="paragraph" w:customStyle="1" w:styleId="MadeunderText">
    <w:name w:val="MadeunderText"/>
    <w:basedOn w:val="OPCParaBase"/>
    <w:next w:val="Normal"/>
    <w:rsid w:val="00CB26C4"/>
    <w:pPr>
      <w:spacing w:before="240"/>
    </w:pPr>
    <w:rPr>
      <w:sz w:val="24"/>
      <w:szCs w:val="24"/>
    </w:rPr>
  </w:style>
  <w:style w:type="paragraph" w:customStyle="1" w:styleId="ENotesHeading3">
    <w:name w:val="ENotesHeading 3"/>
    <w:aliases w:val="Enh3"/>
    <w:basedOn w:val="OPCParaBase"/>
    <w:next w:val="Normal"/>
    <w:rsid w:val="00CB26C4"/>
    <w:pPr>
      <w:keepNext/>
      <w:spacing w:before="120" w:line="240" w:lineRule="auto"/>
      <w:outlineLvl w:val="4"/>
    </w:pPr>
    <w:rPr>
      <w:b/>
      <w:szCs w:val="24"/>
    </w:rPr>
  </w:style>
  <w:style w:type="character" w:customStyle="1" w:styleId="CharSubPartTextCASA">
    <w:name w:val="CharSubPartText(CASA)"/>
    <w:basedOn w:val="OPCCharBase"/>
    <w:uiPriority w:val="1"/>
    <w:rsid w:val="00CB26C4"/>
  </w:style>
  <w:style w:type="character" w:customStyle="1" w:styleId="CharSubPartNoCASA">
    <w:name w:val="CharSubPartNo(CASA)"/>
    <w:basedOn w:val="OPCCharBase"/>
    <w:uiPriority w:val="1"/>
    <w:rsid w:val="00CB26C4"/>
  </w:style>
  <w:style w:type="paragraph" w:customStyle="1" w:styleId="ENoteTTIndentHeadingSub">
    <w:name w:val="ENoteTTIndentHeadingSub"/>
    <w:aliases w:val="enTTHis"/>
    <w:basedOn w:val="OPCParaBase"/>
    <w:rsid w:val="00CB26C4"/>
    <w:pPr>
      <w:keepNext/>
      <w:spacing w:before="60" w:line="240" w:lineRule="atLeast"/>
      <w:ind w:left="340"/>
    </w:pPr>
    <w:rPr>
      <w:b/>
      <w:sz w:val="16"/>
    </w:rPr>
  </w:style>
  <w:style w:type="paragraph" w:customStyle="1" w:styleId="ENoteTTiSub">
    <w:name w:val="ENoteTTiSub"/>
    <w:aliases w:val="enttis"/>
    <w:basedOn w:val="OPCParaBase"/>
    <w:rsid w:val="00CB26C4"/>
    <w:pPr>
      <w:keepNext/>
      <w:spacing w:before="60" w:line="240" w:lineRule="atLeast"/>
      <w:ind w:left="340"/>
    </w:pPr>
    <w:rPr>
      <w:sz w:val="16"/>
    </w:rPr>
  </w:style>
  <w:style w:type="paragraph" w:customStyle="1" w:styleId="SubDivisionMigration">
    <w:name w:val="SubDivisionMigration"/>
    <w:aliases w:val="sdm"/>
    <w:basedOn w:val="OPCParaBase"/>
    <w:rsid w:val="00CB26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26C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26C4"/>
    <w:pPr>
      <w:spacing w:before="122" w:line="240" w:lineRule="auto"/>
      <w:ind w:left="1985" w:hanging="851"/>
    </w:pPr>
    <w:rPr>
      <w:sz w:val="18"/>
    </w:rPr>
  </w:style>
  <w:style w:type="paragraph" w:customStyle="1" w:styleId="FreeForm">
    <w:name w:val="FreeForm"/>
    <w:rsid w:val="00CB26C4"/>
    <w:rPr>
      <w:rFonts w:ascii="Arial" w:hAnsi="Arial"/>
      <w:sz w:val="22"/>
    </w:rPr>
  </w:style>
  <w:style w:type="paragraph" w:customStyle="1" w:styleId="SOText">
    <w:name w:val="SO Text"/>
    <w:aliases w:val="sot"/>
    <w:link w:val="SOTextChar"/>
    <w:rsid w:val="00CB26C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26C4"/>
    <w:rPr>
      <w:sz w:val="22"/>
    </w:rPr>
  </w:style>
  <w:style w:type="paragraph" w:customStyle="1" w:styleId="SOTextNote">
    <w:name w:val="SO TextNote"/>
    <w:aliases w:val="sont"/>
    <w:basedOn w:val="SOText"/>
    <w:qFormat/>
    <w:rsid w:val="00CB26C4"/>
    <w:pPr>
      <w:spacing w:before="122" w:line="198" w:lineRule="exact"/>
      <w:ind w:left="1843" w:hanging="709"/>
    </w:pPr>
    <w:rPr>
      <w:sz w:val="18"/>
    </w:rPr>
  </w:style>
  <w:style w:type="paragraph" w:customStyle="1" w:styleId="SOPara">
    <w:name w:val="SO Para"/>
    <w:aliases w:val="soa"/>
    <w:basedOn w:val="SOText"/>
    <w:link w:val="SOParaChar"/>
    <w:qFormat/>
    <w:rsid w:val="00CB26C4"/>
    <w:pPr>
      <w:tabs>
        <w:tab w:val="right" w:pos="1786"/>
      </w:tabs>
      <w:spacing w:before="40"/>
      <w:ind w:left="2070" w:hanging="936"/>
    </w:pPr>
  </w:style>
  <w:style w:type="character" w:customStyle="1" w:styleId="SOParaChar">
    <w:name w:val="SO Para Char"/>
    <w:aliases w:val="soa Char"/>
    <w:basedOn w:val="DefaultParagraphFont"/>
    <w:link w:val="SOPara"/>
    <w:rsid w:val="00CB26C4"/>
    <w:rPr>
      <w:sz w:val="22"/>
    </w:rPr>
  </w:style>
  <w:style w:type="paragraph" w:customStyle="1" w:styleId="FileName">
    <w:name w:val="FileName"/>
    <w:basedOn w:val="Normal"/>
    <w:rsid w:val="00CB26C4"/>
  </w:style>
  <w:style w:type="paragraph" w:customStyle="1" w:styleId="TableHeading">
    <w:name w:val="TableHeading"/>
    <w:aliases w:val="th"/>
    <w:basedOn w:val="OPCParaBase"/>
    <w:next w:val="Tabletext"/>
    <w:rsid w:val="00CB26C4"/>
    <w:pPr>
      <w:keepNext/>
      <w:spacing w:before="60" w:line="240" w:lineRule="atLeast"/>
    </w:pPr>
    <w:rPr>
      <w:b/>
      <w:sz w:val="20"/>
    </w:rPr>
  </w:style>
  <w:style w:type="paragraph" w:customStyle="1" w:styleId="SOHeadBold">
    <w:name w:val="SO HeadBold"/>
    <w:aliases w:val="sohb"/>
    <w:basedOn w:val="SOText"/>
    <w:next w:val="SOText"/>
    <w:link w:val="SOHeadBoldChar"/>
    <w:qFormat/>
    <w:rsid w:val="00CB26C4"/>
    <w:rPr>
      <w:b/>
    </w:rPr>
  </w:style>
  <w:style w:type="character" w:customStyle="1" w:styleId="SOHeadBoldChar">
    <w:name w:val="SO HeadBold Char"/>
    <w:aliases w:val="sohb Char"/>
    <w:basedOn w:val="DefaultParagraphFont"/>
    <w:link w:val="SOHeadBold"/>
    <w:rsid w:val="00CB26C4"/>
    <w:rPr>
      <w:b/>
      <w:sz w:val="22"/>
    </w:rPr>
  </w:style>
  <w:style w:type="paragraph" w:customStyle="1" w:styleId="SOHeadItalic">
    <w:name w:val="SO HeadItalic"/>
    <w:aliases w:val="sohi"/>
    <w:basedOn w:val="SOText"/>
    <w:next w:val="SOText"/>
    <w:link w:val="SOHeadItalicChar"/>
    <w:qFormat/>
    <w:rsid w:val="00CB26C4"/>
    <w:rPr>
      <w:i/>
    </w:rPr>
  </w:style>
  <w:style w:type="character" w:customStyle="1" w:styleId="SOHeadItalicChar">
    <w:name w:val="SO HeadItalic Char"/>
    <w:aliases w:val="sohi Char"/>
    <w:basedOn w:val="DefaultParagraphFont"/>
    <w:link w:val="SOHeadItalic"/>
    <w:rsid w:val="00CB26C4"/>
    <w:rPr>
      <w:i/>
      <w:sz w:val="22"/>
    </w:rPr>
  </w:style>
  <w:style w:type="paragraph" w:customStyle="1" w:styleId="SOBullet">
    <w:name w:val="SO Bullet"/>
    <w:aliases w:val="sotb"/>
    <w:basedOn w:val="SOText"/>
    <w:link w:val="SOBulletChar"/>
    <w:qFormat/>
    <w:rsid w:val="00CB26C4"/>
    <w:pPr>
      <w:ind w:left="1559" w:hanging="425"/>
    </w:pPr>
  </w:style>
  <w:style w:type="character" w:customStyle="1" w:styleId="SOBulletChar">
    <w:name w:val="SO Bullet Char"/>
    <w:aliases w:val="sotb Char"/>
    <w:basedOn w:val="DefaultParagraphFont"/>
    <w:link w:val="SOBullet"/>
    <w:rsid w:val="00CB26C4"/>
    <w:rPr>
      <w:sz w:val="22"/>
    </w:rPr>
  </w:style>
  <w:style w:type="paragraph" w:customStyle="1" w:styleId="SOBulletNote">
    <w:name w:val="SO BulletNote"/>
    <w:aliases w:val="sonb"/>
    <w:basedOn w:val="SOTextNote"/>
    <w:link w:val="SOBulletNoteChar"/>
    <w:qFormat/>
    <w:rsid w:val="00CB26C4"/>
    <w:pPr>
      <w:tabs>
        <w:tab w:val="left" w:pos="1560"/>
      </w:tabs>
      <w:ind w:left="2268" w:hanging="1134"/>
    </w:pPr>
  </w:style>
  <w:style w:type="character" w:customStyle="1" w:styleId="SOBulletNoteChar">
    <w:name w:val="SO BulletNote Char"/>
    <w:aliases w:val="sonb Char"/>
    <w:basedOn w:val="DefaultParagraphFont"/>
    <w:link w:val="SOBulletNote"/>
    <w:rsid w:val="00CB26C4"/>
    <w:rPr>
      <w:sz w:val="18"/>
    </w:rPr>
  </w:style>
  <w:style w:type="paragraph" w:customStyle="1" w:styleId="SOText2">
    <w:name w:val="SO Text2"/>
    <w:aliases w:val="sot2"/>
    <w:basedOn w:val="Normal"/>
    <w:next w:val="SOText"/>
    <w:link w:val="SOText2Char"/>
    <w:rsid w:val="00CB26C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26C4"/>
    <w:rPr>
      <w:sz w:val="22"/>
    </w:rPr>
  </w:style>
  <w:style w:type="paragraph" w:customStyle="1" w:styleId="SubPartCASA">
    <w:name w:val="SubPart(CASA)"/>
    <w:aliases w:val="csp"/>
    <w:basedOn w:val="OPCParaBase"/>
    <w:next w:val="ActHead3"/>
    <w:rsid w:val="00CB26C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B26C4"/>
    <w:rPr>
      <w:rFonts w:eastAsia="Times New Roman" w:cs="Times New Roman"/>
      <w:sz w:val="22"/>
      <w:lang w:eastAsia="en-AU"/>
    </w:rPr>
  </w:style>
  <w:style w:type="character" w:customStyle="1" w:styleId="notetextChar">
    <w:name w:val="note(text) Char"/>
    <w:aliases w:val="n Char"/>
    <w:basedOn w:val="DefaultParagraphFont"/>
    <w:link w:val="notetext"/>
    <w:rsid w:val="00CB26C4"/>
    <w:rPr>
      <w:rFonts w:eastAsia="Times New Roman" w:cs="Times New Roman"/>
      <w:sz w:val="18"/>
      <w:lang w:eastAsia="en-AU"/>
    </w:rPr>
  </w:style>
  <w:style w:type="character" w:customStyle="1" w:styleId="Heading1Char">
    <w:name w:val="Heading 1 Char"/>
    <w:basedOn w:val="DefaultParagraphFont"/>
    <w:link w:val="Heading1"/>
    <w:uiPriority w:val="9"/>
    <w:rsid w:val="00CB26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26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26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26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26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26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26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26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26C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26C4"/>
    <w:rPr>
      <w:rFonts w:ascii="Arial" w:hAnsi="Arial" w:cs="Arial" w:hint="default"/>
      <w:b/>
      <w:bCs/>
      <w:sz w:val="28"/>
      <w:szCs w:val="28"/>
    </w:rPr>
  </w:style>
  <w:style w:type="paragraph" w:styleId="Index1">
    <w:name w:val="index 1"/>
    <w:basedOn w:val="Normal"/>
    <w:next w:val="Normal"/>
    <w:autoRedefine/>
    <w:rsid w:val="00CB26C4"/>
    <w:pPr>
      <w:ind w:left="240" w:hanging="240"/>
    </w:pPr>
  </w:style>
  <w:style w:type="paragraph" w:styleId="Index2">
    <w:name w:val="index 2"/>
    <w:basedOn w:val="Normal"/>
    <w:next w:val="Normal"/>
    <w:autoRedefine/>
    <w:rsid w:val="00CB26C4"/>
    <w:pPr>
      <w:ind w:left="480" w:hanging="240"/>
    </w:pPr>
  </w:style>
  <w:style w:type="paragraph" w:styleId="Index3">
    <w:name w:val="index 3"/>
    <w:basedOn w:val="Normal"/>
    <w:next w:val="Normal"/>
    <w:autoRedefine/>
    <w:rsid w:val="00CB26C4"/>
    <w:pPr>
      <w:ind w:left="720" w:hanging="240"/>
    </w:pPr>
  </w:style>
  <w:style w:type="paragraph" w:styleId="Index4">
    <w:name w:val="index 4"/>
    <w:basedOn w:val="Normal"/>
    <w:next w:val="Normal"/>
    <w:autoRedefine/>
    <w:rsid w:val="00CB26C4"/>
    <w:pPr>
      <w:ind w:left="960" w:hanging="240"/>
    </w:pPr>
  </w:style>
  <w:style w:type="paragraph" w:styleId="Index5">
    <w:name w:val="index 5"/>
    <w:basedOn w:val="Normal"/>
    <w:next w:val="Normal"/>
    <w:autoRedefine/>
    <w:rsid w:val="00CB26C4"/>
    <w:pPr>
      <w:ind w:left="1200" w:hanging="240"/>
    </w:pPr>
  </w:style>
  <w:style w:type="paragraph" w:styleId="Index6">
    <w:name w:val="index 6"/>
    <w:basedOn w:val="Normal"/>
    <w:next w:val="Normal"/>
    <w:autoRedefine/>
    <w:rsid w:val="00CB26C4"/>
    <w:pPr>
      <w:ind w:left="1440" w:hanging="240"/>
    </w:pPr>
  </w:style>
  <w:style w:type="paragraph" w:styleId="Index7">
    <w:name w:val="index 7"/>
    <w:basedOn w:val="Normal"/>
    <w:next w:val="Normal"/>
    <w:autoRedefine/>
    <w:rsid w:val="00CB26C4"/>
    <w:pPr>
      <w:ind w:left="1680" w:hanging="240"/>
    </w:pPr>
  </w:style>
  <w:style w:type="paragraph" w:styleId="Index8">
    <w:name w:val="index 8"/>
    <w:basedOn w:val="Normal"/>
    <w:next w:val="Normal"/>
    <w:autoRedefine/>
    <w:rsid w:val="00CB26C4"/>
    <w:pPr>
      <w:ind w:left="1920" w:hanging="240"/>
    </w:pPr>
  </w:style>
  <w:style w:type="paragraph" w:styleId="Index9">
    <w:name w:val="index 9"/>
    <w:basedOn w:val="Normal"/>
    <w:next w:val="Normal"/>
    <w:autoRedefine/>
    <w:rsid w:val="00CB26C4"/>
    <w:pPr>
      <w:ind w:left="2160" w:hanging="240"/>
    </w:pPr>
  </w:style>
  <w:style w:type="paragraph" w:styleId="NormalIndent">
    <w:name w:val="Normal Indent"/>
    <w:basedOn w:val="Normal"/>
    <w:rsid w:val="00CB26C4"/>
    <w:pPr>
      <w:ind w:left="720"/>
    </w:pPr>
  </w:style>
  <w:style w:type="paragraph" w:styleId="FootnoteText">
    <w:name w:val="footnote text"/>
    <w:basedOn w:val="Normal"/>
    <w:link w:val="FootnoteTextChar"/>
    <w:rsid w:val="00CB26C4"/>
    <w:rPr>
      <w:sz w:val="20"/>
    </w:rPr>
  </w:style>
  <w:style w:type="character" w:customStyle="1" w:styleId="FootnoteTextChar">
    <w:name w:val="Footnote Text Char"/>
    <w:basedOn w:val="DefaultParagraphFont"/>
    <w:link w:val="FootnoteText"/>
    <w:rsid w:val="00CB26C4"/>
  </w:style>
  <w:style w:type="paragraph" w:styleId="CommentText">
    <w:name w:val="annotation text"/>
    <w:basedOn w:val="Normal"/>
    <w:link w:val="CommentTextChar"/>
    <w:rsid w:val="00CB26C4"/>
    <w:rPr>
      <w:sz w:val="20"/>
    </w:rPr>
  </w:style>
  <w:style w:type="character" w:customStyle="1" w:styleId="CommentTextChar">
    <w:name w:val="Comment Text Char"/>
    <w:basedOn w:val="DefaultParagraphFont"/>
    <w:link w:val="CommentText"/>
    <w:rsid w:val="00CB26C4"/>
  </w:style>
  <w:style w:type="paragraph" w:styleId="IndexHeading">
    <w:name w:val="index heading"/>
    <w:basedOn w:val="Normal"/>
    <w:next w:val="Index1"/>
    <w:rsid w:val="00CB26C4"/>
    <w:rPr>
      <w:rFonts w:ascii="Arial" w:hAnsi="Arial" w:cs="Arial"/>
      <w:b/>
      <w:bCs/>
    </w:rPr>
  </w:style>
  <w:style w:type="paragraph" w:styleId="Caption">
    <w:name w:val="caption"/>
    <w:basedOn w:val="Normal"/>
    <w:next w:val="Normal"/>
    <w:qFormat/>
    <w:rsid w:val="00CB26C4"/>
    <w:pPr>
      <w:spacing w:before="120" w:after="120"/>
    </w:pPr>
    <w:rPr>
      <w:b/>
      <w:bCs/>
      <w:sz w:val="20"/>
    </w:rPr>
  </w:style>
  <w:style w:type="paragraph" w:styleId="TableofFigures">
    <w:name w:val="table of figures"/>
    <w:basedOn w:val="Normal"/>
    <w:next w:val="Normal"/>
    <w:rsid w:val="00CB26C4"/>
    <w:pPr>
      <w:ind w:left="480" w:hanging="480"/>
    </w:pPr>
  </w:style>
  <w:style w:type="paragraph" w:styleId="EnvelopeAddress">
    <w:name w:val="envelope address"/>
    <w:basedOn w:val="Normal"/>
    <w:rsid w:val="00CB26C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26C4"/>
    <w:rPr>
      <w:rFonts w:ascii="Arial" w:hAnsi="Arial" w:cs="Arial"/>
      <w:sz w:val="20"/>
    </w:rPr>
  </w:style>
  <w:style w:type="character" w:styleId="FootnoteReference">
    <w:name w:val="footnote reference"/>
    <w:basedOn w:val="DefaultParagraphFont"/>
    <w:rsid w:val="00CB26C4"/>
    <w:rPr>
      <w:rFonts w:ascii="Times New Roman" w:hAnsi="Times New Roman"/>
      <w:sz w:val="20"/>
      <w:vertAlign w:val="superscript"/>
    </w:rPr>
  </w:style>
  <w:style w:type="character" w:styleId="CommentReference">
    <w:name w:val="annotation reference"/>
    <w:basedOn w:val="DefaultParagraphFont"/>
    <w:rsid w:val="00CB26C4"/>
    <w:rPr>
      <w:sz w:val="16"/>
      <w:szCs w:val="16"/>
    </w:rPr>
  </w:style>
  <w:style w:type="character" w:styleId="PageNumber">
    <w:name w:val="page number"/>
    <w:basedOn w:val="DefaultParagraphFont"/>
    <w:rsid w:val="00CB26C4"/>
  </w:style>
  <w:style w:type="character" w:styleId="EndnoteReference">
    <w:name w:val="endnote reference"/>
    <w:basedOn w:val="DefaultParagraphFont"/>
    <w:rsid w:val="00CB26C4"/>
    <w:rPr>
      <w:vertAlign w:val="superscript"/>
    </w:rPr>
  </w:style>
  <w:style w:type="paragraph" w:styleId="EndnoteText">
    <w:name w:val="endnote text"/>
    <w:basedOn w:val="Normal"/>
    <w:link w:val="EndnoteTextChar"/>
    <w:rsid w:val="00CB26C4"/>
    <w:rPr>
      <w:sz w:val="20"/>
    </w:rPr>
  </w:style>
  <w:style w:type="character" w:customStyle="1" w:styleId="EndnoteTextChar">
    <w:name w:val="Endnote Text Char"/>
    <w:basedOn w:val="DefaultParagraphFont"/>
    <w:link w:val="EndnoteText"/>
    <w:rsid w:val="00CB26C4"/>
  </w:style>
  <w:style w:type="paragraph" w:styleId="TableofAuthorities">
    <w:name w:val="table of authorities"/>
    <w:basedOn w:val="Normal"/>
    <w:next w:val="Normal"/>
    <w:rsid w:val="00CB26C4"/>
    <w:pPr>
      <w:ind w:left="240" w:hanging="240"/>
    </w:pPr>
  </w:style>
  <w:style w:type="paragraph" w:styleId="MacroText">
    <w:name w:val="macro"/>
    <w:link w:val="MacroTextChar"/>
    <w:rsid w:val="00CB26C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26C4"/>
    <w:rPr>
      <w:rFonts w:ascii="Courier New" w:eastAsia="Times New Roman" w:hAnsi="Courier New" w:cs="Courier New"/>
      <w:lang w:eastAsia="en-AU"/>
    </w:rPr>
  </w:style>
  <w:style w:type="paragraph" w:styleId="TOAHeading">
    <w:name w:val="toa heading"/>
    <w:basedOn w:val="Normal"/>
    <w:next w:val="Normal"/>
    <w:rsid w:val="00CB26C4"/>
    <w:pPr>
      <w:spacing w:before="120"/>
    </w:pPr>
    <w:rPr>
      <w:rFonts w:ascii="Arial" w:hAnsi="Arial" w:cs="Arial"/>
      <w:b/>
      <w:bCs/>
    </w:rPr>
  </w:style>
  <w:style w:type="paragraph" w:styleId="List">
    <w:name w:val="List"/>
    <w:basedOn w:val="Normal"/>
    <w:rsid w:val="00CB26C4"/>
    <w:pPr>
      <w:ind w:left="283" w:hanging="283"/>
    </w:pPr>
  </w:style>
  <w:style w:type="paragraph" w:styleId="ListBullet">
    <w:name w:val="List Bullet"/>
    <w:basedOn w:val="Normal"/>
    <w:autoRedefine/>
    <w:rsid w:val="00CB26C4"/>
    <w:pPr>
      <w:tabs>
        <w:tab w:val="num" w:pos="360"/>
      </w:tabs>
      <w:ind w:left="360" w:hanging="360"/>
    </w:pPr>
  </w:style>
  <w:style w:type="paragraph" w:styleId="ListNumber">
    <w:name w:val="List Number"/>
    <w:basedOn w:val="Normal"/>
    <w:rsid w:val="00CB26C4"/>
    <w:pPr>
      <w:tabs>
        <w:tab w:val="num" w:pos="360"/>
      </w:tabs>
      <w:ind w:left="360" w:hanging="360"/>
    </w:pPr>
  </w:style>
  <w:style w:type="paragraph" w:styleId="List2">
    <w:name w:val="List 2"/>
    <w:basedOn w:val="Normal"/>
    <w:rsid w:val="00CB26C4"/>
    <w:pPr>
      <w:ind w:left="566" w:hanging="283"/>
    </w:pPr>
  </w:style>
  <w:style w:type="paragraph" w:styleId="List3">
    <w:name w:val="List 3"/>
    <w:basedOn w:val="Normal"/>
    <w:rsid w:val="00CB26C4"/>
    <w:pPr>
      <w:ind w:left="849" w:hanging="283"/>
    </w:pPr>
  </w:style>
  <w:style w:type="paragraph" w:styleId="List4">
    <w:name w:val="List 4"/>
    <w:basedOn w:val="Normal"/>
    <w:rsid w:val="00CB26C4"/>
    <w:pPr>
      <w:ind w:left="1132" w:hanging="283"/>
    </w:pPr>
  </w:style>
  <w:style w:type="paragraph" w:styleId="List5">
    <w:name w:val="List 5"/>
    <w:basedOn w:val="Normal"/>
    <w:rsid w:val="00CB26C4"/>
    <w:pPr>
      <w:ind w:left="1415" w:hanging="283"/>
    </w:pPr>
  </w:style>
  <w:style w:type="paragraph" w:styleId="ListBullet2">
    <w:name w:val="List Bullet 2"/>
    <w:basedOn w:val="Normal"/>
    <w:autoRedefine/>
    <w:rsid w:val="00CB26C4"/>
    <w:pPr>
      <w:tabs>
        <w:tab w:val="num" w:pos="360"/>
      </w:tabs>
    </w:pPr>
  </w:style>
  <w:style w:type="paragraph" w:styleId="ListBullet3">
    <w:name w:val="List Bullet 3"/>
    <w:basedOn w:val="Normal"/>
    <w:autoRedefine/>
    <w:rsid w:val="00CB26C4"/>
    <w:pPr>
      <w:tabs>
        <w:tab w:val="num" w:pos="926"/>
      </w:tabs>
      <w:ind w:left="926" w:hanging="360"/>
    </w:pPr>
  </w:style>
  <w:style w:type="paragraph" w:styleId="ListBullet4">
    <w:name w:val="List Bullet 4"/>
    <w:basedOn w:val="Normal"/>
    <w:autoRedefine/>
    <w:rsid w:val="00CB26C4"/>
    <w:pPr>
      <w:tabs>
        <w:tab w:val="num" w:pos="1209"/>
      </w:tabs>
      <w:ind w:left="1209" w:hanging="360"/>
    </w:pPr>
  </w:style>
  <w:style w:type="paragraph" w:styleId="ListBullet5">
    <w:name w:val="List Bullet 5"/>
    <w:basedOn w:val="Normal"/>
    <w:autoRedefine/>
    <w:rsid w:val="00CB26C4"/>
    <w:pPr>
      <w:tabs>
        <w:tab w:val="num" w:pos="1492"/>
      </w:tabs>
      <w:ind w:left="1492" w:hanging="360"/>
    </w:pPr>
  </w:style>
  <w:style w:type="paragraph" w:styleId="ListNumber2">
    <w:name w:val="List Number 2"/>
    <w:basedOn w:val="Normal"/>
    <w:rsid w:val="00CB26C4"/>
    <w:pPr>
      <w:tabs>
        <w:tab w:val="num" w:pos="643"/>
      </w:tabs>
      <w:ind w:left="643" w:hanging="360"/>
    </w:pPr>
  </w:style>
  <w:style w:type="paragraph" w:styleId="ListNumber3">
    <w:name w:val="List Number 3"/>
    <w:basedOn w:val="Normal"/>
    <w:rsid w:val="00CB26C4"/>
    <w:pPr>
      <w:tabs>
        <w:tab w:val="num" w:pos="926"/>
      </w:tabs>
      <w:ind w:left="926" w:hanging="360"/>
    </w:pPr>
  </w:style>
  <w:style w:type="paragraph" w:styleId="ListNumber4">
    <w:name w:val="List Number 4"/>
    <w:basedOn w:val="Normal"/>
    <w:rsid w:val="00CB26C4"/>
    <w:pPr>
      <w:tabs>
        <w:tab w:val="num" w:pos="1209"/>
      </w:tabs>
      <w:ind w:left="1209" w:hanging="360"/>
    </w:pPr>
  </w:style>
  <w:style w:type="paragraph" w:styleId="ListNumber5">
    <w:name w:val="List Number 5"/>
    <w:basedOn w:val="Normal"/>
    <w:rsid w:val="00CB26C4"/>
    <w:pPr>
      <w:tabs>
        <w:tab w:val="num" w:pos="1492"/>
      </w:tabs>
      <w:ind w:left="1492" w:hanging="360"/>
    </w:pPr>
  </w:style>
  <w:style w:type="paragraph" w:styleId="Title">
    <w:name w:val="Title"/>
    <w:basedOn w:val="Normal"/>
    <w:link w:val="TitleChar"/>
    <w:qFormat/>
    <w:rsid w:val="00CB26C4"/>
    <w:pPr>
      <w:spacing w:before="240" w:after="60"/>
    </w:pPr>
    <w:rPr>
      <w:rFonts w:ascii="Arial" w:hAnsi="Arial" w:cs="Arial"/>
      <w:b/>
      <w:bCs/>
      <w:sz w:val="40"/>
      <w:szCs w:val="40"/>
    </w:rPr>
  </w:style>
  <w:style w:type="character" w:customStyle="1" w:styleId="TitleChar">
    <w:name w:val="Title Char"/>
    <w:basedOn w:val="DefaultParagraphFont"/>
    <w:link w:val="Title"/>
    <w:rsid w:val="00CB26C4"/>
    <w:rPr>
      <w:rFonts w:ascii="Arial" w:hAnsi="Arial" w:cs="Arial"/>
      <w:b/>
      <w:bCs/>
      <w:sz w:val="40"/>
      <w:szCs w:val="40"/>
    </w:rPr>
  </w:style>
  <w:style w:type="paragraph" w:styleId="Closing">
    <w:name w:val="Closing"/>
    <w:basedOn w:val="Normal"/>
    <w:link w:val="ClosingChar"/>
    <w:rsid w:val="00CB26C4"/>
    <w:pPr>
      <w:ind w:left="4252"/>
    </w:pPr>
  </w:style>
  <w:style w:type="character" w:customStyle="1" w:styleId="ClosingChar">
    <w:name w:val="Closing Char"/>
    <w:basedOn w:val="DefaultParagraphFont"/>
    <w:link w:val="Closing"/>
    <w:rsid w:val="00CB26C4"/>
    <w:rPr>
      <w:sz w:val="22"/>
    </w:rPr>
  </w:style>
  <w:style w:type="paragraph" w:styleId="Signature">
    <w:name w:val="Signature"/>
    <w:basedOn w:val="Normal"/>
    <w:link w:val="SignatureChar"/>
    <w:rsid w:val="00CB26C4"/>
    <w:pPr>
      <w:ind w:left="4252"/>
    </w:pPr>
  </w:style>
  <w:style w:type="character" w:customStyle="1" w:styleId="SignatureChar">
    <w:name w:val="Signature Char"/>
    <w:basedOn w:val="DefaultParagraphFont"/>
    <w:link w:val="Signature"/>
    <w:rsid w:val="00CB26C4"/>
    <w:rPr>
      <w:sz w:val="22"/>
    </w:rPr>
  </w:style>
  <w:style w:type="paragraph" w:styleId="BodyText">
    <w:name w:val="Body Text"/>
    <w:basedOn w:val="Normal"/>
    <w:link w:val="BodyTextChar"/>
    <w:rsid w:val="00CB26C4"/>
    <w:pPr>
      <w:spacing w:after="120"/>
    </w:pPr>
  </w:style>
  <w:style w:type="character" w:customStyle="1" w:styleId="BodyTextChar">
    <w:name w:val="Body Text Char"/>
    <w:basedOn w:val="DefaultParagraphFont"/>
    <w:link w:val="BodyText"/>
    <w:rsid w:val="00CB26C4"/>
    <w:rPr>
      <w:sz w:val="22"/>
    </w:rPr>
  </w:style>
  <w:style w:type="paragraph" w:styleId="BodyTextIndent">
    <w:name w:val="Body Text Indent"/>
    <w:basedOn w:val="Normal"/>
    <w:link w:val="BodyTextIndentChar"/>
    <w:rsid w:val="00CB26C4"/>
    <w:pPr>
      <w:spacing w:after="120"/>
      <w:ind w:left="283"/>
    </w:pPr>
  </w:style>
  <w:style w:type="character" w:customStyle="1" w:styleId="BodyTextIndentChar">
    <w:name w:val="Body Text Indent Char"/>
    <w:basedOn w:val="DefaultParagraphFont"/>
    <w:link w:val="BodyTextIndent"/>
    <w:rsid w:val="00CB26C4"/>
    <w:rPr>
      <w:sz w:val="22"/>
    </w:rPr>
  </w:style>
  <w:style w:type="paragraph" w:styleId="ListContinue">
    <w:name w:val="List Continue"/>
    <w:basedOn w:val="Normal"/>
    <w:rsid w:val="00CB26C4"/>
    <w:pPr>
      <w:spacing w:after="120"/>
      <w:ind w:left="283"/>
    </w:pPr>
  </w:style>
  <w:style w:type="paragraph" w:styleId="ListContinue2">
    <w:name w:val="List Continue 2"/>
    <w:basedOn w:val="Normal"/>
    <w:rsid w:val="00CB26C4"/>
    <w:pPr>
      <w:spacing w:after="120"/>
      <w:ind w:left="566"/>
    </w:pPr>
  </w:style>
  <w:style w:type="paragraph" w:styleId="ListContinue3">
    <w:name w:val="List Continue 3"/>
    <w:basedOn w:val="Normal"/>
    <w:rsid w:val="00CB26C4"/>
    <w:pPr>
      <w:spacing w:after="120"/>
      <w:ind w:left="849"/>
    </w:pPr>
  </w:style>
  <w:style w:type="paragraph" w:styleId="ListContinue4">
    <w:name w:val="List Continue 4"/>
    <w:basedOn w:val="Normal"/>
    <w:rsid w:val="00CB26C4"/>
    <w:pPr>
      <w:spacing w:after="120"/>
      <w:ind w:left="1132"/>
    </w:pPr>
  </w:style>
  <w:style w:type="paragraph" w:styleId="ListContinue5">
    <w:name w:val="List Continue 5"/>
    <w:basedOn w:val="Normal"/>
    <w:rsid w:val="00CB26C4"/>
    <w:pPr>
      <w:spacing w:after="120"/>
      <w:ind w:left="1415"/>
    </w:pPr>
  </w:style>
  <w:style w:type="paragraph" w:styleId="MessageHeader">
    <w:name w:val="Message Header"/>
    <w:basedOn w:val="Normal"/>
    <w:link w:val="MessageHeaderChar"/>
    <w:rsid w:val="00CB26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26C4"/>
    <w:rPr>
      <w:rFonts w:ascii="Arial" w:hAnsi="Arial" w:cs="Arial"/>
      <w:sz w:val="22"/>
      <w:shd w:val="pct20" w:color="auto" w:fill="auto"/>
    </w:rPr>
  </w:style>
  <w:style w:type="paragraph" w:styleId="Subtitle">
    <w:name w:val="Subtitle"/>
    <w:basedOn w:val="Normal"/>
    <w:link w:val="SubtitleChar"/>
    <w:qFormat/>
    <w:rsid w:val="00CB26C4"/>
    <w:pPr>
      <w:spacing w:after="60"/>
      <w:jc w:val="center"/>
      <w:outlineLvl w:val="1"/>
    </w:pPr>
    <w:rPr>
      <w:rFonts w:ascii="Arial" w:hAnsi="Arial" w:cs="Arial"/>
    </w:rPr>
  </w:style>
  <w:style w:type="character" w:customStyle="1" w:styleId="SubtitleChar">
    <w:name w:val="Subtitle Char"/>
    <w:basedOn w:val="DefaultParagraphFont"/>
    <w:link w:val="Subtitle"/>
    <w:rsid w:val="00CB26C4"/>
    <w:rPr>
      <w:rFonts w:ascii="Arial" w:hAnsi="Arial" w:cs="Arial"/>
      <w:sz w:val="22"/>
    </w:rPr>
  </w:style>
  <w:style w:type="paragraph" w:styleId="Salutation">
    <w:name w:val="Salutation"/>
    <w:basedOn w:val="Normal"/>
    <w:next w:val="Normal"/>
    <w:link w:val="SalutationChar"/>
    <w:rsid w:val="00CB26C4"/>
  </w:style>
  <w:style w:type="character" w:customStyle="1" w:styleId="SalutationChar">
    <w:name w:val="Salutation Char"/>
    <w:basedOn w:val="DefaultParagraphFont"/>
    <w:link w:val="Salutation"/>
    <w:rsid w:val="00CB26C4"/>
    <w:rPr>
      <w:sz w:val="22"/>
    </w:rPr>
  </w:style>
  <w:style w:type="paragraph" w:styleId="Date">
    <w:name w:val="Date"/>
    <w:basedOn w:val="Normal"/>
    <w:next w:val="Normal"/>
    <w:link w:val="DateChar"/>
    <w:rsid w:val="00CB26C4"/>
  </w:style>
  <w:style w:type="character" w:customStyle="1" w:styleId="DateChar">
    <w:name w:val="Date Char"/>
    <w:basedOn w:val="DefaultParagraphFont"/>
    <w:link w:val="Date"/>
    <w:rsid w:val="00CB26C4"/>
    <w:rPr>
      <w:sz w:val="22"/>
    </w:rPr>
  </w:style>
  <w:style w:type="paragraph" w:styleId="BodyTextFirstIndent">
    <w:name w:val="Body Text First Indent"/>
    <w:basedOn w:val="BodyText"/>
    <w:link w:val="BodyTextFirstIndentChar"/>
    <w:rsid w:val="00CB26C4"/>
    <w:pPr>
      <w:ind w:firstLine="210"/>
    </w:pPr>
  </w:style>
  <w:style w:type="character" w:customStyle="1" w:styleId="BodyTextFirstIndentChar">
    <w:name w:val="Body Text First Indent Char"/>
    <w:basedOn w:val="BodyTextChar"/>
    <w:link w:val="BodyTextFirstIndent"/>
    <w:rsid w:val="00CB26C4"/>
    <w:rPr>
      <w:sz w:val="22"/>
    </w:rPr>
  </w:style>
  <w:style w:type="paragraph" w:styleId="BodyTextFirstIndent2">
    <w:name w:val="Body Text First Indent 2"/>
    <w:basedOn w:val="BodyTextIndent"/>
    <w:link w:val="BodyTextFirstIndent2Char"/>
    <w:rsid w:val="00CB26C4"/>
    <w:pPr>
      <w:ind w:firstLine="210"/>
    </w:pPr>
  </w:style>
  <w:style w:type="character" w:customStyle="1" w:styleId="BodyTextFirstIndent2Char">
    <w:name w:val="Body Text First Indent 2 Char"/>
    <w:basedOn w:val="BodyTextIndentChar"/>
    <w:link w:val="BodyTextFirstIndent2"/>
    <w:rsid w:val="00CB26C4"/>
    <w:rPr>
      <w:sz w:val="22"/>
    </w:rPr>
  </w:style>
  <w:style w:type="paragraph" w:styleId="BodyText2">
    <w:name w:val="Body Text 2"/>
    <w:basedOn w:val="Normal"/>
    <w:link w:val="BodyText2Char"/>
    <w:rsid w:val="00CB26C4"/>
    <w:pPr>
      <w:spacing w:after="120" w:line="480" w:lineRule="auto"/>
    </w:pPr>
  </w:style>
  <w:style w:type="character" w:customStyle="1" w:styleId="BodyText2Char">
    <w:name w:val="Body Text 2 Char"/>
    <w:basedOn w:val="DefaultParagraphFont"/>
    <w:link w:val="BodyText2"/>
    <w:rsid w:val="00CB26C4"/>
    <w:rPr>
      <w:sz w:val="22"/>
    </w:rPr>
  </w:style>
  <w:style w:type="paragraph" w:styleId="BodyText3">
    <w:name w:val="Body Text 3"/>
    <w:basedOn w:val="Normal"/>
    <w:link w:val="BodyText3Char"/>
    <w:rsid w:val="00CB26C4"/>
    <w:pPr>
      <w:spacing w:after="120"/>
    </w:pPr>
    <w:rPr>
      <w:sz w:val="16"/>
      <w:szCs w:val="16"/>
    </w:rPr>
  </w:style>
  <w:style w:type="character" w:customStyle="1" w:styleId="BodyText3Char">
    <w:name w:val="Body Text 3 Char"/>
    <w:basedOn w:val="DefaultParagraphFont"/>
    <w:link w:val="BodyText3"/>
    <w:rsid w:val="00CB26C4"/>
    <w:rPr>
      <w:sz w:val="16"/>
      <w:szCs w:val="16"/>
    </w:rPr>
  </w:style>
  <w:style w:type="paragraph" w:styleId="BodyTextIndent2">
    <w:name w:val="Body Text Indent 2"/>
    <w:basedOn w:val="Normal"/>
    <w:link w:val="BodyTextIndent2Char"/>
    <w:rsid w:val="00CB26C4"/>
    <w:pPr>
      <w:spacing w:after="120" w:line="480" w:lineRule="auto"/>
      <w:ind w:left="283"/>
    </w:pPr>
  </w:style>
  <w:style w:type="character" w:customStyle="1" w:styleId="BodyTextIndent2Char">
    <w:name w:val="Body Text Indent 2 Char"/>
    <w:basedOn w:val="DefaultParagraphFont"/>
    <w:link w:val="BodyTextIndent2"/>
    <w:rsid w:val="00CB26C4"/>
    <w:rPr>
      <w:sz w:val="22"/>
    </w:rPr>
  </w:style>
  <w:style w:type="paragraph" w:styleId="BodyTextIndent3">
    <w:name w:val="Body Text Indent 3"/>
    <w:basedOn w:val="Normal"/>
    <w:link w:val="BodyTextIndent3Char"/>
    <w:rsid w:val="00CB26C4"/>
    <w:pPr>
      <w:spacing w:after="120"/>
      <w:ind w:left="283"/>
    </w:pPr>
    <w:rPr>
      <w:sz w:val="16"/>
      <w:szCs w:val="16"/>
    </w:rPr>
  </w:style>
  <w:style w:type="character" w:customStyle="1" w:styleId="BodyTextIndent3Char">
    <w:name w:val="Body Text Indent 3 Char"/>
    <w:basedOn w:val="DefaultParagraphFont"/>
    <w:link w:val="BodyTextIndent3"/>
    <w:rsid w:val="00CB26C4"/>
    <w:rPr>
      <w:sz w:val="16"/>
      <w:szCs w:val="16"/>
    </w:rPr>
  </w:style>
  <w:style w:type="paragraph" w:styleId="BlockText">
    <w:name w:val="Block Text"/>
    <w:basedOn w:val="Normal"/>
    <w:rsid w:val="00CB26C4"/>
    <w:pPr>
      <w:spacing w:after="120"/>
      <w:ind w:left="1440" w:right="1440"/>
    </w:pPr>
  </w:style>
  <w:style w:type="character" w:styleId="Hyperlink">
    <w:name w:val="Hyperlink"/>
    <w:basedOn w:val="DefaultParagraphFont"/>
    <w:rsid w:val="00CB26C4"/>
    <w:rPr>
      <w:color w:val="0000FF"/>
      <w:u w:val="single"/>
    </w:rPr>
  </w:style>
  <w:style w:type="character" w:styleId="FollowedHyperlink">
    <w:name w:val="FollowedHyperlink"/>
    <w:basedOn w:val="DefaultParagraphFont"/>
    <w:rsid w:val="00CB26C4"/>
    <w:rPr>
      <w:color w:val="800080"/>
      <w:u w:val="single"/>
    </w:rPr>
  </w:style>
  <w:style w:type="character" w:styleId="Strong">
    <w:name w:val="Strong"/>
    <w:basedOn w:val="DefaultParagraphFont"/>
    <w:qFormat/>
    <w:rsid w:val="00CB26C4"/>
    <w:rPr>
      <w:b/>
      <w:bCs/>
    </w:rPr>
  </w:style>
  <w:style w:type="character" w:styleId="Emphasis">
    <w:name w:val="Emphasis"/>
    <w:basedOn w:val="DefaultParagraphFont"/>
    <w:qFormat/>
    <w:rsid w:val="00CB26C4"/>
    <w:rPr>
      <w:i/>
      <w:iCs/>
    </w:rPr>
  </w:style>
  <w:style w:type="paragraph" w:styleId="DocumentMap">
    <w:name w:val="Document Map"/>
    <w:basedOn w:val="Normal"/>
    <w:link w:val="DocumentMapChar"/>
    <w:rsid w:val="00CB26C4"/>
    <w:pPr>
      <w:shd w:val="clear" w:color="auto" w:fill="000080"/>
    </w:pPr>
    <w:rPr>
      <w:rFonts w:ascii="Tahoma" w:hAnsi="Tahoma" w:cs="Tahoma"/>
    </w:rPr>
  </w:style>
  <w:style w:type="character" w:customStyle="1" w:styleId="DocumentMapChar">
    <w:name w:val="Document Map Char"/>
    <w:basedOn w:val="DefaultParagraphFont"/>
    <w:link w:val="DocumentMap"/>
    <w:rsid w:val="00CB26C4"/>
    <w:rPr>
      <w:rFonts w:ascii="Tahoma" w:hAnsi="Tahoma" w:cs="Tahoma"/>
      <w:sz w:val="22"/>
      <w:shd w:val="clear" w:color="auto" w:fill="000080"/>
    </w:rPr>
  </w:style>
  <w:style w:type="paragraph" w:styleId="PlainText">
    <w:name w:val="Plain Text"/>
    <w:basedOn w:val="Normal"/>
    <w:link w:val="PlainTextChar"/>
    <w:rsid w:val="00CB26C4"/>
    <w:rPr>
      <w:rFonts w:ascii="Courier New" w:hAnsi="Courier New" w:cs="Courier New"/>
      <w:sz w:val="20"/>
    </w:rPr>
  </w:style>
  <w:style w:type="character" w:customStyle="1" w:styleId="PlainTextChar">
    <w:name w:val="Plain Text Char"/>
    <w:basedOn w:val="DefaultParagraphFont"/>
    <w:link w:val="PlainText"/>
    <w:rsid w:val="00CB26C4"/>
    <w:rPr>
      <w:rFonts w:ascii="Courier New" w:hAnsi="Courier New" w:cs="Courier New"/>
    </w:rPr>
  </w:style>
  <w:style w:type="paragraph" w:styleId="E-mailSignature">
    <w:name w:val="E-mail Signature"/>
    <w:basedOn w:val="Normal"/>
    <w:link w:val="E-mailSignatureChar"/>
    <w:rsid w:val="00CB26C4"/>
  </w:style>
  <w:style w:type="character" w:customStyle="1" w:styleId="E-mailSignatureChar">
    <w:name w:val="E-mail Signature Char"/>
    <w:basedOn w:val="DefaultParagraphFont"/>
    <w:link w:val="E-mailSignature"/>
    <w:rsid w:val="00CB26C4"/>
    <w:rPr>
      <w:sz w:val="22"/>
    </w:rPr>
  </w:style>
  <w:style w:type="paragraph" w:styleId="NormalWeb">
    <w:name w:val="Normal (Web)"/>
    <w:basedOn w:val="Normal"/>
    <w:rsid w:val="00CB26C4"/>
  </w:style>
  <w:style w:type="character" w:styleId="HTMLAcronym">
    <w:name w:val="HTML Acronym"/>
    <w:basedOn w:val="DefaultParagraphFont"/>
    <w:rsid w:val="00CB26C4"/>
  </w:style>
  <w:style w:type="paragraph" w:styleId="HTMLAddress">
    <w:name w:val="HTML Address"/>
    <w:basedOn w:val="Normal"/>
    <w:link w:val="HTMLAddressChar"/>
    <w:rsid w:val="00CB26C4"/>
    <w:rPr>
      <w:i/>
      <w:iCs/>
    </w:rPr>
  </w:style>
  <w:style w:type="character" w:customStyle="1" w:styleId="HTMLAddressChar">
    <w:name w:val="HTML Address Char"/>
    <w:basedOn w:val="DefaultParagraphFont"/>
    <w:link w:val="HTMLAddress"/>
    <w:rsid w:val="00CB26C4"/>
    <w:rPr>
      <w:i/>
      <w:iCs/>
      <w:sz w:val="22"/>
    </w:rPr>
  </w:style>
  <w:style w:type="character" w:styleId="HTMLCite">
    <w:name w:val="HTML Cite"/>
    <w:basedOn w:val="DefaultParagraphFont"/>
    <w:rsid w:val="00CB26C4"/>
    <w:rPr>
      <w:i/>
      <w:iCs/>
    </w:rPr>
  </w:style>
  <w:style w:type="character" w:styleId="HTMLCode">
    <w:name w:val="HTML Code"/>
    <w:basedOn w:val="DefaultParagraphFont"/>
    <w:rsid w:val="00CB26C4"/>
    <w:rPr>
      <w:rFonts w:ascii="Courier New" w:hAnsi="Courier New" w:cs="Courier New"/>
      <w:sz w:val="20"/>
      <w:szCs w:val="20"/>
    </w:rPr>
  </w:style>
  <w:style w:type="character" w:styleId="HTMLDefinition">
    <w:name w:val="HTML Definition"/>
    <w:basedOn w:val="DefaultParagraphFont"/>
    <w:rsid w:val="00CB26C4"/>
    <w:rPr>
      <w:i/>
      <w:iCs/>
    </w:rPr>
  </w:style>
  <w:style w:type="character" w:styleId="HTMLKeyboard">
    <w:name w:val="HTML Keyboard"/>
    <w:basedOn w:val="DefaultParagraphFont"/>
    <w:rsid w:val="00CB26C4"/>
    <w:rPr>
      <w:rFonts w:ascii="Courier New" w:hAnsi="Courier New" w:cs="Courier New"/>
      <w:sz w:val="20"/>
      <w:szCs w:val="20"/>
    </w:rPr>
  </w:style>
  <w:style w:type="paragraph" w:styleId="HTMLPreformatted">
    <w:name w:val="HTML Preformatted"/>
    <w:basedOn w:val="Normal"/>
    <w:link w:val="HTMLPreformattedChar"/>
    <w:rsid w:val="00CB26C4"/>
    <w:rPr>
      <w:rFonts w:ascii="Courier New" w:hAnsi="Courier New" w:cs="Courier New"/>
      <w:sz w:val="20"/>
    </w:rPr>
  </w:style>
  <w:style w:type="character" w:customStyle="1" w:styleId="HTMLPreformattedChar">
    <w:name w:val="HTML Preformatted Char"/>
    <w:basedOn w:val="DefaultParagraphFont"/>
    <w:link w:val="HTMLPreformatted"/>
    <w:rsid w:val="00CB26C4"/>
    <w:rPr>
      <w:rFonts w:ascii="Courier New" w:hAnsi="Courier New" w:cs="Courier New"/>
    </w:rPr>
  </w:style>
  <w:style w:type="character" w:styleId="HTMLSample">
    <w:name w:val="HTML Sample"/>
    <w:basedOn w:val="DefaultParagraphFont"/>
    <w:rsid w:val="00CB26C4"/>
    <w:rPr>
      <w:rFonts w:ascii="Courier New" w:hAnsi="Courier New" w:cs="Courier New"/>
    </w:rPr>
  </w:style>
  <w:style w:type="character" w:styleId="HTMLTypewriter">
    <w:name w:val="HTML Typewriter"/>
    <w:basedOn w:val="DefaultParagraphFont"/>
    <w:rsid w:val="00CB26C4"/>
    <w:rPr>
      <w:rFonts w:ascii="Courier New" w:hAnsi="Courier New" w:cs="Courier New"/>
      <w:sz w:val="20"/>
      <w:szCs w:val="20"/>
    </w:rPr>
  </w:style>
  <w:style w:type="character" w:styleId="HTMLVariable">
    <w:name w:val="HTML Variable"/>
    <w:basedOn w:val="DefaultParagraphFont"/>
    <w:rsid w:val="00CB26C4"/>
    <w:rPr>
      <w:i/>
      <w:iCs/>
    </w:rPr>
  </w:style>
  <w:style w:type="paragraph" w:styleId="CommentSubject">
    <w:name w:val="annotation subject"/>
    <w:basedOn w:val="CommentText"/>
    <w:next w:val="CommentText"/>
    <w:link w:val="CommentSubjectChar"/>
    <w:rsid w:val="00CB26C4"/>
    <w:rPr>
      <w:b/>
      <w:bCs/>
    </w:rPr>
  </w:style>
  <w:style w:type="character" w:customStyle="1" w:styleId="CommentSubjectChar">
    <w:name w:val="Comment Subject Char"/>
    <w:basedOn w:val="CommentTextChar"/>
    <w:link w:val="CommentSubject"/>
    <w:rsid w:val="00CB26C4"/>
    <w:rPr>
      <w:b/>
      <w:bCs/>
    </w:rPr>
  </w:style>
  <w:style w:type="numbering" w:styleId="1ai">
    <w:name w:val="Outline List 1"/>
    <w:basedOn w:val="NoList"/>
    <w:rsid w:val="00CB26C4"/>
    <w:pPr>
      <w:numPr>
        <w:numId w:val="14"/>
      </w:numPr>
    </w:pPr>
  </w:style>
  <w:style w:type="numbering" w:styleId="111111">
    <w:name w:val="Outline List 2"/>
    <w:basedOn w:val="NoList"/>
    <w:rsid w:val="00CB26C4"/>
    <w:pPr>
      <w:numPr>
        <w:numId w:val="15"/>
      </w:numPr>
    </w:pPr>
  </w:style>
  <w:style w:type="numbering" w:styleId="ArticleSection">
    <w:name w:val="Outline List 3"/>
    <w:basedOn w:val="NoList"/>
    <w:rsid w:val="00CB26C4"/>
    <w:pPr>
      <w:numPr>
        <w:numId w:val="17"/>
      </w:numPr>
    </w:pPr>
  </w:style>
  <w:style w:type="table" w:styleId="TableSimple1">
    <w:name w:val="Table Simple 1"/>
    <w:basedOn w:val="TableNormal"/>
    <w:rsid w:val="00CB26C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26C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26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26C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26C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26C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26C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26C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26C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26C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26C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26C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26C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26C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26C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26C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26C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26C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26C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26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26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26C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26C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26C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26C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26C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26C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26C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26C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26C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26C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26C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26C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26C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26C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26C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26C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26C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26C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26C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26C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26C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26C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26C4"/>
    <w:rPr>
      <w:rFonts w:eastAsia="Times New Roman" w:cs="Times New Roman"/>
      <w:b/>
      <w:kern w:val="28"/>
      <w:sz w:val="24"/>
      <w:lang w:eastAsia="en-AU"/>
    </w:rPr>
  </w:style>
  <w:style w:type="paragraph" w:customStyle="1" w:styleId="ETAsubitem">
    <w:name w:val="ETA(subitem)"/>
    <w:basedOn w:val="OPCParaBase"/>
    <w:rsid w:val="00CB26C4"/>
    <w:pPr>
      <w:tabs>
        <w:tab w:val="right" w:pos="340"/>
      </w:tabs>
      <w:spacing w:before="60" w:line="240" w:lineRule="auto"/>
      <w:ind w:left="454" w:hanging="454"/>
    </w:pPr>
    <w:rPr>
      <w:sz w:val="20"/>
    </w:rPr>
  </w:style>
  <w:style w:type="paragraph" w:customStyle="1" w:styleId="ETApara">
    <w:name w:val="ETA(para)"/>
    <w:basedOn w:val="OPCParaBase"/>
    <w:rsid w:val="00CB26C4"/>
    <w:pPr>
      <w:tabs>
        <w:tab w:val="right" w:pos="754"/>
      </w:tabs>
      <w:spacing w:before="60" w:line="240" w:lineRule="auto"/>
      <w:ind w:left="828" w:hanging="828"/>
    </w:pPr>
    <w:rPr>
      <w:sz w:val="20"/>
    </w:rPr>
  </w:style>
  <w:style w:type="paragraph" w:customStyle="1" w:styleId="ETAsubpara">
    <w:name w:val="ETA(subpara)"/>
    <w:basedOn w:val="OPCParaBase"/>
    <w:rsid w:val="00CB26C4"/>
    <w:pPr>
      <w:tabs>
        <w:tab w:val="right" w:pos="1083"/>
      </w:tabs>
      <w:spacing w:before="60" w:line="240" w:lineRule="auto"/>
      <w:ind w:left="1191" w:hanging="1191"/>
    </w:pPr>
    <w:rPr>
      <w:sz w:val="20"/>
    </w:rPr>
  </w:style>
  <w:style w:type="paragraph" w:customStyle="1" w:styleId="ETAsub-subpara">
    <w:name w:val="ETA(sub-subpara)"/>
    <w:basedOn w:val="OPCParaBase"/>
    <w:rsid w:val="00CB26C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26C4"/>
  </w:style>
  <w:style w:type="character" w:customStyle="1" w:styleId="paragraphChar">
    <w:name w:val="paragraph Char"/>
    <w:aliases w:val="a Char"/>
    <w:link w:val="paragraph"/>
    <w:rsid w:val="00A777C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7929-55AC-466A-AD9E-F4C8623A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25</Pages>
  <Words>4729</Words>
  <Characters>30317</Characters>
  <Application>Microsoft Office Word</Application>
  <DocSecurity>0</DocSecurity>
  <PresentationFormat/>
  <Lines>2526</Lines>
  <Paragraphs>1668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2020-11-16T22:48:00Z</cp:lastPrinted>
  <dcterms:created xsi:type="dcterms:W3CDTF">2021-04-19T02:12:00Z</dcterms:created>
  <dcterms:modified xsi:type="dcterms:W3CDTF">2021-04-19T02:12:00Z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(Wood and Woodchips)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Unk</vt:lpwstr>
  </property>
  <property fmtid="{D5CDD505-2E9C-101B-9397-08002B2CF9AE}" pid="10" name="ID">
    <vt:lpwstr>OPC64327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19 March 2021</vt:lpwstr>
  </property>
</Properties>
</file>