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986E1" w14:textId="77777777" w:rsidR="005E099A" w:rsidRPr="00DA1ABB" w:rsidRDefault="005E099A" w:rsidP="005E099A">
      <w:pPr>
        <w:rPr>
          <w:noProof/>
          <w:color w:val="000000" w:themeColor="text1"/>
          <w:sz w:val="20"/>
          <w:lang w:val="en-AU" w:eastAsia="en-AU"/>
        </w:rPr>
      </w:pPr>
      <w:r w:rsidRPr="00DA1ABB">
        <w:rPr>
          <w:noProof/>
          <w:color w:val="000000" w:themeColor="text1"/>
          <w:sz w:val="20"/>
          <w:lang w:eastAsia="en-GB"/>
        </w:rPr>
        <w:drawing>
          <wp:inline distT="0" distB="0" distL="0" distR="0" wp14:anchorId="1B5AEA3E" wp14:editId="09D90493">
            <wp:extent cx="2657475" cy="438150"/>
            <wp:effectExtent l="0" t="0" r="9525" b="0"/>
            <wp:docPr id="8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83862" w14:textId="77777777" w:rsidR="005E099A" w:rsidRPr="00DA1ABB" w:rsidRDefault="005E099A" w:rsidP="005E099A">
      <w:pPr>
        <w:pBdr>
          <w:bottom w:val="single" w:sz="4" w:space="1" w:color="auto"/>
        </w:pBdr>
        <w:jc w:val="center"/>
        <w:rPr>
          <w:color w:val="000000" w:themeColor="text1"/>
          <w:sz w:val="20"/>
          <w:lang w:eastAsia="en-GB"/>
        </w:rPr>
      </w:pPr>
    </w:p>
    <w:p w14:paraId="1417EEDB" w14:textId="75778099" w:rsidR="005E099A" w:rsidRPr="00AD5B46" w:rsidRDefault="005E099A" w:rsidP="005E099A">
      <w:pPr>
        <w:pBdr>
          <w:bottom w:val="single" w:sz="4" w:space="1" w:color="auto"/>
        </w:pBdr>
        <w:rPr>
          <w:b/>
          <w:color w:val="000000" w:themeColor="text1"/>
          <w:sz w:val="20"/>
          <w:szCs w:val="20"/>
        </w:rPr>
      </w:pPr>
      <w:r w:rsidRPr="00AD5B46">
        <w:rPr>
          <w:rFonts w:cs="Arial"/>
          <w:b/>
          <w:color w:val="000000" w:themeColor="text1"/>
          <w:sz w:val="20"/>
          <w:szCs w:val="20"/>
        </w:rPr>
        <w:t>Food Standards</w:t>
      </w:r>
      <w:r w:rsidRPr="00AD5B46">
        <w:rPr>
          <w:rFonts w:cs="Arial"/>
          <w:b/>
          <w:sz w:val="20"/>
          <w:szCs w:val="20"/>
        </w:rPr>
        <w:t xml:space="preserve"> </w:t>
      </w:r>
      <w:r w:rsidR="00AD5B46" w:rsidRPr="00AD5B46">
        <w:rPr>
          <w:b/>
          <w:sz w:val="20"/>
          <w:szCs w:val="20"/>
        </w:rPr>
        <w:t>(Application A1186 – Soy Leghemoglobin in meat analogue products) Variation</w:t>
      </w:r>
    </w:p>
    <w:p w14:paraId="753306B8" w14:textId="77777777" w:rsidR="005E099A" w:rsidRPr="00DA1ABB" w:rsidRDefault="005E099A" w:rsidP="005E099A">
      <w:pPr>
        <w:rPr>
          <w:color w:val="000000" w:themeColor="text1"/>
          <w:sz w:val="20"/>
        </w:rPr>
      </w:pPr>
    </w:p>
    <w:p w14:paraId="4195C5C4" w14:textId="77777777" w:rsidR="005E099A" w:rsidRPr="00DA1ABB" w:rsidRDefault="005E099A" w:rsidP="005E099A">
      <w:pPr>
        <w:rPr>
          <w:color w:val="000000" w:themeColor="text1"/>
          <w:sz w:val="20"/>
        </w:rPr>
      </w:pPr>
    </w:p>
    <w:p w14:paraId="29D0D309" w14:textId="77777777" w:rsidR="005E099A" w:rsidRPr="00DA1ABB" w:rsidRDefault="005E099A" w:rsidP="005E099A">
      <w:pPr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 xml:space="preserve">The Board of Food Standards Australia New Zealand gives notice of the </w:t>
      </w:r>
      <w:r>
        <w:rPr>
          <w:color w:val="000000" w:themeColor="text1"/>
          <w:sz w:val="20"/>
        </w:rPr>
        <w:t>making of this variation under s</w:t>
      </w:r>
      <w:r w:rsidRPr="00DA1ABB">
        <w:rPr>
          <w:color w:val="000000" w:themeColor="text1"/>
          <w:sz w:val="20"/>
        </w:rPr>
        <w:t xml:space="preserve">ection 92 of the </w:t>
      </w:r>
      <w:r w:rsidRPr="00DA1ABB">
        <w:rPr>
          <w:i/>
          <w:color w:val="000000" w:themeColor="text1"/>
          <w:sz w:val="20"/>
        </w:rPr>
        <w:t>Food Standards Australia New Zealand Act 1991</w:t>
      </w:r>
      <w:r w:rsidRPr="00DA1ABB">
        <w:rPr>
          <w:color w:val="000000" w:themeColor="text1"/>
          <w:sz w:val="20"/>
        </w:rPr>
        <w:t>. The variation commences on the date specified in clause 3 of the variation.</w:t>
      </w:r>
    </w:p>
    <w:p w14:paraId="4B3CCA26" w14:textId="77777777" w:rsidR="005E099A" w:rsidRPr="00DA1ABB" w:rsidRDefault="005E099A" w:rsidP="005E099A">
      <w:pPr>
        <w:rPr>
          <w:color w:val="000000" w:themeColor="text1"/>
          <w:sz w:val="20"/>
        </w:rPr>
      </w:pPr>
    </w:p>
    <w:p w14:paraId="7623F163" w14:textId="3527AE73" w:rsidR="005E099A" w:rsidRPr="00DA1ABB" w:rsidRDefault="005E099A" w:rsidP="005E099A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Dated 19 </w:t>
      </w:r>
      <w:r w:rsidR="000D4E2E">
        <w:rPr>
          <w:color w:val="000000" w:themeColor="text1"/>
          <w:sz w:val="20"/>
        </w:rPr>
        <w:t>March</w:t>
      </w:r>
      <w:r>
        <w:rPr>
          <w:color w:val="000000" w:themeColor="text1"/>
          <w:sz w:val="20"/>
        </w:rPr>
        <w:t xml:space="preserve"> 2021</w:t>
      </w:r>
    </w:p>
    <w:p w14:paraId="5BF05E25" w14:textId="77777777" w:rsidR="005E099A" w:rsidRPr="00DA1ABB" w:rsidRDefault="005E099A" w:rsidP="005E099A">
      <w:pPr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  <w:lang w:eastAsia="en-GB"/>
        </w:rPr>
        <w:drawing>
          <wp:inline distT="0" distB="0" distL="0" distR="0" wp14:anchorId="659129C8" wp14:editId="0CFCC835">
            <wp:extent cx="1086904" cy="1547085"/>
            <wp:effectExtent l="0" t="1587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ig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9065" cy="156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58A2F6" w14:textId="77777777" w:rsidR="005E099A" w:rsidRDefault="005E099A" w:rsidP="005E099A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Joanna Richards</w:t>
      </w:r>
    </w:p>
    <w:p w14:paraId="767071F5" w14:textId="77777777" w:rsidR="005E099A" w:rsidRDefault="005E099A" w:rsidP="005E099A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Standards Management Officer</w:t>
      </w:r>
    </w:p>
    <w:p w14:paraId="52D0C5DB" w14:textId="77777777" w:rsidR="005E099A" w:rsidRPr="00DA1ABB" w:rsidRDefault="005E099A" w:rsidP="005E099A">
      <w:pPr>
        <w:rPr>
          <w:color w:val="000000" w:themeColor="text1"/>
          <w:sz w:val="20"/>
        </w:rPr>
      </w:pPr>
      <w:r w:rsidRPr="00DA1ABB">
        <w:rPr>
          <w:color w:val="000000" w:themeColor="text1"/>
          <w:sz w:val="20"/>
        </w:rPr>
        <w:t>Delegate of the Board of Food Standards Australia New Zealand</w:t>
      </w:r>
    </w:p>
    <w:p w14:paraId="2E433428" w14:textId="77777777" w:rsidR="005E099A" w:rsidRPr="00DA1ABB" w:rsidRDefault="005E099A" w:rsidP="005E099A">
      <w:pPr>
        <w:rPr>
          <w:color w:val="000000" w:themeColor="text1"/>
          <w:sz w:val="20"/>
        </w:rPr>
      </w:pPr>
    </w:p>
    <w:p w14:paraId="6334B4F3" w14:textId="77777777" w:rsidR="005E099A" w:rsidRPr="00296F74" w:rsidRDefault="005E099A" w:rsidP="005E099A">
      <w:pPr>
        <w:rPr>
          <w:sz w:val="20"/>
        </w:rPr>
      </w:pPr>
    </w:p>
    <w:p w14:paraId="780EC6FC" w14:textId="77777777" w:rsidR="005E099A" w:rsidRPr="00296F74" w:rsidRDefault="005E099A" w:rsidP="005E099A">
      <w:pPr>
        <w:rPr>
          <w:sz w:val="20"/>
        </w:rPr>
      </w:pPr>
    </w:p>
    <w:p w14:paraId="69F4A349" w14:textId="77777777" w:rsidR="005E099A" w:rsidRPr="00296F74" w:rsidRDefault="005E099A" w:rsidP="005E099A">
      <w:pPr>
        <w:rPr>
          <w:sz w:val="20"/>
        </w:rPr>
      </w:pPr>
    </w:p>
    <w:p w14:paraId="69291D88" w14:textId="77777777" w:rsidR="005E099A" w:rsidRPr="00296F74" w:rsidRDefault="005E099A" w:rsidP="005E099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 w:rsidRPr="00296F74">
        <w:rPr>
          <w:b/>
          <w:sz w:val="20"/>
          <w:lang w:val="en-AU"/>
        </w:rPr>
        <w:t xml:space="preserve">Note:  </w:t>
      </w:r>
    </w:p>
    <w:p w14:paraId="695EC777" w14:textId="77777777" w:rsidR="005E099A" w:rsidRPr="00296F74" w:rsidRDefault="005E099A" w:rsidP="005E099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741710FF" w14:textId="70A211CF" w:rsidR="005E099A" w:rsidRPr="004217DA" w:rsidRDefault="005E099A" w:rsidP="005E099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4217DA">
        <w:rPr>
          <w:sz w:val="20"/>
          <w:lang w:val="en-AU"/>
        </w:rPr>
        <w:t xml:space="preserve">This variation will be published in the Commonwealth </w:t>
      </w:r>
      <w:r w:rsidR="000D4E2E">
        <w:rPr>
          <w:sz w:val="20"/>
          <w:lang w:val="en-AU"/>
        </w:rPr>
        <w:t>of Australia Gazette No. FSC 139</w:t>
      </w:r>
      <w:r w:rsidRPr="004217DA">
        <w:rPr>
          <w:sz w:val="20"/>
          <w:lang w:val="en-AU"/>
        </w:rPr>
        <w:t xml:space="preserve"> on </w:t>
      </w:r>
      <w:r w:rsidR="000D4E2E">
        <w:rPr>
          <w:sz w:val="20"/>
          <w:lang w:val="en-AU"/>
        </w:rPr>
        <w:t>26</w:t>
      </w:r>
      <w:r>
        <w:rPr>
          <w:sz w:val="20"/>
          <w:lang w:val="en-AU"/>
        </w:rPr>
        <w:t xml:space="preserve"> </w:t>
      </w:r>
      <w:r w:rsidR="000D4E2E">
        <w:rPr>
          <w:sz w:val="20"/>
          <w:lang w:val="en-AU"/>
        </w:rPr>
        <w:t>March</w:t>
      </w:r>
      <w:r>
        <w:rPr>
          <w:sz w:val="20"/>
          <w:lang w:val="en-AU"/>
        </w:rPr>
        <w:t xml:space="preserve"> 2021</w:t>
      </w:r>
      <w:r w:rsidRPr="004217DA">
        <w:rPr>
          <w:sz w:val="20"/>
          <w:lang w:val="en-AU"/>
        </w:rPr>
        <w:t xml:space="preserve"> This means that this date is the gazettal date for the purposes of clause 3 of the variation.</w:t>
      </w:r>
    </w:p>
    <w:p w14:paraId="33F3EEA3" w14:textId="77777777" w:rsidR="005E099A" w:rsidRPr="004217DA" w:rsidRDefault="005E099A" w:rsidP="005E099A">
      <w:pPr>
        <w:rPr>
          <w:color w:val="FF0000"/>
        </w:rPr>
      </w:pPr>
    </w:p>
    <w:p w14:paraId="3016C18D" w14:textId="77777777" w:rsidR="005E099A" w:rsidRPr="00421571" w:rsidRDefault="005E099A" w:rsidP="005E099A">
      <w:r w:rsidRPr="00296F74">
        <w:br w:type="page"/>
      </w:r>
    </w:p>
    <w:p w14:paraId="740C0BFF" w14:textId="4FDAB49A" w:rsidR="005E099A" w:rsidRPr="005F585D" w:rsidRDefault="004C6548" w:rsidP="005E099A">
      <w:pPr>
        <w:pStyle w:val="FSCDraftingitemheading"/>
        <w:widowControl/>
      </w:pPr>
      <w:r>
        <w:lastRenderedPageBreak/>
        <w:t>1</w:t>
      </w:r>
      <w:r w:rsidR="005E099A" w:rsidRPr="00D433B1">
        <w:tab/>
        <w:t>Name</w:t>
      </w:r>
    </w:p>
    <w:p w14:paraId="0D35244F" w14:textId="77777777" w:rsidR="005E099A" w:rsidRPr="0097412A" w:rsidRDefault="005E099A" w:rsidP="005E099A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</w:t>
      </w:r>
      <w:r w:rsidRPr="0097412A">
        <w:rPr>
          <w:i/>
        </w:rPr>
        <w:t>Application A1186 – Soy Leghemog</w:t>
      </w:r>
      <w:r>
        <w:rPr>
          <w:i/>
        </w:rPr>
        <w:t>l</w:t>
      </w:r>
      <w:r w:rsidRPr="0097412A">
        <w:rPr>
          <w:i/>
        </w:rPr>
        <w:t>obin in meat analogue products</w:t>
      </w:r>
      <w:r w:rsidRPr="00792F7C">
        <w:rPr>
          <w:i/>
        </w:rPr>
        <w:t xml:space="preserve">) </w:t>
      </w:r>
      <w:r w:rsidRPr="0097412A">
        <w:rPr>
          <w:i/>
        </w:rPr>
        <w:t>Variation</w:t>
      </w:r>
      <w:r w:rsidRPr="0097412A">
        <w:t>.</w:t>
      </w:r>
    </w:p>
    <w:p w14:paraId="4ABEA91D" w14:textId="77777777" w:rsidR="005E099A" w:rsidRPr="0097412A" w:rsidRDefault="005E099A" w:rsidP="005E099A">
      <w:pPr>
        <w:pStyle w:val="FSCDraftingitemheading"/>
        <w:widowControl/>
      </w:pPr>
      <w:r w:rsidRPr="0097412A">
        <w:t>2</w:t>
      </w:r>
      <w:r w:rsidRPr="0097412A">
        <w:tab/>
        <w:t xml:space="preserve">Variation to standards in the </w:t>
      </w:r>
      <w:r w:rsidRPr="0097412A">
        <w:rPr>
          <w:i/>
        </w:rPr>
        <w:t>Australia New Zealand Food Standards Code</w:t>
      </w:r>
    </w:p>
    <w:p w14:paraId="0F6AA324" w14:textId="77777777" w:rsidR="005E099A" w:rsidRPr="0097412A" w:rsidRDefault="005E099A" w:rsidP="005E099A">
      <w:pPr>
        <w:pStyle w:val="FSCDraftingitem"/>
      </w:pPr>
      <w:r w:rsidRPr="0097412A">
        <w:t xml:space="preserve">The Schedule varies Standards in the </w:t>
      </w:r>
      <w:r w:rsidRPr="0097412A">
        <w:rPr>
          <w:i/>
        </w:rPr>
        <w:t>Australia New Zealand Food Standards Code</w:t>
      </w:r>
      <w:r w:rsidRPr="0097412A">
        <w:t>.</w:t>
      </w:r>
    </w:p>
    <w:p w14:paraId="09015B3F" w14:textId="77777777" w:rsidR="005E099A" w:rsidRPr="0097412A" w:rsidRDefault="005E099A" w:rsidP="005E099A">
      <w:pPr>
        <w:pStyle w:val="FSCDraftingitemheading"/>
        <w:widowControl/>
      </w:pPr>
      <w:r w:rsidRPr="0097412A">
        <w:t>3</w:t>
      </w:r>
      <w:r w:rsidRPr="0097412A">
        <w:tab/>
        <w:t>Commencement</w:t>
      </w:r>
    </w:p>
    <w:p w14:paraId="14163816" w14:textId="77777777" w:rsidR="005E099A" w:rsidRPr="0097412A" w:rsidRDefault="005E099A" w:rsidP="005E099A">
      <w:pPr>
        <w:pStyle w:val="FSCDraftingitem"/>
      </w:pPr>
      <w:r w:rsidRPr="0097412A">
        <w:t>The variation commences on the date of gazettal.</w:t>
      </w:r>
    </w:p>
    <w:p w14:paraId="33726050" w14:textId="77777777" w:rsidR="005E099A" w:rsidRPr="0097412A" w:rsidRDefault="005E099A" w:rsidP="005E099A">
      <w:pPr>
        <w:jc w:val="center"/>
        <w:rPr>
          <w:b/>
          <w:sz w:val="20"/>
        </w:rPr>
      </w:pPr>
      <w:r w:rsidRPr="0097412A">
        <w:rPr>
          <w:b/>
          <w:sz w:val="20"/>
        </w:rPr>
        <w:t>Schedule</w:t>
      </w:r>
    </w:p>
    <w:p w14:paraId="45E59901" w14:textId="77777777" w:rsidR="005E099A" w:rsidRDefault="005E099A" w:rsidP="005E099A">
      <w:pPr>
        <w:pStyle w:val="FSCDraftingitemheading"/>
        <w:widowControl/>
        <w:rPr>
          <w:b w:val="0"/>
          <w:lang w:bidi="en-US"/>
        </w:rPr>
      </w:pPr>
      <w:r w:rsidRPr="0097412A">
        <w:rPr>
          <w:lang w:bidi="en-US"/>
        </w:rPr>
        <w:t>[1]</w:t>
      </w:r>
      <w:r w:rsidRPr="0097412A">
        <w:rPr>
          <w:lang w:bidi="en-US"/>
        </w:rPr>
        <w:tab/>
      </w:r>
      <w:r>
        <w:rPr>
          <w:lang w:bidi="en-US"/>
        </w:rPr>
        <w:t xml:space="preserve">Standard 1.3.2 </w:t>
      </w:r>
      <w:r>
        <w:rPr>
          <w:b w:val="0"/>
          <w:lang w:bidi="en-US"/>
        </w:rPr>
        <w:t>is varied by inserting after section 1.3.2—7</w:t>
      </w:r>
    </w:p>
    <w:p w14:paraId="142BA132" w14:textId="77777777" w:rsidR="005E099A" w:rsidRDefault="005E099A" w:rsidP="005E099A">
      <w:pPr>
        <w:pStyle w:val="FSCh5Section"/>
        <w:widowControl/>
        <w:rPr>
          <w:lang w:bidi="en-US"/>
        </w:rPr>
      </w:pPr>
      <w:r>
        <w:rPr>
          <w:lang w:bidi="en-US"/>
        </w:rPr>
        <w:t>1.3.2—8</w:t>
      </w:r>
      <w:r>
        <w:rPr>
          <w:lang w:bidi="en-US"/>
        </w:rPr>
        <w:tab/>
      </w:r>
      <w:r w:rsidRPr="007860AC">
        <w:rPr>
          <w:lang w:bidi="en-US"/>
        </w:rPr>
        <w:t xml:space="preserve">Use of </w:t>
      </w:r>
      <w:r>
        <w:rPr>
          <w:lang w:bidi="en-US"/>
        </w:rPr>
        <w:t>s</w:t>
      </w:r>
      <w:r w:rsidRPr="007860AC">
        <w:rPr>
          <w:lang w:bidi="en-US"/>
        </w:rPr>
        <w:t>oy leghemoglobin as a nutritive substance</w:t>
      </w:r>
    </w:p>
    <w:p w14:paraId="68D3A8DE" w14:textId="77777777" w:rsidR="005E099A" w:rsidRDefault="005E099A" w:rsidP="005E099A">
      <w:pPr>
        <w:pStyle w:val="FSCtMain"/>
        <w:widowControl/>
        <w:rPr>
          <w:lang w:bidi="en-US"/>
        </w:rPr>
      </w:pPr>
      <w:r>
        <w:rPr>
          <w:lang w:bidi="en-US"/>
        </w:rPr>
        <w:tab/>
        <w:t>(1)</w:t>
      </w:r>
      <w:r>
        <w:rPr>
          <w:lang w:bidi="en-US"/>
        </w:rPr>
        <w:tab/>
      </w:r>
      <w:r w:rsidRPr="00551889">
        <w:rPr>
          <w:lang w:bidi="en-US"/>
        </w:rPr>
        <w:t xml:space="preserve">Iron in the form of </w:t>
      </w:r>
      <w:r>
        <w:rPr>
          <w:lang w:bidi="en-US"/>
        </w:rPr>
        <w:t>s</w:t>
      </w:r>
      <w:r w:rsidRPr="00551889">
        <w:rPr>
          <w:lang w:bidi="en-US"/>
        </w:rPr>
        <w:t>oy leghemoglobin must not be used as a nutritive substance in a food other than a meat analogue product to which section S17—4 applies</w:t>
      </w:r>
      <w:r w:rsidRPr="004C4D2E">
        <w:rPr>
          <w:lang w:bidi="en-US"/>
        </w:rPr>
        <w:t>.</w:t>
      </w:r>
    </w:p>
    <w:p w14:paraId="1B024536" w14:textId="77777777" w:rsidR="005E099A" w:rsidRDefault="005E099A" w:rsidP="005E099A">
      <w:pPr>
        <w:pStyle w:val="FSCtMain"/>
        <w:widowControl/>
        <w:rPr>
          <w:lang w:bidi="en-US"/>
        </w:rPr>
      </w:pPr>
      <w:r>
        <w:rPr>
          <w:lang w:bidi="en-US"/>
        </w:rPr>
        <w:tab/>
        <w:t>(2)</w:t>
      </w:r>
      <w:r>
        <w:rPr>
          <w:lang w:bidi="en-US"/>
        </w:rPr>
        <w:tab/>
        <w:t>For the purposes of subsection (1), s</w:t>
      </w:r>
      <w:r w:rsidRPr="007860AC">
        <w:rPr>
          <w:lang w:bidi="en-US"/>
        </w:rPr>
        <w:t xml:space="preserve">oy leghemoglobin </w:t>
      </w:r>
      <w:r>
        <w:rPr>
          <w:lang w:bidi="en-US"/>
        </w:rPr>
        <w:t>m</w:t>
      </w:r>
      <w:r w:rsidRPr="00615E7E">
        <w:rPr>
          <w:lang w:bidi="en-US"/>
        </w:rPr>
        <w:t xml:space="preserve">ust not be present in a meat analogue product </w:t>
      </w:r>
      <w:r>
        <w:rPr>
          <w:lang w:bidi="en-US"/>
        </w:rPr>
        <w:t xml:space="preserve">in its raw state </w:t>
      </w:r>
      <w:r w:rsidRPr="00615E7E">
        <w:rPr>
          <w:lang w:bidi="en-US"/>
        </w:rPr>
        <w:t>at a concentration greater than 0.8%.</w:t>
      </w:r>
      <w:r>
        <w:rPr>
          <w:lang w:bidi="en-US"/>
        </w:rPr>
        <w:tab/>
      </w:r>
    </w:p>
    <w:p w14:paraId="4125E60F" w14:textId="77777777" w:rsidR="005E099A" w:rsidRPr="0097412A" w:rsidRDefault="005E099A" w:rsidP="005E099A">
      <w:pPr>
        <w:pStyle w:val="FSCDraftingitemheading"/>
        <w:widowControl/>
      </w:pPr>
      <w:r>
        <w:rPr>
          <w:lang w:bidi="en-US"/>
        </w:rPr>
        <w:t>[2]</w:t>
      </w:r>
      <w:r>
        <w:rPr>
          <w:lang w:bidi="en-US"/>
        </w:rPr>
        <w:tab/>
      </w:r>
      <w:r w:rsidRPr="0097412A">
        <w:rPr>
          <w:lang w:bidi="en-US"/>
        </w:rPr>
        <w:t xml:space="preserve">Schedule </w:t>
      </w:r>
      <w:r>
        <w:rPr>
          <w:lang w:bidi="en-US"/>
        </w:rPr>
        <w:t>3</w:t>
      </w:r>
      <w:r w:rsidRPr="0097412A">
        <w:rPr>
          <w:lang w:bidi="en-US"/>
        </w:rPr>
        <w:t xml:space="preserve"> </w:t>
      </w:r>
      <w:r w:rsidRPr="00C4571C">
        <w:rPr>
          <w:b w:val="0"/>
          <w:lang w:bidi="en-US"/>
        </w:rPr>
        <w:t>is varied by</w:t>
      </w:r>
      <w:r w:rsidRPr="0097412A">
        <w:t xml:space="preserve"> </w:t>
      </w:r>
    </w:p>
    <w:p w14:paraId="65F7A530" w14:textId="77777777" w:rsidR="005E099A" w:rsidRPr="00A36D53" w:rsidRDefault="005E099A" w:rsidP="005E099A">
      <w:pPr>
        <w:pStyle w:val="FSCDraftingitem"/>
      </w:pPr>
      <w:r w:rsidRPr="0097412A">
        <w:t>[</w:t>
      </w:r>
      <w:r>
        <w:t>2</w:t>
      </w:r>
      <w:r w:rsidRPr="0097412A">
        <w:t>.1]</w:t>
      </w:r>
      <w:r w:rsidRPr="0097412A">
        <w:tab/>
      </w:r>
      <w:r w:rsidRPr="00A605C6">
        <w:t>omitting from Note 1</w:t>
      </w:r>
      <w:r>
        <w:t xml:space="preserve"> </w:t>
      </w:r>
      <w:r w:rsidRPr="00A605C6">
        <w:t>the words ‘Section 1.1.1—15 requires’, substituting ‘</w:t>
      </w:r>
      <w:r w:rsidRPr="00A14EBB">
        <w:t>Sections 1.1.1—15 and S26—3</w:t>
      </w:r>
      <w:r w:rsidRPr="00A605C6">
        <w:t xml:space="preserve"> require’</w:t>
      </w:r>
    </w:p>
    <w:p w14:paraId="6889172C" w14:textId="77777777" w:rsidR="005E099A" w:rsidRDefault="005E099A" w:rsidP="005E099A">
      <w:pPr>
        <w:pStyle w:val="FSCDraftingitem"/>
        <w:rPr>
          <w:lang w:bidi="en-US"/>
        </w:rPr>
      </w:pPr>
      <w:r>
        <w:t>[2.2]</w:t>
      </w:r>
      <w:r>
        <w:tab/>
      </w:r>
      <w:r>
        <w:rPr>
          <w:lang w:bidi="en-US"/>
        </w:rPr>
        <w:t xml:space="preserve">inserting in the table to subsection </w:t>
      </w:r>
      <w:r>
        <w:t>S3—2</w:t>
      </w:r>
      <w:r>
        <w:rPr>
          <w:lang w:bidi="en-US"/>
        </w:rPr>
        <w:t>(2) in alphabetical order</w:t>
      </w:r>
    </w:p>
    <w:tbl>
      <w:tblPr>
        <w:tblStyle w:val="TableGrid5"/>
        <w:tblW w:w="660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Variation to Schedule 3 for 2′-O-fucosyllactose"/>
        <w:tblDescription w:val="Schedule 3 is vaired by inserting '2′-O-fucosyllactose' in the table in subsection S3-2(2) in alphabetical order."/>
      </w:tblPr>
      <w:tblGrid>
        <w:gridCol w:w="4128"/>
        <w:gridCol w:w="2474"/>
      </w:tblGrid>
      <w:tr w:rsidR="005E099A" w:rsidRPr="000A329E" w14:paraId="487B19C8" w14:textId="77777777" w:rsidTr="00197861">
        <w:trPr>
          <w:cantSplit/>
          <w:trHeight w:val="264"/>
          <w:jc w:val="center"/>
        </w:trPr>
        <w:tc>
          <w:tcPr>
            <w:tcW w:w="4128" w:type="dxa"/>
            <w:hideMark/>
          </w:tcPr>
          <w:p w14:paraId="6E4AF309" w14:textId="77777777" w:rsidR="005E099A" w:rsidRPr="000A329E" w:rsidRDefault="005E099A" w:rsidP="00197861">
            <w:pPr>
              <w:pStyle w:val="FSCtblMain"/>
            </w:pPr>
            <w:r>
              <w:t>s</w:t>
            </w:r>
            <w:r w:rsidRPr="000A329E">
              <w:t>oy leghemoglobin preparation</w:t>
            </w:r>
          </w:p>
        </w:tc>
        <w:tc>
          <w:tcPr>
            <w:tcW w:w="2474" w:type="dxa"/>
            <w:hideMark/>
          </w:tcPr>
          <w:p w14:paraId="4C5A8A5E" w14:textId="77777777" w:rsidR="005E099A" w:rsidRPr="000A329E" w:rsidRDefault="005E099A" w:rsidP="00197861">
            <w:pPr>
              <w:pStyle w:val="FSCtblMain"/>
            </w:pPr>
            <w:r w:rsidRPr="000A329E">
              <w:t>section S3—42</w:t>
            </w:r>
          </w:p>
        </w:tc>
      </w:tr>
    </w:tbl>
    <w:p w14:paraId="3598DB22" w14:textId="77777777" w:rsidR="005E099A" w:rsidRDefault="005E099A" w:rsidP="005E099A">
      <w:pPr>
        <w:pStyle w:val="FSCDraftingitem"/>
      </w:pPr>
      <w:r>
        <w:t>[2.3]</w:t>
      </w:r>
      <w:r>
        <w:tab/>
      </w:r>
      <w:r w:rsidRPr="00D4700C">
        <w:t>inserting after section S3—</w:t>
      </w:r>
      <w:r>
        <w:t>41</w:t>
      </w:r>
    </w:p>
    <w:p w14:paraId="441B7A26" w14:textId="77777777" w:rsidR="005E099A" w:rsidRDefault="005E099A" w:rsidP="005E099A">
      <w:pPr>
        <w:pStyle w:val="FSCh5Section"/>
        <w:widowControl/>
        <w:rPr>
          <w:szCs w:val="22"/>
        </w:rPr>
      </w:pPr>
      <w:r w:rsidRPr="000A329E">
        <w:rPr>
          <w:szCs w:val="22"/>
        </w:rPr>
        <w:t>S3—42</w:t>
      </w:r>
      <w:r w:rsidRPr="000A329E">
        <w:rPr>
          <w:szCs w:val="22"/>
        </w:rPr>
        <w:tab/>
        <w:t>Specification for a soy leghemoglobin preparation</w:t>
      </w:r>
    </w:p>
    <w:p w14:paraId="6D29D2A0" w14:textId="77777777" w:rsidR="005E099A" w:rsidRDefault="005E099A" w:rsidP="005E099A">
      <w:pPr>
        <w:pStyle w:val="FSCnMain"/>
        <w:widowControl/>
        <w:rPr>
          <w:rFonts w:eastAsia="Calibri"/>
          <w:iCs/>
          <w:sz w:val="20"/>
        </w:rPr>
      </w:pPr>
      <w:r w:rsidRPr="001D1563">
        <w:tab/>
      </w:r>
      <w:r w:rsidRPr="001D1563">
        <w:rPr>
          <w:b/>
          <w:i/>
        </w:rPr>
        <w:t>Note</w:t>
      </w:r>
      <w:r w:rsidRPr="001D1563">
        <w:t xml:space="preserve"> </w:t>
      </w:r>
      <w:r w:rsidRPr="001D1563">
        <w:tab/>
      </w:r>
      <w:r w:rsidRPr="00141676">
        <w:rPr>
          <w:szCs w:val="16"/>
        </w:rPr>
        <w:t>Subsection</w:t>
      </w:r>
      <w:r>
        <w:rPr>
          <w:szCs w:val="16"/>
        </w:rPr>
        <w:t>s</w:t>
      </w:r>
      <w:r w:rsidRPr="00141676">
        <w:rPr>
          <w:szCs w:val="16"/>
        </w:rPr>
        <w:t xml:space="preserve"> </w:t>
      </w:r>
      <w:r w:rsidRPr="00141676">
        <w:rPr>
          <w:szCs w:val="16"/>
          <w:lang w:bidi="en-US"/>
        </w:rPr>
        <w:t>S</w:t>
      </w:r>
      <w:r w:rsidRPr="00141676">
        <w:rPr>
          <w:szCs w:val="16"/>
        </w:rPr>
        <w:t>26—3</w:t>
      </w:r>
      <w:r>
        <w:rPr>
          <w:szCs w:val="16"/>
        </w:rPr>
        <w:t xml:space="preserve">(5) and </w:t>
      </w:r>
      <w:r w:rsidRPr="00141676">
        <w:rPr>
          <w:szCs w:val="16"/>
        </w:rPr>
        <w:t>(7)</w:t>
      </w:r>
      <w:r>
        <w:rPr>
          <w:szCs w:val="16"/>
        </w:rPr>
        <w:t xml:space="preserve"> require</w:t>
      </w:r>
      <w:r w:rsidRPr="00141676">
        <w:rPr>
          <w:szCs w:val="16"/>
        </w:rPr>
        <w:t xml:space="preserve"> a soy leghemoglobin preparation to comply with </w:t>
      </w:r>
      <w:r w:rsidRPr="00141676">
        <w:rPr>
          <w:rFonts w:eastAsia="Calibri"/>
          <w:szCs w:val="16"/>
        </w:rPr>
        <w:t xml:space="preserve">the specifications set out in </w:t>
      </w:r>
      <w:r>
        <w:rPr>
          <w:rFonts w:eastAsia="Calibri"/>
          <w:szCs w:val="16"/>
        </w:rPr>
        <w:t>this section</w:t>
      </w:r>
      <w:r>
        <w:rPr>
          <w:szCs w:val="16"/>
        </w:rPr>
        <w:t>.</w:t>
      </w:r>
      <w:r w:rsidRPr="003422CC">
        <w:rPr>
          <w:rFonts w:eastAsia="Calibri"/>
          <w:iCs/>
          <w:sz w:val="20"/>
        </w:rPr>
        <w:t xml:space="preserve"> </w:t>
      </w:r>
    </w:p>
    <w:p w14:paraId="7882479F" w14:textId="77777777" w:rsidR="005E099A" w:rsidRPr="003422CC" w:rsidRDefault="005E099A" w:rsidP="005E099A">
      <w:pPr>
        <w:pStyle w:val="FSCnMain"/>
        <w:widowControl/>
        <w:rPr>
          <w:sz w:val="20"/>
          <w:lang w:val="en-US" w:eastAsia="en-GB"/>
        </w:rPr>
      </w:pPr>
      <w:r>
        <w:rPr>
          <w:b/>
          <w:i/>
        </w:rPr>
        <w:tab/>
      </w:r>
      <w:r w:rsidRPr="003422CC">
        <w:rPr>
          <w:rFonts w:eastAsia="Calibri"/>
          <w:iCs/>
          <w:sz w:val="20"/>
        </w:rPr>
        <w:t xml:space="preserve">For a </w:t>
      </w:r>
      <w:r w:rsidRPr="003422CC">
        <w:rPr>
          <w:rFonts w:eastAsia="Calibri"/>
          <w:sz w:val="20"/>
        </w:rPr>
        <w:t>soy leghemoglobin preparation, the</w:t>
      </w:r>
      <w:r w:rsidRPr="003422CC">
        <w:rPr>
          <w:rFonts w:eastAsia="Calibri"/>
          <w:iCs/>
          <w:sz w:val="20"/>
        </w:rPr>
        <w:t xml:space="preserve"> </w:t>
      </w:r>
      <w:r w:rsidRPr="003422CC">
        <w:rPr>
          <w:sz w:val="20"/>
        </w:rPr>
        <w:t>specifications are the following:</w:t>
      </w:r>
      <w:r w:rsidRPr="003422CC">
        <w:rPr>
          <w:rFonts w:ascii="Times New Roman" w:hAnsi="Times New Roman"/>
          <w:sz w:val="20"/>
          <w:lang w:val="en-AU" w:eastAsia="en-GB"/>
        </w:rPr>
        <w:t xml:space="preserve"> </w:t>
      </w:r>
    </w:p>
    <w:p w14:paraId="39029693" w14:textId="77777777" w:rsidR="005E099A" w:rsidRPr="003422CC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3422CC">
        <w:rPr>
          <w:rFonts w:eastAsia="Calibri"/>
          <w:szCs w:val="20"/>
        </w:rPr>
        <w:t>soy leghemoglobin protein—maximum 9.0%;</w:t>
      </w:r>
    </w:p>
    <w:p w14:paraId="335749F6" w14:textId="77777777" w:rsidR="005E099A" w:rsidRPr="003422CC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3422CC">
        <w:rPr>
          <w:rFonts w:eastAsia="Calibri"/>
          <w:szCs w:val="20"/>
        </w:rPr>
        <w:t>soy leghemoglobin protein purity—minimum 65%;</w:t>
      </w:r>
    </w:p>
    <w:p w14:paraId="36BD43ED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3422CC">
        <w:rPr>
          <w:rFonts w:eastAsia="Calibri"/>
          <w:szCs w:val="20"/>
        </w:rPr>
        <w:t>appearance—dark red concentrated</w:t>
      </w:r>
      <w:r w:rsidRPr="000A329E">
        <w:rPr>
          <w:rFonts w:eastAsia="Calibri"/>
          <w:szCs w:val="20"/>
        </w:rPr>
        <w:t xml:space="preserve"> liquid;</w:t>
      </w:r>
    </w:p>
    <w:p w14:paraId="15E3A19C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solids— maximum 26%;</w:t>
      </w:r>
    </w:p>
    <w:p w14:paraId="58BB8E39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fat—maximum 2.0%;</w:t>
      </w:r>
    </w:p>
    <w:p w14:paraId="2E4C1586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carbohydrate—maximum 6.0%;</w:t>
      </w:r>
    </w:p>
    <w:p w14:paraId="37E26FFA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pH—5-10;</w:t>
      </w:r>
    </w:p>
    <w:p w14:paraId="04EE8970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moisture—maximum 90%;</w:t>
      </w:r>
    </w:p>
    <w:p w14:paraId="4E1B4954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ash—maximum 4.0%;</w:t>
      </w:r>
    </w:p>
    <w:p w14:paraId="07D90BD6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lead—maximum 0.4 mg/kg;</w:t>
      </w:r>
    </w:p>
    <w:p w14:paraId="2CA7CEEF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arsenic—maximum 0.05 mg/kg;</w:t>
      </w:r>
    </w:p>
    <w:p w14:paraId="3CBA7786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mercury—maximum 0.05 mg/kg;</w:t>
      </w:r>
    </w:p>
    <w:p w14:paraId="58881B35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cadmium—maximum 0.2 mg/kg;</w:t>
      </w:r>
    </w:p>
    <w:p w14:paraId="78889DB0" w14:textId="77777777" w:rsidR="005E099A" w:rsidRPr="000A329E" w:rsidRDefault="005E099A" w:rsidP="005E099A">
      <w:pPr>
        <w:pStyle w:val="FSCtPara"/>
        <w:widowControl/>
        <w:numPr>
          <w:ilvl w:val="0"/>
          <w:numId w:val="15"/>
        </w:numPr>
        <w:rPr>
          <w:rFonts w:eastAsia="Calibri"/>
          <w:szCs w:val="20"/>
        </w:rPr>
      </w:pPr>
      <w:r w:rsidRPr="000A329E">
        <w:rPr>
          <w:rFonts w:eastAsia="Calibri"/>
          <w:szCs w:val="20"/>
        </w:rPr>
        <w:t>microbiological:</w:t>
      </w:r>
    </w:p>
    <w:p w14:paraId="2C16562F" w14:textId="77777777" w:rsidR="005E099A" w:rsidRPr="000A329E" w:rsidRDefault="005E099A" w:rsidP="005E099A">
      <w:pPr>
        <w:pStyle w:val="FSCtSubpara"/>
        <w:widowControl/>
        <w:rPr>
          <w:szCs w:val="20"/>
        </w:rPr>
      </w:pPr>
      <w:r w:rsidRPr="000A329E">
        <w:rPr>
          <w:rFonts w:eastAsia="Calibri"/>
          <w:szCs w:val="20"/>
        </w:rPr>
        <w:tab/>
        <w:t xml:space="preserve">(i) </w:t>
      </w:r>
      <w:r w:rsidRPr="000A329E">
        <w:rPr>
          <w:rFonts w:eastAsia="Calibri"/>
          <w:szCs w:val="20"/>
        </w:rPr>
        <w:tab/>
      </w:r>
      <w:r w:rsidRPr="000A329E">
        <w:rPr>
          <w:i/>
          <w:szCs w:val="20"/>
        </w:rPr>
        <w:t>Escherichia coli</w:t>
      </w:r>
      <w:r w:rsidRPr="000A329E">
        <w:rPr>
          <w:szCs w:val="20"/>
        </w:rPr>
        <w:t xml:space="preserve">—negative to test; </w:t>
      </w:r>
    </w:p>
    <w:p w14:paraId="6FF51C9E" w14:textId="77777777" w:rsidR="005E099A" w:rsidRPr="000A329E" w:rsidRDefault="005E099A" w:rsidP="005E099A">
      <w:pPr>
        <w:pStyle w:val="FSCtSubpara"/>
        <w:widowControl/>
        <w:rPr>
          <w:szCs w:val="20"/>
        </w:rPr>
      </w:pPr>
      <w:r w:rsidRPr="000A329E">
        <w:rPr>
          <w:szCs w:val="20"/>
        </w:rPr>
        <w:tab/>
        <w:t>(ii)</w:t>
      </w:r>
      <w:r w:rsidRPr="000A329E">
        <w:rPr>
          <w:szCs w:val="20"/>
        </w:rPr>
        <w:tab/>
      </w:r>
      <w:r w:rsidRPr="000A329E">
        <w:rPr>
          <w:i/>
          <w:szCs w:val="20"/>
        </w:rPr>
        <w:t>Salmonella spp</w:t>
      </w:r>
      <w:r w:rsidRPr="000A329E">
        <w:rPr>
          <w:szCs w:val="20"/>
        </w:rPr>
        <w:t xml:space="preserve">.—negative to test; </w:t>
      </w:r>
    </w:p>
    <w:p w14:paraId="2957C78B" w14:textId="77777777" w:rsidR="005E099A" w:rsidRPr="00141676" w:rsidRDefault="005E099A" w:rsidP="005E099A">
      <w:pPr>
        <w:pStyle w:val="FSCtSubpara"/>
        <w:widowControl/>
        <w:rPr>
          <w:szCs w:val="20"/>
        </w:rPr>
      </w:pPr>
      <w:r w:rsidRPr="000A329E">
        <w:rPr>
          <w:szCs w:val="20"/>
        </w:rPr>
        <w:tab/>
        <w:t>(iii)</w:t>
      </w:r>
      <w:r w:rsidRPr="000A329E">
        <w:rPr>
          <w:szCs w:val="20"/>
        </w:rPr>
        <w:tab/>
        <w:t>Listeria monocytogenes—negative to test.</w:t>
      </w:r>
    </w:p>
    <w:p w14:paraId="278EF9F0" w14:textId="77777777" w:rsidR="005E099A" w:rsidRDefault="005E099A" w:rsidP="005E099A">
      <w:pPr>
        <w:pStyle w:val="FSCDraftingitemheading"/>
        <w:widowControl/>
        <w:rPr>
          <w:lang w:bidi="en-US"/>
        </w:rPr>
      </w:pPr>
    </w:p>
    <w:p w14:paraId="331728E1" w14:textId="77777777" w:rsidR="005E099A" w:rsidRDefault="005E099A" w:rsidP="005E099A">
      <w:pPr>
        <w:pStyle w:val="FSCDraftingitemheading"/>
        <w:widowControl/>
        <w:rPr>
          <w:lang w:bidi="en-US"/>
        </w:rPr>
      </w:pPr>
    </w:p>
    <w:p w14:paraId="1A881E86" w14:textId="77777777" w:rsidR="005E099A" w:rsidRDefault="005E099A" w:rsidP="005E099A">
      <w:pPr>
        <w:pStyle w:val="FSCDraftingitemheading"/>
        <w:widowControl/>
        <w:rPr>
          <w:lang w:bidi="en-US"/>
        </w:rPr>
      </w:pPr>
    </w:p>
    <w:p w14:paraId="7307CBE6" w14:textId="77777777" w:rsidR="005E099A" w:rsidRPr="00D1467B" w:rsidRDefault="005E099A" w:rsidP="005E099A">
      <w:pPr>
        <w:pStyle w:val="FSCDraftingitemheading"/>
        <w:widowControl/>
        <w:rPr>
          <w:rFonts w:eastAsia="Calibri"/>
        </w:rPr>
      </w:pPr>
      <w:r>
        <w:rPr>
          <w:lang w:bidi="en-US"/>
        </w:rPr>
        <w:t>[3]</w:t>
      </w:r>
      <w:r>
        <w:rPr>
          <w:lang w:bidi="en-US"/>
        </w:rPr>
        <w:tab/>
      </w:r>
      <w:r w:rsidRPr="0097412A">
        <w:rPr>
          <w:lang w:bidi="en-US"/>
        </w:rPr>
        <w:t xml:space="preserve">Schedule </w:t>
      </w:r>
      <w:r>
        <w:rPr>
          <w:lang w:bidi="en-US"/>
        </w:rPr>
        <w:t>17</w:t>
      </w:r>
      <w:r w:rsidRPr="0097412A">
        <w:rPr>
          <w:lang w:bidi="en-US"/>
        </w:rPr>
        <w:t xml:space="preserve"> </w:t>
      </w:r>
      <w:r w:rsidRPr="00C4571C">
        <w:rPr>
          <w:b w:val="0"/>
          <w:lang w:bidi="en-US"/>
        </w:rPr>
        <w:t>is varied by</w:t>
      </w:r>
      <w:r w:rsidRPr="0097412A">
        <w:t xml:space="preserve"> </w:t>
      </w:r>
    </w:p>
    <w:p w14:paraId="0D2632DD" w14:textId="77777777" w:rsidR="005E099A" w:rsidRDefault="005E099A" w:rsidP="005E099A">
      <w:pPr>
        <w:pStyle w:val="FSCDraftingitem"/>
      </w:pPr>
      <w:r>
        <w:t>[3.1]</w:t>
      </w:r>
      <w:r>
        <w:tab/>
        <w:t>inserting in Column 2 of the table to section S17—3 for the mineral ‘Iron’, in alphabetical order</w:t>
      </w:r>
    </w:p>
    <w:p w14:paraId="0D7A08F4" w14:textId="77777777" w:rsidR="005E099A" w:rsidRPr="00D1467B" w:rsidRDefault="005E099A" w:rsidP="005E099A">
      <w:pPr>
        <w:pStyle w:val="FSCtblMain"/>
        <w:ind w:left="3969"/>
      </w:pPr>
      <w:r w:rsidRPr="00D1467B">
        <w:t>Soy leghemoglobin in a soy leghemoglobin preparation that is listed in Schedule 26 and complies with any corresponding conditions listed in that Schedule.</w:t>
      </w:r>
    </w:p>
    <w:p w14:paraId="1DB622C1" w14:textId="77777777" w:rsidR="005E099A" w:rsidRDefault="005E099A" w:rsidP="005E099A">
      <w:pPr>
        <w:pStyle w:val="FSCtblMainC"/>
        <w:jc w:val="left"/>
      </w:pPr>
    </w:p>
    <w:p w14:paraId="6F5FFCBC" w14:textId="77777777" w:rsidR="005E099A" w:rsidRDefault="005E099A" w:rsidP="005E099A">
      <w:pPr>
        <w:pStyle w:val="FSCDraftingitem"/>
      </w:pPr>
      <w:r>
        <w:t>[3.2]</w:t>
      </w:r>
      <w:r>
        <w:tab/>
        <w:t>omitting from the table to section S17—4, under the heading ‘Analogues derived from legumes’</w:t>
      </w:r>
    </w:p>
    <w:p w14:paraId="506FA218" w14:textId="77777777" w:rsidR="005E099A" w:rsidRPr="00406D0B" w:rsidRDefault="005E099A" w:rsidP="005E099A">
      <w:pPr>
        <w:pStyle w:val="FSCtblMain"/>
        <w:rPr>
          <w:rFonts w:eastAsiaTheme="minorHAnsi"/>
          <w:i/>
          <w:szCs w:val="22"/>
          <w:lang w:val="en-AU" w:eastAsia="en-US"/>
        </w:rPr>
      </w:pPr>
      <w:r w:rsidRPr="00406D0B">
        <w:rPr>
          <w:rFonts w:eastAsiaTheme="minorHAnsi"/>
          <w:i/>
          <w:szCs w:val="22"/>
          <w:lang w:val="en-AU" w:eastAsia="en-US"/>
        </w:rPr>
        <w:t>Analogues of meat, where no less than 12% of the energy value of the food is derived from protein, and the food contains 5 g protein per serve of the food</w:t>
      </w:r>
    </w:p>
    <w:p w14:paraId="65AA5ED7" w14:textId="77777777" w:rsidR="005E099A" w:rsidRDefault="005E099A" w:rsidP="005E099A">
      <w:pPr>
        <w:pStyle w:val="FSCDraftingitem"/>
      </w:pPr>
      <w:r>
        <w:t>substituting</w:t>
      </w:r>
    </w:p>
    <w:p w14:paraId="54053C11" w14:textId="77777777" w:rsidR="005E099A" w:rsidRPr="00D1467B" w:rsidRDefault="005E099A" w:rsidP="005E099A">
      <w:pPr>
        <w:pStyle w:val="FSCtblMain"/>
        <w:rPr>
          <w:rFonts w:eastAsiaTheme="minorHAnsi"/>
          <w:i/>
          <w:szCs w:val="22"/>
          <w:lang w:val="en-AU" w:eastAsia="en-US"/>
        </w:rPr>
      </w:pPr>
      <w:r w:rsidRPr="00406D0B">
        <w:rPr>
          <w:rFonts w:eastAsiaTheme="minorHAnsi"/>
          <w:i/>
          <w:szCs w:val="22"/>
          <w:lang w:val="en-AU" w:eastAsia="en-US"/>
        </w:rPr>
        <w:t xml:space="preserve">Analogues of meat, where no less than 12% of the energy value of the food is derived from protein, and the food contains </w:t>
      </w:r>
      <w:r>
        <w:rPr>
          <w:rFonts w:eastAsiaTheme="minorHAnsi"/>
          <w:i/>
          <w:szCs w:val="22"/>
          <w:lang w:val="en-AU" w:eastAsia="en-US"/>
        </w:rPr>
        <w:t xml:space="preserve">no less than </w:t>
      </w:r>
      <w:r w:rsidRPr="00406D0B">
        <w:rPr>
          <w:rFonts w:eastAsiaTheme="minorHAnsi"/>
          <w:i/>
          <w:szCs w:val="22"/>
          <w:lang w:val="en-AU" w:eastAsia="en-US"/>
        </w:rPr>
        <w:t>5 g protein per serve of the food</w:t>
      </w:r>
    </w:p>
    <w:p w14:paraId="67DE2979" w14:textId="77777777" w:rsidR="005E099A" w:rsidRPr="00D1467B" w:rsidRDefault="005E099A" w:rsidP="005E099A">
      <w:pPr>
        <w:pStyle w:val="FSCDraftingitem"/>
        <w:rPr>
          <w:lang w:bidi="en-US"/>
        </w:rPr>
      </w:pPr>
      <w:r w:rsidRPr="00D1467B">
        <w:rPr>
          <w:b/>
          <w:lang w:bidi="en-US"/>
        </w:rPr>
        <w:t>[</w:t>
      </w:r>
      <w:r>
        <w:rPr>
          <w:b/>
          <w:lang w:bidi="en-US"/>
        </w:rPr>
        <w:t>4</w:t>
      </w:r>
      <w:r w:rsidRPr="00D1467B">
        <w:rPr>
          <w:b/>
          <w:lang w:bidi="en-US"/>
        </w:rPr>
        <w:t>]</w:t>
      </w:r>
      <w:r w:rsidRPr="00D1467B">
        <w:rPr>
          <w:b/>
          <w:lang w:bidi="en-US"/>
        </w:rPr>
        <w:tab/>
        <w:t>Schedule 26</w:t>
      </w:r>
      <w:r w:rsidRPr="00D1467B">
        <w:rPr>
          <w:lang w:bidi="en-US"/>
        </w:rPr>
        <w:t xml:space="preserve"> is </w:t>
      </w:r>
      <w:r w:rsidRPr="00D1467B">
        <w:t>varied</w:t>
      </w:r>
      <w:r w:rsidRPr="00D1467B">
        <w:rPr>
          <w:lang w:bidi="en-US"/>
        </w:rPr>
        <w:t xml:space="preserve"> by </w:t>
      </w:r>
    </w:p>
    <w:p w14:paraId="50E9E3DE" w14:textId="77777777" w:rsidR="005E099A" w:rsidRPr="00D1467B" w:rsidRDefault="005E099A" w:rsidP="005E099A">
      <w:pPr>
        <w:pStyle w:val="FSCDraftingitem"/>
        <w:rPr>
          <w:rFonts w:cs="Arial"/>
        </w:rPr>
      </w:pPr>
      <w:r>
        <w:rPr>
          <w:lang w:bidi="en-US"/>
        </w:rPr>
        <w:t>[4.</w:t>
      </w:r>
      <w:r w:rsidRPr="00D1467B">
        <w:rPr>
          <w:lang w:bidi="en-US"/>
        </w:rPr>
        <w:t>1]</w:t>
      </w:r>
      <w:r w:rsidRPr="00D1467B">
        <w:rPr>
          <w:lang w:bidi="en-US"/>
        </w:rPr>
        <w:tab/>
        <w:t xml:space="preserve">inserting </w:t>
      </w:r>
      <w:r w:rsidRPr="00D1467B">
        <w:rPr>
          <w:rFonts w:cs="Arial"/>
          <w:lang w:bidi="en-US"/>
        </w:rPr>
        <w:t xml:space="preserve">in subsection </w:t>
      </w:r>
      <w:r w:rsidRPr="00D1467B">
        <w:rPr>
          <w:rFonts w:cs="Arial"/>
        </w:rPr>
        <w:t>S26—2(2), in alphabetical order</w:t>
      </w:r>
    </w:p>
    <w:p w14:paraId="37D79E7B" w14:textId="77777777" w:rsidR="005E099A" w:rsidRDefault="005E099A" w:rsidP="005E099A">
      <w:pPr>
        <w:pStyle w:val="FSCtDefn"/>
        <w:widowControl/>
        <w:rPr>
          <w:rFonts w:eastAsia="Calibri"/>
          <w:szCs w:val="20"/>
        </w:rPr>
      </w:pPr>
      <w:r>
        <w:rPr>
          <w:b/>
          <w:i/>
          <w:szCs w:val="20"/>
        </w:rPr>
        <w:t>s</w:t>
      </w:r>
      <w:r w:rsidRPr="00D1467B">
        <w:rPr>
          <w:b/>
          <w:i/>
          <w:szCs w:val="20"/>
        </w:rPr>
        <w:t xml:space="preserve">oy leghemoglobin preparation </w:t>
      </w:r>
      <w:r w:rsidRPr="00D1467B">
        <w:rPr>
          <w:szCs w:val="20"/>
        </w:rPr>
        <w:t xml:space="preserve">means a </w:t>
      </w:r>
      <w:r w:rsidRPr="00D1467B">
        <w:rPr>
          <w:rFonts w:eastAsia="Calibri"/>
          <w:szCs w:val="20"/>
        </w:rPr>
        <w:t xml:space="preserve">cell lysate preparation </w:t>
      </w:r>
      <w:r>
        <w:rPr>
          <w:rFonts w:eastAsia="Calibri"/>
          <w:szCs w:val="20"/>
        </w:rPr>
        <w:t>that:</w:t>
      </w:r>
    </w:p>
    <w:p w14:paraId="65E79E90" w14:textId="77777777" w:rsidR="005E099A" w:rsidRPr="001D1563" w:rsidRDefault="005E099A" w:rsidP="005E099A">
      <w:pPr>
        <w:pStyle w:val="FSCtPara"/>
        <w:widowControl/>
      </w:pPr>
      <w:r w:rsidRPr="001D1563">
        <w:tab/>
        <w:t>(a)</w:t>
      </w:r>
      <w:r w:rsidRPr="001D1563">
        <w:tab/>
      </w:r>
      <w:r>
        <w:t xml:space="preserve">is derived from </w:t>
      </w:r>
      <w:r w:rsidRPr="00D1467B">
        <w:rPr>
          <w:rFonts w:eastAsia="Calibri"/>
          <w:i/>
          <w:lang w:val="en-AU"/>
        </w:rPr>
        <w:t xml:space="preserve">Pichia </w:t>
      </w:r>
      <w:r>
        <w:rPr>
          <w:rFonts w:eastAsia="Calibri"/>
          <w:i/>
          <w:lang w:val="en-AU"/>
        </w:rPr>
        <w:t>p</w:t>
      </w:r>
      <w:r w:rsidRPr="00D1467B">
        <w:rPr>
          <w:rFonts w:eastAsia="Calibri"/>
          <w:i/>
          <w:lang w:val="en-AU"/>
        </w:rPr>
        <w:t>astoris</w:t>
      </w:r>
      <w:r w:rsidRPr="00D1467B">
        <w:rPr>
          <w:rFonts w:eastAsia="Calibri"/>
          <w:lang w:val="en-AU"/>
        </w:rPr>
        <w:t xml:space="preserve"> containing the gene for leghemoglobin c2 from </w:t>
      </w:r>
      <w:r w:rsidRPr="00D1467B">
        <w:rPr>
          <w:rFonts w:eastAsia="Calibri"/>
          <w:i/>
          <w:lang w:val="en-AU"/>
        </w:rPr>
        <w:t>Glycine max</w:t>
      </w:r>
      <w:r>
        <w:rPr>
          <w:rFonts w:eastAsia="Calibri"/>
          <w:lang w:val="en-AU"/>
        </w:rPr>
        <w:t xml:space="preserve">; </w:t>
      </w:r>
      <w:r>
        <w:t>and</w:t>
      </w:r>
    </w:p>
    <w:p w14:paraId="01BAD7E7" w14:textId="77777777" w:rsidR="005E099A" w:rsidRPr="001D1563" w:rsidRDefault="005E099A" w:rsidP="005E099A">
      <w:pPr>
        <w:pStyle w:val="FSCtPara"/>
        <w:widowControl/>
      </w:pPr>
      <w:r w:rsidRPr="001D1563">
        <w:tab/>
        <w:t>(b)</w:t>
      </w:r>
      <w:r w:rsidRPr="001D1563">
        <w:tab/>
      </w:r>
      <w:r w:rsidRPr="00D1467B">
        <w:rPr>
          <w:rFonts w:eastAsia="Calibri"/>
          <w:szCs w:val="20"/>
          <w:lang w:val="en-AU"/>
        </w:rPr>
        <w:t xml:space="preserve">contains </w:t>
      </w:r>
      <w:r w:rsidRPr="00D1467B">
        <w:rPr>
          <w:rFonts w:eastAsia="Calibri"/>
          <w:szCs w:val="20"/>
        </w:rPr>
        <w:t>soy leghemoglobin</w:t>
      </w:r>
      <w:r>
        <w:rPr>
          <w:rFonts w:eastAsia="Calibri"/>
          <w:szCs w:val="20"/>
        </w:rPr>
        <w:t>.</w:t>
      </w:r>
    </w:p>
    <w:p w14:paraId="77F9675F" w14:textId="77777777" w:rsidR="005E099A" w:rsidRDefault="005E099A" w:rsidP="005E099A">
      <w:pPr>
        <w:pStyle w:val="FSCDraftingitem"/>
      </w:pPr>
      <w:r>
        <w:rPr>
          <w:lang w:bidi="en-US"/>
        </w:rPr>
        <w:t xml:space="preserve"> [4</w:t>
      </w:r>
      <w:r w:rsidRPr="00D1467B">
        <w:rPr>
          <w:lang w:bidi="en-US"/>
        </w:rPr>
        <w:t>.2]</w:t>
      </w:r>
      <w:r w:rsidRPr="002C5F28">
        <w:rPr>
          <w:color w:val="FF0000"/>
          <w:lang w:bidi="en-US"/>
        </w:rPr>
        <w:tab/>
      </w:r>
      <w:r>
        <w:rPr>
          <w:lang w:bidi="en-US"/>
        </w:rPr>
        <w:t xml:space="preserve">inserting in the table to subsection </w:t>
      </w:r>
      <w:r w:rsidRPr="00944B9D">
        <w:rPr>
          <w:lang w:bidi="en-US"/>
        </w:rPr>
        <w:t>S</w:t>
      </w:r>
      <w:r w:rsidRPr="00944B9D">
        <w:t>26—</w:t>
      </w:r>
      <w:r>
        <w:t>3(7), in numerical order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626"/>
        <w:gridCol w:w="223"/>
        <w:gridCol w:w="3359"/>
        <w:gridCol w:w="3685"/>
      </w:tblGrid>
      <w:tr w:rsidR="005E099A" w:rsidRPr="00D1467B" w14:paraId="36E13732" w14:textId="77777777" w:rsidTr="00197861">
        <w:trPr>
          <w:cantSplit/>
          <w:trHeight w:val="243"/>
        </w:trPr>
        <w:tc>
          <w:tcPr>
            <w:tcW w:w="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9908" w14:textId="77777777" w:rsidR="005E099A" w:rsidRPr="00D1467B" w:rsidRDefault="005E099A" w:rsidP="00197861">
            <w:pPr>
              <w:pStyle w:val="FSCtblMain"/>
              <w:rPr>
                <w:b/>
              </w:rPr>
            </w:pPr>
            <w:r w:rsidRPr="00D1467B">
              <w:rPr>
                <w:b/>
              </w:rPr>
              <w:t>3</w:t>
            </w:r>
          </w:p>
        </w:tc>
        <w:tc>
          <w:tcPr>
            <w:tcW w:w="1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9981" w14:textId="77777777" w:rsidR="005E099A" w:rsidRPr="00B33C32" w:rsidRDefault="005E099A" w:rsidP="00197861">
            <w:pPr>
              <w:pStyle w:val="FSCtblMain"/>
              <w:rPr>
                <w:b/>
              </w:rPr>
            </w:pPr>
            <w:r w:rsidRPr="00B33C32">
              <w:rPr>
                <w:b/>
              </w:rPr>
              <w:t xml:space="preserve">Soy leghemoglobin preparation </w:t>
            </w:r>
          </w:p>
        </w:tc>
        <w:tc>
          <w:tcPr>
            <w:tcW w:w="223" w:type="dxa"/>
          </w:tcPr>
          <w:p w14:paraId="4473BC49" w14:textId="77777777" w:rsidR="005E099A" w:rsidRPr="00D1467B" w:rsidRDefault="005E099A" w:rsidP="00197861">
            <w:pPr>
              <w:spacing w:before="60" w:after="60"/>
              <w:ind w:left="347" w:hanging="347"/>
              <w:rPr>
                <w:rFonts w:cs="Arial"/>
                <w:sz w:val="18"/>
                <w:szCs w:val="18"/>
                <w:lang w:eastAsia="en-GB"/>
              </w:rPr>
            </w:pPr>
          </w:p>
        </w:tc>
        <w:tc>
          <w:tcPr>
            <w:tcW w:w="33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0EDE" w14:textId="77777777" w:rsidR="005E099A" w:rsidRPr="00D1467B" w:rsidRDefault="005E099A" w:rsidP="00197861">
            <w:pPr>
              <w:pStyle w:val="FSCtblMain"/>
              <w:rPr>
                <w:szCs w:val="18"/>
              </w:rPr>
            </w:pPr>
            <w:r w:rsidRPr="00D1467B">
              <w:rPr>
                <w:rFonts w:eastAsia="Calibri"/>
                <w:i/>
                <w:lang w:val="en-AU"/>
              </w:rPr>
              <w:t>Pichia Pastoris</w:t>
            </w:r>
            <w:r w:rsidRPr="00D1467B">
              <w:rPr>
                <w:rFonts w:eastAsia="Calibri"/>
                <w:lang w:val="en-AU"/>
              </w:rPr>
              <w:t xml:space="preserve"> containing the gene for leghemoglobin c2 from </w:t>
            </w:r>
            <w:r w:rsidRPr="00D1467B">
              <w:rPr>
                <w:rFonts w:eastAsia="Calibri"/>
                <w:i/>
                <w:lang w:val="en-AU"/>
              </w:rPr>
              <w:t>Glycine max</w:t>
            </w:r>
          </w:p>
        </w:tc>
        <w:tc>
          <w:tcPr>
            <w:tcW w:w="3685" w:type="dxa"/>
          </w:tcPr>
          <w:p w14:paraId="6E462606" w14:textId="77777777" w:rsidR="005E099A" w:rsidRPr="00D1467B" w:rsidRDefault="005E099A" w:rsidP="005E099A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339" w:right="34" w:hanging="339"/>
              <w:contextualSpacing/>
              <w:rPr>
                <w:rFonts w:eastAsia="Calibri" w:cs="Arial"/>
                <w:sz w:val="18"/>
                <w:szCs w:val="18"/>
                <w:lang w:eastAsia="en-GB"/>
              </w:rPr>
            </w:pPr>
            <w:r w:rsidRPr="00D1467B">
              <w:rPr>
                <w:rFonts w:eastAsia="Calibri" w:cs="Arial"/>
                <w:sz w:val="18"/>
                <w:szCs w:val="18"/>
                <w:lang w:eastAsia="en-AU"/>
              </w:rPr>
              <w:t xml:space="preserve">May only be added to </w:t>
            </w:r>
            <w:r w:rsidRPr="00D1467B">
              <w:rPr>
                <w:sz w:val="18"/>
                <w:szCs w:val="18"/>
              </w:rPr>
              <w:t xml:space="preserve">a meat analogue product to enable the use in that product of soy leghemoglobin </w:t>
            </w:r>
            <w:r w:rsidRPr="00D1467B">
              <w:rPr>
                <w:rFonts w:eastAsia="Calibri" w:cs="Arial"/>
                <w:sz w:val="18"/>
                <w:szCs w:val="18"/>
                <w:lang w:eastAsia="en-AU"/>
              </w:rPr>
              <w:t>as a nutritive substance in accordance with Standard 1.3.2.</w:t>
            </w:r>
          </w:p>
          <w:p w14:paraId="142DAA0B" w14:textId="77777777" w:rsidR="005E099A" w:rsidRPr="00D1467B" w:rsidRDefault="005E099A" w:rsidP="005E099A">
            <w:pPr>
              <w:numPr>
                <w:ilvl w:val="0"/>
                <w:numId w:val="14"/>
              </w:numPr>
              <w:tabs>
                <w:tab w:val="left" w:pos="0"/>
              </w:tabs>
              <w:spacing w:before="60" w:after="60"/>
              <w:ind w:left="339" w:right="36" w:hanging="339"/>
              <w:contextualSpacing/>
              <w:rPr>
                <w:rFonts w:eastAsia="Calibri" w:cs="Arial"/>
                <w:sz w:val="18"/>
                <w:szCs w:val="18"/>
                <w:lang w:eastAsia="en-GB"/>
              </w:rPr>
            </w:pPr>
            <w:r w:rsidRPr="00D7544F">
              <w:rPr>
                <w:rFonts w:eastAsia="Calibri" w:cs="Arial"/>
                <w:sz w:val="18"/>
                <w:szCs w:val="18"/>
                <w:lang w:eastAsia="en-AU"/>
              </w:rPr>
              <w:t xml:space="preserve">Must comply with the specifications set out in section </w:t>
            </w:r>
            <w:r w:rsidRPr="00D7544F">
              <w:rPr>
                <w:sz w:val="18"/>
                <w:szCs w:val="18"/>
              </w:rPr>
              <w:t>S3—42.</w:t>
            </w:r>
          </w:p>
        </w:tc>
      </w:tr>
    </w:tbl>
    <w:p w14:paraId="790F52C6" w14:textId="77777777" w:rsidR="005E099A" w:rsidRPr="00D1467B" w:rsidRDefault="005E099A" w:rsidP="005E099A">
      <w:pPr>
        <w:pStyle w:val="FSCDraftingitem"/>
      </w:pPr>
    </w:p>
    <w:p w14:paraId="5BE77F6C" w14:textId="77777777" w:rsidR="005E099A" w:rsidRPr="00795D86" w:rsidRDefault="005E099A" w:rsidP="005E099A"/>
    <w:p w14:paraId="184391E3" w14:textId="78C29500" w:rsidR="00D5526B" w:rsidRPr="00BC153D" w:rsidRDefault="00D5526B" w:rsidP="003A01FB">
      <w:pPr>
        <w:rPr>
          <w:lang w:val="en-AU" w:eastAsia="en-GB"/>
        </w:rPr>
      </w:pPr>
    </w:p>
    <w:sectPr w:rsidR="00D5526B" w:rsidRPr="00BC153D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D04A6" w14:textId="77777777" w:rsidR="0032007D" w:rsidRDefault="0032007D" w:rsidP="005E099A">
      <w:r>
        <w:separator/>
      </w:r>
    </w:p>
  </w:endnote>
  <w:endnote w:type="continuationSeparator" w:id="0">
    <w:p w14:paraId="488B08F9" w14:textId="77777777" w:rsidR="0032007D" w:rsidRDefault="0032007D" w:rsidP="005E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08E0" w14:textId="77777777" w:rsidR="0032007D" w:rsidRDefault="0032007D" w:rsidP="005E099A">
      <w:r>
        <w:separator/>
      </w:r>
    </w:p>
  </w:footnote>
  <w:footnote w:type="continuationSeparator" w:id="0">
    <w:p w14:paraId="22F77D34" w14:textId="77777777" w:rsidR="0032007D" w:rsidRDefault="0032007D" w:rsidP="005E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0ACD"/>
    <w:multiLevelType w:val="hybridMultilevel"/>
    <w:tmpl w:val="E198004E"/>
    <w:lvl w:ilvl="0" w:tplc="E372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74C44B4D"/>
    <w:multiLevelType w:val="hybridMultilevel"/>
    <w:tmpl w:val="B8B0AAFE"/>
    <w:lvl w:ilvl="0" w:tplc="3C10B5F2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9A"/>
    <w:rsid w:val="0000542C"/>
    <w:rsid w:val="00041643"/>
    <w:rsid w:val="000622E7"/>
    <w:rsid w:val="00066854"/>
    <w:rsid w:val="00066D85"/>
    <w:rsid w:val="000A38F8"/>
    <w:rsid w:val="000D4E2E"/>
    <w:rsid w:val="000F2196"/>
    <w:rsid w:val="001734EA"/>
    <w:rsid w:val="00184403"/>
    <w:rsid w:val="00191770"/>
    <w:rsid w:val="001C5126"/>
    <w:rsid w:val="001E696B"/>
    <w:rsid w:val="002232B1"/>
    <w:rsid w:val="00234C31"/>
    <w:rsid w:val="0032007D"/>
    <w:rsid w:val="0033021F"/>
    <w:rsid w:val="00341D25"/>
    <w:rsid w:val="003A01FB"/>
    <w:rsid w:val="00404702"/>
    <w:rsid w:val="00441D77"/>
    <w:rsid w:val="00443F05"/>
    <w:rsid w:val="00486619"/>
    <w:rsid w:val="004C6548"/>
    <w:rsid w:val="004D3868"/>
    <w:rsid w:val="004E6694"/>
    <w:rsid w:val="0054036E"/>
    <w:rsid w:val="005B578D"/>
    <w:rsid w:val="005C1996"/>
    <w:rsid w:val="005E099A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14451"/>
    <w:rsid w:val="00935023"/>
    <w:rsid w:val="009806A5"/>
    <w:rsid w:val="009E265A"/>
    <w:rsid w:val="00A25B29"/>
    <w:rsid w:val="00A26F82"/>
    <w:rsid w:val="00A808E9"/>
    <w:rsid w:val="00AD5B46"/>
    <w:rsid w:val="00B53154"/>
    <w:rsid w:val="00B72074"/>
    <w:rsid w:val="00BC153D"/>
    <w:rsid w:val="00BC2133"/>
    <w:rsid w:val="00BE4F3A"/>
    <w:rsid w:val="00C019A6"/>
    <w:rsid w:val="00C572A2"/>
    <w:rsid w:val="00D0179E"/>
    <w:rsid w:val="00D5526B"/>
    <w:rsid w:val="00D66962"/>
    <w:rsid w:val="00D87D9C"/>
    <w:rsid w:val="00D92B3B"/>
    <w:rsid w:val="00DA7DED"/>
    <w:rsid w:val="00DF192C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957F8"/>
  <w15:chartTrackingRefBased/>
  <w15:docId w15:val="{6E6309C4-4902-495D-96E2-1BA20334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5E099A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SCDraftingitem">
    <w:name w:val="FSC_Drafting_item"/>
    <w:basedOn w:val="Normal"/>
    <w:qFormat/>
    <w:locked/>
    <w:rsid w:val="005E099A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locked/>
    <w:rsid w:val="005E099A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paragraph" w:customStyle="1" w:styleId="FSCtblMain">
    <w:name w:val="FSC_tbl_Main"/>
    <w:basedOn w:val="Normal"/>
    <w:rsid w:val="005E099A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tblMainC">
    <w:name w:val="FSC_tbl_Main_C"/>
    <w:basedOn w:val="FSCtblMain"/>
    <w:qFormat/>
    <w:rsid w:val="005E099A"/>
    <w:pPr>
      <w:jc w:val="center"/>
    </w:pPr>
    <w:rPr>
      <w:rFonts w:eastAsiaTheme="minorHAnsi"/>
      <w:lang w:eastAsia="en-US"/>
    </w:rPr>
  </w:style>
  <w:style w:type="paragraph" w:customStyle="1" w:styleId="FSCh5Section">
    <w:name w:val="FSC_h5_Section"/>
    <w:basedOn w:val="Normal"/>
    <w:next w:val="Normal"/>
    <w:qFormat/>
    <w:rsid w:val="005E099A"/>
    <w:pPr>
      <w:keepNext/>
      <w:widowControl w:val="0"/>
      <w:spacing w:before="240" w:after="120"/>
      <w:ind w:left="1701" w:hanging="1701"/>
      <w:outlineLvl w:val="4"/>
    </w:pPr>
    <w:rPr>
      <w:rFonts w:eastAsia="Times New Roman" w:cs="Times New Roman"/>
      <w:b/>
      <w:bCs/>
      <w:kern w:val="32"/>
      <w:szCs w:val="24"/>
      <w:lang w:eastAsia="en-AU"/>
    </w:rPr>
  </w:style>
  <w:style w:type="paragraph" w:customStyle="1" w:styleId="FSCnMain">
    <w:name w:val="FSC_n_Main"/>
    <w:basedOn w:val="Normal"/>
    <w:qFormat/>
    <w:rsid w:val="005E099A"/>
    <w:pPr>
      <w:widowControl w:val="0"/>
      <w:tabs>
        <w:tab w:val="left" w:pos="1701"/>
      </w:tabs>
      <w:spacing w:before="60" w:after="60"/>
      <w:ind w:left="2268" w:hanging="2268"/>
    </w:pPr>
    <w:rPr>
      <w:rFonts w:eastAsia="Times New Roman" w:cs="Arial"/>
      <w:sz w:val="16"/>
      <w:szCs w:val="18"/>
      <w:lang w:eastAsia="en-AU"/>
    </w:rPr>
  </w:style>
  <w:style w:type="paragraph" w:customStyle="1" w:styleId="FSCtDefn">
    <w:name w:val="FSC_t_Defn"/>
    <w:basedOn w:val="Normal"/>
    <w:rsid w:val="005E099A"/>
    <w:pPr>
      <w:widowControl w:val="0"/>
      <w:tabs>
        <w:tab w:val="left" w:pos="1134"/>
      </w:tabs>
      <w:spacing w:before="120" w:after="120"/>
      <w:ind w:left="1701"/>
    </w:pPr>
    <w:rPr>
      <w:rFonts w:eastAsia="Times New Roman" w:cs="Arial"/>
      <w:iCs/>
      <w:sz w:val="20"/>
      <w:lang w:eastAsia="en-AU"/>
    </w:rPr>
  </w:style>
  <w:style w:type="paragraph" w:customStyle="1" w:styleId="FSCtMain">
    <w:name w:val="FSC_t_Main"/>
    <w:basedOn w:val="Normal"/>
    <w:rsid w:val="005E099A"/>
    <w:pPr>
      <w:widowControl w:val="0"/>
      <w:tabs>
        <w:tab w:val="left" w:pos="1134"/>
      </w:tabs>
      <w:spacing w:before="120" w:after="120"/>
      <w:ind w:left="1701" w:hanging="1701"/>
    </w:pPr>
    <w:rPr>
      <w:rFonts w:eastAsia="Times New Roman" w:cs="Arial"/>
      <w:iCs/>
      <w:sz w:val="20"/>
      <w:lang w:eastAsia="en-AU"/>
    </w:rPr>
  </w:style>
  <w:style w:type="paragraph" w:customStyle="1" w:styleId="FSCtPara">
    <w:name w:val="FSC_t_Para"/>
    <w:aliases w:val="t2_Para"/>
    <w:basedOn w:val="FSCtMain"/>
    <w:qFormat/>
    <w:rsid w:val="005E099A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5E099A"/>
    <w:pPr>
      <w:tabs>
        <w:tab w:val="clear" w:pos="1134"/>
        <w:tab w:val="left" w:pos="2268"/>
      </w:tabs>
      <w:spacing w:before="60" w:after="60"/>
      <w:ind w:left="2835" w:hanging="2835"/>
    </w:pPr>
  </w:style>
  <w:style w:type="table" w:customStyle="1" w:styleId="TableGrid5">
    <w:name w:val="Table Grid5"/>
    <w:basedOn w:val="TableNormal"/>
    <w:uiPriority w:val="59"/>
    <w:rsid w:val="005E099A"/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40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43bd8487-b9f6-4055-946c-a118d364275d</TermId>
        </TermInfo>
      </Terms>
    </bd06d2da0152468b9236b575a71e0e7c>
    <_dlc_DocId xmlns="ff5de93e-c5e8-4efc-a1bd-21450292fcfe">X3VAMR3A5FUY-552-7894</_dlc_DocId>
    <_dlc_DocIdUrl xmlns="ff5de93e-c5e8-4efc-a1bd-21450292fcfe">
      <Url>http://teams/Sections/RAP/_layouts/15/DocIdRedir.aspx?ID=X3VAMR3A5FUY-552-7894</Url>
      <Description>X3VAMR3A5FUY-552-7894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3937-0675-4080-A010-6E09CB1B4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4147F-ABB6-415E-8814-F6D42B1845E5}">
  <ds:schemaRefs>
    <ds:schemaRef ds:uri="http://schemas.microsoft.com/office/2006/metadata/properties"/>
    <ds:schemaRef ds:uri="http://schemas.microsoft.com/office/infopath/2007/PartnerControls"/>
    <ds:schemaRef ds:uri="ec50576e-4a27-4780-a1e1-e59563bc70b8"/>
    <ds:schemaRef ds:uri="ff5de93e-c5e8-4efc-a1bd-21450292fcfe"/>
  </ds:schemaRefs>
</ds:datastoreItem>
</file>

<file path=customXml/itemProps3.xml><?xml version="1.0" encoding="utf-8"?>
<ds:datastoreItem xmlns:ds="http://schemas.openxmlformats.org/officeDocument/2006/customXml" ds:itemID="{E3D6E3D7-498C-44C6-8970-D2C02809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598DD-00E4-4377-9AA4-EE633640439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C0E884-292D-4070-A91E-65FA24B6A0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5DA38F-526E-4290-A1B8-66A7AC7D7411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524B200E-DAAE-4690-81A3-729AC1A7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Tailee Vecchi</dc:creator>
  <cp:keywords/>
  <dc:description/>
  <cp:lastModifiedBy>RichaJ</cp:lastModifiedBy>
  <cp:revision>7</cp:revision>
  <dcterms:created xsi:type="dcterms:W3CDTF">2021-02-11T01:35:00Z</dcterms:created>
  <dcterms:modified xsi:type="dcterms:W3CDTF">2021-03-24T03:02:00Z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bb07d3f0-d8a0-4efc-a7ba-ceff947ad520</vt:lpwstr>
  </property>
  <property fmtid="{D5CDD505-2E9C-101B-9397-08002B2CF9AE}" pid="3" name="bjSaver">
    <vt:lpwstr>NIRxwK0u8rEaK3QvQc4OMTjVpAjSnRIZ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0x01010004C4C934AD08B647A78FCADD498BE3190200326A638932699E48A89F1995A4895C37</vt:lpwstr>
  </property>
  <property fmtid="{D5CDD505-2E9C-101B-9397-08002B2CF9AE}" pid="8" name="_dlc_DocIdItemGuid">
    <vt:lpwstr>0616b2bd-b037-4cc2-aaf5-f2b4e25c136f</vt:lpwstr>
  </property>
  <property fmtid="{D5CDD505-2E9C-101B-9397-08002B2CF9AE}" pid="9" name="DisposalClass">
    <vt:lpwstr/>
  </property>
  <property fmtid="{D5CDD505-2E9C-101B-9397-08002B2CF9AE}" pid="10" name="BCS_">
    <vt:lpwstr>40;#Evaluation|43bd8487-b9f6-4055-946c-a118d364275d</vt:lpwstr>
  </property>
</Properties>
</file>