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09697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404E2940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A7D4519B046948A990DD48D37D98A30C"/>
          </w:placeholder>
          <w:dropDownList>
            <w:listItem w:value="Choose an item."/>
            <w:listItem w:displayText="Treasurer" w:value="Treasurer"/>
            <w:listItem w:displayText="Assistant Treasurer, Minister for Housing and Minister for Homelessness, Social and Community Housing" w:value="Assistant Treasurer, Minister for Housing and Minister for Homelessness, Social and Community Housing"/>
            <w:listItem w:displayText="Minister for Superannuation, Financial Services and the Digital Economy" w:value="Minister for Superannuation, Financial Services and the Digital Economy"/>
            <w:listItem w:displayText="Assistant Treasurer" w:value="Assistant Treasurer"/>
          </w:dropDownList>
        </w:sdtPr>
        <w:sdtEndPr/>
        <w:sdtContent>
          <w:r w:rsidR="001F2424">
            <w:rPr>
              <w:sz w:val="24"/>
              <w:szCs w:val="24"/>
            </w:rPr>
            <w:t>Minister for Superannuation, Financial Services and the Digital Economy</w:t>
          </w:r>
        </w:sdtContent>
      </w:sdt>
    </w:p>
    <w:p w14:paraId="1191429C" w14:textId="0B8FA870" w:rsidR="00F109D4" w:rsidRDefault="001F2424" w:rsidP="003C7907">
      <w:pPr>
        <w:spacing w:before="240" w:after="240"/>
        <w:jc w:val="center"/>
        <w:rPr>
          <w:i/>
        </w:rPr>
      </w:pPr>
      <w:r w:rsidRPr="001F2424">
        <w:rPr>
          <w:i/>
        </w:rPr>
        <w:t>Busin</w:t>
      </w:r>
      <w:r w:rsidR="00D26314">
        <w:rPr>
          <w:i/>
        </w:rPr>
        <w:t>ess Names Registration Act 2011,</w:t>
      </w:r>
      <w:r>
        <w:rPr>
          <w:i/>
        </w:rPr>
        <w:t xml:space="preserve"> </w:t>
      </w:r>
      <w:r w:rsidR="00D26314">
        <w:rPr>
          <w:i/>
        </w:rPr>
        <w:t>Commonwealth Registers Act 2020,</w:t>
      </w:r>
      <w:r w:rsidRPr="001F2424">
        <w:rPr>
          <w:color w:val="000000"/>
          <w:szCs w:val="24"/>
        </w:rPr>
        <w:t xml:space="preserve"> </w:t>
      </w:r>
      <w:r w:rsidR="00D26314">
        <w:rPr>
          <w:i/>
        </w:rPr>
        <w:t>Corporations Act 2001,</w:t>
      </w:r>
      <w:r w:rsidRPr="001F242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National Consumer Credit Protection Act 2009</w:t>
      </w:r>
    </w:p>
    <w:p w14:paraId="0CB523A8" w14:textId="77777777" w:rsidR="00F109D4" w:rsidRPr="00503E44" w:rsidRDefault="001F2424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1F2424">
        <w:rPr>
          <w:i/>
        </w:rPr>
        <w:t>Co</w:t>
      </w:r>
      <w:r>
        <w:rPr>
          <w:i/>
        </w:rPr>
        <w:t>mmonwealth Registers Rules 2021</w:t>
      </w:r>
    </w:p>
    <w:p w14:paraId="562E02CC" w14:textId="46949260" w:rsidR="006713FC" w:rsidRPr="00E761B8" w:rsidRDefault="0019503A" w:rsidP="006713FC">
      <w:pPr>
        <w:spacing w:before="240"/>
        <w:rPr>
          <w:iCs/>
          <w:szCs w:val="24"/>
        </w:rPr>
      </w:pPr>
      <w:r w:rsidRPr="00E761B8">
        <w:rPr>
          <w:szCs w:val="24"/>
        </w:rPr>
        <w:t xml:space="preserve">Each of the </w:t>
      </w:r>
      <w:r w:rsidRPr="00E761B8">
        <w:rPr>
          <w:i/>
          <w:szCs w:val="24"/>
        </w:rPr>
        <w:t>Business Names Registration Act 2011</w:t>
      </w:r>
      <w:r w:rsidRPr="00E761B8">
        <w:rPr>
          <w:szCs w:val="24"/>
        </w:rPr>
        <w:t xml:space="preserve">, the </w:t>
      </w:r>
      <w:r w:rsidRPr="00E761B8">
        <w:rPr>
          <w:i/>
          <w:szCs w:val="24"/>
        </w:rPr>
        <w:t>Commonwealth Registers Act 2020</w:t>
      </w:r>
      <w:r w:rsidRPr="00E761B8">
        <w:rPr>
          <w:szCs w:val="24"/>
        </w:rPr>
        <w:t>,</w:t>
      </w:r>
      <w:r w:rsidRPr="00E761B8">
        <w:rPr>
          <w:color w:val="000000"/>
          <w:szCs w:val="24"/>
        </w:rPr>
        <w:t xml:space="preserve"> the </w:t>
      </w:r>
      <w:r w:rsidRPr="00E761B8">
        <w:rPr>
          <w:i/>
          <w:szCs w:val="24"/>
        </w:rPr>
        <w:t>Corporations Act 2001</w:t>
      </w:r>
      <w:r w:rsidRPr="00E761B8">
        <w:rPr>
          <w:szCs w:val="24"/>
        </w:rPr>
        <w:t>,</w:t>
      </w:r>
      <w:r w:rsidRPr="00E761B8">
        <w:rPr>
          <w:i/>
          <w:szCs w:val="24"/>
        </w:rPr>
        <w:t xml:space="preserve"> </w:t>
      </w:r>
      <w:r w:rsidRPr="00E761B8">
        <w:rPr>
          <w:iCs/>
          <w:szCs w:val="24"/>
        </w:rPr>
        <w:t>and the</w:t>
      </w:r>
      <w:r w:rsidRPr="00E761B8">
        <w:rPr>
          <w:i/>
          <w:iCs/>
          <w:szCs w:val="24"/>
        </w:rPr>
        <w:t xml:space="preserve"> National Consumer Credit Protection Act 2009</w:t>
      </w:r>
      <w:r w:rsidRPr="00E761B8">
        <w:rPr>
          <w:iCs/>
          <w:szCs w:val="24"/>
        </w:rPr>
        <w:t xml:space="preserve"> (the Registries Acts) provides that the Minister may, by legislative instrument, make Rules </w:t>
      </w:r>
      <w:r w:rsidR="006713FC" w:rsidRPr="00E761B8">
        <w:rPr>
          <w:iCs/>
          <w:szCs w:val="24"/>
        </w:rPr>
        <w:t>prescribing matters required or permitted by the relevant Act to be prescribed or necessary or convenient to be prescribed for carrying out or giving effect to</w:t>
      </w:r>
      <w:r w:rsidR="00FA5809" w:rsidRPr="00E761B8">
        <w:rPr>
          <w:iCs/>
          <w:szCs w:val="24"/>
        </w:rPr>
        <w:t xml:space="preserve"> the</w:t>
      </w:r>
      <w:r w:rsidR="006713FC" w:rsidRPr="00E761B8">
        <w:rPr>
          <w:iCs/>
          <w:szCs w:val="24"/>
        </w:rPr>
        <w:t xml:space="preserve"> relevant Act.</w:t>
      </w:r>
    </w:p>
    <w:p w14:paraId="68B96D54" w14:textId="2122DB08" w:rsidR="0019503A" w:rsidRPr="00E761B8" w:rsidRDefault="006713FC" w:rsidP="00647BB7">
      <w:pPr>
        <w:spacing w:before="240"/>
        <w:rPr>
          <w:szCs w:val="24"/>
        </w:rPr>
      </w:pPr>
      <w:r w:rsidRPr="00E761B8">
        <w:rPr>
          <w:iCs/>
          <w:szCs w:val="24"/>
        </w:rPr>
        <w:t xml:space="preserve">The Registrar’s functions under each of the Registries Acts include such functions </w:t>
      </w:r>
      <w:r w:rsidR="00FA5809" w:rsidRPr="00E761B8">
        <w:rPr>
          <w:iCs/>
          <w:szCs w:val="24"/>
        </w:rPr>
        <w:t xml:space="preserve">as </w:t>
      </w:r>
      <w:r w:rsidRPr="00E761B8">
        <w:rPr>
          <w:iCs/>
          <w:szCs w:val="24"/>
        </w:rPr>
        <w:t>are prescribed by the Rules</w:t>
      </w:r>
    </w:p>
    <w:p w14:paraId="2EE798A0" w14:textId="46D1AA5D" w:rsidR="00382BEC" w:rsidRPr="00E761B8" w:rsidRDefault="009F276F" w:rsidP="00647BB7">
      <w:pPr>
        <w:spacing w:before="240"/>
        <w:rPr>
          <w:szCs w:val="24"/>
        </w:rPr>
      </w:pPr>
      <w:r w:rsidRPr="00E761B8">
        <w:rPr>
          <w:szCs w:val="24"/>
        </w:rPr>
        <w:t>These Rules are</w:t>
      </w:r>
      <w:r w:rsidR="00FC75C4" w:rsidRPr="00E761B8">
        <w:rPr>
          <w:szCs w:val="24"/>
        </w:rPr>
        <w:t xml:space="preserve"> made under the relevant prov</w:t>
      </w:r>
      <w:r w:rsidRPr="00E761B8">
        <w:rPr>
          <w:szCs w:val="24"/>
        </w:rPr>
        <w:t>isions of the Registries Acts. The Rules</w:t>
      </w:r>
      <w:r w:rsidR="00FC75C4" w:rsidRPr="00E761B8">
        <w:rPr>
          <w:szCs w:val="24"/>
        </w:rPr>
        <w:t xml:space="preserve"> </w:t>
      </w:r>
      <w:r w:rsidR="0058626C" w:rsidRPr="00E761B8">
        <w:rPr>
          <w:szCs w:val="24"/>
        </w:rPr>
        <w:t xml:space="preserve">prescribe additional functions for the Registrars to </w:t>
      </w:r>
      <w:r w:rsidR="00FC75C4" w:rsidRPr="00E761B8">
        <w:rPr>
          <w:szCs w:val="24"/>
        </w:rPr>
        <w:t xml:space="preserve">enable the Registrars to carry out various </w:t>
      </w:r>
      <w:r w:rsidR="00382BEC" w:rsidRPr="00E761B8">
        <w:rPr>
          <w:szCs w:val="24"/>
        </w:rPr>
        <w:t xml:space="preserve">preparatory </w:t>
      </w:r>
      <w:r w:rsidR="00FC75C4" w:rsidRPr="00E761B8">
        <w:rPr>
          <w:szCs w:val="24"/>
        </w:rPr>
        <w:t xml:space="preserve">activities necessary for the </w:t>
      </w:r>
      <w:r w:rsidR="00382BEC" w:rsidRPr="00E761B8">
        <w:rPr>
          <w:szCs w:val="24"/>
        </w:rPr>
        <w:t xml:space="preserve">transfer of registry functions from </w:t>
      </w:r>
      <w:r w:rsidR="00D26314" w:rsidRPr="00E761B8">
        <w:rPr>
          <w:szCs w:val="24"/>
        </w:rPr>
        <w:t xml:space="preserve">the </w:t>
      </w:r>
      <w:r w:rsidR="00382BEC" w:rsidRPr="00E761B8">
        <w:rPr>
          <w:szCs w:val="24"/>
        </w:rPr>
        <w:t xml:space="preserve">Australian Securities and Investments Commission (ASIC) to the </w:t>
      </w:r>
      <w:r w:rsidR="00E4412F" w:rsidRPr="00E761B8">
        <w:rPr>
          <w:szCs w:val="24"/>
        </w:rPr>
        <w:t xml:space="preserve">Commonwealth </w:t>
      </w:r>
      <w:r w:rsidR="00382BEC" w:rsidRPr="00E761B8">
        <w:rPr>
          <w:szCs w:val="24"/>
        </w:rPr>
        <w:t>Registrars.</w:t>
      </w:r>
      <w:r w:rsidR="0058626C" w:rsidRPr="00E761B8">
        <w:rPr>
          <w:szCs w:val="24"/>
        </w:rPr>
        <w:t xml:space="preserve"> The Commissioner of Taxation has been appointed as the </w:t>
      </w:r>
      <w:r w:rsidR="00E4412F" w:rsidRPr="00E761B8">
        <w:rPr>
          <w:szCs w:val="24"/>
        </w:rPr>
        <w:t xml:space="preserve">Commonwealth </w:t>
      </w:r>
      <w:r w:rsidR="0058626C" w:rsidRPr="00E761B8">
        <w:rPr>
          <w:szCs w:val="24"/>
        </w:rPr>
        <w:t>Registrars.</w:t>
      </w:r>
    </w:p>
    <w:p w14:paraId="2301B64A" w14:textId="74817A50" w:rsidR="00E24EA7" w:rsidRDefault="009F276F" w:rsidP="00647BB7">
      <w:pPr>
        <w:spacing w:before="240"/>
      </w:pPr>
      <w:r w:rsidRPr="00E761B8">
        <w:rPr>
          <w:szCs w:val="24"/>
        </w:rPr>
        <w:t>As part of the Digital Business Plan, the Australian Government is implementing a</w:t>
      </w:r>
      <w:r w:rsidRPr="009F276F">
        <w:t xml:space="preserve"> modern approach to managing Commonwealth business registers via the implementation of the Modernising Business Registers (MBR) Program. The MBR Program will transform business services by creating a single source of trusted and accessible business data and provide efficient registry service delivery. The initial focus of this Program is on the business reg</w:t>
      </w:r>
      <w:r>
        <w:t>isters administered by ASIC.</w:t>
      </w:r>
    </w:p>
    <w:p w14:paraId="13BAED75" w14:textId="263E48AC" w:rsidR="00E24EA7" w:rsidRDefault="00E24EA7" w:rsidP="00647BB7">
      <w:pPr>
        <w:spacing w:before="240"/>
      </w:pPr>
      <w:r w:rsidRPr="00E24EA7">
        <w:t xml:space="preserve">An interim delegation from ASIC to the </w:t>
      </w:r>
      <w:r w:rsidR="00E4412F">
        <w:t xml:space="preserve">Commonwealth </w:t>
      </w:r>
      <w:r w:rsidRPr="00E24EA7">
        <w:t>Registrars facilitate</w:t>
      </w:r>
      <w:r>
        <w:t>s</w:t>
      </w:r>
      <w:r w:rsidRPr="00E24EA7">
        <w:t xml:space="preserve"> a gradual transfer of registry functions which would be synchronised with the development of supporting technology systems.</w:t>
      </w:r>
      <w:r>
        <w:t xml:space="preserve"> These Rules ensure that the </w:t>
      </w:r>
      <w:r w:rsidR="00E4412F">
        <w:t xml:space="preserve">Commonwealth </w:t>
      </w:r>
      <w:r>
        <w:t xml:space="preserve">Registrars are able to prepare for the delegation and perform the delegated functions during the </w:t>
      </w:r>
      <w:r w:rsidR="0058626C">
        <w:t xml:space="preserve">transition </w:t>
      </w:r>
      <w:r>
        <w:t>period.</w:t>
      </w:r>
    </w:p>
    <w:p w14:paraId="447909AC" w14:textId="0DC3223E" w:rsidR="00E24EA7" w:rsidRDefault="00E24EA7" w:rsidP="00647BB7">
      <w:pPr>
        <w:spacing w:before="240"/>
      </w:pPr>
      <w:r>
        <w:t xml:space="preserve">The Rules commence on </w:t>
      </w:r>
      <w:r w:rsidR="005661FB">
        <w:t xml:space="preserve">and apply from </w:t>
      </w:r>
      <w:r>
        <w:t>the later of th</w:t>
      </w:r>
      <w:r w:rsidR="00E761B8">
        <w:t>e day they are registered and 4 </w:t>
      </w:r>
      <w:r>
        <w:t>April 2021 (the date the Registrars’ appointment</w:t>
      </w:r>
      <w:r w:rsidR="00D26314">
        <w:t>s</w:t>
      </w:r>
      <w:r w:rsidR="0058626C">
        <w:t xml:space="preserve"> commence</w:t>
      </w:r>
      <w:r>
        <w:t xml:space="preserve">). </w:t>
      </w:r>
    </w:p>
    <w:p w14:paraId="0BA23AE7" w14:textId="5132E6DB" w:rsidR="008C12CE" w:rsidRDefault="008C12CE" w:rsidP="008C12CE">
      <w:pPr>
        <w:spacing w:before="240"/>
      </w:pPr>
      <w:r>
        <w:t xml:space="preserve">The Rules specify that the </w:t>
      </w:r>
      <w:r w:rsidR="00E4412F">
        <w:t xml:space="preserve">Commonwealth </w:t>
      </w:r>
      <w:r>
        <w:t>Registrars’ functions include:</w:t>
      </w:r>
    </w:p>
    <w:p w14:paraId="69BA67E3" w14:textId="671815F2" w:rsidR="008C12CE" w:rsidRDefault="008C12CE" w:rsidP="008C12CE">
      <w:pPr>
        <w:pStyle w:val="Dotpoint"/>
      </w:pPr>
      <w:r>
        <w:t xml:space="preserve">assisting ASIC in the performance of the functions that will </w:t>
      </w:r>
      <w:r w:rsidR="00D26314">
        <w:t xml:space="preserve">eventually </w:t>
      </w:r>
      <w:r>
        <w:t>be transferred to the Registrars; and</w:t>
      </w:r>
    </w:p>
    <w:p w14:paraId="2F30639B" w14:textId="77777777" w:rsidR="008C12CE" w:rsidRDefault="008C12CE" w:rsidP="008C12CE">
      <w:pPr>
        <w:pStyle w:val="Dotpoint"/>
      </w:pPr>
      <w:r>
        <w:t>preparing for the conferral of such functions on the Registrars.</w:t>
      </w:r>
    </w:p>
    <w:p w14:paraId="6E69F99D" w14:textId="3AC1FC20" w:rsidR="008C12CE" w:rsidRDefault="0058626C" w:rsidP="00105691">
      <w:pPr>
        <w:spacing w:before="240"/>
      </w:pPr>
      <w:r>
        <w:lastRenderedPageBreak/>
        <w:t>C</w:t>
      </w:r>
      <w:r w:rsidR="00105691">
        <w:t xml:space="preserve">onsultation on these Rules was undertaken with </w:t>
      </w:r>
      <w:r>
        <w:t xml:space="preserve">both </w:t>
      </w:r>
      <w:r w:rsidR="00105691">
        <w:t>ASIC and the Australian Taxation Office who support the</w:t>
      </w:r>
      <w:r>
        <w:t xml:space="preserve"> making of the</w:t>
      </w:r>
      <w:r w:rsidR="00105691">
        <w:t xml:space="preserve"> Rules. The MBR Program has also been subject to extensive public consultation and has received broad support from industry and government stakeholders.</w:t>
      </w:r>
      <w:r w:rsidR="00E4412F">
        <w:t xml:space="preserve">  Public consultation on the Rules was not undertaken as the Rules are machinery in nature.</w:t>
      </w:r>
    </w:p>
    <w:p w14:paraId="705970F7" w14:textId="1BD132A0" w:rsidR="002C226C" w:rsidRDefault="002C226C" w:rsidP="002C226C">
      <w:pPr>
        <w:spacing w:before="240"/>
      </w:pPr>
      <w:r>
        <w:t xml:space="preserve">Details of the </w:t>
      </w:r>
      <w:r w:rsidR="005661FB">
        <w:t>Rules</w:t>
      </w:r>
      <w:r w:rsidR="00EB2AEF">
        <w:t xml:space="preserve"> are set out in</w:t>
      </w:r>
      <w:r>
        <w:t xml:space="preserve"> </w:t>
      </w:r>
      <w:r w:rsidRPr="00317816">
        <w:rPr>
          <w:u w:val="single"/>
        </w:rPr>
        <w:t>Attachment</w:t>
      </w:r>
      <w:r w:rsidR="00EB2AEF">
        <w:rPr>
          <w:u w:val="single"/>
        </w:rPr>
        <w:t xml:space="preserve"> </w:t>
      </w:r>
      <w:r w:rsidR="00E4412F">
        <w:rPr>
          <w:u w:val="single"/>
        </w:rPr>
        <w:t>A</w:t>
      </w:r>
      <w:r w:rsidR="005661FB">
        <w:t>.</w:t>
      </w:r>
    </w:p>
    <w:p w14:paraId="324FAB04" w14:textId="502394CB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5661FB">
        <w:t>Rules</w:t>
      </w:r>
      <w:r>
        <w:t xml:space="preserve"> are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</w:p>
    <w:p w14:paraId="0010088A" w14:textId="07A35DFB" w:rsidR="002F457A" w:rsidRDefault="002F457A" w:rsidP="002F457A">
      <w:pPr>
        <w:spacing w:before="240"/>
      </w:pPr>
      <w:r>
        <w:t xml:space="preserve">A Regulation Impact Statement is not required because this instrument has no more than a minor impact on business, individuals or community organisations as it is effectively only facilitating a transitional element of the </w:t>
      </w:r>
      <w:proofErr w:type="spellStart"/>
      <w:r>
        <w:t>MBR</w:t>
      </w:r>
      <w:proofErr w:type="spellEnd"/>
      <w:r>
        <w:t xml:space="preserve"> Program (</w:t>
      </w:r>
      <w:proofErr w:type="spellStart"/>
      <w:r>
        <w:t>OB</w:t>
      </w:r>
      <w:r w:rsidR="00BA3D11">
        <w:t>PR</w:t>
      </w:r>
      <w:proofErr w:type="spellEnd"/>
      <w:r w:rsidR="00BA3D11">
        <w:t xml:space="preserve"> Ref. </w:t>
      </w:r>
      <w:bookmarkStart w:id="0" w:name="_GoBack"/>
      <w:bookmarkEnd w:id="0"/>
      <w:r>
        <w:t>22346</w:t>
      </w:r>
      <w:r w:rsidR="00E4412F">
        <w:t>).</w:t>
      </w:r>
    </w:p>
    <w:p w14:paraId="7F795538" w14:textId="438FE922" w:rsidR="00EB2AEF" w:rsidRPr="00013390" w:rsidRDefault="00EB2AEF" w:rsidP="00647BB7">
      <w:pPr>
        <w:spacing w:before="240"/>
      </w:pPr>
      <w:r>
        <w:t xml:space="preserve">A statement of Compatibility with Human Rights is at </w:t>
      </w:r>
      <w:r w:rsidRPr="000B39A1">
        <w:rPr>
          <w:u w:val="single"/>
        </w:rPr>
        <w:t xml:space="preserve">Attachment </w:t>
      </w:r>
      <w:r w:rsidR="00E4412F">
        <w:rPr>
          <w:u w:val="single"/>
        </w:rPr>
        <w:t>B</w:t>
      </w:r>
      <w:r w:rsidR="000B39A1" w:rsidRPr="000B39A1">
        <w:t>.</w:t>
      </w:r>
    </w:p>
    <w:p w14:paraId="6CC75175" w14:textId="02EFA25C" w:rsidR="00EA4DD8" w:rsidRDefault="00EA4DD8" w:rsidP="00EA4DD8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E4412F">
        <w:rPr>
          <w:b/>
          <w:u w:val="single"/>
        </w:rPr>
        <w:t>A</w:t>
      </w:r>
    </w:p>
    <w:p w14:paraId="358CE91F" w14:textId="2B31B8D6" w:rsidR="00EA4DD8" w:rsidRDefault="00EA4DD8" w:rsidP="00EA4DD8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 xml:space="preserve">Details of the </w:t>
      </w:r>
      <w:r w:rsidR="00E30224" w:rsidRPr="00E30224">
        <w:rPr>
          <w:b/>
          <w:i/>
          <w:u w:val="single"/>
        </w:rPr>
        <w:t xml:space="preserve">Commonwealth Registers Rules 2021 </w:t>
      </w:r>
      <w:r>
        <w:rPr>
          <w:b/>
          <w:bCs/>
          <w:u w:val="single"/>
        </w:rPr>
        <w:t xml:space="preserve"> </w:t>
      </w:r>
    </w:p>
    <w:p w14:paraId="79D80839" w14:textId="3D4FE347" w:rsidR="00EA4DD8" w:rsidRDefault="00EA4DD8" w:rsidP="00EA4DD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>
        <w:rPr>
          <w:u w:val="single"/>
        </w:rPr>
        <w:t xml:space="preserve">Section 1 – Name of the </w:t>
      </w:r>
      <w:r w:rsidR="00E30224">
        <w:rPr>
          <w:u w:val="single"/>
        </w:rPr>
        <w:t>Instrument</w:t>
      </w:r>
    </w:p>
    <w:p w14:paraId="6FC07B39" w14:textId="239F8A4E" w:rsidR="00EA4DD8" w:rsidRDefault="00EA4DD8" w:rsidP="00EA4DD8">
      <w:pPr>
        <w:spacing w:before="240"/>
      </w:pPr>
      <w:r>
        <w:t xml:space="preserve">This section provides that the name of the </w:t>
      </w:r>
      <w:r w:rsidR="00E30224">
        <w:t xml:space="preserve">Instrument </w:t>
      </w:r>
      <w:r>
        <w:t xml:space="preserve">is the </w:t>
      </w:r>
      <w:r w:rsidR="00E30224" w:rsidRPr="00E30224">
        <w:rPr>
          <w:i/>
        </w:rPr>
        <w:t xml:space="preserve">Commonwealth Registers Rules 2021 </w:t>
      </w:r>
      <w:r>
        <w:t>(the </w:t>
      </w:r>
      <w:r w:rsidR="00E30224">
        <w:t>Rules</w:t>
      </w:r>
      <w:r>
        <w:t>).</w:t>
      </w:r>
    </w:p>
    <w:p w14:paraId="4644381C" w14:textId="77777777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2 – Commencement</w:t>
      </w:r>
    </w:p>
    <w:p w14:paraId="4229747F" w14:textId="7B10B551" w:rsidR="00EA4DD8" w:rsidRDefault="00E30224" w:rsidP="00EA4DD8">
      <w:pPr>
        <w:spacing w:before="240"/>
        <w:ind w:right="91"/>
      </w:pPr>
      <w:r>
        <w:t>T</w:t>
      </w:r>
      <w:r w:rsidR="00EA4DD8">
        <w:t xml:space="preserve">he </w:t>
      </w:r>
      <w:r>
        <w:t xml:space="preserve">Rules </w:t>
      </w:r>
      <w:r w:rsidR="00EA4DD8">
        <w:t xml:space="preserve">commence on </w:t>
      </w:r>
      <w:r>
        <w:t>t</w:t>
      </w:r>
      <w:r w:rsidR="006B0ADE">
        <w:t>he later of</w:t>
      </w:r>
      <w:r w:rsidR="00EA4DD8">
        <w:t xml:space="preserve"> </w:t>
      </w:r>
      <w:r w:rsidR="00EA4DD8" w:rsidRPr="006B0ADE">
        <w:t xml:space="preserve">the day after the instrument is registered on </w:t>
      </w:r>
      <w:r w:rsidR="00EA4DD8">
        <w:t>the Federal Register of Legislation</w:t>
      </w:r>
      <w:r w:rsidR="006B0ADE">
        <w:t xml:space="preserve"> and 4 April 2021</w:t>
      </w:r>
      <w:r w:rsidR="00EA4DD8">
        <w:t>.</w:t>
      </w:r>
    </w:p>
    <w:p w14:paraId="4B66FC4F" w14:textId="77777777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3 – Authority</w:t>
      </w:r>
    </w:p>
    <w:p w14:paraId="1F397843" w14:textId="6FC0188D" w:rsidR="006B0ADE" w:rsidRDefault="00EA4DD8" w:rsidP="006B0ADE">
      <w:pPr>
        <w:spacing w:before="240"/>
        <w:ind w:right="91"/>
      </w:pPr>
      <w:r>
        <w:t xml:space="preserve">The </w:t>
      </w:r>
      <w:r w:rsidR="006B0ADE">
        <w:t>Rules</w:t>
      </w:r>
      <w:r>
        <w:t xml:space="preserve"> are made under the</w:t>
      </w:r>
      <w:r w:rsidR="00533EF0">
        <w:t xml:space="preserve"> following</w:t>
      </w:r>
      <w:r w:rsidR="00E4412F">
        <w:t xml:space="preserve"> Acts</w:t>
      </w:r>
      <w:r w:rsidR="00533EF0">
        <w:t>:</w:t>
      </w:r>
    </w:p>
    <w:p w14:paraId="3555AC63" w14:textId="3E345134" w:rsidR="00533EF0" w:rsidRPr="00556303" w:rsidRDefault="00533EF0" w:rsidP="00FA5809">
      <w:pPr>
        <w:pStyle w:val="Bullet"/>
      </w:pPr>
      <w:r w:rsidRPr="00556303">
        <w:t xml:space="preserve">the </w:t>
      </w:r>
      <w:r w:rsidRPr="00FA5809">
        <w:rPr>
          <w:i/>
          <w:iCs/>
        </w:rPr>
        <w:t>Business Names Registration Act 2011</w:t>
      </w:r>
      <w:r w:rsidRPr="00556303">
        <w:t>; and</w:t>
      </w:r>
    </w:p>
    <w:p w14:paraId="32C32510" w14:textId="781C110E" w:rsidR="00533EF0" w:rsidRPr="00556303" w:rsidRDefault="00533EF0" w:rsidP="00FA5809">
      <w:pPr>
        <w:pStyle w:val="Bullet"/>
      </w:pPr>
      <w:r w:rsidRPr="00556303">
        <w:t xml:space="preserve">the </w:t>
      </w:r>
      <w:r w:rsidRPr="00FA5809">
        <w:rPr>
          <w:i/>
          <w:iCs/>
        </w:rPr>
        <w:t>Commonwealth Registers Act 2020</w:t>
      </w:r>
      <w:r w:rsidRPr="00556303">
        <w:t>; and</w:t>
      </w:r>
    </w:p>
    <w:p w14:paraId="03719B27" w14:textId="67C73CC5" w:rsidR="00533EF0" w:rsidRPr="00556303" w:rsidRDefault="00533EF0" w:rsidP="00FA5809">
      <w:pPr>
        <w:pStyle w:val="Bullet"/>
      </w:pPr>
      <w:r w:rsidRPr="00556303">
        <w:t xml:space="preserve">the </w:t>
      </w:r>
      <w:r w:rsidRPr="00FA5809">
        <w:rPr>
          <w:i/>
          <w:iCs/>
        </w:rPr>
        <w:t>Corporations Act 2001</w:t>
      </w:r>
      <w:r w:rsidRPr="00556303">
        <w:t>; and</w:t>
      </w:r>
    </w:p>
    <w:p w14:paraId="3859CD75" w14:textId="617346FA" w:rsidR="00533EF0" w:rsidRPr="00556303" w:rsidRDefault="00533EF0" w:rsidP="00FA5809">
      <w:pPr>
        <w:pStyle w:val="Bullet"/>
      </w:pPr>
      <w:r w:rsidRPr="00556303">
        <w:t xml:space="preserve">the </w:t>
      </w:r>
      <w:r w:rsidRPr="00FA5809">
        <w:rPr>
          <w:i/>
          <w:iCs/>
        </w:rPr>
        <w:t>National Consumer Credit Protection Act 2009</w:t>
      </w:r>
      <w:r w:rsidRPr="00556303">
        <w:t>.</w:t>
      </w:r>
    </w:p>
    <w:p w14:paraId="5F2C7444" w14:textId="690A2392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 xml:space="preserve">Section 4 – </w:t>
      </w:r>
      <w:r w:rsidR="00533EF0">
        <w:rPr>
          <w:u w:val="single"/>
        </w:rPr>
        <w:t>Definitions</w:t>
      </w:r>
    </w:p>
    <w:p w14:paraId="27501FDA" w14:textId="1E76D6DD" w:rsidR="00D26314" w:rsidRDefault="00EA4DD8" w:rsidP="00EA4DD8">
      <w:pPr>
        <w:spacing w:before="240" w:after="200"/>
        <w:ind w:right="91"/>
      </w:pPr>
      <w:r>
        <w:t xml:space="preserve">This section </w:t>
      </w:r>
      <w:r w:rsidR="00533EF0">
        <w:t>specifies the meaning of defined terms used in the Rules.</w:t>
      </w:r>
    </w:p>
    <w:p w14:paraId="5B77CA31" w14:textId="7EA8A85E" w:rsidR="00533EF0" w:rsidRDefault="00C77BD7" w:rsidP="00EA4DD8">
      <w:pPr>
        <w:spacing w:before="240" w:after="200"/>
        <w:ind w:right="91"/>
      </w:pPr>
      <w:r>
        <w:t xml:space="preserve">Through the operation of paragraph 13(1)(b) of the </w:t>
      </w:r>
      <w:r w:rsidRPr="00C77BD7">
        <w:rPr>
          <w:i/>
        </w:rPr>
        <w:t>Legislation Act 2003</w:t>
      </w:r>
      <w:r>
        <w:t>, o</w:t>
      </w:r>
      <w:r w:rsidR="00533EF0">
        <w:t xml:space="preserve">ther </w:t>
      </w:r>
      <w:r w:rsidR="00533EF0" w:rsidRPr="00533EF0">
        <w:t xml:space="preserve">expressions have the same meaning in </w:t>
      </w:r>
      <w:r w:rsidR="00533EF0">
        <w:t xml:space="preserve">the Rules </w:t>
      </w:r>
      <w:r w:rsidR="00533EF0" w:rsidRPr="00533EF0">
        <w:t>as in the</w:t>
      </w:r>
      <w:r w:rsidR="00533EF0" w:rsidRPr="00533EF0">
        <w:rPr>
          <w:i/>
          <w:iCs/>
        </w:rPr>
        <w:t xml:space="preserve"> Business Names Registration Act 2011</w:t>
      </w:r>
      <w:r w:rsidR="00533EF0">
        <w:t>,</w:t>
      </w:r>
      <w:r w:rsidR="00533EF0" w:rsidRPr="00533EF0">
        <w:t xml:space="preserve"> </w:t>
      </w:r>
      <w:r w:rsidR="00533EF0">
        <w:t xml:space="preserve">the </w:t>
      </w:r>
      <w:r w:rsidR="00533EF0" w:rsidRPr="00533EF0">
        <w:rPr>
          <w:i/>
        </w:rPr>
        <w:t>Commonwealth Registers Act 2020</w:t>
      </w:r>
      <w:r w:rsidR="00533EF0" w:rsidRPr="00533EF0">
        <w:t xml:space="preserve">, </w:t>
      </w:r>
      <w:r w:rsidR="00533EF0">
        <w:t xml:space="preserve">the </w:t>
      </w:r>
      <w:r w:rsidR="00533EF0" w:rsidRPr="00533EF0">
        <w:rPr>
          <w:i/>
        </w:rPr>
        <w:t>Corporations Act 2001</w:t>
      </w:r>
      <w:r w:rsidR="00DC3662">
        <w:t>,</w:t>
      </w:r>
      <w:r w:rsidR="00533EF0" w:rsidRPr="00533EF0">
        <w:t xml:space="preserve"> </w:t>
      </w:r>
      <w:r>
        <w:t>or</w:t>
      </w:r>
      <w:r w:rsidR="00533EF0" w:rsidRPr="00533EF0">
        <w:t xml:space="preserve"> </w:t>
      </w:r>
      <w:r w:rsidR="00DC3662">
        <w:t xml:space="preserve">the </w:t>
      </w:r>
      <w:r w:rsidR="00533EF0" w:rsidRPr="00DC3662">
        <w:rPr>
          <w:i/>
        </w:rPr>
        <w:t>National Consumer Credit Protection Act 2009</w:t>
      </w:r>
      <w:r w:rsidR="00533EF0" w:rsidRPr="00533EF0">
        <w:t xml:space="preserve"> as appropriate and as in force from time to time</w:t>
      </w:r>
      <w:r>
        <w:t>.</w:t>
      </w:r>
    </w:p>
    <w:p w14:paraId="0C7723D9" w14:textId="0583BF42" w:rsidR="00C77BD7" w:rsidRPr="00C77BD7" w:rsidRDefault="00C77BD7" w:rsidP="00C77BD7">
      <w:pPr>
        <w:spacing w:before="240"/>
        <w:ind w:right="91"/>
        <w:rPr>
          <w:u w:val="single"/>
        </w:rPr>
      </w:pPr>
      <w:r w:rsidRPr="00C77BD7">
        <w:rPr>
          <w:u w:val="single"/>
        </w:rPr>
        <w:t xml:space="preserve">Section 5 – </w:t>
      </w:r>
      <w:r w:rsidRPr="00C77BD7">
        <w:rPr>
          <w:bCs/>
          <w:u w:val="single"/>
        </w:rPr>
        <w:t>Additional functions of the Commonwealth Registries Act Registrar</w:t>
      </w:r>
    </w:p>
    <w:p w14:paraId="51A6F7B3" w14:textId="3EF23B94" w:rsidR="00C77BD7" w:rsidRDefault="00C77BD7" w:rsidP="00C77BD7">
      <w:pPr>
        <w:spacing w:before="240" w:after="200"/>
        <w:ind w:right="91"/>
      </w:pPr>
      <w:r>
        <w:t xml:space="preserve">Section 5 specifies additional functions </w:t>
      </w:r>
      <w:r w:rsidR="00E4412F">
        <w:t xml:space="preserve">of the Commonwealth Registrar </w:t>
      </w:r>
      <w:r w:rsidR="00556303">
        <w:t xml:space="preserve">under </w:t>
      </w:r>
      <w:r w:rsidR="00FA5809">
        <w:t xml:space="preserve">the </w:t>
      </w:r>
      <w:r w:rsidR="00556303" w:rsidRPr="00533EF0">
        <w:rPr>
          <w:i/>
        </w:rPr>
        <w:t>Commonwealth Registers Act 2020</w:t>
      </w:r>
      <w:r w:rsidR="00AD1D08">
        <w:t>,</w:t>
      </w:r>
      <w:r w:rsidR="00922931">
        <w:rPr>
          <w:i/>
        </w:rPr>
        <w:t xml:space="preserve"> </w:t>
      </w:r>
      <w:r w:rsidR="00922931">
        <w:t xml:space="preserve">including </w:t>
      </w:r>
      <w:r w:rsidR="00980E89">
        <w:t xml:space="preserve">to assist </w:t>
      </w:r>
      <w:r w:rsidR="00922931">
        <w:t>the</w:t>
      </w:r>
      <w:r w:rsidR="00922931" w:rsidRPr="00556303">
        <w:t xml:space="preserve"> </w:t>
      </w:r>
      <w:r w:rsidR="00922931">
        <w:t>Australian Securities and Investments Commission</w:t>
      </w:r>
      <w:r w:rsidR="00922931" w:rsidRPr="00556303">
        <w:t xml:space="preserve"> in the performance of </w:t>
      </w:r>
      <w:r w:rsidR="00803ADB">
        <w:t xml:space="preserve">each </w:t>
      </w:r>
      <w:r w:rsidR="00922931">
        <w:t xml:space="preserve">registry </w:t>
      </w:r>
      <w:r w:rsidR="00922931" w:rsidRPr="00556303">
        <w:t>function</w:t>
      </w:r>
      <w:r w:rsidR="00922931">
        <w:t xml:space="preserve"> currently conferred on it under a Commonwealth law (other </w:t>
      </w:r>
      <w:r w:rsidR="00FA5809">
        <w:t xml:space="preserve">than </w:t>
      </w:r>
      <w:r w:rsidR="00922931">
        <w:t xml:space="preserve">a law covered by sections 6, 7 and 8); and to </w:t>
      </w:r>
      <w:r w:rsidR="00922931" w:rsidRPr="00556303">
        <w:t>prepare for, and implement all systems necessary for,</w:t>
      </w:r>
      <w:r w:rsidR="00922931">
        <w:t xml:space="preserve"> the</w:t>
      </w:r>
      <w:r w:rsidR="00A52A28">
        <w:t xml:space="preserve"> permanent transfer of</w:t>
      </w:r>
      <w:r w:rsidR="00922931">
        <w:t xml:space="preserve"> </w:t>
      </w:r>
      <w:r w:rsidR="00A52A28">
        <w:t>Commonwealth r</w:t>
      </w:r>
      <w:r w:rsidR="00922931">
        <w:t xml:space="preserve">egistry functions </w:t>
      </w:r>
      <w:r w:rsidR="00A52A28">
        <w:t>to</w:t>
      </w:r>
      <w:r w:rsidR="00922931">
        <w:t xml:space="preserve"> the Commonwealth Registrar.</w:t>
      </w:r>
    </w:p>
    <w:p w14:paraId="62A89BBA" w14:textId="0CEF3EA7" w:rsidR="00AD1D08" w:rsidRPr="00C77BD7" w:rsidRDefault="00AD1D08" w:rsidP="00AD1D08">
      <w:pPr>
        <w:spacing w:before="240"/>
        <w:ind w:right="91"/>
        <w:rPr>
          <w:u w:val="single"/>
        </w:rPr>
      </w:pPr>
      <w:r w:rsidRPr="00C77BD7">
        <w:rPr>
          <w:u w:val="single"/>
        </w:rPr>
        <w:t xml:space="preserve">Section </w:t>
      </w:r>
      <w:r>
        <w:rPr>
          <w:u w:val="single"/>
        </w:rPr>
        <w:t>6</w:t>
      </w:r>
      <w:r w:rsidRPr="00C77BD7">
        <w:rPr>
          <w:u w:val="single"/>
        </w:rPr>
        <w:t xml:space="preserve"> – </w:t>
      </w:r>
      <w:r w:rsidRPr="00C77BD7">
        <w:rPr>
          <w:bCs/>
          <w:u w:val="single"/>
        </w:rPr>
        <w:t xml:space="preserve">Additional functions of the </w:t>
      </w:r>
      <w:r>
        <w:rPr>
          <w:bCs/>
          <w:u w:val="single"/>
        </w:rPr>
        <w:t>Business Names Registration</w:t>
      </w:r>
      <w:r w:rsidRPr="00C77BD7">
        <w:rPr>
          <w:bCs/>
          <w:u w:val="single"/>
        </w:rPr>
        <w:t xml:space="preserve"> Act Registrar</w:t>
      </w:r>
    </w:p>
    <w:p w14:paraId="0A2B395E" w14:textId="5DE0764C" w:rsidR="00AD1D08" w:rsidRDefault="00AD1D08" w:rsidP="00AD1D08">
      <w:pPr>
        <w:spacing w:before="240" w:after="200"/>
        <w:ind w:right="91"/>
      </w:pPr>
      <w:r>
        <w:t xml:space="preserve">Section 6 specifies additional functions of the Business Names Registrar under the </w:t>
      </w:r>
      <w:r>
        <w:rPr>
          <w:i/>
        </w:rPr>
        <w:t>Business Name Registration Act 2011</w:t>
      </w:r>
      <w:r>
        <w:t>,</w:t>
      </w:r>
      <w:r>
        <w:rPr>
          <w:i/>
        </w:rPr>
        <w:t xml:space="preserve"> </w:t>
      </w:r>
      <w:r>
        <w:t xml:space="preserve">including </w:t>
      </w:r>
      <w:r w:rsidR="00980E89">
        <w:t>to assist</w:t>
      </w:r>
      <w:r w:rsidR="00980E89" w:rsidRPr="00556303" w:rsidDel="00980E89">
        <w:t xml:space="preserve"> </w:t>
      </w:r>
      <w:r>
        <w:t>the</w:t>
      </w:r>
      <w:r w:rsidRPr="00556303">
        <w:t xml:space="preserve"> </w:t>
      </w:r>
      <w:r>
        <w:t>Australian Securities and Investments Commission</w:t>
      </w:r>
      <w:r w:rsidRPr="00556303">
        <w:t xml:space="preserve"> in the performance of </w:t>
      </w:r>
      <w:r w:rsidR="00803ADB">
        <w:t>each</w:t>
      </w:r>
      <w:r w:rsidR="00803ADB" w:rsidRPr="00556303">
        <w:t xml:space="preserve"> </w:t>
      </w:r>
      <w:r>
        <w:t xml:space="preserve">registry </w:t>
      </w:r>
      <w:r w:rsidRPr="00556303">
        <w:t>function</w:t>
      </w:r>
      <w:r>
        <w:t xml:space="preserve"> currently conferred on it under </w:t>
      </w:r>
      <w:r w:rsidRPr="00A2643C">
        <w:t xml:space="preserve">the </w:t>
      </w:r>
      <w:r w:rsidRPr="00A2643C">
        <w:rPr>
          <w:i/>
          <w:iCs/>
        </w:rPr>
        <w:t>Business Names Registration Act 2011</w:t>
      </w:r>
      <w:r w:rsidR="00803ADB">
        <w:t>,</w:t>
      </w:r>
      <w:r w:rsidR="00803ADB" w:rsidRPr="00A2643C">
        <w:t xml:space="preserve"> </w:t>
      </w:r>
      <w:r w:rsidRPr="00A2643C">
        <w:t xml:space="preserve">the </w:t>
      </w:r>
      <w:r w:rsidRPr="00A2643C">
        <w:rPr>
          <w:i/>
          <w:iCs/>
        </w:rPr>
        <w:t>Business Names Registration (Transitional and Consequential Provisions) Act</w:t>
      </w:r>
      <w:r w:rsidRPr="00AD1D08">
        <w:rPr>
          <w:i/>
          <w:iCs/>
        </w:rPr>
        <w:t xml:space="preserve"> </w:t>
      </w:r>
      <w:r w:rsidRPr="00367A92">
        <w:rPr>
          <w:i/>
        </w:rPr>
        <w:t>2011</w:t>
      </w:r>
      <w:r w:rsidR="00C10988">
        <w:t xml:space="preserve">, </w:t>
      </w:r>
      <w:r w:rsidR="00803ADB">
        <w:t xml:space="preserve">and any </w:t>
      </w:r>
      <w:r w:rsidR="00803ADB">
        <w:lastRenderedPageBreak/>
        <w:t>legislative instruments made under those Acts</w:t>
      </w:r>
      <w:r w:rsidR="00C10988">
        <w:t>;</w:t>
      </w:r>
      <w:r>
        <w:t xml:space="preserve"> and to </w:t>
      </w:r>
      <w:r w:rsidRPr="00556303">
        <w:t>prepare for, and implement all systems necessary for,</w:t>
      </w:r>
      <w:r>
        <w:t xml:space="preserve"> the permanent transfer of Commonwealth registry functions to the Business Names Registrar.</w:t>
      </w:r>
    </w:p>
    <w:p w14:paraId="57E9D568" w14:textId="05E27EF7" w:rsidR="00556303" w:rsidRPr="00C77BD7" w:rsidRDefault="00556303" w:rsidP="00556303">
      <w:pPr>
        <w:spacing w:before="240"/>
        <w:ind w:right="91"/>
        <w:rPr>
          <w:u w:val="single"/>
        </w:rPr>
      </w:pPr>
      <w:r w:rsidRPr="00C77BD7">
        <w:rPr>
          <w:u w:val="single"/>
        </w:rPr>
        <w:t xml:space="preserve">Section </w:t>
      </w:r>
      <w:r w:rsidR="000F5226">
        <w:rPr>
          <w:u w:val="single"/>
        </w:rPr>
        <w:t>7</w:t>
      </w:r>
      <w:r w:rsidR="000F5226" w:rsidRPr="00C77BD7">
        <w:rPr>
          <w:u w:val="single"/>
        </w:rPr>
        <w:t xml:space="preserve"> </w:t>
      </w:r>
      <w:r w:rsidRPr="00C77BD7">
        <w:rPr>
          <w:u w:val="single"/>
        </w:rPr>
        <w:t xml:space="preserve">– </w:t>
      </w:r>
      <w:r w:rsidRPr="00C77BD7">
        <w:rPr>
          <w:bCs/>
          <w:u w:val="single"/>
        </w:rPr>
        <w:t xml:space="preserve">Additional functions of the </w:t>
      </w:r>
      <w:r>
        <w:rPr>
          <w:bCs/>
          <w:u w:val="single"/>
        </w:rPr>
        <w:t>Corporations</w:t>
      </w:r>
      <w:r w:rsidRPr="00C77BD7">
        <w:rPr>
          <w:bCs/>
          <w:u w:val="single"/>
        </w:rPr>
        <w:t xml:space="preserve"> Act Registrar</w:t>
      </w:r>
    </w:p>
    <w:p w14:paraId="71AEA6E6" w14:textId="072724BE" w:rsidR="000F5226" w:rsidRDefault="000F5226" w:rsidP="000F5226">
      <w:pPr>
        <w:spacing w:before="240" w:after="200"/>
        <w:ind w:right="91"/>
      </w:pPr>
      <w:r>
        <w:t xml:space="preserve">Section 7 specifies additional functions of the </w:t>
      </w:r>
      <w:r w:rsidR="00B55A1D">
        <w:t>Corporations Act</w:t>
      </w:r>
      <w:r>
        <w:t xml:space="preserve"> Registrar under the </w:t>
      </w:r>
      <w:r w:rsidR="00B55A1D">
        <w:rPr>
          <w:i/>
        </w:rPr>
        <w:t xml:space="preserve">Corporations </w:t>
      </w:r>
      <w:r w:rsidR="00B55A1D" w:rsidRPr="00533EF0">
        <w:rPr>
          <w:i/>
        </w:rPr>
        <w:t>Act 20</w:t>
      </w:r>
      <w:r w:rsidR="00B55A1D">
        <w:rPr>
          <w:i/>
        </w:rPr>
        <w:t>01</w:t>
      </w:r>
      <w:r>
        <w:t>,</w:t>
      </w:r>
      <w:r>
        <w:rPr>
          <w:i/>
        </w:rPr>
        <w:t xml:space="preserve"> </w:t>
      </w:r>
      <w:r>
        <w:t xml:space="preserve">including </w:t>
      </w:r>
      <w:r w:rsidR="00980E89">
        <w:t>to assist</w:t>
      </w:r>
      <w:r w:rsidR="00980E89" w:rsidRPr="00556303" w:rsidDel="00980E89">
        <w:t xml:space="preserve"> </w:t>
      </w:r>
      <w:r>
        <w:t>the</w:t>
      </w:r>
      <w:r w:rsidRPr="00556303">
        <w:t xml:space="preserve"> </w:t>
      </w:r>
      <w:r>
        <w:t>Australian Securities and Investments Commission</w:t>
      </w:r>
      <w:r w:rsidRPr="00556303">
        <w:t xml:space="preserve"> in the performance of </w:t>
      </w:r>
      <w:r w:rsidR="00803ADB">
        <w:t>each</w:t>
      </w:r>
      <w:r w:rsidR="00803ADB" w:rsidRPr="00556303">
        <w:t xml:space="preserve"> </w:t>
      </w:r>
      <w:r>
        <w:t xml:space="preserve">registry </w:t>
      </w:r>
      <w:r w:rsidRPr="00556303">
        <w:t>function</w:t>
      </w:r>
      <w:r>
        <w:t xml:space="preserve"> currently conferred on it under </w:t>
      </w:r>
      <w:r w:rsidR="00B55A1D">
        <w:t xml:space="preserve">the </w:t>
      </w:r>
      <w:r w:rsidR="00B55A1D" w:rsidRPr="00572CC6">
        <w:t xml:space="preserve">corporations legislation (within the meaning of the </w:t>
      </w:r>
      <w:r w:rsidR="00B55A1D" w:rsidRPr="00572CC6">
        <w:rPr>
          <w:i/>
          <w:iCs/>
        </w:rPr>
        <w:t>Corporations Act 2001</w:t>
      </w:r>
      <w:r w:rsidR="00B55A1D" w:rsidRPr="00572CC6">
        <w:t>)</w:t>
      </w:r>
      <w:r w:rsidR="00803ADB">
        <w:t xml:space="preserve"> </w:t>
      </w:r>
      <w:r w:rsidR="00C10988">
        <w:t>and</w:t>
      </w:r>
      <w:r w:rsidR="00803ADB">
        <w:t xml:space="preserve"> legislative instruments made under the </w:t>
      </w:r>
      <w:r w:rsidR="00803ADB" w:rsidRPr="00803ADB">
        <w:rPr>
          <w:i/>
        </w:rPr>
        <w:t>Corporations Act 2001</w:t>
      </w:r>
      <w:r w:rsidR="00803ADB">
        <w:t xml:space="preserve"> or the </w:t>
      </w:r>
      <w:r w:rsidR="00803ADB" w:rsidRPr="00803ADB">
        <w:rPr>
          <w:i/>
        </w:rPr>
        <w:t>Australian Securities and Investments Commission Act 2001</w:t>
      </w:r>
      <w:r>
        <w:t xml:space="preserve">; and to </w:t>
      </w:r>
      <w:r w:rsidRPr="00556303">
        <w:t>prepare for, and implement all systems necessary for,</w:t>
      </w:r>
      <w:r>
        <w:t xml:space="preserve"> the permanent transfer of Commonwealth registry functions to the </w:t>
      </w:r>
      <w:r w:rsidR="00B55A1D">
        <w:t>Corporations Act</w:t>
      </w:r>
      <w:r>
        <w:t xml:space="preserve"> Registrar.</w:t>
      </w:r>
    </w:p>
    <w:p w14:paraId="5BBDA186" w14:textId="4309C12B" w:rsidR="008C477B" w:rsidRPr="00C77BD7" w:rsidRDefault="008C477B" w:rsidP="00DE70F2">
      <w:pPr>
        <w:spacing w:before="240"/>
        <w:ind w:right="91"/>
        <w:rPr>
          <w:u w:val="single"/>
        </w:rPr>
      </w:pPr>
      <w:r w:rsidRPr="00C77BD7">
        <w:rPr>
          <w:u w:val="single"/>
        </w:rPr>
        <w:t xml:space="preserve">Section </w:t>
      </w:r>
      <w:r w:rsidR="00B55A1D">
        <w:rPr>
          <w:u w:val="single"/>
        </w:rPr>
        <w:t>8</w:t>
      </w:r>
      <w:r w:rsidRPr="00C77BD7">
        <w:rPr>
          <w:u w:val="single"/>
        </w:rPr>
        <w:t xml:space="preserve"> – </w:t>
      </w:r>
      <w:r w:rsidRPr="00C77BD7">
        <w:rPr>
          <w:bCs/>
          <w:u w:val="single"/>
        </w:rPr>
        <w:t xml:space="preserve">Additional functions of the </w:t>
      </w:r>
      <w:r>
        <w:rPr>
          <w:bCs/>
          <w:u w:val="single"/>
        </w:rPr>
        <w:t>National Consumer Credit Protection</w:t>
      </w:r>
      <w:r w:rsidRPr="00C77BD7">
        <w:rPr>
          <w:bCs/>
          <w:u w:val="single"/>
        </w:rPr>
        <w:t xml:space="preserve"> Act Registrar</w:t>
      </w:r>
    </w:p>
    <w:p w14:paraId="07404063" w14:textId="03B94C6B" w:rsidR="00B55A1D" w:rsidRDefault="00B55A1D" w:rsidP="00B55A1D">
      <w:pPr>
        <w:spacing w:before="240" w:after="200"/>
        <w:ind w:right="91"/>
      </w:pPr>
      <w:r>
        <w:t xml:space="preserve">Section 8 specifies additional functions of the National Consumer Credit Protection Registrar under the </w:t>
      </w:r>
      <w:r>
        <w:rPr>
          <w:i/>
        </w:rPr>
        <w:t xml:space="preserve">National Consumer Credit Protection Act </w:t>
      </w:r>
      <w:r w:rsidRPr="008C477B">
        <w:rPr>
          <w:i/>
        </w:rPr>
        <w:t>2009</w:t>
      </w:r>
      <w:r>
        <w:t>,</w:t>
      </w:r>
      <w:r>
        <w:rPr>
          <w:i/>
        </w:rPr>
        <w:t xml:space="preserve"> </w:t>
      </w:r>
      <w:r>
        <w:t xml:space="preserve">including </w:t>
      </w:r>
      <w:r w:rsidR="00980E89">
        <w:t>to assist</w:t>
      </w:r>
      <w:r w:rsidR="00980E89" w:rsidRPr="00556303" w:rsidDel="00980E89">
        <w:t xml:space="preserve"> </w:t>
      </w:r>
      <w:r>
        <w:t>the</w:t>
      </w:r>
      <w:r w:rsidRPr="00556303">
        <w:t xml:space="preserve"> </w:t>
      </w:r>
      <w:r>
        <w:t>Australian Securities and Investments Commission</w:t>
      </w:r>
      <w:r w:rsidRPr="00556303">
        <w:t xml:space="preserve"> in the performance of </w:t>
      </w:r>
      <w:r w:rsidR="00803ADB">
        <w:t>each</w:t>
      </w:r>
      <w:r w:rsidR="00803ADB" w:rsidRPr="00556303">
        <w:t xml:space="preserve"> </w:t>
      </w:r>
      <w:r>
        <w:t xml:space="preserve">registry </w:t>
      </w:r>
      <w:r w:rsidRPr="00556303">
        <w:t>function</w:t>
      </w:r>
      <w:r>
        <w:t xml:space="preserve"> currently conferred on it under the Commonwealth credit </w:t>
      </w:r>
      <w:r w:rsidRPr="00572CC6">
        <w:t xml:space="preserve">legislation (within the meaning of the </w:t>
      </w:r>
      <w:r>
        <w:rPr>
          <w:i/>
        </w:rPr>
        <w:t xml:space="preserve">National Consumer Credit Protection Act </w:t>
      </w:r>
      <w:r w:rsidRPr="008C477B">
        <w:rPr>
          <w:i/>
        </w:rPr>
        <w:t>2009</w:t>
      </w:r>
      <w:r w:rsidRPr="00572CC6">
        <w:t>)</w:t>
      </w:r>
      <w:r>
        <w:t xml:space="preserve">; and to </w:t>
      </w:r>
      <w:r w:rsidRPr="00556303">
        <w:t>prepare for, and implement all systems necessary for,</w:t>
      </w:r>
      <w:r>
        <w:t xml:space="preserve"> the permanent transfer of Commonwealth registry functions to the </w:t>
      </w:r>
      <w:r w:rsidR="00367A92">
        <w:t>National Consumer Credit Protection</w:t>
      </w:r>
      <w:r>
        <w:t xml:space="preserve"> Registrar.</w:t>
      </w:r>
    </w:p>
    <w:p w14:paraId="08588DB5" w14:textId="233B0699" w:rsidR="00EA4DD8" w:rsidRDefault="00EA4DD8" w:rsidP="00EA4DD8">
      <w:pPr>
        <w:spacing w:before="0" w:after="0"/>
        <w:rPr>
          <w:b/>
          <w:kern w:val="28"/>
        </w:rPr>
      </w:pPr>
      <w:r>
        <w:br w:type="page"/>
      </w:r>
    </w:p>
    <w:p w14:paraId="4841149F" w14:textId="6DF8A824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E4412F">
        <w:rPr>
          <w:b/>
          <w:u w:val="single"/>
        </w:rPr>
        <w:t>B</w:t>
      </w:r>
    </w:p>
    <w:p w14:paraId="03C0F6A0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1CC209F4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5B04A776" w14:textId="7ED891A8" w:rsidR="00E4438C" w:rsidRPr="00647BB7" w:rsidRDefault="009664E5" w:rsidP="003E1CE3">
      <w:pPr>
        <w:pStyle w:val="Heading3"/>
        <w:jc w:val="center"/>
      </w:pPr>
      <w:r w:rsidRPr="001F2424">
        <w:rPr>
          <w:i/>
        </w:rPr>
        <w:t>Co</w:t>
      </w:r>
      <w:r>
        <w:rPr>
          <w:i/>
        </w:rPr>
        <w:t>mmonwealth Registers Rules 2021</w:t>
      </w:r>
    </w:p>
    <w:p w14:paraId="5C994131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7E66E125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4BD83B4E" w14:textId="6E440E06" w:rsidR="00E4438C" w:rsidRPr="00D26314" w:rsidRDefault="009664E5" w:rsidP="00647BB7">
      <w:pPr>
        <w:spacing w:before="240"/>
        <w:rPr>
          <w:szCs w:val="24"/>
        </w:rPr>
      </w:pPr>
      <w:r>
        <w:t xml:space="preserve">The Rules enable the </w:t>
      </w:r>
      <w:r w:rsidRPr="00D26314">
        <w:rPr>
          <w:szCs w:val="24"/>
        </w:rPr>
        <w:t xml:space="preserve">Registrars under the </w:t>
      </w:r>
      <w:r w:rsidRPr="00D26314">
        <w:rPr>
          <w:i/>
          <w:szCs w:val="24"/>
        </w:rPr>
        <w:t>Business Names Registration Act 2011</w:t>
      </w:r>
      <w:r w:rsidRPr="00D26314">
        <w:rPr>
          <w:szCs w:val="24"/>
        </w:rPr>
        <w:t xml:space="preserve">, the </w:t>
      </w:r>
      <w:r w:rsidRPr="00D26314">
        <w:rPr>
          <w:i/>
          <w:szCs w:val="24"/>
        </w:rPr>
        <w:t>Commonwealth Registers Act 2020</w:t>
      </w:r>
      <w:r w:rsidRPr="00D26314">
        <w:rPr>
          <w:szCs w:val="24"/>
        </w:rPr>
        <w:t>,</w:t>
      </w:r>
      <w:r w:rsidRPr="00D26314">
        <w:rPr>
          <w:color w:val="000000"/>
          <w:szCs w:val="24"/>
        </w:rPr>
        <w:t xml:space="preserve"> the </w:t>
      </w:r>
      <w:r w:rsidRPr="00D26314">
        <w:rPr>
          <w:i/>
          <w:szCs w:val="24"/>
        </w:rPr>
        <w:t>Corporations Act 2001</w:t>
      </w:r>
      <w:r w:rsidRPr="00D26314">
        <w:rPr>
          <w:szCs w:val="24"/>
        </w:rPr>
        <w:t>,</w:t>
      </w:r>
      <w:r w:rsidRPr="00D26314">
        <w:rPr>
          <w:i/>
          <w:szCs w:val="24"/>
        </w:rPr>
        <w:t xml:space="preserve"> and the</w:t>
      </w:r>
      <w:r w:rsidRPr="00D26314">
        <w:rPr>
          <w:i/>
          <w:iCs/>
          <w:szCs w:val="24"/>
        </w:rPr>
        <w:t xml:space="preserve"> National Consumer Credit Protection Act 2009</w:t>
      </w:r>
      <w:r w:rsidRPr="00D26314">
        <w:rPr>
          <w:iCs/>
          <w:szCs w:val="24"/>
        </w:rPr>
        <w:t xml:space="preserve"> (the Registries Acts) </w:t>
      </w:r>
      <w:r w:rsidRPr="00D26314">
        <w:rPr>
          <w:szCs w:val="24"/>
        </w:rPr>
        <w:t xml:space="preserve">to carry out various preparatory activities necessary for the transfer of registry functions from Australian Securities and Investments Commission (ASIC) to the </w:t>
      </w:r>
      <w:r w:rsidR="00E4412F">
        <w:rPr>
          <w:szCs w:val="24"/>
        </w:rPr>
        <w:t xml:space="preserve">Commonwealth </w:t>
      </w:r>
      <w:r w:rsidRPr="00D26314">
        <w:rPr>
          <w:szCs w:val="24"/>
        </w:rPr>
        <w:t>Registrars.</w:t>
      </w:r>
    </w:p>
    <w:p w14:paraId="41680AB5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4F6FA6C2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095D34A0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5E9CB3C8" w14:textId="709C1E32" w:rsidR="00482B81" w:rsidRPr="00EA4DD8" w:rsidRDefault="00E4438C" w:rsidP="00367A92">
      <w:pPr>
        <w:spacing w:before="240"/>
      </w:pPr>
      <w:r w:rsidRPr="00647BB7">
        <w:t>This Legislative Instrument is compatible with human rights as it does not raise any human rights issues.</w:t>
      </w:r>
    </w:p>
    <w:sectPr w:rsidR="00482B81" w:rsidRPr="00EA4DD8" w:rsidSect="00392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704CE" w14:textId="77777777" w:rsidR="001F2424" w:rsidRDefault="001F2424" w:rsidP="00954679">
      <w:pPr>
        <w:spacing w:before="0" w:after="0"/>
      </w:pPr>
      <w:r>
        <w:separator/>
      </w:r>
    </w:p>
  </w:endnote>
  <w:endnote w:type="continuationSeparator" w:id="0">
    <w:p w14:paraId="6795B97C" w14:textId="77777777" w:rsidR="001F2424" w:rsidRDefault="001F2424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73A4E" w14:textId="77777777" w:rsidR="006713FC" w:rsidRDefault="00671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5CED012" w14:textId="0525BD3A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BA3D11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BA3D11">
              <w:rPr>
                <w:bCs/>
                <w:noProof/>
              </w:rPr>
              <w:t>5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0864A" w14:textId="77777777" w:rsidR="006713FC" w:rsidRDefault="0067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BB3AD" w14:textId="77777777" w:rsidR="001F2424" w:rsidRDefault="001F2424" w:rsidP="00954679">
      <w:pPr>
        <w:spacing w:before="0" w:after="0"/>
      </w:pPr>
      <w:r>
        <w:separator/>
      </w:r>
    </w:p>
  </w:footnote>
  <w:footnote w:type="continuationSeparator" w:id="0">
    <w:p w14:paraId="29459C51" w14:textId="77777777" w:rsidR="001F2424" w:rsidRDefault="001F2424" w:rsidP="009546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87A7E" w14:textId="77777777" w:rsidR="006713FC" w:rsidRDefault="00671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7007" w14:textId="3088F317" w:rsidR="006713FC" w:rsidRDefault="006713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4123" w14:textId="77777777" w:rsidR="006713FC" w:rsidRDefault="00671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87A9EC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24"/>
    <w:rsid w:val="00013390"/>
    <w:rsid w:val="00016EA2"/>
    <w:rsid w:val="00076178"/>
    <w:rsid w:val="00095211"/>
    <w:rsid w:val="000B39A1"/>
    <w:rsid w:val="000C10DF"/>
    <w:rsid w:val="000C6935"/>
    <w:rsid w:val="000E32E3"/>
    <w:rsid w:val="000F5226"/>
    <w:rsid w:val="00105691"/>
    <w:rsid w:val="00113B45"/>
    <w:rsid w:val="0019503A"/>
    <w:rsid w:val="001B7535"/>
    <w:rsid w:val="001D2CE5"/>
    <w:rsid w:val="001D5E37"/>
    <w:rsid w:val="001E6A74"/>
    <w:rsid w:val="001F2424"/>
    <w:rsid w:val="001F41D0"/>
    <w:rsid w:val="00220F16"/>
    <w:rsid w:val="0022505A"/>
    <w:rsid w:val="00251A70"/>
    <w:rsid w:val="00254C5B"/>
    <w:rsid w:val="002A7E1F"/>
    <w:rsid w:val="002C226C"/>
    <w:rsid w:val="002F457A"/>
    <w:rsid w:val="003041FA"/>
    <w:rsid w:val="003342CD"/>
    <w:rsid w:val="00335042"/>
    <w:rsid w:val="00362B70"/>
    <w:rsid w:val="00367A92"/>
    <w:rsid w:val="00382BEC"/>
    <w:rsid w:val="00392BBA"/>
    <w:rsid w:val="003954FD"/>
    <w:rsid w:val="003C7907"/>
    <w:rsid w:val="003D60D7"/>
    <w:rsid w:val="003E1CE3"/>
    <w:rsid w:val="003E3D1D"/>
    <w:rsid w:val="00462095"/>
    <w:rsid w:val="00482B81"/>
    <w:rsid w:val="00482D4C"/>
    <w:rsid w:val="004B3C0F"/>
    <w:rsid w:val="004C05E4"/>
    <w:rsid w:val="004E39E1"/>
    <w:rsid w:val="004F56D0"/>
    <w:rsid w:val="00503E44"/>
    <w:rsid w:val="00515283"/>
    <w:rsid w:val="00533926"/>
    <w:rsid w:val="00533EF0"/>
    <w:rsid w:val="00556303"/>
    <w:rsid w:val="0055675D"/>
    <w:rsid w:val="005661FB"/>
    <w:rsid w:val="00566E8F"/>
    <w:rsid w:val="0057422E"/>
    <w:rsid w:val="005833BE"/>
    <w:rsid w:val="0058626C"/>
    <w:rsid w:val="005D7D5A"/>
    <w:rsid w:val="005E4BAC"/>
    <w:rsid w:val="0060130D"/>
    <w:rsid w:val="00606BD6"/>
    <w:rsid w:val="0064129F"/>
    <w:rsid w:val="00647BB7"/>
    <w:rsid w:val="006713FC"/>
    <w:rsid w:val="00680297"/>
    <w:rsid w:val="006873CE"/>
    <w:rsid w:val="006A0786"/>
    <w:rsid w:val="006B0ADE"/>
    <w:rsid w:val="00710E94"/>
    <w:rsid w:val="00727D8A"/>
    <w:rsid w:val="00731FEA"/>
    <w:rsid w:val="00736F61"/>
    <w:rsid w:val="00742253"/>
    <w:rsid w:val="007662C7"/>
    <w:rsid w:val="00776306"/>
    <w:rsid w:val="007A55A7"/>
    <w:rsid w:val="007B1F10"/>
    <w:rsid w:val="007B335E"/>
    <w:rsid w:val="007E018D"/>
    <w:rsid w:val="007F1B71"/>
    <w:rsid w:val="00803ADB"/>
    <w:rsid w:val="00807E7D"/>
    <w:rsid w:val="00831675"/>
    <w:rsid w:val="0087560B"/>
    <w:rsid w:val="0088467C"/>
    <w:rsid w:val="00894579"/>
    <w:rsid w:val="008A5B67"/>
    <w:rsid w:val="008C12CE"/>
    <w:rsid w:val="008C477B"/>
    <w:rsid w:val="008D16F7"/>
    <w:rsid w:val="008E1427"/>
    <w:rsid w:val="009143A0"/>
    <w:rsid w:val="00922931"/>
    <w:rsid w:val="00936902"/>
    <w:rsid w:val="00954679"/>
    <w:rsid w:val="009664E5"/>
    <w:rsid w:val="00980E89"/>
    <w:rsid w:val="009C6A1E"/>
    <w:rsid w:val="009E2F86"/>
    <w:rsid w:val="009F276F"/>
    <w:rsid w:val="00A12209"/>
    <w:rsid w:val="00A2643C"/>
    <w:rsid w:val="00A36DF3"/>
    <w:rsid w:val="00A52A28"/>
    <w:rsid w:val="00A532DD"/>
    <w:rsid w:val="00A80BCF"/>
    <w:rsid w:val="00A8369C"/>
    <w:rsid w:val="00AA1689"/>
    <w:rsid w:val="00AA5770"/>
    <w:rsid w:val="00AC1D15"/>
    <w:rsid w:val="00AD1D08"/>
    <w:rsid w:val="00B07B0C"/>
    <w:rsid w:val="00B25563"/>
    <w:rsid w:val="00B26D48"/>
    <w:rsid w:val="00B42EE1"/>
    <w:rsid w:val="00B55A1D"/>
    <w:rsid w:val="00B8293D"/>
    <w:rsid w:val="00B92478"/>
    <w:rsid w:val="00BA3D11"/>
    <w:rsid w:val="00BA6188"/>
    <w:rsid w:val="00BB6877"/>
    <w:rsid w:val="00BD61A2"/>
    <w:rsid w:val="00BE484D"/>
    <w:rsid w:val="00C10988"/>
    <w:rsid w:val="00C37E05"/>
    <w:rsid w:val="00C55D29"/>
    <w:rsid w:val="00C77BD7"/>
    <w:rsid w:val="00CA0BE9"/>
    <w:rsid w:val="00CA138D"/>
    <w:rsid w:val="00CC7641"/>
    <w:rsid w:val="00D13794"/>
    <w:rsid w:val="00D24052"/>
    <w:rsid w:val="00D24386"/>
    <w:rsid w:val="00D26314"/>
    <w:rsid w:val="00D31575"/>
    <w:rsid w:val="00D34626"/>
    <w:rsid w:val="00D34FB4"/>
    <w:rsid w:val="00D4257A"/>
    <w:rsid w:val="00D62665"/>
    <w:rsid w:val="00D82E47"/>
    <w:rsid w:val="00DC0CDE"/>
    <w:rsid w:val="00DC3662"/>
    <w:rsid w:val="00DC4D72"/>
    <w:rsid w:val="00DE70F2"/>
    <w:rsid w:val="00E0624D"/>
    <w:rsid w:val="00E24EA7"/>
    <w:rsid w:val="00E30224"/>
    <w:rsid w:val="00E4412F"/>
    <w:rsid w:val="00E4438C"/>
    <w:rsid w:val="00E457F3"/>
    <w:rsid w:val="00E64CCF"/>
    <w:rsid w:val="00E761B8"/>
    <w:rsid w:val="00EA4DD8"/>
    <w:rsid w:val="00EB2AEF"/>
    <w:rsid w:val="00EB7E71"/>
    <w:rsid w:val="00F109D4"/>
    <w:rsid w:val="00F15EE9"/>
    <w:rsid w:val="00F47585"/>
    <w:rsid w:val="00F85E6F"/>
    <w:rsid w:val="00FA5809"/>
    <w:rsid w:val="00FC0CA2"/>
    <w:rsid w:val="00FC75C4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E7A9A5"/>
  <w15:docId w15:val="{6A461DCB-485A-491B-A165-F27C2F67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customStyle="1" w:styleId="paragraph">
    <w:name w:val="paragraph"/>
    <w:aliases w:val="a"/>
    <w:basedOn w:val="Normal"/>
    <w:rsid w:val="00533EF0"/>
    <w:pPr>
      <w:tabs>
        <w:tab w:val="right" w:pos="1531"/>
      </w:tabs>
      <w:spacing w:before="40" w:after="0"/>
      <w:ind w:left="1644" w:hanging="1644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D4519B046948A990DD48D37D98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E73D-FA8E-4A0A-A624-0BBF659AE65E}"/>
      </w:docPartPr>
      <w:docPartBody>
        <w:p w:rsidR="00390A26" w:rsidRDefault="00390A26">
          <w:pPr>
            <w:pStyle w:val="A7D4519B046948A990DD48D37D98A30C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26"/>
    <w:rsid w:val="003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D4519B046948A990DD48D37D98A30C">
    <w:name w:val="A7D4519B046948A990DD48D37D98A30C"/>
  </w:style>
  <w:style w:type="paragraph" w:customStyle="1" w:styleId="F3E73F1D70D34D1F8BDACB6E63E76B40">
    <w:name w:val="F3E73F1D70D34D1F8BDACB6E63E76B40"/>
  </w:style>
  <w:style w:type="paragraph" w:customStyle="1" w:styleId="4915776AC2A441288D917BC824AF4F64">
    <w:name w:val="4915776AC2A441288D917BC824AF4F64"/>
  </w:style>
  <w:style w:type="paragraph" w:customStyle="1" w:styleId="22503319A2924C0B88E79C8C8EA6C7A6">
    <w:name w:val="22503319A2924C0B88E79C8C8EA6C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6687" ma:contentTypeDescription=" " ma:contentTypeScope="" ma:versionID="62a914300eb6460fddc4e243b7a3384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IconOverlay xmlns="http://schemas.microsoft.com/sharepoint/v4" xsi:nil="true"/>
    <TaxCatchAll xmlns="0f563589-9cf9-4143-b1eb-fb0534803d38">
      <Value>1</Value>
    </TaxCatchAll>
    <_dlc_DocId xmlns="0f563589-9cf9-4143-b1eb-fb0534803d38">2021RG-111-18633</_dlc_DocId>
    <_dlc_DocIdUrl xmlns="0f563589-9cf9-4143-b1eb-fb0534803d38">
      <Url>http://tweb/sites/rg/ldp/lmu/_layouts/15/DocIdRedir.aspx?ID=2021RG-111-18633</Url>
      <Description>2021RG-111-18633</Description>
    </_dlc_DocIdUrl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C292D-9928-4DA8-8B9F-565CAABA4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0B718-CB7F-4700-A97E-0BAB1B55C2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6278533-3486-40E5-9013-DD26FD164D39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9f7bc583-7cbe-45b9-a2bd-8bbb6543b37e"/>
    <ds:schemaRef ds:uri="http://purl.org/dc/terms/"/>
    <ds:schemaRef ds:uri="http://schemas.microsoft.com/sharepoint/v4"/>
    <ds:schemaRef ds:uri="687b78b0-2ddd-4441-8a8b-c9638c2a193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4495611-23D8-490A-86EF-488E45D0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102</TotalTime>
  <Pages>5</Pages>
  <Words>1173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Boiko, Alex</dc:creator>
  <cp:lastModifiedBy>Roslyn Anderson</cp:lastModifiedBy>
  <cp:revision>14</cp:revision>
  <cp:lastPrinted>2021-03-25T02:13:00Z</cp:lastPrinted>
  <dcterms:created xsi:type="dcterms:W3CDTF">2021-03-22T06:03:00Z</dcterms:created>
  <dcterms:modified xsi:type="dcterms:W3CDTF">2021-03-26T05:06:00Z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-1533705720</vt:i4>
  </property>
  <property fmtid="{D5CDD505-2E9C-101B-9397-08002B2CF9AE}" pid="3" name="_NewReviewCycle">
    <vt:lpwstr/>
  </property>
  <property fmtid="{D5CDD505-2E9C-101B-9397-08002B2CF9AE}" pid="4" name="_EmailSubject">
    <vt:lpwstr>Templates Assist job attachments [SEC=UNCLASSIFIED]</vt:lpwstr>
  </property>
  <property fmtid="{D5CDD505-2E9C-101B-9397-08002B2CF9AE}" pid="5" name="_AuthorEmail">
    <vt:lpwstr>Lea.Osborne@TREASURY.GOV.AU</vt:lpwstr>
  </property>
  <property fmtid="{D5CDD505-2E9C-101B-9397-08002B2CF9AE}" pid="6" name="_AuthorEmailDisplayName">
    <vt:lpwstr>Osborne, Lea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1;#AE-20260-Destroy 7 years after action completed|623f5ec9-ec5d-4824-8e13-9c9bfc51fe7e</vt:lpwstr>
  </property>
  <property fmtid="{D5CDD505-2E9C-101B-9397-08002B2CF9AE}" pid="9" name="_dlc_DocIdItemGuid">
    <vt:lpwstr>478ca8fa-6a39-4806-a7aa-763fcd87e3db</vt:lpwstr>
  </property>
  <property fmtid="{D5CDD505-2E9C-101B-9397-08002B2CF9AE}" pid="10" name="_PreviousAdHocReviewCycleID">
    <vt:i4>1180105450</vt:i4>
  </property>
  <property fmtid="{D5CDD505-2E9C-101B-9397-08002B2CF9AE}" pid="11" name="_ReviewingToolsShownOnce">
    <vt:lpwstr/>
  </property>
  <property fmtid="{D5CDD505-2E9C-101B-9397-08002B2CF9AE}" pid="12" name="TSYTopic">
    <vt:lpwstr/>
  </property>
</Properties>
</file>