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C0C2" w14:textId="77777777" w:rsidR="00FA06CA" w:rsidRPr="00572CC6" w:rsidRDefault="00FA06CA" w:rsidP="00FA06CA">
      <w:pPr>
        <w:rPr>
          <w:sz w:val="28"/>
        </w:rPr>
      </w:pPr>
      <w:r w:rsidRPr="00572CC6">
        <w:rPr>
          <w:noProof/>
          <w:lang w:eastAsia="en-AU"/>
        </w:rPr>
        <w:drawing>
          <wp:inline distT="0" distB="0" distL="0" distR="0" wp14:anchorId="10B85217" wp14:editId="0A31E93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397E5" w14:textId="77777777" w:rsidR="00FA06CA" w:rsidRPr="00572CC6" w:rsidRDefault="00FA06CA" w:rsidP="00FA06CA">
      <w:pPr>
        <w:rPr>
          <w:sz w:val="19"/>
        </w:rPr>
      </w:pPr>
    </w:p>
    <w:p w14:paraId="44170D60" w14:textId="63016711" w:rsidR="00FA06CA" w:rsidRPr="00572CC6" w:rsidRDefault="002F3564" w:rsidP="00FA06CA">
      <w:pPr>
        <w:pStyle w:val="ShortT"/>
      </w:pPr>
      <w:r w:rsidRPr="00572CC6">
        <w:t>Commonwealth Registers Rules</w:t>
      </w:r>
      <w:r w:rsidR="00572CC6" w:rsidRPr="00572CC6">
        <w:t> </w:t>
      </w:r>
      <w:r w:rsidRPr="00572CC6">
        <w:t>2021</w:t>
      </w:r>
    </w:p>
    <w:p w14:paraId="4368E5E7" w14:textId="2C0CBAEA" w:rsidR="00FA06CA" w:rsidRPr="00572CC6" w:rsidRDefault="00FA06CA" w:rsidP="00FA06CA">
      <w:pPr>
        <w:pStyle w:val="SignCoverPageStart"/>
        <w:spacing w:before="240"/>
        <w:rPr>
          <w:szCs w:val="22"/>
        </w:rPr>
      </w:pPr>
      <w:r w:rsidRPr="00572CC6">
        <w:rPr>
          <w:szCs w:val="22"/>
        </w:rPr>
        <w:t xml:space="preserve">I, </w:t>
      </w:r>
      <w:r w:rsidR="002F3564" w:rsidRPr="00572CC6">
        <w:rPr>
          <w:szCs w:val="22"/>
        </w:rPr>
        <w:t xml:space="preserve">Jane Hume, Minister for Superannuation, Financial Services and the Digital Economy, make the following </w:t>
      </w:r>
      <w:r w:rsidR="00273DA2">
        <w:rPr>
          <w:szCs w:val="22"/>
        </w:rPr>
        <w:t>r</w:t>
      </w:r>
      <w:r w:rsidR="002F3564" w:rsidRPr="00572CC6">
        <w:rPr>
          <w:szCs w:val="22"/>
        </w:rPr>
        <w:t>ules.</w:t>
      </w:r>
    </w:p>
    <w:p w14:paraId="2A48BA71" w14:textId="17582BE2" w:rsidR="00FA06CA" w:rsidRPr="00572CC6" w:rsidRDefault="00FA06CA" w:rsidP="00FA43C9">
      <w:pPr>
        <w:keepNext/>
        <w:spacing w:before="720" w:line="240" w:lineRule="atLeast"/>
        <w:ind w:right="397"/>
        <w:jc w:val="both"/>
        <w:rPr>
          <w:szCs w:val="22"/>
        </w:rPr>
      </w:pPr>
      <w:r w:rsidRPr="00572CC6">
        <w:rPr>
          <w:szCs w:val="22"/>
        </w:rPr>
        <w:t xml:space="preserve">Dated </w:t>
      </w:r>
      <w:r w:rsidR="00821891">
        <w:rPr>
          <w:szCs w:val="22"/>
        </w:rPr>
        <w:tab/>
      </w:r>
      <w:r w:rsidR="00821891">
        <w:rPr>
          <w:szCs w:val="22"/>
        </w:rPr>
        <w:tab/>
      </w:r>
      <w:bookmarkStart w:id="0" w:name="_GoBack"/>
      <w:bookmarkEnd w:id="0"/>
      <w:r w:rsidR="00FA43C9">
        <w:rPr>
          <w:szCs w:val="22"/>
        </w:rPr>
        <w:t xml:space="preserve">25 March </w:t>
      </w:r>
      <w:r w:rsidR="002F3564" w:rsidRPr="00572CC6">
        <w:rPr>
          <w:szCs w:val="22"/>
        </w:rPr>
        <w:t>2021</w:t>
      </w:r>
    </w:p>
    <w:p w14:paraId="27B0073E" w14:textId="5B40F332" w:rsidR="00FA06CA" w:rsidRPr="00572CC6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2712AE2A" w14:textId="12F99E26" w:rsidR="00FA06CA" w:rsidRPr="00572CC6" w:rsidRDefault="002F3564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72CC6">
        <w:rPr>
          <w:szCs w:val="22"/>
        </w:rPr>
        <w:t>Jane Hume</w:t>
      </w:r>
    </w:p>
    <w:p w14:paraId="12B05688" w14:textId="3DC54F3F" w:rsidR="00FA06CA" w:rsidRPr="00572CC6" w:rsidRDefault="002F3564" w:rsidP="00FA06CA">
      <w:pPr>
        <w:pStyle w:val="SignCoverPageEnd"/>
        <w:rPr>
          <w:szCs w:val="22"/>
        </w:rPr>
      </w:pPr>
      <w:r w:rsidRPr="00572CC6">
        <w:rPr>
          <w:szCs w:val="22"/>
        </w:rPr>
        <w:t>Minister for Superannuation, Financial Services and the Digital Economy</w:t>
      </w:r>
    </w:p>
    <w:p w14:paraId="11F447A5" w14:textId="77777777" w:rsidR="00FA06CA" w:rsidRPr="00572CC6" w:rsidRDefault="00FA06CA" w:rsidP="00FA06CA"/>
    <w:p w14:paraId="636D4D2C" w14:textId="77777777" w:rsidR="00FA06CA" w:rsidRPr="00572CC6" w:rsidRDefault="00FA06CA" w:rsidP="00FA06CA">
      <w:pPr>
        <w:pStyle w:val="Header"/>
        <w:tabs>
          <w:tab w:val="clear" w:pos="4150"/>
          <w:tab w:val="clear" w:pos="8307"/>
        </w:tabs>
      </w:pPr>
      <w:r w:rsidRPr="00572CC6">
        <w:rPr>
          <w:rStyle w:val="CharChapNo"/>
        </w:rPr>
        <w:t xml:space="preserve"> </w:t>
      </w:r>
      <w:r w:rsidRPr="00572CC6">
        <w:rPr>
          <w:rStyle w:val="CharChapText"/>
        </w:rPr>
        <w:t xml:space="preserve"> </w:t>
      </w:r>
    </w:p>
    <w:p w14:paraId="73366EB8" w14:textId="77777777" w:rsidR="00FA06CA" w:rsidRPr="00572CC6" w:rsidRDefault="00FA06CA" w:rsidP="00FA06CA">
      <w:pPr>
        <w:pStyle w:val="Header"/>
        <w:tabs>
          <w:tab w:val="clear" w:pos="4150"/>
          <w:tab w:val="clear" w:pos="8307"/>
        </w:tabs>
      </w:pPr>
      <w:r w:rsidRPr="00572CC6">
        <w:rPr>
          <w:rStyle w:val="CharPartNo"/>
        </w:rPr>
        <w:t xml:space="preserve"> </w:t>
      </w:r>
      <w:r w:rsidRPr="00572CC6">
        <w:rPr>
          <w:rStyle w:val="CharPartText"/>
        </w:rPr>
        <w:t xml:space="preserve"> </w:t>
      </w:r>
    </w:p>
    <w:p w14:paraId="0A426B9A" w14:textId="77777777" w:rsidR="00FA06CA" w:rsidRPr="00572CC6" w:rsidRDefault="00FA06CA" w:rsidP="00FA06CA">
      <w:pPr>
        <w:pStyle w:val="Header"/>
        <w:tabs>
          <w:tab w:val="clear" w:pos="4150"/>
          <w:tab w:val="clear" w:pos="8307"/>
        </w:tabs>
      </w:pPr>
      <w:r w:rsidRPr="00572CC6">
        <w:rPr>
          <w:rStyle w:val="CharDivNo"/>
        </w:rPr>
        <w:t xml:space="preserve"> </w:t>
      </w:r>
      <w:r w:rsidRPr="00572CC6">
        <w:rPr>
          <w:rStyle w:val="CharDivText"/>
        </w:rPr>
        <w:t xml:space="preserve"> </w:t>
      </w:r>
    </w:p>
    <w:p w14:paraId="3126B602" w14:textId="77777777" w:rsidR="00FA06CA" w:rsidRPr="00572CC6" w:rsidRDefault="00FA06CA" w:rsidP="00FA06CA">
      <w:pPr>
        <w:sectPr w:rsidR="00FA06CA" w:rsidRPr="00572CC6" w:rsidSect="00572CC6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5213402" w14:textId="77777777" w:rsidR="00FA06CA" w:rsidRPr="00572CC6" w:rsidRDefault="00FA06CA" w:rsidP="00572CC6">
      <w:pPr>
        <w:rPr>
          <w:sz w:val="36"/>
        </w:rPr>
      </w:pPr>
      <w:r w:rsidRPr="00572CC6">
        <w:rPr>
          <w:sz w:val="36"/>
        </w:rPr>
        <w:lastRenderedPageBreak/>
        <w:t>Contents</w:t>
      </w:r>
    </w:p>
    <w:p w14:paraId="081A67D3" w14:textId="6458F3BC" w:rsidR="005F2428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72CC6">
        <w:fldChar w:fldCharType="begin"/>
      </w:r>
      <w:r w:rsidRPr="00572CC6">
        <w:instrText xml:space="preserve"> TOC \o "1-9" </w:instrText>
      </w:r>
      <w:r w:rsidRPr="00572CC6">
        <w:fldChar w:fldCharType="separate"/>
      </w:r>
      <w:r w:rsidR="005F2428">
        <w:rPr>
          <w:noProof/>
        </w:rPr>
        <w:t>Part 1—Preliminary</w:t>
      </w:r>
      <w:r w:rsidR="005F2428">
        <w:rPr>
          <w:noProof/>
        </w:rPr>
        <w:tab/>
      </w:r>
      <w:r w:rsidR="005F2428" w:rsidRPr="005F2428">
        <w:rPr>
          <w:b w:val="0"/>
          <w:noProof/>
          <w:sz w:val="18"/>
        </w:rPr>
        <w:fldChar w:fldCharType="begin"/>
      </w:r>
      <w:r w:rsidR="005F2428" w:rsidRPr="005F2428">
        <w:rPr>
          <w:b w:val="0"/>
          <w:noProof/>
          <w:sz w:val="18"/>
        </w:rPr>
        <w:instrText xml:space="preserve"> PAGEREF _Toc67377796 \h </w:instrText>
      </w:r>
      <w:r w:rsidR="005F2428" w:rsidRPr="005F2428">
        <w:rPr>
          <w:b w:val="0"/>
          <w:noProof/>
          <w:sz w:val="18"/>
        </w:rPr>
      </w:r>
      <w:r w:rsidR="005F2428" w:rsidRPr="005F2428">
        <w:rPr>
          <w:b w:val="0"/>
          <w:noProof/>
          <w:sz w:val="18"/>
        </w:rPr>
        <w:fldChar w:fldCharType="separate"/>
      </w:r>
      <w:r w:rsidR="005E7F26">
        <w:rPr>
          <w:b w:val="0"/>
          <w:noProof/>
          <w:sz w:val="18"/>
        </w:rPr>
        <w:t>1</w:t>
      </w:r>
      <w:r w:rsidR="005F2428" w:rsidRPr="005F2428">
        <w:rPr>
          <w:b w:val="0"/>
          <w:noProof/>
          <w:sz w:val="18"/>
        </w:rPr>
        <w:fldChar w:fldCharType="end"/>
      </w:r>
    </w:p>
    <w:p w14:paraId="780DBE2D" w14:textId="5622FAF5" w:rsidR="005F2428" w:rsidRDefault="005F24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_Toc67377797 \h </w:instrText>
      </w:r>
      <w:r>
        <w:rPr>
          <w:noProof/>
        </w:rPr>
      </w:r>
      <w:r>
        <w:rPr>
          <w:noProof/>
        </w:rPr>
        <w:fldChar w:fldCharType="separate"/>
      </w:r>
      <w:r w:rsidR="005E7F26">
        <w:rPr>
          <w:noProof/>
        </w:rPr>
        <w:t>1</w:t>
      </w:r>
      <w:r>
        <w:rPr>
          <w:noProof/>
        </w:rPr>
        <w:fldChar w:fldCharType="end"/>
      </w:r>
    </w:p>
    <w:p w14:paraId="4245AADA" w14:textId="54068E13" w:rsidR="005F2428" w:rsidRDefault="005F24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_Toc67377798 \h </w:instrText>
      </w:r>
      <w:r>
        <w:rPr>
          <w:noProof/>
        </w:rPr>
      </w:r>
      <w:r>
        <w:rPr>
          <w:noProof/>
        </w:rPr>
        <w:fldChar w:fldCharType="separate"/>
      </w:r>
      <w:r w:rsidR="005E7F26">
        <w:rPr>
          <w:noProof/>
        </w:rPr>
        <w:t>1</w:t>
      </w:r>
      <w:r>
        <w:rPr>
          <w:noProof/>
        </w:rPr>
        <w:fldChar w:fldCharType="end"/>
      </w:r>
    </w:p>
    <w:p w14:paraId="05B83342" w14:textId="0A29E5D3" w:rsidR="005F2428" w:rsidRDefault="005F24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_Toc67377799 \h </w:instrText>
      </w:r>
      <w:r>
        <w:rPr>
          <w:noProof/>
        </w:rPr>
      </w:r>
      <w:r>
        <w:rPr>
          <w:noProof/>
        </w:rPr>
        <w:fldChar w:fldCharType="separate"/>
      </w:r>
      <w:r w:rsidR="005E7F26">
        <w:rPr>
          <w:noProof/>
        </w:rPr>
        <w:t>1</w:t>
      </w:r>
      <w:r>
        <w:rPr>
          <w:noProof/>
        </w:rPr>
        <w:fldChar w:fldCharType="end"/>
      </w:r>
    </w:p>
    <w:p w14:paraId="06931816" w14:textId="50A6CDAC" w:rsidR="005F2428" w:rsidRDefault="005F24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_Toc67377800 \h </w:instrText>
      </w:r>
      <w:r>
        <w:rPr>
          <w:noProof/>
        </w:rPr>
      </w:r>
      <w:r>
        <w:rPr>
          <w:noProof/>
        </w:rPr>
        <w:fldChar w:fldCharType="separate"/>
      </w:r>
      <w:r w:rsidR="005E7F26">
        <w:rPr>
          <w:noProof/>
        </w:rPr>
        <w:t>1</w:t>
      </w:r>
      <w:r>
        <w:rPr>
          <w:noProof/>
        </w:rPr>
        <w:fldChar w:fldCharType="end"/>
      </w:r>
    </w:p>
    <w:p w14:paraId="540FC4CE" w14:textId="1DEC8571" w:rsidR="005F2428" w:rsidRDefault="005F242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2—Additional functions of the Registrars</w:t>
      </w:r>
      <w:r>
        <w:rPr>
          <w:noProof/>
        </w:rPr>
        <w:tab/>
      </w:r>
      <w:r w:rsidRPr="005F2428">
        <w:rPr>
          <w:b w:val="0"/>
          <w:noProof/>
          <w:sz w:val="18"/>
        </w:rPr>
        <w:fldChar w:fldCharType="begin"/>
      </w:r>
      <w:r w:rsidRPr="005F2428">
        <w:rPr>
          <w:b w:val="0"/>
          <w:noProof/>
          <w:sz w:val="18"/>
        </w:rPr>
        <w:instrText xml:space="preserve"> PAGEREF _Toc67377801 \h </w:instrText>
      </w:r>
      <w:r w:rsidRPr="005F2428">
        <w:rPr>
          <w:b w:val="0"/>
          <w:noProof/>
          <w:sz w:val="18"/>
        </w:rPr>
      </w:r>
      <w:r w:rsidRPr="005F2428">
        <w:rPr>
          <w:b w:val="0"/>
          <w:noProof/>
          <w:sz w:val="18"/>
        </w:rPr>
        <w:fldChar w:fldCharType="separate"/>
      </w:r>
      <w:r w:rsidR="005E7F26">
        <w:rPr>
          <w:b w:val="0"/>
          <w:noProof/>
          <w:sz w:val="18"/>
        </w:rPr>
        <w:t>3</w:t>
      </w:r>
      <w:r w:rsidRPr="005F2428">
        <w:rPr>
          <w:b w:val="0"/>
          <w:noProof/>
          <w:sz w:val="18"/>
        </w:rPr>
        <w:fldChar w:fldCharType="end"/>
      </w:r>
    </w:p>
    <w:p w14:paraId="7BFDF13E" w14:textId="33912B4F" w:rsidR="005F2428" w:rsidRDefault="005F24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Additional functions of the Commonwealth Registers Act Registrar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_Toc67377802 \h </w:instrText>
      </w:r>
      <w:r>
        <w:rPr>
          <w:noProof/>
        </w:rPr>
      </w:r>
      <w:r>
        <w:rPr>
          <w:noProof/>
        </w:rPr>
        <w:fldChar w:fldCharType="separate"/>
      </w:r>
      <w:r w:rsidR="005E7F26">
        <w:rPr>
          <w:noProof/>
        </w:rPr>
        <w:t>3</w:t>
      </w:r>
      <w:r>
        <w:rPr>
          <w:noProof/>
        </w:rPr>
        <w:fldChar w:fldCharType="end"/>
      </w:r>
    </w:p>
    <w:p w14:paraId="581CD2A1" w14:textId="5BFBD26A" w:rsidR="005F2428" w:rsidRDefault="005F24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Additional functions of the Business Names Registration Act Registrar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_Toc67377803 \h </w:instrText>
      </w:r>
      <w:r>
        <w:rPr>
          <w:noProof/>
        </w:rPr>
      </w:r>
      <w:r>
        <w:rPr>
          <w:noProof/>
        </w:rPr>
        <w:fldChar w:fldCharType="separate"/>
      </w:r>
      <w:r w:rsidR="005E7F26">
        <w:rPr>
          <w:noProof/>
        </w:rPr>
        <w:t>3</w:t>
      </w:r>
      <w:r>
        <w:rPr>
          <w:noProof/>
        </w:rPr>
        <w:fldChar w:fldCharType="end"/>
      </w:r>
    </w:p>
    <w:p w14:paraId="64C9551C" w14:textId="0D0889E8" w:rsidR="005F2428" w:rsidRDefault="005F24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Additional functions of the Corporations Act Registrar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_Toc67377804 \h </w:instrText>
      </w:r>
      <w:r>
        <w:rPr>
          <w:noProof/>
        </w:rPr>
      </w:r>
      <w:r>
        <w:rPr>
          <w:noProof/>
        </w:rPr>
        <w:fldChar w:fldCharType="separate"/>
      </w:r>
      <w:r w:rsidR="005E7F26">
        <w:rPr>
          <w:noProof/>
        </w:rPr>
        <w:t>3</w:t>
      </w:r>
      <w:r>
        <w:rPr>
          <w:noProof/>
        </w:rPr>
        <w:fldChar w:fldCharType="end"/>
      </w:r>
    </w:p>
    <w:p w14:paraId="1AD2FF39" w14:textId="48F8B87B" w:rsidR="005F2428" w:rsidRDefault="005F242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Additional functions of the National Consumer Credit Protection Act Registrar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_Toc67377805 \h </w:instrText>
      </w:r>
      <w:r>
        <w:rPr>
          <w:noProof/>
        </w:rPr>
      </w:r>
      <w:r>
        <w:rPr>
          <w:noProof/>
        </w:rPr>
        <w:fldChar w:fldCharType="separate"/>
      </w:r>
      <w:r w:rsidR="005E7F26">
        <w:rPr>
          <w:noProof/>
        </w:rPr>
        <w:t>4</w:t>
      </w:r>
      <w:r>
        <w:rPr>
          <w:noProof/>
        </w:rPr>
        <w:fldChar w:fldCharType="end"/>
      </w:r>
    </w:p>
    <w:p w14:paraId="4E33A845" w14:textId="2B95DE56" w:rsidR="00FA06CA" w:rsidRPr="00572CC6" w:rsidRDefault="00FA06CA" w:rsidP="00FA06CA">
      <w:r w:rsidRPr="00572CC6">
        <w:fldChar w:fldCharType="end"/>
      </w:r>
    </w:p>
    <w:p w14:paraId="2ECB444C" w14:textId="77777777" w:rsidR="00FA06CA" w:rsidRPr="00572CC6" w:rsidRDefault="00FA06CA" w:rsidP="00FA06CA">
      <w:pPr>
        <w:sectPr w:rsidR="00FA06CA" w:rsidRPr="00572CC6" w:rsidSect="00572CC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707DA4C" w14:textId="49F6480F" w:rsidR="00FA06CA" w:rsidRPr="00572CC6" w:rsidRDefault="00FA06CA" w:rsidP="00FA06CA">
      <w:pPr>
        <w:pStyle w:val="ActHead2"/>
      </w:pPr>
      <w:bookmarkStart w:id="17" w:name="_Toc67377796"/>
      <w:r w:rsidRPr="00572CC6">
        <w:rPr>
          <w:rStyle w:val="CharPartNo"/>
        </w:rPr>
        <w:lastRenderedPageBreak/>
        <w:t>Part</w:t>
      </w:r>
      <w:r w:rsidR="00572CC6" w:rsidRPr="00572CC6">
        <w:rPr>
          <w:rStyle w:val="CharPartNo"/>
        </w:rPr>
        <w:t> </w:t>
      </w:r>
      <w:r w:rsidRPr="00572CC6">
        <w:rPr>
          <w:rStyle w:val="CharPartNo"/>
        </w:rPr>
        <w:t>1</w:t>
      </w:r>
      <w:r w:rsidRPr="00572CC6">
        <w:t>—</w:t>
      </w:r>
      <w:r w:rsidRPr="00572CC6">
        <w:rPr>
          <w:rStyle w:val="CharPartText"/>
        </w:rPr>
        <w:t>Preliminary</w:t>
      </w:r>
      <w:bookmarkEnd w:id="17"/>
    </w:p>
    <w:p w14:paraId="134E626A" w14:textId="77777777" w:rsidR="00FA06CA" w:rsidRPr="00572CC6" w:rsidRDefault="00FA06CA" w:rsidP="00FA06CA">
      <w:pPr>
        <w:pStyle w:val="Header"/>
      </w:pPr>
      <w:r w:rsidRPr="00572CC6">
        <w:rPr>
          <w:rStyle w:val="CharDivNo"/>
        </w:rPr>
        <w:t xml:space="preserve"> </w:t>
      </w:r>
      <w:r w:rsidRPr="00572CC6">
        <w:rPr>
          <w:rStyle w:val="CharDivText"/>
        </w:rPr>
        <w:t xml:space="preserve"> </w:t>
      </w:r>
    </w:p>
    <w:p w14:paraId="412236F4" w14:textId="77777777" w:rsidR="00FA06CA" w:rsidRPr="00572CC6" w:rsidRDefault="00FA06CA" w:rsidP="00FA06CA">
      <w:pPr>
        <w:pStyle w:val="ActHead5"/>
      </w:pPr>
      <w:bookmarkStart w:id="18" w:name="_Toc67377797"/>
      <w:r w:rsidRPr="00572CC6">
        <w:rPr>
          <w:rStyle w:val="CharSectno"/>
        </w:rPr>
        <w:t>1</w:t>
      </w:r>
      <w:r w:rsidRPr="00572CC6">
        <w:t xml:space="preserve">  Name</w:t>
      </w:r>
      <w:bookmarkEnd w:id="18"/>
    </w:p>
    <w:p w14:paraId="58A2FC31" w14:textId="4D546896" w:rsidR="00FA06CA" w:rsidRPr="00572CC6" w:rsidRDefault="00FA06CA" w:rsidP="00FA06CA">
      <w:pPr>
        <w:pStyle w:val="subsection"/>
      </w:pPr>
      <w:r w:rsidRPr="00572CC6">
        <w:tab/>
      </w:r>
      <w:r w:rsidRPr="00572CC6">
        <w:tab/>
        <w:t xml:space="preserve">This instrument is the </w:t>
      </w:r>
      <w:r w:rsidR="002F3564" w:rsidRPr="00572CC6">
        <w:rPr>
          <w:i/>
          <w:noProof/>
        </w:rPr>
        <w:t>Commonwealth Registers Rules</w:t>
      </w:r>
      <w:r w:rsidR="00572CC6" w:rsidRPr="00572CC6">
        <w:rPr>
          <w:i/>
          <w:noProof/>
        </w:rPr>
        <w:t> </w:t>
      </w:r>
      <w:r w:rsidR="002F3564" w:rsidRPr="00572CC6">
        <w:rPr>
          <w:i/>
          <w:noProof/>
        </w:rPr>
        <w:t>2021</w:t>
      </w:r>
      <w:r w:rsidRPr="00572CC6">
        <w:t>.</w:t>
      </w:r>
    </w:p>
    <w:p w14:paraId="7FB1BD90" w14:textId="77777777" w:rsidR="00FA06CA" w:rsidRPr="00572CC6" w:rsidRDefault="00FA06CA" w:rsidP="00FA06CA">
      <w:pPr>
        <w:pStyle w:val="ActHead5"/>
      </w:pPr>
      <w:bookmarkStart w:id="19" w:name="_Toc67377798"/>
      <w:r w:rsidRPr="00572CC6">
        <w:rPr>
          <w:rStyle w:val="CharSectno"/>
        </w:rPr>
        <w:t>2</w:t>
      </w:r>
      <w:r w:rsidRPr="00572CC6">
        <w:t xml:space="preserve">  Commencement</w:t>
      </w:r>
      <w:bookmarkEnd w:id="19"/>
    </w:p>
    <w:p w14:paraId="60C22E61" w14:textId="6E00DBAC" w:rsidR="00FA06CA" w:rsidRPr="00572CC6" w:rsidRDefault="00FA06CA" w:rsidP="00FA06CA">
      <w:pPr>
        <w:pStyle w:val="subsection"/>
      </w:pPr>
      <w:r w:rsidRPr="00572CC6">
        <w:tab/>
        <w:t>(1)</w:t>
      </w:r>
      <w:r w:rsidRPr="00572CC6">
        <w:tab/>
        <w:t xml:space="preserve">Each provision of </w:t>
      </w:r>
      <w:r w:rsidR="004E57C2" w:rsidRPr="00572CC6">
        <w:t xml:space="preserve">this </w:t>
      </w:r>
      <w:r w:rsidRPr="00572CC6">
        <w:t>instrument specified in column 1 of the table commences, or is taken to have commenced, in accordance with column 2 of the table. Any other statement in column 2 has effect according to its terms.</w:t>
      </w:r>
    </w:p>
    <w:p w14:paraId="147A1CD4" w14:textId="77777777" w:rsidR="00FA06CA" w:rsidRPr="00572CC6" w:rsidRDefault="00FA06CA" w:rsidP="00FA06CA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:rsidRPr="00572CC6" w14:paraId="31E2B01C" w14:textId="77777777" w:rsidTr="002F3564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BB09F79" w14:textId="77777777" w:rsidR="00FA06CA" w:rsidRPr="00572CC6" w:rsidRDefault="00FA06CA" w:rsidP="003E77EE">
            <w:pPr>
              <w:pStyle w:val="TableHeading"/>
            </w:pPr>
            <w:r w:rsidRPr="00572CC6">
              <w:t>Commencement information</w:t>
            </w:r>
          </w:p>
        </w:tc>
      </w:tr>
      <w:tr w:rsidR="00FA06CA" w:rsidRPr="00572CC6" w14:paraId="619142EB" w14:textId="77777777" w:rsidTr="002F3564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08B0321" w14:textId="77777777" w:rsidR="00FA06CA" w:rsidRPr="00572CC6" w:rsidRDefault="00FA06CA" w:rsidP="003E77EE">
            <w:pPr>
              <w:pStyle w:val="TableHeading"/>
            </w:pPr>
            <w:r w:rsidRPr="00572CC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003E47A" w14:textId="77777777" w:rsidR="00FA06CA" w:rsidRPr="00572CC6" w:rsidRDefault="00FA06CA" w:rsidP="003E77EE">
            <w:pPr>
              <w:pStyle w:val="TableHeading"/>
            </w:pPr>
            <w:r w:rsidRPr="00572CC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60EDD8" w14:textId="77777777" w:rsidR="00FA06CA" w:rsidRPr="00572CC6" w:rsidRDefault="00FA06CA" w:rsidP="003E77EE">
            <w:pPr>
              <w:pStyle w:val="TableHeading"/>
            </w:pPr>
            <w:r w:rsidRPr="00572CC6">
              <w:t>Column 3</w:t>
            </w:r>
          </w:p>
        </w:tc>
      </w:tr>
      <w:tr w:rsidR="00FA06CA" w:rsidRPr="00572CC6" w14:paraId="006CF25A" w14:textId="77777777" w:rsidTr="002F3564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CC12E34" w14:textId="77777777" w:rsidR="00FA06CA" w:rsidRPr="00572CC6" w:rsidRDefault="00FA06CA" w:rsidP="003E77EE">
            <w:pPr>
              <w:pStyle w:val="TableHeading"/>
            </w:pPr>
            <w:r w:rsidRPr="00572CC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164BE5" w14:textId="77777777" w:rsidR="00FA06CA" w:rsidRPr="00572CC6" w:rsidRDefault="00FA06CA" w:rsidP="003E77EE">
            <w:pPr>
              <w:pStyle w:val="TableHeading"/>
            </w:pPr>
            <w:r w:rsidRPr="00572CC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6A6337" w14:textId="77777777" w:rsidR="00FA06CA" w:rsidRPr="00572CC6" w:rsidRDefault="00FA06CA" w:rsidP="003E77EE">
            <w:pPr>
              <w:pStyle w:val="TableHeading"/>
            </w:pPr>
            <w:r w:rsidRPr="00572CC6">
              <w:t>Date/Details</w:t>
            </w:r>
          </w:p>
        </w:tc>
      </w:tr>
      <w:tr w:rsidR="002F3564" w:rsidRPr="00572CC6" w14:paraId="7C07CF89" w14:textId="77777777" w:rsidTr="002F3564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C36DDBE" w14:textId="418D859C" w:rsidR="002F3564" w:rsidRPr="00572CC6" w:rsidRDefault="002F3564" w:rsidP="002F3564">
            <w:pPr>
              <w:pStyle w:val="Tabletext"/>
            </w:pPr>
            <w:r w:rsidRPr="00572CC6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D4B9480" w14:textId="77777777" w:rsidR="002F3564" w:rsidRPr="00572CC6" w:rsidRDefault="002F3564" w:rsidP="002F3564">
            <w:pPr>
              <w:pStyle w:val="Tabletext"/>
            </w:pPr>
            <w:r w:rsidRPr="00572CC6">
              <w:t>The later of:</w:t>
            </w:r>
          </w:p>
          <w:p w14:paraId="078CE2BF" w14:textId="77777777" w:rsidR="002F3564" w:rsidRPr="00572CC6" w:rsidRDefault="002F3564" w:rsidP="002F3564">
            <w:pPr>
              <w:pStyle w:val="Tablea"/>
            </w:pPr>
            <w:r w:rsidRPr="00572CC6">
              <w:t>(a) the day after this instrument is registered; and</w:t>
            </w:r>
          </w:p>
          <w:p w14:paraId="7FE58C0D" w14:textId="0C2CDE91" w:rsidR="002F3564" w:rsidRPr="00572CC6" w:rsidRDefault="002F3564" w:rsidP="002F3564">
            <w:pPr>
              <w:pStyle w:val="Tabletext"/>
            </w:pPr>
            <w:r w:rsidRPr="00572CC6">
              <w:t>(b) 4</w:t>
            </w:r>
            <w:r w:rsidR="00572CC6" w:rsidRPr="00572CC6">
              <w:t> </w:t>
            </w:r>
            <w:r w:rsidRPr="00572CC6">
              <w:t>April 2021.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43ABA3F" w14:textId="77777777" w:rsidR="002F3564" w:rsidRPr="00572CC6" w:rsidRDefault="002F3564" w:rsidP="002F3564">
            <w:pPr>
              <w:pStyle w:val="Tabletext"/>
            </w:pPr>
          </w:p>
        </w:tc>
      </w:tr>
    </w:tbl>
    <w:p w14:paraId="52B1B401" w14:textId="77777777" w:rsidR="00FA06CA" w:rsidRPr="00572CC6" w:rsidRDefault="00FA06CA" w:rsidP="00FA06CA">
      <w:pPr>
        <w:pStyle w:val="notetext"/>
      </w:pPr>
      <w:r w:rsidRPr="00572CC6">
        <w:rPr>
          <w:snapToGrid w:val="0"/>
          <w:lang w:eastAsia="en-US"/>
        </w:rPr>
        <w:t>Note:</w:t>
      </w:r>
      <w:r w:rsidRPr="00572CC6">
        <w:rPr>
          <w:snapToGrid w:val="0"/>
          <w:lang w:eastAsia="en-US"/>
        </w:rPr>
        <w:tab/>
        <w:t xml:space="preserve">This table relates only to the provisions of this </w:t>
      </w:r>
      <w:r w:rsidRPr="00572CC6">
        <w:t xml:space="preserve">instrument </w:t>
      </w:r>
      <w:r w:rsidRPr="00572CC6">
        <w:rPr>
          <w:snapToGrid w:val="0"/>
          <w:lang w:eastAsia="en-US"/>
        </w:rPr>
        <w:t>as originally made. It will not be amended to deal with any later amendments of this instrument.</w:t>
      </w:r>
    </w:p>
    <w:p w14:paraId="0653604F" w14:textId="77777777" w:rsidR="00FA06CA" w:rsidRPr="00572CC6" w:rsidRDefault="00FA06CA" w:rsidP="00FA06CA">
      <w:pPr>
        <w:pStyle w:val="subsection"/>
      </w:pPr>
      <w:r w:rsidRPr="00572CC6">
        <w:tab/>
        <w:t>(2)</w:t>
      </w:r>
      <w:r w:rsidRPr="00572CC6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47A2774A" w14:textId="77777777" w:rsidR="00FA06CA" w:rsidRPr="00572CC6" w:rsidRDefault="00FA06CA" w:rsidP="00FA06CA">
      <w:pPr>
        <w:pStyle w:val="ActHead5"/>
      </w:pPr>
      <w:bookmarkStart w:id="20" w:name="_Toc67377799"/>
      <w:r w:rsidRPr="00572CC6">
        <w:rPr>
          <w:rStyle w:val="CharSectno"/>
        </w:rPr>
        <w:t>3</w:t>
      </w:r>
      <w:r w:rsidRPr="00572CC6">
        <w:t xml:space="preserve">  Authority</w:t>
      </w:r>
      <w:bookmarkEnd w:id="20"/>
    </w:p>
    <w:p w14:paraId="10FD752B" w14:textId="77777777" w:rsidR="002F3564" w:rsidRPr="00572CC6" w:rsidRDefault="002F3564" w:rsidP="002F3564">
      <w:pPr>
        <w:pStyle w:val="subsection"/>
      </w:pPr>
      <w:r w:rsidRPr="00572CC6">
        <w:tab/>
      </w:r>
      <w:r w:rsidRPr="00572CC6">
        <w:tab/>
        <w:t>This instrument is made under the following:</w:t>
      </w:r>
    </w:p>
    <w:p w14:paraId="1368BE9F" w14:textId="432F7192" w:rsidR="00F62E7F" w:rsidRDefault="00F62E7F" w:rsidP="002F3564">
      <w:pPr>
        <w:pStyle w:val="paragraph"/>
      </w:pPr>
      <w:r>
        <w:tab/>
        <w:t>(a)</w:t>
      </w:r>
      <w:r>
        <w:tab/>
        <w:t xml:space="preserve">the </w:t>
      </w:r>
      <w:r w:rsidRPr="00F62E7F">
        <w:rPr>
          <w:i/>
          <w:iCs/>
        </w:rPr>
        <w:t>Business Names Registration Act 2011</w:t>
      </w:r>
      <w:r>
        <w:t>; and</w:t>
      </w:r>
    </w:p>
    <w:p w14:paraId="66849B15" w14:textId="27E40B57" w:rsidR="002F3564" w:rsidRPr="00572CC6" w:rsidRDefault="002F3564" w:rsidP="002F3564">
      <w:pPr>
        <w:pStyle w:val="paragraph"/>
      </w:pPr>
      <w:r w:rsidRPr="00572CC6">
        <w:tab/>
        <w:t>(</w:t>
      </w:r>
      <w:r w:rsidR="00F62E7F">
        <w:t>b</w:t>
      </w:r>
      <w:r w:rsidRPr="00572CC6">
        <w:t>)</w:t>
      </w:r>
      <w:r w:rsidRPr="00572CC6">
        <w:tab/>
        <w:t xml:space="preserve">the </w:t>
      </w:r>
      <w:r w:rsidRPr="00572CC6">
        <w:rPr>
          <w:i/>
          <w:iCs/>
        </w:rPr>
        <w:t>Commonwealth Registers Act 2020</w:t>
      </w:r>
      <w:r w:rsidRPr="00572CC6">
        <w:t>; and</w:t>
      </w:r>
    </w:p>
    <w:p w14:paraId="083E51C5" w14:textId="578410AA" w:rsidR="002F3564" w:rsidRPr="00572CC6" w:rsidRDefault="002F3564" w:rsidP="002F3564">
      <w:pPr>
        <w:pStyle w:val="paragraph"/>
      </w:pPr>
      <w:r w:rsidRPr="00572CC6">
        <w:tab/>
        <w:t>(</w:t>
      </w:r>
      <w:r w:rsidR="00F62E7F">
        <w:t>c</w:t>
      </w:r>
      <w:r w:rsidRPr="00572CC6">
        <w:t>)</w:t>
      </w:r>
      <w:r w:rsidRPr="00572CC6">
        <w:tab/>
        <w:t xml:space="preserve">the </w:t>
      </w:r>
      <w:r w:rsidRPr="00572CC6">
        <w:rPr>
          <w:i/>
          <w:iCs/>
        </w:rPr>
        <w:t>Corporations Act 2001</w:t>
      </w:r>
      <w:r w:rsidRPr="00572CC6">
        <w:t>; and</w:t>
      </w:r>
    </w:p>
    <w:p w14:paraId="59D39D93" w14:textId="1A94C4BD" w:rsidR="002F3564" w:rsidRPr="00572CC6" w:rsidRDefault="002F3564" w:rsidP="002F3564">
      <w:pPr>
        <w:pStyle w:val="paragraph"/>
      </w:pPr>
      <w:r w:rsidRPr="00572CC6">
        <w:tab/>
        <w:t>(</w:t>
      </w:r>
      <w:r w:rsidR="00F62E7F">
        <w:t>d</w:t>
      </w:r>
      <w:r w:rsidRPr="00572CC6">
        <w:t>)</w:t>
      </w:r>
      <w:r w:rsidRPr="00572CC6">
        <w:tab/>
        <w:t xml:space="preserve">the </w:t>
      </w:r>
      <w:r w:rsidRPr="00572CC6">
        <w:rPr>
          <w:i/>
          <w:iCs/>
        </w:rPr>
        <w:t>National Consumer Credit Protection Act 2009</w:t>
      </w:r>
      <w:r w:rsidRPr="00572CC6">
        <w:t>.</w:t>
      </w:r>
    </w:p>
    <w:p w14:paraId="77728612" w14:textId="3C13AFE4" w:rsidR="00FA06CA" w:rsidRPr="00572CC6" w:rsidRDefault="00FA06CA" w:rsidP="00FA06CA">
      <w:pPr>
        <w:pStyle w:val="ActHead5"/>
      </w:pPr>
      <w:bookmarkStart w:id="21" w:name="_Toc67377800"/>
      <w:r w:rsidRPr="00572CC6">
        <w:rPr>
          <w:rStyle w:val="CharSectno"/>
        </w:rPr>
        <w:t>4</w:t>
      </w:r>
      <w:r w:rsidRPr="00572CC6">
        <w:t xml:space="preserve">  </w:t>
      </w:r>
      <w:r w:rsidR="002F3564" w:rsidRPr="00572CC6">
        <w:t>Definitions</w:t>
      </w:r>
      <w:bookmarkEnd w:id="21"/>
    </w:p>
    <w:p w14:paraId="2CB778AB" w14:textId="7BA03F56" w:rsidR="00DC226E" w:rsidRPr="00572CC6" w:rsidRDefault="00DC226E" w:rsidP="00DC226E">
      <w:pPr>
        <w:pStyle w:val="notemargin"/>
      </w:pPr>
      <w:r w:rsidRPr="00572CC6">
        <w:t>Note:</w:t>
      </w:r>
      <w:r w:rsidRPr="00572CC6">
        <w:tab/>
        <w:t xml:space="preserve">Paragraph 13(1)(b) of the </w:t>
      </w:r>
      <w:r w:rsidRPr="00572CC6">
        <w:rPr>
          <w:i/>
        </w:rPr>
        <w:t>Legislation Act 2003</w:t>
      </w:r>
      <w:r w:rsidRPr="00572CC6">
        <w:t xml:space="preserve"> has the effect that expressions have the same meaning in this instrument as in the </w:t>
      </w:r>
      <w:bookmarkStart w:id="22" w:name="_Hlk66974697"/>
      <w:r w:rsidR="00002C72" w:rsidRPr="00F62E7F">
        <w:rPr>
          <w:i/>
          <w:iCs/>
        </w:rPr>
        <w:t>Business Names Registration Act 2011</w:t>
      </w:r>
      <w:r w:rsidR="00002C72" w:rsidRPr="00002C72">
        <w:t>,</w:t>
      </w:r>
      <w:r w:rsidR="00002C72">
        <w:rPr>
          <w:i/>
          <w:iCs/>
        </w:rPr>
        <w:t xml:space="preserve"> </w:t>
      </w:r>
      <w:r w:rsidRPr="00572CC6">
        <w:rPr>
          <w:i/>
          <w:iCs/>
        </w:rPr>
        <w:t>Commonwealth Registers Act 2020</w:t>
      </w:r>
      <w:bookmarkEnd w:id="22"/>
      <w:r w:rsidRPr="00572CC6">
        <w:t xml:space="preserve">, </w:t>
      </w:r>
      <w:r w:rsidRPr="00572CC6">
        <w:rPr>
          <w:i/>
          <w:iCs/>
        </w:rPr>
        <w:t>Corporations Act 2001</w:t>
      </w:r>
      <w:r w:rsidRPr="00572CC6">
        <w:t xml:space="preserve"> and </w:t>
      </w:r>
      <w:r w:rsidRPr="00572CC6">
        <w:rPr>
          <w:i/>
          <w:iCs/>
        </w:rPr>
        <w:t>National Consumer Credit Protection Act 2009</w:t>
      </w:r>
      <w:r w:rsidRPr="00572CC6">
        <w:t xml:space="preserve"> as appropriate and as in force from time to time.</w:t>
      </w:r>
    </w:p>
    <w:p w14:paraId="7F8E49F6" w14:textId="7E61CEA2" w:rsidR="00FA06CA" w:rsidRPr="00572CC6" w:rsidRDefault="00FA06CA" w:rsidP="00FA06CA">
      <w:pPr>
        <w:pStyle w:val="subsection"/>
      </w:pPr>
      <w:r w:rsidRPr="00572CC6">
        <w:tab/>
      </w:r>
      <w:r w:rsidRPr="00572CC6">
        <w:tab/>
      </w:r>
      <w:r w:rsidR="002F3564" w:rsidRPr="00572CC6">
        <w:t>In this instrument:</w:t>
      </w:r>
    </w:p>
    <w:p w14:paraId="4421CB02" w14:textId="7962FB3D" w:rsidR="002F3564" w:rsidRPr="00572CC6" w:rsidRDefault="00F44E4D" w:rsidP="00F44E4D">
      <w:pPr>
        <w:pStyle w:val="Definition"/>
      </w:pPr>
      <w:r w:rsidRPr="00572CC6">
        <w:rPr>
          <w:b/>
          <w:bCs/>
          <w:i/>
          <w:iCs/>
        </w:rPr>
        <w:t>ASIC</w:t>
      </w:r>
      <w:r w:rsidRPr="00572CC6">
        <w:t xml:space="preserve"> means the Australian Securities and Investments Commission.</w:t>
      </w:r>
    </w:p>
    <w:p w14:paraId="18433638" w14:textId="062584B6" w:rsidR="006A69FD" w:rsidRDefault="006A69FD" w:rsidP="00F44E4D">
      <w:pPr>
        <w:pStyle w:val="Definition"/>
      </w:pPr>
      <w:r>
        <w:rPr>
          <w:b/>
          <w:bCs/>
          <w:i/>
          <w:iCs/>
        </w:rPr>
        <w:t xml:space="preserve">business names registration </w:t>
      </w:r>
      <w:r w:rsidR="005C61E4">
        <w:rPr>
          <w:b/>
          <w:bCs/>
          <w:i/>
          <w:iCs/>
        </w:rPr>
        <w:t>legislation</w:t>
      </w:r>
      <w:r>
        <w:t xml:space="preserve"> means:</w:t>
      </w:r>
    </w:p>
    <w:p w14:paraId="6A56B9E7" w14:textId="05E2137D" w:rsidR="006A69FD" w:rsidRDefault="006A69FD" w:rsidP="006A69FD">
      <w:pPr>
        <w:pStyle w:val="paragraph"/>
      </w:pPr>
      <w:r>
        <w:tab/>
        <w:t>(a)</w:t>
      </w:r>
      <w:r>
        <w:tab/>
      </w:r>
      <w:r w:rsidR="00050A1A">
        <w:t xml:space="preserve">the </w:t>
      </w:r>
      <w:r w:rsidRPr="00F62E7F">
        <w:rPr>
          <w:i/>
          <w:iCs/>
        </w:rPr>
        <w:t>Business Names Registration Act 2011</w:t>
      </w:r>
      <w:r>
        <w:t>;</w:t>
      </w:r>
      <w:r w:rsidR="00050A1A">
        <w:t xml:space="preserve"> and</w:t>
      </w:r>
    </w:p>
    <w:p w14:paraId="2040ED46" w14:textId="661B11F2" w:rsidR="006A69FD" w:rsidRDefault="006A69FD" w:rsidP="006A69FD">
      <w:pPr>
        <w:pStyle w:val="paragraph"/>
      </w:pPr>
      <w:r w:rsidRPr="006A69FD">
        <w:tab/>
        <w:t>(b)</w:t>
      </w:r>
      <w:r>
        <w:tab/>
      </w:r>
      <w:r w:rsidR="00050A1A">
        <w:t xml:space="preserve">the </w:t>
      </w:r>
      <w:r w:rsidRPr="00542D8E">
        <w:rPr>
          <w:i/>
          <w:iCs/>
        </w:rPr>
        <w:t xml:space="preserve">Business Names Registration (Transitional and Consequential Provisions) Act </w:t>
      </w:r>
      <w:r w:rsidRPr="00050A1A">
        <w:rPr>
          <w:i/>
          <w:iCs/>
        </w:rPr>
        <w:t>2011</w:t>
      </w:r>
      <w:r w:rsidR="00050A1A">
        <w:t>; and</w:t>
      </w:r>
    </w:p>
    <w:p w14:paraId="7AA9F196" w14:textId="47B730C4" w:rsidR="00050A1A" w:rsidRPr="006A69FD" w:rsidRDefault="00050A1A" w:rsidP="006A69FD">
      <w:pPr>
        <w:pStyle w:val="paragraph"/>
      </w:pPr>
      <w:r>
        <w:lastRenderedPageBreak/>
        <w:tab/>
        <w:t>(c)</w:t>
      </w:r>
      <w:r>
        <w:tab/>
        <w:t>a legislative instrument made under an Act mentioned in paragraph (a) or (b).</w:t>
      </w:r>
    </w:p>
    <w:p w14:paraId="23A26DC1" w14:textId="0C961F9E" w:rsidR="000D67A4" w:rsidRPr="000D67A4" w:rsidRDefault="000D67A4" w:rsidP="00F44E4D">
      <w:pPr>
        <w:pStyle w:val="Definition"/>
      </w:pPr>
      <w:r>
        <w:rPr>
          <w:b/>
          <w:bCs/>
          <w:i/>
          <w:iCs/>
        </w:rPr>
        <w:t>Corporations legislation</w:t>
      </w:r>
      <w:r>
        <w:t xml:space="preserve"> has the meaning given by the </w:t>
      </w:r>
      <w:r w:rsidRPr="000D67A4">
        <w:rPr>
          <w:i/>
          <w:iCs/>
        </w:rPr>
        <w:t>Corporations Act 2001</w:t>
      </w:r>
      <w:r>
        <w:t xml:space="preserve"> but also includes a legislative instrument made under that Act or the </w:t>
      </w:r>
      <w:r w:rsidRPr="000D67A4">
        <w:rPr>
          <w:i/>
          <w:iCs/>
        </w:rPr>
        <w:t>Australian Securities and Investments Commission Act 2001</w:t>
      </w:r>
      <w:r>
        <w:t>.</w:t>
      </w:r>
    </w:p>
    <w:p w14:paraId="0ED91102" w14:textId="2D0493AF" w:rsidR="00745713" w:rsidRPr="00745713" w:rsidRDefault="00745713" w:rsidP="00F44E4D">
      <w:pPr>
        <w:pStyle w:val="Definition"/>
      </w:pPr>
      <w:r>
        <w:rPr>
          <w:b/>
          <w:bCs/>
          <w:i/>
          <w:iCs/>
        </w:rPr>
        <w:t>excluded law</w:t>
      </w:r>
      <w:r>
        <w:t xml:space="preserve"> has the </w:t>
      </w:r>
      <w:r w:rsidR="00F62E7F">
        <w:t xml:space="preserve">meaning given by the </w:t>
      </w:r>
      <w:r w:rsidR="00F62E7F" w:rsidRPr="00F62E7F">
        <w:rPr>
          <w:i/>
          <w:iCs/>
        </w:rPr>
        <w:t>Commonwealth Registers Act 2020</w:t>
      </w:r>
      <w:r w:rsidR="00F62E7F">
        <w:t>.</w:t>
      </w:r>
    </w:p>
    <w:p w14:paraId="654D4ABE" w14:textId="7F62DD84" w:rsidR="00B51F8A" w:rsidRPr="00572CC6" w:rsidRDefault="00B51F8A" w:rsidP="00F44E4D">
      <w:pPr>
        <w:pStyle w:val="Definition"/>
      </w:pPr>
      <w:r w:rsidRPr="00572CC6">
        <w:rPr>
          <w:b/>
          <w:bCs/>
          <w:i/>
          <w:iCs/>
        </w:rPr>
        <w:t>Registries Modernisation Act</w:t>
      </w:r>
      <w:r w:rsidRPr="00572CC6">
        <w:t xml:space="preserve"> means the </w:t>
      </w:r>
      <w:r w:rsidRPr="00572CC6">
        <w:rPr>
          <w:i/>
          <w:iCs/>
        </w:rPr>
        <w:t>Treasury Laws Amendment (Registries Modernisation and Other Measures) Act 2020</w:t>
      </w:r>
      <w:r w:rsidRPr="00572CC6">
        <w:t>.</w:t>
      </w:r>
    </w:p>
    <w:p w14:paraId="5D423714" w14:textId="55077F77" w:rsidR="002F3564" w:rsidRPr="00572CC6" w:rsidRDefault="002F3564" w:rsidP="002F3564">
      <w:pPr>
        <w:pStyle w:val="ActHead2"/>
        <w:pageBreakBefore/>
      </w:pPr>
      <w:bookmarkStart w:id="23" w:name="_Toc67377801"/>
      <w:r w:rsidRPr="00572CC6">
        <w:rPr>
          <w:rStyle w:val="CharPartNo"/>
        </w:rPr>
        <w:lastRenderedPageBreak/>
        <w:t>Part</w:t>
      </w:r>
      <w:r w:rsidR="00572CC6" w:rsidRPr="00572CC6">
        <w:rPr>
          <w:rStyle w:val="CharPartNo"/>
        </w:rPr>
        <w:t> </w:t>
      </w:r>
      <w:r w:rsidRPr="00572CC6">
        <w:rPr>
          <w:rStyle w:val="CharPartNo"/>
        </w:rPr>
        <w:t>2</w:t>
      </w:r>
      <w:r w:rsidRPr="00572CC6">
        <w:t>—</w:t>
      </w:r>
      <w:r w:rsidR="00C631B6" w:rsidRPr="00572CC6">
        <w:rPr>
          <w:rStyle w:val="CharPartText"/>
        </w:rPr>
        <w:t>Additional f</w:t>
      </w:r>
      <w:r w:rsidRPr="00572CC6">
        <w:rPr>
          <w:rStyle w:val="CharPartText"/>
        </w:rPr>
        <w:t xml:space="preserve">unctions of the </w:t>
      </w:r>
      <w:r w:rsidR="00C631B6" w:rsidRPr="00572CC6">
        <w:rPr>
          <w:rStyle w:val="CharPartText"/>
        </w:rPr>
        <w:t>Registrars</w:t>
      </w:r>
      <w:bookmarkEnd w:id="23"/>
    </w:p>
    <w:p w14:paraId="432B1C56" w14:textId="4306C61B" w:rsidR="00C631B6" w:rsidRPr="00572CC6" w:rsidRDefault="00C631B6" w:rsidP="00C631B6">
      <w:pPr>
        <w:pStyle w:val="Header"/>
      </w:pPr>
      <w:r w:rsidRPr="00572CC6">
        <w:rPr>
          <w:rStyle w:val="CharDivNo"/>
        </w:rPr>
        <w:t xml:space="preserve"> </w:t>
      </w:r>
      <w:r w:rsidRPr="00572CC6">
        <w:rPr>
          <w:rStyle w:val="CharDivText"/>
        </w:rPr>
        <w:t xml:space="preserve"> </w:t>
      </w:r>
    </w:p>
    <w:p w14:paraId="10C5E842" w14:textId="06F44255" w:rsidR="00C631B6" w:rsidRPr="00572CC6" w:rsidRDefault="00DC226E" w:rsidP="00DC226E">
      <w:pPr>
        <w:pStyle w:val="ActHead5"/>
      </w:pPr>
      <w:bookmarkStart w:id="24" w:name="_Toc67377802"/>
      <w:r w:rsidRPr="00572CC6">
        <w:rPr>
          <w:rStyle w:val="CharSectno"/>
        </w:rPr>
        <w:t>5</w:t>
      </w:r>
      <w:r w:rsidRPr="00572CC6">
        <w:t xml:space="preserve">  </w:t>
      </w:r>
      <w:r w:rsidR="000C169D" w:rsidRPr="00572CC6">
        <w:t>Addition</w:t>
      </w:r>
      <w:r w:rsidR="005E2AB3" w:rsidRPr="00572CC6">
        <w:t>al</w:t>
      </w:r>
      <w:r w:rsidR="000C169D" w:rsidRPr="00572CC6">
        <w:t xml:space="preserve"> functions of the </w:t>
      </w:r>
      <w:r w:rsidR="004B7F85" w:rsidRPr="00572CC6">
        <w:t>Commonwealth Regist</w:t>
      </w:r>
      <w:r w:rsidR="004F5BDF">
        <w:t>ers</w:t>
      </w:r>
      <w:r w:rsidR="004B7F85" w:rsidRPr="00572CC6">
        <w:t xml:space="preserve"> Act</w:t>
      </w:r>
      <w:r w:rsidR="000C169D" w:rsidRPr="00572CC6">
        <w:t xml:space="preserve"> Registrar</w:t>
      </w:r>
      <w:bookmarkEnd w:id="24"/>
    </w:p>
    <w:p w14:paraId="78538C36" w14:textId="70D59C6D" w:rsidR="000C169D" w:rsidRPr="00572CC6" w:rsidRDefault="003E77EE" w:rsidP="000C169D">
      <w:pPr>
        <w:pStyle w:val="subsection"/>
      </w:pPr>
      <w:r w:rsidRPr="00572CC6">
        <w:tab/>
      </w:r>
      <w:r w:rsidR="000F4C80" w:rsidRPr="00572CC6">
        <w:t>(1)</w:t>
      </w:r>
      <w:r w:rsidRPr="00572CC6">
        <w:tab/>
        <w:t>For the purposes of paragraph</w:t>
      </w:r>
      <w:r w:rsidR="00572CC6" w:rsidRPr="00572CC6">
        <w:t> </w:t>
      </w:r>
      <w:r w:rsidRPr="00572CC6">
        <w:t xml:space="preserve">7(b) of the </w:t>
      </w:r>
      <w:r w:rsidRPr="00572CC6">
        <w:rPr>
          <w:i/>
          <w:iCs/>
        </w:rPr>
        <w:t>Commonwealth Registers Act 2020</w:t>
      </w:r>
      <w:r w:rsidRPr="00572CC6">
        <w:t>, all</w:t>
      </w:r>
      <w:r w:rsidR="003B500D" w:rsidRPr="00572CC6">
        <w:t xml:space="preserve"> of </w:t>
      </w:r>
      <w:r w:rsidRPr="00572CC6">
        <w:t>the following functions</w:t>
      </w:r>
      <w:r w:rsidR="00A01A38">
        <w:t xml:space="preserve"> of the Registrar (within the meaning of that Act) are prescribed</w:t>
      </w:r>
      <w:r w:rsidRPr="00572CC6">
        <w:t>:</w:t>
      </w:r>
    </w:p>
    <w:p w14:paraId="1F23E86B" w14:textId="12092298" w:rsidR="003E77EE" w:rsidRPr="00572CC6" w:rsidRDefault="003E77EE" w:rsidP="00BE0E4E">
      <w:pPr>
        <w:pStyle w:val="paragraph"/>
      </w:pPr>
      <w:r w:rsidRPr="00572CC6">
        <w:tab/>
        <w:t>(a)</w:t>
      </w:r>
      <w:r w:rsidRPr="00572CC6">
        <w:tab/>
      </w:r>
      <w:r w:rsidR="00BE0E4E">
        <w:t xml:space="preserve">to assist ASIC in the performance of </w:t>
      </w:r>
      <w:r w:rsidR="006A69FD">
        <w:t>each</w:t>
      </w:r>
      <w:r w:rsidR="00BE0E4E">
        <w:t xml:space="preserve"> function conferred on it by a law of the Commonwealth </w:t>
      </w:r>
      <w:r w:rsidR="00BE0E4E" w:rsidRPr="00572CC6">
        <w:t>(other than an excluded law)</w:t>
      </w:r>
      <w:r w:rsidR="00BE0E4E">
        <w:t xml:space="preserve"> </w:t>
      </w:r>
      <w:r w:rsidR="00745713">
        <w:t xml:space="preserve">and </w:t>
      </w:r>
      <w:r w:rsidR="00BE0E4E">
        <w:t xml:space="preserve">that </w:t>
      </w:r>
      <w:r w:rsidR="00BE0E4E" w:rsidRPr="00572CC6">
        <w:t xml:space="preserve">will </w:t>
      </w:r>
      <w:r w:rsidR="00BE0E4E">
        <w:t xml:space="preserve">instead </w:t>
      </w:r>
      <w:r w:rsidR="00BE0E4E" w:rsidRPr="00572CC6">
        <w:t>be conferred on the Registrar following the commencement of one or more items in Part 2 of Schedule 1 to the Registries Modernisation Act</w:t>
      </w:r>
      <w:r w:rsidR="00BE0E4E">
        <w:t>;</w:t>
      </w:r>
    </w:p>
    <w:p w14:paraId="3418433F" w14:textId="0E7A82CE" w:rsidR="008E72D4" w:rsidRPr="00572CC6" w:rsidRDefault="008E72D4" w:rsidP="008E72D4">
      <w:pPr>
        <w:pStyle w:val="paragraph"/>
        <w:rPr>
          <w:i/>
          <w:iCs/>
        </w:rPr>
      </w:pPr>
      <w:r w:rsidRPr="00572CC6">
        <w:tab/>
        <w:t>(b)</w:t>
      </w:r>
      <w:r w:rsidRPr="00572CC6">
        <w:tab/>
      </w:r>
      <w:r w:rsidR="001F05F8" w:rsidRPr="00572CC6">
        <w:t>to prepare for, and implement all systems necessary for, the conferral on the Registrar</w:t>
      </w:r>
      <w:r w:rsidR="00382A8E" w:rsidRPr="00572CC6">
        <w:t xml:space="preserve"> of functions</w:t>
      </w:r>
      <w:r w:rsidR="001F05F8" w:rsidRPr="00572CC6">
        <w:t xml:space="preserve">, by a law of the Commonwealth (other than an excluded law), </w:t>
      </w:r>
      <w:r w:rsidR="00745713">
        <w:t>following</w:t>
      </w:r>
      <w:r w:rsidR="009D5FC5" w:rsidRPr="00572CC6">
        <w:t xml:space="preserve"> </w:t>
      </w:r>
      <w:r w:rsidR="001F05F8" w:rsidRPr="00572CC6">
        <w:t xml:space="preserve">the commencement </w:t>
      </w:r>
      <w:r w:rsidR="00D217A3" w:rsidRPr="00572CC6">
        <w:t xml:space="preserve">of </w:t>
      </w:r>
      <w:r w:rsidR="001F05F8" w:rsidRPr="00572CC6">
        <w:t>one or more items in Part</w:t>
      </w:r>
      <w:r w:rsidR="00572CC6" w:rsidRPr="00572CC6">
        <w:t> </w:t>
      </w:r>
      <w:r w:rsidR="001F05F8" w:rsidRPr="00572CC6">
        <w:t>2 of Schedule</w:t>
      </w:r>
      <w:r w:rsidR="00572CC6" w:rsidRPr="00572CC6">
        <w:t> </w:t>
      </w:r>
      <w:r w:rsidR="001F05F8" w:rsidRPr="00572CC6">
        <w:t>1 to the Registries Modernisation Act.</w:t>
      </w:r>
    </w:p>
    <w:p w14:paraId="650492C6" w14:textId="2A6D4646" w:rsidR="007C6E92" w:rsidRPr="00572CC6" w:rsidRDefault="007C6E92" w:rsidP="007C6E92">
      <w:pPr>
        <w:pStyle w:val="subsection"/>
      </w:pPr>
      <w:r w:rsidRPr="00572CC6">
        <w:tab/>
        <w:t>(2)</w:t>
      </w:r>
      <w:r w:rsidRPr="00572CC6">
        <w:tab/>
      </w:r>
      <w:r w:rsidR="00572CC6" w:rsidRPr="00572CC6">
        <w:t>Subsection (</w:t>
      </w:r>
      <w:r w:rsidR="00B034CE" w:rsidRPr="00572CC6">
        <w:t xml:space="preserve">1) no longer applies in relation to a particular function once </w:t>
      </w:r>
      <w:r w:rsidR="001524DA" w:rsidRPr="00572CC6">
        <w:t>a</w:t>
      </w:r>
      <w:r w:rsidR="00B034CE" w:rsidRPr="00572CC6">
        <w:t xml:space="preserve"> law of the Commonwealth </w:t>
      </w:r>
      <w:r w:rsidR="00CC5C79">
        <w:t xml:space="preserve">(other than this instrument) </w:t>
      </w:r>
      <w:r w:rsidR="00B034CE" w:rsidRPr="00572CC6">
        <w:t>confer</w:t>
      </w:r>
      <w:r w:rsidR="001524DA" w:rsidRPr="00572CC6">
        <w:t xml:space="preserve">s </w:t>
      </w:r>
      <w:r w:rsidR="00B034CE" w:rsidRPr="00572CC6">
        <w:t>that function on the Registrar.</w:t>
      </w:r>
    </w:p>
    <w:p w14:paraId="0C294DCE" w14:textId="1E6351F4" w:rsidR="005F2428" w:rsidRPr="00572CC6" w:rsidRDefault="005F2428" w:rsidP="005F2428">
      <w:pPr>
        <w:pStyle w:val="ActHead5"/>
      </w:pPr>
      <w:bookmarkStart w:id="25" w:name="_Toc67377803"/>
      <w:r>
        <w:rPr>
          <w:rStyle w:val="CharSectno"/>
        </w:rPr>
        <w:t>6</w:t>
      </w:r>
      <w:r w:rsidRPr="00572CC6">
        <w:t xml:space="preserve">  Additional functions of the </w:t>
      </w:r>
      <w:r>
        <w:t>Business Names Registration Act</w:t>
      </w:r>
      <w:r w:rsidRPr="00572CC6">
        <w:t xml:space="preserve"> Registrar</w:t>
      </w:r>
      <w:bookmarkEnd w:id="25"/>
    </w:p>
    <w:p w14:paraId="279A81CC" w14:textId="77777777" w:rsidR="005F2428" w:rsidRPr="00572CC6" w:rsidRDefault="005F2428" w:rsidP="005F2428">
      <w:pPr>
        <w:pStyle w:val="subsection"/>
      </w:pPr>
      <w:r w:rsidRPr="00572CC6">
        <w:tab/>
        <w:t>(1)</w:t>
      </w:r>
      <w:r w:rsidRPr="00572CC6">
        <w:tab/>
        <w:t>For the purposes of paragraph </w:t>
      </w:r>
      <w:r>
        <w:t>62B</w:t>
      </w:r>
      <w:r w:rsidRPr="00572CC6">
        <w:t xml:space="preserve">(b) of the </w:t>
      </w:r>
      <w:r w:rsidRPr="00542D8E">
        <w:rPr>
          <w:i/>
          <w:iCs/>
        </w:rPr>
        <w:t>Business Names Registration Act</w:t>
      </w:r>
      <w:r>
        <w:rPr>
          <w:i/>
          <w:iCs/>
        </w:rPr>
        <w:t xml:space="preserve"> 2011</w:t>
      </w:r>
      <w:r w:rsidRPr="00572CC6">
        <w:t>, all of the following functions</w:t>
      </w:r>
      <w:r>
        <w:t xml:space="preserve"> of the Registrar (within the meaning of that Act) are prescribed</w:t>
      </w:r>
      <w:r w:rsidRPr="00572CC6">
        <w:t>:</w:t>
      </w:r>
    </w:p>
    <w:p w14:paraId="6D723E28" w14:textId="3E921761" w:rsidR="005F2428" w:rsidRPr="00572CC6" w:rsidRDefault="005F2428" w:rsidP="005F2428">
      <w:pPr>
        <w:pStyle w:val="paragraph"/>
      </w:pPr>
      <w:r w:rsidRPr="00572CC6">
        <w:tab/>
        <w:t>(a)</w:t>
      </w:r>
      <w:r w:rsidRPr="00572CC6">
        <w:tab/>
      </w:r>
      <w:r>
        <w:t xml:space="preserve">to assist ASIC in the performance of </w:t>
      </w:r>
      <w:r w:rsidR="006A69FD">
        <w:t>each</w:t>
      </w:r>
      <w:r>
        <w:t xml:space="preserve"> function conferred on it </w:t>
      </w:r>
      <w:r w:rsidRPr="00572CC6">
        <w:t xml:space="preserve">by </w:t>
      </w:r>
      <w:r>
        <w:t xml:space="preserve">the </w:t>
      </w:r>
      <w:r w:rsidR="005C61E4" w:rsidRPr="005C61E4">
        <w:t>business names registration legislation</w:t>
      </w:r>
      <w:r>
        <w:t xml:space="preserve"> </w:t>
      </w:r>
      <w:r w:rsidRPr="00542D8E">
        <w:t>and</w:t>
      </w:r>
      <w:r>
        <w:t xml:space="preserve"> that </w:t>
      </w:r>
      <w:r w:rsidRPr="00572CC6">
        <w:t xml:space="preserve">will </w:t>
      </w:r>
      <w:r>
        <w:t xml:space="preserve">instead </w:t>
      </w:r>
      <w:r w:rsidRPr="00572CC6">
        <w:t>be conferred on the Registrar following the commencement of one or more items in Part 2 of Schedule 1 to the Registries Modernisation Act</w:t>
      </w:r>
      <w:r>
        <w:t>;</w:t>
      </w:r>
    </w:p>
    <w:p w14:paraId="52C77692" w14:textId="46189DED" w:rsidR="005F2428" w:rsidRPr="00572CC6" w:rsidRDefault="005F2428" w:rsidP="005F2428">
      <w:pPr>
        <w:pStyle w:val="paragraph"/>
        <w:rPr>
          <w:i/>
          <w:iCs/>
        </w:rPr>
      </w:pPr>
      <w:r w:rsidRPr="00572CC6">
        <w:tab/>
        <w:t>(b)</w:t>
      </w:r>
      <w:r w:rsidRPr="00572CC6">
        <w:tab/>
        <w:t xml:space="preserve">to prepare for, and implement all systems necessary for, the conferral on the Registrar of functions, by </w:t>
      </w:r>
      <w:r>
        <w:t xml:space="preserve">the </w:t>
      </w:r>
      <w:r w:rsidR="005C61E4" w:rsidRPr="005C61E4">
        <w:t>business names registration legislation</w:t>
      </w:r>
      <w:r w:rsidRPr="00572CC6">
        <w:t xml:space="preserve">, </w:t>
      </w:r>
      <w:r>
        <w:t>following</w:t>
      </w:r>
      <w:r w:rsidRPr="00572CC6">
        <w:t xml:space="preserve"> the commencement of one or more items in Part 2 of Schedule 1 to the Registries Modernisation Act.</w:t>
      </w:r>
    </w:p>
    <w:p w14:paraId="491CAA90" w14:textId="43B2623E" w:rsidR="005F2428" w:rsidRPr="00572CC6" w:rsidRDefault="005F2428" w:rsidP="005F2428">
      <w:pPr>
        <w:pStyle w:val="subsection"/>
      </w:pPr>
      <w:r w:rsidRPr="00572CC6">
        <w:tab/>
        <w:t>(2)</w:t>
      </w:r>
      <w:r w:rsidRPr="00572CC6">
        <w:tab/>
        <w:t xml:space="preserve">Subsection (1) no longer applies in relation to a particular function once the </w:t>
      </w:r>
      <w:r w:rsidR="005C61E4" w:rsidRPr="005C61E4">
        <w:t>business names registration legislation</w:t>
      </w:r>
      <w:r w:rsidRPr="00572CC6">
        <w:t xml:space="preserve"> </w:t>
      </w:r>
      <w:r>
        <w:t xml:space="preserve">(other than this instrument) </w:t>
      </w:r>
      <w:r w:rsidRPr="00572CC6">
        <w:t>confer</w:t>
      </w:r>
      <w:r w:rsidR="00903E17">
        <w:t>s</w:t>
      </w:r>
      <w:r w:rsidRPr="00572CC6">
        <w:t xml:space="preserve"> that function on the Registrar.</w:t>
      </w:r>
    </w:p>
    <w:p w14:paraId="16C4DF0C" w14:textId="42F28D4D" w:rsidR="004B7F85" w:rsidRPr="00572CC6" w:rsidRDefault="005F2428" w:rsidP="004B7F85">
      <w:pPr>
        <w:pStyle w:val="ActHead5"/>
      </w:pPr>
      <w:bookmarkStart w:id="26" w:name="_Toc67377804"/>
      <w:r>
        <w:rPr>
          <w:rStyle w:val="CharSectno"/>
        </w:rPr>
        <w:t>7</w:t>
      </w:r>
      <w:r w:rsidR="004B7F85" w:rsidRPr="00572CC6">
        <w:t xml:space="preserve">  Addition</w:t>
      </w:r>
      <w:r w:rsidR="005E2AB3" w:rsidRPr="00572CC6">
        <w:t>al</w:t>
      </w:r>
      <w:r w:rsidR="004B7F85" w:rsidRPr="00572CC6">
        <w:t xml:space="preserve"> functions of the Corporations Act Registrar</w:t>
      </w:r>
      <w:bookmarkEnd w:id="26"/>
    </w:p>
    <w:p w14:paraId="3E3D2789" w14:textId="6657BC41" w:rsidR="003E77EE" w:rsidRPr="00572CC6" w:rsidRDefault="003E77EE" w:rsidP="003E77EE">
      <w:pPr>
        <w:pStyle w:val="subsection"/>
      </w:pPr>
      <w:r w:rsidRPr="00572CC6">
        <w:tab/>
      </w:r>
      <w:r w:rsidR="000F4C80" w:rsidRPr="00572CC6">
        <w:t>(1)</w:t>
      </w:r>
      <w:r w:rsidRPr="00572CC6">
        <w:tab/>
        <w:t>For the purposes of paragraph</w:t>
      </w:r>
      <w:r w:rsidR="00572CC6" w:rsidRPr="00572CC6">
        <w:t> </w:t>
      </w:r>
      <w:r w:rsidRPr="00572CC6">
        <w:t xml:space="preserve">1270A(b) of the </w:t>
      </w:r>
      <w:r w:rsidR="00407568" w:rsidRPr="00572CC6">
        <w:rPr>
          <w:i/>
          <w:iCs/>
        </w:rPr>
        <w:t>Corporations Act 2001</w:t>
      </w:r>
      <w:r w:rsidRPr="00572CC6">
        <w:t xml:space="preserve">, </w:t>
      </w:r>
      <w:r w:rsidR="00A01A38" w:rsidRPr="00572CC6">
        <w:t>all of the following functions</w:t>
      </w:r>
      <w:r w:rsidR="00A01A38">
        <w:t xml:space="preserve"> of the Registrar (within the meaning of that Act) are prescribed</w:t>
      </w:r>
      <w:r w:rsidRPr="00572CC6">
        <w:t>:</w:t>
      </w:r>
    </w:p>
    <w:p w14:paraId="7E1E0CA4" w14:textId="3A3834FF" w:rsidR="00745713" w:rsidRPr="00572CC6" w:rsidRDefault="00745713" w:rsidP="00745713">
      <w:pPr>
        <w:pStyle w:val="paragraph"/>
      </w:pPr>
      <w:r w:rsidRPr="00572CC6">
        <w:tab/>
        <w:t>(a)</w:t>
      </w:r>
      <w:r w:rsidRPr="00572CC6">
        <w:tab/>
      </w:r>
      <w:r>
        <w:t xml:space="preserve">to assist ASIC in the performance of </w:t>
      </w:r>
      <w:r w:rsidR="006A69FD">
        <w:t>each</w:t>
      </w:r>
      <w:r>
        <w:t xml:space="preserve"> function conferred on it </w:t>
      </w:r>
      <w:r w:rsidR="00F62E7F">
        <w:t xml:space="preserve">by the </w:t>
      </w:r>
      <w:r w:rsidR="00552C6A">
        <w:t>C</w:t>
      </w:r>
      <w:r w:rsidRPr="00572CC6">
        <w:t xml:space="preserve">orporations legislation </w:t>
      </w:r>
      <w:r>
        <w:t xml:space="preserve">and that </w:t>
      </w:r>
      <w:r w:rsidRPr="00572CC6">
        <w:t xml:space="preserve">will </w:t>
      </w:r>
      <w:r>
        <w:t xml:space="preserve">instead </w:t>
      </w:r>
      <w:r w:rsidRPr="00572CC6">
        <w:t>be conferred on the Registrar following the commencement of one or more items in Part 2 of Schedule 1 to the Registries Modernisation Act</w:t>
      </w:r>
      <w:r>
        <w:t>;</w:t>
      </w:r>
    </w:p>
    <w:p w14:paraId="61D7E64D" w14:textId="249B076E" w:rsidR="00745713" w:rsidRPr="00572CC6" w:rsidRDefault="00745713" w:rsidP="00745713">
      <w:pPr>
        <w:pStyle w:val="paragraph"/>
        <w:rPr>
          <w:i/>
          <w:iCs/>
        </w:rPr>
      </w:pPr>
      <w:r w:rsidRPr="00572CC6">
        <w:tab/>
        <w:t>(b)</w:t>
      </w:r>
      <w:r w:rsidRPr="00572CC6">
        <w:tab/>
        <w:t xml:space="preserve">to prepare for, and implement all systems necessary for, the conferral on the Registrar of functions, by </w:t>
      </w:r>
      <w:r w:rsidR="00F62E7F">
        <w:t xml:space="preserve">the </w:t>
      </w:r>
      <w:r w:rsidR="005F2428">
        <w:t>C</w:t>
      </w:r>
      <w:r w:rsidRPr="00572CC6">
        <w:t xml:space="preserve">orporations legislation, </w:t>
      </w:r>
      <w:r>
        <w:t>following</w:t>
      </w:r>
      <w:r w:rsidRPr="00572CC6">
        <w:t xml:space="preserve"> the </w:t>
      </w:r>
      <w:r w:rsidRPr="00572CC6">
        <w:lastRenderedPageBreak/>
        <w:t>commencement of one or more items in Part 2 of Schedule 1 to the Registries Modernisation Act.</w:t>
      </w:r>
    </w:p>
    <w:p w14:paraId="539843C0" w14:textId="094BB6BF" w:rsidR="004E57C2" w:rsidRPr="00572CC6" w:rsidRDefault="004E57C2" w:rsidP="004E57C2">
      <w:pPr>
        <w:pStyle w:val="subsection"/>
      </w:pPr>
      <w:r w:rsidRPr="00572CC6">
        <w:tab/>
        <w:t>(2)</w:t>
      </w:r>
      <w:r w:rsidRPr="00572CC6">
        <w:tab/>
      </w:r>
      <w:r w:rsidR="00572CC6" w:rsidRPr="00572CC6">
        <w:t>Subsection (</w:t>
      </w:r>
      <w:r w:rsidR="00B034CE" w:rsidRPr="00572CC6">
        <w:t xml:space="preserve">1) no longer applies in relation to a particular function once the </w:t>
      </w:r>
      <w:r w:rsidR="00552C6A">
        <w:t>C</w:t>
      </w:r>
      <w:r w:rsidR="001524DA" w:rsidRPr="00572CC6">
        <w:t>orporation</w:t>
      </w:r>
      <w:r w:rsidR="00552C6A">
        <w:t>s</w:t>
      </w:r>
      <w:r w:rsidR="001524DA" w:rsidRPr="00572CC6">
        <w:t xml:space="preserve"> legislation</w:t>
      </w:r>
      <w:r w:rsidR="00B034CE" w:rsidRPr="00572CC6">
        <w:t xml:space="preserve"> </w:t>
      </w:r>
      <w:r w:rsidR="000D67A4">
        <w:t xml:space="preserve">(other than this instrument) </w:t>
      </w:r>
      <w:r w:rsidR="00B034CE" w:rsidRPr="00572CC6">
        <w:t>confer</w:t>
      </w:r>
      <w:r w:rsidR="001524DA" w:rsidRPr="00572CC6">
        <w:t>s</w:t>
      </w:r>
      <w:r w:rsidR="00B034CE" w:rsidRPr="00572CC6">
        <w:t xml:space="preserve"> that function on the Registrar.</w:t>
      </w:r>
    </w:p>
    <w:p w14:paraId="1B0D3DD2" w14:textId="50F8B072" w:rsidR="004B7F85" w:rsidRPr="00572CC6" w:rsidRDefault="005F2428" w:rsidP="004B7F85">
      <w:pPr>
        <w:pStyle w:val="ActHead5"/>
      </w:pPr>
      <w:bookmarkStart w:id="27" w:name="_Toc67377805"/>
      <w:r>
        <w:rPr>
          <w:rStyle w:val="CharSectno"/>
        </w:rPr>
        <w:t>8</w:t>
      </w:r>
      <w:r w:rsidR="004B7F85" w:rsidRPr="00572CC6">
        <w:t xml:space="preserve">  Addition</w:t>
      </w:r>
      <w:r w:rsidR="005E2AB3" w:rsidRPr="00572CC6">
        <w:t>al</w:t>
      </w:r>
      <w:r w:rsidR="004B7F85" w:rsidRPr="00572CC6">
        <w:t xml:space="preserve"> functions of the National Consumer Credit Protection Act Registrar</w:t>
      </w:r>
      <w:bookmarkEnd w:id="27"/>
    </w:p>
    <w:p w14:paraId="7D970E1E" w14:textId="355755EF" w:rsidR="003E77EE" w:rsidRPr="00572CC6" w:rsidRDefault="003E77EE" w:rsidP="003E77EE">
      <w:pPr>
        <w:pStyle w:val="subsection"/>
      </w:pPr>
      <w:r w:rsidRPr="00572CC6">
        <w:tab/>
      </w:r>
      <w:r w:rsidR="000F4C80" w:rsidRPr="00572CC6">
        <w:t>(1)</w:t>
      </w:r>
      <w:r w:rsidRPr="00572CC6">
        <w:tab/>
        <w:t>For the purposes of paragraph</w:t>
      </w:r>
      <w:r w:rsidR="00572CC6" w:rsidRPr="00572CC6">
        <w:t> </w:t>
      </w:r>
      <w:r w:rsidRPr="00572CC6">
        <w:t xml:space="preserve">212B(b) of the </w:t>
      </w:r>
      <w:r w:rsidRPr="00572CC6">
        <w:rPr>
          <w:i/>
          <w:iCs/>
        </w:rPr>
        <w:t>National Consumer Credit Protection Act 2009</w:t>
      </w:r>
      <w:r w:rsidRPr="00572CC6">
        <w:t xml:space="preserve">, </w:t>
      </w:r>
      <w:r w:rsidR="00A01A38" w:rsidRPr="00572CC6">
        <w:t>all of the following functions</w:t>
      </w:r>
      <w:r w:rsidR="00A01A38">
        <w:t xml:space="preserve"> of the Registrar (within the meaning of that Act) are prescribed</w:t>
      </w:r>
      <w:r w:rsidRPr="00572CC6">
        <w:t>:</w:t>
      </w:r>
    </w:p>
    <w:p w14:paraId="7DF3979B" w14:textId="03BC5449" w:rsidR="00F62E7F" w:rsidRPr="00572CC6" w:rsidRDefault="00F62E7F" w:rsidP="00F62E7F">
      <w:pPr>
        <w:pStyle w:val="paragraph"/>
      </w:pPr>
      <w:r w:rsidRPr="00572CC6">
        <w:tab/>
        <w:t>(a)</w:t>
      </w:r>
      <w:r w:rsidRPr="00572CC6">
        <w:tab/>
      </w:r>
      <w:r>
        <w:t xml:space="preserve">to assist ASIC in the performance of </w:t>
      </w:r>
      <w:r w:rsidR="006A69FD">
        <w:t>each</w:t>
      </w:r>
      <w:r>
        <w:t xml:space="preserve"> function conferred on it </w:t>
      </w:r>
      <w:r w:rsidRPr="00572CC6">
        <w:t xml:space="preserve">by the Commonwealth credit legislation (within the meaning of the </w:t>
      </w:r>
      <w:r w:rsidRPr="00572CC6">
        <w:rPr>
          <w:i/>
          <w:iCs/>
        </w:rPr>
        <w:t>National Consumer Credit Protection Act 2009</w:t>
      </w:r>
      <w:r w:rsidRPr="00572CC6">
        <w:t xml:space="preserve">) </w:t>
      </w:r>
      <w:r>
        <w:t xml:space="preserve">and that </w:t>
      </w:r>
      <w:r w:rsidRPr="00572CC6">
        <w:t xml:space="preserve">will </w:t>
      </w:r>
      <w:r>
        <w:t xml:space="preserve">instead </w:t>
      </w:r>
      <w:r w:rsidRPr="00572CC6">
        <w:t>be conferred on the Registrar following the commencement of one or more items in Part 2 of Schedule 1 to the Registries Modernisation Act</w:t>
      </w:r>
      <w:r>
        <w:t>;</w:t>
      </w:r>
    </w:p>
    <w:p w14:paraId="050C17D6" w14:textId="7A50AC80" w:rsidR="00F62E7F" w:rsidRPr="00572CC6" w:rsidRDefault="00F62E7F" w:rsidP="00F62E7F">
      <w:pPr>
        <w:pStyle w:val="paragraph"/>
        <w:rPr>
          <w:i/>
          <w:iCs/>
        </w:rPr>
      </w:pPr>
      <w:r w:rsidRPr="00572CC6">
        <w:tab/>
        <w:t>(b)</w:t>
      </w:r>
      <w:r w:rsidRPr="00572CC6">
        <w:tab/>
        <w:t xml:space="preserve">to prepare for, and implement all systems necessary for, the conferral on the Registrar of functions, by </w:t>
      </w:r>
      <w:r>
        <w:t>the Commonwealth credit legislation</w:t>
      </w:r>
      <w:r w:rsidRPr="00572CC6">
        <w:t xml:space="preserve">, </w:t>
      </w:r>
      <w:r>
        <w:t>following</w:t>
      </w:r>
      <w:r w:rsidRPr="00572CC6">
        <w:t xml:space="preserve"> the commencement of one or more items in Part 2 of Schedule 1 to the Registries Modernisation Act.</w:t>
      </w:r>
    </w:p>
    <w:p w14:paraId="09139466" w14:textId="30B88A57" w:rsidR="004E57C2" w:rsidRDefault="004E57C2" w:rsidP="004E57C2">
      <w:pPr>
        <w:pStyle w:val="subsection"/>
      </w:pPr>
      <w:r w:rsidRPr="00572CC6">
        <w:tab/>
        <w:t>(2)</w:t>
      </w:r>
      <w:r w:rsidRPr="00572CC6">
        <w:tab/>
      </w:r>
      <w:r w:rsidR="00572CC6" w:rsidRPr="00572CC6">
        <w:t>Subsection (</w:t>
      </w:r>
      <w:r w:rsidR="00B034CE" w:rsidRPr="00572CC6">
        <w:t>1)</w:t>
      </w:r>
      <w:r w:rsidRPr="00572CC6">
        <w:t xml:space="preserve"> no longer applies </w:t>
      </w:r>
      <w:r w:rsidR="00B034CE" w:rsidRPr="00572CC6">
        <w:t xml:space="preserve">in relation to </w:t>
      </w:r>
      <w:r w:rsidRPr="00572CC6">
        <w:t xml:space="preserve">a particular function once the Commonwealth </w:t>
      </w:r>
      <w:r w:rsidR="001524DA" w:rsidRPr="00572CC6">
        <w:t xml:space="preserve">credit legislation </w:t>
      </w:r>
      <w:r w:rsidR="00A01A38">
        <w:t xml:space="preserve">(other than this instrument) </w:t>
      </w:r>
      <w:r w:rsidRPr="00572CC6">
        <w:t>confer</w:t>
      </w:r>
      <w:r w:rsidR="001524DA" w:rsidRPr="00572CC6">
        <w:t>s</w:t>
      </w:r>
      <w:r w:rsidRPr="00572CC6">
        <w:t xml:space="preserve"> that function on the Registrar.</w:t>
      </w:r>
    </w:p>
    <w:sectPr w:rsidR="004E57C2" w:rsidSect="00572CC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7ACCA" w14:textId="77777777" w:rsidR="000D67A4" w:rsidRDefault="000D67A4" w:rsidP="00FA06CA">
      <w:pPr>
        <w:spacing w:line="240" w:lineRule="auto"/>
      </w:pPr>
      <w:r>
        <w:separator/>
      </w:r>
    </w:p>
  </w:endnote>
  <w:endnote w:type="continuationSeparator" w:id="0">
    <w:p w14:paraId="4DD7651A" w14:textId="77777777" w:rsidR="000D67A4" w:rsidRDefault="000D67A4" w:rsidP="00FA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F30F" w14:textId="334132C0" w:rsidR="000D67A4" w:rsidRDefault="000D67A4" w:rsidP="003E77EE">
    <w:pPr>
      <w:pStyle w:val="Footer"/>
    </w:pPr>
    <w:bookmarkStart w:id="1" w:name="_Hlk26286429"/>
    <w:bookmarkStart w:id="2" w:name="_Hlk26286430"/>
    <w:bookmarkStart w:id="3" w:name="_Hlk26286433"/>
    <w:bookmarkStart w:id="4" w:name="_Hlk26286434"/>
  </w:p>
  <w:bookmarkEnd w:id="1"/>
  <w:bookmarkEnd w:id="2"/>
  <w:bookmarkEnd w:id="3"/>
  <w:bookmarkEnd w:id="4"/>
  <w:p w14:paraId="31935C02" w14:textId="77777777" w:rsidR="000D67A4" w:rsidRPr="007500C8" w:rsidRDefault="000D67A4" w:rsidP="003E7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29E9" w14:textId="77777777" w:rsidR="000D67A4" w:rsidRPr="00ED79B6" w:rsidRDefault="000D67A4" w:rsidP="003E77E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7" w:name="_Hlk26286431"/>
    <w:bookmarkStart w:id="8" w:name="_Hlk26286432"/>
    <w:bookmarkStart w:id="9" w:name="_Hlk26286443"/>
    <w:bookmarkStart w:id="10" w:name="_Hlk26286444"/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D45C" w14:textId="77A97D80" w:rsidR="000D67A4" w:rsidRPr="00E33C1C" w:rsidRDefault="000D67A4" w:rsidP="003E77E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D67A4" w14:paraId="3C198076" w14:textId="77777777" w:rsidTr="0069255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7E1B63F" w14:textId="77777777" w:rsidR="000D67A4" w:rsidRDefault="000D67A4" w:rsidP="003E77E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196D25" w14:textId="6EA21989" w:rsidR="000D67A4" w:rsidRDefault="000D67A4" w:rsidP="003E77E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5E7F26">
            <w:rPr>
              <w:i/>
              <w:noProof/>
              <w:sz w:val="18"/>
            </w:rPr>
            <w:t>Commonwealth Registers Rules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F7D119D" w14:textId="77777777" w:rsidR="000D67A4" w:rsidRDefault="000D67A4" w:rsidP="003E77EE">
          <w:pPr>
            <w:spacing w:line="0" w:lineRule="atLeast"/>
            <w:jc w:val="right"/>
            <w:rPr>
              <w:sz w:val="18"/>
            </w:rPr>
          </w:pPr>
        </w:p>
      </w:tc>
    </w:tr>
  </w:tbl>
  <w:p w14:paraId="1AC7ECAF" w14:textId="77777777" w:rsidR="000D67A4" w:rsidRPr="00ED79B6" w:rsidRDefault="000D67A4" w:rsidP="003E77EE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1C20" w14:textId="3892E88F" w:rsidR="000D67A4" w:rsidRPr="00E33C1C" w:rsidRDefault="000D67A4" w:rsidP="003E77E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1" w:name="_Hlk26286441"/>
    <w:bookmarkStart w:id="12" w:name="_Hlk26286442"/>
    <w:bookmarkStart w:id="13" w:name="_Hlk26286445"/>
    <w:bookmarkStart w:id="14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0D67A4" w14:paraId="321BC48A" w14:textId="77777777" w:rsidTr="003E77E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6E7FFC5" w14:textId="77777777" w:rsidR="000D67A4" w:rsidRDefault="000D67A4" w:rsidP="003E77EE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3D4C1AFB" w14:textId="54D2321A" w:rsidR="000D67A4" w:rsidRDefault="000D67A4" w:rsidP="003E77E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FA43C9">
            <w:rPr>
              <w:i/>
              <w:noProof/>
              <w:sz w:val="18"/>
            </w:rPr>
            <w:t>Commonwealth Registers Rules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BB3F71C" w14:textId="059C631D" w:rsidR="000D67A4" w:rsidRDefault="000D67A4" w:rsidP="003E77E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43C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1"/>
    <w:bookmarkEnd w:id="12"/>
    <w:bookmarkEnd w:id="13"/>
    <w:bookmarkEnd w:id="14"/>
  </w:tbl>
  <w:p w14:paraId="42D51FF8" w14:textId="77777777" w:rsidR="000D67A4" w:rsidRPr="00ED79B6" w:rsidRDefault="000D67A4" w:rsidP="003E77E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0687" w14:textId="26638F69" w:rsidR="000D67A4" w:rsidRPr="00E33C1C" w:rsidRDefault="000D67A4" w:rsidP="003E77E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D67A4" w14:paraId="4A5CF530" w14:textId="77777777" w:rsidTr="0069255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920632D" w14:textId="05C60DAD" w:rsidR="000D67A4" w:rsidRDefault="000D67A4" w:rsidP="003E77E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1891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89922F" w14:textId="26BE398B" w:rsidR="000D67A4" w:rsidRDefault="000D67A4" w:rsidP="003E77E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821891">
            <w:rPr>
              <w:i/>
              <w:noProof/>
              <w:sz w:val="18"/>
            </w:rPr>
            <w:t>Commonwealth Registers Rules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AB9F0EF" w14:textId="77777777" w:rsidR="000D67A4" w:rsidRDefault="000D67A4" w:rsidP="003E77EE">
          <w:pPr>
            <w:spacing w:line="0" w:lineRule="atLeast"/>
            <w:jc w:val="right"/>
            <w:rPr>
              <w:sz w:val="18"/>
            </w:rPr>
          </w:pPr>
        </w:p>
      </w:tc>
    </w:tr>
  </w:tbl>
  <w:p w14:paraId="04BDA298" w14:textId="77777777" w:rsidR="000D67A4" w:rsidRPr="00ED79B6" w:rsidRDefault="000D67A4" w:rsidP="003E77E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98A3" w14:textId="5B851F93" w:rsidR="000D67A4" w:rsidRPr="00E33C1C" w:rsidRDefault="000D67A4" w:rsidP="003E77E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32" w:name="_Hlk26286453"/>
    <w:bookmarkStart w:id="33" w:name="_Hlk26286454"/>
    <w:bookmarkStart w:id="34" w:name="_Hlk26286457"/>
    <w:bookmarkStart w:id="35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0D67A4" w14:paraId="0FB2000F" w14:textId="77777777" w:rsidTr="00692554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6DF87C81" w14:textId="77777777" w:rsidR="000D67A4" w:rsidRDefault="000D67A4" w:rsidP="003E77EE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70CD5227" w14:textId="7D5F85C6" w:rsidR="000D67A4" w:rsidRDefault="000D67A4" w:rsidP="003E77E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821891">
            <w:rPr>
              <w:i/>
              <w:noProof/>
              <w:sz w:val="18"/>
            </w:rPr>
            <w:t>Commonwealth Registers Rules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0FD59496" w14:textId="005906F2" w:rsidR="000D67A4" w:rsidRDefault="000D67A4" w:rsidP="003E77E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2189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2"/>
    <w:bookmarkEnd w:id="33"/>
    <w:bookmarkEnd w:id="34"/>
    <w:bookmarkEnd w:id="35"/>
  </w:tbl>
  <w:p w14:paraId="25239B91" w14:textId="77777777" w:rsidR="000D67A4" w:rsidRPr="00ED79B6" w:rsidRDefault="000D67A4" w:rsidP="003E77E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78C4B" w14:textId="77777777" w:rsidR="000D67A4" w:rsidRPr="00E33C1C" w:rsidRDefault="000D67A4" w:rsidP="003E77EE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8" w:name="_Hlk26286455"/>
    <w:bookmarkStart w:id="39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0D67A4" w14:paraId="59A34838" w14:textId="77777777" w:rsidTr="00692554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7C8DF362" w14:textId="77777777" w:rsidR="000D67A4" w:rsidRDefault="000D67A4" w:rsidP="003E77EE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6CBEFB26" w14:textId="59A17561" w:rsidR="000D67A4" w:rsidRDefault="000D67A4" w:rsidP="003E77E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E7F26">
            <w:rPr>
              <w:i/>
              <w:sz w:val="18"/>
            </w:rPr>
            <w:t>Commonwealth Registers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75B5C714" w14:textId="77777777" w:rsidR="000D67A4" w:rsidRDefault="000D67A4" w:rsidP="003E77E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8"/>
    <w:bookmarkEnd w:id="39"/>
  </w:tbl>
  <w:p w14:paraId="34C873C1" w14:textId="77777777" w:rsidR="000D67A4" w:rsidRPr="00ED79B6" w:rsidRDefault="000D67A4" w:rsidP="003E77E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8282" w14:textId="77777777" w:rsidR="000D67A4" w:rsidRDefault="000D67A4" w:rsidP="00FA06CA">
      <w:pPr>
        <w:spacing w:line="240" w:lineRule="auto"/>
      </w:pPr>
      <w:r>
        <w:separator/>
      </w:r>
    </w:p>
  </w:footnote>
  <w:footnote w:type="continuationSeparator" w:id="0">
    <w:p w14:paraId="348D0F71" w14:textId="77777777" w:rsidR="000D67A4" w:rsidRDefault="000D67A4" w:rsidP="00FA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A3E8" w14:textId="3C45CE35" w:rsidR="000D67A4" w:rsidRPr="005F1388" w:rsidRDefault="000D67A4" w:rsidP="003E77EE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8940" w14:textId="54E5884D" w:rsidR="000D67A4" w:rsidRPr="005F1388" w:rsidRDefault="000D67A4" w:rsidP="003E77EE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9024" w14:textId="77777777" w:rsidR="000D67A4" w:rsidRPr="005F1388" w:rsidRDefault="000D67A4" w:rsidP="003E77EE">
    <w:pPr>
      <w:pStyle w:val="Header"/>
      <w:tabs>
        <w:tab w:val="clear" w:pos="4150"/>
        <w:tab w:val="clear" w:pos="8307"/>
      </w:tabs>
    </w:pPr>
    <w:bookmarkStart w:id="5" w:name="_Hlk26286425"/>
    <w:bookmarkStart w:id="6" w:name="_Hlk26286426"/>
    <w:bookmarkEnd w:id="5"/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0CE7" w14:textId="6AF4B5F9" w:rsidR="000D67A4" w:rsidRPr="00ED79B6" w:rsidRDefault="000D67A4" w:rsidP="003E77EE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4492" w14:textId="0E736C8B" w:rsidR="000D67A4" w:rsidRPr="00ED79B6" w:rsidRDefault="000D67A4" w:rsidP="003E77EE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4DDDF" w14:textId="77777777" w:rsidR="000D67A4" w:rsidRPr="00ED79B6" w:rsidRDefault="000D67A4" w:rsidP="003E77EE">
    <w:pPr>
      <w:pStyle w:val="Header"/>
      <w:tabs>
        <w:tab w:val="clear" w:pos="4150"/>
        <w:tab w:val="clear" w:pos="8307"/>
      </w:tabs>
    </w:pPr>
    <w:bookmarkStart w:id="15" w:name="_Hlk26286437"/>
    <w:bookmarkStart w:id="16" w:name="_Hlk26286438"/>
    <w:bookmarkEnd w:id="15"/>
    <w:bookmarkEnd w:id="16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1FA0" w14:textId="0D1E7519" w:rsidR="000D67A4" w:rsidRDefault="000D67A4" w:rsidP="003E77E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3F03043B" w14:textId="40B589C8" w:rsidR="000D67A4" w:rsidRDefault="000D67A4" w:rsidP="003E77E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821891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821891">
      <w:rPr>
        <w:noProof/>
        <w:sz w:val="20"/>
      </w:rPr>
      <w:t>Additional functions of the Registrars</w:t>
    </w:r>
    <w:r>
      <w:rPr>
        <w:sz w:val="20"/>
      </w:rPr>
      <w:fldChar w:fldCharType="end"/>
    </w:r>
  </w:p>
  <w:p w14:paraId="71C633BB" w14:textId="207066AB" w:rsidR="000D67A4" w:rsidRPr="007A1328" w:rsidRDefault="000D67A4" w:rsidP="003E77E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BBB8724" w14:textId="77777777" w:rsidR="000D67A4" w:rsidRPr="007A1328" w:rsidRDefault="000D67A4" w:rsidP="003E77EE">
    <w:pPr>
      <w:rPr>
        <w:b/>
        <w:sz w:val="24"/>
      </w:rPr>
    </w:pPr>
  </w:p>
  <w:p w14:paraId="443C53CF" w14:textId="38B5FC50" w:rsidR="000D67A4" w:rsidRPr="007A1328" w:rsidRDefault="000D67A4" w:rsidP="003E77E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E7F2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21891">
      <w:rPr>
        <w:noProof/>
        <w:sz w:val="24"/>
      </w:rPr>
      <w:t>8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8" w:name="_Hlk26286447"/>
  <w:bookmarkStart w:id="29" w:name="_Hlk26286448"/>
  <w:bookmarkStart w:id="30" w:name="_Hlk26286451"/>
  <w:bookmarkStart w:id="31" w:name="_Hlk26286452"/>
  <w:p w14:paraId="0560AEF5" w14:textId="77D035DC" w:rsidR="000D67A4" w:rsidRPr="007A1328" w:rsidRDefault="000D67A4" w:rsidP="003E77E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69249FF4" w14:textId="530E2E4B" w:rsidR="000D67A4" w:rsidRPr="007A1328" w:rsidRDefault="000D67A4" w:rsidP="003E77E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FA43C9">
      <w:rPr>
        <w:sz w:val="20"/>
      </w:rPr>
      <w:fldChar w:fldCharType="separate"/>
    </w:r>
    <w:r w:rsidR="00821891">
      <w:rPr>
        <w:noProof/>
        <w:sz w:val="20"/>
      </w:rPr>
      <w:t>Additional functions of the Registrars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FA43C9">
      <w:rPr>
        <w:b/>
        <w:sz w:val="20"/>
      </w:rPr>
      <w:fldChar w:fldCharType="separate"/>
    </w:r>
    <w:r w:rsidR="00821891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3D194143" w14:textId="3C78A01C" w:rsidR="000D67A4" w:rsidRPr="007A1328" w:rsidRDefault="000D67A4" w:rsidP="003E77E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0CE97738" w14:textId="77777777" w:rsidR="000D67A4" w:rsidRPr="007A1328" w:rsidRDefault="000D67A4" w:rsidP="003E77EE">
    <w:pPr>
      <w:jc w:val="right"/>
      <w:rPr>
        <w:b/>
        <w:sz w:val="24"/>
      </w:rPr>
    </w:pPr>
  </w:p>
  <w:p w14:paraId="738F4495" w14:textId="5F6F312F" w:rsidR="000D67A4" w:rsidRPr="007A1328" w:rsidRDefault="000D67A4" w:rsidP="003E77E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E7F2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21891">
      <w:rPr>
        <w:noProof/>
        <w:sz w:val="24"/>
      </w:rPr>
      <w:t>5</w:t>
    </w:r>
    <w:r w:rsidRPr="007A1328">
      <w:rPr>
        <w:sz w:val="24"/>
      </w:rPr>
      <w:fldChar w:fldCharType="end"/>
    </w:r>
    <w:bookmarkEnd w:id="28"/>
    <w:bookmarkEnd w:id="29"/>
    <w:bookmarkEnd w:id="30"/>
    <w:bookmarkEnd w:id="3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3A03" w14:textId="77777777" w:rsidR="000D67A4" w:rsidRPr="007A1328" w:rsidRDefault="000D67A4" w:rsidP="003E77EE">
    <w:bookmarkStart w:id="36" w:name="_Hlk26286449"/>
    <w:bookmarkStart w:id="37" w:name="_Hlk26286450"/>
    <w:bookmarkEnd w:id="36"/>
    <w:bookmarkEnd w:id="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4"/>
    <w:rsid w:val="00002C72"/>
    <w:rsid w:val="00050A1A"/>
    <w:rsid w:val="00082080"/>
    <w:rsid w:val="000B20DC"/>
    <w:rsid w:val="000C169D"/>
    <w:rsid w:val="000D67A4"/>
    <w:rsid w:val="000F4C80"/>
    <w:rsid w:val="00147C62"/>
    <w:rsid w:val="001524DA"/>
    <w:rsid w:val="001F05F8"/>
    <w:rsid w:val="001F1F3F"/>
    <w:rsid w:val="00273DA2"/>
    <w:rsid w:val="00280CA3"/>
    <w:rsid w:val="002F3564"/>
    <w:rsid w:val="0032722E"/>
    <w:rsid w:val="003473DB"/>
    <w:rsid w:val="0038112E"/>
    <w:rsid w:val="00382A8E"/>
    <w:rsid w:val="00392490"/>
    <w:rsid w:val="003B500D"/>
    <w:rsid w:val="003E77EE"/>
    <w:rsid w:val="00407568"/>
    <w:rsid w:val="004105F7"/>
    <w:rsid w:val="004B7F85"/>
    <w:rsid w:val="004E57C2"/>
    <w:rsid w:val="004F5BDF"/>
    <w:rsid w:val="00507C39"/>
    <w:rsid w:val="005344C3"/>
    <w:rsid w:val="00542D8E"/>
    <w:rsid w:val="00552C6A"/>
    <w:rsid w:val="00572CC6"/>
    <w:rsid w:val="005C61E4"/>
    <w:rsid w:val="005E2AB3"/>
    <w:rsid w:val="005E7F26"/>
    <w:rsid w:val="005F2428"/>
    <w:rsid w:val="00636078"/>
    <w:rsid w:val="006572C3"/>
    <w:rsid w:val="00692554"/>
    <w:rsid w:val="006A69FD"/>
    <w:rsid w:val="00723A87"/>
    <w:rsid w:val="00745713"/>
    <w:rsid w:val="007A26EB"/>
    <w:rsid w:val="007C6E92"/>
    <w:rsid w:val="007F66D6"/>
    <w:rsid w:val="00821891"/>
    <w:rsid w:val="008E72D4"/>
    <w:rsid w:val="00901196"/>
    <w:rsid w:val="00903E17"/>
    <w:rsid w:val="00945723"/>
    <w:rsid w:val="009D5FC5"/>
    <w:rsid w:val="00A01A38"/>
    <w:rsid w:val="00B034CE"/>
    <w:rsid w:val="00B51F8A"/>
    <w:rsid w:val="00B5418A"/>
    <w:rsid w:val="00B64E58"/>
    <w:rsid w:val="00BE0E4E"/>
    <w:rsid w:val="00C631B6"/>
    <w:rsid w:val="00C7128E"/>
    <w:rsid w:val="00C9209D"/>
    <w:rsid w:val="00C9500F"/>
    <w:rsid w:val="00CC5C79"/>
    <w:rsid w:val="00CF6FE1"/>
    <w:rsid w:val="00D217A3"/>
    <w:rsid w:val="00DC226E"/>
    <w:rsid w:val="00E11D7A"/>
    <w:rsid w:val="00E308C6"/>
    <w:rsid w:val="00F44E4D"/>
    <w:rsid w:val="00F62E7F"/>
    <w:rsid w:val="00FA06CA"/>
    <w:rsid w:val="00FA43C9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11178"/>
  <w15:chartTrackingRefBased/>
  <w15:docId w15:val="{D70023FC-DC39-4341-86D8-A543D250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2CC6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C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C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C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C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C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C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C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C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C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CC6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CC6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CC6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CC6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CC6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C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C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572CC6"/>
  </w:style>
  <w:style w:type="paragraph" w:customStyle="1" w:styleId="OPCParaBase">
    <w:name w:val="OPCParaBase"/>
    <w:qFormat/>
    <w:rsid w:val="00572CC6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572CC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72CC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72CC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72CC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72CC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72CC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72CC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72CC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72CC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72CC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72CC6"/>
  </w:style>
  <w:style w:type="paragraph" w:customStyle="1" w:styleId="Blocks">
    <w:name w:val="Blocks"/>
    <w:aliases w:val="bb"/>
    <w:basedOn w:val="OPCParaBase"/>
    <w:qFormat/>
    <w:rsid w:val="00572CC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72C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72CC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72CC6"/>
    <w:rPr>
      <w:i/>
    </w:rPr>
  </w:style>
  <w:style w:type="paragraph" w:customStyle="1" w:styleId="BoxList">
    <w:name w:val="BoxList"/>
    <w:aliases w:val="bl"/>
    <w:basedOn w:val="BoxText"/>
    <w:qFormat/>
    <w:rsid w:val="00572CC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72CC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72CC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72CC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72CC6"/>
  </w:style>
  <w:style w:type="character" w:customStyle="1" w:styleId="CharAmPartText">
    <w:name w:val="CharAmPartText"/>
    <w:basedOn w:val="OPCCharBase"/>
    <w:uiPriority w:val="1"/>
    <w:qFormat/>
    <w:rsid w:val="00572CC6"/>
  </w:style>
  <w:style w:type="character" w:customStyle="1" w:styleId="CharAmSchNo">
    <w:name w:val="CharAmSchNo"/>
    <w:basedOn w:val="OPCCharBase"/>
    <w:uiPriority w:val="1"/>
    <w:qFormat/>
    <w:rsid w:val="00572CC6"/>
  </w:style>
  <w:style w:type="character" w:customStyle="1" w:styleId="CharAmSchText">
    <w:name w:val="CharAmSchText"/>
    <w:basedOn w:val="OPCCharBase"/>
    <w:uiPriority w:val="1"/>
    <w:qFormat/>
    <w:rsid w:val="00572CC6"/>
  </w:style>
  <w:style w:type="character" w:customStyle="1" w:styleId="CharBoldItalic">
    <w:name w:val="CharBoldItalic"/>
    <w:basedOn w:val="OPCCharBase"/>
    <w:uiPriority w:val="1"/>
    <w:qFormat/>
    <w:rsid w:val="00572CC6"/>
    <w:rPr>
      <w:b/>
      <w:i/>
    </w:rPr>
  </w:style>
  <w:style w:type="character" w:customStyle="1" w:styleId="CharChapNo">
    <w:name w:val="CharChapNo"/>
    <w:basedOn w:val="OPCCharBase"/>
    <w:qFormat/>
    <w:rsid w:val="00572CC6"/>
  </w:style>
  <w:style w:type="character" w:customStyle="1" w:styleId="CharChapText">
    <w:name w:val="CharChapText"/>
    <w:basedOn w:val="OPCCharBase"/>
    <w:qFormat/>
    <w:rsid w:val="00572CC6"/>
  </w:style>
  <w:style w:type="character" w:customStyle="1" w:styleId="CharDivNo">
    <w:name w:val="CharDivNo"/>
    <w:basedOn w:val="OPCCharBase"/>
    <w:qFormat/>
    <w:rsid w:val="00572CC6"/>
  </w:style>
  <w:style w:type="character" w:customStyle="1" w:styleId="CharDivText">
    <w:name w:val="CharDivText"/>
    <w:basedOn w:val="OPCCharBase"/>
    <w:qFormat/>
    <w:rsid w:val="00572CC6"/>
  </w:style>
  <w:style w:type="character" w:customStyle="1" w:styleId="CharItalic">
    <w:name w:val="CharItalic"/>
    <w:basedOn w:val="OPCCharBase"/>
    <w:uiPriority w:val="1"/>
    <w:qFormat/>
    <w:rsid w:val="00572CC6"/>
    <w:rPr>
      <w:i/>
    </w:rPr>
  </w:style>
  <w:style w:type="character" w:customStyle="1" w:styleId="CharPartNo">
    <w:name w:val="CharPartNo"/>
    <w:basedOn w:val="OPCCharBase"/>
    <w:qFormat/>
    <w:rsid w:val="00572CC6"/>
  </w:style>
  <w:style w:type="character" w:customStyle="1" w:styleId="CharPartText">
    <w:name w:val="CharPartText"/>
    <w:basedOn w:val="OPCCharBase"/>
    <w:qFormat/>
    <w:rsid w:val="00572CC6"/>
  </w:style>
  <w:style w:type="character" w:customStyle="1" w:styleId="CharSectno">
    <w:name w:val="CharSectno"/>
    <w:basedOn w:val="OPCCharBase"/>
    <w:qFormat/>
    <w:rsid w:val="00572CC6"/>
  </w:style>
  <w:style w:type="character" w:customStyle="1" w:styleId="CharSubdNo">
    <w:name w:val="CharSubdNo"/>
    <w:basedOn w:val="OPCCharBase"/>
    <w:uiPriority w:val="1"/>
    <w:qFormat/>
    <w:rsid w:val="00572CC6"/>
  </w:style>
  <w:style w:type="character" w:customStyle="1" w:styleId="CharSubdText">
    <w:name w:val="CharSubdText"/>
    <w:basedOn w:val="OPCCharBase"/>
    <w:uiPriority w:val="1"/>
    <w:qFormat/>
    <w:rsid w:val="00572CC6"/>
  </w:style>
  <w:style w:type="paragraph" w:customStyle="1" w:styleId="CTA--">
    <w:name w:val="CTA --"/>
    <w:basedOn w:val="OPCParaBase"/>
    <w:next w:val="Normal"/>
    <w:rsid w:val="00572CC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72CC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72CC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72CC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72CC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72CC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72CC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72CC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72CC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72CC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72CC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72CC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72CC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72CC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72CC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72CC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72CC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72CC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72CC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72CC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72CC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72CC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72CC6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572CC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72CC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72CC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72CC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72CC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72CC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72CC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72CC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72CC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72CC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72CC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72CC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72CC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72CC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72CC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72CC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72CC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72CC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72CC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72CC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72CC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72CC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72CC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72CC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72CC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72CC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72CC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72CC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72C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72CC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72CC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72CC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72CC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72CC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72CC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72CC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72CC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72CC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72CC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72CC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72CC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72CC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72CC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72CC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72CC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72CC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72CC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72C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72CC6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72CC6"/>
    <w:rPr>
      <w:sz w:val="16"/>
    </w:rPr>
  </w:style>
  <w:style w:type="table" w:customStyle="1" w:styleId="CFlag">
    <w:name w:val="CFlag"/>
    <w:basedOn w:val="TableNormal"/>
    <w:uiPriority w:val="99"/>
    <w:rsid w:val="0057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72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CC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72CC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72CC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72CC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72CC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72CC6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72CC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72CC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72CC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72CC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72CC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72CC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72CC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72CC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72CC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72CC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72CC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72CC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72CC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72CC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72CC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72CC6"/>
  </w:style>
  <w:style w:type="character" w:customStyle="1" w:styleId="CharSubPartNoCASA">
    <w:name w:val="CharSubPartNo(CASA)"/>
    <w:basedOn w:val="OPCCharBase"/>
    <w:uiPriority w:val="1"/>
    <w:rsid w:val="00572CC6"/>
  </w:style>
  <w:style w:type="paragraph" w:customStyle="1" w:styleId="ENoteTTIndentHeadingSub">
    <w:name w:val="ENoteTTIndentHeadingSub"/>
    <w:aliases w:val="enTTHis"/>
    <w:basedOn w:val="OPCParaBase"/>
    <w:rsid w:val="00572CC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72CC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72CC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72CC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72CC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572C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572CC6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572CC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72CC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72CC6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572CC6"/>
  </w:style>
  <w:style w:type="paragraph" w:customStyle="1" w:styleId="TableHeading">
    <w:name w:val="TableHeading"/>
    <w:aliases w:val="th"/>
    <w:basedOn w:val="OPCParaBase"/>
    <w:next w:val="Tabletext"/>
    <w:rsid w:val="00572CC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72CC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72CC6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72CC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72CC6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572CC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72CC6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72CC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72CC6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572C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72CC6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572CC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72CC6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72CC6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36687" ma:contentTypeDescription=" " ma:contentTypeScope="" ma:versionID="62a914300eb6460fddc4e243b7a3384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i6880fa62fd2465ea894b48b45824d1c xmlns="9f7bc583-7cbe-45b9-a2bd-8bbb6543b37e">
      <Terms xmlns="http://schemas.microsoft.com/office/infopath/2007/PartnerControls"/>
    </i6880fa62fd2465ea894b48b45824d1c>
    <_dlc_DocId xmlns="0f563589-9cf9-4143-b1eb-fb0534803d38">2021RG-111-18634</_dlc_DocId>
    <_dlc_DocIdUrl xmlns="0f563589-9cf9-4143-b1eb-fb0534803d38">
      <Url>http://tweb/sites/rg/ldp/lmu/_layouts/15/DocIdRedir.aspx?ID=2021RG-111-18634</Url>
      <Description>2021RG-111-18634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19D4-C133-40AC-9A69-A1BF8A47215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3712A79-B2E4-4E6F-903D-1D7B2D2C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FEAA3-80AB-4305-A82F-450E4C3464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9D5455-3943-4ABB-A535-AC98FCE04F3E}">
  <ds:schemaRefs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B3E26AF-F445-49B0-9E51-B5CA8FAB4A6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55E95E-2ACF-469A-99D1-BA2C3FE8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737</TotalTime>
  <Pages>8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210225-LI-TSY_46_595-Cth Registrar-Rules.master</dc:title>
  <dc:subject/>
  <dc:creator>Leggett, Chris</dc:creator>
  <cp:keywords/>
  <dc:description/>
  <cp:lastModifiedBy>Roslyn Anderson</cp:lastModifiedBy>
  <cp:revision>45</cp:revision>
  <cp:lastPrinted>2021-03-25T02:06:00Z</cp:lastPrinted>
  <dcterms:created xsi:type="dcterms:W3CDTF">2021-02-24T21:21:00Z</dcterms:created>
  <dcterms:modified xsi:type="dcterms:W3CDTF">2021-03-26T05:00:00Z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Commonwealth Registers Rules 2021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0x01010036BB8DE7EC542E42A8B2E98CC20CB69700D5C18F41BA18FB44827A222ACD6776F5</vt:lpwstr>
  </property>
  <property fmtid="{D5CDD505-2E9C-101B-9397-08002B2CF9AE}" pid="15" name="TSYRecordClass">
    <vt:lpwstr>7;#TSY RA-9236 - Retain as national archives|c6a225b4-6b93-473e-bcbb-6bc6ab25b623</vt:lpwstr>
  </property>
  <property fmtid="{D5CDD505-2E9C-101B-9397-08002B2CF9AE}" pid="16" name="_dlc_DocIdItemGuid">
    <vt:lpwstr>96020744-2b31-40dc-85c0-e84365751309</vt:lpwstr>
  </property>
  <property fmtid="{D5CDD505-2E9C-101B-9397-08002B2CF9AE}" pid="17" name="TSYTopic">
    <vt:lpwstr/>
  </property>
  <property fmtid="{D5CDD505-2E9C-101B-9397-08002B2CF9AE}" pid="18" name="Order">
    <vt:r8>1863400</vt:r8>
  </property>
  <property fmtid="{D5CDD505-2E9C-101B-9397-08002B2CF9AE}" pid="19" name="oae75e2df9d943898d59cb03ca0993c5">
    <vt:lpwstr/>
  </property>
  <property fmtid="{D5CDD505-2E9C-101B-9397-08002B2CF9AE}" pid="20" name="Topics">
    <vt:lpwstr/>
  </property>
</Properties>
</file>